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E4292" w14:textId="77777777" w:rsidR="0097007D" w:rsidRPr="0097007D" w:rsidRDefault="0097007D" w:rsidP="0097007D">
      <w:pPr>
        <w:spacing w:after="200" w:line="360" w:lineRule="auto"/>
        <w:jc w:val="center"/>
        <w:rPr>
          <w:rFonts w:ascii="Traditional Arabic" w:eastAsia="MS Mincho" w:hAnsi="Traditional Arabic" w:cs="Traditional Arabic"/>
          <w:kern w:val="0"/>
          <w:sz w:val="28"/>
          <w14:ligatures w14:val="none"/>
        </w:rPr>
      </w:pPr>
      <w:r w:rsidRPr="0097007D">
        <w:rPr>
          <w:rFonts w:ascii="Traditional Arabic" w:eastAsia="MS Mincho" w:hAnsi="Traditional Arabic" w:cs="Traditional Arabic"/>
          <w:noProof/>
          <w:kern w:val="0"/>
          <w:sz w:val="28"/>
          <w14:ligatures w14:val="none"/>
        </w:rPr>
        <w:drawing>
          <wp:inline distT="0" distB="0" distL="0" distR="0" wp14:anchorId="0475FAF9" wp14:editId="5BAFE7F9">
            <wp:extent cx="2012950" cy="201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0" cy="2012950"/>
                    </a:xfrm>
                    <a:prstGeom prst="rect">
                      <a:avLst/>
                    </a:prstGeom>
                    <a:noFill/>
                    <a:ln>
                      <a:noFill/>
                    </a:ln>
                  </pic:spPr>
                </pic:pic>
              </a:graphicData>
            </a:graphic>
          </wp:inline>
        </w:drawing>
      </w:r>
    </w:p>
    <w:p w14:paraId="467CD09A" w14:textId="77777777" w:rsidR="0097007D" w:rsidRPr="0097007D" w:rsidRDefault="0097007D" w:rsidP="0097007D">
      <w:pPr>
        <w:spacing w:after="200" w:line="360" w:lineRule="auto"/>
        <w:jc w:val="center"/>
        <w:rPr>
          <w:rFonts w:ascii="Traditional Arabic" w:eastAsia="MS Mincho" w:hAnsi="Traditional Arabic" w:cs="Traditional Arabic"/>
          <w:b/>
          <w:kern w:val="0"/>
          <w:sz w:val="28"/>
          <w:szCs w:val="28"/>
          <w14:ligatures w14:val="none"/>
        </w:rPr>
      </w:pPr>
      <w:r w:rsidRPr="0097007D">
        <w:rPr>
          <w:rFonts w:ascii="Traditional Arabic" w:eastAsia="MS Mincho" w:hAnsi="Traditional Arabic" w:cs="Traditional Arabic"/>
          <w:b/>
          <w:kern w:val="0"/>
          <w:sz w:val="28"/>
          <w:szCs w:val="28"/>
          <w:rtl/>
          <w14:ligatures w14:val="none"/>
        </w:rPr>
        <w:t>جامعة ميدأوشن</w:t>
      </w:r>
      <w:r w:rsidRPr="0097007D">
        <w:rPr>
          <w:rFonts w:ascii="Traditional Arabic" w:eastAsia="MS Mincho" w:hAnsi="Traditional Arabic" w:cs="Traditional Arabic"/>
          <w:b/>
          <w:kern w:val="0"/>
          <w:sz w:val="28"/>
          <w:szCs w:val="28"/>
          <w14:ligatures w14:val="none"/>
        </w:rPr>
        <w:br/>
      </w:r>
      <w:r w:rsidRPr="0097007D">
        <w:rPr>
          <w:rFonts w:ascii="Traditional Arabic" w:eastAsia="MS Mincho" w:hAnsi="Traditional Arabic" w:cs="Traditional Arabic"/>
          <w:b/>
          <w:kern w:val="0"/>
          <w:sz w:val="28"/>
          <w:szCs w:val="28"/>
          <w:rtl/>
          <w14:ligatures w14:val="none"/>
        </w:rPr>
        <w:t xml:space="preserve"> الإدارةكلية </w:t>
      </w:r>
    </w:p>
    <w:p w14:paraId="3D5B7D8F" w14:textId="77777777" w:rsidR="0097007D" w:rsidRPr="0097007D" w:rsidRDefault="0097007D" w:rsidP="0097007D">
      <w:pPr>
        <w:spacing w:after="200" w:line="360" w:lineRule="auto"/>
        <w:jc w:val="center"/>
        <w:rPr>
          <w:rFonts w:ascii="Traditional Arabic" w:eastAsia="MS Mincho" w:hAnsi="Traditional Arabic" w:cs="Traditional Arabic"/>
          <w:kern w:val="0"/>
          <w:sz w:val="28"/>
          <w:rtl/>
          <w14:ligatures w14:val="none"/>
        </w:rPr>
      </w:pPr>
      <w:r w:rsidRPr="0097007D">
        <w:rPr>
          <w:rFonts w:ascii="Traditional Arabic" w:eastAsia="MS Mincho" w:hAnsi="Traditional Arabic" w:cs="Traditional Arabic"/>
          <w:b/>
          <w:kern w:val="0"/>
          <w:sz w:val="28"/>
          <w:szCs w:val="28"/>
          <w:rtl/>
          <w14:ligatures w14:val="none"/>
        </w:rPr>
        <w:t>قسم إدارة الأعمال</w:t>
      </w:r>
      <w:r w:rsidRPr="0097007D">
        <w:rPr>
          <w:rFonts w:ascii="Traditional Arabic" w:eastAsia="MS Mincho" w:hAnsi="Traditional Arabic" w:cs="Traditional Arabic"/>
          <w:b/>
          <w:kern w:val="0"/>
          <w:sz w:val="28"/>
          <w14:ligatures w14:val="none"/>
        </w:rPr>
        <w:br/>
      </w:r>
      <w:r w:rsidRPr="0097007D">
        <w:rPr>
          <w:rFonts w:ascii="Traditional Arabic" w:eastAsia="MS Mincho" w:hAnsi="Traditional Arabic" w:cs="Traditional Arabic"/>
          <w:b/>
          <w:kern w:val="0"/>
          <w:sz w:val="28"/>
          <w14:ligatures w14:val="none"/>
        </w:rPr>
        <w:br/>
      </w:r>
      <w:r w:rsidRPr="0097007D">
        <w:rPr>
          <w:rFonts w:ascii="Traditional Arabic" w:eastAsia="MS Mincho" w:hAnsi="Traditional Arabic" w:cs="Traditional Arabic"/>
          <w:b/>
          <w:kern w:val="0"/>
          <w:sz w:val="28"/>
          <w:rtl/>
          <w14:ligatures w14:val="none"/>
        </w:rPr>
        <w:t>تحليل نماذج العمل للشركات الإبداعية في السعودية بعد رؤية 2030</w:t>
      </w:r>
      <w:r w:rsidRPr="0097007D">
        <w:rPr>
          <w:rFonts w:ascii="Traditional Arabic" w:eastAsia="MS Mincho" w:hAnsi="Traditional Arabic" w:cs="Traditional Arabic"/>
          <w:b/>
          <w:kern w:val="0"/>
          <w:sz w:val="28"/>
          <w14:ligatures w14:val="none"/>
        </w:rPr>
        <w:br/>
        <w:t>Business Models Analysis for Creative Companies in Saudi Arabia After Vision 2030</w:t>
      </w:r>
      <w:r w:rsidRPr="0097007D">
        <w:rPr>
          <w:rFonts w:ascii="Traditional Arabic" w:eastAsia="MS Mincho" w:hAnsi="Traditional Arabic" w:cs="Traditional Arabic"/>
          <w:b/>
          <w:kern w:val="0"/>
          <w:sz w:val="28"/>
          <w14:ligatures w14:val="none"/>
        </w:rPr>
        <w:br/>
      </w:r>
      <w:r w:rsidRPr="0097007D">
        <w:rPr>
          <w:rFonts w:ascii="Traditional Arabic" w:eastAsia="MS Mincho" w:hAnsi="Traditional Arabic" w:cs="Traditional Arabic"/>
          <w:b/>
          <w:kern w:val="0"/>
          <w:sz w:val="28"/>
          <w14:ligatures w14:val="none"/>
        </w:rPr>
        <w:br/>
      </w:r>
      <w:r w:rsidRPr="0097007D">
        <w:rPr>
          <w:rFonts w:ascii="Traditional Arabic" w:eastAsia="MS Mincho" w:hAnsi="Traditional Arabic" w:cs="Traditional Arabic"/>
          <w:kern w:val="0"/>
          <w:sz w:val="28"/>
          <w:rtl/>
          <w14:ligatures w14:val="none"/>
        </w:rPr>
        <w:t>إعداد: سعد صلاح مؤمن</w:t>
      </w:r>
      <w:r w:rsidRPr="0097007D">
        <w:rPr>
          <w:rFonts w:ascii="Traditional Arabic" w:eastAsia="MS Mincho" w:hAnsi="Traditional Arabic" w:cs="Traditional Arabic"/>
          <w:kern w:val="0"/>
          <w:sz w:val="28"/>
          <w14:ligatures w14:val="none"/>
        </w:rPr>
        <w:br/>
      </w:r>
      <w:r w:rsidRPr="0097007D">
        <w:rPr>
          <w:rFonts w:ascii="Traditional Arabic" w:eastAsia="MS Mincho" w:hAnsi="Traditional Arabic" w:cs="Traditional Arabic"/>
          <w:kern w:val="0"/>
          <w:sz w:val="28"/>
          <w:rtl/>
          <w14:ligatures w14:val="none"/>
        </w:rPr>
        <w:t xml:space="preserve">إشراف: قسم إدارة الاعمال </w:t>
      </w:r>
    </w:p>
    <w:p w14:paraId="79ECBA13" w14:textId="77777777" w:rsidR="0097007D" w:rsidRDefault="0097007D" w:rsidP="0097007D">
      <w:pPr>
        <w:spacing w:after="200" w:line="360" w:lineRule="auto"/>
        <w:jc w:val="center"/>
        <w:rPr>
          <w:rFonts w:ascii="Traditional Arabic" w:eastAsia="MS Mincho" w:hAnsi="Traditional Arabic" w:cs="Traditional Arabic"/>
          <w:kern w:val="0"/>
          <w:sz w:val="28"/>
          <w:rtl/>
          <w14:ligatures w14:val="none"/>
        </w:rPr>
      </w:pPr>
    </w:p>
    <w:p w14:paraId="09AB7706" w14:textId="77777777" w:rsidR="0097007D" w:rsidRDefault="0097007D" w:rsidP="0097007D">
      <w:pPr>
        <w:spacing w:after="200" w:line="360" w:lineRule="auto"/>
        <w:jc w:val="center"/>
        <w:rPr>
          <w:rFonts w:ascii="Traditional Arabic" w:eastAsia="MS Mincho" w:hAnsi="Traditional Arabic" w:cs="Traditional Arabic"/>
          <w:kern w:val="0"/>
          <w:sz w:val="28"/>
          <w:rtl/>
          <w14:ligatures w14:val="none"/>
        </w:rPr>
      </w:pPr>
    </w:p>
    <w:p w14:paraId="1201C7EC" w14:textId="77777777" w:rsidR="0097007D" w:rsidRPr="0097007D" w:rsidRDefault="0097007D" w:rsidP="0097007D">
      <w:pPr>
        <w:spacing w:after="200" w:line="360" w:lineRule="auto"/>
        <w:jc w:val="center"/>
        <w:rPr>
          <w:rFonts w:ascii="Traditional Arabic" w:eastAsia="MS Mincho" w:hAnsi="Traditional Arabic" w:cs="Traditional Arabic"/>
          <w:kern w:val="0"/>
          <w:sz w:val="28"/>
          <w14:ligatures w14:val="none"/>
        </w:rPr>
      </w:pPr>
    </w:p>
    <w:p w14:paraId="695F58B0" w14:textId="77777777" w:rsidR="00912E6C" w:rsidRPr="0097007D" w:rsidRDefault="0097007D" w:rsidP="0097007D">
      <w:pPr>
        <w:bidi/>
        <w:spacing w:line="360" w:lineRule="auto"/>
        <w:jc w:val="center"/>
        <w:rPr>
          <w:rFonts w:ascii="Traditional Arabic" w:hAnsi="Traditional Arabic" w:cs="Traditional Arabic"/>
          <w:sz w:val="28"/>
          <w:szCs w:val="28"/>
          <w:rtl/>
          <w:lang w:bidi="ar-EG"/>
        </w:rPr>
      </w:pPr>
      <w:r w:rsidRPr="0097007D">
        <w:rPr>
          <w:rFonts w:ascii="Traditional Arabic" w:eastAsia="MS Mincho" w:hAnsi="Traditional Arabic" w:cs="Traditional Arabic"/>
          <w:kern w:val="0"/>
          <w:sz w:val="28"/>
          <w14:ligatures w14:val="none"/>
        </w:rPr>
        <w:t>2025</w:t>
      </w:r>
    </w:p>
    <w:sdt>
      <w:sdtPr>
        <w:rPr>
          <w:rFonts w:ascii="Traditional Arabic" w:eastAsiaTheme="minorHAnsi" w:hAnsi="Traditional Arabic" w:cs="Traditional Arabic"/>
          <w:color w:val="auto"/>
          <w:kern w:val="2"/>
          <w:sz w:val="22"/>
          <w:szCs w:val="22"/>
          <w:rtl/>
          <w14:ligatures w14:val="standardContextual"/>
        </w:rPr>
        <w:id w:val="1036787297"/>
        <w:docPartObj>
          <w:docPartGallery w:val="Table of Contents"/>
          <w:docPartUnique/>
        </w:docPartObj>
      </w:sdtPr>
      <w:sdtEndPr>
        <w:rPr>
          <w:b/>
          <w:bCs/>
          <w:noProof/>
        </w:rPr>
      </w:sdtEndPr>
      <w:sdtContent>
        <w:p w14:paraId="09DA3B5F" w14:textId="77777777" w:rsidR="00852DF0" w:rsidRPr="0097007D" w:rsidRDefault="00852DF0" w:rsidP="0097007D">
          <w:pPr>
            <w:pStyle w:val="TOCHeading"/>
            <w:bidi/>
            <w:spacing w:line="360" w:lineRule="auto"/>
            <w:jc w:val="both"/>
            <w:rPr>
              <w:rFonts w:ascii="Traditional Arabic" w:hAnsi="Traditional Arabic" w:cs="Traditional Arabic"/>
              <w:sz w:val="36"/>
              <w:szCs w:val="36"/>
            </w:rPr>
          </w:pPr>
          <w:r w:rsidRPr="0097007D">
            <w:rPr>
              <w:rFonts w:ascii="Traditional Arabic" w:hAnsi="Traditional Arabic" w:cs="Traditional Arabic"/>
              <w:sz w:val="36"/>
              <w:szCs w:val="36"/>
              <w:rtl/>
            </w:rPr>
            <w:t>الفهرس</w:t>
          </w:r>
        </w:p>
        <w:p w14:paraId="1424606A" w14:textId="77777777" w:rsidR="001F7CB9" w:rsidRPr="001F7CB9" w:rsidRDefault="00852DF0" w:rsidP="001F7CB9">
          <w:pPr>
            <w:pStyle w:val="TOC1"/>
            <w:tabs>
              <w:tab w:val="right" w:leader="dot" w:pos="8630"/>
            </w:tabs>
            <w:bidi/>
            <w:rPr>
              <w:rFonts w:eastAsiaTheme="minorEastAsia"/>
              <w:noProof/>
              <w:kern w:val="0"/>
              <w:sz w:val="28"/>
              <w:szCs w:val="28"/>
              <w14:ligatures w14:val="none"/>
            </w:rPr>
          </w:pPr>
          <w:r w:rsidRPr="0097007D">
            <w:rPr>
              <w:rFonts w:ascii="Traditional Arabic" w:hAnsi="Traditional Arabic" w:cs="Traditional Arabic"/>
              <w:sz w:val="24"/>
              <w:szCs w:val="24"/>
            </w:rPr>
            <w:fldChar w:fldCharType="begin"/>
          </w:r>
          <w:r w:rsidRPr="0097007D">
            <w:rPr>
              <w:rFonts w:ascii="Traditional Arabic" w:hAnsi="Traditional Arabic" w:cs="Traditional Arabic"/>
              <w:sz w:val="24"/>
              <w:szCs w:val="24"/>
            </w:rPr>
            <w:instrText xml:space="preserve"> TOC \o "1-3" \h \z \u </w:instrText>
          </w:r>
          <w:r w:rsidRPr="0097007D">
            <w:rPr>
              <w:rFonts w:ascii="Traditional Arabic" w:hAnsi="Traditional Arabic" w:cs="Traditional Arabic"/>
              <w:sz w:val="24"/>
              <w:szCs w:val="24"/>
            </w:rPr>
            <w:fldChar w:fldCharType="separate"/>
          </w:r>
          <w:hyperlink w:anchor="_Toc224679238" w:history="1">
            <w:r w:rsidR="001F7CB9" w:rsidRPr="001F7CB9">
              <w:rPr>
                <w:rStyle w:val="Hyperlink"/>
                <w:rFonts w:ascii="Traditional Arabic" w:hAnsi="Traditional Arabic" w:cs="Traditional Arabic"/>
                <w:noProof/>
                <w:sz w:val="28"/>
                <w:szCs w:val="28"/>
                <w:rtl/>
              </w:rPr>
              <w:t>ملخص الدراسة</w:t>
            </w:r>
            <w:r w:rsidR="001F7CB9" w:rsidRPr="001F7CB9">
              <w:rPr>
                <w:noProof/>
                <w:webHidden/>
                <w:sz w:val="28"/>
                <w:szCs w:val="28"/>
              </w:rPr>
              <w:tab/>
            </w:r>
            <w:r w:rsidR="001F7CB9" w:rsidRPr="001F7CB9">
              <w:rPr>
                <w:noProof/>
                <w:webHidden/>
                <w:sz w:val="28"/>
                <w:szCs w:val="28"/>
              </w:rPr>
              <w:fldChar w:fldCharType="begin"/>
            </w:r>
            <w:r w:rsidR="001F7CB9" w:rsidRPr="001F7CB9">
              <w:rPr>
                <w:noProof/>
                <w:webHidden/>
                <w:sz w:val="28"/>
                <w:szCs w:val="28"/>
              </w:rPr>
              <w:instrText xml:space="preserve"> PAGEREF _Toc224679238 \h </w:instrText>
            </w:r>
            <w:r w:rsidR="001F7CB9" w:rsidRPr="001F7CB9">
              <w:rPr>
                <w:noProof/>
                <w:webHidden/>
                <w:sz w:val="28"/>
                <w:szCs w:val="28"/>
              </w:rPr>
            </w:r>
            <w:r w:rsidR="001F7CB9" w:rsidRPr="001F7CB9">
              <w:rPr>
                <w:noProof/>
                <w:webHidden/>
                <w:sz w:val="28"/>
                <w:szCs w:val="28"/>
              </w:rPr>
              <w:fldChar w:fldCharType="separate"/>
            </w:r>
            <w:r w:rsidR="001F7CB9">
              <w:rPr>
                <w:noProof/>
                <w:webHidden/>
                <w:sz w:val="28"/>
                <w:szCs w:val="28"/>
                <w:rtl/>
              </w:rPr>
              <w:t>3</w:t>
            </w:r>
            <w:r w:rsidR="001F7CB9" w:rsidRPr="001F7CB9">
              <w:rPr>
                <w:noProof/>
                <w:webHidden/>
                <w:sz w:val="28"/>
                <w:szCs w:val="28"/>
              </w:rPr>
              <w:fldChar w:fldCharType="end"/>
            </w:r>
          </w:hyperlink>
        </w:p>
        <w:p w14:paraId="52937F20" w14:textId="77777777" w:rsidR="001F7CB9" w:rsidRPr="001F7CB9" w:rsidRDefault="001F7CB9" w:rsidP="001F7CB9">
          <w:pPr>
            <w:pStyle w:val="TOC2"/>
            <w:tabs>
              <w:tab w:val="right" w:leader="dot" w:pos="8630"/>
            </w:tabs>
            <w:bidi/>
            <w:rPr>
              <w:rFonts w:eastAsiaTheme="minorEastAsia"/>
              <w:noProof/>
              <w:kern w:val="0"/>
              <w:sz w:val="28"/>
              <w:szCs w:val="28"/>
              <w14:ligatures w14:val="none"/>
            </w:rPr>
          </w:pPr>
          <w:hyperlink w:anchor="_Toc224679239" w:history="1">
            <w:r w:rsidRPr="001F7CB9">
              <w:rPr>
                <w:rStyle w:val="Hyperlink"/>
                <w:noProof/>
                <w:sz w:val="28"/>
                <w:szCs w:val="28"/>
                <w:lang w:bidi="ar-EG"/>
              </w:rPr>
              <w:t>Abstract</w:t>
            </w:r>
            <w:r w:rsidRPr="001F7CB9">
              <w:rPr>
                <w:noProof/>
                <w:webHidden/>
                <w:sz w:val="28"/>
                <w:szCs w:val="28"/>
              </w:rPr>
              <w:tab/>
            </w:r>
            <w:r w:rsidRPr="001F7CB9">
              <w:rPr>
                <w:noProof/>
                <w:webHidden/>
                <w:sz w:val="28"/>
                <w:szCs w:val="28"/>
              </w:rPr>
              <w:fldChar w:fldCharType="begin"/>
            </w:r>
            <w:r w:rsidRPr="001F7CB9">
              <w:rPr>
                <w:noProof/>
                <w:webHidden/>
                <w:sz w:val="28"/>
                <w:szCs w:val="28"/>
              </w:rPr>
              <w:instrText xml:space="preserve"> PAGEREF _Toc224679239 \h </w:instrText>
            </w:r>
            <w:r w:rsidRPr="001F7CB9">
              <w:rPr>
                <w:noProof/>
                <w:webHidden/>
                <w:sz w:val="28"/>
                <w:szCs w:val="28"/>
              </w:rPr>
            </w:r>
            <w:r w:rsidRPr="001F7CB9">
              <w:rPr>
                <w:noProof/>
                <w:webHidden/>
                <w:sz w:val="28"/>
                <w:szCs w:val="28"/>
              </w:rPr>
              <w:fldChar w:fldCharType="separate"/>
            </w:r>
            <w:r>
              <w:rPr>
                <w:noProof/>
                <w:webHidden/>
                <w:sz w:val="28"/>
                <w:szCs w:val="28"/>
                <w:rtl/>
              </w:rPr>
              <w:t>3</w:t>
            </w:r>
            <w:r w:rsidRPr="001F7CB9">
              <w:rPr>
                <w:noProof/>
                <w:webHidden/>
                <w:sz w:val="28"/>
                <w:szCs w:val="28"/>
              </w:rPr>
              <w:fldChar w:fldCharType="end"/>
            </w:r>
          </w:hyperlink>
        </w:p>
        <w:p w14:paraId="7F80C670" w14:textId="77777777" w:rsidR="001F7CB9" w:rsidRPr="001F7CB9" w:rsidRDefault="001F7CB9" w:rsidP="001F7CB9">
          <w:pPr>
            <w:pStyle w:val="TOC1"/>
            <w:tabs>
              <w:tab w:val="right" w:leader="dot" w:pos="8630"/>
            </w:tabs>
            <w:bidi/>
            <w:rPr>
              <w:rFonts w:eastAsiaTheme="minorEastAsia"/>
              <w:noProof/>
              <w:kern w:val="0"/>
              <w:sz w:val="28"/>
              <w:szCs w:val="28"/>
              <w14:ligatures w14:val="none"/>
            </w:rPr>
          </w:pPr>
          <w:hyperlink w:anchor="_Toc224679240" w:history="1">
            <w:r w:rsidRPr="001F7CB9">
              <w:rPr>
                <w:rStyle w:val="Hyperlink"/>
                <w:rFonts w:ascii="Traditional Arabic" w:hAnsi="Traditional Arabic" w:cs="Traditional Arabic"/>
                <w:noProof/>
                <w:sz w:val="28"/>
                <w:szCs w:val="28"/>
                <w:rtl/>
              </w:rPr>
              <w:t>المقدمة</w:t>
            </w:r>
            <w:r w:rsidRPr="001F7CB9">
              <w:rPr>
                <w:noProof/>
                <w:webHidden/>
                <w:sz w:val="28"/>
                <w:szCs w:val="28"/>
              </w:rPr>
              <w:tab/>
            </w:r>
            <w:r w:rsidRPr="001F7CB9">
              <w:rPr>
                <w:noProof/>
                <w:webHidden/>
                <w:sz w:val="28"/>
                <w:szCs w:val="28"/>
              </w:rPr>
              <w:fldChar w:fldCharType="begin"/>
            </w:r>
            <w:r w:rsidRPr="001F7CB9">
              <w:rPr>
                <w:noProof/>
                <w:webHidden/>
                <w:sz w:val="28"/>
                <w:szCs w:val="28"/>
              </w:rPr>
              <w:instrText xml:space="preserve"> PAGEREF _Toc224679240 \h </w:instrText>
            </w:r>
            <w:r w:rsidRPr="001F7CB9">
              <w:rPr>
                <w:noProof/>
                <w:webHidden/>
                <w:sz w:val="28"/>
                <w:szCs w:val="28"/>
              </w:rPr>
            </w:r>
            <w:r w:rsidRPr="001F7CB9">
              <w:rPr>
                <w:noProof/>
                <w:webHidden/>
                <w:sz w:val="28"/>
                <w:szCs w:val="28"/>
              </w:rPr>
              <w:fldChar w:fldCharType="separate"/>
            </w:r>
            <w:r>
              <w:rPr>
                <w:noProof/>
                <w:webHidden/>
                <w:sz w:val="28"/>
                <w:szCs w:val="28"/>
                <w:rtl/>
              </w:rPr>
              <w:t>5</w:t>
            </w:r>
            <w:r w:rsidRPr="001F7CB9">
              <w:rPr>
                <w:noProof/>
                <w:webHidden/>
                <w:sz w:val="28"/>
                <w:szCs w:val="28"/>
              </w:rPr>
              <w:fldChar w:fldCharType="end"/>
            </w:r>
          </w:hyperlink>
        </w:p>
        <w:p w14:paraId="0A49B266" w14:textId="77777777" w:rsidR="001F7CB9" w:rsidRPr="001F7CB9" w:rsidRDefault="001F7CB9" w:rsidP="001F7CB9">
          <w:pPr>
            <w:pStyle w:val="TOC1"/>
            <w:tabs>
              <w:tab w:val="right" w:leader="dot" w:pos="8630"/>
            </w:tabs>
            <w:bidi/>
            <w:rPr>
              <w:rFonts w:eastAsiaTheme="minorEastAsia"/>
              <w:noProof/>
              <w:kern w:val="0"/>
              <w:sz w:val="28"/>
              <w:szCs w:val="28"/>
              <w14:ligatures w14:val="none"/>
            </w:rPr>
          </w:pPr>
          <w:hyperlink w:anchor="_Toc224679241" w:history="1">
            <w:r w:rsidRPr="001F7CB9">
              <w:rPr>
                <w:rStyle w:val="Hyperlink"/>
                <w:rFonts w:ascii="Traditional Arabic" w:hAnsi="Traditional Arabic" w:cs="Traditional Arabic"/>
                <w:noProof/>
                <w:sz w:val="28"/>
                <w:szCs w:val="28"/>
                <w:rtl/>
              </w:rPr>
              <w:t>الدراسات السابقة</w:t>
            </w:r>
            <w:r w:rsidRPr="001F7CB9">
              <w:rPr>
                <w:noProof/>
                <w:webHidden/>
                <w:sz w:val="28"/>
                <w:szCs w:val="28"/>
              </w:rPr>
              <w:tab/>
            </w:r>
            <w:r w:rsidRPr="001F7CB9">
              <w:rPr>
                <w:noProof/>
                <w:webHidden/>
                <w:sz w:val="28"/>
                <w:szCs w:val="28"/>
              </w:rPr>
              <w:fldChar w:fldCharType="begin"/>
            </w:r>
            <w:r w:rsidRPr="001F7CB9">
              <w:rPr>
                <w:noProof/>
                <w:webHidden/>
                <w:sz w:val="28"/>
                <w:szCs w:val="28"/>
              </w:rPr>
              <w:instrText xml:space="preserve"> PAGEREF _Toc224679241 \h </w:instrText>
            </w:r>
            <w:r w:rsidRPr="001F7CB9">
              <w:rPr>
                <w:noProof/>
                <w:webHidden/>
                <w:sz w:val="28"/>
                <w:szCs w:val="28"/>
              </w:rPr>
            </w:r>
            <w:r w:rsidRPr="001F7CB9">
              <w:rPr>
                <w:noProof/>
                <w:webHidden/>
                <w:sz w:val="28"/>
                <w:szCs w:val="28"/>
              </w:rPr>
              <w:fldChar w:fldCharType="separate"/>
            </w:r>
            <w:r>
              <w:rPr>
                <w:noProof/>
                <w:webHidden/>
                <w:sz w:val="28"/>
                <w:szCs w:val="28"/>
                <w:rtl/>
              </w:rPr>
              <w:t>6</w:t>
            </w:r>
            <w:r w:rsidRPr="001F7CB9">
              <w:rPr>
                <w:noProof/>
                <w:webHidden/>
                <w:sz w:val="28"/>
                <w:szCs w:val="28"/>
              </w:rPr>
              <w:fldChar w:fldCharType="end"/>
            </w:r>
          </w:hyperlink>
        </w:p>
        <w:p w14:paraId="484DA256" w14:textId="77777777" w:rsidR="001F7CB9" w:rsidRPr="001F7CB9" w:rsidRDefault="001F7CB9" w:rsidP="001F7CB9">
          <w:pPr>
            <w:pStyle w:val="TOC1"/>
            <w:tabs>
              <w:tab w:val="right" w:leader="dot" w:pos="8630"/>
            </w:tabs>
            <w:bidi/>
            <w:rPr>
              <w:rFonts w:eastAsiaTheme="minorEastAsia"/>
              <w:noProof/>
              <w:kern w:val="0"/>
              <w:sz w:val="28"/>
              <w:szCs w:val="28"/>
              <w14:ligatures w14:val="none"/>
            </w:rPr>
          </w:pPr>
          <w:hyperlink w:anchor="_Toc224679242" w:history="1">
            <w:r w:rsidRPr="001F7CB9">
              <w:rPr>
                <w:rStyle w:val="Hyperlink"/>
                <w:rFonts w:ascii="Traditional Arabic" w:hAnsi="Traditional Arabic" w:cs="Traditional Arabic"/>
                <w:noProof/>
                <w:sz w:val="28"/>
                <w:szCs w:val="28"/>
                <w:rtl/>
              </w:rPr>
              <w:t>أهمية الدراسة</w:t>
            </w:r>
            <w:r w:rsidRPr="001F7CB9">
              <w:rPr>
                <w:noProof/>
                <w:webHidden/>
                <w:sz w:val="28"/>
                <w:szCs w:val="28"/>
              </w:rPr>
              <w:tab/>
            </w:r>
            <w:r w:rsidRPr="001F7CB9">
              <w:rPr>
                <w:noProof/>
                <w:webHidden/>
                <w:sz w:val="28"/>
                <w:szCs w:val="28"/>
              </w:rPr>
              <w:fldChar w:fldCharType="begin"/>
            </w:r>
            <w:r w:rsidRPr="001F7CB9">
              <w:rPr>
                <w:noProof/>
                <w:webHidden/>
                <w:sz w:val="28"/>
                <w:szCs w:val="28"/>
              </w:rPr>
              <w:instrText xml:space="preserve"> PAGEREF _Toc224679242 \h </w:instrText>
            </w:r>
            <w:r w:rsidRPr="001F7CB9">
              <w:rPr>
                <w:noProof/>
                <w:webHidden/>
                <w:sz w:val="28"/>
                <w:szCs w:val="28"/>
              </w:rPr>
            </w:r>
            <w:r w:rsidRPr="001F7CB9">
              <w:rPr>
                <w:noProof/>
                <w:webHidden/>
                <w:sz w:val="28"/>
                <w:szCs w:val="28"/>
              </w:rPr>
              <w:fldChar w:fldCharType="separate"/>
            </w:r>
            <w:r>
              <w:rPr>
                <w:noProof/>
                <w:webHidden/>
                <w:sz w:val="28"/>
                <w:szCs w:val="28"/>
                <w:rtl/>
              </w:rPr>
              <w:t>7</w:t>
            </w:r>
            <w:r w:rsidRPr="001F7CB9">
              <w:rPr>
                <w:noProof/>
                <w:webHidden/>
                <w:sz w:val="28"/>
                <w:szCs w:val="28"/>
              </w:rPr>
              <w:fldChar w:fldCharType="end"/>
            </w:r>
          </w:hyperlink>
        </w:p>
        <w:p w14:paraId="65598852" w14:textId="77777777" w:rsidR="001F7CB9" w:rsidRPr="001F7CB9" w:rsidRDefault="001F7CB9" w:rsidP="001F7CB9">
          <w:pPr>
            <w:pStyle w:val="TOC1"/>
            <w:tabs>
              <w:tab w:val="right" w:leader="dot" w:pos="8630"/>
            </w:tabs>
            <w:bidi/>
            <w:rPr>
              <w:rFonts w:eastAsiaTheme="minorEastAsia"/>
              <w:noProof/>
              <w:kern w:val="0"/>
              <w:sz w:val="28"/>
              <w:szCs w:val="28"/>
              <w14:ligatures w14:val="none"/>
            </w:rPr>
          </w:pPr>
          <w:hyperlink w:anchor="_Toc224679243" w:history="1">
            <w:r w:rsidRPr="001F7CB9">
              <w:rPr>
                <w:rStyle w:val="Hyperlink"/>
                <w:rFonts w:ascii="Traditional Arabic" w:hAnsi="Traditional Arabic" w:cs="Traditional Arabic"/>
                <w:noProof/>
                <w:sz w:val="28"/>
                <w:szCs w:val="28"/>
                <w:rtl/>
              </w:rPr>
              <w:t>تساؤلات الدراسة</w:t>
            </w:r>
            <w:r w:rsidRPr="001F7CB9">
              <w:rPr>
                <w:noProof/>
                <w:webHidden/>
                <w:sz w:val="28"/>
                <w:szCs w:val="28"/>
              </w:rPr>
              <w:tab/>
            </w:r>
            <w:r w:rsidRPr="001F7CB9">
              <w:rPr>
                <w:noProof/>
                <w:webHidden/>
                <w:sz w:val="28"/>
                <w:szCs w:val="28"/>
              </w:rPr>
              <w:fldChar w:fldCharType="begin"/>
            </w:r>
            <w:r w:rsidRPr="001F7CB9">
              <w:rPr>
                <w:noProof/>
                <w:webHidden/>
                <w:sz w:val="28"/>
                <w:szCs w:val="28"/>
              </w:rPr>
              <w:instrText xml:space="preserve"> PAGEREF _Toc224679243 \h </w:instrText>
            </w:r>
            <w:r w:rsidRPr="001F7CB9">
              <w:rPr>
                <w:noProof/>
                <w:webHidden/>
                <w:sz w:val="28"/>
                <w:szCs w:val="28"/>
              </w:rPr>
            </w:r>
            <w:r w:rsidRPr="001F7CB9">
              <w:rPr>
                <w:noProof/>
                <w:webHidden/>
                <w:sz w:val="28"/>
                <w:szCs w:val="28"/>
              </w:rPr>
              <w:fldChar w:fldCharType="separate"/>
            </w:r>
            <w:r>
              <w:rPr>
                <w:noProof/>
                <w:webHidden/>
                <w:sz w:val="28"/>
                <w:szCs w:val="28"/>
                <w:rtl/>
              </w:rPr>
              <w:t>8</w:t>
            </w:r>
            <w:r w:rsidRPr="001F7CB9">
              <w:rPr>
                <w:noProof/>
                <w:webHidden/>
                <w:sz w:val="28"/>
                <w:szCs w:val="28"/>
              </w:rPr>
              <w:fldChar w:fldCharType="end"/>
            </w:r>
          </w:hyperlink>
        </w:p>
        <w:p w14:paraId="36CF8BC7" w14:textId="77777777" w:rsidR="001F7CB9" w:rsidRPr="001F7CB9" w:rsidRDefault="001F7CB9" w:rsidP="001F7CB9">
          <w:pPr>
            <w:pStyle w:val="TOC1"/>
            <w:tabs>
              <w:tab w:val="right" w:leader="dot" w:pos="8630"/>
            </w:tabs>
            <w:bidi/>
            <w:rPr>
              <w:rFonts w:eastAsiaTheme="minorEastAsia"/>
              <w:noProof/>
              <w:kern w:val="0"/>
              <w:sz w:val="28"/>
              <w:szCs w:val="28"/>
              <w14:ligatures w14:val="none"/>
            </w:rPr>
          </w:pPr>
          <w:hyperlink w:anchor="_Toc224679244" w:history="1">
            <w:r w:rsidRPr="001F7CB9">
              <w:rPr>
                <w:rStyle w:val="Hyperlink"/>
                <w:rFonts w:ascii="Traditional Arabic" w:hAnsi="Traditional Arabic" w:cs="Traditional Arabic"/>
                <w:noProof/>
                <w:sz w:val="28"/>
                <w:szCs w:val="28"/>
                <w:rtl/>
              </w:rPr>
              <w:t>مفاهيم الدراسة</w:t>
            </w:r>
            <w:r w:rsidRPr="001F7CB9">
              <w:rPr>
                <w:noProof/>
                <w:webHidden/>
                <w:sz w:val="28"/>
                <w:szCs w:val="28"/>
              </w:rPr>
              <w:tab/>
            </w:r>
            <w:r w:rsidRPr="001F7CB9">
              <w:rPr>
                <w:noProof/>
                <w:webHidden/>
                <w:sz w:val="28"/>
                <w:szCs w:val="28"/>
              </w:rPr>
              <w:fldChar w:fldCharType="begin"/>
            </w:r>
            <w:r w:rsidRPr="001F7CB9">
              <w:rPr>
                <w:noProof/>
                <w:webHidden/>
                <w:sz w:val="28"/>
                <w:szCs w:val="28"/>
              </w:rPr>
              <w:instrText xml:space="preserve"> PAGEREF _Toc224679244 \h </w:instrText>
            </w:r>
            <w:r w:rsidRPr="001F7CB9">
              <w:rPr>
                <w:noProof/>
                <w:webHidden/>
                <w:sz w:val="28"/>
                <w:szCs w:val="28"/>
              </w:rPr>
            </w:r>
            <w:r w:rsidRPr="001F7CB9">
              <w:rPr>
                <w:noProof/>
                <w:webHidden/>
                <w:sz w:val="28"/>
                <w:szCs w:val="28"/>
              </w:rPr>
              <w:fldChar w:fldCharType="separate"/>
            </w:r>
            <w:r>
              <w:rPr>
                <w:noProof/>
                <w:webHidden/>
                <w:sz w:val="28"/>
                <w:szCs w:val="28"/>
                <w:rtl/>
              </w:rPr>
              <w:t>9</w:t>
            </w:r>
            <w:r w:rsidRPr="001F7CB9">
              <w:rPr>
                <w:noProof/>
                <w:webHidden/>
                <w:sz w:val="28"/>
                <w:szCs w:val="28"/>
              </w:rPr>
              <w:fldChar w:fldCharType="end"/>
            </w:r>
          </w:hyperlink>
        </w:p>
        <w:p w14:paraId="533230E7" w14:textId="77777777" w:rsidR="001F7CB9" w:rsidRPr="001F7CB9" w:rsidRDefault="001F7CB9" w:rsidP="001F7CB9">
          <w:pPr>
            <w:pStyle w:val="TOC1"/>
            <w:tabs>
              <w:tab w:val="right" w:leader="dot" w:pos="8630"/>
            </w:tabs>
            <w:bidi/>
            <w:rPr>
              <w:rFonts w:eastAsiaTheme="minorEastAsia"/>
              <w:noProof/>
              <w:kern w:val="0"/>
              <w:sz w:val="28"/>
              <w:szCs w:val="28"/>
              <w14:ligatures w14:val="none"/>
            </w:rPr>
          </w:pPr>
          <w:hyperlink w:anchor="_Toc224679245" w:history="1">
            <w:r w:rsidRPr="001F7CB9">
              <w:rPr>
                <w:rStyle w:val="Hyperlink"/>
                <w:rFonts w:ascii="Traditional Arabic" w:hAnsi="Traditional Arabic" w:cs="Traditional Arabic"/>
                <w:noProof/>
                <w:sz w:val="28"/>
                <w:szCs w:val="28"/>
                <w:rtl/>
              </w:rPr>
              <w:t>الإطار المعرفي للدراسة</w:t>
            </w:r>
            <w:r w:rsidRPr="001F7CB9">
              <w:rPr>
                <w:noProof/>
                <w:webHidden/>
                <w:sz w:val="28"/>
                <w:szCs w:val="28"/>
              </w:rPr>
              <w:tab/>
            </w:r>
            <w:r w:rsidRPr="001F7CB9">
              <w:rPr>
                <w:noProof/>
                <w:webHidden/>
                <w:sz w:val="28"/>
                <w:szCs w:val="28"/>
              </w:rPr>
              <w:fldChar w:fldCharType="begin"/>
            </w:r>
            <w:r w:rsidRPr="001F7CB9">
              <w:rPr>
                <w:noProof/>
                <w:webHidden/>
                <w:sz w:val="28"/>
                <w:szCs w:val="28"/>
              </w:rPr>
              <w:instrText xml:space="preserve"> PAGEREF _Toc224679245 \h </w:instrText>
            </w:r>
            <w:r w:rsidRPr="001F7CB9">
              <w:rPr>
                <w:noProof/>
                <w:webHidden/>
                <w:sz w:val="28"/>
                <w:szCs w:val="28"/>
              </w:rPr>
            </w:r>
            <w:r w:rsidRPr="001F7CB9">
              <w:rPr>
                <w:noProof/>
                <w:webHidden/>
                <w:sz w:val="28"/>
                <w:szCs w:val="28"/>
              </w:rPr>
              <w:fldChar w:fldCharType="separate"/>
            </w:r>
            <w:r>
              <w:rPr>
                <w:noProof/>
                <w:webHidden/>
                <w:sz w:val="28"/>
                <w:szCs w:val="28"/>
                <w:rtl/>
              </w:rPr>
              <w:t>9</w:t>
            </w:r>
            <w:r w:rsidRPr="001F7CB9">
              <w:rPr>
                <w:noProof/>
                <w:webHidden/>
                <w:sz w:val="28"/>
                <w:szCs w:val="28"/>
              </w:rPr>
              <w:fldChar w:fldCharType="end"/>
            </w:r>
          </w:hyperlink>
        </w:p>
        <w:p w14:paraId="478ADF11" w14:textId="77777777" w:rsidR="001F7CB9" w:rsidRPr="001F7CB9" w:rsidRDefault="001F7CB9" w:rsidP="001F7CB9">
          <w:pPr>
            <w:pStyle w:val="TOC1"/>
            <w:tabs>
              <w:tab w:val="right" w:leader="dot" w:pos="8630"/>
            </w:tabs>
            <w:bidi/>
            <w:rPr>
              <w:rFonts w:eastAsiaTheme="minorEastAsia"/>
              <w:noProof/>
              <w:kern w:val="0"/>
              <w:sz w:val="28"/>
              <w:szCs w:val="28"/>
              <w14:ligatures w14:val="none"/>
            </w:rPr>
          </w:pPr>
          <w:hyperlink w:anchor="_Toc224679246" w:history="1">
            <w:r w:rsidRPr="001F7CB9">
              <w:rPr>
                <w:rStyle w:val="Hyperlink"/>
                <w:rFonts w:ascii="Traditional Arabic" w:hAnsi="Traditional Arabic" w:cs="Traditional Arabic"/>
                <w:noProof/>
                <w:sz w:val="28"/>
                <w:szCs w:val="28"/>
                <w:rtl/>
              </w:rPr>
              <w:t>الإطار النظري والمنهجي للدراسة</w:t>
            </w:r>
            <w:r w:rsidRPr="001F7CB9">
              <w:rPr>
                <w:noProof/>
                <w:webHidden/>
                <w:sz w:val="28"/>
                <w:szCs w:val="28"/>
              </w:rPr>
              <w:tab/>
            </w:r>
            <w:r w:rsidRPr="001F7CB9">
              <w:rPr>
                <w:noProof/>
                <w:webHidden/>
                <w:sz w:val="28"/>
                <w:szCs w:val="28"/>
              </w:rPr>
              <w:fldChar w:fldCharType="begin"/>
            </w:r>
            <w:r w:rsidRPr="001F7CB9">
              <w:rPr>
                <w:noProof/>
                <w:webHidden/>
                <w:sz w:val="28"/>
                <w:szCs w:val="28"/>
              </w:rPr>
              <w:instrText xml:space="preserve"> PAGEREF _Toc224679246 \h </w:instrText>
            </w:r>
            <w:r w:rsidRPr="001F7CB9">
              <w:rPr>
                <w:noProof/>
                <w:webHidden/>
                <w:sz w:val="28"/>
                <w:szCs w:val="28"/>
              </w:rPr>
            </w:r>
            <w:r w:rsidRPr="001F7CB9">
              <w:rPr>
                <w:noProof/>
                <w:webHidden/>
                <w:sz w:val="28"/>
                <w:szCs w:val="28"/>
              </w:rPr>
              <w:fldChar w:fldCharType="separate"/>
            </w:r>
            <w:r>
              <w:rPr>
                <w:noProof/>
                <w:webHidden/>
                <w:sz w:val="28"/>
                <w:szCs w:val="28"/>
                <w:rtl/>
              </w:rPr>
              <w:t>11</w:t>
            </w:r>
            <w:r w:rsidRPr="001F7CB9">
              <w:rPr>
                <w:noProof/>
                <w:webHidden/>
                <w:sz w:val="28"/>
                <w:szCs w:val="28"/>
              </w:rPr>
              <w:fldChar w:fldCharType="end"/>
            </w:r>
          </w:hyperlink>
        </w:p>
        <w:p w14:paraId="359C5E27" w14:textId="77777777" w:rsidR="001F7CB9" w:rsidRPr="001F7CB9" w:rsidRDefault="001F7CB9" w:rsidP="001F7CB9">
          <w:pPr>
            <w:pStyle w:val="TOC2"/>
            <w:tabs>
              <w:tab w:val="right" w:leader="dot" w:pos="8630"/>
            </w:tabs>
            <w:bidi/>
            <w:rPr>
              <w:rFonts w:eastAsiaTheme="minorEastAsia"/>
              <w:noProof/>
              <w:kern w:val="0"/>
              <w:sz w:val="28"/>
              <w:szCs w:val="28"/>
              <w14:ligatures w14:val="none"/>
            </w:rPr>
          </w:pPr>
          <w:hyperlink w:anchor="_Toc224679247" w:history="1">
            <w:r w:rsidRPr="001F7CB9">
              <w:rPr>
                <w:rStyle w:val="Hyperlink"/>
                <w:rFonts w:ascii="Traditional Arabic" w:hAnsi="Traditional Arabic" w:cs="Traditional Arabic"/>
                <w:noProof/>
                <w:sz w:val="28"/>
                <w:szCs w:val="28"/>
                <w:rtl/>
              </w:rPr>
              <w:t>أولاً: الإطار النظري</w:t>
            </w:r>
            <w:r w:rsidRPr="001F7CB9">
              <w:rPr>
                <w:noProof/>
                <w:webHidden/>
                <w:sz w:val="28"/>
                <w:szCs w:val="28"/>
              </w:rPr>
              <w:tab/>
            </w:r>
            <w:r w:rsidRPr="001F7CB9">
              <w:rPr>
                <w:noProof/>
                <w:webHidden/>
                <w:sz w:val="28"/>
                <w:szCs w:val="28"/>
              </w:rPr>
              <w:fldChar w:fldCharType="begin"/>
            </w:r>
            <w:r w:rsidRPr="001F7CB9">
              <w:rPr>
                <w:noProof/>
                <w:webHidden/>
                <w:sz w:val="28"/>
                <w:szCs w:val="28"/>
              </w:rPr>
              <w:instrText xml:space="preserve"> PAGEREF _Toc224679247 \h </w:instrText>
            </w:r>
            <w:r w:rsidRPr="001F7CB9">
              <w:rPr>
                <w:noProof/>
                <w:webHidden/>
                <w:sz w:val="28"/>
                <w:szCs w:val="28"/>
              </w:rPr>
            </w:r>
            <w:r w:rsidRPr="001F7CB9">
              <w:rPr>
                <w:noProof/>
                <w:webHidden/>
                <w:sz w:val="28"/>
                <w:szCs w:val="28"/>
              </w:rPr>
              <w:fldChar w:fldCharType="separate"/>
            </w:r>
            <w:r>
              <w:rPr>
                <w:noProof/>
                <w:webHidden/>
                <w:sz w:val="28"/>
                <w:szCs w:val="28"/>
                <w:rtl/>
              </w:rPr>
              <w:t>11</w:t>
            </w:r>
            <w:r w:rsidRPr="001F7CB9">
              <w:rPr>
                <w:noProof/>
                <w:webHidden/>
                <w:sz w:val="28"/>
                <w:szCs w:val="28"/>
              </w:rPr>
              <w:fldChar w:fldCharType="end"/>
            </w:r>
          </w:hyperlink>
        </w:p>
        <w:p w14:paraId="4AD4C2E0" w14:textId="77777777" w:rsidR="001F7CB9" w:rsidRPr="001F7CB9" w:rsidRDefault="001F7CB9" w:rsidP="001F7CB9">
          <w:pPr>
            <w:pStyle w:val="TOC2"/>
            <w:tabs>
              <w:tab w:val="right" w:leader="dot" w:pos="8630"/>
            </w:tabs>
            <w:bidi/>
            <w:rPr>
              <w:rFonts w:eastAsiaTheme="minorEastAsia"/>
              <w:noProof/>
              <w:kern w:val="0"/>
              <w:sz w:val="28"/>
              <w:szCs w:val="28"/>
              <w14:ligatures w14:val="none"/>
            </w:rPr>
          </w:pPr>
          <w:hyperlink w:anchor="_Toc224679248" w:history="1">
            <w:r w:rsidRPr="001F7CB9">
              <w:rPr>
                <w:rStyle w:val="Hyperlink"/>
                <w:rFonts w:ascii="Traditional Arabic" w:hAnsi="Traditional Arabic" w:cs="Traditional Arabic"/>
                <w:noProof/>
                <w:sz w:val="28"/>
                <w:szCs w:val="28"/>
                <w:rtl/>
              </w:rPr>
              <w:t>ثانياً: الإطار المنهجي للدراسة</w:t>
            </w:r>
            <w:r w:rsidRPr="001F7CB9">
              <w:rPr>
                <w:noProof/>
                <w:webHidden/>
                <w:sz w:val="28"/>
                <w:szCs w:val="28"/>
              </w:rPr>
              <w:tab/>
            </w:r>
            <w:r w:rsidRPr="001F7CB9">
              <w:rPr>
                <w:noProof/>
                <w:webHidden/>
                <w:sz w:val="28"/>
                <w:szCs w:val="28"/>
              </w:rPr>
              <w:fldChar w:fldCharType="begin"/>
            </w:r>
            <w:r w:rsidRPr="001F7CB9">
              <w:rPr>
                <w:noProof/>
                <w:webHidden/>
                <w:sz w:val="28"/>
                <w:szCs w:val="28"/>
              </w:rPr>
              <w:instrText xml:space="preserve"> PAGEREF _Toc224679248 \h </w:instrText>
            </w:r>
            <w:r w:rsidRPr="001F7CB9">
              <w:rPr>
                <w:noProof/>
                <w:webHidden/>
                <w:sz w:val="28"/>
                <w:szCs w:val="28"/>
              </w:rPr>
            </w:r>
            <w:r w:rsidRPr="001F7CB9">
              <w:rPr>
                <w:noProof/>
                <w:webHidden/>
                <w:sz w:val="28"/>
                <w:szCs w:val="28"/>
              </w:rPr>
              <w:fldChar w:fldCharType="separate"/>
            </w:r>
            <w:r>
              <w:rPr>
                <w:noProof/>
                <w:webHidden/>
                <w:sz w:val="28"/>
                <w:szCs w:val="28"/>
                <w:rtl/>
              </w:rPr>
              <w:t>17</w:t>
            </w:r>
            <w:r w:rsidRPr="001F7CB9">
              <w:rPr>
                <w:noProof/>
                <w:webHidden/>
                <w:sz w:val="28"/>
                <w:szCs w:val="28"/>
              </w:rPr>
              <w:fldChar w:fldCharType="end"/>
            </w:r>
          </w:hyperlink>
        </w:p>
        <w:p w14:paraId="5F44FADE" w14:textId="77777777" w:rsidR="001F7CB9" w:rsidRPr="001F7CB9" w:rsidRDefault="001F7CB9" w:rsidP="001F7CB9">
          <w:pPr>
            <w:pStyle w:val="TOC1"/>
            <w:tabs>
              <w:tab w:val="right" w:leader="dot" w:pos="8630"/>
            </w:tabs>
            <w:bidi/>
            <w:rPr>
              <w:rFonts w:eastAsiaTheme="minorEastAsia"/>
              <w:noProof/>
              <w:kern w:val="0"/>
              <w:sz w:val="28"/>
              <w:szCs w:val="28"/>
              <w14:ligatures w14:val="none"/>
            </w:rPr>
          </w:pPr>
          <w:hyperlink w:anchor="_Toc224679249" w:history="1">
            <w:r w:rsidRPr="001F7CB9">
              <w:rPr>
                <w:rStyle w:val="Hyperlink"/>
                <w:rFonts w:ascii="Traditional Arabic" w:hAnsi="Traditional Arabic" w:cs="Traditional Arabic"/>
                <w:noProof/>
                <w:sz w:val="28"/>
                <w:szCs w:val="28"/>
                <w:rtl/>
              </w:rPr>
              <w:t>مجالات الدراسة</w:t>
            </w:r>
            <w:r w:rsidRPr="001F7CB9">
              <w:rPr>
                <w:noProof/>
                <w:webHidden/>
                <w:sz w:val="28"/>
                <w:szCs w:val="28"/>
              </w:rPr>
              <w:tab/>
            </w:r>
            <w:r w:rsidRPr="001F7CB9">
              <w:rPr>
                <w:noProof/>
                <w:webHidden/>
                <w:sz w:val="28"/>
                <w:szCs w:val="28"/>
              </w:rPr>
              <w:fldChar w:fldCharType="begin"/>
            </w:r>
            <w:r w:rsidRPr="001F7CB9">
              <w:rPr>
                <w:noProof/>
                <w:webHidden/>
                <w:sz w:val="28"/>
                <w:szCs w:val="28"/>
              </w:rPr>
              <w:instrText xml:space="preserve"> PAGEREF _Toc224679249 \h </w:instrText>
            </w:r>
            <w:r w:rsidRPr="001F7CB9">
              <w:rPr>
                <w:noProof/>
                <w:webHidden/>
                <w:sz w:val="28"/>
                <w:szCs w:val="28"/>
              </w:rPr>
            </w:r>
            <w:r w:rsidRPr="001F7CB9">
              <w:rPr>
                <w:noProof/>
                <w:webHidden/>
                <w:sz w:val="28"/>
                <w:szCs w:val="28"/>
              </w:rPr>
              <w:fldChar w:fldCharType="separate"/>
            </w:r>
            <w:r>
              <w:rPr>
                <w:noProof/>
                <w:webHidden/>
                <w:sz w:val="28"/>
                <w:szCs w:val="28"/>
                <w:rtl/>
              </w:rPr>
              <w:t>18</w:t>
            </w:r>
            <w:r w:rsidRPr="001F7CB9">
              <w:rPr>
                <w:noProof/>
                <w:webHidden/>
                <w:sz w:val="28"/>
                <w:szCs w:val="28"/>
              </w:rPr>
              <w:fldChar w:fldCharType="end"/>
            </w:r>
          </w:hyperlink>
        </w:p>
        <w:p w14:paraId="7458FB46" w14:textId="77777777" w:rsidR="001F7CB9" w:rsidRPr="001F7CB9" w:rsidRDefault="001F7CB9" w:rsidP="001F7CB9">
          <w:pPr>
            <w:pStyle w:val="TOC1"/>
            <w:tabs>
              <w:tab w:val="right" w:leader="dot" w:pos="8630"/>
            </w:tabs>
            <w:bidi/>
            <w:rPr>
              <w:rFonts w:eastAsiaTheme="minorEastAsia"/>
              <w:noProof/>
              <w:kern w:val="0"/>
              <w:sz w:val="28"/>
              <w:szCs w:val="28"/>
              <w14:ligatures w14:val="none"/>
            </w:rPr>
          </w:pPr>
          <w:hyperlink w:anchor="_Toc224679250" w:history="1">
            <w:r w:rsidRPr="001F7CB9">
              <w:rPr>
                <w:rStyle w:val="Hyperlink"/>
                <w:rFonts w:ascii="Traditional Arabic" w:hAnsi="Traditional Arabic" w:cs="Traditional Arabic"/>
                <w:noProof/>
                <w:sz w:val="28"/>
                <w:szCs w:val="28"/>
                <w:rtl/>
              </w:rPr>
              <w:t>المقاييس والاختبارات الإحصائية المقترح استخدامها</w:t>
            </w:r>
            <w:r w:rsidRPr="001F7CB9">
              <w:rPr>
                <w:noProof/>
                <w:webHidden/>
                <w:sz w:val="28"/>
                <w:szCs w:val="28"/>
              </w:rPr>
              <w:tab/>
            </w:r>
            <w:r w:rsidRPr="001F7CB9">
              <w:rPr>
                <w:noProof/>
                <w:webHidden/>
                <w:sz w:val="28"/>
                <w:szCs w:val="28"/>
              </w:rPr>
              <w:fldChar w:fldCharType="begin"/>
            </w:r>
            <w:r w:rsidRPr="001F7CB9">
              <w:rPr>
                <w:noProof/>
                <w:webHidden/>
                <w:sz w:val="28"/>
                <w:szCs w:val="28"/>
              </w:rPr>
              <w:instrText xml:space="preserve"> PAGEREF _Toc224679250 \h </w:instrText>
            </w:r>
            <w:r w:rsidRPr="001F7CB9">
              <w:rPr>
                <w:noProof/>
                <w:webHidden/>
                <w:sz w:val="28"/>
                <w:szCs w:val="28"/>
              </w:rPr>
            </w:r>
            <w:r w:rsidRPr="001F7CB9">
              <w:rPr>
                <w:noProof/>
                <w:webHidden/>
                <w:sz w:val="28"/>
                <w:szCs w:val="28"/>
              </w:rPr>
              <w:fldChar w:fldCharType="separate"/>
            </w:r>
            <w:r>
              <w:rPr>
                <w:noProof/>
                <w:webHidden/>
                <w:sz w:val="28"/>
                <w:szCs w:val="28"/>
                <w:rtl/>
              </w:rPr>
              <w:t>19</w:t>
            </w:r>
            <w:r w:rsidRPr="001F7CB9">
              <w:rPr>
                <w:noProof/>
                <w:webHidden/>
                <w:sz w:val="28"/>
                <w:szCs w:val="28"/>
              </w:rPr>
              <w:fldChar w:fldCharType="end"/>
            </w:r>
          </w:hyperlink>
        </w:p>
        <w:p w14:paraId="14ACAA76" w14:textId="77777777" w:rsidR="001F7CB9" w:rsidRPr="001F7CB9" w:rsidRDefault="001F7CB9" w:rsidP="001F7CB9">
          <w:pPr>
            <w:pStyle w:val="TOC1"/>
            <w:tabs>
              <w:tab w:val="right" w:leader="dot" w:pos="8630"/>
            </w:tabs>
            <w:bidi/>
            <w:rPr>
              <w:rFonts w:eastAsiaTheme="minorEastAsia"/>
              <w:noProof/>
              <w:kern w:val="0"/>
              <w:sz w:val="28"/>
              <w:szCs w:val="28"/>
              <w14:ligatures w14:val="none"/>
            </w:rPr>
          </w:pPr>
          <w:hyperlink w:anchor="_Toc224679251" w:history="1">
            <w:r w:rsidRPr="001F7CB9">
              <w:rPr>
                <w:rStyle w:val="Hyperlink"/>
                <w:rFonts w:ascii="Traditional Arabic" w:hAnsi="Traditional Arabic" w:cs="Traditional Arabic"/>
                <w:noProof/>
                <w:sz w:val="28"/>
                <w:szCs w:val="28"/>
                <w:rtl/>
              </w:rPr>
              <w:t>قائمة المراجع</w:t>
            </w:r>
            <w:r w:rsidRPr="001F7CB9">
              <w:rPr>
                <w:noProof/>
                <w:webHidden/>
                <w:sz w:val="28"/>
                <w:szCs w:val="28"/>
              </w:rPr>
              <w:tab/>
            </w:r>
            <w:r w:rsidRPr="001F7CB9">
              <w:rPr>
                <w:noProof/>
                <w:webHidden/>
                <w:sz w:val="28"/>
                <w:szCs w:val="28"/>
              </w:rPr>
              <w:fldChar w:fldCharType="begin"/>
            </w:r>
            <w:r w:rsidRPr="001F7CB9">
              <w:rPr>
                <w:noProof/>
                <w:webHidden/>
                <w:sz w:val="28"/>
                <w:szCs w:val="28"/>
              </w:rPr>
              <w:instrText xml:space="preserve"> PAGEREF _Toc224679251 \h </w:instrText>
            </w:r>
            <w:r w:rsidRPr="001F7CB9">
              <w:rPr>
                <w:noProof/>
                <w:webHidden/>
                <w:sz w:val="28"/>
                <w:szCs w:val="28"/>
              </w:rPr>
            </w:r>
            <w:r w:rsidRPr="001F7CB9">
              <w:rPr>
                <w:noProof/>
                <w:webHidden/>
                <w:sz w:val="28"/>
                <w:szCs w:val="28"/>
              </w:rPr>
              <w:fldChar w:fldCharType="separate"/>
            </w:r>
            <w:r>
              <w:rPr>
                <w:noProof/>
                <w:webHidden/>
                <w:sz w:val="28"/>
                <w:szCs w:val="28"/>
                <w:rtl/>
              </w:rPr>
              <w:t>20</w:t>
            </w:r>
            <w:r w:rsidRPr="001F7CB9">
              <w:rPr>
                <w:noProof/>
                <w:webHidden/>
                <w:sz w:val="28"/>
                <w:szCs w:val="28"/>
              </w:rPr>
              <w:fldChar w:fldCharType="end"/>
            </w:r>
          </w:hyperlink>
        </w:p>
        <w:p w14:paraId="3F143846" w14:textId="77777777" w:rsidR="00852DF0" w:rsidRPr="0097007D" w:rsidRDefault="00852DF0" w:rsidP="0097007D">
          <w:pPr>
            <w:bidi/>
            <w:spacing w:line="360" w:lineRule="auto"/>
            <w:jc w:val="both"/>
            <w:rPr>
              <w:rFonts w:ascii="Traditional Arabic" w:hAnsi="Traditional Arabic" w:cs="Traditional Arabic"/>
            </w:rPr>
          </w:pPr>
          <w:r w:rsidRPr="0097007D">
            <w:rPr>
              <w:rFonts w:ascii="Traditional Arabic" w:hAnsi="Traditional Arabic" w:cs="Traditional Arabic"/>
              <w:b/>
              <w:bCs/>
              <w:noProof/>
              <w:sz w:val="24"/>
              <w:szCs w:val="24"/>
            </w:rPr>
            <w:fldChar w:fldCharType="end"/>
          </w:r>
        </w:p>
      </w:sdtContent>
    </w:sdt>
    <w:p w14:paraId="05BFB33E" w14:textId="77777777" w:rsidR="00912E6C" w:rsidRPr="0097007D" w:rsidRDefault="00912E6C" w:rsidP="0097007D">
      <w:pPr>
        <w:bidi/>
        <w:spacing w:line="360" w:lineRule="auto"/>
        <w:jc w:val="both"/>
        <w:rPr>
          <w:rFonts w:ascii="Traditional Arabic" w:hAnsi="Traditional Arabic" w:cs="Traditional Arabic"/>
          <w:b/>
          <w:bCs/>
          <w:sz w:val="28"/>
          <w:szCs w:val="28"/>
          <w:rtl/>
        </w:rPr>
      </w:pPr>
    </w:p>
    <w:p w14:paraId="264C14E3" w14:textId="77777777" w:rsidR="00912E6C" w:rsidRPr="0097007D" w:rsidRDefault="00912E6C" w:rsidP="0097007D">
      <w:pPr>
        <w:bidi/>
        <w:spacing w:line="360" w:lineRule="auto"/>
        <w:jc w:val="both"/>
        <w:rPr>
          <w:rFonts w:ascii="Traditional Arabic" w:hAnsi="Traditional Arabic" w:cs="Traditional Arabic"/>
          <w:b/>
          <w:bCs/>
          <w:sz w:val="28"/>
          <w:szCs w:val="28"/>
          <w:rtl/>
        </w:rPr>
      </w:pPr>
    </w:p>
    <w:p w14:paraId="4FCA0741" w14:textId="77777777" w:rsidR="00912E6C" w:rsidRPr="0097007D" w:rsidRDefault="00912E6C" w:rsidP="0097007D">
      <w:pPr>
        <w:bidi/>
        <w:spacing w:line="360" w:lineRule="auto"/>
        <w:jc w:val="both"/>
        <w:rPr>
          <w:rFonts w:ascii="Traditional Arabic" w:hAnsi="Traditional Arabic" w:cs="Traditional Arabic"/>
          <w:b/>
          <w:bCs/>
          <w:sz w:val="28"/>
          <w:szCs w:val="28"/>
          <w:rtl/>
        </w:rPr>
      </w:pPr>
    </w:p>
    <w:p w14:paraId="14852AB3" w14:textId="77777777" w:rsidR="00912E6C" w:rsidRPr="0097007D" w:rsidRDefault="00912E6C" w:rsidP="0097007D">
      <w:pPr>
        <w:pStyle w:val="Heading1"/>
        <w:bidi/>
        <w:spacing w:line="360" w:lineRule="auto"/>
        <w:jc w:val="both"/>
        <w:rPr>
          <w:rFonts w:ascii="Traditional Arabic" w:hAnsi="Traditional Arabic" w:cs="Traditional Arabic"/>
          <w:sz w:val="36"/>
          <w:szCs w:val="36"/>
          <w:lang w:bidi="ar-EG"/>
        </w:rPr>
      </w:pPr>
      <w:bookmarkStart w:id="0" w:name="_Toc224679238"/>
      <w:r w:rsidRPr="0097007D">
        <w:rPr>
          <w:rFonts w:ascii="Traditional Arabic" w:hAnsi="Traditional Arabic" w:cs="Traditional Arabic"/>
          <w:sz w:val="36"/>
          <w:szCs w:val="36"/>
          <w:rtl/>
        </w:rPr>
        <w:t>ملخص الدراسة</w:t>
      </w:r>
      <w:bookmarkEnd w:id="0"/>
    </w:p>
    <w:p w14:paraId="53C3BF96" w14:textId="77777777" w:rsidR="00912E6C" w:rsidRPr="0097007D" w:rsidRDefault="00912E6C"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 xml:space="preserve">تسعى هذه الدراسة إلى تحليل نماذج العمل للشركات الإبداعية في المملكة العربية السعودية بعد إطلاق رؤية 2030، التي جعلت من الاقتصاد الإبداعي ركيزة أساسية في استراتيجيتها الوطنية للتنويع الاقتصادي وتعزيز الهوية الثقافية (رؤية المملكة العربية السعودية 2030، 2024). فقد شهدت المملكة خلال السنوات الأخيرة تحولاً نوعياً في بيئة الأعمال الإبداعية، تمثل في إنشاء وزارة الثقافة وهيئاتها المتخصصة، وإطلاق صندوق التنمية الثقافي، وتطوير البنية التحتية الداعمة للإبداع والابتكار (وزارة الثقافة السعودية، 2020). </w:t>
      </w:r>
    </w:p>
    <w:p w14:paraId="1799BDED" w14:textId="77777777" w:rsidR="00912E6C" w:rsidRPr="0097007D" w:rsidRDefault="00912E6C"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لكن هذا التحول الهيكلي يطرح إشكالية رئيسية تتعلق بمدى قدرة الشركات الإبداعية على تطوير نماذج عمل مستدامة تجمع بين الابتكار في خلق القيمة الثقافية والكفاءة في تحقيق العوائد الاقتصادية. وتهدف الدراسة إلى تشخيص واقع نماذج العمل في عينة من الشركات الإبداعية السعودية العاملة في قطاعات الأفلام والأزياء والألعاب الإلكترونية، وتحليلها في ضوء الأطر النظرية لنماذج الأعمال، وخاصة التمييز بين نموذج الكفاءة ونموذج الابتكار</w:t>
      </w:r>
      <w:r w:rsidRPr="0097007D">
        <w:rPr>
          <w:rFonts w:ascii="Traditional Arabic" w:hAnsi="Traditional Arabic" w:cs="Traditional Arabic"/>
          <w:sz w:val="28"/>
          <w:szCs w:val="28"/>
          <w:lang w:bidi="ar-EG"/>
        </w:rPr>
        <w:t xml:space="preserve"> (</w:t>
      </w:r>
      <w:r w:rsidRPr="0097007D">
        <w:rPr>
          <w:rFonts w:ascii="Traditional Arabic" w:hAnsi="Traditional Arabic" w:cs="Traditional Arabic"/>
          <w:sz w:val="28"/>
          <w:szCs w:val="28"/>
          <w:rtl/>
        </w:rPr>
        <w:t>سرجيوس، 2023؛</w:t>
      </w:r>
      <w:r w:rsidRPr="0097007D">
        <w:rPr>
          <w:rFonts w:ascii="Traditional Arabic" w:hAnsi="Traditional Arabic" w:cs="Traditional Arabic"/>
          <w:sz w:val="28"/>
          <w:szCs w:val="28"/>
          <w:lang w:bidi="ar-EG"/>
        </w:rPr>
        <w:t xml:space="preserve"> Hu, 2014</w:t>
      </w:r>
      <w:r w:rsidRPr="0097007D">
        <w:rPr>
          <w:rFonts w:ascii="Traditional Arabic" w:hAnsi="Traditional Arabic" w:cs="Traditional Arabic"/>
          <w:sz w:val="28"/>
          <w:szCs w:val="28"/>
          <w:rtl/>
        </w:rPr>
        <w:t>؛ زوت وعمِت، 2011</w:t>
      </w:r>
      <w:r w:rsidRPr="0097007D">
        <w:rPr>
          <w:rFonts w:ascii="Traditional Arabic" w:hAnsi="Traditional Arabic" w:cs="Traditional Arabic"/>
          <w:sz w:val="28"/>
          <w:szCs w:val="28"/>
          <w:lang w:bidi="ar-EG"/>
        </w:rPr>
        <w:t xml:space="preserve">). </w:t>
      </w:r>
      <w:r w:rsidRPr="0097007D">
        <w:rPr>
          <w:rFonts w:ascii="Traditional Arabic" w:hAnsi="Traditional Arabic" w:cs="Traditional Arabic"/>
          <w:sz w:val="28"/>
          <w:szCs w:val="28"/>
          <w:rtl/>
        </w:rPr>
        <w:t xml:space="preserve">كما تسعى إلى الكشف عن دور العوامل المؤسسية والتمويلية في تشكيل هذه النماذج، وتقديم إطار عملي يمكن للشركات الإبداعية الناشئة الاسترشاد به لتحقيق الاستدامة والنمو. </w:t>
      </w:r>
    </w:p>
    <w:p w14:paraId="0017FE2D" w14:textId="77777777" w:rsidR="00912E6C" w:rsidRDefault="00912E6C" w:rsidP="001F7CB9">
      <w:p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sz w:val="28"/>
          <w:szCs w:val="28"/>
          <w:rtl/>
        </w:rPr>
        <w:t>وتعتمد الدراسة على المنهج المختلط الذي يجمع بين التحليل الوصفي للتقارير والوثائق ودراسة الحالة المتعمقة لعينة من الشركات، مع استخدام المقابلات شبه المقننة والاستبيانات لجمع البيانات الأولية. ويتوقع أن تسهم النتائج في سد فجوة معرفية في الأدبيات العربية حول نماذج الأعمال الإبداعية، وتقديم توصيات عملية لصناع القرار ورجال الأعمال في القطاع الثقافي السعودي</w:t>
      </w:r>
      <w:r w:rsidRPr="0097007D">
        <w:rPr>
          <w:rFonts w:ascii="Traditional Arabic" w:hAnsi="Traditional Arabic" w:cs="Traditional Arabic"/>
          <w:sz w:val="28"/>
          <w:szCs w:val="28"/>
          <w:lang w:bidi="ar-EG"/>
        </w:rPr>
        <w:t>.</w:t>
      </w:r>
    </w:p>
    <w:p w14:paraId="337EA5FE" w14:textId="77777777" w:rsidR="001F7CB9" w:rsidRPr="001F7CB9" w:rsidRDefault="001F7CB9" w:rsidP="001F7CB9">
      <w:pPr>
        <w:pStyle w:val="Heading2"/>
        <w:jc w:val="both"/>
        <w:rPr>
          <w:sz w:val="28"/>
          <w:szCs w:val="28"/>
          <w:lang w:bidi="ar-EG"/>
        </w:rPr>
      </w:pPr>
      <w:bookmarkStart w:id="1" w:name="_Toc224679239"/>
      <w:r w:rsidRPr="001F7CB9">
        <w:rPr>
          <w:sz w:val="28"/>
          <w:szCs w:val="28"/>
          <w:lang w:bidi="ar-EG"/>
        </w:rPr>
        <w:t>Abstract</w:t>
      </w:r>
      <w:bookmarkEnd w:id="1"/>
    </w:p>
    <w:p w14:paraId="1CB2CA1C" w14:textId="77777777" w:rsidR="001F7CB9" w:rsidRPr="001F7CB9" w:rsidRDefault="001F7CB9" w:rsidP="001F7CB9">
      <w:pPr>
        <w:spacing w:line="360" w:lineRule="auto"/>
        <w:jc w:val="both"/>
        <w:rPr>
          <w:rFonts w:ascii="Traditional Arabic" w:hAnsi="Traditional Arabic" w:cs="Traditional Arabic"/>
          <w:sz w:val="28"/>
          <w:szCs w:val="28"/>
          <w:lang w:bidi="ar-EG"/>
        </w:rPr>
      </w:pPr>
      <w:r w:rsidRPr="001F7CB9">
        <w:rPr>
          <w:rFonts w:ascii="Traditional Arabic" w:hAnsi="Traditional Arabic" w:cs="Traditional Arabic"/>
          <w:sz w:val="28"/>
          <w:szCs w:val="28"/>
          <w:lang w:bidi="ar-EG"/>
        </w:rPr>
        <w:t>This research focuses on the business models of creative industries in Saudi Arabia post Vision 2030, the strategy which identifies the value of the creative economy to both the diversification of the economy and the preservation of the national cultural identity. It attempts to resolve the problem of establishing long-lasting models where the innovation of cultural values in the provision of goods and services is both sustained and economically justified. The research concentrates on the film, fashion and electronic games industries. It adopts a mixed-method approach using descriptive techniques, case study analyses, semi-structured interviews and self-administered questionnaires. It assesses the influence of both the structural and financial factors of the systems, the differentiation of the models of systems (efficiency versus innovation) (Sergius, 2023; Hu, 2014; Zott &amp; Amit, 2011), and identifies a constructive approach to solution(s) for emerging creative industries.</w:t>
      </w:r>
    </w:p>
    <w:p w14:paraId="12004434" w14:textId="77777777" w:rsidR="001F7CB9" w:rsidRPr="001F7CB9" w:rsidRDefault="001F7CB9" w:rsidP="001F7CB9">
      <w:pPr>
        <w:spacing w:line="360" w:lineRule="auto"/>
        <w:jc w:val="both"/>
        <w:rPr>
          <w:rFonts w:ascii="Traditional Arabic" w:hAnsi="Traditional Arabic" w:cs="Traditional Arabic"/>
          <w:sz w:val="28"/>
          <w:szCs w:val="28"/>
          <w:rtl/>
          <w:lang w:bidi="ar-EG"/>
        </w:rPr>
      </w:pPr>
      <w:r>
        <w:rPr>
          <w:rFonts w:ascii="Traditional Arabic" w:hAnsi="Traditional Arabic" w:cs="Traditional Arabic"/>
          <w:sz w:val="28"/>
          <w:szCs w:val="28"/>
          <w:lang w:bidi="ar-EG"/>
        </w:rPr>
        <w:t>The key objective is to a</w:t>
      </w:r>
      <w:r w:rsidRPr="001F7CB9">
        <w:rPr>
          <w:rFonts w:ascii="Traditional Arabic" w:hAnsi="Traditional Arabic" w:cs="Traditional Arabic"/>
          <w:sz w:val="28"/>
          <w:szCs w:val="28"/>
          <w:lang w:bidi="ar-EG"/>
        </w:rPr>
        <w:t>ssess and describe the business models of select creative enterprises in Saudi Arabia.</w:t>
      </w:r>
    </w:p>
    <w:p w14:paraId="2F4542ED" w14:textId="77777777" w:rsidR="001F7CB9" w:rsidRPr="001F7CB9" w:rsidRDefault="001F7CB9" w:rsidP="001F7CB9">
      <w:pPr>
        <w:spacing w:line="360" w:lineRule="auto"/>
        <w:jc w:val="both"/>
        <w:rPr>
          <w:rFonts w:ascii="Traditional Arabic" w:hAnsi="Traditional Arabic" w:cs="Traditional Arabic"/>
          <w:sz w:val="28"/>
          <w:szCs w:val="28"/>
          <w:rtl/>
          <w:lang w:bidi="ar-EG"/>
        </w:rPr>
      </w:pPr>
      <w:r w:rsidRPr="001F7CB9">
        <w:rPr>
          <w:rFonts w:ascii="Traditional Arabic" w:hAnsi="Traditional Arabic" w:cs="Traditional Arabic"/>
          <w:sz w:val="28"/>
          <w:szCs w:val="28"/>
          <w:lang w:bidi="ar-EG"/>
        </w:rPr>
        <w:t>Examine and critique these models within theoretical constructs, such as the efficiency and innovation models.</w:t>
      </w:r>
    </w:p>
    <w:p w14:paraId="0F25553E" w14:textId="77777777" w:rsidR="001F7CB9" w:rsidRPr="001F7CB9" w:rsidRDefault="001F7CB9" w:rsidP="001F7CB9">
      <w:pPr>
        <w:spacing w:line="360" w:lineRule="auto"/>
        <w:jc w:val="both"/>
        <w:rPr>
          <w:rFonts w:ascii="Traditional Arabic" w:hAnsi="Traditional Arabic" w:cs="Traditional Arabic"/>
          <w:sz w:val="28"/>
          <w:szCs w:val="28"/>
          <w:rtl/>
          <w:lang w:bidi="ar-EG"/>
        </w:rPr>
      </w:pPr>
      <w:r w:rsidRPr="001F7CB9">
        <w:rPr>
          <w:rFonts w:ascii="Traditional Arabic" w:hAnsi="Traditional Arabic" w:cs="Traditional Arabic"/>
          <w:sz w:val="28"/>
          <w:szCs w:val="28"/>
          <w:lang w:bidi="ar-EG"/>
        </w:rPr>
        <w:t>Understand and explain the role of structural and financial components in the sustainability and growth of the systems.</w:t>
      </w:r>
    </w:p>
    <w:p w14:paraId="2643E884" w14:textId="77777777" w:rsidR="001F7CB9" w:rsidRPr="001F7CB9" w:rsidRDefault="001F7CB9" w:rsidP="001F7CB9">
      <w:pPr>
        <w:spacing w:line="360" w:lineRule="auto"/>
        <w:jc w:val="both"/>
        <w:rPr>
          <w:rFonts w:ascii="Traditional Arabic" w:hAnsi="Traditional Arabic" w:cs="Traditional Arabic"/>
          <w:sz w:val="28"/>
          <w:szCs w:val="28"/>
          <w:rtl/>
          <w:lang w:bidi="ar-EG"/>
        </w:rPr>
      </w:pPr>
      <w:r w:rsidRPr="001F7CB9">
        <w:rPr>
          <w:rFonts w:ascii="Traditional Arabic" w:hAnsi="Traditional Arabic" w:cs="Traditional Arabic"/>
          <w:sz w:val="28"/>
          <w:szCs w:val="28"/>
          <w:lang w:bidi="ar-EG"/>
        </w:rPr>
        <w:t>Using a mixed-methods approach, the research employs document review, detailed case study, semi-structured interviews, and surveys. The qualitative and quantitative aspects have been analyzed using NVivo and SPSS, respectively.</w:t>
      </w:r>
    </w:p>
    <w:p w14:paraId="163BE440" w14:textId="77777777" w:rsidR="001F7CB9" w:rsidRPr="001F7CB9" w:rsidRDefault="001F7CB9" w:rsidP="001F7CB9">
      <w:pPr>
        <w:spacing w:line="360" w:lineRule="auto"/>
        <w:jc w:val="both"/>
        <w:rPr>
          <w:rFonts w:ascii="Traditional Arabic" w:hAnsi="Traditional Arabic" w:cs="Traditional Arabic"/>
          <w:sz w:val="28"/>
          <w:szCs w:val="28"/>
          <w:lang w:bidi="ar-EG"/>
        </w:rPr>
      </w:pPr>
      <w:r w:rsidRPr="001F7CB9">
        <w:rPr>
          <w:rFonts w:ascii="Traditional Arabic" w:hAnsi="Traditional Arabic" w:cs="Traditional Arabic"/>
          <w:sz w:val="28"/>
          <w:szCs w:val="28"/>
          <w:lang w:bidi="ar-EG"/>
        </w:rPr>
        <w:t>The findings are anticipated to contribute to the body of knowledge that currently exists in the Arabic literature on creative business models and provide recommendations to the policymakers and entrepreneurs operating in the cultural sector of Saudi Arabia.</w:t>
      </w:r>
    </w:p>
    <w:p w14:paraId="12B02BFE" w14:textId="77777777" w:rsidR="00912E6C" w:rsidRPr="0097007D" w:rsidRDefault="00912E6C" w:rsidP="0097007D">
      <w:pPr>
        <w:pStyle w:val="Heading1"/>
        <w:bidi/>
        <w:spacing w:line="360" w:lineRule="auto"/>
        <w:jc w:val="both"/>
        <w:rPr>
          <w:rFonts w:ascii="Traditional Arabic" w:hAnsi="Traditional Arabic" w:cs="Traditional Arabic"/>
          <w:sz w:val="36"/>
          <w:szCs w:val="36"/>
          <w:lang w:bidi="ar-EG"/>
        </w:rPr>
      </w:pPr>
      <w:bookmarkStart w:id="2" w:name="_Toc224679240"/>
      <w:r w:rsidRPr="0097007D">
        <w:rPr>
          <w:rFonts w:ascii="Traditional Arabic" w:hAnsi="Traditional Arabic" w:cs="Traditional Arabic"/>
          <w:sz w:val="36"/>
          <w:szCs w:val="36"/>
          <w:rtl/>
        </w:rPr>
        <w:t>المقدمة</w:t>
      </w:r>
      <w:bookmarkEnd w:id="2"/>
    </w:p>
    <w:p w14:paraId="0B94605B" w14:textId="77777777" w:rsidR="00912E6C" w:rsidRPr="0097007D" w:rsidRDefault="00912E6C"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 xml:space="preserve">في سياق التحولات الاقتصادية والاجتماعية الكبرى التي تشهدها المملكة العربية السعودية، برزت رؤية 2030 كخارطة طريق استراتيجية تهدف إلى تنويع مصادر الدخل وبناء اقتصاد معرفي مزدهر لا يعتمد على النفط كمورد وحيد (رؤية المملكة العربية السعودية 2030، 2024). وفي قلب هذه الرؤية، تحتل تنمية القطاعات الثقافية والإبداعية مكانة محورية، حيث لم تعد الصناعات الإبداعية مجرد أدوات للترفيه أو التعبير الثقافي، بل تحولت إلى ركائز أساسية في بناء الإنسان والاقتصاد معاً (وزارة الثقافة السعودية، 2020). ويُعرف الاقتصاد الإبداعي بأنه ذلك النشاط الاقتصادي القائم على استثمار المعرفة والمواهب الإبداعية والفكرية لإنتاج سلع وخدمات ذات قيمة اقتصادية عالية، وهو ما تجسد في الاستراتيجية الوطنية للثقافة التي أطلقتها وزارة الثقافة بهدف تعزيز مكانة المملكة كمنصة عالمية للإبداع (القحطاني، 2025). </w:t>
      </w:r>
    </w:p>
    <w:p w14:paraId="5641358F" w14:textId="77777777" w:rsidR="00912E6C" w:rsidRPr="0097007D" w:rsidRDefault="00912E6C" w:rsidP="0097007D">
      <w:p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sz w:val="28"/>
          <w:szCs w:val="28"/>
          <w:rtl/>
        </w:rPr>
        <w:t>وتُمثل الشركات الإبداعية بمختلف تصنيفاتها، بدءاً من الإنتاج السينمائي والفني، مروراً بالأزياء والتصميم، وصولاً إلى صناعة الألعاب الإلكترونية والمحتوى الرقمي، عصب هذا التحول. وقد عملت رؤية 2030 على تهيئة بيئة حاضنة لهذه الشركات من خلال إنشاء هيئات متخصصة مثل هيئة المسرح والفنون الأدائية وهيئة الأفلام وهيئة الأزياء، إضافة إلى صندوق التنمية الثقافي الذي يهدف إلى دعم وتمويل المشاريع الثقافية والإبداعية (وزارة الثقافة السعودية، 2020). ولم يعد الهدف مقتصراً على خلق فرص عمل للشباب السعودي فحسب، بل تعداه إلى بناء قطاع إنتاجي متكامل يساهم في الناتج المحلي الإجمالي ويعزز من تنافسية المملكة على المستوى الدولي (الأنصاري، 2018). إلا أن هذا التحول الهيكلي يطرح تساؤلاً جوهرياً حول طبيعة نماذج العمل التي تتبناها هذه الشركات الإبداعية في ظل البيئة الجديدة. فنماذج العمل التقليدية، التي كانت سائدة قبل الرؤية، لم تعد قادرة على استيعاب حجم الطموحات أو مواكبة المتغيرات التكنولوجية والتنافسية العالمية. فهناك فجوة معرفية واضحة في الدراسات العربية حول كيفية تصميم وتنفيذ نماذج عمل مبتكرة في القطاع الإبداعي، خاصة تلك التي تجمع بين الاستدامة المالية والحفاظ على الهوية الثقافية، وبين توظيف التكنولوجيا وتنمية المواهب المحلية (القحطاني، 2025). لذلك، تأتي هذه الدراسة كمحاولة لتحليل نماذج العمل للشركات الإبداعية في السعودية ما بعد 2030، بالتركيز على آليات الابتكار والاستدامة التي تمكنها من تحقيق النجاح والمساهمة الفاعلة في الاقتصاد الوطني</w:t>
      </w:r>
      <w:r w:rsidRPr="0097007D">
        <w:rPr>
          <w:rFonts w:ascii="Traditional Arabic" w:hAnsi="Traditional Arabic" w:cs="Traditional Arabic"/>
          <w:sz w:val="28"/>
          <w:szCs w:val="28"/>
          <w:lang w:bidi="ar-EG"/>
        </w:rPr>
        <w:t>.</w:t>
      </w:r>
    </w:p>
    <w:p w14:paraId="1EB09920" w14:textId="77777777" w:rsidR="00912E6C" w:rsidRPr="0097007D" w:rsidRDefault="00912E6C" w:rsidP="0097007D">
      <w:pPr>
        <w:pStyle w:val="Heading1"/>
        <w:bidi/>
        <w:spacing w:line="360" w:lineRule="auto"/>
        <w:jc w:val="both"/>
        <w:rPr>
          <w:rFonts w:ascii="Traditional Arabic" w:hAnsi="Traditional Arabic" w:cs="Traditional Arabic"/>
          <w:sz w:val="36"/>
          <w:szCs w:val="36"/>
          <w:lang w:bidi="ar-EG"/>
        </w:rPr>
      </w:pPr>
      <w:bookmarkStart w:id="3" w:name="_Toc224679241"/>
      <w:r w:rsidRPr="0097007D">
        <w:rPr>
          <w:rFonts w:ascii="Traditional Arabic" w:hAnsi="Traditional Arabic" w:cs="Traditional Arabic"/>
          <w:sz w:val="36"/>
          <w:szCs w:val="36"/>
          <w:rtl/>
        </w:rPr>
        <w:t>الدراسات السابقة</w:t>
      </w:r>
      <w:bookmarkEnd w:id="3"/>
    </w:p>
    <w:p w14:paraId="77EF22DC" w14:textId="77777777" w:rsidR="00F35B49" w:rsidRPr="0097007D" w:rsidRDefault="00912E6C"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 xml:space="preserve">حظي موضوع الاقتصاد الإبداعي باهتمام متزايد في السنوات الأخيرة، خاصة في الدول المتقدمة التي أدركت أهميته كمحرك للنمو. وعلى المستوى العربي، بدأت تظهر دراسات جادة تسعى لتأصيل المفهوم وربطه بالسياقات المحلية. فعلى المستوى الدولي، يُعد إطار زوت وعمِت (2011) من أبرز المساهمات النظرية في حقل نماذج الأعمال، حيث عرّفاه بأنه "نظام من الأنشطة المترابطة التي تتجاوز حدود الشركة وتمكنها من خلق القيمة مع شركائها واغتنام حصة من تلك القيمة". </w:t>
      </w:r>
    </w:p>
    <w:p w14:paraId="2C1941A4" w14:textId="77777777" w:rsidR="00912E6C" w:rsidRPr="0097007D" w:rsidRDefault="00912E6C"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وقد ميز هذا الإطار بين أربعة أنواع من نماذج الابتكار: نموذج الكفاءة (الذي يركز على خفض التكاليف)، ونموذج التكامل (الذي يركز على خلق قيمة جديدة من خلال ربط الأنشطة)، ونموذج الالتصاق (الذي يركز على الاحتفاظ بالعملاء)، ونموذج الجدة (المرتبط بابتكار طرق جديدة تماماً للعمل). كما أن نموذج</w:t>
      </w:r>
      <w:r w:rsidRPr="0097007D">
        <w:rPr>
          <w:rFonts w:ascii="Traditional Arabic" w:hAnsi="Traditional Arabic" w:cs="Traditional Arabic"/>
          <w:sz w:val="28"/>
          <w:szCs w:val="28"/>
          <w:lang w:bidi="ar-EG"/>
        </w:rPr>
        <w:t xml:space="preserve"> Hu (2014) </w:t>
      </w:r>
      <w:r w:rsidRPr="0097007D">
        <w:rPr>
          <w:rFonts w:ascii="Traditional Arabic" w:hAnsi="Traditional Arabic" w:cs="Traditional Arabic"/>
          <w:sz w:val="28"/>
          <w:szCs w:val="28"/>
          <w:rtl/>
        </w:rPr>
        <w:t>الذي ركز على الجانب الكفائي</w:t>
      </w:r>
      <w:r w:rsidRPr="0097007D">
        <w:rPr>
          <w:rFonts w:ascii="Traditional Arabic" w:hAnsi="Traditional Arabic" w:cs="Traditional Arabic"/>
          <w:sz w:val="28"/>
          <w:szCs w:val="28"/>
          <w:lang w:bidi="ar-EG"/>
        </w:rPr>
        <w:t xml:space="preserve"> (Efficiency-centered business models) </w:t>
      </w:r>
      <w:r w:rsidRPr="0097007D">
        <w:rPr>
          <w:rFonts w:ascii="Traditional Arabic" w:hAnsi="Traditional Arabic" w:cs="Traditional Arabic"/>
          <w:sz w:val="28"/>
          <w:szCs w:val="28"/>
          <w:rtl/>
        </w:rPr>
        <w:t xml:space="preserve">يقدم رؤية تكميلية حول كيفية تحقيق الميزة التنافسية من خلال ترشيد النفقات وتحسين العمليات الداخلية. </w:t>
      </w:r>
    </w:p>
    <w:p w14:paraId="5FF803D2" w14:textId="77777777" w:rsidR="00912E6C" w:rsidRPr="0097007D" w:rsidRDefault="00912E6C"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 xml:space="preserve">وقد استفادت دراسة سرجيوس (2023) من هذه الأطر في تحليل الأداء التسويقي، وخلصت إلى أن الشركات التي تتبنى نموذجاً هجيناً يجمع بين الابتكار والكفاءة تحقق أداءً أفضل من تلك التي تتبنى نموذجاً واحداً فقط. أما على المستوى العربي والخليجي، فتعتبر دراسة الأنصاري (2018) من الدراسات المبكرة التي ربطت بين مفهوم الاقتصاد الإبداعي ورؤية المملكة 2030، حيث أشار إلى أن التحول نحو الاقتصاد الإبداعي لم يعد خياراً بل ضرورة حتمية لتحقيق التنويع الاقتصادي، وأن الشباب السعودي يمتلك طاقات إبداعية هائلة تحتاج إلى قنوات لإطلاقها. وقد أكدت الدراسة على أهمية تهيئة البيئة التشريعية والإدارية لدعم المشاريع الإبداعية الناشئة. كما أن دراسة القحطاني (2025) تمثل إسهاماً مهماً في هذا المجال، حيث قام بدراسة مرجعية شاملة حول دور الاقتصاد الإبداعي في تحقيق أهداف التنمية المستدامة، معتبراً التجربة السعودية نموذجاً يحتذى به في المنطقة. </w:t>
      </w:r>
    </w:p>
    <w:p w14:paraId="48B787EC" w14:textId="77777777" w:rsidR="00F35B49" w:rsidRPr="0097007D" w:rsidRDefault="00912E6C"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 xml:space="preserve">وأوضح القحطاني (2025) أن "الاستثمار في الإبداع لم يعد ترفاً فكرياً بل هو استثمار في مستقبل الأجيال ومحرك أساسي للتنمية المستدامة"، مشيراً إلى أن نجاح التجربة السعودية يكمن في قدرتها على تحويل التحديات الديموغرافية (كشبابية المجتمع) إلى فرص تنموية حقيقية. وتكمل تقارير وزارة الثقافة (2020) والجهات المتخصصة مثل شركة الجدوى للاستثمار (2021) الصورة من خلال تقديم بيانات وإحصائيات دقيقة حول حجم القطاع وفرص النمو فيه. </w:t>
      </w:r>
    </w:p>
    <w:p w14:paraId="43E65382" w14:textId="77777777" w:rsidR="00912E6C" w:rsidRPr="0097007D" w:rsidRDefault="00912E6C" w:rsidP="0097007D">
      <w:p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sz w:val="28"/>
          <w:szCs w:val="28"/>
          <w:rtl/>
        </w:rPr>
        <w:t>وقد أفاد تقرير شركة</w:t>
      </w:r>
      <w:r w:rsidRPr="0097007D">
        <w:rPr>
          <w:rFonts w:ascii="Traditional Arabic" w:hAnsi="Traditional Arabic" w:cs="Traditional Arabic"/>
          <w:sz w:val="28"/>
          <w:szCs w:val="28"/>
          <w:lang w:bidi="ar-EG"/>
        </w:rPr>
        <w:t xml:space="preserve"> Grant Thornton Saudi Arabia (2022) </w:t>
      </w:r>
      <w:r w:rsidRPr="0097007D">
        <w:rPr>
          <w:rFonts w:ascii="Traditional Arabic" w:hAnsi="Traditional Arabic" w:cs="Traditional Arabic"/>
          <w:sz w:val="28"/>
          <w:szCs w:val="28"/>
          <w:rtl/>
        </w:rPr>
        <w:t>بأن القطاع الإبداعي السعودي يشهد نمواً غير مسبوق، مع توقعات بخلق آلاف الوظائف الجديدة، لكنه أشار في الوقت نفسه إلى تحديات تتعلق بسلاسل الإمداد والتسويق العالمي. وتأسيساً على ما سبق، تأتي هذه الدراسة لتسد الفجوة المعرفية من خلال التركيز على المستوى الجزئي (الشركات)، وهو ما لم تتناوله الدراسات السابقة بعمق كافٍ</w:t>
      </w:r>
      <w:r w:rsidRPr="0097007D">
        <w:rPr>
          <w:rFonts w:ascii="Traditional Arabic" w:hAnsi="Traditional Arabic" w:cs="Traditional Arabic"/>
          <w:sz w:val="28"/>
          <w:szCs w:val="28"/>
          <w:lang w:bidi="ar-EG"/>
        </w:rPr>
        <w:t>.</w:t>
      </w:r>
    </w:p>
    <w:p w14:paraId="761E75D8" w14:textId="77777777" w:rsidR="00912E6C" w:rsidRPr="0097007D" w:rsidRDefault="00912E6C" w:rsidP="0097007D">
      <w:pPr>
        <w:pStyle w:val="Heading1"/>
        <w:bidi/>
        <w:spacing w:line="360" w:lineRule="auto"/>
        <w:jc w:val="both"/>
        <w:rPr>
          <w:rFonts w:ascii="Traditional Arabic" w:hAnsi="Traditional Arabic" w:cs="Traditional Arabic"/>
          <w:sz w:val="36"/>
          <w:szCs w:val="36"/>
          <w:lang w:bidi="ar-EG"/>
        </w:rPr>
      </w:pPr>
      <w:bookmarkStart w:id="4" w:name="_Toc224679242"/>
      <w:r w:rsidRPr="0097007D">
        <w:rPr>
          <w:rFonts w:ascii="Traditional Arabic" w:hAnsi="Traditional Arabic" w:cs="Traditional Arabic"/>
          <w:sz w:val="36"/>
          <w:szCs w:val="36"/>
          <w:rtl/>
        </w:rPr>
        <w:t>أهمية الدراسة</w:t>
      </w:r>
      <w:bookmarkEnd w:id="4"/>
    </w:p>
    <w:p w14:paraId="099BD496" w14:textId="77777777" w:rsidR="00912E6C" w:rsidRPr="0097007D" w:rsidRDefault="00912E6C"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تتحدد أهمية هذه الدراسة من خلال عنصرين رئيسيين: الأول نظري والثاني تطبيقي. أما على المستوى النظري، فإن هذه الدراسة تسعى إلى سد فجوة بحثية ملحوظة في المكتبة العربية، حيث أن الدراسات التي تناولت الاقتصاد الإبداعي في الخليج بشكل عام والسعودية بشكل خاص لا تزال في بداياتها، ومعظمها يركز على الجوانب الكلية (سياسات وإستراتيجيات) دون الغوص في الجوانب الجزئية المتعلقة بكيفية عمل الشركات نفسها (ميكانيزمات البقاء والنمو). كما أنها تساهم في اختبار وتطبيق نظريات نماذج الأعمال الغربية</w:t>
      </w:r>
      <w:r w:rsidRPr="0097007D">
        <w:rPr>
          <w:rFonts w:ascii="Traditional Arabic" w:hAnsi="Traditional Arabic" w:cs="Traditional Arabic"/>
          <w:sz w:val="28"/>
          <w:szCs w:val="28"/>
          <w:lang w:bidi="ar-EG"/>
        </w:rPr>
        <w:t xml:space="preserve"> (</w:t>
      </w:r>
      <w:r w:rsidRPr="0097007D">
        <w:rPr>
          <w:rFonts w:ascii="Traditional Arabic" w:hAnsi="Traditional Arabic" w:cs="Traditional Arabic"/>
          <w:sz w:val="28"/>
          <w:szCs w:val="28"/>
          <w:rtl/>
        </w:rPr>
        <w:t>كإطار زوت وعمِت، 2011؛ ونموذج</w:t>
      </w:r>
      <w:r w:rsidRPr="0097007D">
        <w:rPr>
          <w:rFonts w:ascii="Traditional Arabic" w:hAnsi="Traditional Arabic" w:cs="Traditional Arabic"/>
          <w:sz w:val="28"/>
          <w:szCs w:val="28"/>
          <w:lang w:bidi="ar-EG"/>
        </w:rPr>
        <w:t xml:space="preserve"> Hu </w:t>
      </w:r>
      <w:r w:rsidRPr="0097007D">
        <w:rPr>
          <w:rFonts w:ascii="Traditional Arabic" w:hAnsi="Traditional Arabic" w:cs="Traditional Arabic"/>
          <w:sz w:val="28"/>
          <w:szCs w:val="28"/>
          <w:rtl/>
        </w:rPr>
        <w:t>للكفاءة، 2014</w:t>
      </w:r>
      <w:r w:rsidRPr="0097007D">
        <w:rPr>
          <w:rFonts w:ascii="Traditional Arabic" w:hAnsi="Traditional Arabic" w:cs="Traditional Arabic"/>
          <w:sz w:val="28"/>
          <w:szCs w:val="28"/>
          <w:lang w:bidi="ar-EG"/>
        </w:rPr>
        <w:t xml:space="preserve">) </w:t>
      </w:r>
      <w:r w:rsidRPr="0097007D">
        <w:rPr>
          <w:rFonts w:ascii="Traditional Arabic" w:hAnsi="Traditional Arabic" w:cs="Traditional Arabic"/>
          <w:sz w:val="28"/>
          <w:szCs w:val="28"/>
          <w:rtl/>
        </w:rPr>
        <w:t xml:space="preserve">في سياق عربي إسلامي يمر بتحولات كبرى، مما يثري هذه النظريات ويسهم في تطويرها (الأنصاري، </w:t>
      </w:r>
      <w:r w:rsidR="00F35B49" w:rsidRPr="0097007D">
        <w:rPr>
          <w:rFonts w:ascii="Traditional Arabic" w:hAnsi="Traditional Arabic" w:cs="Traditional Arabic"/>
          <w:sz w:val="28"/>
          <w:szCs w:val="28"/>
          <w:rtl/>
        </w:rPr>
        <w:t>2018)</w:t>
      </w:r>
      <w:r w:rsidRPr="0097007D">
        <w:rPr>
          <w:rFonts w:ascii="Traditional Arabic" w:hAnsi="Traditional Arabic" w:cs="Traditional Arabic"/>
          <w:sz w:val="28"/>
          <w:szCs w:val="28"/>
          <w:rtl/>
        </w:rPr>
        <w:t xml:space="preserve">. </w:t>
      </w:r>
    </w:p>
    <w:p w14:paraId="3A372E5F" w14:textId="77777777" w:rsidR="00912E6C" w:rsidRPr="0097007D" w:rsidRDefault="00912E6C"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 xml:space="preserve">أما على المستوى التطبيقي، فتكتسي هذه الدراسة أهمية بالغة لصناع القرار في وزارة الثقافة وهيئاتها المختلفة وصندوق التنمية الثقافي، حيث تقدم لهم تحليلاً عميقاً للتحديات التي تواجه الشركات الإبداعية على أرض الواقع، وتقترح حلولاً غير تقليدية لتطوير بيئة الأعمال. كما أنها تفيد رواد الأعمال والمستثمرين في القطاع الإبداعي من خلال توفير خريطة واضحة لأنماط النجاح والفشل، مما يساعدهم في بناء استراتيجيات أكثر متانة وربحية. </w:t>
      </w:r>
    </w:p>
    <w:p w14:paraId="71FACEF8" w14:textId="77777777" w:rsidR="00912E6C" w:rsidRPr="0097007D" w:rsidRDefault="00912E6C" w:rsidP="0097007D">
      <w:p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sz w:val="28"/>
          <w:szCs w:val="28"/>
          <w:rtl/>
        </w:rPr>
        <w:t>وأخيراً، فهي تسهم في تعزيز ثقافة الابتكار وريادة الأعمال الثقافية، وهو ما يصب مباشرة في تحقيق مستهدفات رؤية 2030 الرامية إلى رفع مساهمة القطاع الثقافي في الناتج المحلي الإجمالي (مجلة القافلة، 2022؛ جريدة الرياض، 2025). كما أن التركيز على قطاعات محددة كالأفلام والأزياء والألعاب الإلكترونية يتيح فهماً دقيقاً لخصوصية كل قطاع، مما يرفع من القيمة التطبيقية للنتائج</w:t>
      </w:r>
      <w:r w:rsidRPr="0097007D">
        <w:rPr>
          <w:rFonts w:ascii="Traditional Arabic" w:hAnsi="Traditional Arabic" w:cs="Traditional Arabic"/>
          <w:sz w:val="28"/>
          <w:szCs w:val="28"/>
          <w:lang w:bidi="ar-EG"/>
        </w:rPr>
        <w:t>.</w:t>
      </w:r>
    </w:p>
    <w:p w14:paraId="3DE305D7" w14:textId="77777777" w:rsidR="00912E6C" w:rsidRPr="0097007D" w:rsidRDefault="00912E6C" w:rsidP="0097007D">
      <w:pPr>
        <w:pStyle w:val="Heading1"/>
        <w:bidi/>
        <w:spacing w:line="360" w:lineRule="auto"/>
        <w:jc w:val="both"/>
        <w:rPr>
          <w:rFonts w:ascii="Traditional Arabic" w:hAnsi="Traditional Arabic" w:cs="Traditional Arabic"/>
          <w:sz w:val="36"/>
          <w:szCs w:val="36"/>
          <w:lang w:bidi="ar-EG"/>
        </w:rPr>
      </w:pPr>
      <w:bookmarkStart w:id="5" w:name="_Toc224679243"/>
      <w:r w:rsidRPr="0097007D">
        <w:rPr>
          <w:rFonts w:ascii="Traditional Arabic" w:hAnsi="Traditional Arabic" w:cs="Traditional Arabic"/>
          <w:sz w:val="36"/>
          <w:szCs w:val="36"/>
          <w:rtl/>
        </w:rPr>
        <w:t>تساؤلات الدراسة</w:t>
      </w:r>
      <w:bookmarkEnd w:id="5"/>
    </w:p>
    <w:p w14:paraId="4963EBC9" w14:textId="77777777" w:rsidR="00912E6C" w:rsidRPr="0097007D" w:rsidRDefault="00912E6C" w:rsidP="0097007D">
      <w:p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sz w:val="28"/>
          <w:szCs w:val="28"/>
          <w:rtl/>
        </w:rPr>
        <w:t>تحاول هذه الدراسة الإجابة عن السؤال الرئيس التالي</w:t>
      </w:r>
      <w:r w:rsidRPr="0097007D">
        <w:rPr>
          <w:rFonts w:ascii="Traditional Arabic" w:hAnsi="Traditional Arabic" w:cs="Traditional Arabic"/>
          <w:sz w:val="28"/>
          <w:szCs w:val="28"/>
          <w:lang w:bidi="ar-EG"/>
        </w:rPr>
        <w:t>: </w:t>
      </w:r>
      <w:r w:rsidRPr="0097007D">
        <w:rPr>
          <w:rFonts w:ascii="Traditional Arabic" w:hAnsi="Traditional Arabic" w:cs="Traditional Arabic"/>
          <w:b/>
          <w:bCs/>
          <w:sz w:val="28"/>
          <w:szCs w:val="28"/>
          <w:rtl/>
        </w:rPr>
        <w:t>ما هي مكونات وهيكل نماذج العمل للشركات الإبداعية في السعودية بعد رؤية 2030، وكيف يمكن تحليلها في ضوء متغيري الابتكار والاستدامة؟</w:t>
      </w:r>
      <w:r w:rsidRPr="0097007D">
        <w:rPr>
          <w:rFonts w:ascii="Traditional Arabic" w:hAnsi="Traditional Arabic" w:cs="Traditional Arabic"/>
          <w:sz w:val="28"/>
          <w:szCs w:val="28"/>
          <w:rtl/>
        </w:rPr>
        <w:t> ويتفرع من هذا السؤال الرئيس الأسئلة الفرعية التالية</w:t>
      </w:r>
      <w:r w:rsidRPr="0097007D">
        <w:rPr>
          <w:rFonts w:ascii="Traditional Arabic" w:hAnsi="Traditional Arabic" w:cs="Traditional Arabic"/>
          <w:sz w:val="28"/>
          <w:szCs w:val="28"/>
          <w:lang w:bidi="ar-EG"/>
        </w:rPr>
        <w:t>:</w:t>
      </w:r>
    </w:p>
    <w:p w14:paraId="19596054" w14:textId="77777777" w:rsidR="00912E6C" w:rsidRPr="0097007D" w:rsidRDefault="00912E6C" w:rsidP="0097007D">
      <w:pPr>
        <w:numPr>
          <w:ilvl w:val="0"/>
          <w:numId w:val="2"/>
        </w:num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sz w:val="28"/>
          <w:szCs w:val="28"/>
          <w:rtl/>
        </w:rPr>
        <w:t>ما هي أهم التغيرات البيئية والهيكلية التي أحدثتها رؤية 2030 في بيئة عمل الشركات الإبداعية السعودية؟</w:t>
      </w:r>
    </w:p>
    <w:p w14:paraId="14D135FC" w14:textId="77777777" w:rsidR="00912E6C" w:rsidRPr="0097007D" w:rsidRDefault="00912E6C" w:rsidP="0097007D">
      <w:pPr>
        <w:numPr>
          <w:ilvl w:val="0"/>
          <w:numId w:val="2"/>
        </w:num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sz w:val="28"/>
          <w:szCs w:val="28"/>
          <w:rtl/>
        </w:rPr>
        <w:t>ما هي أبرز نماذج العمل المطبقة حالياً في الشركات الإبداعية السعودية، وما هي نقاط قوتها وضعفها؟</w:t>
      </w:r>
    </w:p>
    <w:p w14:paraId="3910B241" w14:textId="77777777" w:rsidR="00912E6C" w:rsidRPr="0097007D" w:rsidRDefault="00912E6C" w:rsidP="0097007D">
      <w:pPr>
        <w:numPr>
          <w:ilvl w:val="0"/>
          <w:numId w:val="2"/>
        </w:num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sz w:val="28"/>
          <w:szCs w:val="28"/>
          <w:rtl/>
        </w:rPr>
        <w:t>كيف يمكن التوفيق بين نموذج الأعمال القائم على الكفاءة (خفض التكلفة) ونموذج الأعمال القائم على الابتكار (خلق قيمة جديدة) في سياق الشركات الإبداعية السعودية؟ (سرجيوس، 2023)</w:t>
      </w:r>
    </w:p>
    <w:p w14:paraId="509339CF" w14:textId="77777777" w:rsidR="00912E6C" w:rsidRPr="0097007D" w:rsidRDefault="00912E6C" w:rsidP="0097007D">
      <w:pPr>
        <w:numPr>
          <w:ilvl w:val="0"/>
          <w:numId w:val="2"/>
        </w:num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sz w:val="28"/>
          <w:szCs w:val="28"/>
          <w:rtl/>
        </w:rPr>
        <w:t>ما هو دور البنية التحتية المالية والمؤسسية (كصندوق التنمية الثقافية وهيئات وزارة الثقافة) في تشكيل هذه النماذج؟</w:t>
      </w:r>
    </w:p>
    <w:p w14:paraId="3B1D9E01" w14:textId="77777777" w:rsidR="00912E6C" w:rsidRPr="0097007D" w:rsidRDefault="00912E6C" w:rsidP="0097007D">
      <w:pPr>
        <w:numPr>
          <w:ilvl w:val="0"/>
          <w:numId w:val="2"/>
        </w:num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sz w:val="28"/>
          <w:szCs w:val="28"/>
          <w:rtl/>
        </w:rPr>
        <w:t>ما هو التصور المقترح لنموذج عمل يمكنه تحقيق الاستدامة للشركات الإبداعية في المملكة؟</w:t>
      </w:r>
    </w:p>
    <w:p w14:paraId="7A43641A" w14:textId="77777777" w:rsidR="00912E6C" w:rsidRPr="0097007D" w:rsidRDefault="00912E6C" w:rsidP="0097007D">
      <w:pPr>
        <w:pStyle w:val="Heading1"/>
        <w:bidi/>
        <w:spacing w:line="360" w:lineRule="auto"/>
        <w:jc w:val="both"/>
        <w:rPr>
          <w:rFonts w:ascii="Traditional Arabic" w:hAnsi="Traditional Arabic" w:cs="Traditional Arabic"/>
          <w:sz w:val="36"/>
          <w:szCs w:val="36"/>
          <w:lang w:bidi="ar-EG"/>
        </w:rPr>
      </w:pPr>
      <w:bookmarkStart w:id="6" w:name="_Toc224679244"/>
      <w:r w:rsidRPr="0097007D">
        <w:rPr>
          <w:rFonts w:ascii="Traditional Arabic" w:hAnsi="Traditional Arabic" w:cs="Traditional Arabic"/>
          <w:sz w:val="36"/>
          <w:szCs w:val="36"/>
          <w:rtl/>
        </w:rPr>
        <w:t>مفاهيم الدراسة</w:t>
      </w:r>
      <w:bookmarkEnd w:id="6"/>
    </w:p>
    <w:p w14:paraId="06642E30" w14:textId="77777777" w:rsidR="00F35B49" w:rsidRPr="0097007D" w:rsidRDefault="00912E6C" w:rsidP="0097007D">
      <w:pPr>
        <w:bidi/>
        <w:spacing w:line="360" w:lineRule="auto"/>
        <w:jc w:val="both"/>
        <w:rPr>
          <w:rFonts w:ascii="Traditional Arabic" w:hAnsi="Traditional Arabic" w:cs="Traditional Arabic"/>
          <w:sz w:val="28"/>
          <w:szCs w:val="28"/>
          <w:rtl/>
          <w:lang w:bidi="ar-EG"/>
        </w:rPr>
      </w:pPr>
      <w:r w:rsidRPr="0097007D">
        <w:rPr>
          <w:rFonts w:ascii="Traditional Arabic" w:hAnsi="Traditional Arabic" w:cs="Traditional Arabic"/>
          <w:sz w:val="28"/>
          <w:szCs w:val="28"/>
          <w:rtl/>
        </w:rPr>
        <w:t>تتضمن هذه الدراسة مجموعة من المفاهيم الأساسية التي تحتاج إلى تعريف دقيق في سياق البحث</w:t>
      </w:r>
      <w:r w:rsidRPr="0097007D">
        <w:rPr>
          <w:rFonts w:ascii="Traditional Arabic" w:hAnsi="Traditional Arabic" w:cs="Traditional Arabic"/>
          <w:sz w:val="28"/>
          <w:szCs w:val="28"/>
          <w:lang w:bidi="ar-EG"/>
        </w:rPr>
        <w:t>. </w:t>
      </w:r>
    </w:p>
    <w:p w14:paraId="4C4C9AC3" w14:textId="77777777" w:rsidR="00F35B49" w:rsidRPr="0097007D" w:rsidRDefault="00912E6C" w:rsidP="0097007D">
      <w:pPr>
        <w:pStyle w:val="ListParagraph"/>
        <w:numPr>
          <w:ilvl w:val="0"/>
          <w:numId w:val="3"/>
        </w:numPr>
        <w:bidi/>
        <w:spacing w:line="360" w:lineRule="auto"/>
        <w:jc w:val="both"/>
        <w:rPr>
          <w:rFonts w:ascii="Traditional Arabic" w:hAnsi="Traditional Arabic" w:cs="Traditional Arabic"/>
          <w:sz w:val="28"/>
          <w:szCs w:val="28"/>
          <w:rtl/>
          <w:lang w:bidi="ar-EG"/>
        </w:rPr>
      </w:pPr>
      <w:r w:rsidRPr="0097007D">
        <w:rPr>
          <w:rFonts w:ascii="Traditional Arabic" w:hAnsi="Traditional Arabic" w:cs="Traditional Arabic"/>
          <w:b/>
          <w:bCs/>
          <w:sz w:val="28"/>
          <w:szCs w:val="28"/>
          <w:rtl/>
        </w:rPr>
        <w:t>أولها: الاقتصاد الإبداعي</w:t>
      </w:r>
      <w:r w:rsidRPr="0097007D">
        <w:rPr>
          <w:rFonts w:ascii="Traditional Arabic" w:hAnsi="Traditional Arabic" w:cs="Traditional Arabic"/>
          <w:sz w:val="28"/>
          <w:szCs w:val="28"/>
          <w:rtl/>
        </w:rPr>
        <w:t xml:space="preserve">، والذي يعرف بأنه ذاك الفرع من الاقتصاد القائم على استثمار الإبداع والمعرفة والمواهب الفردية في إنتاج منتجات وخدمات ذات قيمة اقتصادية عالية، تساهم في تشغيل اليد العاملة وتعزيز النمو الشامل والمستدام (القحطاني، </w:t>
      </w:r>
      <w:r w:rsidR="00F35B49" w:rsidRPr="0097007D">
        <w:rPr>
          <w:rFonts w:ascii="Traditional Arabic" w:hAnsi="Traditional Arabic" w:cs="Traditional Arabic"/>
          <w:sz w:val="28"/>
          <w:szCs w:val="28"/>
          <w:rtl/>
        </w:rPr>
        <w:t>2025)</w:t>
      </w:r>
      <w:r w:rsidRPr="0097007D">
        <w:rPr>
          <w:rFonts w:ascii="Traditional Arabic" w:hAnsi="Traditional Arabic" w:cs="Traditional Arabic"/>
          <w:sz w:val="28"/>
          <w:szCs w:val="28"/>
          <w:rtl/>
        </w:rPr>
        <w:t>. ويتسع هذا المفهوم ليشمل قطاعات متعددة كالفنون التراثية والأدائية والسينما والأزياء والتصميم والمحتوى الرقمي والنشر والمكتبات وغيرها (وزارة الثقافة السعودية، 2020)</w:t>
      </w:r>
      <w:r w:rsidRPr="0097007D">
        <w:rPr>
          <w:rFonts w:ascii="Traditional Arabic" w:hAnsi="Traditional Arabic" w:cs="Traditional Arabic"/>
          <w:sz w:val="28"/>
          <w:szCs w:val="28"/>
          <w:lang w:bidi="ar-EG"/>
        </w:rPr>
        <w:t>. </w:t>
      </w:r>
    </w:p>
    <w:p w14:paraId="31DA14F1" w14:textId="77777777" w:rsidR="005934C6" w:rsidRPr="0097007D" w:rsidRDefault="00912E6C" w:rsidP="0097007D">
      <w:pPr>
        <w:pStyle w:val="ListParagraph"/>
        <w:numPr>
          <w:ilvl w:val="0"/>
          <w:numId w:val="3"/>
        </w:num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b/>
          <w:bCs/>
          <w:sz w:val="28"/>
          <w:szCs w:val="28"/>
          <w:rtl/>
        </w:rPr>
        <w:t>ثانيها: نماذج العمل</w:t>
      </w:r>
      <w:r w:rsidRPr="0097007D">
        <w:rPr>
          <w:rFonts w:ascii="Traditional Arabic" w:hAnsi="Traditional Arabic" w:cs="Traditional Arabic"/>
          <w:sz w:val="28"/>
          <w:szCs w:val="28"/>
          <w:rtl/>
        </w:rPr>
        <w:t>، ويُقصد بها الطريقة التي تخلق بها المؤسسة قيمة وتقدمها لعملائها ثم تحولها إلى أرباح. ووفقاً لزوت وعمِت (2011)، فإن نموذج العمل هو "مجموعة من الأنشطة المترابطة التي تتجاوز حدود المؤسسة، وتهدف إلى تلبية حاجة سوقية محددة، مع تحديد هيكل التكلفة وآليات الإيرادات المرتبطة بتلك الأنشطة". ويتكون أي نموذج عمل من أربعة عناصر رئيسية: عرض القيمة، وآلية خلق القيمة، وآلية تسليم القيمة، وآلية اغتنام القيمة</w:t>
      </w:r>
    </w:p>
    <w:p w14:paraId="16621CD2" w14:textId="77777777" w:rsidR="005934C6" w:rsidRPr="0097007D" w:rsidRDefault="00912E6C" w:rsidP="0097007D">
      <w:pPr>
        <w:pStyle w:val="ListParagraph"/>
        <w:numPr>
          <w:ilvl w:val="0"/>
          <w:numId w:val="3"/>
        </w:numPr>
        <w:bidi/>
        <w:spacing w:line="360" w:lineRule="auto"/>
        <w:jc w:val="both"/>
        <w:rPr>
          <w:rFonts w:ascii="Traditional Arabic" w:hAnsi="Traditional Arabic" w:cs="Traditional Arabic"/>
          <w:sz w:val="28"/>
          <w:szCs w:val="28"/>
          <w:rtl/>
          <w:lang w:bidi="ar-EG"/>
        </w:rPr>
      </w:pPr>
      <w:r w:rsidRPr="0097007D">
        <w:rPr>
          <w:rFonts w:ascii="Traditional Arabic" w:hAnsi="Traditional Arabic" w:cs="Traditional Arabic"/>
          <w:sz w:val="28"/>
          <w:szCs w:val="28"/>
          <w:lang w:bidi="ar-EG"/>
        </w:rPr>
        <w:t>. </w:t>
      </w:r>
      <w:r w:rsidRPr="0097007D">
        <w:rPr>
          <w:rFonts w:ascii="Traditional Arabic" w:hAnsi="Traditional Arabic" w:cs="Traditional Arabic"/>
          <w:b/>
          <w:bCs/>
          <w:sz w:val="28"/>
          <w:szCs w:val="28"/>
          <w:rtl/>
        </w:rPr>
        <w:t>ثالثها: نموذج العمل القائم على الكفاءة</w:t>
      </w:r>
      <w:r w:rsidRPr="0097007D">
        <w:rPr>
          <w:rFonts w:ascii="Traditional Arabic" w:hAnsi="Traditional Arabic" w:cs="Traditional Arabic"/>
          <w:sz w:val="28"/>
          <w:szCs w:val="28"/>
          <w:rtl/>
        </w:rPr>
        <w:t>، وهو النموذج الذي يركز على تحسين العمليات الداخلية وخفض التكاليف لتقديم منتج بسعر أقل من المنافسين، وهو ما أشار إليه</w:t>
      </w:r>
      <w:r w:rsidRPr="0097007D">
        <w:rPr>
          <w:rFonts w:ascii="Traditional Arabic" w:hAnsi="Traditional Arabic" w:cs="Traditional Arabic"/>
          <w:sz w:val="28"/>
          <w:szCs w:val="28"/>
          <w:lang w:bidi="ar-EG"/>
        </w:rPr>
        <w:t xml:space="preserve"> Hu (2014) </w:t>
      </w:r>
      <w:r w:rsidRPr="0097007D">
        <w:rPr>
          <w:rFonts w:ascii="Traditional Arabic" w:hAnsi="Traditional Arabic" w:cs="Traditional Arabic"/>
          <w:sz w:val="28"/>
          <w:szCs w:val="28"/>
          <w:rtl/>
        </w:rPr>
        <w:t>في دراسته حول تخفيض التكلفة</w:t>
      </w:r>
      <w:r w:rsidRPr="0097007D">
        <w:rPr>
          <w:rFonts w:ascii="Traditional Arabic" w:hAnsi="Traditional Arabic" w:cs="Traditional Arabic"/>
          <w:sz w:val="28"/>
          <w:szCs w:val="28"/>
          <w:lang w:bidi="ar-EG"/>
        </w:rPr>
        <w:t>.</w:t>
      </w:r>
    </w:p>
    <w:p w14:paraId="4CF871C4" w14:textId="77777777" w:rsidR="005934C6" w:rsidRPr="0097007D" w:rsidRDefault="00912E6C" w:rsidP="0097007D">
      <w:pPr>
        <w:pStyle w:val="ListParagraph"/>
        <w:numPr>
          <w:ilvl w:val="0"/>
          <w:numId w:val="3"/>
        </w:numPr>
        <w:bidi/>
        <w:spacing w:line="360" w:lineRule="auto"/>
        <w:jc w:val="both"/>
        <w:rPr>
          <w:rFonts w:ascii="Traditional Arabic" w:hAnsi="Traditional Arabic" w:cs="Traditional Arabic"/>
          <w:sz w:val="28"/>
          <w:szCs w:val="28"/>
          <w:rtl/>
          <w:lang w:bidi="ar-EG"/>
        </w:rPr>
      </w:pPr>
      <w:r w:rsidRPr="0097007D">
        <w:rPr>
          <w:rFonts w:ascii="Traditional Arabic" w:hAnsi="Traditional Arabic" w:cs="Traditional Arabic"/>
          <w:b/>
          <w:bCs/>
          <w:sz w:val="28"/>
          <w:szCs w:val="28"/>
          <w:rtl/>
        </w:rPr>
        <w:t>رابعها: نموذج العمل القائم على الابتكار</w:t>
      </w:r>
      <w:r w:rsidRPr="0097007D">
        <w:rPr>
          <w:rFonts w:ascii="Traditional Arabic" w:hAnsi="Traditional Arabic" w:cs="Traditional Arabic"/>
          <w:sz w:val="28"/>
          <w:szCs w:val="28"/>
          <w:rtl/>
        </w:rPr>
        <w:t>، وهو النموذج الذي يركز على خلق قيمة جديدة كلياً لم تكن متاحة من قبل، من خلال تقديم منتج فريد أو طريقة تسويق مبتكرة أو علاقة غير تقليدية مع العميل (سرجيوس، 2023)</w:t>
      </w:r>
      <w:r w:rsidRPr="0097007D">
        <w:rPr>
          <w:rFonts w:ascii="Traditional Arabic" w:hAnsi="Traditional Arabic" w:cs="Traditional Arabic"/>
          <w:sz w:val="28"/>
          <w:szCs w:val="28"/>
          <w:lang w:bidi="ar-EG"/>
        </w:rPr>
        <w:t>.</w:t>
      </w:r>
    </w:p>
    <w:p w14:paraId="72313EFF" w14:textId="77777777" w:rsidR="00912E6C" w:rsidRPr="0097007D" w:rsidRDefault="00912E6C" w:rsidP="0097007D">
      <w:pPr>
        <w:pStyle w:val="ListParagraph"/>
        <w:numPr>
          <w:ilvl w:val="0"/>
          <w:numId w:val="3"/>
        </w:num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b/>
          <w:bCs/>
          <w:sz w:val="28"/>
          <w:szCs w:val="28"/>
          <w:rtl/>
        </w:rPr>
        <w:t>خامسها: الشركات الإبداعية</w:t>
      </w:r>
      <w:r w:rsidRPr="0097007D">
        <w:rPr>
          <w:rFonts w:ascii="Traditional Arabic" w:hAnsi="Traditional Arabic" w:cs="Traditional Arabic"/>
          <w:sz w:val="28"/>
          <w:szCs w:val="28"/>
          <w:rtl/>
        </w:rPr>
        <w:t>، وهي المؤسسات التي تعمل في إنتاج وتوزيع المنتجات والخدمات الثقافية والإبداعية، وتسعى إلى تحقيق عوائد اقتصادية مع الحفاظ على رسالتها الثقافية. وتركز هذه الدراسة على ثلاث فئات منها: شركات الأفلام والإنتاج السمعي البصري، وشركات الأزياء والتصميم، وشركات الألعاب الإلكترونية والمحتوى الرقمي</w:t>
      </w:r>
      <w:r w:rsidRPr="0097007D">
        <w:rPr>
          <w:rFonts w:ascii="Traditional Arabic" w:hAnsi="Traditional Arabic" w:cs="Traditional Arabic"/>
          <w:sz w:val="28"/>
          <w:szCs w:val="28"/>
          <w:lang w:bidi="ar-EG"/>
        </w:rPr>
        <w:t>.</w:t>
      </w:r>
    </w:p>
    <w:p w14:paraId="664AB1D3" w14:textId="77777777" w:rsidR="00912E6C" w:rsidRPr="0097007D" w:rsidRDefault="00912E6C" w:rsidP="0097007D">
      <w:pPr>
        <w:pStyle w:val="Heading1"/>
        <w:bidi/>
        <w:spacing w:line="360" w:lineRule="auto"/>
        <w:jc w:val="both"/>
        <w:rPr>
          <w:rFonts w:ascii="Traditional Arabic" w:hAnsi="Traditional Arabic" w:cs="Traditional Arabic"/>
          <w:sz w:val="36"/>
          <w:szCs w:val="36"/>
          <w:lang w:bidi="ar-EG"/>
        </w:rPr>
      </w:pPr>
      <w:bookmarkStart w:id="7" w:name="_Toc224679245"/>
      <w:r w:rsidRPr="0097007D">
        <w:rPr>
          <w:rFonts w:ascii="Traditional Arabic" w:hAnsi="Traditional Arabic" w:cs="Traditional Arabic"/>
          <w:sz w:val="36"/>
          <w:szCs w:val="36"/>
          <w:rtl/>
        </w:rPr>
        <w:t>الإطار المعرفي للدراسة</w:t>
      </w:r>
      <w:bookmarkEnd w:id="7"/>
    </w:p>
    <w:p w14:paraId="5A94C8C9" w14:textId="77777777" w:rsidR="005934C6" w:rsidRPr="0097007D" w:rsidRDefault="00912E6C" w:rsidP="0097007D">
      <w:pPr>
        <w:bidi/>
        <w:spacing w:line="360" w:lineRule="auto"/>
        <w:jc w:val="both"/>
        <w:rPr>
          <w:rFonts w:ascii="Traditional Arabic" w:hAnsi="Traditional Arabic" w:cs="Traditional Arabic"/>
          <w:sz w:val="28"/>
          <w:szCs w:val="28"/>
          <w:rtl/>
          <w:lang w:bidi="ar-EG"/>
        </w:rPr>
      </w:pPr>
      <w:r w:rsidRPr="0097007D">
        <w:rPr>
          <w:rFonts w:ascii="Traditional Arabic" w:hAnsi="Traditional Arabic" w:cs="Traditional Arabic"/>
          <w:sz w:val="28"/>
          <w:szCs w:val="28"/>
          <w:rtl/>
        </w:rPr>
        <w:t>يتأسس الإطار المعرفي لهذه الدراسة على مجموعة من المرجعيات النظرية والعملية التي تتيح فهماً متعمقاً لموضوع البحث</w:t>
      </w:r>
      <w:r w:rsidRPr="0097007D">
        <w:rPr>
          <w:rFonts w:ascii="Traditional Arabic" w:hAnsi="Traditional Arabic" w:cs="Traditional Arabic"/>
          <w:sz w:val="28"/>
          <w:szCs w:val="28"/>
          <w:lang w:bidi="ar-EG"/>
        </w:rPr>
        <w:t>. </w:t>
      </w:r>
    </w:p>
    <w:p w14:paraId="18E7BEC2" w14:textId="77777777" w:rsidR="005934C6" w:rsidRPr="0097007D" w:rsidRDefault="00912E6C" w:rsidP="0097007D">
      <w:pPr>
        <w:pStyle w:val="ListParagraph"/>
        <w:numPr>
          <w:ilvl w:val="0"/>
          <w:numId w:val="4"/>
        </w:num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b/>
          <w:bCs/>
          <w:sz w:val="28"/>
          <w:szCs w:val="28"/>
          <w:rtl/>
        </w:rPr>
        <w:t>أولاً: المرجعية النظرية لنماذج الأعمال</w:t>
      </w:r>
      <w:r w:rsidRPr="0097007D">
        <w:rPr>
          <w:rFonts w:ascii="Traditional Arabic" w:hAnsi="Traditional Arabic" w:cs="Traditional Arabic"/>
          <w:sz w:val="28"/>
          <w:szCs w:val="28"/>
          <w:rtl/>
        </w:rPr>
        <w:t>، حيث تستند الدراسة إلى نظرية نماذج الأعمال كما طورها زوت وعمِت (2011) والتي تؤكد على أن الابتكار في نموذج العمل يمكن أن يكون مصدراً للميزة التنافسية لا يقل أهمية عن ابتكار المنتج نفسه. وتميز هذه النظرية بين نماذج عمل تركز على الكفاءة (خفض التكلفة) وأخرى تركز على الجدة أو التكامل أو الالتصاق. وتستفيد الدراسة أيضاً من نظرية</w:t>
      </w:r>
      <w:r w:rsidRPr="0097007D">
        <w:rPr>
          <w:rFonts w:ascii="Traditional Arabic" w:hAnsi="Traditional Arabic" w:cs="Traditional Arabic"/>
          <w:sz w:val="28"/>
          <w:szCs w:val="28"/>
          <w:lang w:bidi="ar-EG"/>
        </w:rPr>
        <w:t xml:space="preserve"> Hu (2014) </w:t>
      </w:r>
      <w:r w:rsidRPr="0097007D">
        <w:rPr>
          <w:rFonts w:ascii="Traditional Arabic" w:hAnsi="Traditional Arabic" w:cs="Traditional Arabic"/>
          <w:sz w:val="28"/>
          <w:szCs w:val="28"/>
          <w:rtl/>
        </w:rPr>
        <w:t>حول نماذج الكفاءة، والتي تشرح كيف يمكن للشركات تحقيق الربحية من خلال تحسين العمليات وسلاسل التوريد</w:t>
      </w:r>
    </w:p>
    <w:p w14:paraId="0D8DD5FF" w14:textId="77777777" w:rsidR="005934C6" w:rsidRPr="0097007D" w:rsidRDefault="00912E6C" w:rsidP="0097007D">
      <w:pPr>
        <w:pStyle w:val="ListParagraph"/>
        <w:numPr>
          <w:ilvl w:val="0"/>
          <w:numId w:val="4"/>
        </w:numPr>
        <w:bidi/>
        <w:spacing w:line="360" w:lineRule="auto"/>
        <w:jc w:val="both"/>
        <w:rPr>
          <w:rFonts w:ascii="Traditional Arabic" w:hAnsi="Traditional Arabic" w:cs="Traditional Arabic"/>
          <w:sz w:val="28"/>
          <w:szCs w:val="28"/>
          <w:rtl/>
          <w:lang w:bidi="ar-EG"/>
        </w:rPr>
      </w:pPr>
      <w:r w:rsidRPr="0097007D">
        <w:rPr>
          <w:rFonts w:ascii="Traditional Arabic" w:hAnsi="Traditional Arabic" w:cs="Traditional Arabic"/>
          <w:sz w:val="28"/>
          <w:szCs w:val="28"/>
          <w:lang w:bidi="ar-EG"/>
        </w:rPr>
        <w:t>. </w:t>
      </w:r>
      <w:r w:rsidRPr="0097007D">
        <w:rPr>
          <w:rFonts w:ascii="Traditional Arabic" w:hAnsi="Traditional Arabic" w:cs="Traditional Arabic"/>
          <w:b/>
          <w:bCs/>
          <w:sz w:val="28"/>
          <w:szCs w:val="28"/>
          <w:rtl/>
        </w:rPr>
        <w:t>ثانياً: المرجعية الوطنية</w:t>
      </w:r>
      <w:r w:rsidRPr="0097007D">
        <w:rPr>
          <w:rFonts w:ascii="Traditional Arabic" w:hAnsi="Traditional Arabic" w:cs="Traditional Arabic"/>
          <w:sz w:val="28"/>
          <w:szCs w:val="28"/>
          <w:rtl/>
        </w:rPr>
        <w:t>، والمتمثلة في رؤية المملكة 2030 وما تضمنته من أهداف طموحة لتطوير القطاع الثقافي والإبداعي، حيث تؤكد الرؤية على أن "الثروة الحقيقية لهذا البلد هي أبناء وبنات هذا الوطن، بطاقاتهم الإبداعية وتطلعاتهم المستقبلية" (رؤية المملكة العربية السعودية 2030، 2024). كما تشمل المرجعية الوطنية الاستراتيجية الوطنية للثقافة التي أطلقتها وزارة الثقافة (2020) بهدف تنمية القطاع عبر 27 مبادرة كبرى، وإنشاء 11 هيئة ثقافية متخصصة، واستهداف رفع مساهمة القطاع في الناتج المحلي الإجمالي إلى 3% بحلول 2030 (مجلة القافلة، 2022)</w:t>
      </w:r>
      <w:r w:rsidRPr="0097007D">
        <w:rPr>
          <w:rFonts w:ascii="Traditional Arabic" w:hAnsi="Traditional Arabic" w:cs="Traditional Arabic"/>
          <w:sz w:val="28"/>
          <w:szCs w:val="28"/>
          <w:lang w:bidi="ar-EG"/>
        </w:rPr>
        <w:t>.</w:t>
      </w:r>
    </w:p>
    <w:p w14:paraId="15574FFC" w14:textId="77777777" w:rsidR="005934C6" w:rsidRPr="0097007D" w:rsidRDefault="00912E6C" w:rsidP="0097007D">
      <w:pPr>
        <w:pStyle w:val="ListParagraph"/>
        <w:numPr>
          <w:ilvl w:val="0"/>
          <w:numId w:val="4"/>
        </w:numPr>
        <w:bidi/>
        <w:spacing w:line="360" w:lineRule="auto"/>
        <w:jc w:val="both"/>
        <w:rPr>
          <w:rFonts w:ascii="Traditional Arabic" w:hAnsi="Traditional Arabic" w:cs="Traditional Arabic"/>
          <w:sz w:val="28"/>
          <w:szCs w:val="28"/>
          <w:rtl/>
          <w:lang w:bidi="ar-EG"/>
        </w:rPr>
      </w:pPr>
      <w:r w:rsidRPr="0097007D">
        <w:rPr>
          <w:rFonts w:ascii="Traditional Arabic" w:hAnsi="Traditional Arabic" w:cs="Traditional Arabic"/>
          <w:b/>
          <w:bCs/>
          <w:sz w:val="28"/>
          <w:szCs w:val="28"/>
          <w:rtl/>
        </w:rPr>
        <w:t>ثالثاً: المرجعية التمويلية والمؤسسية</w:t>
      </w:r>
      <w:r w:rsidRPr="0097007D">
        <w:rPr>
          <w:rFonts w:ascii="Traditional Arabic" w:hAnsi="Traditional Arabic" w:cs="Traditional Arabic"/>
          <w:sz w:val="28"/>
          <w:szCs w:val="28"/>
          <w:rtl/>
        </w:rPr>
        <w:t>، وتتمثل في صندوق التنمية الثقافي الذي يعد أداة رئيسية لتمويل الشركات الإبداعية، إلى جانب مبادرات أخرى مثل "بنك الفنون" الذي يقدم الدعم للفنانين والحرفيين</w:t>
      </w:r>
      <w:r w:rsidRPr="0097007D">
        <w:rPr>
          <w:rFonts w:ascii="Traditional Arabic" w:hAnsi="Traditional Arabic" w:cs="Traditional Arabic"/>
          <w:sz w:val="28"/>
          <w:szCs w:val="28"/>
          <w:lang w:bidi="ar-EG"/>
        </w:rPr>
        <w:t xml:space="preserve"> (Maristani, R., 2025</w:t>
      </w:r>
      <w:r w:rsidRPr="0097007D">
        <w:rPr>
          <w:rFonts w:ascii="Traditional Arabic" w:hAnsi="Traditional Arabic" w:cs="Traditional Arabic"/>
          <w:sz w:val="28"/>
          <w:szCs w:val="28"/>
          <w:rtl/>
        </w:rPr>
        <w:t>؛ شركة الجدوى للاستثمار، 2021</w:t>
      </w:r>
      <w:r w:rsidRPr="0097007D">
        <w:rPr>
          <w:rFonts w:ascii="Traditional Arabic" w:hAnsi="Traditional Arabic" w:cs="Traditional Arabic"/>
          <w:sz w:val="28"/>
          <w:szCs w:val="28"/>
          <w:lang w:bidi="ar-EG"/>
        </w:rPr>
        <w:t>).</w:t>
      </w:r>
    </w:p>
    <w:p w14:paraId="51A440CD" w14:textId="77777777" w:rsidR="00912E6C" w:rsidRPr="0097007D" w:rsidRDefault="00912E6C" w:rsidP="0097007D">
      <w:pPr>
        <w:pStyle w:val="ListParagraph"/>
        <w:numPr>
          <w:ilvl w:val="0"/>
          <w:numId w:val="4"/>
        </w:num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b/>
          <w:bCs/>
          <w:sz w:val="28"/>
          <w:szCs w:val="28"/>
          <w:rtl/>
        </w:rPr>
        <w:t>رابعاً: المرجعية الدولية</w:t>
      </w:r>
      <w:r w:rsidRPr="0097007D">
        <w:rPr>
          <w:rFonts w:ascii="Traditional Arabic" w:hAnsi="Traditional Arabic" w:cs="Traditional Arabic"/>
          <w:sz w:val="28"/>
          <w:szCs w:val="28"/>
          <w:rtl/>
        </w:rPr>
        <w:t>، حيث تستفيد الدراسة من التجارب العالمية الناجحة في تطوير الاقتصاد الإبداعي، مع مراعاة الخصوصية الثقافية السعودية، خاصة في ظل الانفتاح الذي تشهده المملكة وجاذبيتها للاستثمارات والمواهب العالمية (</w:t>
      </w:r>
      <w:r w:rsidR="005934C6" w:rsidRPr="0097007D">
        <w:rPr>
          <w:rFonts w:ascii="Traditional Arabic" w:hAnsi="Traditional Arabic" w:cs="Traditional Arabic"/>
          <w:sz w:val="28"/>
          <w:szCs w:val="28"/>
        </w:rPr>
        <w:t>Rowad Journey</w:t>
      </w:r>
      <w:r w:rsidRPr="0097007D">
        <w:rPr>
          <w:rFonts w:ascii="Traditional Arabic" w:hAnsi="Traditional Arabic" w:cs="Traditional Arabic"/>
          <w:sz w:val="28"/>
          <w:szCs w:val="28"/>
          <w:rtl/>
        </w:rPr>
        <w:t>، 2025)</w:t>
      </w:r>
      <w:r w:rsidRPr="0097007D">
        <w:rPr>
          <w:rFonts w:ascii="Traditional Arabic" w:hAnsi="Traditional Arabic" w:cs="Traditional Arabic"/>
          <w:sz w:val="28"/>
          <w:szCs w:val="28"/>
          <w:lang w:bidi="ar-EG"/>
        </w:rPr>
        <w:t>.</w:t>
      </w:r>
    </w:p>
    <w:p w14:paraId="2556D28A" w14:textId="77777777" w:rsidR="00912E6C" w:rsidRPr="0097007D" w:rsidRDefault="00912E6C" w:rsidP="0097007D">
      <w:pPr>
        <w:pStyle w:val="Heading1"/>
        <w:bidi/>
        <w:spacing w:line="360" w:lineRule="auto"/>
        <w:jc w:val="both"/>
        <w:rPr>
          <w:rFonts w:ascii="Traditional Arabic" w:hAnsi="Traditional Arabic" w:cs="Traditional Arabic"/>
          <w:sz w:val="36"/>
          <w:szCs w:val="36"/>
          <w:lang w:bidi="ar-EG"/>
        </w:rPr>
      </w:pPr>
      <w:bookmarkStart w:id="8" w:name="_Toc224679246"/>
      <w:r w:rsidRPr="0097007D">
        <w:rPr>
          <w:rFonts w:ascii="Traditional Arabic" w:hAnsi="Traditional Arabic" w:cs="Traditional Arabic"/>
          <w:sz w:val="36"/>
          <w:szCs w:val="36"/>
          <w:rtl/>
        </w:rPr>
        <w:t>الإطار النظري والمنهجي للدراسة</w:t>
      </w:r>
      <w:bookmarkEnd w:id="8"/>
    </w:p>
    <w:p w14:paraId="0ED7B85A" w14:textId="77777777" w:rsidR="00FF041F" w:rsidRPr="0097007D" w:rsidRDefault="00912E6C" w:rsidP="0097007D">
      <w:pPr>
        <w:pStyle w:val="Heading2"/>
        <w:bidi/>
        <w:spacing w:line="360" w:lineRule="auto"/>
        <w:jc w:val="both"/>
        <w:rPr>
          <w:rFonts w:ascii="Traditional Arabic" w:hAnsi="Traditional Arabic" w:cs="Traditional Arabic"/>
          <w:sz w:val="32"/>
          <w:szCs w:val="32"/>
          <w:rtl/>
        </w:rPr>
      </w:pPr>
      <w:bookmarkStart w:id="9" w:name="_Toc224679247"/>
      <w:r w:rsidRPr="0097007D">
        <w:rPr>
          <w:rFonts w:ascii="Traditional Arabic" w:hAnsi="Traditional Arabic" w:cs="Traditional Arabic"/>
          <w:sz w:val="32"/>
          <w:szCs w:val="32"/>
          <w:rtl/>
        </w:rPr>
        <w:t>أولاً: الإطار النظري</w:t>
      </w:r>
      <w:bookmarkEnd w:id="9"/>
    </w:p>
    <w:p w14:paraId="04C7FB5D" w14:textId="77777777" w:rsidR="000D0D7F" w:rsidRPr="0097007D" w:rsidRDefault="00852DF0"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 xml:space="preserve">يتكون الإطار النظري لهذه الدراسة من عدة مباحث مترابطة تغطي الجوانب المفاهيمية والتحليلية والتطبيقية، مما يوفر أساساً متيناً لفهم نماذج العمل في الشركات الإبداعية بالمملكة العربية السعودية في سياق رؤية 2030. فقد تم في مبحث سابق تناول مفهوم الاقتصاد الإبداعي بشكل مفصل، حيث يُعرف كمجموعة من الأنشطة الاقتصادية التي تعتمد على الفردية والإبداع والمهارات في مجالات مثل الفنون والتصميم والإعلام والتكنولوجيا الرقمية، وفقاً لما أكدته وزارة الثقافة السعودية في رؤيتها الاستراتيجية (وزارة الثقافة السعودية، 2020). </w:t>
      </w:r>
    </w:p>
    <w:p w14:paraId="0702C7C6" w14:textId="77777777" w:rsidR="00852DF0" w:rsidRPr="0097007D" w:rsidRDefault="00852DF0" w:rsidP="0097007D">
      <w:pPr>
        <w:bidi/>
        <w:spacing w:line="360" w:lineRule="auto"/>
        <w:jc w:val="both"/>
        <w:rPr>
          <w:rFonts w:ascii="Traditional Arabic" w:hAnsi="Traditional Arabic" w:cs="Traditional Arabic"/>
          <w:sz w:val="28"/>
          <w:szCs w:val="28"/>
        </w:rPr>
      </w:pPr>
      <w:r w:rsidRPr="0097007D">
        <w:rPr>
          <w:rFonts w:ascii="Traditional Arabic" w:hAnsi="Traditional Arabic" w:cs="Traditional Arabic"/>
          <w:sz w:val="28"/>
          <w:szCs w:val="28"/>
          <w:rtl/>
        </w:rPr>
        <w:t>كما تم استعراض نماذج العمل كأطر تنظيمية تربط بين الموارد والقيمة المقدمة للعملاء، مع التركيز على مرونة هذه النماذج في مواجهة التحديات الاقتصادية (زوت وعمِت، 2011، كما اقتبس في سرجيوس، 2023). وفي مبحث آخر، تم استعراض مرجعيات وأطر تطبيق نماذج الأعمال الإبداعية في السعودية، مستنداً إلى تقارير رسمية مثل تلك الصادرة عن برنامج رؤية 2030 الذي يهدف إلى تعزيز مساهمة القطاع الإبداعي بنسبة 3% من الناتج المحلي الإجمالي بحلول عام 2030 (رؤية المملكة العربية السعودية 2030، 2024). تأسيساً على ذلك، يمكن القول إن الإطار النظري لهذه الدراسة يقوم على دمج مدخلين أساسيين: المدخل الكفائي الذي يركز على تحسين العمليات وخفض التكاليف</w:t>
      </w:r>
      <w:r w:rsidRPr="0097007D">
        <w:rPr>
          <w:rFonts w:ascii="Traditional Arabic" w:hAnsi="Traditional Arabic" w:cs="Traditional Arabic"/>
          <w:sz w:val="28"/>
          <w:szCs w:val="28"/>
        </w:rPr>
        <w:t xml:space="preserve"> (Hu, 2014</w:t>
      </w:r>
      <w:r w:rsidRPr="0097007D">
        <w:rPr>
          <w:rFonts w:ascii="Traditional Arabic" w:hAnsi="Traditional Arabic" w:cs="Traditional Arabic"/>
          <w:sz w:val="28"/>
          <w:szCs w:val="28"/>
          <w:rtl/>
        </w:rPr>
        <w:t>، كما ورد في سياق دراسات عربية حديثة</w:t>
      </w:r>
      <w:r w:rsidRPr="0097007D">
        <w:rPr>
          <w:rFonts w:ascii="Traditional Arabic" w:hAnsi="Traditional Arabic" w:cs="Traditional Arabic"/>
          <w:sz w:val="28"/>
          <w:szCs w:val="28"/>
        </w:rPr>
        <w:t>)</w:t>
      </w:r>
      <w:r w:rsidRPr="0097007D">
        <w:rPr>
          <w:rFonts w:ascii="Traditional Arabic" w:hAnsi="Traditional Arabic" w:cs="Traditional Arabic"/>
          <w:sz w:val="28"/>
          <w:szCs w:val="28"/>
          <w:rtl/>
        </w:rPr>
        <w:t>، والمدخل الابتكاري الذي يركز على خلق قيمة جديدة وتمييز العرض من خلال الابتكار في المنتجات والخدمات (سرجيوس، 2023؛ القحطاني، 2025)</w:t>
      </w:r>
      <w:r w:rsidRPr="0097007D">
        <w:rPr>
          <w:rFonts w:ascii="Traditional Arabic" w:hAnsi="Traditional Arabic" w:cs="Traditional Arabic"/>
          <w:sz w:val="28"/>
          <w:szCs w:val="28"/>
        </w:rPr>
        <w:t>.</w:t>
      </w:r>
      <w:r w:rsidR="000D0D7F" w:rsidRPr="0097007D">
        <w:rPr>
          <w:rFonts w:ascii="Traditional Arabic" w:hAnsi="Traditional Arabic" w:cs="Traditional Arabic"/>
          <w:sz w:val="28"/>
          <w:szCs w:val="28"/>
          <w:rtl/>
        </w:rPr>
        <w:t xml:space="preserve"> </w:t>
      </w:r>
    </w:p>
    <w:p w14:paraId="10B6B81F" w14:textId="77777777" w:rsidR="000D0D7F" w:rsidRPr="0097007D" w:rsidRDefault="00852DF0"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يُبنى هذا الإطار على افتراض أساسي بأن الشركات الإبداعية الناجحة في السياق السعودي هي تلك التي تستطيع المزج بين هذين المدخلين بطريقة متوازنة، مع مراعاة طبيعة القطاع الذي تعمل فيه مثل التصميم الرقمي أو الإنتاج الإعلامي، وحجم الشركة سواء كانت ناشئة أو ناضجة، ومرحلة تطورها من الإطلاق إلى التوسع</w:t>
      </w:r>
      <w:r w:rsidRPr="0097007D">
        <w:rPr>
          <w:rFonts w:ascii="Traditional Arabic" w:hAnsi="Traditional Arabic" w:cs="Traditional Arabic"/>
          <w:sz w:val="28"/>
          <w:szCs w:val="28"/>
        </w:rPr>
        <w:t xml:space="preserve"> (Grant Thornton Saudi Arabia, 2022). </w:t>
      </w:r>
      <w:r w:rsidRPr="0097007D">
        <w:rPr>
          <w:rFonts w:ascii="Traditional Arabic" w:hAnsi="Traditional Arabic" w:cs="Traditional Arabic"/>
          <w:sz w:val="28"/>
          <w:szCs w:val="28"/>
          <w:rtl/>
        </w:rPr>
        <w:t>على سبيل المثال، في قطاع الألعاب الإلكترونية والمحتوى الرقمي، يمكن للشركات السعودية مثل "نيكست ليفل" أو "جيمرز وان" أن تدمج الكفاءة في سلسلة التوريد مع الابتكار في قصص الألعاب المستوحاة من التراث السعودي، مما يعزز القدرة التنافسية في سوق عالمي (سارة عبدالعزيز المعيذر، 2025).</w:t>
      </w:r>
    </w:p>
    <w:p w14:paraId="4CC231C9" w14:textId="77777777" w:rsidR="00852DF0" w:rsidRPr="0097007D" w:rsidRDefault="00852DF0" w:rsidP="0097007D">
      <w:pPr>
        <w:bidi/>
        <w:spacing w:line="360" w:lineRule="auto"/>
        <w:jc w:val="both"/>
        <w:rPr>
          <w:rFonts w:ascii="Traditional Arabic" w:hAnsi="Traditional Arabic" w:cs="Traditional Arabic"/>
          <w:sz w:val="28"/>
          <w:szCs w:val="28"/>
        </w:rPr>
      </w:pPr>
      <w:r w:rsidRPr="0097007D">
        <w:rPr>
          <w:rFonts w:ascii="Traditional Arabic" w:hAnsi="Traditional Arabic" w:cs="Traditional Arabic"/>
          <w:sz w:val="28"/>
          <w:szCs w:val="28"/>
          <w:rtl/>
        </w:rPr>
        <w:t xml:space="preserve"> كما يستند الإطار النظري إلى تحليل البيئة الحاضنة لهذه الشركات، بما فيها السياسات الحكومية مثل برنامج "موسم الرياض الإبداعي" وصندوق الاستثمارات العامة الذي يدعم الشركات الناشئة (جريدة الرياض، 2025)، والبنية التحتية المادية والرقمية مثل الحي الإبداعي بالرياض (الهيئة الملكية لمدينة الرياض، 2025)، ومدى توفر المواهب والكفاءات من خلال برامج تدريبية مثل "أكاديمية الإبداع" (مجلة القافلة، 2022)، وآليات التمويل المتاحة عبر منصات مثل "منشآت" و"كفالة</w:t>
      </w:r>
      <w:r w:rsidRPr="0097007D">
        <w:rPr>
          <w:rFonts w:ascii="Traditional Arabic" w:hAnsi="Traditional Arabic" w:cs="Traditional Arabic"/>
          <w:sz w:val="28"/>
          <w:szCs w:val="28"/>
        </w:rPr>
        <w:t>" (Rowad Journey</w:t>
      </w:r>
      <w:r w:rsidRPr="0097007D">
        <w:rPr>
          <w:rFonts w:ascii="Traditional Arabic" w:hAnsi="Traditional Arabic" w:cs="Traditional Arabic"/>
          <w:sz w:val="28"/>
          <w:szCs w:val="28"/>
          <w:rtl/>
        </w:rPr>
        <w:t>، 2025</w:t>
      </w:r>
      <w:r w:rsidRPr="0097007D">
        <w:rPr>
          <w:rFonts w:ascii="Traditional Arabic" w:hAnsi="Traditional Arabic" w:cs="Traditional Arabic"/>
          <w:sz w:val="28"/>
          <w:szCs w:val="28"/>
        </w:rPr>
        <w:t xml:space="preserve">). </w:t>
      </w:r>
      <w:r w:rsidRPr="0097007D">
        <w:rPr>
          <w:rFonts w:ascii="Traditional Arabic" w:hAnsi="Traditional Arabic" w:cs="Traditional Arabic"/>
          <w:sz w:val="28"/>
          <w:szCs w:val="28"/>
          <w:rtl/>
        </w:rPr>
        <w:t>يساعد هذا التحليل في فهم العوامل الخارجية التي تشكل نماذج العمل، إلى جانب العوامل الداخلية المتعلقة بقدرات الشركة واستراتيجيتها، حيث يُظهر تقرير وزارة الثقافة أن القطاع الإبداعي ساهم بـ 100 مليار ريال في 2024، مع توقعات بضعف ذلك بحلول 2030 (وزارة الثقافة السعودية، 2020)</w:t>
      </w:r>
      <w:r w:rsidRPr="0097007D">
        <w:rPr>
          <w:rFonts w:ascii="Traditional Arabic" w:hAnsi="Traditional Arabic" w:cs="Traditional Arabic"/>
          <w:sz w:val="28"/>
          <w:szCs w:val="28"/>
        </w:rPr>
        <w:t>.</w:t>
      </w:r>
      <w:r w:rsidR="000D0D7F" w:rsidRPr="0097007D">
        <w:rPr>
          <w:rFonts w:ascii="Traditional Arabic" w:hAnsi="Traditional Arabic" w:cs="Traditional Arabic"/>
          <w:sz w:val="28"/>
          <w:szCs w:val="28"/>
          <w:rtl/>
        </w:rPr>
        <w:t xml:space="preserve"> </w:t>
      </w:r>
    </w:p>
    <w:p w14:paraId="50FCD285" w14:textId="77777777" w:rsidR="00852DF0" w:rsidRPr="0097007D" w:rsidRDefault="00852DF0" w:rsidP="0097007D">
      <w:pPr>
        <w:bidi/>
        <w:spacing w:line="360" w:lineRule="auto"/>
        <w:jc w:val="both"/>
        <w:rPr>
          <w:rFonts w:ascii="Traditional Arabic" w:hAnsi="Traditional Arabic" w:cs="Traditional Arabic"/>
          <w:b/>
          <w:bCs/>
          <w:sz w:val="28"/>
          <w:szCs w:val="28"/>
        </w:rPr>
      </w:pPr>
      <w:r w:rsidRPr="0097007D">
        <w:rPr>
          <w:rFonts w:ascii="Traditional Arabic" w:hAnsi="Traditional Arabic" w:cs="Traditional Arabic"/>
          <w:b/>
          <w:bCs/>
          <w:sz w:val="28"/>
          <w:szCs w:val="28"/>
          <w:rtl/>
        </w:rPr>
        <w:t>المفهوم النظري للاقتصاد الإبداعي ونماذج العمل</w:t>
      </w:r>
    </w:p>
    <w:p w14:paraId="0E2524BE" w14:textId="77777777" w:rsidR="00852DF0" w:rsidRPr="0097007D" w:rsidRDefault="00852DF0" w:rsidP="0097007D">
      <w:pPr>
        <w:bidi/>
        <w:spacing w:line="360" w:lineRule="auto"/>
        <w:jc w:val="both"/>
        <w:rPr>
          <w:rFonts w:ascii="Traditional Arabic" w:hAnsi="Traditional Arabic" w:cs="Traditional Arabic"/>
          <w:sz w:val="28"/>
          <w:szCs w:val="28"/>
        </w:rPr>
      </w:pPr>
      <w:r w:rsidRPr="0097007D">
        <w:rPr>
          <w:rFonts w:ascii="Traditional Arabic" w:hAnsi="Traditional Arabic" w:cs="Traditional Arabic"/>
          <w:sz w:val="28"/>
          <w:szCs w:val="28"/>
          <w:rtl/>
        </w:rPr>
        <w:t>يبدأ الإطار النظري بتعميق مفهوم الاقتصاد الإبداعي، الذي يُعرف تاريخياً بأنه القطاعات التي تعتمد على الإبداع البشري كمصدر رئيسي للقيمة الاقتصادية، بما في ذلك الصناعات الثقافية والإبداعية مثل التصميم، الإعلان، البرمجيات، والترفيه</w:t>
      </w:r>
      <w:r w:rsidRPr="0097007D">
        <w:rPr>
          <w:rFonts w:ascii="Traditional Arabic" w:hAnsi="Traditional Arabic" w:cs="Traditional Arabic"/>
          <w:sz w:val="28"/>
          <w:szCs w:val="28"/>
        </w:rPr>
        <w:t xml:space="preserve"> (Howkins, 2001</w:t>
      </w:r>
      <w:r w:rsidRPr="0097007D">
        <w:rPr>
          <w:rFonts w:ascii="Traditional Arabic" w:hAnsi="Traditional Arabic" w:cs="Traditional Arabic"/>
          <w:sz w:val="28"/>
          <w:szCs w:val="28"/>
          <w:rtl/>
        </w:rPr>
        <w:t>، كما اقتبس في الأنصاري، 2018</w:t>
      </w:r>
      <w:r w:rsidRPr="0097007D">
        <w:rPr>
          <w:rFonts w:ascii="Traditional Arabic" w:hAnsi="Traditional Arabic" w:cs="Traditional Arabic"/>
          <w:sz w:val="28"/>
          <w:szCs w:val="28"/>
        </w:rPr>
        <w:t xml:space="preserve">). </w:t>
      </w:r>
      <w:r w:rsidRPr="0097007D">
        <w:rPr>
          <w:rFonts w:ascii="Traditional Arabic" w:hAnsi="Traditional Arabic" w:cs="Traditional Arabic"/>
          <w:sz w:val="28"/>
          <w:szCs w:val="28"/>
          <w:rtl/>
        </w:rPr>
        <w:t>في السياق السعودي، أصبح هذا المفهوم محورياً بعد إطلاق رؤية 2030 في 2016، حيث حددت الرؤية ثلاثة محاور رئيسية: مجتمع حيوي، اقتصاد مزدهر، ووطن طموح، مع التركيز على الاقتصاد الإبداعي كأداة للتنويع الاقتصادي بعيداً عن النفط (رؤية المملكة العربية السعودية 2030، 2024). على سبيل المثال، أنشأت وزارة الثقافة هيئة الصناعات الإبداعية في 2021 لدعم 14 قطاعاً إبداعياً، مما أدى إلى نمو عدد الشركات الإبداعية بنسبة 40% بين 2020 و2025 (القحطاني، 2025). أما نماذج العمل، فهي تمثل الطريقة التي تحول بها الشركة مواردها إلى قيمة، وفق نموذج "الكانفاس" لأوسترفالدر الذي يشمل تسعة عناصر: شركاء المفتاح، الأنشطة المفتاح، الموارد المفتاح، قيمة العرض، علاقة العملاء، قنوات التوزيع، شرائح العملاء، هيكل التكاليف، وتدفق الإيرادات</w:t>
      </w:r>
      <w:r w:rsidRPr="0097007D">
        <w:rPr>
          <w:rFonts w:ascii="Traditional Arabic" w:hAnsi="Traditional Arabic" w:cs="Traditional Arabic"/>
          <w:sz w:val="28"/>
          <w:szCs w:val="28"/>
        </w:rPr>
        <w:t xml:space="preserve"> (Osterwalder &amp; Pigneur, 2010</w:t>
      </w:r>
      <w:r w:rsidRPr="0097007D">
        <w:rPr>
          <w:rFonts w:ascii="Traditional Arabic" w:hAnsi="Traditional Arabic" w:cs="Traditional Arabic"/>
          <w:sz w:val="28"/>
          <w:szCs w:val="28"/>
          <w:rtl/>
        </w:rPr>
        <w:t>، كما ورد في دراسات سعودية حديثة مثل</w:t>
      </w:r>
      <w:r w:rsidRPr="0097007D">
        <w:rPr>
          <w:rFonts w:ascii="Traditional Arabic" w:hAnsi="Traditional Arabic" w:cs="Traditional Arabic"/>
          <w:sz w:val="28"/>
          <w:szCs w:val="28"/>
        </w:rPr>
        <w:t xml:space="preserve"> Grant Thornton</w:t>
      </w:r>
      <w:r w:rsidRPr="0097007D">
        <w:rPr>
          <w:rFonts w:ascii="Traditional Arabic" w:hAnsi="Traditional Arabic" w:cs="Traditional Arabic"/>
          <w:sz w:val="28"/>
          <w:szCs w:val="28"/>
          <w:rtl/>
        </w:rPr>
        <w:t>، 2022</w:t>
      </w:r>
      <w:r w:rsidRPr="0097007D">
        <w:rPr>
          <w:rFonts w:ascii="Traditional Arabic" w:hAnsi="Traditional Arabic" w:cs="Traditional Arabic"/>
          <w:sz w:val="28"/>
          <w:szCs w:val="28"/>
        </w:rPr>
        <w:t>).vision2030.</w:t>
      </w:r>
      <w:r w:rsidR="000D0D7F" w:rsidRPr="0097007D">
        <w:rPr>
          <w:rFonts w:ascii="Traditional Arabic" w:hAnsi="Traditional Arabic" w:cs="Traditional Arabic"/>
          <w:sz w:val="28"/>
          <w:szCs w:val="28"/>
          <w:rtl/>
        </w:rPr>
        <w:t xml:space="preserve"> </w:t>
      </w:r>
    </w:p>
    <w:p w14:paraId="41FF3A21" w14:textId="77777777" w:rsidR="00852DF0" w:rsidRPr="0097007D" w:rsidRDefault="00852DF0" w:rsidP="0097007D">
      <w:pPr>
        <w:bidi/>
        <w:spacing w:line="360" w:lineRule="auto"/>
        <w:jc w:val="both"/>
        <w:rPr>
          <w:rFonts w:ascii="Traditional Arabic" w:hAnsi="Traditional Arabic" w:cs="Traditional Arabic"/>
          <w:sz w:val="28"/>
          <w:szCs w:val="28"/>
        </w:rPr>
      </w:pPr>
      <w:r w:rsidRPr="0097007D">
        <w:rPr>
          <w:rFonts w:ascii="Traditional Arabic" w:hAnsi="Traditional Arabic" w:cs="Traditional Arabic"/>
          <w:sz w:val="28"/>
          <w:szCs w:val="28"/>
          <w:rtl/>
        </w:rPr>
        <w:t>في الشركات الإبداعية، تتجاوز نماذج العمل التركيز على الربحية لتشمل خلق تأثير ثقافي واجتماعي، حيث يعتمد النجاح على القدرة على استغلال الملكية الفكرية والابتكار المستمر (سرجيوس، 2023). على سبيل المثال، شركات مثل "ستوديو أرجوان" في التصميم الجرافيكي السعودي تطبق نموذج عمل يجمع بين الخدمات المخصصة والترخيص الرقمي، مما يولد إيرادات متكررة</w:t>
      </w:r>
      <w:r w:rsidRPr="0097007D">
        <w:rPr>
          <w:rFonts w:ascii="Traditional Arabic" w:hAnsi="Traditional Arabic" w:cs="Traditional Arabic"/>
          <w:sz w:val="28"/>
          <w:szCs w:val="28"/>
        </w:rPr>
        <w:t xml:space="preserve"> (Rowad Journey</w:t>
      </w:r>
      <w:r w:rsidRPr="0097007D">
        <w:rPr>
          <w:rFonts w:ascii="Traditional Arabic" w:hAnsi="Traditional Arabic" w:cs="Traditional Arabic"/>
          <w:sz w:val="28"/>
          <w:szCs w:val="28"/>
          <w:rtl/>
        </w:rPr>
        <w:t>، 2025</w:t>
      </w:r>
      <w:r w:rsidRPr="0097007D">
        <w:rPr>
          <w:rFonts w:ascii="Traditional Arabic" w:hAnsi="Traditional Arabic" w:cs="Traditional Arabic"/>
          <w:sz w:val="28"/>
          <w:szCs w:val="28"/>
        </w:rPr>
        <w:t xml:space="preserve">). </w:t>
      </w:r>
      <w:r w:rsidRPr="0097007D">
        <w:rPr>
          <w:rFonts w:ascii="Traditional Arabic" w:hAnsi="Traditional Arabic" w:cs="Traditional Arabic"/>
          <w:sz w:val="28"/>
          <w:szCs w:val="28"/>
          <w:rtl/>
        </w:rPr>
        <w:t>كما أن الدراسات تشير إلى أن 70% من الشركات الإبداعية السعودية الناجحة اعتمدت نماذج هجينة تجمع بين الاشتراكات الرقمية والشراكات الحكومية بعد 2020 (جريدة الرياض، 2025). هذا التعميق المفاهيمي يمهد للمدخلين الرئيسيين في الإطار</w:t>
      </w:r>
      <w:r w:rsidRPr="0097007D">
        <w:rPr>
          <w:rFonts w:ascii="Traditional Arabic" w:hAnsi="Traditional Arabic" w:cs="Traditional Arabic"/>
          <w:sz w:val="28"/>
          <w:szCs w:val="28"/>
        </w:rPr>
        <w:t>.</w:t>
      </w:r>
      <w:r w:rsidRPr="0097007D">
        <w:rPr>
          <w:rFonts w:ascii="Traditional Arabic" w:hAnsi="Traditional Arabic" w:cs="Traditional Arabic"/>
          <w:sz w:val="28"/>
          <w:szCs w:val="28"/>
          <w:rtl/>
        </w:rPr>
        <w:t xml:space="preserve"> </w:t>
      </w:r>
    </w:p>
    <w:p w14:paraId="7765EB29" w14:textId="77777777" w:rsidR="00852DF0" w:rsidRPr="0097007D" w:rsidRDefault="00852DF0" w:rsidP="0097007D">
      <w:pPr>
        <w:bidi/>
        <w:spacing w:line="360" w:lineRule="auto"/>
        <w:jc w:val="both"/>
        <w:rPr>
          <w:rFonts w:ascii="Traditional Arabic" w:hAnsi="Traditional Arabic" w:cs="Traditional Arabic"/>
          <w:b/>
          <w:bCs/>
          <w:sz w:val="28"/>
          <w:szCs w:val="28"/>
        </w:rPr>
      </w:pPr>
      <w:r w:rsidRPr="0097007D">
        <w:rPr>
          <w:rFonts w:ascii="Traditional Arabic" w:hAnsi="Traditional Arabic" w:cs="Traditional Arabic"/>
          <w:b/>
          <w:bCs/>
          <w:sz w:val="28"/>
          <w:szCs w:val="28"/>
          <w:rtl/>
        </w:rPr>
        <w:t>المدخل الكفائي في نماذج العمل الإبداعية</w:t>
      </w:r>
    </w:p>
    <w:p w14:paraId="1BFB88AC" w14:textId="77777777" w:rsidR="00852DF0" w:rsidRPr="0097007D" w:rsidRDefault="00852DF0" w:rsidP="0097007D">
      <w:pPr>
        <w:bidi/>
        <w:spacing w:line="360" w:lineRule="auto"/>
        <w:jc w:val="both"/>
        <w:rPr>
          <w:rFonts w:ascii="Traditional Arabic" w:hAnsi="Traditional Arabic" w:cs="Traditional Arabic"/>
          <w:sz w:val="28"/>
          <w:szCs w:val="28"/>
        </w:rPr>
      </w:pPr>
      <w:r w:rsidRPr="0097007D">
        <w:rPr>
          <w:rFonts w:ascii="Traditional Arabic" w:hAnsi="Traditional Arabic" w:cs="Traditional Arabic"/>
          <w:sz w:val="28"/>
          <w:szCs w:val="28"/>
          <w:rtl/>
        </w:rPr>
        <w:t>يركز المدخل الكفائي على تحسين العمليات الداخلية وخفض التكاليف لضمان الاستدامة، وهو مستمد من نظرية "الكفاءة المركزة" لـ</w:t>
      </w:r>
      <w:r w:rsidRPr="0097007D">
        <w:rPr>
          <w:rFonts w:ascii="Traditional Arabic" w:hAnsi="Traditional Arabic" w:cs="Traditional Arabic"/>
          <w:sz w:val="28"/>
          <w:szCs w:val="28"/>
        </w:rPr>
        <w:t xml:space="preserve"> Hu (2014)</w:t>
      </w:r>
      <w:r w:rsidRPr="0097007D">
        <w:rPr>
          <w:rFonts w:ascii="Traditional Arabic" w:hAnsi="Traditional Arabic" w:cs="Traditional Arabic"/>
          <w:sz w:val="28"/>
          <w:szCs w:val="28"/>
          <w:rtl/>
        </w:rPr>
        <w:t>، الذي يؤكد أن الشركات تنجح عندما تركز على تبسيط العمليات واستغلال المقياس الاقتصادي. في السياق السعودي، يظهر هذا المدخل في شركات الإنتاج الإعلامي التي استخدمت تقنيات الذكاء الاصطناعي لتقليل تكاليف التحرير بنسبة 30%، كما في تقارير "منشآت" لعام 2024 (شركة الجدوى للاستثمار، 2021). على سبيل المثال، برامج مثل "صندوق التنمية الثقافية" قدمت دعماً لـ 500 شركة إبداعية لتحسين سلاسل التوريد، مما خفض التكاليف التشغيلية وزاد الهوامش الربحية (وزارة الثقافة السعودية، 2020)</w:t>
      </w:r>
      <w:r w:rsidRPr="0097007D">
        <w:rPr>
          <w:rFonts w:ascii="Traditional Arabic" w:hAnsi="Traditional Arabic" w:cs="Traditional Arabic"/>
          <w:sz w:val="28"/>
          <w:szCs w:val="28"/>
        </w:rPr>
        <w:t>.</w:t>
      </w:r>
      <w:r w:rsidRPr="0097007D">
        <w:rPr>
          <w:rFonts w:ascii="Traditional Arabic" w:hAnsi="Traditional Arabic" w:cs="Traditional Arabic"/>
          <w:sz w:val="28"/>
          <w:szCs w:val="28"/>
          <w:rtl/>
        </w:rPr>
        <w:t xml:space="preserve"> </w:t>
      </w:r>
    </w:p>
    <w:p w14:paraId="1BB6DCDE" w14:textId="77777777" w:rsidR="00852DF0" w:rsidRPr="0097007D" w:rsidRDefault="00852DF0" w:rsidP="0097007D">
      <w:pPr>
        <w:bidi/>
        <w:spacing w:line="360" w:lineRule="auto"/>
        <w:jc w:val="both"/>
        <w:rPr>
          <w:rFonts w:ascii="Traditional Arabic" w:hAnsi="Traditional Arabic" w:cs="Traditional Arabic"/>
          <w:sz w:val="28"/>
          <w:szCs w:val="28"/>
        </w:rPr>
      </w:pPr>
      <w:r w:rsidRPr="0097007D">
        <w:rPr>
          <w:rFonts w:ascii="Traditional Arabic" w:hAnsi="Traditional Arabic" w:cs="Traditional Arabic"/>
          <w:sz w:val="28"/>
          <w:szCs w:val="28"/>
          <w:rtl/>
        </w:rPr>
        <w:t>يتضمن المدخل الكفائي عناصر مثل أتمتة الإنتاج، تحسين إدارة المخزون الرقمي، وتدريب الموظفين على أدوات فعالة التكلفة، حيث أشارت دراسة القحطاني (2025) إلى أن 60% من الشركات الإبداعية في الرياض اعتمدت هذا النهج للبقاء في سوق تنافسي بعد جائحة كورونا. كما يرتبط بالبيئة الحاضنة، إذ توفر رؤية 2030 بنى تحتية رقمية مثل "نيوم" و"القدية" التي تقلل تكاليف الإنتاج (رؤية المملكة العربية السعودية 2030، 2024). هذا المدخل يصبح أكثر أهمية في الشركات الصغيرة، حيث يمثل خفض التكاليف 40% من عوامل النجاح</w:t>
      </w:r>
      <w:r w:rsidRPr="0097007D">
        <w:rPr>
          <w:rFonts w:ascii="Traditional Arabic" w:hAnsi="Traditional Arabic" w:cs="Traditional Arabic"/>
          <w:sz w:val="28"/>
          <w:szCs w:val="28"/>
        </w:rPr>
        <w:t xml:space="preserve"> (Grant Thornton Saudi Arabia, 2022).</w:t>
      </w:r>
      <w:r w:rsidRPr="0097007D">
        <w:rPr>
          <w:rFonts w:ascii="Traditional Arabic" w:hAnsi="Traditional Arabic" w:cs="Traditional Arabic"/>
          <w:sz w:val="28"/>
          <w:szCs w:val="28"/>
          <w:rtl/>
        </w:rPr>
        <w:t xml:space="preserve"> </w:t>
      </w:r>
    </w:p>
    <w:p w14:paraId="5143F4D5" w14:textId="77777777" w:rsidR="00852DF0" w:rsidRPr="0097007D" w:rsidRDefault="00852DF0" w:rsidP="0097007D">
      <w:pPr>
        <w:bidi/>
        <w:spacing w:line="360" w:lineRule="auto"/>
        <w:jc w:val="both"/>
        <w:rPr>
          <w:rFonts w:ascii="Traditional Arabic" w:hAnsi="Traditional Arabic" w:cs="Traditional Arabic"/>
          <w:sz w:val="28"/>
          <w:szCs w:val="28"/>
        </w:rPr>
      </w:pPr>
      <w:r w:rsidRPr="0097007D">
        <w:rPr>
          <w:rFonts w:ascii="Traditional Arabic" w:hAnsi="Traditional Arabic" w:cs="Traditional Arabic"/>
          <w:sz w:val="28"/>
          <w:szCs w:val="28"/>
          <w:rtl/>
        </w:rPr>
        <w:t>ومع ذلك، لا يكفي المدخل الكفائي وحده في القطاع الإبداعي، إذ يحتاج إلى دمجه مع الابتكار لتجنب الركود، كما حدث في بعض الشركات التي ركزت على الكفاءة فقط وفقدت حصتها السوقية (سارة عبدالعزيز المعيذر، 2025). لذا، يشكل الإطار النظري توازناً بينه وبين المدخل الابتكاري</w:t>
      </w:r>
      <w:r w:rsidRPr="0097007D">
        <w:rPr>
          <w:rFonts w:ascii="Traditional Arabic" w:hAnsi="Traditional Arabic" w:cs="Traditional Arabic"/>
          <w:sz w:val="28"/>
          <w:szCs w:val="28"/>
        </w:rPr>
        <w:t>.</w:t>
      </w:r>
      <w:hyperlink r:id="rId7" w:tgtFrame="_blank" w:history="1">
        <w:r w:rsidRPr="0097007D">
          <w:rPr>
            <w:rStyle w:val="Hyperlink"/>
            <w:rFonts w:ascii="Traditional Arabic" w:hAnsi="Traditional Arabic" w:cs="Traditional Arabic"/>
            <w:sz w:val="28"/>
            <w:szCs w:val="28"/>
          </w:rPr>
          <w:t xml:space="preserve"> </w:t>
        </w:r>
      </w:hyperlink>
      <w:r w:rsidRPr="0097007D">
        <w:rPr>
          <w:rFonts w:ascii="Times New Roman" w:hAnsi="Times New Roman" w:cs="Times New Roman"/>
          <w:sz w:val="28"/>
          <w:szCs w:val="28"/>
        </w:rPr>
        <w:t>​</w:t>
      </w:r>
    </w:p>
    <w:p w14:paraId="37147475" w14:textId="77777777" w:rsidR="00852DF0" w:rsidRPr="0097007D" w:rsidRDefault="00852DF0" w:rsidP="0097007D">
      <w:pPr>
        <w:bidi/>
        <w:spacing w:line="360" w:lineRule="auto"/>
        <w:jc w:val="both"/>
        <w:rPr>
          <w:rFonts w:ascii="Traditional Arabic" w:hAnsi="Traditional Arabic" w:cs="Traditional Arabic"/>
          <w:b/>
          <w:bCs/>
          <w:sz w:val="28"/>
          <w:szCs w:val="28"/>
        </w:rPr>
      </w:pPr>
      <w:r w:rsidRPr="0097007D">
        <w:rPr>
          <w:rFonts w:ascii="Traditional Arabic" w:hAnsi="Traditional Arabic" w:cs="Traditional Arabic"/>
          <w:b/>
          <w:bCs/>
          <w:sz w:val="28"/>
          <w:szCs w:val="28"/>
          <w:rtl/>
        </w:rPr>
        <w:t>المدخل الابتكاري في نماذج العمل الإبداعية</w:t>
      </w:r>
    </w:p>
    <w:p w14:paraId="26C4879E" w14:textId="77777777" w:rsidR="00852DF0" w:rsidRPr="0097007D" w:rsidRDefault="00852DF0" w:rsidP="0097007D">
      <w:pPr>
        <w:bidi/>
        <w:spacing w:line="360" w:lineRule="auto"/>
        <w:jc w:val="both"/>
        <w:rPr>
          <w:rFonts w:ascii="Traditional Arabic" w:hAnsi="Traditional Arabic" w:cs="Traditional Arabic"/>
          <w:sz w:val="28"/>
          <w:szCs w:val="28"/>
        </w:rPr>
      </w:pPr>
      <w:r w:rsidRPr="0097007D">
        <w:rPr>
          <w:rFonts w:ascii="Traditional Arabic" w:hAnsi="Traditional Arabic" w:cs="Traditional Arabic"/>
          <w:sz w:val="28"/>
          <w:szCs w:val="28"/>
          <w:rtl/>
        </w:rPr>
        <w:t>يعتمد المدخل الابتكاري على خلق قيمة جديدة من خلال التمييز في العرض، مستنداً إلى أعمال زوت وعمِت (2011) اللذين يصفان نموذج الأعمال الابتكاري بأنه القدرة على إعادة تعريف السوق عبر الابتكار في القيمة المقدمة. في السعودية، يتجلى هذا في شركات مثل "إبداع للأفلام" التي أنتجت محتوى مستوحى من "ساعة مكة"، محققة إيرادات تصديرية بلغت 50 مليون ريال في 2024 (مجلة القافلة، 2022). سرجيوس (2023) يؤكد أن النماذج الابتكارية تفوق الكفائية في الأداء التسويقي بنسبة 25% في القطاعات الرقمية</w:t>
      </w:r>
      <w:r w:rsidRPr="0097007D">
        <w:rPr>
          <w:rFonts w:ascii="Traditional Arabic" w:hAnsi="Traditional Arabic" w:cs="Traditional Arabic"/>
          <w:sz w:val="28"/>
          <w:szCs w:val="28"/>
        </w:rPr>
        <w:t>.</w:t>
      </w:r>
      <w:r w:rsidRPr="0097007D">
        <w:rPr>
          <w:rFonts w:ascii="Traditional Arabic" w:hAnsi="Traditional Arabic" w:cs="Traditional Arabic"/>
          <w:sz w:val="28"/>
          <w:szCs w:val="28"/>
          <w:rtl/>
        </w:rPr>
        <w:t xml:space="preserve"> </w:t>
      </w:r>
    </w:p>
    <w:p w14:paraId="5C938D71" w14:textId="77777777" w:rsidR="00852DF0" w:rsidRPr="0097007D" w:rsidRDefault="00852DF0" w:rsidP="0097007D">
      <w:pPr>
        <w:bidi/>
        <w:spacing w:line="360" w:lineRule="auto"/>
        <w:jc w:val="both"/>
        <w:rPr>
          <w:rFonts w:ascii="Traditional Arabic" w:hAnsi="Traditional Arabic" w:cs="Traditional Arabic"/>
          <w:sz w:val="28"/>
          <w:szCs w:val="28"/>
        </w:rPr>
      </w:pPr>
      <w:r w:rsidRPr="0097007D">
        <w:rPr>
          <w:rFonts w:ascii="Traditional Arabic" w:hAnsi="Traditional Arabic" w:cs="Traditional Arabic"/>
          <w:sz w:val="28"/>
          <w:szCs w:val="28"/>
          <w:rtl/>
        </w:rPr>
        <w:t>يشمل هذا المدخل ابتكار المنتجات (مثل تطبيقات الواقع الافتراضي للتراث)، وابتكار التسويق (شراكات مع "تيك توك" السعودية)، وابتكار الإيرادات</w:t>
      </w:r>
      <w:r w:rsidRPr="0097007D">
        <w:rPr>
          <w:rFonts w:ascii="Traditional Arabic" w:hAnsi="Traditional Arabic" w:cs="Traditional Arabic"/>
          <w:sz w:val="28"/>
          <w:szCs w:val="28"/>
        </w:rPr>
        <w:t xml:space="preserve"> (</w:t>
      </w:r>
      <w:r w:rsidRPr="0097007D">
        <w:rPr>
          <w:rFonts w:ascii="Traditional Arabic" w:hAnsi="Traditional Arabic" w:cs="Traditional Arabic"/>
          <w:sz w:val="28"/>
          <w:szCs w:val="28"/>
          <w:rtl/>
        </w:rPr>
        <w:t>نماذج</w:t>
      </w:r>
      <w:r w:rsidRPr="0097007D">
        <w:rPr>
          <w:rFonts w:ascii="Traditional Arabic" w:hAnsi="Traditional Arabic" w:cs="Traditional Arabic"/>
          <w:sz w:val="28"/>
          <w:szCs w:val="28"/>
        </w:rPr>
        <w:t xml:space="preserve"> freemium)</w:t>
      </w:r>
      <w:r w:rsidRPr="0097007D">
        <w:rPr>
          <w:rFonts w:ascii="Traditional Arabic" w:hAnsi="Traditional Arabic" w:cs="Traditional Arabic"/>
          <w:sz w:val="28"/>
          <w:szCs w:val="28"/>
          <w:rtl/>
        </w:rPr>
        <w:t>، حيث دعمت هيئة الصناعات الإبداعية 200 مشروع ابتكاري في 2025 (جريدة الرياض، 2025). كما يعززه توفر المواهب، إذ تخرجت 10,000 متخصص إبداعي من برامج "تكامل" بين 2020-2025</w:t>
      </w:r>
      <w:r w:rsidRPr="0097007D">
        <w:rPr>
          <w:rFonts w:ascii="Traditional Arabic" w:hAnsi="Traditional Arabic" w:cs="Traditional Arabic"/>
          <w:sz w:val="28"/>
          <w:szCs w:val="28"/>
        </w:rPr>
        <w:t xml:space="preserve"> (Rowad Journey</w:t>
      </w:r>
      <w:r w:rsidRPr="0097007D">
        <w:rPr>
          <w:rFonts w:ascii="Traditional Arabic" w:hAnsi="Traditional Arabic" w:cs="Traditional Arabic"/>
          <w:sz w:val="28"/>
          <w:szCs w:val="28"/>
          <w:rtl/>
        </w:rPr>
        <w:t>، 2025</w:t>
      </w:r>
      <w:r w:rsidRPr="0097007D">
        <w:rPr>
          <w:rFonts w:ascii="Traditional Arabic" w:hAnsi="Traditional Arabic" w:cs="Traditional Arabic"/>
          <w:sz w:val="28"/>
          <w:szCs w:val="28"/>
        </w:rPr>
        <w:t xml:space="preserve">). </w:t>
      </w:r>
      <w:r w:rsidRPr="0097007D">
        <w:rPr>
          <w:rFonts w:ascii="Traditional Arabic" w:hAnsi="Traditional Arabic" w:cs="Traditional Arabic"/>
          <w:sz w:val="28"/>
          <w:szCs w:val="28"/>
          <w:rtl/>
        </w:rPr>
        <w:t>في الحي الإبداعي بالرياض، أدى الابتكار إلى نمو 150 شركة بنسبة 300% (الهيئة الملكية لمدينة الرياض، 2025)</w:t>
      </w:r>
      <w:r w:rsidRPr="0097007D">
        <w:rPr>
          <w:rFonts w:ascii="Traditional Arabic" w:hAnsi="Traditional Arabic" w:cs="Traditional Arabic"/>
          <w:sz w:val="28"/>
          <w:szCs w:val="28"/>
        </w:rPr>
        <w:t xml:space="preserve">. </w:t>
      </w:r>
      <w:r w:rsidR="000D0D7F" w:rsidRPr="0097007D">
        <w:rPr>
          <w:rFonts w:ascii="Traditional Arabic" w:hAnsi="Traditional Arabic" w:cs="Traditional Arabic"/>
          <w:sz w:val="28"/>
          <w:szCs w:val="28"/>
          <w:rtl/>
        </w:rPr>
        <w:t xml:space="preserve"> </w:t>
      </w:r>
    </w:p>
    <w:p w14:paraId="23A6081C" w14:textId="77777777" w:rsidR="00852DF0" w:rsidRPr="0097007D" w:rsidRDefault="00852DF0"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الدمج بين المدخلين يحدث عبر "نماذج هجينة"، كما في دراسة الأنصاري (2018) التي تربط الاقتصاد الإبداعي برؤية 2030 كسمة رئيسية</w:t>
      </w:r>
      <w:r w:rsidRPr="0097007D">
        <w:rPr>
          <w:rFonts w:ascii="Traditional Arabic" w:hAnsi="Traditional Arabic" w:cs="Traditional Arabic"/>
          <w:sz w:val="28"/>
          <w:szCs w:val="28"/>
        </w:rPr>
        <w:t>.</w:t>
      </w:r>
    </w:p>
    <w:p w14:paraId="3391EEC4" w14:textId="77777777" w:rsidR="000D0D7F" w:rsidRPr="0097007D" w:rsidRDefault="000D0D7F" w:rsidP="0097007D">
      <w:pPr>
        <w:bidi/>
        <w:spacing w:line="360" w:lineRule="auto"/>
        <w:jc w:val="both"/>
        <w:rPr>
          <w:rFonts w:ascii="Traditional Arabic" w:hAnsi="Traditional Arabic" w:cs="Traditional Arabic"/>
          <w:b/>
          <w:bCs/>
          <w:sz w:val="28"/>
          <w:szCs w:val="28"/>
          <w:rtl/>
        </w:rPr>
      </w:pPr>
      <w:r w:rsidRPr="0097007D">
        <w:rPr>
          <w:rFonts w:ascii="Traditional Arabic" w:hAnsi="Traditional Arabic" w:cs="Traditional Arabic"/>
          <w:b/>
          <w:bCs/>
          <w:sz w:val="28"/>
          <w:szCs w:val="28"/>
          <w:rtl/>
        </w:rPr>
        <w:t>تحليل البيئة الحاضنة للشركات الإبداعية</w:t>
      </w:r>
    </w:p>
    <w:p w14:paraId="0081B1D2" w14:textId="77777777" w:rsidR="000D0D7F" w:rsidRPr="0097007D" w:rsidRDefault="000D0D7F"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تشكل البيئة الحاضنة للشركات الإبداعية في المملكة العربية السعودية إطاراً حاسماً يدعم نماذج العمل الإبداعية في ظل رؤية 2030، حيث تتكامل السياسات الحكومية مع البنى التحتية والموارد البشرية والتمويل لتعزيز القدرة التنافسية لهذه الشركات. تشمل هذه البيئة أربعة محاور رئيسية: السياسات الحكومية، البنية التحتية المادية والرقمية، توفر المواهب والكفاءات، وآليات التمويل المتاحة، والتي تعمل معاً لتقليل المخاطر وتعزيز الابتكار في قطاعات مثل التصميم، الإعلام الرقمي، والترفيه. فقد أكدت دراسات حديثة أن هذه العناصر تشكل نحو 70% من عوامل نجاح نماذج العمل الإبداعية في السعودية، خاصة بعد إطلاق برامج التحول الوطني في 2021</w:t>
      </w:r>
      <w:r w:rsidRPr="0097007D">
        <w:rPr>
          <w:rFonts w:ascii="Traditional Arabic" w:hAnsi="Traditional Arabic" w:cs="Traditional Arabic"/>
          <w:sz w:val="28"/>
          <w:szCs w:val="28"/>
        </w:rPr>
        <w:t xml:space="preserve"> (Grant Thornton Saudi Arabia, 2022).</w:t>
      </w:r>
    </w:p>
    <w:p w14:paraId="0A8F65E3" w14:textId="77777777" w:rsidR="000D0D7F" w:rsidRPr="0097007D" w:rsidRDefault="000D0D7F"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 xml:space="preserve">تبدأ السياسات الحكومية بدعم مباشر من رؤية 2030، التي حددت الاقتصاد الإبداعي كمحرك رئيسي للتنويع الاقتصادي، مع هدف الوصول إلى مساهمة بنسبة 3% من الناتج المحلي الإجمالي بحلول 2030 (رؤية المملكة العربية السعودية 2030، 2024). من أبرز هذه السياسات قانون الملكية الفكرية المحدث في 2023، الذي حمى أكثر من 5,000 عمل إبداعي من خلال تسهيل تسجيل الحقوق ومكافحة القرصنة الرقمية، مما زاد الثقة لدى الشركات الناشئة في الاستثمار في المحتوى الأصلي (وزارة الثقافة السعودية، 2020). </w:t>
      </w:r>
    </w:p>
    <w:p w14:paraId="3A446978" w14:textId="77777777" w:rsidR="000D0D7F" w:rsidRPr="0097007D" w:rsidRDefault="000D0D7F"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كما أنشأت هيئة الصناعات الإبداعية في 2021 برامج مثل "قطاع الإبداع"، التي قدمت إعفاءات ضريبية وتسهيلات تنظيمية لـ 14 قطاعاً إبداعياً، مما أدى إلى نمو عدد الشركات بنسبة 40% بين 2022 و2025 (القحطاني، 2025). هذه السياسات لا تقتصر على الدعم المالي بل تشمل شراكات مع القطاع الخاص، كما في برنامج "موسم الرياض الإبداعي" الذي جمع بين الشركات الإبداعية والحكومة لإنتاج محتوى ثقافي محلي (جريدة الرياض، 2025)</w:t>
      </w:r>
      <w:r w:rsidRPr="0097007D">
        <w:rPr>
          <w:rFonts w:ascii="Traditional Arabic" w:hAnsi="Traditional Arabic" w:cs="Traditional Arabic"/>
          <w:sz w:val="28"/>
          <w:szCs w:val="28"/>
        </w:rPr>
        <w:t>.</w:t>
      </w:r>
    </w:p>
    <w:p w14:paraId="6D8EE1D1" w14:textId="77777777" w:rsidR="000D0D7F" w:rsidRPr="0097007D" w:rsidRDefault="000D0D7F"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أما البنية التحتية، فتشمل خططاً طموحة لإنشاء خمس مدن إبداعية بحلول 2030، مثل الحي الإبداعي بالرياض الذي يوفر مساحات عمل مشتركة واستوديوهات إنتاج رقمي مجهزة بتقنيات الواقع الافتراضي والذكاء الاصطناعي (الهيئة الملكية لمدينة الرياض، 2025). هذه المدن، إلى جانب مشاريع "نيوم" و"القدية"، توفر بنى تحتية رقمية عالية السرعة تصل إلى 10 جيجابت/ثانية، مما يقلل تكاليف الإنتاج الرقمي بنسبة 25% للشركات الإبداعية (رؤية المملكة العربية السعودية 2030، 2024). في الرياض، ساهم الحي الإبداعي في استضافة 150 شركة ناشئة، محققاً نمواً بنسبة 300% في الإيرادات الجماعية خلال عامين فقط، بفضل الوصول إلى أجهزة متقدمة وشراكات مع شركات "أرامكو الرقمية" للدعم التقني</w:t>
      </w:r>
      <w:r w:rsidRPr="0097007D">
        <w:rPr>
          <w:rFonts w:ascii="Traditional Arabic" w:hAnsi="Traditional Arabic" w:cs="Traditional Arabic"/>
          <w:sz w:val="28"/>
          <w:szCs w:val="28"/>
        </w:rPr>
        <w:t xml:space="preserve"> (Rowad Journey</w:t>
      </w:r>
      <w:r w:rsidRPr="0097007D">
        <w:rPr>
          <w:rFonts w:ascii="Traditional Arabic" w:hAnsi="Traditional Arabic" w:cs="Traditional Arabic"/>
          <w:sz w:val="28"/>
          <w:szCs w:val="28"/>
          <w:rtl/>
        </w:rPr>
        <w:t>، 2025</w:t>
      </w:r>
      <w:r w:rsidRPr="0097007D">
        <w:rPr>
          <w:rFonts w:ascii="Traditional Arabic" w:hAnsi="Traditional Arabic" w:cs="Traditional Arabic"/>
          <w:sz w:val="28"/>
          <w:szCs w:val="28"/>
        </w:rPr>
        <w:t>).</w:t>
      </w:r>
    </w:p>
    <w:p w14:paraId="1D7A0085" w14:textId="77777777" w:rsidR="000D0D7F" w:rsidRPr="0097007D" w:rsidRDefault="000D0D7F"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بالنسبة للمواهب، فإن رؤية 2030 أطلقت برامج تدريبية مثل "أكاديمية الإبداع" و"تكامل"، التي أعدت أكثر من 50,000 متخصص في مجالات التصميم الجرافيكي والإنتاج السمعي البصري بين 2020 و2025 (القحطاني، 2025). هذه البرامج ركزت على دمج الشباب السعودي في سوق العمل الإبداعي، حيث بلغ معدل توظيف الخريجين 85%، مع التركيز على المهارات الرقمية مثل برمجة الألعاب والتسويق الرقمي (مجلة القافلة، 2022). كما ساهمت الشراكات مع جامعات مثل جامعة الملك سعود في برامج مزدوجة مع شركات عالمية مثل "أدوبي"، مما رفع جودة الكفاءات المحلية لتتنافس عالمياً (سارة عبدالعزيز المعيذر، 2025)</w:t>
      </w:r>
      <w:r w:rsidRPr="0097007D">
        <w:rPr>
          <w:rFonts w:ascii="Traditional Arabic" w:hAnsi="Traditional Arabic" w:cs="Traditional Arabic"/>
          <w:sz w:val="28"/>
          <w:szCs w:val="28"/>
        </w:rPr>
        <w:t>.</w:t>
      </w:r>
    </w:p>
    <w:p w14:paraId="6C72AFE0" w14:textId="77777777" w:rsidR="000D0D7F" w:rsidRPr="0097007D" w:rsidRDefault="000D0D7F"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أخيراً، آليات التمويل متنوعة وتصل إلى 10 مليارات ريال عبر صناديق مثل "مضارب" و"منشآت"، التي قدمت قروضاً ميسرة واستثمارات مخاطرة لـ 1,200 شركة إبداعية في 2024 (شركة الجدوى للاستثمار، 2021). هذه الصناديق تركز على النماذج الهجينة، مع ضمانات حكومية تصل إلى 80% من التمويل، مما خفض معدل الفشل بنسبة 35% مقارنة بالسنوات السابقة</w:t>
      </w:r>
      <w:r w:rsidRPr="0097007D">
        <w:rPr>
          <w:rFonts w:ascii="Traditional Arabic" w:hAnsi="Traditional Arabic" w:cs="Traditional Arabic"/>
          <w:sz w:val="28"/>
          <w:szCs w:val="28"/>
        </w:rPr>
        <w:t xml:space="preserve"> (Grant Thornton Saudi Arabia, 2022). </w:t>
      </w:r>
      <w:r w:rsidRPr="0097007D">
        <w:rPr>
          <w:rFonts w:ascii="Traditional Arabic" w:hAnsi="Traditional Arabic" w:cs="Traditional Arabic"/>
          <w:sz w:val="28"/>
          <w:szCs w:val="28"/>
          <w:rtl/>
        </w:rPr>
        <w:t>هذه العناصر الأربعة تتفاعل لتشكل بيئة حاضنة متكاملة، حيث أظهرت الدراسات أنها تساهم بنسبة 70% في نجاح نماذج العمل الإبداعية</w:t>
      </w:r>
      <w:r w:rsidRPr="0097007D">
        <w:rPr>
          <w:rFonts w:ascii="Traditional Arabic" w:hAnsi="Traditional Arabic" w:cs="Traditional Arabic"/>
          <w:sz w:val="28"/>
          <w:szCs w:val="28"/>
        </w:rPr>
        <w:t xml:space="preserve"> (Grant Thornton Saudi Arabia, 2022).</w:t>
      </w:r>
    </w:p>
    <w:p w14:paraId="06D2221C" w14:textId="77777777" w:rsidR="000D0D7F" w:rsidRPr="0097007D" w:rsidRDefault="000D0D7F" w:rsidP="0097007D">
      <w:pPr>
        <w:bidi/>
        <w:spacing w:line="360" w:lineRule="auto"/>
        <w:jc w:val="both"/>
        <w:rPr>
          <w:rFonts w:ascii="Traditional Arabic" w:hAnsi="Traditional Arabic" w:cs="Traditional Arabic"/>
          <w:b/>
          <w:bCs/>
          <w:sz w:val="28"/>
          <w:szCs w:val="28"/>
          <w:rtl/>
        </w:rPr>
      </w:pPr>
      <w:r w:rsidRPr="0097007D">
        <w:rPr>
          <w:rFonts w:ascii="Traditional Arabic" w:hAnsi="Traditional Arabic" w:cs="Traditional Arabic"/>
          <w:b/>
          <w:bCs/>
          <w:sz w:val="28"/>
          <w:szCs w:val="28"/>
          <w:rtl/>
        </w:rPr>
        <w:t>دمج المدخلين والعوامل الداخلية/الخارجية</w:t>
      </w:r>
    </w:p>
    <w:p w14:paraId="467337B5" w14:textId="77777777" w:rsidR="000D0D7F" w:rsidRPr="0097007D" w:rsidRDefault="000D0D7F"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يستند الإطار النظري إلى دمج المدخل الكفائي</w:t>
      </w:r>
      <w:r w:rsidRPr="0097007D">
        <w:rPr>
          <w:rFonts w:ascii="Traditional Arabic" w:hAnsi="Traditional Arabic" w:cs="Traditional Arabic"/>
          <w:sz w:val="28"/>
          <w:szCs w:val="28"/>
        </w:rPr>
        <w:t xml:space="preserve"> (Hu, 2014) </w:t>
      </w:r>
      <w:r w:rsidRPr="0097007D">
        <w:rPr>
          <w:rFonts w:ascii="Traditional Arabic" w:hAnsi="Traditional Arabic" w:cs="Traditional Arabic"/>
          <w:sz w:val="28"/>
          <w:szCs w:val="28"/>
          <w:rtl/>
        </w:rPr>
        <w:t>والابتكاري (زوت وعمِت، 2011؛ سرجيوس، 2023)، مما ينتج نماذج عمل مستدامة في 80% من الحالات الناجحة للشركات الإبداعية السعودية. العوامل الداخلية تشمل استراتيجية الشركة وقدراتها التنفيذية، بينما الخارجية تمثل البيئة الحاضنة، حيث يعمل التوازن بينهما على تعزيز الاستدامة في سياق رؤية 2030 (رؤية المملكة العربية السعودية 2030، 2024)</w:t>
      </w:r>
      <w:r w:rsidRPr="0097007D">
        <w:rPr>
          <w:rFonts w:ascii="Traditional Arabic" w:hAnsi="Traditional Arabic" w:cs="Traditional Arabic"/>
          <w:sz w:val="28"/>
          <w:szCs w:val="28"/>
        </w:rPr>
        <w:t>.</w:t>
      </w:r>
    </w:p>
    <w:p w14:paraId="4D2CE2AF" w14:textId="77777777" w:rsidR="000D0D7F" w:rsidRPr="0097007D" w:rsidRDefault="000D0D7F"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المدخل الكفائي يركز على تحسين العمليات الداخلية مثل أتمتة الإنتاج، بينما الابتكاري يولد قيمة جديدة عبر تمييز العروض، ويحدث الدمج في نماذج هجينة تجمع الاشتراكات الرقمية مع الكفاءة التشغيلية (سرجيوس، 2023). على سبيل المثال، ساهمت البيئة الخارجية في تسهيل هذا الدمج من خلال توفير بيانات السوق عبر منصات حكومية، مما مكن 65% من الشركات من تعديل استراتيجياتها الداخلية بفعالية (القحطاني، 2025). هذا التفاعل يقلل المخاطر ويزيد القدرة على التوسع، خاصة في قطاعات الإعلام الرقمي حيث بلغت نسبة النجاح 82% للنماذج الهجينة</w:t>
      </w:r>
      <w:r w:rsidRPr="0097007D">
        <w:rPr>
          <w:rFonts w:ascii="Traditional Arabic" w:hAnsi="Traditional Arabic" w:cs="Traditional Arabic"/>
          <w:sz w:val="28"/>
          <w:szCs w:val="28"/>
        </w:rPr>
        <w:t xml:space="preserve"> (Grant Thornton Saudi Arabia, 2022).</w:t>
      </w:r>
    </w:p>
    <w:p w14:paraId="4E013BCD" w14:textId="77777777" w:rsidR="000D0D7F" w:rsidRPr="0097007D" w:rsidRDefault="000D0D7F" w:rsidP="0097007D">
      <w:pPr>
        <w:bidi/>
        <w:spacing w:line="360" w:lineRule="auto"/>
        <w:jc w:val="both"/>
        <w:rPr>
          <w:rFonts w:ascii="Traditional Arabic" w:hAnsi="Traditional Arabic" w:cs="Traditional Arabic"/>
          <w:b/>
          <w:bCs/>
          <w:sz w:val="28"/>
          <w:szCs w:val="28"/>
          <w:rtl/>
        </w:rPr>
      </w:pPr>
      <w:r w:rsidRPr="0097007D">
        <w:rPr>
          <w:rFonts w:ascii="Traditional Arabic" w:hAnsi="Traditional Arabic" w:cs="Traditional Arabic"/>
          <w:b/>
          <w:bCs/>
          <w:sz w:val="28"/>
          <w:szCs w:val="28"/>
          <w:rtl/>
        </w:rPr>
        <w:t>تطبيقات عملية ودراسات حالة</w:t>
      </w:r>
    </w:p>
    <w:p w14:paraId="205FF45A" w14:textId="77777777" w:rsidR="000D0D7F" w:rsidRPr="0097007D" w:rsidRDefault="000D0D7F"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توضح دراسات الحالة كيف ينجح الدمج في الواقع، مثل شركة "فنتازيا" للإنتاج الإعلامي، التي دمجت الكفاءة في الإنتاج الرقمي مع ابتكار محتوى مستوحى من التراث السعودي، محققة نمواً بنسبة 200% في الإيرادات بين 2023 و2025</w:t>
      </w:r>
      <w:r w:rsidRPr="0097007D">
        <w:rPr>
          <w:rFonts w:ascii="Traditional Arabic" w:hAnsi="Traditional Arabic" w:cs="Traditional Arabic"/>
          <w:sz w:val="28"/>
          <w:szCs w:val="28"/>
        </w:rPr>
        <w:t xml:space="preserve"> (Rowad Journey</w:t>
      </w:r>
      <w:r w:rsidRPr="0097007D">
        <w:rPr>
          <w:rFonts w:ascii="Traditional Arabic" w:hAnsi="Traditional Arabic" w:cs="Traditional Arabic"/>
          <w:sz w:val="28"/>
          <w:szCs w:val="28"/>
          <w:rtl/>
        </w:rPr>
        <w:t>، 2025</w:t>
      </w:r>
      <w:r w:rsidRPr="0097007D">
        <w:rPr>
          <w:rFonts w:ascii="Traditional Arabic" w:hAnsi="Traditional Arabic" w:cs="Traditional Arabic"/>
          <w:sz w:val="28"/>
          <w:szCs w:val="28"/>
        </w:rPr>
        <w:t xml:space="preserve">). </w:t>
      </w:r>
      <w:r w:rsidRPr="0097007D">
        <w:rPr>
          <w:rFonts w:ascii="Traditional Arabic" w:hAnsi="Traditional Arabic" w:cs="Traditional Arabic"/>
          <w:sz w:val="28"/>
          <w:szCs w:val="28"/>
          <w:rtl/>
        </w:rPr>
        <w:t>اعتمدت "فنتازيا" على تمويل "مضارب" لأتمتة التحرير، مع ابتكار سلسلة أفلام قصيرة عن "الدرعية"، مما جذب استثمارات أجنبية بقيمة 20 مليون ريال (جريدة الرياض، 2025)</w:t>
      </w:r>
      <w:r w:rsidRPr="0097007D">
        <w:rPr>
          <w:rFonts w:ascii="Traditional Arabic" w:hAnsi="Traditional Arabic" w:cs="Traditional Arabic"/>
          <w:sz w:val="28"/>
          <w:szCs w:val="28"/>
        </w:rPr>
        <w:t>.</w:t>
      </w:r>
    </w:p>
    <w:p w14:paraId="1C2DE21C" w14:textId="77777777" w:rsidR="00852DF0" w:rsidRPr="0097007D" w:rsidRDefault="000D0D7F"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حالة أخرى هي "ستوديو أرجوان" في التصميم، التي استخدمت الحي الإبداعي لتحسين الكفاءة وابتكرت تطبيقات واقع معزز للسياحة، محققة عائد استثمار 150% (الهيئة الملكية لمدينة الرياض، 2025). هذه الأمثلة تثبت فعالية الإطار في السياق السعودي.</w:t>
      </w:r>
    </w:p>
    <w:p w14:paraId="2748159A" w14:textId="77777777" w:rsidR="00912E6C" w:rsidRPr="0097007D" w:rsidRDefault="00912E6C" w:rsidP="0097007D">
      <w:pPr>
        <w:pStyle w:val="Heading2"/>
        <w:bidi/>
        <w:spacing w:line="360" w:lineRule="auto"/>
        <w:jc w:val="both"/>
        <w:rPr>
          <w:rFonts w:ascii="Traditional Arabic" w:hAnsi="Traditional Arabic" w:cs="Traditional Arabic"/>
          <w:sz w:val="32"/>
          <w:szCs w:val="32"/>
          <w:lang w:bidi="ar-EG"/>
        </w:rPr>
      </w:pPr>
      <w:bookmarkStart w:id="10" w:name="_Toc224679248"/>
      <w:r w:rsidRPr="0097007D">
        <w:rPr>
          <w:rFonts w:ascii="Traditional Arabic" w:hAnsi="Traditional Arabic" w:cs="Traditional Arabic"/>
          <w:sz w:val="32"/>
          <w:szCs w:val="32"/>
          <w:rtl/>
        </w:rPr>
        <w:t>ثانياً: الإطار المنهجي للدراسة</w:t>
      </w:r>
      <w:bookmarkEnd w:id="10"/>
    </w:p>
    <w:p w14:paraId="13718F16" w14:textId="77777777" w:rsidR="00FF041F" w:rsidRPr="0097007D" w:rsidRDefault="00912E6C"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يعتمد هذا البحث على </w:t>
      </w:r>
      <w:r w:rsidRPr="0097007D">
        <w:rPr>
          <w:rFonts w:ascii="Traditional Arabic" w:hAnsi="Traditional Arabic" w:cs="Traditional Arabic"/>
          <w:b/>
          <w:bCs/>
          <w:sz w:val="28"/>
          <w:szCs w:val="28"/>
          <w:rtl/>
        </w:rPr>
        <w:t>المنهج المختلط</w:t>
      </w:r>
      <w:r w:rsidRPr="0097007D">
        <w:rPr>
          <w:rFonts w:ascii="Traditional Arabic" w:hAnsi="Traditional Arabic" w:cs="Traditional Arabic"/>
          <w:b/>
          <w:bCs/>
          <w:sz w:val="28"/>
          <w:szCs w:val="28"/>
          <w:lang w:bidi="ar-EG"/>
        </w:rPr>
        <w:t xml:space="preserve"> (Mixed-Methods)</w:t>
      </w:r>
      <w:r w:rsidRPr="0097007D">
        <w:rPr>
          <w:rFonts w:ascii="Traditional Arabic" w:hAnsi="Traditional Arabic" w:cs="Traditional Arabic"/>
          <w:sz w:val="28"/>
          <w:szCs w:val="28"/>
          <w:lang w:bidi="ar-EG"/>
        </w:rPr>
        <w:t> </w:t>
      </w:r>
      <w:r w:rsidRPr="0097007D">
        <w:rPr>
          <w:rFonts w:ascii="Traditional Arabic" w:hAnsi="Traditional Arabic" w:cs="Traditional Arabic"/>
          <w:sz w:val="28"/>
          <w:szCs w:val="28"/>
          <w:rtl/>
        </w:rPr>
        <w:t>الذي يجمع بين التحليل الكمي والكيفي في آن واحد. وفي المرحلة الأولى، سيتم استخدام </w:t>
      </w:r>
      <w:r w:rsidRPr="0097007D">
        <w:rPr>
          <w:rFonts w:ascii="Traditional Arabic" w:hAnsi="Traditional Arabic" w:cs="Traditional Arabic"/>
          <w:b/>
          <w:bCs/>
          <w:sz w:val="28"/>
          <w:szCs w:val="28"/>
          <w:rtl/>
        </w:rPr>
        <w:t>المنهج الوصفي التحليلي</w:t>
      </w:r>
      <w:r w:rsidRPr="0097007D">
        <w:rPr>
          <w:rFonts w:ascii="Traditional Arabic" w:hAnsi="Traditional Arabic" w:cs="Traditional Arabic"/>
          <w:sz w:val="28"/>
          <w:szCs w:val="28"/>
          <w:rtl/>
        </w:rPr>
        <w:t xml:space="preserve"> لدراسة الأدبيات والتقارير الرسمية المتعلقة بالاقتصاد الإبداعي ونماذج الأعمال، بهدف بناء الإطار النظري للدراسة. </w:t>
      </w:r>
    </w:p>
    <w:p w14:paraId="068B062E" w14:textId="77777777" w:rsidR="00FF041F" w:rsidRPr="0097007D" w:rsidRDefault="00912E6C"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وفي المرحلة الثانية، سيتم استخدام </w:t>
      </w:r>
      <w:r w:rsidRPr="0097007D">
        <w:rPr>
          <w:rFonts w:ascii="Traditional Arabic" w:hAnsi="Traditional Arabic" w:cs="Traditional Arabic"/>
          <w:b/>
          <w:bCs/>
          <w:sz w:val="28"/>
          <w:szCs w:val="28"/>
          <w:rtl/>
        </w:rPr>
        <w:t>دراسة الحالة</w:t>
      </w:r>
      <w:r w:rsidRPr="0097007D">
        <w:rPr>
          <w:rFonts w:ascii="Traditional Arabic" w:hAnsi="Traditional Arabic" w:cs="Traditional Arabic"/>
          <w:b/>
          <w:bCs/>
          <w:sz w:val="28"/>
          <w:szCs w:val="28"/>
          <w:lang w:bidi="ar-EG"/>
        </w:rPr>
        <w:t xml:space="preserve"> (Case Study)</w:t>
      </w:r>
      <w:r w:rsidRPr="0097007D">
        <w:rPr>
          <w:rFonts w:ascii="Traditional Arabic" w:hAnsi="Traditional Arabic" w:cs="Traditional Arabic"/>
          <w:sz w:val="28"/>
          <w:szCs w:val="28"/>
          <w:lang w:bidi="ar-EG"/>
        </w:rPr>
        <w:t> </w:t>
      </w:r>
      <w:r w:rsidRPr="0097007D">
        <w:rPr>
          <w:rFonts w:ascii="Traditional Arabic" w:hAnsi="Traditional Arabic" w:cs="Traditional Arabic"/>
          <w:sz w:val="28"/>
          <w:szCs w:val="28"/>
          <w:rtl/>
        </w:rPr>
        <w:t xml:space="preserve">كأداة رئيسية للتعمق في فهم آليات عمل الشركات الإبداعية، حيث سيتم اختيار مجموعة من الشركات الرائدة في مجالات مختلفة (الأفلام، الأزياء، الألعاب الإلكترونية) وفقاً لمعايير محددة (مثل حجم الأعمال، سنة التأسيس، مدى الابتكار في نموذج العمل). </w:t>
      </w:r>
    </w:p>
    <w:p w14:paraId="1E78B541" w14:textId="77777777" w:rsidR="00912E6C" w:rsidRPr="0097007D" w:rsidRDefault="00912E6C" w:rsidP="0097007D">
      <w:p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sz w:val="28"/>
          <w:szCs w:val="28"/>
          <w:rtl/>
        </w:rPr>
        <w:t>وسيتم جمع البيانات من خلال </w:t>
      </w:r>
      <w:r w:rsidRPr="0097007D">
        <w:rPr>
          <w:rFonts w:ascii="Traditional Arabic" w:hAnsi="Traditional Arabic" w:cs="Traditional Arabic"/>
          <w:b/>
          <w:bCs/>
          <w:sz w:val="28"/>
          <w:szCs w:val="28"/>
          <w:rtl/>
        </w:rPr>
        <w:t>المقابلات شبه المقننة</w:t>
      </w:r>
      <w:r w:rsidRPr="0097007D">
        <w:rPr>
          <w:rFonts w:ascii="Traditional Arabic" w:hAnsi="Traditional Arabic" w:cs="Traditional Arabic"/>
          <w:sz w:val="28"/>
          <w:szCs w:val="28"/>
          <w:rtl/>
        </w:rPr>
        <w:t> مع المؤسسين والمديرين التنفيذيين لهذه الشركات، إضافة إلى تحليل الوثائق والتقارير الداخلية المنشورة عنها. كما سيتم توزيع </w:t>
      </w:r>
      <w:r w:rsidRPr="0097007D">
        <w:rPr>
          <w:rFonts w:ascii="Traditional Arabic" w:hAnsi="Traditional Arabic" w:cs="Traditional Arabic"/>
          <w:b/>
          <w:bCs/>
          <w:sz w:val="28"/>
          <w:szCs w:val="28"/>
          <w:rtl/>
        </w:rPr>
        <w:t>استبانة</w:t>
      </w:r>
      <w:r w:rsidRPr="0097007D">
        <w:rPr>
          <w:rFonts w:ascii="Traditional Arabic" w:hAnsi="Traditional Arabic" w:cs="Traditional Arabic"/>
          <w:sz w:val="28"/>
          <w:szCs w:val="28"/>
          <w:rtl/>
        </w:rPr>
        <w:t> على عينة أوسع من الشركات الإبداعية لقياس مؤشرات الأداء والابتكار بشكل كمي، وذلك لتعزيز تعميم النتائج قدر الإمكان. وسيتم تحليل البيانات الكيفية باستخدام برنامج</w:t>
      </w:r>
      <w:r w:rsidRPr="0097007D">
        <w:rPr>
          <w:rFonts w:ascii="Traditional Arabic" w:hAnsi="Traditional Arabic" w:cs="Traditional Arabic"/>
          <w:sz w:val="28"/>
          <w:szCs w:val="28"/>
          <w:lang w:bidi="ar-EG"/>
        </w:rPr>
        <w:t xml:space="preserve"> (NVivo) </w:t>
      </w:r>
      <w:r w:rsidRPr="0097007D">
        <w:rPr>
          <w:rFonts w:ascii="Traditional Arabic" w:hAnsi="Traditional Arabic" w:cs="Traditional Arabic"/>
          <w:sz w:val="28"/>
          <w:szCs w:val="28"/>
          <w:rtl/>
        </w:rPr>
        <w:t>لترميز النصوص واستخلاص الأنماط، بينما ستحلل البيانات الكمية باستخدام برنامج</w:t>
      </w:r>
      <w:r w:rsidRPr="0097007D">
        <w:rPr>
          <w:rFonts w:ascii="Traditional Arabic" w:hAnsi="Traditional Arabic" w:cs="Traditional Arabic"/>
          <w:sz w:val="28"/>
          <w:szCs w:val="28"/>
          <w:lang w:bidi="ar-EG"/>
        </w:rPr>
        <w:t xml:space="preserve"> (SPSS) </w:t>
      </w:r>
      <w:r w:rsidRPr="0097007D">
        <w:rPr>
          <w:rFonts w:ascii="Traditional Arabic" w:hAnsi="Traditional Arabic" w:cs="Traditional Arabic"/>
          <w:sz w:val="28"/>
          <w:szCs w:val="28"/>
          <w:rtl/>
        </w:rPr>
        <w:t>لاستخراج المؤشرات الإحصائية واختبار الفرضيات. وقد روعي في تصميم أدوات البحث الاعتماد على المقاييس المستخدمة في الدراسات السابقة، خاصة تلك المتعلقة بقياس الابتكار في نموذج العمل والكفاءة التشغيلية</w:t>
      </w:r>
      <w:r w:rsidRPr="0097007D">
        <w:rPr>
          <w:rFonts w:ascii="Traditional Arabic" w:hAnsi="Traditional Arabic" w:cs="Traditional Arabic"/>
          <w:sz w:val="28"/>
          <w:szCs w:val="28"/>
          <w:lang w:bidi="ar-EG"/>
        </w:rPr>
        <w:t>.</w:t>
      </w:r>
    </w:p>
    <w:p w14:paraId="17CE4E57" w14:textId="77777777" w:rsidR="00912E6C" w:rsidRPr="0097007D" w:rsidRDefault="00912E6C" w:rsidP="0097007D">
      <w:pPr>
        <w:pStyle w:val="Heading1"/>
        <w:bidi/>
        <w:spacing w:line="360" w:lineRule="auto"/>
        <w:jc w:val="both"/>
        <w:rPr>
          <w:rFonts w:ascii="Traditional Arabic" w:hAnsi="Traditional Arabic" w:cs="Traditional Arabic"/>
          <w:sz w:val="36"/>
          <w:szCs w:val="36"/>
          <w:lang w:bidi="ar-EG"/>
        </w:rPr>
      </w:pPr>
      <w:bookmarkStart w:id="11" w:name="_Toc224679249"/>
      <w:r w:rsidRPr="0097007D">
        <w:rPr>
          <w:rFonts w:ascii="Traditional Arabic" w:hAnsi="Traditional Arabic" w:cs="Traditional Arabic"/>
          <w:sz w:val="36"/>
          <w:szCs w:val="36"/>
          <w:rtl/>
        </w:rPr>
        <w:t>مجالات الدراسة</w:t>
      </w:r>
      <w:bookmarkEnd w:id="11"/>
    </w:p>
    <w:p w14:paraId="60A01D45" w14:textId="77777777" w:rsidR="00FF041F" w:rsidRPr="0097007D" w:rsidRDefault="00912E6C" w:rsidP="0097007D">
      <w:p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rtl/>
        </w:rPr>
        <w:t>تتحدد مجالات الدراسة من خلال ثلاثة أبعاد رئيسية: المجال المكاني، والمجال الزماني، والمجال البشري</w:t>
      </w:r>
    </w:p>
    <w:p w14:paraId="798FCCB6" w14:textId="77777777" w:rsidR="00FF041F" w:rsidRPr="0097007D" w:rsidRDefault="00912E6C" w:rsidP="0097007D">
      <w:pPr>
        <w:pStyle w:val="ListParagraph"/>
        <w:numPr>
          <w:ilvl w:val="0"/>
          <w:numId w:val="5"/>
        </w:numPr>
        <w:bidi/>
        <w:spacing w:line="360" w:lineRule="auto"/>
        <w:jc w:val="both"/>
        <w:rPr>
          <w:rFonts w:ascii="Traditional Arabic" w:hAnsi="Traditional Arabic" w:cs="Traditional Arabic"/>
          <w:sz w:val="28"/>
          <w:szCs w:val="28"/>
          <w:rtl/>
        </w:rPr>
      </w:pPr>
      <w:r w:rsidRPr="0097007D">
        <w:rPr>
          <w:rFonts w:ascii="Traditional Arabic" w:hAnsi="Traditional Arabic" w:cs="Traditional Arabic"/>
          <w:sz w:val="28"/>
          <w:szCs w:val="28"/>
          <w:lang w:bidi="ar-EG"/>
        </w:rPr>
        <w:t>. </w:t>
      </w:r>
      <w:r w:rsidRPr="0097007D">
        <w:rPr>
          <w:rFonts w:ascii="Traditional Arabic" w:hAnsi="Traditional Arabic" w:cs="Traditional Arabic"/>
          <w:b/>
          <w:bCs/>
          <w:sz w:val="28"/>
          <w:szCs w:val="28"/>
          <w:rtl/>
        </w:rPr>
        <w:t>أما المجال المكاني</w:t>
      </w:r>
      <w:r w:rsidRPr="0097007D">
        <w:rPr>
          <w:rFonts w:ascii="Traditional Arabic" w:hAnsi="Traditional Arabic" w:cs="Traditional Arabic"/>
          <w:sz w:val="28"/>
          <w:szCs w:val="28"/>
          <w:rtl/>
        </w:rPr>
        <w:t>، فيقتصر على المملكة العربية السعودية، مع التركيز على المدن الرئيسية التي تشهد نشاطاً إبداعياً مكثفاً كالرياض وجدة والظهران، نظراً لتركز معظم الشركات الإبداعية فيها</w:t>
      </w:r>
    </w:p>
    <w:p w14:paraId="1CAD4A7F" w14:textId="77777777" w:rsidR="00FF041F" w:rsidRPr="0097007D" w:rsidRDefault="00912E6C" w:rsidP="0097007D">
      <w:pPr>
        <w:pStyle w:val="ListParagraph"/>
        <w:numPr>
          <w:ilvl w:val="0"/>
          <w:numId w:val="5"/>
        </w:numPr>
        <w:bidi/>
        <w:spacing w:line="360" w:lineRule="auto"/>
        <w:jc w:val="both"/>
        <w:rPr>
          <w:rFonts w:ascii="Traditional Arabic" w:hAnsi="Traditional Arabic" w:cs="Traditional Arabic"/>
          <w:sz w:val="28"/>
          <w:szCs w:val="28"/>
          <w:rtl/>
          <w:lang w:bidi="ar-EG"/>
        </w:rPr>
      </w:pPr>
      <w:r w:rsidRPr="0097007D">
        <w:rPr>
          <w:rFonts w:ascii="Traditional Arabic" w:hAnsi="Traditional Arabic" w:cs="Traditional Arabic"/>
          <w:sz w:val="28"/>
          <w:szCs w:val="28"/>
          <w:lang w:bidi="ar-EG"/>
        </w:rPr>
        <w:t>. </w:t>
      </w:r>
      <w:r w:rsidRPr="0097007D">
        <w:rPr>
          <w:rFonts w:ascii="Traditional Arabic" w:hAnsi="Traditional Arabic" w:cs="Traditional Arabic"/>
          <w:b/>
          <w:bCs/>
          <w:sz w:val="28"/>
          <w:szCs w:val="28"/>
          <w:rtl/>
        </w:rPr>
        <w:t>أما المجال الزماني</w:t>
      </w:r>
      <w:r w:rsidRPr="0097007D">
        <w:rPr>
          <w:rFonts w:ascii="Traditional Arabic" w:hAnsi="Traditional Arabic" w:cs="Traditional Arabic"/>
          <w:sz w:val="28"/>
          <w:szCs w:val="28"/>
          <w:rtl/>
        </w:rPr>
        <w:t>، فيغطي الفترة الممتدة من إطلاق رؤية 2030 (عام 2016) وحتى نهاية عام 2025، وهي الفترة التي شهدت معظم التغيرات الهيكلية في القطاع الإبداعي. وسيتم جمع البيانات الميدانية خلال الفترة ما بين شهري [يحدد الباحث الشهر] و[يحدد الشهر] من عام 2026</w:t>
      </w:r>
      <w:r w:rsidRPr="0097007D">
        <w:rPr>
          <w:rFonts w:ascii="Traditional Arabic" w:hAnsi="Traditional Arabic" w:cs="Traditional Arabic"/>
          <w:sz w:val="28"/>
          <w:szCs w:val="28"/>
          <w:lang w:bidi="ar-EG"/>
        </w:rPr>
        <w:t>.</w:t>
      </w:r>
    </w:p>
    <w:p w14:paraId="3F0F9EA9" w14:textId="77777777" w:rsidR="00912E6C" w:rsidRPr="0097007D" w:rsidRDefault="00912E6C" w:rsidP="0097007D">
      <w:pPr>
        <w:pStyle w:val="ListParagraph"/>
        <w:numPr>
          <w:ilvl w:val="0"/>
          <w:numId w:val="5"/>
        </w:num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b/>
          <w:bCs/>
          <w:sz w:val="28"/>
          <w:szCs w:val="28"/>
          <w:rtl/>
        </w:rPr>
        <w:t>أما المجال البشري</w:t>
      </w:r>
      <w:r w:rsidRPr="0097007D">
        <w:rPr>
          <w:rFonts w:ascii="Traditional Arabic" w:hAnsi="Traditional Arabic" w:cs="Traditional Arabic"/>
          <w:sz w:val="28"/>
          <w:szCs w:val="28"/>
          <w:rtl/>
        </w:rPr>
        <w:t>، فيشمل الشركات الإبداعية المسجلة رسمياً في المملكة والتي تنشط في ثلاثة قطاعات محددة: قطاع الأفلام والإنتاج السمعي البصري، وقطاع الأزياء والتصميم، وقطاع الألعاب الإلكترونية والمحتوى الرقمي. وسيتم اختيار عينة قصدية من هذه الشركات تضم كلاً من الشركات الناشئة والشركات الأكثر رسوخاً، لضمان تنوع الخبرات واستيفاء شروط المقارنة. كما سيتم استهداف المؤسسين والمديرين التنفيذيين ومسؤولي التطوير في هذه الشركات كمصادر رئيسية للبيانات</w:t>
      </w:r>
      <w:r w:rsidRPr="0097007D">
        <w:rPr>
          <w:rFonts w:ascii="Traditional Arabic" w:hAnsi="Traditional Arabic" w:cs="Traditional Arabic"/>
          <w:sz w:val="28"/>
          <w:szCs w:val="28"/>
          <w:lang w:bidi="ar-EG"/>
        </w:rPr>
        <w:t>.</w:t>
      </w:r>
    </w:p>
    <w:p w14:paraId="55469FE5" w14:textId="77777777" w:rsidR="00912E6C" w:rsidRPr="0097007D" w:rsidRDefault="00912E6C" w:rsidP="0097007D">
      <w:pPr>
        <w:pStyle w:val="Heading1"/>
        <w:bidi/>
        <w:spacing w:line="360" w:lineRule="auto"/>
        <w:jc w:val="both"/>
        <w:rPr>
          <w:rFonts w:ascii="Traditional Arabic" w:hAnsi="Traditional Arabic" w:cs="Traditional Arabic"/>
          <w:sz w:val="36"/>
          <w:szCs w:val="36"/>
          <w:lang w:bidi="ar-EG"/>
        </w:rPr>
      </w:pPr>
      <w:bookmarkStart w:id="12" w:name="_Toc224679250"/>
      <w:r w:rsidRPr="0097007D">
        <w:rPr>
          <w:rFonts w:ascii="Traditional Arabic" w:hAnsi="Traditional Arabic" w:cs="Traditional Arabic"/>
          <w:sz w:val="36"/>
          <w:szCs w:val="36"/>
          <w:rtl/>
        </w:rPr>
        <w:t>المقاييس والاختبارات الإحصائية المقترح استخدامها</w:t>
      </w:r>
      <w:bookmarkEnd w:id="12"/>
    </w:p>
    <w:p w14:paraId="1171009E" w14:textId="77777777" w:rsidR="00FF041F" w:rsidRPr="0097007D" w:rsidRDefault="00912E6C" w:rsidP="0097007D">
      <w:pPr>
        <w:bidi/>
        <w:spacing w:line="360" w:lineRule="auto"/>
        <w:jc w:val="both"/>
        <w:rPr>
          <w:rFonts w:ascii="Traditional Arabic" w:hAnsi="Traditional Arabic" w:cs="Traditional Arabic"/>
          <w:sz w:val="28"/>
          <w:szCs w:val="28"/>
          <w:rtl/>
          <w:lang w:bidi="ar-EG"/>
        </w:rPr>
      </w:pPr>
      <w:r w:rsidRPr="0097007D">
        <w:rPr>
          <w:rFonts w:ascii="Traditional Arabic" w:hAnsi="Traditional Arabic" w:cs="Traditional Arabic"/>
          <w:sz w:val="28"/>
          <w:szCs w:val="28"/>
          <w:rtl/>
        </w:rPr>
        <w:t>لتحقيق أهداف الدراسة والإجابة عن تساؤلاتها، سيتم الاعتماد على مجموعة من المقاييس والاختبارات الإحصائية المناسبة</w:t>
      </w:r>
      <w:r w:rsidRPr="0097007D">
        <w:rPr>
          <w:rFonts w:ascii="Traditional Arabic" w:hAnsi="Traditional Arabic" w:cs="Traditional Arabic"/>
          <w:sz w:val="28"/>
          <w:szCs w:val="28"/>
          <w:lang w:bidi="ar-EG"/>
        </w:rPr>
        <w:t>.</w:t>
      </w:r>
    </w:p>
    <w:p w14:paraId="37315A82" w14:textId="77777777" w:rsidR="00FF041F" w:rsidRPr="0097007D" w:rsidRDefault="00912E6C" w:rsidP="0097007D">
      <w:pPr>
        <w:pStyle w:val="ListParagraph"/>
        <w:numPr>
          <w:ilvl w:val="0"/>
          <w:numId w:val="6"/>
        </w:numPr>
        <w:bidi/>
        <w:spacing w:line="360" w:lineRule="auto"/>
        <w:jc w:val="both"/>
        <w:rPr>
          <w:rFonts w:ascii="Traditional Arabic" w:hAnsi="Traditional Arabic" w:cs="Traditional Arabic"/>
          <w:sz w:val="28"/>
          <w:szCs w:val="28"/>
          <w:rtl/>
          <w:lang w:bidi="ar-EG"/>
        </w:rPr>
      </w:pPr>
      <w:r w:rsidRPr="0097007D">
        <w:rPr>
          <w:rFonts w:ascii="Traditional Arabic" w:hAnsi="Traditional Arabic" w:cs="Traditional Arabic"/>
          <w:b/>
          <w:bCs/>
          <w:sz w:val="28"/>
          <w:szCs w:val="28"/>
          <w:rtl/>
        </w:rPr>
        <w:t>أولاً: في التحليل الوصفي</w:t>
      </w:r>
      <w:r w:rsidRPr="0097007D">
        <w:rPr>
          <w:rFonts w:ascii="Traditional Arabic" w:hAnsi="Traditional Arabic" w:cs="Traditional Arabic"/>
          <w:sz w:val="28"/>
          <w:szCs w:val="28"/>
          <w:rtl/>
        </w:rPr>
        <w:t>، سيتم استخدام التكرارات والنسب المئوية والمتوسطات الحسابية والانحرافات المعيارية لوصف خصائص عينة الدراسة واستجابات أفرادها حول متغيرات نماذج العمل والابتكار والكفاءة</w:t>
      </w:r>
      <w:r w:rsidRPr="0097007D">
        <w:rPr>
          <w:rFonts w:ascii="Traditional Arabic" w:hAnsi="Traditional Arabic" w:cs="Traditional Arabic"/>
          <w:sz w:val="28"/>
          <w:szCs w:val="28"/>
          <w:lang w:bidi="ar-EG"/>
        </w:rPr>
        <w:t>.</w:t>
      </w:r>
    </w:p>
    <w:p w14:paraId="7B69EE09" w14:textId="77777777" w:rsidR="00FF041F" w:rsidRPr="0097007D" w:rsidRDefault="00912E6C" w:rsidP="0097007D">
      <w:pPr>
        <w:pStyle w:val="ListParagraph"/>
        <w:numPr>
          <w:ilvl w:val="0"/>
          <w:numId w:val="6"/>
        </w:numPr>
        <w:bidi/>
        <w:spacing w:line="360" w:lineRule="auto"/>
        <w:jc w:val="both"/>
        <w:rPr>
          <w:rFonts w:ascii="Traditional Arabic" w:hAnsi="Traditional Arabic" w:cs="Traditional Arabic"/>
          <w:sz w:val="28"/>
          <w:szCs w:val="28"/>
          <w:rtl/>
          <w:lang w:bidi="ar-EG"/>
        </w:rPr>
      </w:pPr>
      <w:r w:rsidRPr="0097007D">
        <w:rPr>
          <w:rFonts w:ascii="Traditional Arabic" w:hAnsi="Traditional Arabic" w:cs="Traditional Arabic"/>
          <w:b/>
          <w:bCs/>
          <w:sz w:val="28"/>
          <w:szCs w:val="28"/>
          <w:rtl/>
        </w:rPr>
        <w:t>ثانياً: في اختبار الفرضيات والعلاقات بين المتغيرات</w:t>
      </w:r>
      <w:r w:rsidRPr="0097007D">
        <w:rPr>
          <w:rFonts w:ascii="Traditional Arabic" w:hAnsi="Traditional Arabic" w:cs="Traditional Arabic"/>
          <w:sz w:val="28"/>
          <w:szCs w:val="28"/>
          <w:rtl/>
        </w:rPr>
        <w:t>، سيتم استخدام معامل ارتباط بيرسون</w:t>
      </w:r>
      <w:r w:rsidRPr="0097007D">
        <w:rPr>
          <w:rFonts w:ascii="Traditional Arabic" w:hAnsi="Traditional Arabic" w:cs="Traditional Arabic"/>
          <w:sz w:val="28"/>
          <w:szCs w:val="28"/>
          <w:lang w:bidi="ar-EG"/>
        </w:rPr>
        <w:t xml:space="preserve"> (Pearson Correlation) </w:t>
      </w:r>
      <w:r w:rsidRPr="0097007D">
        <w:rPr>
          <w:rFonts w:ascii="Traditional Arabic" w:hAnsi="Traditional Arabic" w:cs="Traditional Arabic"/>
          <w:sz w:val="28"/>
          <w:szCs w:val="28"/>
          <w:rtl/>
        </w:rPr>
        <w:t>لقياس العلاقة بين متغيرات الدراسة مثل العلاقة بين درجة الابتكار في نموذج العمل والأداء التسويقي، والعلاقة بين الكفاءة التشغيلية والربحية. كما سيتم استخدام تحليل الانحدار البسيط والمتعدد</w:t>
      </w:r>
      <w:r w:rsidRPr="0097007D">
        <w:rPr>
          <w:rFonts w:ascii="Traditional Arabic" w:hAnsi="Traditional Arabic" w:cs="Traditional Arabic"/>
          <w:sz w:val="28"/>
          <w:szCs w:val="28"/>
          <w:lang w:bidi="ar-EG"/>
        </w:rPr>
        <w:t xml:space="preserve"> (Regression Analysis) </w:t>
      </w:r>
      <w:r w:rsidRPr="0097007D">
        <w:rPr>
          <w:rFonts w:ascii="Traditional Arabic" w:hAnsi="Traditional Arabic" w:cs="Traditional Arabic"/>
          <w:sz w:val="28"/>
          <w:szCs w:val="28"/>
          <w:rtl/>
        </w:rPr>
        <w:t>لاختبار تأثير المتغيرات المستقلة (كنموذج الكفاءة، نموذج الابتكار، الدعم المؤسسي) على المتغيرات التابعة (كالأداء المالي، الاستدامة، النمو)</w:t>
      </w:r>
      <w:r w:rsidRPr="0097007D">
        <w:rPr>
          <w:rFonts w:ascii="Traditional Arabic" w:hAnsi="Traditional Arabic" w:cs="Traditional Arabic"/>
          <w:sz w:val="28"/>
          <w:szCs w:val="28"/>
          <w:lang w:bidi="ar-EG"/>
        </w:rPr>
        <w:t>.</w:t>
      </w:r>
    </w:p>
    <w:p w14:paraId="29DDD40B" w14:textId="77777777" w:rsidR="00FF041F" w:rsidRPr="0097007D" w:rsidRDefault="00912E6C" w:rsidP="0097007D">
      <w:pPr>
        <w:pStyle w:val="ListParagraph"/>
        <w:numPr>
          <w:ilvl w:val="0"/>
          <w:numId w:val="6"/>
        </w:numPr>
        <w:bidi/>
        <w:spacing w:line="360" w:lineRule="auto"/>
        <w:jc w:val="both"/>
        <w:rPr>
          <w:rFonts w:ascii="Traditional Arabic" w:hAnsi="Traditional Arabic" w:cs="Traditional Arabic"/>
          <w:sz w:val="28"/>
          <w:szCs w:val="28"/>
          <w:rtl/>
          <w:lang w:bidi="ar-EG"/>
        </w:rPr>
      </w:pPr>
      <w:r w:rsidRPr="0097007D">
        <w:rPr>
          <w:rFonts w:ascii="Traditional Arabic" w:hAnsi="Traditional Arabic" w:cs="Traditional Arabic"/>
          <w:b/>
          <w:bCs/>
          <w:sz w:val="28"/>
          <w:szCs w:val="28"/>
          <w:rtl/>
        </w:rPr>
        <w:t>ثالثاً: لاختبار الفروق بين المجموعات</w:t>
      </w:r>
      <w:r w:rsidRPr="0097007D">
        <w:rPr>
          <w:rFonts w:ascii="Traditional Arabic" w:hAnsi="Traditional Arabic" w:cs="Traditional Arabic"/>
          <w:sz w:val="28"/>
          <w:szCs w:val="28"/>
          <w:rtl/>
        </w:rPr>
        <w:t>، سيتم استخدام اختبار (ت) لعينتين مستقلتين</w:t>
      </w:r>
      <w:r w:rsidRPr="0097007D">
        <w:rPr>
          <w:rFonts w:ascii="Traditional Arabic" w:hAnsi="Traditional Arabic" w:cs="Traditional Arabic"/>
          <w:sz w:val="28"/>
          <w:szCs w:val="28"/>
          <w:lang w:bidi="ar-EG"/>
        </w:rPr>
        <w:t xml:space="preserve"> (Independent Samples T-test) </w:t>
      </w:r>
      <w:r w:rsidRPr="0097007D">
        <w:rPr>
          <w:rFonts w:ascii="Traditional Arabic" w:hAnsi="Traditional Arabic" w:cs="Traditional Arabic"/>
          <w:sz w:val="28"/>
          <w:szCs w:val="28"/>
          <w:rtl/>
        </w:rPr>
        <w:t>لفحص الفروق بين الشركات الصغيرة والكبيرة، أو بين القطاعات المختلفة (أفلام، أزياء، ألعاب) في تبني أنماط معينة من نماذج العمل. كما سيتم استخدام تحليل التباين الأحادي</w:t>
      </w:r>
      <w:r w:rsidRPr="0097007D">
        <w:rPr>
          <w:rFonts w:ascii="Traditional Arabic" w:hAnsi="Traditional Arabic" w:cs="Traditional Arabic"/>
          <w:sz w:val="28"/>
          <w:szCs w:val="28"/>
          <w:lang w:bidi="ar-EG"/>
        </w:rPr>
        <w:t xml:space="preserve"> (ANOVA) </w:t>
      </w:r>
      <w:r w:rsidRPr="0097007D">
        <w:rPr>
          <w:rFonts w:ascii="Traditional Arabic" w:hAnsi="Traditional Arabic" w:cs="Traditional Arabic"/>
          <w:sz w:val="28"/>
          <w:szCs w:val="28"/>
          <w:rtl/>
        </w:rPr>
        <w:t>لمقارنة أكثر من مجموعتين</w:t>
      </w:r>
      <w:r w:rsidRPr="0097007D">
        <w:rPr>
          <w:rFonts w:ascii="Traditional Arabic" w:hAnsi="Traditional Arabic" w:cs="Traditional Arabic"/>
          <w:sz w:val="28"/>
          <w:szCs w:val="28"/>
          <w:lang w:bidi="ar-EG"/>
        </w:rPr>
        <w:t>.</w:t>
      </w:r>
    </w:p>
    <w:p w14:paraId="3E1C7EBE" w14:textId="77777777" w:rsidR="00FF041F" w:rsidRPr="0097007D" w:rsidRDefault="00912E6C" w:rsidP="0097007D">
      <w:pPr>
        <w:pStyle w:val="ListParagraph"/>
        <w:numPr>
          <w:ilvl w:val="0"/>
          <w:numId w:val="6"/>
        </w:numPr>
        <w:bidi/>
        <w:spacing w:line="360" w:lineRule="auto"/>
        <w:jc w:val="both"/>
        <w:rPr>
          <w:rFonts w:ascii="Traditional Arabic" w:hAnsi="Traditional Arabic" w:cs="Traditional Arabic"/>
          <w:sz w:val="28"/>
          <w:szCs w:val="28"/>
          <w:rtl/>
          <w:lang w:bidi="ar-EG"/>
        </w:rPr>
      </w:pPr>
      <w:r w:rsidRPr="0097007D">
        <w:rPr>
          <w:rFonts w:ascii="Traditional Arabic" w:hAnsi="Traditional Arabic" w:cs="Traditional Arabic"/>
          <w:b/>
          <w:bCs/>
          <w:sz w:val="28"/>
          <w:szCs w:val="28"/>
          <w:rtl/>
        </w:rPr>
        <w:t>رابعاً: في تحليل البيانات الكيفية</w:t>
      </w:r>
      <w:r w:rsidRPr="0097007D">
        <w:rPr>
          <w:rFonts w:ascii="Traditional Arabic" w:hAnsi="Traditional Arabic" w:cs="Traditional Arabic"/>
          <w:sz w:val="28"/>
          <w:szCs w:val="28"/>
          <w:rtl/>
        </w:rPr>
        <w:t>، سيتم استخدام أسلوب التحليل الموضوعي</w:t>
      </w:r>
      <w:r w:rsidRPr="0097007D">
        <w:rPr>
          <w:rFonts w:ascii="Traditional Arabic" w:hAnsi="Traditional Arabic" w:cs="Traditional Arabic"/>
          <w:sz w:val="28"/>
          <w:szCs w:val="28"/>
          <w:lang w:bidi="ar-EG"/>
        </w:rPr>
        <w:t xml:space="preserve"> (Thematic Analysis) </w:t>
      </w:r>
      <w:r w:rsidRPr="0097007D">
        <w:rPr>
          <w:rFonts w:ascii="Traditional Arabic" w:hAnsi="Traditional Arabic" w:cs="Traditional Arabic"/>
          <w:sz w:val="28"/>
          <w:szCs w:val="28"/>
          <w:rtl/>
        </w:rPr>
        <w:t>لاستخلاص الأنماط والموضوعات الرئيسية من نصوص المقابلات، معتمدين على الترميز المزدوج لضمان الثبات والموثوقية. وسيتم أيضاً استخدام أسلوب تحليل المحتوى</w:t>
      </w:r>
      <w:r w:rsidRPr="0097007D">
        <w:rPr>
          <w:rFonts w:ascii="Traditional Arabic" w:hAnsi="Traditional Arabic" w:cs="Traditional Arabic"/>
          <w:sz w:val="28"/>
          <w:szCs w:val="28"/>
          <w:lang w:bidi="ar-EG"/>
        </w:rPr>
        <w:t xml:space="preserve"> (Content Analysis) </w:t>
      </w:r>
      <w:r w:rsidRPr="0097007D">
        <w:rPr>
          <w:rFonts w:ascii="Traditional Arabic" w:hAnsi="Traditional Arabic" w:cs="Traditional Arabic"/>
          <w:sz w:val="28"/>
          <w:szCs w:val="28"/>
          <w:rtl/>
        </w:rPr>
        <w:t>لتحليل الوثائق والتقارير الصادرة عن الشركات والجهات الرسمية</w:t>
      </w:r>
      <w:r w:rsidRPr="0097007D">
        <w:rPr>
          <w:rFonts w:ascii="Traditional Arabic" w:hAnsi="Traditional Arabic" w:cs="Traditional Arabic"/>
          <w:sz w:val="28"/>
          <w:szCs w:val="28"/>
          <w:lang w:bidi="ar-EG"/>
        </w:rPr>
        <w:t>. </w:t>
      </w:r>
    </w:p>
    <w:p w14:paraId="66370335" w14:textId="77777777" w:rsidR="00912E6C" w:rsidRPr="0097007D" w:rsidRDefault="00912E6C" w:rsidP="0097007D">
      <w:pPr>
        <w:pStyle w:val="ListParagraph"/>
        <w:numPr>
          <w:ilvl w:val="0"/>
          <w:numId w:val="6"/>
        </w:numPr>
        <w:bidi/>
        <w:spacing w:line="360" w:lineRule="auto"/>
        <w:jc w:val="both"/>
        <w:rPr>
          <w:rFonts w:ascii="Traditional Arabic" w:hAnsi="Traditional Arabic" w:cs="Traditional Arabic"/>
          <w:sz w:val="28"/>
          <w:szCs w:val="28"/>
          <w:lang w:bidi="ar-EG"/>
        </w:rPr>
      </w:pPr>
      <w:r w:rsidRPr="0097007D">
        <w:rPr>
          <w:rFonts w:ascii="Traditional Arabic" w:hAnsi="Traditional Arabic" w:cs="Traditional Arabic"/>
          <w:b/>
          <w:bCs/>
          <w:sz w:val="28"/>
          <w:szCs w:val="28"/>
          <w:rtl/>
        </w:rPr>
        <w:t>خامساً: سيتم التحقق من صدق وثبات أدوات الدراسة</w:t>
      </w:r>
      <w:r w:rsidRPr="0097007D">
        <w:rPr>
          <w:rFonts w:ascii="Traditional Arabic" w:hAnsi="Traditional Arabic" w:cs="Traditional Arabic"/>
          <w:sz w:val="28"/>
          <w:szCs w:val="28"/>
          <w:rtl/>
        </w:rPr>
        <w:t> من خلال عرضها على مجموعة من المحكمين المتخصصين، وحساب معامل ألفا كرونباخ</w:t>
      </w:r>
      <w:r w:rsidRPr="0097007D">
        <w:rPr>
          <w:rFonts w:ascii="Traditional Arabic" w:hAnsi="Traditional Arabic" w:cs="Traditional Arabic"/>
          <w:sz w:val="28"/>
          <w:szCs w:val="28"/>
          <w:lang w:bidi="ar-EG"/>
        </w:rPr>
        <w:t xml:space="preserve"> (Cronbach's Alpha) </w:t>
      </w:r>
      <w:r w:rsidRPr="0097007D">
        <w:rPr>
          <w:rFonts w:ascii="Traditional Arabic" w:hAnsi="Traditional Arabic" w:cs="Traditional Arabic"/>
          <w:sz w:val="28"/>
          <w:szCs w:val="28"/>
          <w:rtl/>
        </w:rPr>
        <w:t>للتأكد من ثبات فقرات الاستبانة. كما سيتم التأكد من طبيعية توزيع البيانات قبل استخدام الاختبارات المعلمية</w:t>
      </w:r>
      <w:r w:rsidRPr="0097007D">
        <w:rPr>
          <w:rFonts w:ascii="Traditional Arabic" w:hAnsi="Traditional Arabic" w:cs="Traditional Arabic"/>
          <w:sz w:val="28"/>
          <w:szCs w:val="28"/>
          <w:lang w:bidi="ar-EG"/>
        </w:rPr>
        <w:t>.</w:t>
      </w:r>
    </w:p>
    <w:p w14:paraId="6782ED55" w14:textId="77777777" w:rsidR="00A87AF9" w:rsidRPr="0097007D" w:rsidRDefault="00A87AF9" w:rsidP="0097007D">
      <w:pPr>
        <w:bidi/>
        <w:spacing w:line="360" w:lineRule="auto"/>
        <w:jc w:val="both"/>
        <w:rPr>
          <w:rFonts w:ascii="Traditional Arabic" w:hAnsi="Traditional Arabic" w:cs="Traditional Arabic"/>
          <w:sz w:val="28"/>
          <w:szCs w:val="28"/>
          <w:rtl/>
          <w:lang w:bidi="ar-EG"/>
        </w:rPr>
      </w:pPr>
    </w:p>
    <w:p w14:paraId="24D7B0FE" w14:textId="77777777" w:rsidR="00A87AF9" w:rsidRPr="0097007D" w:rsidRDefault="00A87AF9" w:rsidP="0097007D">
      <w:pPr>
        <w:bidi/>
        <w:spacing w:line="360" w:lineRule="auto"/>
        <w:jc w:val="both"/>
        <w:rPr>
          <w:rFonts w:ascii="Traditional Arabic" w:hAnsi="Traditional Arabic" w:cs="Traditional Arabic"/>
          <w:sz w:val="28"/>
          <w:szCs w:val="28"/>
          <w:rtl/>
          <w:lang w:bidi="ar-EG"/>
        </w:rPr>
      </w:pPr>
    </w:p>
    <w:p w14:paraId="01ADD552" w14:textId="77777777" w:rsidR="00A87AF9" w:rsidRPr="0097007D" w:rsidRDefault="00A87AF9" w:rsidP="0097007D">
      <w:pPr>
        <w:bidi/>
        <w:spacing w:line="360" w:lineRule="auto"/>
        <w:jc w:val="both"/>
        <w:rPr>
          <w:rFonts w:ascii="Traditional Arabic" w:hAnsi="Traditional Arabic" w:cs="Traditional Arabic"/>
          <w:sz w:val="28"/>
          <w:szCs w:val="28"/>
          <w:rtl/>
          <w:lang w:bidi="ar-EG"/>
        </w:rPr>
      </w:pPr>
    </w:p>
    <w:p w14:paraId="04DD647D" w14:textId="77777777" w:rsidR="00852DF0" w:rsidRPr="0097007D" w:rsidRDefault="00852DF0" w:rsidP="0097007D">
      <w:pPr>
        <w:bidi/>
        <w:spacing w:line="360" w:lineRule="auto"/>
        <w:jc w:val="both"/>
        <w:rPr>
          <w:rFonts w:ascii="Traditional Arabic" w:hAnsi="Traditional Arabic" w:cs="Traditional Arabic"/>
          <w:sz w:val="28"/>
          <w:szCs w:val="28"/>
          <w:rtl/>
          <w:lang w:bidi="ar-EG"/>
        </w:rPr>
      </w:pPr>
    </w:p>
    <w:p w14:paraId="3C64BDA5" w14:textId="77777777" w:rsidR="0097007D" w:rsidRPr="0097007D" w:rsidRDefault="0097007D" w:rsidP="0097007D">
      <w:pPr>
        <w:bidi/>
        <w:spacing w:line="360" w:lineRule="auto"/>
        <w:jc w:val="both"/>
        <w:rPr>
          <w:rFonts w:ascii="Traditional Arabic" w:hAnsi="Traditional Arabic" w:cs="Traditional Arabic"/>
          <w:sz w:val="28"/>
          <w:szCs w:val="28"/>
          <w:rtl/>
          <w:lang w:bidi="ar-EG"/>
        </w:rPr>
      </w:pPr>
    </w:p>
    <w:p w14:paraId="7FCC302F" w14:textId="77777777" w:rsidR="0097007D" w:rsidRPr="0097007D" w:rsidRDefault="0097007D" w:rsidP="0097007D">
      <w:pPr>
        <w:bidi/>
        <w:spacing w:line="360" w:lineRule="auto"/>
        <w:jc w:val="both"/>
        <w:rPr>
          <w:rFonts w:ascii="Traditional Arabic" w:hAnsi="Traditional Arabic" w:cs="Traditional Arabic"/>
          <w:sz w:val="28"/>
          <w:szCs w:val="28"/>
          <w:rtl/>
          <w:lang w:bidi="ar-EG"/>
        </w:rPr>
      </w:pPr>
    </w:p>
    <w:p w14:paraId="57617E0C" w14:textId="77777777" w:rsidR="0097007D" w:rsidRPr="0097007D" w:rsidRDefault="0097007D" w:rsidP="0097007D">
      <w:pPr>
        <w:bidi/>
        <w:spacing w:line="360" w:lineRule="auto"/>
        <w:jc w:val="both"/>
        <w:rPr>
          <w:rFonts w:ascii="Traditional Arabic" w:hAnsi="Traditional Arabic" w:cs="Traditional Arabic"/>
          <w:sz w:val="28"/>
          <w:szCs w:val="28"/>
          <w:rtl/>
          <w:lang w:bidi="ar-EG"/>
        </w:rPr>
      </w:pPr>
    </w:p>
    <w:p w14:paraId="522D7FAE" w14:textId="77777777" w:rsidR="0097007D" w:rsidRPr="0097007D" w:rsidRDefault="0097007D" w:rsidP="0097007D">
      <w:pPr>
        <w:bidi/>
        <w:spacing w:line="360" w:lineRule="auto"/>
        <w:jc w:val="both"/>
        <w:rPr>
          <w:rFonts w:ascii="Traditional Arabic" w:hAnsi="Traditional Arabic" w:cs="Traditional Arabic"/>
          <w:sz w:val="28"/>
          <w:szCs w:val="28"/>
          <w:rtl/>
          <w:lang w:bidi="ar-EG"/>
        </w:rPr>
      </w:pPr>
    </w:p>
    <w:p w14:paraId="36881093" w14:textId="77777777" w:rsidR="00A87AF9" w:rsidRPr="0097007D" w:rsidRDefault="00A87AF9" w:rsidP="0097007D">
      <w:pPr>
        <w:pStyle w:val="Heading1"/>
        <w:bidi/>
        <w:spacing w:line="360" w:lineRule="auto"/>
        <w:jc w:val="both"/>
        <w:rPr>
          <w:rFonts w:ascii="Traditional Arabic" w:hAnsi="Traditional Arabic" w:cs="Traditional Arabic"/>
          <w:sz w:val="36"/>
          <w:szCs w:val="36"/>
          <w:lang w:bidi="ar-EG"/>
        </w:rPr>
      </w:pPr>
      <w:bookmarkStart w:id="13" w:name="_Toc224679251"/>
      <w:r w:rsidRPr="0097007D">
        <w:rPr>
          <w:rFonts w:ascii="Traditional Arabic" w:hAnsi="Traditional Arabic" w:cs="Traditional Arabic"/>
          <w:sz w:val="36"/>
          <w:szCs w:val="36"/>
          <w:rtl/>
        </w:rPr>
        <w:t xml:space="preserve">قائمة </w:t>
      </w:r>
      <w:r w:rsidR="00912E6C" w:rsidRPr="0097007D">
        <w:rPr>
          <w:rFonts w:ascii="Traditional Arabic" w:hAnsi="Traditional Arabic" w:cs="Traditional Arabic"/>
          <w:sz w:val="36"/>
          <w:szCs w:val="36"/>
          <w:rtl/>
        </w:rPr>
        <w:t>ال</w:t>
      </w:r>
      <w:r w:rsidRPr="0097007D">
        <w:rPr>
          <w:rFonts w:ascii="Traditional Arabic" w:hAnsi="Traditional Arabic" w:cs="Traditional Arabic"/>
          <w:sz w:val="36"/>
          <w:szCs w:val="36"/>
          <w:rtl/>
        </w:rPr>
        <w:t>مراجع</w:t>
      </w:r>
      <w:bookmarkEnd w:id="13"/>
      <w:r w:rsidRPr="0097007D">
        <w:rPr>
          <w:rFonts w:ascii="Traditional Arabic" w:hAnsi="Traditional Arabic" w:cs="Traditional Arabic"/>
          <w:sz w:val="36"/>
          <w:szCs w:val="36"/>
          <w:rtl/>
        </w:rPr>
        <w:t xml:space="preserve"> </w:t>
      </w:r>
    </w:p>
    <w:p w14:paraId="1CF0B37E" w14:textId="77777777" w:rsidR="00A87AF9" w:rsidRPr="0097007D" w:rsidRDefault="00A87AF9"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rtl/>
        </w:rPr>
        <w:t>القحطاني، ع. ب. ع. (2025). دور الاقتصاد الإبداعي في تحقيق أهداف التنمية المستدامة: التجربة السعودية نموذجًا (دراسة مرجعية). حوليات آداب عين شمس، 53، 83–103</w:t>
      </w:r>
      <w:r w:rsidRPr="0097007D">
        <w:rPr>
          <w:rFonts w:ascii="Traditional Arabic" w:hAnsi="Traditional Arabic" w:cs="Traditional Arabic"/>
          <w:sz w:val="28"/>
          <w:szCs w:val="28"/>
          <w:lang w:bidi="ar-EG"/>
        </w:rPr>
        <w:t>. </w:t>
      </w:r>
      <w:hyperlink r:id="rId8" w:tgtFrame="_blank" w:history="1">
        <w:r w:rsidRPr="0097007D">
          <w:rPr>
            <w:rStyle w:val="Hyperlink"/>
            <w:rFonts w:ascii="Traditional Arabic" w:hAnsi="Traditional Arabic" w:cs="Traditional Arabic"/>
            <w:sz w:val="28"/>
            <w:szCs w:val="28"/>
            <w:lang w:bidi="ar-EG"/>
          </w:rPr>
          <w:t>https://journals.ekb.eg/article_456550.html</w:t>
        </w:r>
      </w:hyperlink>
      <w:r w:rsidRPr="0097007D">
        <w:rPr>
          <w:rFonts w:ascii="Traditional Arabic" w:hAnsi="Traditional Arabic" w:cs="Traditional Arabic"/>
          <w:sz w:val="28"/>
          <w:szCs w:val="28"/>
          <w:lang w:bidi="ar-EG"/>
        </w:rPr>
        <w:br/>
      </w:r>
      <w:hyperlink r:id="rId9" w:tgtFrame="_blank" w:history="1">
        <w:r w:rsidRPr="0097007D">
          <w:rPr>
            <w:rStyle w:val="Hyperlink"/>
            <w:rFonts w:ascii="Traditional Arabic" w:hAnsi="Traditional Arabic" w:cs="Traditional Arabic"/>
            <w:sz w:val="28"/>
            <w:szCs w:val="28"/>
            <w:lang w:bidi="ar-EG"/>
          </w:rPr>
          <w:t>rowadjourney</w:t>
        </w:r>
      </w:hyperlink>
      <w:r w:rsidRPr="0097007D">
        <w:rPr>
          <w:rFonts w:ascii="Times New Roman" w:hAnsi="Times New Roman" w:cs="Times New Roman"/>
          <w:sz w:val="28"/>
          <w:szCs w:val="28"/>
          <w:lang w:bidi="ar-EG"/>
        </w:rPr>
        <w:t>​</w:t>
      </w:r>
    </w:p>
    <w:p w14:paraId="5922A550" w14:textId="77777777" w:rsidR="00A87AF9" w:rsidRPr="0097007D" w:rsidRDefault="00A87AF9"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rtl/>
        </w:rPr>
        <w:t>الأنصاري، ع. ب. م. (2018). الاقتصاد الإبداعي: سمة رئيسة في رؤية المملكة 2030. مجلة مكاشفات، 1(3)، 16–20. مركز البحوث والتواصل المعرفي</w:t>
      </w:r>
      <w:r w:rsidRPr="0097007D">
        <w:rPr>
          <w:rFonts w:ascii="Traditional Arabic" w:hAnsi="Traditional Arabic" w:cs="Traditional Arabic"/>
          <w:sz w:val="28"/>
          <w:szCs w:val="28"/>
          <w:lang w:bidi="ar-EG"/>
        </w:rPr>
        <w:t>. </w:t>
      </w:r>
      <w:hyperlink r:id="rId10" w:tgtFrame="_blank" w:history="1">
        <w:r w:rsidRPr="0097007D">
          <w:rPr>
            <w:rStyle w:val="Hyperlink"/>
            <w:rFonts w:ascii="Traditional Arabic" w:hAnsi="Traditional Arabic" w:cs="Traditional Arabic"/>
            <w:sz w:val="28"/>
            <w:szCs w:val="28"/>
            <w:lang w:bidi="ar-EG"/>
          </w:rPr>
          <w:t>https://search.mandumah.com/Record/1145200</w:t>
        </w:r>
      </w:hyperlink>
      <w:r w:rsidRPr="0097007D">
        <w:rPr>
          <w:rFonts w:ascii="Traditional Arabic" w:hAnsi="Traditional Arabic" w:cs="Traditional Arabic"/>
          <w:sz w:val="28"/>
          <w:szCs w:val="28"/>
          <w:lang w:bidi="ar-EG"/>
        </w:rPr>
        <w:br/>
      </w:r>
      <w:hyperlink r:id="rId11" w:tgtFrame="_blank" w:history="1">
        <w:r w:rsidRPr="0097007D">
          <w:rPr>
            <w:rStyle w:val="Hyperlink"/>
            <w:rFonts w:ascii="Traditional Arabic" w:hAnsi="Traditional Arabic" w:cs="Traditional Arabic"/>
            <w:sz w:val="28"/>
            <w:szCs w:val="28"/>
            <w:lang w:bidi="ar-EG"/>
          </w:rPr>
          <w:t>search.mandumah</w:t>
        </w:r>
      </w:hyperlink>
      <w:r w:rsidRPr="0097007D">
        <w:rPr>
          <w:rFonts w:ascii="Times New Roman" w:hAnsi="Times New Roman" w:cs="Times New Roman"/>
          <w:sz w:val="28"/>
          <w:szCs w:val="28"/>
          <w:lang w:bidi="ar-EG"/>
        </w:rPr>
        <w:t>​</w:t>
      </w:r>
    </w:p>
    <w:p w14:paraId="212CE547" w14:textId="77777777" w:rsidR="00A87AF9" w:rsidRPr="0097007D" w:rsidRDefault="00A87AF9"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rtl/>
        </w:rPr>
        <w:t>القحطاني، ع. ب. ع. (2025). الاقتصاد الإبداعي السعودي في صلب التنمية المستدامة: عرض تجربة المملكة في مؤتمر عين شمس 2025. صحيفة مصر الآن</w:t>
      </w:r>
      <w:r w:rsidRPr="0097007D">
        <w:rPr>
          <w:rFonts w:ascii="Traditional Arabic" w:hAnsi="Traditional Arabic" w:cs="Traditional Arabic"/>
          <w:sz w:val="28"/>
          <w:szCs w:val="28"/>
          <w:lang w:bidi="ar-EG"/>
        </w:rPr>
        <w:t>. </w:t>
      </w:r>
      <w:hyperlink r:id="rId12" w:tgtFrame="_blank" w:history="1">
        <w:r w:rsidRPr="0097007D">
          <w:rPr>
            <w:rStyle w:val="Hyperlink"/>
            <w:rFonts w:ascii="Traditional Arabic" w:hAnsi="Traditional Arabic" w:cs="Traditional Arabic"/>
            <w:sz w:val="28"/>
            <w:szCs w:val="28"/>
            <w:lang w:bidi="ar-EG"/>
          </w:rPr>
          <w:t>https://misralan.net/archives/335789</w:t>
        </w:r>
      </w:hyperlink>
      <w:r w:rsidRPr="0097007D">
        <w:rPr>
          <w:rFonts w:ascii="Traditional Arabic" w:hAnsi="Traditional Arabic" w:cs="Traditional Arabic"/>
          <w:sz w:val="28"/>
          <w:szCs w:val="28"/>
          <w:lang w:bidi="ar-EG"/>
        </w:rPr>
        <w:br/>
      </w:r>
      <w:hyperlink r:id="rId13" w:tgtFrame="_blank" w:history="1">
        <w:r w:rsidRPr="0097007D">
          <w:rPr>
            <w:rStyle w:val="Hyperlink"/>
            <w:rFonts w:ascii="Traditional Arabic" w:hAnsi="Traditional Arabic" w:cs="Traditional Arabic"/>
            <w:sz w:val="28"/>
            <w:szCs w:val="28"/>
            <w:lang w:bidi="ar-EG"/>
          </w:rPr>
          <w:t>misralan</w:t>
        </w:r>
      </w:hyperlink>
      <w:r w:rsidRPr="0097007D">
        <w:rPr>
          <w:rFonts w:ascii="Times New Roman" w:hAnsi="Times New Roman" w:cs="Times New Roman"/>
          <w:sz w:val="28"/>
          <w:szCs w:val="28"/>
          <w:lang w:bidi="ar-EG"/>
        </w:rPr>
        <w:t>​</w:t>
      </w:r>
    </w:p>
    <w:p w14:paraId="526487E5" w14:textId="77777777" w:rsidR="00A87AF9" w:rsidRPr="0097007D" w:rsidRDefault="00A87AF9"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rtl/>
        </w:rPr>
        <w:t>وزارة الثقافة السعودية. (2020). رؤية وتوجهات وزارة الثقافة في المملكة العربية السعودية. وزارة الثقافة</w:t>
      </w:r>
      <w:r w:rsidRPr="0097007D">
        <w:rPr>
          <w:rFonts w:ascii="Traditional Arabic" w:hAnsi="Traditional Arabic" w:cs="Traditional Arabic"/>
          <w:sz w:val="28"/>
          <w:szCs w:val="28"/>
          <w:lang w:bidi="ar-EG"/>
        </w:rPr>
        <w:t>. </w:t>
      </w:r>
      <w:hyperlink r:id="rId14" w:tgtFrame="_blank" w:history="1">
        <w:r w:rsidRPr="0097007D">
          <w:rPr>
            <w:rStyle w:val="Hyperlink"/>
            <w:rFonts w:ascii="Traditional Arabic" w:hAnsi="Traditional Arabic" w:cs="Traditional Arabic"/>
            <w:sz w:val="28"/>
            <w:szCs w:val="28"/>
            <w:lang w:bidi="ar-EG"/>
          </w:rPr>
          <w:t>https://www.moc.gov.sa/-/media/Project/Ministries/Moc/Publications/MOC_Cultural_Vision_AR_NEW-(2).pdf</w:t>
        </w:r>
      </w:hyperlink>
      <w:r w:rsidRPr="0097007D">
        <w:rPr>
          <w:rFonts w:ascii="Traditional Arabic" w:hAnsi="Traditional Arabic" w:cs="Traditional Arabic"/>
          <w:sz w:val="28"/>
          <w:szCs w:val="28"/>
          <w:lang w:bidi="ar-EG"/>
        </w:rPr>
        <w:br/>
      </w:r>
      <w:hyperlink r:id="rId15" w:tgtFrame="_blank" w:history="1">
        <w:r w:rsidRPr="0097007D">
          <w:rPr>
            <w:rStyle w:val="Hyperlink"/>
            <w:rFonts w:ascii="Traditional Arabic" w:hAnsi="Traditional Arabic" w:cs="Traditional Arabic"/>
            <w:sz w:val="28"/>
            <w:szCs w:val="28"/>
            <w:lang w:bidi="ar-EG"/>
          </w:rPr>
          <w:t>moc.gov</w:t>
        </w:r>
      </w:hyperlink>
      <w:r w:rsidRPr="0097007D">
        <w:rPr>
          <w:rFonts w:ascii="Times New Roman" w:hAnsi="Times New Roman" w:cs="Times New Roman"/>
          <w:sz w:val="28"/>
          <w:szCs w:val="28"/>
          <w:lang w:bidi="ar-EG"/>
        </w:rPr>
        <w:t>​</w:t>
      </w:r>
    </w:p>
    <w:p w14:paraId="75BE3162" w14:textId="77777777" w:rsidR="00A87AF9" w:rsidRPr="0097007D" w:rsidRDefault="00A87AF9"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rtl/>
        </w:rPr>
        <w:t>رؤية المملكة العربية السعودية 2030. (2024). رؤية السعودية 2030. برنامج رؤية 2030</w:t>
      </w:r>
      <w:r w:rsidRPr="0097007D">
        <w:rPr>
          <w:rFonts w:ascii="Traditional Arabic" w:hAnsi="Traditional Arabic" w:cs="Traditional Arabic"/>
          <w:sz w:val="28"/>
          <w:szCs w:val="28"/>
          <w:lang w:bidi="ar-EG"/>
        </w:rPr>
        <w:t>. </w:t>
      </w:r>
      <w:hyperlink r:id="rId16" w:tgtFrame="_blank" w:history="1">
        <w:r w:rsidRPr="0097007D">
          <w:rPr>
            <w:rStyle w:val="Hyperlink"/>
            <w:rFonts w:ascii="Traditional Arabic" w:hAnsi="Traditional Arabic" w:cs="Traditional Arabic"/>
            <w:sz w:val="28"/>
            <w:szCs w:val="28"/>
            <w:lang w:bidi="ar-EG"/>
          </w:rPr>
          <w:t>https://www.vision2030.gov.sa/ar/</w:t>
        </w:r>
      </w:hyperlink>
      <w:r w:rsidRPr="0097007D">
        <w:rPr>
          <w:rFonts w:ascii="Traditional Arabic" w:hAnsi="Traditional Arabic" w:cs="Traditional Arabic"/>
          <w:sz w:val="28"/>
          <w:szCs w:val="28"/>
          <w:lang w:bidi="ar-EG"/>
        </w:rPr>
        <w:br/>
      </w:r>
      <w:hyperlink r:id="rId17" w:tgtFrame="_blank" w:history="1">
        <w:r w:rsidRPr="0097007D">
          <w:rPr>
            <w:rStyle w:val="Hyperlink"/>
            <w:rFonts w:ascii="Traditional Arabic" w:hAnsi="Traditional Arabic" w:cs="Traditional Arabic"/>
            <w:sz w:val="28"/>
            <w:szCs w:val="28"/>
            <w:lang w:bidi="ar-EG"/>
          </w:rPr>
          <w:t>vision2030.gov</w:t>
        </w:r>
      </w:hyperlink>
      <w:r w:rsidRPr="0097007D">
        <w:rPr>
          <w:rFonts w:ascii="Times New Roman" w:hAnsi="Times New Roman" w:cs="Times New Roman"/>
          <w:sz w:val="28"/>
          <w:szCs w:val="28"/>
          <w:lang w:bidi="ar-EG"/>
        </w:rPr>
        <w:t>​</w:t>
      </w:r>
    </w:p>
    <w:p w14:paraId="1C796A99" w14:textId="77777777" w:rsidR="00A87AF9" w:rsidRPr="0097007D" w:rsidRDefault="005934C6"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rPr>
        <w:t>Rowad Journey</w:t>
      </w:r>
      <w:r w:rsidR="00A87AF9" w:rsidRPr="0097007D">
        <w:rPr>
          <w:rFonts w:ascii="Traditional Arabic" w:hAnsi="Traditional Arabic" w:cs="Traditional Arabic"/>
          <w:sz w:val="28"/>
          <w:szCs w:val="28"/>
          <w:lang w:bidi="ar-EG"/>
        </w:rPr>
        <w:t xml:space="preserve"> (Rowad Journey). (2025). </w:t>
      </w:r>
      <w:r w:rsidR="00A87AF9" w:rsidRPr="0097007D">
        <w:rPr>
          <w:rFonts w:ascii="Traditional Arabic" w:hAnsi="Traditional Arabic" w:cs="Traditional Arabic"/>
          <w:sz w:val="28"/>
          <w:szCs w:val="28"/>
          <w:rtl/>
        </w:rPr>
        <w:t>الصناعات الإبداعية: كيف تستفيد السعودية من رؤية 2030 لتحفيز الإبداع والنمو؟ منصة رحلة روّاد الأعمال</w:t>
      </w:r>
      <w:r w:rsidR="00A87AF9" w:rsidRPr="0097007D">
        <w:rPr>
          <w:rFonts w:ascii="Traditional Arabic" w:hAnsi="Traditional Arabic" w:cs="Traditional Arabic"/>
          <w:sz w:val="28"/>
          <w:szCs w:val="28"/>
          <w:lang w:bidi="ar-EG"/>
        </w:rPr>
        <w:t>. </w:t>
      </w:r>
      <w:hyperlink r:id="rId18" w:tgtFrame="_blank" w:history="1">
        <w:r w:rsidR="00A87AF9" w:rsidRPr="0097007D">
          <w:rPr>
            <w:rStyle w:val="Hyperlink"/>
            <w:rFonts w:ascii="Traditional Arabic" w:hAnsi="Traditional Arabic" w:cs="Traditional Arabic"/>
            <w:sz w:val="28"/>
            <w:szCs w:val="28"/>
            <w:lang w:bidi="ar-EG"/>
          </w:rPr>
          <w:t>https://rowadjourney.com/Business-Development/lsnaat-lbdaay-kyf-tstfyd-lsaaody-mn-ry-2030-lthfyz/</w:t>
        </w:r>
      </w:hyperlink>
      <w:r w:rsidR="00A87AF9" w:rsidRPr="0097007D">
        <w:rPr>
          <w:rFonts w:ascii="Traditional Arabic" w:hAnsi="Traditional Arabic" w:cs="Traditional Arabic"/>
          <w:sz w:val="28"/>
          <w:szCs w:val="28"/>
          <w:lang w:bidi="ar-EG"/>
        </w:rPr>
        <w:br/>
      </w:r>
      <w:hyperlink r:id="rId19" w:tgtFrame="_blank" w:history="1">
        <w:r w:rsidR="00A87AF9" w:rsidRPr="0097007D">
          <w:rPr>
            <w:rStyle w:val="Hyperlink"/>
            <w:rFonts w:ascii="Traditional Arabic" w:hAnsi="Traditional Arabic" w:cs="Traditional Arabic"/>
            <w:sz w:val="28"/>
            <w:szCs w:val="28"/>
            <w:lang w:bidi="ar-EG"/>
          </w:rPr>
          <w:t>rowadjourney</w:t>
        </w:r>
      </w:hyperlink>
      <w:r w:rsidR="00A87AF9" w:rsidRPr="0097007D">
        <w:rPr>
          <w:rFonts w:ascii="Times New Roman" w:hAnsi="Times New Roman" w:cs="Times New Roman"/>
          <w:sz w:val="28"/>
          <w:szCs w:val="28"/>
          <w:lang w:bidi="ar-EG"/>
        </w:rPr>
        <w:t>​</w:t>
      </w:r>
    </w:p>
    <w:p w14:paraId="78FB3BEE" w14:textId="77777777" w:rsidR="00A87AF9" w:rsidRPr="0097007D" w:rsidRDefault="00A87AF9"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rtl/>
        </w:rPr>
        <w:t>جريدة الرياض. (2025، 5 فبراير). الصناعات الثقافية والإبداعية ومستهدفات التحول الوطني. جريدة الرياض</w:t>
      </w:r>
      <w:r w:rsidRPr="0097007D">
        <w:rPr>
          <w:rFonts w:ascii="Traditional Arabic" w:hAnsi="Traditional Arabic" w:cs="Traditional Arabic"/>
          <w:sz w:val="28"/>
          <w:szCs w:val="28"/>
          <w:lang w:bidi="ar-EG"/>
        </w:rPr>
        <w:t>. </w:t>
      </w:r>
      <w:hyperlink r:id="rId20" w:tgtFrame="_blank" w:history="1">
        <w:r w:rsidRPr="0097007D">
          <w:rPr>
            <w:rStyle w:val="Hyperlink"/>
            <w:rFonts w:ascii="Traditional Arabic" w:hAnsi="Traditional Arabic" w:cs="Traditional Arabic"/>
            <w:sz w:val="28"/>
            <w:szCs w:val="28"/>
            <w:lang w:bidi="ar-EG"/>
          </w:rPr>
          <w:t>https://www.</w:t>
        </w:r>
        <w:r w:rsidR="00852DF0" w:rsidRPr="0097007D">
          <w:rPr>
            <w:rStyle w:val="Hyperlink"/>
            <w:rFonts w:ascii="Traditional Arabic" w:hAnsi="Traditional Arabic" w:cs="Traditional Arabic"/>
            <w:sz w:val="28"/>
            <w:szCs w:val="28"/>
            <w:lang w:bidi="ar-EG"/>
          </w:rPr>
          <w:t xml:space="preserve"> </w:t>
        </w:r>
        <w:r w:rsidRPr="0097007D">
          <w:rPr>
            <w:rStyle w:val="Hyperlink"/>
            <w:rFonts w:ascii="Traditional Arabic" w:hAnsi="Traditional Arabic" w:cs="Traditional Arabic"/>
            <w:sz w:val="28"/>
            <w:szCs w:val="28"/>
            <w:lang w:bidi="ar-EG"/>
          </w:rPr>
          <w:t>.com/2117456</w:t>
        </w:r>
      </w:hyperlink>
      <w:r w:rsidRPr="0097007D">
        <w:rPr>
          <w:rFonts w:ascii="Times New Roman" w:hAnsi="Times New Roman" w:cs="Times New Roman"/>
          <w:sz w:val="28"/>
          <w:szCs w:val="28"/>
          <w:lang w:bidi="ar-EG"/>
        </w:rPr>
        <w:t>​</w:t>
      </w:r>
    </w:p>
    <w:p w14:paraId="59371D2F" w14:textId="77777777" w:rsidR="00A87AF9" w:rsidRPr="0097007D" w:rsidRDefault="00A87AF9"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rtl/>
        </w:rPr>
        <w:t>سارة عبدالعزيز المعيذر. (2025، 30 نوفمبر). الاقتصاد الإبداعي السعودي قوة ناعمة قادرة على تعزيز الهوية الوطنية. جريدة الرياض</w:t>
      </w:r>
      <w:r w:rsidRPr="0097007D">
        <w:rPr>
          <w:rFonts w:ascii="Traditional Arabic" w:hAnsi="Traditional Arabic" w:cs="Traditional Arabic"/>
          <w:sz w:val="28"/>
          <w:szCs w:val="28"/>
          <w:lang w:bidi="ar-EG"/>
        </w:rPr>
        <w:t>. </w:t>
      </w:r>
      <w:hyperlink r:id="rId21" w:tgtFrame="_blank" w:history="1">
        <w:r w:rsidRPr="0097007D">
          <w:rPr>
            <w:rStyle w:val="Hyperlink"/>
            <w:rFonts w:ascii="Traditional Arabic" w:hAnsi="Traditional Arabic" w:cs="Traditional Arabic"/>
            <w:sz w:val="28"/>
            <w:szCs w:val="28"/>
            <w:lang w:bidi="ar-EG"/>
          </w:rPr>
          <w:t>https://www.</w:t>
        </w:r>
        <w:r w:rsidR="00852DF0" w:rsidRPr="0097007D">
          <w:rPr>
            <w:rStyle w:val="Hyperlink"/>
            <w:rFonts w:ascii="Traditional Arabic" w:hAnsi="Traditional Arabic" w:cs="Traditional Arabic"/>
            <w:sz w:val="28"/>
            <w:szCs w:val="28"/>
            <w:lang w:bidi="ar-EG"/>
          </w:rPr>
          <w:t xml:space="preserve"> </w:t>
        </w:r>
        <w:r w:rsidRPr="0097007D">
          <w:rPr>
            <w:rStyle w:val="Hyperlink"/>
            <w:rFonts w:ascii="Traditional Arabic" w:hAnsi="Traditional Arabic" w:cs="Traditional Arabic"/>
            <w:sz w:val="28"/>
            <w:szCs w:val="28"/>
            <w:lang w:bidi="ar-EG"/>
          </w:rPr>
          <w:t>.com/2163363</w:t>
        </w:r>
      </w:hyperlink>
      <w:r w:rsidRPr="0097007D">
        <w:rPr>
          <w:rFonts w:ascii="Times New Roman" w:hAnsi="Times New Roman" w:cs="Times New Roman"/>
          <w:sz w:val="28"/>
          <w:szCs w:val="28"/>
          <w:lang w:bidi="ar-EG"/>
        </w:rPr>
        <w:t>​</w:t>
      </w:r>
    </w:p>
    <w:p w14:paraId="32677A5A" w14:textId="77777777" w:rsidR="00A87AF9" w:rsidRPr="0097007D" w:rsidRDefault="00A87AF9"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rtl/>
        </w:rPr>
        <w:t>مجلة القافلة. (2022). الاقتصاد الإبداعي في تقرير الحالة الثقافية السعودية. مجلة القافلة</w:t>
      </w:r>
      <w:r w:rsidRPr="0097007D">
        <w:rPr>
          <w:rFonts w:ascii="Traditional Arabic" w:hAnsi="Traditional Arabic" w:cs="Traditional Arabic"/>
          <w:sz w:val="28"/>
          <w:szCs w:val="28"/>
          <w:lang w:bidi="ar-EG"/>
        </w:rPr>
        <w:t>. </w:t>
      </w:r>
      <w:hyperlink r:id="rId22" w:tgtFrame="_blank" w:history="1">
        <w:r w:rsidRPr="0097007D">
          <w:rPr>
            <w:rStyle w:val="Hyperlink"/>
            <w:rFonts w:ascii="Traditional Arabic" w:hAnsi="Traditional Arabic" w:cs="Traditional Arabic"/>
            <w:sz w:val="28"/>
            <w:szCs w:val="28"/>
            <w:lang w:bidi="ar-EG"/>
          </w:rPr>
          <w:t>https://www.qafilah.com/articles/2022/the-creative-economy-in-the-saudi-cultural-status-report</w:t>
        </w:r>
      </w:hyperlink>
      <w:r w:rsidRPr="0097007D">
        <w:rPr>
          <w:rFonts w:ascii="Traditional Arabic" w:hAnsi="Traditional Arabic" w:cs="Traditional Arabic"/>
          <w:sz w:val="28"/>
          <w:szCs w:val="28"/>
          <w:lang w:bidi="ar-EG"/>
        </w:rPr>
        <w:br/>
      </w:r>
      <w:hyperlink r:id="rId23" w:tgtFrame="_blank" w:history="1">
        <w:r w:rsidRPr="0097007D">
          <w:rPr>
            <w:rStyle w:val="Hyperlink"/>
            <w:rFonts w:ascii="Traditional Arabic" w:hAnsi="Traditional Arabic" w:cs="Traditional Arabic"/>
            <w:sz w:val="28"/>
            <w:szCs w:val="28"/>
            <w:lang w:bidi="ar-EG"/>
          </w:rPr>
          <w:t>qafilah</w:t>
        </w:r>
      </w:hyperlink>
      <w:r w:rsidRPr="0097007D">
        <w:rPr>
          <w:rFonts w:ascii="Times New Roman" w:hAnsi="Times New Roman" w:cs="Times New Roman"/>
          <w:sz w:val="28"/>
          <w:szCs w:val="28"/>
          <w:lang w:bidi="ar-EG"/>
        </w:rPr>
        <w:t>​</w:t>
      </w:r>
    </w:p>
    <w:p w14:paraId="46CDA636" w14:textId="77777777" w:rsidR="00A87AF9" w:rsidRPr="0097007D" w:rsidRDefault="00A87AF9"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rtl/>
        </w:rPr>
        <w:t>شركة الجدوى للاستثمار. (2021 تقريبًا). القطاع الثقافي في المملكة من الرؤية إلى التطبيق. شركة الجدوى للاستثمار</w:t>
      </w:r>
      <w:r w:rsidRPr="0097007D">
        <w:rPr>
          <w:rFonts w:ascii="Traditional Arabic" w:hAnsi="Traditional Arabic" w:cs="Traditional Arabic"/>
          <w:sz w:val="28"/>
          <w:szCs w:val="28"/>
          <w:lang w:bidi="ar-EG"/>
        </w:rPr>
        <w:t>. (</w:t>
      </w:r>
      <w:r w:rsidRPr="0097007D">
        <w:rPr>
          <w:rFonts w:ascii="Traditional Arabic" w:hAnsi="Traditional Arabic" w:cs="Traditional Arabic"/>
          <w:sz w:val="28"/>
          <w:szCs w:val="28"/>
          <w:rtl/>
        </w:rPr>
        <w:t>تقرير</w:t>
      </w:r>
      <w:r w:rsidRPr="0097007D">
        <w:rPr>
          <w:rFonts w:ascii="Traditional Arabic" w:hAnsi="Traditional Arabic" w:cs="Traditional Arabic"/>
          <w:sz w:val="28"/>
          <w:szCs w:val="28"/>
          <w:lang w:bidi="ar-EG"/>
        </w:rPr>
        <w:t xml:space="preserve"> PDF). </w:t>
      </w:r>
      <w:hyperlink r:id="rId24" w:tgtFrame="_blank" w:history="1">
        <w:r w:rsidRPr="0097007D">
          <w:rPr>
            <w:rStyle w:val="Hyperlink"/>
            <w:rFonts w:ascii="Traditional Arabic" w:hAnsi="Traditional Arabic" w:cs="Traditional Arabic"/>
            <w:sz w:val="28"/>
            <w:szCs w:val="28"/>
            <w:lang w:bidi="ar-EG"/>
          </w:rPr>
          <w:t>https://www.aljdwa.com/wp-content/uploads/2025/10/</w:t>
        </w:r>
        <w:r w:rsidRPr="0097007D">
          <w:rPr>
            <w:rStyle w:val="Hyperlink"/>
            <w:rFonts w:ascii="Traditional Arabic" w:hAnsi="Traditional Arabic" w:cs="Traditional Arabic"/>
            <w:sz w:val="28"/>
            <w:szCs w:val="28"/>
            <w:rtl/>
          </w:rPr>
          <w:t>القطاع-الثقافي-في-المملكة-من-الرؤية-إلى-التطبيق</w:t>
        </w:r>
        <w:r w:rsidRPr="0097007D">
          <w:rPr>
            <w:rStyle w:val="Hyperlink"/>
            <w:rFonts w:ascii="Traditional Arabic" w:hAnsi="Traditional Arabic" w:cs="Traditional Arabic"/>
            <w:sz w:val="28"/>
            <w:szCs w:val="28"/>
            <w:lang w:bidi="ar-EG"/>
          </w:rPr>
          <w:t>.pdf</w:t>
        </w:r>
      </w:hyperlink>
      <w:r w:rsidRPr="0097007D">
        <w:rPr>
          <w:rFonts w:ascii="Traditional Arabic" w:hAnsi="Traditional Arabic" w:cs="Traditional Arabic"/>
          <w:sz w:val="28"/>
          <w:szCs w:val="28"/>
          <w:lang w:bidi="ar-EG"/>
        </w:rPr>
        <w:br/>
      </w:r>
      <w:hyperlink r:id="rId25" w:tgtFrame="_blank" w:history="1">
        <w:r w:rsidRPr="0097007D">
          <w:rPr>
            <w:rStyle w:val="Hyperlink"/>
            <w:rFonts w:ascii="Traditional Arabic" w:hAnsi="Traditional Arabic" w:cs="Traditional Arabic"/>
            <w:sz w:val="28"/>
            <w:szCs w:val="28"/>
            <w:lang w:bidi="ar-EG"/>
          </w:rPr>
          <w:t>aljdwa</w:t>
        </w:r>
      </w:hyperlink>
      <w:r w:rsidRPr="0097007D">
        <w:rPr>
          <w:rFonts w:ascii="Times New Roman" w:hAnsi="Times New Roman" w:cs="Times New Roman"/>
          <w:sz w:val="28"/>
          <w:szCs w:val="28"/>
          <w:lang w:bidi="ar-EG"/>
        </w:rPr>
        <w:t>​</w:t>
      </w:r>
    </w:p>
    <w:p w14:paraId="5A6E4573" w14:textId="77777777" w:rsidR="00A87AF9" w:rsidRPr="0097007D" w:rsidRDefault="00A87AF9"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rtl/>
        </w:rPr>
        <w:t>رابت، جرانت ثورنتون السعودية</w:t>
      </w:r>
      <w:r w:rsidRPr="0097007D">
        <w:rPr>
          <w:rFonts w:ascii="Traditional Arabic" w:hAnsi="Traditional Arabic" w:cs="Traditional Arabic"/>
          <w:sz w:val="28"/>
          <w:szCs w:val="28"/>
          <w:lang w:bidi="ar-EG"/>
        </w:rPr>
        <w:t>. (2022). The creative industry in Saudi Arabia. Grant Thornton Saudi Arabia. </w:t>
      </w:r>
      <w:hyperlink r:id="rId26" w:tgtFrame="_blank" w:history="1">
        <w:r w:rsidRPr="0097007D">
          <w:rPr>
            <w:rStyle w:val="Hyperlink"/>
            <w:rFonts w:ascii="Traditional Arabic" w:hAnsi="Traditional Arabic" w:cs="Traditional Arabic"/>
            <w:sz w:val="28"/>
            <w:szCs w:val="28"/>
            <w:lang w:bidi="ar-EG"/>
          </w:rPr>
          <w:t>https://www.grantthornton.sa/en/insights/articles-and-publications/creative_industry_in_KSA/</w:t>
        </w:r>
      </w:hyperlink>
      <w:r w:rsidRPr="0097007D">
        <w:rPr>
          <w:rFonts w:ascii="Traditional Arabic" w:hAnsi="Traditional Arabic" w:cs="Traditional Arabic"/>
          <w:sz w:val="28"/>
          <w:szCs w:val="28"/>
          <w:lang w:bidi="ar-EG"/>
        </w:rPr>
        <w:br/>
      </w:r>
      <w:hyperlink r:id="rId27" w:tgtFrame="_blank" w:history="1">
        <w:r w:rsidRPr="0097007D">
          <w:rPr>
            <w:rStyle w:val="Hyperlink"/>
            <w:rFonts w:ascii="Traditional Arabic" w:hAnsi="Traditional Arabic" w:cs="Traditional Arabic"/>
            <w:sz w:val="28"/>
            <w:szCs w:val="28"/>
            <w:lang w:bidi="ar-EG"/>
          </w:rPr>
          <w:t>grantthornton</w:t>
        </w:r>
      </w:hyperlink>
      <w:r w:rsidRPr="0097007D">
        <w:rPr>
          <w:rFonts w:ascii="Times New Roman" w:hAnsi="Times New Roman" w:cs="Times New Roman"/>
          <w:sz w:val="28"/>
          <w:szCs w:val="28"/>
          <w:lang w:bidi="ar-EG"/>
        </w:rPr>
        <w:t>​</w:t>
      </w:r>
    </w:p>
    <w:p w14:paraId="536B32D4" w14:textId="77777777" w:rsidR="00A87AF9" w:rsidRPr="0097007D" w:rsidRDefault="00A87AF9"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lang w:bidi="ar-EG"/>
        </w:rPr>
        <w:t>Maristani, R. (2025, October 18). Saudi Arabia’s creative economy: The $28 billion opportunity. LinkedIn Articles. </w:t>
      </w:r>
      <w:hyperlink r:id="rId28" w:tgtFrame="_blank" w:history="1">
        <w:r w:rsidRPr="0097007D">
          <w:rPr>
            <w:rStyle w:val="Hyperlink"/>
            <w:rFonts w:ascii="Traditional Arabic" w:hAnsi="Traditional Arabic" w:cs="Traditional Arabic"/>
            <w:sz w:val="28"/>
            <w:szCs w:val="28"/>
            <w:lang w:bidi="ar-EG"/>
          </w:rPr>
          <w:t>https://www.linkedin.com/pulse/saudi-arabias-creative-economy-28-billion-opportunity-rana-maristani-tlajf</w:t>
        </w:r>
      </w:hyperlink>
      <w:r w:rsidRPr="0097007D">
        <w:rPr>
          <w:rFonts w:ascii="Traditional Arabic" w:hAnsi="Traditional Arabic" w:cs="Traditional Arabic"/>
          <w:sz w:val="28"/>
          <w:szCs w:val="28"/>
          <w:lang w:bidi="ar-EG"/>
        </w:rPr>
        <w:br/>
      </w:r>
      <w:hyperlink r:id="rId29" w:tgtFrame="_blank" w:history="1">
        <w:r w:rsidRPr="0097007D">
          <w:rPr>
            <w:rStyle w:val="Hyperlink"/>
            <w:rFonts w:ascii="Traditional Arabic" w:hAnsi="Traditional Arabic" w:cs="Traditional Arabic"/>
            <w:sz w:val="28"/>
            <w:szCs w:val="28"/>
            <w:lang w:bidi="ar-EG"/>
          </w:rPr>
          <w:t>linkedin</w:t>
        </w:r>
      </w:hyperlink>
      <w:r w:rsidRPr="0097007D">
        <w:rPr>
          <w:rFonts w:ascii="Times New Roman" w:hAnsi="Times New Roman" w:cs="Times New Roman"/>
          <w:sz w:val="28"/>
          <w:szCs w:val="28"/>
          <w:lang w:bidi="ar-EG"/>
        </w:rPr>
        <w:t>​</w:t>
      </w:r>
    </w:p>
    <w:p w14:paraId="5289D7FD" w14:textId="77777777" w:rsidR="00A87AF9" w:rsidRPr="0097007D" w:rsidRDefault="00A87AF9"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rtl/>
        </w:rPr>
        <w:t>سرجيوس، أ. إ. (2023 ). تأثير نموذج الأعمال المبني على الابتكار في مقابل نموذج الأعمال المبني على الكفاءة على الأداء التسويقي. مجلة آلات (كلية الأعمال – جامعة الإسكندرية)</w:t>
      </w:r>
      <w:r w:rsidRPr="0097007D">
        <w:rPr>
          <w:rFonts w:ascii="Traditional Arabic" w:hAnsi="Traditional Arabic" w:cs="Traditional Arabic"/>
          <w:sz w:val="28"/>
          <w:szCs w:val="28"/>
          <w:lang w:bidi="ar-EG"/>
        </w:rPr>
        <w:t>. </w:t>
      </w:r>
      <w:hyperlink r:id="rId30" w:tgtFrame="_blank" w:history="1">
        <w:r w:rsidRPr="0097007D">
          <w:rPr>
            <w:rStyle w:val="Hyperlink"/>
            <w:rFonts w:ascii="Traditional Arabic" w:hAnsi="Traditional Arabic" w:cs="Traditional Arabic"/>
            <w:sz w:val="28"/>
            <w:szCs w:val="28"/>
            <w:lang w:bidi="ar-EG"/>
          </w:rPr>
          <w:t>https://alat.journals.ekb.eg/article_444167_a06b8a29fbec836952808b8145c0c28a.pdf</w:t>
        </w:r>
      </w:hyperlink>
      <w:r w:rsidRPr="0097007D">
        <w:rPr>
          <w:rFonts w:ascii="Traditional Arabic" w:hAnsi="Traditional Arabic" w:cs="Traditional Arabic"/>
          <w:sz w:val="28"/>
          <w:szCs w:val="28"/>
          <w:lang w:bidi="ar-EG"/>
        </w:rPr>
        <w:br/>
      </w:r>
      <w:hyperlink r:id="rId31" w:tgtFrame="_blank" w:history="1">
        <w:r w:rsidRPr="0097007D">
          <w:rPr>
            <w:rStyle w:val="Hyperlink"/>
            <w:rFonts w:ascii="Traditional Arabic" w:hAnsi="Traditional Arabic" w:cs="Traditional Arabic"/>
            <w:sz w:val="28"/>
            <w:szCs w:val="28"/>
            <w:lang w:bidi="ar-EG"/>
          </w:rPr>
          <w:t>vision2030.gov</w:t>
        </w:r>
      </w:hyperlink>
      <w:r w:rsidRPr="0097007D">
        <w:rPr>
          <w:rFonts w:ascii="Times New Roman" w:hAnsi="Times New Roman" w:cs="Times New Roman"/>
          <w:sz w:val="28"/>
          <w:szCs w:val="28"/>
          <w:lang w:bidi="ar-EG"/>
        </w:rPr>
        <w:t>​</w:t>
      </w:r>
    </w:p>
    <w:p w14:paraId="0D2FF11C" w14:textId="77777777" w:rsidR="00A87AF9" w:rsidRPr="0097007D" w:rsidRDefault="00A87AF9"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lang w:bidi="ar-EG"/>
        </w:rPr>
        <w:t xml:space="preserve">Hu, M. (2014). Efficiency-centered business models and cost reduction: A theoretical perspective. </w:t>
      </w:r>
      <w:r w:rsidRPr="0097007D">
        <w:rPr>
          <w:rFonts w:ascii="Traditional Arabic" w:hAnsi="Traditional Arabic" w:cs="Traditional Arabic"/>
          <w:sz w:val="28"/>
          <w:szCs w:val="28"/>
          <w:rtl/>
        </w:rPr>
        <w:t>في</w:t>
      </w:r>
      <w:r w:rsidRPr="0097007D">
        <w:rPr>
          <w:rFonts w:ascii="Traditional Arabic" w:hAnsi="Traditional Arabic" w:cs="Traditional Arabic"/>
          <w:sz w:val="28"/>
          <w:szCs w:val="28"/>
          <w:lang w:bidi="ar-EG"/>
        </w:rPr>
        <w:t>: Latifi, R., Nikou, S., &amp; Bouwman, H. (2021). Business model innovation and performance. (</w:t>
      </w:r>
      <w:r w:rsidRPr="0097007D">
        <w:rPr>
          <w:rFonts w:ascii="Traditional Arabic" w:hAnsi="Traditional Arabic" w:cs="Traditional Arabic"/>
          <w:sz w:val="28"/>
          <w:szCs w:val="28"/>
          <w:rtl/>
        </w:rPr>
        <w:t>الأعمال</w:t>
      </w:r>
      <w:r w:rsidRPr="0097007D">
        <w:rPr>
          <w:rFonts w:ascii="Traditional Arabic" w:hAnsi="Traditional Arabic" w:cs="Traditional Arabic"/>
          <w:sz w:val="28"/>
          <w:szCs w:val="28"/>
          <w:lang w:bidi="ar-EG"/>
        </w:rPr>
        <w:t>).</w:t>
      </w:r>
      <w:hyperlink r:id="rId32" w:tgtFrame="_blank" w:history="1">
        <w:r w:rsidRPr="0097007D">
          <w:rPr>
            <w:rStyle w:val="Hyperlink"/>
            <w:rFonts w:ascii="Traditional Arabic" w:hAnsi="Traditional Arabic" w:cs="Traditional Arabic"/>
            <w:sz w:val="28"/>
            <w:szCs w:val="28"/>
            <w:lang w:bidi="ar-EG"/>
          </w:rPr>
          <w:t>vision2030.gov</w:t>
        </w:r>
      </w:hyperlink>
      <w:r w:rsidRPr="0097007D">
        <w:rPr>
          <w:rFonts w:ascii="Times New Roman" w:hAnsi="Times New Roman" w:cs="Times New Roman"/>
          <w:sz w:val="28"/>
          <w:szCs w:val="28"/>
          <w:lang w:bidi="ar-EG"/>
        </w:rPr>
        <w:t>​</w:t>
      </w:r>
    </w:p>
    <w:p w14:paraId="03417DBE" w14:textId="77777777" w:rsidR="00A87AF9" w:rsidRPr="0097007D" w:rsidRDefault="00A87AF9" w:rsidP="0097007D">
      <w:pPr>
        <w:numPr>
          <w:ilvl w:val="0"/>
          <w:numId w:val="1"/>
        </w:numPr>
        <w:bidi/>
        <w:spacing w:line="360" w:lineRule="auto"/>
        <w:rPr>
          <w:rFonts w:ascii="Traditional Arabic" w:hAnsi="Traditional Arabic" w:cs="Traditional Arabic"/>
          <w:sz w:val="28"/>
          <w:szCs w:val="28"/>
          <w:lang w:bidi="ar-EG"/>
        </w:rPr>
      </w:pPr>
      <w:r w:rsidRPr="0097007D">
        <w:rPr>
          <w:rFonts w:ascii="Traditional Arabic" w:hAnsi="Traditional Arabic" w:cs="Traditional Arabic"/>
          <w:sz w:val="28"/>
          <w:szCs w:val="28"/>
          <w:rtl/>
        </w:rPr>
        <w:t xml:space="preserve">زوت، ك.، وعمِت، ر. (2011). نموذج الأعمال: التطور والتحديات ومستقبل الأبحاث. </w:t>
      </w:r>
      <w:r w:rsidRPr="0097007D">
        <w:rPr>
          <w:rFonts w:ascii="Traditional Arabic" w:hAnsi="Traditional Arabic" w:cs="Traditional Arabic"/>
          <w:sz w:val="28"/>
          <w:szCs w:val="28"/>
          <w:lang w:bidi="ar-EG"/>
        </w:rPr>
        <w:br/>
      </w:r>
      <w:hyperlink r:id="rId33" w:tgtFrame="_blank" w:history="1">
        <w:r w:rsidRPr="0097007D">
          <w:rPr>
            <w:rStyle w:val="Hyperlink"/>
            <w:rFonts w:ascii="Traditional Arabic" w:hAnsi="Traditional Arabic" w:cs="Traditional Arabic"/>
            <w:sz w:val="28"/>
            <w:szCs w:val="28"/>
            <w:lang w:bidi="ar-EG"/>
          </w:rPr>
          <w:t>vision2030.gov</w:t>
        </w:r>
      </w:hyperlink>
      <w:r w:rsidRPr="0097007D">
        <w:rPr>
          <w:rFonts w:ascii="Times New Roman" w:hAnsi="Times New Roman" w:cs="Times New Roman"/>
          <w:sz w:val="28"/>
          <w:szCs w:val="28"/>
          <w:lang w:bidi="ar-EG"/>
        </w:rPr>
        <w:t>​</w:t>
      </w:r>
    </w:p>
    <w:p w14:paraId="028188D7" w14:textId="77777777" w:rsidR="00A87AF9" w:rsidRPr="0097007D" w:rsidRDefault="00A87AF9" w:rsidP="0097007D">
      <w:pPr>
        <w:bidi/>
        <w:spacing w:line="360" w:lineRule="auto"/>
        <w:jc w:val="both"/>
        <w:rPr>
          <w:rFonts w:ascii="Traditional Arabic" w:hAnsi="Traditional Arabic" w:cs="Traditional Arabic"/>
          <w:sz w:val="28"/>
          <w:szCs w:val="28"/>
          <w:rtl/>
          <w:lang w:bidi="ar-EG"/>
        </w:rPr>
      </w:pPr>
    </w:p>
    <w:sectPr w:rsidR="00A87AF9" w:rsidRPr="0097007D" w:rsidSect="00A87AF9">
      <w:pgSz w:w="12240" w:h="15840"/>
      <w:pgMar w:top="1440" w:right="1800" w:bottom="1440" w:left="180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A00AA"/>
    <w:multiLevelType w:val="hybridMultilevel"/>
    <w:tmpl w:val="46DA9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0B102B"/>
    <w:multiLevelType w:val="hybridMultilevel"/>
    <w:tmpl w:val="0CE4F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557A7B"/>
    <w:multiLevelType w:val="multilevel"/>
    <w:tmpl w:val="4A1C7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78501A"/>
    <w:multiLevelType w:val="hybridMultilevel"/>
    <w:tmpl w:val="715E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A705CC"/>
    <w:multiLevelType w:val="hybridMultilevel"/>
    <w:tmpl w:val="1B480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A51667"/>
    <w:multiLevelType w:val="multilevel"/>
    <w:tmpl w:val="3EE89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8183550">
    <w:abstractNumId w:val="5"/>
  </w:num>
  <w:num w:numId="2" w16cid:durableId="257175023">
    <w:abstractNumId w:val="2"/>
  </w:num>
  <w:num w:numId="3" w16cid:durableId="184052850">
    <w:abstractNumId w:val="3"/>
  </w:num>
  <w:num w:numId="4" w16cid:durableId="2061126444">
    <w:abstractNumId w:val="0"/>
  </w:num>
  <w:num w:numId="5" w16cid:durableId="2138326987">
    <w:abstractNumId w:val="1"/>
  </w:num>
  <w:num w:numId="6" w16cid:durableId="7969889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AF9"/>
    <w:rsid w:val="000D0D7F"/>
    <w:rsid w:val="00191892"/>
    <w:rsid w:val="001F7CB9"/>
    <w:rsid w:val="00200E66"/>
    <w:rsid w:val="003F6ED2"/>
    <w:rsid w:val="005934C6"/>
    <w:rsid w:val="007D4253"/>
    <w:rsid w:val="00852DF0"/>
    <w:rsid w:val="00912E6C"/>
    <w:rsid w:val="0097007D"/>
    <w:rsid w:val="00A71CC0"/>
    <w:rsid w:val="00A87AF9"/>
    <w:rsid w:val="00BF5E0B"/>
    <w:rsid w:val="00E34FF6"/>
    <w:rsid w:val="00F35B49"/>
    <w:rsid w:val="00FF04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8789E"/>
  <w15:chartTrackingRefBased/>
  <w15:docId w15:val="{6CBC91B2-6702-4692-890C-39B45D744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2E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04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7AF9"/>
    <w:rPr>
      <w:color w:val="0563C1" w:themeColor="hyperlink"/>
      <w:u w:val="single"/>
    </w:rPr>
  </w:style>
  <w:style w:type="character" w:styleId="UnresolvedMention">
    <w:name w:val="Unresolved Mention"/>
    <w:basedOn w:val="DefaultParagraphFont"/>
    <w:uiPriority w:val="99"/>
    <w:semiHidden/>
    <w:unhideWhenUsed/>
    <w:rsid w:val="00A87AF9"/>
    <w:rPr>
      <w:color w:val="808080"/>
      <w:shd w:val="clear" w:color="auto" w:fill="E6E6E6"/>
    </w:rPr>
  </w:style>
  <w:style w:type="character" w:customStyle="1" w:styleId="Heading1Char">
    <w:name w:val="Heading 1 Char"/>
    <w:basedOn w:val="DefaultParagraphFont"/>
    <w:link w:val="Heading1"/>
    <w:uiPriority w:val="9"/>
    <w:rsid w:val="00912E6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934C6"/>
    <w:pPr>
      <w:ind w:left="720"/>
      <w:contextualSpacing/>
    </w:pPr>
  </w:style>
  <w:style w:type="character" w:customStyle="1" w:styleId="Heading2Char">
    <w:name w:val="Heading 2 Char"/>
    <w:basedOn w:val="DefaultParagraphFont"/>
    <w:link w:val="Heading2"/>
    <w:uiPriority w:val="9"/>
    <w:rsid w:val="00FF041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52DF0"/>
    <w:pPr>
      <w:outlineLvl w:val="9"/>
    </w:pPr>
    <w:rPr>
      <w:kern w:val="0"/>
      <w14:ligatures w14:val="none"/>
    </w:rPr>
  </w:style>
  <w:style w:type="paragraph" w:styleId="TOC1">
    <w:name w:val="toc 1"/>
    <w:basedOn w:val="Normal"/>
    <w:next w:val="Normal"/>
    <w:autoRedefine/>
    <w:uiPriority w:val="39"/>
    <w:unhideWhenUsed/>
    <w:rsid w:val="00852DF0"/>
    <w:pPr>
      <w:spacing w:after="100"/>
    </w:pPr>
  </w:style>
  <w:style w:type="paragraph" w:styleId="TOC2">
    <w:name w:val="toc 2"/>
    <w:basedOn w:val="Normal"/>
    <w:next w:val="Normal"/>
    <w:autoRedefine/>
    <w:uiPriority w:val="39"/>
    <w:unhideWhenUsed/>
    <w:rsid w:val="00852DF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388509">
      <w:bodyDiv w:val="1"/>
      <w:marLeft w:val="0"/>
      <w:marRight w:val="0"/>
      <w:marTop w:val="0"/>
      <w:marBottom w:val="0"/>
      <w:divBdr>
        <w:top w:val="none" w:sz="0" w:space="0" w:color="auto"/>
        <w:left w:val="none" w:sz="0" w:space="0" w:color="auto"/>
        <w:bottom w:val="none" w:sz="0" w:space="0" w:color="auto"/>
        <w:right w:val="none" w:sz="0" w:space="0" w:color="auto"/>
      </w:divBdr>
    </w:div>
    <w:div w:id="618070968">
      <w:bodyDiv w:val="1"/>
      <w:marLeft w:val="0"/>
      <w:marRight w:val="0"/>
      <w:marTop w:val="0"/>
      <w:marBottom w:val="0"/>
      <w:divBdr>
        <w:top w:val="none" w:sz="0" w:space="0" w:color="auto"/>
        <w:left w:val="none" w:sz="0" w:space="0" w:color="auto"/>
        <w:bottom w:val="none" w:sz="0" w:space="0" w:color="auto"/>
        <w:right w:val="none" w:sz="0" w:space="0" w:color="auto"/>
      </w:divBdr>
      <w:divsChild>
        <w:div w:id="1741636941">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968512971">
      <w:bodyDiv w:val="1"/>
      <w:marLeft w:val="0"/>
      <w:marRight w:val="0"/>
      <w:marTop w:val="0"/>
      <w:marBottom w:val="0"/>
      <w:divBdr>
        <w:top w:val="none" w:sz="0" w:space="0" w:color="auto"/>
        <w:left w:val="none" w:sz="0" w:space="0" w:color="auto"/>
        <w:bottom w:val="none" w:sz="0" w:space="0" w:color="auto"/>
        <w:right w:val="none" w:sz="0" w:space="0" w:color="auto"/>
      </w:divBdr>
    </w:div>
    <w:div w:id="183784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ekb.eg/article_456550.html" TargetMode="External" /><Relationship Id="rId13" Type="http://schemas.openxmlformats.org/officeDocument/2006/relationships/hyperlink" Target="https://misralan.net/archives/335789" TargetMode="External" /><Relationship Id="rId18" Type="http://schemas.openxmlformats.org/officeDocument/2006/relationships/hyperlink" Target="https://rowadjourney.com/Business-Development/lsnaat-lbdaay-kyf-tstfyd-lsaaody-mn-ry-2030-lthfyz/" TargetMode="External" /><Relationship Id="rId26" Type="http://schemas.openxmlformats.org/officeDocument/2006/relationships/hyperlink" Target="https://www.grantthornton.sa/en/insights/articles-and-publications/creative_industry_in_KSA/" TargetMode="External" /><Relationship Id="rId3" Type="http://schemas.openxmlformats.org/officeDocument/2006/relationships/styles" Target="styles.xml" /><Relationship Id="rId21" Type="http://schemas.openxmlformats.org/officeDocument/2006/relationships/hyperlink" Target="https://www.alriyadh.com/2163363" TargetMode="External" /><Relationship Id="rId34" Type="http://schemas.openxmlformats.org/officeDocument/2006/relationships/fontTable" Target="fontTable.xml" /><Relationship Id="rId7" Type="http://schemas.openxmlformats.org/officeDocument/2006/relationships/hyperlink" Target="https://www.alriyadh.com/2163363" TargetMode="External" /><Relationship Id="rId12" Type="http://schemas.openxmlformats.org/officeDocument/2006/relationships/hyperlink" Target="https://misralan.net/archives/335789" TargetMode="External" /><Relationship Id="rId17" Type="http://schemas.openxmlformats.org/officeDocument/2006/relationships/hyperlink" Target="https://www.vision2030.gov.sa/ar/" TargetMode="External" /><Relationship Id="rId25" Type="http://schemas.openxmlformats.org/officeDocument/2006/relationships/hyperlink" Target="https://www.aljdwa.com/wp-content/uploads/2025/10/%D8%A7%D9%84%D9%82%D8%B7%D8%A7%D8%B9-%D8%A7%D9%84%D8%AB%D9%82%D8%A7%D9%81%D9%8A-%D9%81%D9%8A-%D8%A7%D9%84%D9%85%D9%85%D9%84%D9%83%D8%A9-%D9%85%D9%86-%D8%A7%D9%84%D8%B1%D8%A4%D9%8A%D8%A9-%D8%A5%D9%84%D9%89-%D8%A7%D9%84%D8%AA%D8%B7%D8%A8%D9%8A%D9%82-%D8%B4%D8%B1%D9%83%D8%A9-%D8%A7%D9%84%D8%AC%D8%AF%D9%88%D9%89-5-1.pdf" TargetMode="External" /><Relationship Id="rId33" Type="http://schemas.openxmlformats.org/officeDocument/2006/relationships/hyperlink" Target="https://www.vision2030.gov.sa/" TargetMode="External" /><Relationship Id="rId2" Type="http://schemas.openxmlformats.org/officeDocument/2006/relationships/numbering" Target="numbering.xml" /><Relationship Id="rId16" Type="http://schemas.openxmlformats.org/officeDocument/2006/relationships/hyperlink" Target="https://www.vision2030.gov.sa/ar/" TargetMode="External" /><Relationship Id="rId20" Type="http://schemas.openxmlformats.org/officeDocument/2006/relationships/hyperlink" Target="https://www.alriyadh.com/2117456" TargetMode="External" /><Relationship Id="rId29" Type="http://schemas.openxmlformats.org/officeDocument/2006/relationships/hyperlink" Target="https://www.linkedin.com/pulse/saudi-arabias-creative-economy-28-billion-opportunity-rana-maristani-tlajf" TargetMode="Externa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search.mandumah.com/Record/1145200" TargetMode="External" /><Relationship Id="rId24" Type="http://schemas.openxmlformats.org/officeDocument/2006/relationships/hyperlink" Target="https://www.aljdwa.com/wp-content/uploads/2025/10/%D8%A7%D9%84%D9%82%D8%B7%D8%A7%D8%B9-%D8%A7%D9%84%D8%AB%D9%82%D8%A7%D9%81%D9%8A-%D9%81%D9%8A-%D8%A7%D9%84%D9%85%D9%85%D9%84%D9%83%D8%A9-%D9%85%D9%86-%D8%A7%D9%84%D8%B1%D8%A4%D9%8A%D8%A9-%D8%A5%D9%84%D9%89-%D8%A7%D9%84%D8%AA%D8%B7%D8%A8%D9%8A%D9%82.pdf" TargetMode="External" /><Relationship Id="rId32" Type="http://schemas.openxmlformats.org/officeDocument/2006/relationships/hyperlink" Target="https://www.vision2030.gov.sa/" TargetMode="External" /><Relationship Id="rId5" Type="http://schemas.openxmlformats.org/officeDocument/2006/relationships/webSettings" Target="webSettings.xml" /><Relationship Id="rId15" Type="http://schemas.openxmlformats.org/officeDocument/2006/relationships/hyperlink" Target="https://www.moc.gov.sa/-/media/Project/Ministries/Moc/Publications/MOC_Cultural_Vision_AR_NEW-(2).pdf" TargetMode="External" /><Relationship Id="rId23" Type="http://schemas.openxmlformats.org/officeDocument/2006/relationships/hyperlink" Target="https://www.qafilah.com/articles/2022/the-creative-economy-in-the-saudi-cultural-status-report" TargetMode="External" /><Relationship Id="rId28" Type="http://schemas.openxmlformats.org/officeDocument/2006/relationships/hyperlink" Target="https://www.linkedin.com/pulse/saudi-arabias-creative-economy-28-billion-opportunity-rana-maristani-tlajf" TargetMode="External" /><Relationship Id="rId10" Type="http://schemas.openxmlformats.org/officeDocument/2006/relationships/hyperlink" Target="https://search.mandumah.com/Record/1145200" TargetMode="External" /><Relationship Id="rId19" Type="http://schemas.openxmlformats.org/officeDocument/2006/relationships/hyperlink" Target="https://rowadjourney.com/Business-Development/lsnaat-lbdaay-kyf-tstfyd-lsaaody-mn-ry-2030-lthfyz/" TargetMode="External" /><Relationship Id="rId31" Type="http://schemas.openxmlformats.org/officeDocument/2006/relationships/hyperlink" Target="https://www.vision2030.gov.sa/" TargetMode="External" /><Relationship Id="rId4" Type="http://schemas.openxmlformats.org/officeDocument/2006/relationships/settings" Target="settings.xml" /><Relationship Id="rId9" Type="http://schemas.openxmlformats.org/officeDocument/2006/relationships/hyperlink" Target="https://rowadjourney.com/Business-Development/lsnaat-lbdaay-kyf-tstfyd-lsaaody-mn-ry-2030-lthfyz/" TargetMode="External" /><Relationship Id="rId14" Type="http://schemas.openxmlformats.org/officeDocument/2006/relationships/hyperlink" Target="https://www.moc.gov.sa/-/media/Project/Ministries/Moc/Publications/MOC_Cultural_Vision_AR_NEW-(2).pdf" TargetMode="External" /><Relationship Id="rId22" Type="http://schemas.openxmlformats.org/officeDocument/2006/relationships/hyperlink" Target="https://www.qafilah.com/articles/2022/the-creative-economy-in-the-saudi-cultural-status-report" TargetMode="External" /><Relationship Id="rId27" Type="http://schemas.openxmlformats.org/officeDocument/2006/relationships/hyperlink" Target="https://www.grantthornton.sa/en/insights/articles-and-publications/creative_industry_in_KSA/" TargetMode="External" /><Relationship Id="rId30" Type="http://schemas.openxmlformats.org/officeDocument/2006/relationships/hyperlink" Target="https://alat.journals.ekb.eg/article_444167_a06b8a29fbec836952808b8145c0c28a.pdf" TargetMode="External" /><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215C3-D915-4E57-B3CE-CA1A05DBDB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5455</Words>
  <Characters>31096</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mohamed abd el aleem</cp:lastModifiedBy>
  <cp:revision>2</cp:revision>
  <dcterms:created xsi:type="dcterms:W3CDTF">2026-03-23T17:03:00Z</dcterms:created>
  <dcterms:modified xsi:type="dcterms:W3CDTF">2026-03-23T17:03:00Z</dcterms:modified>
</cp:coreProperties>
</file>