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FB70C"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bookmarkStart w:id="0" w:name="_GoBack"/>
      <w:r w:rsidRPr="00910B8D">
        <w:rPr>
          <w:rFonts w:ascii="Times New Roman" w:hAnsi="Times New Roman" w:cs="Times New Roman"/>
          <w:color w:val="000000"/>
          <w:sz w:val="24"/>
          <w:szCs w:val="24"/>
          <w:rtl/>
        </w:rPr>
        <w:t>توجد مجموعة من الملاحظات المهمة التي ينبغي على الباحث معالجتها قبل اعتماد الفصل نهائيًا</w:t>
      </w:r>
      <w:r w:rsidRPr="00910B8D">
        <w:rPr>
          <w:rFonts w:ascii="Times New Roman" w:hAnsi="Times New Roman" w:cs="Times New Roman"/>
          <w:color w:val="000000"/>
          <w:sz w:val="24"/>
          <w:szCs w:val="24"/>
        </w:rPr>
        <w:t>.</w:t>
      </w:r>
    </w:p>
    <w:p w14:paraId="543E198E"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أولًا، يحتاج الباحث إلى حسم طبيعة التصميم البحثي وصياغته بصورة أكثر اتساقًا</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 xml:space="preserve">فقد وصف الدراسة بأنها تعتمد المنهج الوصفي التحليلي، ثم ذكر أنها تستخدم تصميمًا مختلطًا </w:t>
      </w:r>
      <w:proofErr w:type="spellStart"/>
      <w:r w:rsidRPr="00910B8D">
        <w:rPr>
          <w:rFonts w:ascii="Times New Roman" w:hAnsi="Times New Roman" w:cs="Times New Roman"/>
          <w:color w:val="000000"/>
          <w:sz w:val="24"/>
          <w:szCs w:val="24"/>
          <w:rtl/>
        </w:rPr>
        <w:t>تقاربيًا</w:t>
      </w:r>
      <w:proofErr w:type="spellEnd"/>
      <w:r w:rsidRPr="00910B8D">
        <w:rPr>
          <w:rFonts w:ascii="Times New Roman" w:hAnsi="Times New Roman" w:cs="Times New Roman"/>
          <w:color w:val="000000"/>
          <w:sz w:val="24"/>
          <w:szCs w:val="24"/>
          <w:rtl/>
        </w:rPr>
        <w:t xml:space="preserve"> متزامنًا </w:t>
      </w:r>
      <w:r w:rsidRPr="00910B8D">
        <w:rPr>
          <w:rFonts w:ascii="Times New Roman" w:hAnsi="Times New Roman" w:cs="Times New Roman"/>
          <w:color w:val="000000"/>
          <w:sz w:val="24"/>
          <w:szCs w:val="24"/>
        </w:rPr>
        <w:t>Convergent Parallel Mixed-Methods Design </w:t>
      </w:r>
      <w:r w:rsidRPr="00910B8D">
        <w:rPr>
          <w:rFonts w:ascii="Times New Roman" w:hAnsi="Times New Roman" w:cs="Times New Roman"/>
          <w:color w:val="000000"/>
          <w:sz w:val="24"/>
          <w:szCs w:val="24"/>
          <w:rtl/>
        </w:rPr>
        <w:t>يجمع بين الاستبانة والمقابلات شبه المنظمة في الفترة نفسها، مع تحليل كل شق بصورة مستقلة ثم دمج النتائج عند التفسير. هذا الوصف في حد ذاته جيد، لكن استخدام مصطلح «المنهج الوصفي التحليلي» بوصفه المنهج الرئيس قد يكون أقل دقة من تقديم الدراسة مباشرة باعتبارها دراسة مختلطة ذات تصميم تقاربي متزامن، يتضمن شقًا كميًا مقطعيًا وشقًا نوعيًا</w:t>
      </w:r>
      <w:r w:rsidRPr="00910B8D">
        <w:rPr>
          <w:rFonts w:ascii="Times New Roman" w:hAnsi="Times New Roman" w:cs="Times New Roman"/>
          <w:color w:val="000000"/>
          <w:sz w:val="24"/>
          <w:szCs w:val="24"/>
        </w:rPr>
        <w:t>. </w:t>
      </w:r>
    </w:p>
    <w:p w14:paraId="6D674063"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ثانيًا، ينبغي مراجعة استخدام لغة السببية في بداية الفصل. فقد ورد أن الدراسة تهدف إلى «التحقق من العلاقات السببية» بين المتغيرات، بينما أوضح الباحث في نهاية الفصل أن التصميم الكمي مقطعي</w:t>
      </w:r>
      <w:r w:rsidRPr="00910B8D">
        <w:rPr>
          <w:rFonts w:ascii="Times New Roman" w:hAnsi="Times New Roman" w:cs="Times New Roman"/>
          <w:color w:val="000000"/>
          <w:sz w:val="24"/>
          <w:szCs w:val="24"/>
        </w:rPr>
        <w:t xml:space="preserve"> Cross-sectional </w:t>
      </w:r>
      <w:r w:rsidRPr="00910B8D">
        <w:rPr>
          <w:rFonts w:ascii="Times New Roman" w:hAnsi="Times New Roman" w:cs="Times New Roman"/>
          <w:color w:val="000000"/>
          <w:sz w:val="24"/>
          <w:szCs w:val="24"/>
          <w:rtl/>
        </w:rPr>
        <w:t>وغير تجريبي، وأن مصطلحات الأثر والتأثير لا ينبغي تفسيرها باعتبارها إثباتًا قاطعًا للسببية. هذا التوضيح الأخير صحيح ومهم، لكنه يكشف عن عدم اتساق مع مقدمة الفصل. لذلك يفضل استبدال «العلاقات السببية» في بداية الفصل بعبارات مثل «العلاقات التفسيرية المفترضة» أو «العلاقات الهيكلية بين المتغيرات</w:t>
      </w:r>
      <w:r w:rsidRPr="00910B8D">
        <w:rPr>
          <w:rFonts w:ascii="Times New Roman" w:hAnsi="Times New Roman" w:cs="Times New Roman"/>
          <w:color w:val="000000"/>
          <w:sz w:val="24"/>
          <w:szCs w:val="24"/>
        </w:rPr>
        <w:t>». </w:t>
      </w:r>
    </w:p>
    <w:p w14:paraId="2D1E1412"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ثالثًا، توجد ملاحظة منهجية مهمة جدًا بشأن وحدة التحليل</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فقد حدد الباحث وحدة التحليل بأنها المؤسسة أو الجهة، وليس الفرد، وأن المستجيبين يعملون كـ</w:t>
      </w:r>
      <w:r w:rsidRPr="00910B8D">
        <w:rPr>
          <w:rFonts w:ascii="Times New Roman" w:hAnsi="Times New Roman" w:cs="Times New Roman"/>
          <w:color w:val="000000"/>
          <w:sz w:val="24"/>
          <w:szCs w:val="24"/>
        </w:rPr>
        <w:t xml:space="preserve"> Key Informants </w:t>
      </w:r>
      <w:r w:rsidRPr="00910B8D">
        <w:rPr>
          <w:rFonts w:ascii="Times New Roman" w:hAnsi="Times New Roman" w:cs="Times New Roman"/>
          <w:color w:val="000000"/>
          <w:sz w:val="24"/>
          <w:szCs w:val="24"/>
          <w:rtl/>
        </w:rPr>
        <w:t>ويعبّرون عن ممارسات مؤسساتهم. إلا أن النص يضيف أن «كل مستجيب يمثل مشاهدة مستقلة على مستوى مؤسسته». إذا كان هناك أكثر من مستجيب من المؤسسة نفسها، فلا يمكن افتراض أن كل استجابة تمثل مؤسسة مستقلة بالكامل. لذلك يجب توضيح هل ستُجمع استجابة واحدة فقط من كل مؤسسة، أم ستوجد عدة استجابات من المؤسسة الواحدة، وإذا وجدت استجابات متعددة فكيف سيتم التعامل معها منهجيًا وإحصائيًا</w:t>
      </w:r>
      <w:r w:rsidRPr="00910B8D">
        <w:rPr>
          <w:rFonts w:ascii="Times New Roman" w:hAnsi="Times New Roman" w:cs="Times New Roman"/>
          <w:color w:val="000000"/>
          <w:sz w:val="24"/>
          <w:szCs w:val="24"/>
        </w:rPr>
        <w:t>. </w:t>
      </w:r>
    </w:p>
    <w:p w14:paraId="75F4C4FC"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رابعًا، يحتاج تعريف مجتمع الدراسة إلى مزيد من الضبط. فقد شمل المجتمع القياديين والممارسين والمتخصصين في قطاع المياه، والجهات الحكومية، وشركة المياه الوطنية، والشركات التشغيلية والاستشارية، إضافة إلى الأكاديميين والباحثين. هذا يجعل المجتمع واسعًا ومتباينًا من حيث طبيعة الوظائف ومستوى المعرفة التنظيمية. لذلك يجب تبرير إدراج الأكاديميين والباحثين ضمن المجتمع إذا كانت المتغيرات تقيس ممارسات مؤسسية فعلية مثل التحول الرقمي </w:t>
      </w:r>
      <w:proofErr w:type="spellStart"/>
      <w:r w:rsidRPr="00910B8D">
        <w:rPr>
          <w:rFonts w:ascii="Times New Roman" w:hAnsi="Times New Roman" w:cs="Times New Roman"/>
          <w:color w:val="000000"/>
          <w:sz w:val="24"/>
          <w:szCs w:val="24"/>
          <w:rtl/>
        </w:rPr>
        <w:t>والحوكمة</w:t>
      </w:r>
      <w:proofErr w:type="spellEnd"/>
      <w:r w:rsidRPr="00910B8D">
        <w:rPr>
          <w:rFonts w:ascii="Times New Roman" w:hAnsi="Times New Roman" w:cs="Times New Roman"/>
          <w:color w:val="000000"/>
          <w:sz w:val="24"/>
          <w:szCs w:val="24"/>
          <w:rtl/>
        </w:rPr>
        <w:t xml:space="preserve"> وسلامة الأصول والأداء المؤسسي. فقد يكون الأكاديمي خبيرًا في المجال ولكنه لا يمتلك بالضرورة معلومات مباشرة عن الممارسات الداخلية للمؤسسات التي يجري تقييمها</w:t>
      </w:r>
      <w:r w:rsidRPr="00910B8D">
        <w:rPr>
          <w:rFonts w:ascii="Times New Roman" w:hAnsi="Times New Roman" w:cs="Times New Roman"/>
          <w:color w:val="000000"/>
          <w:sz w:val="24"/>
          <w:szCs w:val="24"/>
        </w:rPr>
        <w:t>. </w:t>
      </w:r>
    </w:p>
    <w:p w14:paraId="4A35FE91"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خامسًا، يحتاج تقدير حجم المجتمع بين 150 و250 فردًا إلى توثيق أقوى. فقد ذكر الباحث أنه لا يوجد سجل موحد للمجتمع، ثم قدّر حجمه استنادًا إلى الهياكل التنظيمية للجهات. يجب توضيح مصدر هذا التقدير وكيف تم التوصل إلى نطاق 150–250 تحديدًا، أو تجنب تقديم رقم دقيق نسبيًا إذا لم يكن مدعومًا ببيانات رسمية</w:t>
      </w:r>
      <w:r w:rsidRPr="00910B8D">
        <w:rPr>
          <w:rFonts w:ascii="Times New Roman" w:hAnsi="Times New Roman" w:cs="Times New Roman"/>
          <w:color w:val="000000"/>
          <w:sz w:val="24"/>
          <w:szCs w:val="24"/>
        </w:rPr>
        <w:t>. </w:t>
      </w:r>
    </w:p>
    <w:p w14:paraId="1473E6CE"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سادسًا، فيما يتعلق بـ العينة القصدية، فإن اختيارها مناسب نسبيًا لطبيعة المجتمع المتخصص، كما أن معايير الإدراج جيدة وتشترط خبرة خمس سنوات على الأقل ومعرفة بالتحول الرقمي أو </w:t>
      </w:r>
      <w:proofErr w:type="spellStart"/>
      <w:r w:rsidRPr="00910B8D">
        <w:rPr>
          <w:rFonts w:ascii="Times New Roman" w:hAnsi="Times New Roman" w:cs="Times New Roman"/>
          <w:color w:val="000000"/>
          <w:sz w:val="24"/>
          <w:szCs w:val="24"/>
          <w:rtl/>
        </w:rPr>
        <w:t>الحوكمة</w:t>
      </w:r>
      <w:proofErr w:type="spellEnd"/>
      <w:r w:rsidRPr="00910B8D">
        <w:rPr>
          <w:rFonts w:ascii="Times New Roman" w:hAnsi="Times New Roman" w:cs="Times New Roman"/>
          <w:color w:val="000000"/>
          <w:sz w:val="24"/>
          <w:szCs w:val="24"/>
          <w:rtl/>
        </w:rPr>
        <w:t xml:space="preserve"> أو إدارة الأصول والعمل في موقع قيادي أو تخصصي. ومع ذلك، ينبغي إضافة توضيح لكيفية التحقق من هذه الشروط فعليًا قبل قبول الاستجابة، ويفضل أن تظهر هذه الشروط في بداية الاستبانة كأسئلة</w:t>
      </w:r>
      <w:r w:rsidRPr="00910B8D">
        <w:rPr>
          <w:rFonts w:ascii="Times New Roman" w:hAnsi="Times New Roman" w:cs="Times New Roman"/>
          <w:color w:val="000000"/>
          <w:sz w:val="24"/>
          <w:szCs w:val="24"/>
        </w:rPr>
        <w:t xml:space="preserve"> Screening Questions</w:t>
      </w:r>
      <w:r w:rsidRPr="00910B8D">
        <w:rPr>
          <w:rFonts w:ascii="Times New Roman" w:hAnsi="Times New Roman" w:cs="Times New Roman"/>
          <w:color w:val="000000"/>
          <w:sz w:val="24"/>
          <w:szCs w:val="24"/>
          <w:rtl/>
        </w:rPr>
        <w:t>، بحيث يستبعد النظام تلقائيًا من لا تنطبق عليه معايير المشاركة</w:t>
      </w:r>
      <w:r w:rsidRPr="00910B8D">
        <w:rPr>
          <w:rFonts w:ascii="Times New Roman" w:hAnsi="Times New Roman" w:cs="Times New Roman"/>
          <w:color w:val="000000"/>
          <w:sz w:val="24"/>
          <w:szCs w:val="24"/>
        </w:rPr>
        <w:t>. </w:t>
      </w:r>
    </w:p>
    <w:p w14:paraId="3D6A366A"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lastRenderedPageBreak/>
        <w:t>سابعًا، يحتاج تبرير حجم العينة إلى مراجعة. الفصل يعرض ثلاثة معايير: قاعدة عشرة أمثال، وتحليل القوة باستخدام</w:t>
      </w:r>
      <w:r w:rsidRPr="00910B8D">
        <w:rPr>
          <w:rFonts w:ascii="Times New Roman" w:hAnsi="Times New Roman" w:cs="Times New Roman"/>
          <w:color w:val="000000"/>
          <w:sz w:val="24"/>
          <w:szCs w:val="24"/>
        </w:rPr>
        <w:t xml:space="preserve"> G*Power</w:t>
      </w:r>
      <w:r w:rsidRPr="00910B8D">
        <w:rPr>
          <w:rFonts w:ascii="Times New Roman" w:hAnsi="Times New Roman" w:cs="Times New Roman"/>
          <w:color w:val="000000"/>
          <w:sz w:val="24"/>
          <w:szCs w:val="24"/>
          <w:rtl/>
        </w:rPr>
        <w:t>، ثم «المعيار العلمي المعتمد في</w:t>
      </w:r>
      <w:r w:rsidRPr="00910B8D">
        <w:rPr>
          <w:rFonts w:ascii="Times New Roman" w:hAnsi="Times New Roman" w:cs="Times New Roman"/>
          <w:color w:val="000000"/>
          <w:sz w:val="24"/>
          <w:szCs w:val="24"/>
        </w:rPr>
        <w:t xml:space="preserve"> PLS-SEM </w:t>
      </w:r>
      <w:r w:rsidRPr="00910B8D">
        <w:rPr>
          <w:rFonts w:ascii="Times New Roman" w:hAnsi="Times New Roman" w:cs="Times New Roman"/>
          <w:color w:val="000000"/>
          <w:sz w:val="24"/>
          <w:szCs w:val="24"/>
          <w:rtl/>
        </w:rPr>
        <w:t>لدى</w:t>
      </w:r>
      <w:r w:rsidRPr="00910B8D">
        <w:rPr>
          <w:rFonts w:ascii="Times New Roman" w:hAnsi="Times New Roman" w:cs="Times New Roman"/>
          <w:color w:val="000000"/>
          <w:sz w:val="24"/>
          <w:szCs w:val="24"/>
        </w:rPr>
        <w:t xml:space="preserve"> Hair et al.» </w:t>
      </w:r>
      <w:r w:rsidRPr="00910B8D">
        <w:rPr>
          <w:rFonts w:ascii="Times New Roman" w:hAnsi="Times New Roman" w:cs="Times New Roman"/>
          <w:color w:val="000000"/>
          <w:sz w:val="24"/>
          <w:szCs w:val="24"/>
          <w:rtl/>
        </w:rPr>
        <w:t>الذي حدد 200 مفردة، ثم استهداف 235 استجابة مع إضافة 15% للاستبانات غير المكتملة</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المشكلة أن رقم 200 لا ينبغي تقديمه وكأنه حد عام ثابت في</w:t>
      </w:r>
      <w:r w:rsidRPr="00910B8D">
        <w:rPr>
          <w:rFonts w:ascii="Times New Roman" w:hAnsi="Times New Roman" w:cs="Times New Roman"/>
          <w:color w:val="000000"/>
          <w:sz w:val="24"/>
          <w:szCs w:val="24"/>
        </w:rPr>
        <w:t xml:space="preserve"> PLS-SEM</w:t>
      </w:r>
      <w:r w:rsidRPr="00910B8D">
        <w:rPr>
          <w:rFonts w:ascii="Times New Roman" w:hAnsi="Times New Roman" w:cs="Times New Roman"/>
          <w:color w:val="000000"/>
          <w:sz w:val="24"/>
          <w:szCs w:val="24"/>
          <w:rtl/>
        </w:rPr>
        <w:t>؛ فحجم العينة يعتمد على قوة الاختبار، وعدد المتنبئات، وحجم الأثر المتوقع وتعقيد النموذج. والأفضل أن يعتمد الباحث أساسًا على </w:t>
      </w:r>
      <w:r w:rsidRPr="00910B8D">
        <w:rPr>
          <w:rFonts w:ascii="Times New Roman" w:hAnsi="Times New Roman" w:cs="Times New Roman"/>
          <w:color w:val="000000"/>
          <w:sz w:val="24"/>
          <w:szCs w:val="24"/>
        </w:rPr>
        <w:t>Power Analysis </w:t>
      </w:r>
      <w:r w:rsidRPr="00910B8D">
        <w:rPr>
          <w:rFonts w:ascii="Times New Roman" w:hAnsi="Times New Roman" w:cs="Times New Roman"/>
          <w:color w:val="000000"/>
          <w:sz w:val="24"/>
          <w:szCs w:val="24"/>
          <w:rtl/>
        </w:rPr>
        <w:t>مع تبرير اختيار حجم الأثر وعدد المتنبئات، ثم يقدم العدد المستهدف باعتباره أكثر تحفظًا من الحد الأدنى</w:t>
      </w:r>
      <w:r w:rsidRPr="00910B8D">
        <w:rPr>
          <w:rFonts w:ascii="Times New Roman" w:hAnsi="Times New Roman" w:cs="Times New Roman"/>
          <w:color w:val="000000"/>
          <w:sz w:val="24"/>
          <w:szCs w:val="24"/>
        </w:rPr>
        <w:t>.</w:t>
      </w:r>
    </w:p>
    <w:p w14:paraId="2EB66896"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كما أن تحليل</w:t>
      </w:r>
      <w:r w:rsidRPr="00910B8D">
        <w:rPr>
          <w:rFonts w:ascii="Times New Roman" w:hAnsi="Times New Roman" w:cs="Times New Roman"/>
          <w:color w:val="000000"/>
          <w:sz w:val="24"/>
          <w:szCs w:val="24"/>
        </w:rPr>
        <w:t xml:space="preserve"> G*Power </w:t>
      </w:r>
      <w:r w:rsidRPr="00910B8D">
        <w:rPr>
          <w:rFonts w:ascii="Times New Roman" w:hAnsi="Times New Roman" w:cs="Times New Roman"/>
          <w:color w:val="000000"/>
          <w:sz w:val="24"/>
          <w:szCs w:val="24"/>
          <w:rtl/>
        </w:rPr>
        <w:t>الوارد يعتمد على متنبئين اثنين باعتبارهما أكبر عدد من المسارات الداخلة على متغير كامن واحد. يجب إعادة التحقق من ذلك في النموذج النهائي؛ لأن النموذج يحتوي على خمسة متغيرات ووساطة متسلسلة، وقد يكون لبعض المتغيرات الداخلية أكثر من مسارين مباشرَين وفق الفروض النهائية. إذا كان أكبر عدد فعلي من المتنبئات ثلاثة أو أكثر، فيجب إعادة حساب القوة الإحصائية</w:t>
      </w:r>
      <w:r w:rsidRPr="00910B8D">
        <w:rPr>
          <w:rFonts w:ascii="Times New Roman" w:hAnsi="Times New Roman" w:cs="Times New Roman"/>
          <w:color w:val="000000"/>
          <w:sz w:val="24"/>
          <w:szCs w:val="24"/>
        </w:rPr>
        <w:t>. </w:t>
      </w:r>
    </w:p>
    <w:p w14:paraId="26D7016F"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ثامنًا، أداة الدراسة تحتوي على </w:t>
      </w:r>
      <w:r w:rsidRPr="00910B8D">
        <w:rPr>
          <w:rFonts w:ascii="Times New Roman" w:hAnsi="Times New Roman" w:cs="Times New Roman"/>
          <w:color w:val="000000"/>
          <w:sz w:val="24"/>
          <w:szCs w:val="24"/>
        </w:rPr>
        <w:t xml:space="preserve">82 </w:t>
      </w:r>
      <w:r w:rsidRPr="00910B8D">
        <w:rPr>
          <w:rFonts w:ascii="Times New Roman" w:hAnsi="Times New Roman" w:cs="Times New Roman"/>
          <w:color w:val="000000"/>
          <w:sz w:val="24"/>
          <w:szCs w:val="24"/>
          <w:rtl/>
        </w:rPr>
        <w:t>فقرة قياس موزعة على خمسة متغيرات، وهو عدد كبير نسبيًا للاستبانة</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لذلك ينبغي للباحث الانتباه إلى طول الاستبانة واحتمال إرهاق المستجيب، خصوصًا أن المستهدفين قياديون ومتخصصون. يفضل الإشارة إلى متوسط الزمن المتوقع لإكمال الاستبانة، والتأكد أثناء الدراسة الاستطلاعية من عدم وجود بنود متكررة أو متشابهة يمكن اختصارها دون التأثير في المحتوى النظري</w:t>
      </w:r>
      <w:r w:rsidRPr="00910B8D">
        <w:rPr>
          <w:rFonts w:ascii="Times New Roman" w:hAnsi="Times New Roman" w:cs="Times New Roman"/>
          <w:color w:val="000000"/>
          <w:sz w:val="24"/>
          <w:szCs w:val="24"/>
        </w:rPr>
        <w:t>.</w:t>
      </w:r>
    </w:p>
    <w:p w14:paraId="215EC8FB"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تاسعًا، عرض مصادر المقاييس يمثل نقطة إيجابية في الفصل، حيث رُبطت المتغيرات بأطر ودراسات سابقة، كما ذكرت إجراءات الترجمة والترجمة العكسية. ولكن ينبغي تحسين ذلك بإضافة جدول تفصيلي يبين لكل بُعد: المصدر الأصلي، عدد البنود المقتبسة، البنود المعدلة، والبنود التي طورها الباحث إن وجدت. فالقول بأن الفقرات «مستوحاة» من</w:t>
      </w:r>
      <w:r w:rsidRPr="00910B8D">
        <w:rPr>
          <w:rFonts w:ascii="Times New Roman" w:hAnsi="Times New Roman" w:cs="Times New Roman"/>
          <w:color w:val="000000"/>
          <w:sz w:val="24"/>
          <w:szCs w:val="24"/>
        </w:rPr>
        <w:t xml:space="preserve"> Vial </w:t>
      </w:r>
      <w:r w:rsidRPr="00910B8D">
        <w:rPr>
          <w:rFonts w:ascii="Times New Roman" w:hAnsi="Times New Roman" w:cs="Times New Roman"/>
          <w:color w:val="000000"/>
          <w:sz w:val="24"/>
          <w:szCs w:val="24"/>
          <w:rtl/>
        </w:rPr>
        <w:t>أو</w:t>
      </w:r>
      <w:r w:rsidRPr="00910B8D">
        <w:rPr>
          <w:rFonts w:ascii="Times New Roman" w:hAnsi="Times New Roman" w:cs="Times New Roman"/>
          <w:color w:val="000000"/>
          <w:sz w:val="24"/>
          <w:szCs w:val="24"/>
        </w:rPr>
        <w:t xml:space="preserve"> OECD </w:t>
      </w:r>
      <w:r w:rsidRPr="00910B8D">
        <w:rPr>
          <w:rFonts w:ascii="Times New Roman" w:hAnsi="Times New Roman" w:cs="Times New Roman"/>
          <w:color w:val="000000"/>
          <w:sz w:val="24"/>
          <w:szCs w:val="24"/>
          <w:rtl/>
        </w:rPr>
        <w:t>أو</w:t>
      </w:r>
      <w:r w:rsidRPr="00910B8D">
        <w:rPr>
          <w:rFonts w:ascii="Times New Roman" w:hAnsi="Times New Roman" w:cs="Times New Roman"/>
          <w:color w:val="000000"/>
          <w:sz w:val="24"/>
          <w:szCs w:val="24"/>
        </w:rPr>
        <w:t xml:space="preserve"> ISO 55000 </w:t>
      </w:r>
      <w:r w:rsidRPr="00910B8D">
        <w:rPr>
          <w:rFonts w:ascii="Times New Roman" w:hAnsi="Times New Roman" w:cs="Times New Roman"/>
          <w:color w:val="000000"/>
          <w:sz w:val="24"/>
          <w:szCs w:val="24"/>
          <w:rtl/>
        </w:rPr>
        <w:t>لا يوضح بصورة كافية ما إذا كانت البنود مقتبسة من أداة قياس منشورة أو تم تطويرها من المفهوم النظري نفسه</w:t>
      </w:r>
      <w:r w:rsidRPr="00910B8D">
        <w:rPr>
          <w:rFonts w:ascii="Times New Roman" w:hAnsi="Times New Roman" w:cs="Times New Roman"/>
          <w:color w:val="000000"/>
          <w:sz w:val="24"/>
          <w:szCs w:val="24"/>
        </w:rPr>
        <w:t>. </w:t>
      </w:r>
    </w:p>
    <w:p w14:paraId="4C510DDD"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عاشرًا، هناك نقطة مهمة في هيكل المتغيرات متعددة الأبعاد</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الباحث أوضح لاحقًا أن جميع المتغيرات الرئيسة ستعامل كمتغيرات من الرتبة العليا</w:t>
      </w:r>
      <w:r w:rsidRPr="00910B8D">
        <w:rPr>
          <w:rFonts w:ascii="Times New Roman" w:hAnsi="Times New Roman" w:cs="Times New Roman"/>
          <w:color w:val="000000"/>
          <w:sz w:val="24"/>
          <w:szCs w:val="24"/>
        </w:rPr>
        <w:t xml:space="preserve"> Higher-Order Constructs </w:t>
      </w:r>
      <w:r w:rsidRPr="00910B8D">
        <w:rPr>
          <w:rFonts w:ascii="Times New Roman" w:hAnsi="Times New Roman" w:cs="Times New Roman"/>
          <w:color w:val="000000"/>
          <w:sz w:val="24"/>
          <w:szCs w:val="24"/>
          <w:rtl/>
        </w:rPr>
        <w:t>وبنية</w:t>
      </w:r>
      <w:r w:rsidRPr="00910B8D">
        <w:rPr>
          <w:rFonts w:ascii="Times New Roman" w:hAnsi="Times New Roman" w:cs="Times New Roman"/>
          <w:color w:val="000000"/>
          <w:sz w:val="24"/>
          <w:szCs w:val="24"/>
        </w:rPr>
        <w:t xml:space="preserve"> Reflective-Reflective </w:t>
      </w:r>
      <w:r w:rsidRPr="00910B8D">
        <w:rPr>
          <w:rFonts w:ascii="Times New Roman" w:hAnsi="Times New Roman" w:cs="Times New Roman"/>
          <w:color w:val="000000"/>
          <w:sz w:val="24"/>
          <w:szCs w:val="24"/>
          <w:rtl/>
        </w:rPr>
        <w:t>باستخدام</w:t>
      </w:r>
      <w:r w:rsidRPr="00910B8D">
        <w:rPr>
          <w:rFonts w:ascii="Times New Roman" w:hAnsi="Times New Roman" w:cs="Times New Roman"/>
          <w:color w:val="000000"/>
          <w:sz w:val="24"/>
          <w:szCs w:val="24"/>
        </w:rPr>
        <w:t xml:space="preserve"> Two-Stage Approach. </w:t>
      </w:r>
      <w:r w:rsidRPr="00910B8D">
        <w:rPr>
          <w:rFonts w:ascii="Times New Roman" w:hAnsi="Times New Roman" w:cs="Times New Roman"/>
          <w:color w:val="000000"/>
          <w:sz w:val="24"/>
          <w:szCs w:val="24"/>
          <w:rtl/>
        </w:rPr>
        <w:t xml:space="preserve">وهذا تطور جيد مقارنة بوصف عام </w:t>
      </w:r>
      <w:proofErr w:type="gramStart"/>
      <w:r w:rsidRPr="00910B8D">
        <w:rPr>
          <w:rFonts w:ascii="Times New Roman" w:hAnsi="Times New Roman" w:cs="Times New Roman"/>
          <w:color w:val="000000"/>
          <w:sz w:val="24"/>
          <w:szCs w:val="24"/>
          <w:rtl/>
        </w:rPr>
        <w:t>لـ</w:t>
      </w:r>
      <w:r w:rsidRPr="00910B8D">
        <w:rPr>
          <w:rFonts w:ascii="Times New Roman" w:hAnsi="Times New Roman" w:cs="Times New Roman"/>
          <w:color w:val="000000"/>
          <w:sz w:val="24"/>
          <w:szCs w:val="24"/>
        </w:rPr>
        <w:t>PLS</w:t>
      </w:r>
      <w:proofErr w:type="gramEnd"/>
      <w:r w:rsidRPr="00910B8D">
        <w:rPr>
          <w:rFonts w:ascii="Times New Roman" w:hAnsi="Times New Roman" w:cs="Times New Roman"/>
          <w:color w:val="000000"/>
          <w:sz w:val="24"/>
          <w:szCs w:val="24"/>
        </w:rPr>
        <w:t xml:space="preserve">-SEM. </w:t>
      </w:r>
      <w:r w:rsidRPr="00910B8D">
        <w:rPr>
          <w:rFonts w:ascii="Times New Roman" w:hAnsi="Times New Roman" w:cs="Times New Roman"/>
          <w:color w:val="000000"/>
          <w:sz w:val="24"/>
          <w:szCs w:val="24"/>
          <w:rtl/>
        </w:rPr>
        <w:t>ومع ذلك، فإن افتراض أن جميع الأبعاد والفقرات انعكاسية يجب ألا يستند فقط إلى كون البنود مقاييس</w:t>
      </w:r>
      <w:r w:rsidRPr="00910B8D">
        <w:rPr>
          <w:rFonts w:ascii="Times New Roman" w:hAnsi="Times New Roman" w:cs="Times New Roman"/>
          <w:color w:val="000000"/>
          <w:sz w:val="24"/>
          <w:szCs w:val="24"/>
        </w:rPr>
        <w:t xml:space="preserve"> Likert </w:t>
      </w:r>
      <w:r w:rsidRPr="00910B8D">
        <w:rPr>
          <w:rFonts w:ascii="Times New Roman" w:hAnsi="Times New Roman" w:cs="Times New Roman"/>
          <w:color w:val="000000"/>
          <w:sz w:val="24"/>
          <w:szCs w:val="24"/>
          <w:rtl/>
        </w:rPr>
        <w:t xml:space="preserve">أو قابلة للتبادل؛ بل يجب تبرير ذلك نظريًا لكل متغير، خصوصًا لمفاهيم مثل التحول الرقمي والاستدامة المؤسسية </w:t>
      </w:r>
      <w:proofErr w:type="spellStart"/>
      <w:r w:rsidRPr="00910B8D">
        <w:rPr>
          <w:rFonts w:ascii="Times New Roman" w:hAnsi="Times New Roman" w:cs="Times New Roman"/>
          <w:color w:val="000000"/>
          <w:sz w:val="24"/>
          <w:szCs w:val="24"/>
          <w:rtl/>
        </w:rPr>
        <w:t>والحوكمة</w:t>
      </w:r>
      <w:proofErr w:type="spellEnd"/>
      <w:r w:rsidRPr="00910B8D">
        <w:rPr>
          <w:rFonts w:ascii="Times New Roman" w:hAnsi="Times New Roman" w:cs="Times New Roman"/>
          <w:color w:val="000000"/>
          <w:sz w:val="24"/>
          <w:szCs w:val="24"/>
          <w:rtl/>
        </w:rPr>
        <w:t xml:space="preserve"> الذكية، التي قد تكون أبعادها مكونات مختلفة للمفهوم وليست بالضرورة انعكاسات متبادلة له</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وهذه من أهم النقاط التي تحتاج دفاعًا نظريًا واضحًا</w:t>
      </w:r>
      <w:r w:rsidRPr="00910B8D">
        <w:rPr>
          <w:rFonts w:ascii="Times New Roman" w:hAnsi="Times New Roman" w:cs="Times New Roman"/>
          <w:color w:val="000000"/>
          <w:sz w:val="24"/>
          <w:szCs w:val="24"/>
        </w:rPr>
        <w:t>.</w:t>
      </w:r>
    </w:p>
    <w:p w14:paraId="5C8DB877"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الحادي عشر، إجراءات الدراسة الاستطلاعية جيدة من حيث تحديد 30 مستجيبًا واستبعادهم لاحقًا من العينة النهائية. إلا أن الفصل ما زال مكتوبًا في بعض الأماكن بصيغة مستقبلية، مثل «ستطبق الاستبانة» و«ستوّثق النتائج»، بينما أجزاء أخرى توحي بأن التحكيم قد تم بالفعل</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يجب توحيد الزمن بناءً على المرحلة الفعلية للبحث: إذا لم يبدأ الجمع بعد، فيستخدم المستقبل بصورة متسقة؛ وإذا تمت هذه الإجراءات، فيحول وصفها إلى الماضي وتدرج النتائج الحقيقية</w:t>
      </w:r>
      <w:r w:rsidRPr="00910B8D">
        <w:rPr>
          <w:rFonts w:ascii="Times New Roman" w:hAnsi="Times New Roman" w:cs="Times New Roman"/>
          <w:color w:val="000000"/>
          <w:sz w:val="24"/>
          <w:szCs w:val="24"/>
        </w:rPr>
        <w:t>.</w:t>
      </w:r>
    </w:p>
    <w:p w14:paraId="43EA9D9F"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lastRenderedPageBreak/>
        <w:t>الثاني عشر، قسم صدق المحتوى باستخدام</w:t>
      </w:r>
      <w:r w:rsidRPr="00910B8D">
        <w:rPr>
          <w:rFonts w:ascii="Times New Roman" w:hAnsi="Times New Roman" w:cs="Times New Roman"/>
          <w:color w:val="000000"/>
          <w:sz w:val="24"/>
          <w:szCs w:val="24"/>
        </w:rPr>
        <w:t xml:space="preserve"> CVR </w:t>
      </w:r>
      <w:r w:rsidRPr="00910B8D">
        <w:rPr>
          <w:rFonts w:ascii="Times New Roman" w:hAnsi="Times New Roman" w:cs="Times New Roman"/>
          <w:color w:val="000000"/>
          <w:sz w:val="24"/>
          <w:szCs w:val="24"/>
          <w:rtl/>
        </w:rPr>
        <w:t xml:space="preserve">يعد نقطة قوة، خصوصًا مع تحديد عدد المحكمين </w:t>
      </w:r>
      <w:proofErr w:type="gramStart"/>
      <w:r w:rsidRPr="00910B8D">
        <w:rPr>
          <w:rFonts w:ascii="Times New Roman" w:hAnsi="Times New Roman" w:cs="Times New Roman"/>
          <w:color w:val="000000"/>
          <w:sz w:val="24"/>
          <w:szCs w:val="24"/>
          <w:rtl/>
        </w:rPr>
        <w:t>بـ12</w:t>
      </w:r>
      <w:proofErr w:type="gramEnd"/>
      <w:r w:rsidRPr="00910B8D">
        <w:rPr>
          <w:rFonts w:ascii="Times New Roman" w:hAnsi="Times New Roman" w:cs="Times New Roman"/>
          <w:color w:val="000000"/>
          <w:sz w:val="24"/>
          <w:szCs w:val="24"/>
          <w:rtl/>
        </w:rPr>
        <w:t xml:space="preserve"> وتخصصاتهم</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 xml:space="preserve">ومع ذلك، يجب التأكد من صحة القيمة الحرجة المستخدمة </w:t>
      </w:r>
      <w:proofErr w:type="gramStart"/>
      <w:r w:rsidRPr="00910B8D">
        <w:rPr>
          <w:rFonts w:ascii="Times New Roman" w:hAnsi="Times New Roman" w:cs="Times New Roman"/>
          <w:color w:val="000000"/>
          <w:sz w:val="24"/>
          <w:szCs w:val="24"/>
          <w:rtl/>
        </w:rPr>
        <w:t>لـ</w:t>
      </w:r>
      <w:r w:rsidRPr="00910B8D">
        <w:rPr>
          <w:rFonts w:ascii="Times New Roman" w:hAnsi="Times New Roman" w:cs="Times New Roman"/>
          <w:color w:val="000000"/>
          <w:sz w:val="24"/>
          <w:szCs w:val="24"/>
        </w:rPr>
        <w:t>CVR</w:t>
      </w:r>
      <w:proofErr w:type="gram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مع 12 محكمًا وفق المرجع المعتمد، وعدم الاعتماد على قيمة دون مراجعة الجدول الأصلي أو مصدر حديث يعيد حساب القيم الحرجة. كما يجب عرض النتائج الفعلية لكل بند أو على الأقل تلخيص البنود التي تم حذفها أو تعديلها نتيجة التحكيم</w:t>
      </w:r>
      <w:r w:rsidRPr="00910B8D">
        <w:rPr>
          <w:rFonts w:ascii="Times New Roman" w:hAnsi="Times New Roman" w:cs="Times New Roman"/>
          <w:color w:val="000000"/>
          <w:sz w:val="24"/>
          <w:szCs w:val="24"/>
        </w:rPr>
        <w:t>.</w:t>
      </w:r>
    </w:p>
    <w:p w14:paraId="1AADC849"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الثالث عشر، قسم الصدق والثبات في</w:t>
      </w:r>
      <w:r w:rsidRPr="00910B8D">
        <w:rPr>
          <w:rFonts w:ascii="Times New Roman" w:hAnsi="Times New Roman" w:cs="Times New Roman"/>
          <w:color w:val="000000"/>
          <w:sz w:val="24"/>
          <w:szCs w:val="24"/>
        </w:rPr>
        <w:t xml:space="preserve"> PLS-SEM </w:t>
      </w:r>
      <w:r w:rsidRPr="00910B8D">
        <w:rPr>
          <w:rFonts w:ascii="Times New Roman" w:hAnsi="Times New Roman" w:cs="Times New Roman"/>
          <w:color w:val="000000"/>
          <w:sz w:val="24"/>
          <w:szCs w:val="24"/>
          <w:rtl/>
        </w:rPr>
        <w:t>جيد من حيث ذكر</w:t>
      </w:r>
      <w:r w:rsidRPr="00910B8D">
        <w:rPr>
          <w:rFonts w:ascii="Times New Roman" w:hAnsi="Times New Roman" w:cs="Times New Roman"/>
          <w:color w:val="000000"/>
          <w:sz w:val="24"/>
          <w:szCs w:val="24"/>
        </w:rPr>
        <w:t xml:space="preserve"> AVE </w:t>
      </w:r>
      <w:r w:rsidRPr="00910B8D">
        <w:rPr>
          <w:rFonts w:ascii="Times New Roman" w:hAnsi="Times New Roman" w:cs="Times New Roman"/>
          <w:color w:val="000000"/>
          <w:sz w:val="24"/>
          <w:szCs w:val="24"/>
          <w:rtl/>
        </w:rPr>
        <w:t>و</w:t>
      </w:r>
      <w:proofErr w:type="spellStart"/>
      <w:r w:rsidRPr="00910B8D">
        <w:rPr>
          <w:rFonts w:ascii="Times New Roman" w:hAnsi="Times New Roman" w:cs="Times New Roman"/>
          <w:color w:val="000000"/>
          <w:sz w:val="24"/>
          <w:szCs w:val="24"/>
        </w:rPr>
        <w:t>Fornell-Larcker</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 xml:space="preserve">HTMT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 xml:space="preserve">Cronbach's Alpha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Composite Reliability. </w:t>
      </w:r>
      <w:r w:rsidRPr="00910B8D">
        <w:rPr>
          <w:rFonts w:ascii="Times New Roman" w:hAnsi="Times New Roman" w:cs="Times New Roman"/>
          <w:color w:val="000000"/>
          <w:sz w:val="24"/>
          <w:szCs w:val="24"/>
          <w:rtl/>
        </w:rPr>
        <w:t>لكن الأفضل جعل </w:t>
      </w:r>
      <w:r w:rsidRPr="00910B8D">
        <w:rPr>
          <w:rFonts w:ascii="Times New Roman" w:hAnsi="Times New Roman" w:cs="Times New Roman"/>
          <w:color w:val="000000"/>
          <w:sz w:val="24"/>
          <w:szCs w:val="24"/>
        </w:rPr>
        <w:t xml:space="preserve">HTMT </w:t>
      </w:r>
      <w:r w:rsidRPr="00910B8D">
        <w:rPr>
          <w:rFonts w:ascii="Times New Roman" w:hAnsi="Times New Roman" w:cs="Times New Roman"/>
          <w:color w:val="000000"/>
          <w:sz w:val="24"/>
          <w:szCs w:val="24"/>
          <w:rtl/>
        </w:rPr>
        <w:t>هو المعيار الرئيس للصدق التمييزي، مع استخدام</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Fornell-Larcker</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كاختبار داعم، وإضافة</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rho_A</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ضمن جدول الثبات النهائي، وهو ما ذكره الباحث بالفعل لاحقًا</w:t>
      </w:r>
      <w:r w:rsidRPr="00910B8D">
        <w:rPr>
          <w:rFonts w:ascii="Times New Roman" w:hAnsi="Times New Roman" w:cs="Times New Roman"/>
          <w:color w:val="000000"/>
          <w:sz w:val="24"/>
          <w:szCs w:val="24"/>
        </w:rPr>
        <w:t>.</w:t>
      </w:r>
    </w:p>
    <w:p w14:paraId="17E96519"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الرابع عشر، توجد ملاحظة مهمة جدًا في تنقية البيانات</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فقد حدد الباحث استبعاد الحالات التي تزيد القيم المفقودة فيها على 5% واستخدام استبدال المتوسط للحالات الأقل من ذلك</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ينبغي تبرير استخدام</w:t>
      </w:r>
      <w:r w:rsidRPr="00910B8D">
        <w:rPr>
          <w:rFonts w:ascii="Times New Roman" w:hAnsi="Times New Roman" w:cs="Times New Roman"/>
          <w:color w:val="000000"/>
          <w:sz w:val="24"/>
          <w:szCs w:val="24"/>
        </w:rPr>
        <w:t xml:space="preserve"> Mean Replacement </w:t>
      </w:r>
      <w:r w:rsidRPr="00910B8D">
        <w:rPr>
          <w:rFonts w:ascii="Times New Roman" w:hAnsi="Times New Roman" w:cs="Times New Roman"/>
          <w:color w:val="000000"/>
          <w:sz w:val="24"/>
          <w:szCs w:val="24"/>
          <w:rtl/>
        </w:rPr>
        <w:t>تحديدًا؛ إذ يمكن أن يؤثر في التباين والعلاقات بين المتغيرات. كذلك فإن الاستبانة الإلكترونية يمكن تصميمها بحيث تكون البنود الإلزامية، وعندها قد لا توجد</w:t>
      </w:r>
      <w:r w:rsidRPr="00910B8D">
        <w:rPr>
          <w:rFonts w:ascii="Times New Roman" w:hAnsi="Times New Roman" w:cs="Times New Roman"/>
          <w:color w:val="000000"/>
          <w:sz w:val="24"/>
          <w:szCs w:val="24"/>
        </w:rPr>
        <w:t xml:space="preserve"> Missing Values </w:t>
      </w:r>
      <w:r w:rsidRPr="00910B8D">
        <w:rPr>
          <w:rFonts w:ascii="Times New Roman" w:hAnsi="Times New Roman" w:cs="Times New Roman"/>
          <w:color w:val="000000"/>
          <w:sz w:val="24"/>
          <w:szCs w:val="24"/>
          <w:rtl/>
        </w:rPr>
        <w:t>أصلًا، وهو حل أفضل إذا لم توجد اعتبارات أخلاقية تمنع ذلك</w:t>
      </w:r>
      <w:r w:rsidRPr="00910B8D">
        <w:rPr>
          <w:rFonts w:ascii="Times New Roman" w:hAnsi="Times New Roman" w:cs="Times New Roman"/>
          <w:color w:val="000000"/>
          <w:sz w:val="24"/>
          <w:szCs w:val="24"/>
        </w:rPr>
        <w:t>.</w:t>
      </w:r>
    </w:p>
    <w:p w14:paraId="6FD83BFB"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الخامس عشر، يجب مراجعة استخدام عنوان</w:t>
      </w:r>
      <w:r w:rsidRPr="00910B8D">
        <w:rPr>
          <w:rFonts w:ascii="Times New Roman" w:hAnsi="Times New Roman" w:cs="Times New Roman"/>
          <w:color w:val="000000"/>
          <w:sz w:val="24"/>
          <w:szCs w:val="24"/>
        </w:rPr>
        <w:t xml:space="preserve"> IP </w:t>
      </w:r>
      <w:r w:rsidRPr="00910B8D">
        <w:rPr>
          <w:rFonts w:ascii="Times New Roman" w:hAnsi="Times New Roman" w:cs="Times New Roman"/>
          <w:color w:val="000000"/>
          <w:sz w:val="24"/>
          <w:szCs w:val="24"/>
          <w:rtl/>
        </w:rPr>
        <w:t>والبريد الإلكتروني للكشف عن الاستجابات المكررة</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فقد ذكر الفصل استخدام تطابق عنوان</w:t>
      </w:r>
      <w:r w:rsidRPr="00910B8D">
        <w:rPr>
          <w:rFonts w:ascii="Times New Roman" w:hAnsi="Times New Roman" w:cs="Times New Roman"/>
          <w:color w:val="000000"/>
          <w:sz w:val="24"/>
          <w:szCs w:val="24"/>
        </w:rPr>
        <w:t xml:space="preserve"> IP </w:t>
      </w:r>
      <w:r w:rsidRPr="00910B8D">
        <w:rPr>
          <w:rFonts w:ascii="Times New Roman" w:hAnsi="Times New Roman" w:cs="Times New Roman"/>
          <w:color w:val="000000"/>
          <w:sz w:val="24"/>
          <w:szCs w:val="24"/>
          <w:rtl/>
        </w:rPr>
        <w:t>أو البريد الإلكتروني لهذا الغرض</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هذا يحتاج إلى الاتساق مع ما ورد في قسم الأخلاقيات بشأن السرية وعدم جمع بيانات تعريفية. إذا كان البريد الإلكتروني أو</w:t>
      </w:r>
      <w:r w:rsidRPr="00910B8D">
        <w:rPr>
          <w:rFonts w:ascii="Times New Roman" w:hAnsi="Times New Roman" w:cs="Times New Roman"/>
          <w:color w:val="000000"/>
          <w:sz w:val="24"/>
          <w:szCs w:val="24"/>
        </w:rPr>
        <w:t xml:space="preserve"> IP </w:t>
      </w:r>
      <w:r w:rsidRPr="00910B8D">
        <w:rPr>
          <w:rFonts w:ascii="Times New Roman" w:hAnsi="Times New Roman" w:cs="Times New Roman"/>
          <w:color w:val="000000"/>
          <w:sz w:val="24"/>
          <w:szCs w:val="24"/>
          <w:rtl/>
        </w:rPr>
        <w:t>سيجمع فعليًا، فيجب توضيح ذلك للمشارك في نموذج الموافقة وبيان طريقة حمايته وحذفه، أو استخدام وسائل أخرى تمنع التكرار دون تخزين بيانات تعريفية غير ضرورية</w:t>
      </w:r>
      <w:r w:rsidRPr="00910B8D">
        <w:rPr>
          <w:rFonts w:ascii="Times New Roman" w:hAnsi="Times New Roman" w:cs="Times New Roman"/>
          <w:color w:val="000000"/>
          <w:sz w:val="24"/>
          <w:szCs w:val="24"/>
        </w:rPr>
        <w:t>.</w:t>
      </w:r>
    </w:p>
    <w:p w14:paraId="55820C76"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السادس عشر، تبرير استخدام </w:t>
      </w:r>
      <w:r w:rsidRPr="00910B8D">
        <w:rPr>
          <w:rFonts w:ascii="Times New Roman" w:hAnsi="Times New Roman" w:cs="Times New Roman"/>
          <w:color w:val="000000"/>
          <w:sz w:val="24"/>
          <w:szCs w:val="24"/>
        </w:rPr>
        <w:t>PLS-SEM </w:t>
      </w:r>
      <w:r w:rsidRPr="00910B8D">
        <w:rPr>
          <w:rFonts w:ascii="Times New Roman" w:hAnsi="Times New Roman" w:cs="Times New Roman"/>
          <w:color w:val="000000"/>
          <w:sz w:val="24"/>
          <w:szCs w:val="24"/>
          <w:rtl/>
        </w:rPr>
        <w:t>جيد إجمالًا، لكنه يحتاج إلى بعض التنقيح. فالفصل يذكر أن</w:t>
      </w:r>
      <w:r w:rsidRPr="00910B8D">
        <w:rPr>
          <w:rFonts w:ascii="Times New Roman" w:hAnsi="Times New Roman" w:cs="Times New Roman"/>
          <w:color w:val="000000"/>
          <w:sz w:val="24"/>
          <w:szCs w:val="24"/>
        </w:rPr>
        <w:t xml:space="preserve"> PLS-SEM </w:t>
      </w:r>
      <w:r w:rsidRPr="00910B8D">
        <w:rPr>
          <w:rFonts w:ascii="Times New Roman" w:hAnsi="Times New Roman" w:cs="Times New Roman"/>
          <w:color w:val="000000"/>
          <w:sz w:val="24"/>
          <w:szCs w:val="24"/>
          <w:rtl/>
        </w:rPr>
        <w:t>مناسب للعينات المتوسطة وأن</w:t>
      </w:r>
      <w:r w:rsidRPr="00910B8D">
        <w:rPr>
          <w:rFonts w:ascii="Times New Roman" w:hAnsi="Times New Roman" w:cs="Times New Roman"/>
          <w:color w:val="000000"/>
          <w:sz w:val="24"/>
          <w:szCs w:val="24"/>
        </w:rPr>
        <w:t xml:space="preserve"> CB-SEM «</w:t>
      </w:r>
      <w:r w:rsidRPr="00910B8D">
        <w:rPr>
          <w:rFonts w:ascii="Times New Roman" w:hAnsi="Times New Roman" w:cs="Times New Roman"/>
          <w:color w:val="000000"/>
          <w:sz w:val="24"/>
          <w:szCs w:val="24"/>
          <w:rtl/>
        </w:rPr>
        <w:t>يستلزم عينات أكبر»، وهذه مقارنة مبسطة أكثر من اللازم</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الأفضل التركيز على أن اختيار</w:t>
      </w:r>
      <w:r w:rsidRPr="00910B8D">
        <w:rPr>
          <w:rFonts w:ascii="Times New Roman" w:hAnsi="Times New Roman" w:cs="Times New Roman"/>
          <w:color w:val="000000"/>
          <w:sz w:val="24"/>
          <w:szCs w:val="24"/>
        </w:rPr>
        <w:t xml:space="preserve"> PLS-SEM </w:t>
      </w:r>
      <w:r w:rsidRPr="00910B8D">
        <w:rPr>
          <w:rFonts w:ascii="Times New Roman" w:hAnsi="Times New Roman" w:cs="Times New Roman"/>
          <w:color w:val="000000"/>
          <w:sz w:val="24"/>
          <w:szCs w:val="24"/>
          <w:rtl/>
        </w:rPr>
        <w:t xml:space="preserve">مرتبط بالهدف </w:t>
      </w:r>
      <w:proofErr w:type="spellStart"/>
      <w:r w:rsidRPr="00910B8D">
        <w:rPr>
          <w:rFonts w:ascii="Times New Roman" w:hAnsi="Times New Roman" w:cs="Times New Roman"/>
          <w:color w:val="000000"/>
          <w:sz w:val="24"/>
          <w:szCs w:val="24"/>
          <w:rtl/>
        </w:rPr>
        <w:t>التنبؤي</w:t>
      </w:r>
      <w:proofErr w:type="spellEnd"/>
      <w:r w:rsidRPr="00910B8D">
        <w:rPr>
          <w:rFonts w:ascii="Times New Roman" w:hAnsi="Times New Roman" w:cs="Times New Roman"/>
          <w:color w:val="000000"/>
          <w:sz w:val="24"/>
          <w:szCs w:val="24"/>
          <w:rtl/>
        </w:rPr>
        <w:t xml:space="preserve"> والتفسيري للنموذج، وتعقيده، ووجود المتغيرات متعددة الأبعاد والوساطة المتسلسلة، بدل تقديم حجم العينة وحده سببًا رئيسًا</w:t>
      </w:r>
      <w:r w:rsidRPr="00910B8D">
        <w:rPr>
          <w:rFonts w:ascii="Times New Roman" w:hAnsi="Times New Roman" w:cs="Times New Roman"/>
          <w:color w:val="000000"/>
          <w:sz w:val="24"/>
          <w:szCs w:val="24"/>
        </w:rPr>
        <w:t>.</w:t>
      </w:r>
    </w:p>
    <w:p w14:paraId="7924E381"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السابع عشر، إجراءات تقييم نموذج القياس جيدة جدًا في معظمها؛ إذ حدد الباحث </w:t>
      </w:r>
      <w:proofErr w:type="spellStart"/>
      <w:r w:rsidRPr="00910B8D">
        <w:rPr>
          <w:rFonts w:ascii="Times New Roman" w:hAnsi="Times New Roman" w:cs="Times New Roman"/>
          <w:color w:val="000000"/>
          <w:sz w:val="24"/>
          <w:szCs w:val="24"/>
          <w:rtl/>
        </w:rPr>
        <w:t>تحميلات</w:t>
      </w:r>
      <w:proofErr w:type="spellEnd"/>
      <w:r w:rsidRPr="00910B8D">
        <w:rPr>
          <w:rFonts w:ascii="Times New Roman" w:hAnsi="Times New Roman" w:cs="Times New Roman"/>
          <w:color w:val="000000"/>
          <w:sz w:val="24"/>
          <w:szCs w:val="24"/>
          <w:rtl/>
        </w:rPr>
        <w:t xml:space="preserve"> البنود و</w:t>
      </w:r>
      <w:r w:rsidRPr="00910B8D">
        <w:rPr>
          <w:rFonts w:ascii="Times New Roman" w:hAnsi="Times New Roman" w:cs="Times New Roman"/>
          <w:color w:val="000000"/>
          <w:sz w:val="24"/>
          <w:szCs w:val="24"/>
        </w:rPr>
        <w:t xml:space="preserve">AVE </w:t>
      </w:r>
      <w:r w:rsidRPr="00910B8D">
        <w:rPr>
          <w:rFonts w:ascii="Times New Roman" w:hAnsi="Times New Roman" w:cs="Times New Roman"/>
          <w:color w:val="000000"/>
          <w:sz w:val="24"/>
          <w:szCs w:val="24"/>
          <w:rtl/>
        </w:rPr>
        <w:t>والثبات و</w:t>
      </w:r>
      <w:r w:rsidRPr="00910B8D">
        <w:rPr>
          <w:rFonts w:ascii="Times New Roman" w:hAnsi="Times New Roman" w:cs="Times New Roman"/>
          <w:color w:val="000000"/>
          <w:sz w:val="24"/>
          <w:szCs w:val="24"/>
        </w:rPr>
        <w:t>HTMT</w:t>
      </w:r>
      <w:r w:rsidRPr="00910B8D">
        <w:rPr>
          <w:rFonts w:ascii="Times New Roman" w:hAnsi="Times New Roman" w:cs="Times New Roman"/>
          <w:color w:val="000000"/>
          <w:sz w:val="24"/>
          <w:szCs w:val="24"/>
          <w:rtl/>
        </w:rPr>
        <w:t xml:space="preserve">، كما وضع قواعد للتعامل مع البنود ذات </w:t>
      </w:r>
      <w:proofErr w:type="spellStart"/>
      <w:r w:rsidRPr="00910B8D">
        <w:rPr>
          <w:rFonts w:ascii="Times New Roman" w:hAnsi="Times New Roman" w:cs="Times New Roman"/>
          <w:color w:val="000000"/>
          <w:sz w:val="24"/>
          <w:szCs w:val="24"/>
          <w:rtl/>
        </w:rPr>
        <w:t>التحميلات</w:t>
      </w:r>
      <w:proofErr w:type="spellEnd"/>
      <w:r w:rsidRPr="00910B8D">
        <w:rPr>
          <w:rFonts w:ascii="Times New Roman" w:hAnsi="Times New Roman" w:cs="Times New Roman"/>
          <w:color w:val="000000"/>
          <w:sz w:val="24"/>
          <w:szCs w:val="24"/>
          <w:rtl/>
        </w:rPr>
        <w:t xml:space="preserve"> المنخفضة</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ومع ذلك، لا يفضل حذف أي فقرة بصورة آلية اعتمادًا فقط على التحسين الإحصائي، بل يجب الحفاظ على </w:t>
      </w:r>
      <w:r w:rsidRPr="00910B8D">
        <w:rPr>
          <w:rFonts w:ascii="Times New Roman" w:hAnsi="Times New Roman" w:cs="Times New Roman"/>
          <w:color w:val="000000"/>
          <w:sz w:val="24"/>
          <w:szCs w:val="24"/>
        </w:rPr>
        <w:t>Content Validity </w:t>
      </w:r>
      <w:r w:rsidRPr="00910B8D">
        <w:rPr>
          <w:rFonts w:ascii="Times New Roman" w:hAnsi="Times New Roman" w:cs="Times New Roman"/>
          <w:color w:val="000000"/>
          <w:sz w:val="24"/>
          <w:szCs w:val="24"/>
          <w:rtl/>
        </w:rPr>
        <w:t>للمقياس. ينبغي أن يذكر الباحث صراحة أن حذف البنود سيخضع أيضًا للاعتبارات النظرية وليس لمعيار</w:t>
      </w:r>
      <w:r w:rsidRPr="00910B8D">
        <w:rPr>
          <w:rFonts w:ascii="Times New Roman" w:hAnsi="Times New Roman" w:cs="Times New Roman"/>
          <w:color w:val="000000"/>
          <w:sz w:val="24"/>
          <w:szCs w:val="24"/>
        </w:rPr>
        <w:t xml:space="preserve"> AVE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 xml:space="preserve">CR </w:t>
      </w:r>
      <w:r w:rsidRPr="00910B8D">
        <w:rPr>
          <w:rFonts w:ascii="Times New Roman" w:hAnsi="Times New Roman" w:cs="Times New Roman"/>
          <w:color w:val="000000"/>
          <w:sz w:val="24"/>
          <w:szCs w:val="24"/>
          <w:rtl/>
        </w:rPr>
        <w:t>فقط</w:t>
      </w:r>
      <w:r w:rsidRPr="00910B8D">
        <w:rPr>
          <w:rFonts w:ascii="Times New Roman" w:hAnsi="Times New Roman" w:cs="Times New Roman"/>
          <w:color w:val="000000"/>
          <w:sz w:val="24"/>
          <w:szCs w:val="24"/>
        </w:rPr>
        <w:t>.</w:t>
      </w:r>
    </w:p>
    <w:p w14:paraId="1738C77F"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الثامن عشر، في تقييم النموذج الهيكلي تم تضمين معاملات المسار، </w:t>
      </w:r>
      <w:r w:rsidRPr="00910B8D">
        <w:rPr>
          <w:rFonts w:ascii="Times New Roman" w:hAnsi="Times New Roman" w:cs="Times New Roman"/>
          <w:color w:val="000000"/>
          <w:sz w:val="24"/>
          <w:szCs w:val="24"/>
        </w:rPr>
        <w:t xml:space="preserve">Bootstrapping </w:t>
      </w:r>
      <w:proofErr w:type="gramStart"/>
      <w:r w:rsidRPr="00910B8D">
        <w:rPr>
          <w:rFonts w:ascii="Times New Roman" w:hAnsi="Times New Roman" w:cs="Times New Roman"/>
          <w:color w:val="000000"/>
          <w:sz w:val="24"/>
          <w:szCs w:val="24"/>
          <w:rtl/>
        </w:rPr>
        <w:t>بـ5000</w:t>
      </w:r>
      <w:proofErr w:type="gramEnd"/>
      <w:r w:rsidRPr="00910B8D">
        <w:rPr>
          <w:rFonts w:ascii="Times New Roman" w:hAnsi="Times New Roman" w:cs="Times New Roman"/>
          <w:color w:val="000000"/>
          <w:sz w:val="24"/>
          <w:szCs w:val="24"/>
          <w:rtl/>
        </w:rPr>
        <w:t xml:space="preserve"> عينة، و</w:t>
      </w:r>
      <w:r w:rsidRPr="00910B8D">
        <w:rPr>
          <w:rFonts w:ascii="Times New Roman" w:hAnsi="Times New Roman" w:cs="Times New Roman"/>
          <w:color w:val="000000"/>
          <w:sz w:val="24"/>
          <w:szCs w:val="24"/>
        </w:rPr>
        <w:t xml:space="preserve">R²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 xml:space="preserve">f²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Q². </w:t>
      </w:r>
      <w:r w:rsidRPr="00910B8D">
        <w:rPr>
          <w:rFonts w:ascii="Times New Roman" w:hAnsi="Times New Roman" w:cs="Times New Roman"/>
          <w:color w:val="000000"/>
          <w:sz w:val="24"/>
          <w:szCs w:val="24"/>
          <w:rtl/>
        </w:rPr>
        <w:t>وهذا جيد. ولكن بما أن الباحث أضاف</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PLSpredict</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لاحقًا، فمن الأفضل تنظيم القسم إلى محورين واضحين</w:t>
      </w:r>
      <w:r w:rsidRPr="00910B8D">
        <w:rPr>
          <w:rFonts w:ascii="Times New Roman" w:hAnsi="Times New Roman" w:cs="Times New Roman"/>
          <w:color w:val="000000"/>
          <w:sz w:val="24"/>
          <w:szCs w:val="24"/>
        </w:rPr>
        <w:t>: In-sample explanatory assessment </w:t>
      </w:r>
      <w:r w:rsidRPr="00910B8D">
        <w:rPr>
          <w:rFonts w:ascii="Times New Roman" w:hAnsi="Times New Roman" w:cs="Times New Roman"/>
          <w:color w:val="000000"/>
          <w:sz w:val="24"/>
          <w:szCs w:val="24"/>
          <w:rtl/>
        </w:rPr>
        <w:t>باستخدام</w:t>
      </w:r>
      <w:r w:rsidRPr="00910B8D">
        <w:rPr>
          <w:rFonts w:ascii="Times New Roman" w:hAnsi="Times New Roman" w:cs="Times New Roman"/>
          <w:color w:val="000000"/>
          <w:sz w:val="24"/>
          <w:szCs w:val="24"/>
        </w:rPr>
        <w:t xml:space="preserve"> R² </w:t>
      </w:r>
      <w:r w:rsidRPr="00910B8D">
        <w:rPr>
          <w:rFonts w:ascii="Times New Roman" w:hAnsi="Times New Roman" w:cs="Times New Roman"/>
          <w:color w:val="000000"/>
          <w:sz w:val="24"/>
          <w:szCs w:val="24"/>
          <w:rtl/>
        </w:rPr>
        <w:t>و</w:t>
      </w:r>
      <w:r w:rsidRPr="00910B8D">
        <w:rPr>
          <w:rFonts w:ascii="Times New Roman" w:hAnsi="Times New Roman" w:cs="Times New Roman"/>
          <w:color w:val="000000"/>
          <w:sz w:val="24"/>
          <w:szCs w:val="24"/>
        </w:rPr>
        <w:t>f²</w:t>
      </w:r>
      <w:r w:rsidRPr="00910B8D">
        <w:rPr>
          <w:rFonts w:ascii="Times New Roman" w:hAnsi="Times New Roman" w:cs="Times New Roman"/>
          <w:color w:val="000000"/>
          <w:sz w:val="24"/>
          <w:szCs w:val="24"/>
          <w:rtl/>
        </w:rPr>
        <w:t>، و</w:t>
      </w:r>
      <w:r w:rsidRPr="00910B8D">
        <w:rPr>
          <w:rFonts w:ascii="Times New Roman" w:hAnsi="Times New Roman" w:cs="Times New Roman"/>
          <w:color w:val="000000"/>
          <w:sz w:val="24"/>
          <w:szCs w:val="24"/>
        </w:rPr>
        <w:t>out-of-sample predictive assessment </w:t>
      </w:r>
      <w:r w:rsidRPr="00910B8D">
        <w:rPr>
          <w:rFonts w:ascii="Times New Roman" w:hAnsi="Times New Roman" w:cs="Times New Roman"/>
          <w:color w:val="000000"/>
          <w:sz w:val="24"/>
          <w:szCs w:val="24"/>
          <w:rtl/>
        </w:rPr>
        <w:t>باستخدام</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PLSpredict</w:t>
      </w:r>
      <w:proofErr w:type="spellEnd"/>
      <w:r w:rsidRPr="00910B8D">
        <w:rPr>
          <w:rFonts w:ascii="Times New Roman" w:hAnsi="Times New Roman" w:cs="Times New Roman"/>
          <w:color w:val="000000"/>
          <w:sz w:val="24"/>
          <w:szCs w:val="24"/>
          <w:rtl/>
        </w:rPr>
        <w:t xml:space="preserve">، بدل خلط القدرة التفسيرية </w:t>
      </w:r>
      <w:proofErr w:type="spellStart"/>
      <w:r w:rsidRPr="00910B8D">
        <w:rPr>
          <w:rFonts w:ascii="Times New Roman" w:hAnsi="Times New Roman" w:cs="Times New Roman"/>
          <w:color w:val="000000"/>
          <w:sz w:val="24"/>
          <w:szCs w:val="24"/>
          <w:rtl/>
        </w:rPr>
        <w:t>والتنبؤية</w:t>
      </w:r>
      <w:proofErr w:type="spellEnd"/>
      <w:r w:rsidRPr="00910B8D">
        <w:rPr>
          <w:rFonts w:ascii="Times New Roman" w:hAnsi="Times New Roman" w:cs="Times New Roman"/>
          <w:color w:val="000000"/>
          <w:sz w:val="24"/>
          <w:szCs w:val="24"/>
        </w:rPr>
        <w:t>.</w:t>
      </w:r>
    </w:p>
    <w:p w14:paraId="784A21E2"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التاسع عشر، صياغة الوساطة المتسلسلة تحتاج إلى مراجعة دقيقة جدًا في اتجاه الأسهم. فقد كتب الباحث المسارات بصيغة: «التحول الرقمي ← </w:t>
      </w:r>
      <w:proofErr w:type="spellStart"/>
      <w:r w:rsidRPr="00910B8D">
        <w:rPr>
          <w:rFonts w:ascii="Times New Roman" w:hAnsi="Times New Roman" w:cs="Times New Roman"/>
          <w:color w:val="000000"/>
          <w:sz w:val="24"/>
          <w:szCs w:val="24"/>
          <w:rtl/>
        </w:rPr>
        <w:t>الحوكمة</w:t>
      </w:r>
      <w:proofErr w:type="spellEnd"/>
      <w:r w:rsidRPr="00910B8D">
        <w:rPr>
          <w:rFonts w:ascii="Times New Roman" w:hAnsi="Times New Roman" w:cs="Times New Roman"/>
          <w:color w:val="000000"/>
          <w:sz w:val="24"/>
          <w:szCs w:val="24"/>
          <w:rtl/>
        </w:rPr>
        <w:t xml:space="preserve"> الذكية ← سلامة الأصول ← الأداء المؤسسي»، رغم أن الشرح النظري يقول إن التحول </w:t>
      </w:r>
      <w:r w:rsidRPr="00910B8D">
        <w:rPr>
          <w:rFonts w:ascii="Times New Roman" w:hAnsi="Times New Roman" w:cs="Times New Roman"/>
          <w:color w:val="000000"/>
          <w:sz w:val="24"/>
          <w:szCs w:val="24"/>
          <w:rtl/>
        </w:rPr>
        <w:lastRenderedPageBreak/>
        <w:t xml:space="preserve">الرقمي يؤثر في </w:t>
      </w:r>
      <w:proofErr w:type="spellStart"/>
      <w:r w:rsidRPr="00910B8D">
        <w:rPr>
          <w:rFonts w:ascii="Times New Roman" w:hAnsi="Times New Roman" w:cs="Times New Roman"/>
          <w:color w:val="000000"/>
          <w:sz w:val="24"/>
          <w:szCs w:val="24"/>
          <w:rtl/>
        </w:rPr>
        <w:t>الحوكمة</w:t>
      </w:r>
      <w:proofErr w:type="spellEnd"/>
      <w:r w:rsidRPr="00910B8D">
        <w:rPr>
          <w:rFonts w:ascii="Times New Roman" w:hAnsi="Times New Roman" w:cs="Times New Roman"/>
          <w:color w:val="000000"/>
          <w:sz w:val="24"/>
          <w:szCs w:val="24"/>
          <w:rtl/>
        </w:rPr>
        <w:t xml:space="preserve"> ثم </w:t>
      </w:r>
      <w:proofErr w:type="spellStart"/>
      <w:r w:rsidRPr="00910B8D">
        <w:rPr>
          <w:rFonts w:ascii="Times New Roman" w:hAnsi="Times New Roman" w:cs="Times New Roman"/>
          <w:color w:val="000000"/>
          <w:sz w:val="24"/>
          <w:szCs w:val="24"/>
          <w:rtl/>
        </w:rPr>
        <w:t>الحوكمة</w:t>
      </w:r>
      <w:proofErr w:type="spellEnd"/>
      <w:r w:rsidRPr="00910B8D">
        <w:rPr>
          <w:rFonts w:ascii="Times New Roman" w:hAnsi="Times New Roman" w:cs="Times New Roman"/>
          <w:color w:val="000000"/>
          <w:sz w:val="24"/>
          <w:szCs w:val="24"/>
          <w:rtl/>
        </w:rPr>
        <w:t xml:space="preserve"> في سلامة الأصول ثم سلامة الأصول في الأداء</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إذا كان اتجاه التأثير من التحول الرقمي إلى الأداء، فالصياغة المعتادة ينبغي أن تكون</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 xml:space="preserve">التحول الرقمي → </w:t>
      </w:r>
      <w:proofErr w:type="spellStart"/>
      <w:r w:rsidRPr="00910B8D">
        <w:rPr>
          <w:rFonts w:ascii="Times New Roman" w:hAnsi="Times New Roman" w:cs="Times New Roman"/>
          <w:color w:val="000000"/>
          <w:sz w:val="24"/>
          <w:szCs w:val="24"/>
          <w:rtl/>
        </w:rPr>
        <w:t>الحوكمة</w:t>
      </w:r>
      <w:proofErr w:type="spellEnd"/>
      <w:r w:rsidRPr="00910B8D">
        <w:rPr>
          <w:rFonts w:ascii="Times New Roman" w:hAnsi="Times New Roman" w:cs="Times New Roman"/>
          <w:color w:val="000000"/>
          <w:sz w:val="24"/>
          <w:szCs w:val="24"/>
          <w:rtl/>
        </w:rPr>
        <w:t xml:space="preserve"> الذكية → سلامة الأصول → الأداء المؤسسي</w:t>
      </w:r>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يجب تصحيح اتجاه الأسهم في جميع المسارات حتى لا يحدث التباس جوهري</w:t>
      </w:r>
      <w:r w:rsidRPr="00910B8D">
        <w:rPr>
          <w:rFonts w:ascii="Times New Roman" w:hAnsi="Times New Roman" w:cs="Times New Roman"/>
          <w:color w:val="000000"/>
          <w:sz w:val="24"/>
          <w:szCs w:val="24"/>
        </w:rPr>
        <w:t>.</w:t>
      </w:r>
    </w:p>
    <w:p w14:paraId="4F02D7A2"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العشرون، تصنيف الوساطة إلى كلية وجزئية يحتاج إلى تحديث في الصياغة. الفصل يعتمد أساسًا على دلالة الأثر المباشر وغير المباشر</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ويمكن الاحتفاظ بذلك، لكن من الأفضل تفسير نوع الوساطة أيضًا وفق اتجاه الأثر المباشر وغير المباشر، وعدم الاعتماد بصورة آلية على فكرة أن الوساطة «كلية» فقط لأن المسار المباشر أصبح غير دال، خصوصًا في إطار</w:t>
      </w:r>
      <w:r w:rsidRPr="00910B8D">
        <w:rPr>
          <w:rFonts w:ascii="Times New Roman" w:hAnsi="Times New Roman" w:cs="Times New Roman"/>
          <w:color w:val="000000"/>
          <w:sz w:val="24"/>
          <w:szCs w:val="24"/>
        </w:rPr>
        <w:t xml:space="preserve"> PLS-SEM.</w:t>
      </w:r>
    </w:p>
    <w:p w14:paraId="3B17377F"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الحادي والعشرون، توجد نقطة تحتاج تعديلًا في </w:t>
      </w:r>
      <w:proofErr w:type="spellStart"/>
      <w:r w:rsidRPr="00910B8D">
        <w:rPr>
          <w:rFonts w:ascii="Times New Roman" w:hAnsi="Times New Roman" w:cs="Times New Roman"/>
          <w:color w:val="000000"/>
          <w:sz w:val="24"/>
          <w:szCs w:val="24"/>
        </w:rPr>
        <w:t>PLSpredict</w:t>
      </w:r>
      <w:proofErr w:type="spellEnd"/>
      <w:r w:rsidRPr="00910B8D">
        <w:rPr>
          <w:rFonts w:ascii="Times New Roman" w:hAnsi="Times New Roman" w:cs="Times New Roman"/>
          <w:color w:val="000000"/>
          <w:sz w:val="24"/>
          <w:szCs w:val="24"/>
          <w:rtl/>
        </w:rPr>
        <w:t>؛ فقد ذكر الباحث مقارنة</w:t>
      </w:r>
      <w:r w:rsidRPr="00910B8D">
        <w:rPr>
          <w:rFonts w:ascii="Times New Roman" w:hAnsi="Times New Roman" w:cs="Times New Roman"/>
          <w:color w:val="000000"/>
          <w:sz w:val="24"/>
          <w:szCs w:val="24"/>
        </w:rPr>
        <w:t xml:space="preserve"> RMSE </w:t>
      </w:r>
      <w:r w:rsidRPr="00910B8D">
        <w:rPr>
          <w:rFonts w:ascii="Times New Roman" w:hAnsi="Times New Roman" w:cs="Times New Roman"/>
          <w:color w:val="000000"/>
          <w:sz w:val="24"/>
          <w:szCs w:val="24"/>
          <w:rtl/>
        </w:rPr>
        <w:t>لنموذج</w:t>
      </w:r>
      <w:r w:rsidRPr="00910B8D">
        <w:rPr>
          <w:rFonts w:ascii="Times New Roman" w:hAnsi="Times New Roman" w:cs="Times New Roman"/>
          <w:color w:val="000000"/>
          <w:sz w:val="24"/>
          <w:szCs w:val="24"/>
        </w:rPr>
        <w:t xml:space="preserve"> PLS </w:t>
      </w:r>
      <w:r w:rsidRPr="00910B8D">
        <w:rPr>
          <w:rFonts w:ascii="Times New Roman" w:hAnsi="Times New Roman" w:cs="Times New Roman"/>
          <w:color w:val="000000"/>
          <w:sz w:val="24"/>
          <w:szCs w:val="24"/>
          <w:rtl/>
        </w:rPr>
        <w:t>مع «الانحدار الخطي البسيط</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المرجع المقارن في</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PLSpredict</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هو عادة نموذج خطي</w:t>
      </w:r>
      <w:r w:rsidRPr="00910B8D">
        <w:rPr>
          <w:rFonts w:ascii="Times New Roman" w:hAnsi="Times New Roman" w:cs="Times New Roman"/>
          <w:color w:val="000000"/>
          <w:sz w:val="24"/>
          <w:szCs w:val="24"/>
        </w:rPr>
        <w:t xml:space="preserve"> Benchmark </w:t>
      </w:r>
      <w:r w:rsidRPr="00910B8D">
        <w:rPr>
          <w:rFonts w:ascii="Times New Roman" w:hAnsi="Times New Roman" w:cs="Times New Roman"/>
          <w:color w:val="000000"/>
          <w:sz w:val="24"/>
          <w:szCs w:val="24"/>
          <w:rtl/>
        </w:rPr>
        <w:t>مناسب على مستوى المؤشرات، وليس بالضرورة</w:t>
      </w:r>
      <w:r w:rsidRPr="00910B8D">
        <w:rPr>
          <w:rFonts w:ascii="Times New Roman" w:hAnsi="Times New Roman" w:cs="Times New Roman"/>
          <w:color w:val="000000"/>
          <w:sz w:val="24"/>
          <w:szCs w:val="24"/>
        </w:rPr>
        <w:t xml:space="preserve"> «Simple Linear Regression» </w:t>
      </w:r>
      <w:r w:rsidRPr="00910B8D">
        <w:rPr>
          <w:rFonts w:ascii="Times New Roman" w:hAnsi="Times New Roman" w:cs="Times New Roman"/>
          <w:color w:val="000000"/>
          <w:sz w:val="24"/>
          <w:szCs w:val="24"/>
          <w:rtl/>
        </w:rPr>
        <w:t>بالمعنى التقليدي. لذلك ينبغي استخدام المصطلح الذي يخرجه</w:t>
      </w:r>
      <w:r w:rsidRPr="00910B8D">
        <w:rPr>
          <w:rFonts w:ascii="Times New Roman" w:hAnsi="Times New Roman" w:cs="Times New Roman"/>
          <w:color w:val="000000"/>
          <w:sz w:val="24"/>
          <w:szCs w:val="24"/>
        </w:rPr>
        <w:t xml:space="preserve"> </w:t>
      </w:r>
      <w:proofErr w:type="spellStart"/>
      <w:r w:rsidRPr="00910B8D">
        <w:rPr>
          <w:rFonts w:ascii="Times New Roman" w:hAnsi="Times New Roman" w:cs="Times New Roman"/>
          <w:color w:val="000000"/>
          <w:sz w:val="24"/>
          <w:szCs w:val="24"/>
        </w:rPr>
        <w:t>SmartPLS</w:t>
      </w:r>
      <w:proofErr w:type="spellEnd"/>
      <w:r w:rsidRPr="00910B8D">
        <w:rPr>
          <w:rFonts w:ascii="Times New Roman" w:hAnsi="Times New Roman" w:cs="Times New Roman"/>
          <w:color w:val="000000"/>
          <w:sz w:val="24"/>
          <w:szCs w:val="24"/>
        </w:rPr>
        <w:t xml:space="preserve"> </w:t>
      </w:r>
      <w:r w:rsidRPr="00910B8D">
        <w:rPr>
          <w:rFonts w:ascii="Times New Roman" w:hAnsi="Times New Roman" w:cs="Times New Roman"/>
          <w:color w:val="000000"/>
          <w:sz w:val="24"/>
          <w:szCs w:val="24"/>
          <w:rtl/>
        </w:rPr>
        <w:t>بالفعل، مثل </w:t>
      </w:r>
      <w:r w:rsidRPr="00910B8D">
        <w:rPr>
          <w:rFonts w:ascii="Times New Roman" w:hAnsi="Times New Roman" w:cs="Times New Roman"/>
          <w:color w:val="000000"/>
          <w:sz w:val="24"/>
          <w:szCs w:val="24"/>
        </w:rPr>
        <w:t>Linear Model benchmark (LM).</w:t>
      </w:r>
    </w:p>
    <w:p w14:paraId="04B8CE38"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الثاني والعشرون، معالجة </w:t>
      </w:r>
      <w:r w:rsidRPr="00910B8D">
        <w:rPr>
          <w:rFonts w:ascii="Times New Roman" w:hAnsi="Times New Roman" w:cs="Times New Roman"/>
          <w:color w:val="000000"/>
          <w:sz w:val="24"/>
          <w:szCs w:val="24"/>
        </w:rPr>
        <w:t>Common Method Bias </w:t>
      </w:r>
      <w:r w:rsidRPr="00910B8D">
        <w:rPr>
          <w:rFonts w:ascii="Times New Roman" w:hAnsi="Times New Roman" w:cs="Times New Roman"/>
          <w:color w:val="000000"/>
          <w:sz w:val="24"/>
          <w:szCs w:val="24"/>
          <w:rtl/>
        </w:rPr>
        <w:t xml:space="preserve">جيدة من حيث عدم الاكتفاء </w:t>
      </w:r>
      <w:proofErr w:type="gramStart"/>
      <w:r w:rsidRPr="00910B8D">
        <w:rPr>
          <w:rFonts w:ascii="Times New Roman" w:hAnsi="Times New Roman" w:cs="Times New Roman"/>
          <w:color w:val="000000"/>
          <w:sz w:val="24"/>
          <w:szCs w:val="24"/>
          <w:rtl/>
        </w:rPr>
        <w:t>بـ</w:t>
      </w:r>
      <w:r w:rsidRPr="00910B8D">
        <w:rPr>
          <w:rFonts w:ascii="Times New Roman" w:hAnsi="Times New Roman" w:cs="Times New Roman"/>
          <w:color w:val="000000"/>
          <w:sz w:val="24"/>
          <w:szCs w:val="24"/>
        </w:rPr>
        <w:t>Harman's</w:t>
      </w:r>
      <w:proofErr w:type="gramEnd"/>
      <w:r w:rsidRPr="00910B8D">
        <w:rPr>
          <w:rFonts w:ascii="Times New Roman" w:hAnsi="Times New Roman" w:cs="Times New Roman"/>
          <w:color w:val="000000"/>
          <w:sz w:val="24"/>
          <w:szCs w:val="24"/>
        </w:rPr>
        <w:t xml:space="preserve"> Single-Factor Test </w:t>
      </w:r>
      <w:r w:rsidRPr="00910B8D">
        <w:rPr>
          <w:rFonts w:ascii="Times New Roman" w:hAnsi="Times New Roman" w:cs="Times New Roman"/>
          <w:color w:val="000000"/>
          <w:sz w:val="24"/>
          <w:szCs w:val="24"/>
          <w:rtl/>
        </w:rPr>
        <w:t>وإضافة</w:t>
      </w:r>
      <w:r w:rsidRPr="00910B8D">
        <w:rPr>
          <w:rFonts w:ascii="Times New Roman" w:hAnsi="Times New Roman" w:cs="Times New Roman"/>
          <w:color w:val="000000"/>
          <w:sz w:val="24"/>
          <w:szCs w:val="24"/>
        </w:rPr>
        <w:t xml:space="preserve"> Full Collinearity VIF. </w:t>
      </w:r>
      <w:r w:rsidRPr="00910B8D">
        <w:rPr>
          <w:rFonts w:ascii="Times New Roman" w:hAnsi="Times New Roman" w:cs="Times New Roman"/>
          <w:color w:val="000000"/>
          <w:sz w:val="24"/>
          <w:szCs w:val="24"/>
          <w:rtl/>
        </w:rPr>
        <w:t>ومع ذلك، من الأفضل عدم تقديم</w:t>
      </w:r>
      <w:r w:rsidRPr="00910B8D">
        <w:rPr>
          <w:rFonts w:ascii="Times New Roman" w:hAnsi="Times New Roman" w:cs="Times New Roman"/>
          <w:color w:val="000000"/>
          <w:sz w:val="24"/>
          <w:szCs w:val="24"/>
        </w:rPr>
        <w:t xml:space="preserve"> VIF &lt; 3.3 </w:t>
      </w:r>
      <w:r w:rsidRPr="00910B8D">
        <w:rPr>
          <w:rFonts w:ascii="Times New Roman" w:hAnsi="Times New Roman" w:cs="Times New Roman"/>
          <w:color w:val="000000"/>
          <w:sz w:val="24"/>
          <w:szCs w:val="24"/>
          <w:rtl/>
        </w:rPr>
        <w:t>باعتباره دليلًا قاطعًا على غياب التحيز، بل باعتباره مؤشرًا تشخيصيًا داعمًا، مع التأكيد أن الإجراءات الإجرائية في تصميم الأداة هي خط الدفاع الأساسي</w:t>
      </w:r>
      <w:r w:rsidRPr="00910B8D">
        <w:rPr>
          <w:rFonts w:ascii="Times New Roman" w:hAnsi="Times New Roman" w:cs="Times New Roman"/>
          <w:color w:val="000000"/>
          <w:sz w:val="24"/>
          <w:szCs w:val="24"/>
        </w:rPr>
        <w:t>.</w:t>
      </w:r>
    </w:p>
    <w:p w14:paraId="40CBEDF8" w14:textId="77777777" w:rsidR="00910B8D" w:rsidRPr="00910B8D" w:rsidRDefault="00910B8D" w:rsidP="00910B8D">
      <w:pPr>
        <w:bidi/>
        <w:spacing w:before="100" w:beforeAutospacing="1" w:after="100" w:afterAutospacing="1" w:line="360" w:lineRule="auto"/>
        <w:jc w:val="both"/>
        <w:rPr>
          <w:rFonts w:ascii="Times New Roman" w:hAnsi="Times New Roman" w:cs="Times New Roman"/>
          <w:color w:val="000000"/>
          <w:sz w:val="24"/>
          <w:szCs w:val="24"/>
        </w:rPr>
      </w:pPr>
      <w:r w:rsidRPr="00910B8D">
        <w:rPr>
          <w:rFonts w:ascii="Times New Roman" w:hAnsi="Times New Roman" w:cs="Times New Roman"/>
          <w:color w:val="000000"/>
          <w:sz w:val="24"/>
          <w:szCs w:val="24"/>
          <w:rtl/>
        </w:rPr>
        <w:t xml:space="preserve">الثالث والعشرون، قسم الاعتبارات الأخلاقية منظم ويغطي الموافقة المستنيرة، السرية، حق الانسحاب وحماية البيانات. إلا أن الفصل يذكر أن الموافقة الأخلاقية ستُحصل من جامعة </w:t>
      </w:r>
      <w:proofErr w:type="spellStart"/>
      <w:r w:rsidRPr="00910B8D">
        <w:rPr>
          <w:rFonts w:ascii="Times New Roman" w:hAnsi="Times New Roman" w:cs="Times New Roman"/>
          <w:color w:val="000000"/>
          <w:sz w:val="24"/>
          <w:szCs w:val="24"/>
          <w:rtl/>
        </w:rPr>
        <w:t>ميدأوشن</w:t>
      </w:r>
      <w:proofErr w:type="spellEnd"/>
      <w:r w:rsidRPr="00910B8D">
        <w:rPr>
          <w:rFonts w:ascii="Times New Roman" w:hAnsi="Times New Roman" w:cs="Times New Roman"/>
          <w:color w:val="000000"/>
          <w:sz w:val="24"/>
          <w:szCs w:val="24"/>
          <w:rtl/>
        </w:rPr>
        <w:t xml:space="preserve"> وأن رقمها وتاريخها سيضافان لاحقًا</w:t>
      </w:r>
      <w:r w:rsidRPr="00910B8D">
        <w:rPr>
          <w:rFonts w:ascii="Times New Roman" w:hAnsi="Times New Roman" w:cs="Times New Roman"/>
          <w:color w:val="000000"/>
          <w:sz w:val="24"/>
          <w:szCs w:val="24"/>
        </w:rPr>
        <w:t>. </w:t>
      </w:r>
      <w:r w:rsidRPr="00910B8D">
        <w:rPr>
          <w:rFonts w:ascii="Times New Roman" w:hAnsi="Times New Roman" w:cs="Times New Roman"/>
          <w:color w:val="000000"/>
          <w:sz w:val="24"/>
          <w:szCs w:val="24"/>
          <w:rtl/>
        </w:rPr>
        <w:t>لا ينبغي بدء جمع البيانات قبل الحصول على الموافقة الفعلية، كما ينبغي إدخال الرقم والتاريخ في النسخة النهائية وعدم ترك النص بصيغة</w:t>
      </w:r>
      <w:r w:rsidRPr="00910B8D">
        <w:rPr>
          <w:rFonts w:ascii="Times New Roman" w:hAnsi="Times New Roman" w:cs="Times New Roman"/>
          <w:color w:val="000000"/>
          <w:sz w:val="24"/>
          <w:szCs w:val="24"/>
        </w:rPr>
        <w:t xml:space="preserve"> placeholder.</w:t>
      </w:r>
    </w:p>
    <w:p w14:paraId="4E1CE682" w14:textId="01C73673" w:rsidR="00D9499A" w:rsidRPr="00910B8D" w:rsidRDefault="00D9499A" w:rsidP="00910B8D">
      <w:pPr>
        <w:bidi/>
        <w:spacing w:line="360" w:lineRule="auto"/>
        <w:jc w:val="both"/>
        <w:rPr>
          <w:rtl/>
        </w:rPr>
      </w:pPr>
      <w:r w:rsidRPr="00910B8D">
        <w:rPr>
          <w:rtl/>
        </w:rPr>
        <w:t xml:space="preserve"> </w:t>
      </w:r>
    </w:p>
    <w:bookmarkEnd w:id="0"/>
    <w:sectPr w:rsidR="00D9499A" w:rsidRPr="00910B8D" w:rsidSect="00DD73BF">
      <w:headerReference w:type="even" r:id="rId8"/>
      <w:headerReference w:type="default" r:id="rId9"/>
      <w:footerReference w:type="even" r:id="rId10"/>
      <w:footerReference w:type="default" r:id="rId11"/>
      <w:headerReference w:type="first" r:id="rId12"/>
      <w:footerReference w:type="first" r:id="rId13"/>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CCB57" w14:textId="77777777" w:rsidR="00550D3B" w:rsidRDefault="00550D3B" w:rsidP="00EF73E8">
      <w:pPr>
        <w:spacing w:after="0" w:line="240" w:lineRule="auto"/>
      </w:pPr>
      <w:r>
        <w:separator/>
      </w:r>
    </w:p>
  </w:endnote>
  <w:endnote w:type="continuationSeparator" w:id="0">
    <w:p w14:paraId="518E3514" w14:textId="77777777" w:rsidR="00550D3B" w:rsidRDefault="00550D3B"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lfaen">
    <w:altName w:val="Times New Roman"/>
    <w:panose1 w:val="00000000000000000000"/>
    <w:charset w:val="4D"/>
    <w:family w:val="roman"/>
    <w:notTrueType/>
    <w:pitch w:val="variable"/>
    <w:sig w:usb0="00C00283" w:usb1="00000000" w:usb2="00000000" w:usb3="00000000" w:csb0="0000000D"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0207C" w14:textId="77777777" w:rsidR="00FA5BE8" w:rsidRDefault="00FA5BE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sidR="00910B8D" w:rsidRPr="00910B8D">
          <w:rPr>
            <w:rFonts w:cs="Calibri"/>
            <w:noProof/>
            <w:lang w:val="ar-SA"/>
          </w:rPr>
          <w:t>4</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61AA2" w14:textId="77777777" w:rsidR="00FA5BE8" w:rsidRDefault="00FA5BE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DD77B" w14:textId="77777777" w:rsidR="00550D3B" w:rsidRDefault="00550D3B" w:rsidP="00EF73E8">
      <w:pPr>
        <w:spacing w:after="0" w:line="240" w:lineRule="auto"/>
      </w:pPr>
      <w:r>
        <w:separator/>
      </w:r>
    </w:p>
  </w:footnote>
  <w:footnote w:type="continuationSeparator" w:id="0">
    <w:p w14:paraId="0623BD2B" w14:textId="77777777" w:rsidR="00550D3B" w:rsidRDefault="00550D3B" w:rsidP="00EF73E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04BE2" w14:textId="6E568697" w:rsidR="00F76D05" w:rsidRDefault="00550D3B"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ECFF9" w14:textId="6B581AC1" w:rsidR="00FA5BE8" w:rsidRDefault="00865D75" w:rsidP="00FA5BE8">
    <w:pPr>
      <w:pStyle w:val="Header"/>
      <w:jc w:val="center"/>
    </w:pPr>
    <w:fldSimple w:instr=" DOCPROPERTY SecloreClassificationHeaderTextValue \* MERGEFORMAT ">
      <w:r w:rsidR="00FA5BE8" w:rsidRPr="00FA5BE8">
        <w:rPr>
          <w:color w:val="91C47D"/>
          <w:sz w:val="24"/>
        </w:rPr>
        <w:t xml:space="preserve">Public / </w:t>
      </w:r>
      <w:r w:rsidR="00FA5BE8" w:rsidRPr="00FA5BE8">
        <w:rPr>
          <w:color w:val="91C47D"/>
          <w:sz w:val="24"/>
          <w:rtl/>
        </w:rPr>
        <w:t>عام</w:t>
      </w:r>
    </w:fldSimple>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C1178" w14:textId="5987B16D" w:rsidR="00F76D05" w:rsidRDefault="00865D75" w:rsidP="00F76D05">
    <w:pPr>
      <w:pStyle w:val="Header"/>
      <w:jc w:val="center"/>
    </w:pPr>
    <w:fldSimple w:instr=" DOCPROPERTY SecloreClassificationHeaderTextValue \* MERGEFORMAT ">
      <w:r w:rsidR="00F76D05" w:rsidRPr="00F76D05">
        <w:rPr>
          <w:color w:val="91C47D"/>
          <w:sz w:val="24"/>
        </w:rPr>
        <w:t xml:space="preserve">Public / </w:t>
      </w:r>
      <w:r w:rsidR="00F76D05" w:rsidRPr="00F76D05">
        <w:rPr>
          <w:color w:val="91C47D"/>
          <w:sz w:val="24"/>
          <w:rtl/>
        </w:rPr>
        <w:t>عام</w:t>
      </w:r>
    </w:fldSimple>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9"/>
  </w:num>
  <w:num w:numId="4">
    <w:abstractNumId w:val="25"/>
  </w:num>
  <w:num w:numId="5">
    <w:abstractNumId w:val="35"/>
  </w:num>
  <w:num w:numId="6">
    <w:abstractNumId w:val="26"/>
  </w:num>
  <w:num w:numId="7">
    <w:abstractNumId w:val="31"/>
  </w:num>
  <w:num w:numId="8">
    <w:abstractNumId w:val="27"/>
  </w:num>
  <w:num w:numId="9">
    <w:abstractNumId w:val="18"/>
  </w:num>
  <w:num w:numId="10">
    <w:abstractNumId w:val="29"/>
  </w:num>
  <w:num w:numId="11">
    <w:abstractNumId w:val="10"/>
  </w:num>
  <w:num w:numId="12">
    <w:abstractNumId w:val="34"/>
  </w:num>
  <w:num w:numId="13">
    <w:abstractNumId w:val="15"/>
  </w:num>
  <w:num w:numId="14">
    <w:abstractNumId w:val="20"/>
  </w:num>
  <w:num w:numId="15">
    <w:abstractNumId w:val="7"/>
  </w:num>
  <w:num w:numId="16">
    <w:abstractNumId w:val="4"/>
  </w:num>
  <w:num w:numId="17">
    <w:abstractNumId w:val="5"/>
  </w:num>
  <w:num w:numId="18">
    <w:abstractNumId w:val="36"/>
  </w:num>
  <w:num w:numId="19">
    <w:abstractNumId w:val="23"/>
  </w:num>
  <w:num w:numId="20">
    <w:abstractNumId w:val="32"/>
  </w:num>
  <w:num w:numId="21">
    <w:abstractNumId w:val="30"/>
  </w:num>
  <w:num w:numId="22">
    <w:abstractNumId w:val="13"/>
  </w:num>
  <w:num w:numId="23">
    <w:abstractNumId w:val="17"/>
  </w:num>
  <w:num w:numId="24">
    <w:abstractNumId w:val="28"/>
  </w:num>
  <w:num w:numId="25">
    <w:abstractNumId w:val="11"/>
  </w:num>
  <w:num w:numId="26">
    <w:abstractNumId w:val="22"/>
  </w:num>
  <w:num w:numId="27">
    <w:abstractNumId w:val="3"/>
  </w:num>
  <w:num w:numId="28">
    <w:abstractNumId w:val="16"/>
  </w:num>
  <w:num w:numId="29">
    <w:abstractNumId w:val="12"/>
  </w:num>
  <w:num w:numId="30">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
  </w:num>
  <w:num w:numId="33">
    <w:abstractNumId w:val="38"/>
  </w:num>
  <w:num w:numId="34">
    <w:abstractNumId w:val="6"/>
  </w:num>
  <w:num w:numId="35">
    <w:abstractNumId w:val="14"/>
  </w:num>
  <w:num w:numId="36">
    <w:abstractNumId w:val="8"/>
  </w:num>
  <w:num w:numId="37">
    <w:abstractNumId w:val="9"/>
  </w:num>
  <w:num w:numId="38">
    <w:abstractNumId w:val="21"/>
  </w:num>
  <w:num w:numId="39">
    <w:abstractNumId w:val="37"/>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283D"/>
    <w:rsid w:val="000D327A"/>
    <w:rsid w:val="000D59F9"/>
    <w:rsid w:val="000E07B7"/>
    <w:rsid w:val="000E60AF"/>
    <w:rsid w:val="000E723C"/>
    <w:rsid w:val="001009FB"/>
    <w:rsid w:val="00100C7F"/>
    <w:rsid w:val="00104969"/>
    <w:rsid w:val="00110146"/>
    <w:rsid w:val="00113560"/>
    <w:rsid w:val="001142D3"/>
    <w:rsid w:val="00115DA5"/>
    <w:rsid w:val="0011627E"/>
    <w:rsid w:val="00117D08"/>
    <w:rsid w:val="00121052"/>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0D3B"/>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494A"/>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DC1"/>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5D75"/>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0B8D"/>
    <w:rsid w:val="0091491C"/>
    <w:rsid w:val="00923BEC"/>
    <w:rsid w:val="00931B85"/>
    <w:rsid w:val="009363AF"/>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B42B4"/>
    <w:rsid w:val="009D0DFF"/>
    <w:rsid w:val="009D2494"/>
    <w:rsid w:val="009D2C37"/>
    <w:rsid w:val="009E5F19"/>
    <w:rsid w:val="009F6631"/>
    <w:rsid w:val="00A00986"/>
    <w:rsid w:val="00A018C5"/>
    <w:rsid w:val="00A06CDC"/>
    <w:rsid w:val="00A13EAC"/>
    <w:rsid w:val="00A14B18"/>
    <w:rsid w:val="00A16743"/>
    <w:rsid w:val="00A31AF3"/>
    <w:rsid w:val="00A33B26"/>
    <w:rsid w:val="00A3516F"/>
    <w:rsid w:val="00A44299"/>
    <w:rsid w:val="00A474D1"/>
    <w:rsid w:val="00A52F2C"/>
    <w:rsid w:val="00A54FCB"/>
    <w:rsid w:val="00A56651"/>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0C07"/>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1975"/>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A5BE8"/>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customStyle="1"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dq2pgselectionanchorcontainer">
    <w:name w:val="pdq2pg_selectionanchorcontainer"/>
    <w:basedOn w:val="Normal"/>
    <w:rsid w:val="00910B8D"/>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910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973674471">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27000-B4CE-7347-9277-F1B0AB0A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1530</Words>
  <Characters>8724</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Microsoft Office User</cp:lastModifiedBy>
  <cp:revision>4</cp:revision>
  <dcterms:created xsi:type="dcterms:W3CDTF">2026-08-08T20:20:00Z</dcterms:created>
  <dcterms:modified xsi:type="dcterms:W3CDTF">2026-08-09T20:12:00Z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