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235A24" w:rsidRDefault="002C1A51" w:rsidP="002C1A51">
      <w:pPr>
        <w:rPr>
          <w:rFonts w:ascii="Bahij TheSansArabic Bold" w:hAnsi="Bahij TheSansArabic Bold" w:cs="Bahij TheSansArabic Bold"/>
          <w:sz w:val="22"/>
          <w:szCs w:val="22"/>
          <w:lang w:bidi="ar-LB"/>
        </w:rPr>
      </w:pPr>
      <w:r w:rsidRPr="00235A24">
        <w:rPr>
          <w:rFonts w:ascii="Bahij TheSansArabic Bold" w:hAnsi="Bahij TheSansArabic Bold" w:cs="Bahij TheSansArabic Bold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6F0D9A3" wp14:editId="02025547">
            <wp:simplePos x="0" y="0"/>
            <wp:positionH relativeFrom="margin">
              <wp:posOffset>-327025</wp:posOffset>
            </wp:positionH>
            <wp:positionV relativeFrom="margin">
              <wp:posOffset>146050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5A24">
        <w:rPr>
          <w:rFonts w:ascii="Bahij TheSansArabic Bold" w:hAnsi="Bahij TheSansArabic Bold" w:cs="Bahij TheSansArabic Bold"/>
          <w:sz w:val="22"/>
          <w:szCs w:val="22"/>
          <w:rtl/>
          <w:lang w:bidi="ar-LB"/>
        </w:rPr>
        <w:t xml:space="preserve">جامعة </w:t>
      </w:r>
      <w:proofErr w:type="spellStart"/>
      <w:r w:rsidRPr="00235A24">
        <w:rPr>
          <w:rFonts w:ascii="Bahij TheSansArabic Bold" w:hAnsi="Bahij TheSansArabic Bold" w:cs="Bahij TheSansArabic Bold"/>
          <w:sz w:val="22"/>
          <w:szCs w:val="22"/>
          <w:rtl/>
          <w:lang w:bidi="ar-LB"/>
        </w:rPr>
        <w:t>ميدأوشن</w:t>
      </w:r>
      <w:proofErr w:type="spellEnd"/>
    </w:p>
    <w:p w14:paraId="58CC89C4" w14:textId="77777777" w:rsidR="002C1A51" w:rsidRPr="00235A24" w:rsidRDefault="002C1A51" w:rsidP="002C1A51">
      <w:pPr>
        <w:rPr>
          <w:rFonts w:ascii="Bahij TheSansArabic Bold" w:hAnsi="Bahij TheSansArabic Bold" w:cs="Bahij TheSansArabic Bold"/>
          <w:sz w:val="22"/>
          <w:szCs w:val="22"/>
          <w:rtl/>
          <w:lang w:bidi="ar-LB"/>
        </w:rPr>
      </w:pPr>
      <w:r w:rsidRPr="00235A24">
        <w:rPr>
          <w:rFonts w:ascii="Bahij TheSansArabic Bold" w:hAnsi="Bahij TheSansArabic Bold" w:cs="Bahij TheSansArabic Bold"/>
          <w:sz w:val="22"/>
          <w:szCs w:val="22"/>
          <w:rtl/>
          <w:lang w:bidi="ar-LB"/>
        </w:rPr>
        <w:t>كلية الإعلام والتسويق</w:t>
      </w:r>
    </w:p>
    <w:p w14:paraId="39CE1BF0" w14:textId="11688C77" w:rsidR="002C1A51" w:rsidRPr="00235A24" w:rsidRDefault="002C1A51" w:rsidP="002C1A51">
      <w:pPr>
        <w:rPr>
          <w:rFonts w:ascii="Bahij TheSansArabic Bold" w:hAnsi="Bahij TheSansArabic Bold" w:cs="Bahij TheSansArabic Bold"/>
          <w:sz w:val="22"/>
          <w:szCs w:val="22"/>
          <w:rtl/>
          <w:lang w:bidi="ar-LB"/>
        </w:rPr>
      </w:pPr>
      <w:r w:rsidRPr="00235A24">
        <w:rPr>
          <w:rFonts w:ascii="Bahij TheSansArabic Bold" w:hAnsi="Bahij TheSansArabic Bold" w:cs="Bahij TheSansArabic Bold"/>
          <w:sz w:val="22"/>
          <w:szCs w:val="22"/>
          <w:rtl/>
          <w:lang w:bidi="ar-LB"/>
        </w:rPr>
        <w:t>بكالوريوس الإعلام الرقمي "13"</w:t>
      </w:r>
    </w:p>
    <w:p w14:paraId="488EC28C" w14:textId="77777777" w:rsidR="000023B4" w:rsidRDefault="000023B4">
      <w:pPr>
        <w:rPr>
          <w:rFonts w:hint="cs"/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Pr="00235A24" w:rsidRDefault="002C1A51" w:rsidP="002C1A51">
      <w:pPr>
        <w:jc w:val="center"/>
        <w:rPr>
          <w:rFonts w:ascii="Bahij TheSansArabic Bold" w:hAnsi="Bahij TheSansArabic Bold" w:cs="Bahij TheSansArabic Bold"/>
          <w:b/>
          <w:bCs/>
          <w:sz w:val="32"/>
          <w:szCs w:val="32"/>
          <w:rtl/>
        </w:rPr>
      </w:pPr>
      <w:r w:rsidRPr="00235A24">
        <w:rPr>
          <w:rFonts w:ascii="Bahij TheSansArabic Bold" w:hAnsi="Bahij TheSansArabic Bold" w:cs="Bahij TheSansArabic Bold"/>
          <w:sz w:val="32"/>
          <w:szCs w:val="32"/>
          <w:rtl/>
        </w:rPr>
        <w:t>خطة بحثية مقدمة لدرجة البكالوريوس في الإعلام الرقمي</w:t>
      </w:r>
      <w:r w:rsidR="006836C4" w:rsidRPr="00235A24">
        <w:rPr>
          <w:rFonts w:ascii="Bahij TheSansArabic Bold" w:hAnsi="Bahij TheSansArabic Bold" w:cs="Bahij TheSansArabic Bold"/>
          <w:b/>
          <w:bCs/>
          <w:sz w:val="32"/>
          <w:szCs w:val="32"/>
          <w:rtl/>
        </w:rPr>
        <w:t xml:space="preserve"> "16"</w:t>
      </w:r>
    </w:p>
    <w:p w14:paraId="4A21BE69" w14:textId="044D88CC" w:rsidR="002C1A51" w:rsidRPr="00235A24" w:rsidRDefault="002C1A51" w:rsidP="002C1A51">
      <w:pPr>
        <w:jc w:val="center"/>
        <w:rPr>
          <w:rFonts w:ascii="Bahij TheSansArabic Bold" w:hAnsi="Bahij TheSansArabic Bold" w:cs="Bahij TheSansArabic Bold"/>
          <w:b/>
          <w:bCs/>
          <w:sz w:val="36"/>
          <w:szCs w:val="36"/>
          <w:rtl/>
        </w:rPr>
      </w:pPr>
      <w:r w:rsidRPr="00235A24">
        <w:rPr>
          <w:rFonts w:ascii="Bahij TheSansArabic Bold" w:hAnsi="Bahij TheSansArabic Bold" w:cs="Bahij TheSansArabic Bold"/>
          <w:b/>
          <w:bCs/>
          <w:sz w:val="36"/>
          <w:szCs w:val="36"/>
          <w:rtl/>
        </w:rPr>
        <w:t>"</w:t>
      </w:r>
      <w:r w:rsidR="001340AA">
        <w:rPr>
          <w:rFonts w:ascii="Bahij TheSansArabic Bold" w:hAnsi="Bahij TheSansArabic Bold" w:cs="Bahij TheSansArabic Bold" w:hint="cs"/>
          <w:b/>
          <w:bCs/>
          <w:sz w:val="36"/>
          <w:szCs w:val="36"/>
          <w:rtl/>
        </w:rPr>
        <w:t xml:space="preserve"> أثر المؤثرين في قرارات الشراء لدى المستهلكين</w:t>
      </w:r>
      <w:r w:rsidR="008F0F95">
        <w:rPr>
          <w:rFonts w:ascii="Bahij TheSansArabic Bold" w:hAnsi="Bahij TheSansArabic Bold" w:cs="Bahij TheSansArabic Bold" w:hint="cs"/>
          <w:b/>
          <w:bCs/>
          <w:sz w:val="36"/>
          <w:szCs w:val="36"/>
          <w:rtl/>
        </w:rPr>
        <w:t xml:space="preserve"> </w:t>
      </w:r>
      <w:r w:rsidRPr="00235A24">
        <w:rPr>
          <w:rFonts w:ascii="Bahij TheSansArabic Bold" w:hAnsi="Bahij TheSansArabic Bold" w:cs="Bahij TheSansArabic Bold"/>
          <w:b/>
          <w:bCs/>
          <w:sz w:val="36"/>
          <w:szCs w:val="36"/>
          <w:rtl/>
        </w:rPr>
        <w:t>"</w:t>
      </w:r>
      <w:r w:rsidR="006836C4" w:rsidRPr="00235A24">
        <w:rPr>
          <w:rFonts w:ascii="Bahij TheSansArabic Bold" w:hAnsi="Bahij TheSansArabic Bold" w:cs="Bahij TheSansArabic Bold"/>
          <w:b/>
          <w:bCs/>
          <w:sz w:val="36"/>
          <w:szCs w:val="36"/>
          <w:rtl/>
        </w:rPr>
        <w:t xml:space="preserve"> "18"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459DE1C9" w:rsidR="002C1A51" w:rsidRPr="00235A24" w:rsidRDefault="002C1A51" w:rsidP="006836C4">
      <w:pPr>
        <w:rPr>
          <w:rFonts w:ascii="Bahij TheSansArabic Bold" w:hAnsi="Bahij TheSansArabic Bold" w:cs="Bahij TheSansArabic Bold"/>
          <w:sz w:val="32"/>
          <w:szCs w:val="32"/>
          <w:rtl/>
        </w:rPr>
      </w:pPr>
      <w:r w:rsidRPr="00235A24">
        <w:rPr>
          <w:rFonts w:ascii="Bahij TheSansArabic Bold" w:hAnsi="Bahij TheSansArabic Bold" w:cs="Bahij TheSansArabic Bold"/>
          <w:sz w:val="32"/>
          <w:szCs w:val="32"/>
          <w:rtl/>
        </w:rPr>
        <w:t xml:space="preserve">إعداد: </w:t>
      </w:r>
      <w:r w:rsidR="008F0F95" w:rsidRPr="00FE7F92">
        <w:rPr>
          <w:rFonts w:ascii="Bahij TheSansArabic Bold" w:hAnsi="Bahij TheSansArabic Bold" w:cs="Bahij TheSansArabic Bold" w:hint="cs"/>
          <w:sz w:val="32"/>
          <w:szCs w:val="32"/>
          <w:rtl/>
        </w:rPr>
        <w:t>محمد بن فهد المزيد</w:t>
      </w:r>
      <w:r w:rsidR="006836C4" w:rsidRPr="00235A24">
        <w:rPr>
          <w:rFonts w:ascii="Bahij TheSansArabic Bold" w:hAnsi="Bahij TheSansArabic Bold" w:cs="Bahij TheSansArabic Bold"/>
          <w:sz w:val="32"/>
          <w:szCs w:val="32"/>
          <w:rtl/>
        </w:rPr>
        <w:t xml:space="preserve"> "16"</w:t>
      </w:r>
    </w:p>
    <w:p w14:paraId="636B66F6" w14:textId="3AC948E2" w:rsidR="002C1A51" w:rsidRDefault="002C1A51" w:rsidP="006836C4">
      <w:pPr>
        <w:rPr>
          <w:rFonts w:ascii="Bahij TheSansArabic Bold" w:hAnsi="Bahij TheSansArabic Bold" w:cs="Bahij TheSansArabic Bold"/>
          <w:sz w:val="32"/>
          <w:szCs w:val="32"/>
          <w:rtl/>
        </w:rPr>
      </w:pPr>
      <w:r w:rsidRPr="00235A24">
        <w:rPr>
          <w:rFonts w:ascii="Bahij TheSansArabic Bold" w:hAnsi="Bahij TheSansArabic Bold" w:cs="Bahij TheSansArabic Bold"/>
          <w:sz w:val="32"/>
          <w:szCs w:val="32"/>
          <w:rtl/>
        </w:rPr>
        <w:t>الرقم الأكاديمي:</w:t>
      </w:r>
      <w:r w:rsidR="008F0F95">
        <w:rPr>
          <w:rFonts w:ascii="Bahij TheSansArabic Bold" w:hAnsi="Bahij TheSansArabic Bold" w:cs="Bahij TheSansArabic Bold" w:hint="cs"/>
          <w:sz w:val="32"/>
          <w:szCs w:val="32"/>
          <w:rtl/>
        </w:rPr>
        <w:t xml:space="preserve"> </w:t>
      </w:r>
      <w:r w:rsidR="00FE7F92">
        <w:rPr>
          <w:rFonts w:ascii="Bahij TheSansArabic Bold" w:hAnsi="Bahij TheSansArabic Bold" w:cs="Bahij TheSansArabic Bold" w:hint="cs"/>
          <w:sz w:val="32"/>
          <w:szCs w:val="32"/>
          <w:rtl/>
        </w:rPr>
        <w:t>233000648</w:t>
      </w:r>
    </w:p>
    <w:p w14:paraId="2B69F701" w14:textId="77777777" w:rsidR="0012324F" w:rsidRPr="00235A24" w:rsidRDefault="0012324F" w:rsidP="006836C4">
      <w:pPr>
        <w:rPr>
          <w:rFonts w:ascii="Bahij TheSansArabic Bold" w:hAnsi="Bahij TheSansArabic Bold" w:cs="Bahij TheSansArabic Bold"/>
          <w:sz w:val="32"/>
          <w:szCs w:val="32"/>
          <w:rtl/>
        </w:rPr>
      </w:pPr>
    </w:p>
    <w:p w14:paraId="2D5B229C" w14:textId="7D7A887D" w:rsidR="002C1A51" w:rsidRPr="00235A24" w:rsidRDefault="002C1A51" w:rsidP="002C1A51">
      <w:pPr>
        <w:jc w:val="center"/>
        <w:rPr>
          <w:rFonts w:ascii="Bahij TheSansArabic Bold" w:hAnsi="Bahij TheSansArabic Bold" w:cs="Bahij TheSansArabic Bold"/>
          <w:sz w:val="32"/>
          <w:szCs w:val="32"/>
          <w:rtl/>
        </w:rPr>
      </w:pPr>
      <w:r w:rsidRPr="00235A24">
        <w:rPr>
          <w:rFonts w:ascii="Bahij TheSansArabic Bold" w:hAnsi="Bahij TheSansArabic Bold" w:cs="Bahij TheSansArabic Bold"/>
          <w:sz w:val="32"/>
          <w:szCs w:val="32"/>
          <w:rtl/>
        </w:rPr>
        <w:t>إشراف:</w:t>
      </w:r>
      <w:r w:rsidR="006836C4" w:rsidRPr="00235A24">
        <w:rPr>
          <w:rFonts w:ascii="Bahij TheSansArabic Bold" w:hAnsi="Bahij TheSansArabic Bold" w:cs="Bahij TheSansArabic Bold"/>
          <w:sz w:val="32"/>
          <w:szCs w:val="32"/>
          <w:rtl/>
        </w:rPr>
        <w:t xml:space="preserve"> "16"</w:t>
      </w:r>
    </w:p>
    <w:p w14:paraId="740E588F" w14:textId="65685AB0" w:rsidR="002C1A51" w:rsidRPr="00235A24" w:rsidRDefault="002C1A51" w:rsidP="002C1A51">
      <w:pPr>
        <w:jc w:val="center"/>
        <w:rPr>
          <w:rFonts w:ascii="Bahij TheSansArabic Bold" w:hAnsi="Bahij TheSansArabic Bold" w:cs="Bahij TheSansArabic Bold"/>
          <w:sz w:val="32"/>
          <w:szCs w:val="32"/>
          <w:rtl/>
        </w:rPr>
      </w:pPr>
      <w:r w:rsidRPr="00235A24">
        <w:rPr>
          <w:rFonts w:ascii="Bahij TheSansArabic Bold" w:hAnsi="Bahij TheSansArabic Bold" w:cs="Bahij TheSansArabic Bold"/>
          <w:sz w:val="32"/>
          <w:szCs w:val="32"/>
          <w:rtl/>
        </w:rPr>
        <w:t>د. توفيق عمري</w:t>
      </w:r>
    </w:p>
    <w:p w14:paraId="12D0FB91" w14:textId="77777777" w:rsidR="002C1A51" w:rsidRPr="00235A24" w:rsidRDefault="002C1A51" w:rsidP="002C1A51">
      <w:pPr>
        <w:jc w:val="center"/>
        <w:rPr>
          <w:rFonts w:ascii="Bahij TheSansArabic Bold" w:hAnsi="Bahij TheSansArabic Bold" w:cs="Bahij TheSansArabic Bold"/>
          <w:sz w:val="32"/>
          <w:szCs w:val="32"/>
          <w:rtl/>
        </w:rPr>
      </w:pPr>
    </w:p>
    <w:p w14:paraId="209AAF9C" w14:textId="38D9D15B" w:rsidR="002C1A51" w:rsidRPr="00235A24" w:rsidRDefault="002C1A51" w:rsidP="002C1A51">
      <w:pPr>
        <w:jc w:val="center"/>
        <w:rPr>
          <w:rFonts w:ascii="Bahij TheSansArabic Bold" w:hAnsi="Bahij TheSansArabic Bold" w:cs="Bahij TheSansArabic Bold"/>
          <w:sz w:val="32"/>
          <w:szCs w:val="32"/>
          <w:rtl/>
        </w:rPr>
      </w:pPr>
      <w:r w:rsidRPr="00235A24">
        <w:rPr>
          <w:rFonts w:ascii="Bahij TheSansArabic Bold" w:hAnsi="Bahij TheSansArabic Bold" w:cs="Bahij TheSansArabic Bold"/>
          <w:sz w:val="26"/>
          <w:szCs w:val="26"/>
          <w:rtl/>
        </w:rPr>
        <w:t>2026</w:t>
      </w:r>
      <w:r w:rsidR="006836C4" w:rsidRPr="00235A24">
        <w:rPr>
          <w:rFonts w:ascii="Bahij TheSansArabic Bold" w:hAnsi="Bahij TheSansArabic Bold" w:cs="Bahij TheSansArabic Bold"/>
          <w:sz w:val="32"/>
          <w:szCs w:val="32"/>
          <w:rtl/>
        </w:rPr>
        <w:t xml:space="preserve"> "13"</w:t>
      </w:r>
    </w:p>
    <w:sectPr w:rsidR="002C1A51" w:rsidRPr="00235A24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ij TheSansArabic Bold">
    <w:panose1 w:val="02040503050201020203"/>
    <w:charset w:val="00"/>
    <w:family w:val="roman"/>
    <w:pitch w:val="variable"/>
    <w:sig w:usb0="8000202F" w:usb1="8000A04A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12324F"/>
    <w:rsid w:val="001340AA"/>
    <w:rsid w:val="00235A24"/>
    <w:rsid w:val="002C1A51"/>
    <w:rsid w:val="006123AA"/>
    <w:rsid w:val="006836C4"/>
    <w:rsid w:val="007465CB"/>
    <w:rsid w:val="008F0F95"/>
    <w:rsid w:val="00BD2E07"/>
    <w:rsid w:val="00CA1762"/>
    <w:rsid w:val="00DA0071"/>
    <w:rsid w:val="00FE160A"/>
    <w:rsid w:val="00FE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Mohammed Al-Mazyad</cp:lastModifiedBy>
  <cp:revision>9</cp:revision>
  <dcterms:created xsi:type="dcterms:W3CDTF">2026-02-26T14:50:00Z</dcterms:created>
  <dcterms:modified xsi:type="dcterms:W3CDTF">2026-06-06T14:42:00Z</dcterms:modified>
</cp:coreProperties>
</file>