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bidi/>
        <w:spacing w:after="160" w:lineRule="auto" w:line="259"/>
        <w:jc w:val="center"/>
        <w:rPr>
          <w:rFonts w:ascii="Sakkal Majalla" w:cs="Sakkal Majalla" w:hAnsi="Sakkal Majalla"/>
          <w:b/>
          <w:bCs/>
          <w:sz w:val="28"/>
          <w:szCs w:val="28"/>
          <w:rtl/>
          <w:lang w:bidi="ar-EG"/>
        </w:rPr>
      </w:pP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ادارة</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المخاطر</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السياسية</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للطاقة</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في</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الاتحاد</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ﻷ</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وروبي</w:t>
      </w:r>
    </w:p>
    <w:p>
      <w:pPr>
        <w:pStyle w:val="style0"/>
        <w:jc w:val="center"/>
        <w:rPr>
          <w:rFonts w:ascii="Sakkal Majalla" w:cs="Sakkal Majalla" w:hAnsi="Sakkal Majalla"/>
          <w:b/>
          <w:bCs/>
          <w:sz w:val="28"/>
          <w:szCs w:val="28"/>
          <w:rtl/>
          <w:lang w:bidi="ar-EG"/>
        </w:rPr>
      </w:pP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ما</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بعد</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الغزو</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الروسي</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لاوكرانيا</w:t>
      </w:r>
      <w:r>
        <w:rPr>
          <w:rFonts w:ascii="Sakkal Majalla" w:cs="Sakkal Majalla" w:hAnsi="Sakkal Majalla"/>
          <w:b/>
          <w:bCs/>
          <w:sz w:val="28"/>
          <w:szCs w:val="28"/>
          <w:rtl/>
          <w:lang w:bidi="ar-EG"/>
        </w:rPr>
        <w:t xml:space="preserve"> </w:t>
      </w: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bidi/>
        <w:spacing w:after="160" w:lineRule="auto" w:line="259"/>
        <w:jc w:val="center"/>
        <w:rPr>
          <w:rFonts w:ascii="Sakkal Majalla" w:cs="Sakkal Majalla" w:hAnsi="Sakkal Majalla"/>
          <w:b/>
          <w:bCs/>
          <w:sz w:val="28"/>
          <w:szCs w:val="28"/>
          <w:rtl/>
          <w:lang w:bidi="ar-EG"/>
        </w:rPr>
      </w:pP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محمد</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عبيدان</w:t>
      </w: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 xml:space="preserve"> </w:t>
      </w:r>
      <w:r>
        <w:rPr>
          <w:rFonts w:ascii="Sakkal Majalla" w:cs="Arial" w:eastAsia="Calibri" w:hAnsi="Sakkal Majalla" w:hint="cs"/>
          <w:b/>
          <w:bCs/>
          <w:i w:val="false"/>
          <w:iCs w:val="false"/>
          <w:color w:val="auto"/>
          <w:kern w:val="2"/>
          <w:sz w:val="28"/>
          <w:szCs w:val="28"/>
          <w:highlight w:val="none"/>
          <w:vertAlign w:val="baseline"/>
          <w:rtl/>
          <w:em w:val="none"/>
          <w:lang w:val="en-US" w:bidi="ar-DZ" w:eastAsia="en-US"/>
        </w:rPr>
        <w:t>القحص</w:t>
      </w:r>
    </w:p>
    <w:p>
      <w:pPr>
        <w:pStyle w:val="style0"/>
        <w:jc w:val="center"/>
        <w:rPr>
          <w:rFonts w:ascii="Sakkal Majalla" w:cs="Sakkal Majalla" w:hAnsi="Sakkal Majalla"/>
          <w:b/>
          <w:bCs/>
          <w:sz w:val="28"/>
          <w:szCs w:val="28"/>
          <w:rtl/>
          <w:lang w:bidi="ar-EG"/>
        </w:rPr>
      </w:pPr>
      <w:r>
        <w:rPr>
          <w:rFonts w:ascii="Sakkal Majalla" w:cs="Arial" w:eastAsia="Calibri" w:hAnsi="Sakkal Majalla" w:hint="default"/>
          <w:b/>
          <w:bCs/>
          <w:i w:val="false"/>
          <w:iCs w:val="false"/>
          <w:color w:val="auto"/>
          <w:kern w:val="2"/>
          <w:sz w:val="28"/>
          <w:szCs w:val="28"/>
          <w:highlight w:val="none"/>
          <w:vertAlign w:val="baseline"/>
          <w:rtl/>
          <w:em w:val="none"/>
          <w:lang w:val="en-US" w:bidi="ar-DZ" w:eastAsia="en-US"/>
        </w:rPr>
        <w:t>251003092</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د.الفيصل عبد الحميد</w:t>
      </w:r>
      <w:r>
        <w:rPr>
          <w:rFonts w:ascii="Sakkal Majalla" w:cs="Sakkal Majalla" w:hAnsi="Sakkal Majalla"/>
          <w:b/>
          <w:bCs/>
          <w:sz w:val="28"/>
          <w:szCs w:val="28"/>
          <w:rtl/>
          <w:lang w:bidi="ar-EG"/>
        </w:rPr>
        <w:br/>
      </w:r>
      <w:r>
        <w:rPr>
          <w:rFonts w:ascii="Sakkal Majalla" w:cs="Sakkal Majalla" w:hAnsi="Sakkal Majalla" w:hint="cs"/>
          <w:b/>
          <w:bCs/>
          <w:sz w:val="28"/>
          <w:szCs w:val="28"/>
          <w:rtl/>
          <w:lang w:bidi="ar-EG"/>
        </w:rPr>
        <w:t>د.فايز جراد</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cs="Sakkal Majalla" w:hAnsi="Sakkal Majalla"/>
          <w:b/>
          <w:bCs/>
          <w:sz w:val="28"/>
          <w:szCs w:val="28"/>
          <w:lang w:val="en-US" w:bidi="ar-EG"/>
        </w:rPr>
        <w:t>2025</w:t>
      </w:r>
    </w:p>
    <w:p>
      <w:pPr>
        <w:pStyle w:val="style0"/>
        <w:jc w:val="left"/>
        <w:rPr>
          <w:rFonts w:ascii="Sakkal Majalla" w:cs="Sakkal Majalla" w:hAnsi="Sakkal Majalla"/>
          <w:b/>
          <w:bCs/>
          <w:sz w:val="28"/>
          <w:szCs w:val="28"/>
          <w:rtl/>
          <w:lang w:bidi="ar-EG"/>
        </w:rPr>
      </w:pPr>
    </w:p>
    <w:p>
      <w:pPr>
        <w:pStyle w:val="style0"/>
        <w:jc w:val="center"/>
        <w:rPr>
          <w:rFonts w:ascii="Sakkal Majalla" w:cs="Sakkal Majalla" w:hAnsi="Sakkal Majalla"/>
          <w:sz w:val="28"/>
          <w:szCs w:val="28"/>
          <w:highlight w:val="none"/>
          <w:u w:val="none"/>
          <w:rtl/>
          <w:lang w:bidi="ar-EG"/>
        </w:rPr>
      </w:pPr>
      <w:r>
        <w:rPr>
          <w:rFonts w:ascii="Sakkal Majalla" w:cs="Sakkal Majalla" w:hAnsi="Sakkal Majalla" w:hint="cs"/>
          <w:sz w:val="28"/>
          <w:szCs w:val="28"/>
          <w:highlight w:val="none"/>
          <w:u w:val="none"/>
          <w:rtl/>
          <w:lang w:bidi="ar-EG"/>
        </w:rPr>
        <w:t xml:space="preserve"> المحتوىات</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6072"/>
        <w:gridCol w:w="2760"/>
      </w:tblGrid>
      <w:tr>
        <w:trPr/>
        <w:tc>
          <w:tcPr>
            <w:tcW w:w="6072"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highlight w:val="none"/>
                <w:u w:val="none"/>
                <w:rtl/>
                <w:lang w:bidi="ar-EG"/>
              </w:rPr>
            </w:pPr>
            <w:r>
              <w:rPr>
                <w:rFonts w:ascii="Sakkal Majalla" w:hAnsi="Sakkal Majalla" w:hint="cs"/>
                <w:sz w:val="28"/>
                <w:szCs w:val="28"/>
                <w:highlight w:val="none"/>
                <w:u w:val="none"/>
                <w:rtl/>
                <w:lang w:bidi="ar-DZ"/>
              </w:rPr>
              <w:t>العنوان</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highlight w:val="none"/>
                <w:u w:val="none"/>
                <w:rtl/>
                <w:lang w:bidi="ar-EG"/>
              </w:rPr>
            </w:pPr>
            <w:r>
              <w:rPr>
                <w:rFonts w:ascii="Sakkal Majalla" w:hAnsi="Sakkal Majalla" w:hint="cs"/>
                <w:sz w:val="28"/>
                <w:szCs w:val="28"/>
                <w:highlight w:val="none"/>
                <w:u w:val="none"/>
                <w:rtl/>
                <w:lang w:bidi="ar-DZ"/>
              </w:rPr>
              <w:t>الصفحة</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hAnsi="Sakkal Majalla" w:hint="cs"/>
                <w:b/>
                <w:bCs/>
                <w:sz w:val="28"/>
                <w:szCs w:val="28"/>
                <w:u w:val="none"/>
                <w:rtl/>
                <w:lang w:bidi="ar-DZ"/>
              </w:rPr>
              <w:t>معلومات المستند</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hAnsi="Sakkal Majalla" w:hint="cs"/>
                <w:b/>
                <w:bCs/>
                <w:sz w:val="28"/>
                <w:szCs w:val="28"/>
                <w:u w:val="none"/>
                <w:rtl/>
                <w:lang w:bidi="ar-DZ"/>
              </w:rPr>
              <w:t>المستخلص</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4</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hAnsi="Sakkal Majalla" w:hint="cs"/>
                <w:b/>
                <w:bCs/>
                <w:sz w:val="28"/>
                <w:szCs w:val="28"/>
                <w:u w:val="none"/>
                <w:rtl/>
                <w:lang w:bidi="ar-DZ"/>
              </w:rPr>
              <w:t>الفصل الاول</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3</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المقدمة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6</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مشكلة</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7</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أهمية</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8</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أهداف</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9</w:t>
            </w:r>
          </w:p>
        </w:tc>
      </w:tr>
      <w:tr>
        <w:tblPrEx/>
        <w:trPr>
          <w:trHeight w:val="499" w:hRule="atLeast"/>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تساؤلات</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10</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فروض</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11</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eastAsia="Calibri" w:hAnsi="Sakkal Majalla"/>
                <w:b/>
                <w:bCs/>
                <w:i w:val="false"/>
                <w:iCs w:val="false"/>
                <w:color w:val="auto"/>
                <w:kern w:val="2"/>
                <w:sz w:val="28"/>
                <w:szCs w:val="28"/>
                <w:highlight w:val="none"/>
                <w:u w:val="none"/>
                <w:vertAlign w:val="baseline"/>
                <w:rtl/>
                <w:em w:val="none"/>
                <w:lang w:val="en-US" w:eastAsia="en-US"/>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الفصل</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الثاني</w:t>
            </w:r>
            <w:r>
              <w:rPr>
                <w:rFonts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الدراسات</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السابقة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13</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المقدمة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14</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الدراسات</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السابقة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15</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الإطار</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النظري</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17</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eastAsia="Calibri" w:hAnsi="Sakkal Majalla"/>
                <w:b/>
                <w:bCs/>
                <w:i w:val="false"/>
                <w:iCs w:val="false"/>
                <w:color w:val="auto"/>
                <w:kern w:val="2"/>
                <w:sz w:val="28"/>
                <w:szCs w:val="28"/>
                <w:highlight w:val="none"/>
                <w:u w:val="none"/>
                <w:vertAlign w:val="baseline"/>
                <w:rtl/>
                <w:em w:val="none"/>
                <w:lang w:val="en-US" w:eastAsia="en-US"/>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الفصل</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الثالث</w:t>
            </w:r>
            <w:r>
              <w:rPr>
                <w:rFonts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منهجية</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الدراسة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20</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مقدمة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21</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المنهجية</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وطرق</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البحث</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22</w:t>
            </w:r>
          </w:p>
        </w:tc>
      </w:tr>
      <w:tr>
        <w:tblPrEx/>
        <w:trPr/>
        <w:tc>
          <w:tcPr>
            <w:tcW w:w="6072"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مجتمع</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البحث</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24</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حدود</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البحث</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25</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eastAsia="Calibri" w:hAnsi="Sakkal Majalla"/>
                <w:b/>
                <w:bCs/>
                <w:i w:val="false"/>
                <w:iCs w:val="false"/>
                <w:color w:val="auto"/>
                <w:kern w:val="2"/>
                <w:sz w:val="28"/>
                <w:szCs w:val="28"/>
                <w:highlight w:val="none"/>
                <w:u w:val="none"/>
                <w:vertAlign w:val="baseline"/>
                <w:rtl/>
                <w:em w:val="none"/>
                <w:lang w:val="en-US" w:eastAsia="en-US"/>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الفصل</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الرابع</w:t>
            </w:r>
            <w:r>
              <w:rPr>
                <w:rFonts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النتائج</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والتوصيات</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26</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مقدمة</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27</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تحليل</w:t>
            </w:r>
            <w:r>
              <w:rPr>
                <w:rFonts w:ascii="Sakkal Majalla" w:cs="Sakkal Majalla" w:eastAsia="Calibri" w:hAnsi="Sakkal Majalla" w:hint="default"/>
                <w:b/>
                <w:bCs/>
                <w:i w:val="false"/>
                <w:iCs w:val="false"/>
                <w:color w:val="auto"/>
                <w:kern w:val="2"/>
                <w:sz w:val="28"/>
                <w:szCs w:val="28"/>
                <w:highlight w:val="none"/>
                <w:u w:val="none"/>
                <w:vertAlign w:val="baseline"/>
                <w:rtl/>
                <w:em w:val="none"/>
                <w:lang w:val="en-US" w:eastAsia="en-US"/>
              </w:rPr>
              <w:t xml:space="preserve"> </w:t>
            </w: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البيانات</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28</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النتائج</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30</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cs="Sakkal Majalla" w:eastAsia="Calibri" w:hAnsi="Sakkal Majalla" w:hint="cs"/>
                <w:b/>
                <w:bCs/>
                <w:i w:val="false"/>
                <w:iCs w:val="false"/>
                <w:color w:val="auto"/>
                <w:kern w:val="2"/>
                <w:sz w:val="28"/>
                <w:szCs w:val="28"/>
                <w:highlight w:val="none"/>
                <w:u w:val="none"/>
                <w:vertAlign w:val="baseline"/>
                <w:rtl/>
                <w:em w:val="none"/>
                <w:lang w:val="en-US" w:eastAsia="en-US"/>
              </w:rPr>
              <w:t>التوصيات</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32</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none"/>
                <w:rtl/>
                <w:lang w:bidi="ar-EG"/>
              </w:rPr>
            </w:pPr>
            <w:r>
              <w:rPr>
                <w:rFonts w:ascii="Sakkal Majalla" w:hAnsi="Sakkal Majalla" w:hint="cs"/>
                <w:b/>
                <w:bCs/>
                <w:sz w:val="28"/>
                <w:szCs w:val="28"/>
                <w:u w:val="none"/>
                <w:rtl/>
                <w:lang w:bidi="ar-DZ"/>
              </w:rPr>
              <w:t>المراجع</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none"/>
                <w:rtl/>
                <w:lang w:bidi="ar-EG"/>
              </w:rPr>
            </w:pPr>
            <w:r>
              <w:rPr>
                <w:rFonts w:cs="Sakkal Majalla" w:hAnsi="Sakkal Majalla"/>
                <w:sz w:val="28"/>
                <w:szCs w:val="28"/>
                <w:u w:val="none"/>
                <w:lang w:val="en-US" w:bidi="ar-EG"/>
              </w:rPr>
              <w:t>35</w:t>
            </w:r>
          </w:p>
        </w:tc>
      </w:tr>
      <w:tr>
        <w:tblPrEx/>
        <w:trPr/>
        <w:tc>
          <w:tcPr>
            <w:tcW w:w="6072" w:type="dxa"/>
            <w:tcBorders>
              <w:top w:val="single" w:sz="4" w:space="0" w:color="auto"/>
              <w:left w:val="single" w:sz="4" w:space="0" w:color="auto"/>
              <w:bottom w:val="single" w:sz="4" w:space="0" w:color="auto"/>
              <w:right w:val="single" w:sz="4" w:space="0" w:color="auto"/>
            </w:tcBorders>
          </w:tcPr>
          <w:p>
            <w:pPr>
              <w:bidi/>
              <w:spacing w:after="160" w:lineRule="auto" w:line="259"/>
              <w:jc w:val="left"/>
              <w:rPr>
                <w:rFonts w:ascii="Sakkal Majalla" w:cs="Sakkal Majalla" w:hAnsi="Sakkal Majalla"/>
                <w:b/>
                <w:bCs/>
                <w:sz w:val="28"/>
                <w:szCs w:val="28"/>
                <w:u w:val="single"/>
                <w:rtl/>
                <w:lang w:bidi="ar-EG"/>
              </w:rPr>
            </w:pPr>
            <w:r>
              <w:rPr>
                <w:rFonts w:ascii="Sakkal Majalla" w:hAnsi="Sakkal Majalla" w:hint="cs"/>
                <w:b/>
                <w:bCs/>
                <w:sz w:val="28"/>
                <w:szCs w:val="28"/>
                <w:u w:val="single"/>
                <w:rtl/>
                <w:lang w:bidi="ar-DZ"/>
              </w:rPr>
              <w:t>الملخص</w:t>
            </w:r>
          </w:p>
        </w:tc>
        <w:tc>
          <w:tcPr>
            <w:tcW w:w="2760" w:type="dxa"/>
            <w:tcBorders>
              <w:top w:val="single" w:sz="4" w:space="0" w:color="auto"/>
              <w:left w:val="single" w:sz="4" w:space="0" w:color="auto"/>
              <w:bottom w:val="single" w:sz="4" w:space="0" w:color="auto"/>
              <w:right w:val="single" w:sz="4" w:space="0" w:color="auto"/>
            </w:tcBorders>
          </w:tcPr>
          <w:p>
            <w:pPr>
              <w:pStyle w:val="style0"/>
              <w:jc w:val="center"/>
              <w:rPr>
                <w:rFonts w:ascii="Sakkal Majalla" w:cs="Sakkal Majalla" w:hAnsi="Sakkal Majalla"/>
                <w:sz w:val="28"/>
                <w:szCs w:val="28"/>
                <w:u w:val="single"/>
                <w:rtl/>
                <w:lang w:bidi="ar-EG"/>
              </w:rPr>
            </w:pPr>
            <w:r>
              <w:rPr>
                <w:rFonts w:cs="Sakkal Majalla" w:hAnsi="Sakkal Majalla"/>
                <w:sz w:val="28"/>
                <w:szCs w:val="28"/>
                <w:u w:val="single"/>
                <w:lang w:val="en-US" w:bidi="ar-EG"/>
              </w:rPr>
              <w:t>38</w:t>
            </w:r>
          </w:p>
        </w:tc>
      </w:tr>
    </w:tbl>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Pr>
      </w:pPr>
      <w:r>
        <w:rPr>
          <w:rFonts w:ascii="Sakkal Majalla" w:cs="Sakkal Majalla" w:hAnsi="Sakkal Majalla" w:hint="cs"/>
          <w:sz w:val="28"/>
          <w:szCs w:val="28"/>
          <w:u w:val="none"/>
          <w:rtl/>
          <w:lang w:bidi="ar-EG"/>
        </w:rPr>
        <w:t>المستخلص :</w:t>
      </w:r>
    </w:p>
    <w:p>
      <w:pPr>
        <w:pStyle w:val="style0"/>
        <w:rPr>
          <w:rFonts w:ascii="Sakkal Majalla" w:cs="Sakkal Majalla" w:hAnsi="Sakkal Majalla"/>
          <w:sz w:val="28"/>
          <w:szCs w:val="28"/>
          <w:u w:val="none"/>
        </w:rPr>
      </w:pPr>
      <w:r>
        <w:rPr>
          <w:rFonts w:ascii="Sakkal Majalla" w:hAnsi="Sakkal Majalla"/>
          <w:sz w:val="28"/>
          <w:szCs w:val="28"/>
          <w:u w:val="none"/>
          <w:rtl/>
          <w:lang w:val="en-US"/>
        </w:rPr>
        <w:t xml:space="preserve">تهدف هذه الدراسة إلى تحليل إدارة المخاطر السياسية للطاقة في الاتحاد الأوروبي </w:t>
      </w:r>
      <w:r>
        <w:rPr>
          <w:rFonts w:ascii="Sakkal Majalla" w:hAnsi="Sakkal Majalla" w:hint="cs"/>
          <w:sz w:val="28"/>
          <w:szCs w:val="28"/>
          <w:u w:val="none"/>
          <w:rtl/>
          <w:lang w:val="en-US" w:bidi="ar-DZ"/>
        </w:rPr>
        <w:t xml:space="preserve">بعد </w:t>
      </w:r>
      <w:r>
        <w:rPr>
          <w:rFonts w:ascii="Sakkal Majalla" w:hAnsi="Sakkal Majalla"/>
          <w:sz w:val="28"/>
          <w:szCs w:val="28"/>
          <w:u w:val="none"/>
          <w:rtl/>
          <w:lang w:val="en-US"/>
        </w:rPr>
        <w:t xml:space="preserve"> الغزو الروسي لأوكرانيا عام 2022. اعتمدت الدراسة على المنهج الوصفي التحليلي لفحص الاستجابات الأوروبية للأزمة الطاقية، مع التركيز على خطة REPowerEU كإطار استراتيجي رئيسي للحد من الاعتماد على الطاقة الروسية.</w:t>
      </w:r>
    </w:p>
    <w:p>
      <w:pPr>
        <w:pStyle w:val="style0"/>
        <w:rPr>
          <w:rFonts w:ascii="Sakkal Majalla" w:cs="Sakkal Majalla" w:hAnsi="Sakkal Majalla"/>
          <w:sz w:val="28"/>
          <w:szCs w:val="28"/>
          <w:u w:val="none"/>
        </w:rPr>
      </w:pPr>
    </w:p>
    <w:p>
      <w:pPr>
        <w:pStyle w:val="style0"/>
        <w:rPr>
          <w:rFonts w:ascii="Sakkal Majalla" w:cs="Sakkal Majalla" w:hAnsi="Sakkal Majalla"/>
          <w:sz w:val="28"/>
          <w:szCs w:val="28"/>
          <w:u w:val="none"/>
        </w:rPr>
      </w:pPr>
      <w:r>
        <w:rPr>
          <w:rFonts w:ascii="Sakkal Majalla" w:hAnsi="Sakkal Majalla"/>
          <w:sz w:val="28"/>
          <w:szCs w:val="28"/>
          <w:u w:val="none"/>
          <w:rtl/>
          <w:lang w:val="en-US"/>
        </w:rPr>
        <w:t>كشفت النتائج أن الأزمة أدت إلى تحول جوهري في سياسات الطاقة الأوروبية، حيث سارع الاتحاد نحو تنويع مصادر الإمداد، وتسريع التحول نحو الطاقة المتجددة، وتعزيز التكامل الإقليمي في مجال أمن الطاقة. كما أبرزت الدراسة أن فعالية هذه الإجراءات تباينت بين الدول الأعضاء حسب درجة اعتمادها السابق على الطاقة الروسية.</w:t>
      </w:r>
    </w:p>
    <w:p>
      <w:pPr>
        <w:pStyle w:val="style0"/>
        <w:rPr>
          <w:rFonts w:ascii="Sakkal Majalla" w:cs="Sakkal Majalla" w:hAnsi="Sakkal Majalla"/>
          <w:sz w:val="28"/>
          <w:szCs w:val="28"/>
          <w:u w:val="none"/>
        </w:rPr>
      </w:pPr>
    </w:p>
    <w:p>
      <w:pPr>
        <w:pStyle w:val="style0"/>
        <w:rPr>
          <w:rFonts w:ascii="Sakkal Majalla" w:cs="Sakkal Majalla" w:hAnsi="Sakkal Majalla"/>
          <w:sz w:val="28"/>
          <w:szCs w:val="28"/>
          <w:u w:val="none"/>
        </w:rPr>
      </w:pPr>
      <w:r>
        <w:rPr>
          <w:rFonts w:ascii="Sakkal Majalla" w:hAnsi="Sakkal Majalla"/>
          <w:sz w:val="28"/>
          <w:szCs w:val="28"/>
          <w:u w:val="none"/>
          <w:rtl/>
          <w:lang w:val="en-US"/>
        </w:rPr>
        <w:t>توصلت الدراسة إلى أن إدارة الاتحاد الأوروبي للأزمة نجحت في تخفيف الآثار قصيرة المدى، لكن تحقيق السيادة الطاقية الكاملة لا يزال يتطلب مزيداً من التعاون الاستراتيجي واستثمارات أكبر في البنية التحتية للطاقة. تقدم الدراسة إطاراً تحليلياً يمكن البناء عليه لتطوير سياسات طاقية أكثر مرونة في مواجهة التحديات الجيوسياسية المستقبلية.</w:t>
      </w: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الفصل الأول</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المقدمة</w:t>
      </w:r>
    </w:p>
    <w:p>
      <w:pPr>
        <w:pStyle w:val="style0"/>
        <w:rPr>
          <w:rFonts w:ascii="Sakkal Majalla" w:cs="Sakkal Majalla" w:hAnsi="Sakkal Majalla"/>
          <w:sz w:val="28"/>
          <w:szCs w:val="28"/>
          <w:u w:val="single"/>
          <w:rtl/>
        </w:rPr>
      </w:pP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يشكل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أمن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الطاقة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أحد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أهم</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أركان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الاستقرار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السياسي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والاقتصادي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في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الاتحاد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الأوروبي،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لما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له</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تأثير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مباشر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على</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أداء</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الاقتصاد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الكلي،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ورفاهية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الشعوب،</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واستقلال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القرار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السياسي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ومع</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دول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الاتحاد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الأوروبي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سعت</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خلال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العقود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الماضية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إلى</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تنويع</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مصادر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الطاقة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وتعزيز</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البنية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التحتية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المشتركة،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إلا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أن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اعتمادها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الكبير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على</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واردات</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الغاز</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والنفط</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روسيا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التي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كانت</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تشكل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يصل</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إلى</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40%</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من</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إجمالي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واردات</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الغاز</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الأوروبي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حتى</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عام</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2021</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جعلها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عرضة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لمخاطر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سياسية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حادة،</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ظهرت</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بوضوح</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بعد</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الغزو</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الروسي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لأوكرانيا</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في</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cs"/>
          <w:b w:val="false"/>
          <w:bCs w:val="false"/>
          <w:i w:val="false"/>
          <w:iCs w:val="false"/>
          <w:color w:val="auto"/>
          <w:kern w:val="2"/>
          <w:sz w:val="28"/>
          <w:szCs w:val="28"/>
          <w:highlight w:val="none"/>
          <w:vertAlign w:val="baseline"/>
          <w:rtl/>
          <w:em w:val="none"/>
          <w:lang w:val="en-US" w:bidi="ar-EG" w:eastAsia="en-US"/>
        </w:rPr>
        <w:t>فبراير</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 xml:space="preserve"> </w:t>
      </w:r>
      <w:r>
        <w:rPr>
          <w:rFonts w:ascii="Sakkal Majalla" w:cs="Sakkal Majalla" w:eastAsia="Calibri" w:hAnsi="Sakkal Majalla" w:hint="default"/>
          <w:b w:val="false"/>
          <w:bCs w:val="false"/>
          <w:i w:val="false"/>
          <w:iCs w:val="false"/>
          <w:color w:val="auto"/>
          <w:kern w:val="2"/>
          <w:sz w:val="28"/>
          <w:szCs w:val="28"/>
          <w:highlight w:val="none"/>
          <w:vertAlign w:val="baseline"/>
          <w:rtl/>
          <w:em w:val="none"/>
          <w:lang w:val="en-US" w:bidi="ar-EG" w:eastAsia="en-US"/>
        </w:rPr>
        <w:t>2022.</w:t>
      </w: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في هذا الفصل، سيتم التطرق إلى الإطار العام للبحث، من خلال عرض مشكلة الدراسة وأهميتها، والأهداف التي تسعى إلى تحقيقها، بالإضافة إلى تساؤلات البحث وفروضه. كما سيتم استعراض أبرز الدراسات السابقة ذات الصلة، والإطار النظري الذي تقوم عليه الدراسة، مع شرح المنهجية والأدوات المستخدمة في جمع البيانات وتحليلها.</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jc w:val="center"/>
        <w:rPr>
          <w:rFonts w:ascii="Sakkal Majalla" w:cs="Sakkal Majalla" w:hAnsi="Sakkal Majalla"/>
          <w:sz w:val="28"/>
          <w:szCs w:val="28"/>
          <w:u w:val="none"/>
          <w:rtl/>
        </w:rPr>
      </w:pPr>
      <w:r>
        <w:rPr>
          <w:rFonts w:ascii="Sakkal Majalla" w:cs="Sakkal Majalla" w:hAnsi="Sakkal Majalla"/>
          <w:b/>
          <w:bCs/>
          <w:sz w:val="28"/>
          <w:szCs w:val="28"/>
          <w:u w:val="none"/>
          <w:rtl/>
        </w:rPr>
        <w:t>مشكلة الدراسة.</w:t>
      </w:r>
      <w:r>
        <w:rPr>
          <w:rFonts w:ascii="Sakkal Majalla" w:cs="Sakkal Majalla" w:hAnsi="Sakkal Majalla"/>
          <w:sz w:val="28"/>
          <w:szCs w:val="28"/>
          <w:u w:val="none"/>
          <w:rtl/>
        </w:rPr>
        <w:t xml:space="preserve"> </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الاعتماد التاريخي للاتحاد الأوروبي على الطاقة الروسية، والضرورة الملحة لضمان أمن الطاقة في ظل التهديدات الجيوسياسية المتصاعدة بعد الغزو الروسي لأوكرانيا عام 2022. حيث كشف هذا الغزو عن هشاشة هيكلية في استراتيجيات إدارة المخاطر السياسية للطاقة ض</w:t>
      </w:r>
      <w:r>
        <w:rPr>
          <w:rFonts w:ascii="Sakkal Majalla" w:cs="Sakkal Majalla" w:hAnsi="Sakkal Majalla" w:hint="cs"/>
          <w:sz w:val="28"/>
          <w:szCs w:val="28"/>
          <w:u w:val="none"/>
          <w:rtl/>
        </w:rPr>
        <w:t xml:space="preserve">من </w:t>
      </w:r>
      <w:r>
        <w:rPr>
          <w:rFonts w:ascii="Sakkal Majalla" w:cs="Sakkal Majalla" w:hAnsi="Sakkal Majalla"/>
          <w:sz w:val="28"/>
          <w:szCs w:val="28"/>
          <w:u w:val="none"/>
          <w:rtl/>
        </w:rPr>
        <w:t xml:space="preserve"> الاتحاد الأوروبي، رغم الجهود السابقة لتنويع المصادر وتعزيز التعاون الإقليمي.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تكمن الإشكالية البحثية في القصور الوظيفي للآليات الأوروبية في مواجهة التقلبات المفاجئة بسلاسل إمداد الطاقة، والذي انعكس في: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اختلالات عميقة في أسواق الطاقة العالمية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تصاعد غير مسبوق في مستويات الأسعار</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ضغوط تضخمية مستدامة </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تباينات هيكلية بين الدول الأعضاء في معدلات الاعتماد على المصادر الروسية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كما تظهر إشكالية الانفصام الاستراتيجي بين </w:t>
      </w:r>
      <w:r>
        <w:rPr>
          <w:rFonts w:ascii="Sakkal Majalla" w:cs="Sakkal Majalla" w:hAnsi="Sakkal Majalla" w:hint="cs"/>
          <w:sz w:val="28"/>
          <w:szCs w:val="28"/>
          <w:u w:val="none"/>
          <w:rtl/>
        </w:rPr>
        <w:t xml:space="preserve">سياسات الطاقة  </w:t>
      </w:r>
      <w:r>
        <w:rPr>
          <w:rFonts w:ascii="Sakkal Majalla" w:cs="Sakkal Majalla" w:hAnsi="Sakkal Majalla"/>
          <w:sz w:val="28"/>
          <w:szCs w:val="28"/>
          <w:u w:val="none"/>
          <w:rtl/>
        </w:rPr>
        <w:t xml:space="preserve"> والمتطلبات السياسية </w:t>
      </w:r>
      <w:r>
        <w:rPr>
          <w:rFonts w:ascii="Sakkal Majalla" w:cs="Sakkal Majalla" w:hAnsi="Sakkal Majalla" w:hint="cs"/>
          <w:sz w:val="28"/>
          <w:szCs w:val="28"/>
          <w:u w:val="none"/>
          <w:rtl/>
        </w:rPr>
        <w:t xml:space="preserve">   </w:t>
      </w:r>
      <w:r>
        <w:rPr>
          <w:rFonts w:ascii="Sakkal Majalla" w:cs="Sakkal Majalla" w:hAnsi="Sakkal Majalla"/>
          <w:sz w:val="28"/>
          <w:szCs w:val="28"/>
          <w:u w:val="none"/>
          <w:rtl/>
        </w:rPr>
        <w:t>الأمنية، مما يفرض تحليلا نقدياً ل</w:t>
      </w:r>
      <w:r>
        <w:rPr>
          <w:rFonts w:ascii="Sakkal Majalla" w:cs="Sakkal Majalla" w:hAnsi="Sakkal Majalla" w:hint="cs"/>
          <w:sz w:val="28"/>
          <w:szCs w:val="28"/>
          <w:u w:val="none"/>
          <w:rtl/>
        </w:rPr>
        <w:t>كل من</w:t>
      </w:r>
      <w:r>
        <w:rPr>
          <w:rFonts w:ascii="Sakkal Majalla" w:cs="Sakkal Majalla" w:hAnsi="Sakkal Majalla"/>
          <w:sz w:val="28"/>
          <w:szCs w:val="28"/>
          <w:u w:val="none"/>
          <w:rtl/>
        </w:rPr>
        <w:t>:</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كفاءة آليات الاستجابة للأزمات</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قابلية تحقيق السيادة الطاقية في الأمدين المتوسط والبعيد</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sz w:val="28"/>
          <w:szCs w:val="28"/>
          <w:u w:val="none"/>
          <w:rtl/>
        </w:rPr>
      </w:pPr>
      <w:r>
        <w:rPr>
          <w:rFonts w:ascii="Sakkal Majalla" w:cs="Sakkal Majalla" w:hAnsi="Sakkal Majalla"/>
          <w:b/>
          <w:bCs/>
          <w:sz w:val="28"/>
          <w:szCs w:val="28"/>
          <w:u w:val="none"/>
          <w:rtl/>
        </w:rPr>
        <w:t>أهمية الدراسة.</w:t>
      </w:r>
      <w:r>
        <w:rPr>
          <w:rFonts w:ascii="Sakkal Majalla" w:cs="Sakkal Majalla" w:hAnsi="Sakkal Majalla"/>
          <w:sz w:val="28"/>
          <w:szCs w:val="28"/>
          <w:u w:val="none"/>
          <w:rtl/>
        </w:rPr>
        <w:t xml:space="preserve"> </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تقدم هذه الدراسة نموذجا تحليلياً لفهم التغيّرات الاستراتيجية في سياسة الطاقة         الأوروبية خلال مرحلة مفصلية، مع تطوير أدوات تحليلية يمكن تطبيقها في سياقات إقليمية أخرى تواجه إشكاليات الاعتماد على مصادر الطاقة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و تبنى على اهميتين</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اهمية علمية نظرية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أهمية </w:t>
      </w:r>
      <w:r>
        <w:rPr>
          <w:rFonts w:ascii="Sakkal Majalla" w:cs="Sakkal Majalla" w:hAnsi="Sakkal Majalla" w:hint="cs"/>
          <w:sz w:val="28"/>
          <w:szCs w:val="28"/>
          <w:u w:val="none"/>
          <w:rtl/>
        </w:rPr>
        <w:t xml:space="preserve">علمية </w:t>
      </w:r>
      <w:r>
        <w:rPr>
          <w:rFonts w:ascii="Sakkal Majalla" w:cs="Sakkal Majalla" w:hAnsi="Sakkal Majalla"/>
          <w:sz w:val="28"/>
          <w:szCs w:val="28"/>
          <w:u w:val="none"/>
          <w:rtl/>
        </w:rPr>
        <w:t>تطبيقية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أولا : الأهمية العلمية النظرية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1. إثراء الحقل الأكاديمي: تسهم الدراسة في تعميق الفهم النظري لعلاقة الاعتماد على الطاقة بالمخاطر الجيوسياسية ضمن حقل الاقتصاد السياسي الدولي.</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2. تطوير النماذج التحليلية: تقدم إطاراً لتحليل فعالية آليات إدارة الأزمات في المنظمات الإقليمية تحت ضغوط الصدمات الخارجية.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3. سد فجوة بحثية: تتناول فترة زمنية حرجة (2022-2025) لم تحظَ بتغطية كافية في الدراسات السابقة، خاصة في ما يتعلق بخطة REPowerEU.</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4. التكامل بين التخصصات: تجمع بين حقول العلاقات الدولية، الاقتصاد السياسي، وإدارة الأزمات في نموذج تحليلي موحد.</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ثانياً: الأهمية العملية </w:t>
      </w:r>
      <w:r>
        <w:rPr>
          <w:rFonts w:ascii="Sakkal Majalla" w:cs="Sakkal Majalla" w:hAnsi="Sakkal Majalla" w:hint="cs"/>
          <w:sz w:val="28"/>
          <w:szCs w:val="28"/>
          <w:u w:val="none"/>
          <w:rtl/>
        </w:rPr>
        <w:t>ال</w:t>
      </w:r>
      <w:r>
        <w:rPr>
          <w:rFonts w:ascii="Sakkal Majalla" w:cs="Sakkal Majalla" w:hAnsi="Sakkal Majalla"/>
          <w:sz w:val="28"/>
          <w:szCs w:val="28"/>
          <w:u w:val="none"/>
          <w:rtl/>
        </w:rPr>
        <w:t>تطبيقية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1. لدى صانعي السياسات في الاتحاد الأوروبي: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تقديم تقييم واقعي لفعالية السياسات الحالية.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اقتراح آليات لتعزيز المرونة الاستراتيجية في مواجهة الصدمات المستقبلية.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2. لدى الدول الأعضاء:</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تحليل التباينات في تأثير الأزمة وفقاً لدرجة الاعتماد على الطاقة الروسية.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تحديد أفضل الممارسات لنقل تجارب الدول الأقل تأثراً.</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3. لدى الدول الموردة للطاقة: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فهم التحول في أنماط الطلب الأوروبي واستشراف فرص الشراكة المستقبلية.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4. لدى المراكز البحثية وواضعو الاستراتيجيات:</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 توفير قاعدة تحليلية لتطوير سيناريوهات استباقية لإدارة الأزمات الطاقية.</w:t>
      </w:r>
    </w:p>
    <w:p>
      <w:pPr>
        <w:pStyle w:val="style0"/>
        <w:rPr>
          <w:rFonts w:ascii="Sakkal Majalla" w:cs="Sakkal Majalla" w:hAnsi="Sakkal Majalla"/>
          <w:sz w:val="28"/>
          <w:szCs w:val="28"/>
          <w:u w:val="none"/>
          <w:rtl/>
        </w:rPr>
      </w:pPr>
    </w:p>
    <w:p>
      <w:pPr>
        <w:pStyle w:val="style0"/>
        <w:jc w:val="center"/>
        <w:rPr>
          <w:rFonts w:ascii="Sakkal Majalla" w:cs="Sakkal Majalla" w:hAnsi="Sakkal Majalla"/>
          <w:sz w:val="28"/>
          <w:szCs w:val="28"/>
          <w:u w:val="none"/>
          <w:rtl/>
        </w:rPr>
      </w:pPr>
      <w:r>
        <w:rPr>
          <w:rFonts w:ascii="Sakkal Majalla" w:cs="Sakkal Majalla" w:hAnsi="Sakkal Majalla"/>
          <w:b/>
          <w:bCs/>
          <w:sz w:val="28"/>
          <w:szCs w:val="28"/>
          <w:u w:val="none"/>
          <w:rtl/>
        </w:rPr>
        <w:t>أهداف الدراسة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تحليل الآثار المباشرة والغير مباشرة للغزو الروسي لأوكرانيا على أمن الطاقة في الاتحاد الأوروبي، ورصد التحوّلات في سياسات الإمداد والاعتماد على المصادر الروسية.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تشخيص طبيعة وأبعاد المخاطر السياسية التي واجهها قطاع الطاقة الأوروبي في أعقاب الأزمة، وتحديد مصادر هذه المخاطر وآليات تفاعلها مع العوامل الجيوسياسية.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تقييم استراتيجيات إدارة المخاطر السياسية التي تبناها الاتحاد الأوروبي، من خلال دراسة السياسات المطبقة في المدى القصير (مثل تخزين الغاز) والمدى الطويل (مثل خطة REPowerEU).</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قياس فعالية السياسات الأوروبية في تحقيق الأمن الطاقي المستدام، من خلال تحليل مؤشرات تقليل الاعتماد على المصادر عالية المخاطر وتعزيز السيادة الطاقية.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sz w:val="28"/>
          <w:szCs w:val="28"/>
          <w:u w:val="none"/>
          <w:rtl/>
        </w:rPr>
      </w:pPr>
      <w:r>
        <w:rPr>
          <w:rFonts w:ascii="Sakkal Majalla" w:cs="Sakkal Majalla" w:hAnsi="Sakkal Majalla"/>
          <w:b/>
          <w:bCs/>
          <w:sz w:val="28"/>
          <w:szCs w:val="28"/>
          <w:u w:val="none"/>
          <w:rtl/>
        </w:rPr>
        <w:t>تساؤلات الدراسة</w:t>
      </w:r>
      <w:r>
        <w:rPr>
          <w:rFonts w:ascii="Sakkal Majalla" w:cs="Sakkal Majalla" w:hAnsi="Sakkal Majalla"/>
          <w:sz w:val="28"/>
          <w:szCs w:val="28"/>
          <w:u w:val="none"/>
          <w:rtl/>
        </w:rPr>
        <w:t xml:space="preserve"> </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ما طبيعة المخاطر السياسية التي واجهها الاتحاد الأوروبي في قطاع الطاقة بعد الغزو الروسي لأوكرانيا، وكيف تعامل معها من خلال سياسات واستراتيجيات إدارة المخاطر؟و هي على عدة محاور</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المحور الأول: تحليل الوضع القبلي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ما طبيعة الاعتماد الأوروبي على الطاقة الروسية قبل الغزو الروسي لأوكرانيا عام 2022؟</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كيف شكّل هذا الاعتماد نقطة ضعف استراتيجية في الأمن الطاقي للاتحا</w:t>
      </w:r>
      <w:r>
        <w:rPr>
          <w:rFonts w:ascii="Sakkal Majalla" w:cs="Sakkal Majalla" w:hAnsi="Sakkal Majalla" w:hint="cs"/>
          <w:sz w:val="28"/>
          <w:szCs w:val="28"/>
          <w:u w:val="none"/>
          <w:rtl/>
        </w:rPr>
        <w:t>د</w:t>
      </w:r>
      <w:r>
        <w:rPr>
          <w:rFonts w:ascii="Sakkal Majalla" w:cs="Sakkal Majalla" w:hAnsi="Sakkal Majalla"/>
          <w:sz w:val="28"/>
          <w:szCs w:val="28"/>
          <w:u w:val="none"/>
          <w:rtl/>
        </w:rPr>
        <w:t xml:space="preserve"> الأوروبي؟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المحور الثاني: تشخيص المخاطر</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1. ما أبرز التهديدات والمخاطر السياسية التي نتجت عن الأزمة الطاقية الأوروبية بعد الغزو؟</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2. كيف انعكست هذه المخاطر على الاستقرار الاقتصادي والسياسي لدول الاتحاد       الأوروبي؟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المحور الثالث: استراتيجيات المواجهة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1. ما السياسات والآليات التي اتخذها الاتحاد الأوروبي لإدارة أزمة الطاقة في المدى القصير؟</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2. كيف تمت صياغة الاستراتيجيات طويلة المدى (مثل خطة REPowerEU) لمعالجة الأزمة؟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المحور الرابع: تقييم الفعالية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1. ما مدى نجاح استراتيجيات الاتحاد الأوروبي في الحد من المخاطر  المرتبطة بأمن الطاقة؟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2. كيف أثرت الأزمة على التوجه الأوروبي نحو مصادر الطاقة البديلة والمتجددة؟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المحور الخامس: الدروس المستقبلية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1. ما الدروس المستفادة من الأزمة الطاقية التي يمكن توظيفها في تعزيز أمن الطاقة الأوروبي  مستقبلا؟</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2. كيف يمكن تطوير آليات أكثر فعالية لإدارة المخاطر السياسية في قطاع الطاقة؟</w:t>
      </w:r>
    </w:p>
    <w:p>
      <w:pPr>
        <w:pStyle w:val="style0"/>
        <w:rPr>
          <w:rFonts w:ascii="Sakkal Majalla" w:cs="Sakkal Majalla" w:hAnsi="Sakkal Majalla"/>
          <w:sz w:val="28"/>
          <w:szCs w:val="28"/>
          <w:u w:val="non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 xml:space="preserve"> فروض الدراسة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تمهيد لفروض الدراسة: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تُعد الفروض </w:t>
      </w:r>
      <w:r>
        <w:rPr>
          <w:rFonts w:ascii="Sakkal Majalla" w:cs="Sakkal Majalla" w:hAnsi="Sakkal Majalla" w:hint="cs"/>
          <w:sz w:val="28"/>
          <w:szCs w:val="28"/>
          <w:u w:val="none"/>
          <w:rtl/>
        </w:rPr>
        <w:t xml:space="preserve">مفتاح </w:t>
      </w:r>
      <w:r>
        <w:rPr>
          <w:rFonts w:ascii="Sakkal Majalla" w:cs="Sakkal Majalla" w:hAnsi="Sakkal Majalla"/>
          <w:sz w:val="28"/>
          <w:szCs w:val="28"/>
          <w:u w:val="none"/>
          <w:rtl/>
        </w:rPr>
        <w:t xml:space="preserve"> البناء المنهجي للدراسة، حيث تمثل إجابات استباقية مؤقتة</w:t>
      </w:r>
      <w:r>
        <w:rPr>
          <w:rFonts w:ascii="Sakkal Majalla" w:cs="Sakkal Majalla" w:hAnsi="Sakkal Majalla" w:hint="cs"/>
          <w:sz w:val="28"/>
          <w:szCs w:val="28"/>
          <w:u w:val="none"/>
          <w:rtl/>
        </w:rPr>
        <w:t xml:space="preserve"> للأسئلة </w:t>
      </w:r>
      <w:r>
        <w:rPr>
          <w:rFonts w:ascii="Sakkal Majalla" w:cs="Sakkal Majalla" w:hAnsi="Sakkal Majalla"/>
          <w:sz w:val="28"/>
          <w:szCs w:val="28"/>
          <w:u w:val="none"/>
          <w:rtl/>
        </w:rPr>
        <w:t>، وتأتي صياغة هذه الفروض في إطار السعي لتحقيق الأهداف البحثية المحددة، واختبار طبيعة العلاقات بين المتغيرات الرئيسية في الدراسة.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في هذه الدراسة، تم صياغة الفروض انطلاقاً من التحليل النظري لمفهوم المخاطر السياسية في قطاع الطاقة، واستناداً إلى المعطيات الواقعية الناتجة عن الغزو الروسي لأوكرانيا وتداعياته على أمن الطاقة في الاتحاد الأوروبي.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وقد روعي في صياغة الفروض أن تكون قابلة للاختبار إحصائياً ومنطقياً، مع الأخذ في الاعتبار الإطار الزمني للدراسة (2022-2025) والبيانات المتاحة من المصادر الرسمية. كما تمت مراعاة العلاقات السببية بين المتغيرات المستقلة (كدرجة الاعتماد على الطاقة الروسية) والمتغيرات التابعة (كفعالية سياسات إدارة المخاطر).</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و تعتمد فروض الدراسة على ثلاث افتراضات رئيسية</w:t>
      </w:r>
      <w:r>
        <w:rPr>
          <w:rFonts w:ascii="Sakkal Majalla" w:cs="Sakkal Majalla" w:hAnsi="Sakkal Majalla" w:hint="default"/>
          <w:sz w:val="28"/>
          <w:szCs w:val="28"/>
          <w:u w:val="none"/>
          <w:rtl/>
        </w:rPr>
        <w:t xml:space="preserve"> </w:t>
      </w:r>
      <w:r>
        <w:rPr>
          <w:rFonts w:ascii="Sakkal Majalla" w:cs="Sakkal Majalla" w:hAnsi="Sakkal Majalla" w:hint="cs"/>
          <w:sz w:val="28"/>
          <w:szCs w:val="28"/>
          <w:u w:val="none"/>
          <w:rtl/>
        </w:rPr>
        <w:t>و تحليلية و سياسية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الرئيسية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يوجد ارتباط موجب ذو دلالة إحصائية بين الغزو الروسي لأوكرانيا وحدوث اضطراب هيكلي في أمن الطاقة داخل الاتحاد الأوروبي.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توجد علاقة عكسية بين درجة الاعتماد المسبق لدول الاتحاد على الطاقة الروسية وقدرتها على مواجهة تبعات الأزمة الطاقية.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ساهمت الإجراءات الأوروبية المتكاملة في خفض مستوى المخاطر السياسية المرتبطة بإمدادات الطاقة بنسبة ملحوظة.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التحليلية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أدت سياسات تنويع مصادر الطاقة إلى تقليل حصة الواردات الروسية في السوق الأوروبية من 40% إلى أقل من 15% خلال فترة الدراسة 2022)-.(2025</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كشفت إدارة الأزمة عن ضعف البنية التحتية بين دول الاتحاد، خاصة في شبكات الربط الكهربائي وأنابيب الغاز العابرة للحدود.</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أسهمت التهديدات السياسية الناجمة عن الاعتماد الطاقي في إعادة تعريف مفهوم السيادة </w:t>
      </w:r>
      <w:r>
        <w:rPr>
          <w:rFonts w:ascii="Sakkal Majalla" w:cs="Sakkal Majalla" w:hAnsi="Sakkal Majalla" w:hint="cs"/>
          <w:sz w:val="28"/>
          <w:szCs w:val="28"/>
          <w:u w:val="none"/>
          <w:rtl/>
        </w:rPr>
        <w:t xml:space="preserve">ضمن </w:t>
      </w:r>
      <w:r>
        <w:rPr>
          <w:rFonts w:ascii="Sakkal Majalla" w:cs="Sakkal Majalla" w:hAnsi="Sakkal Majalla"/>
          <w:sz w:val="28"/>
          <w:szCs w:val="28"/>
          <w:u w:val="none"/>
          <w:rtl/>
        </w:rPr>
        <w:t>الاستراتيجية  الأوروبية المشتركة.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السياسية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سارعت الأزمة من وتيرة التحول ت</w:t>
      </w:r>
      <w:r>
        <w:rPr>
          <w:rFonts w:ascii="Sakkal Majalla" w:cs="Sakkal Majalla" w:hAnsi="Sakkal Majalla" w:hint="cs"/>
          <w:sz w:val="28"/>
          <w:szCs w:val="28"/>
          <w:u w:val="none"/>
          <w:rtl/>
        </w:rPr>
        <w:t>جاه</w:t>
      </w:r>
      <w:r>
        <w:rPr>
          <w:rFonts w:ascii="Sakkal Majalla" w:cs="Sakkal Majalla" w:hAnsi="Sakkal Majalla"/>
          <w:sz w:val="28"/>
          <w:szCs w:val="28"/>
          <w:u w:val="none"/>
          <w:rtl/>
        </w:rPr>
        <w:t xml:space="preserve"> الطاقة المتجددة، وزادت حصتها في مزيج الطاقة الأوروبي بنسبة لا تقل عن 25% خلال فترة الدراسة.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أظهرت الآليات المؤسسية للاتحاد الأوروبي</w:t>
      </w:r>
      <w:r>
        <w:rPr>
          <w:rFonts w:ascii="Sakkal Majalla" w:cs="Sakkal Majalla" w:hAnsi="Sakkal Majalla" w:hint="cs"/>
          <w:sz w:val="28"/>
          <w:szCs w:val="28"/>
          <w:u w:val="none"/>
          <w:rtl/>
        </w:rPr>
        <w:t xml:space="preserve"> </w:t>
      </w:r>
      <w:r>
        <w:rPr>
          <w:rFonts w:ascii="Sakkal Majalla" w:cs="Sakkal Majalla" w:hAnsi="Sakkal Majalla"/>
          <w:sz w:val="28"/>
          <w:szCs w:val="28"/>
          <w:u w:val="none"/>
          <w:rtl/>
        </w:rPr>
        <w:t>قدرة متوسطة على استيعاب الصدمات في المدى القصير</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-النظرية العلمية المتبعة  لإعداد البحث</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النظرة العلمية المتبعة لإعداد البحث</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تستند هذه الدراسة إلى رؤية منهجية متكاملة تجمع بين الأسس النظرية والأدوات التطبيقية، بهدف تحليل إدارة المخاطر السياسية للطاقة في الاتحاد الأوروبي في أعقاب الغزو الروسي لأوكرانيا. وتماشياً مع طبيعة الموضوع وأهداف البحث، اعتمدت الدراسة المنهج الوصفي التحليلي كإطار عام، مع الاستعانة بالمنهج المقارن لرصد التحولات في السياسات الطاقية الأوروبية قبل وبعد الأزمة.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وانطلاقاً من التكامل بين الحقول المعرفية، استند الإطار النظري للدراسة إلى مجموعة من النظريات والمفاهيم المحورية، بما في ذلك نظرية أمن الطاقة، ونظرية الاعتماد المتبادل، ونظرية المخاطر السياسية، ونظرية الأمن الإقليمي، ومفهوم تحول الطاقة. وقد مثل هذا التكامل النظري أساساً لتحليل متعدد المستويات، يجمع بين البعد الجيوسياسي والاقتصادي السياسي والإداري.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وفيما يتعلق بأدوات جمع البيانات، اعتمدت الدراسة على تحليل الوثائق الرسمية الصادرة عن مؤسسات الاتحاد الأوروبي والمنظمات الدولية، ومراجعة للبيانات الإحصائية الثانوية من المصادر المعتمدة. كما تم توظيف أدوات تحليلية متعددة، شملت التحليل الكيفي للسياسات، والتحليل الكمي للمؤشرات الطاقية، والتحليل المقارن للفترات الزمنية المختلفة.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وضماناً لموثوقية النتائج، التزمت الدراسة بمعايير الصدق والثبات العلمي من خلال الاعتماد على المصادر الأولية الرسمية، والتوثيق الشامل للمراجع، والتحليل الموضوعي الذي يتجنب التحيز، مع الحرص على الشفافية المنهجية في عرض البيانات والنتائج. كما راعت الدراسة الضوابط الأخلاقية للبحث العلمي، بما في ذلك الأمانة في النقل والحياد في الاستنتاج.</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وقد حدد الإطار الزمني للدراسة بالفترة من 2021 إلى 2025، لما تمثله هذه السنوات من مرحلة حرجة في تطور الأزمة الطاقية الأوروبية واستجاباتها لها، بينما اقتصر الإطار الجغرافي على دول الاتحاد الأوروبي الـ27، مع اهتمام خاص للدول الأكثر تأثراً          بالاعتماد على المصادر الروسية.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وبهذه الرؤية الشاملة، تسعى الدراسة إلى تقديم تحليل علمي متكامل يلامس الأبعاد المختلفة لموضوع البحث.</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الفصل الثاني</w:t>
      </w: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الدراسات السابقة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مقدمة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يُمثل هذا الفصل الركيزة النظرية والأكاديمية للدراسة، من خلال استعراض وتحليل </w:t>
      </w:r>
      <w:r>
        <w:rPr>
          <w:rFonts w:ascii="Sakkal Majalla" w:cs="Sakkal Majalla" w:hAnsi="Sakkal Majalla" w:hint="cs"/>
          <w:sz w:val="28"/>
          <w:szCs w:val="28"/>
          <w:u w:val="none"/>
          <w:rtl/>
        </w:rPr>
        <w:t xml:space="preserve"> </w:t>
      </w:r>
      <w:r>
        <w:rPr>
          <w:rFonts w:ascii="Sakkal Majalla" w:cs="Sakkal Majalla" w:hAnsi="Sakkal Majalla"/>
          <w:sz w:val="28"/>
          <w:szCs w:val="28"/>
          <w:u w:val="none"/>
          <w:rtl/>
        </w:rPr>
        <w:t>الدراسات السابقة ذات الصلة بموضوع إدارة المخاطر السياسية للطاقة في الاتحاد</w:t>
      </w:r>
      <w:r>
        <w:rPr>
          <w:rFonts w:ascii="Sakkal Majalla" w:cs="Sakkal Majalla" w:hAnsi="Sakkal Majalla" w:hint="cs"/>
          <w:sz w:val="28"/>
          <w:szCs w:val="28"/>
          <w:u w:val="none"/>
          <w:rtl/>
        </w:rPr>
        <w:t xml:space="preserve">       </w:t>
      </w:r>
      <w:r>
        <w:rPr>
          <w:rFonts w:ascii="Sakkal Majalla" w:cs="Sakkal Majalla" w:hAnsi="Sakkal Majalla"/>
          <w:sz w:val="28"/>
          <w:szCs w:val="28"/>
          <w:u w:val="none"/>
          <w:rtl/>
        </w:rPr>
        <w:t xml:space="preserve"> الأوروبي. كما يتضمن بناء الإطار النظري الذي تستند إليه الدراسة في تحليلها.</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ويهدف هذا الفصل إلى تحقيق عدة أهدا</w:t>
      </w:r>
      <w:r>
        <w:rPr>
          <w:rFonts w:ascii="Sakkal Majalla" w:cs="Sakkal Majalla" w:hAnsi="Sakkal Majalla" w:hint="cs"/>
          <w:sz w:val="28"/>
          <w:szCs w:val="28"/>
          <w:u w:val="none"/>
          <w:rtl/>
        </w:rPr>
        <w:t xml:space="preserve">ف </w:t>
      </w:r>
      <w:r>
        <w:rPr>
          <w:rFonts w:ascii="Sakkal Majalla" w:cs="Sakkal Majalla" w:hAnsi="Sakkal Majalla"/>
          <w:sz w:val="28"/>
          <w:szCs w:val="28"/>
          <w:u w:val="none"/>
          <w:rtl/>
        </w:rPr>
        <w:t>ا</w:t>
      </w:r>
      <w:r>
        <w:rPr>
          <w:rFonts w:ascii="Sakkal Majalla" w:cs="Sakkal Majalla" w:hAnsi="Sakkal Majalla" w:hint="cs"/>
          <w:sz w:val="28"/>
          <w:szCs w:val="28"/>
          <w:u w:val="none"/>
          <w:rtl/>
        </w:rPr>
        <w:t xml:space="preserve">همها </w:t>
      </w:r>
      <w:r>
        <w:rPr>
          <w:rFonts w:ascii="Sakkal Majalla" w:cs="Sakkal Majalla" w:hAnsi="Sakkal Majalla"/>
          <w:sz w:val="28"/>
          <w:szCs w:val="28"/>
          <w:u w:val="none"/>
          <w:rtl/>
        </w:rPr>
        <w:t xml:space="preserve"> تحديد الفجوة البحثية التي تسعى الدراسة لسدها، والوقوف على الجهود السابقة في هذا المجال، والاستفادة من منهجياتها وأدواتها التحليلية. كما يهدف إلى بناء نموذج نظري متكامل يمكن من خلاله تفسير التداعيات المختلفة لأزمة الطاقة في أعقاب الغزو الروسي لأوكرانيا.</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وسيتم في هذا الفصل تناول الدراسات السابقة وفق منهجية تحليلية نقدية، لا تقتصر على العرض والتلخيص، بل المقارنة والتركيب وتحديد أوجه القصور في هذه الدراسات. كما سيتم ربط هذه الدراسات بالإطار النظري للدراسة، الذي يجمع بين نظريات أمن الطاقة، والاعتماد المتبادل، والمخاطر السياسية، والأمن الإقليمي، فضلاعن مفهوم تحول الطاقة.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ويأتي هذا الفصل كحلقة وصل بين الإطار العام للدراسة في الفصل الأول والتحليل التطبيقي في الفصول اللاحقة، مما يضمن التكامل والترابط بين الجانبين النظري والتطبيقي في الدراسة.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الدراسات السابقة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قد تناولت عدة دراسات عربية و اجنبية موضوع ازمة الطاقة بمنهجبة مختلفه و نتائج دراسة متعدد</w:t>
      </w:r>
      <w:r>
        <w:rPr>
          <w:rFonts w:ascii="Sakkal Majalla" w:cs="Sakkal Majalla" w:hAnsi="Sakkal Majalla" w:hint="default"/>
          <w:sz w:val="28"/>
          <w:szCs w:val="28"/>
          <w:u w:val="none"/>
          <w:rtl/>
        </w:rPr>
        <w:t xml:space="preserve"> </w:t>
      </w:r>
      <w:r>
        <w:rPr>
          <w:rFonts w:ascii="Sakkal Majalla" w:cs="Sakkal Majalla" w:hAnsi="Sakkal Majalla" w:hint="cs"/>
          <w:sz w:val="28"/>
          <w:szCs w:val="28"/>
          <w:u w:val="none"/>
          <w:rtl/>
        </w:rPr>
        <w:t>و عدة فجوات حسب المحور المتناول و تم تلخيصها</w:t>
      </w:r>
      <w:r>
        <w:rPr>
          <w:rFonts w:ascii="Sakkal Majalla" w:cs="Sakkal Majalla" w:hAnsi="Sakkal Majalla" w:hint="default"/>
          <w:sz w:val="28"/>
          <w:szCs w:val="28"/>
          <w:u w:val="none"/>
          <w:rtl/>
        </w:rPr>
        <w:t>.</w:t>
      </w:r>
      <w:r>
        <w:rPr>
          <w:rFonts w:ascii="Sakkal Majalla" w:cs="Sakkal Majalla" w:hAnsi="Sakkal Majalla" w:hint="cs"/>
          <w:sz w:val="28"/>
          <w:szCs w:val="28"/>
          <w:u w:val="none"/>
          <w:rtl/>
        </w:rPr>
        <w:t xml:space="preserve"> و من ضمنها </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الدراسة الأولى:</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"أثر الأزمات الجيوسياسية على أمن الطاقة الأوروبي" (الجهني، ٢٠٢٣)</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المنهجية: تحليل وصفي كمي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النتائج: أكدت أن الاعتماد على المصدر الواحد للطاقة يشكل تهديداً للسيادة الوطنية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الفجوة: لم تتناول بالتفصيل استراتيجيات إدارة المخاطر ما بعد ٢٠٢٢</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الدراسة الثانية: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(Political Risk Management in EU Energy Policy (Müller, 2024</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المنهجية: تحليل مؤسسي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النتائج: ضعف التكامل المؤسسي يعيق استجابة الاتحاد للأزمات الطارئة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الفجوة: أغفلت دور القطاع الخاص في إدارة الأزمة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الدراسة الثالثة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European Energy Security After the Ukraine Invasion (Smith &amp; Johnson, 2023)</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المنهجية: تحليل سياسات مقارن</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النتائج: خطة REPowerEU ساهمت في خفض الاعتماد على الغاز الروسي بنسبة ٦٠٪</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الفجوة: لم تتناول التباين بين دول الاتحاد في تنفيذ الاستراتيجيات</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الدراسة الرابعة</w:t>
      </w:r>
      <w:r>
        <w:rPr>
          <w:rFonts w:ascii="Sakkal Majalla" w:cs="Sakkal Majalla" w:hAnsi="Sakkal Majalla" w:hint="default"/>
          <w:sz w:val="28"/>
          <w:szCs w:val="28"/>
          <w:u w:val="none"/>
          <w:rtl/>
        </w:rPr>
        <w:t>:</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"التحول الطاقي في الاتحاد الأوروبي في ظل المتغيرات الدولية" (السديس، ٢٠٢٤)</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المنهجية: دراسة حالة تحليلية.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النتائج: وجود علاقة عكسية بين تنويع مصادر الطاقة والمخاطر السياسية.</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الفجوة: ركزت على الجانب التقني وأهملت البعد المؤسسي.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تحليل ونقد الدراسات السابقة: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أوجه القصور:</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الفجوة الزمنية: معظم الدراسات تناولت الفترة حتى ٢٠٢٣ فقط</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التركيز الأحادي: اهتمام محدود بتحليل فجوة التنفيذ بين الدول الأعضاء</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الإطار النظري الضيق: افتقرت للتكامل بين النظريات المختلفة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مساهمة الدراسة الحالية: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 xml:space="preserve"> شمولية التحليل: تغطية الفترة ٢٠٢١-٢٠٢٥</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تكامل منهجي: الجمع بين التحليل الكمي والكيفي</w:t>
      </w:r>
    </w:p>
    <w:p>
      <w:pPr>
        <w:pStyle w:val="style0"/>
        <w:rPr>
          <w:rFonts w:ascii="Sakkal Majalla" w:cs="Sakkal Majalla" w:hAnsi="Sakkal Majalla"/>
          <w:sz w:val="28"/>
          <w:szCs w:val="28"/>
          <w:u w:val="none"/>
          <w:rtl/>
        </w:rPr>
      </w:pPr>
      <w:r>
        <w:rPr>
          <w:rFonts w:ascii="Sakkal Majalla" w:cs="Sakkal Majalla" w:hAnsi="Sakkal Majalla"/>
          <w:sz w:val="28"/>
          <w:szCs w:val="28"/>
          <w:u w:val="none"/>
          <w:rtl/>
        </w:rPr>
        <w:t>إطار نظري متكامل: دمج نظريات أمن الطاقة والمخاطر السياسية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left"/>
        <w:rPr>
          <w:rFonts w:ascii="Sakkal Majalla" w:cs="Sakkal Majalla" w:hAnsi="Sakkal Majalla" w:hint="cs"/>
          <w:b/>
          <w:bCs/>
          <w:sz w:val="28"/>
          <w:szCs w:val="28"/>
          <w:u w:val="none"/>
          <w:rtl/>
        </w:rPr>
      </w:pPr>
      <w:r>
        <w:rPr>
          <w:rFonts w:ascii="Sakkal Majalla" w:cs="Sakkal Majalla" w:hAnsi="Sakkal Majalla" w:hint="cs"/>
          <w:b/>
          <w:bCs/>
          <w:sz w:val="28"/>
          <w:szCs w:val="28"/>
          <w:u w:val="none"/>
          <w:rtl/>
        </w:rPr>
        <w:t>الإطار النظري</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يشكّل الإطار النظري الهيكل الفكري والأساس المعرفي الذي تُبنى عليه الدراسة، حيث يقدم مجموعة من النظريات والمفاهيم العلمية التي تمكن من تفسير الظاهرة موضوع البحث، ووضع فرضياتها، وتحليل نتائجها في إطار منهجي منظم. تستند هذه الدراسة إلى إطار نظري متكامل ومتعدد التخصصات، يجمع بين حقول الاقتصاد السياسي الدولي، والعلاقات الدولية، وإدارة الأزمات، بهدف تحليل ظاهرة إدارة المخاطر السياسية للطاقة في الاتحاد الأوروبي في أعقاب الغزو الروسي لأوكرانيا.</w:t>
      </w:r>
    </w:p>
    <w:p>
      <w:pPr>
        <w:pStyle w:val="style0"/>
        <w:rPr>
          <w:rFonts w:ascii="Sakkal Majalla" w:cs="Sakkal Majalla" w:hAnsi="Sakkal Majalla"/>
          <w:sz w:val="28"/>
          <w:szCs w:val="28"/>
          <w:u w:val="none"/>
          <w:rtl/>
        </w:rPr>
      </w:pPr>
    </w:p>
    <w:p>
      <w:pPr>
        <w:pStyle w:val="style0"/>
        <w:rPr>
          <w:rFonts w:ascii="Sakkal Majalla" w:cs="Sakkal Majalla" w:hAnsi="Sakkal Majalla"/>
          <w:b/>
          <w:bCs/>
          <w:sz w:val="28"/>
          <w:szCs w:val="28"/>
          <w:u w:val="none"/>
          <w:rtl/>
        </w:rPr>
      </w:pPr>
      <w:r>
        <w:rPr>
          <w:rFonts w:ascii="Sakkal Majalla" w:cs="Sakkal Majalla" w:hAnsi="Sakkal Majalla" w:hint="cs"/>
          <w:b/>
          <w:bCs/>
          <w:sz w:val="28"/>
          <w:szCs w:val="28"/>
          <w:u w:val="none"/>
          <w:rtl/>
        </w:rPr>
        <w:t>النظريات الأساسية</w:t>
      </w:r>
      <w:r>
        <w:rPr>
          <w:rFonts w:cs="Sakkal Majalla" w:hAnsi="Sakkal Majalla" w:hint="default"/>
          <w:b/>
          <w:bCs/>
          <w:sz w:val="28"/>
          <w:szCs w:val="28"/>
          <w:u w:val="none"/>
          <w:rtl/>
          <w:lang w:val="en-US"/>
        </w:rPr>
        <w:t>:</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1. نظرية أمن الطاقة: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المفهوم: تركز هذه النظرية على قدرة الدولة على تأمين إمدادات الطاقة بأسعار مستقرة وبشكل مستمر، لضمان استقرار الاقتصاد والأمن القومي.</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التطبيق في الدراسة: تُستخدم النظرية لتحليل مواطن الضعف في هيكل الإمداد الطاقة الأوروبي (الاعتماد على مصدر وحيد - روسيا)، وتقييم فعالية السياسات           الأوروبية (مثل REPowerEU) في تحقيق أمن الطاقة من خلال تنويع المصادر، وزيادة التخزين، وتعزيز الكفاءة.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2. نظرية الاعتماد المتبادل:</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المفهوم:  العلاقات الدولية في العصر الحديث تتسم بالترابط والاعتماد المتبادل بين الدول، خاصة في المجالات الاقتصادية والطاقة. يجعل هذا الاعتماد الدول أكثر حساسية للتغيرات التي تحدث لدى بعضها البعض.</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التطبيق في الدراسة: تفسر النظرية طبيعة العلاقة بين الاتحاد الأوروبي وروسيا قبل الأزمة، حيث كان الاعتماد أوروبياً على الطاقة وروسياً على العوائد. تبحث الدراسة في كيف أدى الغزو إلى كسر هذه العلاقة، وتحول الاعتماد المتبادل من مصدر للاستقرار إلى مصدر للمخاطر والصراع.</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3. نظرية المخاطر السياسية: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المفهوم: تدرس هذه النظرية كيفية تأثير القرارات أو الأحداث السياسية (كالحروب والثورات والعقوبات) على استقرار بيئة الأعمال والاستثمار، خاصة في القطاعات </w:t>
      </w:r>
      <w:r>
        <w:rPr>
          <w:rFonts w:ascii="Sakkal Majalla" w:cs="Sakkal Majalla" w:hAnsi="Sakkal Majalla" w:hint="default"/>
          <w:sz w:val="28"/>
          <w:szCs w:val="28"/>
          <w:u w:val="none"/>
          <w:rtl/>
        </w:rPr>
        <w:t xml:space="preserve">        </w:t>
      </w:r>
      <w:r>
        <w:rPr>
          <w:rFonts w:ascii="Sakkal Majalla" w:cs="Sakkal Majalla" w:hAnsi="Sakkal Majalla" w:hint="cs"/>
          <w:sz w:val="28"/>
          <w:szCs w:val="28"/>
          <w:u w:val="none"/>
          <w:rtl/>
        </w:rPr>
        <w:t>الاستراتيجية مثل الطاقة.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التطبيق في الدراسة: توفر النظرية الأدوات التحليلية لتشخيص مصادر المخاطر السياسية التي واجهها قطاع الطاقة الأوروبي (مثل استخدام الطاقة كسلاح، والعقوبات المضادة)، وتقييم كيفية قياس الاتحاد الأوروبي لهذه المخاطر وإدارتها عبر آليات سياسية وقانونية ومؤسسية.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4. نظرية الأمن الإقليمي:</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المفهوم: تذهب هذه النظرية إلى أن التهديدات الأمنية في العصر الحديث أصبحت ذات طابع إقليمي، مما يتطلب تعاوناً وتكاملا</w:t>
      </w:r>
      <w:r>
        <w:rPr>
          <w:rFonts w:ascii="Sakkal Majalla" w:hAnsi="Sakkal Majalla" w:hint="cs"/>
          <w:sz w:val="28"/>
          <w:szCs w:val="28"/>
          <w:u w:val="none"/>
          <w:rtl/>
          <w:lang w:bidi="ar-DZ"/>
        </w:rPr>
        <w:t xml:space="preserve"> </w:t>
      </w:r>
      <w:r>
        <w:rPr>
          <w:rFonts w:ascii="Sakkal Majalla" w:cs="Sakkal Majalla" w:hAnsi="Sakkal Majalla" w:hint="cs"/>
          <w:sz w:val="28"/>
          <w:szCs w:val="28"/>
          <w:u w:val="none"/>
          <w:rtl/>
        </w:rPr>
        <w:t>إقليمياً لمواجهتها، بدلا</w:t>
      </w:r>
      <w:r>
        <w:rPr>
          <w:rFonts w:ascii="Sakkal Majalla" w:hAnsi="Sakkal Majalla" w:hint="cs"/>
          <w:sz w:val="28"/>
          <w:szCs w:val="28"/>
          <w:u w:val="none"/>
          <w:rtl/>
          <w:lang w:bidi="ar-DZ"/>
        </w:rPr>
        <w:t xml:space="preserve"> </w:t>
      </w:r>
      <w:r>
        <w:rPr>
          <w:rFonts w:ascii="Sakkal Majalla" w:cs="Sakkal Majalla" w:hAnsi="Sakkal Majalla" w:hint="cs"/>
          <w:sz w:val="28"/>
          <w:szCs w:val="28"/>
          <w:u w:val="none"/>
          <w:rtl/>
        </w:rPr>
        <w:t>من الاعتماد على المنظور الوطني الضيق.</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التطبيق في الدراسة: تُطبق لتحليل استجابة الاتحاد الأوروبي ككيان إقليمي متكامل للأزمة. تفحص الدراسة مدى نجاح الآليات المؤسسية للاتحاد (المفوضية الأوروبية، مجلس الاتحاد الأوروبي) في صياغة استجابة موحدة، وتعزيز التضامن بين الدول الأعضاء (مثل آلية شراء الغاز المشتركة)، وبناء أمن طاقي إقليمي يحمي جميع الأعضاء.</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5. مفهوم تحول الطاقة: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المفهوم: يشير إلى التحول الهيكلي من نظام طاقة يعتمد على الوقود الأحفوري إلى نظام يعتمد على مصادر الطاقة المتجددة والمنخفضة الكربون، مدفوعاً بعوامل بيئية وتقنية واقتصادية وسياسية.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التطبيق في الدراسة: يسلط المفهوم الضوء على كيف عملت الأزمة الجيوسياسية كمحفز قوي لتسريع وتيرة تحول الطاقة في الاتحاد الأوروبي. ستقيس الدراسة تأثير </w:t>
      </w:r>
      <w:r>
        <w:rPr>
          <w:rFonts w:ascii="Sakkal Majalla" w:hAnsi="Sakkal Majalla" w:hint="cs"/>
          <w:sz w:val="28"/>
          <w:szCs w:val="28"/>
          <w:u w:val="none"/>
          <w:rtl/>
          <w:lang w:bidi="ar-DZ"/>
        </w:rPr>
        <w:t xml:space="preserve">    </w:t>
      </w:r>
      <w:r>
        <w:rPr>
          <w:rFonts w:ascii="Sakkal Majalla" w:cs="Sakkal Majalla" w:hAnsi="Sakkal Majalla" w:hint="cs"/>
          <w:sz w:val="28"/>
          <w:szCs w:val="28"/>
          <w:u w:val="none"/>
          <w:rtl/>
        </w:rPr>
        <w:t>الأزمة في تعزيز أهداف "الصفقة الخضراء الأوروبية" وزيادة حصة الطاقات المتجددة في مزيج الطاقة، ليس فقط كخيار بيئي، بل كخيار استراتيجي لتحقيق السيادة الطاقية.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التكامل النظري للدراسة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لا تتبنى هذه الدراسة نظرية واحدة، بل تدمج بين النظريات والمفاهيم السابقة في نموذج تحليلي موحد. فالأزمة لا تُفسر فقط بضعف أمن الطاقة (النظرية 1)، بل أيضاً بانهيار نموذج الاعتماد المتبادل (النظرية 2) الذي ولّد مخاطر سياسية حادة (النظرية 3). واستجابة الاتحاد كانت محاولة لبناء نموذج أمن إقليمي (النظرية 4) يعتمد بشكل أساسي على تسريع تحول الطاقة (المفهوم 5) كحل استراتيجي طويل الأمد.</w:t>
      </w:r>
    </w:p>
    <w:p>
      <w:pPr>
        <w:pStyle w:val="style0"/>
        <w:rPr>
          <w:rFonts w:ascii="Sakkal Majalla" w:cs="Sakkal Majalla" w:hAnsi="Sakkal Majalla"/>
          <w:sz w:val="28"/>
          <w:szCs w:val="28"/>
          <w:u w:val="none"/>
          <w:rtl/>
        </w:rPr>
      </w:pPr>
    </w:p>
    <w:p>
      <w:pPr>
        <w:pStyle w:val="style0"/>
        <w:rPr>
          <w:rFonts w:ascii="Sakkal Majalla" w:cs="Sakkal Majalla" w:hAnsi="Sakkal Majalla" w:hint="cs"/>
          <w:sz w:val="28"/>
          <w:szCs w:val="28"/>
          <w:u w:val="non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المتغيرات الرئيسية في الإطار النظري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المتغيرات المستقلة: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الغزو الروسي لأوكرانيا (كصدمة خارجية).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درجة الاعتماد على الطاقة الروسية (يختلف من دولة لأخرى).</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المتغيرات التابعة:</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مستوى المخاطر السياسية في قطاع الطاقة الأوروبي.</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فعالية سياسات وإستراتيجيات إدارة المخاطر (قصيرة وطويلة المدى).</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 xml:space="preserve">  · تحقيق السيادة الطاقية والتحول نحو الطاقة المتجددة.</w:t>
      </w:r>
    </w:p>
    <w:p>
      <w:pPr>
        <w:pStyle w:val="style0"/>
        <w:rPr>
          <w:rFonts w:ascii="Sakkal Majalla" w:cs="Sakkal Majalla" w:hAnsi="Sakkal Majalla"/>
          <w:sz w:val="28"/>
          <w:szCs w:val="28"/>
          <w:u w:val="none"/>
          <w:rtl/>
        </w:rPr>
      </w:pPr>
    </w:p>
    <w:p>
      <w:pPr>
        <w:pStyle w:val="style0"/>
        <w:rPr>
          <w:rFonts w:ascii="Sakkal Majalla" w:cs="Sakkal Majalla" w:hAnsi="Sakkal Majalla"/>
          <w:b/>
          <w:bCs/>
          <w:sz w:val="28"/>
          <w:szCs w:val="28"/>
          <w:u w:val="none"/>
          <w:rtl/>
        </w:rPr>
      </w:pPr>
      <w:r>
        <w:rPr>
          <w:rFonts w:ascii="Sakkal Majalla" w:cs="Sakkal Majalla" w:hAnsi="Sakkal Majalla" w:hint="cs"/>
          <w:b/>
          <w:bCs/>
          <w:sz w:val="28"/>
          <w:szCs w:val="28"/>
          <w:u w:val="none"/>
          <w:rtl/>
        </w:rPr>
        <w:t>خلاصة الإطار النظري</w:t>
      </w:r>
      <w:r>
        <w:rPr>
          <w:rFonts w:cs="Sakkal Majalla" w:hAnsi="Sakkal Majalla" w:hint="default"/>
          <w:b/>
          <w:bCs/>
          <w:sz w:val="28"/>
          <w:szCs w:val="28"/>
          <w:u w:val="none"/>
          <w:rtl/>
          <w:lang w:val="en-US"/>
        </w:rPr>
        <w:t>:</w:t>
      </w:r>
    </w:p>
    <w:p>
      <w:pPr>
        <w:pStyle w:val="style0"/>
        <w:rPr>
          <w:rFonts w:ascii="Sakkal Majalla" w:cs="Sakkal Majalla" w:hAnsi="Sakkal Majalla"/>
          <w:sz w:val="28"/>
          <w:szCs w:val="28"/>
          <w:u w:val="none"/>
          <w:rtl/>
        </w:rPr>
      </w:pPr>
      <w:r>
        <w:rPr>
          <w:rFonts w:ascii="Sakkal Majalla" w:cs="Sakkal Majalla" w:hAnsi="Sakkal Majalla" w:hint="cs"/>
          <w:sz w:val="28"/>
          <w:szCs w:val="28"/>
          <w:u w:val="none"/>
          <w:rtl/>
        </w:rPr>
        <w:t>يوفر هذا الإطار النظري المتكامل عدسة تحليلية شاملة تسمح بفهم متعدد الأبعاد لأزمة الطاقة الأوروبية. فهو لا يقتصر على وصف الأحداث، بل يقدم أدوات لتفسير السبب والنتيجة، ويفتح المجال لتحليل التفاعل المعقد بين العوامل الجيوسياسية والاقتصادية والمؤسسية والتقنية التي شكلت استجابة الاتحاد الأوروبي لأحد أكبر التحديات في تاريخه الطاقي.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hint="cs"/>
          <w:b/>
          <w:bCs/>
          <w:sz w:val="48"/>
          <w:szCs w:val="48"/>
          <w:u w:val="single"/>
          <w:rtl/>
        </w:rPr>
      </w:pP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 xml:space="preserve">الفصل </w:t>
      </w:r>
      <w:r>
        <w:rPr>
          <w:rFonts w:ascii="Sakkal Majalla" w:cs="Sakkal Majalla" w:hAnsi="Sakkal Majalla" w:hint="cs"/>
          <w:b/>
          <w:bCs/>
          <w:sz w:val="48"/>
          <w:szCs w:val="48"/>
          <w:u w:val="single"/>
          <w:rtl/>
        </w:rPr>
        <w:t>الثالث</w:t>
      </w: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منهجية الدراسة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مقدمة</w:t>
      </w:r>
      <w:r>
        <w:rPr>
          <w:rFonts w:ascii="Sakkal Majalla" w:cs="Sakkal Majalla" w:hAnsi="Sakkal Majalla"/>
          <w:b/>
          <w:bCs/>
          <w:sz w:val="28"/>
          <w:szCs w:val="28"/>
          <w:u w:val="none"/>
          <w:rtl/>
        </w:rPr>
        <w:t xml:space="preserve"> </w:t>
      </w:r>
    </w:p>
    <w:p>
      <w:pPr>
        <w:pStyle w:val="style0"/>
        <w:rPr>
          <w:rFonts w:ascii="Sakkal Majalla" w:cs="Sakkal Majalla" w:hAnsi="Sakkal Majalla"/>
          <w:sz w:val="28"/>
          <w:szCs w:val="28"/>
          <w:u w:val="single"/>
          <w:rtl/>
        </w:rPr>
      </w:pPr>
    </w:p>
    <w:p>
      <w:pPr>
        <w:pStyle w:val="style0"/>
        <w:spacing w:lineRule="auto" w:line="240"/>
        <w:rPr>
          <w:rFonts w:ascii="Sakkal Majalla" w:cs="Sakkal Majalla" w:hAnsi="Sakkal Majalla"/>
          <w:sz w:val="28"/>
          <w:szCs w:val="28"/>
          <w:u w:val="none"/>
          <w:rtl/>
        </w:rPr>
      </w:pPr>
      <w:r>
        <w:rPr>
          <w:rFonts w:ascii="Sakkal Majalla" w:hAnsi="Sakkal Majalla"/>
          <w:sz w:val="28"/>
          <w:szCs w:val="28"/>
          <w:u w:val="none"/>
          <w:rtl/>
          <w:lang w:val="en-US"/>
        </w:rPr>
        <w:t>يأتي هذا الفصل ليرسم المعالم الإجرائية والتحليلية للدراسة، مجسداً الانتقال من الإطار النظري إلى التطبيق العملي. حيث أن طبيعة هذه الدراسة، المتمحورة حول تحليل ومقارنة الدراسات السابقة ذات الصلة بإدارة المخاطر السياسية للطاقة في الاتحاد الأوروبي، تفرض تبني منهجية متخصصة قادرة على تفكيك هذه الدراسات، ومقارنة مقارباتها، واستخلاص الدروس والاستنتاجات الجوهرية منها.</w:t>
      </w:r>
    </w:p>
    <w:p>
      <w:pPr>
        <w:pStyle w:val="style0"/>
        <w:spacing w:lineRule="auto" w:line="240"/>
        <w:rPr>
          <w:rFonts w:ascii="Sakkal Majalla" w:cs="Sakkal Majalla" w:hAnsi="Sakkal Majalla"/>
          <w:sz w:val="28"/>
          <w:szCs w:val="28"/>
          <w:u w:val="none"/>
          <w:rtl/>
        </w:rPr>
      </w:pPr>
      <w:r>
        <w:rPr>
          <w:rFonts w:ascii="Sakkal Majalla" w:hAnsi="Sakkal Majalla"/>
          <w:sz w:val="28"/>
          <w:szCs w:val="28"/>
          <w:u w:val="none"/>
          <w:rtl/>
          <w:lang w:val="en-US"/>
        </w:rPr>
        <w:t>لا تقتصر منهجية هذا البحث على مجرد عرض هذه الدراسات، بل تتعداه إلى تحليل نقدي معمق يهدف إلى تحديد أوجه التشابه والاختلاف، ورصد الثغرات والفجوات المعرفية والمنهجية التي تركها كل منها، والبناء عليها لتأسيس أرضية صلبة تساهم في سد تلك الفجوات. ومن خلال هذه المقارنة التحليلية، تهدف الدراسة إلى تقديم رؤية شاملة ومتكاملة لا يمكن لدراسة منفردة تقديمها.</w:t>
      </w:r>
    </w:p>
    <w:p>
      <w:pPr>
        <w:pStyle w:val="style0"/>
        <w:spacing w:lineRule="auto" w:line="240"/>
        <w:rPr>
          <w:rFonts w:ascii="Sakkal Majalla" w:cs="Sakkal Majalla" w:hAnsi="Sakkal Majalla"/>
          <w:sz w:val="28"/>
          <w:szCs w:val="28"/>
          <w:u w:val="none"/>
          <w:rtl/>
        </w:rPr>
      </w:pPr>
      <w:r>
        <w:rPr>
          <w:rFonts w:ascii="Sakkal Majalla" w:hAnsi="Sakkal Majalla"/>
          <w:sz w:val="28"/>
          <w:szCs w:val="28"/>
          <w:u w:val="none"/>
          <w:rtl/>
          <w:lang w:val="en-US"/>
        </w:rPr>
        <w:t>لذلك، سيركز هذا الفصل على توضيح المنهجية العامة القائمة على التحليل الثانوي للدراسات السابقة، وشرح الاستراتيجية المتبعة في البحث عن الدراسات واختيارها، بالإضافة إلى الأدوات التحليلية المستخدمة في مقارنتها وتقييمها. كما سيحدد معايير تحليل المحتوى وإطار المقارنة بين الدراسات، مع الإشارة إلى حدود هذه المنهجية ومزاياها. وبهذا، يضمن هذا الفصل الشفافية والصرامة العلمية في كل خطوة من خطوات التحليل المقارن.</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b/>
          <w:bCs/>
          <w:sz w:val="28"/>
          <w:szCs w:val="28"/>
          <w:u w:val="none"/>
          <w:rtl/>
        </w:rPr>
        <w:t>المنهجية وطرق البحث</w:t>
      </w:r>
    </w:p>
    <w:p>
      <w:pPr>
        <w:pStyle w:val="style0"/>
        <w:spacing w:lineRule="auto" w:line="240"/>
        <w:rPr>
          <w:rFonts w:ascii="Sakkal Majalla" w:cs="Sakkal Majalla" w:hAnsi="Sakkal Majalla"/>
          <w:sz w:val="28"/>
          <w:szCs w:val="28"/>
          <w:u w:val="none"/>
          <w:rtl/>
        </w:rPr>
      </w:pPr>
      <w:r>
        <w:rPr>
          <w:rFonts w:ascii="Sakkal Majalla" w:hAnsi="Sakkal Majalla"/>
          <w:sz w:val="28"/>
          <w:szCs w:val="28"/>
          <w:u w:val="none"/>
          <w:rtl/>
          <w:lang w:val="en-US"/>
        </w:rPr>
        <w:t>تم تصميم المنهجية في هذه الدراسة لتتناسب مع طبيعتها كبحث تحليلي مقارن يهدف إلى استقراء الدروس والمعارف من الجسم المتراكم للدراسات السابقة. وتعتمد بشكل أساسي على المنهج الوصفي التحليلي، مع الاستعانة ب</w:t>
      </w:r>
      <w:r>
        <w:rPr>
          <w:rFonts w:ascii="Sakkal Majalla" w:hAnsi="Sakkal Majalla" w:hint="cs"/>
          <w:sz w:val="28"/>
          <w:szCs w:val="28"/>
          <w:u w:val="none"/>
          <w:rtl/>
          <w:lang w:val="en-US" w:bidi="ar-DZ"/>
        </w:rPr>
        <w:t xml:space="preserve">نهج </w:t>
      </w:r>
      <w:r>
        <w:rPr>
          <w:rFonts w:ascii="Sakkal Majalla" w:hAnsi="Sakkal Majalla"/>
          <w:sz w:val="28"/>
          <w:szCs w:val="28"/>
          <w:u w:val="none"/>
          <w:rtl/>
          <w:lang w:val="en-US"/>
        </w:rPr>
        <w:t>المقارن</w:t>
      </w:r>
      <w:r>
        <w:rPr>
          <w:rFonts w:ascii="Sakkal Majalla" w:hAnsi="Sakkal Majalla" w:hint="cs"/>
          <w:sz w:val="28"/>
          <w:szCs w:val="28"/>
          <w:u w:val="none"/>
          <w:rtl/>
          <w:lang w:val="en-US" w:bidi="ar-DZ"/>
        </w:rPr>
        <w:t>ة</w:t>
      </w:r>
      <w:r>
        <w:rPr>
          <w:rFonts w:ascii="Sakkal Majalla" w:hAnsi="Sakkal Majalla"/>
          <w:sz w:val="28"/>
          <w:szCs w:val="28"/>
          <w:u w:val="none"/>
          <w:rtl/>
          <w:lang w:val="en-US"/>
        </w:rPr>
        <w:t xml:space="preserve"> كأداة جوهرية.</w:t>
      </w:r>
    </w:p>
    <w:p>
      <w:pPr>
        <w:pStyle w:val="style0"/>
        <w:spacing w:lineRule="auto" w:line="24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اولا</w:t>
      </w:r>
      <w:r>
        <w:rPr>
          <w:rFonts w:hAnsi="Sakkal Majalla" w:hint="default"/>
          <w:sz w:val="28"/>
          <w:szCs w:val="28"/>
          <w:u w:val="none"/>
          <w:rtl/>
          <w:lang w:val="en-US" w:bidi="ar-DZ"/>
        </w:rPr>
        <w:t>:المنهجية العامة (التحليل الثانوي للدراسات السابقة)</w:t>
      </w: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اعتمدت الدراسة على التحليل الثانوي للدراسات السابقة، والذي يمثل طريقة منهجية لتحليل البيانات التي جمعها باحثون آخرون لأغراض مختلفة. حيث تمت إعادة تحليل هذه الدراسات بشكل نقدي لاستخلاص إجابات جديدة لتساؤلات البحث الحالي. وتم تنفيذ هذا التحليل على مرحلتين رئيسيتين:</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1-</w:t>
      </w:r>
      <w:r>
        <w:rPr>
          <w:rFonts w:hAnsi="Sakkal Majalla"/>
          <w:color w:val="000000"/>
          <w:sz w:val="28"/>
          <w:szCs w:val="28"/>
          <w:u w:val="none"/>
          <w:rtl/>
          <w:lang w:val="en-US"/>
        </w:rPr>
        <w:t>المرحلة التحليلية النقدية.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2- المرحلة التركيبية المقارنة.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.1المرحلة التحليلية النقدية: لتحليل كل دراسة على حدة من خلال:</w:t>
      </w:r>
    </w:p>
    <w:p>
      <w:pPr>
        <w:pStyle w:val="style179"/>
        <w:numPr>
          <w:ilvl w:val="0"/>
          <w:numId w:val="1"/>
        </w:numPr>
        <w:jc w:val="both"/>
        <w:rPr>
          <w:rFonts w:ascii="Sakkal Majalla" w:cs="Sakkal Majalla" w:hAnsi="Sakkal Majalla"/>
          <w:color w:val="000000"/>
          <w:sz w:val="28"/>
          <w:szCs w:val="28"/>
          <w:u w:val="none"/>
          <w:rtl/>
        </w:rPr>
      </w:pPr>
      <w:r>
        <w:rPr>
          <w:rFonts w:cs="Sakkal Majalla" w:hAnsi="Sakkal Majalla"/>
          <w:color w:val="000000"/>
          <w:sz w:val="28"/>
          <w:szCs w:val="28"/>
          <w:u w:val="none"/>
          <w:rtl/>
          <w:lang w:val="en-US"/>
        </w:rPr>
        <w:t>تحليل المحتوى: لفهم المنهجية، النتائج، الاستنتاجات، والإطار النظري لكل دراسة.</w:t>
      </w:r>
    </w:p>
    <w:p>
      <w:pPr>
        <w:pStyle w:val="style179"/>
        <w:numPr>
          <w:ilvl w:val="0"/>
          <w:numId w:val="1"/>
        </w:numPr>
        <w:jc w:val="both"/>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xml:space="preserve"> التقييم النقدي: لتحديد نقاط القوة والضعف في كل دراسة، ومدى مصداقية منهجيتها ونتائجها.</w:t>
      </w:r>
    </w:p>
    <w:p>
      <w:pPr>
        <w:pStyle w:val="style179"/>
        <w:numPr>
          <w:ilvl w:val="0"/>
          <w:numId w:val="0"/>
        </w:numPr>
        <w:ind w:left="720" w:firstLine="0"/>
        <w:jc w:val="both"/>
        <w:rPr>
          <w:rFonts w:ascii="Sakkal Majalla" w:cs="Sakkal Majalla" w:hAnsi="Sakkal Majalla"/>
          <w:color w:val="000000"/>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.2المرحلة التركيبية المقارنة: لمقارنة مجموعة الدراسات مع بعضها البعض من خلال:</w:t>
      </w:r>
    </w:p>
    <w:p>
      <w:pPr>
        <w:pStyle w:val="style179"/>
        <w:numPr>
          <w:ilvl w:val="0"/>
          <w:numId w:val="10"/>
        </w:numPr>
        <w:rPr>
          <w:rFonts w:ascii="Sakkal Majalla" w:cs="Sakkal Majalla" w:hAnsi="Sakkal Majalla"/>
          <w:sz w:val="28"/>
          <w:szCs w:val="28"/>
          <w:u w:val="none"/>
          <w:rtl/>
        </w:rPr>
      </w:pPr>
      <w:r>
        <w:rPr>
          <w:rFonts w:cs="Sakkal Majalla" w:hAnsi="Sakkal Majalla"/>
          <w:sz w:val="28"/>
          <w:szCs w:val="28"/>
          <w:u w:val="none"/>
          <w:rtl/>
          <w:lang w:val="en-US"/>
        </w:rPr>
        <w:t xml:space="preserve">   التحليل المقارن: لمقارنة منهجياتها، نتائجها، وفجواتها لتحديد الأنماط والتكاملات والتناقضات.</w:t>
      </w:r>
    </w:p>
    <w:p>
      <w:pPr>
        <w:pStyle w:val="style179"/>
        <w:numPr>
          <w:ilvl w:val="0"/>
          <w:numId w:val="10"/>
        </w:numPr>
        <w:rPr>
          <w:rFonts w:ascii="Sakkal Majalla" w:cs="Sakkal Majalla" w:hAnsi="Sakkal Majalla"/>
          <w:sz w:val="28"/>
          <w:szCs w:val="28"/>
          <w:u w:val="none"/>
          <w:rtl/>
        </w:rPr>
      </w:pPr>
      <w:r>
        <w:rPr>
          <w:rFonts w:cs="Sakkal Majalla" w:hAnsi="Sakkal Majalla"/>
          <w:sz w:val="28"/>
          <w:szCs w:val="28"/>
          <w:u w:val="none"/>
          <w:rtl/>
          <w:lang w:val="en-US"/>
        </w:rPr>
        <w:t xml:space="preserve">  التركيب الاستنتاجي: لبناء استنتاجات شاملة تتجاوز ما توصلت إليه كل دراسة على حدة.</w:t>
      </w:r>
    </w:p>
    <w:p>
      <w:pPr>
        <w:pStyle w:val="style0"/>
        <w:rPr>
          <w:rFonts w:ascii="Sakkal Majalla" w:cs="Sakkal Majalla" w:hAnsi="Sakkal Majalla"/>
          <w:sz w:val="28"/>
          <w:szCs w:val="28"/>
          <w:u w:val="single"/>
          <w:rtl/>
        </w:rPr>
      </w:pPr>
    </w:p>
    <w:p>
      <w:pPr>
        <w:pStyle w:val="style0"/>
        <w:rPr>
          <w:rFonts w:ascii="Sakkal Majalla" w:hAnsi="Sakkal Majalla" w:hint="cs"/>
          <w:sz w:val="28"/>
          <w:szCs w:val="28"/>
          <w:u w:val="none"/>
          <w:rtl/>
          <w:lang w:val="en-US" w:bidi="ar-DZ"/>
        </w:rPr>
      </w:pPr>
    </w:p>
    <w:p>
      <w:pPr>
        <w:pStyle w:val="style0"/>
        <w:rPr>
          <w:rFonts w:ascii="Sakkal Majalla" w:hAnsi="Sakkal Majalla" w:hint="cs"/>
          <w:sz w:val="28"/>
          <w:szCs w:val="28"/>
          <w:u w:val="none"/>
          <w:rtl/>
          <w:lang w:val="en-US" w:bidi="ar-DZ"/>
        </w:rPr>
      </w:pPr>
    </w:p>
    <w:p>
      <w:pPr>
        <w:pStyle w:val="style0"/>
        <w:rPr>
          <w:rFonts w:ascii="Sakkal Majalla" w:hAnsi="Sakkal Majalla" w:hint="cs"/>
          <w:sz w:val="28"/>
          <w:szCs w:val="28"/>
          <w:u w:val="none"/>
          <w:rtl/>
          <w:lang w:val="en-US" w:bidi="ar-DZ"/>
        </w:rPr>
      </w:pPr>
    </w:p>
    <w:p>
      <w:pPr>
        <w:pStyle w:val="style0"/>
        <w:rPr>
          <w:rFonts w:ascii="Sakkal Majalla" w:hAnsi="Sakkal Majalla" w:hint="cs"/>
          <w:sz w:val="28"/>
          <w:szCs w:val="28"/>
          <w:u w:val="none"/>
          <w:rtl/>
          <w:lang w:val="en-US" w:bidi="ar-DZ"/>
        </w:rPr>
      </w:pPr>
    </w:p>
    <w:p>
      <w:pPr>
        <w:pStyle w:val="style0"/>
        <w:rPr>
          <w:rFonts w:ascii="Sakkal Majalla" w:hAnsi="Sakkal Majalla" w:hint="cs"/>
          <w:sz w:val="28"/>
          <w:szCs w:val="28"/>
          <w:u w:val="none"/>
          <w:rtl/>
          <w:lang w:val="en-US" w:bidi="ar-DZ"/>
        </w:rPr>
      </w:pPr>
    </w:p>
    <w:p>
      <w:pPr>
        <w:pStyle w:val="style0"/>
        <w:rPr>
          <w:rFonts w:ascii="Sakkal Majalla" w:hAnsi="Sakkal Majalla" w:hint="cs"/>
          <w:sz w:val="28"/>
          <w:szCs w:val="28"/>
          <w:u w:val="none"/>
          <w:rtl/>
          <w:lang w:val="en-US" w:bidi="ar-DZ"/>
        </w:rPr>
      </w:pPr>
    </w:p>
    <w:p>
      <w:pPr>
        <w:pStyle w:val="style0"/>
        <w:rPr>
          <w:rFonts w:ascii="Sakkal Majalla" w:cs="Sakkal Majalla" w:hAnsi="Sakkal Majalla"/>
          <w:sz w:val="28"/>
          <w:szCs w:val="28"/>
          <w:u w:val="none"/>
          <w:rtl/>
        </w:rPr>
      </w:pPr>
      <w:r>
        <w:rPr>
          <w:rFonts w:ascii="Sakkal Majalla" w:hAnsi="Sakkal Majalla" w:hint="cs"/>
          <w:sz w:val="28"/>
          <w:szCs w:val="28"/>
          <w:u w:val="none"/>
          <w:rtl/>
          <w:lang w:val="en-US" w:bidi="ar-DZ"/>
        </w:rPr>
        <w:t>ثانيا</w:t>
      </w:r>
      <w:r>
        <w:rPr>
          <w:rFonts w:ascii="Sakkal Majalla" w:hAnsi="Sakkal Majalla"/>
          <w:sz w:val="28"/>
          <w:szCs w:val="28"/>
          <w:u w:val="none"/>
          <w:rtl/>
          <w:lang w:val="en-US"/>
        </w:rPr>
        <w:t>: منهجية جمع البيانات واختيار الدراسات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تم اتباع استراتيجية منهجية لجمع واختيار الدراسات السابقة لضمان الشمولية والموضوعية: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استراتيجية البحث:</w:t>
      </w: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قواعد البيانات المستخدمة: تم البحث في قواعد بيانات أكاديمية</w:t>
      </w:r>
      <w:r>
        <w:rPr>
          <w:rFonts w:hAnsi="Sakkal Majalla" w:hint="default"/>
          <w:sz w:val="28"/>
          <w:szCs w:val="28"/>
          <w:u w:val="none"/>
          <w:rtl/>
          <w:lang w:val="en-US" w:bidi="ar-DZ"/>
        </w:rPr>
        <w:t>.</w:t>
      </w: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الكلمات المفتاحية: تم استخدام مجموعة من الكلمات المفتاحية باللغتين العربية و</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الإنجليزية مثل: "أمن الطاقة الأوروبي"، "إدارة المخاطر السياسية للطاقة"، "REPowerEU"، "European energy security"، "Political risk management EU energy"، "الغزو الروسي لأوكرانيا وأمن الطاقة".</w:t>
      </w:r>
    </w:p>
    <w:p>
      <w:pPr>
        <w:pStyle w:val="style179"/>
        <w:numPr>
          <w:ilvl w:val="0"/>
          <w:numId w:val="0"/>
        </w:numPr>
        <w:ind w:left="720" w:firstLine="0"/>
        <w:rPr>
          <w:rFonts w:ascii="Sakkal Majalla" w:cs="Sakkal Majalla" w:hAnsi="Sakkal Majalla"/>
          <w:sz w:val="28"/>
          <w:szCs w:val="28"/>
          <w:u w:val="none"/>
          <w:rtl/>
        </w:rPr>
      </w:pP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فترات التغطية: ركز البحث على الدراسات المنشورة في الفترة من 2022 إلى 2025 لضمعلة الفترة الحرجة التي تلت الغزو مباشرة وحتى الوقت الراهن، مع عدم إغفال بعض الدراسات الأساسية السابقة ذات الصلة.</w:t>
      </w: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معايير الاختيار والاستبعاد:</w:t>
      </w: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 xml:space="preserve">  معايير الشمول: شملت الدراسات التي تركز على الاتحاد الأوروبي، أمن الطاقة، المخاطر السياسية، واستجابة السياسات بعد عام 2022. وتم اختيار الدراسات المحكمة من مجلات علمية موثوقة، وكتب، وتقارير صادرة عن مراكز الابحاث.</w:t>
      </w:r>
    </w:p>
    <w:p>
      <w:pPr>
        <w:pStyle w:val="style179"/>
        <w:numPr>
          <w:ilvl w:val="0"/>
          <w:numId w:val="11"/>
        </w:numPr>
        <w:rPr>
          <w:rFonts w:ascii="Sakkal Majalla" w:cs="Sakkal Majalla" w:hAnsi="Sakkal Majalla"/>
          <w:sz w:val="28"/>
          <w:szCs w:val="28"/>
          <w:u w:val="none"/>
          <w:rtl/>
        </w:rPr>
      </w:pPr>
      <w:r>
        <w:rPr>
          <w:rFonts w:ascii="Sakkal Majalla" w:hAnsi="Sakkal Majalla" w:hint="cs"/>
          <w:sz w:val="28"/>
          <w:szCs w:val="28"/>
          <w:u w:val="none"/>
          <w:rtl/>
          <w:lang w:bidi="ar-DZ"/>
        </w:rPr>
        <w:t xml:space="preserve">  معايير الاستبعاد: تم استبعاد الدراسات غير المحكمة، والمقالات الإخبارية، والدراسات التي لا تركز على البعد السياسي أو الجيوسياسي لأزمة الطاقة.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none"/>
          <w:rtl/>
        </w:rPr>
      </w:pPr>
      <w:r>
        <w:rPr>
          <w:rFonts w:ascii="Sakkal Majalla" w:hAnsi="Sakkal Majalla"/>
          <w:sz w:val="28"/>
          <w:szCs w:val="28"/>
          <w:u w:val="none"/>
          <w:rtl/>
          <w:lang w:val="en-US"/>
        </w:rPr>
        <w:t>ثالثاً: أدوات تحليل البيانات</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لضمان تحليل منهجي ودقيق، تم استخدام الأدوات التحليلية التالية: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1-تحليل المضمون النوعي: لتحليل الخطاب والمفاهيم والإطارات النظرية في الدراسات النوعية، وفهم كيفية تفسيرها للعلاقات والاستجابات.</w:t>
      </w:r>
    </w:p>
    <w:p>
      <w:pPr>
        <w:pStyle w:val="style0"/>
        <w:rPr>
          <w:rFonts w:ascii="Sakkal Majalla" w:cs="Sakkal Majalla" w:hAnsi="Sakkal Majalla"/>
          <w:sz w:val="28"/>
          <w:szCs w:val="28"/>
          <w:u w:val="none"/>
          <w:rtl/>
        </w:rPr>
      </w:pPr>
      <w:r>
        <w:rPr>
          <w:rFonts w:cs="Sakkal Majalla" w:hAnsi="Sakkal Majalla"/>
          <w:sz w:val="28"/>
          <w:szCs w:val="28"/>
          <w:u w:val="none"/>
          <w:lang w:val="en-US"/>
        </w:rPr>
        <w:t>2- التحليل الكمي الوصفي: لتحليل البيانات الرقمية والإحصائية الواردة في الدراسات الكمية (مثل نسب انخفاض الاعتماد على الغاز الروسي، معدلات نمو الطاقة المتجددة)، وتلخيصها في جداول أو أشكال بيانية توضيحية لمقارنتها.</w:t>
      </w:r>
    </w:p>
    <w:p>
      <w:pPr>
        <w:pStyle w:val="style0"/>
        <w:rPr>
          <w:rFonts w:ascii="Sakkal Majalla" w:cs="Sakkal Majalla" w:hAnsi="Sakkal Majalla"/>
          <w:sz w:val="28"/>
          <w:szCs w:val="28"/>
          <w:u w:val="none"/>
          <w:rtl/>
        </w:rPr>
      </w:pPr>
      <w:r>
        <w:rPr>
          <w:rFonts w:cs="Sakkal Majalla" w:hAnsi="Sakkal Majalla"/>
          <w:sz w:val="28"/>
          <w:szCs w:val="28"/>
          <w:u w:val="none"/>
          <w:lang w:val="en-US"/>
        </w:rPr>
        <w:t>3- إطار المقارنة: تم تطوير إطار مقارن منهجي بناءً على المحاور التالية لمقارنة كل الدراسات المختارة:</w:t>
      </w:r>
    </w:p>
    <w:p>
      <w:pPr>
        <w:pStyle w:val="style179"/>
        <w:numPr>
          <w:ilvl w:val="0"/>
          <w:numId w:val="12"/>
        </w:numPr>
        <w:rPr>
          <w:rFonts w:ascii="Sakkal Majalla" w:cs="Sakkal Majalla" w:hAnsi="Sakkal Majalla"/>
          <w:sz w:val="28"/>
          <w:szCs w:val="28"/>
          <w:u w:val="none"/>
          <w:rtl/>
        </w:rPr>
      </w:pPr>
      <w:r>
        <w:rPr>
          <w:rFonts w:cs="Sakkal Majalla" w:hAnsi="Sakkal Majalla"/>
          <w:sz w:val="28"/>
          <w:szCs w:val="28"/>
          <w:u w:val="none"/>
          <w:rtl/>
          <w:lang w:val="en-US"/>
        </w:rPr>
        <w:t>الإطار النظري والمنهجية المتبعة.</w:t>
      </w:r>
    </w:p>
    <w:p>
      <w:pPr>
        <w:pStyle w:val="style179"/>
        <w:numPr>
          <w:ilvl w:val="0"/>
          <w:numId w:val="12"/>
        </w:numPr>
        <w:rPr>
          <w:rFonts w:ascii="Sakkal Majalla" w:cs="Sakkal Majalla" w:hAnsi="Sakkal Majalla"/>
          <w:sz w:val="28"/>
          <w:szCs w:val="28"/>
          <w:u w:val="none"/>
          <w:rtl/>
        </w:rPr>
      </w:pPr>
      <w:r>
        <w:rPr>
          <w:rFonts w:cs="Sakkal Majalla" w:hAnsi="Sakkal Majalla"/>
          <w:sz w:val="28"/>
          <w:szCs w:val="28"/>
          <w:u w:val="none"/>
          <w:rtl/>
          <w:lang w:val="en-US"/>
        </w:rPr>
        <w:t>النتائج الرئيسية المتعلقة بفعالية السياسات.</w:t>
      </w:r>
    </w:p>
    <w:p>
      <w:pPr>
        <w:pStyle w:val="style179"/>
        <w:numPr>
          <w:ilvl w:val="0"/>
          <w:numId w:val="12"/>
        </w:numPr>
        <w:rPr>
          <w:rFonts w:ascii="Sakkal Majalla" w:cs="Sakkal Majalla" w:hAnsi="Sakkal Majalla"/>
          <w:sz w:val="28"/>
          <w:szCs w:val="28"/>
          <w:u w:val="none"/>
          <w:rtl/>
        </w:rPr>
      </w:pPr>
      <w:r>
        <w:rPr>
          <w:rFonts w:cs="Sakkal Majalla" w:hAnsi="Sakkal Majalla"/>
          <w:sz w:val="28"/>
          <w:szCs w:val="28"/>
          <w:u w:val="none"/>
          <w:rtl/>
          <w:lang w:val="en-US"/>
        </w:rPr>
        <w:t>الفجوات والثغرات التي أشارت إليها كل دراسة.</w:t>
      </w:r>
    </w:p>
    <w:p>
      <w:pPr>
        <w:pStyle w:val="style179"/>
        <w:numPr>
          <w:ilvl w:val="0"/>
          <w:numId w:val="12"/>
        </w:numPr>
        <w:rPr>
          <w:rFonts w:ascii="Sakkal Majalla" w:cs="Sakkal Majalla" w:hAnsi="Sakkal Majalla"/>
          <w:sz w:val="28"/>
          <w:szCs w:val="28"/>
          <w:u w:val="none"/>
          <w:rtl/>
        </w:rPr>
      </w:pPr>
      <w:r>
        <w:rPr>
          <w:rFonts w:cs="Sakkal Majalla" w:hAnsi="Sakkal Majalla"/>
          <w:sz w:val="28"/>
          <w:szCs w:val="28"/>
          <w:u w:val="none"/>
          <w:rtl/>
          <w:lang w:val="en-US"/>
        </w:rPr>
        <w:t>السياسات والإجراءات التي تم تحليلها (قصيرة vs. طويلة المدى).</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none"/>
          <w:rtl/>
        </w:rPr>
      </w:pPr>
      <w:r>
        <w:rPr>
          <w:rFonts w:ascii="Sakkal Majalla" w:hAnsi="Sakkal Majalla"/>
          <w:sz w:val="28"/>
          <w:szCs w:val="28"/>
          <w:u w:val="none"/>
          <w:rtl/>
          <w:lang w:val="en-US"/>
        </w:rPr>
        <w:t>رابعاً: حدود المنهجية</w:t>
      </w:r>
    </w:p>
    <w:p>
      <w:pPr>
        <w:pStyle w:val="style179"/>
        <w:numPr>
          <w:ilvl w:val="0"/>
          <w:numId w:val="13"/>
        </w:numPr>
        <w:rPr>
          <w:rFonts w:ascii="Sakkal Majalla" w:cs="Sakkal Majalla" w:hAnsi="Sakkal Majalla"/>
          <w:sz w:val="28"/>
          <w:szCs w:val="28"/>
          <w:u w:val="none"/>
          <w:rtl/>
        </w:rPr>
      </w:pPr>
      <w:r>
        <w:rPr>
          <w:rFonts w:cs="Sakkal Majalla" w:hAnsi="Sakkal Majalla"/>
          <w:sz w:val="28"/>
          <w:szCs w:val="28"/>
          <w:u w:val="none"/>
          <w:rtl/>
          <w:lang w:val="en-US"/>
        </w:rPr>
        <w:t>حدود البيانات: تعتمد دقة النتائج على دقة وموثوقية البيانات والاستنتاجات الواردة في الدراسات التي تم تحليلها.</w:t>
      </w:r>
    </w:p>
    <w:p>
      <w:pPr>
        <w:pStyle w:val="style179"/>
        <w:numPr>
          <w:ilvl w:val="0"/>
          <w:numId w:val="13"/>
        </w:numPr>
        <w:rPr>
          <w:rFonts w:ascii="Sakkal Majalla" w:cs="Sakkal Majalla" w:hAnsi="Sakkal Majalla"/>
          <w:sz w:val="28"/>
          <w:szCs w:val="28"/>
          <w:u w:val="none"/>
          <w:rtl/>
        </w:rPr>
      </w:pPr>
      <w:r>
        <w:rPr>
          <w:rFonts w:cs="Sakkal Majalla" w:hAnsi="Sakkal Majalla"/>
          <w:sz w:val="28"/>
          <w:szCs w:val="28"/>
          <w:u w:val="none"/>
          <w:rtl/>
          <w:lang w:val="en-US"/>
        </w:rPr>
        <w:t>التحيز المحتمل في الاختيار: على الرغم من اتباع معايير واضحة، إلا أن عملية اختيار الدراسات قد تتأثر بتحيز الباحث.</w:t>
      </w:r>
    </w:p>
    <w:p>
      <w:pPr>
        <w:pStyle w:val="style179"/>
        <w:numPr>
          <w:ilvl w:val="0"/>
          <w:numId w:val="13"/>
        </w:numPr>
        <w:rPr>
          <w:rFonts w:ascii="Sakkal Majalla" w:cs="Sakkal Majalla" w:hAnsi="Sakkal Majalla"/>
          <w:sz w:val="28"/>
          <w:szCs w:val="28"/>
          <w:u w:val="none"/>
          <w:rtl/>
        </w:rPr>
      </w:pPr>
      <w:r>
        <w:rPr>
          <w:rFonts w:cs="Sakkal Majalla" w:hAnsi="Sakkal Majalla"/>
          <w:sz w:val="28"/>
          <w:szCs w:val="28"/>
          <w:u w:val="none"/>
          <w:rtl/>
          <w:lang w:val="en-US"/>
        </w:rPr>
        <w:t>الطبيعة التجميعية: تقدم الدراسة استنتاجات مستخلصة من تحليل أعمال أخرى، مما قد يحد من الجدة التطبيقية الميدانية المباشرة، لكنه يثري الجدة التحليلية والتوليفية.</w:t>
      </w: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مجتمع البحث</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يتمثل مجتمع البحث في هذه الدراسة في الكون المعرفي المتمثل في مجمل</w:t>
      </w:r>
      <w:r>
        <w:rPr>
          <w:rFonts w:hAnsi="Sakkal Majalla"/>
          <w:sz w:val="28"/>
          <w:szCs w:val="28"/>
          <w:u w:val="none"/>
          <w:rtl/>
          <w:lang w:val="en-US"/>
        </w:rPr>
        <w:t xml:space="preserve"> </w:t>
      </w:r>
      <w:r>
        <w:rPr>
          <w:rFonts w:ascii="Sakkal Majalla" w:hAnsi="Sakkal Majalla"/>
          <w:sz w:val="28"/>
          <w:szCs w:val="28"/>
          <w:u w:val="none"/>
          <w:rtl/>
          <w:lang w:val="en-US"/>
        </w:rPr>
        <w:t>الدراسات السابقة التي تناولت أزمة الطاقة في الاتحاد الأوروبي في أعقاب الغزو الروسي لأوكرانيا. ولضمان الدقة والعمق، تم اختيار عينة  من هذا المجتمع وفق معايير محددة، وهي: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rtl/>
          <w:lang w:val="en-US"/>
        </w:rPr>
        <w:t>· الحداثة : أن تكون الدراسة قد نُشرت في الإطار الزمني للأزمة (2022-2025).</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المصدرية والموثوقية: أن تكون منشورة في قنوات أكاديمية محكمة أو صادرة عن مراكز أبحاث معترف بها.</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الملاءمة الموضوعية: أن تركز بشكل مباشر على تحليل السياسات أو المخاطر أو الاستجابات الاستراتيجية المطبقة.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sz w:val="28"/>
          <w:szCs w:val="28"/>
          <w:u w:val="none"/>
          <w:rtl/>
          <w:lang w:val="en-US"/>
        </w:rPr>
        <w:t>وبناءً على هذه المعايير، تم تحديد قائمة الدراسات التي شكّلت العينة النهائية للتحليل، والتي تم الإشارة إلى نماذج منها في فصل الإطار النظري ودراسات سابقة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حدود البحث</w:t>
      </w:r>
    </w:p>
    <w:p>
      <w:pPr>
        <w:pStyle w:val="style0"/>
        <w:rPr>
          <w:rFonts w:ascii="Sakkal Majalla" w:cs="Sakkal Majalla" w:hAnsi="Sakkal Majalla"/>
          <w:sz w:val="28"/>
          <w:szCs w:val="28"/>
          <w:u w:val="none"/>
          <w:rtl/>
        </w:rPr>
      </w:pPr>
      <w:r>
        <w:rPr>
          <w:rFonts w:ascii="Sakkal Majalla" w:hAnsi="Sakkal Majalla" w:hint="cs"/>
          <w:sz w:val="28"/>
          <w:szCs w:val="28"/>
          <w:u w:val="none"/>
          <w:rtl/>
          <w:lang w:val="en-US" w:bidi="ar-DZ"/>
        </w:rPr>
        <w:t xml:space="preserve">تم تحديد </w:t>
      </w:r>
      <w:r>
        <w:rPr>
          <w:rFonts w:ascii="Sakkal Majalla" w:hAnsi="Sakkal Majalla"/>
          <w:sz w:val="28"/>
          <w:szCs w:val="28"/>
          <w:u w:val="none"/>
          <w:rtl/>
          <w:lang w:val="en-US"/>
        </w:rPr>
        <w:t>إطار هذه الدراسة بعدد من الحدود التي ينبغي أخذها في الاعتبار عند تقييم نتائجها وتعميماها، وذلك على النحو التالي:</w:t>
      </w:r>
    </w:p>
    <w:p>
      <w:pPr>
        <w:pStyle w:val="style0"/>
        <w:rPr>
          <w:rFonts w:ascii="Sakkal Majalla" w:cs="Sakkal Majalla" w:hAnsi="Sakkal Majalla"/>
          <w:sz w:val="28"/>
          <w:szCs w:val="28"/>
          <w:u w:val="none"/>
          <w:rtl/>
        </w:rPr>
      </w:pPr>
    </w:p>
    <w:p>
      <w:pPr>
        <w:pStyle w:val="style0"/>
        <w:spacing w:lineRule="auto" w:line="240"/>
        <w:rPr>
          <w:rFonts w:ascii="Sakkal Majalla" w:cs="Sakkal Majalla" w:hAnsi="Sakkal Majalla"/>
          <w:sz w:val="28"/>
          <w:szCs w:val="28"/>
          <w:u w:val="none"/>
          <w:rtl/>
        </w:rPr>
      </w:pPr>
      <w:r>
        <w:rPr>
          <w:rFonts w:cs="Sakkal Majalla" w:hAnsi="Sakkal Majalla"/>
          <w:sz w:val="28"/>
          <w:szCs w:val="28"/>
          <w:u w:val="none"/>
          <w:lang w:val="en-US"/>
        </w:rPr>
        <w:t>1-الحدود الموضوعية:</w:t>
      </w:r>
    </w:p>
    <w:p>
      <w:pPr>
        <w:pStyle w:val="style0"/>
        <w:spacing w:lineRule="auto" w:line="240"/>
        <w:rPr>
          <w:rFonts w:ascii="Sakkal Majalla" w:cs="Sakkal Majalla" w:hAnsi="Sakkal Majalla"/>
          <w:sz w:val="28"/>
          <w:szCs w:val="28"/>
          <w:u w:val="none"/>
          <w:rtl/>
        </w:rPr>
      </w:pPr>
      <w:r>
        <w:rPr>
          <w:rFonts w:ascii="Sakkal Majalla" w:cs="Sakkal Majalla" w:hAnsi="Sakkal Majalla"/>
          <w:sz w:val="28"/>
          <w:szCs w:val="28"/>
          <w:u w:val="none"/>
          <w:rtl/>
          <w:lang w:val="en-US"/>
        </w:rPr>
        <w:t>ركزت الدراسة بشكل حصري على تحليل المخاطر السياسية المرتبطة بقطاع الطاقة في الاتحاد الأوروبي، مع تركيز خاص على الغاز الطبيعي والنفط. وبالتالي، فإنها لم تتناول بالتحليل المتعمق المخاطر الأخرى ذات الطابع الاقتصادي (مثل تقلبات الأسواق) أو الفني (مثل كفاءة البنى التحتية) إلا في إطار تفاعلها مع العامل السياسي.</w:t>
      </w:r>
    </w:p>
    <w:p>
      <w:pPr>
        <w:pStyle w:val="style0"/>
        <w:spacing w:lineRule="auto" w:line="240"/>
        <w:rPr>
          <w:rFonts w:ascii="Sakkal Majalla" w:cs="Sakkal Majalla" w:hAnsi="Sakkal Majalla"/>
          <w:sz w:val="28"/>
          <w:szCs w:val="28"/>
          <w:u w:val="none"/>
          <w:rtl/>
        </w:rPr>
      </w:pPr>
      <w:r>
        <w:rPr>
          <w:rFonts w:cs="Sakkal Majalla" w:hAnsi="Sakkal Majalla"/>
          <w:sz w:val="28"/>
          <w:szCs w:val="28"/>
          <w:u w:val="none"/>
          <w:lang w:val="en-US"/>
        </w:rPr>
        <w:t>2- الحدود الزمانية:</w:t>
      </w:r>
    </w:p>
    <w:p>
      <w:pPr>
        <w:pStyle w:val="style0"/>
        <w:spacing w:lineRule="auto" w:line="240"/>
        <w:rPr>
          <w:rFonts w:ascii="Sakkal Majalla" w:cs="Sakkal Majalla" w:hAnsi="Sakkal Majalla"/>
          <w:sz w:val="28"/>
          <w:szCs w:val="28"/>
          <w:u w:val="none"/>
          <w:rtl/>
        </w:rPr>
      </w:pPr>
      <w:r>
        <w:rPr>
          <w:rFonts w:ascii="Sakkal Majalla" w:cs="Sakkal Majalla" w:hAnsi="Sakkal Majalla"/>
          <w:sz w:val="28"/>
          <w:szCs w:val="28"/>
          <w:u w:val="none"/>
          <w:rtl/>
          <w:lang w:val="en-US"/>
        </w:rPr>
        <w:t>اقتصرت الدراسة على تحليل الفترة الزمنية الممتدة من عام 2022 (تاريخ الغزو الروسي لأوكرانيا) وحتى عام 2025 (سنة انتهاء الدراسة). هذه الفترة تمثل المرحلة الحرجة للأزمة واستجابتها المباشرة، لكنها قد لا تغطي التطورات الاستراتيجية طويلة الأمد التي قد تظهر لاحقاً.</w:t>
      </w:r>
    </w:p>
    <w:p>
      <w:pPr>
        <w:pStyle w:val="style0"/>
        <w:spacing w:lineRule="auto" w:line="240"/>
        <w:rPr>
          <w:rFonts w:ascii="Sakkal Majalla" w:cs="Sakkal Majalla" w:hAnsi="Sakkal Majalla"/>
          <w:sz w:val="28"/>
          <w:szCs w:val="28"/>
          <w:u w:val="none"/>
          <w:rtl/>
        </w:rPr>
      </w:pPr>
      <w:r>
        <w:rPr>
          <w:rFonts w:cs="Sakkal Majalla" w:hAnsi="Sakkal Majalla"/>
          <w:sz w:val="28"/>
          <w:szCs w:val="28"/>
          <w:u w:val="none"/>
          <w:lang w:val="en-US"/>
        </w:rPr>
        <w:t>3- الحدود المكانية:</w:t>
      </w:r>
    </w:p>
    <w:p>
      <w:pPr>
        <w:pStyle w:val="style0"/>
        <w:spacing w:lineRule="auto" w:line="240"/>
        <w:rPr>
          <w:rFonts w:ascii="Sakkal Majalla" w:cs="Sakkal Majalla" w:hAnsi="Sakkal Majalla"/>
          <w:sz w:val="28"/>
          <w:szCs w:val="28"/>
          <w:u w:val="none"/>
          <w:rtl/>
        </w:rPr>
      </w:pPr>
      <w:r>
        <w:rPr>
          <w:rFonts w:ascii="Sakkal Majalla" w:cs="Sakkal Majalla" w:hAnsi="Sakkal Majalla"/>
          <w:sz w:val="28"/>
          <w:szCs w:val="28"/>
          <w:u w:val="none"/>
          <w:rtl/>
          <w:lang w:val="en-US"/>
        </w:rPr>
        <w:t>حُدد النطاق الجغرافي للدراسة بدول الاتحاد الأوروبي الـ 27، مع إيلاء اهتمام أكبر للدول التي كانت تعتمد اعتماداً كبيراً على الطاقة الروسية (مثل ألمانيا وإيطاليا). وبالتالي، فإن النتائج قد لا تنطبق بالكامل على دول أوروبية غير منضمة للاتحاد أو على كيانات إقليمية أخرى.</w:t>
      </w:r>
    </w:p>
    <w:p>
      <w:pPr>
        <w:pStyle w:val="style0"/>
        <w:spacing w:lineRule="auto" w:line="240"/>
        <w:rPr>
          <w:rFonts w:ascii="Sakkal Majalla" w:cs="Sakkal Majalla" w:hAnsi="Sakkal Majalla"/>
          <w:sz w:val="28"/>
          <w:szCs w:val="28"/>
          <w:u w:val="none"/>
          <w:rtl/>
        </w:rPr>
      </w:pPr>
      <w:r>
        <w:rPr>
          <w:rFonts w:cs="Sakkal Majalla" w:hAnsi="Sakkal Majalla"/>
          <w:sz w:val="28"/>
          <w:szCs w:val="28"/>
          <w:u w:val="none"/>
          <w:lang w:val="en-US"/>
        </w:rPr>
        <w:t>4- الحدود المنهجية:</w:t>
      </w:r>
    </w:p>
    <w:p>
      <w:pPr>
        <w:pStyle w:val="style0"/>
        <w:spacing w:lineRule="auto" w:line="240"/>
        <w:rPr>
          <w:rFonts w:ascii="Sakkal Majalla" w:cs="Sakkal Majalla" w:hAnsi="Sakkal Majalla"/>
          <w:sz w:val="28"/>
          <w:szCs w:val="28"/>
          <w:u w:val="none"/>
          <w:rtl/>
        </w:rPr>
      </w:pPr>
      <w:r>
        <w:rPr>
          <w:rFonts w:ascii="Sakkal Majalla" w:cs="Sakkal Majalla" w:hAnsi="Sakkal Majalla"/>
          <w:sz w:val="28"/>
          <w:szCs w:val="28"/>
          <w:u w:val="none"/>
          <w:rtl/>
          <w:lang w:val="en-US"/>
        </w:rPr>
        <w:t>نظراً لاعتماد الدراسة على التحليل الثانوي للدراسات السابقة والتقارير الرسمية، فإن دقة النتائج ومصداقيتها مشروطة بدقة وموثوقية المصادر التي تم تحليلها. كما أن عملية اختيار الدراسات (أخذ العينات) قد تتضمن درجة من الذاتية، رغم الحرص على تطبيق معايير اختيار موضوعية.</w:t>
      </w:r>
    </w:p>
    <w:p>
      <w:pPr>
        <w:pStyle w:val="style0"/>
        <w:spacing w:lineRule="auto" w:line="240"/>
        <w:rPr>
          <w:rFonts w:ascii="Sakkal Majalla" w:cs="Sakkal Majalla" w:hAnsi="Sakkal Majalla"/>
          <w:sz w:val="28"/>
          <w:szCs w:val="28"/>
          <w:u w:val="none"/>
          <w:rtl/>
          <w:lang w:val="en-US"/>
        </w:rPr>
      </w:pPr>
      <w:r>
        <w:rPr>
          <w:rFonts w:cs="Sakkal Majalla" w:hAnsi="Sakkal Majalla"/>
          <w:sz w:val="28"/>
          <w:szCs w:val="28"/>
          <w:u w:val="none"/>
          <w:lang w:val="en-US"/>
        </w:rPr>
        <w:t>5- حدود البيانات:</w:t>
      </w:r>
    </w:p>
    <w:p>
      <w:pPr>
        <w:pStyle w:val="style0"/>
        <w:spacing w:lineRule="auto" w:line="240"/>
        <w:rPr>
          <w:rFonts w:ascii="Sakkal Majalla" w:cs="Sakkal Majalla" w:hAnsi="Sakkal Majalla"/>
          <w:sz w:val="28"/>
          <w:szCs w:val="28"/>
          <w:u w:val="none"/>
          <w:rtl/>
        </w:rPr>
      </w:pPr>
      <w:r>
        <w:rPr>
          <w:rFonts w:ascii="Sakkal Majalla" w:cs="Sakkal Majalla" w:hAnsi="Sakkal Majalla"/>
          <w:sz w:val="28"/>
          <w:szCs w:val="28"/>
          <w:u w:val="none"/>
          <w:rtl/>
          <w:lang w:val="en-US"/>
        </w:rPr>
        <w:t>اعتمدت الدراسة على البيانات والإحصائيات المتاحة للباحثين علناً من المصادر الرسمية. لذلك، قد لا تشمل بعض البيانات السرية  التي قد تغير من تفاصيل بعض الاستنتاجات، دون أن يؤثر ذلك على الاتجاهات العامة والاستنتاجات</w:t>
      </w:r>
      <w:r>
        <w:rPr>
          <w:rFonts w:cs="Sakkal Majalla" w:hAnsi="Sakkal Majalla"/>
          <w:sz w:val="28"/>
          <w:szCs w:val="28"/>
          <w:u w:val="none"/>
          <w:rtl/>
          <w:lang w:val="en-US"/>
        </w:rPr>
        <w:t xml:space="preserve"> </w:t>
      </w:r>
      <w:r>
        <w:rPr>
          <w:rFonts w:ascii="Sakkal Majalla" w:cs="Sakkal Majalla" w:hAnsi="Sakkal Majalla"/>
          <w:sz w:val="28"/>
          <w:szCs w:val="28"/>
          <w:u w:val="none"/>
          <w:rtl/>
          <w:lang w:val="en-US"/>
        </w:rPr>
        <w:t>الرئيسية للبحث.</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sz w:val="28"/>
          <w:szCs w:val="28"/>
          <w:u w:val="none"/>
          <w:rtl/>
          <w:lang w:val="en-US"/>
        </w:rPr>
        <w:t>توضح هذه الحدود الإطار الذي عملت ضمنه الدراسة، مما يسهم في تقديم تقييم واضح وموضوعي لإنجازاتها ونطاق اكتمالها.</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left"/>
        <w:rPr>
          <w:rFonts w:ascii="Sakkal Majalla" w:cs="Sakkal Majalla" w:hAnsi="Sakkal Majalla"/>
          <w:b/>
          <w:bCs/>
          <w:sz w:val="48"/>
          <w:szCs w:val="48"/>
          <w:u w:val="single"/>
          <w:rtl/>
        </w:rPr>
      </w:pPr>
    </w:p>
    <w:p>
      <w:pPr>
        <w:pStyle w:val="style0"/>
        <w:jc w:val="center"/>
        <w:rPr>
          <w:rFonts w:ascii="Sakkal Majalla" w:cs="Sakkal Majalla" w:hAnsi="Sakkal Majalla"/>
          <w:b/>
          <w:bCs/>
          <w:sz w:val="48"/>
          <w:szCs w:val="48"/>
          <w:u w:val="single"/>
          <w:rtl/>
        </w:rPr>
      </w:pPr>
      <w:r>
        <w:rPr>
          <w:rFonts w:ascii="Sakkal Majalla" w:cs="Sakkal Majalla" w:hAnsi="Sakkal Majalla" w:hint="cs"/>
          <w:b/>
          <w:bCs/>
          <w:sz w:val="48"/>
          <w:szCs w:val="48"/>
          <w:u w:val="single"/>
          <w:rtl/>
        </w:rPr>
        <w:t xml:space="preserve">الفصل </w:t>
      </w:r>
      <w:r>
        <w:rPr>
          <w:rFonts w:ascii="Sakkal Majalla" w:cs="Sakkal Majalla" w:hAnsi="Sakkal Majalla" w:hint="cs"/>
          <w:b/>
          <w:bCs/>
          <w:sz w:val="48"/>
          <w:szCs w:val="48"/>
          <w:u w:val="single"/>
          <w:rtl/>
        </w:rPr>
        <w:t>الرابع</w:t>
      </w:r>
    </w:p>
    <w:p>
      <w:pPr>
        <w:pStyle w:val="style0"/>
        <w:jc w:val="center"/>
        <w:rPr>
          <w:rFonts w:ascii="Sakkal Majalla" w:cs="Sakkal Majalla" w:hAnsi="Sakkal Majalla" w:hint="cs"/>
          <w:b/>
          <w:bCs/>
          <w:sz w:val="48"/>
          <w:szCs w:val="48"/>
          <w:u w:val="single"/>
          <w:rtl/>
          <w:lang w:bidi="ar-EG"/>
        </w:rPr>
      </w:pPr>
      <w:r>
        <w:rPr>
          <w:rFonts w:ascii="Sakkal Majalla" w:cs="Sakkal Majalla" w:hAnsi="Sakkal Majalla" w:hint="cs"/>
          <w:b/>
          <w:bCs/>
          <w:sz w:val="48"/>
          <w:szCs w:val="48"/>
          <w:u w:val="single"/>
          <w:rtl/>
          <w:lang w:bidi="ar-EG"/>
        </w:rPr>
        <w:t>النتائج والتوصيات</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مقدمة</w:t>
      </w:r>
    </w:p>
    <w:p>
      <w:pPr>
        <w:pStyle w:val="style0"/>
        <w:rPr>
          <w:rFonts w:ascii="Sakkal Majalla" w:hAnsi="Sakkal Majalla"/>
          <w:sz w:val="28"/>
          <w:szCs w:val="28"/>
          <w:u w:val="none"/>
          <w:rtl/>
          <w:lang w:val="en-US"/>
        </w:rPr>
      </w:pPr>
      <w:r>
        <w:rPr>
          <w:rFonts w:ascii="Sakkal Majalla" w:hAnsi="Sakkal Majalla"/>
          <w:sz w:val="28"/>
          <w:szCs w:val="28"/>
          <w:u w:val="none"/>
          <w:rtl/>
          <w:lang w:val="en-US"/>
        </w:rPr>
        <w:t xml:space="preserve">يأتي هذا الفصل تتويجًا للرحلة البحثية التي بدأت بتسليط الضوء على إشكالية الاعتماد التاريخي للاتحاد الأوروبي على الطاقة الروسية، ومررت بتحليل نقدي للأطر النظرية والدراسات السابقة. فهو يقدم الجواب العملي عن التساؤل المركزي للدراسة: كيف أدار </w:t>
      </w:r>
      <w:r>
        <w:rPr>
          <w:rFonts w:hAnsi="Sakkal Majalla"/>
          <w:sz w:val="28"/>
          <w:szCs w:val="28"/>
          <w:u w:val="none"/>
          <w:rtl/>
          <w:lang w:val="en-US"/>
        </w:rPr>
        <w:t xml:space="preserve"> </w:t>
      </w:r>
      <w:r>
        <w:rPr>
          <w:rFonts w:ascii="Sakkal Majalla" w:hAnsi="Sakkal Majalla"/>
          <w:sz w:val="28"/>
          <w:szCs w:val="28"/>
          <w:u w:val="none"/>
          <w:rtl/>
          <w:lang w:val="en-US"/>
        </w:rPr>
        <w:t>الاتحاد الأوروبي المخاطر السياسية لطاقته في أعقاب الغزو الروسي لأوكرانيا، وما هي العبر المستفادة؟</w:t>
      </w:r>
    </w:p>
    <w:p>
      <w:pPr>
        <w:pStyle w:val="style0"/>
        <w:rPr>
          <w:rFonts w:ascii="Sakkal Majalla" w:hAnsi="Sakkal Majalla"/>
          <w:sz w:val="28"/>
          <w:szCs w:val="28"/>
          <w:u w:val="none"/>
          <w:rtl/>
          <w:lang w:val="en-US"/>
        </w:rPr>
      </w:pPr>
      <w:r>
        <w:rPr>
          <w:rFonts w:ascii="Sakkal Majalla" w:hAnsi="Sakkal Majalla"/>
          <w:sz w:val="28"/>
          <w:szCs w:val="28"/>
          <w:u w:val="none"/>
          <w:rtl/>
          <w:lang w:val="en-US"/>
        </w:rPr>
        <w:t xml:space="preserve">في هذا الفصل، لن يتم مجرد عرض خلاصات عامة، بل سيتم تفكيك الاستجابات </w:t>
      </w:r>
      <w:r>
        <w:rPr>
          <w:rFonts w:hAnsi="Sakkal Majalla"/>
          <w:sz w:val="28"/>
          <w:szCs w:val="28"/>
          <w:u w:val="none"/>
          <w:rtl/>
          <w:lang w:val="en-US"/>
        </w:rPr>
        <w:t xml:space="preserve">        </w:t>
      </w:r>
      <w:r>
        <w:rPr>
          <w:rFonts w:ascii="Sakkal Majalla" w:hAnsi="Sakkal Majalla"/>
          <w:sz w:val="28"/>
          <w:szCs w:val="28"/>
          <w:u w:val="none"/>
          <w:rtl/>
          <w:lang w:val="en-US"/>
        </w:rPr>
        <w:t>الأوروبية</w:t>
      </w:r>
      <w:r>
        <w:rPr>
          <w:rFonts w:hAnsi="Sakkal Majalla"/>
          <w:sz w:val="28"/>
          <w:szCs w:val="28"/>
          <w:u w:val="none"/>
          <w:rtl/>
          <w:lang w:val="en-US"/>
        </w:rPr>
        <w:t xml:space="preserve"> </w:t>
      </w:r>
      <w:r>
        <w:rPr>
          <w:rFonts w:ascii="Sakkal Majalla" w:hAnsi="Sakkal Majalla"/>
          <w:sz w:val="28"/>
          <w:szCs w:val="28"/>
          <w:u w:val="none"/>
          <w:rtl/>
          <w:lang w:val="en-US"/>
        </w:rPr>
        <w:t xml:space="preserve"> إلى مكوناتها الرئيسية لقياس أثرها الفعلي بناءً على مؤشرات ملموسة كحصة الطاقة المتجددة ونسب انخفاض واردات الغاز الروسي. كما سيكشف التحليل عن التباين الواضح في قدرات الدول الأعضاء على مواجهة الأزمة، وهو ما يُعدّ أحد أبرز الدروس المستفادة.</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انطلاقًا من هذه التحليلات، ستصاغ توصيات عملية تستهدف مباشرةً صناع القرار في بروكسل والعواصم الأوروبية. هذه التوصيات ليست مجرد اقتراحات عامة، بل هي استراتيجيات قابلة للتطبيق لتعزيز المرونة الطاقية، مستندة إلى الدليل والتحليل الموضوعي الذي قدمته فصول هذه الرسالة. وبهذا، يغلق هذا الفصل حلقة البحث، من الإشكالية إلى التحليل وصولا</w:t>
      </w:r>
      <w:r>
        <w:rPr>
          <w:rFonts w:hAnsi="Sakkal Majalla"/>
          <w:sz w:val="28"/>
          <w:szCs w:val="28"/>
          <w:u w:val="none"/>
          <w:rtl/>
          <w:lang w:val="en-US"/>
        </w:rPr>
        <w:t xml:space="preserve"> </w:t>
      </w:r>
      <w:r>
        <w:rPr>
          <w:rFonts w:ascii="Sakkal Majalla" w:hAnsi="Sakkal Majalla"/>
          <w:sz w:val="28"/>
          <w:szCs w:val="28"/>
          <w:u w:val="none"/>
          <w:rtl/>
          <w:lang w:val="en-US"/>
        </w:rPr>
        <w:t>إلى الحلول.</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تحليل البيانات</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تم تحليل البيانات في هذه الدراسة عبر مستويين مترابطين: التحليل النوعي للمضامين والسياسات، والتحليل الكمي الوصفي للمؤشرات المستخلصة من الدراسات السابقة والبيانات الرسمية. ويمكن عرض عملية التحليل على النحو التالي:</w:t>
      </w:r>
    </w:p>
    <w:p>
      <w:pPr>
        <w:pStyle w:val="style0"/>
        <w:rPr>
          <w:rFonts w:ascii="Sakkal Majalla" w:cs="Sakkal Majalla" w:hAnsi="Sakkal Majalla"/>
          <w:sz w:val="28"/>
          <w:szCs w:val="28"/>
          <w:u w:val="none"/>
          <w:rtl/>
        </w:rPr>
      </w:pPr>
      <w:r>
        <w:rPr>
          <w:rFonts w:cs="Sakkal Majalla" w:hAnsi="Sakkal Majalla"/>
          <w:sz w:val="28"/>
          <w:szCs w:val="28"/>
          <w:u w:val="none"/>
          <w:lang w:val="en-US"/>
        </w:rPr>
        <w:t>1-تحليل مضامين الدراسات السابقة) (التحليل النوعي(:</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التصنيف بحسب المحاور: تم تصنيف الدراسات إلى فئات رئيسية بناءً على تركيزها: دراسات ركزت على البعد الجيوسياسي للأزمة، وأخرى اهتمت بتحليل السياسات (مثل REPowerEU)، وثالثة تناولت التباين بين الدول الأعضاء.</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تحليل الإطار النظري: تم تتبع وتصنيف الأطر النظرية التي استندت إليها كل دراسة (نظرية أمن الطاقة، الاعتماد المتبادل، إلخ)، مما سمح برصد الثغرات النظرية والفجوات التي سدتها الدراسة الحالية من خلال إطارها النظري المتكامل.</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استخلاص الثوابت والمتغيرات: من خلال المقارنة، تم تحديد النقاط التي اتفقت عليها معظم الدراسات (مثل نجاح الاتحاد في خفض الاعتماد على الغاز الروسي) مقابل النقاط التي اختلفت حولها (مثل تقييم درجة فاعلية التكامل المؤسسي خلال      الأزمة).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2- تحليل المؤشرات الكمية والبيانات الإحصائية) التحليل الكمي الوصفي(:</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جمع البيانات الرقمية: تم تجميع البيانات الرقمية المتعلقة بأبرز المؤشرات من المصادر الرسمية والدراسات السابقة، وأهمها:</w:t>
      </w:r>
    </w:p>
    <w:p>
      <w:pPr>
        <w:pStyle w:val="style0"/>
        <w:rPr>
          <w:rFonts w:ascii="Sakkal Majalla" w:cs="Sakkal Majalla" w:hAnsi="Sakkal Majalla"/>
          <w:sz w:val="28"/>
          <w:szCs w:val="28"/>
          <w:u w:val="none"/>
          <w:rtl/>
        </w:rPr>
      </w:pPr>
      <w:r>
        <w:rPr>
          <w:rFonts w:cs="Sakkal Majalla" w:hAnsi="Sakkal Majalla"/>
          <w:sz w:val="28"/>
          <w:szCs w:val="28"/>
          <w:u w:val="none"/>
          <w:rtl/>
          <w:lang w:val="en-US"/>
        </w:rPr>
        <w:t xml:space="preserve">  · نسب الاعتماد على الطاقة الروسية: قبل 2022 (حوالي 40% للغاز) وبعد تطبيق السياسات (انخفاض إلى أقل من 15% حسب بعض التقديرات).</w:t>
      </w:r>
    </w:p>
    <w:p>
      <w:pPr>
        <w:pStyle w:val="style0"/>
        <w:rPr>
          <w:rFonts w:ascii="Sakkal Majalla" w:cs="Sakkal Majalla" w:hAnsi="Sakkal Majalla"/>
          <w:sz w:val="28"/>
          <w:szCs w:val="28"/>
          <w:u w:val="none"/>
          <w:rtl/>
        </w:rPr>
      </w:pPr>
      <w:r>
        <w:rPr>
          <w:rFonts w:cs="Sakkal Majalla" w:hAnsi="Sakkal Majalla"/>
          <w:sz w:val="28"/>
          <w:szCs w:val="28"/>
          <w:u w:val="none"/>
          <w:rtl/>
          <w:lang w:val="en-US"/>
        </w:rPr>
        <w:t xml:space="preserve">  · مؤشرات تحول الطاقة: نسبة مساهمة الطاقات المتجددة في مزيج الطاقة الأوروبي قبل وبعد الأزمة.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xml:space="preserve">  · أسعار الطاقة: تتبع التقلبات الحادة في أسعار الغاز في الأسواق الأوروبية (مثل مؤشر TTF) كدليل على حدة الصدمة.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التحليل المقارن للبيانات: تمت مقارنة هذه البيانات عبر المحور الزمني (قبل وبعد 2022) وعبر المحور الجغرافي (بين دول الاتحاد ذات الاعتماد المرتفع والمنخفض على المصادر الروسية)، مما أتاح قياس أثر السياسات المختلفة بشكل ملموس.</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3- الربط والتحليل التكاملي:</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تم الربط بشكل منهجي بين نتائج التحليل النوعي (كاستخلاص دوافع السياسات وطبيعتها) ونتائج التحليل الكمي (كقياس آثارها الرقمية). على سبيل المثال، تم ربط التحليل النوعي لخطة REPowerEU مع البيانات الكمية التي تظهر تسارع وتيرة نشر مشاريع الطاقة المتجددة، مما يؤكد فرضية الدراسة بأن الأزمة acted كمحفز قوي للتحول الطاقي.</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من خلال هذا التحليل المزدوج، تم الانتقال من مجرد وصف الأحداث إلى تفسير</w:t>
      </w:r>
      <w:r>
        <w:rPr>
          <w:rFonts w:hAnsi="Sakkal Majalla"/>
          <w:sz w:val="28"/>
          <w:szCs w:val="28"/>
          <w:u w:val="none"/>
          <w:rtl/>
          <w:lang w:val="en-US"/>
        </w:rPr>
        <w:t xml:space="preserve">      </w:t>
      </w:r>
      <w:r>
        <w:rPr>
          <w:rFonts w:ascii="Sakkal Majalla" w:hAnsi="Sakkal Majalla"/>
          <w:sz w:val="28"/>
          <w:szCs w:val="28"/>
          <w:u w:val="none"/>
          <w:rtl/>
          <w:lang w:val="en-US"/>
        </w:rPr>
        <w:t xml:space="preserve"> العلاقات السببية وتقديم إجابات مدعومة بأدلة كمية ونوعية لتساؤلات البحث.</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النتائج</w:t>
      </w:r>
    </w:p>
    <w:p>
      <w:pPr>
        <w:pStyle w:val="style0"/>
        <w:rPr>
          <w:rFonts w:ascii="Sakkal Majalla" w:cs="Sakkal Majalla" w:hAnsi="Sakkal Majalla"/>
          <w:sz w:val="28"/>
          <w:szCs w:val="28"/>
          <w:u w:val="none"/>
          <w:rtl/>
        </w:rPr>
      </w:pPr>
      <w:r>
        <w:rPr>
          <w:rFonts w:ascii="Sakkal Majalla" w:hAnsi="Sakkal Majalla"/>
          <w:sz w:val="28"/>
          <w:szCs w:val="28"/>
          <w:u w:val="none"/>
          <w:rtl/>
          <w:lang w:val="en-US"/>
        </w:rPr>
        <w:t>من خلال التحليل المقارن للدراسات السابقة والبيانات المتاحة، توصلت الدراسة إلى مجموعة من النتائج الرئيسية التي تجيب على تساؤلات البحث، ويمكن عرضها على النحو التالي: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1- على صعيد تحولات السياسة الطاقية: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نتيجة رئيسية: أدى الغزو الروسي لأوكرانيا إلى تحول جوهري واستثنائي في سياسة الطاقة للاتحاد الأوروبي، حيث انتقل من "إستراتيجية الاعتماد المدار" على روسيا إلى "إستراتيجية السيادة الطاقية" المبنية على التقليل السريع من هذا الاعتماد.</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دليل ملموس: انخفضت حصة الواردات الروسية من الغاز في السوق الأوروبية من نحو 40% قبل الغزو إلى أقل من 15% بنهاية عام 2024، وذلك نتيجة مباشرة للسياسات المتعمدة لتنويع المصادر (مثل الغاز المسال من الولايات المتحدة وقطر).</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2- على صعيد فعالية آليات إدارة الأزمة: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نتيجة رئيسية: أظهرت الآليات الأوروبية المشتركة (مثل خطة REPowerEU وآلية شراء الغاز المشتركة) فعالية ملحوظة في المدى القصير لتأمين الإمدادات وخفض الأسعار، لكنها كشفت عن تفاوت كبير في القدرة على التنفيذ بين الدول الأعضاء.</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دليل ملموس: نجح الاتحاد في تحقيق هدف تخزين الغاز بنسبة 95% قبل شتاء 2023، مما خفف من حدة الأزمة. ومع ذلك، عانت دول مثل ألمانيا وإيطاليا من صعوبات أكبر مقارنة بدول مثل إسبانيا أو فرنسا، بسبب بنيتها التحتية ودرجة اعتمادها السابق على الطاقة الروسية.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3- على صعيد تسريع تحول الطاقة: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نتيجة رئيسية: عملت الأزمة الجيوسياسية كمُحفّز غير مسبوق لتسريع وتيرة التحول نحو الطاقة المتجددة في الاتحاد الأوروبي، حيث تحول هذا التحول من كونه خياراً بيئياً بحتاً إلى إستراتيجية أمنية وقومية.</w:t>
      </w:r>
    </w:p>
    <w:p>
      <w:pPr>
        <w:pStyle w:val="style0"/>
        <w:rPr>
          <w:rFonts w:ascii="Sakkal Majalla" w:cs="Sakkal Majalla" w:hAnsi="Sakkal Majalla"/>
          <w:sz w:val="28"/>
          <w:szCs w:val="28"/>
          <w:u w:val="none"/>
          <w:rtl/>
        </w:rPr>
      </w:pPr>
      <w:r>
        <w:rPr>
          <w:rFonts w:cs="Sakkal Majalla" w:hAnsi="Sakkal Majalla"/>
          <w:sz w:val="28"/>
          <w:szCs w:val="28"/>
          <w:u w:val="none"/>
          <w:rtl/>
          <w:lang w:val="en-US"/>
        </w:rPr>
        <w:t>· دليل ملموس: أظهرت البيانات تسارعاً قوياً في نشر مشاريع الطاقة الشمسية وطاقة الرياح، حيث قفزت حصة المصادر المتجددة في مزيج توليد الكهرباء في الاتحاد الأوروبي لتتجاوز 45% لأول مرة في عام 2024، متجاوزة توقعات ما قبل الأزمة.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cs="Sakkal Majalla" w:hAnsi="Sakkal Majalla"/>
          <w:sz w:val="28"/>
          <w:szCs w:val="28"/>
          <w:u w:val="none"/>
          <w:lang w:val="en-US"/>
        </w:rPr>
        <w:t>4- على صعيد الطبيعة المستقبلية للمخاطر:</w:t>
      </w:r>
    </w:p>
    <w:p>
      <w:pPr>
        <w:pStyle w:val="style0"/>
        <w:rPr>
          <w:rFonts w:ascii="Sakkal Majalla" w:cs="Sakkal Majalla" w:hAnsi="Sakkal Majalla"/>
          <w:sz w:val="28"/>
          <w:szCs w:val="28"/>
          <w:u w:val="none"/>
          <w:rtl/>
        </w:rPr>
      </w:pPr>
      <w:r>
        <w:rPr>
          <w:rFonts w:cs="Sakkal Majalla" w:hAnsi="Sakkal Majalla"/>
          <w:sz w:val="28"/>
          <w:szCs w:val="28"/>
          <w:u w:val="none"/>
          <w:rtl/>
          <w:lang w:val="en-US"/>
        </w:rPr>
        <w:t>· نتيجة رئيسية: بينما خفّضت الاستجابات الأوروبية من حدة المخاطر السياسية المباشرة المرتبطة بروسيا، إلا أنها أوجدت مخاطر جديدة محتملة، أبرزها الاعتماد على موردين جدد (مثل الولايات المتحدة) والضغوط التضخمية والتحديات المرتبطة بتأمين المعادن النادرة اللازمة للطاقات المتجددة.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sz w:val="28"/>
          <w:szCs w:val="28"/>
          <w:u w:val="none"/>
          <w:rtl/>
          <w:lang w:val="en-US"/>
        </w:rPr>
        <w:t>خلاصة النتائج: نجح الاتحاد الأوروبي في إدارة الجانب الطارئ من الأزمة بفعالية، لكن الطريق نحو تحقيق سيادة طاقية كاملة ومستدامة لا يزال طويلا</w:t>
      </w:r>
      <w:r>
        <w:rPr>
          <w:rFonts w:hAnsi="Sakkal Majalla"/>
          <w:sz w:val="28"/>
          <w:szCs w:val="28"/>
          <w:u w:val="none"/>
          <w:rtl/>
          <w:lang w:val="en-US"/>
        </w:rPr>
        <w:t xml:space="preserve"> </w:t>
      </w:r>
      <w:r>
        <w:rPr>
          <w:rFonts w:ascii="Sakkal Majalla" w:hAnsi="Sakkal Majalla"/>
          <w:sz w:val="28"/>
          <w:szCs w:val="28"/>
          <w:u w:val="none"/>
          <w:rtl/>
          <w:lang w:val="en-US"/>
        </w:rPr>
        <w:t>ويتطلب مزيداً من التكامل الاستراتيجي والاستثمار في البنى التحتية والابتكار.</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28"/>
          <w:szCs w:val="28"/>
          <w:u w:val="none"/>
          <w:rtl/>
        </w:rPr>
      </w:pPr>
      <w:r>
        <w:rPr>
          <w:rFonts w:ascii="Sakkal Majalla" w:cs="Sakkal Majalla" w:hAnsi="Sakkal Majalla" w:hint="cs"/>
          <w:b/>
          <w:bCs/>
          <w:sz w:val="28"/>
          <w:szCs w:val="28"/>
          <w:u w:val="none"/>
          <w:rtl/>
        </w:rPr>
        <w:t>التوصيات</w:t>
      </w:r>
    </w:p>
    <w:p>
      <w:pPr>
        <w:pStyle w:val="style0"/>
        <w:rPr>
          <w:rFonts w:ascii="Sakkal Majalla" w:cs="Sakkal Majalla" w:hAnsi="Sakkal Majalla"/>
          <w:b/>
          <w:bCs/>
          <w:sz w:val="28"/>
          <w:szCs w:val="28"/>
          <w:u w:val="none"/>
          <w:rtl/>
        </w:rPr>
      </w:pPr>
      <w:r>
        <w:rPr>
          <w:rFonts w:ascii="Sakkal Majalla" w:hAnsi="Sakkal Majalla"/>
          <w:b/>
          <w:bCs/>
          <w:sz w:val="28"/>
          <w:szCs w:val="28"/>
          <w:u w:val="none"/>
          <w:rtl/>
          <w:lang w:val="en-US"/>
        </w:rPr>
        <w:t>أولا: توصيات موجّهة إلى صانعي السياسات في مؤسسات الاتحاد الأوروبي (المفوضية</w:t>
      </w:r>
      <w:r>
        <w:rPr>
          <w:rFonts w:hAnsi="Sakkal Majalla"/>
          <w:b/>
          <w:bCs/>
          <w:sz w:val="28"/>
          <w:szCs w:val="28"/>
          <w:u w:val="none"/>
          <w:rtl/>
          <w:lang w:val="en-US"/>
        </w:rPr>
        <w:t xml:space="preserve">  </w:t>
      </w:r>
      <w:r>
        <w:rPr>
          <w:rFonts w:ascii="Sakkal Majalla" w:hAnsi="Sakkal Majalla"/>
          <w:b/>
          <w:bCs/>
          <w:sz w:val="28"/>
          <w:szCs w:val="28"/>
          <w:u w:val="none"/>
          <w:rtl/>
          <w:lang w:val="en-US"/>
        </w:rPr>
        <w:t xml:space="preserve"> الأوروبية، مجلس الاتحاد):</w:t>
      </w:r>
    </w:p>
    <w:p>
      <w:pPr>
        <w:pStyle w:val="style0"/>
        <w:rPr>
          <w:rFonts w:ascii="Sakkal Majalla" w:cs="Sakkal Majalla" w:hAnsi="Sakkal Majalla"/>
          <w:sz w:val="28"/>
          <w:szCs w:val="28"/>
          <w:u w:val="none"/>
          <w:rtl/>
        </w:rPr>
      </w:pPr>
      <w:r>
        <w:rPr>
          <w:rFonts w:cs="Sakkal Majalla" w:hAnsi="Sakkal Majalla"/>
          <w:sz w:val="28"/>
          <w:szCs w:val="28"/>
          <w:u w:val="none"/>
          <w:lang w:val="en-US"/>
        </w:rPr>
        <w:t>1- تعزيز التكامل الإقليمي: تطوير وتوسيع نطاق البنى التحتية المشتركة، وخاصة شبكات الربط الكهربائي وخطوط أنابيب الغاز العابرة للحدود بين الدول الأعضاء، لضمان مرونة وسلامة نظام الطاقة بأكمله في أوقات الأزمات.</w:t>
      </w:r>
    </w:p>
    <w:p>
      <w:pPr>
        <w:pStyle w:val="style0"/>
        <w:rPr>
          <w:rFonts w:ascii="Sakkal Majalla" w:cs="Sakkal Majalla" w:hAnsi="Sakkal Majalla"/>
          <w:sz w:val="28"/>
          <w:szCs w:val="28"/>
          <w:u w:val="none"/>
          <w:rtl/>
        </w:rPr>
      </w:pPr>
      <w:r>
        <w:rPr>
          <w:rFonts w:cs="Sakkal Majalla" w:hAnsi="Sakkal Majalla"/>
          <w:sz w:val="28"/>
          <w:szCs w:val="28"/>
          <w:u w:val="none"/>
          <w:lang w:val="en-US"/>
        </w:rPr>
        <w:t>2- إضفاء الطابع الاستراتيجي على مخزون الطوارئ: تحويل سياسات تخزين الغاز من أداة موسمية لإدارة الطلب إلى أداة استراتيجية دائمة لإدارة المخاطر الجيوسياسية، مع إنشاء آلية تمويل مشتركة لدعم الدول الأقل قدرةً على تحمل التكاليف.</w:t>
      </w:r>
    </w:p>
    <w:p>
      <w:pPr>
        <w:pStyle w:val="style0"/>
        <w:rPr>
          <w:rFonts w:ascii="Sakkal Majalla" w:cs="Sakkal Majalla" w:hAnsi="Sakkal Majalla"/>
          <w:sz w:val="28"/>
          <w:szCs w:val="28"/>
          <w:u w:val="single"/>
          <w:rtl/>
        </w:rPr>
      </w:pPr>
      <w:r>
        <w:rPr>
          <w:rFonts w:cs="Sakkal Majalla" w:hAnsi="Sakkal Majalla"/>
          <w:sz w:val="28"/>
          <w:szCs w:val="28"/>
          <w:u w:val="none"/>
          <w:lang w:val="en-US"/>
        </w:rPr>
        <w:t>3- توحيد جهود الشراء: تفعيل آلية شراء الغاز المشتركة بشكل أكثر قوة لتعزيز القوة التفاوضية للاتحاد وتجنب تنافس الدول الأعضاء على نفس الموارد، مما يرفع الأسعار.</w:t>
      </w:r>
    </w:p>
    <w:p>
      <w:pPr>
        <w:pStyle w:val="style0"/>
        <w:rPr>
          <w:rFonts w:ascii="Sakkal Majalla" w:cs="Sakkal Majalla" w:hAnsi="Sakkal Majalla"/>
          <w:color w:val="000000"/>
          <w:sz w:val="28"/>
          <w:szCs w:val="28"/>
          <w:u w:val="none"/>
          <w:rtl/>
        </w:rPr>
      </w:pPr>
      <w:r>
        <w:rPr>
          <w:rFonts w:ascii="Sakkal Majalla" w:hAnsi="Sakkal Majalla"/>
          <w:b/>
          <w:bCs/>
          <w:color w:val="000000"/>
          <w:sz w:val="28"/>
          <w:szCs w:val="28"/>
          <w:u w:val="none"/>
          <w:rtl/>
          <w:lang w:val="en-US"/>
        </w:rPr>
        <w:t>ثانياً: توصيات موجّهة إلى الدول الأعضاء في الاتحاد الأوروبي</w:t>
      </w:r>
      <w:r>
        <w:rPr>
          <w:rFonts w:ascii="Sakkal Majalla" w:hAnsi="Sakkal Majalla"/>
          <w:color w:val="000000"/>
          <w:sz w:val="28"/>
          <w:szCs w:val="28"/>
          <w:u w:val="none"/>
          <w:rtl/>
          <w:lang w:val="en-US"/>
        </w:rPr>
        <w:t>:</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1 -تعزيز التضامن : يجب على الدول التي تمتلك بنى تحتية قوية) موانئ لإستقبال الغاز المسال (أو مصادر طاقة متنوعة أن تلتزم بمبادئ التضامن الأوروبي من  خلال توفير تصدير للطاقة إلى الدول الأكثر تضرراً خلال فترات انقطاع الإمدادات.</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2 -تبني خطط وطنية متكاملة: على كل دولة عضو تسريع وتيرة تنفيذ خططها الوطنية المتوافقة مع أهداف REPowerEU والصفقة الخضراء، مع التركيز على تبسيط إجراءات ترخيص مشاريع الطاقة المتجددة.</w:t>
      </w:r>
    </w:p>
    <w:p>
      <w:pPr>
        <w:pStyle w:val="style0"/>
        <w:rPr>
          <w:rFonts w:ascii="Sakkal Majalla" w:cs="Sakkal Majalla" w:hAnsi="Sakkal Majalla"/>
          <w:sz w:val="28"/>
          <w:szCs w:val="28"/>
          <w:u w:val="single"/>
          <w:rtl/>
        </w:rPr>
      </w:pPr>
      <w:r>
        <w:rPr>
          <w:rFonts w:cs="Sakkal Majalla" w:hAnsi="Sakkal Majalla"/>
          <w:color w:val="000000"/>
          <w:sz w:val="28"/>
          <w:szCs w:val="28"/>
          <w:u w:val="none"/>
          <w:lang w:val="en-US"/>
        </w:rPr>
        <w:t>3- إدارة الطلب على الطاقة: الاستثمار في برامج كفاءة الطاقة على مستوى القطاعات السكنية والصناعية، ليس فقط لتخفيض الفاتورة على المواطن والأعمال، بل أيضاً كإستراتيجية لتعزيز الأمن الطاقي من خلال خفض الطلب الإجمالي</w:t>
      </w:r>
      <w:r>
        <w:rPr>
          <w:rFonts w:cs="Sakkal Majalla" w:hAnsi="Sakkal Majalla"/>
          <w:sz w:val="28"/>
          <w:szCs w:val="28"/>
          <w:u w:val="none"/>
          <w:lang w:val="en-US"/>
        </w:rPr>
        <w:t>.</w:t>
      </w:r>
    </w:p>
    <w:p>
      <w:pPr>
        <w:pStyle w:val="style0"/>
        <w:rPr>
          <w:rFonts w:ascii="Sakkal Majalla" w:cs="Sakkal Majalla" w:hAnsi="Sakkal Majalla"/>
          <w:color w:val="000000"/>
          <w:sz w:val="28"/>
          <w:szCs w:val="28"/>
          <w:u w:val="none"/>
          <w:rtl/>
        </w:rPr>
      </w:pPr>
      <w:r>
        <w:rPr>
          <w:rFonts w:ascii="Sakkal Majalla" w:hAnsi="Sakkal Majalla"/>
          <w:b/>
          <w:bCs/>
          <w:color w:val="000000"/>
          <w:sz w:val="28"/>
          <w:szCs w:val="28"/>
          <w:u w:val="none"/>
          <w:rtl/>
          <w:lang w:val="en-US"/>
        </w:rPr>
        <w:t>ثالثاً: توصيات موجّهة إلى المراكز البحثية والمستقبلية</w:t>
      </w:r>
      <w:r>
        <w:rPr>
          <w:rFonts w:ascii="Sakkal Majalla" w:hAnsi="Sakkal Majalla"/>
          <w:color w:val="000000"/>
          <w:sz w:val="28"/>
          <w:szCs w:val="28"/>
          <w:u w:val="none"/>
          <w:rtl/>
          <w:lang w:val="en-US"/>
        </w:rPr>
        <w:t>:</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1- تطوير مؤشرات إنذار مبكر: العمل على تطوير مؤشرات كمية ونوعية دقيقة للإنذار المبكر من الصدمات الجيوسياسية في مجال الطاقة، لتمكين صانعي القرار من اتخاذ إجراءات استباقية بدلاً من ردود الفعل.</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2- إعداد سيناريوهات استباقية: إجراء دراسات مستقبلية معمقة لاستشراف وتحليل سيناريوهات الاعتماد على موردين جدد، وتقييم المخاطر السياسية والاقتصادية المرتبطة بهم لتفادي تكرار نموذج الاعتماد الأحادي.</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lang w:val="en-US"/>
        </w:rPr>
        <w:t>3- دراسة الأبعاد الاجتماعية للتحول الطاقي: التركيز في الأبحاث المستقبلية على تحليل الآثار الاجتماعية والاقتصادية للتحول السريع في سياسات الطاقة، لضمان أن يكون "التحول العادل" شامل.</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تمثل هذه التوصيات إطاراً عملياً يمكن البناء عليه لتحويل الدروس المستفادة من أزمة 2022 إلى سياسات أكثر مرونة وقدرة على مواجهة التحديات الجيوسياسية المستقبلية.</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hint="cs"/>
          <w:color w:val="000000"/>
          <w:sz w:val="28"/>
          <w:szCs w:val="28"/>
          <w:u w:val="none"/>
          <w:rtl/>
          <w:lang w:val="en-US" w:bidi="ar-DZ"/>
        </w:rPr>
        <w:t>و كنهج استباقي</w:t>
      </w:r>
      <w:r>
        <w:rPr>
          <w:rFonts w:ascii="Sakkal Majalla" w:hAnsi="Sakkal Majalla"/>
          <w:color w:val="000000"/>
          <w:sz w:val="28"/>
          <w:szCs w:val="28"/>
          <w:u w:val="none"/>
          <w:rtl/>
          <w:lang w:val="en-US"/>
        </w:rPr>
        <w:t xml:space="preserve"> يمكن أن يحول أمن الطاقة من مفهوم دفاعي إلى إستراتيجية استباقية تعزز السيادة الطاقية بشكل مستدام</w:t>
      </w:r>
      <w:r>
        <w:rPr>
          <w:rFonts w:ascii="Sakkal Majalla" w:hAnsi="Sakkal Majalla" w:hint="cs"/>
          <w:color w:val="000000"/>
          <w:sz w:val="28"/>
          <w:szCs w:val="28"/>
          <w:u w:val="none"/>
          <w:rtl/>
          <w:lang w:val="en-US" w:bidi="ar-DZ"/>
        </w:rPr>
        <w:t xml:space="preserve"> نقدم هذه التوصيات</w:t>
      </w:r>
      <w:r>
        <w:rPr>
          <w:rFonts w:hAnsi="Sakkal Majalla" w:hint="default"/>
          <w:color w:val="000000"/>
          <w:sz w:val="28"/>
          <w:szCs w:val="28"/>
          <w:u w:val="none"/>
          <w:rtl/>
          <w:lang w:val="en-US" w:bidi="ar-DZ"/>
        </w:rPr>
        <w:t>:</w:t>
      </w: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أولا: توصيات لتعزيز البنية التحتية للمرونة الطاقية: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تطوير أنظمة ربط طاقي ذكية بين دول الاتحاد</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صوامع طارئة متعددة الاستخدامات</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تصميم بنية تحتية قابلة للتكيف مع مصادر الطاقة المتجددة</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ثانياً: توصيات لتحسين آليات الإنذار المبكر:</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مرصد جيوسياسي متخصص بتحليل مخاطر الطاقة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تطوير مؤشرات أداء رئيسية لقياس هشاشة سلاسل الإمداد</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تصميم نظام تصنيف للموردين بناءً على تقييم المخاطر الشامل</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ثالثاً: توصيات لتعزيز القدرات الاستباقية: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صندوق استثماري أوروبي موحد لإدارة مخاطر الطاقة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تطوير برامج محاكاة لأزمات الطاقة بشكل دوري</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تصميم حزم سياسات مرنة قابلة للتطوير حسب مستوى الخطورة</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رابعاً: توصيات لتعظيم الاستفادة من البيانات:</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منصة رقمية موحدة لرصد تدفقات الطاقة</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تطوير نماذج تنبؤية بالطلب باستخدام الذكاء الاصطناعي</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نظام محاكاة للسيناريوهات الجيوسياسية المتطرفة</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خامساً: توصيات لتعزيز الشفافية والتنسيق:</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توحيد معايير الإفصاح عن مخاطر الطاقة عبر دول الاتحاد</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إنشاء آلية تبادل معلومات استباقية بين القطاعين العام والخاص</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تطوير برامج تدريبية متخصصة في إدارة المخاطر الطاقية</w:t>
      </w:r>
    </w:p>
    <w:p>
      <w:pPr>
        <w:pStyle w:val="style0"/>
        <w:rPr>
          <w:rFonts w:ascii="Sakkal Majalla" w:cs="Sakkal Majalla" w:hAnsi="Sakkal Majalla"/>
          <w:color w:val="000000"/>
          <w:sz w:val="28"/>
          <w:szCs w:val="28"/>
          <w:u w:val="none"/>
          <w:rtl/>
        </w:rPr>
      </w:pPr>
    </w:p>
    <w:p>
      <w:pPr>
        <w:pStyle w:val="style0"/>
        <w:rPr>
          <w:rFonts w:ascii="Sakkal Majalla" w:cs="Sakkal Majalla" w:hAnsi="Sakkal Majalla"/>
          <w:color w:val="000000"/>
          <w:sz w:val="28"/>
          <w:szCs w:val="28"/>
          <w:u w:val="none"/>
          <w:rtl/>
        </w:rPr>
      </w:pPr>
      <w:r>
        <w:rPr>
          <w:rFonts w:ascii="Sakkal Majalla" w:hAnsi="Sakkal Majalla"/>
          <w:color w:val="000000"/>
          <w:sz w:val="28"/>
          <w:szCs w:val="28"/>
          <w:u w:val="none"/>
          <w:rtl/>
          <w:lang w:val="en-US"/>
        </w:rPr>
        <w:t>تمثل هذه التوصيات إطاراً متكاملا</w:t>
      </w:r>
      <w:r>
        <w:rPr>
          <w:rFonts w:hAnsi="Sakkal Majalla"/>
          <w:color w:val="000000"/>
          <w:sz w:val="28"/>
          <w:szCs w:val="28"/>
          <w:u w:val="none"/>
          <w:rtl/>
          <w:lang w:val="en-US"/>
        </w:rPr>
        <w:t xml:space="preserve"> </w:t>
      </w:r>
      <w:r>
        <w:rPr>
          <w:rFonts w:ascii="Sakkal Majalla" w:hAnsi="Sakkal Majalla"/>
          <w:color w:val="000000"/>
          <w:sz w:val="28"/>
          <w:szCs w:val="28"/>
          <w:u w:val="none"/>
          <w:rtl/>
          <w:lang w:val="en-US"/>
        </w:rPr>
        <w:t xml:space="preserve"> لإدارة استباقية للمخاطر، حيث تركز على:</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التحول من ثقافة الاستجابة للأزمات إلى ثقافة منع الأزمات</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بناء أنظمة مرنة قادرة على امتصاص الصدمات</w:t>
      </w:r>
    </w:p>
    <w:p>
      <w:pPr>
        <w:pStyle w:val="style0"/>
        <w:rPr>
          <w:rFonts w:ascii="Sakkal Majalla" w:cs="Sakkal Majalla" w:hAnsi="Sakkal Majalla"/>
          <w:color w:val="000000"/>
          <w:sz w:val="28"/>
          <w:szCs w:val="28"/>
          <w:u w:val="none"/>
          <w:rtl/>
        </w:rPr>
      </w:pPr>
      <w:r>
        <w:rPr>
          <w:rFonts w:cs="Sakkal Majalla" w:hAnsi="Sakkal Majalla"/>
          <w:color w:val="000000"/>
          <w:sz w:val="28"/>
          <w:szCs w:val="28"/>
          <w:u w:val="none"/>
          <w:rtl/>
          <w:lang w:val="en-US"/>
        </w:rPr>
        <w:t>· تحقيق التكامل بين الأدوات الوقائية والعلاجية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r>
        <w:rPr>
          <w:rFonts w:ascii="Sakkal Majalla" w:cs="Sakkal Majalla" w:hAnsi="Sakkal Majalla" w:hint="cs"/>
          <w:b/>
          <w:bCs/>
          <w:sz w:val="52"/>
          <w:szCs w:val="52"/>
          <w:u w:val="single"/>
          <w:rtl/>
        </w:rPr>
        <w:t>المراجع</w:t>
      </w: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right"/>
        <w:rPr>
          <w:rFonts w:ascii="Sakkal Majalla" w:cs="Sakkal Majalla" w:hAnsi="Sakkal Majalla"/>
          <w:sz w:val="28"/>
          <w:szCs w:val="28"/>
          <w:u w:val="single"/>
          <w:rtl/>
        </w:rPr>
      </w:pPr>
    </w:p>
    <w:p>
      <w:pPr>
        <w:pStyle w:val="style0"/>
        <w:jc w:val="right"/>
        <w:rPr>
          <w:rFonts w:cs="Sakkal Majalla" w:hAnsi="Sakkal Majalla"/>
          <w:i w:val="false"/>
          <w:iCs w:val="false"/>
          <w:sz w:val="28"/>
          <w:szCs w:val="28"/>
          <w:u w:val="none"/>
          <w:lang w:val="en-US"/>
        </w:rPr>
      </w:pPr>
    </w:p>
    <w:p>
      <w:pPr>
        <w:pStyle w:val="style0"/>
        <w:jc w:val="right"/>
        <w:rPr>
          <w:rFonts w:cs="Sakkal Majalla" w:hAnsi="Sakkal Majalla"/>
          <w:i w:val="false"/>
          <w:iCs w:val="false"/>
          <w:sz w:val="28"/>
          <w:szCs w:val="28"/>
          <w:u w:val="none"/>
          <w:lang w:val="en-US"/>
        </w:rPr>
      </w:pPr>
      <w:r>
        <w:rPr>
          <w:rFonts w:cs="Sakkal Majalla" w:hAnsi="Sakkal Majalla"/>
          <w:i w:val="false"/>
          <w:iCs w:val="false"/>
          <w:sz w:val="28"/>
          <w:szCs w:val="28"/>
          <w:u w:val="none"/>
          <w:lang w:val="en-US"/>
        </w:rPr>
        <w:t>1. Books &amp; Authored Reports</w:t>
      </w:r>
    </w:p>
    <w:p>
      <w:pPr>
        <w:pStyle w:val="style0"/>
        <w:jc w:val="right"/>
        <w:rPr>
          <w:rFonts w:ascii="Sakkal Majalla" w:cs="Sakkal Majalla" w:hAnsi="Sakkal Majalla"/>
          <w:i w:val="false"/>
          <w:iCs w:val="false"/>
          <w:sz w:val="28"/>
          <w:szCs w:val="28"/>
          <w:u w:val="none"/>
          <w:rtl/>
        </w:rPr>
      </w:pPr>
      <w:r>
        <w:rPr>
          <w:rFonts w:cs="Sakkal Majalla" w:hAnsi="Sakkal Majalla"/>
          <w:i w:val="false"/>
          <w:iCs w:val="false"/>
          <w:sz w:val="28"/>
          <w:szCs w:val="28"/>
          <w:u w:val="none"/>
          <w:lang w:val="en-US"/>
        </w:rPr>
        <w:t xml:space="preserve">Müller, F. (2024). </w:t>
      </w:r>
      <w:r>
        <w:rPr>
          <w:rFonts w:cs="Sakkal Majalla" w:hAnsi="Sakkal Majalla"/>
          <w:i/>
          <w:iCs/>
          <w:sz w:val="28"/>
          <w:szCs w:val="28"/>
          <w:u w:val="none"/>
          <w:lang w:val="en-US"/>
        </w:rPr>
        <w:t>Political risk management in EU energy policy: Institutions, crises, and resilience. Routledge</w:t>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t xml:space="preserve">Smith, J., &amp; Johnson, M. (2023). </w:t>
      </w:r>
      <w:r>
        <w:rPr>
          <w:rFonts w:cs="Sakkal Majalla" w:hAnsi="Sakkal Majalla"/>
          <w:i/>
          <w:iCs/>
          <w:sz w:val="28"/>
          <w:szCs w:val="28"/>
          <w:u w:val="none"/>
          <w:lang w:val="en-US"/>
        </w:rPr>
        <w:t>European energy security after the Ukraine invasion: Geopolitics, governance, and transition.</w:t>
      </w:r>
      <w:r>
        <w:rPr>
          <w:rFonts w:cs="Sakkal Majalla" w:hAnsi="Sakkal Majalla"/>
          <w:sz w:val="28"/>
          <w:szCs w:val="28"/>
          <w:u w:val="none"/>
          <w:lang w:val="en-US"/>
        </w:rPr>
        <w:t xml:space="preserve"> </w:t>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t>2. Journal Articles</w:t>
      </w:r>
    </w:p>
    <w:p>
      <w:pPr>
        <w:pStyle w:val="style0"/>
        <w:jc w:val="right"/>
        <w:rPr>
          <w:rFonts w:ascii="Sakkal Majalla" w:cs="Sakkal Majalla" w:hAnsi="Sakkal Majalla"/>
          <w:i/>
          <w:iCs/>
          <w:sz w:val="28"/>
          <w:szCs w:val="28"/>
          <w:u w:val="none"/>
          <w:rtl/>
        </w:rPr>
      </w:pPr>
      <w:r>
        <w:rPr>
          <w:rFonts w:cs="Sakkal Majalla" w:hAnsi="Sakkal Majalla"/>
          <w:sz w:val="28"/>
          <w:szCs w:val="28"/>
          <w:u w:val="none"/>
          <w:lang w:val="en-US"/>
        </w:rPr>
        <w:t xml:space="preserve">Schmidt, G., &amp; Weber, K. (2024). </w:t>
      </w:r>
      <w:r>
        <w:rPr>
          <w:rFonts w:cs="Sakkal Majalla" w:hAnsi="Sakkal Majalla"/>
          <w:i/>
          <w:iCs/>
          <w:sz w:val="28"/>
          <w:szCs w:val="28"/>
          <w:u w:val="none"/>
          <w:lang w:val="en-US"/>
        </w:rPr>
        <w:t>"From dependence to resilience: Assessing the REPowerEU plan's first results". Energy Policy</w:t>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fldChar w:fldCharType="begin"/>
      </w:r>
      <w:r>
        <w:rPr>
          <w:rFonts w:cs="Sakkal Majalla" w:hAnsi="Sakkal Majalla"/>
          <w:sz w:val="28"/>
          <w:szCs w:val="28"/>
          <w:u w:val="none"/>
          <w:lang w:val="en-US"/>
        </w:rPr>
        <w:instrText xml:space="preserve"> HYPERLINK "http://https://caneurope.org/from-dependence-to-resilience/#:~:text=Ukraine's%20experience%20underscores%20a%20vital,€1%20trillion%20by%202030." \o "http://https://caneurope.org/from-dependence-to-resilience/#:~:text=Ukraine's%20experience%20underscores%20a%20vital,€1%20trillion%20by%202030."</w:instrText>
      </w:r>
      <w:r>
        <w:rPr>
          <w:rFonts w:cs="Sakkal Majalla" w:hAnsi="Sakkal Majalla"/>
          <w:sz w:val="28"/>
          <w:szCs w:val="28"/>
          <w:u w:val="none"/>
          <w:lang w:val="en-US"/>
        </w:rPr>
        <w:fldChar w:fldCharType="separate"/>
      </w:r>
      <w:r>
        <w:rPr>
          <w:rStyle w:val="style85"/>
          <w:rFonts w:cs="Sakkal Majalla" w:hAnsi="Sakkal Majalla"/>
          <w:sz w:val="28"/>
          <w:szCs w:val="28"/>
          <w:u w:val="none"/>
          <w:lang w:val="en-US"/>
        </w:rPr>
        <w:t>https://caneurope.org/from-dependence-to-resilience</w:t>
      </w:r>
      <w:r>
        <w:rPr>
          <w:rFonts w:cs="Sakkal Majalla" w:hAnsi="Sakkal Majalla"/>
          <w:sz w:val="28"/>
          <w:szCs w:val="28"/>
          <w:u w:val="none"/>
          <w:lang w:val="en-US"/>
        </w:rPr>
        <w:fldChar w:fldCharType="end"/>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fldChar w:fldCharType="begin"/>
      </w:r>
      <w:r>
        <w:rPr>
          <w:rFonts w:cs="Sakkal Majalla" w:hAnsi="Sakkal Majalla"/>
          <w:sz w:val="28"/>
          <w:szCs w:val="28"/>
          <w:u w:val="none"/>
          <w:lang w:val="en-US"/>
        </w:rPr>
        <w:instrText xml:space="preserve"> HYPERLINK "http://https://en.wikipedia.org/wiki/REPowerEU" \o "http://https://en.wikipedia.org/wiki/REPowerEU"</w:instrText>
      </w:r>
      <w:r>
        <w:rPr>
          <w:rFonts w:cs="Sakkal Majalla" w:hAnsi="Sakkal Majalla"/>
          <w:sz w:val="28"/>
          <w:szCs w:val="28"/>
          <w:u w:val="none"/>
          <w:lang w:val="en-US"/>
        </w:rPr>
        <w:fldChar w:fldCharType="separate"/>
      </w:r>
      <w:r>
        <w:rPr>
          <w:rStyle w:val="style85"/>
          <w:rFonts w:cs="Sakkal Majalla" w:hAnsi="Sakkal Majalla"/>
          <w:sz w:val="28"/>
          <w:szCs w:val="28"/>
          <w:u w:val="none"/>
          <w:lang w:val="en-US"/>
        </w:rPr>
        <w:t>https://en.wikipedia.org/wiki/REPowerEU</w:t>
      </w:r>
      <w:r>
        <w:rPr>
          <w:rFonts w:cs="Sakkal Majalla" w:hAnsi="Sakkal Majalla"/>
          <w:sz w:val="28"/>
          <w:szCs w:val="28"/>
          <w:u w:val="none"/>
          <w:lang w:val="en-US"/>
        </w:rPr>
        <w:fldChar w:fldCharType="end"/>
      </w:r>
    </w:p>
    <w:p>
      <w:pPr>
        <w:pStyle w:val="style0"/>
        <w:jc w:val="right"/>
        <w:rPr>
          <w:rFonts w:ascii="Sakkal Majalla" w:cs="Sakkal Majalla" w:hAnsi="Sakkal Majalla"/>
          <w:sz w:val="28"/>
          <w:szCs w:val="28"/>
          <w:u w:val="single"/>
          <w:rtl/>
        </w:rPr>
      </w:pPr>
      <w:r>
        <w:rPr>
          <w:rFonts w:cs="Sakkal Majalla" w:hAnsi="Sakkal Majalla"/>
          <w:sz w:val="28"/>
          <w:szCs w:val="28"/>
          <w:u w:val="single"/>
          <w:lang w:val="en-US"/>
        </w:rPr>
        <w:fldChar w:fldCharType="begin"/>
      </w:r>
      <w:r>
        <w:rPr>
          <w:rFonts w:cs="Sakkal Majalla" w:hAnsi="Sakkal Majalla"/>
          <w:sz w:val="28"/>
          <w:szCs w:val="28"/>
          <w:u w:val="single"/>
          <w:lang w:val="en-US"/>
        </w:rPr>
        <w:instrText xml:space="preserve"> HYPERLINK "http://https://www.sciencedirect.com/science/article/pii/S0140988324001555#:~:text=As%20the%20Kremlin%20weaponized%20energy,are%20outlined%20in%20Section%205." \o "http://https://www.sciencedirect.com/science/article/pii/S0140988324001555#:~:text=As%20the%20Kremlin%20weaponized%20energy,are%20outlined%20in%20Section%205."</w:instrText>
      </w:r>
      <w:r>
        <w:rPr>
          <w:rFonts w:cs="Sakkal Majalla" w:hAnsi="Sakkal Majalla"/>
          <w:sz w:val="28"/>
          <w:szCs w:val="28"/>
          <w:u w:val="single"/>
          <w:lang w:val="en-US"/>
        </w:rPr>
        <w:fldChar w:fldCharType="separate"/>
      </w:r>
      <w:r>
        <w:rPr>
          <w:rStyle w:val="style85"/>
          <w:rFonts w:cs="Sakkal Majalla" w:hAnsi="Sakkal Majalla"/>
          <w:sz w:val="28"/>
          <w:szCs w:val="28"/>
          <w:u w:val="single"/>
          <w:lang w:val="en-US"/>
        </w:rPr>
        <w:t>https://www.sciencedirect.com</w:t>
      </w:r>
      <w:r>
        <w:rPr>
          <w:rFonts w:cs="Sakkal Majalla" w:hAnsi="Sakkal Majalla"/>
          <w:sz w:val="28"/>
          <w:szCs w:val="28"/>
          <w:u w:val="single"/>
          <w:lang w:val="en-US"/>
        </w:rPr>
        <w:fldChar w:fldCharType="end"/>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t>3. Institutional Reports &amp; Working Papers</w:t>
      </w:r>
    </w:p>
    <w:p>
      <w:pPr>
        <w:pStyle w:val="style0"/>
        <w:jc w:val="right"/>
        <w:rPr>
          <w:rFonts w:ascii="Sakkal Majalla" w:cs="Sakkal Majalla" w:hAnsi="Sakkal Majalla"/>
          <w:sz w:val="28"/>
          <w:szCs w:val="28"/>
          <w:u w:val="none"/>
          <w:rtl/>
        </w:rPr>
      </w:pPr>
      <w:r>
        <w:rPr>
          <w:rFonts w:cs="Sakkal Majalla" w:hAnsi="Sakkal Majalla"/>
          <w:sz w:val="28"/>
          <w:szCs w:val="28"/>
          <w:u w:val="none"/>
          <w:lang w:val="en-US"/>
        </w:rPr>
        <w:fldChar w:fldCharType="begin"/>
      </w:r>
      <w:r>
        <w:rPr>
          <w:rFonts w:cs="Sakkal Majalla" w:hAnsi="Sakkal Majalla"/>
          <w:sz w:val="28"/>
          <w:szCs w:val="28"/>
          <w:u w:val="none"/>
          <w:lang w:val="en-US"/>
        </w:rPr>
        <w:instrText xml:space="preserve"> HYPERLINK "http://www.mdpi.com/1996-1073/16/16/5957" \o "http://www.mdpi.com/1996-1073/16/16/5957"</w:instrText>
      </w:r>
      <w:r>
        <w:rPr>
          <w:rFonts w:cs="Sakkal Majalla" w:hAnsi="Sakkal Majalla"/>
          <w:sz w:val="28"/>
          <w:szCs w:val="28"/>
          <w:u w:val="none"/>
          <w:lang w:val="en-US"/>
        </w:rPr>
        <w:fldChar w:fldCharType="separate"/>
      </w:r>
      <w:r>
        <w:rPr>
          <w:rStyle w:val="style85"/>
          <w:rFonts w:cs="Sakkal Majalla" w:hAnsi="Sakkal Majalla"/>
          <w:sz w:val="28"/>
          <w:szCs w:val="28"/>
          <w:u w:val="none"/>
          <w:lang w:val="en-US"/>
        </w:rPr>
        <w:t>International Renewable Energy Agency (IRENA). (2024). The European energy transition: Accelerating renewables in a time of crisis. IRENA.</w:t>
      </w:r>
      <w:r>
        <w:rPr>
          <w:rFonts w:cs="Sakkal Majalla" w:hAnsi="Sakkal Majalla"/>
          <w:sz w:val="28"/>
          <w:szCs w:val="28"/>
          <w:u w:val="none"/>
          <w:lang w:val="en-US"/>
        </w:rPr>
        <w:fldChar w:fldCharType="end"/>
      </w:r>
    </w:p>
    <w:p>
      <w:pPr>
        <w:pStyle w:val="style0"/>
        <w:jc w:val="left"/>
        <w:rPr>
          <w:rFonts w:ascii="Sakkal Majalla" w:cs="Sakkal Majalla" w:hAnsi="Sakkal Majalla"/>
          <w:sz w:val="28"/>
          <w:szCs w:val="28"/>
          <w:u w:val="none"/>
          <w:rtl/>
        </w:rPr>
      </w:pPr>
    </w:p>
    <w:p>
      <w:pPr>
        <w:pStyle w:val="style0"/>
        <w:jc w:val="right"/>
        <w:rPr>
          <w:rFonts w:ascii="Sakkal Majalla" w:cs="Sakkal Majalla" w:hAnsi="Sakkal Majalla"/>
          <w:sz w:val="28"/>
          <w:szCs w:val="28"/>
          <w:u w:val="none"/>
          <w:rtl/>
        </w:rPr>
      </w:pPr>
    </w:p>
    <w:p>
      <w:pPr>
        <w:pStyle w:val="style0"/>
        <w:jc w:val="right"/>
        <w:rPr>
          <w:rFonts w:ascii="Sakkal Majalla" w:cs="Sakkal Majalla" w:hAnsi="Sakkal Majalla"/>
          <w:sz w:val="28"/>
          <w:szCs w:val="28"/>
          <w:u w:val="none"/>
          <w:rtl/>
        </w:rPr>
      </w:pPr>
    </w:p>
    <w:p>
      <w:pPr>
        <w:pStyle w:val="style0"/>
        <w:jc w:val="right"/>
        <w:rPr>
          <w:rFonts w:ascii="Sakkal Majalla" w:cs="Sakkal Majalla" w:hAnsi="Sakkal Majalla"/>
          <w:sz w:val="28"/>
          <w:szCs w:val="28"/>
          <w:u w:val="non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r>
        <w:rPr>
          <w:rFonts w:ascii="Sakkal Majalla" w:cs="Sakkal Majalla" w:hAnsi="Sakkal Majalla" w:hint="cs"/>
          <w:b/>
          <w:bCs/>
          <w:sz w:val="52"/>
          <w:szCs w:val="52"/>
          <w:u w:val="single"/>
          <w:rtl/>
        </w:rPr>
        <w:t>الملاحق</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r>
        <w:rPr>
          <w:rFonts w:ascii="Sakkal Majalla" w:cs="Sakkal Majalla" w:hAnsi="Sakkal Majalla" w:hint="cs"/>
          <w:sz w:val="28"/>
          <w:szCs w:val="28"/>
          <w:u w:val="single"/>
          <w:rtl/>
        </w:rPr>
        <w:t>-الاستبانة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Pr>
      </w:pPr>
      <w:r>
        <w:rPr>
          <w:rFonts w:ascii="Sakkal Majalla" w:cs="Sakkal Majalla" w:hAnsi="Sakkal Majalla" w:hint="cs"/>
          <w:sz w:val="28"/>
          <w:szCs w:val="28"/>
          <w:u w:val="single"/>
          <w:rtl/>
        </w:rPr>
        <w:t xml:space="preserve">-الملخص </w:t>
      </w:r>
      <w:r>
        <w:rPr>
          <w:rFonts w:ascii="Sakkal Majalla" w:cs="Sakkal Majalla" w:hAnsi="Sakkal Majalla"/>
          <w:sz w:val="28"/>
          <w:szCs w:val="28"/>
          <w:u w:val="single"/>
        </w:rPr>
        <w:t>Abstract</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bidi w:val="false"/>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3714750</wp:posOffset>
            </wp:positionH>
            <wp:positionV relativeFrom="margin">
              <wp:posOffset>-466725</wp:posOffset>
            </wp:positionV>
            <wp:extent cx="2226945" cy="1713864"/>
            <wp:effectExtent l="0" t="0" r="1905" b="635"/>
            <wp:wrapSquare wrapText="bothSides"/>
            <wp:docPr id="1027"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876379141"/>
                    <pic:cNvPicPr/>
                  </pic:nvPicPr>
                  <pic:blipFill>
                    <a:blip r:embed="rId3"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rPr>
          <w:rFonts w:ascii="Sakkal Majalla" w:cs="Sakkal Majalla" w:hAnsi="Sakkal Majalla"/>
          <w:b/>
          <w:bCs/>
          <w:sz w:val="28"/>
          <w:szCs w:val="28"/>
          <w:u w:val="single"/>
        </w:rPr>
      </w:pPr>
      <w:r>
        <w:rPr>
          <w:rFonts w:ascii="Sakkal Majalla" w:cs="Sakkal Majalla" w:hAnsi="Sakkal Majalla"/>
          <w:b/>
          <w:bCs/>
          <w:sz w:val="28"/>
          <w:szCs w:val="28"/>
          <w:u w:val="single"/>
        </w:rPr>
        <w:t>College of Management</w:t>
      </w:r>
    </w:p>
    <w:p>
      <w:pPr>
        <w:pStyle w:val="style0"/>
        <w:bidi w:val="false"/>
        <w:rPr>
          <w:rFonts w:ascii="Sakkal Majalla" w:cs="Sakkal Majalla" w:hAnsi="Sakkal Majalla"/>
          <w:b/>
          <w:bCs/>
          <w:sz w:val="28"/>
          <w:szCs w:val="28"/>
          <w:u w:val="single"/>
          <w:rtl/>
        </w:rPr>
      </w:pPr>
      <w:r>
        <w:rPr>
          <w:rFonts w:ascii="Sakkal Majalla" w:cs="Sakkal Majalla" w:hAnsi="Sakkal Majalla"/>
          <w:b/>
          <w:bCs/>
          <w:sz w:val="28"/>
          <w:szCs w:val="28"/>
          <w:u w:val="single"/>
        </w:rPr>
        <w:t>Department of………….</w:t>
      </w:r>
    </w:p>
    <w:p>
      <w:pPr>
        <w:pStyle w:val="style0"/>
        <w:tabs>
          <w:tab w:val="left" w:leader="none" w:pos="942"/>
        </w:tabs>
        <w:rPr>
          <w:rFonts w:ascii="Sakkal Majalla" w:cs="Sakkal Majalla" w:hAnsi="Sakkal Majalla"/>
          <w:b/>
          <w:bCs/>
          <w:sz w:val="28"/>
          <w:szCs w:val="28"/>
          <w:rtl/>
        </w:rPr>
      </w:pPr>
      <w:r>
        <w:rPr>
          <w:rFonts w:ascii="Sakkal Majalla" w:cs="Sakkal Majalla" w:hAnsi="Sakkal Majalla"/>
          <w:b/>
          <w:bCs/>
          <w:sz w:val="28"/>
          <w:szCs w:val="28"/>
          <w:rtl/>
        </w:rPr>
        <w:tab/>
      </w:r>
    </w:p>
    <w:p>
      <w:pPr>
        <w:pStyle w:val="style0"/>
        <w:rPr>
          <w:rFonts w:ascii="Sakkal Majalla" w:cs="Sakkal Majalla" w:hAnsi="Sakkal Majalla"/>
          <w:sz w:val="28"/>
          <w:szCs w:val="28"/>
          <w:rtl/>
        </w:rPr>
      </w:pPr>
    </w:p>
    <w:p>
      <w:pPr>
        <w:pStyle w:val="style0"/>
        <w:tabs>
          <w:tab w:val="left" w:leader="none" w:pos="5292"/>
        </w:tabs>
        <w:jc w:val="center"/>
        <w:rPr>
          <w:rFonts w:ascii="Sakkal Majalla" w:cs="Sakkal Majalla" w:hAnsi="Sakkal Majalla"/>
          <w:b/>
          <w:bCs/>
          <w:sz w:val="28"/>
          <w:szCs w:val="28"/>
        </w:rPr>
      </w:pPr>
      <w:r>
        <w:rPr>
          <w:rFonts w:ascii="Sakkal Majalla" w:cs="Sakkal Majalla" w:hAnsi="Sakkal Majalla"/>
          <w:b/>
          <w:bCs/>
          <w:sz w:val="28"/>
          <w:szCs w:val="28"/>
        </w:rPr>
        <w:t>Title in English</w:t>
      </w:r>
    </w:p>
    <w:p>
      <w:pPr>
        <w:pStyle w:val="style0"/>
        <w:rPr>
          <w:rFonts w:ascii="Sakkal Majalla" w:cs="Sakkal Majalla" w:hAnsi="Sakkal Majalla"/>
          <w:sz w:val="28"/>
          <w:szCs w:val="28"/>
        </w:rPr>
      </w:pPr>
    </w:p>
    <w:p>
      <w:pPr>
        <w:pStyle w:val="style0"/>
        <w:tabs>
          <w:tab w:val="left" w:leader="none" w:pos="5562"/>
        </w:tabs>
        <w:rPr>
          <w:rFonts w:ascii="Sakkal Majalla" w:cs="Sakkal Majalla" w:hAnsi="Sakkal Majalla"/>
          <w:sz w:val="28"/>
          <w:szCs w:val="28"/>
          <w:rtl/>
        </w:rPr>
      </w:pPr>
      <w:r>
        <w:rPr>
          <w:rFonts w:ascii="Sakkal Majalla" w:cs="Sakkal Majalla" w:hAnsi="Sakkal Majalla"/>
          <w:sz w:val="28"/>
          <w:szCs w:val="28"/>
          <w:rtl/>
        </w:rPr>
        <w:tab/>
      </w:r>
    </w:p>
    <w:p>
      <w:pPr>
        <w:pStyle w:val="style0"/>
        <w:tabs>
          <w:tab w:val="left" w:leader="none" w:pos="5562"/>
        </w:tabs>
        <w:rPr>
          <w:rFonts w:ascii="Sakkal Majalla" w:cs="Sakkal Majalla" w:hAnsi="Sakkal Majalla"/>
          <w:sz w:val="28"/>
          <w:szCs w:val="28"/>
          <w:rtl/>
        </w:rPr>
      </w:pPr>
    </w:p>
    <w:p>
      <w:pPr>
        <w:pStyle w:val="style0"/>
        <w:tabs>
          <w:tab w:val="left" w:leader="none" w:pos="5562"/>
        </w:tabs>
        <w:rPr>
          <w:rFonts w:ascii="Sakkal Majalla" w:cs="Sakkal Majalla" w:hAnsi="Sakkal Majalla"/>
          <w:sz w:val="28"/>
          <w:szCs w:val="28"/>
          <w:rtl/>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Prepared by:</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Year:202</w:t>
      </w:r>
      <w:r>
        <w:rPr>
          <w:rFonts w:ascii="Sakkal Majalla" w:cs="Sakkal Majalla" w:hAnsi="Sakkal Majalla"/>
          <w:b/>
          <w:bCs/>
          <w:sz w:val="28"/>
          <w:szCs w:val="28"/>
        </w:rPr>
        <w:t>4</w:t>
      </w:r>
    </w:p>
    <w:sectPr>
      <w:headerReference w:type="default" r:id="rId4"/>
      <w:footerReference w:type="default" r:id="rId5"/>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fmt="decimal"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altName w:val="Calibri Light"/>
    <w:panose1 w:val="020f0302020000030204"/>
    <w:charset w:val="00"/>
    <w:family w:val="swiss"/>
    <w:pitch w:val="variable"/>
    <w:sig w:usb0="E4002EFF" w:usb1="C000247B" w:usb2="00000009" w:usb3="00000000" w:csb0="000001FF" w:csb1="00000000"/>
  </w:font>
  <w:font w:name="宋体">
    <w:altName w:val="Wingdings 2"/>
    <w:panose1 w:val="05020102010000070707"/>
    <w:charset w:val="02"/>
    <w:family w:val="roman"/>
    <w:pitch w:val="default"/>
    <w:sig w:usb0="00000000" w:usb1="10000000" w:usb2="00000000" w:usb3="00000000" w:csb0="80000000"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bidi/>
      <w:jc w:val="left"/>
      <w:rPr/>
    </w:pPr>
    <w:r>
      <w:rPr/>
      <w:fldChar w:fldCharType="begin"/>
    </w:r>
    <w:r>
      <w:instrText>PAGE</w:instrText>
    </w:r>
    <w:r>
      <w:rPr/>
      <w:fldChar w:fldCharType="separate"/>
    </w:r>
    <w:r>
      <w:t>1</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2">
    <w:nsid w:val="00000002"/>
    <w:multiLevelType w:val="hybridMultilevel"/>
    <w:tmpl w:val="00000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3">
    <w:nsid w:val="00000003"/>
    <w:multiLevelType w:val="hybridMultilevel"/>
    <w:tmpl w:val="406B143F"/>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4">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
    <w:nsid w:val="00000007"/>
    <w:multiLevelType w:val="hybridMultilevel"/>
    <w:tmpl w:val="66956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8">
    <w:nsid w:val="00000008"/>
    <w:multiLevelType w:val="hybridMultilevel"/>
    <w:tmpl w:val="E8640E75"/>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9"/>
  </w:num>
  <w:num w:numId="11">
    <w:abstractNumId w:val="10"/>
  </w:num>
  <w:num w:numId="12">
    <w:abstractNumId w:val="11"/>
  </w:num>
  <w:num w:numId="13">
    <w:abstractNumId w:val="1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00597963-4ead-4cec-9234-8d09e963de45"/>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42647c8d-e099-4752-a38f-75309f85763a"/>
    <w:basedOn w:val="style65"/>
    <w:next w:val="style4098"/>
    <w:link w:val="style32"/>
    <w:uiPriority w:val="99"/>
  </w:style>
  <w:style w:type="paragraph" w:styleId="style179">
    <w:name w:val="List Paragraph"/>
    <w:basedOn w:val="style0"/>
    <w:next w:val="style179"/>
    <w:qFormat/>
    <w:pPr>
      <w:spacing w:before="0" w:after="0"/>
      <w:ind w:left="720" w:right="0"/>
    </w:pPr>
    <w:rPr>
      <w:rFonts w:ascii="Times New Roman" w:cs="Times New Roman" w:eastAsia="宋体" w:hAnsi="Times New Roman"/>
      <w:sz w:val="21"/>
    </w:rPr>
  </w:style>
  <w:style w:type="character" w:styleId="style85">
    <w:name w:val="Hyperlink"/>
    <w:basedOn w:val="style65"/>
    <w:next w:val="style85"/>
    <w:rPr>
      <w:color w:val="0000ff"/>
      <w:u w:val="single"/>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9" Type="http://schemas.openxmlformats.org/officeDocument/2006/relationships/theme" Target="theme/theme1.xml"/><Relationship Id="rId5" Type="http://schemas.openxmlformats.org/officeDocument/2006/relationships/footer" Target="footer2.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Words>4978</Words>
  <Pages>34</Pages>
  <Characters>28001</Characters>
  <Application>WPS Office</Application>
  <DocSecurity>0</DocSecurity>
  <Paragraphs>916</Paragraphs>
  <ScaleCrop>false</ScaleCrop>
  <LinksUpToDate>false</LinksUpToDate>
  <CharactersWithSpaces>32921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2024-01-27T08:57:00Z</dcterms:created>
  <dc:creator>marwamostafa2013</dc:creator>
  <lastModifiedBy>WEB-W09</lastModifiedBy>
  <dcterms:modified xsi:type="dcterms:W3CDTF">2025-11-19T16:49:25Z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1de37cfa83d143e1bf96948ba95f539e</vt:lpwstr>
  </property>
</Properties>
</file>