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7F68C" w14:textId="77777777" w:rsidR="00E76458" w:rsidRPr="00277513" w:rsidRDefault="00E76458" w:rsidP="00E76458">
      <w:pPr>
        <w:jc w:val="center"/>
        <w:rPr>
          <w:rFonts w:ascii="Times New Roman" w:hAnsi="Times New Roman" w:cs="Traditional Arabic"/>
          <w:b/>
          <w:bCs/>
          <w:sz w:val="28"/>
          <w:szCs w:val="28"/>
          <w:rtl/>
          <w:lang w:bidi="ar-EG"/>
        </w:rPr>
      </w:pPr>
      <w:bookmarkStart w:id="0" w:name="_Hlk213769620"/>
    </w:p>
    <w:p w14:paraId="06199CE1" w14:textId="77777777" w:rsidR="00E76458" w:rsidRPr="00277513" w:rsidRDefault="00E76458" w:rsidP="00E76458">
      <w:pPr>
        <w:jc w:val="center"/>
        <w:rPr>
          <w:rFonts w:ascii="Times New Roman" w:hAnsi="Times New Roman" w:cs="Traditional Arabic"/>
          <w:b/>
          <w:bCs/>
          <w:sz w:val="28"/>
          <w:szCs w:val="28"/>
          <w:rtl/>
          <w:lang w:bidi="ar-EG"/>
        </w:rPr>
      </w:pPr>
    </w:p>
    <w:p w14:paraId="313A4A98" w14:textId="1104F437" w:rsidR="00E76458" w:rsidRPr="009106A1" w:rsidRDefault="00761E9B" w:rsidP="00E76458">
      <w:pPr>
        <w:jc w:val="center"/>
        <w:rPr>
          <w:rFonts w:ascii="Simplified Arabic" w:eastAsia="Calibri" w:hAnsi="Simplified Arabic" w:cs="Simplified Arabic"/>
          <w:kern w:val="0"/>
          <w:sz w:val="36"/>
          <w:szCs w:val="36"/>
          <w:rtl/>
          <w14:ligatures w14:val="none"/>
        </w:rPr>
      </w:pPr>
      <w:r w:rsidRPr="009106A1">
        <w:rPr>
          <w:rFonts w:ascii="Simplified Arabic" w:hAnsi="Simplified Arabic" w:cs="Simplified Arabic"/>
          <w:noProof/>
          <w:sz w:val="28"/>
          <w:szCs w:val="28"/>
        </w:rPr>
        <w:drawing>
          <wp:anchor distT="0" distB="0" distL="114300" distR="114300" simplePos="0" relativeHeight="251659264" behindDoc="0" locked="0" layoutInCell="1" allowOverlap="1" wp14:anchorId="451B027F" wp14:editId="5280A292">
            <wp:simplePos x="0" y="0"/>
            <wp:positionH relativeFrom="margin">
              <wp:posOffset>-457200</wp:posOffset>
            </wp:positionH>
            <wp:positionV relativeFrom="margin">
              <wp:posOffset>-123825</wp:posOffset>
            </wp:positionV>
            <wp:extent cx="1571625" cy="689610"/>
            <wp:effectExtent l="0" t="0" r="9525" b="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71625" cy="689610"/>
                    </a:xfrm>
                    <a:prstGeom prst="rect">
                      <a:avLst/>
                    </a:prstGeom>
                  </pic:spPr>
                </pic:pic>
              </a:graphicData>
            </a:graphic>
            <wp14:sizeRelH relativeFrom="margin">
              <wp14:pctWidth>0</wp14:pctWidth>
            </wp14:sizeRelH>
            <wp14:sizeRelV relativeFrom="margin">
              <wp14:pctHeight>0</wp14:pctHeight>
            </wp14:sizeRelV>
          </wp:anchor>
        </w:drawing>
      </w:r>
      <w:r w:rsidRPr="009106A1">
        <w:rPr>
          <w:rFonts w:ascii="Simplified Arabic" w:hAnsi="Simplified Arabic" w:cs="Simplified Arabic"/>
          <w:sz w:val="28"/>
          <w:szCs w:val="28"/>
          <w:rtl/>
          <w:lang w:bidi="ar-EG"/>
        </w:rPr>
        <w:t xml:space="preserve"> </w:t>
      </w:r>
      <w:r w:rsidR="00E76458" w:rsidRPr="009106A1">
        <w:rPr>
          <w:rFonts w:ascii="Simplified Arabic" w:eastAsia="Calibri" w:hAnsi="Simplified Arabic" w:cs="Simplified Arabic"/>
          <w:kern w:val="0"/>
          <w:sz w:val="36"/>
          <w:szCs w:val="36"/>
          <w:rtl/>
          <w14:ligatures w14:val="none"/>
        </w:rPr>
        <w:t xml:space="preserve">نموذج </w:t>
      </w:r>
    </w:p>
    <w:p w14:paraId="244C6996" w14:textId="77777777" w:rsidR="00E76458" w:rsidRPr="009106A1" w:rsidRDefault="00E76458" w:rsidP="00E76458">
      <w:pPr>
        <w:spacing w:line="259" w:lineRule="auto"/>
        <w:jc w:val="center"/>
        <w:rPr>
          <w:rFonts w:ascii="Simplified Arabic" w:eastAsia="Calibri" w:hAnsi="Simplified Arabic" w:cs="Simplified Arabic"/>
          <w:kern w:val="0"/>
          <w:sz w:val="36"/>
          <w:szCs w:val="36"/>
          <w:rtl/>
          <w14:ligatures w14:val="none"/>
        </w:rPr>
      </w:pPr>
      <w:r w:rsidRPr="009106A1">
        <w:rPr>
          <w:rFonts w:ascii="Simplified Arabic" w:eastAsia="Calibri" w:hAnsi="Simplified Arabic" w:cs="Simplified Arabic"/>
          <w:kern w:val="0"/>
          <w:sz w:val="36"/>
          <w:szCs w:val="36"/>
          <w:rtl/>
          <w14:ligatures w14:val="none"/>
        </w:rPr>
        <w:t>مشروع خطة أطروحة للتسجيل لدرجة الدكتوراه</w:t>
      </w:r>
    </w:p>
    <w:p w14:paraId="227B5418" w14:textId="77777777" w:rsidR="00E76458" w:rsidRPr="009106A1" w:rsidRDefault="00E76458" w:rsidP="00E76458">
      <w:pPr>
        <w:spacing w:after="0" w:line="240" w:lineRule="auto"/>
        <w:ind w:right="-270"/>
        <w:jc w:val="both"/>
        <w:rPr>
          <w:rFonts w:ascii="Simplified Arabic" w:eastAsia="Times New Roman" w:hAnsi="Simplified Arabic" w:cs="Simplified Arabic"/>
          <w:kern w:val="0"/>
          <w:sz w:val="32"/>
          <w:szCs w:val="32"/>
          <w:rtl/>
          <w:lang w:bidi="ar-JO"/>
          <w14:ligatures w14:val="none"/>
        </w:rPr>
      </w:pPr>
    </w:p>
    <w:p w14:paraId="7055E3D3" w14:textId="77777777" w:rsidR="00E76458" w:rsidRPr="009106A1" w:rsidRDefault="00E76458" w:rsidP="00E76458">
      <w:pPr>
        <w:bidi w:val="0"/>
        <w:spacing w:line="360" w:lineRule="auto"/>
        <w:jc w:val="right"/>
        <w:rPr>
          <w:rFonts w:ascii="Simplified Arabic" w:eastAsia="Calibri" w:hAnsi="Simplified Arabic" w:cs="Simplified Arabic"/>
          <w:noProof/>
          <w:kern w:val="0"/>
          <w:sz w:val="28"/>
          <w:szCs w:val="28"/>
          <w:rtl/>
          <w14:ligatures w14:val="none"/>
        </w:rPr>
      </w:pPr>
      <w:r w:rsidRPr="009106A1">
        <w:rPr>
          <w:rFonts w:ascii="Simplified Arabic" w:eastAsia="Calibri" w:hAnsi="Simplified Arabic" w:cs="Simplified Arabic"/>
          <w:noProof/>
          <w:kern w:val="0"/>
          <w:sz w:val="28"/>
          <w:szCs w:val="28"/>
          <w:rtl/>
          <w14:ligatures w14:val="none"/>
        </w:rPr>
        <w:t xml:space="preserve">العنوان باللغة العربية: </w:t>
      </w:r>
    </w:p>
    <w:p w14:paraId="2A11FDF4" w14:textId="77777777" w:rsidR="00E76458" w:rsidRPr="009106A1" w:rsidRDefault="00E76458" w:rsidP="00415B4B">
      <w:pPr>
        <w:spacing w:after="200" w:line="276" w:lineRule="auto"/>
        <w:jc w:val="center"/>
        <w:rPr>
          <w:rFonts w:ascii="Simplified Arabic" w:eastAsia="Times New Roman" w:hAnsi="Simplified Arabic" w:cs="Simplified Arabic"/>
          <w:kern w:val="0"/>
          <w:sz w:val="28"/>
          <w:szCs w:val="32"/>
          <w:rtl/>
          <w14:ligatures w14:val="none"/>
        </w:rPr>
      </w:pPr>
      <w:r w:rsidRPr="009106A1">
        <w:rPr>
          <w:rFonts w:ascii="Simplified Arabic" w:eastAsia="Times New Roman" w:hAnsi="Simplified Arabic" w:cs="Simplified Arabic"/>
          <w:kern w:val="0"/>
          <w:sz w:val="28"/>
          <w:szCs w:val="32"/>
          <w:rtl/>
          <w:lang w:bidi="ar-EG"/>
          <w14:ligatures w14:val="none"/>
        </w:rPr>
        <w:t>أثر تطبيق ممارسات الاستدامة على كفاءة إدارة الحشود: الدور الوسيط للتكنولوجيا الذكية دراسة ميدانية على موسم الحج والعمرة في مكة المكرمة والمدينة المنورة</w:t>
      </w:r>
    </w:p>
    <w:p w14:paraId="0F484D7D" w14:textId="77777777" w:rsidR="00E76458" w:rsidRPr="009106A1" w:rsidRDefault="00E76458" w:rsidP="00E76458">
      <w:pPr>
        <w:bidi w:val="0"/>
        <w:spacing w:line="360" w:lineRule="auto"/>
        <w:ind w:left="534" w:hanging="340"/>
        <w:jc w:val="right"/>
        <w:rPr>
          <w:rFonts w:ascii="Simplified Arabic" w:eastAsia="Calibri" w:hAnsi="Simplified Arabic" w:cs="Simplified Arabic"/>
          <w:noProof/>
          <w:kern w:val="0"/>
          <w:sz w:val="20"/>
          <w:szCs w:val="20"/>
          <w:rtl/>
          <w14:ligatures w14:val="none"/>
        </w:rPr>
      </w:pPr>
    </w:p>
    <w:p w14:paraId="63D171B3" w14:textId="77777777" w:rsidR="00E76458" w:rsidRPr="009106A1" w:rsidRDefault="00E76458" w:rsidP="00E76458">
      <w:pPr>
        <w:bidi w:val="0"/>
        <w:spacing w:line="360" w:lineRule="auto"/>
        <w:ind w:left="534" w:hanging="340"/>
        <w:jc w:val="right"/>
        <w:rPr>
          <w:rFonts w:ascii="Simplified Arabic" w:eastAsia="Calibri" w:hAnsi="Simplified Arabic" w:cs="Simplified Arabic"/>
          <w:noProof/>
          <w:kern w:val="0"/>
          <w:rtl/>
          <w14:ligatures w14:val="none"/>
        </w:rPr>
      </w:pPr>
      <w:r w:rsidRPr="009106A1">
        <w:rPr>
          <w:rFonts w:ascii="Simplified Arabic" w:eastAsia="Calibri" w:hAnsi="Simplified Arabic" w:cs="Simplified Arabic"/>
          <w:noProof/>
          <w:kern w:val="0"/>
          <w:sz w:val="20"/>
          <w:szCs w:val="28"/>
          <w:rtl/>
          <w14:ligatures w14:val="none"/>
        </w:rPr>
        <w:t xml:space="preserve">  ب. العنوان </w:t>
      </w:r>
      <w:r w:rsidRPr="009106A1">
        <w:rPr>
          <w:rFonts w:ascii="Simplified Arabic" w:eastAsia="Calibri" w:hAnsi="Simplified Arabic" w:cs="Simplified Arabic"/>
          <w:noProof/>
          <w:kern w:val="0"/>
          <w:sz w:val="28"/>
          <w:szCs w:val="28"/>
          <w:rtl/>
          <w14:ligatures w14:val="none"/>
        </w:rPr>
        <w:t>باللغة الإنجليزية:</w:t>
      </w:r>
      <w:r w:rsidRPr="009106A1">
        <w:rPr>
          <w:rFonts w:ascii="Simplified Arabic" w:eastAsia="Calibri" w:hAnsi="Simplified Arabic" w:cs="Simplified Arabic"/>
          <w:noProof/>
          <w:kern w:val="0"/>
          <w:sz w:val="20"/>
          <w:szCs w:val="20"/>
          <w:rtl/>
          <w14:ligatures w14:val="none"/>
        </w:rPr>
        <w:t xml:space="preserve"> </w:t>
      </w:r>
    </w:p>
    <w:p w14:paraId="7503D031" w14:textId="77777777" w:rsidR="00E76458" w:rsidRPr="009106A1" w:rsidRDefault="00E76458" w:rsidP="00E76458">
      <w:pPr>
        <w:spacing w:after="0" w:line="240" w:lineRule="auto"/>
        <w:ind w:right="-270"/>
        <w:jc w:val="center"/>
        <w:rPr>
          <w:rFonts w:ascii="Simplified Arabic" w:eastAsia="Times New Roman" w:hAnsi="Simplified Arabic" w:cs="Simplified Arabic"/>
          <w:kern w:val="0"/>
          <w:sz w:val="32"/>
          <w:szCs w:val="36"/>
          <w:rtl/>
          <w14:ligatures w14:val="none"/>
        </w:rPr>
      </w:pPr>
      <w:r w:rsidRPr="009106A1">
        <w:rPr>
          <w:rFonts w:ascii="Simplified Arabic" w:eastAsia="Times New Roman" w:hAnsi="Simplified Arabic" w:cs="Simplified Arabic"/>
          <w:kern w:val="0"/>
          <w:sz w:val="32"/>
          <w:szCs w:val="36"/>
          <w14:ligatures w14:val="none"/>
        </w:rPr>
        <w:t>The Impact of Applying Sustainability Practices on Crowd Management Efficiency: The Mediating Role of Smart Technology:</w:t>
      </w:r>
    </w:p>
    <w:p w14:paraId="2E56E4C8" w14:textId="77777777" w:rsidR="00E76458" w:rsidRPr="009106A1" w:rsidRDefault="00E76458" w:rsidP="00E76458">
      <w:pPr>
        <w:spacing w:after="0" w:line="240" w:lineRule="auto"/>
        <w:ind w:right="-270"/>
        <w:jc w:val="center"/>
        <w:rPr>
          <w:rFonts w:ascii="Simplified Arabic" w:eastAsia="Times New Roman" w:hAnsi="Simplified Arabic" w:cs="Simplified Arabic"/>
          <w:kern w:val="0"/>
          <w:sz w:val="44"/>
          <w:szCs w:val="44"/>
          <w:rtl/>
          <w14:ligatures w14:val="none"/>
        </w:rPr>
      </w:pPr>
      <w:r w:rsidRPr="009106A1">
        <w:rPr>
          <w:rFonts w:ascii="Simplified Arabic" w:eastAsia="Times New Roman" w:hAnsi="Simplified Arabic" w:cs="Simplified Arabic"/>
          <w:kern w:val="0"/>
          <w:sz w:val="32"/>
          <w:szCs w:val="36"/>
          <w14:ligatures w14:val="none"/>
        </w:rPr>
        <w:t>A Field Study of the Hajj and Umrah Seasons in Makkah and Madinah</w:t>
      </w:r>
    </w:p>
    <w:p w14:paraId="5693A598" w14:textId="77777777" w:rsidR="00E76458" w:rsidRPr="00277513" w:rsidRDefault="00E76458" w:rsidP="00E76458">
      <w:pPr>
        <w:spacing w:after="0" w:line="240" w:lineRule="auto"/>
        <w:ind w:right="-270"/>
        <w:jc w:val="center"/>
        <w:rPr>
          <w:rFonts w:ascii="Sakkal Majalla" w:eastAsia="Times New Roman" w:hAnsi="Sakkal Majalla" w:cs="Sakkal Majalla"/>
          <w:b/>
          <w:bCs/>
          <w:kern w:val="0"/>
          <w:sz w:val="36"/>
          <w:szCs w:val="36"/>
          <w:rtl/>
          <w14:ligatures w14:val="none"/>
        </w:rPr>
      </w:pPr>
    </w:p>
    <w:p w14:paraId="7944A95B" w14:textId="77777777" w:rsidR="00E76458" w:rsidRPr="00277513" w:rsidRDefault="00E76458" w:rsidP="00E76458">
      <w:pPr>
        <w:spacing w:after="0" w:line="240" w:lineRule="auto"/>
        <w:ind w:right="-270"/>
        <w:jc w:val="center"/>
        <w:rPr>
          <w:rFonts w:ascii="Sakkal Majalla" w:eastAsia="Times New Roman" w:hAnsi="Sakkal Majalla" w:cs="Sakkal Majalla"/>
          <w:b/>
          <w:bCs/>
          <w:kern w:val="0"/>
          <w:sz w:val="36"/>
          <w:szCs w:val="36"/>
          <w:rtl/>
          <w14:ligatures w14:val="none"/>
        </w:rPr>
      </w:pPr>
    </w:p>
    <w:p w14:paraId="5A2212E6" w14:textId="77777777" w:rsidR="00E76458" w:rsidRPr="00277513" w:rsidRDefault="00E76458" w:rsidP="00E76458">
      <w:pPr>
        <w:spacing w:after="0" w:line="240" w:lineRule="auto"/>
        <w:ind w:right="-270"/>
        <w:jc w:val="center"/>
        <w:rPr>
          <w:rFonts w:ascii="Sakkal Majalla" w:eastAsia="Times New Roman" w:hAnsi="Sakkal Majalla" w:cs="Sakkal Majalla"/>
          <w:b/>
          <w:bCs/>
          <w:kern w:val="0"/>
          <w:sz w:val="36"/>
          <w:szCs w:val="36"/>
          <w:rtl/>
          <w14:ligatures w14:val="none"/>
        </w:rPr>
      </w:pPr>
    </w:p>
    <w:tbl>
      <w:tblPr>
        <w:tblStyle w:val="TableGrid1"/>
        <w:bidiVisual/>
        <w:tblW w:w="0" w:type="auto"/>
        <w:jc w:val="center"/>
        <w:tblLook w:val="04A0" w:firstRow="1" w:lastRow="0" w:firstColumn="1" w:lastColumn="0" w:noHBand="0" w:noVBand="1"/>
      </w:tblPr>
      <w:tblGrid>
        <w:gridCol w:w="2213"/>
        <w:gridCol w:w="5328"/>
      </w:tblGrid>
      <w:tr w:rsidR="00277513" w:rsidRPr="00277513" w14:paraId="651FA397" w14:textId="77777777" w:rsidTr="002A73AA">
        <w:trPr>
          <w:jc w:val="center"/>
        </w:trPr>
        <w:tc>
          <w:tcPr>
            <w:tcW w:w="2213" w:type="dxa"/>
          </w:tcPr>
          <w:p w14:paraId="683BF1B8"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اسم الباحث</w:t>
            </w:r>
          </w:p>
        </w:tc>
        <w:tc>
          <w:tcPr>
            <w:tcW w:w="5328" w:type="dxa"/>
          </w:tcPr>
          <w:p w14:paraId="5EB51CD3"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حامد سليمان البحاري</w:t>
            </w:r>
          </w:p>
        </w:tc>
      </w:tr>
      <w:tr w:rsidR="00277513" w:rsidRPr="00277513" w14:paraId="5C941FA0" w14:textId="77777777" w:rsidTr="002A73AA">
        <w:trPr>
          <w:jc w:val="center"/>
        </w:trPr>
        <w:tc>
          <w:tcPr>
            <w:tcW w:w="2213" w:type="dxa"/>
          </w:tcPr>
          <w:p w14:paraId="09D3C900"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الرقم الأكاديمي</w:t>
            </w:r>
          </w:p>
        </w:tc>
        <w:tc>
          <w:tcPr>
            <w:tcW w:w="5328" w:type="dxa"/>
          </w:tcPr>
          <w:p w14:paraId="1CD2C31E" w14:textId="77777777" w:rsidR="00E76458" w:rsidRPr="00277513" w:rsidRDefault="00E76458" w:rsidP="00E76458">
            <w:pPr>
              <w:suppressAutoHyphens/>
              <w:autoSpaceDN w:val="0"/>
              <w:spacing w:line="244" w:lineRule="auto"/>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Pr>
              <w:t>2021200251</w:t>
            </w:r>
          </w:p>
        </w:tc>
      </w:tr>
      <w:tr w:rsidR="00E76458" w:rsidRPr="00277513" w14:paraId="5A0D76B2" w14:textId="77777777" w:rsidTr="002A73AA">
        <w:trPr>
          <w:jc w:val="center"/>
        </w:trPr>
        <w:tc>
          <w:tcPr>
            <w:tcW w:w="2213" w:type="dxa"/>
          </w:tcPr>
          <w:p w14:paraId="398E3323"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الكلية</w:t>
            </w:r>
          </w:p>
        </w:tc>
        <w:tc>
          <w:tcPr>
            <w:tcW w:w="5328" w:type="dxa"/>
          </w:tcPr>
          <w:p w14:paraId="1F4CA2C7" w14:textId="77777777" w:rsidR="00E76458" w:rsidRPr="00277513" w:rsidRDefault="00E76458" w:rsidP="00E76458">
            <w:pPr>
              <w:ind w:right="-270"/>
              <w:jc w:val="center"/>
              <w:rPr>
                <w:rFonts w:ascii="Sakkal Majalla" w:eastAsia="Times New Roman" w:hAnsi="Sakkal Majalla" w:cs="Sakkal Majalla"/>
                <w:b/>
                <w:bCs/>
                <w:sz w:val="28"/>
                <w:szCs w:val="28"/>
                <w:rtl/>
              </w:rPr>
            </w:pPr>
            <w:r w:rsidRPr="00277513">
              <w:rPr>
                <w:rFonts w:ascii="Sakkal Majalla" w:eastAsia="Times New Roman" w:hAnsi="Sakkal Majalla" w:cs="Sakkal Majalla"/>
                <w:b/>
                <w:bCs/>
                <w:sz w:val="28"/>
                <w:szCs w:val="28"/>
                <w:rtl/>
              </w:rPr>
              <w:t>كلية الادراة</w:t>
            </w:r>
          </w:p>
        </w:tc>
      </w:tr>
    </w:tbl>
    <w:p w14:paraId="518F72AA" w14:textId="77777777" w:rsidR="00E76458" w:rsidRPr="00277513" w:rsidRDefault="00E76458" w:rsidP="00E76458">
      <w:pPr>
        <w:spacing w:after="0" w:line="240" w:lineRule="auto"/>
        <w:ind w:right="-270"/>
        <w:jc w:val="both"/>
        <w:rPr>
          <w:rFonts w:ascii="Sakkal Majalla" w:eastAsia="Times New Roman" w:hAnsi="Sakkal Majalla" w:cs="Sakkal Majalla"/>
          <w:b/>
          <w:bCs/>
          <w:kern w:val="0"/>
          <w:sz w:val="36"/>
          <w:szCs w:val="36"/>
          <w:rtl/>
          <w14:ligatures w14:val="none"/>
        </w:rPr>
      </w:pPr>
    </w:p>
    <w:p w14:paraId="072EC219" w14:textId="4A3359E1" w:rsidR="00E76458" w:rsidRPr="00277513" w:rsidRDefault="00E76458" w:rsidP="00E76458">
      <w:pPr>
        <w:bidi w:val="0"/>
        <w:spacing w:line="259" w:lineRule="auto"/>
        <w:jc w:val="center"/>
        <w:rPr>
          <w:rFonts w:ascii="Sakkal Majalla" w:eastAsia="Calibri" w:hAnsi="Sakkal Majalla" w:cs="Sakkal Majalla"/>
          <w:b/>
          <w:bCs/>
          <w:kern w:val="0"/>
          <w:sz w:val="28"/>
          <w:szCs w:val="28"/>
          <w14:ligatures w14:val="none"/>
        </w:rPr>
      </w:pPr>
      <w:r w:rsidRPr="00277513">
        <w:rPr>
          <w:rFonts w:ascii="Sakkal Majalla" w:eastAsia="Calibri" w:hAnsi="Sakkal Majalla" w:cs="Sakkal Majalla"/>
          <w:b/>
          <w:bCs/>
          <w:kern w:val="0"/>
          <w:sz w:val="28"/>
          <w:szCs w:val="28"/>
          <w:rtl/>
          <w14:ligatures w14:val="none"/>
        </w:rPr>
        <w:t>144</w:t>
      </w:r>
      <w:r w:rsidR="00552609">
        <w:rPr>
          <w:rFonts w:ascii="Sakkal Majalla" w:eastAsia="Calibri" w:hAnsi="Sakkal Majalla" w:cs="Sakkal Majalla" w:hint="cs"/>
          <w:b/>
          <w:bCs/>
          <w:kern w:val="0"/>
          <w:sz w:val="28"/>
          <w:szCs w:val="28"/>
          <w:rtl/>
          <w14:ligatures w14:val="none"/>
        </w:rPr>
        <w:t>8</w:t>
      </w:r>
      <w:r w:rsidRPr="00277513">
        <w:rPr>
          <w:rFonts w:ascii="Sakkal Majalla" w:eastAsia="Calibri" w:hAnsi="Sakkal Majalla" w:cs="Sakkal Majalla"/>
          <w:b/>
          <w:bCs/>
          <w:kern w:val="0"/>
          <w:sz w:val="28"/>
          <w:szCs w:val="28"/>
          <w:rtl/>
          <w14:ligatures w14:val="none"/>
        </w:rPr>
        <w:t>ه -202</w:t>
      </w:r>
      <w:r w:rsidR="00552609">
        <w:rPr>
          <w:rFonts w:ascii="Sakkal Majalla" w:eastAsia="Calibri" w:hAnsi="Sakkal Majalla" w:cs="Sakkal Majalla" w:hint="cs"/>
          <w:b/>
          <w:bCs/>
          <w:kern w:val="0"/>
          <w:sz w:val="28"/>
          <w:szCs w:val="28"/>
          <w:rtl/>
          <w14:ligatures w14:val="none"/>
        </w:rPr>
        <w:t>6</w:t>
      </w:r>
      <w:r w:rsidRPr="00277513">
        <w:rPr>
          <w:rFonts w:ascii="Sakkal Majalla" w:eastAsia="Calibri" w:hAnsi="Sakkal Majalla" w:cs="Sakkal Majalla"/>
          <w:b/>
          <w:bCs/>
          <w:kern w:val="0"/>
          <w:sz w:val="28"/>
          <w:szCs w:val="28"/>
          <w:rtl/>
          <w14:ligatures w14:val="none"/>
        </w:rPr>
        <w:t>م</w:t>
      </w:r>
      <w:r w:rsidRPr="00277513">
        <w:rPr>
          <w:rFonts w:ascii="Sakkal Majalla" w:eastAsia="Calibri" w:hAnsi="Sakkal Majalla" w:cs="Sakkal Majalla"/>
          <w:b/>
          <w:bCs/>
          <w:kern w:val="0"/>
          <w:sz w:val="28"/>
          <w:szCs w:val="28"/>
          <w:rtl/>
          <w14:ligatures w14:val="none"/>
        </w:rPr>
        <w:br/>
      </w:r>
    </w:p>
    <w:p w14:paraId="2A6FC845" w14:textId="27D8E07F" w:rsidR="00761E9B" w:rsidRPr="00277513" w:rsidRDefault="00761E9B" w:rsidP="00761E9B">
      <w:pPr>
        <w:spacing w:before="100" w:beforeAutospacing="1" w:after="100" w:afterAutospacing="1" w:line="360" w:lineRule="auto"/>
        <w:ind w:left="-2"/>
        <w:jc w:val="both"/>
        <w:rPr>
          <w:rFonts w:ascii="Times New Roman" w:hAnsi="Times New Roman" w:cs="Traditional Arabic"/>
          <w:b/>
          <w:bCs/>
          <w:sz w:val="40"/>
          <w:szCs w:val="40"/>
          <w:rtl/>
          <w:lang w:bidi="ar-EG"/>
        </w:rPr>
      </w:pPr>
    </w:p>
    <w:p w14:paraId="0C3175A2" w14:textId="42E30538" w:rsidR="00E76458" w:rsidRPr="00277513" w:rsidRDefault="00E76458" w:rsidP="00E76458">
      <w:pPr>
        <w:spacing w:after="200" w:line="276" w:lineRule="auto"/>
        <w:rPr>
          <w:rFonts w:ascii="Times New Roman" w:hAnsi="Times New Roman" w:cs="Traditional Arabic"/>
          <w:b/>
          <w:bCs/>
          <w:sz w:val="2"/>
          <w:szCs w:val="2"/>
          <w:rtl/>
        </w:rPr>
      </w:pPr>
    </w:p>
    <w:p w14:paraId="720C39F6" w14:textId="77777777" w:rsidR="00E76458" w:rsidRPr="00277513" w:rsidRDefault="00E76458" w:rsidP="00E76458">
      <w:pPr>
        <w:spacing w:after="200" w:line="276" w:lineRule="auto"/>
        <w:rPr>
          <w:rFonts w:ascii="Times New Roman" w:hAnsi="Times New Roman" w:cs="Traditional Arabic"/>
          <w:b/>
          <w:bCs/>
          <w:sz w:val="2"/>
          <w:szCs w:val="2"/>
          <w:rtl/>
        </w:rPr>
      </w:pPr>
    </w:p>
    <w:p w14:paraId="78B67FA5" w14:textId="77777777" w:rsidR="00E76458" w:rsidRPr="00277513" w:rsidRDefault="00E76458" w:rsidP="00E76458">
      <w:pPr>
        <w:spacing w:after="200" w:line="276" w:lineRule="auto"/>
        <w:rPr>
          <w:rFonts w:ascii="Times New Roman" w:hAnsi="Times New Roman" w:cs="Traditional Arabic"/>
          <w:b/>
          <w:bCs/>
          <w:sz w:val="2"/>
          <w:szCs w:val="2"/>
          <w:rtl/>
        </w:rPr>
      </w:pPr>
    </w:p>
    <w:p w14:paraId="56DCB5D6" w14:textId="77777777" w:rsidR="00E76458" w:rsidRPr="00277513" w:rsidRDefault="00E76458" w:rsidP="00E76458">
      <w:pPr>
        <w:spacing w:after="200" w:line="276" w:lineRule="auto"/>
        <w:rPr>
          <w:rFonts w:ascii="Times New Roman" w:hAnsi="Times New Roman" w:cs="Traditional Arabic"/>
          <w:b/>
          <w:bCs/>
          <w:sz w:val="2"/>
          <w:szCs w:val="2"/>
          <w:rtl/>
        </w:rPr>
      </w:pPr>
    </w:p>
    <w:p w14:paraId="595512DB" w14:textId="77777777" w:rsidR="00E76458" w:rsidRPr="00277513" w:rsidRDefault="00E76458" w:rsidP="00E76458">
      <w:pPr>
        <w:spacing w:after="200" w:line="276" w:lineRule="auto"/>
        <w:rPr>
          <w:rFonts w:ascii="Times New Roman" w:hAnsi="Times New Roman" w:cs="Traditional Arabic"/>
          <w:b/>
          <w:bCs/>
          <w:sz w:val="2"/>
          <w:szCs w:val="2"/>
          <w:rtl/>
        </w:rPr>
      </w:pPr>
    </w:p>
    <w:p w14:paraId="22249BFD" w14:textId="77777777" w:rsidR="00E76458" w:rsidRPr="00277513" w:rsidRDefault="00E76458" w:rsidP="00E76458">
      <w:pPr>
        <w:spacing w:after="200" w:line="276" w:lineRule="auto"/>
        <w:rPr>
          <w:rFonts w:ascii="Times New Roman" w:hAnsi="Times New Roman" w:cs="Traditional Arabic"/>
          <w:b/>
          <w:bCs/>
          <w:sz w:val="2"/>
          <w:szCs w:val="2"/>
          <w:rtl/>
        </w:rPr>
      </w:pPr>
    </w:p>
    <w:p w14:paraId="7B24562F" w14:textId="77777777" w:rsidR="00E76458" w:rsidRPr="00277513" w:rsidRDefault="00E76458" w:rsidP="00E76458">
      <w:pPr>
        <w:spacing w:after="200" w:line="276" w:lineRule="auto"/>
        <w:rPr>
          <w:rFonts w:ascii="Times New Roman" w:hAnsi="Times New Roman" w:cs="Traditional Arabic"/>
          <w:b/>
          <w:bCs/>
          <w:sz w:val="2"/>
          <w:szCs w:val="2"/>
          <w:rtl/>
        </w:rPr>
      </w:pPr>
    </w:p>
    <w:p w14:paraId="16FE8671" w14:textId="77777777" w:rsidR="00E76458" w:rsidRPr="00277513" w:rsidRDefault="00E76458" w:rsidP="00E76458">
      <w:pPr>
        <w:spacing w:after="200" w:line="276" w:lineRule="auto"/>
        <w:rPr>
          <w:rFonts w:ascii="Times New Roman" w:hAnsi="Times New Roman" w:cs="Traditional Arabic"/>
          <w:b/>
          <w:bCs/>
          <w:sz w:val="2"/>
          <w:szCs w:val="2"/>
          <w:rtl/>
        </w:rPr>
      </w:pPr>
    </w:p>
    <w:p w14:paraId="4C03B939" w14:textId="77777777" w:rsidR="00E76458" w:rsidRPr="00277513" w:rsidRDefault="00E76458" w:rsidP="00E76458">
      <w:pPr>
        <w:spacing w:after="200" w:line="276" w:lineRule="auto"/>
        <w:rPr>
          <w:rFonts w:ascii="Times New Roman" w:hAnsi="Times New Roman" w:cs="Traditional Arabic"/>
          <w:b/>
          <w:bCs/>
          <w:sz w:val="2"/>
          <w:szCs w:val="2"/>
          <w:rtl/>
        </w:rPr>
      </w:pPr>
    </w:p>
    <w:p w14:paraId="14C1BBB7" w14:textId="77777777" w:rsidR="00E76458" w:rsidRPr="00277513" w:rsidRDefault="00E76458" w:rsidP="00E76458">
      <w:pPr>
        <w:spacing w:after="200" w:line="276" w:lineRule="auto"/>
        <w:rPr>
          <w:rFonts w:ascii="Times New Roman" w:hAnsi="Times New Roman" w:cs="Traditional Arabic"/>
          <w:b/>
          <w:bCs/>
          <w:sz w:val="2"/>
          <w:szCs w:val="2"/>
          <w:rtl/>
        </w:rPr>
      </w:pPr>
    </w:p>
    <w:p w14:paraId="466CB475" w14:textId="77777777" w:rsidR="00E76458" w:rsidRPr="00277513" w:rsidRDefault="00E76458" w:rsidP="00E76458">
      <w:pPr>
        <w:spacing w:after="200" w:line="276" w:lineRule="auto"/>
        <w:rPr>
          <w:rFonts w:ascii="Times New Roman" w:hAnsi="Times New Roman" w:cs="Traditional Arabic"/>
          <w:b/>
          <w:bCs/>
          <w:sz w:val="2"/>
          <w:szCs w:val="2"/>
          <w:rtl/>
        </w:rPr>
      </w:pPr>
    </w:p>
    <w:p w14:paraId="52CFAE67" w14:textId="77777777" w:rsidR="00E76458" w:rsidRPr="00277513" w:rsidRDefault="00E76458" w:rsidP="00E76458">
      <w:pPr>
        <w:spacing w:after="200" w:line="276" w:lineRule="auto"/>
        <w:rPr>
          <w:rFonts w:ascii="Times New Roman" w:hAnsi="Times New Roman" w:cs="Traditional Arabic"/>
          <w:b/>
          <w:bCs/>
          <w:sz w:val="2"/>
          <w:szCs w:val="2"/>
          <w:rtl/>
        </w:rPr>
      </w:pPr>
    </w:p>
    <w:p w14:paraId="53E95F6E" w14:textId="77777777" w:rsidR="00E76458" w:rsidRPr="00277513" w:rsidRDefault="00E76458" w:rsidP="00E76458">
      <w:pPr>
        <w:spacing w:after="200" w:line="276" w:lineRule="auto"/>
        <w:rPr>
          <w:rFonts w:ascii="Times New Roman" w:hAnsi="Times New Roman" w:cs="Traditional Arabic"/>
          <w:b/>
          <w:bCs/>
          <w:sz w:val="2"/>
          <w:szCs w:val="2"/>
          <w:rtl/>
        </w:rPr>
      </w:pPr>
    </w:p>
    <w:p w14:paraId="5E0C5F6D" w14:textId="77777777" w:rsidR="00E76458" w:rsidRPr="00277513" w:rsidRDefault="00E76458" w:rsidP="00E76458">
      <w:pPr>
        <w:spacing w:after="200" w:line="276" w:lineRule="auto"/>
        <w:rPr>
          <w:rFonts w:ascii="Times New Roman" w:hAnsi="Times New Roman" w:cs="Traditional Arabic"/>
          <w:b/>
          <w:bCs/>
          <w:sz w:val="2"/>
          <w:szCs w:val="2"/>
          <w:rtl/>
        </w:rPr>
      </w:pPr>
    </w:p>
    <w:p w14:paraId="28C133DD" w14:textId="77777777" w:rsidR="00E76458" w:rsidRPr="00277513" w:rsidRDefault="00E76458" w:rsidP="00E76458">
      <w:pPr>
        <w:spacing w:after="200" w:line="276" w:lineRule="auto"/>
        <w:rPr>
          <w:rFonts w:ascii="Times New Roman" w:hAnsi="Times New Roman" w:cs="Traditional Arabic"/>
          <w:b/>
          <w:bCs/>
          <w:sz w:val="2"/>
          <w:szCs w:val="2"/>
          <w:rtl/>
        </w:rPr>
      </w:pPr>
    </w:p>
    <w:p w14:paraId="7B3AB3D2" w14:textId="77777777" w:rsidR="00E76458" w:rsidRPr="00277513" w:rsidRDefault="00E76458" w:rsidP="00E76458">
      <w:pPr>
        <w:spacing w:after="200" w:line="276" w:lineRule="auto"/>
        <w:rPr>
          <w:rFonts w:ascii="Times New Roman" w:hAnsi="Times New Roman" w:cs="Traditional Arabic"/>
          <w:b/>
          <w:bCs/>
          <w:sz w:val="2"/>
          <w:szCs w:val="2"/>
          <w:rtl/>
        </w:rPr>
      </w:pPr>
    </w:p>
    <w:p w14:paraId="398868C2" w14:textId="77777777" w:rsidR="00E76458" w:rsidRPr="00277513" w:rsidRDefault="00E76458" w:rsidP="00E76458">
      <w:pPr>
        <w:spacing w:after="200" w:line="276" w:lineRule="auto"/>
        <w:rPr>
          <w:rFonts w:ascii="Times New Roman" w:hAnsi="Times New Roman" w:cs="Traditional Arabic"/>
          <w:b/>
          <w:bCs/>
          <w:sz w:val="2"/>
          <w:szCs w:val="2"/>
          <w:rtl/>
        </w:rPr>
      </w:pPr>
    </w:p>
    <w:p w14:paraId="2A6B828A" w14:textId="77777777" w:rsidR="00E76458" w:rsidRPr="00277513" w:rsidRDefault="00E76458" w:rsidP="00E76458">
      <w:pPr>
        <w:spacing w:after="200" w:line="276" w:lineRule="auto"/>
        <w:rPr>
          <w:rFonts w:ascii="Times New Roman" w:hAnsi="Times New Roman" w:cs="Traditional Arabic"/>
          <w:b/>
          <w:bCs/>
          <w:sz w:val="2"/>
          <w:szCs w:val="2"/>
          <w:rtl/>
        </w:rPr>
      </w:pPr>
    </w:p>
    <w:p w14:paraId="1AD32A62" w14:textId="77777777" w:rsidR="00E76458" w:rsidRPr="00277513" w:rsidRDefault="00E76458" w:rsidP="00E76458">
      <w:pPr>
        <w:spacing w:after="200" w:line="276" w:lineRule="auto"/>
        <w:rPr>
          <w:rFonts w:ascii="Times New Roman" w:hAnsi="Times New Roman" w:cs="Traditional Arabic"/>
          <w:b/>
          <w:bCs/>
          <w:sz w:val="2"/>
          <w:szCs w:val="2"/>
          <w:rtl/>
        </w:rPr>
      </w:pPr>
    </w:p>
    <w:p w14:paraId="52712BB1" w14:textId="77777777" w:rsidR="00E76458" w:rsidRPr="00277513" w:rsidRDefault="00E76458" w:rsidP="00E76458">
      <w:pPr>
        <w:spacing w:after="200" w:line="276" w:lineRule="auto"/>
        <w:rPr>
          <w:rFonts w:ascii="Times New Roman" w:hAnsi="Times New Roman" w:cs="Traditional Arabic"/>
          <w:b/>
          <w:bCs/>
          <w:sz w:val="2"/>
          <w:szCs w:val="2"/>
          <w:rtl/>
        </w:rPr>
      </w:pPr>
    </w:p>
    <w:p w14:paraId="302AF7DE" w14:textId="77777777" w:rsidR="00E76458" w:rsidRPr="00277513" w:rsidRDefault="00E76458" w:rsidP="00E76458">
      <w:pPr>
        <w:spacing w:after="200" w:line="276" w:lineRule="auto"/>
        <w:rPr>
          <w:rFonts w:ascii="Times New Roman" w:hAnsi="Times New Roman" w:cs="Traditional Arabic"/>
          <w:b/>
          <w:bCs/>
          <w:sz w:val="2"/>
          <w:szCs w:val="2"/>
          <w:rtl/>
        </w:rPr>
      </w:pPr>
    </w:p>
    <w:p w14:paraId="25856C6E" w14:textId="77777777" w:rsidR="00E76458" w:rsidRPr="00277513" w:rsidRDefault="00E76458" w:rsidP="00E76458">
      <w:pPr>
        <w:spacing w:after="200" w:line="276" w:lineRule="auto"/>
        <w:rPr>
          <w:rFonts w:ascii="Times New Roman" w:hAnsi="Times New Roman" w:cs="Traditional Arabic"/>
          <w:b/>
          <w:bCs/>
          <w:sz w:val="2"/>
          <w:szCs w:val="2"/>
          <w:rtl/>
        </w:rPr>
      </w:pPr>
    </w:p>
    <w:p w14:paraId="7A1856F1" w14:textId="77777777" w:rsidR="00E76458" w:rsidRPr="00277513" w:rsidRDefault="00E76458" w:rsidP="00E76458">
      <w:pPr>
        <w:jc w:val="center"/>
        <w:rPr>
          <w:rFonts w:ascii="Sakkal Majalla" w:eastAsia="Calibri" w:hAnsi="Sakkal Majalla" w:cs="Sakkal Majalla"/>
          <w:sz w:val="96"/>
          <w:szCs w:val="96"/>
          <w:rtl/>
          <w:lang w:bidi="ar-EG"/>
        </w:rPr>
      </w:pPr>
      <w:r w:rsidRPr="00277513">
        <w:rPr>
          <w:rFonts w:ascii="Sakkal Majalla" w:eastAsia="Calibri" w:hAnsi="Sakkal Majalla" w:cs="Sakkal Majalla"/>
          <w:noProof/>
          <w:kern w:val="0"/>
          <w:sz w:val="96"/>
          <w:szCs w:val="96"/>
          <w:rtl/>
          <w:lang w:bidi="ar-EG"/>
          <w14:ligatures w14:val="none"/>
        </w:rPr>
        <w:t>بسم الله الرحمن الرحيم</w:t>
      </w:r>
    </w:p>
    <w:p w14:paraId="047B9461" w14:textId="54CF0DFE" w:rsidR="00D8772F" w:rsidRPr="00277513" w:rsidRDefault="00D8772F" w:rsidP="00D439AC">
      <w:pPr>
        <w:jc w:val="center"/>
        <w:rPr>
          <w:rFonts w:ascii="Simplified Arabic" w:hAnsi="Simplified Arabic" w:cs="Simplified Arabic"/>
          <w:sz w:val="28"/>
          <w:szCs w:val="28"/>
          <w:rtl/>
          <w:lang w:bidi="ar-EG"/>
        </w:rPr>
      </w:pPr>
    </w:p>
    <w:p w14:paraId="49E78239" w14:textId="77777777" w:rsidR="00E76458" w:rsidRPr="00277513" w:rsidRDefault="00E76458" w:rsidP="00D439AC">
      <w:pPr>
        <w:jc w:val="center"/>
        <w:rPr>
          <w:rFonts w:ascii="Simplified Arabic" w:hAnsi="Simplified Arabic" w:cs="Simplified Arabic"/>
          <w:sz w:val="28"/>
          <w:szCs w:val="28"/>
          <w:rtl/>
          <w:lang w:bidi="ar-EG"/>
        </w:rPr>
      </w:pPr>
    </w:p>
    <w:p w14:paraId="2C152018" w14:textId="77777777" w:rsidR="00D8772F" w:rsidRPr="00277513" w:rsidRDefault="00D8772F" w:rsidP="00B91104">
      <w:pPr>
        <w:jc w:val="both"/>
        <w:rPr>
          <w:rFonts w:ascii="Simplified Arabic" w:hAnsi="Simplified Arabic" w:cs="Simplified Arabic"/>
          <w:sz w:val="28"/>
          <w:szCs w:val="28"/>
          <w:rtl/>
          <w:lang w:bidi="ar-EG"/>
        </w:rPr>
      </w:pPr>
    </w:p>
    <w:p w14:paraId="4EF8AB67" w14:textId="77777777" w:rsidR="00E76458" w:rsidRPr="00277513" w:rsidRDefault="00E76458" w:rsidP="00B91104">
      <w:pPr>
        <w:jc w:val="both"/>
        <w:rPr>
          <w:rFonts w:ascii="Simplified Arabic" w:hAnsi="Simplified Arabic" w:cs="Simplified Arabic"/>
          <w:sz w:val="28"/>
          <w:szCs w:val="28"/>
          <w:rtl/>
          <w:lang w:bidi="ar-EG"/>
        </w:rPr>
      </w:pPr>
    </w:p>
    <w:p w14:paraId="524C0DAF" w14:textId="77777777" w:rsidR="00E76458" w:rsidRPr="00277513" w:rsidRDefault="00E76458" w:rsidP="00B91104">
      <w:pPr>
        <w:jc w:val="both"/>
        <w:rPr>
          <w:rFonts w:ascii="Simplified Arabic" w:hAnsi="Simplified Arabic" w:cs="Simplified Arabic"/>
          <w:sz w:val="28"/>
          <w:szCs w:val="28"/>
          <w:rtl/>
          <w:lang w:bidi="ar-EG"/>
        </w:rPr>
      </w:pPr>
    </w:p>
    <w:p w14:paraId="3D35FBBF" w14:textId="77777777" w:rsidR="00E76458" w:rsidRPr="00277513" w:rsidRDefault="00E76458" w:rsidP="00B91104">
      <w:pPr>
        <w:jc w:val="both"/>
        <w:rPr>
          <w:rFonts w:ascii="Simplified Arabic" w:hAnsi="Simplified Arabic" w:cs="Simplified Arabic"/>
          <w:sz w:val="28"/>
          <w:szCs w:val="28"/>
          <w:rtl/>
          <w:lang w:bidi="ar-EG"/>
        </w:rPr>
      </w:pPr>
    </w:p>
    <w:p w14:paraId="4FE489B5" w14:textId="77777777" w:rsidR="00E76458" w:rsidRPr="00277513" w:rsidRDefault="00E76458" w:rsidP="00B91104">
      <w:pPr>
        <w:jc w:val="both"/>
        <w:rPr>
          <w:rFonts w:ascii="Simplified Arabic" w:hAnsi="Simplified Arabic" w:cs="Simplified Arabic"/>
          <w:sz w:val="28"/>
          <w:szCs w:val="28"/>
          <w:rtl/>
          <w:lang w:bidi="ar-EG"/>
        </w:rPr>
      </w:pPr>
    </w:p>
    <w:bookmarkEnd w:id="0"/>
    <w:p w14:paraId="50F5DF92" w14:textId="77777777" w:rsidR="009106A1" w:rsidRDefault="009106A1" w:rsidP="009106A1">
      <w:pPr>
        <w:jc w:val="both"/>
        <w:rPr>
          <w:rFonts w:ascii="Simplified Arabic" w:hAnsi="Simplified Arabic" w:cs="Simplified Arabic"/>
          <w:sz w:val="28"/>
          <w:szCs w:val="28"/>
          <w:lang w:bidi="ar-EG"/>
        </w:rPr>
      </w:pPr>
    </w:p>
    <w:p w14:paraId="37D75364" w14:textId="77777777" w:rsidR="00A25019" w:rsidRPr="00A25019" w:rsidRDefault="00A25019" w:rsidP="00A25019">
      <w:pPr>
        <w:jc w:val="both"/>
        <w:rPr>
          <w:rFonts w:ascii="Simplified Arabic" w:hAnsi="Simplified Arabic" w:cs="Simplified Arabic"/>
          <w:sz w:val="28"/>
          <w:szCs w:val="28"/>
          <w:rtl/>
          <w:lang w:bidi="ar-EG"/>
        </w:rPr>
      </w:pPr>
    </w:p>
    <w:p w14:paraId="5AA6F60C" w14:textId="77777777" w:rsidR="00A25019" w:rsidRPr="00A25019" w:rsidRDefault="00A25019" w:rsidP="00A25019">
      <w:pPr>
        <w:jc w:val="both"/>
        <w:rPr>
          <w:rFonts w:ascii="Simplified Arabic" w:hAnsi="Simplified Arabic" w:cs="Simplified Arabic"/>
          <w:sz w:val="28"/>
          <w:szCs w:val="28"/>
          <w:rtl/>
          <w:lang w:bidi="ar-EG"/>
        </w:rPr>
      </w:pPr>
    </w:p>
    <w:p w14:paraId="523A1894" w14:textId="77777777" w:rsidR="00A25019" w:rsidRPr="00A25019" w:rsidRDefault="00A25019" w:rsidP="00A25019">
      <w:pPr>
        <w:jc w:val="both"/>
        <w:rPr>
          <w:rFonts w:ascii="Simplified Arabic" w:hAnsi="Simplified Arabic" w:cs="Simplified Arabic"/>
          <w:sz w:val="28"/>
          <w:szCs w:val="28"/>
          <w:rtl/>
          <w:lang w:bidi="ar-EG"/>
        </w:rPr>
      </w:pPr>
    </w:p>
    <w:sdt>
      <w:sdtPr>
        <w:rPr>
          <w:rtl/>
          <w:lang w:val="ar-SA"/>
        </w:rPr>
        <w:id w:val="-519011622"/>
        <w:docPartObj>
          <w:docPartGallery w:val="Table of Contents"/>
          <w:docPartUnique/>
        </w:docPartObj>
      </w:sdtPr>
      <w:sdtEndPr>
        <w:rPr>
          <w:lang w:val="en-US"/>
        </w:rPr>
      </w:sdtEndPr>
      <w:sdtContent>
        <w:p w14:paraId="19CDC706" w14:textId="77777777" w:rsidR="00A25019" w:rsidRPr="00A25019" w:rsidRDefault="00A25019" w:rsidP="00A25019">
          <w:pPr>
            <w:keepNext/>
            <w:keepLines/>
            <w:spacing w:before="240" w:after="0" w:line="259" w:lineRule="auto"/>
            <w:rPr>
              <w:rFonts w:asciiTheme="majorHAnsi" w:eastAsiaTheme="majorEastAsia" w:hAnsiTheme="majorHAnsi" w:cstheme="majorBidi"/>
              <w:color w:val="2F5496" w:themeColor="accent1" w:themeShade="BF"/>
              <w:kern w:val="0"/>
              <w:sz w:val="32"/>
              <w:szCs w:val="32"/>
              <w14:ligatures w14:val="none"/>
            </w:rPr>
          </w:pPr>
          <w:r w:rsidRPr="00A25019">
            <w:rPr>
              <w:rFonts w:asciiTheme="majorHAnsi" w:eastAsiaTheme="majorEastAsia" w:hAnsiTheme="majorHAnsi" w:cstheme="majorBidi"/>
              <w:color w:val="2F5496" w:themeColor="accent1" w:themeShade="BF"/>
              <w:kern w:val="0"/>
              <w:sz w:val="32"/>
              <w:szCs w:val="32"/>
              <w:lang w:val="ar-SA"/>
              <w14:ligatures w14:val="none"/>
            </w:rPr>
            <w:t>المحتويات</w:t>
          </w:r>
        </w:p>
        <w:p w14:paraId="0659022E" w14:textId="77777777" w:rsidR="00A25019" w:rsidRPr="00A25019" w:rsidRDefault="00A25019" w:rsidP="00A25019">
          <w:pPr>
            <w:tabs>
              <w:tab w:val="right" w:leader="dot" w:pos="9016"/>
            </w:tabs>
            <w:spacing w:after="100"/>
            <w:rPr>
              <w:noProof/>
              <w:sz w:val="28"/>
              <w:szCs w:val="28"/>
              <w:rtl/>
            </w:rPr>
          </w:pPr>
          <w:r w:rsidRPr="00A25019">
            <w:fldChar w:fldCharType="begin"/>
          </w:r>
          <w:r w:rsidRPr="00A25019">
            <w:instrText xml:space="preserve"> TOC \o "1-3" \h \z \u </w:instrText>
          </w:r>
          <w:r w:rsidRPr="00A25019">
            <w:fldChar w:fldCharType="separate"/>
          </w:r>
          <w:hyperlink w:anchor="_Toc202053515" w:history="1">
            <w:r w:rsidRPr="00A25019">
              <w:rPr>
                <w:noProof/>
                <w:color w:val="0563C1" w:themeColor="hyperlink"/>
                <w:sz w:val="28"/>
                <w:szCs w:val="28"/>
                <w:u w:val="single"/>
                <w:rtl/>
                <w:lang w:bidi="ar-EG"/>
              </w:rPr>
              <w:t>المقدمة:</w:t>
            </w:r>
            <w:r w:rsidRPr="00A25019">
              <w:rPr>
                <w:noProof/>
                <w:webHidden/>
                <w:sz w:val="28"/>
                <w:szCs w:val="28"/>
                <w:rtl/>
              </w:rPr>
              <w:tab/>
            </w:r>
            <w:r w:rsidRPr="00A25019">
              <w:rPr>
                <w:noProof/>
                <w:color w:val="0563C1" w:themeColor="hyperlink"/>
                <w:sz w:val="28"/>
                <w:szCs w:val="28"/>
                <w:u w:val="single"/>
                <w:rtl/>
              </w:rPr>
              <w:fldChar w:fldCharType="begin"/>
            </w:r>
            <w:r w:rsidRPr="00A25019">
              <w:rPr>
                <w:noProof/>
                <w:webHidden/>
                <w:sz w:val="28"/>
                <w:szCs w:val="28"/>
                <w:rtl/>
              </w:rPr>
              <w:instrText xml:space="preserve"> </w:instrText>
            </w:r>
            <w:r w:rsidRPr="00A25019">
              <w:rPr>
                <w:noProof/>
                <w:webHidden/>
                <w:sz w:val="28"/>
                <w:szCs w:val="28"/>
              </w:rPr>
              <w:instrText>PAGEREF</w:instrText>
            </w:r>
            <w:r w:rsidRPr="00A25019">
              <w:rPr>
                <w:noProof/>
                <w:webHidden/>
                <w:sz w:val="28"/>
                <w:szCs w:val="28"/>
                <w:rtl/>
              </w:rPr>
              <w:instrText xml:space="preserve"> _</w:instrText>
            </w:r>
            <w:r w:rsidRPr="00A25019">
              <w:rPr>
                <w:noProof/>
                <w:webHidden/>
                <w:sz w:val="28"/>
                <w:szCs w:val="28"/>
              </w:rPr>
              <w:instrText>Toc202053515 \h</w:instrText>
            </w:r>
            <w:r w:rsidRPr="00A25019">
              <w:rPr>
                <w:noProof/>
                <w:webHidden/>
                <w:sz w:val="28"/>
                <w:szCs w:val="28"/>
                <w:rtl/>
              </w:rPr>
              <w:instrText xml:space="preserve"> </w:instrText>
            </w:r>
            <w:r w:rsidRPr="00A25019">
              <w:rPr>
                <w:noProof/>
                <w:color w:val="0563C1" w:themeColor="hyperlink"/>
                <w:sz w:val="28"/>
                <w:szCs w:val="28"/>
                <w:u w:val="single"/>
                <w:rtl/>
              </w:rPr>
            </w:r>
            <w:r w:rsidRPr="00A25019">
              <w:rPr>
                <w:noProof/>
                <w:color w:val="0563C1" w:themeColor="hyperlink"/>
                <w:sz w:val="28"/>
                <w:szCs w:val="28"/>
                <w:u w:val="single"/>
                <w:rtl/>
              </w:rPr>
              <w:fldChar w:fldCharType="separate"/>
            </w:r>
            <w:r w:rsidRPr="00A25019">
              <w:rPr>
                <w:noProof/>
                <w:webHidden/>
                <w:sz w:val="28"/>
                <w:szCs w:val="28"/>
                <w:rtl/>
              </w:rPr>
              <w:t>4</w:t>
            </w:r>
            <w:r w:rsidRPr="00A25019">
              <w:rPr>
                <w:noProof/>
                <w:color w:val="0563C1" w:themeColor="hyperlink"/>
                <w:sz w:val="28"/>
                <w:szCs w:val="28"/>
                <w:u w:val="single"/>
                <w:rtl/>
              </w:rPr>
              <w:fldChar w:fldCharType="end"/>
            </w:r>
          </w:hyperlink>
        </w:p>
        <w:p w14:paraId="1FB55FC0" w14:textId="77777777" w:rsidR="00A25019" w:rsidRPr="00A25019" w:rsidRDefault="00A25019" w:rsidP="00A25019">
          <w:pPr>
            <w:tabs>
              <w:tab w:val="right" w:leader="dot" w:pos="9016"/>
            </w:tabs>
            <w:spacing w:after="100"/>
            <w:rPr>
              <w:noProof/>
              <w:sz w:val="28"/>
              <w:szCs w:val="28"/>
              <w:rtl/>
            </w:rPr>
          </w:pPr>
          <w:hyperlink w:anchor="_Toc202053516" w:history="1">
            <w:r w:rsidRPr="00A25019">
              <w:rPr>
                <w:noProof/>
                <w:color w:val="0563C1" w:themeColor="hyperlink"/>
                <w:sz w:val="28"/>
                <w:szCs w:val="28"/>
                <w:u w:val="single"/>
                <w:rtl/>
                <w:lang w:bidi="ar-EG"/>
              </w:rPr>
              <w:t>مشكلة الدراسة :</w:t>
            </w:r>
            <w:r w:rsidRPr="00A25019">
              <w:rPr>
                <w:noProof/>
                <w:webHidden/>
                <w:sz w:val="28"/>
                <w:szCs w:val="28"/>
                <w:rtl/>
              </w:rPr>
              <w:tab/>
            </w:r>
            <w:r w:rsidRPr="00A25019">
              <w:rPr>
                <w:noProof/>
                <w:color w:val="0563C1" w:themeColor="hyperlink"/>
                <w:sz w:val="28"/>
                <w:szCs w:val="28"/>
                <w:u w:val="single"/>
                <w:rtl/>
              </w:rPr>
              <w:fldChar w:fldCharType="begin"/>
            </w:r>
            <w:r w:rsidRPr="00A25019">
              <w:rPr>
                <w:noProof/>
                <w:webHidden/>
                <w:sz w:val="28"/>
                <w:szCs w:val="28"/>
                <w:rtl/>
              </w:rPr>
              <w:instrText xml:space="preserve"> </w:instrText>
            </w:r>
            <w:r w:rsidRPr="00A25019">
              <w:rPr>
                <w:noProof/>
                <w:webHidden/>
                <w:sz w:val="28"/>
                <w:szCs w:val="28"/>
              </w:rPr>
              <w:instrText>PAGEREF</w:instrText>
            </w:r>
            <w:r w:rsidRPr="00A25019">
              <w:rPr>
                <w:noProof/>
                <w:webHidden/>
                <w:sz w:val="28"/>
                <w:szCs w:val="28"/>
                <w:rtl/>
              </w:rPr>
              <w:instrText xml:space="preserve"> _</w:instrText>
            </w:r>
            <w:r w:rsidRPr="00A25019">
              <w:rPr>
                <w:noProof/>
                <w:webHidden/>
                <w:sz w:val="28"/>
                <w:szCs w:val="28"/>
              </w:rPr>
              <w:instrText>Toc202053516 \h</w:instrText>
            </w:r>
            <w:r w:rsidRPr="00A25019">
              <w:rPr>
                <w:noProof/>
                <w:webHidden/>
                <w:sz w:val="28"/>
                <w:szCs w:val="28"/>
                <w:rtl/>
              </w:rPr>
              <w:instrText xml:space="preserve"> </w:instrText>
            </w:r>
            <w:r w:rsidRPr="00A25019">
              <w:rPr>
                <w:noProof/>
                <w:color w:val="0563C1" w:themeColor="hyperlink"/>
                <w:sz w:val="28"/>
                <w:szCs w:val="28"/>
                <w:u w:val="single"/>
                <w:rtl/>
              </w:rPr>
            </w:r>
            <w:r w:rsidRPr="00A25019">
              <w:rPr>
                <w:noProof/>
                <w:color w:val="0563C1" w:themeColor="hyperlink"/>
                <w:sz w:val="28"/>
                <w:szCs w:val="28"/>
                <w:u w:val="single"/>
                <w:rtl/>
              </w:rPr>
              <w:fldChar w:fldCharType="separate"/>
            </w:r>
            <w:r w:rsidRPr="00A25019">
              <w:rPr>
                <w:noProof/>
                <w:webHidden/>
                <w:sz w:val="28"/>
                <w:szCs w:val="28"/>
                <w:rtl/>
              </w:rPr>
              <w:t>5</w:t>
            </w:r>
            <w:r w:rsidRPr="00A25019">
              <w:rPr>
                <w:noProof/>
                <w:color w:val="0563C1" w:themeColor="hyperlink"/>
                <w:sz w:val="28"/>
                <w:szCs w:val="28"/>
                <w:u w:val="single"/>
                <w:rtl/>
              </w:rPr>
              <w:fldChar w:fldCharType="end"/>
            </w:r>
          </w:hyperlink>
        </w:p>
        <w:p w14:paraId="0C2715B4" w14:textId="77777777" w:rsidR="00A25019" w:rsidRPr="00A25019" w:rsidRDefault="00A25019" w:rsidP="00A25019">
          <w:pPr>
            <w:tabs>
              <w:tab w:val="right" w:leader="dot" w:pos="9016"/>
            </w:tabs>
            <w:spacing w:after="100"/>
            <w:rPr>
              <w:noProof/>
              <w:sz w:val="28"/>
              <w:szCs w:val="28"/>
              <w:rtl/>
            </w:rPr>
          </w:pPr>
          <w:hyperlink w:anchor="_Toc202053517" w:history="1">
            <w:r w:rsidRPr="00A25019">
              <w:rPr>
                <w:noProof/>
                <w:color w:val="0563C1" w:themeColor="hyperlink"/>
                <w:sz w:val="28"/>
                <w:szCs w:val="28"/>
                <w:u w:val="single"/>
                <w:rtl/>
                <w:lang w:bidi="ar-EG"/>
              </w:rPr>
              <w:t>أهمية الدراسة</w:t>
            </w:r>
            <w:r w:rsidRPr="00A25019">
              <w:rPr>
                <w:noProof/>
                <w:webHidden/>
                <w:sz w:val="28"/>
                <w:szCs w:val="28"/>
                <w:rtl/>
              </w:rPr>
              <w:tab/>
            </w:r>
            <w:r w:rsidRPr="00A25019">
              <w:rPr>
                <w:noProof/>
                <w:color w:val="0563C1" w:themeColor="hyperlink"/>
                <w:sz w:val="28"/>
                <w:szCs w:val="28"/>
                <w:u w:val="single"/>
                <w:rtl/>
              </w:rPr>
              <w:fldChar w:fldCharType="begin"/>
            </w:r>
            <w:r w:rsidRPr="00A25019">
              <w:rPr>
                <w:noProof/>
                <w:webHidden/>
                <w:sz w:val="28"/>
                <w:szCs w:val="28"/>
                <w:rtl/>
              </w:rPr>
              <w:instrText xml:space="preserve"> </w:instrText>
            </w:r>
            <w:r w:rsidRPr="00A25019">
              <w:rPr>
                <w:noProof/>
                <w:webHidden/>
                <w:sz w:val="28"/>
                <w:szCs w:val="28"/>
              </w:rPr>
              <w:instrText>PAGEREF</w:instrText>
            </w:r>
            <w:r w:rsidRPr="00A25019">
              <w:rPr>
                <w:noProof/>
                <w:webHidden/>
                <w:sz w:val="28"/>
                <w:szCs w:val="28"/>
                <w:rtl/>
              </w:rPr>
              <w:instrText xml:space="preserve"> _</w:instrText>
            </w:r>
            <w:r w:rsidRPr="00A25019">
              <w:rPr>
                <w:noProof/>
                <w:webHidden/>
                <w:sz w:val="28"/>
                <w:szCs w:val="28"/>
              </w:rPr>
              <w:instrText>Toc202053517 \h</w:instrText>
            </w:r>
            <w:r w:rsidRPr="00A25019">
              <w:rPr>
                <w:noProof/>
                <w:webHidden/>
                <w:sz w:val="28"/>
                <w:szCs w:val="28"/>
                <w:rtl/>
              </w:rPr>
              <w:instrText xml:space="preserve"> </w:instrText>
            </w:r>
            <w:r w:rsidRPr="00A25019">
              <w:rPr>
                <w:noProof/>
                <w:color w:val="0563C1" w:themeColor="hyperlink"/>
                <w:sz w:val="28"/>
                <w:szCs w:val="28"/>
                <w:u w:val="single"/>
                <w:rtl/>
              </w:rPr>
            </w:r>
            <w:r w:rsidRPr="00A25019">
              <w:rPr>
                <w:noProof/>
                <w:color w:val="0563C1" w:themeColor="hyperlink"/>
                <w:sz w:val="28"/>
                <w:szCs w:val="28"/>
                <w:u w:val="single"/>
                <w:rtl/>
              </w:rPr>
              <w:fldChar w:fldCharType="separate"/>
            </w:r>
            <w:r w:rsidRPr="00A25019">
              <w:rPr>
                <w:noProof/>
                <w:webHidden/>
                <w:sz w:val="28"/>
                <w:szCs w:val="28"/>
                <w:rtl/>
              </w:rPr>
              <w:t>6</w:t>
            </w:r>
            <w:r w:rsidRPr="00A25019">
              <w:rPr>
                <w:noProof/>
                <w:color w:val="0563C1" w:themeColor="hyperlink"/>
                <w:sz w:val="28"/>
                <w:szCs w:val="28"/>
                <w:u w:val="single"/>
                <w:rtl/>
              </w:rPr>
              <w:fldChar w:fldCharType="end"/>
            </w:r>
          </w:hyperlink>
        </w:p>
        <w:p w14:paraId="527862C5" w14:textId="77777777" w:rsidR="00A25019" w:rsidRPr="00A25019" w:rsidRDefault="00A25019" w:rsidP="00A25019">
          <w:pPr>
            <w:tabs>
              <w:tab w:val="right" w:leader="dot" w:pos="9016"/>
            </w:tabs>
            <w:spacing w:after="100"/>
            <w:rPr>
              <w:noProof/>
              <w:sz w:val="28"/>
              <w:szCs w:val="28"/>
              <w:rtl/>
            </w:rPr>
          </w:pPr>
          <w:hyperlink w:anchor="_Toc202053518" w:history="1">
            <w:r w:rsidRPr="00A25019">
              <w:rPr>
                <w:noProof/>
                <w:color w:val="0563C1" w:themeColor="hyperlink"/>
                <w:sz w:val="28"/>
                <w:szCs w:val="28"/>
                <w:u w:val="single"/>
                <w:rtl/>
                <w:lang w:bidi="ar-EG"/>
              </w:rPr>
              <w:t>أهداف الدراسة</w:t>
            </w:r>
            <w:r w:rsidRPr="00A25019">
              <w:rPr>
                <w:noProof/>
                <w:webHidden/>
                <w:sz w:val="28"/>
                <w:szCs w:val="28"/>
                <w:rtl/>
              </w:rPr>
              <w:tab/>
            </w:r>
            <w:r w:rsidRPr="00A25019">
              <w:rPr>
                <w:noProof/>
                <w:color w:val="0563C1" w:themeColor="hyperlink"/>
                <w:sz w:val="28"/>
                <w:szCs w:val="28"/>
                <w:u w:val="single"/>
                <w:rtl/>
              </w:rPr>
              <w:fldChar w:fldCharType="begin"/>
            </w:r>
            <w:r w:rsidRPr="00A25019">
              <w:rPr>
                <w:noProof/>
                <w:webHidden/>
                <w:sz w:val="28"/>
                <w:szCs w:val="28"/>
                <w:rtl/>
              </w:rPr>
              <w:instrText xml:space="preserve"> </w:instrText>
            </w:r>
            <w:r w:rsidRPr="00A25019">
              <w:rPr>
                <w:noProof/>
                <w:webHidden/>
                <w:sz w:val="28"/>
                <w:szCs w:val="28"/>
              </w:rPr>
              <w:instrText>PAGEREF</w:instrText>
            </w:r>
            <w:r w:rsidRPr="00A25019">
              <w:rPr>
                <w:noProof/>
                <w:webHidden/>
                <w:sz w:val="28"/>
                <w:szCs w:val="28"/>
                <w:rtl/>
              </w:rPr>
              <w:instrText xml:space="preserve"> _</w:instrText>
            </w:r>
            <w:r w:rsidRPr="00A25019">
              <w:rPr>
                <w:noProof/>
                <w:webHidden/>
                <w:sz w:val="28"/>
                <w:szCs w:val="28"/>
              </w:rPr>
              <w:instrText>Toc202053518 \h</w:instrText>
            </w:r>
            <w:r w:rsidRPr="00A25019">
              <w:rPr>
                <w:noProof/>
                <w:webHidden/>
                <w:sz w:val="28"/>
                <w:szCs w:val="28"/>
                <w:rtl/>
              </w:rPr>
              <w:instrText xml:space="preserve"> </w:instrText>
            </w:r>
            <w:r w:rsidRPr="00A25019">
              <w:rPr>
                <w:noProof/>
                <w:color w:val="0563C1" w:themeColor="hyperlink"/>
                <w:sz w:val="28"/>
                <w:szCs w:val="28"/>
                <w:u w:val="single"/>
                <w:rtl/>
              </w:rPr>
            </w:r>
            <w:r w:rsidRPr="00A25019">
              <w:rPr>
                <w:noProof/>
                <w:color w:val="0563C1" w:themeColor="hyperlink"/>
                <w:sz w:val="28"/>
                <w:szCs w:val="28"/>
                <w:u w:val="single"/>
                <w:rtl/>
              </w:rPr>
              <w:fldChar w:fldCharType="separate"/>
            </w:r>
            <w:r w:rsidRPr="00A25019">
              <w:rPr>
                <w:noProof/>
                <w:webHidden/>
                <w:sz w:val="28"/>
                <w:szCs w:val="28"/>
                <w:rtl/>
              </w:rPr>
              <w:t>9</w:t>
            </w:r>
            <w:r w:rsidRPr="00A25019">
              <w:rPr>
                <w:noProof/>
                <w:color w:val="0563C1" w:themeColor="hyperlink"/>
                <w:sz w:val="28"/>
                <w:szCs w:val="28"/>
                <w:u w:val="single"/>
                <w:rtl/>
              </w:rPr>
              <w:fldChar w:fldCharType="end"/>
            </w:r>
          </w:hyperlink>
        </w:p>
        <w:p w14:paraId="6F720B3C" w14:textId="77777777" w:rsidR="00A25019" w:rsidRPr="00A25019" w:rsidRDefault="00A25019" w:rsidP="00A25019">
          <w:pPr>
            <w:tabs>
              <w:tab w:val="right" w:leader="dot" w:pos="9016"/>
            </w:tabs>
            <w:spacing w:after="100"/>
            <w:rPr>
              <w:noProof/>
              <w:sz w:val="28"/>
              <w:szCs w:val="28"/>
              <w:rtl/>
            </w:rPr>
          </w:pPr>
          <w:hyperlink w:anchor="_Toc202053519" w:history="1">
            <w:r w:rsidRPr="00A25019">
              <w:rPr>
                <w:noProof/>
                <w:color w:val="0563C1" w:themeColor="hyperlink"/>
                <w:sz w:val="28"/>
                <w:szCs w:val="28"/>
                <w:u w:val="single"/>
                <w:rtl/>
                <w:lang w:bidi="ar-EG"/>
              </w:rPr>
              <w:t>فرضيات الدراسة</w:t>
            </w:r>
            <w:r w:rsidRPr="00A25019">
              <w:rPr>
                <w:noProof/>
                <w:webHidden/>
                <w:sz w:val="28"/>
                <w:szCs w:val="28"/>
                <w:rtl/>
              </w:rPr>
              <w:tab/>
            </w:r>
            <w:r w:rsidRPr="00A25019">
              <w:rPr>
                <w:noProof/>
                <w:color w:val="0563C1" w:themeColor="hyperlink"/>
                <w:sz w:val="28"/>
                <w:szCs w:val="28"/>
                <w:u w:val="single"/>
                <w:rtl/>
              </w:rPr>
              <w:fldChar w:fldCharType="begin"/>
            </w:r>
            <w:r w:rsidRPr="00A25019">
              <w:rPr>
                <w:noProof/>
                <w:webHidden/>
                <w:sz w:val="28"/>
                <w:szCs w:val="28"/>
                <w:rtl/>
              </w:rPr>
              <w:instrText xml:space="preserve"> </w:instrText>
            </w:r>
            <w:r w:rsidRPr="00A25019">
              <w:rPr>
                <w:noProof/>
                <w:webHidden/>
                <w:sz w:val="28"/>
                <w:szCs w:val="28"/>
              </w:rPr>
              <w:instrText>PAGEREF</w:instrText>
            </w:r>
            <w:r w:rsidRPr="00A25019">
              <w:rPr>
                <w:noProof/>
                <w:webHidden/>
                <w:sz w:val="28"/>
                <w:szCs w:val="28"/>
                <w:rtl/>
              </w:rPr>
              <w:instrText xml:space="preserve"> _</w:instrText>
            </w:r>
            <w:r w:rsidRPr="00A25019">
              <w:rPr>
                <w:noProof/>
                <w:webHidden/>
                <w:sz w:val="28"/>
                <w:szCs w:val="28"/>
              </w:rPr>
              <w:instrText>Toc202053519 \h</w:instrText>
            </w:r>
            <w:r w:rsidRPr="00A25019">
              <w:rPr>
                <w:noProof/>
                <w:webHidden/>
                <w:sz w:val="28"/>
                <w:szCs w:val="28"/>
                <w:rtl/>
              </w:rPr>
              <w:instrText xml:space="preserve"> </w:instrText>
            </w:r>
            <w:r w:rsidRPr="00A25019">
              <w:rPr>
                <w:noProof/>
                <w:color w:val="0563C1" w:themeColor="hyperlink"/>
                <w:sz w:val="28"/>
                <w:szCs w:val="28"/>
                <w:u w:val="single"/>
                <w:rtl/>
              </w:rPr>
            </w:r>
            <w:r w:rsidRPr="00A25019">
              <w:rPr>
                <w:noProof/>
                <w:color w:val="0563C1" w:themeColor="hyperlink"/>
                <w:sz w:val="28"/>
                <w:szCs w:val="28"/>
                <w:u w:val="single"/>
                <w:rtl/>
              </w:rPr>
              <w:fldChar w:fldCharType="separate"/>
            </w:r>
            <w:r w:rsidRPr="00A25019">
              <w:rPr>
                <w:noProof/>
                <w:webHidden/>
                <w:sz w:val="28"/>
                <w:szCs w:val="28"/>
                <w:rtl/>
              </w:rPr>
              <w:t>9</w:t>
            </w:r>
            <w:r w:rsidRPr="00A25019">
              <w:rPr>
                <w:noProof/>
                <w:color w:val="0563C1" w:themeColor="hyperlink"/>
                <w:sz w:val="28"/>
                <w:szCs w:val="28"/>
                <w:u w:val="single"/>
                <w:rtl/>
              </w:rPr>
              <w:fldChar w:fldCharType="end"/>
            </w:r>
          </w:hyperlink>
        </w:p>
        <w:p w14:paraId="0525FDAD" w14:textId="77777777" w:rsidR="00A25019" w:rsidRPr="00A25019" w:rsidRDefault="00A25019" w:rsidP="00A25019">
          <w:pPr>
            <w:tabs>
              <w:tab w:val="right" w:leader="dot" w:pos="9016"/>
            </w:tabs>
            <w:spacing w:after="100"/>
            <w:rPr>
              <w:noProof/>
              <w:sz w:val="28"/>
              <w:szCs w:val="28"/>
              <w:rtl/>
            </w:rPr>
          </w:pPr>
          <w:hyperlink w:anchor="_Toc202053520" w:history="1">
            <w:r w:rsidRPr="00A25019">
              <w:rPr>
                <w:noProof/>
                <w:color w:val="0563C1" w:themeColor="hyperlink"/>
                <w:sz w:val="28"/>
                <w:szCs w:val="28"/>
                <w:u w:val="single"/>
                <w:rtl/>
                <w:lang w:bidi="ar-EG"/>
              </w:rPr>
              <w:t>نموذج الدراسة:</w:t>
            </w:r>
            <w:r w:rsidRPr="00A25019">
              <w:rPr>
                <w:noProof/>
                <w:webHidden/>
                <w:sz w:val="28"/>
                <w:szCs w:val="28"/>
                <w:rtl/>
              </w:rPr>
              <w:tab/>
            </w:r>
            <w:r w:rsidRPr="00A25019">
              <w:rPr>
                <w:noProof/>
                <w:color w:val="0563C1" w:themeColor="hyperlink"/>
                <w:sz w:val="28"/>
                <w:szCs w:val="28"/>
                <w:u w:val="single"/>
                <w:rtl/>
              </w:rPr>
              <w:fldChar w:fldCharType="begin"/>
            </w:r>
            <w:r w:rsidRPr="00A25019">
              <w:rPr>
                <w:noProof/>
                <w:webHidden/>
                <w:sz w:val="28"/>
                <w:szCs w:val="28"/>
                <w:rtl/>
              </w:rPr>
              <w:instrText xml:space="preserve"> </w:instrText>
            </w:r>
            <w:r w:rsidRPr="00A25019">
              <w:rPr>
                <w:noProof/>
                <w:webHidden/>
                <w:sz w:val="28"/>
                <w:szCs w:val="28"/>
              </w:rPr>
              <w:instrText>PAGEREF</w:instrText>
            </w:r>
            <w:r w:rsidRPr="00A25019">
              <w:rPr>
                <w:noProof/>
                <w:webHidden/>
                <w:sz w:val="28"/>
                <w:szCs w:val="28"/>
                <w:rtl/>
              </w:rPr>
              <w:instrText xml:space="preserve"> _</w:instrText>
            </w:r>
            <w:r w:rsidRPr="00A25019">
              <w:rPr>
                <w:noProof/>
                <w:webHidden/>
                <w:sz w:val="28"/>
                <w:szCs w:val="28"/>
              </w:rPr>
              <w:instrText>Toc202053520 \h</w:instrText>
            </w:r>
            <w:r w:rsidRPr="00A25019">
              <w:rPr>
                <w:noProof/>
                <w:webHidden/>
                <w:sz w:val="28"/>
                <w:szCs w:val="28"/>
                <w:rtl/>
              </w:rPr>
              <w:instrText xml:space="preserve"> </w:instrText>
            </w:r>
            <w:r w:rsidRPr="00A25019">
              <w:rPr>
                <w:noProof/>
                <w:color w:val="0563C1" w:themeColor="hyperlink"/>
                <w:sz w:val="28"/>
                <w:szCs w:val="28"/>
                <w:u w:val="single"/>
                <w:rtl/>
              </w:rPr>
            </w:r>
            <w:r w:rsidRPr="00A25019">
              <w:rPr>
                <w:noProof/>
                <w:color w:val="0563C1" w:themeColor="hyperlink"/>
                <w:sz w:val="28"/>
                <w:szCs w:val="28"/>
                <w:u w:val="single"/>
                <w:rtl/>
              </w:rPr>
              <w:fldChar w:fldCharType="separate"/>
            </w:r>
            <w:r w:rsidRPr="00A25019">
              <w:rPr>
                <w:noProof/>
                <w:webHidden/>
                <w:sz w:val="28"/>
                <w:szCs w:val="28"/>
                <w:rtl/>
              </w:rPr>
              <w:t>10</w:t>
            </w:r>
            <w:r w:rsidRPr="00A25019">
              <w:rPr>
                <w:noProof/>
                <w:color w:val="0563C1" w:themeColor="hyperlink"/>
                <w:sz w:val="28"/>
                <w:szCs w:val="28"/>
                <w:u w:val="single"/>
                <w:rtl/>
              </w:rPr>
              <w:fldChar w:fldCharType="end"/>
            </w:r>
          </w:hyperlink>
        </w:p>
        <w:p w14:paraId="1D819983" w14:textId="77777777" w:rsidR="00A25019" w:rsidRPr="00A25019" w:rsidRDefault="00A25019" w:rsidP="00A25019">
          <w:pPr>
            <w:tabs>
              <w:tab w:val="right" w:leader="dot" w:pos="9016"/>
            </w:tabs>
            <w:spacing w:after="100"/>
            <w:rPr>
              <w:noProof/>
              <w:sz w:val="28"/>
              <w:szCs w:val="28"/>
              <w:rtl/>
            </w:rPr>
          </w:pPr>
          <w:hyperlink w:anchor="_Toc202053521" w:history="1">
            <w:r w:rsidRPr="00A25019">
              <w:rPr>
                <w:noProof/>
                <w:color w:val="0563C1" w:themeColor="hyperlink"/>
                <w:sz w:val="28"/>
                <w:szCs w:val="28"/>
                <w:u w:val="single"/>
                <w:rtl/>
                <w:lang w:bidi="ar-EG"/>
              </w:rPr>
              <w:t>مصطلحات الدراسة وتعريفاتها الإجرائية:</w:t>
            </w:r>
            <w:r w:rsidRPr="00A25019">
              <w:rPr>
                <w:noProof/>
                <w:webHidden/>
                <w:sz w:val="28"/>
                <w:szCs w:val="28"/>
                <w:rtl/>
              </w:rPr>
              <w:tab/>
            </w:r>
            <w:r w:rsidRPr="00A25019">
              <w:rPr>
                <w:noProof/>
                <w:color w:val="0563C1" w:themeColor="hyperlink"/>
                <w:sz w:val="28"/>
                <w:szCs w:val="28"/>
                <w:u w:val="single"/>
                <w:rtl/>
              </w:rPr>
              <w:fldChar w:fldCharType="begin"/>
            </w:r>
            <w:r w:rsidRPr="00A25019">
              <w:rPr>
                <w:noProof/>
                <w:webHidden/>
                <w:sz w:val="28"/>
                <w:szCs w:val="28"/>
                <w:rtl/>
              </w:rPr>
              <w:instrText xml:space="preserve"> </w:instrText>
            </w:r>
            <w:r w:rsidRPr="00A25019">
              <w:rPr>
                <w:noProof/>
                <w:webHidden/>
                <w:sz w:val="28"/>
                <w:szCs w:val="28"/>
              </w:rPr>
              <w:instrText>PAGEREF</w:instrText>
            </w:r>
            <w:r w:rsidRPr="00A25019">
              <w:rPr>
                <w:noProof/>
                <w:webHidden/>
                <w:sz w:val="28"/>
                <w:szCs w:val="28"/>
                <w:rtl/>
              </w:rPr>
              <w:instrText xml:space="preserve"> _</w:instrText>
            </w:r>
            <w:r w:rsidRPr="00A25019">
              <w:rPr>
                <w:noProof/>
                <w:webHidden/>
                <w:sz w:val="28"/>
                <w:szCs w:val="28"/>
              </w:rPr>
              <w:instrText>Toc202053521 \h</w:instrText>
            </w:r>
            <w:r w:rsidRPr="00A25019">
              <w:rPr>
                <w:noProof/>
                <w:webHidden/>
                <w:sz w:val="28"/>
                <w:szCs w:val="28"/>
                <w:rtl/>
              </w:rPr>
              <w:instrText xml:space="preserve"> </w:instrText>
            </w:r>
            <w:r w:rsidRPr="00A25019">
              <w:rPr>
                <w:noProof/>
                <w:color w:val="0563C1" w:themeColor="hyperlink"/>
                <w:sz w:val="28"/>
                <w:szCs w:val="28"/>
                <w:u w:val="single"/>
                <w:rtl/>
              </w:rPr>
            </w:r>
            <w:r w:rsidRPr="00A25019">
              <w:rPr>
                <w:noProof/>
                <w:color w:val="0563C1" w:themeColor="hyperlink"/>
                <w:sz w:val="28"/>
                <w:szCs w:val="28"/>
                <w:u w:val="single"/>
                <w:rtl/>
              </w:rPr>
              <w:fldChar w:fldCharType="separate"/>
            </w:r>
            <w:r w:rsidRPr="00A25019">
              <w:rPr>
                <w:noProof/>
                <w:webHidden/>
                <w:sz w:val="28"/>
                <w:szCs w:val="28"/>
                <w:rtl/>
              </w:rPr>
              <w:t>11</w:t>
            </w:r>
            <w:r w:rsidRPr="00A25019">
              <w:rPr>
                <w:noProof/>
                <w:color w:val="0563C1" w:themeColor="hyperlink"/>
                <w:sz w:val="28"/>
                <w:szCs w:val="28"/>
                <w:u w:val="single"/>
                <w:rtl/>
              </w:rPr>
              <w:fldChar w:fldCharType="end"/>
            </w:r>
          </w:hyperlink>
        </w:p>
        <w:p w14:paraId="0FEAEAE5" w14:textId="77777777" w:rsidR="00A25019" w:rsidRPr="00A25019" w:rsidRDefault="00A25019" w:rsidP="00A25019">
          <w:pPr>
            <w:tabs>
              <w:tab w:val="right" w:leader="dot" w:pos="9016"/>
            </w:tabs>
            <w:spacing w:after="100"/>
            <w:rPr>
              <w:noProof/>
              <w:sz w:val="28"/>
              <w:szCs w:val="28"/>
              <w:rtl/>
            </w:rPr>
          </w:pPr>
          <w:hyperlink w:anchor="_Toc202053522" w:history="1">
            <w:r w:rsidRPr="00A25019">
              <w:rPr>
                <w:noProof/>
                <w:color w:val="0563C1" w:themeColor="hyperlink"/>
                <w:sz w:val="28"/>
                <w:szCs w:val="28"/>
                <w:u w:val="single"/>
                <w:rtl/>
                <w:lang w:bidi="ar-EG"/>
              </w:rPr>
              <w:t>منهج الدراسة :</w:t>
            </w:r>
            <w:r w:rsidRPr="00A25019">
              <w:rPr>
                <w:noProof/>
                <w:webHidden/>
                <w:sz w:val="28"/>
                <w:szCs w:val="28"/>
                <w:rtl/>
              </w:rPr>
              <w:tab/>
            </w:r>
            <w:r w:rsidRPr="00A25019">
              <w:rPr>
                <w:noProof/>
                <w:color w:val="0563C1" w:themeColor="hyperlink"/>
                <w:sz w:val="28"/>
                <w:szCs w:val="28"/>
                <w:u w:val="single"/>
                <w:rtl/>
              </w:rPr>
              <w:fldChar w:fldCharType="begin"/>
            </w:r>
            <w:r w:rsidRPr="00A25019">
              <w:rPr>
                <w:noProof/>
                <w:webHidden/>
                <w:sz w:val="28"/>
                <w:szCs w:val="28"/>
                <w:rtl/>
              </w:rPr>
              <w:instrText xml:space="preserve"> </w:instrText>
            </w:r>
            <w:r w:rsidRPr="00A25019">
              <w:rPr>
                <w:noProof/>
                <w:webHidden/>
                <w:sz w:val="28"/>
                <w:szCs w:val="28"/>
              </w:rPr>
              <w:instrText>PAGEREF</w:instrText>
            </w:r>
            <w:r w:rsidRPr="00A25019">
              <w:rPr>
                <w:noProof/>
                <w:webHidden/>
                <w:sz w:val="28"/>
                <w:szCs w:val="28"/>
                <w:rtl/>
              </w:rPr>
              <w:instrText xml:space="preserve"> _</w:instrText>
            </w:r>
            <w:r w:rsidRPr="00A25019">
              <w:rPr>
                <w:noProof/>
                <w:webHidden/>
                <w:sz w:val="28"/>
                <w:szCs w:val="28"/>
              </w:rPr>
              <w:instrText>Toc202053522 \h</w:instrText>
            </w:r>
            <w:r w:rsidRPr="00A25019">
              <w:rPr>
                <w:noProof/>
                <w:webHidden/>
                <w:sz w:val="28"/>
                <w:szCs w:val="28"/>
                <w:rtl/>
              </w:rPr>
              <w:instrText xml:space="preserve"> </w:instrText>
            </w:r>
            <w:r w:rsidRPr="00A25019">
              <w:rPr>
                <w:noProof/>
                <w:color w:val="0563C1" w:themeColor="hyperlink"/>
                <w:sz w:val="28"/>
                <w:szCs w:val="28"/>
                <w:u w:val="single"/>
                <w:rtl/>
              </w:rPr>
            </w:r>
            <w:r w:rsidRPr="00A25019">
              <w:rPr>
                <w:noProof/>
                <w:color w:val="0563C1" w:themeColor="hyperlink"/>
                <w:sz w:val="28"/>
                <w:szCs w:val="28"/>
                <w:u w:val="single"/>
                <w:rtl/>
              </w:rPr>
              <w:fldChar w:fldCharType="separate"/>
            </w:r>
            <w:r w:rsidRPr="00A25019">
              <w:rPr>
                <w:noProof/>
                <w:webHidden/>
                <w:sz w:val="28"/>
                <w:szCs w:val="28"/>
                <w:rtl/>
              </w:rPr>
              <w:t>14</w:t>
            </w:r>
            <w:r w:rsidRPr="00A25019">
              <w:rPr>
                <w:noProof/>
                <w:color w:val="0563C1" w:themeColor="hyperlink"/>
                <w:sz w:val="28"/>
                <w:szCs w:val="28"/>
                <w:u w:val="single"/>
                <w:rtl/>
              </w:rPr>
              <w:fldChar w:fldCharType="end"/>
            </w:r>
          </w:hyperlink>
        </w:p>
        <w:p w14:paraId="4241FE6D" w14:textId="77777777" w:rsidR="00A25019" w:rsidRPr="00A25019" w:rsidRDefault="00A25019" w:rsidP="00A25019">
          <w:pPr>
            <w:tabs>
              <w:tab w:val="right" w:leader="dot" w:pos="9016"/>
            </w:tabs>
            <w:spacing w:after="100"/>
            <w:rPr>
              <w:noProof/>
              <w:sz w:val="28"/>
              <w:szCs w:val="28"/>
              <w:rtl/>
            </w:rPr>
          </w:pPr>
          <w:hyperlink w:anchor="_Toc202053523" w:history="1">
            <w:r w:rsidRPr="00A25019">
              <w:rPr>
                <w:noProof/>
                <w:color w:val="0563C1" w:themeColor="hyperlink"/>
                <w:sz w:val="28"/>
                <w:szCs w:val="28"/>
                <w:u w:val="single"/>
                <w:rtl/>
                <w:lang w:bidi="ar-EG"/>
              </w:rPr>
              <w:t>أداة الدراسة</w:t>
            </w:r>
            <w:r w:rsidRPr="00A25019">
              <w:rPr>
                <w:noProof/>
                <w:webHidden/>
                <w:sz w:val="28"/>
                <w:szCs w:val="28"/>
                <w:rtl/>
              </w:rPr>
              <w:tab/>
            </w:r>
            <w:r w:rsidRPr="00A25019">
              <w:rPr>
                <w:noProof/>
                <w:color w:val="0563C1" w:themeColor="hyperlink"/>
                <w:sz w:val="28"/>
                <w:szCs w:val="28"/>
                <w:u w:val="single"/>
                <w:rtl/>
              </w:rPr>
              <w:fldChar w:fldCharType="begin"/>
            </w:r>
            <w:r w:rsidRPr="00A25019">
              <w:rPr>
                <w:noProof/>
                <w:webHidden/>
                <w:sz w:val="28"/>
                <w:szCs w:val="28"/>
                <w:rtl/>
              </w:rPr>
              <w:instrText xml:space="preserve"> </w:instrText>
            </w:r>
            <w:r w:rsidRPr="00A25019">
              <w:rPr>
                <w:noProof/>
                <w:webHidden/>
                <w:sz w:val="28"/>
                <w:szCs w:val="28"/>
              </w:rPr>
              <w:instrText>PAGEREF</w:instrText>
            </w:r>
            <w:r w:rsidRPr="00A25019">
              <w:rPr>
                <w:noProof/>
                <w:webHidden/>
                <w:sz w:val="28"/>
                <w:szCs w:val="28"/>
                <w:rtl/>
              </w:rPr>
              <w:instrText xml:space="preserve"> _</w:instrText>
            </w:r>
            <w:r w:rsidRPr="00A25019">
              <w:rPr>
                <w:noProof/>
                <w:webHidden/>
                <w:sz w:val="28"/>
                <w:szCs w:val="28"/>
              </w:rPr>
              <w:instrText>Toc202053523 \h</w:instrText>
            </w:r>
            <w:r w:rsidRPr="00A25019">
              <w:rPr>
                <w:noProof/>
                <w:webHidden/>
                <w:sz w:val="28"/>
                <w:szCs w:val="28"/>
                <w:rtl/>
              </w:rPr>
              <w:instrText xml:space="preserve"> </w:instrText>
            </w:r>
            <w:r w:rsidRPr="00A25019">
              <w:rPr>
                <w:noProof/>
                <w:color w:val="0563C1" w:themeColor="hyperlink"/>
                <w:sz w:val="28"/>
                <w:szCs w:val="28"/>
                <w:u w:val="single"/>
                <w:rtl/>
              </w:rPr>
            </w:r>
            <w:r w:rsidRPr="00A25019">
              <w:rPr>
                <w:noProof/>
                <w:color w:val="0563C1" w:themeColor="hyperlink"/>
                <w:sz w:val="28"/>
                <w:szCs w:val="28"/>
                <w:u w:val="single"/>
                <w:rtl/>
              </w:rPr>
              <w:fldChar w:fldCharType="separate"/>
            </w:r>
            <w:r w:rsidRPr="00A25019">
              <w:rPr>
                <w:noProof/>
                <w:webHidden/>
                <w:sz w:val="28"/>
                <w:szCs w:val="28"/>
                <w:rtl/>
              </w:rPr>
              <w:t>15</w:t>
            </w:r>
            <w:r w:rsidRPr="00A25019">
              <w:rPr>
                <w:noProof/>
                <w:color w:val="0563C1" w:themeColor="hyperlink"/>
                <w:sz w:val="28"/>
                <w:szCs w:val="28"/>
                <w:u w:val="single"/>
                <w:rtl/>
              </w:rPr>
              <w:fldChar w:fldCharType="end"/>
            </w:r>
          </w:hyperlink>
        </w:p>
        <w:p w14:paraId="78CA6E04" w14:textId="77777777" w:rsidR="00A25019" w:rsidRPr="00A25019" w:rsidRDefault="00A25019" w:rsidP="00A25019">
          <w:pPr>
            <w:tabs>
              <w:tab w:val="right" w:leader="dot" w:pos="9016"/>
            </w:tabs>
            <w:spacing w:after="100"/>
            <w:rPr>
              <w:noProof/>
              <w:sz w:val="28"/>
              <w:szCs w:val="28"/>
              <w:rtl/>
            </w:rPr>
          </w:pPr>
          <w:hyperlink w:anchor="_Toc202053524" w:history="1">
            <w:r w:rsidRPr="00A25019">
              <w:rPr>
                <w:noProof/>
                <w:color w:val="0563C1" w:themeColor="hyperlink"/>
                <w:sz w:val="28"/>
                <w:szCs w:val="28"/>
                <w:u w:val="single"/>
                <w:rtl/>
                <w:lang w:bidi="ar-EG"/>
              </w:rPr>
              <w:t>مجتمع الدراسة:</w:t>
            </w:r>
            <w:r w:rsidRPr="00A25019">
              <w:rPr>
                <w:noProof/>
                <w:webHidden/>
                <w:sz w:val="28"/>
                <w:szCs w:val="28"/>
                <w:rtl/>
              </w:rPr>
              <w:tab/>
            </w:r>
            <w:r w:rsidRPr="00A25019">
              <w:rPr>
                <w:noProof/>
                <w:color w:val="0563C1" w:themeColor="hyperlink"/>
                <w:sz w:val="28"/>
                <w:szCs w:val="28"/>
                <w:u w:val="single"/>
                <w:rtl/>
              </w:rPr>
              <w:fldChar w:fldCharType="begin"/>
            </w:r>
            <w:r w:rsidRPr="00A25019">
              <w:rPr>
                <w:noProof/>
                <w:webHidden/>
                <w:sz w:val="28"/>
                <w:szCs w:val="28"/>
                <w:rtl/>
              </w:rPr>
              <w:instrText xml:space="preserve"> </w:instrText>
            </w:r>
            <w:r w:rsidRPr="00A25019">
              <w:rPr>
                <w:noProof/>
                <w:webHidden/>
                <w:sz w:val="28"/>
                <w:szCs w:val="28"/>
              </w:rPr>
              <w:instrText>PAGEREF</w:instrText>
            </w:r>
            <w:r w:rsidRPr="00A25019">
              <w:rPr>
                <w:noProof/>
                <w:webHidden/>
                <w:sz w:val="28"/>
                <w:szCs w:val="28"/>
                <w:rtl/>
              </w:rPr>
              <w:instrText xml:space="preserve"> _</w:instrText>
            </w:r>
            <w:r w:rsidRPr="00A25019">
              <w:rPr>
                <w:noProof/>
                <w:webHidden/>
                <w:sz w:val="28"/>
                <w:szCs w:val="28"/>
              </w:rPr>
              <w:instrText>Toc202053524 \h</w:instrText>
            </w:r>
            <w:r w:rsidRPr="00A25019">
              <w:rPr>
                <w:noProof/>
                <w:webHidden/>
                <w:sz w:val="28"/>
                <w:szCs w:val="28"/>
                <w:rtl/>
              </w:rPr>
              <w:instrText xml:space="preserve"> </w:instrText>
            </w:r>
            <w:r w:rsidRPr="00A25019">
              <w:rPr>
                <w:noProof/>
                <w:color w:val="0563C1" w:themeColor="hyperlink"/>
                <w:sz w:val="28"/>
                <w:szCs w:val="28"/>
                <w:u w:val="single"/>
                <w:rtl/>
              </w:rPr>
            </w:r>
            <w:r w:rsidRPr="00A25019">
              <w:rPr>
                <w:noProof/>
                <w:color w:val="0563C1" w:themeColor="hyperlink"/>
                <w:sz w:val="28"/>
                <w:szCs w:val="28"/>
                <w:u w:val="single"/>
                <w:rtl/>
              </w:rPr>
              <w:fldChar w:fldCharType="separate"/>
            </w:r>
            <w:r w:rsidRPr="00A25019">
              <w:rPr>
                <w:noProof/>
                <w:webHidden/>
                <w:sz w:val="28"/>
                <w:szCs w:val="28"/>
                <w:rtl/>
              </w:rPr>
              <w:t>15</w:t>
            </w:r>
            <w:r w:rsidRPr="00A25019">
              <w:rPr>
                <w:noProof/>
                <w:color w:val="0563C1" w:themeColor="hyperlink"/>
                <w:sz w:val="28"/>
                <w:szCs w:val="28"/>
                <w:u w:val="single"/>
                <w:rtl/>
              </w:rPr>
              <w:fldChar w:fldCharType="end"/>
            </w:r>
          </w:hyperlink>
        </w:p>
        <w:p w14:paraId="08EB882B" w14:textId="77777777" w:rsidR="00A25019" w:rsidRPr="00A25019" w:rsidRDefault="00A25019" w:rsidP="00A25019">
          <w:pPr>
            <w:tabs>
              <w:tab w:val="right" w:leader="dot" w:pos="9016"/>
            </w:tabs>
            <w:spacing w:after="100"/>
            <w:rPr>
              <w:noProof/>
              <w:sz w:val="28"/>
              <w:szCs w:val="28"/>
              <w:rtl/>
            </w:rPr>
          </w:pPr>
          <w:hyperlink w:anchor="_Toc202053525" w:history="1">
            <w:r w:rsidRPr="00A25019">
              <w:rPr>
                <w:noProof/>
                <w:color w:val="0563C1" w:themeColor="hyperlink"/>
                <w:sz w:val="28"/>
                <w:szCs w:val="28"/>
                <w:u w:val="single"/>
                <w:rtl/>
                <w:lang w:bidi="ar-EG"/>
              </w:rPr>
              <w:t>عينة الدراسة</w:t>
            </w:r>
            <w:r w:rsidRPr="00A25019">
              <w:rPr>
                <w:noProof/>
                <w:webHidden/>
                <w:sz w:val="28"/>
                <w:szCs w:val="28"/>
                <w:rtl/>
              </w:rPr>
              <w:tab/>
            </w:r>
            <w:r w:rsidRPr="00A25019">
              <w:rPr>
                <w:noProof/>
                <w:color w:val="0563C1" w:themeColor="hyperlink"/>
                <w:sz w:val="28"/>
                <w:szCs w:val="28"/>
                <w:u w:val="single"/>
                <w:rtl/>
              </w:rPr>
              <w:fldChar w:fldCharType="begin"/>
            </w:r>
            <w:r w:rsidRPr="00A25019">
              <w:rPr>
                <w:noProof/>
                <w:webHidden/>
                <w:sz w:val="28"/>
                <w:szCs w:val="28"/>
                <w:rtl/>
              </w:rPr>
              <w:instrText xml:space="preserve"> </w:instrText>
            </w:r>
            <w:r w:rsidRPr="00A25019">
              <w:rPr>
                <w:noProof/>
                <w:webHidden/>
                <w:sz w:val="28"/>
                <w:szCs w:val="28"/>
              </w:rPr>
              <w:instrText>PAGEREF</w:instrText>
            </w:r>
            <w:r w:rsidRPr="00A25019">
              <w:rPr>
                <w:noProof/>
                <w:webHidden/>
                <w:sz w:val="28"/>
                <w:szCs w:val="28"/>
                <w:rtl/>
              </w:rPr>
              <w:instrText xml:space="preserve"> _</w:instrText>
            </w:r>
            <w:r w:rsidRPr="00A25019">
              <w:rPr>
                <w:noProof/>
                <w:webHidden/>
                <w:sz w:val="28"/>
                <w:szCs w:val="28"/>
              </w:rPr>
              <w:instrText>Toc202053525 \h</w:instrText>
            </w:r>
            <w:r w:rsidRPr="00A25019">
              <w:rPr>
                <w:noProof/>
                <w:webHidden/>
                <w:sz w:val="28"/>
                <w:szCs w:val="28"/>
                <w:rtl/>
              </w:rPr>
              <w:instrText xml:space="preserve"> </w:instrText>
            </w:r>
            <w:r w:rsidRPr="00A25019">
              <w:rPr>
                <w:noProof/>
                <w:color w:val="0563C1" w:themeColor="hyperlink"/>
                <w:sz w:val="28"/>
                <w:szCs w:val="28"/>
                <w:u w:val="single"/>
                <w:rtl/>
              </w:rPr>
            </w:r>
            <w:r w:rsidRPr="00A25019">
              <w:rPr>
                <w:noProof/>
                <w:color w:val="0563C1" w:themeColor="hyperlink"/>
                <w:sz w:val="28"/>
                <w:szCs w:val="28"/>
                <w:u w:val="single"/>
                <w:rtl/>
              </w:rPr>
              <w:fldChar w:fldCharType="separate"/>
            </w:r>
            <w:r w:rsidRPr="00A25019">
              <w:rPr>
                <w:noProof/>
                <w:webHidden/>
                <w:sz w:val="28"/>
                <w:szCs w:val="28"/>
                <w:rtl/>
              </w:rPr>
              <w:t>17</w:t>
            </w:r>
            <w:r w:rsidRPr="00A25019">
              <w:rPr>
                <w:noProof/>
                <w:color w:val="0563C1" w:themeColor="hyperlink"/>
                <w:sz w:val="28"/>
                <w:szCs w:val="28"/>
                <w:u w:val="single"/>
                <w:rtl/>
              </w:rPr>
              <w:fldChar w:fldCharType="end"/>
            </w:r>
          </w:hyperlink>
        </w:p>
        <w:p w14:paraId="4ED37EB6" w14:textId="77777777" w:rsidR="00A25019" w:rsidRPr="00A25019" w:rsidRDefault="00A25019" w:rsidP="00A25019">
          <w:pPr>
            <w:tabs>
              <w:tab w:val="right" w:leader="dot" w:pos="9016"/>
            </w:tabs>
            <w:spacing w:after="100"/>
            <w:rPr>
              <w:noProof/>
              <w:sz w:val="28"/>
              <w:szCs w:val="28"/>
              <w:rtl/>
            </w:rPr>
          </w:pPr>
          <w:hyperlink w:anchor="_Toc202053526" w:history="1">
            <w:r w:rsidRPr="00A25019">
              <w:rPr>
                <w:noProof/>
                <w:color w:val="0563C1" w:themeColor="hyperlink"/>
                <w:sz w:val="28"/>
                <w:szCs w:val="28"/>
                <w:u w:val="single"/>
                <w:rtl/>
                <w:lang w:bidi="ar-EG"/>
              </w:rPr>
              <w:t>مصادر البيانات في الدراسة</w:t>
            </w:r>
            <w:r w:rsidRPr="00A25019">
              <w:rPr>
                <w:noProof/>
                <w:webHidden/>
                <w:sz w:val="28"/>
                <w:szCs w:val="28"/>
                <w:rtl/>
              </w:rPr>
              <w:tab/>
            </w:r>
            <w:r w:rsidRPr="00A25019">
              <w:rPr>
                <w:noProof/>
                <w:color w:val="0563C1" w:themeColor="hyperlink"/>
                <w:sz w:val="28"/>
                <w:szCs w:val="28"/>
                <w:u w:val="single"/>
                <w:rtl/>
              </w:rPr>
              <w:fldChar w:fldCharType="begin"/>
            </w:r>
            <w:r w:rsidRPr="00A25019">
              <w:rPr>
                <w:noProof/>
                <w:webHidden/>
                <w:sz w:val="28"/>
                <w:szCs w:val="28"/>
                <w:rtl/>
              </w:rPr>
              <w:instrText xml:space="preserve"> </w:instrText>
            </w:r>
            <w:r w:rsidRPr="00A25019">
              <w:rPr>
                <w:noProof/>
                <w:webHidden/>
                <w:sz w:val="28"/>
                <w:szCs w:val="28"/>
              </w:rPr>
              <w:instrText>PAGEREF</w:instrText>
            </w:r>
            <w:r w:rsidRPr="00A25019">
              <w:rPr>
                <w:noProof/>
                <w:webHidden/>
                <w:sz w:val="28"/>
                <w:szCs w:val="28"/>
                <w:rtl/>
              </w:rPr>
              <w:instrText xml:space="preserve"> _</w:instrText>
            </w:r>
            <w:r w:rsidRPr="00A25019">
              <w:rPr>
                <w:noProof/>
                <w:webHidden/>
                <w:sz w:val="28"/>
                <w:szCs w:val="28"/>
              </w:rPr>
              <w:instrText>Toc202053526 \h</w:instrText>
            </w:r>
            <w:r w:rsidRPr="00A25019">
              <w:rPr>
                <w:noProof/>
                <w:webHidden/>
                <w:sz w:val="28"/>
                <w:szCs w:val="28"/>
                <w:rtl/>
              </w:rPr>
              <w:instrText xml:space="preserve"> </w:instrText>
            </w:r>
            <w:r w:rsidRPr="00A25019">
              <w:rPr>
                <w:noProof/>
                <w:color w:val="0563C1" w:themeColor="hyperlink"/>
                <w:sz w:val="28"/>
                <w:szCs w:val="28"/>
                <w:u w:val="single"/>
                <w:rtl/>
              </w:rPr>
            </w:r>
            <w:r w:rsidRPr="00A25019">
              <w:rPr>
                <w:noProof/>
                <w:color w:val="0563C1" w:themeColor="hyperlink"/>
                <w:sz w:val="28"/>
                <w:szCs w:val="28"/>
                <w:u w:val="single"/>
                <w:rtl/>
              </w:rPr>
              <w:fldChar w:fldCharType="separate"/>
            </w:r>
            <w:r w:rsidRPr="00A25019">
              <w:rPr>
                <w:noProof/>
                <w:webHidden/>
                <w:sz w:val="28"/>
                <w:szCs w:val="28"/>
                <w:rtl/>
              </w:rPr>
              <w:t>18</w:t>
            </w:r>
            <w:r w:rsidRPr="00A25019">
              <w:rPr>
                <w:noProof/>
                <w:color w:val="0563C1" w:themeColor="hyperlink"/>
                <w:sz w:val="28"/>
                <w:szCs w:val="28"/>
                <w:u w:val="single"/>
                <w:rtl/>
              </w:rPr>
              <w:fldChar w:fldCharType="end"/>
            </w:r>
          </w:hyperlink>
        </w:p>
        <w:p w14:paraId="22B0E296" w14:textId="77777777" w:rsidR="00A25019" w:rsidRPr="00A25019" w:rsidRDefault="00A25019" w:rsidP="00A25019">
          <w:pPr>
            <w:tabs>
              <w:tab w:val="right" w:leader="dot" w:pos="9016"/>
            </w:tabs>
            <w:spacing w:after="100"/>
            <w:rPr>
              <w:noProof/>
              <w:sz w:val="28"/>
              <w:szCs w:val="28"/>
              <w:rtl/>
            </w:rPr>
          </w:pPr>
          <w:hyperlink w:anchor="_Toc202053527" w:history="1">
            <w:r w:rsidRPr="00A25019">
              <w:rPr>
                <w:noProof/>
                <w:color w:val="0563C1" w:themeColor="hyperlink"/>
                <w:sz w:val="28"/>
                <w:szCs w:val="28"/>
                <w:u w:val="single"/>
                <w:rtl/>
                <w:lang w:bidi="ar-EG"/>
              </w:rPr>
              <w:t>المعالجات الإحصائية المقترحة:</w:t>
            </w:r>
            <w:r w:rsidRPr="00A25019">
              <w:rPr>
                <w:noProof/>
                <w:webHidden/>
                <w:sz w:val="28"/>
                <w:szCs w:val="28"/>
                <w:rtl/>
              </w:rPr>
              <w:tab/>
            </w:r>
            <w:r w:rsidRPr="00A25019">
              <w:rPr>
                <w:noProof/>
                <w:color w:val="0563C1" w:themeColor="hyperlink"/>
                <w:sz w:val="28"/>
                <w:szCs w:val="28"/>
                <w:u w:val="single"/>
                <w:rtl/>
              </w:rPr>
              <w:fldChar w:fldCharType="begin"/>
            </w:r>
            <w:r w:rsidRPr="00A25019">
              <w:rPr>
                <w:noProof/>
                <w:webHidden/>
                <w:sz w:val="28"/>
                <w:szCs w:val="28"/>
                <w:rtl/>
              </w:rPr>
              <w:instrText xml:space="preserve"> </w:instrText>
            </w:r>
            <w:r w:rsidRPr="00A25019">
              <w:rPr>
                <w:noProof/>
                <w:webHidden/>
                <w:sz w:val="28"/>
                <w:szCs w:val="28"/>
              </w:rPr>
              <w:instrText>PAGEREF</w:instrText>
            </w:r>
            <w:r w:rsidRPr="00A25019">
              <w:rPr>
                <w:noProof/>
                <w:webHidden/>
                <w:sz w:val="28"/>
                <w:szCs w:val="28"/>
                <w:rtl/>
              </w:rPr>
              <w:instrText xml:space="preserve"> _</w:instrText>
            </w:r>
            <w:r w:rsidRPr="00A25019">
              <w:rPr>
                <w:noProof/>
                <w:webHidden/>
                <w:sz w:val="28"/>
                <w:szCs w:val="28"/>
              </w:rPr>
              <w:instrText>Toc202053527 \h</w:instrText>
            </w:r>
            <w:r w:rsidRPr="00A25019">
              <w:rPr>
                <w:noProof/>
                <w:webHidden/>
                <w:sz w:val="28"/>
                <w:szCs w:val="28"/>
                <w:rtl/>
              </w:rPr>
              <w:instrText xml:space="preserve"> </w:instrText>
            </w:r>
            <w:r w:rsidRPr="00A25019">
              <w:rPr>
                <w:noProof/>
                <w:color w:val="0563C1" w:themeColor="hyperlink"/>
                <w:sz w:val="28"/>
                <w:szCs w:val="28"/>
                <w:u w:val="single"/>
                <w:rtl/>
              </w:rPr>
            </w:r>
            <w:r w:rsidRPr="00A25019">
              <w:rPr>
                <w:noProof/>
                <w:color w:val="0563C1" w:themeColor="hyperlink"/>
                <w:sz w:val="28"/>
                <w:szCs w:val="28"/>
                <w:u w:val="single"/>
                <w:rtl/>
              </w:rPr>
              <w:fldChar w:fldCharType="separate"/>
            </w:r>
            <w:r w:rsidRPr="00A25019">
              <w:rPr>
                <w:noProof/>
                <w:webHidden/>
                <w:sz w:val="28"/>
                <w:szCs w:val="28"/>
                <w:rtl/>
              </w:rPr>
              <w:t>18</w:t>
            </w:r>
            <w:r w:rsidRPr="00A25019">
              <w:rPr>
                <w:noProof/>
                <w:color w:val="0563C1" w:themeColor="hyperlink"/>
                <w:sz w:val="28"/>
                <w:szCs w:val="28"/>
                <w:u w:val="single"/>
                <w:rtl/>
              </w:rPr>
              <w:fldChar w:fldCharType="end"/>
            </w:r>
          </w:hyperlink>
        </w:p>
        <w:p w14:paraId="76F15F7E" w14:textId="77777777" w:rsidR="00A25019" w:rsidRPr="00A25019" w:rsidRDefault="00A25019" w:rsidP="00A25019">
          <w:pPr>
            <w:tabs>
              <w:tab w:val="right" w:leader="dot" w:pos="9016"/>
            </w:tabs>
            <w:spacing w:after="100"/>
            <w:rPr>
              <w:noProof/>
              <w:sz w:val="28"/>
              <w:szCs w:val="28"/>
              <w:rtl/>
            </w:rPr>
          </w:pPr>
          <w:hyperlink w:anchor="_Toc202053528" w:history="1">
            <w:r w:rsidRPr="00A25019">
              <w:rPr>
                <w:noProof/>
                <w:color w:val="0563C1" w:themeColor="hyperlink"/>
                <w:sz w:val="28"/>
                <w:szCs w:val="28"/>
                <w:u w:val="single"/>
                <w:rtl/>
                <w:lang w:bidi="ar-EG"/>
              </w:rPr>
              <w:t>حدود الدراسة</w:t>
            </w:r>
            <w:r w:rsidRPr="00A25019">
              <w:rPr>
                <w:noProof/>
                <w:webHidden/>
                <w:sz w:val="28"/>
                <w:szCs w:val="28"/>
                <w:rtl/>
              </w:rPr>
              <w:tab/>
            </w:r>
            <w:r w:rsidRPr="00A25019">
              <w:rPr>
                <w:noProof/>
                <w:color w:val="0563C1" w:themeColor="hyperlink"/>
                <w:sz w:val="28"/>
                <w:szCs w:val="28"/>
                <w:u w:val="single"/>
                <w:rtl/>
              </w:rPr>
              <w:fldChar w:fldCharType="begin"/>
            </w:r>
            <w:r w:rsidRPr="00A25019">
              <w:rPr>
                <w:noProof/>
                <w:webHidden/>
                <w:sz w:val="28"/>
                <w:szCs w:val="28"/>
                <w:rtl/>
              </w:rPr>
              <w:instrText xml:space="preserve"> </w:instrText>
            </w:r>
            <w:r w:rsidRPr="00A25019">
              <w:rPr>
                <w:noProof/>
                <w:webHidden/>
                <w:sz w:val="28"/>
                <w:szCs w:val="28"/>
              </w:rPr>
              <w:instrText>PAGEREF</w:instrText>
            </w:r>
            <w:r w:rsidRPr="00A25019">
              <w:rPr>
                <w:noProof/>
                <w:webHidden/>
                <w:sz w:val="28"/>
                <w:szCs w:val="28"/>
                <w:rtl/>
              </w:rPr>
              <w:instrText xml:space="preserve"> _</w:instrText>
            </w:r>
            <w:r w:rsidRPr="00A25019">
              <w:rPr>
                <w:noProof/>
                <w:webHidden/>
                <w:sz w:val="28"/>
                <w:szCs w:val="28"/>
              </w:rPr>
              <w:instrText>Toc202053528 \h</w:instrText>
            </w:r>
            <w:r w:rsidRPr="00A25019">
              <w:rPr>
                <w:noProof/>
                <w:webHidden/>
                <w:sz w:val="28"/>
                <w:szCs w:val="28"/>
                <w:rtl/>
              </w:rPr>
              <w:instrText xml:space="preserve"> </w:instrText>
            </w:r>
            <w:r w:rsidRPr="00A25019">
              <w:rPr>
                <w:noProof/>
                <w:color w:val="0563C1" w:themeColor="hyperlink"/>
                <w:sz w:val="28"/>
                <w:szCs w:val="28"/>
                <w:u w:val="single"/>
                <w:rtl/>
              </w:rPr>
            </w:r>
            <w:r w:rsidRPr="00A25019">
              <w:rPr>
                <w:noProof/>
                <w:color w:val="0563C1" w:themeColor="hyperlink"/>
                <w:sz w:val="28"/>
                <w:szCs w:val="28"/>
                <w:u w:val="single"/>
                <w:rtl/>
              </w:rPr>
              <w:fldChar w:fldCharType="separate"/>
            </w:r>
            <w:r w:rsidRPr="00A25019">
              <w:rPr>
                <w:noProof/>
                <w:webHidden/>
                <w:sz w:val="28"/>
                <w:szCs w:val="28"/>
                <w:rtl/>
              </w:rPr>
              <w:t>19</w:t>
            </w:r>
            <w:r w:rsidRPr="00A25019">
              <w:rPr>
                <w:noProof/>
                <w:color w:val="0563C1" w:themeColor="hyperlink"/>
                <w:sz w:val="28"/>
                <w:szCs w:val="28"/>
                <w:u w:val="single"/>
                <w:rtl/>
              </w:rPr>
              <w:fldChar w:fldCharType="end"/>
            </w:r>
          </w:hyperlink>
        </w:p>
        <w:p w14:paraId="24E95E29" w14:textId="77777777" w:rsidR="00A25019" w:rsidRPr="00A25019" w:rsidRDefault="00A25019" w:rsidP="00A25019">
          <w:pPr>
            <w:tabs>
              <w:tab w:val="right" w:leader="dot" w:pos="9016"/>
            </w:tabs>
            <w:spacing w:after="100"/>
            <w:rPr>
              <w:noProof/>
              <w:sz w:val="28"/>
              <w:szCs w:val="28"/>
              <w:rtl/>
            </w:rPr>
          </w:pPr>
          <w:hyperlink w:anchor="_Toc202053529" w:history="1">
            <w:r w:rsidRPr="00A25019">
              <w:rPr>
                <w:noProof/>
                <w:color w:val="0563C1" w:themeColor="hyperlink"/>
                <w:sz w:val="28"/>
                <w:szCs w:val="28"/>
                <w:u w:val="single"/>
                <w:rtl/>
                <w:lang w:bidi="ar-EG"/>
              </w:rPr>
              <w:t>الدراسات السابقة :</w:t>
            </w:r>
            <w:r w:rsidRPr="00A25019">
              <w:rPr>
                <w:noProof/>
                <w:webHidden/>
                <w:sz w:val="28"/>
                <w:szCs w:val="28"/>
                <w:rtl/>
              </w:rPr>
              <w:tab/>
            </w:r>
            <w:r w:rsidRPr="00A25019">
              <w:rPr>
                <w:noProof/>
                <w:color w:val="0563C1" w:themeColor="hyperlink"/>
                <w:sz w:val="28"/>
                <w:szCs w:val="28"/>
                <w:u w:val="single"/>
                <w:rtl/>
              </w:rPr>
              <w:fldChar w:fldCharType="begin"/>
            </w:r>
            <w:r w:rsidRPr="00A25019">
              <w:rPr>
                <w:noProof/>
                <w:webHidden/>
                <w:sz w:val="28"/>
                <w:szCs w:val="28"/>
                <w:rtl/>
              </w:rPr>
              <w:instrText xml:space="preserve"> </w:instrText>
            </w:r>
            <w:r w:rsidRPr="00A25019">
              <w:rPr>
                <w:noProof/>
                <w:webHidden/>
                <w:sz w:val="28"/>
                <w:szCs w:val="28"/>
              </w:rPr>
              <w:instrText>PAGEREF</w:instrText>
            </w:r>
            <w:r w:rsidRPr="00A25019">
              <w:rPr>
                <w:noProof/>
                <w:webHidden/>
                <w:sz w:val="28"/>
                <w:szCs w:val="28"/>
                <w:rtl/>
              </w:rPr>
              <w:instrText xml:space="preserve"> _</w:instrText>
            </w:r>
            <w:r w:rsidRPr="00A25019">
              <w:rPr>
                <w:noProof/>
                <w:webHidden/>
                <w:sz w:val="28"/>
                <w:szCs w:val="28"/>
              </w:rPr>
              <w:instrText>Toc202053529 \h</w:instrText>
            </w:r>
            <w:r w:rsidRPr="00A25019">
              <w:rPr>
                <w:noProof/>
                <w:webHidden/>
                <w:sz w:val="28"/>
                <w:szCs w:val="28"/>
                <w:rtl/>
              </w:rPr>
              <w:instrText xml:space="preserve"> </w:instrText>
            </w:r>
            <w:r w:rsidRPr="00A25019">
              <w:rPr>
                <w:noProof/>
                <w:color w:val="0563C1" w:themeColor="hyperlink"/>
                <w:sz w:val="28"/>
                <w:szCs w:val="28"/>
                <w:u w:val="single"/>
                <w:rtl/>
              </w:rPr>
            </w:r>
            <w:r w:rsidRPr="00A25019">
              <w:rPr>
                <w:noProof/>
                <w:color w:val="0563C1" w:themeColor="hyperlink"/>
                <w:sz w:val="28"/>
                <w:szCs w:val="28"/>
                <w:u w:val="single"/>
                <w:rtl/>
              </w:rPr>
              <w:fldChar w:fldCharType="separate"/>
            </w:r>
            <w:r w:rsidRPr="00A25019">
              <w:rPr>
                <w:noProof/>
                <w:webHidden/>
                <w:sz w:val="28"/>
                <w:szCs w:val="28"/>
                <w:rtl/>
              </w:rPr>
              <w:t>20</w:t>
            </w:r>
            <w:r w:rsidRPr="00A25019">
              <w:rPr>
                <w:noProof/>
                <w:color w:val="0563C1" w:themeColor="hyperlink"/>
                <w:sz w:val="28"/>
                <w:szCs w:val="28"/>
                <w:u w:val="single"/>
                <w:rtl/>
              </w:rPr>
              <w:fldChar w:fldCharType="end"/>
            </w:r>
          </w:hyperlink>
        </w:p>
        <w:p w14:paraId="27CE0843" w14:textId="77777777" w:rsidR="00A25019" w:rsidRPr="00A25019" w:rsidRDefault="00A25019" w:rsidP="00A25019">
          <w:pPr>
            <w:tabs>
              <w:tab w:val="right" w:leader="dot" w:pos="9016"/>
            </w:tabs>
            <w:spacing w:after="100"/>
            <w:rPr>
              <w:noProof/>
              <w:sz w:val="28"/>
              <w:szCs w:val="28"/>
              <w:rtl/>
            </w:rPr>
          </w:pPr>
          <w:hyperlink w:anchor="_Toc202053530" w:history="1">
            <w:r w:rsidRPr="00A25019">
              <w:rPr>
                <w:noProof/>
                <w:color w:val="0563C1" w:themeColor="hyperlink"/>
                <w:sz w:val="28"/>
                <w:szCs w:val="28"/>
                <w:u w:val="single"/>
                <w:rtl/>
                <w:lang w:bidi="ar-EG"/>
              </w:rPr>
              <w:t>الفجوة البحثية</w:t>
            </w:r>
            <w:r w:rsidRPr="00A25019">
              <w:rPr>
                <w:noProof/>
                <w:webHidden/>
                <w:sz w:val="28"/>
                <w:szCs w:val="28"/>
                <w:rtl/>
              </w:rPr>
              <w:tab/>
            </w:r>
            <w:r w:rsidRPr="00A25019">
              <w:rPr>
                <w:noProof/>
                <w:color w:val="0563C1" w:themeColor="hyperlink"/>
                <w:sz w:val="28"/>
                <w:szCs w:val="28"/>
                <w:u w:val="single"/>
                <w:rtl/>
              </w:rPr>
              <w:fldChar w:fldCharType="begin"/>
            </w:r>
            <w:r w:rsidRPr="00A25019">
              <w:rPr>
                <w:noProof/>
                <w:webHidden/>
                <w:sz w:val="28"/>
                <w:szCs w:val="28"/>
                <w:rtl/>
              </w:rPr>
              <w:instrText xml:space="preserve"> </w:instrText>
            </w:r>
            <w:r w:rsidRPr="00A25019">
              <w:rPr>
                <w:noProof/>
                <w:webHidden/>
                <w:sz w:val="28"/>
                <w:szCs w:val="28"/>
              </w:rPr>
              <w:instrText>PAGEREF</w:instrText>
            </w:r>
            <w:r w:rsidRPr="00A25019">
              <w:rPr>
                <w:noProof/>
                <w:webHidden/>
                <w:sz w:val="28"/>
                <w:szCs w:val="28"/>
                <w:rtl/>
              </w:rPr>
              <w:instrText xml:space="preserve"> _</w:instrText>
            </w:r>
            <w:r w:rsidRPr="00A25019">
              <w:rPr>
                <w:noProof/>
                <w:webHidden/>
                <w:sz w:val="28"/>
                <w:szCs w:val="28"/>
              </w:rPr>
              <w:instrText>Toc202053530 \h</w:instrText>
            </w:r>
            <w:r w:rsidRPr="00A25019">
              <w:rPr>
                <w:noProof/>
                <w:webHidden/>
                <w:sz w:val="28"/>
                <w:szCs w:val="28"/>
                <w:rtl/>
              </w:rPr>
              <w:instrText xml:space="preserve"> </w:instrText>
            </w:r>
            <w:r w:rsidRPr="00A25019">
              <w:rPr>
                <w:noProof/>
                <w:color w:val="0563C1" w:themeColor="hyperlink"/>
                <w:sz w:val="28"/>
                <w:szCs w:val="28"/>
                <w:u w:val="single"/>
                <w:rtl/>
              </w:rPr>
            </w:r>
            <w:r w:rsidRPr="00A25019">
              <w:rPr>
                <w:noProof/>
                <w:color w:val="0563C1" w:themeColor="hyperlink"/>
                <w:sz w:val="28"/>
                <w:szCs w:val="28"/>
                <w:u w:val="single"/>
                <w:rtl/>
              </w:rPr>
              <w:fldChar w:fldCharType="separate"/>
            </w:r>
            <w:r w:rsidRPr="00A25019">
              <w:rPr>
                <w:noProof/>
                <w:webHidden/>
                <w:sz w:val="28"/>
                <w:szCs w:val="28"/>
                <w:rtl/>
              </w:rPr>
              <w:t>35</w:t>
            </w:r>
            <w:r w:rsidRPr="00A25019">
              <w:rPr>
                <w:noProof/>
                <w:color w:val="0563C1" w:themeColor="hyperlink"/>
                <w:sz w:val="28"/>
                <w:szCs w:val="28"/>
                <w:u w:val="single"/>
                <w:rtl/>
              </w:rPr>
              <w:fldChar w:fldCharType="end"/>
            </w:r>
          </w:hyperlink>
        </w:p>
        <w:p w14:paraId="261FC31D" w14:textId="77777777" w:rsidR="00A25019" w:rsidRPr="00A25019" w:rsidRDefault="00A25019" w:rsidP="00A25019">
          <w:pPr>
            <w:tabs>
              <w:tab w:val="right" w:leader="dot" w:pos="9016"/>
            </w:tabs>
            <w:spacing w:after="100"/>
            <w:rPr>
              <w:noProof/>
              <w:rtl/>
            </w:rPr>
          </w:pPr>
          <w:hyperlink w:anchor="_Toc202053531" w:history="1">
            <w:r w:rsidRPr="00A25019">
              <w:rPr>
                <w:noProof/>
                <w:color w:val="0563C1" w:themeColor="hyperlink"/>
                <w:sz w:val="28"/>
                <w:szCs w:val="28"/>
                <w:u w:val="single"/>
                <w:rtl/>
                <w:lang w:bidi="ar-EG"/>
              </w:rPr>
              <w:t>قائمة المراجع:</w:t>
            </w:r>
            <w:r w:rsidRPr="00A25019">
              <w:rPr>
                <w:noProof/>
                <w:webHidden/>
                <w:sz w:val="28"/>
                <w:szCs w:val="28"/>
                <w:rtl/>
              </w:rPr>
              <w:tab/>
            </w:r>
            <w:r w:rsidRPr="00A25019">
              <w:rPr>
                <w:noProof/>
                <w:color w:val="0563C1" w:themeColor="hyperlink"/>
                <w:sz w:val="28"/>
                <w:szCs w:val="28"/>
                <w:u w:val="single"/>
                <w:rtl/>
              </w:rPr>
              <w:fldChar w:fldCharType="begin"/>
            </w:r>
            <w:r w:rsidRPr="00A25019">
              <w:rPr>
                <w:noProof/>
                <w:webHidden/>
                <w:sz w:val="28"/>
                <w:szCs w:val="28"/>
                <w:rtl/>
              </w:rPr>
              <w:instrText xml:space="preserve"> </w:instrText>
            </w:r>
            <w:r w:rsidRPr="00A25019">
              <w:rPr>
                <w:noProof/>
                <w:webHidden/>
                <w:sz w:val="28"/>
                <w:szCs w:val="28"/>
              </w:rPr>
              <w:instrText>PAGEREF</w:instrText>
            </w:r>
            <w:r w:rsidRPr="00A25019">
              <w:rPr>
                <w:noProof/>
                <w:webHidden/>
                <w:sz w:val="28"/>
                <w:szCs w:val="28"/>
                <w:rtl/>
              </w:rPr>
              <w:instrText xml:space="preserve"> _</w:instrText>
            </w:r>
            <w:r w:rsidRPr="00A25019">
              <w:rPr>
                <w:noProof/>
                <w:webHidden/>
                <w:sz w:val="28"/>
                <w:szCs w:val="28"/>
              </w:rPr>
              <w:instrText>Toc202053531 \h</w:instrText>
            </w:r>
            <w:r w:rsidRPr="00A25019">
              <w:rPr>
                <w:noProof/>
                <w:webHidden/>
                <w:sz w:val="28"/>
                <w:szCs w:val="28"/>
                <w:rtl/>
              </w:rPr>
              <w:instrText xml:space="preserve"> </w:instrText>
            </w:r>
            <w:r w:rsidRPr="00A25019">
              <w:rPr>
                <w:noProof/>
                <w:color w:val="0563C1" w:themeColor="hyperlink"/>
                <w:sz w:val="28"/>
                <w:szCs w:val="28"/>
                <w:u w:val="single"/>
                <w:rtl/>
              </w:rPr>
            </w:r>
            <w:r w:rsidRPr="00A25019">
              <w:rPr>
                <w:noProof/>
                <w:color w:val="0563C1" w:themeColor="hyperlink"/>
                <w:sz w:val="28"/>
                <w:szCs w:val="28"/>
                <w:u w:val="single"/>
                <w:rtl/>
              </w:rPr>
              <w:fldChar w:fldCharType="separate"/>
            </w:r>
            <w:r w:rsidRPr="00A25019">
              <w:rPr>
                <w:noProof/>
                <w:webHidden/>
                <w:sz w:val="28"/>
                <w:szCs w:val="28"/>
                <w:rtl/>
              </w:rPr>
              <w:t>94</w:t>
            </w:r>
            <w:r w:rsidRPr="00A25019">
              <w:rPr>
                <w:noProof/>
                <w:color w:val="0563C1" w:themeColor="hyperlink"/>
                <w:sz w:val="28"/>
                <w:szCs w:val="28"/>
                <w:u w:val="single"/>
                <w:rtl/>
              </w:rPr>
              <w:fldChar w:fldCharType="end"/>
            </w:r>
          </w:hyperlink>
        </w:p>
        <w:p w14:paraId="2B8D0208" w14:textId="77777777" w:rsidR="00A25019" w:rsidRPr="00A25019" w:rsidRDefault="00A25019" w:rsidP="00A25019">
          <w:r w:rsidRPr="00A25019">
            <w:rPr>
              <w:b/>
              <w:bCs/>
              <w:lang w:val="ar-SA"/>
            </w:rPr>
            <w:fldChar w:fldCharType="end"/>
          </w:r>
        </w:p>
      </w:sdtContent>
    </w:sdt>
    <w:p w14:paraId="5B93C638" w14:textId="77777777" w:rsidR="00A25019" w:rsidRPr="00A25019" w:rsidRDefault="00A25019" w:rsidP="00A25019">
      <w:pPr>
        <w:jc w:val="both"/>
        <w:rPr>
          <w:rFonts w:ascii="Simplified Arabic" w:hAnsi="Simplified Arabic" w:cs="Simplified Arabic"/>
          <w:sz w:val="28"/>
          <w:szCs w:val="28"/>
          <w:rtl/>
          <w:lang w:bidi="ar-EG"/>
        </w:rPr>
      </w:pPr>
    </w:p>
    <w:p w14:paraId="4F283FF7" w14:textId="77777777" w:rsidR="00A25019" w:rsidRPr="00A25019" w:rsidRDefault="00A25019" w:rsidP="00A25019">
      <w:pPr>
        <w:jc w:val="both"/>
        <w:rPr>
          <w:rFonts w:ascii="Simplified Arabic" w:hAnsi="Simplified Arabic" w:cs="Simplified Arabic"/>
          <w:sz w:val="28"/>
          <w:szCs w:val="28"/>
          <w:rtl/>
          <w:lang w:bidi="ar-EG"/>
        </w:rPr>
      </w:pPr>
    </w:p>
    <w:p w14:paraId="562AB69A" w14:textId="77777777" w:rsidR="00A25019" w:rsidRPr="00A25019" w:rsidRDefault="00A25019" w:rsidP="00A25019">
      <w:pPr>
        <w:keepNext/>
        <w:keepLines/>
        <w:spacing w:before="360" w:after="80"/>
        <w:outlineLvl w:val="0"/>
        <w:rPr>
          <w:rFonts w:ascii="Simplified Arabic" w:eastAsiaTheme="majorEastAsia" w:hAnsi="Simplified Arabic" w:cs="Simplified Arabic"/>
          <w:b/>
          <w:bCs/>
          <w:sz w:val="36"/>
          <w:szCs w:val="36"/>
          <w:rtl/>
          <w:lang w:bidi="ar-EG"/>
        </w:rPr>
      </w:pPr>
      <w:bookmarkStart w:id="1" w:name="_Toc202053515"/>
      <w:r w:rsidRPr="00A25019">
        <w:rPr>
          <w:rFonts w:ascii="Simplified Arabic" w:eastAsiaTheme="majorEastAsia" w:hAnsi="Simplified Arabic" w:cs="Simplified Arabic"/>
          <w:b/>
          <w:bCs/>
          <w:sz w:val="36"/>
          <w:szCs w:val="36"/>
          <w:rtl/>
          <w:lang w:bidi="ar-EG"/>
        </w:rPr>
        <w:lastRenderedPageBreak/>
        <w:t>المقدمة:</w:t>
      </w:r>
      <w:bookmarkEnd w:id="1"/>
    </w:p>
    <w:p w14:paraId="3FAC23E9" w14:textId="77777777" w:rsidR="00A25019" w:rsidRPr="00A25019" w:rsidRDefault="00A25019" w:rsidP="00A25019">
      <w:pPr>
        <w:ind w:firstLine="720"/>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في ظل التنامي المتسارع للتجمعات البشرية الكبرى، لم تعد الأساليب التقليدية في إدارة الحشود كافية لضمان الكفاءة التشغيلية واستدامة الأداء، الأمر الذي أفرز الحاجة إلى تبني ممارسات الاستدامة كمدخل استراتيجي يدمج الأبعاد البيئية والاقتصادية والاجتماعية ضمن السياسات والقرارات التشغيلية، ولم يعد هذا التوجه مرتبطًا بالالتزام الأخلاقي فحسب، بل أصبح أداة عملية لتقليل الفاقد، وترشيد الموارد، وتعزيز القدرة المؤسسية على التعامل مع الضغوط المتزايدة في البيئات المعقدة.</w:t>
      </w:r>
    </w:p>
    <w:p w14:paraId="49EA860C" w14:textId="77777777" w:rsidR="00A25019" w:rsidRPr="00A25019" w:rsidRDefault="00A25019" w:rsidP="00A25019">
      <w:pPr>
        <w:ind w:firstLine="720"/>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وتُعد مواسم الحج والعمرة من أكثر البيئات التنظيمية تعقيدًا على مستوى العالم، نظرًا للارتفاع المستمر في أعداد الحجاج والمعتمرين وتنوعهم الثقافي والزمني والمكاني. وتشير الإحصاءات الرسمية الصادرة عن الهيئة العامة للإحصاء إلى أن عدد الحجاج في موسم 1445هـ/2024م بلغ نحو 1.83 مليون حاج، فيما تجاوز عدد المعتمرين 10.5 ملايين خلال الربع الثاني من عام 2024، ليصل إجمالي عدد قاصدي الحرمين الشريفين خلال العام إلى ما يقارب 18.5 مليون زائر (</w:t>
      </w:r>
      <w:r w:rsidRPr="00A25019">
        <w:rPr>
          <w:rFonts w:ascii="Simplified Arabic" w:hAnsi="Simplified Arabic" w:cs="Simplified Arabic"/>
          <w:color w:val="EE0000"/>
          <w:sz w:val="28"/>
          <w:szCs w:val="28"/>
        </w:rPr>
        <w:t>General Authority for Statistics, 2024</w:t>
      </w:r>
      <w:r w:rsidRPr="00A25019">
        <w:rPr>
          <w:rFonts w:ascii="Simplified Arabic" w:hAnsi="Simplified Arabic" w:cs="Simplified Arabic"/>
          <w:color w:val="EE0000"/>
          <w:sz w:val="28"/>
          <w:szCs w:val="28"/>
          <w:rtl/>
        </w:rPr>
        <w:t xml:space="preserve">؛ </w:t>
      </w:r>
      <w:r w:rsidRPr="00A25019">
        <w:rPr>
          <w:rFonts w:ascii="Simplified Arabic" w:hAnsi="Simplified Arabic" w:cs="Simplified Arabic"/>
          <w:color w:val="EE0000"/>
          <w:sz w:val="28"/>
          <w:szCs w:val="28"/>
        </w:rPr>
        <w:t>Argaam, 2024</w:t>
      </w:r>
      <w:r w:rsidRPr="00A25019">
        <w:rPr>
          <w:rFonts w:ascii="Simplified Arabic" w:hAnsi="Simplified Arabic" w:cs="Simplified Arabic"/>
          <w:color w:val="EE0000"/>
          <w:sz w:val="28"/>
          <w:szCs w:val="28"/>
          <w:rtl/>
        </w:rPr>
        <w:t>)، وتعكس هذه الأرقام حجم الضغط التشغيلي الواقع على منظومة إدارة الحشود، وما يتطلبه ذلك من حلول تنظيمية تتسم بالاستدامة والمرونة والكفاءة.</w:t>
      </w:r>
    </w:p>
    <w:p w14:paraId="4525637C" w14:textId="77777777" w:rsidR="00A25019" w:rsidRPr="00A25019" w:rsidRDefault="00A25019" w:rsidP="00A25019">
      <w:pPr>
        <w:ind w:firstLine="720"/>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ولا تُقاس كفاءة إدارة الحشود بكثرة الموارد أو صرامة الإجراءات التنظيمية، بل بقدرة الجهات المعنية على تحقيق الانسيابية، وسرعة الاستجابة للتغيرات الطارئة، وتقليل التكدس والازدحام في اللحظات الحرجة. وتمثل هذه الكفاءة نتاجًا لتراكم معرفي وتجريبي، يقوم على التخطيط المسبق، والتنسيق المؤسسي، والقدرة على التنبؤ بالمخاطر والتحكم في تدفق الحشود بمرونة وتكامل ، وتزداد أهمية هذا المفهوم في التجمعات ذات الطابع الديني والوجداني، حيث يتطلب الأمر تحقيق توازن دقيق بين متطلبات السلامة، وسلاسة الحركة، واحترام الخصوصية الدينية(عياد، 2022)..</w:t>
      </w:r>
    </w:p>
    <w:p w14:paraId="46665FD1" w14:textId="77777777" w:rsidR="00A25019" w:rsidRPr="00A25019" w:rsidRDefault="00A25019" w:rsidP="00A25019">
      <w:pPr>
        <w:ind w:firstLine="720"/>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وتبرز التكنولوجيا الذكية بوصفها عاملًا محوريًا في تطوير منظومات إدارة الحشود، من خلال ما توفره من أدوات للمراقبة اللحظية، والتحليل التنبئي، والتوجيه التفاعلي المباشر، وقد أسهمت هذه التقنيات في الانتقال من القرارات التقديرية إلى القرارات القائمة على البيانات، وربط التخطيط الاستراتيجي بالتنفيذ الميداني بكفاءة أعلى، بما يحد من المخاطر التشغيلية ويعزز سلامة الحشود (</w:t>
      </w:r>
      <w:r w:rsidRPr="00A25019">
        <w:rPr>
          <w:rFonts w:ascii="Simplified Arabic" w:hAnsi="Simplified Arabic" w:cs="Simplified Arabic"/>
          <w:color w:val="EE0000"/>
          <w:sz w:val="28"/>
          <w:szCs w:val="28"/>
        </w:rPr>
        <w:t>Mahmood, 2024</w:t>
      </w:r>
      <w:r w:rsidRPr="00A25019">
        <w:rPr>
          <w:rFonts w:ascii="Simplified Arabic" w:hAnsi="Simplified Arabic" w:cs="Simplified Arabic"/>
          <w:color w:val="EE0000"/>
          <w:sz w:val="28"/>
          <w:szCs w:val="28"/>
          <w:rtl/>
        </w:rPr>
        <w:t>).</w:t>
      </w:r>
    </w:p>
    <w:p w14:paraId="6076B19C" w14:textId="77777777" w:rsidR="00A25019" w:rsidRPr="00A25019" w:rsidRDefault="00A25019" w:rsidP="00A25019">
      <w:pPr>
        <w:ind w:firstLine="720"/>
        <w:jc w:val="both"/>
        <w:rPr>
          <w:rFonts w:ascii="Simplified Arabic" w:hAnsi="Simplified Arabic" w:cs="Simplified Arabic"/>
          <w:color w:val="EE0000"/>
          <w:sz w:val="28"/>
          <w:szCs w:val="28"/>
          <w:rtl/>
        </w:rPr>
      </w:pPr>
    </w:p>
    <w:p w14:paraId="4488A1F6" w14:textId="77777777" w:rsidR="00A25019" w:rsidRPr="00A25019" w:rsidRDefault="00A25019" w:rsidP="00A25019">
      <w:pPr>
        <w:ind w:firstLine="720"/>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lastRenderedPageBreak/>
        <w:t>لم تعد الأساليب التقليدية في إدارة الحشود كافية لضمان الكفاءة التشغيلية، مما أبرز الحاجة إلى تبني ممارسات الاستدامة بوصفها مدخلاً استراتيجياً يدمج الأبعاد البيئية والاقتصادية والاجتماعية في السياسات التشغيلية. كما أصبحت التكنولوجيا الذكية عاملاً محورياً في تطوير هذه المنظومات، من خلال أدوات المراقبة اللحظية، والتحليل التنبئي، والتوجيه التفاعلي، مما أسهم في الانتقال من القرارات التقديرية إلى القرارات القائمة على البيانات(</w:t>
      </w:r>
      <w:r w:rsidRPr="00A25019">
        <w:rPr>
          <w:rFonts w:ascii="Simplified Arabic" w:hAnsi="Simplified Arabic" w:cs="Simplified Arabic"/>
          <w:color w:val="EE0000"/>
          <w:sz w:val="28"/>
          <w:szCs w:val="28"/>
        </w:rPr>
        <w:t xml:space="preserve"> (Mahmood, 2024</w:t>
      </w:r>
      <w:r w:rsidRPr="00A25019">
        <w:rPr>
          <w:rFonts w:ascii="Simplified Arabic" w:hAnsi="Simplified Arabic" w:cs="Simplified Arabic"/>
          <w:color w:val="EE0000"/>
          <w:sz w:val="28"/>
          <w:szCs w:val="28"/>
          <w:rtl/>
        </w:rPr>
        <w:t>.</w:t>
      </w:r>
    </w:p>
    <w:p w14:paraId="48BA309C" w14:textId="77777777" w:rsidR="00A25019" w:rsidRPr="00A25019" w:rsidRDefault="00A25019" w:rsidP="00A25019">
      <w:pPr>
        <w:ind w:firstLine="720"/>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 xml:space="preserve">وانطلاقًا مما سبق، تنبع أهمية هذه الدراسة من سعيها إلى تحليل العلاقة بين ممارسات الاستدامة وكفاءة إدارة الحشود، مع اختبار الدور الوسيط للتكنولوجيا الذكية في هذه العلاقة، وذلك في إطار موسم الحج والعمرة في مكة المكرمة والمدينة المنورة، وتسعى الدراسة إلى تقديم نموذج تحليلي متكامل يسهم في تفسير الأداء التنظيمي للحشود، ويدعم تطوير نماذج تشغيلية أكثر استدامة وذكاءً، بما يتوافق مع مستهدفات رؤية المملكة العربية السعودية 2030 الرامية إلى الارتقاء بخدمات الحج والعمرة وتحقيق استدامتها. </w:t>
      </w:r>
    </w:p>
    <w:p w14:paraId="29E7AD23" w14:textId="77777777" w:rsidR="00A25019" w:rsidRPr="00A25019" w:rsidRDefault="00A25019" w:rsidP="00A25019">
      <w:pPr>
        <w:keepNext/>
        <w:keepLines/>
        <w:spacing w:before="360" w:after="80"/>
        <w:outlineLvl w:val="0"/>
        <w:rPr>
          <w:rFonts w:ascii="Simplified Arabic" w:eastAsiaTheme="majorEastAsia" w:hAnsi="Simplified Arabic" w:cs="Simplified Arabic"/>
          <w:b/>
          <w:bCs/>
          <w:sz w:val="36"/>
          <w:szCs w:val="36"/>
          <w:rtl/>
          <w:lang w:bidi="ar-EG"/>
        </w:rPr>
      </w:pPr>
      <w:bookmarkStart w:id="2" w:name="_Toc202053516"/>
      <w:r w:rsidRPr="00A25019">
        <w:rPr>
          <w:rFonts w:ascii="Simplified Arabic" w:eastAsiaTheme="majorEastAsia" w:hAnsi="Simplified Arabic" w:cs="Simplified Arabic"/>
          <w:b/>
          <w:bCs/>
          <w:sz w:val="36"/>
          <w:szCs w:val="36"/>
          <w:rtl/>
          <w:lang w:bidi="ar-EG"/>
        </w:rPr>
        <w:t>مشكلة الدراسة :</w:t>
      </w:r>
      <w:bookmarkEnd w:id="2"/>
    </w:p>
    <w:p w14:paraId="37E9D0BC" w14:textId="77777777" w:rsidR="00A25019" w:rsidRPr="00A25019" w:rsidRDefault="00A25019" w:rsidP="00A25019">
      <w:pPr>
        <w:ind w:firstLine="720"/>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rPr>
        <w:t xml:space="preserve">رغم التقدّم الكبير الذي شهدته المملكة العربية السعودية في تطوير البنية التحتية والتنظيم المؤسسي لمواسم الحج والعمرة، ورغم التوسع المستمر في تبنّي تقنيات ذكية لتعزيز الكفاءة التشغيلية، لا تزال الفجوة بين الممارسات المستدامة المعلنة والتطبيق التشغيلي الفعلي واضحة. فبرغم إدماج مبادرات الاستدامة في إدارة النفايات، وترشيد الطاقة، وتحسين مسارات الحركة، إلا أن مؤشرات الأداء التشغيلية لا تزال تُظهر محدودية في ترجمة هذه المبادرات إلى نتائج ملموسة، خصوصًا مع ارتفاع أعداد الحجاج والمعتمرين إلى أكثر من </w:t>
      </w:r>
      <w:r w:rsidRPr="00A25019">
        <w:rPr>
          <w:rFonts w:ascii="Simplified Arabic" w:hAnsi="Simplified Arabic" w:cs="Simplified Arabic"/>
          <w:color w:val="EE0000"/>
          <w:sz w:val="28"/>
          <w:szCs w:val="28"/>
        </w:rPr>
        <w:t xml:space="preserve">20 </w:t>
      </w:r>
      <w:r w:rsidRPr="00A25019">
        <w:rPr>
          <w:rFonts w:ascii="Simplified Arabic" w:hAnsi="Simplified Arabic" w:cs="Simplified Arabic"/>
          <w:color w:val="EE0000"/>
          <w:sz w:val="28"/>
          <w:szCs w:val="28"/>
          <w:rtl/>
        </w:rPr>
        <w:t xml:space="preserve">مليون زائر سنويًا، وتوقع وصولهم إلى </w:t>
      </w:r>
      <w:r w:rsidRPr="00A25019">
        <w:rPr>
          <w:rFonts w:ascii="Simplified Arabic" w:hAnsi="Simplified Arabic" w:cs="Simplified Arabic"/>
          <w:color w:val="EE0000"/>
          <w:sz w:val="28"/>
          <w:szCs w:val="28"/>
        </w:rPr>
        <w:t xml:space="preserve">30 </w:t>
      </w:r>
      <w:r w:rsidRPr="00A25019">
        <w:rPr>
          <w:rFonts w:ascii="Simplified Arabic" w:hAnsi="Simplified Arabic" w:cs="Simplified Arabic"/>
          <w:color w:val="EE0000"/>
          <w:sz w:val="28"/>
          <w:szCs w:val="28"/>
          <w:rtl/>
        </w:rPr>
        <w:t>مليونًا بحلول عام 2030</w:t>
      </w:r>
      <w:r w:rsidRPr="00A25019">
        <w:rPr>
          <w:rFonts w:ascii="Simplified Arabic" w:hAnsi="Simplified Arabic" w:cs="Simplified Arabic"/>
          <w:color w:val="EE0000"/>
          <w:sz w:val="28"/>
          <w:szCs w:val="28"/>
        </w:rPr>
        <w:t xml:space="preserve">. </w:t>
      </w:r>
      <w:r w:rsidRPr="00A25019">
        <w:rPr>
          <w:rFonts w:ascii="Simplified Arabic" w:hAnsi="Simplified Arabic" w:cs="Simplified Arabic"/>
          <w:color w:val="EE0000"/>
          <w:sz w:val="28"/>
          <w:szCs w:val="28"/>
          <w:rtl/>
        </w:rPr>
        <w:t>ويكشف هذا التناقض عن فجوة بين التخطيط المستدام وبين قدرة المنظومة التشغيلية على استيعاب التدفق البشري الضخم بكفاءة واستدامة</w:t>
      </w:r>
      <w:r w:rsidRPr="00A25019">
        <w:rPr>
          <w:rFonts w:ascii="Simplified Arabic" w:hAnsi="Simplified Arabic" w:cs="Simplified Arabic"/>
          <w:color w:val="EE0000"/>
          <w:sz w:val="28"/>
          <w:szCs w:val="28"/>
        </w:rPr>
        <w:t>.</w:t>
      </w:r>
      <w:r w:rsidRPr="00A25019">
        <w:rPr>
          <w:rFonts w:ascii="Simplified Arabic" w:hAnsi="Simplified Arabic" w:cs="Simplified Arabic"/>
          <w:color w:val="EE0000"/>
          <w:sz w:val="28"/>
          <w:szCs w:val="28"/>
          <w:rtl/>
        </w:rPr>
        <w:t xml:space="preserve"> (وزارة الحج والعمرة، 2023). </w:t>
      </w:r>
    </w:p>
    <w:p w14:paraId="1FF99EE8" w14:textId="77777777" w:rsidR="00A25019" w:rsidRPr="00A25019" w:rsidRDefault="00A25019" w:rsidP="00A25019">
      <w:pPr>
        <w:ind w:firstLine="720"/>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rPr>
        <w:t xml:space="preserve">ورغم توظيف أكثر من </w:t>
      </w:r>
      <w:r w:rsidRPr="00A25019">
        <w:rPr>
          <w:rFonts w:ascii="Simplified Arabic" w:hAnsi="Simplified Arabic" w:cs="Simplified Arabic"/>
          <w:color w:val="EE0000"/>
          <w:sz w:val="28"/>
          <w:szCs w:val="28"/>
          <w:lang w:bidi="ar-EG"/>
        </w:rPr>
        <w:t xml:space="preserve">15,000 </w:t>
      </w:r>
      <w:r w:rsidRPr="00A25019">
        <w:rPr>
          <w:rFonts w:ascii="Simplified Arabic" w:hAnsi="Simplified Arabic" w:cs="Simplified Arabic"/>
          <w:color w:val="EE0000"/>
          <w:sz w:val="28"/>
          <w:szCs w:val="28"/>
          <w:rtl/>
        </w:rPr>
        <w:t xml:space="preserve">كاميرا ذكية، واستخدام أنظمة مراقبة حرارية، وتحليلات بيانات لحظية مدعومة بشبكات </w:t>
      </w:r>
      <w:r w:rsidRPr="00A25019">
        <w:rPr>
          <w:rFonts w:ascii="Simplified Arabic" w:hAnsi="Simplified Arabic" w:cs="Simplified Arabic"/>
          <w:color w:val="EE0000"/>
          <w:sz w:val="28"/>
          <w:szCs w:val="28"/>
          <w:lang w:bidi="ar-EG"/>
        </w:rPr>
        <w:t>5G</w:t>
      </w:r>
      <w:r w:rsidRPr="00A25019">
        <w:rPr>
          <w:rFonts w:ascii="Simplified Arabic" w:hAnsi="Simplified Arabic" w:cs="Simplified Arabic"/>
          <w:color w:val="EE0000"/>
          <w:sz w:val="28"/>
          <w:szCs w:val="28"/>
          <w:rtl/>
        </w:rPr>
        <w:t>، ما زالت المشكلات التشغيلية الميدانية قائمة، مثل</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انخفاض الانسيابية في مواقع الطواف والسعي والجمرات، وبطء الاستجابة في ذروة الازدحام، واستمرار ظهور نقاط اختناق حرجة</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 xml:space="preserve">هذه المؤشرات القابلة للقياس مثل زمن الاستجابة، ومعدل كثافة الحشود، ومعدل التدفق في الممرات الحيوية تكشف عن فجوة بين الإمكانات التقنية المتاحة وبين فعالية استخدامها فعليًا في تحسين كفاءة إدارة الحشود. </w:t>
      </w:r>
      <w:r w:rsidRPr="00A25019">
        <w:rPr>
          <w:rFonts w:ascii="Simplified Arabic" w:hAnsi="Simplified Arabic" w:cs="Simplified Arabic"/>
          <w:color w:val="EE0000"/>
          <w:sz w:val="28"/>
          <w:szCs w:val="28"/>
          <w:rtl/>
        </w:rPr>
        <w:lastRenderedPageBreak/>
        <w:t>وبناءً عليه، تبرز الحاجة إلى دراسة تكاملية تُحلل بشكل منهجي كيف يمكن لممارسات الاستدامة والتكنولوجيا الذكية معًا رفع مستوى الكفاءة التشغيلية للحشود في البيئات ذات الكثافة البشرية العالية</w:t>
      </w:r>
      <w:r w:rsidRPr="00A25019">
        <w:rPr>
          <w:rFonts w:ascii="Simplified Arabic" w:hAnsi="Simplified Arabic" w:cs="Simplified Arabic"/>
          <w:color w:val="EE0000"/>
          <w:sz w:val="28"/>
          <w:szCs w:val="28"/>
          <w:lang w:bidi="ar-EG"/>
        </w:rPr>
        <w:t>.</w:t>
      </w:r>
      <w:r w:rsidRPr="00A25019">
        <w:rPr>
          <w:rFonts w:ascii="Simplified Arabic" w:hAnsi="Simplified Arabic" w:cs="Simplified Arabic"/>
          <w:color w:val="EE0000"/>
          <w:sz w:val="28"/>
          <w:szCs w:val="28"/>
          <w:rtl/>
        </w:rPr>
        <w:t>.</w:t>
      </w:r>
    </w:p>
    <w:p w14:paraId="4651DF41" w14:textId="77777777" w:rsidR="00A25019" w:rsidRPr="00A25019" w:rsidRDefault="00A25019" w:rsidP="00A25019">
      <w:pPr>
        <w:ind w:firstLine="720"/>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lang w:bidi="ar-EG"/>
        </w:rPr>
        <w:t>وبناءً على ما سبق، فإن تحليل هذه العلاقة في بيئة ذات طابع ديني، تنظيمي، وتقني مركب، يُعد ضرورة علمية وتطبيقية، تسهم في تطوير نماذج الاستجابة، وتحقيق التوازن بين السلامة، التنظيم، والاستدامة في إدارة التجمعات البشرية الكبرى،و مما سبق يمكن صياغة مشكلة الدراسة في التساؤل الرئيس التالي:</w:t>
      </w:r>
    </w:p>
    <w:p w14:paraId="4DEEAA90"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إلى أي مدى تؤثر ممارسات الاستدامة بأبعادها في كفاءة إدارة الحشود خلال موسم الحج والعمرة، وما الدور الذي تؤديه التكنولوجيا الذكية في توسيط هذه العلاقة؟، وتتفرع منها عدة أسئلة فرعية :</w:t>
      </w:r>
    </w:p>
    <w:p w14:paraId="58122A02" w14:textId="77777777" w:rsidR="00A25019" w:rsidRPr="00A25019" w:rsidRDefault="00A25019" w:rsidP="00A25019">
      <w:pPr>
        <w:numPr>
          <w:ilvl w:val="0"/>
          <w:numId w:val="16"/>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ما مدى تطبيق ممارسات الاستدامة بأبعادها (البيئية، الاقتصادية، الاجتماعية) في موسم الحج والعمرة بمكة المكرمة والمدينة المنورة؟</w:t>
      </w:r>
    </w:p>
    <w:p w14:paraId="4BE26472" w14:textId="77777777" w:rsidR="00A25019" w:rsidRPr="00A25019" w:rsidRDefault="00A25019" w:rsidP="00A25019">
      <w:pPr>
        <w:numPr>
          <w:ilvl w:val="0"/>
          <w:numId w:val="16"/>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ما مدى تحقق الانسيابية وسرعة الاستجابة وتقليل التكدس في إدارة الحشود خلال موسم الحج والعمرة؟</w:t>
      </w:r>
    </w:p>
    <w:p w14:paraId="47343B76" w14:textId="77777777" w:rsidR="00A25019" w:rsidRPr="00A25019" w:rsidRDefault="00A25019" w:rsidP="00A25019">
      <w:pPr>
        <w:numPr>
          <w:ilvl w:val="0"/>
          <w:numId w:val="16"/>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ما مدى توظيف التكنولوجيا الذكية، بما في ذلك أنظمة المراقبة الذكية، وتطبيقات التوجيه والتحكم، وتحليل البيانات اللحظية، في إدارة الحشود؟</w:t>
      </w:r>
    </w:p>
    <w:p w14:paraId="39D9F3BC" w14:textId="77777777" w:rsidR="00A25019" w:rsidRPr="00A25019" w:rsidRDefault="00A25019" w:rsidP="00A25019">
      <w:pPr>
        <w:numPr>
          <w:ilvl w:val="0"/>
          <w:numId w:val="16"/>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lang w:bidi="ar-EG"/>
        </w:rPr>
        <w:t>إلى أي مدى تسهم التكنولوجيا الذكية بدور وسيط في العلاقة بين ممارسات الاستدامة وكفاءة إدارة الحشود خلال موسم الحج والعمرة؟</w:t>
      </w:r>
    </w:p>
    <w:p w14:paraId="79685347" w14:textId="77777777" w:rsidR="00A25019" w:rsidRPr="00A25019" w:rsidRDefault="00A25019" w:rsidP="00A25019">
      <w:pPr>
        <w:keepNext/>
        <w:keepLines/>
        <w:spacing w:before="360" w:after="80"/>
        <w:outlineLvl w:val="0"/>
        <w:rPr>
          <w:rFonts w:ascii="Simplified Arabic" w:eastAsiaTheme="majorEastAsia" w:hAnsi="Simplified Arabic" w:cs="Simplified Arabic"/>
          <w:b/>
          <w:bCs/>
          <w:sz w:val="36"/>
          <w:szCs w:val="36"/>
          <w:rtl/>
          <w:lang w:bidi="ar-EG"/>
        </w:rPr>
      </w:pPr>
      <w:bookmarkStart w:id="3" w:name="_Toc202053517"/>
      <w:r w:rsidRPr="00A25019">
        <w:rPr>
          <w:rFonts w:ascii="Simplified Arabic" w:eastAsiaTheme="majorEastAsia" w:hAnsi="Simplified Arabic" w:cs="Simplified Arabic"/>
          <w:b/>
          <w:bCs/>
          <w:sz w:val="36"/>
          <w:szCs w:val="36"/>
          <w:rtl/>
          <w:lang w:bidi="ar-EG"/>
        </w:rPr>
        <w:t>أهمية الدراسة</w:t>
      </w:r>
      <w:bookmarkEnd w:id="3"/>
      <w:r w:rsidRPr="00A25019">
        <w:rPr>
          <w:rFonts w:ascii="Simplified Arabic" w:eastAsiaTheme="majorEastAsia" w:hAnsi="Simplified Arabic" w:cs="Simplified Arabic"/>
          <w:b/>
          <w:bCs/>
          <w:sz w:val="36"/>
          <w:szCs w:val="36"/>
          <w:rtl/>
          <w:lang w:bidi="ar-EG"/>
        </w:rPr>
        <w:t xml:space="preserve"> </w:t>
      </w:r>
    </w:p>
    <w:p w14:paraId="324FBEC8" w14:textId="77777777" w:rsidR="00A25019" w:rsidRPr="00A25019" w:rsidRDefault="00A25019" w:rsidP="00A25019">
      <w:pPr>
        <w:ind w:firstLine="720"/>
        <w:jc w:val="both"/>
        <w:rPr>
          <w:rFonts w:ascii="Simplified Arabic" w:hAnsi="Simplified Arabic" w:cs="Simplified Arabic"/>
          <w:sz w:val="28"/>
          <w:szCs w:val="28"/>
          <w:rtl/>
        </w:rPr>
      </w:pPr>
      <w:r w:rsidRPr="00A25019">
        <w:rPr>
          <w:rFonts w:ascii="Simplified Arabic" w:hAnsi="Simplified Arabic" w:cs="Simplified Arabic"/>
          <w:sz w:val="28"/>
          <w:szCs w:val="28"/>
          <w:rtl/>
        </w:rPr>
        <w:t>تنبع أهمية هذه الدراسة من التداخل الحيوي بين ثلاثة محاور استراتيجية معاصرة تتمثل في</w:t>
      </w:r>
      <w:r w:rsidRPr="00A25019">
        <w:rPr>
          <w:rFonts w:ascii="Simplified Arabic" w:hAnsi="Simplified Arabic" w:cs="Simplified Arabic"/>
          <w:sz w:val="28"/>
          <w:szCs w:val="28"/>
          <w:lang w:bidi="ar-EG"/>
        </w:rPr>
        <w:t xml:space="preserve">: </w:t>
      </w:r>
      <w:r w:rsidRPr="00A25019">
        <w:rPr>
          <w:rFonts w:ascii="Simplified Arabic" w:hAnsi="Simplified Arabic" w:cs="Simplified Arabic"/>
          <w:sz w:val="28"/>
          <w:szCs w:val="28"/>
          <w:rtl/>
        </w:rPr>
        <w:t xml:space="preserve">ممارسات الاستدامة، وإدارة الحشود، والتكنولوجيا الذكية، وذلك ضمن أحد أكثر السياقات تعقيدًا وحساسية على المستويين المحلي والعالمي، وهو موسم الحج والعمرة في مكة المكرمة والمدينة المنورة. </w:t>
      </w:r>
    </w:p>
    <w:p w14:paraId="3856DF64" w14:textId="77777777" w:rsidR="00A25019" w:rsidRPr="00A25019" w:rsidRDefault="00A25019" w:rsidP="00A25019">
      <w:pPr>
        <w:ind w:firstLine="720"/>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lastRenderedPageBreak/>
        <w:t>وفي ضوء التحديات البيئية والتنظيمية والبشرية التي ترافق هذا الموسم، فإن الدراسة تُعد محاولة رائدة لربط مفاهيم الاستدامة بالممارسات التشغيلية في إدارة الحشود، من خلال مدخل علمي يعتمد على التحليل الكمي والنمذجة الإحصائية</w:t>
      </w:r>
      <w:r w:rsidRPr="00A25019">
        <w:rPr>
          <w:rFonts w:ascii="Simplified Arabic" w:hAnsi="Simplified Arabic" w:cs="Simplified Arabic"/>
          <w:sz w:val="28"/>
          <w:szCs w:val="28"/>
          <w:lang w:bidi="ar-EG"/>
        </w:rPr>
        <w:t>.</w:t>
      </w:r>
    </w:p>
    <w:p w14:paraId="77C4C5E8" w14:textId="77777777" w:rsidR="00A25019" w:rsidRPr="00A25019" w:rsidRDefault="00A25019" w:rsidP="00A25019">
      <w:p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وتتمثل أهمية الدراسة فيما يلي</w:t>
      </w:r>
      <w:r w:rsidRPr="00A25019">
        <w:rPr>
          <w:rFonts w:ascii="Simplified Arabic" w:hAnsi="Simplified Arabic" w:cs="Simplified Arabic"/>
          <w:sz w:val="28"/>
          <w:szCs w:val="28"/>
          <w:lang w:bidi="ar-EG"/>
        </w:rPr>
        <w:t>:</w:t>
      </w:r>
    </w:p>
    <w:p w14:paraId="52E95987"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أولًا: الأهمية العلمية</w:t>
      </w:r>
    </w:p>
    <w:p w14:paraId="5D1C80CF" w14:textId="77777777" w:rsidR="00A25019" w:rsidRPr="00A25019" w:rsidRDefault="00A25019" w:rsidP="00A25019">
      <w:p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تُعد هذه الدراسة ذات أهمية علمية عالية بالنظر إلى ما تحققه من إضافة نوعية إلى الأدبيات العربية</w:t>
      </w:r>
      <w:r w:rsidRPr="00A25019">
        <w:rPr>
          <w:rFonts w:ascii="Simplified Arabic" w:hAnsi="Simplified Arabic" w:cs="Simplified Arabic"/>
          <w:b/>
          <w:bCs/>
          <w:sz w:val="28"/>
          <w:szCs w:val="28"/>
          <w:rtl/>
        </w:rPr>
        <w:t xml:space="preserve"> والدولية</w:t>
      </w:r>
      <w:r w:rsidRPr="00A25019">
        <w:rPr>
          <w:rFonts w:ascii="Simplified Arabic" w:hAnsi="Simplified Arabic" w:cs="Simplified Arabic"/>
          <w:sz w:val="28"/>
          <w:szCs w:val="28"/>
          <w:rtl/>
        </w:rPr>
        <w:t xml:space="preserve"> في مجالات الاستدامة، والتكنولوجيا الذكية، وإدارة الحشود. ويكمن البعد العلمي لهذه الدراسة في أنها</w:t>
      </w:r>
      <w:r w:rsidRPr="00A25019">
        <w:rPr>
          <w:rFonts w:ascii="Simplified Arabic" w:hAnsi="Simplified Arabic" w:cs="Simplified Arabic"/>
          <w:sz w:val="28"/>
          <w:szCs w:val="28"/>
          <w:lang w:bidi="ar-EG"/>
        </w:rPr>
        <w:t>:</w:t>
      </w:r>
    </w:p>
    <w:p w14:paraId="29866D34" w14:textId="77777777" w:rsidR="00A25019" w:rsidRPr="00A25019" w:rsidRDefault="00A25019" w:rsidP="00A25019">
      <w:pPr>
        <w:numPr>
          <w:ilvl w:val="0"/>
          <w:numId w:val="17"/>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تسد فجوة بحثية واضحة تتمثل في قلة الدراسات التي تناولت العلاقة الثلاثية بين ممارسات الاستدامة، كفاءة إدارة الحشود، والتكنولوجيا الذكية كمتغير وسيط، خصوصًا في سياق المواسم الدينية الكبرى مثل الحج والعمرة، والتي تتطلب مقاربات شاملة ومتكاملة</w:t>
      </w:r>
      <w:r w:rsidRPr="00A25019">
        <w:rPr>
          <w:rFonts w:ascii="Simplified Arabic" w:hAnsi="Simplified Arabic" w:cs="Simplified Arabic"/>
          <w:sz w:val="28"/>
          <w:szCs w:val="28"/>
          <w:lang w:bidi="ar-EG"/>
        </w:rPr>
        <w:t>.</w:t>
      </w:r>
    </w:p>
    <w:p w14:paraId="25181BDD" w14:textId="77777777" w:rsidR="00A25019" w:rsidRPr="00A25019" w:rsidRDefault="00A25019" w:rsidP="00A25019">
      <w:pPr>
        <w:numPr>
          <w:ilvl w:val="0"/>
          <w:numId w:val="17"/>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تعيد تأطير مفهوم الاستدامة خارج الإطار التقليدي البيئي والاقتصادي، لتربطه بوظائف إدارية حيوية في الميدان، مثل تنظيم حركة الحشود البشرية، وهو توجّه بحثي جديد لم يتم التوسع فيه بالشكل الكافي في الأدبيات الحديثة</w:t>
      </w:r>
      <w:r w:rsidRPr="00A25019">
        <w:rPr>
          <w:rFonts w:ascii="Simplified Arabic" w:hAnsi="Simplified Arabic" w:cs="Simplified Arabic"/>
          <w:sz w:val="28"/>
          <w:szCs w:val="28"/>
          <w:lang w:bidi="ar-EG"/>
        </w:rPr>
        <w:t>.</w:t>
      </w:r>
    </w:p>
    <w:p w14:paraId="28F1BB10" w14:textId="77777777" w:rsidR="00A25019" w:rsidRPr="00A25019" w:rsidRDefault="00A25019" w:rsidP="00A25019">
      <w:pPr>
        <w:numPr>
          <w:ilvl w:val="0"/>
          <w:numId w:val="17"/>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تقدم نموذجًا نظريًا متكاملًا يمزج بين أبعاد ثلاثة لممارسات الاستدامة (البيئية، الاقتصادية، الاجتماعية) وثلاثة أبعاد لكفاءة إدارة الحشود (الانسيابية، سرعة الاستجابة، تقليل التكدس)، وتربط بينها من خلال ثلاثة مكونات للتكنولوجيا الذكية (المراقبة الذكية، التوجيه والتحكم، تحليل البيانات الحية)، وهو ما يثري الأدبيات بمزيج من مفاهيم الإدارة العامة، والهندسة التقنية، والاستدامة التشغيلية</w:t>
      </w:r>
      <w:r w:rsidRPr="00A25019">
        <w:rPr>
          <w:rFonts w:ascii="Simplified Arabic" w:hAnsi="Simplified Arabic" w:cs="Simplified Arabic"/>
          <w:sz w:val="28"/>
          <w:szCs w:val="28"/>
          <w:lang w:bidi="ar-EG"/>
        </w:rPr>
        <w:t>.</w:t>
      </w:r>
    </w:p>
    <w:p w14:paraId="5CA21D1E" w14:textId="77777777" w:rsidR="00A25019" w:rsidRPr="00A25019" w:rsidRDefault="00A25019" w:rsidP="00A25019">
      <w:pPr>
        <w:numPr>
          <w:ilvl w:val="0"/>
          <w:numId w:val="17"/>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توظف المنهج الكمي التحليلي مدعومًا بنماذج إحصائية متقدمة لاختبار العلاقات التأثيرية والوسيطية، مما يضيف إلى موثوقية النتائج ويساعد على تطوير نماذج تفسيرية قابلة للتعميم في بيئات أخرى ذات طبيعة تنظيمية كثيفة ومعقدة</w:t>
      </w:r>
      <w:r w:rsidRPr="00A25019">
        <w:rPr>
          <w:rFonts w:ascii="Simplified Arabic" w:hAnsi="Simplified Arabic" w:cs="Simplified Arabic"/>
          <w:sz w:val="28"/>
          <w:szCs w:val="28"/>
          <w:lang w:bidi="ar-EG"/>
        </w:rPr>
        <w:t>.</w:t>
      </w:r>
    </w:p>
    <w:p w14:paraId="5243EC9A" w14:textId="77777777" w:rsidR="00A25019" w:rsidRPr="00A25019" w:rsidRDefault="00A25019" w:rsidP="00A25019">
      <w:pPr>
        <w:numPr>
          <w:ilvl w:val="0"/>
          <w:numId w:val="17"/>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lastRenderedPageBreak/>
        <w:t>تُعتبر مرجعية أكاديمية مستقبلية للباحثين الذين يرغبون في دراسة تقاطع مجالات مثل الحوكمة الذكية، الإدارة المستدامة، التحول الرقمي، وإدارة الحشود في المدن الذكية أو الفعاليات الضخمة</w:t>
      </w:r>
      <w:r w:rsidRPr="00A25019">
        <w:rPr>
          <w:rFonts w:ascii="Simplified Arabic" w:hAnsi="Simplified Arabic" w:cs="Simplified Arabic"/>
          <w:sz w:val="28"/>
          <w:szCs w:val="28"/>
          <w:lang w:bidi="ar-EG"/>
        </w:rPr>
        <w:t>.</w:t>
      </w:r>
    </w:p>
    <w:p w14:paraId="12D8AE95"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 xml:space="preserve">ثانيًا: الأهمية العملية </w:t>
      </w:r>
    </w:p>
    <w:p w14:paraId="1DAE4D6B" w14:textId="77777777" w:rsidR="00A25019" w:rsidRPr="00A25019" w:rsidRDefault="00A25019" w:rsidP="00A25019">
      <w:pPr>
        <w:ind w:firstLine="720"/>
        <w:jc w:val="both"/>
        <w:rPr>
          <w:rFonts w:ascii="Simplified Arabic" w:hAnsi="Simplified Arabic" w:cs="Simplified Arabic"/>
          <w:sz w:val="28"/>
          <w:szCs w:val="28"/>
        </w:rPr>
      </w:pPr>
      <w:r w:rsidRPr="00A25019">
        <w:rPr>
          <w:rFonts w:ascii="Simplified Arabic" w:hAnsi="Simplified Arabic" w:cs="Simplified Arabic"/>
          <w:sz w:val="28"/>
          <w:szCs w:val="28"/>
          <w:rtl/>
        </w:rPr>
        <w:t xml:space="preserve">تمثل هذه الدراسة أهمية عملية كبيرة، لاسيما في ظل الطابع الفريد والمعقّد لإدارة الحشود في موسم الحج والعمرة، حيث تشير الإحصائيات الرسمية إلى أن المملكة العربية السعودية تستقبل أكثر من </w:t>
      </w:r>
      <w:r w:rsidRPr="00A25019">
        <w:rPr>
          <w:rFonts w:ascii="Simplified Arabic" w:hAnsi="Simplified Arabic" w:cs="Simplified Arabic"/>
          <w:sz w:val="28"/>
          <w:szCs w:val="28"/>
        </w:rPr>
        <w:t xml:space="preserve">10 </w:t>
      </w:r>
      <w:r w:rsidRPr="00A25019">
        <w:rPr>
          <w:rFonts w:ascii="Simplified Arabic" w:hAnsi="Simplified Arabic" w:cs="Simplified Arabic"/>
          <w:sz w:val="28"/>
          <w:szCs w:val="28"/>
          <w:rtl/>
        </w:rPr>
        <w:t xml:space="preserve">ملايين حاج ومعتمر سنويًا، ويتوقّع أن يرتفع العدد إلى </w:t>
      </w:r>
      <w:r w:rsidRPr="00A25019">
        <w:rPr>
          <w:rFonts w:ascii="Simplified Arabic" w:hAnsi="Simplified Arabic" w:cs="Simplified Arabic"/>
          <w:sz w:val="28"/>
          <w:szCs w:val="28"/>
        </w:rPr>
        <w:t xml:space="preserve">30 </w:t>
      </w:r>
      <w:r w:rsidRPr="00A25019">
        <w:rPr>
          <w:rFonts w:ascii="Simplified Arabic" w:hAnsi="Simplified Arabic" w:cs="Simplified Arabic"/>
          <w:sz w:val="28"/>
          <w:szCs w:val="28"/>
          <w:rtl/>
        </w:rPr>
        <w:t>مليون معتمر بحلول 2030، وفق مستهدفات رؤية السعودية 2030، وتقدم الدراسة</w:t>
      </w:r>
      <w:r w:rsidRPr="00A25019">
        <w:rPr>
          <w:rFonts w:ascii="Simplified Arabic" w:hAnsi="Simplified Arabic" w:cs="Simplified Arabic"/>
          <w:sz w:val="28"/>
          <w:szCs w:val="28"/>
        </w:rPr>
        <w:t>:</w:t>
      </w:r>
    </w:p>
    <w:p w14:paraId="42DCB9B1" w14:textId="77777777" w:rsidR="00A25019" w:rsidRPr="00A25019" w:rsidRDefault="00A25019" w:rsidP="00A25019">
      <w:pPr>
        <w:numPr>
          <w:ilvl w:val="0"/>
          <w:numId w:val="18"/>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دعمًا مباشرًا لصنّاع القرار في الجهات التنظيمية، مثل وزارة الحج والعمرة، وزارة الداخلية، هيئة تطوير مكة والمدينة، عبر تقديم مؤشرات قابلة للقياس حول مدى فاعلية ممارسات الاستدامة في تحسين تنظيم الحشود</w:t>
      </w:r>
      <w:r w:rsidRPr="00A25019">
        <w:rPr>
          <w:rFonts w:ascii="Simplified Arabic" w:hAnsi="Simplified Arabic" w:cs="Simplified Arabic"/>
          <w:sz w:val="28"/>
          <w:szCs w:val="28"/>
          <w:lang w:bidi="ar-EG"/>
        </w:rPr>
        <w:t>.</w:t>
      </w:r>
    </w:p>
    <w:p w14:paraId="28CCA181" w14:textId="77777777" w:rsidR="00A25019" w:rsidRPr="00A25019" w:rsidRDefault="00A25019" w:rsidP="00A25019">
      <w:pPr>
        <w:numPr>
          <w:ilvl w:val="0"/>
          <w:numId w:val="18"/>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آلية تقييم فعالة لمستوى توظيف التكنولوجيا الذكية في تنظيم وإدارة الحشود، مثل استخدام الكاميرات الحرارية، الأنظمة الذكية لتحليل الكثافة، تطبيقات التوجيه اللحظي، والذكاء الاصطناعي في إدارة تدفق الحشود، وهو ما يُمكّن من تحسين جودة التحكم واتخاذ القرار في المواقع شديدة الازدحام</w:t>
      </w:r>
      <w:r w:rsidRPr="00A25019">
        <w:rPr>
          <w:rFonts w:ascii="Simplified Arabic" w:hAnsi="Simplified Arabic" w:cs="Simplified Arabic"/>
          <w:sz w:val="28"/>
          <w:szCs w:val="28"/>
          <w:lang w:bidi="ar-EG"/>
        </w:rPr>
        <w:t>.</w:t>
      </w:r>
    </w:p>
    <w:p w14:paraId="4D5CA269" w14:textId="77777777" w:rsidR="00A25019" w:rsidRPr="00A25019" w:rsidRDefault="00A25019" w:rsidP="00A25019">
      <w:pPr>
        <w:numPr>
          <w:ilvl w:val="0"/>
          <w:numId w:val="18"/>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تعد مدخلًا علميًا لتحسين تجربة الحاج والمعتمر من خلال دعم استراتيجيات تقليل التكدس والازدحام، وتحقيق انسيابية الحركة، وتسريع الاستجابة للطوارئ، وهو ما ينعكس إيجابًا على السلامة العامة ورضا الزوّار</w:t>
      </w:r>
      <w:r w:rsidRPr="00A25019">
        <w:rPr>
          <w:rFonts w:ascii="Simplified Arabic" w:hAnsi="Simplified Arabic" w:cs="Simplified Arabic"/>
          <w:sz w:val="28"/>
          <w:szCs w:val="28"/>
          <w:lang w:bidi="ar-EG"/>
        </w:rPr>
        <w:t>.</w:t>
      </w:r>
    </w:p>
    <w:p w14:paraId="75CF7A19" w14:textId="77777777" w:rsidR="00A25019" w:rsidRPr="00A25019" w:rsidRDefault="00A25019" w:rsidP="00A25019">
      <w:pPr>
        <w:numPr>
          <w:ilvl w:val="0"/>
          <w:numId w:val="18"/>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تعزيز التكامل بين الأبعاد التشغيلية والتقنية، حيث تبرز الدراسة أهمية بناء منظومة إدارية ذكية ومستدامة تعتمد على البيانات والتحليل اللحظي، بما يضمن الاستخدام الأمثل للموارد البشرية والتقنية والمكانية</w:t>
      </w:r>
      <w:r w:rsidRPr="00A25019">
        <w:rPr>
          <w:rFonts w:ascii="Simplified Arabic" w:hAnsi="Simplified Arabic" w:cs="Simplified Arabic"/>
          <w:sz w:val="28"/>
          <w:szCs w:val="28"/>
          <w:lang w:bidi="ar-EG"/>
        </w:rPr>
        <w:t>.</w:t>
      </w:r>
    </w:p>
    <w:p w14:paraId="338BF6C3" w14:textId="77777777" w:rsidR="00A25019" w:rsidRPr="00A25019" w:rsidRDefault="00A25019" w:rsidP="00A25019">
      <w:pPr>
        <w:numPr>
          <w:ilvl w:val="0"/>
          <w:numId w:val="18"/>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دعمًا لتحقيق مستهدفات رؤية السعودية 2030 من حيث تحسين جودة الخدمات المقدمة لضيوف الرحمن</w:t>
      </w:r>
      <w:r w:rsidRPr="00A25019">
        <w:rPr>
          <w:rFonts w:ascii="Simplified Arabic" w:hAnsi="Simplified Arabic" w:cs="Simplified Arabic"/>
          <w:sz w:val="28"/>
          <w:szCs w:val="28"/>
          <w:rtl/>
          <w:lang w:bidi="ar-EG"/>
        </w:rPr>
        <w:t>، و</w:t>
      </w:r>
      <w:r w:rsidRPr="00A25019">
        <w:rPr>
          <w:rFonts w:ascii="Simplified Arabic" w:hAnsi="Simplified Arabic" w:cs="Simplified Arabic"/>
          <w:sz w:val="28"/>
          <w:szCs w:val="28"/>
          <w:rtl/>
        </w:rPr>
        <w:t xml:space="preserve"> التحول الرقمي الشامل في إدارة الحشود والمرافق</w:t>
      </w:r>
      <w:r w:rsidRPr="00A25019">
        <w:rPr>
          <w:rFonts w:ascii="Simplified Arabic" w:hAnsi="Simplified Arabic" w:cs="Simplified Arabic"/>
          <w:sz w:val="28"/>
          <w:szCs w:val="28"/>
          <w:lang w:bidi="ar-EG"/>
        </w:rPr>
        <w:t>.</w:t>
      </w:r>
    </w:p>
    <w:p w14:paraId="1B865D0D" w14:textId="77777777" w:rsidR="00A25019" w:rsidRPr="00A25019" w:rsidRDefault="00A25019" w:rsidP="00A25019">
      <w:pPr>
        <w:numPr>
          <w:ilvl w:val="0"/>
          <w:numId w:val="18"/>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lastRenderedPageBreak/>
        <w:t>إمكانية تعميم نتائج الدراسة وتوصياتها على مجالات متعددة مشابهة مثل: إدارة الحشود في الفعاليات الرياضية، المؤتمرات الدولية، والمناسبات الكبرى التي تشهد تجمعات بشرية كثيفة، ما يجعل نتائج الدراسة ذات أثر عملي واسع النطاق</w:t>
      </w:r>
      <w:r w:rsidRPr="00A25019">
        <w:rPr>
          <w:rFonts w:ascii="Simplified Arabic" w:hAnsi="Simplified Arabic" w:cs="Simplified Arabic"/>
          <w:sz w:val="28"/>
          <w:szCs w:val="28"/>
          <w:lang w:bidi="ar-EG"/>
        </w:rPr>
        <w:t>.</w:t>
      </w:r>
    </w:p>
    <w:p w14:paraId="0CAC76C5" w14:textId="77777777" w:rsidR="00A25019" w:rsidRPr="00A25019" w:rsidRDefault="00A25019" w:rsidP="00A25019">
      <w:pPr>
        <w:keepNext/>
        <w:keepLines/>
        <w:spacing w:before="360" w:after="80"/>
        <w:outlineLvl w:val="0"/>
        <w:rPr>
          <w:rFonts w:ascii="Simplified Arabic" w:eastAsiaTheme="majorEastAsia" w:hAnsi="Simplified Arabic" w:cs="Simplified Arabic"/>
          <w:b/>
          <w:bCs/>
          <w:sz w:val="36"/>
          <w:szCs w:val="36"/>
          <w:rtl/>
          <w:lang w:bidi="ar-EG"/>
        </w:rPr>
      </w:pPr>
      <w:bookmarkStart w:id="4" w:name="_Toc202053518"/>
      <w:r w:rsidRPr="00A25019">
        <w:rPr>
          <w:rFonts w:ascii="Simplified Arabic" w:eastAsiaTheme="majorEastAsia" w:hAnsi="Simplified Arabic" w:cs="Simplified Arabic"/>
          <w:b/>
          <w:bCs/>
          <w:sz w:val="36"/>
          <w:szCs w:val="36"/>
          <w:rtl/>
          <w:lang w:bidi="ar-EG"/>
        </w:rPr>
        <w:t>أهداف الدراسة</w:t>
      </w:r>
      <w:bookmarkEnd w:id="4"/>
      <w:r w:rsidRPr="00A25019">
        <w:rPr>
          <w:rFonts w:ascii="Simplified Arabic" w:eastAsiaTheme="majorEastAsia" w:hAnsi="Simplified Arabic" w:cs="Simplified Arabic"/>
          <w:b/>
          <w:bCs/>
          <w:sz w:val="36"/>
          <w:szCs w:val="36"/>
          <w:rtl/>
          <w:lang w:bidi="ar-EG"/>
        </w:rPr>
        <w:t xml:space="preserve"> </w:t>
      </w:r>
    </w:p>
    <w:p w14:paraId="4F551C23" w14:textId="77777777" w:rsidR="00A25019" w:rsidRPr="00A25019" w:rsidRDefault="00A25019" w:rsidP="00A25019">
      <w:pPr>
        <w:ind w:firstLine="720"/>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تهدف هذا الدراسة  إلى تحليل أثر ممارسات الاستدامة بأبعادها (البيئية، الاقتصادية، الاجتماعية) في كفاءة إدارة الحشود بأبعادها (الانسيابية، سرعة الاستجابة، تقليل التكدس)، مع اختبار الدور الوسيط للتكنولوجيا الذكية بأبعادها (أنظمة المراقبة الذكية، تطبيقات التوجيه والتحكم، تحليل البيانات الحية)، وذلك في سياق موسم الحج والعمرة في مكة المكرمة والمدينة المنورة</w:t>
      </w:r>
      <w:r w:rsidRPr="00A25019">
        <w:rPr>
          <w:rFonts w:ascii="Simplified Arabic" w:hAnsi="Simplified Arabic" w:cs="Simplified Arabic"/>
          <w:color w:val="EE0000"/>
          <w:sz w:val="28"/>
          <w:szCs w:val="28"/>
        </w:rPr>
        <w:t>.</w:t>
      </w:r>
    </w:p>
    <w:p w14:paraId="0F2549E1" w14:textId="77777777" w:rsidR="00A25019" w:rsidRPr="00A25019" w:rsidRDefault="00A25019" w:rsidP="00A25019">
      <w:pPr>
        <w:ind w:firstLine="720"/>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وانطلاقًا من هذا الهدف العام، تسعى الدراسة إلى تحقيق الأهداف البحثية التالية</w:t>
      </w:r>
      <w:r w:rsidRPr="00A25019">
        <w:rPr>
          <w:rFonts w:ascii="Simplified Arabic" w:hAnsi="Simplified Arabic" w:cs="Simplified Arabic"/>
          <w:color w:val="EE0000"/>
          <w:sz w:val="28"/>
          <w:szCs w:val="28"/>
        </w:rPr>
        <w:t>:</w:t>
      </w:r>
    </w:p>
    <w:p w14:paraId="248FE414" w14:textId="77777777" w:rsidR="00A25019" w:rsidRPr="00A25019" w:rsidRDefault="00A25019" w:rsidP="00A25019">
      <w:pPr>
        <w:numPr>
          <w:ilvl w:val="0"/>
          <w:numId w:val="6"/>
        </w:numPr>
        <w:contextualSpacing/>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تقييم مستوى تطبيق ممارسات الاستدامة (البيئية، الاقتصادية، الاجتماعية) وتوظيف التكنولوجيا الذكية في إدارة الحشود بالمشاعر المقدسة.</w:t>
      </w:r>
    </w:p>
    <w:p w14:paraId="3F2D949A" w14:textId="77777777" w:rsidR="00A25019" w:rsidRPr="00A25019" w:rsidRDefault="00A25019" w:rsidP="00A25019">
      <w:pPr>
        <w:numPr>
          <w:ilvl w:val="0"/>
          <w:numId w:val="6"/>
        </w:numPr>
        <w:contextualSpacing/>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قياس مستوى كفاءة إدارة الحشود من حيث الانسيابية وسرعة الاستجابة وتقليل التكدس خلال موسم الحج والعمرة.</w:t>
      </w:r>
    </w:p>
    <w:p w14:paraId="52AAC0C5" w14:textId="77777777" w:rsidR="00A25019" w:rsidRPr="00A25019" w:rsidRDefault="00A25019" w:rsidP="00A25019">
      <w:pPr>
        <w:numPr>
          <w:ilvl w:val="0"/>
          <w:numId w:val="6"/>
        </w:numPr>
        <w:contextualSpacing/>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 xml:space="preserve"> اختبار العلاقات المباشرة وغير المباشرة بين ممارسات الاستدامة وكفاءة إدارة الحشود عبر التكنولوجيا الذكية كمتغير وسيط.</w:t>
      </w:r>
    </w:p>
    <w:p w14:paraId="7BB223D3" w14:textId="77777777" w:rsidR="00A25019" w:rsidRPr="00A25019" w:rsidRDefault="00A25019" w:rsidP="00A25019">
      <w:pPr>
        <w:numPr>
          <w:ilvl w:val="0"/>
          <w:numId w:val="6"/>
        </w:numPr>
        <w:contextualSpacing/>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rPr>
        <w:t xml:space="preserve"> تقديم توصيات علمية وتطبيقية لتعزيز تكامل الاستدامة والتكنولوجيا الذكية في سياسات إدارة الحشود.</w:t>
      </w:r>
      <w:r w:rsidRPr="00A25019">
        <w:rPr>
          <w:rFonts w:ascii="Simplified Arabic" w:hAnsi="Simplified Arabic" w:cs="Simplified Arabic"/>
          <w:color w:val="EE0000"/>
          <w:sz w:val="28"/>
          <w:szCs w:val="28"/>
          <w:rtl/>
          <w:lang w:bidi="ar-EG"/>
        </w:rPr>
        <w:t>.</w:t>
      </w:r>
    </w:p>
    <w:p w14:paraId="7C1542D2" w14:textId="77777777" w:rsidR="00A25019" w:rsidRPr="00A25019" w:rsidRDefault="00A25019" w:rsidP="00A25019">
      <w:pPr>
        <w:keepNext/>
        <w:keepLines/>
        <w:spacing w:before="360" w:after="80"/>
        <w:outlineLvl w:val="0"/>
        <w:rPr>
          <w:rFonts w:ascii="Simplified Arabic" w:eastAsiaTheme="majorEastAsia" w:hAnsi="Simplified Arabic" w:cs="Simplified Arabic"/>
          <w:b/>
          <w:bCs/>
          <w:sz w:val="36"/>
          <w:szCs w:val="36"/>
          <w:rtl/>
        </w:rPr>
      </w:pPr>
      <w:bookmarkStart w:id="5" w:name="_Toc202053519"/>
      <w:r w:rsidRPr="00A25019">
        <w:rPr>
          <w:rFonts w:ascii="Simplified Arabic" w:eastAsiaTheme="majorEastAsia" w:hAnsi="Simplified Arabic" w:cs="Simplified Arabic"/>
          <w:b/>
          <w:bCs/>
          <w:sz w:val="36"/>
          <w:szCs w:val="36"/>
          <w:rtl/>
          <w:lang w:bidi="ar-EG"/>
        </w:rPr>
        <w:t>فرضيات الدراسة</w:t>
      </w:r>
      <w:bookmarkEnd w:id="5"/>
      <w:r w:rsidRPr="00A25019">
        <w:rPr>
          <w:rFonts w:ascii="Simplified Arabic" w:eastAsiaTheme="majorEastAsia" w:hAnsi="Simplified Arabic" w:cs="Simplified Arabic"/>
          <w:b/>
          <w:bCs/>
          <w:sz w:val="36"/>
          <w:szCs w:val="36"/>
          <w:rtl/>
          <w:lang w:bidi="ar-EG"/>
        </w:rPr>
        <w:t xml:space="preserve"> </w:t>
      </w:r>
    </w:p>
    <w:p w14:paraId="56B16527"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بناءً على ما تم عرضه من أهداف الدراسة ومشكلتها وأهميتها يمكن تحديد فرضيات الدراسة من خلال</w:t>
      </w:r>
    </w:p>
    <w:p w14:paraId="6E82748A" w14:textId="77777777" w:rsidR="00A25019" w:rsidRPr="00A25019" w:rsidRDefault="00A25019" w:rsidP="00A25019">
      <w:pPr>
        <w:spacing w:line="360" w:lineRule="auto"/>
        <w:jc w:val="lowKashida"/>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فرضية رئيسية تتمثل في:</w:t>
      </w:r>
    </w:p>
    <w:p w14:paraId="1DBDB723" w14:textId="77777777" w:rsidR="00A25019" w:rsidRPr="00A25019" w:rsidRDefault="00A25019" w:rsidP="00A25019">
      <w:pPr>
        <w:keepNext/>
        <w:keepLines/>
        <w:spacing w:before="160" w:after="80" w:line="276" w:lineRule="auto"/>
        <w:jc w:val="both"/>
        <w:outlineLvl w:val="2"/>
        <w:rPr>
          <w:rFonts w:ascii="Simplified Arabic" w:eastAsiaTheme="majorEastAsia" w:hAnsi="Simplified Arabic" w:cs="Simplified Arabic"/>
          <w:b/>
          <w:bCs/>
          <w:color w:val="EE0000"/>
          <w:sz w:val="28"/>
          <w:szCs w:val="28"/>
          <w:rtl/>
          <w:lang w:bidi="ar-EG"/>
        </w:rPr>
      </w:pPr>
      <w:r w:rsidRPr="00A25019">
        <w:rPr>
          <w:rFonts w:ascii="Simplified Arabic" w:eastAsiaTheme="majorEastAsia" w:hAnsi="Simplified Arabic" w:cs="Simplified Arabic"/>
          <w:b/>
          <w:bCs/>
          <w:color w:val="EE0000"/>
          <w:sz w:val="28"/>
          <w:szCs w:val="28"/>
          <w:rtl/>
          <w:lang w:bidi="ar-EG"/>
        </w:rPr>
        <w:lastRenderedPageBreak/>
        <w:t>الفرضية الرئيسة الأولى (</w:t>
      </w:r>
      <w:r w:rsidRPr="00A25019">
        <w:rPr>
          <w:rFonts w:ascii="Simplified Arabic" w:eastAsiaTheme="majorEastAsia" w:hAnsi="Simplified Arabic" w:cs="Simplified Arabic"/>
          <w:b/>
          <w:bCs/>
          <w:color w:val="EE0000"/>
          <w:sz w:val="28"/>
          <w:szCs w:val="28"/>
          <w:lang w:bidi="ar-EG"/>
        </w:rPr>
        <w:t>H1</w:t>
      </w:r>
      <w:r w:rsidRPr="00A25019">
        <w:rPr>
          <w:rFonts w:ascii="Simplified Arabic" w:eastAsiaTheme="majorEastAsia" w:hAnsi="Simplified Arabic" w:cs="Simplified Arabic"/>
          <w:b/>
          <w:bCs/>
          <w:color w:val="EE0000"/>
          <w:sz w:val="28"/>
          <w:szCs w:val="28"/>
          <w:rtl/>
          <w:lang w:bidi="ar-EG"/>
        </w:rPr>
        <w:t>)</w:t>
      </w:r>
    </w:p>
    <w:p w14:paraId="12278DDD" w14:textId="77777777" w:rsidR="00A25019" w:rsidRPr="00A25019" w:rsidRDefault="00A25019" w:rsidP="00A25019">
      <w:pPr>
        <w:keepNext/>
        <w:keepLines/>
        <w:spacing w:before="160" w:after="80" w:line="276" w:lineRule="auto"/>
        <w:jc w:val="both"/>
        <w:outlineLvl w:val="2"/>
        <w:rPr>
          <w:rFonts w:ascii="Simplified Arabic" w:eastAsia="Times New Roman" w:hAnsi="Simplified Arabic" w:cs="Simplified Arabic"/>
          <w:color w:val="EE0000"/>
          <w:kern w:val="0"/>
          <w:sz w:val="28"/>
          <w:szCs w:val="28"/>
          <w:rtl/>
          <w14:ligatures w14:val="none"/>
        </w:rPr>
      </w:pPr>
      <w:r w:rsidRPr="00A25019">
        <w:rPr>
          <w:rFonts w:ascii="Simplified Arabic" w:eastAsiaTheme="majorEastAsia" w:hAnsi="Simplified Arabic" w:cs="Simplified Arabic"/>
          <w:color w:val="EE0000"/>
          <w:sz w:val="28"/>
          <w:szCs w:val="28"/>
          <w:lang w:bidi="ar-EG"/>
        </w:rPr>
        <w:t>H1</w:t>
      </w:r>
      <w:r w:rsidRPr="00A25019">
        <w:rPr>
          <w:rFonts w:ascii="Simplified Arabic" w:eastAsiaTheme="majorEastAsia" w:hAnsi="Simplified Arabic" w:cs="Simplified Arabic"/>
          <w:color w:val="EE0000"/>
          <w:sz w:val="28"/>
          <w:szCs w:val="28"/>
          <w:rtl/>
          <w:lang w:bidi="ar-EG"/>
        </w:rPr>
        <w:t>: يوجد تأثير ذو دلالة إحصائية عند مستوى (</w:t>
      </w:r>
      <w:r w:rsidRPr="00A25019">
        <w:rPr>
          <w:rFonts w:ascii="Cambria" w:eastAsiaTheme="majorEastAsia" w:hAnsi="Cambria" w:cs="Cambria"/>
          <w:color w:val="EE0000"/>
          <w:sz w:val="28"/>
          <w:szCs w:val="28"/>
          <w:lang w:bidi="ar-EG"/>
        </w:rPr>
        <w:t>α</w:t>
      </w:r>
      <w:r w:rsidRPr="00A25019">
        <w:rPr>
          <w:rFonts w:ascii="Simplified Arabic" w:eastAsiaTheme="majorEastAsia" w:hAnsi="Simplified Arabic" w:cs="Simplified Arabic"/>
          <w:color w:val="EE0000"/>
          <w:sz w:val="28"/>
          <w:szCs w:val="28"/>
          <w:lang w:bidi="ar-EG"/>
        </w:rPr>
        <w:t xml:space="preserve"> </w:t>
      </w:r>
      <w:r w:rsidRPr="00A25019">
        <w:rPr>
          <w:rFonts w:ascii="Cambria Math" w:eastAsiaTheme="majorEastAsia" w:hAnsi="Cambria Math" w:cs="Cambria Math"/>
          <w:color w:val="EE0000"/>
          <w:sz w:val="28"/>
          <w:szCs w:val="28"/>
          <w:lang w:bidi="ar-EG"/>
        </w:rPr>
        <w:t>≤</w:t>
      </w:r>
      <w:r w:rsidRPr="00A25019">
        <w:rPr>
          <w:rFonts w:ascii="Simplified Arabic" w:eastAsiaTheme="majorEastAsia" w:hAnsi="Simplified Arabic" w:cs="Simplified Arabic"/>
          <w:color w:val="EE0000"/>
          <w:sz w:val="28"/>
          <w:szCs w:val="28"/>
          <w:lang w:bidi="ar-EG"/>
        </w:rPr>
        <w:t xml:space="preserve"> 0.05</w:t>
      </w:r>
      <w:r w:rsidRPr="00A25019">
        <w:rPr>
          <w:rFonts w:ascii="Simplified Arabic" w:eastAsiaTheme="majorEastAsia" w:hAnsi="Simplified Arabic" w:cs="Simplified Arabic"/>
          <w:color w:val="EE0000"/>
          <w:sz w:val="28"/>
          <w:szCs w:val="28"/>
          <w:rtl/>
          <w:lang w:bidi="ar-EG"/>
        </w:rPr>
        <w:t>) لممارسات الاستدامة بأبعادها (البيئية، الاقتصادية، الاجتماعية) في كفاءة إدارة الحشود بأبعادها خلال موسم الحج والعمرة في مكة المكرمة والمدينة المنورة.</w:t>
      </w:r>
      <w:r w:rsidRPr="00A25019">
        <w:rPr>
          <w:rFonts w:ascii="Simplified Arabic" w:eastAsia="Times New Roman" w:hAnsi="Simplified Arabic" w:cs="Simplified Arabic"/>
          <w:color w:val="EE0000"/>
          <w:kern w:val="0"/>
          <w:sz w:val="28"/>
          <w:szCs w:val="28"/>
          <w:rtl/>
          <w14:ligatures w14:val="none"/>
        </w:rPr>
        <w:t>.</w:t>
      </w:r>
    </w:p>
    <w:p w14:paraId="127A0A17" w14:textId="77777777" w:rsidR="00A25019" w:rsidRPr="00A25019" w:rsidRDefault="00A25019" w:rsidP="00A25019">
      <w:pPr>
        <w:spacing w:line="276" w:lineRule="auto"/>
        <w:jc w:val="both"/>
        <w:rPr>
          <w:rFonts w:ascii="Simplified Arabic" w:hAnsi="Simplified Arabic" w:cs="Simplified Arabic"/>
          <w:b/>
          <w:bCs/>
          <w:color w:val="EE0000"/>
          <w:sz w:val="28"/>
          <w:szCs w:val="28"/>
        </w:rPr>
      </w:pPr>
      <w:r w:rsidRPr="00A25019">
        <w:rPr>
          <w:rFonts w:ascii="Simplified Arabic" w:hAnsi="Simplified Arabic" w:cs="Simplified Arabic"/>
          <w:b/>
          <w:bCs/>
          <w:color w:val="EE0000"/>
          <w:sz w:val="28"/>
          <w:szCs w:val="28"/>
          <w:rtl/>
        </w:rPr>
        <w:t>الفرضية الرئيسة الثانية</w:t>
      </w:r>
      <w:r w:rsidRPr="00A25019">
        <w:rPr>
          <w:rFonts w:ascii="Simplified Arabic" w:hAnsi="Simplified Arabic" w:cs="Simplified Arabic"/>
          <w:b/>
          <w:bCs/>
          <w:color w:val="EE0000"/>
          <w:sz w:val="28"/>
          <w:szCs w:val="28"/>
        </w:rPr>
        <w:t xml:space="preserve"> (H2)</w:t>
      </w:r>
    </w:p>
    <w:p w14:paraId="6EE1CDAC" w14:textId="77777777" w:rsidR="00A25019" w:rsidRPr="00A25019" w:rsidRDefault="00A25019" w:rsidP="00A25019">
      <w:pPr>
        <w:spacing w:line="276" w:lineRule="auto"/>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Pr>
        <w:t xml:space="preserve">: H2 </w:t>
      </w:r>
      <w:r w:rsidRPr="00A25019">
        <w:rPr>
          <w:rFonts w:ascii="Simplified Arabic" w:hAnsi="Simplified Arabic" w:cs="Simplified Arabic"/>
          <w:color w:val="EE0000"/>
          <w:sz w:val="28"/>
          <w:szCs w:val="28"/>
          <w:rtl/>
        </w:rPr>
        <w:t>يوجد تأثير ذو دلالة إحصائية عند مستوى</w:t>
      </w:r>
      <w:r w:rsidRPr="00A25019">
        <w:rPr>
          <w:rFonts w:ascii="Simplified Arabic" w:hAnsi="Simplified Arabic" w:cs="Simplified Arabic"/>
          <w:color w:val="EE0000"/>
          <w:sz w:val="28"/>
          <w:szCs w:val="28"/>
        </w:rPr>
        <w:t xml:space="preserve"> (</w:t>
      </w:r>
      <w:r w:rsidRPr="00A25019">
        <w:rPr>
          <w:rFonts w:ascii="Cambria" w:hAnsi="Cambria" w:cs="Cambria"/>
          <w:color w:val="EE0000"/>
          <w:sz w:val="28"/>
          <w:szCs w:val="28"/>
        </w:rPr>
        <w:t>α</w:t>
      </w:r>
      <w:r w:rsidRPr="00A25019">
        <w:rPr>
          <w:rFonts w:ascii="Simplified Arabic" w:hAnsi="Simplified Arabic" w:cs="Simplified Arabic"/>
          <w:color w:val="EE0000"/>
          <w:sz w:val="28"/>
          <w:szCs w:val="28"/>
        </w:rPr>
        <w:t xml:space="preserve"> </w:t>
      </w:r>
      <w:r w:rsidRPr="00A25019">
        <w:rPr>
          <w:rFonts w:ascii="Cambria Math" w:hAnsi="Cambria Math" w:cs="Cambria Math"/>
          <w:color w:val="EE0000"/>
          <w:sz w:val="28"/>
          <w:szCs w:val="28"/>
        </w:rPr>
        <w:t>≤</w:t>
      </w:r>
      <w:r w:rsidRPr="00A25019">
        <w:rPr>
          <w:rFonts w:ascii="Simplified Arabic" w:hAnsi="Simplified Arabic" w:cs="Simplified Arabic"/>
          <w:color w:val="EE0000"/>
          <w:sz w:val="28"/>
          <w:szCs w:val="28"/>
        </w:rPr>
        <w:t xml:space="preserve"> 0.05) </w:t>
      </w:r>
      <w:r w:rsidRPr="00A25019">
        <w:rPr>
          <w:rFonts w:ascii="Simplified Arabic" w:hAnsi="Simplified Arabic" w:cs="Simplified Arabic"/>
          <w:color w:val="EE0000"/>
          <w:sz w:val="28"/>
          <w:szCs w:val="28"/>
          <w:rtl/>
        </w:rPr>
        <w:t>لممارسات الاستدامة بأبعادها  في مستوى توظيف التكنولوجيا الذكية بأبعادها (أنظمة المراقبة الذكية، تطبيقات التوجيه والتحكم، تحليل البيانات الحية) في إدارة الحشود خلال موسم الحج والعمرة</w:t>
      </w:r>
      <w:r w:rsidRPr="00A25019">
        <w:rPr>
          <w:rFonts w:ascii="Simplified Arabic" w:hAnsi="Simplified Arabic" w:cs="Simplified Arabic"/>
          <w:color w:val="EE0000"/>
          <w:sz w:val="28"/>
          <w:szCs w:val="28"/>
        </w:rPr>
        <w:t>.</w:t>
      </w:r>
    </w:p>
    <w:p w14:paraId="679C3DF6" w14:textId="77777777" w:rsidR="00A25019" w:rsidRPr="00A25019" w:rsidRDefault="00A25019" w:rsidP="00A25019">
      <w:pPr>
        <w:spacing w:line="276" w:lineRule="auto"/>
        <w:jc w:val="both"/>
        <w:rPr>
          <w:rFonts w:ascii="Simplified Arabic" w:hAnsi="Simplified Arabic" w:cs="Simplified Arabic"/>
          <w:b/>
          <w:bCs/>
          <w:color w:val="EE0000"/>
          <w:sz w:val="28"/>
          <w:szCs w:val="28"/>
        </w:rPr>
      </w:pPr>
      <w:r w:rsidRPr="00A25019">
        <w:rPr>
          <w:rFonts w:ascii="Simplified Arabic" w:hAnsi="Simplified Arabic" w:cs="Simplified Arabic"/>
          <w:b/>
          <w:bCs/>
          <w:color w:val="EE0000"/>
          <w:sz w:val="28"/>
          <w:szCs w:val="28"/>
          <w:rtl/>
        </w:rPr>
        <w:t>الفرضية الرئيسة الثالثة</w:t>
      </w:r>
      <w:r w:rsidRPr="00A25019">
        <w:rPr>
          <w:rFonts w:ascii="Simplified Arabic" w:hAnsi="Simplified Arabic" w:cs="Simplified Arabic"/>
          <w:b/>
          <w:bCs/>
          <w:color w:val="EE0000"/>
          <w:sz w:val="28"/>
          <w:szCs w:val="28"/>
        </w:rPr>
        <w:t xml:space="preserve"> (H3)</w:t>
      </w:r>
    </w:p>
    <w:p w14:paraId="7001F795" w14:textId="77777777" w:rsidR="00A25019" w:rsidRPr="00A25019" w:rsidRDefault="00A25019" w:rsidP="00A25019">
      <w:pPr>
        <w:spacing w:line="276" w:lineRule="auto"/>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Pr>
        <w:t xml:space="preserve">H3 </w:t>
      </w:r>
      <w:r w:rsidRPr="00A25019">
        <w:rPr>
          <w:rFonts w:ascii="Simplified Arabic" w:hAnsi="Simplified Arabic" w:cs="Simplified Arabic"/>
          <w:color w:val="EE0000"/>
          <w:sz w:val="28"/>
          <w:szCs w:val="28"/>
          <w:rtl/>
        </w:rPr>
        <w:t>: يوجد تأثير ذو دلالة إحصائية عند مستوى</w:t>
      </w:r>
      <w:r w:rsidRPr="00A25019">
        <w:rPr>
          <w:rFonts w:ascii="Simplified Arabic" w:hAnsi="Simplified Arabic" w:cs="Simplified Arabic"/>
          <w:color w:val="EE0000"/>
          <w:sz w:val="28"/>
          <w:szCs w:val="28"/>
        </w:rPr>
        <w:t xml:space="preserve"> (</w:t>
      </w:r>
      <w:r w:rsidRPr="00A25019">
        <w:rPr>
          <w:rFonts w:ascii="Cambria" w:hAnsi="Cambria" w:cs="Cambria"/>
          <w:color w:val="EE0000"/>
          <w:sz w:val="28"/>
          <w:szCs w:val="28"/>
        </w:rPr>
        <w:t>α</w:t>
      </w:r>
      <w:r w:rsidRPr="00A25019">
        <w:rPr>
          <w:rFonts w:ascii="Simplified Arabic" w:hAnsi="Simplified Arabic" w:cs="Simplified Arabic"/>
          <w:color w:val="EE0000"/>
          <w:sz w:val="28"/>
          <w:szCs w:val="28"/>
        </w:rPr>
        <w:t xml:space="preserve"> </w:t>
      </w:r>
      <w:r w:rsidRPr="00A25019">
        <w:rPr>
          <w:rFonts w:ascii="Cambria Math" w:hAnsi="Cambria Math" w:cs="Cambria Math"/>
          <w:color w:val="EE0000"/>
          <w:sz w:val="28"/>
          <w:szCs w:val="28"/>
        </w:rPr>
        <w:t>≤</w:t>
      </w:r>
      <w:r w:rsidRPr="00A25019">
        <w:rPr>
          <w:rFonts w:ascii="Simplified Arabic" w:hAnsi="Simplified Arabic" w:cs="Simplified Arabic"/>
          <w:color w:val="EE0000"/>
          <w:sz w:val="28"/>
          <w:szCs w:val="28"/>
        </w:rPr>
        <w:t xml:space="preserve"> 0.05) </w:t>
      </w:r>
      <w:r w:rsidRPr="00A25019">
        <w:rPr>
          <w:rFonts w:ascii="Simplified Arabic" w:hAnsi="Simplified Arabic" w:cs="Simplified Arabic"/>
          <w:color w:val="EE0000"/>
          <w:sz w:val="28"/>
          <w:szCs w:val="28"/>
          <w:rtl/>
        </w:rPr>
        <w:t>للتكنولوجيا الذكية بأبعادها في كفاءة إدارة الحشود بأبعادها خلال موسم الحج والعمرة</w:t>
      </w:r>
      <w:r w:rsidRPr="00A25019">
        <w:rPr>
          <w:rFonts w:ascii="Simplified Arabic" w:hAnsi="Simplified Arabic" w:cs="Simplified Arabic"/>
          <w:color w:val="EE0000"/>
          <w:sz w:val="28"/>
          <w:szCs w:val="28"/>
        </w:rPr>
        <w:t>.</w:t>
      </w:r>
    </w:p>
    <w:p w14:paraId="1683FA94" w14:textId="77777777" w:rsidR="00A25019" w:rsidRPr="00A25019" w:rsidRDefault="00A25019" w:rsidP="00A25019">
      <w:pPr>
        <w:spacing w:line="276" w:lineRule="auto"/>
        <w:jc w:val="both"/>
        <w:rPr>
          <w:rFonts w:ascii="Simplified Arabic" w:hAnsi="Simplified Arabic" w:cs="Simplified Arabic"/>
          <w:b/>
          <w:bCs/>
          <w:color w:val="EE0000"/>
          <w:sz w:val="28"/>
          <w:szCs w:val="28"/>
        </w:rPr>
      </w:pPr>
      <w:r w:rsidRPr="00A25019">
        <w:rPr>
          <w:rFonts w:ascii="Simplified Arabic" w:hAnsi="Simplified Arabic" w:cs="Simplified Arabic"/>
          <w:b/>
          <w:bCs/>
          <w:color w:val="EE0000"/>
          <w:sz w:val="28"/>
          <w:szCs w:val="28"/>
          <w:rtl/>
        </w:rPr>
        <w:t>الفرضية الرئيسة الرابعة</w:t>
      </w:r>
      <w:r w:rsidRPr="00A25019">
        <w:rPr>
          <w:rFonts w:ascii="Simplified Arabic" w:hAnsi="Simplified Arabic" w:cs="Simplified Arabic"/>
          <w:b/>
          <w:bCs/>
          <w:color w:val="EE0000"/>
          <w:sz w:val="28"/>
          <w:szCs w:val="28"/>
        </w:rPr>
        <w:t xml:space="preserve"> (H4) </w:t>
      </w:r>
    </w:p>
    <w:p w14:paraId="6030C586" w14:textId="77777777" w:rsidR="00A25019" w:rsidRPr="00A25019" w:rsidRDefault="00A25019" w:rsidP="00A25019">
      <w:pPr>
        <w:spacing w:line="276" w:lineRule="auto"/>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Pr>
        <w:t xml:space="preserve">H4 </w:t>
      </w:r>
      <w:r w:rsidRPr="00A25019">
        <w:rPr>
          <w:rFonts w:ascii="Simplified Arabic" w:hAnsi="Simplified Arabic" w:cs="Simplified Arabic"/>
          <w:color w:val="EE0000"/>
          <w:sz w:val="28"/>
          <w:szCs w:val="28"/>
          <w:rtl/>
        </w:rPr>
        <w:t xml:space="preserve"> : يوجد تأثير غير مباشر ذو دلالة إحصائية عند مستوى</w:t>
      </w:r>
      <w:r w:rsidRPr="00A25019">
        <w:rPr>
          <w:rFonts w:ascii="Simplified Arabic" w:hAnsi="Simplified Arabic" w:cs="Simplified Arabic"/>
          <w:color w:val="EE0000"/>
          <w:sz w:val="28"/>
          <w:szCs w:val="28"/>
        </w:rPr>
        <w:t xml:space="preserve"> (</w:t>
      </w:r>
      <w:r w:rsidRPr="00A25019">
        <w:rPr>
          <w:rFonts w:ascii="Cambria" w:hAnsi="Cambria" w:cs="Cambria"/>
          <w:color w:val="EE0000"/>
          <w:sz w:val="28"/>
          <w:szCs w:val="28"/>
        </w:rPr>
        <w:t>α</w:t>
      </w:r>
      <w:r w:rsidRPr="00A25019">
        <w:rPr>
          <w:rFonts w:ascii="Simplified Arabic" w:hAnsi="Simplified Arabic" w:cs="Simplified Arabic"/>
          <w:color w:val="EE0000"/>
          <w:sz w:val="28"/>
          <w:szCs w:val="28"/>
        </w:rPr>
        <w:t xml:space="preserve"> </w:t>
      </w:r>
      <w:r w:rsidRPr="00A25019">
        <w:rPr>
          <w:rFonts w:ascii="Cambria Math" w:hAnsi="Cambria Math" w:cs="Cambria Math"/>
          <w:color w:val="EE0000"/>
          <w:sz w:val="28"/>
          <w:szCs w:val="28"/>
        </w:rPr>
        <w:t>≤</w:t>
      </w:r>
      <w:r w:rsidRPr="00A25019">
        <w:rPr>
          <w:rFonts w:ascii="Simplified Arabic" w:hAnsi="Simplified Arabic" w:cs="Simplified Arabic"/>
          <w:color w:val="EE0000"/>
          <w:sz w:val="28"/>
          <w:szCs w:val="28"/>
        </w:rPr>
        <w:t xml:space="preserve"> 0.05) </w:t>
      </w:r>
      <w:r w:rsidRPr="00A25019">
        <w:rPr>
          <w:rFonts w:ascii="Simplified Arabic" w:hAnsi="Simplified Arabic" w:cs="Simplified Arabic"/>
          <w:color w:val="EE0000"/>
          <w:sz w:val="28"/>
          <w:szCs w:val="28"/>
          <w:rtl/>
        </w:rPr>
        <w:t>لممارسات الاستدامة بأبعادها في كفاءة إدارة الحشود بأبعادها، من خلال الدور الوسيط للتكنولوجيا الذكية، خلال موسم الحج والعمرة في مكة المكرمة والمدينة المنورة</w:t>
      </w:r>
      <w:r w:rsidRPr="00A25019">
        <w:rPr>
          <w:rFonts w:ascii="Simplified Arabic" w:hAnsi="Simplified Arabic" w:cs="Simplified Arabic"/>
          <w:color w:val="EE0000"/>
          <w:sz w:val="28"/>
          <w:szCs w:val="28"/>
        </w:rPr>
        <w:t>.</w:t>
      </w:r>
    </w:p>
    <w:p w14:paraId="4A1683A4" w14:textId="77777777" w:rsidR="00A25019" w:rsidRPr="00A25019" w:rsidRDefault="00A25019" w:rsidP="00A25019">
      <w:pPr>
        <w:keepNext/>
        <w:keepLines/>
        <w:spacing w:before="360" w:after="80"/>
        <w:outlineLvl w:val="0"/>
        <w:rPr>
          <w:rFonts w:ascii="Simplified Arabic" w:eastAsiaTheme="majorEastAsia" w:hAnsi="Simplified Arabic" w:cs="Simplified Arabic"/>
          <w:b/>
          <w:bCs/>
          <w:sz w:val="36"/>
          <w:szCs w:val="36"/>
          <w:rtl/>
          <w:lang w:bidi="ar-EG"/>
        </w:rPr>
      </w:pPr>
      <w:bookmarkStart w:id="6" w:name="_Toc202053520"/>
      <w:r w:rsidRPr="00A25019">
        <w:rPr>
          <w:rFonts w:ascii="Simplified Arabic" w:eastAsiaTheme="majorEastAsia" w:hAnsi="Simplified Arabic" w:cs="Simplified Arabic"/>
          <w:b/>
          <w:bCs/>
          <w:sz w:val="36"/>
          <w:szCs w:val="36"/>
          <w:rtl/>
          <w:lang w:bidi="ar-EG"/>
        </w:rPr>
        <w:t>نموذج الدراسة:</w:t>
      </w:r>
      <w:bookmarkEnd w:id="6"/>
    </w:p>
    <w:p w14:paraId="5CC4FBE0" w14:textId="77777777" w:rsidR="00A25019" w:rsidRPr="00A25019" w:rsidRDefault="00A25019" w:rsidP="00A25019">
      <w:pPr>
        <w:ind w:firstLine="720"/>
        <w:jc w:val="both"/>
        <w:rPr>
          <w:rFonts w:ascii="Simplified Arabic" w:hAnsi="Simplified Arabic" w:cs="Simplified Arabic"/>
          <w:sz w:val="28"/>
          <w:szCs w:val="28"/>
          <w:rtl/>
        </w:rPr>
      </w:pPr>
      <w:r w:rsidRPr="00A25019">
        <w:rPr>
          <w:rFonts w:ascii="Simplified Arabic" w:hAnsi="Simplified Arabic" w:cs="Simplified Arabic"/>
          <w:sz w:val="28"/>
          <w:szCs w:val="28"/>
          <w:rtl/>
        </w:rPr>
        <w:t>يهدف هذا النموذج إلى التعرف على أثر ممارسات الاستدامة بأبعادها في كفاءة إدارة الحشود بأبعادها، عند توسيط التكنولوجيا الذكية، وذلك في سياق موسم الحج والعمرة في مكة المكرمة والمدينة المنورة، ويتضمن المتغيرات التالية:</w:t>
      </w:r>
    </w:p>
    <w:p w14:paraId="0BFF9D4A"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Cambria Math" w:hAnsi="Cambria Math" w:cs="Cambria Math"/>
          <w:sz w:val="28"/>
          <w:szCs w:val="28"/>
          <w:rtl/>
          <w:lang w:bidi="ar-EG"/>
        </w:rPr>
        <w:t>−</w:t>
      </w:r>
      <w:r w:rsidRPr="00A25019">
        <w:rPr>
          <w:rFonts w:ascii="Simplified Arabic" w:hAnsi="Simplified Arabic" w:cs="Simplified Arabic"/>
          <w:sz w:val="28"/>
          <w:szCs w:val="28"/>
          <w:rtl/>
          <w:lang w:bidi="ar-EG"/>
        </w:rPr>
        <w:t xml:space="preserve"> المتغير المستقل: ممارسات الاستدامة بأبعادها (الاستدامة البيئية – الاستدامة الاقتصادية – الاستدامة الاجتماعية)</w:t>
      </w:r>
      <w:r w:rsidRPr="00A25019">
        <w:rPr>
          <w:rtl/>
        </w:rPr>
        <w:t xml:space="preserve"> </w:t>
      </w:r>
      <w:r w:rsidRPr="00A25019">
        <w:rPr>
          <w:rFonts w:ascii="Simplified Arabic" w:hAnsi="Simplified Arabic" w:cs="Simplified Arabic"/>
          <w:sz w:val="28"/>
          <w:szCs w:val="28"/>
          <w:rtl/>
        </w:rPr>
        <w:t>بالاعتماد على دراسة( سحنون</w:t>
      </w:r>
      <w:r w:rsidRPr="00A25019">
        <w:rPr>
          <w:rFonts w:ascii="Simplified Arabic" w:hAnsi="Simplified Arabic" w:cs="Simplified Arabic"/>
          <w:sz w:val="28"/>
          <w:szCs w:val="28"/>
          <w:lang w:bidi="ar-EG"/>
        </w:rPr>
        <w:t xml:space="preserve"> </w:t>
      </w:r>
      <w:r w:rsidRPr="00A25019">
        <w:rPr>
          <w:rFonts w:ascii="Simplified Arabic" w:hAnsi="Simplified Arabic" w:cs="Simplified Arabic"/>
          <w:sz w:val="28"/>
          <w:szCs w:val="28"/>
          <w:rtl/>
        </w:rPr>
        <w:t>،</w:t>
      </w:r>
      <w:r w:rsidRPr="00A25019">
        <w:rPr>
          <w:rFonts w:ascii="Simplified Arabic" w:hAnsi="Simplified Arabic" w:cs="Simplified Arabic"/>
          <w:sz w:val="28"/>
          <w:szCs w:val="28"/>
          <w:lang w:bidi="ar-EG"/>
        </w:rPr>
        <w:t>2023</w:t>
      </w:r>
      <w:r w:rsidRPr="00A25019">
        <w:rPr>
          <w:rFonts w:ascii="Simplified Arabic" w:hAnsi="Simplified Arabic" w:cs="Simplified Arabic"/>
          <w:sz w:val="28"/>
          <w:szCs w:val="28"/>
          <w:rtl/>
          <w:lang w:bidi="ar-EG"/>
        </w:rPr>
        <w:t>)</w:t>
      </w:r>
    </w:p>
    <w:p w14:paraId="6841DC59"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Cambria Math" w:hAnsi="Cambria Math" w:cs="Cambria Math"/>
          <w:sz w:val="28"/>
          <w:szCs w:val="28"/>
          <w:rtl/>
          <w:lang w:bidi="ar-EG"/>
        </w:rPr>
        <w:lastRenderedPageBreak/>
        <w:t>−</w:t>
      </w:r>
      <w:r w:rsidRPr="00A25019">
        <w:rPr>
          <w:rFonts w:ascii="Simplified Arabic" w:hAnsi="Simplified Arabic" w:cs="Simplified Arabic"/>
          <w:sz w:val="28"/>
          <w:szCs w:val="28"/>
          <w:rtl/>
          <w:lang w:bidi="ar-EG"/>
        </w:rPr>
        <w:t xml:space="preserve"> المتغير التابع: كفاءة إدارة الحشود بأبعادها (الانسيابية في الحركة – سرعة الاستجابة – تقليل التكدس والازدحام)بالاعتماد على دراسة</w:t>
      </w:r>
      <w:r w:rsidRPr="00A25019">
        <w:rPr>
          <w:rFonts w:ascii="Simplified Arabic" w:hAnsi="Simplified Arabic" w:cs="Simplified Arabic"/>
          <w:sz w:val="28"/>
          <w:szCs w:val="28"/>
          <w:lang w:bidi="ar-EG"/>
        </w:rPr>
        <w:t xml:space="preserve"> Klatt et al. ,2024)</w:t>
      </w:r>
      <w:r w:rsidRPr="00A25019">
        <w:rPr>
          <w:rFonts w:ascii="Simplified Arabic" w:hAnsi="Simplified Arabic" w:cs="Simplified Arabic"/>
          <w:sz w:val="28"/>
          <w:szCs w:val="28"/>
          <w:rtl/>
          <w:lang w:bidi="ar-EG"/>
        </w:rPr>
        <w:t>)      .</w:t>
      </w:r>
    </w:p>
    <w:p w14:paraId="41AF3293"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Cambria Math" w:hAnsi="Cambria Math" w:cs="Cambria Math"/>
          <w:sz w:val="28"/>
          <w:szCs w:val="28"/>
          <w:rtl/>
          <w:lang w:bidi="ar-EG"/>
        </w:rPr>
        <w:t>−</w:t>
      </w:r>
      <w:r w:rsidRPr="00A25019">
        <w:rPr>
          <w:rFonts w:ascii="Simplified Arabic" w:hAnsi="Simplified Arabic" w:cs="Simplified Arabic"/>
          <w:sz w:val="28"/>
          <w:szCs w:val="28"/>
          <w:rtl/>
          <w:lang w:bidi="ar-EG"/>
        </w:rPr>
        <w:t xml:space="preserve"> المتغير الوسيط: التكنولوجيا الذكية بأبعادها (أنظمة المراقبة الذكية – تطبيقات التوجيه والتحكم – تحليل البيانات الحية)</w:t>
      </w:r>
      <w:r w:rsidRPr="00A25019">
        <w:rPr>
          <w:rtl/>
        </w:rPr>
        <w:t xml:space="preserve"> </w:t>
      </w:r>
      <w:r w:rsidRPr="00A25019">
        <w:rPr>
          <w:rFonts w:ascii="Simplified Arabic" w:hAnsi="Simplified Arabic" w:cs="Simplified Arabic"/>
          <w:sz w:val="28"/>
          <w:szCs w:val="28"/>
          <w:rtl/>
        </w:rPr>
        <w:t>بالاعتماد على دراسة</w:t>
      </w:r>
      <w:r w:rsidRPr="00A25019">
        <w:rPr>
          <w:rFonts w:ascii="Simplified Arabic" w:hAnsi="Simplified Arabic" w:cs="Simplified Arabic"/>
          <w:sz w:val="28"/>
          <w:szCs w:val="28"/>
          <w:lang w:bidi="ar-EG"/>
        </w:rPr>
        <w:t xml:space="preserve"> Mallick et al. ,2024)</w:t>
      </w:r>
      <w:r w:rsidRPr="00A25019">
        <w:rPr>
          <w:rFonts w:ascii="Simplified Arabic" w:hAnsi="Simplified Arabic" w:cs="Simplified Arabic"/>
          <w:sz w:val="28"/>
          <w:szCs w:val="28"/>
          <w:rtl/>
          <w:lang w:bidi="ar-EG"/>
        </w:rPr>
        <w:t>).</w:t>
      </w:r>
    </w:p>
    <w:p w14:paraId="79340EFC" w14:textId="77777777" w:rsidR="00A25019" w:rsidRPr="00A25019" w:rsidRDefault="00A25019" w:rsidP="00A25019">
      <w:pPr>
        <w:jc w:val="both"/>
        <w:rPr>
          <w:rFonts w:ascii="Simplified Arabic" w:hAnsi="Simplified Arabic" w:cs="Simplified Arabic"/>
          <w:sz w:val="28"/>
          <w:szCs w:val="28"/>
          <w:rtl/>
          <w:lang w:bidi="ar-EG"/>
        </w:rPr>
      </w:pPr>
    </w:p>
    <w:p w14:paraId="5D2FD4BA" w14:textId="77777777" w:rsidR="00A25019" w:rsidRPr="00A25019" w:rsidRDefault="00A25019" w:rsidP="00A25019">
      <w:pPr>
        <w:spacing w:line="276" w:lineRule="auto"/>
        <w:ind w:left="360"/>
        <w:contextualSpacing/>
        <w:jc w:val="center"/>
        <w:rPr>
          <w:rFonts w:ascii="Traditional Arabic" w:eastAsia="Calibri" w:hAnsi="Traditional Arabic" w:cs="Simplified Arabic"/>
          <w:sz w:val="28"/>
          <w:szCs w:val="28"/>
          <w:rtl/>
          <w:lang w:bidi="ar-EG"/>
        </w:rPr>
      </w:pPr>
      <w:r w:rsidRPr="00A25019">
        <w:rPr>
          <w:rFonts w:ascii="Traditional Arabic" w:eastAsia="Calibri" w:hAnsi="Traditional Arabic" w:cs="Simplified Arabic"/>
          <w:b/>
          <w:bCs/>
          <w:sz w:val="28"/>
          <w:szCs w:val="28"/>
          <w:rtl/>
          <w:lang w:bidi="ar-EG"/>
        </w:rPr>
        <w:t xml:space="preserve">الشكل رقم (1) متغيرات الدراسة </w:t>
      </w:r>
    </w:p>
    <w:p w14:paraId="0F00D517" w14:textId="77777777" w:rsidR="00A25019" w:rsidRPr="00A25019" w:rsidRDefault="00A25019" w:rsidP="00A25019">
      <w:pPr>
        <w:spacing w:line="276" w:lineRule="auto"/>
        <w:ind w:firstLine="720"/>
        <w:jc w:val="both"/>
        <w:rPr>
          <w:rFonts w:ascii="Traditional Arabic" w:eastAsia="Calibri" w:hAnsi="Traditional Arabic" w:cs="Simplified Arabic"/>
          <w:sz w:val="28"/>
          <w:szCs w:val="28"/>
          <w:rtl/>
        </w:rPr>
      </w:pPr>
      <w:r w:rsidRPr="00A25019">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43904" behindDoc="0" locked="0" layoutInCell="1" allowOverlap="1" wp14:anchorId="3461FB5A" wp14:editId="2DF468FD">
                <wp:simplePos x="0" y="0"/>
                <wp:positionH relativeFrom="column">
                  <wp:posOffset>3975735</wp:posOffset>
                </wp:positionH>
                <wp:positionV relativeFrom="paragraph">
                  <wp:posOffset>198120</wp:posOffset>
                </wp:positionV>
                <wp:extent cx="1857375" cy="485775"/>
                <wp:effectExtent l="0" t="0" r="28575" b="285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17511F24" w14:textId="77777777" w:rsidR="00A25019" w:rsidRDefault="00A25019" w:rsidP="00A25019">
                            <w:pPr>
                              <w:rPr>
                                <w:lang w:bidi="ar-EG"/>
                              </w:rPr>
                            </w:pPr>
                            <w:r w:rsidRPr="00E819C0">
                              <w:rPr>
                                <w:rFonts w:ascii="Traditional Arabic" w:hAnsi="Traditional Arabic" w:cs="Traditional Arabic"/>
                                <w:b/>
                                <w:bCs/>
                                <w:sz w:val="32"/>
                                <w:szCs w:val="32"/>
                                <w:rtl/>
                                <w:lang w:bidi="ar-EG"/>
                              </w:rPr>
                              <w:t>ممارسات الاستدامة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61FB5A" id="مستطيل 1" o:spid="_x0000_s1026" style="position:absolute;left:0;text-align:left;margin-left:313.05pt;margin-top:15.6pt;width:146.25pt;height:38.2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" fillcolor="#b5d5a7" strokecolor="#70ad47" strokeweight=".5pt">
                <v:fill color2="#9cca86" rotate="t" colors="0 #b5d5a7;.5 #aace99;1 #9cca86" focus="100%" type="gradient">
                  <o:fill v:ext="view" type="gradientUnscaled"/>
                </v:fill>
                <v:textbox>
                  <w:txbxContent>
                    <w:p w14:paraId="17511F24" w14:textId="77777777" w:rsidR="00A25019" w:rsidRDefault="00A25019" w:rsidP="00A25019">
                      <w:pPr>
                        <w:rPr>
                          <w:lang w:bidi="ar-EG"/>
                        </w:rPr>
                      </w:pPr>
                      <w:r w:rsidRPr="00E819C0">
                        <w:rPr>
                          <w:rFonts w:ascii="Traditional Arabic" w:hAnsi="Traditional Arabic" w:cs="Traditional Arabic"/>
                          <w:b/>
                          <w:bCs/>
                          <w:sz w:val="32"/>
                          <w:szCs w:val="32"/>
                          <w:rtl/>
                          <w:lang w:bidi="ar-EG"/>
                        </w:rPr>
                        <w:t>ممارسات الاستدامة</w:t>
                      </w:r>
                    </w:p>
                  </w:txbxContent>
                </v:textbox>
              </v:rect>
            </w:pict>
          </mc:Fallback>
        </mc:AlternateContent>
      </w:r>
      <w:r w:rsidRPr="00A25019">
        <w:rPr>
          <w:rFonts w:ascii="Traditional Arabic" w:eastAsia="Calibri" w:hAnsi="Traditional Arabic" w:cs="Simplified Arabic"/>
          <w:noProof/>
          <w:sz w:val="28"/>
          <w:szCs w:val="28"/>
          <w:rtl/>
          <w:lang w:val="ar-SA"/>
        </w:rPr>
        <mc:AlternateContent>
          <mc:Choice Requires="wps">
            <w:drawing>
              <wp:anchor distT="0" distB="0" distL="114300" distR="114300" simplePos="0" relativeHeight="251645952" behindDoc="0" locked="0" layoutInCell="1" allowOverlap="1" wp14:anchorId="146C7BB8" wp14:editId="20D2F21A">
                <wp:simplePos x="0" y="0"/>
                <wp:positionH relativeFrom="column">
                  <wp:posOffset>51435</wp:posOffset>
                </wp:positionH>
                <wp:positionV relativeFrom="paragraph">
                  <wp:posOffset>198755</wp:posOffset>
                </wp:positionV>
                <wp:extent cx="1838325" cy="485775"/>
                <wp:effectExtent l="0" t="0" r="28575" b="28575"/>
                <wp:wrapNone/>
                <wp:docPr id="467565625" name="مستطيل 2"/>
                <wp:cNvGraphicFramePr/>
                <a:graphic xmlns:a="http://schemas.openxmlformats.org/drawingml/2006/main">
                  <a:graphicData uri="http://schemas.microsoft.com/office/word/2010/wordprocessingShape">
                    <wps:wsp>
                      <wps:cNvSpPr/>
                      <wps:spPr>
                        <a:xfrm>
                          <a:off x="0" y="0"/>
                          <a:ext cx="1838325" cy="485775"/>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1E2473FC" w14:textId="77777777" w:rsidR="00A25019" w:rsidRDefault="00A25019" w:rsidP="00A25019">
                            <w:pPr>
                              <w:rPr>
                                <w:lang w:bidi="ar-EG"/>
                              </w:rPr>
                            </w:pPr>
                            <w:r w:rsidRPr="00E819C0">
                              <w:rPr>
                                <w:rFonts w:ascii="Traditional Arabic" w:hAnsi="Traditional Arabic" w:cs="Traditional Arabic" w:hint="cs"/>
                                <w:b/>
                                <w:bCs/>
                                <w:sz w:val="32"/>
                                <w:szCs w:val="32"/>
                                <w:rtl/>
                                <w:lang w:bidi="ar-EG"/>
                              </w:rPr>
                              <w:t>كفاءة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إدارة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الحشود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6C7BB8" id="مستطيل 2" o:spid="_x0000_s1027" style="position:absolute;left:0;text-align:left;margin-left:4.05pt;margin-top:15.65pt;width:144.75pt;height:38.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" fillcolor="#b5d5a7" strokecolor="#70ad47" strokeweight=".5pt">
                <v:fill color2="#9cca86" rotate="t" colors="0 #b5d5a7;.5 #aace99;1 #9cca86" focus="100%" type="gradient">
                  <o:fill v:ext="view" type="gradientUnscaled"/>
                </v:fill>
                <v:textbox>
                  <w:txbxContent>
                    <w:p w14:paraId="1E2473FC" w14:textId="77777777" w:rsidR="00A25019" w:rsidRDefault="00A25019" w:rsidP="00A25019">
                      <w:pPr>
                        <w:rPr>
                          <w:lang w:bidi="ar-EG"/>
                        </w:rPr>
                      </w:pPr>
                      <w:r w:rsidRPr="00E819C0">
                        <w:rPr>
                          <w:rFonts w:ascii="Traditional Arabic" w:hAnsi="Traditional Arabic" w:cs="Traditional Arabic" w:hint="cs"/>
                          <w:b/>
                          <w:bCs/>
                          <w:sz w:val="32"/>
                          <w:szCs w:val="32"/>
                          <w:rtl/>
                          <w:lang w:bidi="ar-EG"/>
                        </w:rPr>
                        <w:t>كفاءة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إدارة</w:t>
                      </w:r>
                      <w:r w:rsidRPr="00E819C0">
                        <w:rPr>
                          <w:rFonts w:ascii="Traditional Arabic" w:hAnsi="Traditional Arabic" w:cs="Traditional Arabic"/>
                          <w:b/>
                          <w:bCs/>
                          <w:sz w:val="32"/>
                          <w:szCs w:val="32"/>
                          <w:rtl/>
                          <w:lang w:bidi="ar-EG"/>
                        </w:rPr>
                        <w:t xml:space="preserve"> </w:t>
                      </w:r>
                      <w:r w:rsidRPr="00E819C0">
                        <w:rPr>
                          <w:rFonts w:ascii="Traditional Arabic" w:hAnsi="Traditional Arabic" w:cs="Traditional Arabic" w:hint="cs"/>
                          <w:b/>
                          <w:bCs/>
                          <w:sz w:val="32"/>
                          <w:szCs w:val="32"/>
                          <w:rtl/>
                          <w:lang w:bidi="ar-EG"/>
                        </w:rPr>
                        <w:t>الحشود</w:t>
                      </w:r>
                    </w:p>
                  </w:txbxContent>
                </v:textbox>
              </v:rect>
            </w:pict>
          </mc:Fallback>
        </mc:AlternateContent>
      </w:r>
    </w:p>
    <w:p w14:paraId="2DFB8DF3" w14:textId="77777777" w:rsidR="00A25019" w:rsidRPr="00A25019" w:rsidRDefault="00A25019" w:rsidP="00A25019">
      <w:pPr>
        <w:spacing w:line="276" w:lineRule="auto"/>
        <w:ind w:firstLine="720"/>
        <w:jc w:val="both"/>
        <w:rPr>
          <w:rFonts w:ascii="Traditional Arabic" w:eastAsia="Calibri" w:hAnsi="Traditional Arabic" w:cs="Simplified Arabic"/>
          <w:sz w:val="28"/>
          <w:szCs w:val="28"/>
          <w:rtl/>
        </w:rPr>
      </w:pPr>
    </w:p>
    <w:p w14:paraId="26817EC4" w14:textId="77777777" w:rsidR="00A25019" w:rsidRPr="00A25019" w:rsidRDefault="00A25019" w:rsidP="00A25019">
      <w:pPr>
        <w:spacing w:line="276" w:lineRule="auto"/>
        <w:jc w:val="both"/>
        <w:rPr>
          <w:rFonts w:ascii="Traditional Arabic" w:eastAsia="Calibri" w:hAnsi="Traditional Arabic" w:cs="Simplified Arabic"/>
          <w:sz w:val="28"/>
          <w:szCs w:val="28"/>
        </w:rPr>
      </w:pPr>
      <w:r w:rsidRPr="00A25019">
        <w:rPr>
          <w:rFonts w:ascii="Traditional Arabic" w:eastAsia="Calibri" w:hAnsi="Traditional Arabic" w:cs="Simplified Arabic"/>
          <w:noProof/>
          <w:sz w:val="28"/>
          <w:szCs w:val="28"/>
        </w:rPr>
        <mc:AlternateContent>
          <mc:Choice Requires="wps">
            <w:drawing>
              <wp:anchor distT="0" distB="0" distL="114300" distR="114300" simplePos="0" relativeHeight="251650048" behindDoc="0" locked="0" layoutInCell="1" allowOverlap="1" wp14:anchorId="579E8205" wp14:editId="76EEEAF5">
                <wp:simplePos x="0" y="0"/>
                <wp:positionH relativeFrom="column">
                  <wp:posOffset>47625</wp:posOffset>
                </wp:positionH>
                <wp:positionV relativeFrom="paragraph">
                  <wp:posOffset>255905</wp:posOffset>
                </wp:positionV>
                <wp:extent cx="1838325" cy="2574925"/>
                <wp:effectExtent l="0" t="0" r="28575" b="15875"/>
                <wp:wrapNone/>
                <wp:docPr id="96191590" name="مستطيل 4"/>
                <wp:cNvGraphicFramePr/>
                <a:graphic xmlns:a="http://schemas.openxmlformats.org/drawingml/2006/main">
                  <a:graphicData uri="http://schemas.microsoft.com/office/word/2010/wordprocessingShape">
                    <wps:wsp>
                      <wps:cNvSpPr/>
                      <wps:spPr>
                        <a:xfrm>
                          <a:off x="0" y="0"/>
                          <a:ext cx="1838325" cy="2574925"/>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77823E18" w14:textId="77777777" w:rsidR="00A25019" w:rsidRDefault="00A25019" w:rsidP="00A250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9E8205" id="مستطيل 4" o:spid="_x0000_s1028" style="position:absolute;left:0;text-align:left;margin-left:3.75pt;margin-top:20.15pt;width:144.75pt;height:202.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" fillcolor="#b1cbe9" strokecolor="#5b9bd5" strokeweight=".5pt">
                <v:fill color2="#92b9e4" rotate="t" colors="0 #b1cbe9;.5 #a3c1e5;1 #92b9e4" focus="100%" type="gradient">
                  <o:fill v:ext="view" type="gradientUnscaled"/>
                </v:fill>
                <v:textbox>
                  <w:txbxContent>
                    <w:p w14:paraId="77823E18" w14:textId="77777777" w:rsidR="00A25019" w:rsidRDefault="00A25019" w:rsidP="00A25019">
                      <w:pPr>
                        <w:jc w:val="center"/>
                      </w:pPr>
                    </w:p>
                  </w:txbxContent>
                </v:textbox>
              </v:rect>
            </w:pict>
          </mc:Fallback>
        </mc:AlternateContent>
      </w:r>
      <w:r w:rsidRPr="00A25019">
        <w:rPr>
          <w:rFonts w:ascii="Traditional Arabic" w:eastAsia="Calibri" w:hAnsi="Traditional Arabic" w:cs="Simplified Arabic"/>
          <w:noProof/>
          <w:sz w:val="28"/>
          <w:szCs w:val="28"/>
        </w:rPr>
        <mc:AlternateContent>
          <mc:Choice Requires="wps">
            <w:drawing>
              <wp:anchor distT="0" distB="0" distL="114300" distR="114300" simplePos="0" relativeHeight="251648000" behindDoc="0" locked="0" layoutInCell="1" allowOverlap="1" wp14:anchorId="46B89D7C" wp14:editId="337E67DA">
                <wp:simplePos x="0" y="0"/>
                <wp:positionH relativeFrom="column">
                  <wp:posOffset>4034790</wp:posOffset>
                </wp:positionH>
                <wp:positionV relativeFrom="paragraph">
                  <wp:posOffset>255905</wp:posOffset>
                </wp:positionV>
                <wp:extent cx="1857375" cy="2647950"/>
                <wp:effectExtent l="0" t="0" r="28575" b="19050"/>
                <wp:wrapNone/>
                <wp:docPr id="2066265836" name="مستطيل 3"/>
                <wp:cNvGraphicFramePr/>
                <a:graphic xmlns:a="http://schemas.openxmlformats.org/drawingml/2006/main">
                  <a:graphicData uri="http://schemas.microsoft.com/office/word/2010/wordprocessingShape">
                    <wps:wsp>
                      <wps:cNvSpPr/>
                      <wps:spPr>
                        <a:xfrm>
                          <a:off x="0" y="0"/>
                          <a:ext cx="1857375" cy="264795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5A951DB9" w14:textId="77777777" w:rsidR="00A25019" w:rsidRDefault="00A25019" w:rsidP="00A250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B89D7C" id="مستطيل 3" o:spid="_x0000_s1029" style="position:absolute;left:0;text-align:left;margin-left:317.7pt;margin-top:20.15pt;width:146.25pt;height:208.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" fillcolor="#b1cbe9" strokecolor="#5b9bd5" strokeweight=".5pt">
                <v:fill color2="#92b9e4" rotate="t" colors="0 #b1cbe9;.5 #a3c1e5;1 #92b9e4" focus="100%" type="gradient">
                  <o:fill v:ext="view" type="gradientUnscaled"/>
                </v:fill>
                <v:textbox>
                  <w:txbxContent>
                    <w:p w14:paraId="5A951DB9" w14:textId="77777777" w:rsidR="00A25019" w:rsidRDefault="00A25019" w:rsidP="00A25019">
                      <w:pPr>
                        <w:jc w:val="center"/>
                      </w:pPr>
                    </w:p>
                  </w:txbxContent>
                </v:textbox>
              </v:rect>
            </w:pict>
          </mc:Fallback>
        </mc:AlternateContent>
      </w:r>
      <w:r w:rsidRPr="00A25019">
        <w:rPr>
          <w:rFonts w:ascii="Traditional Arabic" w:eastAsia="Calibri" w:hAnsi="Traditional Arabic" w:cs="Simplified Arabic"/>
          <w:noProof/>
          <w:sz w:val="28"/>
          <w:szCs w:val="28"/>
        </w:rPr>
        <mc:AlternateContent>
          <mc:Choice Requires="wps">
            <w:drawing>
              <wp:anchor distT="0" distB="0" distL="114300" distR="114300" simplePos="0" relativeHeight="251652096" behindDoc="0" locked="0" layoutInCell="1" allowOverlap="1" wp14:anchorId="1362ECD1" wp14:editId="5523C080">
                <wp:simplePos x="0" y="0"/>
                <wp:positionH relativeFrom="column">
                  <wp:posOffset>2118360</wp:posOffset>
                </wp:positionH>
                <wp:positionV relativeFrom="paragraph">
                  <wp:posOffset>367030</wp:posOffset>
                </wp:positionV>
                <wp:extent cx="1685925" cy="552450"/>
                <wp:effectExtent l="0" t="0" r="28575" b="19050"/>
                <wp:wrapNone/>
                <wp:docPr id="1424367979" name="شكل بيضاوي 6"/>
                <wp:cNvGraphicFramePr/>
                <a:graphic xmlns:a="http://schemas.openxmlformats.org/drawingml/2006/main">
                  <a:graphicData uri="http://schemas.microsoft.com/office/word/2010/wordprocessingShape">
                    <wps:wsp>
                      <wps:cNvSpPr/>
                      <wps:spPr>
                        <a:xfrm>
                          <a:off x="0" y="0"/>
                          <a:ext cx="1685925" cy="552450"/>
                        </a:xfrm>
                        <a:prstGeom prst="round1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25A2178D" w14:textId="77777777" w:rsidR="00A25019" w:rsidRPr="00455857" w:rsidRDefault="00A25019" w:rsidP="00A25019">
                            <w:pPr>
                              <w:jc w:val="center"/>
                              <w:rPr>
                                <w:b/>
                                <w:bCs/>
                                <w:lang w:bidi="ar-EG"/>
                              </w:rPr>
                            </w:pPr>
                            <w:r w:rsidRPr="00E819C0">
                              <w:rPr>
                                <w:rFonts w:ascii="Traditional Arabic" w:hAnsi="Traditional Arabic" w:cs="Simplified Arabic"/>
                                <w:b/>
                                <w:bCs/>
                                <w:sz w:val="28"/>
                                <w:szCs w:val="28"/>
                                <w:rtl/>
                                <w:lang w:bidi="ar-EG"/>
                              </w:rPr>
                              <w:t>التكنولوجيا الذكية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62ECD1" id="شكل بيضاوي 6" o:spid="_x0000_s1030" style="position:absolute;left:0;text-align:left;margin-left:166.8pt;margin-top:28.9pt;width:132.75pt;height:43.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85925,5524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" adj="-11796480,,5400" path="m,l1593848,v50853,,92077,41224,92077,92077l1685925,552450,,552450,,xe" fillcolor="#b5d5a7" strokecolor="#70ad47" strokeweight=".5pt">
                <v:fill color2="#9cca86" rotate="t" colors="0 #b5d5a7;.5 #aace99;1 #9cca86" focus="100%" type="gradient">
                  <o:fill v:ext="view" type="gradientUnscaled"/>
                </v:fill>
                <v:stroke joinstyle="miter"/>
                <v:formulas/>
                <v:path arrowok="t" o:connecttype="custom" o:connectlocs="0,0;1593848,0;1685925,92077;1685925,552450;0,552450;0,0" o:connectangles="0,0,0,0,0,0" textboxrect="0,0,1685925,552450"/>
                <v:textbox>
                  <w:txbxContent>
                    <w:p w14:paraId="25A2178D" w14:textId="77777777" w:rsidR="00A25019" w:rsidRPr="00455857" w:rsidRDefault="00A25019" w:rsidP="00A25019">
                      <w:pPr>
                        <w:jc w:val="center"/>
                        <w:rPr>
                          <w:b/>
                          <w:bCs/>
                          <w:lang w:bidi="ar-EG"/>
                        </w:rPr>
                      </w:pPr>
                      <w:r w:rsidRPr="00E819C0">
                        <w:rPr>
                          <w:rFonts w:ascii="Traditional Arabic" w:hAnsi="Traditional Arabic" w:cs="Simplified Arabic"/>
                          <w:b/>
                          <w:bCs/>
                          <w:sz w:val="28"/>
                          <w:szCs w:val="28"/>
                          <w:rtl/>
                          <w:lang w:bidi="ar-EG"/>
                        </w:rPr>
                        <w:t>التكنولوجيا الذكية</w:t>
                      </w:r>
                    </w:p>
                  </w:txbxContent>
                </v:textbox>
              </v:shape>
            </w:pict>
          </mc:Fallback>
        </mc:AlternateContent>
      </w:r>
    </w:p>
    <w:p w14:paraId="50E8F6B9" w14:textId="77777777" w:rsidR="00A25019" w:rsidRPr="00A25019" w:rsidRDefault="00A25019" w:rsidP="00A25019">
      <w:pPr>
        <w:spacing w:line="276" w:lineRule="auto"/>
        <w:jc w:val="both"/>
        <w:rPr>
          <w:rFonts w:ascii="Traditional Arabic" w:eastAsia="Calibri" w:hAnsi="Traditional Arabic" w:cs="Simplified Arabic"/>
          <w:sz w:val="28"/>
          <w:szCs w:val="28"/>
        </w:rPr>
      </w:pPr>
      <w:r w:rsidRPr="00A25019">
        <w:rPr>
          <w:rFonts w:ascii="Traditional Arabic" w:eastAsia="Calibri" w:hAnsi="Traditional Arabic" w:cs="Simplified Arabic"/>
          <w:noProof/>
          <w:sz w:val="28"/>
          <w:szCs w:val="28"/>
        </w:rPr>
        <mc:AlternateContent>
          <mc:Choice Requires="wps">
            <w:drawing>
              <wp:anchor distT="0" distB="0" distL="114300" distR="114300" simplePos="0" relativeHeight="251662336" behindDoc="0" locked="0" layoutInCell="1" allowOverlap="1" wp14:anchorId="579CDFA4" wp14:editId="383C7B0F">
                <wp:simplePos x="0" y="0"/>
                <wp:positionH relativeFrom="column">
                  <wp:posOffset>201930</wp:posOffset>
                </wp:positionH>
                <wp:positionV relativeFrom="paragraph">
                  <wp:posOffset>306705</wp:posOffset>
                </wp:positionV>
                <wp:extent cx="1501140" cy="447675"/>
                <wp:effectExtent l="0" t="0" r="22860" b="28575"/>
                <wp:wrapNone/>
                <wp:docPr id="1455256876" name="مستطيل: زوايا مستديرة 13"/>
                <wp:cNvGraphicFramePr/>
                <a:graphic xmlns:a="http://schemas.openxmlformats.org/drawingml/2006/main">
                  <a:graphicData uri="http://schemas.microsoft.com/office/word/2010/wordprocessingShape">
                    <wps:wsp>
                      <wps:cNvSpPr/>
                      <wps:spPr>
                        <a:xfrm>
                          <a:off x="0" y="0"/>
                          <a:ext cx="1501140" cy="4476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566E51CA" w14:textId="77777777" w:rsidR="00A25019" w:rsidRPr="00455857" w:rsidRDefault="00A25019" w:rsidP="00A25019">
                            <w:pPr>
                              <w:jc w:val="center"/>
                              <w:rPr>
                                <w:rFonts w:ascii="Traditional Arabic" w:hAnsi="Traditional Arabic" w:cs="Traditional Arabic"/>
                                <w:sz w:val="32"/>
                                <w:szCs w:val="32"/>
                              </w:rPr>
                            </w:pPr>
                            <w:r w:rsidRPr="00E819C0">
                              <w:rPr>
                                <w:rFonts w:ascii="Traditional Arabic" w:hAnsi="Traditional Arabic" w:cs="Simplified Arabic"/>
                                <w:b/>
                                <w:bCs/>
                                <w:rtl/>
                              </w:rPr>
                              <w:t>الانسيابية في الحركة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9CDFA4" id="مستطيل: زوايا مستديرة 13" o:spid="_x0000_s1031" style="position:absolute;left:0;text-align:left;margin-left:15.9pt;margin-top:24.15pt;width:118.2pt;height:3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&#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566E51CA" w14:textId="77777777" w:rsidR="00A25019" w:rsidRPr="00455857" w:rsidRDefault="00A25019" w:rsidP="00A25019">
                      <w:pPr>
                        <w:jc w:val="center"/>
                        <w:rPr>
                          <w:rFonts w:ascii="Traditional Arabic" w:hAnsi="Traditional Arabic" w:cs="Traditional Arabic"/>
                          <w:sz w:val="32"/>
                          <w:szCs w:val="32"/>
                        </w:rPr>
                      </w:pPr>
                      <w:r w:rsidRPr="00E819C0">
                        <w:rPr>
                          <w:rFonts w:ascii="Traditional Arabic" w:hAnsi="Traditional Arabic" w:cs="Simplified Arabic"/>
                          <w:b/>
                          <w:bCs/>
                          <w:rtl/>
                        </w:rPr>
                        <w:t>الانسيابية في الحركة</w:t>
                      </w:r>
                    </w:p>
                  </w:txbxContent>
                </v:textbox>
              </v:roundrect>
            </w:pict>
          </mc:Fallback>
        </mc:AlternateContent>
      </w:r>
      <w:r w:rsidRPr="00A25019">
        <w:rPr>
          <w:rFonts w:ascii="Traditional Arabic" w:eastAsia="Calibri" w:hAnsi="Traditional Arabic" w:cs="Simplified Arabic"/>
          <w:noProof/>
          <w:sz w:val="28"/>
          <w:szCs w:val="28"/>
        </w:rPr>
        <mc:AlternateContent>
          <mc:Choice Requires="wps">
            <w:drawing>
              <wp:anchor distT="0" distB="0" distL="114300" distR="114300" simplePos="0" relativeHeight="251656192" behindDoc="0" locked="0" layoutInCell="1" allowOverlap="1" wp14:anchorId="0349B82F" wp14:editId="3E2B8C5C">
                <wp:simplePos x="0" y="0"/>
                <wp:positionH relativeFrom="column">
                  <wp:posOffset>4210050</wp:posOffset>
                </wp:positionH>
                <wp:positionV relativeFrom="paragraph">
                  <wp:posOffset>315595</wp:posOffset>
                </wp:positionV>
                <wp:extent cx="1504315" cy="401955"/>
                <wp:effectExtent l="0" t="0" r="19685" b="17145"/>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504315" cy="40195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61449CDB" w14:textId="77777777" w:rsidR="00A25019" w:rsidRPr="001F1793" w:rsidRDefault="00A25019" w:rsidP="00A25019">
                            <w:pPr>
                              <w:jc w:val="center"/>
                              <w:rPr>
                                <w:rFonts w:cs="Simplified Arabic"/>
                                <w:b/>
                                <w:bCs/>
                              </w:rPr>
                            </w:pPr>
                            <w:r w:rsidRPr="00E819C0">
                              <w:rPr>
                                <w:rFonts w:ascii="Traditional Arabic" w:hAnsi="Traditional Arabic" w:cs="Simplified Arabic"/>
                                <w:b/>
                                <w:bCs/>
                                <w:sz w:val="28"/>
                                <w:szCs w:val="28"/>
                                <w:rtl/>
                              </w:rPr>
                              <w:t>الاستدامة البيئية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49B82F" id="مستطيل: زوايا مستديرة 9" o:spid="_x0000_s1032" style="position:absolute;left:0;text-align:left;margin-left:331.5pt;margin-top:24.85pt;width:118.45pt;height:31.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61449CDB" w14:textId="77777777" w:rsidR="00A25019" w:rsidRPr="001F1793" w:rsidRDefault="00A25019" w:rsidP="00A25019">
                      <w:pPr>
                        <w:jc w:val="center"/>
                        <w:rPr>
                          <w:rFonts w:cs="Simplified Arabic"/>
                          <w:b/>
                          <w:bCs/>
                        </w:rPr>
                      </w:pPr>
                      <w:r w:rsidRPr="00E819C0">
                        <w:rPr>
                          <w:rFonts w:ascii="Traditional Arabic" w:hAnsi="Traditional Arabic" w:cs="Simplified Arabic"/>
                          <w:b/>
                          <w:bCs/>
                          <w:sz w:val="28"/>
                          <w:szCs w:val="28"/>
                          <w:rtl/>
                        </w:rPr>
                        <w:t>الاستدامة البيئية</w:t>
                      </w:r>
                    </w:p>
                  </w:txbxContent>
                </v:textbox>
              </v:roundrect>
            </w:pict>
          </mc:Fallback>
        </mc:AlternateContent>
      </w:r>
    </w:p>
    <w:p w14:paraId="144E0907" w14:textId="77777777" w:rsidR="00A25019" w:rsidRPr="00A25019" w:rsidRDefault="00A25019" w:rsidP="00A25019">
      <w:pPr>
        <w:spacing w:line="276" w:lineRule="auto"/>
        <w:jc w:val="both"/>
        <w:rPr>
          <w:rFonts w:ascii="Traditional Arabic" w:eastAsia="Calibri" w:hAnsi="Traditional Arabic" w:cs="Simplified Arabic"/>
          <w:sz w:val="28"/>
          <w:szCs w:val="28"/>
        </w:rPr>
      </w:pPr>
      <w:r w:rsidRPr="00A25019">
        <w:rPr>
          <w:rFonts w:ascii="Traditional Arabic" w:eastAsia="Calibri" w:hAnsi="Traditional Arabic" w:cs="Simplified Arabic"/>
          <w:noProof/>
          <w:sz w:val="28"/>
          <w:szCs w:val="28"/>
        </w:rPr>
        <mc:AlternateContent>
          <mc:Choice Requires="wps">
            <w:drawing>
              <wp:anchor distT="0" distB="0" distL="114300" distR="114300" simplePos="0" relativeHeight="251654144" behindDoc="0" locked="0" layoutInCell="1" allowOverlap="1" wp14:anchorId="27B4827D" wp14:editId="52FEB074">
                <wp:simplePos x="0" y="0"/>
                <wp:positionH relativeFrom="column">
                  <wp:posOffset>2117725</wp:posOffset>
                </wp:positionH>
                <wp:positionV relativeFrom="paragraph">
                  <wp:posOffset>239395</wp:posOffset>
                </wp:positionV>
                <wp:extent cx="1685925" cy="2252980"/>
                <wp:effectExtent l="0" t="0" r="28575" b="13970"/>
                <wp:wrapNone/>
                <wp:docPr id="1331058700" name="مستطيل 7"/>
                <wp:cNvGraphicFramePr/>
                <a:graphic xmlns:a="http://schemas.openxmlformats.org/drawingml/2006/main">
                  <a:graphicData uri="http://schemas.microsoft.com/office/word/2010/wordprocessingShape">
                    <wps:wsp>
                      <wps:cNvSpPr/>
                      <wps:spPr>
                        <a:xfrm>
                          <a:off x="0" y="0"/>
                          <a:ext cx="1685925" cy="225298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9CA957" id="مستطيل 7" o:spid="_x0000_s1026" style="position:absolute;margin-left:166.75pt;margin-top:18.85pt;width:132.75pt;height:177.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" fillcolor="#b1cbe9" strokecolor="#5b9bd5" strokeweight=".5pt">
                <v:fill color2="#92b9e4" rotate="t" colors="0 #b1cbe9;.5 #a3c1e5;1 #92b9e4" focus="100%" type="gradient">
                  <o:fill v:ext="view" type="gradientUnscaled"/>
                </v:fill>
              </v:rect>
            </w:pict>
          </mc:Fallback>
        </mc:AlternateContent>
      </w:r>
    </w:p>
    <w:p w14:paraId="10BD01A6" w14:textId="77777777" w:rsidR="00A25019" w:rsidRPr="00A25019" w:rsidRDefault="00A25019" w:rsidP="00A25019">
      <w:pPr>
        <w:spacing w:line="276" w:lineRule="auto"/>
        <w:jc w:val="both"/>
        <w:rPr>
          <w:rFonts w:ascii="Traditional Arabic" w:eastAsia="Calibri" w:hAnsi="Traditional Arabic" w:cs="Simplified Arabic"/>
          <w:sz w:val="28"/>
          <w:szCs w:val="28"/>
        </w:rPr>
      </w:pPr>
      <w:r w:rsidRPr="00A25019">
        <w:rPr>
          <w:rFonts w:ascii="Traditional Arabic" w:eastAsia="Calibri" w:hAnsi="Traditional Arabic" w:cs="Simplified Arabic"/>
          <w:noProof/>
          <w:sz w:val="28"/>
          <w:szCs w:val="28"/>
        </w:rPr>
        <mc:AlternateContent>
          <mc:Choice Requires="wps">
            <w:drawing>
              <wp:anchor distT="0" distB="0" distL="114300" distR="114300" simplePos="0" relativeHeight="251664384" behindDoc="0" locked="0" layoutInCell="1" allowOverlap="1" wp14:anchorId="0FC43114" wp14:editId="749B850F">
                <wp:simplePos x="0" y="0"/>
                <wp:positionH relativeFrom="column">
                  <wp:posOffset>2223135</wp:posOffset>
                </wp:positionH>
                <wp:positionV relativeFrom="paragraph">
                  <wp:posOffset>152400</wp:posOffset>
                </wp:positionV>
                <wp:extent cx="1466850" cy="409575"/>
                <wp:effectExtent l="0" t="0" r="19050" b="28575"/>
                <wp:wrapNone/>
                <wp:docPr id="926411968" name="مستطيل: زوايا مستديرة 14"/>
                <wp:cNvGraphicFramePr/>
                <a:graphic xmlns:a="http://schemas.openxmlformats.org/drawingml/2006/main">
                  <a:graphicData uri="http://schemas.microsoft.com/office/word/2010/wordprocessingShape">
                    <wps:wsp>
                      <wps:cNvSpPr/>
                      <wps:spPr>
                        <a:xfrm>
                          <a:off x="0" y="0"/>
                          <a:ext cx="1466850" cy="40957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0425BAC" w14:textId="77777777" w:rsidR="00A25019" w:rsidRDefault="00A25019" w:rsidP="00A25019">
                            <w:pPr>
                              <w:jc w:val="center"/>
                            </w:pPr>
                            <w:r w:rsidRPr="00E819C0">
                              <w:rPr>
                                <w:rFonts w:ascii="Traditional Arabic" w:hAnsi="Traditional Arabic" w:cs="Simplified Arabic"/>
                                <w:b/>
                                <w:bCs/>
                                <w:rtl/>
                              </w:rPr>
                              <w:t xml:space="preserve">أنظمة المراقبة الذكية </w:t>
                            </w:r>
                            <w:r w:rsidRPr="00D24D5A">
                              <w:rPr>
                                <w:rFonts w:ascii="Traditional Arabic" w:hAnsi="Traditional Arabic" w:cs="Simplified Arabic"/>
                                <w:b/>
                                <w:bCs/>
                                <w:rtl/>
                              </w:rPr>
                              <w:t>المالية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C43114" id="مستطيل: زوايا مستديرة 14" o:spid="_x0000_s1033" style="position:absolute;left:0;text-align:left;margin-left:175.05pt;margin-top:12pt;width:115.5pt;height:3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&#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20425BAC" w14:textId="77777777" w:rsidR="00A25019" w:rsidRDefault="00A25019" w:rsidP="00A25019">
                      <w:pPr>
                        <w:jc w:val="center"/>
                      </w:pPr>
                      <w:r w:rsidRPr="00E819C0">
                        <w:rPr>
                          <w:rFonts w:ascii="Traditional Arabic" w:hAnsi="Traditional Arabic" w:cs="Simplified Arabic"/>
                          <w:b/>
                          <w:bCs/>
                          <w:rtl/>
                        </w:rPr>
                        <w:t xml:space="preserve">أنظمة المراقبة الذكية </w:t>
                      </w:r>
                      <w:r w:rsidRPr="00D24D5A">
                        <w:rPr>
                          <w:rFonts w:ascii="Traditional Arabic" w:hAnsi="Traditional Arabic" w:cs="Simplified Arabic"/>
                          <w:b/>
                          <w:bCs/>
                          <w:rtl/>
                        </w:rPr>
                        <w:t>المالية</w:t>
                      </w:r>
                    </w:p>
                  </w:txbxContent>
                </v:textbox>
              </v:roundrect>
            </w:pict>
          </mc:Fallback>
        </mc:AlternateContent>
      </w:r>
      <w:r w:rsidRPr="00A25019">
        <w:rPr>
          <w:rFonts w:ascii="Traditional Arabic" w:eastAsia="Calibri" w:hAnsi="Traditional Arabic" w:cs="Simplified Arabic"/>
          <w:noProof/>
          <w:sz w:val="28"/>
          <w:szCs w:val="28"/>
        </w:rPr>
        <mc:AlternateContent>
          <mc:Choice Requires="wps">
            <w:drawing>
              <wp:anchor distT="0" distB="0" distL="114300" distR="114300" simplePos="0" relativeHeight="251670528" behindDoc="0" locked="0" layoutInCell="1" allowOverlap="1" wp14:anchorId="0D4C8484" wp14:editId="4B847D5D">
                <wp:simplePos x="0" y="0"/>
                <wp:positionH relativeFrom="column">
                  <wp:posOffset>232410</wp:posOffset>
                </wp:positionH>
                <wp:positionV relativeFrom="paragraph">
                  <wp:posOffset>148590</wp:posOffset>
                </wp:positionV>
                <wp:extent cx="1493520" cy="428625"/>
                <wp:effectExtent l="0" t="0" r="11430" b="28575"/>
                <wp:wrapNone/>
                <wp:docPr id="1550547408" name="مستطيل: زوايا مستديرة 18"/>
                <wp:cNvGraphicFramePr/>
                <a:graphic xmlns:a="http://schemas.openxmlformats.org/drawingml/2006/main">
                  <a:graphicData uri="http://schemas.microsoft.com/office/word/2010/wordprocessingShape">
                    <wps:wsp>
                      <wps:cNvSpPr/>
                      <wps:spPr>
                        <a:xfrm>
                          <a:off x="0" y="0"/>
                          <a:ext cx="1493520" cy="4286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CC38E5B" w14:textId="77777777" w:rsidR="00A25019" w:rsidRPr="00D24D5A" w:rsidRDefault="00A25019" w:rsidP="00A25019">
                            <w:pPr>
                              <w:jc w:val="center"/>
                              <w:rPr>
                                <w:rFonts w:ascii="Traditional Arabic" w:hAnsi="Traditional Arabic" w:cs="Traditional Arabic"/>
                                <w:b/>
                                <w:bCs/>
                                <w:sz w:val="28"/>
                                <w:szCs w:val="28"/>
                              </w:rPr>
                            </w:pPr>
                            <w:r w:rsidRPr="00E819C0">
                              <w:rPr>
                                <w:rFonts w:ascii="Traditional Arabic" w:hAnsi="Traditional Arabic" w:cs="Simplified Arabic"/>
                                <w:b/>
                                <w:bCs/>
                                <w:rtl/>
                              </w:rPr>
                              <w:t>سرعة الاستجابة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4C8484" id="مستطيل: زوايا مستديرة 18" o:spid="_x0000_s1034" style="position:absolute;left:0;text-align:left;margin-left:18.3pt;margin-top:11.7pt;width:117.6pt;height:3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2CC38E5B" w14:textId="77777777" w:rsidR="00A25019" w:rsidRPr="00D24D5A" w:rsidRDefault="00A25019" w:rsidP="00A25019">
                      <w:pPr>
                        <w:jc w:val="center"/>
                        <w:rPr>
                          <w:rFonts w:ascii="Traditional Arabic" w:hAnsi="Traditional Arabic" w:cs="Traditional Arabic"/>
                          <w:b/>
                          <w:bCs/>
                          <w:sz w:val="28"/>
                          <w:szCs w:val="28"/>
                        </w:rPr>
                      </w:pPr>
                      <w:r w:rsidRPr="00E819C0">
                        <w:rPr>
                          <w:rFonts w:ascii="Traditional Arabic" w:hAnsi="Traditional Arabic" w:cs="Simplified Arabic"/>
                          <w:b/>
                          <w:bCs/>
                          <w:rtl/>
                        </w:rPr>
                        <w:t>سرعة الاستجابة</w:t>
                      </w:r>
                    </w:p>
                  </w:txbxContent>
                </v:textbox>
              </v:roundrect>
            </w:pict>
          </mc:Fallback>
        </mc:AlternateContent>
      </w:r>
      <w:r w:rsidRPr="00A25019">
        <w:rPr>
          <w:rFonts w:ascii="Traditional Arabic" w:eastAsia="Calibri" w:hAnsi="Traditional Arabic" w:cs="Simplified Arabic"/>
          <w:noProof/>
          <w:sz w:val="28"/>
          <w:szCs w:val="28"/>
        </w:rPr>
        <mc:AlternateContent>
          <mc:Choice Requires="wps">
            <w:drawing>
              <wp:anchor distT="0" distB="0" distL="114300" distR="114300" simplePos="0" relativeHeight="251658240" behindDoc="0" locked="0" layoutInCell="1" allowOverlap="1" wp14:anchorId="34CA4894" wp14:editId="4F4F2FE7">
                <wp:simplePos x="0" y="0"/>
                <wp:positionH relativeFrom="column">
                  <wp:posOffset>4209415</wp:posOffset>
                </wp:positionH>
                <wp:positionV relativeFrom="paragraph">
                  <wp:posOffset>153670</wp:posOffset>
                </wp:positionV>
                <wp:extent cx="1504950" cy="416560"/>
                <wp:effectExtent l="0" t="0" r="19050" b="21590"/>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504950" cy="41656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65390DBA" w14:textId="77777777" w:rsidR="00A25019" w:rsidRPr="00D557E6" w:rsidRDefault="00A25019" w:rsidP="00A25019">
                            <w:pPr>
                              <w:jc w:val="center"/>
                              <w:rPr>
                                <w:sz w:val="20"/>
                                <w:szCs w:val="20"/>
                              </w:rPr>
                            </w:pPr>
                            <w:r w:rsidRPr="00E819C0">
                              <w:rPr>
                                <w:rFonts w:ascii="Traditional Arabic" w:hAnsi="Traditional Arabic" w:cs="Simplified Arabic"/>
                                <w:b/>
                                <w:bCs/>
                                <w:rtl/>
                              </w:rPr>
                              <w:t xml:space="preserve">الاستدامة الاقتصادية </w:t>
                            </w:r>
                            <w:r w:rsidRPr="00D557E6">
                              <w:rPr>
                                <w:rFonts w:ascii="Traditional Arabic" w:hAnsi="Traditional Arabic" w:cs="Traditional Arabic"/>
                                <w:sz w:val="28"/>
                                <w:szCs w:val="28"/>
                                <w:rtl/>
                              </w:rPr>
                              <w:t>الصحية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CA4894" id="مستطيل: زوايا مستديرة 10" o:spid="_x0000_s1035" style="position:absolute;left:0;text-align:left;margin-left:331.45pt;margin-top:12.1pt;width:118.5pt;height:32.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" fillcolor="#ffdd9c" strokecolor="#ffc000" strokeweight=".5pt">
                <v:fill color2="#ffd479" rotate="t" colors="0 #ffdd9c;.5 #ffd78e;1 #ffd479" focus="100%" type="gradient">
                  <o:fill v:ext="view" type="gradientUnscaled"/>
                </v:fill>
                <v:stroke joinstyle="miter"/>
                <v:textbox>
                  <w:txbxContent>
                    <w:p w14:paraId="65390DBA" w14:textId="77777777" w:rsidR="00A25019" w:rsidRPr="00D557E6" w:rsidRDefault="00A25019" w:rsidP="00A25019">
                      <w:pPr>
                        <w:jc w:val="center"/>
                        <w:rPr>
                          <w:sz w:val="20"/>
                          <w:szCs w:val="20"/>
                        </w:rPr>
                      </w:pPr>
                      <w:r w:rsidRPr="00E819C0">
                        <w:rPr>
                          <w:rFonts w:ascii="Traditional Arabic" w:hAnsi="Traditional Arabic" w:cs="Simplified Arabic"/>
                          <w:b/>
                          <w:bCs/>
                          <w:rtl/>
                        </w:rPr>
                        <w:t xml:space="preserve">الاستدامة الاقتصادية </w:t>
                      </w:r>
                      <w:r w:rsidRPr="00D557E6">
                        <w:rPr>
                          <w:rFonts w:ascii="Traditional Arabic" w:hAnsi="Traditional Arabic" w:cs="Traditional Arabic"/>
                          <w:sz w:val="28"/>
                          <w:szCs w:val="28"/>
                          <w:rtl/>
                        </w:rPr>
                        <w:t>الصحية</w:t>
                      </w:r>
                    </w:p>
                  </w:txbxContent>
                </v:textbox>
              </v:roundrect>
            </w:pict>
          </mc:Fallback>
        </mc:AlternateContent>
      </w:r>
    </w:p>
    <w:p w14:paraId="3DF5084F" w14:textId="77777777" w:rsidR="00A25019" w:rsidRPr="00A25019" w:rsidRDefault="00A25019" w:rsidP="00A25019">
      <w:pPr>
        <w:spacing w:line="276" w:lineRule="auto"/>
        <w:jc w:val="both"/>
        <w:rPr>
          <w:rFonts w:ascii="Traditional Arabic" w:eastAsia="Calibri" w:hAnsi="Traditional Arabic" w:cs="Simplified Arabic"/>
          <w:sz w:val="28"/>
          <w:szCs w:val="28"/>
        </w:rPr>
      </w:pPr>
      <w:r w:rsidRPr="00A25019">
        <w:rPr>
          <w:rFonts w:ascii="Traditional Arabic" w:eastAsia="Calibri" w:hAnsi="Traditional Arabic" w:cs="Simplified Arabic"/>
          <w:noProof/>
          <w:sz w:val="28"/>
          <w:szCs w:val="28"/>
        </w:rPr>
        <mc:AlternateContent>
          <mc:Choice Requires="wps">
            <w:drawing>
              <wp:anchor distT="0" distB="0" distL="114300" distR="114300" simplePos="0" relativeHeight="251666432" behindDoc="0" locked="0" layoutInCell="1" allowOverlap="1" wp14:anchorId="2BED9E77" wp14:editId="55E50422">
                <wp:simplePos x="0" y="0"/>
                <wp:positionH relativeFrom="column">
                  <wp:posOffset>2223135</wp:posOffset>
                </wp:positionH>
                <wp:positionV relativeFrom="paragraph">
                  <wp:posOffset>355600</wp:posOffset>
                </wp:positionV>
                <wp:extent cx="1466850" cy="352425"/>
                <wp:effectExtent l="0" t="0" r="19050" b="28575"/>
                <wp:wrapNone/>
                <wp:docPr id="294829942" name="مستطيل: زوايا مستديرة 15"/>
                <wp:cNvGraphicFramePr/>
                <a:graphic xmlns:a="http://schemas.openxmlformats.org/drawingml/2006/main">
                  <a:graphicData uri="http://schemas.microsoft.com/office/word/2010/wordprocessingShape">
                    <wps:wsp>
                      <wps:cNvSpPr/>
                      <wps:spPr>
                        <a:xfrm>
                          <a:off x="0" y="0"/>
                          <a:ext cx="1466850" cy="3524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58D07C26" w14:textId="77777777" w:rsidR="00A25019" w:rsidRDefault="00A25019" w:rsidP="00A25019">
                            <w:pPr>
                              <w:jc w:val="center"/>
                            </w:pPr>
                            <w:r w:rsidRPr="00E819C0">
                              <w:rPr>
                                <w:rFonts w:ascii="Traditional Arabic" w:hAnsi="Traditional Arabic" w:cs="Simplified Arabic"/>
                                <w:b/>
                                <w:bCs/>
                                <w:rtl/>
                              </w:rPr>
                              <w:t>تطبيقات التوجيه والتحكم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ED9E77" id="مستطيل: زوايا مستديرة 15" o:spid="_x0000_s1036" style="position:absolute;left:0;text-align:left;margin-left:175.05pt;margin-top:28pt;width:115.5pt;height:27.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" fillcolor="#ffdd9c" strokecolor="#ffc000" strokeweight=".5pt">
                <v:fill color2="#ffd479" rotate="t" colors="0 #ffdd9c;.5 #ffd78e;1 #ffd479" focus="100%" type="gradient">
                  <o:fill v:ext="view" type="gradientUnscaled"/>
                </v:fill>
                <v:stroke joinstyle="miter"/>
                <v:textbox>
                  <w:txbxContent>
                    <w:p w14:paraId="58D07C26" w14:textId="77777777" w:rsidR="00A25019" w:rsidRDefault="00A25019" w:rsidP="00A25019">
                      <w:pPr>
                        <w:jc w:val="center"/>
                      </w:pPr>
                      <w:r w:rsidRPr="00E819C0">
                        <w:rPr>
                          <w:rFonts w:ascii="Traditional Arabic" w:hAnsi="Traditional Arabic" w:cs="Simplified Arabic"/>
                          <w:b/>
                          <w:bCs/>
                          <w:rtl/>
                        </w:rPr>
                        <w:t>تطبيقات التوجيه والتحكم</w:t>
                      </w:r>
                    </w:p>
                  </w:txbxContent>
                </v:textbox>
              </v:roundrect>
            </w:pict>
          </mc:Fallback>
        </mc:AlternateContent>
      </w:r>
    </w:p>
    <w:p w14:paraId="7C4C91B7" w14:textId="77777777" w:rsidR="00A25019" w:rsidRPr="00A25019" w:rsidRDefault="00A25019" w:rsidP="00A25019">
      <w:pPr>
        <w:spacing w:line="276" w:lineRule="auto"/>
        <w:jc w:val="both"/>
        <w:rPr>
          <w:rFonts w:ascii="Traditional Arabic" w:eastAsia="Calibri" w:hAnsi="Traditional Arabic" w:cs="Simplified Arabic"/>
          <w:sz w:val="28"/>
          <w:szCs w:val="28"/>
        </w:rPr>
      </w:pPr>
      <w:r w:rsidRPr="00A25019">
        <w:rPr>
          <w:rFonts w:ascii="Traditional Arabic" w:eastAsia="Calibri" w:hAnsi="Traditional Arabic" w:cs="Simplified Arabic"/>
          <w:noProof/>
          <w:sz w:val="28"/>
          <w:szCs w:val="28"/>
        </w:rPr>
        <mc:AlternateContent>
          <mc:Choice Requires="wps">
            <w:drawing>
              <wp:anchor distT="0" distB="0" distL="114300" distR="114300" simplePos="0" relativeHeight="251672576" behindDoc="0" locked="0" layoutInCell="1" allowOverlap="1" wp14:anchorId="4DDC8270" wp14:editId="1F84E6B8">
                <wp:simplePos x="0" y="0"/>
                <wp:positionH relativeFrom="column">
                  <wp:posOffset>201930</wp:posOffset>
                </wp:positionH>
                <wp:positionV relativeFrom="paragraph">
                  <wp:posOffset>20320</wp:posOffset>
                </wp:positionV>
                <wp:extent cx="1501140" cy="438150"/>
                <wp:effectExtent l="0" t="0" r="22860" b="19050"/>
                <wp:wrapNone/>
                <wp:docPr id="261668997" name="مستطيل: زوايا مستديرة 19"/>
                <wp:cNvGraphicFramePr/>
                <a:graphic xmlns:a="http://schemas.openxmlformats.org/drawingml/2006/main">
                  <a:graphicData uri="http://schemas.microsoft.com/office/word/2010/wordprocessingShape">
                    <wps:wsp>
                      <wps:cNvSpPr/>
                      <wps:spPr>
                        <a:xfrm>
                          <a:off x="0" y="0"/>
                          <a:ext cx="1501140" cy="43815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5137A701" w14:textId="77777777" w:rsidR="00A25019" w:rsidRPr="00D24D5A" w:rsidRDefault="00A25019" w:rsidP="00A25019">
                            <w:pPr>
                              <w:jc w:val="center"/>
                              <w:rPr>
                                <w:rFonts w:ascii="Traditional Arabic" w:hAnsi="Traditional Arabic" w:cs="Traditional Arabic"/>
                                <w:b/>
                                <w:bCs/>
                              </w:rPr>
                            </w:pPr>
                            <w:r w:rsidRPr="00E819C0">
                              <w:rPr>
                                <w:rFonts w:ascii="Traditional Arabic" w:hAnsi="Traditional Arabic" w:cs="Simplified Arabic"/>
                                <w:b/>
                                <w:bCs/>
                                <w:rtl/>
                              </w:rPr>
                              <w:t>تقليل التكدس والازدحام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DC8270" id="مستطيل: زوايا مستديرة 19" o:spid="_x0000_s1037" style="position:absolute;left:0;text-align:left;margin-left:15.9pt;margin-top:1.6pt;width:118.2pt;height:3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" fillcolor="#ffdd9c" strokecolor="#ffc000" strokeweight=".5pt">
                <v:fill color2="#ffd479" rotate="t" colors="0 #ffdd9c;.5 #ffd78e;1 #ffd479" focus="100%" type="gradient">
                  <o:fill v:ext="view" type="gradientUnscaled"/>
                </v:fill>
                <v:stroke joinstyle="miter"/>
                <v:textbox>
                  <w:txbxContent>
                    <w:p w14:paraId="5137A701" w14:textId="77777777" w:rsidR="00A25019" w:rsidRPr="00D24D5A" w:rsidRDefault="00A25019" w:rsidP="00A25019">
                      <w:pPr>
                        <w:jc w:val="center"/>
                        <w:rPr>
                          <w:rFonts w:ascii="Traditional Arabic" w:hAnsi="Traditional Arabic" w:cs="Traditional Arabic"/>
                          <w:b/>
                          <w:bCs/>
                        </w:rPr>
                      </w:pPr>
                      <w:r w:rsidRPr="00E819C0">
                        <w:rPr>
                          <w:rFonts w:ascii="Traditional Arabic" w:hAnsi="Traditional Arabic" w:cs="Simplified Arabic"/>
                          <w:b/>
                          <w:bCs/>
                          <w:rtl/>
                        </w:rPr>
                        <w:t>تقليل التكدس والازدحام</w:t>
                      </w:r>
                    </w:p>
                  </w:txbxContent>
                </v:textbox>
              </v:roundrect>
            </w:pict>
          </mc:Fallback>
        </mc:AlternateContent>
      </w:r>
      <w:r w:rsidRPr="00A25019">
        <w:rPr>
          <w:rFonts w:ascii="Traditional Arabic" w:eastAsia="Calibri" w:hAnsi="Traditional Arabic" w:cs="Simplified Arabic"/>
          <w:noProof/>
          <w:sz w:val="28"/>
          <w:szCs w:val="28"/>
        </w:rPr>
        <mc:AlternateContent>
          <mc:Choice Requires="wps">
            <w:drawing>
              <wp:anchor distT="0" distB="0" distL="114300" distR="114300" simplePos="0" relativeHeight="251660288" behindDoc="0" locked="0" layoutInCell="1" allowOverlap="1" wp14:anchorId="4893E720" wp14:editId="6D169EFF">
                <wp:simplePos x="0" y="0"/>
                <wp:positionH relativeFrom="column">
                  <wp:posOffset>4210050</wp:posOffset>
                </wp:positionH>
                <wp:positionV relativeFrom="paragraph">
                  <wp:posOffset>33655</wp:posOffset>
                </wp:positionV>
                <wp:extent cx="1504315" cy="424180"/>
                <wp:effectExtent l="0" t="0" r="19685" b="1397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04315" cy="42418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5F0EAC1A" w14:textId="77777777" w:rsidR="00A25019" w:rsidRDefault="00A25019" w:rsidP="00A25019">
                            <w:pPr>
                              <w:jc w:val="center"/>
                            </w:pPr>
                            <w:r w:rsidRPr="00E819C0">
                              <w:rPr>
                                <w:rFonts w:ascii="Traditional Arabic" w:hAnsi="Traditional Arabic" w:cs="Simplified Arabic"/>
                                <w:b/>
                                <w:bCs/>
                                <w:rtl/>
                              </w:rPr>
                              <w:t>الاستدامة الاجتماعية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93E720" id="مستطيل: زوايا مستديرة 11" o:spid="_x0000_s1038" style="position:absolute;left:0;text-align:left;margin-left:331.5pt;margin-top:2.65pt;width:118.45pt;height:3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" fillcolor="#ffdd9c" strokecolor="#ffc000" strokeweight=".5pt">
                <v:fill color2="#ffd479" rotate="t" colors="0 #ffdd9c;.5 #ffd78e;1 #ffd479" focus="100%" type="gradient">
                  <o:fill v:ext="view" type="gradientUnscaled"/>
                </v:fill>
                <v:stroke joinstyle="miter"/>
                <v:textbox>
                  <w:txbxContent>
                    <w:p w14:paraId="5F0EAC1A" w14:textId="77777777" w:rsidR="00A25019" w:rsidRDefault="00A25019" w:rsidP="00A25019">
                      <w:pPr>
                        <w:jc w:val="center"/>
                      </w:pPr>
                      <w:r w:rsidRPr="00E819C0">
                        <w:rPr>
                          <w:rFonts w:ascii="Traditional Arabic" w:hAnsi="Traditional Arabic" w:cs="Simplified Arabic"/>
                          <w:b/>
                          <w:bCs/>
                          <w:rtl/>
                        </w:rPr>
                        <w:t>الاستدامة الاجتماعية</w:t>
                      </w:r>
                    </w:p>
                  </w:txbxContent>
                </v:textbox>
              </v:roundrect>
            </w:pict>
          </mc:Fallback>
        </mc:AlternateContent>
      </w:r>
    </w:p>
    <w:p w14:paraId="207F2393" w14:textId="77777777" w:rsidR="00A25019" w:rsidRPr="00A25019" w:rsidRDefault="00A25019" w:rsidP="00A25019">
      <w:pPr>
        <w:spacing w:line="276" w:lineRule="auto"/>
        <w:jc w:val="both"/>
        <w:rPr>
          <w:rFonts w:ascii="Traditional Arabic" w:eastAsia="Calibri" w:hAnsi="Traditional Arabic" w:cs="Simplified Arabic"/>
          <w:sz w:val="28"/>
          <w:szCs w:val="28"/>
          <w:rtl/>
        </w:rPr>
      </w:pPr>
      <w:r w:rsidRPr="00A25019">
        <w:rPr>
          <w:rFonts w:ascii="Traditional Arabic" w:eastAsia="Calibri" w:hAnsi="Traditional Arabic" w:cs="Simplified Arabic"/>
          <w:noProof/>
          <w:sz w:val="28"/>
          <w:szCs w:val="28"/>
        </w:rPr>
        <mc:AlternateContent>
          <mc:Choice Requires="wps">
            <w:drawing>
              <wp:anchor distT="0" distB="0" distL="114300" distR="114300" simplePos="0" relativeHeight="251668480" behindDoc="0" locked="0" layoutInCell="1" allowOverlap="1" wp14:anchorId="17DE9DD1" wp14:editId="52591418">
                <wp:simplePos x="0" y="0"/>
                <wp:positionH relativeFrom="column">
                  <wp:posOffset>2261235</wp:posOffset>
                </wp:positionH>
                <wp:positionV relativeFrom="paragraph">
                  <wp:posOffset>173355</wp:posOffset>
                </wp:positionV>
                <wp:extent cx="1466850" cy="352425"/>
                <wp:effectExtent l="0" t="0" r="19050" b="28575"/>
                <wp:wrapNone/>
                <wp:docPr id="144657859" name="مستطيل: زوايا مستديرة 16"/>
                <wp:cNvGraphicFramePr/>
                <a:graphic xmlns:a="http://schemas.openxmlformats.org/drawingml/2006/main">
                  <a:graphicData uri="http://schemas.microsoft.com/office/word/2010/wordprocessingShape">
                    <wps:wsp>
                      <wps:cNvSpPr/>
                      <wps:spPr>
                        <a:xfrm>
                          <a:off x="0" y="0"/>
                          <a:ext cx="1466850" cy="3524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50ED3A03" w14:textId="77777777" w:rsidR="00A25019" w:rsidRDefault="00A25019" w:rsidP="00A25019">
                            <w:pPr>
                              <w:jc w:val="center"/>
                            </w:pPr>
                            <w:r w:rsidRPr="00E819C0">
                              <w:rPr>
                                <w:rFonts w:ascii="Traditional Arabic" w:hAnsi="Traditional Arabic" w:cs="Simplified Arabic"/>
                                <w:b/>
                                <w:bCs/>
                                <w:rtl/>
                              </w:rPr>
                              <w:t>تحليل البيانات الحية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DE9DD1" id="مستطيل: زوايا مستديرة 16" o:spid="_x0000_s1039" style="position:absolute;left:0;text-align:left;margin-left:178.05pt;margin-top:13.65pt;width:115.5pt;height:27.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" fillcolor="#ffdd9c" strokecolor="#ffc000" strokeweight=".5pt">
                <v:fill color2="#ffd479" rotate="t" colors="0 #ffdd9c;.5 #ffd78e;1 #ffd479" focus="100%" type="gradient">
                  <o:fill v:ext="view" type="gradientUnscaled"/>
                </v:fill>
                <v:stroke joinstyle="miter"/>
                <v:textbox>
                  <w:txbxContent>
                    <w:p w14:paraId="50ED3A03" w14:textId="77777777" w:rsidR="00A25019" w:rsidRDefault="00A25019" w:rsidP="00A25019">
                      <w:pPr>
                        <w:jc w:val="center"/>
                      </w:pPr>
                      <w:r w:rsidRPr="00E819C0">
                        <w:rPr>
                          <w:rFonts w:ascii="Traditional Arabic" w:hAnsi="Traditional Arabic" w:cs="Simplified Arabic"/>
                          <w:b/>
                          <w:bCs/>
                          <w:rtl/>
                        </w:rPr>
                        <w:t>تحليل البيانات الحية</w:t>
                      </w:r>
                    </w:p>
                  </w:txbxContent>
                </v:textbox>
              </v:roundrect>
            </w:pict>
          </mc:Fallback>
        </mc:AlternateContent>
      </w:r>
    </w:p>
    <w:p w14:paraId="48848F40" w14:textId="77777777" w:rsidR="00A25019" w:rsidRPr="00A25019" w:rsidRDefault="00A25019" w:rsidP="00A25019">
      <w:pPr>
        <w:spacing w:line="276" w:lineRule="auto"/>
        <w:jc w:val="both"/>
        <w:rPr>
          <w:rFonts w:ascii="Traditional Arabic" w:eastAsia="Calibri" w:hAnsi="Traditional Arabic" w:cs="Simplified Arabic"/>
          <w:sz w:val="28"/>
          <w:szCs w:val="28"/>
          <w:rtl/>
        </w:rPr>
      </w:pPr>
    </w:p>
    <w:p w14:paraId="207863B7" w14:textId="77777777" w:rsidR="00A25019" w:rsidRPr="00A25019" w:rsidRDefault="00A25019" w:rsidP="00A25019">
      <w:pPr>
        <w:spacing w:line="276" w:lineRule="auto"/>
        <w:jc w:val="both"/>
        <w:rPr>
          <w:rFonts w:ascii="Traditional Arabic" w:eastAsia="Calibri" w:hAnsi="Traditional Arabic" w:cs="Simplified Arabic"/>
          <w:sz w:val="28"/>
          <w:szCs w:val="28"/>
          <w:rtl/>
        </w:rPr>
      </w:pPr>
      <w:r w:rsidRPr="00A25019">
        <w:rPr>
          <w:rFonts w:ascii="Traditional Arabic" w:eastAsia="Calibri" w:hAnsi="Traditional Arabic" w:cs="Simplified Arabic"/>
          <w:sz w:val="28"/>
          <w:szCs w:val="28"/>
          <w:rtl/>
        </w:rPr>
        <w:t xml:space="preserve">المصدر : من إعداد الباحث بالاعتماد على الدراسات السابقة </w:t>
      </w:r>
    </w:p>
    <w:p w14:paraId="459638AD" w14:textId="77777777" w:rsidR="00A25019" w:rsidRPr="00A25019" w:rsidRDefault="00A25019" w:rsidP="00A25019">
      <w:pPr>
        <w:keepNext/>
        <w:keepLines/>
        <w:spacing w:before="360" w:after="80"/>
        <w:outlineLvl w:val="0"/>
        <w:rPr>
          <w:rFonts w:ascii="Simplified Arabic" w:eastAsiaTheme="majorEastAsia" w:hAnsi="Simplified Arabic" w:cs="Simplified Arabic"/>
          <w:b/>
          <w:bCs/>
          <w:sz w:val="36"/>
          <w:szCs w:val="36"/>
          <w:rtl/>
          <w:lang w:bidi="ar-EG"/>
        </w:rPr>
      </w:pPr>
      <w:bookmarkStart w:id="7" w:name="_Toc202053521"/>
      <w:r w:rsidRPr="00A25019">
        <w:rPr>
          <w:rFonts w:ascii="Simplified Arabic" w:eastAsiaTheme="majorEastAsia" w:hAnsi="Simplified Arabic" w:cs="Simplified Arabic"/>
          <w:b/>
          <w:bCs/>
          <w:sz w:val="36"/>
          <w:szCs w:val="36"/>
          <w:rtl/>
          <w:lang w:bidi="ar-EG"/>
        </w:rPr>
        <w:t>مصطلحات الدراسة وتعريفاتها الإجرائية:</w:t>
      </w:r>
      <w:bookmarkEnd w:id="7"/>
    </w:p>
    <w:p w14:paraId="2F090C7B" w14:textId="77777777" w:rsidR="00A25019" w:rsidRPr="00A25019" w:rsidRDefault="00A25019" w:rsidP="00A25019">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25019">
        <w:rPr>
          <w:rFonts w:ascii="Times New Roman" w:eastAsia="Times New Roman" w:hAnsi="Times New Roman" w:cs="Times New Roman"/>
          <w:b/>
          <w:bCs/>
          <w:kern w:val="0"/>
          <w:sz w:val="36"/>
          <w:szCs w:val="36"/>
          <w:rtl/>
          <w14:ligatures w14:val="none"/>
        </w:rPr>
        <w:t>جدول (1): التعريفات المفاهيمية والإجرائية لمتغيرات الدراسة وأبعادها</w:t>
      </w:r>
    </w:p>
    <w:tbl>
      <w:tblPr>
        <w:tblStyle w:val="TableGrid"/>
        <w:bidiVisual/>
        <w:tblW w:w="0" w:type="auto"/>
        <w:tblLook w:val="04A0" w:firstRow="1" w:lastRow="0" w:firstColumn="1" w:lastColumn="0" w:noHBand="0" w:noVBand="1"/>
      </w:tblPr>
      <w:tblGrid>
        <w:gridCol w:w="1824"/>
        <w:gridCol w:w="1093"/>
        <w:gridCol w:w="2110"/>
        <w:gridCol w:w="2216"/>
        <w:gridCol w:w="1773"/>
      </w:tblGrid>
      <w:tr w:rsidR="00A25019" w:rsidRPr="00A25019" w14:paraId="0963A1E7" w14:textId="77777777" w:rsidTr="00803095">
        <w:tc>
          <w:tcPr>
            <w:tcW w:w="0" w:type="auto"/>
            <w:hideMark/>
          </w:tcPr>
          <w:p w14:paraId="0930970A" w14:textId="77777777" w:rsidR="00A25019" w:rsidRPr="00A25019" w:rsidRDefault="00A25019" w:rsidP="00A25019">
            <w:pPr>
              <w:jc w:val="center"/>
              <w:rPr>
                <w:rFonts w:ascii="Simplified Arabic" w:eastAsia="Times New Roman" w:hAnsi="Simplified Arabic" w:cs="Simplified Arabic"/>
                <w:b/>
                <w:bCs/>
                <w:color w:val="EE0000"/>
                <w:kern w:val="0"/>
                <w14:ligatures w14:val="none"/>
              </w:rPr>
            </w:pPr>
            <w:r w:rsidRPr="00A25019">
              <w:rPr>
                <w:rFonts w:ascii="Simplified Arabic" w:eastAsia="Times New Roman" w:hAnsi="Simplified Arabic" w:cs="Simplified Arabic"/>
                <w:b/>
                <w:bCs/>
                <w:color w:val="EE0000"/>
                <w:kern w:val="0"/>
                <w:rtl/>
                <w14:ligatures w14:val="none"/>
              </w:rPr>
              <w:t>المتغير</w:t>
            </w:r>
          </w:p>
        </w:tc>
        <w:tc>
          <w:tcPr>
            <w:tcW w:w="0" w:type="auto"/>
            <w:hideMark/>
          </w:tcPr>
          <w:p w14:paraId="281F11A2" w14:textId="77777777" w:rsidR="00A25019" w:rsidRPr="00A25019" w:rsidRDefault="00A25019" w:rsidP="00A25019">
            <w:pPr>
              <w:jc w:val="center"/>
              <w:rPr>
                <w:rFonts w:ascii="Simplified Arabic" w:eastAsia="Times New Roman" w:hAnsi="Simplified Arabic" w:cs="Simplified Arabic"/>
                <w:b/>
                <w:bCs/>
                <w:color w:val="EE0000"/>
                <w:kern w:val="0"/>
                <w14:ligatures w14:val="none"/>
              </w:rPr>
            </w:pPr>
            <w:r w:rsidRPr="00A25019">
              <w:rPr>
                <w:rFonts w:ascii="Simplified Arabic" w:eastAsia="Times New Roman" w:hAnsi="Simplified Arabic" w:cs="Simplified Arabic"/>
                <w:b/>
                <w:bCs/>
                <w:color w:val="EE0000"/>
                <w:kern w:val="0"/>
                <w:rtl/>
                <w14:ligatures w14:val="none"/>
              </w:rPr>
              <w:t>البُعد</w:t>
            </w:r>
          </w:p>
        </w:tc>
        <w:tc>
          <w:tcPr>
            <w:tcW w:w="0" w:type="auto"/>
            <w:hideMark/>
          </w:tcPr>
          <w:p w14:paraId="4AF433C4" w14:textId="77777777" w:rsidR="00A25019" w:rsidRPr="00A25019" w:rsidRDefault="00A25019" w:rsidP="00A25019">
            <w:pPr>
              <w:jc w:val="center"/>
              <w:rPr>
                <w:rFonts w:ascii="Simplified Arabic" w:eastAsia="Times New Roman" w:hAnsi="Simplified Arabic" w:cs="Simplified Arabic"/>
                <w:b/>
                <w:bCs/>
                <w:color w:val="EE0000"/>
                <w:kern w:val="0"/>
                <w14:ligatures w14:val="none"/>
              </w:rPr>
            </w:pPr>
            <w:r w:rsidRPr="00A25019">
              <w:rPr>
                <w:rFonts w:ascii="Simplified Arabic" w:eastAsia="Times New Roman" w:hAnsi="Simplified Arabic" w:cs="Simplified Arabic"/>
                <w:b/>
                <w:bCs/>
                <w:color w:val="EE0000"/>
                <w:kern w:val="0"/>
                <w:rtl/>
                <w14:ligatures w14:val="none"/>
              </w:rPr>
              <w:t>التعريف المفاهيمي</w:t>
            </w:r>
          </w:p>
        </w:tc>
        <w:tc>
          <w:tcPr>
            <w:tcW w:w="0" w:type="auto"/>
            <w:hideMark/>
          </w:tcPr>
          <w:p w14:paraId="1572BDB9" w14:textId="77777777" w:rsidR="00A25019" w:rsidRPr="00A25019" w:rsidRDefault="00A25019" w:rsidP="00A25019">
            <w:pPr>
              <w:jc w:val="center"/>
              <w:rPr>
                <w:rFonts w:ascii="Simplified Arabic" w:eastAsia="Times New Roman" w:hAnsi="Simplified Arabic" w:cs="Simplified Arabic"/>
                <w:b/>
                <w:bCs/>
                <w:color w:val="EE0000"/>
                <w:kern w:val="0"/>
                <w14:ligatures w14:val="none"/>
              </w:rPr>
            </w:pPr>
            <w:r w:rsidRPr="00A25019">
              <w:rPr>
                <w:rFonts w:ascii="Simplified Arabic" w:eastAsia="Times New Roman" w:hAnsi="Simplified Arabic" w:cs="Simplified Arabic"/>
                <w:b/>
                <w:bCs/>
                <w:color w:val="EE0000"/>
                <w:kern w:val="0"/>
                <w:rtl/>
                <w14:ligatures w14:val="none"/>
              </w:rPr>
              <w:t>التعريف الإجرائي</w:t>
            </w:r>
          </w:p>
        </w:tc>
        <w:tc>
          <w:tcPr>
            <w:tcW w:w="0" w:type="auto"/>
            <w:hideMark/>
          </w:tcPr>
          <w:p w14:paraId="6DE51BAD" w14:textId="77777777" w:rsidR="00A25019" w:rsidRPr="00A25019" w:rsidRDefault="00A25019" w:rsidP="00A25019">
            <w:pPr>
              <w:jc w:val="center"/>
              <w:rPr>
                <w:rFonts w:ascii="Simplified Arabic" w:eastAsia="Times New Roman" w:hAnsi="Simplified Arabic" w:cs="Simplified Arabic"/>
                <w:b/>
                <w:bCs/>
                <w:color w:val="EE0000"/>
                <w:kern w:val="0"/>
                <w14:ligatures w14:val="none"/>
              </w:rPr>
            </w:pPr>
            <w:r w:rsidRPr="00A25019">
              <w:rPr>
                <w:rFonts w:ascii="Simplified Arabic" w:eastAsia="Times New Roman" w:hAnsi="Simplified Arabic" w:cs="Simplified Arabic"/>
                <w:b/>
                <w:bCs/>
                <w:color w:val="EE0000"/>
                <w:kern w:val="0"/>
                <w:rtl/>
                <w14:ligatures w14:val="none"/>
              </w:rPr>
              <w:t>المرجع</w:t>
            </w:r>
          </w:p>
        </w:tc>
      </w:tr>
      <w:tr w:rsidR="00A25019" w:rsidRPr="00A25019" w14:paraId="739E856B" w14:textId="77777777" w:rsidTr="00803095">
        <w:tc>
          <w:tcPr>
            <w:tcW w:w="0" w:type="auto"/>
            <w:hideMark/>
          </w:tcPr>
          <w:p w14:paraId="4E46DDAE"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b/>
                <w:bCs/>
                <w:color w:val="EE0000"/>
                <w:kern w:val="0"/>
                <w:rtl/>
                <w14:ligatures w14:val="none"/>
              </w:rPr>
              <w:lastRenderedPageBreak/>
              <w:t>ممارسات الاستدامة</w:t>
            </w:r>
            <w:r w:rsidRPr="00A25019">
              <w:rPr>
                <w:rFonts w:ascii="Simplified Arabic" w:eastAsia="Times New Roman" w:hAnsi="Simplified Arabic" w:cs="Simplified Arabic"/>
                <w:color w:val="EE0000"/>
                <w:kern w:val="0"/>
                <w:rtl/>
                <w14:ligatures w14:val="none"/>
              </w:rPr>
              <w:t xml:space="preserve"> </w:t>
            </w:r>
            <w:r w:rsidRPr="00A25019">
              <w:rPr>
                <w:rFonts w:ascii="Simplified Arabic" w:eastAsia="Times New Roman" w:hAnsi="Simplified Arabic" w:cs="Simplified Arabic"/>
                <w:color w:val="EE0000"/>
                <w:kern w:val="0"/>
                <w14:ligatures w14:val="none"/>
              </w:rPr>
              <w:t>(Sustainability Practices)</w:t>
            </w:r>
          </w:p>
        </w:tc>
        <w:tc>
          <w:tcPr>
            <w:tcW w:w="0" w:type="auto"/>
            <w:hideMark/>
          </w:tcPr>
          <w:p w14:paraId="0FB32FFC"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14:ligatures w14:val="none"/>
              </w:rPr>
              <w:t>-</w:t>
            </w:r>
          </w:p>
        </w:tc>
        <w:tc>
          <w:tcPr>
            <w:tcW w:w="0" w:type="auto"/>
            <w:hideMark/>
          </w:tcPr>
          <w:p w14:paraId="68448CDE"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مجموعة السياسات والإجراءات التنظيمية التي تدمج الاعتبارات البيئية والاقتصادية والاجتماعية في العمليات التشغيلية، بهدف تحقيق التوازن بين الكفاءة الآنية والاستدامة طويلة المدى</w:t>
            </w:r>
          </w:p>
        </w:tc>
        <w:tc>
          <w:tcPr>
            <w:tcW w:w="0" w:type="auto"/>
            <w:hideMark/>
          </w:tcPr>
          <w:p w14:paraId="28DD14F0"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مدى تبني الجهات المنظمة لموسم الحج والعمرة لمنظومة متكاملة من الإجراءات البيئية والاقتصادية والاجتماعية المستدامة في عملياتها التشغيلية والتنظيمية</w:t>
            </w:r>
          </w:p>
        </w:tc>
        <w:tc>
          <w:tcPr>
            <w:tcW w:w="0" w:type="auto"/>
            <w:hideMark/>
          </w:tcPr>
          <w:p w14:paraId="4479116E" w14:textId="77777777" w:rsidR="00A25019" w:rsidRPr="00A25019" w:rsidRDefault="00A25019" w:rsidP="00A25019">
            <w:pPr>
              <w:rPr>
                <w:rFonts w:ascii="Simplified Arabic" w:eastAsia="Times New Roman" w:hAnsi="Simplified Arabic" w:cs="Simplified Arabic"/>
                <w:color w:val="EE0000"/>
                <w:kern w:val="0"/>
                <w:rtl/>
                <w:lang w:bidi="ar-EG"/>
                <w14:ligatures w14:val="none"/>
              </w:rPr>
            </w:pPr>
            <w:r w:rsidRPr="00A25019">
              <w:rPr>
                <w:rFonts w:ascii="Simplified Arabic" w:eastAsia="Times New Roman" w:hAnsi="Simplified Arabic" w:cs="Simplified Arabic"/>
                <w:color w:val="EE0000"/>
                <w:kern w:val="0"/>
                <w:rtl/>
                <w14:ligatures w14:val="none"/>
              </w:rPr>
              <w:t>(سحنون،2023)؛ (أبو خشبة،2022)</w:t>
            </w:r>
            <w:r w:rsidRPr="00A25019">
              <w:rPr>
                <w:rFonts w:ascii="Simplified Arabic" w:eastAsia="Times New Roman" w:hAnsi="Simplified Arabic" w:cs="Simplified Arabic"/>
                <w:color w:val="EE0000"/>
                <w:kern w:val="0"/>
                <w14:ligatures w14:val="none"/>
              </w:rPr>
              <w:t xml:space="preserve"> </w:t>
            </w:r>
          </w:p>
        </w:tc>
      </w:tr>
      <w:tr w:rsidR="00A25019" w:rsidRPr="00A25019" w14:paraId="6B8C7B0A" w14:textId="77777777" w:rsidTr="00803095">
        <w:tc>
          <w:tcPr>
            <w:tcW w:w="0" w:type="auto"/>
            <w:hideMark/>
          </w:tcPr>
          <w:p w14:paraId="23715F9F" w14:textId="77777777" w:rsidR="00A25019" w:rsidRPr="00A25019" w:rsidRDefault="00A25019" w:rsidP="00A25019">
            <w:pPr>
              <w:rPr>
                <w:rFonts w:ascii="Simplified Arabic" w:eastAsia="Times New Roman" w:hAnsi="Simplified Arabic" w:cs="Simplified Arabic"/>
                <w:color w:val="EE0000"/>
                <w:kern w:val="0"/>
                <w14:ligatures w14:val="none"/>
              </w:rPr>
            </w:pPr>
          </w:p>
        </w:tc>
        <w:tc>
          <w:tcPr>
            <w:tcW w:w="0" w:type="auto"/>
            <w:hideMark/>
          </w:tcPr>
          <w:p w14:paraId="4F6E1314"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الاستدامة البيئية</w:t>
            </w:r>
          </w:p>
        </w:tc>
        <w:tc>
          <w:tcPr>
            <w:tcW w:w="0" w:type="auto"/>
            <w:hideMark/>
          </w:tcPr>
          <w:p w14:paraId="4CDEC892"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الإجراءات الموجهة نحو الحفاظ على البيئة وترشيد استخدام الموارد الطبيعية وتقليل الأثر البيئي السلبي</w:t>
            </w:r>
          </w:p>
        </w:tc>
        <w:tc>
          <w:tcPr>
            <w:tcW w:w="0" w:type="auto"/>
            <w:hideMark/>
          </w:tcPr>
          <w:p w14:paraId="19C16EDF"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مستوى التزام الجهات المنظمة بترشيد استهلاك المياه والطاقة، وتطبيق أنظمة إدارة النفايات وإعادة التدوير، واستخدام مواد صديقة للبيئة، وتقليل الانبعاثات الكربونية خلال موسم الحج والعمرة</w:t>
            </w:r>
          </w:p>
        </w:tc>
        <w:tc>
          <w:tcPr>
            <w:tcW w:w="0" w:type="auto"/>
            <w:hideMark/>
          </w:tcPr>
          <w:p w14:paraId="2CC70EB8"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(سحنون،2023)</w:t>
            </w:r>
          </w:p>
        </w:tc>
      </w:tr>
      <w:tr w:rsidR="00A25019" w:rsidRPr="00A25019" w14:paraId="01ED3F5E" w14:textId="77777777" w:rsidTr="00803095">
        <w:tc>
          <w:tcPr>
            <w:tcW w:w="0" w:type="auto"/>
            <w:hideMark/>
          </w:tcPr>
          <w:p w14:paraId="07591271" w14:textId="77777777" w:rsidR="00A25019" w:rsidRPr="00A25019" w:rsidRDefault="00A25019" w:rsidP="00A25019">
            <w:pPr>
              <w:rPr>
                <w:rFonts w:ascii="Simplified Arabic" w:eastAsia="Times New Roman" w:hAnsi="Simplified Arabic" w:cs="Simplified Arabic"/>
                <w:color w:val="EE0000"/>
                <w:kern w:val="0"/>
                <w14:ligatures w14:val="none"/>
              </w:rPr>
            </w:pPr>
          </w:p>
        </w:tc>
        <w:tc>
          <w:tcPr>
            <w:tcW w:w="0" w:type="auto"/>
            <w:hideMark/>
          </w:tcPr>
          <w:p w14:paraId="7F252A6D"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الاستدامة الاقتصادية</w:t>
            </w:r>
          </w:p>
        </w:tc>
        <w:tc>
          <w:tcPr>
            <w:tcW w:w="0" w:type="auto"/>
            <w:hideMark/>
          </w:tcPr>
          <w:p w14:paraId="4FD98C56"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الإجراءات الهادفة إلى رفع كفاءة استخدام الموارد المالية وتحقيق العائد الأمثل من الاستثمارات التشغيلية</w:t>
            </w:r>
          </w:p>
        </w:tc>
        <w:tc>
          <w:tcPr>
            <w:tcW w:w="0" w:type="auto"/>
            <w:hideMark/>
          </w:tcPr>
          <w:p w14:paraId="67E99914"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مستوى قدرة الجهات المنظمة على ترشيد الإنفاق التشغيلي، وتقليل الهدر والفاقد في الموارد، وتحقيق الاستخدام الأمثل للميزانيات المخصصة لإدارة الحشود</w:t>
            </w:r>
          </w:p>
        </w:tc>
        <w:tc>
          <w:tcPr>
            <w:tcW w:w="0" w:type="auto"/>
            <w:hideMark/>
          </w:tcPr>
          <w:p w14:paraId="07A28C4E"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(أبو خشبة،2022)</w:t>
            </w:r>
          </w:p>
        </w:tc>
      </w:tr>
      <w:tr w:rsidR="00A25019" w:rsidRPr="00A25019" w14:paraId="565283E6" w14:textId="77777777" w:rsidTr="00803095">
        <w:tc>
          <w:tcPr>
            <w:tcW w:w="0" w:type="auto"/>
            <w:hideMark/>
          </w:tcPr>
          <w:p w14:paraId="05A4A104" w14:textId="77777777" w:rsidR="00A25019" w:rsidRPr="00A25019" w:rsidRDefault="00A25019" w:rsidP="00A25019">
            <w:pPr>
              <w:rPr>
                <w:rFonts w:ascii="Simplified Arabic" w:eastAsia="Times New Roman" w:hAnsi="Simplified Arabic" w:cs="Simplified Arabic"/>
                <w:color w:val="EE0000"/>
                <w:kern w:val="0"/>
                <w14:ligatures w14:val="none"/>
              </w:rPr>
            </w:pPr>
          </w:p>
        </w:tc>
        <w:tc>
          <w:tcPr>
            <w:tcW w:w="0" w:type="auto"/>
            <w:hideMark/>
          </w:tcPr>
          <w:p w14:paraId="17C1BBD9"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الاستدامة الاجتماعية</w:t>
            </w:r>
          </w:p>
        </w:tc>
        <w:tc>
          <w:tcPr>
            <w:tcW w:w="0" w:type="auto"/>
            <w:hideMark/>
          </w:tcPr>
          <w:p w14:paraId="7E503070"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الإجراءات التي تراعي الجوانب الإنسانية والاجتماعية وتعزز رفاهية المستفيدين والعاملين</w:t>
            </w:r>
          </w:p>
        </w:tc>
        <w:tc>
          <w:tcPr>
            <w:tcW w:w="0" w:type="auto"/>
            <w:hideMark/>
          </w:tcPr>
          <w:p w14:paraId="655F279E"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مستوى اهتمام الجهات المنظمة بتعزيز سلامة الحجاج والمعتمرين، ومراعاة احتياجات الفئات الخاصة، وتحسين جودة الخدمات المقدمة، وتطوير كفاءات العاملين</w:t>
            </w:r>
          </w:p>
        </w:tc>
        <w:tc>
          <w:tcPr>
            <w:tcW w:w="0" w:type="auto"/>
            <w:hideMark/>
          </w:tcPr>
          <w:p w14:paraId="0E7FC26D"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(أبو خشبة،2022)</w:t>
            </w:r>
          </w:p>
        </w:tc>
      </w:tr>
      <w:tr w:rsidR="00A25019" w:rsidRPr="00A25019" w14:paraId="196AF0B2" w14:textId="77777777" w:rsidTr="00803095">
        <w:tc>
          <w:tcPr>
            <w:tcW w:w="0" w:type="auto"/>
            <w:hideMark/>
          </w:tcPr>
          <w:p w14:paraId="369AE027"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b/>
                <w:bCs/>
                <w:color w:val="EE0000"/>
                <w:kern w:val="0"/>
                <w:rtl/>
                <w14:ligatures w14:val="none"/>
              </w:rPr>
              <w:t>التكنولوجيا الذكية</w:t>
            </w:r>
            <w:r w:rsidRPr="00A25019">
              <w:rPr>
                <w:rFonts w:ascii="Simplified Arabic" w:eastAsia="Times New Roman" w:hAnsi="Simplified Arabic" w:cs="Simplified Arabic"/>
                <w:color w:val="EE0000"/>
                <w:kern w:val="0"/>
                <w:rtl/>
                <w14:ligatures w14:val="none"/>
              </w:rPr>
              <w:t xml:space="preserve"> </w:t>
            </w:r>
            <w:r w:rsidRPr="00A25019">
              <w:rPr>
                <w:rFonts w:ascii="Simplified Arabic" w:eastAsia="Times New Roman" w:hAnsi="Simplified Arabic" w:cs="Simplified Arabic"/>
                <w:color w:val="EE0000"/>
                <w:kern w:val="0"/>
                <w14:ligatures w14:val="none"/>
              </w:rPr>
              <w:t>(Smart Technology)</w:t>
            </w:r>
          </w:p>
        </w:tc>
        <w:tc>
          <w:tcPr>
            <w:tcW w:w="0" w:type="auto"/>
            <w:hideMark/>
          </w:tcPr>
          <w:p w14:paraId="6E960A96"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14:ligatures w14:val="none"/>
              </w:rPr>
              <w:t>-</w:t>
            </w:r>
          </w:p>
        </w:tc>
        <w:tc>
          <w:tcPr>
            <w:tcW w:w="0" w:type="auto"/>
            <w:hideMark/>
          </w:tcPr>
          <w:p w14:paraId="0D211535"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 xml:space="preserve">منظومة التقنيات الرقمية المتقدمة التي تعتمد على الذكاء الاصطناعي وتحليل البيانات الضخمة </w:t>
            </w:r>
            <w:r w:rsidRPr="00A25019">
              <w:rPr>
                <w:rFonts w:ascii="Simplified Arabic" w:eastAsia="Times New Roman" w:hAnsi="Simplified Arabic" w:cs="Simplified Arabic"/>
                <w:color w:val="EE0000"/>
                <w:kern w:val="0"/>
                <w:rtl/>
                <w14:ligatures w14:val="none"/>
              </w:rPr>
              <w:lastRenderedPageBreak/>
              <w:t>لدعم اتخاذ القرار وتحسين الأداء التشغيلي في الوقت الفعلي</w:t>
            </w:r>
          </w:p>
        </w:tc>
        <w:tc>
          <w:tcPr>
            <w:tcW w:w="0" w:type="auto"/>
            <w:hideMark/>
          </w:tcPr>
          <w:p w14:paraId="49373758"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lastRenderedPageBreak/>
              <w:t xml:space="preserve">مدى توظيف الجهات المنظمة لموسم الحج والعمرة للتقنيات الرقمية المتقدمة في رصد الحشود </w:t>
            </w:r>
            <w:r w:rsidRPr="00A25019">
              <w:rPr>
                <w:rFonts w:ascii="Simplified Arabic" w:eastAsia="Times New Roman" w:hAnsi="Simplified Arabic" w:cs="Simplified Arabic"/>
                <w:color w:val="EE0000"/>
                <w:kern w:val="0"/>
                <w:rtl/>
                <w14:ligatures w14:val="none"/>
              </w:rPr>
              <w:lastRenderedPageBreak/>
              <w:t>وتوجيهها وتحليل بياناتها لحظياً</w:t>
            </w:r>
          </w:p>
        </w:tc>
        <w:tc>
          <w:tcPr>
            <w:tcW w:w="0" w:type="auto"/>
            <w:hideMark/>
          </w:tcPr>
          <w:p w14:paraId="6653016F"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14:ligatures w14:val="none"/>
              </w:rPr>
              <w:lastRenderedPageBreak/>
              <w:t>Mallick et al. (2024)</w:t>
            </w:r>
            <w:r w:rsidRPr="00A25019">
              <w:rPr>
                <w:rFonts w:ascii="Simplified Arabic" w:eastAsia="Times New Roman" w:hAnsi="Simplified Arabic" w:cs="Simplified Arabic"/>
                <w:color w:val="EE0000"/>
                <w:kern w:val="0"/>
                <w:rtl/>
                <w14:ligatures w14:val="none"/>
              </w:rPr>
              <w:t>؛ هاشم وعبد السادة</w:t>
            </w:r>
            <w:r w:rsidRPr="00A25019">
              <w:rPr>
                <w:rFonts w:ascii="Simplified Arabic" w:eastAsia="Times New Roman" w:hAnsi="Simplified Arabic" w:cs="Simplified Arabic"/>
                <w:color w:val="EE0000"/>
                <w:kern w:val="0"/>
                <w14:ligatures w14:val="none"/>
              </w:rPr>
              <w:t xml:space="preserve"> (2023)</w:t>
            </w:r>
          </w:p>
        </w:tc>
      </w:tr>
      <w:tr w:rsidR="00A25019" w:rsidRPr="00A25019" w14:paraId="39FA0DD9" w14:textId="77777777" w:rsidTr="00803095">
        <w:tc>
          <w:tcPr>
            <w:tcW w:w="0" w:type="auto"/>
            <w:hideMark/>
          </w:tcPr>
          <w:p w14:paraId="36A08952" w14:textId="77777777" w:rsidR="00A25019" w:rsidRPr="00A25019" w:rsidRDefault="00A25019" w:rsidP="00A25019">
            <w:pPr>
              <w:rPr>
                <w:rFonts w:ascii="Simplified Arabic" w:eastAsia="Times New Roman" w:hAnsi="Simplified Arabic" w:cs="Simplified Arabic"/>
                <w:color w:val="EE0000"/>
                <w:kern w:val="0"/>
                <w14:ligatures w14:val="none"/>
              </w:rPr>
            </w:pPr>
          </w:p>
        </w:tc>
        <w:tc>
          <w:tcPr>
            <w:tcW w:w="0" w:type="auto"/>
            <w:hideMark/>
          </w:tcPr>
          <w:p w14:paraId="47C0F285"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أنظمة المراقبة الذكية</w:t>
            </w:r>
          </w:p>
        </w:tc>
        <w:tc>
          <w:tcPr>
            <w:tcW w:w="0" w:type="auto"/>
            <w:hideMark/>
          </w:tcPr>
          <w:p w14:paraId="5024A917"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تقنيات الرصد والمتابعة المعتمدة على الذكاء الاصطناعي لمراقبة الحشود وتحليل سلوكها</w:t>
            </w:r>
          </w:p>
        </w:tc>
        <w:tc>
          <w:tcPr>
            <w:tcW w:w="0" w:type="auto"/>
            <w:hideMark/>
          </w:tcPr>
          <w:p w14:paraId="2977A9DA"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مستوى استخدام الكاميرات الذكية المدعومة بالذكاء الاصطناعي، وأنظمة الاستشعار الحراري، والطائرات المسيّرة لرصد حركة الحشود وكثافتها في المشاعر المقدسة</w:t>
            </w:r>
          </w:p>
        </w:tc>
        <w:tc>
          <w:tcPr>
            <w:tcW w:w="0" w:type="auto"/>
            <w:hideMark/>
          </w:tcPr>
          <w:p w14:paraId="6EBBE982"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هاشم وعبد السادة (2023)</w:t>
            </w:r>
          </w:p>
        </w:tc>
      </w:tr>
      <w:tr w:rsidR="00A25019" w:rsidRPr="00A25019" w14:paraId="1D0BBDFA" w14:textId="77777777" w:rsidTr="00803095">
        <w:tc>
          <w:tcPr>
            <w:tcW w:w="0" w:type="auto"/>
            <w:hideMark/>
          </w:tcPr>
          <w:p w14:paraId="48F20DC8" w14:textId="77777777" w:rsidR="00A25019" w:rsidRPr="00A25019" w:rsidRDefault="00A25019" w:rsidP="00A25019">
            <w:pPr>
              <w:rPr>
                <w:rFonts w:ascii="Simplified Arabic" w:eastAsia="Times New Roman" w:hAnsi="Simplified Arabic" w:cs="Simplified Arabic"/>
                <w:color w:val="EE0000"/>
                <w:kern w:val="0"/>
                <w14:ligatures w14:val="none"/>
              </w:rPr>
            </w:pPr>
          </w:p>
        </w:tc>
        <w:tc>
          <w:tcPr>
            <w:tcW w:w="0" w:type="auto"/>
            <w:hideMark/>
          </w:tcPr>
          <w:p w14:paraId="0907843B"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تطبيقات التوجيه والتحكم</w:t>
            </w:r>
          </w:p>
        </w:tc>
        <w:tc>
          <w:tcPr>
            <w:tcW w:w="0" w:type="auto"/>
            <w:hideMark/>
          </w:tcPr>
          <w:p w14:paraId="0068855B"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التطبيقات والأنظمة الرقمية المستخدمة لتوجيه الحشود والتحكم في تدفقها وحركتها</w:t>
            </w:r>
          </w:p>
        </w:tc>
        <w:tc>
          <w:tcPr>
            <w:tcW w:w="0" w:type="auto"/>
            <w:hideMark/>
          </w:tcPr>
          <w:p w14:paraId="44D0B732"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مستوى الاعتماد على تطبيقات الهواتف الذكية، واللوحات الإرشادية الرقمية، وأنظمة التفويج الذكي، والروبوتات الإرشادية في توجيه الحجاج والمعتمرين</w:t>
            </w:r>
          </w:p>
        </w:tc>
        <w:tc>
          <w:tcPr>
            <w:tcW w:w="0" w:type="auto"/>
            <w:hideMark/>
          </w:tcPr>
          <w:p w14:paraId="1610C96B"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هاشم وعبد السادة (2023)</w:t>
            </w:r>
          </w:p>
        </w:tc>
      </w:tr>
      <w:tr w:rsidR="00A25019" w:rsidRPr="00A25019" w14:paraId="39EEDCE1" w14:textId="77777777" w:rsidTr="00803095">
        <w:tc>
          <w:tcPr>
            <w:tcW w:w="0" w:type="auto"/>
            <w:hideMark/>
          </w:tcPr>
          <w:p w14:paraId="6683EAD2" w14:textId="77777777" w:rsidR="00A25019" w:rsidRPr="00A25019" w:rsidRDefault="00A25019" w:rsidP="00A25019">
            <w:pPr>
              <w:rPr>
                <w:rFonts w:ascii="Simplified Arabic" w:eastAsia="Times New Roman" w:hAnsi="Simplified Arabic" w:cs="Simplified Arabic"/>
                <w:color w:val="EE0000"/>
                <w:kern w:val="0"/>
                <w14:ligatures w14:val="none"/>
              </w:rPr>
            </w:pPr>
          </w:p>
        </w:tc>
        <w:tc>
          <w:tcPr>
            <w:tcW w:w="0" w:type="auto"/>
            <w:hideMark/>
          </w:tcPr>
          <w:p w14:paraId="6DD473AC"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تحليل البيانات الحية</w:t>
            </w:r>
          </w:p>
        </w:tc>
        <w:tc>
          <w:tcPr>
            <w:tcW w:w="0" w:type="auto"/>
            <w:hideMark/>
          </w:tcPr>
          <w:p w14:paraId="0A667138"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تقنيات جمع وتحليل البيانات اللحظية لدعم القرارات التشغيلية الفورية</w:t>
            </w:r>
          </w:p>
        </w:tc>
        <w:tc>
          <w:tcPr>
            <w:tcW w:w="0" w:type="auto"/>
            <w:hideMark/>
          </w:tcPr>
          <w:p w14:paraId="17121BD5"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مستوى توظيف أنظمة تحليل كثافة الحشود آنياً، والنماذج التنبؤية لرصد نقاط الازدحام المحتملة، ولوحات المتابعة التفاعلية، ونظم الإنذار المبكر</w:t>
            </w:r>
          </w:p>
        </w:tc>
        <w:tc>
          <w:tcPr>
            <w:tcW w:w="0" w:type="auto"/>
            <w:hideMark/>
          </w:tcPr>
          <w:p w14:paraId="2CC26D7B"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هاشم وعبد السادة (2023)</w:t>
            </w:r>
          </w:p>
        </w:tc>
      </w:tr>
      <w:tr w:rsidR="00A25019" w:rsidRPr="00A25019" w14:paraId="0EFE44B4" w14:textId="77777777" w:rsidTr="00803095">
        <w:tc>
          <w:tcPr>
            <w:tcW w:w="0" w:type="auto"/>
            <w:hideMark/>
          </w:tcPr>
          <w:p w14:paraId="1B9C6B5F"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b/>
                <w:bCs/>
                <w:color w:val="EE0000"/>
                <w:kern w:val="0"/>
                <w:rtl/>
                <w14:ligatures w14:val="none"/>
              </w:rPr>
              <w:t>كفاءة إدارة الحشود</w:t>
            </w:r>
            <w:r w:rsidRPr="00A25019">
              <w:rPr>
                <w:rFonts w:ascii="Simplified Arabic" w:eastAsia="Times New Roman" w:hAnsi="Simplified Arabic" w:cs="Simplified Arabic"/>
                <w:color w:val="EE0000"/>
                <w:kern w:val="0"/>
                <w:rtl/>
                <w14:ligatures w14:val="none"/>
              </w:rPr>
              <w:t xml:space="preserve"> </w:t>
            </w:r>
            <w:r w:rsidRPr="00A25019">
              <w:rPr>
                <w:rFonts w:ascii="Simplified Arabic" w:eastAsia="Times New Roman" w:hAnsi="Simplified Arabic" w:cs="Simplified Arabic"/>
                <w:color w:val="EE0000"/>
                <w:kern w:val="0"/>
                <w14:ligatures w14:val="none"/>
              </w:rPr>
              <w:t>(Crowd Management Efficiency)</w:t>
            </w:r>
          </w:p>
        </w:tc>
        <w:tc>
          <w:tcPr>
            <w:tcW w:w="0" w:type="auto"/>
            <w:hideMark/>
          </w:tcPr>
          <w:p w14:paraId="5ACFE7DD"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14:ligatures w14:val="none"/>
              </w:rPr>
              <w:t>-</w:t>
            </w:r>
          </w:p>
        </w:tc>
        <w:tc>
          <w:tcPr>
            <w:tcW w:w="0" w:type="auto"/>
            <w:hideMark/>
          </w:tcPr>
          <w:p w14:paraId="74FEE6A5"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قدرة الجهات المختصة على تنظيم حركة الحشود البشرية وتوجيهها بما يضمن السلامة والانسيابية وسرعة الاستجابة للمتغيرات الطارئة</w:t>
            </w:r>
          </w:p>
        </w:tc>
        <w:tc>
          <w:tcPr>
            <w:tcW w:w="0" w:type="auto"/>
            <w:hideMark/>
          </w:tcPr>
          <w:p w14:paraId="71E32E37"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مدى نجاح الجهات المنظمة في تحقيق انسيابية حركة الحشود، والاستجابة السريعة للمتغيرات، وتقليل التكدس خلال موسم الحج والعمرة</w:t>
            </w:r>
          </w:p>
        </w:tc>
        <w:tc>
          <w:tcPr>
            <w:tcW w:w="0" w:type="auto"/>
            <w:hideMark/>
          </w:tcPr>
          <w:p w14:paraId="3370F1F0"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14:ligatures w14:val="none"/>
              </w:rPr>
              <w:t>Klatt et al. (2024)</w:t>
            </w:r>
            <w:r w:rsidRPr="00A25019">
              <w:rPr>
                <w:rFonts w:ascii="Simplified Arabic" w:eastAsia="Times New Roman" w:hAnsi="Simplified Arabic" w:cs="Simplified Arabic"/>
                <w:color w:val="EE0000"/>
                <w:kern w:val="0"/>
                <w:rtl/>
                <w14:ligatures w14:val="none"/>
              </w:rPr>
              <w:t>؛ اليوسف</w:t>
            </w:r>
            <w:r w:rsidRPr="00A25019">
              <w:rPr>
                <w:rFonts w:ascii="Simplified Arabic" w:eastAsia="Times New Roman" w:hAnsi="Simplified Arabic" w:cs="Simplified Arabic"/>
                <w:color w:val="EE0000"/>
                <w:kern w:val="0"/>
                <w14:ligatures w14:val="none"/>
              </w:rPr>
              <w:t xml:space="preserve"> (2016)</w:t>
            </w:r>
          </w:p>
        </w:tc>
      </w:tr>
      <w:tr w:rsidR="00A25019" w:rsidRPr="00A25019" w14:paraId="3B4D32B9" w14:textId="77777777" w:rsidTr="00803095">
        <w:tc>
          <w:tcPr>
            <w:tcW w:w="0" w:type="auto"/>
            <w:hideMark/>
          </w:tcPr>
          <w:p w14:paraId="4B9E6FED" w14:textId="77777777" w:rsidR="00A25019" w:rsidRPr="00A25019" w:rsidRDefault="00A25019" w:rsidP="00A25019">
            <w:pPr>
              <w:rPr>
                <w:rFonts w:ascii="Simplified Arabic" w:eastAsia="Times New Roman" w:hAnsi="Simplified Arabic" w:cs="Simplified Arabic"/>
                <w:color w:val="EE0000"/>
                <w:kern w:val="0"/>
                <w14:ligatures w14:val="none"/>
              </w:rPr>
            </w:pPr>
          </w:p>
        </w:tc>
        <w:tc>
          <w:tcPr>
            <w:tcW w:w="0" w:type="auto"/>
            <w:hideMark/>
          </w:tcPr>
          <w:p w14:paraId="1838BC54"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الانسيابية</w:t>
            </w:r>
          </w:p>
        </w:tc>
        <w:tc>
          <w:tcPr>
            <w:tcW w:w="0" w:type="auto"/>
            <w:hideMark/>
          </w:tcPr>
          <w:p w14:paraId="539DA533"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درجة سلاسة حركة الحشود وتدفقها المنتظم دون عوائق أو توقفات مفاجئة</w:t>
            </w:r>
          </w:p>
        </w:tc>
        <w:tc>
          <w:tcPr>
            <w:tcW w:w="0" w:type="auto"/>
            <w:hideMark/>
          </w:tcPr>
          <w:p w14:paraId="61D788B1"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 xml:space="preserve">مستوى سهولة تنقل الحجاج والمعتمرين بين المواقع المختلفة، ووضوح المسارات المحددة، وانتظام </w:t>
            </w:r>
            <w:r w:rsidRPr="00A25019">
              <w:rPr>
                <w:rFonts w:ascii="Simplified Arabic" w:eastAsia="Times New Roman" w:hAnsi="Simplified Arabic" w:cs="Simplified Arabic"/>
                <w:color w:val="EE0000"/>
                <w:kern w:val="0"/>
                <w:rtl/>
                <w14:ligatures w14:val="none"/>
              </w:rPr>
              <w:lastRenderedPageBreak/>
              <w:t>تدفق الحشود دون اختناقات</w:t>
            </w:r>
          </w:p>
        </w:tc>
        <w:tc>
          <w:tcPr>
            <w:tcW w:w="0" w:type="auto"/>
            <w:hideMark/>
          </w:tcPr>
          <w:p w14:paraId="24A3CF1C"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14:ligatures w14:val="none"/>
              </w:rPr>
              <w:lastRenderedPageBreak/>
              <w:t>Klatt et al</w:t>
            </w:r>
            <w:r w:rsidRPr="00A25019">
              <w:rPr>
                <w:rFonts w:ascii="Simplified Arabic" w:eastAsia="Times New Roman" w:hAnsi="Simplified Arabic" w:cs="Simplified Arabic"/>
                <w:color w:val="EE0000"/>
                <w:kern w:val="0"/>
                <w:rtl/>
                <w14:ligatures w14:val="none"/>
              </w:rPr>
              <w:t>. (2024)</w:t>
            </w:r>
          </w:p>
        </w:tc>
      </w:tr>
      <w:tr w:rsidR="00A25019" w:rsidRPr="00A25019" w14:paraId="00D48636" w14:textId="77777777" w:rsidTr="00803095">
        <w:tc>
          <w:tcPr>
            <w:tcW w:w="0" w:type="auto"/>
            <w:hideMark/>
          </w:tcPr>
          <w:p w14:paraId="1B9FBCF9" w14:textId="77777777" w:rsidR="00A25019" w:rsidRPr="00A25019" w:rsidRDefault="00A25019" w:rsidP="00A25019">
            <w:pPr>
              <w:rPr>
                <w:rFonts w:ascii="Simplified Arabic" w:eastAsia="Times New Roman" w:hAnsi="Simplified Arabic" w:cs="Simplified Arabic"/>
                <w:color w:val="EE0000"/>
                <w:kern w:val="0"/>
                <w14:ligatures w14:val="none"/>
              </w:rPr>
            </w:pPr>
          </w:p>
        </w:tc>
        <w:tc>
          <w:tcPr>
            <w:tcW w:w="0" w:type="auto"/>
            <w:hideMark/>
          </w:tcPr>
          <w:p w14:paraId="5A216729"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سرعة الاستجابة</w:t>
            </w:r>
          </w:p>
        </w:tc>
        <w:tc>
          <w:tcPr>
            <w:tcW w:w="0" w:type="auto"/>
            <w:hideMark/>
          </w:tcPr>
          <w:p w14:paraId="4E7F6D68"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قدرة الجهات المختصة على التعامل الفوري والفعّال مع المتغيرات والحالات الطارئة</w:t>
            </w:r>
          </w:p>
        </w:tc>
        <w:tc>
          <w:tcPr>
            <w:tcW w:w="0" w:type="auto"/>
            <w:hideMark/>
          </w:tcPr>
          <w:p w14:paraId="0994FCA3"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مستوى قدرة الفرق الميدانية على التدخل الفوري عند الحاجة، ومرونة تعديل الخطط التشغيلية، وفعالية التنسيق بين الجهات المعنية</w:t>
            </w:r>
          </w:p>
        </w:tc>
        <w:tc>
          <w:tcPr>
            <w:tcW w:w="0" w:type="auto"/>
            <w:hideMark/>
          </w:tcPr>
          <w:p w14:paraId="33ACA220"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14:ligatures w14:val="none"/>
              </w:rPr>
              <w:t>Klatt et al</w:t>
            </w:r>
            <w:r w:rsidRPr="00A25019">
              <w:rPr>
                <w:rFonts w:ascii="Simplified Arabic" w:eastAsia="Times New Roman" w:hAnsi="Simplified Arabic" w:cs="Simplified Arabic"/>
                <w:color w:val="EE0000"/>
                <w:kern w:val="0"/>
                <w:rtl/>
                <w14:ligatures w14:val="none"/>
              </w:rPr>
              <w:t>. (2024)</w:t>
            </w:r>
          </w:p>
        </w:tc>
      </w:tr>
      <w:tr w:rsidR="00A25019" w:rsidRPr="00A25019" w14:paraId="39774846" w14:textId="77777777" w:rsidTr="00803095">
        <w:tc>
          <w:tcPr>
            <w:tcW w:w="0" w:type="auto"/>
            <w:hideMark/>
          </w:tcPr>
          <w:p w14:paraId="742D7E43" w14:textId="77777777" w:rsidR="00A25019" w:rsidRPr="00A25019" w:rsidRDefault="00A25019" w:rsidP="00A25019">
            <w:pPr>
              <w:rPr>
                <w:rFonts w:ascii="Simplified Arabic" w:eastAsia="Times New Roman" w:hAnsi="Simplified Arabic" w:cs="Simplified Arabic"/>
                <w:color w:val="EE0000"/>
                <w:kern w:val="0"/>
                <w14:ligatures w14:val="none"/>
              </w:rPr>
            </w:pPr>
          </w:p>
        </w:tc>
        <w:tc>
          <w:tcPr>
            <w:tcW w:w="0" w:type="auto"/>
            <w:hideMark/>
          </w:tcPr>
          <w:p w14:paraId="1051B679"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تقليل التكدس</w:t>
            </w:r>
          </w:p>
        </w:tc>
        <w:tc>
          <w:tcPr>
            <w:tcW w:w="0" w:type="auto"/>
            <w:hideMark/>
          </w:tcPr>
          <w:p w14:paraId="29D1EECA"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درجة النجاح في منع تراكم الحشود وتجنب الازدحام في المواقع الحرجة</w:t>
            </w:r>
          </w:p>
        </w:tc>
        <w:tc>
          <w:tcPr>
            <w:tcW w:w="0" w:type="auto"/>
            <w:hideMark/>
          </w:tcPr>
          <w:p w14:paraId="75C28303"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مستوى فعالية توزيع الحشود على المسارات البديلة، وإدارة أوقات الذروة، والتحكم في الطاقة الاستيعابية للمواقع الحرجة</w:t>
            </w:r>
          </w:p>
        </w:tc>
        <w:tc>
          <w:tcPr>
            <w:tcW w:w="0" w:type="auto"/>
            <w:hideMark/>
          </w:tcPr>
          <w:p w14:paraId="4228FCCE"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14:ligatures w14:val="none"/>
              </w:rPr>
              <w:t>Klatt et al</w:t>
            </w:r>
            <w:r w:rsidRPr="00A25019">
              <w:rPr>
                <w:rFonts w:ascii="Simplified Arabic" w:eastAsia="Times New Roman" w:hAnsi="Simplified Arabic" w:cs="Simplified Arabic"/>
                <w:color w:val="EE0000"/>
                <w:kern w:val="0"/>
                <w:rtl/>
                <w14:ligatures w14:val="none"/>
              </w:rPr>
              <w:t>. (2024)</w:t>
            </w:r>
          </w:p>
        </w:tc>
      </w:tr>
    </w:tbl>
    <w:p w14:paraId="301C6C50" w14:textId="77777777" w:rsidR="00A25019" w:rsidRPr="00A25019" w:rsidRDefault="00A25019" w:rsidP="00A25019">
      <w:pPr>
        <w:rPr>
          <w:rtl/>
          <w:lang w:bidi="ar-EG"/>
        </w:rPr>
      </w:pPr>
    </w:p>
    <w:p w14:paraId="4D740C75" w14:textId="77777777" w:rsidR="00A25019" w:rsidRPr="00A25019" w:rsidRDefault="00A25019" w:rsidP="00A25019">
      <w:pPr>
        <w:keepNext/>
        <w:keepLines/>
        <w:spacing w:before="360" w:after="80"/>
        <w:outlineLvl w:val="0"/>
        <w:rPr>
          <w:rFonts w:ascii="Simplified Arabic" w:eastAsiaTheme="majorEastAsia" w:hAnsi="Simplified Arabic" w:cs="Simplified Arabic"/>
          <w:b/>
          <w:bCs/>
          <w:sz w:val="36"/>
          <w:szCs w:val="36"/>
          <w:rtl/>
          <w:lang w:bidi="ar-EG"/>
        </w:rPr>
      </w:pPr>
      <w:bookmarkStart w:id="8" w:name="_Toc202053522"/>
      <w:r w:rsidRPr="00A25019">
        <w:rPr>
          <w:rFonts w:ascii="Simplified Arabic" w:eastAsiaTheme="majorEastAsia" w:hAnsi="Simplified Arabic" w:cs="Simplified Arabic"/>
          <w:b/>
          <w:bCs/>
          <w:sz w:val="36"/>
          <w:szCs w:val="36"/>
          <w:rtl/>
          <w:lang w:bidi="ar-EG"/>
        </w:rPr>
        <w:t>منهج الدراسة :</w:t>
      </w:r>
      <w:bookmarkEnd w:id="8"/>
    </w:p>
    <w:p w14:paraId="780EC4B5" w14:textId="77777777" w:rsidR="00A25019" w:rsidRPr="00A25019" w:rsidRDefault="00A25019" w:rsidP="00A25019">
      <w:pPr>
        <w:ind w:firstLine="720"/>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تعتمد هذه الدراسة على المنهج الوصفي التحليلي بوصفه الإطار المنهجي الأكثر ملاءمة لطبيعة الموضوع المدروس، إذ يسمح هذا المنهج بوصف الظاهرة كما هي في واقعها الميداني، وتحليل العلاقات السببية بين المتغيرات الثلاثة: ممارسات الاستدامة بوصفها متغيرًا مستقلاً، والتكنولوجيا الذكية كمتغير وسيط، وكفاءة إدارة الحشود بوصفها متغيرًا تابعًا، وتستند الدراسة إلى هذا المنهج بهدف بناء نموذج تفسيري قادر على تفسير التفاعل بين هذه المكونات داخل بيئة تشغيلية معقدة مثل موسمَي الحج والعمرة</w:t>
      </w:r>
      <w:r w:rsidRPr="00A25019">
        <w:rPr>
          <w:rFonts w:ascii="Simplified Arabic" w:hAnsi="Simplified Arabic" w:cs="Simplified Arabic"/>
          <w:color w:val="EE0000"/>
          <w:sz w:val="28"/>
          <w:szCs w:val="28"/>
        </w:rPr>
        <w:t>.</w:t>
      </w:r>
    </w:p>
    <w:p w14:paraId="699D5CA5" w14:textId="77777777" w:rsidR="00A25019" w:rsidRPr="00A25019" w:rsidRDefault="00A25019" w:rsidP="00A25019">
      <w:pPr>
        <w:ind w:firstLine="720"/>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ويجد اختيار هذا المنهج مبررات علمية واضحة، أبرزها أن طبيعة المتغيرات المدروسة تتطلب منهجًا قادرًا على الربط بين الوصف الدقيق للواقع وبين التحليل الإحصائي للعلاقات،</w:t>
      </w:r>
      <w:r w:rsidRPr="00A25019">
        <w:rPr>
          <w:rFonts w:ascii="Simplified Arabic" w:hAnsi="Simplified Arabic" w:cs="Simplified Arabic"/>
          <w:color w:val="EE0000"/>
          <w:sz w:val="28"/>
          <w:szCs w:val="28"/>
        </w:rPr>
        <w:t xml:space="preserve"> </w:t>
      </w:r>
      <w:r w:rsidRPr="00A25019">
        <w:rPr>
          <w:rFonts w:ascii="Simplified Arabic" w:hAnsi="Simplified Arabic" w:cs="Simplified Arabic"/>
          <w:color w:val="EE0000"/>
          <w:sz w:val="28"/>
          <w:szCs w:val="28"/>
          <w:rtl/>
        </w:rPr>
        <w:t>فممارسات الاستدامة والتكنولوجيا الذكية ليست مجرد مفاهيم نظرية، بل ظواهر قابلة للقياس تحتاج إلى توظيف أدوات كمية لرصد أثرها المباشر وغير المباشر على كفاءة إدارة الحشود.</w:t>
      </w:r>
    </w:p>
    <w:p w14:paraId="54F820BF" w14:textId="77777777" w:rsidR="00A25019" w:rsidRPr="00A25019" w:rsidRDefault="00A25019" w:rsidP="00A25019">
      <w:pPr>
        <w:ind w:firstLine="720"/>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إن المنهج الوصفي التحليلي يوفّر إطارًا مناسبًا للجمع بين التحليل الوصفي لمستوى توافر هذه الممارسات والأدوات، والتحليل السببي لاختبار الأدوار التفسيرية والوسيطة، كما يُعد هذا المنهج متسقًا مع طبيعة بيئة الدراسة، التي تتسم بدرجة عالية من الديناميكية والكثافة البشرية، ما يستلزم منهجًا مرنًا قادرًا على توصيف الخصائص التشغيلية المتغيرة وتحليل أثرها في مؤشرات كفاءة الحشود</w:t>
      </w:r>
      <w:r w:rsidRPr="00A25019">
        <w:rPr>
          <w:rFonts w:ascii="Simplified Arabic" w:hAnsi="Simplified Arabic" w:cs="Simplified Arabic"/>
          <w:color w:val="EE0000"/>
          <w:sz w:val="28"/>
          <w:szCs w:val="28"/>
        </w:rPr>
        <w:t>.</w:t>
      </w:r>
    </w:p>
    <w:p w14:paraId="4E0D346D" w14:textId="77777777" w:rsidR="00A25019" w:rsidRPr="00A25019" w:rsidRDefault="00A25019" w:rsidP="00A25019">
      <w:pPr>
        <w:keepNext/>
        <w:keepLines/>
        <w:spacing w:before="360" w:after="80"/>
        <w:outlineLvl w:val="0"/>
        <w:rPr>
          <w:rFonts w:ascii="Simplified Arabic" w:eastAsiaTheme="majorEastAsia" w:hAnsi="Simplified Arabic" w:cs="Simplified Arabic"/>
          <w:b/>
          <w:bCs/>
          <w:sz w:val="36"/>
          <w:szCs w:val="36"/>
          <w:rtl/>
          <w:lang w:bidi="ar-EG"/>
        </w:rPr>
      </w:pPr>
      <w:bookmarkStart w:id="9" w:name="_Toc202053523"/>
      <w:r w:rsidRPr="00A25019">
        <w:rPr>
          <w:rFonts w:ascii="Simplified Arabic" w:eastAsiaTheme="majorEastAsia" w:hAnsi="Simplified Arabic" w:cs="Simplified Arabic"/>
          <w:b/>
          <w:bCs/>
          <w:sz w:val="36"/>
          <w:szCs w:val="36"/>
          <w:rtl/>
          <w:lang w:bidi="ar-EG"/>
        </w:rPr>
        <w:lastRenderedPageBreak/>
        <w:t>أداة الدراسة</w:t>
      </w:r>
      <w:bookmarkEnd w:id="9"/>
      <w:r w:rsidRPr="00A25019">
        <w:rPr>
          <w:rFonts w:ascii="Simplified Arabic" w:eastAsiaTheme="majorEastAsia" w:hAnsi="Simplified Arabic" w:cs="Simplified Arabic"/>
          <w:b/>
          <w:bCs/>
          <w:sz w:val="36"/>
          <w:szCs w:val="36"/>
          <w:rtl/>
          <w:lang w:bidi="ar-EG"/>
        </w:rPr>
        <w:t xml:space="preserve"> </w:t>
      </w:r>
    </w:p>
    <w:p w14:paraId="6BA108CB" w14:textId="77777777" w:rsidR="00A25019" w:rsidRPr="00A25019" w:rsidRDefault="00A25019" w:rsidP="00A25019">
      <w:pPr>
        <w:ind w:firstLine="720"/>
        <w:jc w:val="both"/>
        <w:rPr>
          <w:rFonts w:ascii="Simplified Arabic" w:hAnsi="Simplified Arabic" w:cs="Simplified Arabic"/>
          <w:color w:val="EE0000"/>
          <w:sz w:val="28"/>
          <w:szCs w:val="28"/>
          <w:rtl/>
        </w:rPr>
      </w:pPr>
      <w:bookmarkStart w:id="10" w:name="_Toc202053524"/>
      <w:r w:rsidRPr="00A25019">
        <w:rPr>
          <w:rFonts w:ascii="Simplified Arabic" w:hAnsi="Simplified Arabic" w:cs="Simplified Arabic"/>
          <w:color w:val="EE0000"/>
          <w:sz w:val="28"/>
          <w:szCs w:val="28"/>
          <w:rtl/>
        </w:rPr>
        <w:t>سوف تعتمد هذه الدراسة على استبانة إلكترونية مغلقة كأداة رئيسية لجمع البيانات، وسيتم تصميمها بالاستناد إلى مقاييس معيارية معتمدة في الأدبيات العلمية ذات العلاقة بمجالات الاستدامة، والتكنولوجيا الذكية، وكفاءة إدارة الحشود، مع إجراء التعديلات اللازمة لتلائم بيئة الدراسة وسياقها المكاني (مكة المكرمة والمدينة المنورة) والزمني (موسم الحج والعمرة)</w:t>
      </w:r>
      <w:r w:rsidRPr="00A25019">
        <w:rPr>
          <w:rFonts w:ascii="Simplified Arabic" w:hAnsi="Simplified Arabic" w:cs="Simplified Arabic"/>
          <w:color w:val="EE0000"/>
          <w:sz w:val="28"/>
          <w:szCs w:val="28"/>
        </w:rPr>
        <w:t>.</w:t>
      </w:r>
    </w:p>
    <w:p w14:paraId="1BDB53BA" w14:textId="77777777" w:rsidR="00A25019" w:rsidRPr="00A25019" w:rsidRDefault="00A25019" w:rsidP="00A25019">
      <w:pPr>
        <w:ind w:firstLine="720"/>
        <w:jc w:val="both"/>
        <w:rPr>
          <w:rFonts w:ascii="Simplified Arabic" w:hAnsi="Simplified Arabic" w:cs="Simplified Arabic"/>
          <w:b/>
          <w:bCs/>
          <w:color w:val="EE0000"/>
          <w:sz w:val="28"/>
          <w:szCs w:val="28"/>
          <w:rtl/>
        </w:rPr>
      </w:pPr>
      <w:r w:rsidRPr="00A25019">
        <w:rPr>
          <w:rFonts w:ascii="Simplified Arabic" w:hAnsi="Simplified Arabic" w:cs="Simplified Arabic"/>
          <w:b/>
          <w:bCs/>
          <w:color w:val="EE0000"/>
          <w:sz w:val="28"/>
          <w:szCs w:val="28"/>
          <w:rtl/>
        </w:rPr>
        <w:t>أولاً: مصادر بناء البنود</w:t>
      </w:r>
    </w:p>
    <w:p w14:paraId="4827C356" w14:textId="77777777" w:rsidR="00A25019" w:rsidRPr="00A25019" w:rsidRDefault="00A25019" w:rsidP="00A25019">
      <w:pPr>
        <w:ind w:firstLine="720"/>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lang w:bidi="ar-EG"/>
        </w:rPr>
        <w:t>المتغير المستقل: ممارسات الاستدامة بأبعادها (الاستدامة البيئية – الاستدامة الاقتصادية – الاستدامة الاجتماعية)</w:t>
      </w:r>
      <w:r w:rsidRPr="00A25019">
        <w:rPr>
          <w:rFonts w:ascii="Simplified Arabic" w:hAnsi="Simplified Arabic" w:cs="Simplified Arabic"/>
          <w:color w:val="EE0000"/>
          <w:sz w:val="28"/>
          <w:szCs w:val="28"/>
          <w:rtl/>
        </w:rPr>
        <w:t xml:space="preserve"> بالاعتماد على دراسة( سحنون</w:t>
      </w:r>
      <w:r w:rsidRPr="00A25019">
        <w:rPr>
          <w:rFonts w:ascii="Simplified Arabic" w:hAnsi="Simplified Arabic" w:cs="Simplified Arabic"/>
          <w:color w:val="EE0000"/>
          <w:sz w:val="28"/>
          <w:szCs w:val="28"/>
        </w:rPr>
        <w:t xml:space="preserve"> </w:t>
      </w:r>
      <w:r w:rsidRPr="00A25019">
        <w:rPr>
          <w:rFonts w:ascii="Simplified Arabic" w:hAnsi="Simplified Arabic" w:cs="Simplified Arabic"/>
          <w:color w:val="EE0000"/>
          <w:sz w:val="28"/>
          <w:szCs w:val="28"/>
          <w:rtl/>
        </w:rPr>
        <w:t>،</w:t>
      </w:r>
      <w:r w:rsidRPr="00A25019">
        <w:rPr>
          <w:rFonts w:ascii="Simplified Arabic" w:hAnsi="Simplified Arabic" w:cs="Simplified Arabic"/>
          <w:color w:val="EE0000"/>
          <w:sz w:val="28"/>
          <w:szCs w:val="28"/>
        </w:rPr>
        <w:t>2023</w:t>
      </w:r>
      <w:r w:rsidRPr="00A25019">
        <w:rPr>
          <w:rFonts w:ascii="Simplified Arabic" w:hAnsi="Simplified Arabic" w:cs="Simplified Arabic"/>
          <w:color w:val="EE0000"/>
          <w:sz w:val="28"/>
          <w:szCs w:val="28"/>
          <w:rtl/>
          <w:lang w:bidi="ar-EG"/>
        </w:rPr>
        <w:t>)</w:t>
      </w:r>
    </w:p>
    <w:p w14:paraId="387D9FFF" w14:textId="77777777" w:rsidR="00A25019" w:rsidRPr="00A25019" w:rsidRDefault="00A25019" w:rsidP="00A25019">
      <w:pPr>
        <w:ind w:firstLine="720"/>
        <w:jc w:val="both"/>
        <w:rPr>
          <w:rFonts w:ascii="Simplified Arabic" w:hAnsi="Simplified Arabic" w:cs="Simplified Arabic"/>
          <w:color w:val="EE0000"/>
          <w:sz w:val="28"/>
          <w:szCs w:val="28"/>
          <w:rtl/>
          <w:lang w:bidi="ar-EG"/>
        </w:rPr>
      </w:pPr>
      <w:r w:rsidRPr="00A25019">
        <w:rPr>
          <w:rFonts w:ascii="Cambria Math" w:hAnsi="Cambria Math" w:cs="Cambria Math"/>
          <w:color w:val="EE0000"/>
          <w:sz w:val="28"/>
          <w:szCs w:val="28"/>
          <w:rtl/>
          <w:lang w:bidi="ar-EG"/>
        </w:rPr>
        <w:t>−</w:t>
      </w:r>
      <w:r w:rsidRPr="00A25019">
        <w:rPr>
          <w:rFonts w:ascii="Simplified Arabic" w:hAnsi="Simplified Arabic" w:cs="Simplified Arabic"/>
          <w:color w:val="EE0000"/>
          <w:sz w:val="28"/>
          <w:szCs w:val="28"/>
          <w:rtl/>
          <w:lang w:bidi="ar-EG"/>
        </w:rPr>
        <w:t xml:space="preserve"> المتغير التابع: كفاءة إدارة الحشود بأبعادها (الانسيابية في الحركة – سرعة الاستجابة – تقليل التكدس والازدحام)بالاعتماد على دراسة</w:t>
      </w:r>
      <w:r w:rsidRPr="00A25019">
        <w:rPr>
          <w:rFonts w:ascii="Simplified Arabic" w:hAnsi="Simplified Arabic" w:cs="Simplified Arabic"/>
          <w:color w:val="EE0000"/>
          <w:sz w:val="28"/>
          <w:szCs w:val="28"/>
        </w:rPr>
        <w:t xml:space="preserve"> Klatt et al. ,2024)</w:t>
      </w:r>
      <w:r w:rsidRPr="00A25019">
        <w:rPr>
          <w:rFonts w:ascii="Simplified Arabic" w:hAnsi="Simplified Arabic" w:cs="Simplified Arabic"/>
          <w:color w:val="EE0000"/>
          <w:sz w:val="28"/>
          <w:szCs w:val="28"/>
          <w:rtl/>
          <w:lang w:bidi="ar-EG"/>
        </w:rPr>
        <w:t>)      .</w:t>
      </w:r>
    </w:p>
    <w:p w14:paraId="466FC6BD" w14:textId="77777777" w:rsidR="00A25019" w:rsidRPr="00A25019" w:rsidRDefault="00A25019" w:rsidP="00A25019">
      <w:pPr>
        <w:ind w:firstLine="720"/>
        <w:jc w:val="both"/>
        <w:rPr>
          <w:rFonts w:ascii="Simplified Arabic" w:hAnsi="Simplified Arabic" w:cs="Simplified Arabic"/>
          <w:color w:val="EE0000"/>
          <w:sz w:val="28"/>
          <w:szCs w:val="28"/>
          <w:rtl/>
          <w:lang w:bidi="ar-EG"/>
        </w:rPr>
      </w:pPr>
      <w:r w:rsidRPr="00A25019">
        <w:rPr>
          <w:rFonts w:ascii="Cambria Math" w:hAnsi="Cambria Math" w:cs="Cambria Math"/>
          <w:color w:val="EE0000"/>
          <w:sz w:val="28"/>
          <w:szCs w:val="28"/>
          <w:rtl/>
          <w:lang w:bidi="ar-EG"/>
        </w:rPr>
        <w:t>−</w:t>
      </w:r>
      <w:r w:rsidRPr="00A25019">
        <w:rPr>
          <w:rFonts w:ascii="Simplified Arabic" w:hAnsi="Simplified Arabic" w:cs="Simplified Arabic"/>
          <w:color w:val="EE0000"/>
          <w:sz w:val="28"/>
          <w:szCs w:val="28"/>
          <w:rtl/>
          <w:lang w:bidi="ar-EG"/>
        </w:rPr>
        <w:t xml:space="preserve"> المتغير الوسيط: التكنولوجيا الذكية بأبعادها (أنظمة المراقبة الذكية – تطبيقات التوجيه والتحكم – تحليل البيانات الحية)</w:t>
      </w:r>
      <w:r w:rsidRPr="00A25019">
        <w:rPr>
          <w:rFonts w:ascii="Simplified Arabic" w:hAnsi="Simplified Arabic" w:cs="Simplified Arabic"/>
          <w:color w:val="EE0000"/>
          <w:sz w:val="28"/>
          <w:szCs w:val="28"/>
          <w:rtl/>
        </w:rPr>
        <w:t xml:space="preserve"> بالاعتماد على دراسة</w:t>
      </w:r>
      <w:r w:rsidRPr="00A25019">
        <w:rPr>
          <w:rFonts w:ascii="Simplified Arabic" w:hAnsi="Simplified Arabic" w:cs="Simplified Arabic"/>
          <w:color w:val="EE0000"/>
          <w:sz w:val="28"/>
          <w:szCs w:val="28"/>
        </w:rPr>
        <w:t xml:space="preserve"> Mallick et al. ,2024)</w:t>
      </w:r>
      <w:r w:rsidRPr="00A25019">
        <w:rPr>
          <w:rFonts w:ascii="Simplified Arabic" w:hAnsi="Simplified Arabic" w:cs="Simplified Arabic"/>
          <w:color w:val="EE0000"/>
          <w:sz w:val="28"/>
          <w:szCs w:val="28"/>
          <w:rtl/>
          <w:lang w:bidi="ar-EG"/>
        </w:rPr>
        <w:t>).</w:t>
      </w:r>
    </w:p>
    <w:p w14:paraId="492816FA" w14:textId="77777777" w:rsidR="00A25019" w:rsidRPr="00A25019" w:rsidRDefault="00A25019" w:rsidP="00A25019">
      <w:pPr>
        <w:jc w:val="both"/>
        <w:rPr>
          <w:rFonts w:ascii="Simplified Arabic" w:hAnsi="Simplified Arabic" w:cs="Simplified Arabic"/>
          <w:b/>
          <w:bCs/>
          <w:color w:val="EE0000"/>
          <w:sz w:val="28"/>
          <w:szCs w:val="28"/>
          <w:rtl/>
        </w:rPr>
      </w:pPr>
      <w:r w:rsidRPr="00A25019">
        <w:rPr>
          <w:rFonts w:ascii="Simplified Arabic" w:hAnsi="Simplified Arabic" w:cs="Simplified Arabic"/>
          <w:b/>
          <w:bCs/>
          <w:color w:val="EE0000"/>
          <w:sz w:val="28"/>
          <w:szCs w:val="28"/>
          <w:rtl/>
        </w:rPr>
        <w:t>ثانياً: مكونات الاستبانة وعدد البنود</w:t>
      </w:r>
    </w:p>
    <w:p w14:paraId="22065841"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سوف تتضمن الاستبانة ثلاثة محاور رئيسية، تغطي أبعاد المتغيرات كما يلي</w:t>
      </w:r>
      <w:r w:rsidRPr="00A25019">
        <w:rPr>
          <w:rFonts w:ascii="Simplified Arabic" w:hAnsi="Simplified Arabic" w:cs="Simplified Arabic"/>
          <w:color w:val="EE0000"/>
          <w:sz w:val="28"/>
          <w:szCs w:val="28"/>
          <w:lang w:bidi="ar-EG"/>
        </w:rPr>
        <w:t>:</w:t>
      </w:r>
    </w:p>
    <w:p w14:paraId="68746A83" w14:textId="77777777" w:rsidR="00A25019" w:rsidRPr="00A25019" w:rsidRDefault="00A25019" w:rsidP="00A25019">
      <w:p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المحور الأول: ممارسات الاستدامة</w:t>
      </w:r>
      <w:r w:rsidRPr="00A25019">
        <w:rPr>
          <w:color w:val="EE0000"/>
        </w:rPr>
        <w:t xml:space="preserve"> </w:t>
      </w:r>
      <w:r w:rsidRPr="00A25019">
        <w:rPr>
          <w:rFonts w:ascii="Simplified Arabic" w:hAnsi="Simplified Arabic" w:cs="Simplified Arabic"/>
          <w:color w:val="EE0000"/>
          <w:sz w:val="28"/>
          <w:szCs w:val="28"/>
        </w:rPr>
        <w:t xml:space="preserve">12 </w:t>
      </w:r>
      <w:r w:rsidRPr="00A25019">
        <w:rPr>
          <w:rFonts w:ascii="Simplified Arabic" w:hAnsi="Simplified Arabic" w:cs="Simplified Arabic"/>
          <w:color w:val="EE0000"/>
          <w:sz w:val="28"/>
          <w:szCs w:val="28"/>
          <w:rtl/>
        </w:rPr>
        <w:t>فقرة</w:t>
      </w:r>
    </w:p>
    <w:p w14:paraId="55270692"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سيقيس هذا المحور مستوى تطبيق ممارسات الاستدامة من قبل الجهات التنظيمية المشاركة في إدارة الحشود، من خلال الأبعاد الثلاثة</w:t>
      </w:r>
      <w:r w:rsidRPr="00A25019">
        <w:rPr>
          <w:rFonts w:ascii="Simplified Arabic" w:hAnsi="Simplified Arabic" w:cs="Simplified Arabic"/>
          <w:color w:val="EE0000"/>
          <w:sz w:val="28"/>
          <w:szCs w:val="28"/>
          <w:lang w:bidi="ar-EG"/>
        </w:rPr>
        <w:t>:</w:t>
      </w:r>
    </w:p>
    <w:p w14:paraId="5533E6DB" w14:textId="77777777" w:rsidR="00A25019" w:rsidRPr="00A25019" w:rsidRDefault="00A25019" w:rsidP="00A25019">
      <w:pPr>
        <w:numPr>
          <w:ilvl w:val="0"/>
          <w:numId w:val="28"/>
        </w:numPr>
        <w:contextualSpacing/>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الاستدامة البيئية</w:t>
      </w:r>
      <w:r w:rsidRPr="00A25019">
        <w:rPr>
          <w:color w:val="EE0000"/>
        </w:rPr>
        <w:t xml:space="preserve"> </w:t>
      </w:r>
      <w:r w:rsidRPr="00A25019">
        <w:rPr>
          <w:rFonts w:ascii="Simplified Arabic" w:hAnsi="Simplified Arabic" w:cs="Simplified Arabic"/>
          <w:color w:val="EE0000"/>
          <w:sz w:val="28"/>
          <w:szCs w:val="28"/>
          <w:lang w:bidi="ar-EG"/>
        </w:rPr>
        <w:t xml:space="preserve">4 </w:t>
      </w:r>
      <w:r w:rsidRPr="00A25019">
        <w:rPr>
          <w:rFonts w:ascii="Simplified Arabic" w:hAnsi="Simplified Arabic" w:cs="Simplified Arabic"/>
          <w:color w:val="EE0000"/>
          <w:sz w:val="28"/>
          <w:szCs w:val="28"/>
          <w:rtl/>
        </w:rPr>
        <w:t>فقرات</w:t>
      </w:r>
    </w:p>
    <w:p w14:paraId="432C34E7" w14:textId="77777777" w:rsidR="00A25019" w:rsidRPr="00A25019" w:rsidRDefault="00A25019" w:rsidP="00A25019">
      <w:pPr>
        <w:numPr>
          <w:ilvl w:val="0"/>
          <w:numId w:val="28"/>
        </w:numPr>
        <w:contextualSpacing/>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الاستدامة الاقتصادية</w:t>
      </w:r>
      <w:r w:rsidRPr="00A25019">
        <w:rPr>
          <w:color w:val="EE0000"/>
        </w:rPr>
        <w:t xml:space="preserve"> </w:t>
      </w:r>
      <w:r w:rsidRPr="00A25019">
        <w:rPr>
          <w:rFonts w:ascii="Simplified Arabic" w:hAnsi="Simplified Arabic" w:cs="Simplified Arabic"/>
          <w:color w:val="EE0000"/>
          <w:sz w:val="28"/>
          <w:szCs w:val="28"/>
          <w:lang w:bidi="ar-EG"/>
        </w:rPr>
        <w:t xml:space="preserve">4 </w:t>
      </w:r>
      <w:r w:rsidRPr="00A25019">
        <w:rPr>
          <w:rFonts w:ascii="Simplified Arabic" w:hAnsi="Simplified Arabic" w:cs="Simplified Arabic"/>
          <w:color w:val="EE0000"/>
          <w:sz w:val="28"/>
          <w:szCs w:val="28"/>
          <w:rtl/>
        </w:rPr>
        <w:t>فقرات</w:t>
      </w:r>
    </w:p>
    <w:p w14:paraId="11F6577D" w14:textId="77777777" w:rsidR="00A25019" w:rsidRPr="00A25019" w:rsidRDefault="00A25019" w:rsidP="00A25019">
      <w:pPr>
        <w:numPr>
          <w:ilvl w:val="0"/>
          <w:numId w:val="28"/>
        </w:numPr>
        <w:contextualSpacing/>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الاستدامة الاجتماعية</w:t>
      </w:r>
      <w:r w:rsidRPr="00A25019">
        <w:rPr>
          <w:color w:val="EE0000"/>
        </w:rPr>
        <w:t xml:space="preserve"> </w:t>
      </w:r>
      <w:r w:rsidRPr="00A25019">
        <w:rPr>
          <w:rFonts w:ascii="Simplified Arabic" w:hAnsi="Simplified Arabic" w:cs="Simplified Arabic"/>
          <w:color w:val="EE0000"/>
          <w:sz w:val="28"/>
          <w:szCs w:val="28"/>
          <w:lang w:bidi="ar-EG"/>
        </w:rPr>
        <w:t xml:space="preserve">4 </w:t>
      </w:r>
      <w:r w:rsidRPr="00A25019">
        <w:rPr>
          <w:rFonts w:ascii="Simplified Arabic" w:hAnsi="Simplified Arabic" w:cs="Simplified Arabic"/>
          <w:color w:val="EE0000"/>
          <w:sz w:val="28"/>
          <w:szCs w:val="28"/>
          <w:rtl/>
        </w:rPr>
        <w:t>فقرات</w:t>
      </w:r>
    </w:p>
    <w:p w14:paraId="32871A85" w14:textId="77777777" w:rsidR="00A25019" w:rsidRPr="00A25019" w:rsidRDefault="00A25019" w:rsidP="00A25019">
      <w:p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المحور الثاني: التكنولوجيا الذكية</w:t>
      </w:r>
      <w:r w:rsidRPr="00A25019">
        <w:rPr>
          <w:rFonts w:ascii="Simplified Arabic" w:hAnsi="Simplified Arabic" w:cs="Simplified Arabic"/>
          <w:color w:val="EE0000"/>
          <w:sz w:val="28"/>
          <w:szCs w:val="28"/>
        </w:rPr>
        <w:t xml:space="preserve">12 </w:t>
      </w:r>
      <w:r w:rsidRPr="00A25019">
        <w:rPr>
          <w:rFonts w:ascii="Simplified Arabic" w:hAnsi="Simplified Arabic" w:cs="Simplified Arabic"/>
          <w:color w:val="EE0000"/>
          <w:sz w:val="28"/>
          <w:szCs w:val="28"/>
          <w:rtl/>
        </w:rPr>
        <w:t>فقرة</w:t>
      </w:r>
    </w:p>
    <w:p w14:paraId="04113E6E"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سيركز هذا المحور على مدى توظيف التكنولوجيا الذكية في إدارة الحشود، من خلال أبعاد ثلاثة هي</w:t>
      </w:r>
      <w:r w:rsidRPr="00A25019">
        <w:rPr>
          <w:rFonts w:ascii="Simplified Arabic" w:hAnsi="Simplified Arabic" w:cs="Simplified Arabic"/>
          <w:color w:val="EE0000"/>
          <w:sz w:val="28"/>
          <w:szCs w:val="28"/>
          <w:lang w:bidi="ar-EG"/>
        </w:rPr>
        <w:t>:</w:t>
      </w:r>
    </w:p>
    <w:p w14:paraId="2494BAD5" w14:textId="77777777" w:rsidR="00A25019" w:rsidRPr="00A25019" w:rsidRDefault="00A25019" w:rsidP="00A25019">
      <w:pPr>
        <w:numPr>
          <w:ilvl w:val="0"/>
          <w:numId w:val="27"/>
        </w:numPr>
        <w:contextualSpacing/>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lastRenderedPageBreak/>
        <w:t>أنظمة المراقبة الذكية</w:t>
      </w:r>
      <w:r w:rsidRPr="00A25019">
        <w:rPr>
          <w:color w:val="EE0000"/>
        </w:rPr>
        <w:t xml:space="preserve"> </w:t>
      </w:r>
      <w:r w:rsidRPr="00A25019">
        <w:rPr>
          <w:rFonts w:ascii="Simplified Arabic" w:hAnsi="Simplified Arabic" w:cs="Simplified Arabic"/>
          <w:color w:val="EE0000"/>
          <w:sz w:val="28"/>
          <w:szCs w:val="28"/>
          <w:lang w:bidi="ar-EG"/>
        </w:rPr>
        <w:t xml:space="preserve">4 </w:t>
      </w:r>
      <w:r w:rsidRPr="00A25019">
        <w:rPr>
          <w:rFonts w:ascii="Simplified Arabic" w:hAnsi="Simplified Arabic" w:cs="Simplified Arabic"/>
          <w:color w:val="EE0000"/>
          <w:sz w:val="28"/>
          <w:szCs w:val="28"/>
          <w:rtl/>
        </w:rPr>
        <w:t>فقرات</w:t>
      </w:r>
    </w:p>
    <w:p w14:paraId="78D0520B" w14:textId="77777777" w:rsidR="00A25019" w:rsidRPr="00A25019" w:rsidRDefault="00A25019" w:rsidP="00A25019">
      <w:pPr>
        <w:numPr>
          <w:ilvl w:val="0"/>
          <w:numId w:val="27"/>
        </w:numPr>
        <w:contextualSpacing/>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تطبيقات التوجيه والتحكم</w:t>
      </w:r>
      <w:r w:rsidRPr="00A25019">
        <w:rPr>
          <w:color w:val="EE0000"/>
        </w:rPr>
        <w:t xml:space="preserve"> </w:t>
      </w:r>
      <w:r w:rsidRPr="00A25019">
        <w:rPr>
          <w:rFonts w:ascii="Simplified Arabic" w:hAnsi="Simplified Arabic" w:cs="Simplified Arabic"/>
          <w:color w:val="EE0000"/>
          <w:sz w:val="28"/>
          <w:szCs w:val="28"/>
          <w:lang w:bidi="ar-EG"/>
        </w:rPr>
        <w:t xml:space="preserve">4 </w:t>
      </w:r>
      <w:r w:rsidRPr="00A25019">
        <w:rPr>
          <w:rFonts w:ascii="Simplified Arabic" w:hAnsi="Simplified Arabic" w:cs="Simplified Arabic"/>
          <w:color w:val="EE0000"/>
          <w:sz w:val="28"/>
          <w:szCs w:val="28"/>
          <w:rtl/>
        </w:rPr>
        <w:t>فقرات</w:t>
      </w:r>
    </w:p>
    <w:p w14:paraId="6AE879F0" w14:textId="77777777" w:rsidR="00A25019" w:rsidRPr="00A25019" w:rsidRDefault="00A25019" w:rsidP="00A25019">
      <w:pPr>
        <w:numPr>
          <w:ilvl w:val="0"/>
          <w:numId w:val="27"/>
        </w:numPr>
        <w:contextualSpacing/>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تحليل البيانات الحية</w:t>
      </w:r>
      <w:r w:rsidRPr="00A25019">
        <w:rPr>
          <w:color w:val="EE0000"/>
        </w:rPr>
        <w:t xml:space="preserve"> </w:t>
      </w:r>
      <w:r w:rsidRPr="00A25019">
        <w:rPr>
          <w:rFonts w:ascii="Simplified Arabic" w:hAnsi="Simplified Arabic" w:cs="Simplified Arabic"/>
          <w:color w:val="EE0000"/>
          <w:sz w:val="28"/>
          <w:szCs w:val="28"/>
          <w:lang w:bidi="ar-EG"/>
        </w:rPr>
        <w:t xml:space="preserve">4 </w:t>
      </w:r>
      <w:r w:rsidRPr="00A25019">
        <w:rPr>
          <w:rFonts w:ascii="Simplified Arabic" w:hAnsi="Simplified Arabic" w:cs="Simplified Arabic"/>
          <w:color w:val="EE0000"/>
          <w:sz w:val="28"/>
          <w:szCs w:val="28"/>
          <w:rtl/>
        </w:rPr>
        <w:t>فقرات</w:t>
      </w:r>
    </w:p>
    <w:p w14:paraId="739AD575" w14:textId="77777777" w:rsidR="00A25019" w:rsidRPr="00A25019" w:rsidRDefault="00A25019" w:rsidP="00A25019">
      <w:p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المحور الثالث: كفاءة إدارة الحشود</w:t>
      </w:r>
      <w:r w:rsidRPr="00A25019">
        <w:rPr>
          <w:rFonts w:ascii="Simplified Arabic" w:hAnsi="Simplified Arabic" w:cs="Simplified Arabic"/>
          <w:color w:val="EE0000"/>
          <w:sz w:val="28"/>
          <w:szCs w:val="28"/>
        </w:rPr>
        <w:t xml:space="preserve">12 </w:t>
      </w:r>
      <w:r w:rsidRPr="00A25019">
        <w:rPr>
          <w:rFonts w:ascii="Simplified Arabic" w:hAnsi="Simplified Arabic" w:cs="Simplified Arabic"/>
          <w:color w:val="EE0000"/>
          <w:sz w:val="28"/>
          <w:szCs w:val="28"/>
          <w:rtl/>
        </w:rPr>
        <w:t>فقرة</w:t>
      </w:r>
    </w:p>
    <w:p w14:paraId="15FBF1A7"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سيقيس هذا المحور مستوى كفاءة إدارة الحشود، انطلاقًا من وجهة نظر المشاركين في الدراسة، عبر الأبعاد التالية</w:t>
      </w:r>
      <w:r w:rsidRPr="00A25019">
        <w:rPr>
          <w:rFonts w:ascii="Simplified Arabic" w:hAnsi="Simplified Arabic" w:cs="Simplified Arabic"/>
          <w:color w:val="EE0000"/>
          <w:sz w:val="28"/>
          <w:szCs w:val="28"/>
          <w:lang w:bidi="ar-EG"/>
        </w:rPr>
        <w:t>:</w:t>
      </w:r>
    </w:p>
    <w:p w14:paraId="7D7248CA" w14:textId="77777777" w:rsidR="00A25019" w:rsidRPr="00A25019" w:rsidRDefault="00A25019" w:rsidP="00A25019">
      <w:pPr>
        <w:numPr>
          <w:ilvl w:val="0"/>
          <w:numId w:val="26"/>
        </w:numPr>
        <w:contextualSpacing/>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الانسيابية</w:t>
      </w:r>
      <w:r w:rsidRPr="00A25019">
        <w:rPr>
          <w:color w:val="EE0000"/>
        </w:rPr>
        <w:t xml:space="preserve"> </w:t>
      </w:r>
      <w:r w:rsidRPr="00A25019">
        <w:rPr>
          <w:rFonts w:ascii="Simplified Arabic" w:hAnsi="Simplified Arabic" w:cs="Simplified Arabic"/>
          <w:color w:val="EE0000"/>
          <w:sz w:val="28"/>
          <w:szCs w:val="28"/>
          <w:lang w:bidi="ar-EG"/>
        </w:rPr>
        <w:t xml:space="preserve">4 </w:t>
      </w:r>
      <w:r w:rsidRPr="00A25019">
        <w:rPr>
          <w:rFonts w:ascii="Simplified Arabic" w:hAnsi="Simplified Arabic" w:cs="Simplified Arabic"/>
          <w:color w:val="EE0000"/>
          <w:sz w:val="28"/>
          <w:szCs w:val="28"/>
          <w:rtl/>
        </w:rPr>
        <w:t>فقرات</w:t>
      </w:r>
    </w:p>
    <w:p w14:paraId="245F6545" w14:textId="77777777" w:rsidR="00A25019" w:rsidRPr="00A25019" w:rsidRDefault="00A25019" w:rsidP="00A25019">
      <w:pPr>
        <w:numPr>
          <w:ilvl w:val="0"/>
          <w:numId w:val="26"/>
        </w:numPr>
        <w:contextualSpacing/>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سرعة الاستجابة</w:t>
      </w:r>
      <w:r w:rsidRPr="00A25019">
        <w:rPr>
          <w:color w:val="EE0000"/>
        </w:rPr>
        <w:t xml:space="preserve"> </w:t>
      </w:r>
      <w:r w:rsidRPr="00A25019">
        <w:rPr>
          <w:rFonts w:ascii="Simplified Arabic" w:hAnsi="Simplified Arabic" w:cs="Simplified Arabic"/>
          <w:color w:val="EE0000"/>
          <w:sz w:val="28"/>
          <w:szCs w:val="28"/>
          <w:lang w:bidi="ar-EG"/>
        </w:rPr>
        <w:t xml:space="preserve">4 </w:t>
      </w:r>
      <w:r w:rsidRPr="00A25019">
        <w:rPr>
          <w:rFonts w:ascii="Simplified Arabic" w:hAnsi="Simplified Arabic" w:cs="Simplified Arabic"/>
          <w:color w:val="EE0000"/>
          <w:sz w:val="28"/>
          <w:szCs w:val="28"/>
          <w:rtl/>
        </w:rPr>
        <w:t>فقرات</w:t>
      </w:r>
    </w:p>
    <w:p w14:paraId="7ABCD384" w14:textId="77777777" w:rsidR="00A25019" w:rsidRPr="00A25019" w:rsidRDefault="00A25019" w:rsidP="00A25019">
      <w:pPr>
        <w:numPr>
          <w:ilvl w:val="0"/>
          <w:numId w:val="26"/>
        </w:numPr>
        <w:contextualSpacing/>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تقليل التكدس والازدحام</w:t>
      </w:r>
      <w:r w:rsidRPr="00A25019">
        <w:rPr>
          <w:color w:val="EE0000"/>
        </w:rPr>
        <w:t xml:space="preserve"> </w:t>
      </w:r>
      <w:r w:rsidRPr="00A25019">
        <w:rPr>
          <w:rFonts w:ascii="Simplified Arabic" w:hAnsi="Simplified Arabic" w:cs="Simplified Arabic"/>
          <w:color w:val="EE0000"/>
          <w:sz w:val="28"/>
          <w:szCs w:val="28"/>
          <w:lang w:bidi="ar-EG"/>
        </w:rPr>
        <w:t xml:space="preserve">4 </w:t>
      </w:r>
      <w:r w:rsidRPr="00A25019">
        <w:rPr>
          <w:rFonts w:ascii="Simplified Arabic" w:hAnsi="Simplified Arabic" w:cs="Simplified Arabic"/>
          <w:color w:val="EE0000"/>
          <w:sz w:val="28"/>
          <w:szCs w:val="28"/>
          <w:rtl/>
        </w:rPr>
        <w:t>فقرات</w:t>
      </w:r>
    </w:p>
    <w:p w14:paraId="390B6BC9"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rPr>
        <w:t>وسيتم توزيع الاستبانة على عينة قصدية من العاملين في الجهات المعنية بتنظيم موسم الحج والعمرة، مثل: وزارة الحج والعمرة، رئاسة شؤون الحرمين، القوات الخاصة لأمن الحج، هيئة الهلال الأحمر، بالإضافة إلى عدد من الشركات العاملة في قطاع الخدمات اللوجستية والمساندة. وسوف تُختار العينة وفقًا لمعيار الخبرة الميدانية أو الإدارية المباشرة في تنظيم الحشود أو التعامل معها خلال مواسم الحج والعمرة</w:t>
      </w:r>
      <w:r w:rsidRPr="00A25019">
        <w:rPr>
          <w:rFonts w:ascii="Simplified Arabic" w:hAnsi="Simplified Arabic" w:cs="Simplified Arabic"/>
          <w:sz w:val="28"/>
          <w:szCs w:val="28"/>
          <w:lang w:bidi="ar-EG"/>
        </w:rPr>
        <w:t>.</w:t>
      </w:r>
    </w:p>
    <w:p w14:paraId="0632C92D" w14:textId="77777777" w:rsidR="00A25019" w:rsidRPr="00A25019" w:rsidRDefault="00A25019" w:rsidP="00A25019">
      <w:pPr>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استخدمت الدراسة مقياس ليكرت الخماسي لقياس استجابات أفراد العينة، لما يتميز به هذا المقياس من قدرة على قياس الاتجاهات والإدراكات بصورة كمية دقيقة، وتمثيل مستويات الموافقة أو عدمها على بنود الاستبانة بشكل متدرّج. وقد تم اعتماد الدرجات وفق التدرّج التالي</w:t>
      </w:r>
      <w:r w:rsidRPr="00A25019">
        <w:rPr>
          <w:rFonts w:ascii="Simplified Arabic" w:hAnsi="Simplified Arabic" w:cs="Simplified Arabic"/>
          <w:color w:val="EE0000"/>
          <w:sz w:val="28"/>
          <w:szCs w:val="28"/>
          <w:lang w:bidi="ar-EG"/>
        </w:rPr>
        <w:t>:</w:t>
      </w:r>
    </w:p>
    <w:p w14:paraId="655C7DF1" w14:textId="77777777" w:rsidR="00A25019" w:rsidRPr="00A25019" w:rsidRDefault="00A25019" w:rsidP="00A25019">
      <w:pPr>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lang w:bidi="ar-EG"/>
        </w:rPr>
        <w:t xml:space="preserve">1 = </w:t>
      </w:r>
      <w:r w:rsidRPr="00A25019">
        <w:rPr>
          <w:rFonts w:ascii="Simplified Arabic" w:hAnsi="Simplified Arabic" w:cs="Simplified Arabic"/>
          <w:color w:val="EE0000"/>
          <w:sz w:val="28"/>
          <w:szCs w:val="28"/>
          <w:rtl/>
        </w:rPr>
        <w:t>لا أوافق بشدة</w:t>
      </w:r>
      <w:r w:rsidRPr="00A25019">
        <w:rPr>
          <w:rFonts w:ascii="Simplified Arabic" w:hAnsi="Simplified Arabic" w:cs="Simplified Arabic"/>
          <w:color w:val="EE0000"/>
          <w:sz w:val="28"/>
          <w:szCs w:val="28"/>
          <w:lang w:bidi="ar-EG"/>
        </w:rPr>
        <w:br/>
        <w:t xml:space="preserve">2 = </w:t>
      </w:r>
      <w:r w:rsidRPr="00A25019">
        <w:rPr>
          <w:rFonts w:ascii="Simplified Arabic" w:hAnsi="Simplified Arabic" w:cs="Simplified Arabic"/>
          <w:color w:val="EE0000"/>
          <w:sz w:val="28"/>
          <w:szCs w:val="28"/>
          <w:rtl/>
        </w:rPr>
        <w:t>لا أوافق</w:t>
      </w:r>
      <w:r w:rsidRPr="00A25019">
        <w:rPr>
          <w:rFonts w:ascii="Simplified Arabic" w:hAnsi="Simplified Arabic" w:cs="Simplified Arabic"/>
          <w:color w:val="EE0000"/>
          <w:sz w:val="28"/>
          <w:szCs w:val="28"/>
          <w:lang w:bidi="ar-EG"/>
        </w:rPr>
        <w:br/>
        <w:t xml:space="preserve">3 = </w:t>
      </w:r>
      <w:r w:rsidRPr="00A25019">
        <w:rPr>
          <w:rFonts w:ascii="Simplified Arabic" w:hAnsi="Simplified Arabic" w:cs="Simplified Arabic"/>
          <w:color w:val="EE0000"/>
          <w:sz w:val="28"/>
          <w:szCs w:val="28"/>
          <w:rtl/>
        </w:rPr>
        <w:t>محايد</w:t>
      </w:r>
      <w:r w:rsidRPr="00A25019">
        <w:rPr>
          <w:rFonts w:ascii="Simplified Arabic" w:hAnsi="Simplified Arabic" w:cs="Simplified Arabic"/>
          <w:color w:val="EE0000"/>
          <w:sz w:val="28"/>
          <w:szCs w:val="28"/>
          <w:lang w:bidi="ar-EG"/>
        </w:rPr>
        <w:br/>
        <w:t xml:space="preserve">4 = </w:t>
      </w:r>
      <w:r w:rsidRPr="00A25019">
        <w:rPr>
          <w:rFonts w:ascii="Simplified Arabic" w:hAnsi="Simplified Arabic" w:cs="Simplified Arabic"/>
          <w:color w:val="EE0000"/>
          <w:sz w:val="28"/>
          <w:szCs w:val="28"/>
          <w:rtl/>
        </w:rPr>
        <w:t>أوافق</w:t>
      </w:r>
      <w:r w:rsidRPr="00A25019">
        <w:rPr>
          <w:rFonts w:ascii="Simplified Arabic" w:hAnsi="Simplified Arabic" w:cs="Simplified Arabic"/>
          <w:color w:val="EE0000"/>
          <w:sz w:val="28"/>
          <w:szCs w:val="28"/>
          <w:lang w:bidi="ar-EG"/>
        </w:rPr>
        <w:br/>
        <w:t xml:space="preserve">5 = </w:t>
      </w:r>
      <w:r w:rsidRPr="00A25019">
        <w:rPr>
          <w:rFonts w:ascii="Simplified Arabic" w:hAnsi="Simplified Arabic" w:cs="Simplified Arabic"/>
          <w:color w:val="EE0000"/>
          <w:sz w:val="28"/>
          <w:szCs w:val="28"/>
          <w:rtl/>
        </w:rPr>
        <w:t>أوافق بشدة</w:t>
      </w:r>
    </w:p>
    <w:p w14:paraId="2858620A" w14:textId="77777777" w:rsidR="00A25019" w:rsidRPr="00A25019" w:rsidRDefault="00A25019" w:rsidP="00A25019">
      <w:pPr>
        <w:keepNext/>
        <w:keepLines/>
        <w:spacing w:before="360" w:after="80"/>
        <w:outlineLvl w:val="0"/>
        <w:rPr>
          <w:rFonts w:ascii="Simplified Arabic" w:eastAsiaTheme="majorEastAsia" w:hAnsi="Simplified Arabic" w:cs="Simplified Arabic"/>
          <w:b/>
          <w:bCs/>
          <w:sz w:val="36"/>
          <w:szCs w:val="36"/>
          <w:rtl/>
          <w:lang w:bidi="ar-EG"/>
        </w:rPr>
      </w:pPr>
      <w:r w:rsidRPr="00A25019">
        <w:rPr>
          <w:rFonts w:ascii="Simplified Arabic" w:eastAsiaTheme="majorEastAsia" w:hAnsi="Simplified Arabic" w:cs="Simplified Arabic"/>
          <w:b/>
          <w:bCs/>
          <w:sz w:val="36"/>
          <w:szCs w:val="36"/>
          <w:rtl/>
          <w:lang w:bidi="ar-EG"/>
        </w:rPr>
        <w:lastRenderedPageBreak/>
        <w:t>مجتمع الدراسة:</w:t>
      </w:r>
      <w:bookmarkEnd w:id="10"/>
    </w:p>
    <w:p w14:paraId="61B5EB27" w14:textId="77777777" w:rsidR="00A25019" w:rsidRPr="00A25019" w:rsidRDefault="00A25019" w:rsidP="00A25019">
      <w:pPr>
        <w:ind w:firstLine="720"/>
        <w:jc w:val="both"/>
        <w:rPr>
          <w:rFonts w:ascii="Simplified Arabic" w:hAnsi="Simplified Arabic" w:cs="Simplified Arabic"/>
          <w:sz w:val="28"/>
          <w:szCs w:val="28"/>
          <w:rtl/>
        </w:rPr>
      </w:pPr>
      <w:r w:rsidRPr="00A25019">
        <w:rPr>
          <w:rFonts w:ascii="Simplified Arabic" w:hAnsi="Simplified Arabic" w:cs="Simplified Arabic"/>
          <w:sz w:val="28"/>
          <w:szCs w:val="28"/>
          <w:rtl/>
        </w:rPr>
        <w:t>يتكوّن مجتمع الدراسة من جميع العاملين في الجهات الحكومية والخاصة المعنية بتنظيم وإدارة الحشود خلال موسم الحج والعمرة في كل من مكة المكرمة والمدينة المنورة، وتشمل هذه الجهات: وزارة الحج والعمرة، رئاسة شؤون الحرمين الشريفين، القوات الخاصة لأمن الحج، هيئة الهلال الأحمر السعودي، هيئة تطوير مكة المكرمة والمشاعر المقدسة، بالإضافة إلى الشركات التشغيلية واللوجستية المتعاونة مع الجهات التنظيمية، مثل شركات النقل، التغذية، والإعاشة، والمؤسسات الخدمية المعتمدة، ويُعد هذا المجتمع من المجتمعات المتخصصة التي تملك خبرة مباشرة وميدانية في مجالات تنظيم الحشود، وتطبيق الحلول التقنية، وتبنّي ممارسات الاستدامة التشغيلية، مما يُتيح الحصول على بيانات موثوقة ترتبط بطبيعة موضوع الدراسة.</w:t>
      </w:r>
    </w:p>
    <w:p w14:paraId="1B0B28FD" w14:textId="77777777" w:rsidR="00A25019" w:rsidRPr="00A25019" w:rsidRDefault="00A25019" w:rsidP="00A25019">
      <w:pPr>
        <w:jc w:val="both"/>
        <w:rPr>
          <w:rFonts w:ascii="Simplified Arabic" w:hAnsi="Simplified Arabic" w:cs="Simplified Arabic"/>
          <w:sz w:val="28"/>
          <w:szCs w:val="28"/>
          <w:rtl/>
          <w:lang w:bidi="ar-EG"/>
        </w:rPr>
      </w:pPr>
      <w:bookmarkStart w:id="11" w:name="_Toc202053525"/>
      <w:r w:rsidRPr="00A25019">
        <w:rPr>
          <w:rFonts w:ascii="Simplified Arabic" w:eastAsiaTheme="majorEastAsia" w:hAnsi="Simplified Arabic" w:cs="Simplified Arabic"/>
          <w:b/>
          <w:bCs/>
          <w:sz w:val="36"/>
          <w:szCs w:val="36"/>
          <w:rtl/>
          <w:lang w:bidi="ar-EG"/>
        </w:rPr>
        <w:t>عينة الدراسة</w:t>
      </w:r>
      <w:bookmarkEnd w:id="11"/>
      <w:r w:rsidRPr="00A25019">
        <w:rPr>
          <w:rFonts w:ascii="Simplified Arabic" w:hAnsi="Simplified Arabic" w:cs="Simplified Arabic"/>
          <w:sz w:val="28"/>
          <w:szCs w:val="28"/>
          <w:rtl/>
          <w:lang w:bidi="ar-EG"/>
        </w:rPr>
        <w:t>:</w:t>
      </w:r>
    </w:p>
    <w:p w14:paraId="16302204" w14:textId="77777777" w:rsidR="00A25019" w:rsidRPr="00A25019" w:rsidRDefault="00A25019" w:rsidP="00A25019">
      <w:pPr>
        <w:ind w:firstLine="720"/>
        <w:jc w:val="both"/>
        <w:rPr>
          <w:rtl/>
        </w:rPr>
      </w:pPr>
      <w:r w:rsidRPr="00A25019">
        <w:rPr>
          <w:rFonts w:ascii="Simplified Arabic" w:hAnsi="Simplified Arabic" w:cs="Simplified Arabic"/>
          <w:sz w:val="28"/>
          <w:szCs w:val="28"/>
          <w:rtl/>
        </w:rPr>
        <w:t>تم اختيار عينة الدراسة باستخدام أسلوب العينة القصدية (الهادفة)، وذلك لاستهداف الأفراد الذين يشغلون مناصب إدارية أو ميدانية ذات صلة مباشرة بعمليات التخطيط والتنفيذ لموسم الحج والعمرة، سواء في الجهات الرسمية أو الشركاء التشغيليين. وقد شملت العينة عددًا من الموظفين العاملين في إدارات: التخطيط، التشغيل الميداني، التقنية، الأمن، الخدمات اللوجستية، والصحة والسلامة، وتم تحديد حجم العينة البالغ (389) فردًا بالاعتماد على معادلة كريجسي ومورغان</w:t>
      </w:r>
      <w:r w:rsidRPr="00A25019">
        <w:rPr>
          <w:rFonts w:ascii="Simplified Arabic" w:hAnsi="Simplified Arabic" w:cs="Simplified Arabic"/>
          <w:sz w:val="28"/>
          <w:szCs w:val="28"/>
        </w:rPr>
        <w:t xml:space="preserve"> (Krejcie &amp; Morgan, 1970)</w:t>
      </w:r>
      <w:r w:rsidRPr="00A25019">
        <w:rPr>
          <w:rFonts w:ascii="Simplified Arabic" w:hAnsi="Simplified Arabic" w:cs="Simplified Arabic"/>
          <w:sz w:val="28"/>
          <w:szCs w:val="28"/>
          <w:rtl/>
        </w:rPr>
        <w:t>، والمستخدمة على نطاق واسع لتحديد أحجام العينات في البحوث الكمية، وذلك بناءً على حجم مجتمع يُقدّر بعدة آلاف، ومستوى دلالة 0.05، وهامش خطأ مقبول قدره 5%. ويُعد هذا الحجم كافيًا لإجراء التحليلات الإحصائية المقررة، بما في ذلك اختبار الفرضيات باستخدام أساليب تحليل المسار أو النمذجة الهيكلية</w:t>
      </w:r>
      <w:r w:rsidRPr="00A25019">
        <w:rPr>
          <w:rFonts w:ascii="Simplified Arabic" w:hAnsi="Simplified Arabic" w:cs="Simplified Arabic"/>
          <w:sz w:val="28"/>
          <w:szCs w:val="28"/>
        </w:rPr>
        <w:t>.</w:t>
      </w:r>
      <w:bookmarkStart w:id="12" w:name="_Toc202053526"/>
    </w:p>
    <w:p w14:paraId="4F95BE75" w14:textId="77777777" w:rsidR="00A25019" w:rsidRPr="00A25019" w:rsidRDefault="00A25019" w:rsidP="00A25019">
      <w:pPr>
        <w:bidi w:val="0"/>
        <w:rPr>
          <w:rtl/>
        </w:rPr>
      </w:pPr>
      <w:r w:rsidRPr="00A25019">
        <w:rPr>
          <w:rtl/>
        </w:rPr>
        <w:br w:type="page"/>
      </w:r>
    </w:p>
    <w:p w14:paraId="3EB86186" w14:textId="77777777" w:rsidR="00A25019" w:rsidRPr="00A25019" w:rsidRDefault="00A25019" w:rsidP="00A25019">
      <w:pPr>
        <w:keepNext/>
        <w:keepLines/>
        <w:spacing w:before="360" w:after="80"/>
        <w:outlineLvl w:val="0"/>
        <w:rPr>
          <w:rFonts w:ascii="Simplified Arabic" w:eastAsiaTheme="majorEastAsia" w:hAnsi="Simplified Arabic" w:cs="Simplified Arabic"/>
          <w:b/>
          <w:bCs/>
          <w:sz w:val="36"/>
          <w:szCs w:val="36"/>
          <w:rtl/>
          <w:lang w:bidi="ar-EG"/>
        </w:rPr>
      </w:pPr>
      <w:r w:rsidRPr="00A25019">
        <w:rPr>
          <w:rFonts w:ascii="Simplified Arabic" w:eastAsiaTheme="majorEastAsia" w:hAnsi="Simplified Arabic" w:cs="Simplified Arabic"/>
          <w:b/>
          <w:bCs/>
          <w:sz w:val="36"/>
          <w:szCs w:val="36"/>
          <w:rtl/>
          <w:lang w:bidi="ar-EG"/>
        </w:rPr>
        <w:lastRenderedPageBreak/>
        <w:t>مصادر البيانات في الدراسة</w:t>
      </w:r>
      <w:bookmarkEnd w:id="12"/>
    </w:p>
    <w:p w14:paraId="42823569"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أولًا: المصادر الثانوية</w:t>
      </w:r>
    </w:p>
    <w:p w14:paraId="1847CDEC" w14:textId="77777777" w:rsidR="00A25019" w:rsidRPr="00A25019" w:rsidRDefault="00A25019" w:rsidP="00A25019">
      <w:pPr>
        <w:ind w:firstLine="720"/>
        <w:jc w:val="both"/>
        <w:rPr>
          <w:rFonts w:ascii="Simplified Arabic" w:hAnsi="Simplified Arabic" w:cs="Simplified Arabic"/>
          <w:sz w:val="28"/>
          <w:szCs w:val="28"/>
          <w:rtl/>
        </w:rPr>
      </w:pPr>
      <w:r w:rsidRPr="00A25019">
        <w:rPr>
          <w:rFonts w:ascii="Simplified Arabic" w:hAnsi="Simplified Arabic" w:cs="Simplified Arabic"/>
          <w:sz w:val="28"/>
          <w:szCs w:val="28"/>
          <w:rtl/>
        </w:rPr>
        <w:t>تمثلت في مراجعة الأدبيات العلمية والنظرية التي تناولت موضوعات ممارسات الاستدامة في البيئات التشغيلية، وإدارة الحشود في السياقات الكثيفة، والتكنولوجيا الذكية وتطبيقاتها في التنظيم والتحكم، بالإضافة إلى الدراسات السابقة المنشورة في المجلات العلمية المحكمة، والتي بحثت العلاقة بين ممارسات الاستدامة وكفاءة الأداء في القطاعات الخدمية والبيئات عالية الكثافة، سواء في السياقات الدينية أو اللوجستية. كما تم الرجوع إلى تقارير رسمية صادرة عن وزارة الحج والعمرة، ورئاسة شؤون الحرمين الشريفين، وهيئة تطوير مكة والمشاعر المقدسة، إضافة إلى بيانات الهيئة العامة للإحصاء وتقارير الأداء التشغيلي للمواسم، والتي دعمت بناء الإطار النظري للدراسة وساعدت في بلورة الفرضيات الدراسة.</w:t>
      </w:r>
    </w:p>
    <w:p w14:paraId="15B382DF"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ثانيًا: المصادر الأولية</w:t>
      </w:r>
    </w:p>
    <w:p w14:paraId="22B057F7" w14:textId="77777777" w:rsidR="00A25019" w:rsidRPr="00A25019" w:rsidRDefault="00A25019" w:rsidP="00A25019">
      <w:pPr>
        <w:ind w:firstLine="720"/>
        <w:jc w:val="both"/>
        <w:rPr>
          <w:rFonts w:ascii="Simplified Arabic" w:hAnsi="Simplified Arabic" w:cs="Simplified Arabic"/>
          <w:sz w:val="28"/>
          <w:szCs w:val="28"/>
          <w:rtl/>
        </w:rPr>
      </w:pPr>
      <w:r w:rsidRPr="00A25019">
        <w:rPr>
          <w:rFonts w:ascii="Simplified Arabic" w:hAnsi="Simplified Arabic" w:cs="Simplified Arabic"/>
          <w:sz w:val="28"/>
          <w:szCs w:val="28"/>
          <w:rtl/>
        </w:rPr>
        <w:t xml:space="preserve">تمثلت في البيانات الميدانية التي جُمعت من خلال استبانة علمية معدة خصيصًا لقياس أثر ممارسات الاستدامة بأبعادها (البيئية، الاقتصادية، الاجتماعية) على كفاءة إدارة الحشود، عند توسيط التكنولوجيا الذكية بأبعادها (أنظمة المراقبة الذكية، تطبيقات التوجيه والتحكم، تحليل البيانات الحية). </w:t>
      </w:r>
    </w:p>
    <w:p w14:paraId="622B65FC" w14:textId="77777777" w:rsidR="00A25019" w:rsidRPr="00A25019" w:rsidRDefault="00A25019" w:rsidP="00A25019">
      <w:pPr>
        <w:keepNext/>
        <w:keepLines/>
        <w:spacing w:before="360" w:after="80"/>
        <w:outlineLvl w:val="0"/>
        <w:rPr>
          <w:rFonts w:ascii="Simplified Arabic" w:eastAsiaTheme="majorEastAsia" w:hAnsi="Simplified Arabic" w:cs="Simplified Arabic"/>
          <w:b/>
          <w:bCs/>
          <w:sz w:val="36"/>
          <w:szCs w:val="36"/>
          <w:rtl/>
          <w:lang w:bidi="ar-EG"/>
        </w:rPr>
      </w:pPr>
      <w:bookmarkStart w:id="13" w:name="_Toc202053527"/>
      <w:r w:rsidRPr="00A25019">
        <w:rPr>
          <w:rFonts w:ascii="Simplified Arabic" w:eastAsiaTheme="majorEastAsia" w:hAnsi="Simplified Arabic" w:cs="Simplified Arabic"/>
          <w:b/>
          <w:bCs/>
          <w:sz w:val="36"/>
          <w:szCs w:val="36"/>
          <w:rtl/>
          <w:lang w:bidi="ar-EG"/>
        </w:rPr>
        <w:t>المعالجات الإحصائية المقترحة:</w:t>
      </w:r>
      <w:bookmarkEnd w:id="13"/>
    </w:p>
    <w:p w14:paraId="35F46AC9"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الأساليب الإحصائية</w:t>
      </w:r>
    </w:p>
    <w:p w14:paraId="7CB16C9E" w14:textId="77777777" w:rsidR="00A25019" w:rsidRPr="00A25019" w:rsidRDefault="00A25019" w:rsidP="00A25019">
      <w:pPr>
        <w:ind w:firstLine="720"/>
        <w:jc w:val="both"/>
        <w:rPr>
          <w:rFonts w:ascii="Simplified Arabic" w:hAnsi="Simplified Arabic" w:cs="Simplified Arabic"/>
          <w:sz w:val="28"/>
          <w:szCs w:val="28"/>
          <w:rtl/>
        </w:rPr>
      </w:pPr>
      <w:r w:rsidRPr="00A25019">
        <w:rPr>
          <w:rFonts w:ascii="Simplified Arabic" w:hAnsi="Simplified Arabic" w:cs="Simplified Arabic"/>
          <w:sz w:val="28"/>
          <w:szCs w:val="28"/>
          <w:rtl/>
        </w:rPr>
        <w:t xml:space="preserve">سوف تعتمد هذه الدراسة على مجموعة من الأساليب الإحصائية الوصفية والتحليلية، باستخدام برنامج </w:t>
      </w:r>
      <w:r w:rsidRPr="00A25019">
        <w:rPr>
          <w:rFonts w:ascii="Simplified Arabic" w:hAnsi="Simplified Arabic" w:cs="Simplified Arabic"/>
          <w:sz w:val="28"/>
          <w:szCs w:val="28"/>
        </w:rPr>
        <w:t xml:space="preserve">SPSS </w:t>
      </w:r>
      <w:r w:rsidRPr="00A25019">
        <w:rPr>
          <w:rFonts w:ascii="Simplified Arabic" w:hAnsi="Simplified Arabic" w:cs="Simplified Arabic"/>
          <w:sz w:val="28"/>
          <w:szCs w:val="28"/>
          <w:rtl/>
        </w:rPr>
        <w:t xml:space="preserve">في المرحلة الأولى من التحليل، وبرنامج </w:t>
      </w:r>
      <w:r w:rsidRPr="00A25019">
        <w:rPr>
          <w:rFonts w:ascii="Simplified Arabic" w:hAnsi="Simplified Arabic" w:cs="Simplified Arabic"/>
          <w:sz w:val="28"/>
          <w:szCs w:val="28"/>
        </w:rPr>
        <w:t xml:space="preserve">AMOS </w:t>
      </w:r>
      <w:r w:rsidRPr="00A25019">
        <w:rPr>
          <w:rFonts w:ascii="Simplified Arabic" w:hAnsi="Simplified Arabic" w:cs="Simplified Arabic"/>
          <w:sz w:val="28"/>
          <w:szCs w:val="28"/>
          <w:rtl/>
        </w:rPr>
        <w:t>لاختبار النموذج البنيوي والتحقق من العلاقات الوسيطة بين المتغيرات. وتهدف هذه التحليلات إلى قياس أثر ممارسات الاستدامة بأبعادها المختلفة على كفاءة إدارة الحشود، مع فحص الدور الوسيط للتكنولوجيا الذكية، والتحقق من صحة النموذج المفاهيمي المقترح</w:t>
      </w:r>
      <w:r w:rsidRPr="00A25019">
        <w:rPr>
          <w:rFonts w:ascii="Simplified Arabic" w:hAnsi="Simplified Arabic" w:cs="Simplified Arabic"/>
          <w:sz w:val="28"/>
          <w:szCs w:val="28"/>
        </w:rPr>
        <w:t>.</w:t>
      </w:r>
    </w:p>
    <w:p w14:paraId="3DA0F42B" w14:textId="77777777" w:rsidR="00A25019" w:rsidRPr="00A25019" w:rsidRDefault="00A25019" w:rsidP="00A25019">
      <w:pPr>
        <w:ind w:firstLine="720"/>
        <w:jc w:val="both"/>
        <w:rPr>
          <w:rFonts w:ascii="Simplified Arabic" w:hAnsi="Simplified Arabic" w:cs="Simplified Arabic"/>
          <w:sz w:val="28"/>
          <w:szCs w:val="28"/>
          <w:rtl/>
        </w:rPr>
      </w:pPr>
    </w:p>
    <w:p w14:paraId="62C3D861" w14:textId="77777777" w:rsidR="00A25019" w:rsidRPr="00A25019" w:rsidRDefault="00A25019" w:rsidP="00A25019">
      <w:pPr>
        <w:ind w:firstLine="720"/>
        <w:jc w:val="both"/>
        <w:rPr>
          <w:rFonts w:ascii="Simplified Arabic" w:hAnsi="Simplified Arabic" w:cs="Simplified Arabic"/>
          <w:sz w:val="28"/>
          <w:szCs w:val="28"/>
          <w:rtl/>
        </w:rPr>
      </w:pPr>
    </w:p>
    <w:p w14:paraId="0E50FB60"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lastRenderedPageBreak/>
        <w:t>أولًا: الإحصاء الوصفي</w:t>
      </w:r>
    </w:p>
    <w:p w14:paraId="53C84832" w14:textId="77777777" w:rsidR="00A25019" w:rsidRPr="00A25019" w:rsidRDefault="00A25019" w:rsidP="00A25019">
      <w:pPr>
        <w:numPr>
          <w:ilvl w:val="0"/>
          <w:numId w:val="13"/>
        </w:numPr>
        <w:contextualSpacing/>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التكرارات والنسب المئوية: لتحليل الخصائص الديموغرافية لأفراد العينة، مثل المسمى الوظيفي، عدد سنوات الخبرة، الجهة التي يعمل بها، مدى الاحتكاك المباشر مع تقنيات الحشود، وذلك لتكوين صورة واضحة عن خلفيات المستجيبين ومدى ارتباطهم بسياق الدراسة.</w:t>
      </w:r>
    </w:p>
    <w:p w14:paraId="45869A74" w14:textId="77777777" w:rsidR="00A25019" w:rsidRPr="00A25019" w:rsidRDefault="00A25019" w:rsidP="00A25019">
      <w:pPr>
        <w:numPr>
          <w:ilvl w:val="0"/>
          <w:numId w:val="13"/>
        </w:numPr>
        <w:contextualSpacing/>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الوسط الحسابي: لقياس المتوسطات الحسابية لتقديرات المبحوثين حول فعالية كل بعد من أبعاد ممارسات الاستدامة والتكنولوجيا الذكية، وانعكاسها على عناصر مثل: سرعة الاستجابة، الانسيابية، وتقليل التكدس.</w:t>
      </w:r>
    </w:p>
    <w:p w14:paraId="57E02A62" w14:textId="77777777" w:rsidR="00A25019" w:rsidRPr="00A25019" w:rsidRDefault="00A25019" w:rsidP="00A25019">
      <w:pPr>
        <w:numPr>
          <w:ilvl w:val="0"/>
          <w:numId w:val="13"/>
        </w:numPr>
        <w:contextualSpacing/>
        <w:jc w:val="both"/>
        <w:rPr>
          <w:rFonts w:ascii="Simplified Arabic" w:hAnsi="Simplified Arabic" w:cs="Simplified Arabic"/>
          <w:sz w:val="28"/>
          <w:szCs w:val="28"/>
          <w:lang w:bidi="ar-EG"/>
        </w:rPr>
      </w:pPr>
      <w:r w:rsidRPr="00A25019">
        <w:rPr>
          <w:rFonts w:ascii="Simplified Arabic" w:hAnsi="Simplified Arabic" w:cs="Simplified Arabic"/>
          <w:sz w:val="28"/>
          <w:szCs w:val="28"/>
          <w:rtl/>
          <w:lang w:bidi="ar-EG"/>
        </w:rPr>
        <w:t>الانحراف المعياري: لقياس مدى تباين آراء أفراد العينة حول مستوى تطبيق الممارسات المستدامة والتقنيات الذكية، بما يتيح الوقوف على درجة التجانس أو التباين بين المشاركين.</w:t>
      </w:r>
    </w:p>
    <w:p w14:paraId="4DC6CE10" w14:textId="77777777" w:rsidR="00A25019" w:rsidRPr="00A25019" w:rsidRDefault="00A25019" w:rsidP="00A25019">
      <w:pPr>
        <w:numPr>
          <w:ilvl w:val="0"/>
          <w:numId w:val="13"/>
        </w:numPr>
        <w:contextualSpacing/>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اختبار الثبات الداخلي (</w:t>
      </w:r>
      <w:r w:rsidRPr="00A25019">
        <w:rPr>
          <w:rFonts w:ascii="Simplified Arabic" w:hAnsi="Simplified Arabic" w:cs="Simplified Arabic"/>
          <w:sz w:val="28"/>
          <w:szCs w:val="28"/>
          <w:lang w:bidi="ar-EG"/>
        </w:rPr>
        <w:t>Reliability</w:t>
      </w:r>
      <w:r w:rsidRPr="00A25019">
        <w:rPr>
          <w:rFonts w:ascii="Simplified Arabic" w:hAnsi="Simplified Arabic" w:cs="Simplified Arabic"/>
          <w:sz w:val="28"/>
          <w:szCs w:val="28"/>
          <w:rtl/>
          <w:lang w:bidi="ar-EG"/>
        </w:rPr>
        <w:t>): باستخدام معامل كرونباخ ألفا (</w:t>
      </w:r>
      <w:r w:rsidRPr="00A25019">
        <w:rPr>
          <w:rFonts w:ascii="Simplified Arabic" w:hAnsi="Simplified Arabic" w:cs="Simplified Arabic"/>
          <w:sz w:val="28"/>
          <w:szCs w:val="28"/>
          <w:lang w:bidi="ar-EG"/>
        </w:rPr>
        <w:t>Cronbach’s Alpha</w:t>
      </w:r>
      <w:r w:rsidRPr="00A25019">
        <w:rPr>
          <w:rFonts w:ascii="Simplified Arabic" w:hAnsi="Simplified Arabic" w:cs="Simplified Arabic"/>
          <w:sz w:val="28"/>
          <w:szCs w:val="28"/>
          <w:rtl/>
          <w:lang w:bidi="ar-EG"/>
        </w:rPr>
        <w:t>) للتحقق من اتساق الاستجابات داخل كل محور من محاور الاستبانة.</w:t>
      </w:r>
    </w:p>
    <w:p w14:paraId="5EDC1B32" w14:textId="77777777" w:rsidR="00A25019" w:rsidRPr="00A25019" w:rsidRDefault="00A25019" w:rsidP="00A25019">
      <w:pPr>
        <w:numPr>
          <w:ilvl w:val="0"/>
          <w:numId w:val="13"/>
        </w:numPr>
        <w:contextualSpacing/>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اختبار الصدق الظاهري والمحتوى: من خلال مراجعة الاستبانة من قِبل مجموعة من المحكمين الأكاديميين والخبراء الميدانيين في إدارة الحشود والاستدامة والتقنية.</w:t>
      </w:r>
    </w:p>
    <w:p w14:paraId="3D0C2FC5"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ثانيًا: الإحصاء التحليلي</w:t>
      </w:r>
    </w:p>
    <w:p w14:paraId="179173E8" w14:textId="77777777" w:rsidR="00A25019" w:rsidRPr="00A25019" w:rsidRDefault="00A25019" w:rsidP="00A25019">
      <w:pPr>
        <w:numPr>
          <w:ilvl w:val="0"/>
          <w:numId w:val="12"/>
        </w:numPr>
        <w:contextualSpacing/>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تحليل الانحدار المتعدد (</w:t>
      </w:r>
      <w:r w:rsidRPr="00A25019">
        <w:rPr>
          <w:rFonts w:ascii="Simplified Arabic" w:hAnsi="Simplified Arabic" w:cs="Simplified Arabic"/>
          <w:sz w:val="28"/>
          <w:szCs w:val="28"/>
          <w:lang w:bidi="ar-EG"/>
        </w:rPr>
        <w:t>Multiple Regression</w:t>
      </w:r>
      <w:r w:rsidRPr="00A25019">
        <w:rPr>
          <w:rFonts w:ascii="Simplified Arabic" w:hAnsi="Simplified Arabic" w:cs="Simplified Arabic"/>
          <w:sz w:val="28"/>
          <w:szCs w:val="28"/>
          <w:rtl/>
          <w:lang w:bidi="ar-EG"/>
        </w:rPr>
        <w:t>): لاختبار العلاقة الكلية بين ممارسات الاستدامة (البيئية، الاقتصادية، الاجتماعية) وكفاءة إدارة الحشود (الانسيابية، سرعة الاستجابة، تقليل الازدحام)، عند إدخال التكنولوجيا الذكية كمتغير وسيط ضمن النموذج.</w:t>
      </w:r>
    </w:p>
    <w:p w14:paraId="42184EDE" w14:textId="77777777" w:rsidR="00A25019" w:rsidRPr="00A25019" w:rsidRDefault="00A25019" w:rsidP="00A25019">
      <w:pPr>
        <w:numPr>
          <w:ilvl w:val="0"/>
          <w:numId w:val="12"/>
        </w:numPr>
        <w:contextualSpacing/>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تحليل الانحدار الخطي البسيط (</w:t>
      </w:r>
      <w:r w:rsidRPr="00A25019">
        <w:rPr>
          <w:rFonts w:ascii="Simplified Arabic" w:hAnsi="Simplified Arabic" w:cs="Simplified Arabic"/>
          <w:sz w:val="28"/>
          <w:szCs w:val="28"/>
          <w:lang w:bidi="ar-EG"/>
        </w:rPr>
        <w:t>Simple Regression</w:t>
      </w:r>
      <w:r w:rsidRPr="00A25019">
        <w:rPr>
          <w:rFonts w:ascii="Simplified Arabic" w:hAnsi="Simplified Arabic" w:cs="Simplified Arabic"/>
          <w:sz w:val="28"/>
          <w:szCs w:val="28"/>
          <w:rtl/>
          <w:lang w:bidi="ar-EG"/>
        </w:rPr>
        <w:t>): لتحليل أثر كل بُعد من أبعاد الاستدامة أو التكنولوجيا الذكية بشكل منفصل على كل مكوّن من مكونات كفاءة إدارة الحشود، مثل تأثير الاستدامة البيئية على سرعة الاستجابة، أو دور أنظمة المراقبة في تحسين الانسيابية.</w:t>
      </w:r>
    </w:p>
    <w:p w14:paraId="39966E58" w14:textId="77777777" w:rsidR="00A25019" w:rsidRPr="00A25019" w:rsidRDefault="00A25019" w:rsidP="00A25019">
      <w:pPr>
        <w:keepNext/>
        <w:keepLines/>
        <w:spacing w:before="360" w:after="80"/>
        <w:outlineLvl w:val="0"/>
        <w:rPr>
          <w:rFonts w:ascii="Simplified Arabic" w:eastAsiaTheme="majorEastAsia" w:hAnsi="Simplified Arabic" w:cs="Simplified Arabic"/>
          <w:b/>
          <w:bCs/>
          <w:sz w:val="36"/>
          <w:szCs w:val="36"/>
          <w:rtl/>
          <w:lang w:bidi="ar-EG"/>
        </w:rPr>
      </w:pPr>
      <w:bookmarkStart w:id="14" w:name="_Toc202053528"/>
      <w:r w:rsidRPr="00A25019">
        <w:rPr>
          <w:rFonts w:ascii="Simplified Arabic" w:eastAsiaTheme="majorEastAsia" w:hAnsi="Simplified Arabic" w:cs="Simplified Arabic"/>
          <w:b/>
          <w:bCs/>
          <w:sz w:val="36"/>
          <w:szCs w:val="36"/>
          <w:rtl/>
          <w:lang w:bidi="ar-EG"/>
        </w:rPr>
        <w:t>حدود الدراسة</w:t>
      </w:r>
      <w:bookmarkEnd w:id="14"/>
      <w:r w:rsidRPr="00A25019">
        <w:rPr>
          <w:rFonts w:ascii="Simplified Arabic" w:eastAsiaTheme="majorEastAsia" w:hAnsi="Simplified Arabic" w:cs="Simplified Arabic"/>
          <w:b/>
          <w:bCs/>
          <w:sz w:val="36"/>
          <w:szCs w:val="36"/>
          <w:rtl/>
          <w:lang w:bidi="ar-EG"/>
        </w:rPr>
        <w:t xml:space="preserve"> </w:t>
      </w:r>
    </w:p>
    <w:p w14:paraId="5B13FBAF" w14:textId="77777777" w:rsidR="00A25019" w:rsidRPr="00A25019" w:rsidRDefault="00A25019" w:rsidP="00A25019">
      <w:pPr>
        <w:numPr>
          <w:ilvl w:val="0"/>
          <w:numId w:val="19"/>
        </w:numPr>
        <w:contextualSpacing/>
        <w:jc w:val="both"/>
        <w:rPr>
          <w:rFonts w:ascii="Simplified Arabic" w:hAnsi="Simplified Arabic" w:cs="Simplified Arabic"/>
          <w:sz w:val="28"/>
          <w:szCs w:val="28"/>
          <w:rtl/>
          <w:lang w:bidi="ar-EG"/>
        </w:rPr>
      </w:pPr>
      <w:r w:rsidRPr="00A25019">
        <w:rPr>
          <w:rFonts w:ascii="Simplified Arabic" w:hAnsi="Simplified Arabic" w:cs="Simplified Arabic"/>
          <w:b/>
          <w:bCs/>
          <w:sz w:val="28"/>
          <w:szCs w:val="28"/>
          <w:rtl/>
          <w:lang w:bidi="ar-EG"/>
        </w:rPr>
        <w:t>الحدود الموضوعية:</w:t>
      </w:r>
      <w:r w:rsidRPr="00A25019">
        <w:rPr>
          <w:rFonts w:ascii="Simplified Arabic" w:hAnsi="Simplified Arabic" w:cs="Simplified Arabic"/>
          <w:sz w:val="28"/>
          <w:szCs w:val="28"/>
          <w:rtl/>
          <w:lang w:bidi="ar-EG"/>
        </w:rPr>
        <w:t xml:space="preserve"> تركز الدراسة على قياس أثر </w:t>
      </w:r>
      <w:r w:rsidRPr="00A25019">
        <w:rPr>
          <w:rFonts w:ascii="Simplified Arabic" w:hAnsi="Simplified Arabic" w:cs="Simplified Arabic"/>
          <w:sz w:val="28"/>
          <w:szCs w:val="28"/>
          <w:rtl/>
        </w:rPr>
        <w:t xml:space="preserve">ممارسات الاستدامة بأبعادها (البيئية، الاقتصادية، الاجتماعية) في كفاءة إدارة الحشود بأبعادها (الانسيابية، سرعة الاستجابة، تقليل </w:t>
      </w:r>
      <w:r w:rsidRPr="00A25019">
        <w:rPr>
          <w:rFonts w:ascii="Simplified Arabic" w:hAnsi="Simplified Arabic" w:cs="Simplified Arabic"/>
          <w:sz w:val="28"/>
          <w:szCs w:val="28"/>
          <w:rtl/>
        </w:rPr>
        <w:lastRenderedPageBreak/>
        <w:t>التكدس)، عند توسيط التكنولوجيا الذكية بأبعادها (أنظمة المراقبة الذكية، تطبيقات التوجيه والتحكم، تحليل البيانات الحية) في موسم الحج والعمرة في مكة المكرمة والمدينة المنورة</w:t>
      </w:r>
      <w:r w:rsidRPr="00A25019">
        <w:rPr>
          <w:rFonts w:ascii="Simplified Arabic" w:hAnsi="Simplified Arabic" w:cs="Simplified Arabic"/>
          <w:sz w:val="28"/>
          <w:szCs w:val="28"/>
          <w:rtl/>
          <w:lang w:bidi="ar-EG"/>
        </w:rPr>
        <w:t>.</w:t>
      </w:r>
    </w:p>
    <w:p w14:paraId="28AB60FC" w14:textId="77777777" w:rsidR="00A25019" w:rsidRPr="00A25019" w:rsidRDefault="00A25019" w:rsidP="00A25019">
      <w:pPr>
        <w:numPr>
          <w:ilvl w:val="0"/>
          <w:numId w:val="19"/>
        </w:numPr>
        <w:contextualSpacing/>
        <w:jc w:val="both"/>
        <w:rPr>
          <w:rFonts w:ascii="Simplified Arabic" w:hAnsi="Simplified Arabic" w:cs="Simplified Arabic"/>
          <w:sz w:val="28"/>
          <w:szCs w:val="28"/>
          <w:rtl/>
          <w:lang w:bidi="ar-EG"/>
        </w:rPr>
      </w:pPr>
      <w:r w:rsidRPr="00A25019">
        <w:rPr>
          <w:rFonts w:ascii="Simplified Arabic" w:hAnsi="Simplified Arabic" w:cs="Simplified Arabic"/>
          <w:b/>
          <w:bCs/>
          <w:sz w:val="28"/>
          <w:szCs w:val="28"/>
          <w:rtl/>
          <w:lang w:bidi="ar-EG"/>
        </w:rPr>
        <w:t>الحدود الزمانية</w:t>
      </w:r>
      <w:r w:rsidRPr="00A25019">
        <w:rPr>
          <w:rFonts w:ascii="Simplified Arabic" w:hAnsi="Simplified Arabic" w:cs="Simplified Arabic"/>
          <w:sz w:val="28"/>
          <w:szCs w:val="28"/>
          <w:rtl/>
          <w:lang w:bidi="ar-EG"/>
        </w:rPr>
        <w:t>: تُجرى هذه الدراسة خلال عام 2025، حيث يتم جمع وتحليل البيانات الميدانية بالتزامن مع موسم الحج والعمرة لهذا العام.</w:t>
      </w:r>
    </w:p>
    <w:p w14:paraId="51B4796A" w14:textId="77777777" w:rsidR="00A25019" w:rsidRPr="00A25019" w:rsidRDefault="00A25019" w:rsidP="00A25019">
      <w:pPr>
        <w:numPr>
          <w:ilvl w:val="0"/>
          <w:numId w:val="19"/>
        </w:numPr>
        <w:contextualSpacing/>
        <w:jc w:val="both"/>
        <w:rPr>
          <w:rFonts w:ascii="Simplified Arabic" w:hAnsi="Simplified Arabic" w:cs="Simplified Arabic"/>
          <w:sz w:val="28"/>
          <w:szCs w:val="28"/>
          <w:rtl/>
          <w:lang w:bidi="ar-EG"/>
        </w:rPr>
      </w:pPr>
      <w:r w:rsidRPr="00A25019">
        <w:rPr>
          <w:rFonts w:ascii="Simplified Arabic" w:hAnsi="Simplified Arabic" w:cs="Simplified Arabic"/>
          <w:b/>
          <w:bCs/>
          <w:sz w:val="28"/>
          <w:szCs w:val="28"/>
          <w:rtl/>
          <w:lang w:bidi="ar-EG"/>
        </w:rPr>
        <w:t>الحدود المكانية</w:t>
      </w:r>
      <w:r w:rsidRPr="00A25019">
        <w:rPr>
          <w:rFonts w:ascii="Simplified Arabic" w:hAnsi="Simplified Arabic" w:cs="Simplified Arabic"/>
          <w:sz w:val="28"/>
          <w:szCs w:val="28"/>
          <w:rtl/>
          <w:lang w:bidi="ar-EG"/>
        </w:rPr>
        <w:t>: تقتصر الدراسة على مدينة مكة المكرمة والمدينة المنورة، بوصفهما النطاقين الجغرافيين اللذين يشهدان أعلى كثافات بشرية خلال موسم الحج والعمرة، ما يوفر بيئة تشغيلية نموذجية لاختبار العلاقة بين ممارسات الاستدامة والتكنولوجيا الذكية وكفاءة إدارة الحشود، في ظل التحديات اللوجستية والتنظيمية الخاصة بهذه المدن.</w:t>
      </w:r>
    </w:p>
    <w:p w14:paraId="13A2B77E" w14:textId="77777777" w:rsidR="00A25019" w:rsidRPr="00A25019" w:rsidRDefault="00A25019" w:rsidP="00A25019">
      <w:pPr>
        <w:keepNext/>
        <w:keepLines/>
        <w:spacing w:before="360" w:after="80"/>
        <w:outlineLvl w:val="0"/>
        <w:rPr>
          <w:rFonts w:ascii="Simplified Arabic" w:eastAsiaTheme="majorEastAsia" w:hAnsi="Simplified Arabic" w:cs="Simplified Arabic"/>
          <w:b/>
          <w:bCs/>
          <w:sz w:val="36"/>
          <w:szCs w:val="36"/>
          <w:rtl/>
          <w:lang w:bidi="ar-EG"/>
        </w:rPr>
      </w:pPr>
      <w:bookmarkStart w:id="15" w:name="_Toc202053529"/>
      <w:r w:rsidRPr="00A25019">
        <w:rPr>
          <w:rFonts w:ascii="Simplified Arabic" w:eastAsiaTheme="majorEastAsia" w:hAnsi="Simplified Arabic" w:cs="Simplified Arabic"/>
          <w:b/>
          <w:bCs/>
          <w:sz w:val="36"/>
          <w:szCs w:val="36"/>
          <w:rtl/>
          <w:lang w:bidi="ar-EG"/>
        </w:rPr>
        <w:t>الدراسات السابقة :</w:t>
      </w:r>
      <w:bookmarkEnd w:id="15"/>
    </w:p>
    <w:p w14:paraId="64662A66"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يتناول الباحث بهذا الجزء مجموعة من الدراسات السابقة ذات الصلة بموضوع الدراسة ، وقد مت تقسيم تلك الدراسات إلى ثلاث مجموعات رئيسية، وهي:</w:t>
      </w:r>
    </w:p>
    <w:p w14:paraId="3E756BCA" w14:textId="77777777" w:rsidR="00A25019" w:rsidRPr="00A25019" w:rsidRDefault="00A25019" w:rsidP="00A25019">
      <w:pPr>
        <w:numPr>
          <w:ilvl w:val="0"/>
          <w:numId w:val="1"/>
        </w:numPr>
        <w:contextualSpacing/>
        <w:jc w:val="both"/>
        <w:rPr>
          <w:rFonts w:ascii="Simplified Arabic" w:hAnsi="Simplified Arabic" w:cs="Simplified Arabic"/>
          <w:sz w:val="28"/>
          <w:szCs w:val="28"/>
          <w:lang w:bidi="ar-EG"/>
        </w:rPr>
      </w:pPr>
      <w:r w:rsidRPr="00A25019">
        <w:rPr>
          <w:rFonts w:ascii="Simplified Arabic" w:hAnsi="Simplified Arabic" w:cs="Simplified Arabic"/>
          <w:sz w:val="28"/>
          <w:szCs w:val="28"/>
          <w:rtl/>
          <w:lang w:bidi="ar-EG"/>
        </w:rPr>
        <w:t>المجموعة الأولى: الدراسات التي تناولت ممارسات الاستدامة وعلاقته بالمتغيرات الأخرى.</w:t>
      </w:r>
    </w:p>
    <w:p w14:paraId="39B4EAF7" w14:textId="77777777" w:rsidR="00A25019" w:rsidRPr="00A25019" w:rsidRDefault="00A25019" w:rsidP="00A25019">
      <w:pPr>
        <w:numPr>
          <w:ilvl w:val="0"/>
          <w:numId w:val="1"/>
        </w:numPr>
        <w:contextualSpacing/>
        <w:jc w:val="both"/>
        <w:rPr>
          <w:rFonts w:ascii="Simplified Arabic" w:hAnsi="Simplified Arabic" w:cs="Simplified Arabic"/>
          <w:sz w:val="28"/>
          <w:szCs w:val="28"/>
          <w:lang w:bidi="ar-EG"/>
        </w:rPr>
      </w:pPr>
      <w:r w:rsidRPr="00A25019">
        <w:rPr>
          <w:rFonts w:ascii="Simplified Arabic" w:hAnsi="Simplified Arabic" w:cs="Simplified Arabic"/>
          <w:sz w:val="28"/>
          <w:szCs w:val="28"/>
          <w:rtl/>
          <w:lang w:bidi="ar-EG"/>
        </w:rPr>
        <w:t>المجموعة الثانية: الدراسات التي تناولت كفاءة إدارة الحشود وعلاقته بالمتغيرات الأخرى.</w:t>
      </w:r>
    </w:p>
    <w:p w14:paraId="6CA6E39D" w14:textId="77777777" w:rsidR="00A25019" w:rsidRPr="00A25019" w:rsidRDefault="00A25019" w:rsidP="00A25019">
      <w:pPr>
        <w:numPr>
          <w:ilvl w:val="0"/>
          <w:numId w:val="1"/>
        </w:numPr>
        <w:contextualSpacing/>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المجموعة الثالثة: الدراسات التي تناولت التكنولوجيا الذكية وعلاقته بالمتغيرات الأخرى.</w:t>
      </w:r>
    </w:p>
    <w:p w14:paraId="5976EEBA"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المجموعة الأولى: الدراسات التي تناولت ممارسات الاستدامة وعلاقته بالمتغيرات الأخرى.</w:t>
      </w:r>
    </w:p>
    <w:p w14:paraId="42B1369A"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دراسة سحنون (2023) بعنوان: تطبيق أفضل ممارسات الاستدامة في المؤسسات الصناعية الطاقوية: مؤسسة سابك السعودية أنموذجا.</w:t>
      </w:r>
    </w:p>
    <w:p w14:paraId="23889467"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 xml:space="preserve">هدفت هذه الدراسة إلى تسليط الضوء على مدى تطبيق ممارسات الاستدامة في المؤسسات الصناعية الطاقوية، من خلال دراسة حالة لمؤسسة "سابك" السعودية، وتوضيح دور هذه الممارسات في تحسين الأداء البيئي والاقتصادي والاجتماعي للمؤسسة، بما يحقق الأهداف الاستراتيجية طويلة الأمد، حيث المتغير المستقل هو ممارسات الاستدامة وتضمنت أبعاده: الاستدامة البيئية، والاستدامة الاقتصادية، والاستدامة الاجتماعية، أما المتغير التابع فهو أداء المؤسسة في أبعاده المتعددة، وقد اعتمدت الدراسة على المنهج الوصفي التحليلي باستخدام استبانة وُزعت على عينة من الموظفين في المؤسسة، مع إجراء تحليل إحصائي باستخدام برنامج </w:t>
      </w:r>
      <w:r w:rsidRPr="00A25019">
        <w:rPr>
          <w:rFonts w:ascii="Simplified Arabic" w:hAnsi="Simplified Arabic" w:cs="Simplified Arabic"/>
          <w:sz w:val="28"/>
          <w:szCs w:val="28"/>
          <w:lang w:bidi="ar-EG"/>
        </w:rPr>
        <w:t>SPSS</w:t>
      </w:r>
      <w:r w:rsidRPr="00A25019">
        <w:rPr>
          <w:rFonts w:ascii="Simplified Arabic" w:hAnsi="Simplified Arabic" w:cs="Simplified Arabic"/>
          <w:sz w:val="28"/>
          <w:szCs w:val="28"/>
          <w:rtl/>
          <w:lang w:bidi="ar-EG"/>
        </w:rPr>
        <w:t>،</w:t>
      </w:r>
    </w:p>
    <w:p w14:paraId="49B200D2"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lastRenderedPageBreak/>
        <w:t>وتوصلت الدراسة إلى أن تبني ممارسات الاستدامة كان له أثر واضح في تحسين أداء المؤسسة خاصة في الجوانب البيئية والاقتصادية، وأن مؤسسة سابك نجحت في دمج مفاهيم الاستدامة في سياساتها التشغيلية،</w:t>
      </w:r>
    </w:p>
    <w:p w14:paraId="4CD6441E"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rPr>
        <w:t>تدعم دراسة سحنون (2023) الدراسة الحالية في تبني أبعاد ممارسات الاستدامة الثلاثية (البيئية، الاقتصادية، الاجتماعية)، وتؤكد أهميتها في تحسين الأداء التشغيلي. إلا أن اختلافها يظهر في سياق التطبيق؛ فقد ركزت على بيئة صناعية مستقرة، بينما تتناول الدراسة الحالية بيئة عالية الكثافة والديناميكية كالحج والعمرة</w:t>
      </w:r>
      <w:r w:rsidRPr="00A25019">
        <w:rPr>
          <w:rFonts w:ascii="Simplified Arabic" w:hAnsi="Simplified Arabic" w:cs="Simplified Arabic"/>
          <w:color w:val="EE0000"/>
          <w:sz w:val="28"/>
          <w:szCs w:val="28"/>
          <w:rtl/>
          <w:lang w:bidi="ar-EG"/>
        </w:rPr>
        <w:t xml:space="preserve">. </w:t>
      </w:r>
    </w:p>
    <w:p w14:paraId="530005D8"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دراسة محمود وعثمان (2024) بعنوان: تأثير ممارسات الاستدامة في سلاسل الامداد على الكفاءة التشغيلية للشركات: الدور الوسيط للتحول الرقمي: دراسة تطبيقية على الشركات الصناعية المدرجة في البورصة المصرية</w:t>
      </w:r>
    </w:p>
    <w:p w14:paraId="42ED0C3B"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هدفت هذه الدراسة إلى فحص تأثير ممارسات الاستدامة في سلاسل الإمداد على الكفاءة التشغيلية للشركات الصناعية المصرية، مع دراسة الدور الوسيط للتحول الرقمي، حيث المتغير المستقل هو ممارسات الاستدامة في سلاسل الإمداد، وشملت الأبعاد البيئية والاجتماعية، بينما المتغير الوسيط هو التحول الرقمي بأبعاده المتمثلة في البنية التحتية الرقمية، ونظم المعلومات الذكية، والاتصال الفوري، أما المتغير التابع فتمثل في الكفاءة التشغيلية للشركات،</w:t>
      </w:r>
    </w:p>
    <w:p w14:paraId="1AFB0854"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اعتمدت الدراسة على المنهج الكمي من خلال توزيع استبانة على عينة من الشركات الصناعية المدرجة في البورصة المصرية، واستخدمت أدوات تحليل إحصائي متقدمة منها تحليل المسار لاختبار العلاقات بين المتغيرات،</w:t>
      </w:r>
    </w:p>
    <w:p w14:paraId="2B7B50A3"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وتوصلت الدراسة إلى أن ممارسات الاستدامة تؤثر إيجابًا على الكفاءة التشغيلية بشكل مباشر، كما تبين أن التحول الرقمي يعزز هذا التأثير بشكل غير مباشر من خلال رفع قدرة المؤسسات على الاستجابة السريعة والتخطيط الأفضل للموارد،</w:t>
      </w:r>
    </w:p>
    <w:p w14:paraId="34D15A0D"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rPr>
        <w:t xml:space="preserve">تتفق هذه الدراسة مع الدراسة الحالية في فكرة اختبار الأثر غير المباشر لمتغير وسيط يعزز العلاقة بين ممارسات الاستدامة والكفاءة التشغيلية، مما يدعم التوجه المنهجي للدراسة الحالية في اعتماد التكنولوجيا </w:t>
      </w:r>
      <w:r w:rsidRPr="00A25019">
        <w:rPr>
          <w:rFonts w:ascii="Simplified Arabic" w:hAnsi="Simplified Arabic" w:cs="Simplified Arabic"/>
          <w:color w:val="EE0000"/>
          <w:sz w:val="28"/>
          <w:szCs w:val="28"/>
          <w:rtl/>
        </w:rPr>
        <w:lastRenderedPageBreak/>
        <w:t>الذكية كمتغير وسيط</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غير أن دراسة محمود وعثمان ركزت على الشركات الصناعية في سياق اقتصادي مستقر</w:t>
      </w:r>
      <w:r w:rsidRPr="00A25019">
        <w:rPr>
          <w:rFonts w:ascii="Simplified Arabic" w:hAnsi="Simplified Arabic" w:cs="Simplified Arabic"/>
          <w:color w:val="EE0000"/>
          <w:sz w:val="28"/>
          <w:szCs w:val="28"/>
          <w:rtl/>
          <w:lang w:bidi="ar-EG"/>
        </w:rPr>
        <w:t>.</w:t>
      </w:r>
    </w:p>
    <w:p w14:paraId="5E788095" w14:textId="77777777" w:rsidR="00A25019" w:rsidRPr="00A25019" w:rsidRDefault="00A25019" w:rsidP="00A25019">
      <w:pPr>
        <w:jc w:val="both"/>
        <w:rPr>
          <w:rFonts w:ascii="Simplified Arabic" w:hAnsi="Simplified Arabic" w:cs="Simplified Arabic"/>
          <w:b/>
          <w:bCs/>
          <w:sz w:val="28"/>
          <w:szCs w:val="28"/>
          <w:rtl/>
          <w:lang w:bidi="ar-EG"/>
        </w:rPr>
      </w:pPr>
      <w:bookmarkStart w:id="16" w:name="_Hlk201962275"/>
      <w:r w:rsidRPr="00A25019">
        <w:rPr>
          <w:rFonts w:ascii="Simplified Arabic" w:hAnsi="Simplified Arabic" w:cs="Simplified Arabic"/>
          <w:b/>
          <w:bCs/>
          <w:sz w:val="28"/>
          <w:szCs w:val="28"/>
          <w:rtl/>
          <w:lang w:bidi="ar-EG"/>
        </w:rPr>
        <w:t>دراسة أبو خشبة (2022) بعنوان: أثر ممارسات الاستدامة على الأداء المستدام لسلسلة التوريد: الدور الوسيط لممارسات تقليل الفاقد وابتكار العملية: دراسة تطبيقية على عينة من المشروعات الصغيرة والمتوسطة الصناعية في محافظة الإسكندرية.</w:t>
      </w:r>
    </w:p>
    <w:p w14:paraId="4FE9C87E"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هدفت هذه الدراسة إلى تحليل أثر ممارسات الاستدامة على الأداء المستدام لسلسلة التوريد، مع التحقق من الدور الوسيط لكل من ممارسات تقليل الفاقد وابتكار العملية، وذلك في عينة من المشروعات الصغيرة والمتوسطة الصناعية بمحافظة الإسكندرية، حيث المتغير المستقل هو ممارسات الاستدامة وتشمل الإدارة البيئية، والتواصل مع الموردين، وتقييم الأثر الاجتماعي، والمتغير الوسيط هو ممارسات تقليل الفاقد وابتكار العملية، في حين أن المتغير التابع هو الأداء المستدام لسلسلة التوريد،</w:t>
      </w:r>
    </w:p>
    <w:p w14:paraId="56BD66FC"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اتبعت الدراسة المنهج الكمي، مع توزيع استبيان محكم على مديري هذه المشروعات، وتم استخدام تحليل الانحدار واختبارات الوساطة الإحصائية لتقييم العلاقات،</w:t>
      </w:r>
    </w:p>
    <w:p w14:paraId="3B24A9E3"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وتوصلت الدراسة إلى أن ممارسات الاستدامة تؤثر بشكل إيجابي على الأداء المستدام، لكن تأثيرها يصبح أكثر فاعلية عند تفعيل مبادرات تقليل الفاقد وتحفيز الابتكار في العمليات، مما يدل على أهمية التداخل بين ممارسات الإدارة البيئية والتطوير الصناعي،</w:t>
      </w:r>
    </w:p>
    <w:p w14:paraId="0896493A"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lang w:bidi="ar-EG"/>
        </w:rPr>
        <w:t>تدعم هذه الدراسة التوجه العام للدراسة الحالية من حيث أهمية اختبار الأثر الوسيط في العلاقة بين ممارسات الاستدامة والنتائج التشغيلية، إذ أكدت أن إدماج ممارسات إضافية (مثل تقليل الفاقد) يعزز تأثير الاستدامة.</w:t>
      </w:r>
    </w:p>
    <w:p w14:paraId="0883EECB"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 xml:space="preserve">دراسة </w:t>
      </w:r>
      <w:r w:rsidRPr="00A25019">
        <w:rPr>
          <w:rFonts w:ascii="Simplified Arabic" w:hAnsi="Simplified Arabic" w:cs="Simplified Arabic"/>
          <w:sz w:val="28"/>
          <w:szCs w:val="28"/>
          <w:lang w:bidi="ar-EG"/>
        </w:rPr>
        <w:t>Arning,2024)</w:t>
      </w:r>
      <w:r w:rsidRPr="00A25019">
        <w:rPr>
          <w:rFonts w:ascii="Simplified Arabic" w:hAnsi="Simplified Arabic" w:cs="Simplified Arabic"/>
          <w:sz w:val="28"/>
          <w:szCs w:val="28"/>
          <w:rtl/>
          <w:lang w:bidi="ar-EG"/>
        </w:rPr>
        <w:t xml:space="preserve"> &amp;</w:t>
      </w:r>
      <w:r w:rsidRPr="00A25019">
        <w:rPr>
          <w:rFonts w:ascii="Simplified Arabic" w:hAnsi="Simplified Arabic" w:cs="Simplified Arabic"/>
          <w:sz w:val="28"/>
          <w:szCs w:val="28"/>
          <w:lang w:bidi="ar-EG"/>
        </w:rPr>
        <w:t>Venghaus</w:t>
      </w:r>
      <w:r w:rsidRPr="00A25019">
        <w:rPr>
          <w:rFonts w:ascii="Simplified Arabic" w:hAnsi="Simplified Arabic" w:cs="Simplified Arabic"/>
          <w:sz w:val="28"/>
          <w:szCs w:val="28"/>
          <w:rtl/>
          <w:lang w:bidi="ar-EG"/>
        </w:rPr>
        <w:t xml:space="preserve">) بعنوان: </w:t>
      </w:r>
      <w:r w:rsidRPr="00A25019">
        <w:rPr>
          <w:rFonts w:ascii="Simplified Arabic" w:hAnsi="Simplified Arabic" w:cs="Simplified Arabic"/>
          <w:sz w:val="28"/>
          <w:szCs w:val="28"/>
          <w:lang w:bidi="ar-EG"/>
        </w:rPr>
        <w:t>Sustainable practices and household resilience: an empirical analysis of behavior change in times of crises</w:t>
      </w:r>
      <w:r w:rsidRPr="00A25019">
        <w:rPr>
          <w:rFonts w:ascii="Simplified Arabic" w:hAnsi="Simplified Arabic" w:cs="Simplified Arabic"/>
          <w:sz w:val="28"/>
          <w:szCs w:val="28"/>
          <w:rtl/>
          <w:lang w:bidi="ar-EG"/>
        </w:rPr>
        <w:t>.</w:t>
      </w:r>
    </w:p>
    <w:p w14:paraId="486CA87A"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 xml:space="preserve">هدفت هذه الدراسة إلى تحليل أثر ممارسات الاستدامة على مرونة الأسر وسلوكها التكيفي في أوقات الأزمات، مع التركيز على كيفية تغيّر السلوك البيئي الفردي في ظل التحديات المرتبطة بالطاقة والموارد، حيث المتغير المستقل هو ممارسات الاستدامة وتشمل تقليل استهلاك الطاقة، وإعادة استخدام الموارد، </w:t>
      </w:r>
      <w:r w:rsidRPr="00A25019">
        <w:rPr>
          <w:rFonts w:ascii="Simplified Arabic" w:hAnsi="Simplified Arabic" w:cs="Simplified Arabic"/>
          <w:sz w:val="28"/>
          <w:szCs w:val="28"/>
          <w:rtl/>
          <w:lang w:bidi="ar-EG"/>
        </w:rPr>
        <w:lastRenderedPageBreak/>
        <w:t>واتباع سلوكيات صديقة للبيئة، والمتغير التابع هو مرونة الأسر (</w:t>
      </w:r>
      <w:r w:rsidRPr="00A25019">
        <w:rPr>
          <w:rFonts w:ascii="Simplified Arabic" w:hAnsi="Simplified Arabic" w:cs="Simplified Arabic"/>
          <w:sz w:val="28"/>
          <w:szCs w:val="28"/>
          <w:lang w:bidi="ar-EG"/>
        </w:rPr>
        <w:t>Household Resilience</w:t>
      </w:r>
      <w:r w:rsidRPr="00A25019">
        <w:rPr>
          <w:rFonts w:ascii="Simplified Arabic" w:hAnsi="Simplified Arabic" w:cs="Simplified Arabic"/>
          <w:sz w:val="28"/>
          <w:szCs w:val="28"/>
          <w:rtl/>
          <w:lang w:bidi="ar-EG"/>
        </w:rPr>
        <w:t>) في التعامل مع الأزمات البيئية والاقتصادية،</w:t>
      </w:r>
    </w:p>
    <w:p w14:paraId="0B883C25"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اتبعت الدراسة المنهج الكمي باستخدام استبيان إلكتروني تم توزيعه على عينة تمثيلية من الأسر الألمانية، وتم تحليل البيانات باستخدام نماذج الانحدار والتحليل العاملي، بهدف قياس العلاقة بين وعي الأفراد البيئي وسلوكياتهم في تقليل الأثر البيئي،</w:t>
      </w:r>
    </w:p>
    <w:p w14:paraId="04781988"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وتوصلت الدراسة إلى أن هناك ارتباطًا إيجابيًا بين تبني الأسر لممارسات الاستدامة وارتفاع مستويات المرونة السلوكية والتكيفية في أوقات الأزمات، إذ ساهمت تلك الممارسات في خفض معدلات الاستهلاك وتحسين أنماط الاستجابة للطوارئ، كما أن الأسر ذات الوعي البيئي العالي كانت أكثر قدرة على التكيف مع أزمات مثل أزمة الطاقة الأوروبية،</w:t>
      </w:r>
    </w:p>
    <w:p w14:paraId="0E7831D4"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وأوصت الدراسة بضرورة دعم الحملات التوعوية الموجهة للأسر، وتضمين مفاهيم الاستدامة في التعليم المجتمعي، إلى جانب تطوير سياسات تشجع على الاستهلاك المسؤول وتقلل الاعتماد على الموارد غير المتجددة، باعتبار ذلك مدخلًا لتعزيز الصمود المجتمعي في الأزمات المستقبلية.</w:t>
      </w:r>
    </w:p>
    <w:p w14:paraId="341C4711"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 xml:space="preserve">دراسة </w:t>
      </w:r>
      <w:r w:rsidRPr="00A25019">
        <w:rPr>
          <w:rFonts w:ascii="Simplified Arabic" w:hAnsi="Simplified Arabic" w:cs="Simplified Arabic"/>
          <w:sz w:val="28"/>
          <w:szCs w:val="28"/>
          <w:lang w:bidi="ar-EG"/>
        </w:rPr>
        <w:t>Literal</w:t>
      </w:r>
      <w:r w:rsidRPr="00A25019">
        <w:rPr>
          <w:rFonts w:ascii="Simplified Arabic" w:hAnsi="Simplified Arabic" w:cs="Simplified Arabic"/>
          <w:sz w:val="28"/>
          <w:szCs w:val="28"/>
          <w:rtl/>
          <w:lang w:bidi="ar-EG"/>
        </w:rPr>
        <w:t xml:space="preserve"> (2020) بعنوان: </w:t>
      </w:r>
      <w:r w:rsidRPr="00A25019">
        <w:rPr>
          <w:rFonts w:ascii="Simplified Arabic" w:hAnsi="Simplified Arabic" w:cs="Simplified Arabic"/>
          <w:b/>
          <w:bCs/>
          <w:sz w:val="28"/>
          <w:szCs w:val="28"/>
          <w:lang w:bidi="ar-EG"/>
        </w:rPr>
        <w:t>Influence of Sustainable Management Practices, Strategic Orientation and Organizational Culture on Sustainability Performance in Manufacturing Firms</w:t>
      </w:r>
      <w:r w:rsidRPr="00A25019">
        <w:rPr>
          <w:rFonts w:ascii="Simplified Arabic" w:hAnsi="Simplified Arabic" w:cs="Simplified Arabic"/>
          <w:b/>
          <w:bCs/>
          <w:sz w:val="28"/>
          <w:szCs w:val="28"/>
          <w:rtl/>
          <w:lang w:bidi="ar-EG"/>
        </w:rPr>
        <w:t>.</w:t>
      </w:r>
    </w:p>
    <w:p w14:paraId="3BDF21BB"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هدفت هذه الدراسة إلى تحليل تأثير ممارسات الإدارة المستدامة والتوجه الاستراتيجي والثقافة التنظيمية على الأداء الاستدامي في الشركات الصناعية، وذلك في بيئة قطاع التصنيع بالفلبين، حيث المتغير المستقل هو ممارسات الإدارة المستدامة، وتشمل الإدارة البيئية، إدارة الموارد، والامتثال التنظيمي، والمتغيرات الوسيطة هي التوجه الاستراتيجي والثقافة التنظيمية، أما المتغير التابع فهو الأداء الاستدامي للمؤسسة،</w:t>
      </w:r>
    </w:p>
    <w:p w14:paraId="7A1DD281"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اتبعت الدراسة المنهج الكمي، حيث تم توزيع استبيان على مديري ووحدات التشغيل في عدد من الشركات الصناعية، وتم تحليل البيانات باستخدام الانحدار الخطي المتعدد ونماذج تحليل المسار (</w:t>
      </w:r>
      <w:r w:rsidRPr="00A25019">
        <w:rPr>
          <w:rFonts w:ascii="Simplified Arabic" w:hAnsi="Simplified Arabic" w:cs="Simplified Arabic"/>
          <w:sz w:val="28"/>
          <w:szCs w:val="28"/>
          <w:lang w:bidi="ar-EG"/>
        </w:rPr>
        <w:t>Path Analysis</w:t>
      </w:r>
      <w:r w:rsidRPr="00A25019">
        <w:rPr>
          <w:rFonts w:ascii="Simplified Arabic" w:hAnsi="Simplified Arabic" w:cs="Simplified Arabic"/>
          <w:sz w:val="28"/>
          <w:szCs w:val="28"/>
          <w:rtl/>
          <w:lang w:bidi="ar-EG"/>
        </w:rPr>
        <w:t>) لتقييم طبيعة العلاقات بين المتغيرات،</w:t>
      </w:r>
    </w:p>
    <w:p w14:paraId="65219B51"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 xml:space="preserve">وتوصلت الدراسة إلى أن ممارسات الإدارة المستدامة تؤثر بشكل مباشر وإيجابي على الأداء الاستدامي، كما أن هذا الأثر يتعزز عند توافر ثقافة تنظيمية داعمة وتوجه استراتيجي واضح نحو الاستدامة، وأشارت </w:t>
      </w:r>
      <w:r w:rsidRPr="00A25019">
        <w:rPr>
          <w:rFonts w:ascii="Simplified Arabic" w:hAnsi="Simplified Arabic" w:cs="Simplified Arabic"/>
          <w:sz w:val="28"/>
          <w:szCs w:val="28"/>
          <w:rtl/>
          <w:lang w:bidi="ar-EG"/>
        </w:rPr>
        <w:lastRenderedPageBreak/>
        <w:t>النتائج إلى أن المؤسسات التي دمجت الاعتبارات البيئية والاجتماعية في صلب عملياتها التشغيلية أظهرت مستويات أعلى من الأداء المستدام،</w:t>
      </w:r>
    </w:p>
    <w:p w14:paraId="55506763"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lang w:bidi="ar-EG"/>
        </w:rPr>
        <w:t>تدعم هذه الدراسة الاتجاه العام للدراسة الحالية من حيث إثبات الأثر الإيجابي لممارسات الاستدامة على تحسين الأداء والسلوك التكيفي، إلا أن نطاقها ينصب على المستوى الأسري والسلوك البيئي الفردي.</w:t>
      </w:r>
    </w:p>
    <w:p w14:paraId="089B2F90"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 xml:space="preserve">دراسة  </w:t>
      </w:r>
      <w:r w:rsidRPr="00A25019">
        <w:rPr>
          <w:rFonts w:ascii="Simplified Arabic" w:hAnsi="Simplified Arabic" w:cs="Simplified Arabic"/>
          <w:b/>
          <w:bCs/>
          <w:sz w:val="28"/>
          <w:szCs w:val="28"/>
          <w:lang w:bidi="ar-EG"/>
        </w:rPr>
        <w:t>Salem etal.,2023)</w:t>
      </w:r>
      <w:r w:rsidRPr="00A25019">
        <w:rPr>
          <w:rFonts w:ascii="Simplified Arabic" w:hAnsi="Simplified Arabic" w:cs="Simplified Arabic"/>
          <w:b/>
          <w:bCs/>
          <w:sz w:val="28"/>
          <w:szCs w:val="28"/>
          <w:rtl/>
          <w:lang w:bidi="ar-EG"/>
        </w:rPr>
        <w:t xml:space="preserve">) بعنوان: </w:t>
      </w:r>
      <w:r w:rsidRPr="00A25019">
        <w:rPr>
          <w:rFonts w:ascii="Simplified Arabic" w:hAnsi="Simplified Arabic" w:cs="Simplified Arabic"/>
          <w:b/>
          <w:bCs/>
          <w:sz w:val="28"/>
          <w:szCs w:val="28"/>
          <w:lang w:bidi="ar-EG"/>
        </w:rPr>
        <w:t>Promoting Sustainable Food Practices in Food Service Industry: An Empirical Investigation on Saudi Arabian Restaurants</w:t>
      </w:r>
      <w:r w:rsidRPr="00A25019">
        <w:rPr>
          <w:rFonts w:ascii="Simplified Arabic" w:hAnsi="Simplified Arabic" w:cs="Simplified Arabic"/>
          <w:b/>
          <w:bCs/>
          <w:sz w:val="28"/>
          <w:szCs w:val="28"/>
          <w:rtl/>
          <w:lang w:bidi="ar-EG"/>
        </w:rPr>
        <w:t>.</w:t>
      </w:r>
    </w:p>
    <w:p w14:paraId="447C5EAF"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هدفت هذه الدراسة إلى استكشاف أثر ممارسات الغذاء المستدام على الأداء البيئي والتشغيلي في قطاع خدمات الطعام بالمملكة العربية السعودية، مع التركيز على العوامل التي تعزز تبني هذه الممارسات في المطاعم، حيث المتغير المستقل هو ممارسات الغذاء المستدام وتشمل تقليل هدر الطعام، استخدام المكونات المحلية، والتعبئة البيئية، والمتغير التابع هو الأداء المستدام للمطاعم، بينما شملت المتغيرات الداعمة عوامل مثل وعي الإدارة، وتوافر الموارد، وسلوك المستهلك،</w:t>
      </w:r>
    </w:p>
    <w:p w14:paraId="72494254"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اتبعت الدراسة المنهج الكمي من خلال توزيع استبانة على عينة من مديري المطاعم والعاملين في قطاع خدمات الطعام بعدة مدن سعودية، وتم تحليل البيانات باستخدام النمذجة المعادلية الهيكلية (</w:t>
      </w:r>
      <w:r w:rsidRPr="00A25019">
        <w:rPr>
          <w:rFonts w:ascii="Simplified Arabic" w:hAnsi="Simplified Arabic" w:cs="Simplified Arabic"/>
          <w:sz w:val="28"/>
          <w:szCs w:val="28"/>
          <w:lang w:bidi="ar-EG"/>
        </w:rPr>
        <w:t>SEM</w:t>
      </w:r>
      <w:r w:rsidRPr="00A25019">
        <w:rPr>
          <w:rFonts w:ascii="Simplified Arabic" w:hAnsi="Simplified Arabic" w:cs="Simplified Arabic"/>
          <w:sz w:val="28"/>
          <w:szCs w:val="28"/>
          <w:rtl/>
          <w:lang w:bidi="ar-EG"/>
        </w:rPr>
        <w:t>) لاختبار العلاقات بين المتغيرات،</w:t>
      </w:r>
    </w:p>
    <w:p w14:paraId="7F8279C9"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وتوصلت الدراسة إلى أن ممارسات الغذاء المستدام تسهم بشكل ملحوظ في تحسين الأداء البيئي والتشغيلي للمطاعم، كما أن هذا الأثر يكون أكثر وضوحًا في المؤسسات التي تتبنى ثقافة تنظيمية داعمة للاستدامة، وتُظهر مرونة في تعديل سلاسل التوريد، إضافة إلى أهمية وعي المستهلكين كعامل مؤثر في نجاح المبادرات المستدامة،</w:t>
      </w:r>
    </w:p>
    <w:p w14:paraId="4B871C2A"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lang w:bidi="ar-EG"/>
        </w:rPr>
        <w:t>تتوافق هذه الدراسة مع الدراسة الحالية في تأكيد دور ممارسات الاستدامة في تحسين الأداء، لكنها تختلف في سياق التطبيق؛ إذ ركزت على قطاع خدمات الطعام.</w:t>
      </w:r>
      <w:r w:rsidRPr="00A25019">
        <w:rPr>
          <w:rFonts w:ascii="Simplified Arabic" w:hAnsi="Simplified Arabic" w:cs="Simplified Arabic"/>
          <w:color w:val="EE0000"/>
          <w:sz w:val="28"/>
          <w:szCs w:val="28"/>
          <w:rtl/>
          <w:lang w:bidi="ar-EG"/>
        </w:rPr>
        <w:br/>
      </w:r>
    </w:p>
    <w:p w14:paraId="195052BF" w14:textId="77777777" w:rsidR="00A25019" w:rsidRPr="00A25019" w:rsidRDefault="00A25019" w:rsidP="00A2501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25019">
        <w:rPr>
          <w:rFonts w:ascii="Times New Roman" w:eastAsia="Times New Roman" w:hAnsi="Times New Roman" w:cs="Times New Roman"/>
          <w:b/>
          <w:bCs/>
          <w:kern w:val="0"/>
          <w:sz w:val="36"/>
          <w:szCs w:val="36"/>
          <w:rtl/>
          <w14:ligatures w14:val="none"/>
        </w:rPr>
        <w:t>جدول (1): ملخص للدراسات السابقة المتعلقة بممارسات الاستدامة</w:t>
      </w:r>
    </w:p>
    <w:tbl>
      <w:tblPr>
        <w:tblStyle w:val="TableGrid"/>
        <w:bidiVisual/>
        <w:tblW w:w="0" w:type="auto"/>
        <w:tblInd w:w="-677" w:type="dxa"/>
        <w:tblLook w:val="04A0" w:firstRow="1" w:lastRow="0" w:firstColumn="1" w:lastColumn="0" w:noHBand="0" w:noVBand="1"/>
      </w:tblPr>
      <w:tblGrid>
        <w:gridCol w:w="1245"/>
        <w:gridCol w:w="1914"/>
        <w:gridCol w:w="1281"/>
        <w:gridCol w:w="1296"/>
        <w:gridCol w:w="1138"/>
        <w:gridCol w:w="1409"/>
        <w:gridCol w:w="1410"/>
      </w:tblGrid>
      <w:tr w:rsidR="00A25019" w:rsidRPr="00A25019" w14:paraId="7BEC2B4E" w14:textId="77777777" w:rsidTr="00803095">
        <w:tc>
          <w:tcPr>
            <w:tcW w:w="0" w:type="auto"/>
            <w:hideMark/>
          </w:tcPr>
          <w:p w14:paraId="39833AE9" w14:textId="77777777" w:rsidR="00A25019" w:rsidRPr="00A25019" w:rsidRDefault="00A25019" w:rsidP="00A25019">
            <w:pPr>
              <w:jc w:val="center"/>
              <w:rPr>
                <w:rFonts w:ascii="Simplified Arabic" w:eastAsia="Times New Roman" w:hAnsi="Simplified Arabic" w:cs="Simplified Arabic"/>
                <w:b/>
                <w:bCs/>
                <w:color w:val="EE0000"/>
                <w:kern w:val="0"/>
                <w:sz w:val="22"/>
                <w:szCs w:val="22"/>
                <w14:ligatures w14:val="none"/>
              </w:rPr>
            </w:pPr>
            <w:r w:rsidRPr="00A25019">
              <w:rPr>
                <w:rFonts w:ascii="Simplified Arabic" w:eastAsia="Times New Roman" w:hAnsi="Simplified Arabic" w:cs="Simplified Arabic"/>
                <w:b/>
                <w:bCs/>
                <w:color w:val="EE0000"/>
                <w:kern w:val="0"/>
                <w:sz w:val="22"/>
                <w:szCs w:val="22"/>
                <w:rtl/>
                <w14:ligatures w14:val="none"/>
              </w:rPr>
              <w:lastRenderedPageBreak/>
              <w:t>الباحث / السنة</w:t>
            </w:r>
          </w:p>
        </w:tc>
        <w:tc>
          <w:tcPr>
            <w:tcW w:w="0" w:type="auto"/>
            <w:hideMark/>
          </w:tcPr>
          <w:p w14:paraId="7A77C818" w14:textId="77777777" w:rsidR="00A25019" w:rsidRPr="00A25019" w:rsidRDefault="00A25019" w:rsidP="00A25019">
            <w:pPr>
              <w:jc w:val="center"/>
              <w:rPr>
                <w:rFonts w:ascii="Simplified Arabic" w:eastAsia="Times New Roman" w:hAnsi="Simplified Arabic" w:cs="Simplified Arabic"/>
                <w:b/>
                <w:bCs/>
                <w:color w:val="EE0000"/>
                <w:kern w:val="0"/>
                <w:sz w:val="22"/>
                <w:szCs w:val="22"/>
                <w14:ligatures w14:val="none"/>
              </w:rPr>
            </w:pPr>
            <w:r w:rsidRPr="00A25019">
              <w:rPr>
                <w:rFonts w:ascii="Simplified Arabic" w:eastAsia="Times New Roman" w:hAnsi="Simplified Arabic" w:cs="Simplified Arabic"/>
                <w:b/>
                <w:bCs/>
                <w:color w:val="EE0000"/>
                <w:kern w:val="0"/>
                <w:sz w:val="22"/>
                <w:szCs w:val="22"/>
                <w:rtl/>
                <w14:ligatures w14:val="none"/>
              </w:rPr>
              <w:t>عنوان الدراسة</w:t>
            </w:r>
          </w:p>
        </w:tc>
        <w:tc>
          <w:tcPr>
            <w:tcW w:w="0" w:type="auto"/>
            <w:hideMark/>
          </w:tcPr>
          <w:p w14:paraId="60443D8C" w14:textId="77777777" w:rsidR="00A25019" w:rsidRPr="00A25019" w:rsidRDefault="00A25019" w:rsidP="00A25019">
            <w:pPr>
              <w:jc w:val="center"/>
              <w:rPr>
                <w:rFonts w:ascii="Simplified Arabic" w:eastAsia="Times New Roman" w:hAnsi="Simplified Arabic" w:cs="Simplified Arabic"/>
                <w:b/>
                <w:bCs/>
                <w:color w:val="EE0000"/>
                <w:kern w:val="0"/>
                <w:sz w:val="22"/>
                <w:szCs w:val="22"/>
                <w14:ligatures w14:val="none"/>
              </w:rPr>
            </w:pPr>
            <w:r w:rsidRPr="00A25019">
              <w:rPr>
                <w:rFonts w:ascii="Simplified Arabic" w:eastAsia="Times New Roman" w:hAnsi="Simplified Arabic" w:cs="Simplified Arabic"/>
                <w:b/>
                <w:bCs/>
                <w:color w:val="EE0000"/>
                <w:kern w:val="0"/>
                <w:sz w:val="22"/>
                <w:szCs w:val="22"/>
                <w:rtl/>
                <w14:ligatures w14:val="none"/>
              </w:rPr>
              <w:t>الهدف الرئيس</w:t>
            </w:r>
          </w:p>
        </w:tc>
        <w:tc>
          <w:tcPr>
            <w:tcW w:w="0" w:type="auto"/>
            <w:hideMark/>
          </w:tcPr>
          <w:p w14:paraId="34FA1560" w14:textId="77777777" w:rsidR="00A25019" w:rsidRPr="00A25019" w:rsidRDefault="00A25019" w:rsidP="00A25019">
            <w:pPr>
              <w:jc w:val="center"/>
              <w:rPr>
                <w:rFonts w:ascii="Simplified Arabic" w:eastAsia="Times New Roman" w:hAnsi="Simplified Arabic" w:cs="Simplified Arabic"/>
                <w:b/>
                <w:bCs/>
                <w:color w:val="EE0000"/>
                <w:kern w:val="0"/>
                <w:sz w:val="22"/>
                <w:szCs w:val="22"/>
                <w14:ligatures w14:val="none"/>
              </w:rPr>
            </w:pPr>
            <w:r w:rsidRPr="00A25019">
              <w:rPr>
                <w:rFonts w:ascii="Simplified Arabic" w:eastAsia="Times New Roman" w:hAnsi="Simplified Arabic" w:cs="Simplified Arabic"/>
                <w:b/>
                <w:bCs/>
                <w:color w:val="EE0000"/>
                <w:kern w:val="0"/>
                <w:sz w:val="22"/>
                <w:szCs w:val="22"/>
                <w:rtl/>
                <w14:ligatures w14:val="none"/>
              </w:rPr>
              <w:t>المتغيرات الرئيسة</w:t>
            </w:r>
          </w:p>
        </w:tc>
        <w:tc>
          <w:tcPr>
            <w:tcW w:w="0" w:type="auto"/>
            <w:hideMark/>
          </w:tcPr>
          <w:p w14:paraId="7912E4D4" w14:textId="77777777" w:rsidR="00A25019" w:rsidRPr="00A25019" w:rsidRDefault="00A25019" w:rsidP="00A25019">
            <w:pPr>
              <w:jc w:val="center"/>
              <w:rPr>
                <w:rFonts w:ascii="Simplified Arabic" w:eastAsia="Times New Roman" w:hAnsi="Simplified Arabic" w:cs="Simplified Arabic"/>
                <w:b/>
                <w:bCs/>
                <w:color w:val="EE0000"/>
                <w:kern w:val="0"/>
                <w:sz w:val="22"/>
                <w:szCs w:val="22"/>
                <w14:ligatures w14:val="none"/>
              </w:rPr>
            </w:pPr>
            <w:r w:rsidRPr="00A25019">
              <w:rPr>
                <w:rFonts w:ascii="Simplified Arabic" w:eastAsia="Times New Roman" w:hAnsi="Simplified Arabic" w:cs="Simplified Arabic"/>
                <w:b/>
                <w:bCs/>
                <w:color w:val="EE0000"/>
                <w:kern w:val="0"/>
                <w:sz w:val="22"/>
                <w:szCs w:val="22"/>
                <w:rtl/>
                <w14:ligatures w14:val="none"/>
              </w:rPr>
              <w:t>المنهج والأداة</w:t>
            </w:r>
          </w:p>
        </w:tc>
        <w:tc>
          <w:tcPr>
            <w:tcW w:w="0" w:type="auto"/>
            <w:hideMark/>
          </w:tcPr>
          <w:p w14:paraId="64E19ADD" w14:textId="77777777" w:rsidR="00A25019" w:rsidRPr="00A25019" w:rsidRDefault="00A25019" w:rsidP="00A25019">
            <w:pPr>
              <w:jc w:val="center"/>
              <w:rPr>
                <w:rFonts w:ascii="Simplified Arabic" w:eastAsia="Times New Roman" w:hAnsi="Simplified Arabic" w:cs="Simplified Arabic"/>
                <w:b/>
                <w:bCs/>
                <w:color w:val="EE0000"/>
                <w:kern w:val="0"/>
                <w:sz w:val="22"/>
                <w:szCs w:val="22"/>
                <w14:ligatures w14:val="none"/>
              </w:rPr>
            </w:pPr>
            <w:r w:rsidRPr="00A25019">
              <w:rPr>
                <w:rFonts w:ascii="Simplified Arabic" w:eastAsia="Times New Roman" w:hAnsi="Simplified Arabic" w:cs="Simplified Arabic"/>
                <w:b/>
                <w:bCs/>
                <w:color w:val="EE0000"/>
                <w:kern w:val="0"/>
                <w:sz w:val="22"/>
                <w:szCs w:val="22"/>
                <w:rtl/>
                <w14:ligatures w14:val="none"/>
              </w:rPr>
              <w:t>أبرز النتائج</w:t>
            </w:r>
          </w:p>
        </w:tc>
        <w:tc>
          <w:tcPr>
            <w:tcW w:w="0" w:type="auto"/>
            <w:hideMark/>
          </w:tcPr>
          <w:p w14:paraId="3DFF083F" w14:textId="77777777" w:rsidR="00A25019" w:rsidRPr="00A25019" w:rsidRDefault="00A25019" w:rsidP="00A25019">
            <w:pPr>
              <w:jc w:val="center"/>
              <w:rPr>
                <w:rFonts w:ascii="Simplified Arabic" w:eastAsia="Times New Roman" w:hAnsi="Simplified Arabic" w:cs="Simplified Arabic"/>
                <w:b/>
                <w:bCs/>
                <w:color w:val="EE0000"/>
                <w:kern w:val="0"/>
                <w:sz w:val="22"/>
                <w:szCs w:val="22"/>
                <w14:ligatures w14:val="none"/>
              </w:rPr>
            </w:pPr>
            <w:r w:rsidRPr="00A25019">
              <w:rPr>
                <w:rFonts w:ascii="Simplified Arabic" w:eastAsia="Times New Roman" w:hAnsi="Simplified Arabic" w:cs="Simplified Arabic"/>
                <w:b/>
                <w:bCs/>
                <w:color w:val="EE0000"/>
                <w:kern w:val="0"/>
                <w:sz w:val="22"/>
                <w:szCs w:val="22"/>
                <w:rtl/>
                <w14:ligatures w14:val="none"/>
              </w:rPr>
              <w:t>أوجه الاتفاق والاختلاف مع الدراسة الحالية</w:t>
            </w:r>
          </w:p>
        </w:tc>
      </w:tr>
      <w:tr w:rsidR="00A25019" w:rsidRPr="00A25019" w14:paraId="60357D92" w14:textId="77777777" w:rsidTr="00803095">
        <w:tc>
          <w:tcPr>
            <w:tcW w:w="0" w:type="auto"/>
            <w:hideMark/>
          </w:tcPr>
          <w:p w14:paraId="2E46480C"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سحنون</w:t>
            </w:r>
            <w:r w:rsidRPr="00A25019">
              <w:rPr>
                <w:rFonts w:ascii="Simplified Arabic" w:eastAsia="Times New Roman" w:hAnsi="Simplified Arabic" w:cs="Simplified Arabic"/>
                <w:color w:val="EE0000"/>
                <w:kern w:val="0"/>
                <w:sz w:val="22"/>
                <w:szCs w:val="22"/>
                <w14:ligatures w14:val="none"/>
              </w:rPr>
              <w:t xml:space="preserve"> (2023)</w:t>
            </w:r>
          </w:p>
        </w:tc>
        <w:tc>
          <w:tcPr>
            <w:tcW w:w="0" w:type="auto"/>
            <w:hideMark/>
          </w:tcPr>
          <w:p w14:paraId="5946BFD0"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تطبيق أفضل ممارسات الاستدامة في المؤسسات الصناعية الطاقوية: سابك أنموذجًا</w:t>
            </w:r>
          </w:p>
        </w:tc>
        <w:tc>
          <w:tcPr>
            <w:tcW w:w="0" w:type="auto"/>
            <w:hideMark/>
          </w:tcPr>
          <w:p w14:paraId="0A396509"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تحليل مدى تطبيق ممارسات الاستدامة ودورها في تحسين الأداء المؤسسي</w:t>
            </w:r>
          </w:p>
        </w:tc>
        <w:tc>
          <w:tcPr>
            <w:tcW w:w="0" w:type="auto"/>
            <w:hideMark/>
          </w:tcPr>
          <w:p w14:paraId="56E5AEE9"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المستقل: ممارسات الاستدامة (بيئية، اقتصادية، اجتماعية)</w:t>
            </w:r>
            <w:r w:rsidRPr="00A25019">
              <w:rPr>
                <w:rFonts w:ascii="Simplified Arabic" w:eastAsia="Times New Roman" w:hAnsi="Simplified Arabic" w:cs="Simplified Arabic"/>
                <w:color w:val="EE0000"/>
                <w:kern w:val="0"/>
                <w:sz w:val="22"/>
                <w:szCs w:val="22"/>
                <w14:ligatures w14:val="none"/>
              </w:rPr>
              <w:br/>
            </w:r>
            <w:r w:rsidRPr="00A25019">
              <w:rPr>
                <w:rFonts w:ascii="Simplified Arabic" w:eastAsia="Times New Roman" w:hAnsi="Simplified Arabic" w:cs="Simplified Arabic"/>
                <w:color w:val="EE0000"/>
                <w:kern w:val="0"/>
                <w:sz w:val="22"/>
                <w:szCs w:val="22"/>
                <w:rtl/>
                <w14:ligatures w14:val="none"/>
              </w:rPr>
              <w:t>التابع: الأداء المؤسسي</w:t>
            </w:r>
          </w:p>
        </w:tc>
        <w:tc>
          <w:tcPr>
            <w:tcW w:w="0" w:type="auto"/>
            <w:hideMark/>
          </w:tcPr>
          <w:p w14:paraId="4473F3AA"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وصفي تحليلي – استبانة</w:t>
            </w:r>
            <w:r w:rsidRPr="00A25019">
              <w:rPr>
                <w:rFonts w:ascii="Simplified Arabic" w:eastAsia="Times New Roman" w:hAnsi="Simplified Arabic" w:cs="Simplified Arabic"/>
                <w:color w:val="EE0000"/>
                <w:kern w:val="0"/>
                <w:sz w:val="22"/>
                <w:szCs w:val="22"/>
                <w14:ligatures w14:val="none"/>
              </w:rPr>
              <w:t xml:space="preserve"> – SPSS</w:t>
            </w:r>
          </w:p>
        </w:tc>
        <w:tc>
          <w:tcPr>
            <w:tcW w:w="0" w:type="auto"/>
            <w:hideMark/>
          </w:tcPr>
          <w:p w14:paraId="2F57A47D"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وجود أثر إيجابي واضح لممارسات الاستدامة على الأداء البيئي والاقتصادي</w:t>
            </w:r>
          </w:p>
        </w:tc>
        <w:tc>
          <w:tcPr>
            <w:tcW w:w="0" w:type="auto"/>
            <w:hideMark/>
          </w:tcPr>
          <w:p w14:paraId="504E202F"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تتفق في أبعاد الاستدامة، وتختلف في السياق (صناعي مستقر مقابل بيئة حشود ديناميكية)</w:t>
            </w:r>
          </w:p>
        </w:tc>
      </w:tr>
      <w:tr w:rsidR="00A25019" w:rsidRPr="00A25019" w14:paraId="18091663" w14:textId="77777777" w:rsidTr="00803095">
        <w:tc>
          <w:tcPr>
            <w:tcW w:w="0" w:type="auto"/>
            <w:hideMark/>
          </w:tcPr>
          <w:p w14:paraId="7F1F235A"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محمود وعثمان</w:t>
            </w:r>
            <w:r w:rsidRPr="00A25019">
              <w:rPr>
                <w:rFonts w:ascii="Simplified Arabic" w:eastAsia="Times New Roman" w:hAnsi="Simplified Arabic" w:cs="Simplified Arabic"/>
                <w:color w:val="EE0000"/>
                <w:kern w:val="0"/>
                <w:sz w:val="22"/>
                <w:szCs w:val="22"/>
                <w14:ligatures w14:val="none"/>
              </w:rPr>
              <w:t xml:space="preserve"> (2024)</w:t>
            </w:r>
          </w:p>
        </w:tc>
        <w:tc>
          <w:tcPr>
            <w:tcW w:w="0" w:type="auto"/>
            <w:hideMark/>
          </w:tcPr>
          <w:p w14:paraId="689C2150"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تأثير ممارسات الاستدامة في سلاسل الإمداد على الكفاءة التشغيلية: الدور الوسيط للتحول الرقمي</w:t>
            </w:r>
          </w:p>
        </w:tc>
        <w:tc>
          <w:tcPr>
            <w:tcW w:w="0" w:type="auto"/>
            <w:hideMark/>
          </w:tcPr>
          <w:p w14:paraId="48B6F060"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اختبار الأثر المباشر وغير المباشر لممارسات الاستدامة</w:t>
            </w:r>
          </w:p>
        </w:tc>
        <w:tc>
          <w:tcPr>
            <w:tcW w:w="0" w:type="auto"/>
            <w:hideMark/>
          </w:tcPr>
          <w:p w14:paraId="2D306573"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المستقل: ممارسات الاستدامة</w:t>
            </w:r>
            <w:r w:rsidRPr="00A25019">
              <w:rPr>
                <w:rFonts w:ascii="Simplified Arabic" w:eastAsia="Times New Roman" w:hAnsi="Simplified Arabic" w:cs="Simplified Arabic"/>
                <w:color w:val="EE0000"/>
                <w:kern w:val="0"/>
                <w:sz w:val="22"/>
                <w:szCs w:val="22"/>
                <w14:ligatures w14:val="none"/>
              </w:rPr>
              <w:br/>
            </w:r>
            <w:r w:rsidRPr="00A25019">
              <w:rPr>
                <w:rFonts w:ascii="Simplified Arabic" w:eastAsia="Times New Roman" w:hAnsi="Simplified Arabic" w:cs="Simplified Arabic"/>
                <w:color w:val="EE0000"/>
                <w:kern w:val="0"/>
                <w:sz w:val="22"/>
                <w:szCs w:val="22"/>
                <w:rtl/>
                <w14:ligatures w14:val="none"/>
              </w:rPr>
              <w:t>الوسيط: التحول الرقمي</w:t>
            </w:r>
            <w:r w:rsidRPr="00A25019">
              <w:rPr>
                <w:rFonts w:ascii="Simplified Arabic" w:eastAsia="Times New Roman" w:hAnsi="Simplified Arabic" w:cs="Simplified Arabic"/>
                <w:color w:val="EE0000"/>
                <w:kern w:val="0"/>
                <w:sz w:val="22"/>
                <w:szCs w:val="22"/>
                <w14:ligatures w14:val="none"/>
              </w:rPr>
              <w:br/>
            </w:r>
            <w:r w:rsidRPr="00A25019">
              <w:rPr>
                <w:rFonts w:ascii="Simplified Arabic" w:eastAsia="Times New Roman" w:hAnsi="Simplified Arabic" w:cs="Simplified Arabic"/>
                <w:color w:val="EE0000"/>
                <w:kern w:val="0"/>
                <w:sz w:val="22"/>
                <w:szCs w:val="22"/>
                <w:rtl/>
                <w14:ligatures w14:val="none"/>
              </w:rPr>
              <w:t>التابع: الكفاءة التشغيلية</w:t>
            </w:r>
          </w:p>
        </w:tc>
        <w:tc>
          <w:tcPr>
            <w:tcW w:w="0" w:type="auto"/>
            <w:hideMark/>
          </w:tcPr>
          <w:p w14:paraId="34B0A6B3"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كمي – استبانة – تحليل المسار</w:t>
            </w:r>
          </w:p>
        </w:tc>
        <w:tc>
          <w:tcPr>
            <w:tcW w:w="0" w:type="auto"/>
            <w:hideMark/>
          </w:tcPr>
          <w:p w14:paraId="77F7E429"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التحول الرقمي يعزز الأثر الإيجابي للاستدامة على الكفاءة</w:t>
            </w:r>
          </w:p>
        </w:tc>
        <w:tc>
          <w:tcPr>
            <w:tcW w:w="0" w:type="auto"/>
            <w:hideMark/>
          </w:tcPr>
          <w:p w14:paraId="7BF8EF81"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تتفق في اختبار الدور الوسيط، وتختلف في نوع الوسيط والسياق التطبيقي</w:t>
            </w:r>
          </w:p>
        </w:tc>
      </w:tr>
      <w:tr w:rsidR="00A25019" w:rsidRPr="00A25019" w14:paraId="06368DA5" w14:textId="77777777" w:rsidTr="00803095">
        <w:tc>
          <w:tcPr>
            <w:tcW w:w="0" w:type="auto"/>
            <w:hideMark/>
          </w:tcPr>
          <w:p w14:paraId="2FAC8472"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أبو خشبة</w:t>
            </w:r>
            <w:r w:rsidRPr="00A25019">
              <w:rPr>
                <w:rFonts w:ascii="Simplified Arabic" w:eastAsia="Times New Roman" w:hAnsi="Simplified Arabic" w:cs="Simplified Arabic"/>
                <w:color w:val="EE0000"/>
                <w:kern w:val="0"/>
                <w:sz w:val="22"/>
                <w:szCs w:val="22"/>
                <w14:ligatures w14:val="none"/>
              </w:rPr>
              <w:t xml:space="preserve"> (2022)</w:t>
            </w:r>
          </w:p>
        </w:tc>
        <w:tc>
          <w:tcPr>
            <w:tcW w:w="0" w:type="auto"/>
            <w:hideMark/>
          </w:tcPr>
          <w:p w14:paraId="0861D0E6"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أثر ممارسات الاستدامة على الأداء المستدام لسلسلة التوريد</w:t>
            </w:r>
          </w:p>
        </w:tc>
        <w:tc>
          <w:tcPr>
            <w:tcW w:w="0" w:type="auto"/>
            <w:hideMark/>
          </w:tcPr>
          <w:p w14:paraId="2B97C5F9"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تحليل دور ممارسات الاستدامة مع وسطاء تشغيليين</w:t>
            </w:r>
          </w:p>
        </w:tc>
        <w:tc>
          <w:tcPr>
            <w:tcW w:w="0" w:type="auto"/>
            <w:hideMark/>
          </w:tcPr>
          <w:p w14:paraId="7892A0B2"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المستقل: ممارسات الاستدامة</w:t>
            </w:r>
            <w:r w:rsidRPr="00A25019">
              <w:rPr>
                <w:rFonts w:ascii="Simplified Arabic" w:eastAsia="Times New Roman" w:hAnsi="Simplified Arabic" w:cs="Simplified Arabic"/>
                <w:color w:val="EE0000"/>
                <w:kern w:val="0"/>
                <w:sz w:val="22"/>
                <w:szCs w:val="22"/>
                <w14:ligatures w14:val="none"/>
              </w:rPr>
              <w:br/>
            </w:r>
            <w:r w:rsidRPr="00A25019">
              <w:rPr>
                <w:rFonts w:ascii="Simplified Arabic" w:eastAsia="Times New Roman" w:hAnsi="Simplified Arabic" w:cs="Simplified Arabic"/>
                <w:color w:val="EE0000"/>
                <w:kern w:val="0"/>
                <w:sz w:val="22"/>
                <w:szCs w:val="22"/>
                <w:rtl/>
                <w14:ligatures w14:val="none"/>
              </w:rPr>
              <w:t>الوسيط: تقليل الفاقد وابتكار العملية</w:t>
            </w:r>
            <w:r w:rsidRPr="00A25019">
              <w:rPr>
                <w:rFonts w:ascii="Simplified Arabic" w:eastAsia="Times New Roman" w:hAnsi="Simplified Arabic" w:cs="Simplified Arabic"/>
                <w:color w:val="EE0000"/>
                <w:kern w:val="0"/>
                <w:sz w:val="22"/>
                <w:szCs w:val="22"/>
                <w14:ligatures w14:val="none"/>
              </w:rPr>
              <w:br/>
            </w:r>
            <w:r w:rsidRPr="00A25019">
              <w:rPr>
                <w:rFonts w:ascii="Simplified Arabic" w:eastAsia="Times New Roman" w:hAnsi="Simplified Arabic" w:cs="Simplified Arabic"/>
                <w:color w:val="EE0000"/>
                <w:kern w:val="0"/>
                <w:sz w:val="22"/>
                <w:szCs w:val="22"/>
                <w:rtl/>
                <w14:ligatures w14:val="none"/>
              </w:rPr>
              <w:t>التابع: الأداء المستدام</w:t>
            </w:r>
          </w:p>
        </w:tc>
        <w:tc>
          <w:tcPr>
            <w:tcW w:w="0" w:type="auto"/>
            <w:hideMark/>
          </w:tcPr>
          <w:p w14:paraId="2C2BB232"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كمي – استبانة – تحليل انحدار ووساطة</w:t>
            </w:r>
          </w:p>
        </w:tc>
        <w:tc>
          <w:tcPr>
            <w:tcW w:w="0" w:type="auto"/>
            <w:hideMark/>
          </w:tcPr>
          <w:p w14:paraId="235FE070"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تزداد فاعلية الاستدامة بوجود متغيرات وسيطة</w:t>
            </w:r>
          </w:p>
        </w:tc>
        <w:tc>
          <w:tcPr>
            <w:tcW w:w="0" w:type="auto"/>
            <w:hideMark/>
          </w:tcPr>
          <w:p w14:paraId="3031EBF9"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تدعم الإطار الوسيط للدراسة الحالية مع اختلاف نوع الوسيط</w:t>
            </w:r>
          </w:p>
        </w:tc>
      </w:tr>
      <w:tr w:rsidR="00A25019" w:rsidRPr="00A25019" w14:paraId="170D9068" w14:textId="77777777" w:rsidTr="00803095">
        <w:tc>
          <w:tcPr>
            <w:tcW w:w="0" w:type="auto"/>
            <w:hideMark/>
          </w:tcPr>
          <w:p w14:paraId="75E4B2C7"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14:ligatures w14:val="none"/>
              </w:rPr>
              <w:t>Arning &amp; Venghaus (2024)</w:t>
            </w:r>
          </w:p>
        </w:tc>
        <w:tc>
          <w:tcPr>
            <w:tcW w:w="0" w:type="auto"/>
            <w:hideMark/>
          </w:tcPr>
          <w:p w14:paraId="61AB7334"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14:ligatures w14:val="none"/>
              </w:rPr>
              <w:t>Sustainable practices and household resilience</w:t>
            </w:r>
          </w:p>
        </w:tc>
        <w:tc>
          <w:tcPr>
            <w:tcW w:w="0" w:type="auto"/>
            <w:hideMark/>
          </w:tcPr>
          <w:p w14:paraId="096F75EC"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تحليل أثر الاستدامة على المرونة السلوكية للأسر</w:t>
            </w:r>
          </w:p>
        </w:tc>
        <w:tc>
          <w:tcPr>
            <w:tcW w:w="0" w:type="auto"/>
            <w:hideMark/>
          </w:tcPr>
          <w:p w14:paraId="140BA505"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المستقل: ممارسات الاستدامة</w:t>
            </w:r>
            <w:r w:rsidRPr="00A25019">
              <w:rPr>
                <w:rFonts w:ascii="Simplified Arabic" w:eastAsia="Times New Roman" w:hAnsi="Simplified Arabic" w:cs="Simplified Arabic"/>
                <w:color w:val="EE0000"/>
                <w:kern w:val="0"/>
                <w:sz w:val="22"/>
                <w:szCs w:val="22"/>
                <w14:ligatures w14:val="none"/>
              </w:rPr>
              <w:br/>
            </w:r>
            <w:r w:rsidRPr="00A25019">
              <w:rPr>
                <w:rFonts w:ascii="Simplified Arabic" w:eastAsia="Times New Roman" w:hAnsi="Simplified Arabic" w:cs="Simplified Arabic"/>
                <w:color w:val="EE0000"/>
                <w:kern w:val="0"/>
                <w:sz w:val="22"/>
                <w:szCs w:val="22"/>
                <w:rtl/>
                <w14:ligatures w14:val="none"/>
              </w:rPr>
              <w:t>التابع: مرونة الأسر</w:t>
            </w:r>
          </w:p>
        </w:tc>
        <w:tc>
          <w:tcPr>
            <w:tcW w:w="0" w:type="auto"/>
            <w:hideMark/>
          </w:tcPr>
          <w:p w14:paraId="1DC672D5"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كمي – استبانة إلكترونية – انحدار</w:t>
            </w:r>
          </w:p>
        </w:tc>
        <w:tc>
          <w:tcPr>
            <w:tcW w:w="0" w:type="auto"/>
            <w:hideMark/>
          </w:tcPr>
          <w:p w14:paraId="613009D4"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علاقة إيجابية بين الاستدامة والقدرة على التكيف</w:t>
            </w:r>
          </w:p>
        </w:tc>
        <w:tc>
          <w:tcPr>
            <w:tcW w:w="0" w:type="auto"/>
            <w:hideMark/>
          </w:tcPr>
          <w:p w14:paraId="0AF5E98E"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تتفق في منطق الأثر، وتختلف في مستوى التحليل (أسري مقابل مؤسسي)</w:t>
            </w:r>
          </w:p>
        </w:tc>
      </w:tr>
      <w:tr w:rsidR="00A25019" w:rsidRPr="00A25019" w14:paraId="1E6252BE" w14:textId="77777777" w:rsidTr="00803095">
        <w:tc>
          <w:tcPr>
            <w:tcW w:w="0" w:type="auto"/>
            <w:hideMark/>
          </w:tcPr>
          <w:p w14:paraId="7E699283"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14:ligatures w14:val="none"/>
              </w:rPr>
              <w:t>Literal (2020)</w:t>
            </w:r>
          </w:p>
        </w:tc>
        <w:tc>
          <w:tcPr>
            <w:tcW w:w="0" w:type="auto"/>
            <w:hideMark/>
          </w:tcPr>
          <w:p w14:paraId="3326964A"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14:ligatures w14:val="none"/>
              </w:rPr>
              <w:t>Influence of Sustainable Management Practices on Sustainability Performance</w:t>
            </w:r>
          </w:p>
        </w:tc>
        <w:tc>
          <w:tcPr>
            <w:tcW w:w="0" w:type="auto"/>
            <w:hideMark/>
          </w:tcPr>
          <w:p w14:paraId="6A606188"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تحليل أثر ممارسات الإدارة المستدامة</w:t>
            </w:r>
          </w:p>
        </w:tc>
        <w:tc>
          <w:tcPr>
            <w:tcW w:w="0" w:type="auto"/>
            <w:hideMark/>
          </w:tcPr>
          <w:p w14:paraId="0E8A97A5"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المستقل: ممارسات الإدارة المستدامة</w:t>
            </w:r>
            <w:r w:rsidRPr="00A25019">
              <w:rPr>
                <w:rFonts w:ascii="Simplified Arabic" w:eastAsia="Times New Roman" w:hAnsi="Simplified Arabic" w:cs="Simplified Arabic"/>
                <w:color w:val="EE0000"/>
                <w:kern w:val="0"/>
                <w:sz w:val="22"/>
                <w:szCs w:val="22"/>
                <w14:ligatures w14:val="none"/>
              </w:rPr>
              <w:br/>
            </w:r>
            <w:r w:rsidRPr="00A25019">
              <w:rPr>
                <w:rFonts w:ascii="Simplified Arabic" w:eastAsia="Times New Roman" w:hAnsi="Simplified Arabic" w:cs="Simplified Arabic"/>
                <w:color w:val="EE0000"/>
                <w:kern w:val="0"/>
                <w:sz w:val="22"/>
                <w:szCs w:val="22"/>
                <w:rtl/>
                <w14:ligatures w14:val="none"/>
              </w:rPr>
              <w:t xml:space="preserve">الوسيط: الثقافة التنظيمية والتوجه </w:t>
            </w:r>
            <w:r w:rsidRPr="00A25019">
              <w:rPr>
                <w:rFonts w:ascii="Simplified Arabic" w:eastAsia="Times New Roman" w:hAnsi="Simplified Arabic" w:cs="Simplified Arabic"/>
                <w:color w:val="EE0000"/>
                <w:kern w:val="0"/>
                <w:sz w:val="22"/>
                <w:szCs w:val="22"/>
                <w:rtl/>
                <w14:ligatures w14:val="none"/>
              </w:rPr>
              <w:lastRenderedPageBreak/>
              <w:t>الاستراتيجي</w:t>
            </w:r>
            <w:r w:rsidRPr="00A25019">
              <w:rPr>
                <w:rFonts w:ascii="Simplified Arabic" w:eastAsia="Times New Roman" w:hAnsi="Simplified Arabic" w:cs="Simplified Arabic"/>
                <w:color w:val="EE0000"/>
                <w:kern w:val="0"/>
                <w:sz w:val="22"/>
                <w:szCs w:val="22"/>
                <w14:ligatures w14:val="none"/>
              </w:rPr>
              <w:br/>
            </w:r>
            <w:r w:rsidRPr="00A25019">
              <w:rPr>
                <w:rFonts w:ascii="Simplified Arabic" w:eastAsia="Times New Roman" w:hAnsi="Simplified Arabic" w:cs="Simplified Arabic"/>
                <w:color w:val="EE0000"/>
                <w:kern w:val="0"/>
                <w:sz w:val="22"/>
                <w:szCs w:val="22"/>
                <w:rtl/>
                <w14:ligatures w14:val="none"/>
              </w:rPr>
              <w:t>التابع: الأداء الاستدامي</w:t>
            </w:r>
          </w:p>
        </w:tc>
        <w:tc>
          <w:tcPr>
            <w:tcW w:w="0" w:type="auto"/>
            <w:hideMark/>
          </w:tcPr>
          <w:p w14:paraId="75E8445E"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lastRenderedPageBreak/>
              <w:t>كمي – استبانة</w:t>
            </w:r>
            <w:r w:rsidRPr="00A25019">
              <w:rPr>
                <w:rFonts w:ascii="Simplified Arabic" w:eastAsia="Times New Roman" w:hAnsi="Simplified Arabic" w:cs="Simplified Arabic"/>
                <w:color w:val="EE0000"/>
                <w:kern w:val="0"/>
                <w:sz w:val="22"/>
                <w:szCs w:val="22"/>
                <w14:ligatures w14:val="none"/>
              </w:rPr>
              <w:t xml:space="preserve"> – Path Analysis</w:t>
            </w:r>
          </w:p>
        </w:tc>
        <w:tc>
          <w:tcPr>
            <w:tcW w:w="0" w:type="auto"/>
            <w:hideMark/>
          </w:tcPr>
          <w:p w14:paraId="6A93C986"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الثقافة التنظيمية تعزز أثر الاستدامة</w:t>
            </w:r>
          </w:p>
        </w:tc>
        <w:tc>
          <w:tcPr>
            <w:tcW w:w="0" w:type="auto"/>
            <w:hideMark/>
          </w:tcPr>
          <w:p w14:paraId="42A711CA"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تتفق في فكرة التعزيز الوسيط، وتختلف في نوع الوسيط</w:t>
            </w:r>
          </w:p>
        </w:tc>
      </w:tr>
      <w:tr w:rsidR="00A25019" w:rsidRPr="00A25019" w14:paraId="288FE4AF" w14:textId="77777777" w:rsidTr="00803095">
        <w:tc>
          <w:tcPr>
            <w:tcW w:w="0" w:type="auto"/>
            <w:hideMark/>
          </w:tcPr>
          <w:p w14:paraId="3D0D0D21"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14:ligatures w14:val="none"/>
              </w:rPr>
              <w:t>Salem et al. (2023)</w:t>
            </w:r>
          </w:p>
        </w:tc>
        <w:tc>
          <w:tcPr>
            <w:tcW w:w="0" w:type="auto"/>
            <w:hideMark/>
          </w:tcPr>
          <w:p w14:paraId="38BD771E"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14:ligatures w14:val="none"/>
              </w:rPr>
              <w:t>Promoting Sustainable Food Practices in Saudi Restaurants</w:t>
            </w:r>
          </w:p>
        </w:tc>
        <w:tc>
          <w:tcPr>
            <w:tcW w:w="0" w:type="auto"/>
            <w:hideMark/>
          </w:tcPr>
          <w:p w14:paraId="578F825A"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تحليل أثر ممارسات الغذاء المستدام على الأداء</w:t>
            </w:r>
          </w:p>
        </w:tc>
        <w:tc>
          <w:tcPr>
            <w:tcW w:w="0" w:type="auto"/>
            <w:hideMark/>
          </w:tcPr>
          <w:p w14:paraId="3788A956"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المستقل: ممارسات غذاء مستدامة</w:t>
            </w:r>
            <w:r w:rsidRPr="00A25019">
              <w:rPr>
                <w:rFonts w:ascii="Simplified Arabic" w:eastAsia="Times New Roman" w:hAnsi="Simplified Arabic" w:cs="Simplified Arabic"/>
                <w:color w:val="EE0000"/>
                <w:kern w:val="0"/>
                <w:sz w:val="22"/>
                <w:szCs w:val="22"/>
                <w14:ligatures w14:val="none"/>
              </w:rPr>
              <w:br/>
            </w:r>
            <w:r w:rsidRPr="00A25019">
              <w:rPr>
                <w:rFonts w:ascii="Simplified Arabic" w:eastAsia="Times New Roman" w:hAnsi="Simplified Arabic" w:cs="Simplified Arabic"/>
                <w:color w:val="EE0000"/>
                <w:kern w:val="0"/>
                <w:sz w:val="22"/>
                <w:szCs w:val="22"/>
                <w:rtl/>
                <w14:ligatures w14:val="none"/>
              </w:rPr>
              <w:t>التابع: الأداء المستدام</w:t>
            </w:r>
          </w:p>
        </w:tc>
        <w:tc>
          <w:tcPr>
            <w:tcW w:w="0" w:type="auto"/>
            <w:hideMark/>
          </w:tcPr>
          <w:p w14:paraId="10D51EA3"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كمي</w:t>
            </w:r>
            <w:r w:rsidRPr="00A25019">
              <w:rPr>
                <w:rFonts w:ascii="Simplified Arabic" w:eastAsia="Times New Roman" w:hAnsi="Simplified Arabic" w:cs="Simplified Arabic"/>
                <w:color w:val="EE0000"/>
                <w:kern w:val="0"/>
                <w:sz w:val="22"/>
                <w:szCs w:val="22"/>
                <w14:ligatures w14:val="none"/>
              </w:rPr>
              <w:t xml:space="preserve"> – SEM</w:t>
            </w:r>
          </w:p>
        </w:tc>
        <w:tc>
          <w:tcPr>
            <w:tcW w:w="0" w:type="auto"/>
            <w:hideMark/>
          </w:tcPr>
          <w:p w14:paraId="5B051740"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تحسن واضح في الأداء البيئي والتشغيلي</w:t>
            </w:r>
          </w:p>
        </w:tc>
        <w:tc>
          <w:tcPr>
            <w:tcW w:w="0" w:type="auto"/>
            <w:hideMark/>
          </w:tcPr>
          <w:p w14:paraId="6D59C964" w14:textId="77777777" w:rsidR="00A25019" w:rsidRPr="00A25019" w:rsidRDefault="00A25019" w:rsidP="00A25019">
            <w:pPr>
              <w:rPr>
                <w:rFonts w:ascii="Simplified Arabic" w:eastAsia="Times New Roman" w:hAnsi="Simplified Arabic" w:cs="Simplified Arabic"/>
                <w:color w:val="EE0000"/>
                <w:kern w:val="0"/>
                <w:sz w:val="22"/>
                <w:szCs w:val="22"/>
                <w14:ligatures w14:val="none"/>
              </w:rPr>
            </w:pPr>
            <w:r w:rsidRPr="00A25019">
              <w:rPr>
                <w:rFonts w:ascii="Simplified Arabic" w:eastAsia="Times New Roman" w:hAnsi="Simplified Arabic" w:cs="Simplified Arabic"/>
                <w:color w:val="EE0000"/>
                <w:kern w:val="0"/>
                <w:sz w:val="22"/>
                <w:szCs w:val="22"/>
                <w:rtl/>
                <w14:ligatures w14:val="none"/>
              </w:rPr>
              <w:t>تتفق في السياق السعودي، وتختلف في القطاع</w:t>
            </w:r>
          </w:p>
        </w:tc>
      </w:tr>
    </w:tbl>
    <w:bookmarkEnd w:id="16"/>
    <w:p w14:paraId="3344E205" w14:textId="77777777" w:rsidR="00A25019" w:rsidRPr="00A25019" w:rsidRDefault="00A25019" w:rsidP="00A25019">
      <w:p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 xml:space="preserve">باستقراء دراسات هذه المجموعة، يمكن استخلاص ثلاث دلالات رئيسة تتصل بالدراسة الحالية، أن ممارسات الاستدامة بأبعادها الثلاثة أثبتت أثراً إيجابياً على الأداء التشغيلي والمؤسسي في جميع الدراسات المستعرضة دون استثناء، سواء في القطاع الصناعي (سحنون، 2023؛ </w:t>
      </w:r>
      <w:r w:rsidRPr="00A25019">
        <w:rPr>
          <w:rFonts w:ascii="Simplified Arabic" w:hAnsi="Simplified Arabic" w:cs="Simplified Arabic"/>
          <w:color w:val="EE0000"/>
          <w:sz w:val="28"/>
          <w:szCs w:val="28"/>
        </w:rPr>
        <w:t>Literal, 2020</w:t>
      </w:r>
      <w:r w:rsidRPr="00A25019">
        <w:rPr>
          <w:rFonts w:ascii="Simplified Arabic" w:hAnsi="Simplified Arabic" w:cs="Simplified Arabic"/>
          <w:color w:val="EE0000"/>
          <w:sz w:val="28"/>
          <w:szCs w:val="28"/>
          <w:rtl/>
        </w:rPr>
        <w:t>) أو سلاسل الإمداد (محمود وعثمان، 2024؛ أبو خشبة، 2022) أو قطاع الخدمات (</w:t>
      </w:r>
      <w:r w:rsidRPr="00A25019">
        <w:rPr>
          <w:rFonts w:ascii="Simplified Arabic" w:hAnsi="Simplified Arabic" w:cs="Simplified Arabic"/>
          <w:color w:val="EE0000"/>
          <w:sz w:val="28"/>
          <w:szCs w:val="28"/>
        </w:rPr>
        <w:t>Salem et al., 2023</w:t>
      </w:r>
      <w:r w:rsidRPr="00A25019">
        <w:rPr>
          <w:rFonts w:ascii="Simplified Arabic" w:hAnsi="Simplified Arabic" w:cs="Simplified Arabic"/>
          <w:color w:val="EE0000"/>
          <w:sz w:val="28"/>
          <w:szCs w:val="28"/>
          <w:rtl/>
        </w:rPr>
        <w:t>) أو حتى على المستوى الأسري (</w:t>
      </w:r>
      <w:r w:rsidRPr="00A25019">
        <w:rPr>
          <w:rFonts w:ascii="Simplified Arabic" w:hAnsi="Simplified Arabic" w:cs="Simplified Arabic"/>
          <w:color w:val="EE0000"/>
          <w:sz w:val="28"/>
          <w:szCs w:val="28"/>
        </w:rPr>
        <w:t>Arning &amp; Venghaus, 2024</w:t>
      </w:r>
      <w:r w:rsidRPr="00A25019">
        <w:rPr>
          <w:rFonts w:ascii="Simplified Arabic" w:hAnsi="Simplified Arabic" w:cs="Simplified Arabic"/>
          <w:color w:val="EE0000"/>
          <w:sz w:val="28"/>
          <w:szCs w:val="28"/>
          <w:rtl/>
        </w:rPr>
        <w:t>)، مما يشير إلى أن هذا الأثر الإيجابي قد يتحقق أيضاً في سياقات أخرى لم تُختبر بعد كسياق إدارة الحشود في الحج والعمرة.</w:t>
      </w:r>
    </w:p>
    <w:p w14:paraId="749FA87D" w14:textId="77777777" w:rsidR="00A25019" w:rsidRPr="00A25019" w:rsidRDefault="00A25019" w:rsidP="00A25019">
      <w:p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 xml:space="preserve">أن الدراسات التي أدخلت متغيراً وسيطاً  كالتحول الرقمي في دراسة محمود وعثمان (2024) وتقليل الفاقد وابتكار العملية في دراسة أبو خشبة (2022) والثقافة التنظيمية في دراسة </w:t>
      </w:r>
      <w:r w:rsidRPr="00A25019">
        <w:rPr>
          <w:rFonts w:ascii="Simplified Arabic" w:hAnsi="Simplified Arabic" w:cs="Simplified Arabic"/>
          <w:color w:val="EE0000"/>
          <w:sz w:val="28"/>
          <w:szCs w:val="28"/>
        </w:rPr>
        <w:t>Literal</w:t>
      </w:r>
      <w:r w:rsidRPr="00A25019">
        <w:rPr>
          <w:rFonts w:ascii="Simplified Arabic" w:hAnsi="Simplified Arabic" w:cs="Simplified Arabic"/>
          <w:color w:val="EE0000"/>
          <w:sz w:val="28"/>
          <w:szCs w:val="28"/>
          <w:rtl/>
        </w:rPr>
        <w:t xml:space="preserve"> (2020)  توصلت جميعها إلى أن الأثر المباشر لممارسات الاستدامة يصبح أكثر فاعلية عند وجود آلية وسيطة تُفعّله وتعززه. وهذه النتيجة المتسقة عبر سياقات مختلفة تُقدّم دعماً نظرياً وتجريبياً لافتراض الدراسة الحالية بأن التكنولوجيا الذكية يمكن أن تؤدي دوراً وسيطاً مماثلاً في تعزيز أثر الاستدامة على كفاءة إدارة الحشود.</w:t>
      </w:r>
    </w:p>
    <w:p w14:paraId="2C0FB8F9" w14:textId="77777777" w:rsidR="00A25019" w:rsidRPr="00A25019" w:rsidRDefault="00A25019" w:rsidP="00A25019">
      <w:pPr>
        <w:jc w:val="both"/>
        <w:rPr>
          <w:rFonts w:ascii="Simplified Arabic" w:hAnsi="Simplified Arabic" w:cs="Simplified Arabic"/>
          <w:b/>
          <w:bCs/>
          <w:color w:val="EE0000"/>
          <w:sz w:val="28"/>
          <w:szCs w:val="28"/>
          <w:rtl/>
          <w:lang w:bidi="ar-EG"/>
        </w:rPr>
      </w:pPr>
      <w:r w:rsidRPr="00A25019">
        <w:rPr>
          <w:rFonts w:ascii="Simplified Arabic" w:hAnsi="Simplified Arabic" w:cs="Simplified Arabic"/>
          <w:color w:val="EE0000"/>
          <w:sz w:val="28"/>
          <w:szCs w:val="28"/>
          <w:rtl/>
        </w:rPr>
        <w:t>أن جميع هذه الدراسات طُبّقت في بيئات مؤسسية مستقرة نسبياً تتسم بإمكانية التنبؤ والتخطيط المسبق، ولم تمتد أيٌّ منها إلى بيئات تشغيلية ديناميكية عالية الكثافة البشرية كبيئة الحج والعمرة، حيث تتقاطع متطلبات الاستدامة مع ضغوط الوقت والكثافة والتنوع الثقافي، وهو ما يمثل فجوة سياقية واضحة تسعى الدراسة الحالية إلى سدّها</w:t>
      </w:r>
      <w:r w:rsidRPr="00A25019">
        <w:rPr>
          <w:rFonts w:ascii="Simplified Arabic" w:hAnsi="Simplified Arabic" w:cs="Simplified Arabic"/>
          <w:b/>
          <w:bCs/>
          <w:color w:val="EE0000"/>
          <w:sz w:val="28"/>
          <w:szCs w:val="28"/>
          <w:rtl/>
          <w:lang w:bidi="ar-EG"/>
        </w:rPr>
        <w:t>.</w:t>
      </w:r>
    </w:p>
    <w:p w14:paraId="72380225"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المجموعة الثانية: الدراسات التي تناولت كفاءة إدارة الحشود وعلاقته بالمتغيرات الأخرى.</w:t>
      </w:r>
    </w:p>
    <w:p w14:paraId="69B72F8A"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دراسة الحناوي وآخرون (2023) بعنوان: علاقة طب الحشود بإدارة الحشود في الحج والعمرة.</w:t>
      </w:r>
    </w:p>
    <w:p w14:paraId="33A7A2C4"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 xml:space="preserve">هدفت هذه الدراسة إلى بيان العلاقة بين طب الحشود وإدارة الحشود خلال مواسم الحج والعمرة، من خلال تحليل ميداني للتحديات الصحية والتنظيمية التي تواجه الجهات المعنية، حيث المتغير المستقل هو طب </w:t>
      </w:r>
      <w:r w:rsidRPr="00A25019">
        <w:rPr>
          <w:rFonts w:ascii="Simplified Arabic" w:hAnsi="Simplified Arabic" w:cs="Simplified Arabic"/>
          <w:sz w:val="28"/>
          <w:szCs w:val="28"/>
          <w:rtl/>
          <w:lang w:bidi="ar-EG"/>
        </w:rPr>
        <w:lastRenderedPageBreak/>
        <w:t>الحشود بأبعاده المتعلقة بالإسعاف الوقائي، والرصد الوبائي، والتنسيق بين الفرق الطبية، أما المتغير التابع فهو كفاءة إدارة الحشود، واشتملت الدراسة على المنهج الوصفي التحليلي، مع تحليل لواقع الممارسة الصحية خلال مواسم الحج والعمرة، بالاعتماد على تقارير وإحصائيات ومقابلات مع مختصين،</w:t>
      </w:r>
    </w:p>
    <w:p w14:paraId="411C06AE"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وتوصلت الدراسة إلى وجود علاقة وثيقة بين الجاهزية الطبية والتخطيط الصحي ونجاح خطط الحشود، خاصة في التعامل مع الكثافات البشرية والمخاطر الصحية، كما أكدت أن ضعف الربط بين منظومة الصحة والجهات الأمنية قد يؤدي إلى تأخر الاستجابة في بعض الحالات،</w:t>
      </w:r>
    </w:p>
    <w:p w14:paraId="6B391401"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rPr>
        <w:t>تتقاطع هذه الدراسة مع الدراسة الحالية في تناول كفاءة إدارة الحشود بوصفها متغيرًا تابعًا، لكنها تختلف في تركيزها على طب الحشود كعامل مؤثر</w:t>
      </w:r>
      <w:r w:rsidRPr="00A25019">
        <w:rPr>
          <w:rFonts w:ascii="Simplified Arabic" w:hAnsi="Simplified Arabic" w:cs="Simplified Arabic"/>
          <w:color w:val="EE0000"/>
          <w:sz w:val="28"/>
          <w:szCs w:val="28"/>
          <w:rtl/>
          <w:lang w:bidi="ar-EG"/>
        </w:rPr>
        <w:t>.</w:t>
      </w:r>
    </w:p>
    <w:p w14:paraId="07C15F8E"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دراسة الحناوي وآخرون (2022) بعنوان: دور قطاع الرعاية الصحية في إدارة الحشود في الحج والعمرة.</w:t>
      </w:r>
    </w:p>
    <w:p w14:paraId="207B815C"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هدفت هذه الدراسة إلى استكشاف دور القطاع الصحي في دعم جهود إدارة الحشود خلال الحج والعمرة، وذلك من خلال تحليل البنية المؤسسية للقطاع الصحي، ومدى جاهزيته للتعامل مع الحشود، حيث المتغير المستقل هو أداء قطاع الرعاية الصحية والمتغير التابع هو إدارة الحشود بفعالية، وقد استخدمت الدراسة المنهج الكمي والوصفي من خلال مراجعة الوثائق وتقارير وزارة الصحة السعودية،</w:t>
      </w:r>
    </w:p>
    <w:p w14:paraId="3D1E77CB"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وتوصلت الدراسة إلى أن نجاح إدارة الحشود لا يقتصر على التنظيم الأمني، بل يتطلب جاهزية صحية متكاملة من حيث الاستعدادات الوقائية والطبية، وأن التنسيق بين القطاع الصحي وقطاعات الأمن والخدمات المساندة يعزز من سلامة الحجاج،</w:t>
      </w:r>
    </w:p>
    <w:p w14:paraId="54E68AA0"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rPr>
        <w:t>تتفق هذه الدراسة مع الدراسة الحالية في أهمية تعزيز كفاءة إدارة الحشود وتحليل العوامل المؤثرة فيها، إلا أنها ركزت على الجاهزية الصحية بوصفها العامل الرئيس</w:t>
      </w:r>
      <w:r w:rsidRPr="00A25019">
        <w:rPr>
          <w:rFonts w:ascii="Simplified Arabic" w:hAnsi="Simplified Arabic" w:cs="Simplified Arabic"/>
          <w:color w:val="EE0000"/>
          <w:sz w:val="28"/>
          <w:szCs w:val="28"/>
          <w:rtl/>
          <w:lang w:bidi="ar-EG"/>
        </w:rPr>
        <w:t>.</w:t>
      </w:r>
    </w:p>
    <w:p w14:paraId="2B60FAD6"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دراسة عياد (2022) بعنوان: دور الإدارة الإلكترونية في تحسين إدارة الحشود من وجهة نظر العاملين في منظومة الحج والعمرة.</w:t>
      </w:r>
    </w:p>
    <w:p w14:paraId="4283ADFF"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 xml:space="preserve">هدفت الدراسة إلى الكشف عن أثر الإدارة الإلكترونية في تحسين مستوى إدارة الحشود من وجهة نظر العاملين في منظومة الحج والعمرة، حيث المتغير المستقل هو الإدارة الإلكترونية وتمثلت أبعاده في: النظم الذكية، قواعد البيانات، المراقبة الرقمية، أما المتغير التابع فهو كفاءة إدارة الحشود، وقد اعتمدت الدراسة </w:t>
      </w:r>
      <w:r w:rsidRPr="00A25019">
        <w:rPr>
          <w:rFonts w:ascii="Simplified Arabic" w:hAnsi="Simplified Arabic" w:cs="Simplified Arabic"/>
          <w:sz w:val="28"/>
          <w:szCs w:val="28"/>
          <w:rtl/>
          <w:lang w:bidi="ar-EG"/>
        </w:rPr>
        <w:lastRenderedPageBreak/>
        <w:t>على المنهج الوصفي، باستخدام استبانة ميدانية تم توزيعها على عينة من الموظفين العاملين في المؤسسات المرتبطة بخدمات الحج،</w:t>
      </w:r>
    </w:p>
    <w:p w14:paraId="50B6E9B3"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وتوصلت الدراسة إلى أن الإدارة الإلكترونية تساهم بشكل مباشر في تحسين التنسيق، ومتابعة الحشود، وتقليل الازدحام، كما أشارت إلى أن نظم الرقابة الرقمية تمثل عنصرًا حاسمًا في إدارة الحشود الفعالة،</w:t>
      </w:r>
    </w:p>
    <w:p w14:paraId="14305E9B"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rPr>
        <w:t>تتقاطع هذه الدراسة مع الدراسة الحالية في إبراز أهمية التقنيات الرقمية في تعزيز كفاءة إدارة الحشود، إلا أنها ركزت تحديدًا على الإدارة الإلكترونية بأبعادها التقليدية</w:t>
      </w:r>
      <w:r w:rsidRPr="00A25019">
        <w:rPr>
          <w:rFonts w:ascii="Simplified Arabic" w:hAnsi="Simplified Arabic" w:cs="Simplified Arabic"/>
          <w:color w:val="EE0000"/>
          <w:sz w:val="28"/>
          <w:szCs w:val="28"/>
          <w:rtl/>
          <w:lang w:bidi="ar-EG"/>
        </w:rPr>
        <w:t>.</w:t>
      </w:r>
    </w:p>
    <w:p w14:paraId="1EAA2D56"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دراسة اليوسف (2016) بعنوان: دارة الحشود. الأمن والحياة.</w:t>
      </w:r>
    </w:p>
    <w:p w14:paraId="019A0B98"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هدفت الدراسة إلى تسليط الضوء على مفهوم إدارة الحشود في السياق السعودي، من خلال استعراض العناصر الأساسية لنجاح خطط إدارة الحشود، والتحديات التي تواجه الجهات الأمنية والتنظيمية، حيث المتغير المركزي في الدراسة هو مفاهيم وتقنيات إدارة الحشود، وركزت على الأبعاد المتعلقة بالتحكم بالتدفق البشري، والجاهزية الميدانية، وتنسيق الأدوار بين الأجهزة،</w:t>
      </w:r>
    </w:p>
    <w:p w14:paraId="0DBB8769"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اعتمدت الدراسة على المنهج التحليلي الوصفي، من خلال تحليل وثائق وتقارير وخطط سابقة لإدارة الحشود في موسم الحج، وتوصلت الدراسة إلى أن إدارة الحشود تتطلب استجابة فورية ومرونة تنظيمية عالية، وأن العامل البشري والتقني يلعب دورًا متكاملًا في ضمان الأمن وسلامة الحجاج، كما أبرزت أهمية نظم الإنذار المبكر وتخطيط المسارات،</w:t>
      </w:r>
    </w:p>
    <w:p w14:paraId="6E467BAB"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rPr>
        <w:t>تُعد هذه الدراسة مرجعًا تأسيسيًا لمتغير كفاءة إدارة الحشود في الدراسة الحالية، إذ أسهمت في تحديد أبعاد هذا المتغير مثل الانسيابية، الجاهزية، والاستجابة</w:t>
      </w:r>
      <w:r w:rsidRPr="00A25019">
        <w:rPr>
          <w:rFonts w:ascii="Simplified Arabic" w:hAnsi="Simplified Arabic" w:cs="Simplified Arabic"/>
          <w:color w:val="EE0000"/>
          <w:sz w:val="28"/>
          <w:szCs w:val="28"/>
          <w:rtl/>
          <w:lang w:bidi="ar-EG"/>
        </w:rPr>
        <w:t>.</w:t>
      </w:r>
    </w:p>
    <w:p w14:paraId="21034120"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دراسة (</w:t>
      </w:r>
      <w:r w:rsidRPr="00A25019">
        <w:rPr>
          <w:rFonts w:ascii="Simplified Arabic" w:hAnsi="Simplified Arabic" w:cs="Simplified Arabic"/>
          <w:sz w:val="28"/>
          <w:szCs w:val="28"/>
          <w:lang w:bidi="ar-EG"/>
        </w:rPr>
        <w:t>Grimes etal.,2024</w:t>
      </w:r>
      <w:r w:rsidRPr="00A25019">
        <w:rPr>
          <w:rFonts w:ascii="Simplified Arabic" w:hAnsi="Simplified Arabic" w:cs="Simplified Arabic"/>
          <w:sz w:val="28"/>
          <w:szCs w:val="28"/>
          <w:rtl/>
          <w:lang w:bidi="ar-EG"/>
        </w:rPr>
        <w:t xml:space="preserve">) بعنوان: </w:t>
      </w:r>
      <w:r w:rsidRPr="00A25019">
        <w:rPr>
          <w:rFonts w:ascii="Simplified Arabic" w:hAnsi="Simplified Arabic" w:cs="Simplified Arabic"/>
          <w:sz w:val="28"/>
          <w:szCs w:val="28"/>
          <w:lang w:bidi="ar-EG"/>
        </w:rPr>
        <w:t>Crowd-Related Considerations at Mass Gathering Events: Management, Safety, and Dynamics</w:t>
      </w:r>
      <w:r w:rsidRPr="00A25019">
        <w:rPr>
          <w:rFonts w:ascii="Simplified Arabic" w:hAnsi="Simplified Arabic" w:cs="Simplified Arabic"/>
          <w:sz w:val="28"/>
          <w:szCs w:val="28"/>
          <w:rtl/>
          <w:lang w:bidi="ar-EG"/>
        </w:rPr>
        <w:t>.</w:t>
      </w:r>
    </w:p>
    <w:p w14:paraId="14E63D5F"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هدفت هذه الدراسة إلى تحليل الجوانب الأساسية المرتبطة بإدارة الحشود في الفعاليات الجماهيرية الكبرى، بما في ذلك الجوانب التنظيمية والسلوكية والأمنية، حيث المتغير المستقل هو إدارة الحشود من حيث التنظيم المسبق، مراقبة السلوك الجمعي، وخطط الطوارئ، والمتغير التابع هو سلامة الحشود وكفاءة الحركة في المواقع كثيفة التجمع.</w:t>
      </w:r>
    </w:p>
    <w:p w14:paraId="5FCD29B2"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lastRenderedPageBreak/>
        <w:t>اعتمدت الدراسة المنهج الوصفي التحليلي، وناقشت من خلال إطار نظري وتطبيقي مجموعة من النماذج العالمية لإدارة الحشود، مستعرضةً حالات دراسية من فعاليات رياضية ودينية وسياسية، وبيّنت كيف أن فهم سلوك الحشود والاعتماد على قواعد ديناميكية الحركة يعدان من العناصر الجوهرية للسلامة التشغيلية.</w:t>
      </w:r>
    </w:p>
    <w:p w14:paraId="5CC576BE"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وتوصلت الدراسة إلى أن إدارة الحشود الفعالة لا تقتصر على التنظيم المسبق فحسب، بل تتطلب مراقبة آنية دائمة وفهمًا دقيقًا لتغير الاتجاهات الحركية والكتلية، كما بيّنت أهمية التدريب العملي للقائمين على الحشود وربطهم بأنظمة ذكية لتحليل الكثافة وتوجيه التدفق،</w:t>
      </w:r>
    </w:p>
    <w:p w14:paraId="1E693223"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rPr>
        <w:t>تُسهم هذه الدراسة في تعزيز الفهم النظري لمفهوم كفاءة إدارة الحشود من خلال إبراز أهمية التنظيم المسبق والمراقبة اللحظية، لكنها تختلف عن الدراسة الحالية في أنها لا تدمج ممارسات الاستدامة ضمن نموذجها التحليلي</w:t>
      </w:r>
      <w:r w:rsidRPr="00A25019">
        <w:rPr>
          <w:rFonts w:ascii="Simplified Arabic" w:hAnsi="Simplified Arabic" w:cs="Simplified Arabic"/>
          <w:color w:val="EE0000"/>
          <w:sz w:val="28"/>
          <w:szCs w:val="28"/>
          <w:rtl/>
          <w:lang w:bidi="ar-EG"/>
        </w:rPr>
        <w:t>.</w:t>
      </w:r>
    </w:p>
    <w:p w14:paraId="44B53DC2"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 xml:space="preserve">دراسة </w:t>
      </w:r>
      <w:r w:rsidRPr="00A25019">
        <w:rPr>
          <w:rFonts w:ascii="Simplified Arabic" w:hAnsi="Simplified Arabic" w:cs="Simplified Arabic"/>
          <w:b/>
          <w:bCs/>
          <w:sz w:val="28"/>
          <w:szCs w:val="28"/>
          <w:lang w:bidi="ar-EG"/>
        </w:rPr>
        <w:t>Karmakar etal.,2024)</w:t>
      </w:r>
      <w:r w:rsidRPr="00A25019">
        <w:rPr>
          <w:rFonts w:ascii="Simplified Arabic" w:hAnsi="Simplified Arabic" w:cs="Simplified Arabic"/>
          <w:b/>
          <w:bCs/>
          <w:sz w:val="28"/>
          <w:szCs w:val="28"/>
          <w:rtl/>
          <w:lang w:bidi="ar-EG"/>
        </w:rPr>
        <w:t xml:space="preserve">) بعنوان: </w:t>
      </w:r>
      <w:r w:rsidRPr="00A25019">
        <w:rPr>
          <w:rFonts w:ascii="Simplified Arabic" w:hAnsi="Simplified Arabic" w:cs="Simplified Arabic"/>
          <w:b/>
          <w:bCs/>
          <w:sz w:val="28"/>
          <w:szCs w:val="28"/>
          <w:lang w:bidi="ar-EG"/>
        </w:rPr>
        <w:t>An Intelligent Crowd Density and Motion Direction Estimation for Real-Time Crowd Dynamics</w:t>
      </w:r>
      <w:r w:rsidRPr="00A25019">
        <w:rPr>
          <w:rFonts w:ascii="Simplified Arabic" w:hAnsi="Simplified Arabic" w:cs="Simplified Arabic"/>
          <w:b/>
          <w:bCs/>
          <w:sz w:val="28"/>
          <w:szCs w:val="28"/>
          <w:rtl/>
          <w:lang w:bidi="ar-EG"/>
        </w:rPr>
        <w:t>.</w:t>
      </w:r>
    </w:p>
    <w:p w14:paraId="780F1B88"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هدفت هذه الدراسة إلى تطوير نموذج تقني قائم على الذكاء الاصطناعي يتيح تقدير كثافة الحشود واتجاه حركتها بشكل فوري، بغرض تعزيز سلامة وإدارة الحشود في المواقع العامة، حيث المتغير المستقل هو النظام الذكي المقترح، ويشمل خوارزميات تحليل الفيديو، تقنيات تعلم الآلة، واستشعار الاتجاهات، والمتغير التابع هو دقة تحليل حركة الحشود في الزمن الحقيقي.</w:t>
      </w:r>
    </w:p>
    <w:p w14:paraId="76A02B5C"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استخدمت الدراسة منهجًا تجريبيًا، حيث تم تصميم النموذج واختباره ميدانيًا باستخدام مقاطع فيديو لحشود بشرية في مناسبات مختلفة، وتم تحليل كفاءة النموذج في تقدير الكثافة واتجاه الحركة بدقة زمنية عالية.</w:t>
      </w:r>
    </w:p>
    <w:p w14:paraId="79AC6B78"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وأظهرت النتائج أن النموذج استطاع تحقيق نسبة دقة تتجاوز 93% في تحديد اتجاه التدفق وتغيره، كما تمكن من تصنيف المناطق الخطرة التي تزداد فيها الكثافة بشكل مفاجئ، وهو ما يتيح للجهات التنظيمية اتخاذ قرارات استباقية قبل حدوث الازدحام أو التدافع.</w:t>
      </w:r>
    </w:p>
    <w:p w14:paraId="66A3CEF5"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rPr>
        <w:t>تتوافق هذه الدراسة مع الدراسة الحالية في إبراز الدور المحوري للتكنولوجيا الذكية في تعزيز كفاءة إدارة الحشود، لكن تركيزها انصبّ على تطوير نموذج تقني تجريبي لتحليل الكثافة الحركية</w:t>
      </w:r>
      <w:r w:rsidRPr="00A25019">
        <w:rPr>
          <w:rFonts w:ascii="Simplified Arabic" w:hAnsi="Simplified Arabic" w:cs="Simplified Arabic"/>
          <w:color w:val="EE0000"/>
          <w:sz w:val="28"/>
          <w:szCs w:val="28"/>
          <w:rtl/>
          <w:lang w:bidi="ar-EG"/>
        </w:rPr>
        <w:t>.</w:t>
      </w:r>
    </w:p>
    <w:p w14:paraId="35476A4A" w14:textId="77777777" w:rsidR="00A25019" w:rsidRPr="00A25019" w:rsidRDefault="00A25019" w:rsidP="00A2501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A25019">
        <w:rPr>
          <w:rFonts w:ascii="Times New Roman" w:eastAsia="Times New Roman" w:hAnsi="Times New Roman" w:cs="Times New Roman"/>
          <w:b/>
          <w:bCs/>
          <w:kern w:val="0"/>
          <w:sz w:val="36"/>
          <w:szCs w:val="36"/>
          <w:rtl/>
          <w14:ligatures w14:val="none"/>
        </w:rPr>
        <w:t>جدول (2): ملخص للدراسات السابقة المتعلقة بكفاءة إدارة الحشود</w:t>
      </w:r>
    </w:p>
    <w:tbl>
      <w:tblPr>
        <w:tblStyle w:val="TableGrid"/>
        <w:bidiVisual/>
        <w:tblW w:w="0" w:type="auto"/>
        <w:tblLook w:val="04A0" w:firstRow="1" w:lastRow="0" w:firstColumn="1" w:lastColumn="0" w:noHBand="0" w:noVBand="1"/>
      </w:tblPr>
      <w:tblGrid>
        <w:gridCol w:w="1153"/>
        <w:gridCol w:w="1657"/>
        <w:gridCol w:w="1105"/>
        <w:gridCol w:w="1275"/>
        <w:gridCol w:w="1276"/>
        <w:gridCol w:w="1134"/>
        <w:gridCol w:w="1416"/>
      </w:tblGrid>
      <w:tr w:rsidR="00A25019" w:rsidRPr="00A25019" w14:paraId="7881FCF7" w14:textId="77777777" w:rsidTr="00803095">
        <w:tc>
          <w:tcPr>
            <w:tcW w:w="1153" w:type="dxa"/>
            <w:hideMark/>
          </w:tcPr>
          <w:p w14:paraId="0FC57832" w14:textId="77777777" w:rsidR="00A25019" w:rsidRPr="00A25019" w:rsidRDefault="00A25019" w:rsidP="00A25019">
            <w:pPr>
              <w:jc w:val="center"/>
              <w:rPr>
                <w:rFonts w:ascii="Simplified Arabic" w:eastAsia="Times New Roman" w:hAnsi="Simplified Arabic" w:cs="Simplified Arabic"/>
                <w:b/>
                <w:bCs/>
                <w:color w:val="EE0000"/>
                <w:kern w:val="0"/>
                <w14:ligatures w14:val="none"/>
              </w:rPr>
            </w:pPr>
            <w:r w:rsidRPr="00A25019">
              <w:rPr>
                <w:rFonts w:ascii="Simplified Arabic" w:eastAsia="Times New Roman" w:hAnsi="Simplified Arabic" w:cs="Simplified Arabic"/>
                <w:b/>
                <w:bCs/>
                <w:color w:val="EE0000"/>
                <w:kern w:val="0"/>
                <w:rtl/>
                <w14:ligatures w14:val="none"/>
              </w:rPr>
              <w:lastRenderedPageBreak/>
              <w:t>الباحث / السنة</w:t>
            </w:r>
          </w:p>
        </w:tc>
        <w:tc>
          <w:tcPr>
            <w:tcW w:w="1657" w:type="dxa"/>
            <w:hideMark/>
          </w:tcPr>
          <w:p w14:paraId="25A0CB71" w14:textId="77777777" w:rsidR="00A25019" w:rsidRPr="00A25019" w:rsidRDefault="00A25019" w:rsidP="00A25019">
            <w:pPr>
              <w:jc w:val="center"/>
              <w:rPr>
                <w:rFonts w:ascii="Simplified Arabic" w:eastAsia="Times New Roman" w:hAnsi="Simplified Arabic" w:cs="Simplified Arabic"/>
                <w:b/>
                <w:bCs/>
                <w:color w:val="EE0000"/>
                <w:kern w:val="0"/>
                <w14:ligatures w14:val="none"/>
              </w:rPr>
            </w:pPr>
            <w:r w:rsidRPr="00A25019">
              <w:rPr>
                <w:rFonts w:ascii="Simplified Arabic" w:eastAsia="Times New Roman" w:hAnsi="Simplified Arabic" w:cs="Simplified Arabic"/>
                <w:b/>
                <w:bCs/>
                <w:color w:val="EE0000"/>
                <w:kern w:val="0"/>
                <w:rtl/>
                <w14:ligatures w14:val="none"/>
              </w:rPr>
              <w:t>عنوان الدراسة</w:t>
            </w:r>
          </w:p>
        </w:tc>
        <w:tc>
          <w:tcPr>
            <w:tcW w:w="1105" w:type="dxa"/>
            <w:hideMark/>
          </w:tcPr>
          <w:p w14:paraId="24A96726" w14:textId="77777777" w:rsidR="00A25019" w:rsidRPr="00A25019" w:rsidRDefault="00A25019" w:rsidP="00A25019">
            <w:pPr>
              <w:jc w:val="center"/>
              <w:rPr>
                <w:rFonts w:ascii="Simplified Arabic" w:eastAsia="Times New Roman" w:hAnsi="Simplified Arabic" w:cs="Simplified Arabic"/>
                <w:b/>
                <w:bCs/>
                <w:color w:val="EE0000"/>
                <w:kern w:val="0"/>
                <w14:ligatures w14:val="none"/>
              </w:rPr>
            </w:pPr>
            <w:r w:rsidRPr="00A25019">
              <w:rPr>
                <w:rFonts w:ascii="Simplified Arabic" w:eastAsia="Times New Roman" w:hAnsi="Simplified Arabic" w:cs="Simplified Arabic"/>
                <w:b/>
                <w:bCs/>
                <w:color w:val="EE0000"/>
                <w:kern w:val="0"/>
                <w:rtl/>
                <w14:ligatures w14:val="none"/>
              </w:rPr>
              <w:t>الهدف الرئيس</w:t>
            </w:r>
          </w:p>
        </w:tc>
        <w:tc>
          <w:tcPr>
            <w:tcW w:w="1275" w:type="dxa"/>
            <w:hideMark/>
          </w:tcPr>
          <w:p w14:paraId="11E6E005" w14:textId="77777777" w:rsidR="00A25019" w:rsidRPr="00A25019" w:rsidRDefault="00A25019" w:rsidP="00A25019">
            <w:pPr>
              <w:jc w:val="center"/>
              <w:rPr>
                <w:rFonts w:ascii="Simplified Arabic" w:eastAsia="Times New Roman" w:hAnsi="Simplified Arabic" w:cs="Simplified Arabic"/>
                <w:b/>
                <w:bCs/>
                <w:color w:val="EE0000"/>
                <w:kern w:val="0"/>
                <w14:ligatures w14:val="none"/>
              </w:rPr>
            </w:pPr>
            <w:r w:rsidRPr="00A25019">
              <w:rPr>
                <w:rFonts w:ascii="Simplified Arabic" w:eastAsia="Times New Roman" w:hAnsi="Simplified Arabic" w:cs="Simplified Arabic"/>
                <w:b/>
                <w:bCs/>
                <w:color w:val="EE0000"/>
                <w:kern w:val="0"/>
                <w:rtl/>
                <w14:ligatures w14:val="none"/>
              </w:rPr>
              <w:t>المتغيرات الرئيسة</w:t>
            </w:r>
          </w:p>
        </w:tc>
        <w:tc>
          <w:tcPr>
            <w:tcW w:w="1276" w:type="dxa"/>
            <w:hideMark/>
          </w:tcPr>
          <w:p w14:paraId="612CD0AB" w14:textId="77777777" w:rsidR="00A25019" w:rsidRPr="00A25019" w:rsidRDefault="00A25019" w:rsidP="00A25019">
            <w:pPr>
              <w:jc w:val="center"/>
              <w:rPr>
                <w:rFonts w:ascii="Simplified Arabic" w:eastAsia="Times New Roman" w:hAnsi="Simplified Arabic" w:cs="Simplified Arabic"/>
                <w:b/>
                <w:bCs/>
                <w:color w:val="EE0000"/>
                <w:kern w:val="0"/>
                <w14:ligatures w14:val="none"/>
              </w:rPr>
            </w:pPr>
            <w:r w:rsidRPr="00A25019">
              <w:rPr>
                <w:rFonts w:ascii="Simplified Arabic" w:eastAsia="Times New Roman" w:hAnsi="Simplified Arabic" w:cs="Simplified Arabic"/>
                <w:b/>
                <w:bCs/>
                <w:color w:val="EE0000"/>
                <w:kern w:val="0"/>
                <w:rtl/>
                <w14:ligatures w14:val="none"/>
              </w:rPr>
              <w:t>المنهج والأداة</w:t>
            </w:r>
          </w:p>
        </w:tc>
        <w:tc>
          <w:tcPr>
            <w:tcW w:w="1134" w:type="dxa"/>
            <w:hideMark/>
          </w:tcPr>
          <w:p w14:paraId="0F4E1A73" w14:textId="77777777" w:rsidR="00A25019" w:rsidRPr="00A25019" w:rsidRDefault="00A25019" w:rsidP="00A25019">
            <w:pPr>
              <w:jc w:val="center"/>
              <w:rPr>
                <w:rFonts w:ascii="Simplified Arabic" w:eastAsia="Times New Roman" w:hAnsi="Simplified Arabic" w:cs="Simplified Arabic"/>
                <w:b/>
                <w:bCs/>
                <w:color w:val="EE0000"/>
                <w:kern w:val="0"/>
                <w14:ligatures w14:val="none"/>
              </w:rPr>
            </w:pPr>
            <w:r w:rsidRPr="00A25019">
              <w:rPr>
                <w:rFonts w:ascii="Simplified Arabic" w:eastAsia="Times New Roman" w:hAnsi="Simplified Arabic" w:cs="Simplified Arabic"/>
                <w:b/>
                <w:bCs/>
                <w:color w:val="EE0000"/>
                <w:kern w:val="0"/>
                <w:rtl/>
                <w14:ligatures w14:val="none"/>
              </w:rPr>
              <w:t>أبرز النتائج</w:t>
            </w:r>
          </w:p>
        </w:tc>
        <w:tc>
          <w:tcPr>
            <w:tcW w:w="1416" w:type="dxa"/>
            <w:hideMark/>
          </w:tcPr>
          <w:p w14:paraId="42595796" w14:textId="77777777" w:rsidR="00A25019" w:rsidRPr="00A25019" w:rsidRDefault="00A25019" w:rsidP="00A25019">
            <w:pPr>
              <w:jc w:val="center"/>
              <w:rPr>
                <w:rFonts w:ascii="Simplified Arabic" w:eastAsia="Times New Roman" w:hAnsi="Simplified Arabic" w:cs="Simplified Arabic"/>
                <w:b/>
                <w:bCs/>
                <w:color w:val="EE0000"/>
                <w:kern w:val="0"/>
                <w14:ligatures w14:val="none"/>
              </w:rPr>
            </w:pPr>
            <w:r w:rsidRPr="00A25019">
              <w:rPr>
                <w:rFonts w:ascii="Simplified Arabic" w:eastAsia="Times New Roman" w:hAnsi="Simplified Arabic" w:cs="Simplified Arabic"/>
                <w:b/>
                <w:bCs/>
                <w:color w:val="EE0000"/>
                <w:kern w:val="0"/>
                <w:rtl/>
                <w14:ligatures w14:val="none"/>
              </w:rPr>
              <w:t>أوجه الاتفاق والاختلاف مع الدراسة الحالية</w:t>
            </w:r>
          </w:p>
        </w:tc>
      </w:tr>
      <w:tr w:rsidR="00A25019" w:rsidRPr="00A25019" w14:paraId="23E64F1D" w14:textId="77777777" w:rsidTr="00803095">
        <w:tc>
          <w:tcPr>
            <w:tcW w:w="1153" w:type="dxa"/>
            <w:hideMark/>
          </w:tcPr>
          <w:p w14:paraId="2DD28A04"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الحناوي وآخرون</w:t>
            </w:r>
            <w:r w:rsidRPr="00A25019">
              <w:rPr>
                <w:rFonts w:ascii="Simplified Arabic" w:eastAsia="Times New Roman" w:hAnsi="Simplified Arabic" w:cs="Simplified Arabic"/>
                <w:color w:val="EE0000"/>
                <w:kern w:val="0"/>
                <w14:ligatures w14:val="none"/>
              </w:rPr>
              <w:t xml:space="preserve"> (2023)</w:t>
            </w:r>
          </w:p>
        </w:tc>
        <w:tc>
          <w:tcPr>
            <w:tcW w:w="1657" w:type="dxa"/>
            <w:hideMark/>
          </w:tcPr>
          <w:p w14:paraId="01057FB8"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علاقة طب الحشود بإدارة الحشود في الحج والعمرة</w:t>
            </w:r>
          </w:p>
        </w:tc>
        <w:tc>
          <w:tcPr>
            <w:tcW w:w="1105" w:type="dxa"/>
            <w:hideMark/>
          </w:tcPr>
          <w:p w14:paraId="4B01552A"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تحليل العلاقة بين الجاهزية الطبية وكفاءة إدارة الحشود</w:t>
            </w:r>
          </w:p>
        </w:tc>
        <w:tc>
          <w:tcPr>
            <w:tcW w:w="1275" w:type="dxa"/>
            <w:hideMark/>
          </w:tcPr>
          <w:p w14:paraId="0D2D0341"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المستقل: طب الحشود (الإسعاف، الرصد، التنسيق الطبي)</w:t>
            </w:r>
            <w:r w:rsidRPr="00A25019">
              <w:rPr>
                <w:rFonts w:ascii="Simplified Arabic" w:eastAsia="Times New Roman" w:hAnsi="Simplified Arabic" w:cs="Simplified Arabic"/>
                <w:color w:val="EE0000"/>
                <w:kern w:val="0"/>
                <w14:ligatures w14:val="none"/>
              </w:rPr>
              <w:br/>
            </w:r>
            <w:r w:rsidRPr="00A25019">
              <w:rPr>
                <w:rFonts w:ascii="Simplified Arabic" w:eastAsia="Times New Roman" w:hAnsi="Simplified Arabic" w:cs="Simplified Arabic"/>
                <w:color w:val="EE0000"/>
                <w:kern w:val="0"/>
                <w:rtl/>
                <w14:ligatures w14:val="none"/>
              </w:rPr>
              <w:t>التابع: كفاءة إدارة الحشود</w:t>
            </w:r>
          </w:p>
        </w:tc>
        <w:tc>
          <w:tcPr>
            <w:tcW w:w="1276" w:type="dxa"/>
            <w:hideMark/>
          </w:tcPr>
          <w:p w14:paraId="12E28F23"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وصفي تحليلي – تقارير ومقابلات</w:t>
            </w:r>
          </w:p>
        </w:tc>
        <w:tc>
          <w:tcPr>
            <w:tcW w:w="1134" w:type="dxa"/>
            <w:hideMark/>
          </w:tcPr>
          <w:p w14:paraId="1899DFE0"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الجاهزية الطبية تعزز سرعة الاستجابة وتحد من المخاطر</w:t>
            </w:r>
          </w:p>
        </w:tc>
        <w:tc>
          <w:tcPr>
            <w:tcW w:w="1416" w:type="dxa"/>
            <w:hideMark/>
          </w:tcPr>
          <w:p w14:paraId="622E43A7"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تتفق في اعتبار كفاءة إدارة الحشود متغيرًا تابعًا، وتختلف في نوع المتغير المستقل</w:t>
            </w:r>
          </w:p>
        </w:tc>
      </w:tr>
      <w:tr w:rsidR="00A25019" w:rsidRPr="00A25019" w14:paraId="452A1F80" w14:textId="77777777" w:rsidTr="00803095">
        <w:tc>
          <w:tcPr>
            <w:tcW w:w="1153" w:type="dxa"/>
            <w:hideMark/>
          </w:tcPr>
          <w:p w14:paraId="5575BF29"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الحناوي وآخرون</w:t>
            </w:r>
            <w:r w:rsidRPr="00A25019">
              <w:rPr>
                <w:rFonts w:ascii="Simplified Arabic" w:eastAsia="Times New Roman" w:hAnsi="Simplified Arabic" w:cs="Simplified Arabic"/>
                <w:color w:val="EE0000"/>
                <w:kern w:val="0"/>
                <w14:ligatures w14:val="none"/>
              </w:rPr>
              <w:t xml:space="preserve"> (2022)</w:t>
            </w:r>
          </w:p>
        </w:tc>
        <w:tc>
          <w:tcPr>
            <w:tcW w:w="1657" w:type="dxa"/>
            <w:hideMark/>
          </w:tcPr>
          <w:p w14:paraId="21336781"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دور قطاع الرعاية الصحية في إدارة الحشود</w:t>
            </w:r>
          </w:p>
        </w:tc>
        <w:tc>
          <w:tcPr>
            <w:tcW w:w="1105" w:type="dxa"/>
            <w:hideMark/>
          </w:tcPr>
          <w:p w14:paraId="4C169103"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استكشاف دور القطاع الصحي في دعم إدارة الحشود</w:t>
            </w:r>
          </w:p>
        </w:tc>
        <w:tc>
          <w:tcPr>
            <w:tcW w:w="1275" w:type="dxa"/>
            <w:hideMark/>
          </w:tcPr>
          <w:p w14:paraId="18C5EF11"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المستقل: أداء قطاع الرعاية الصحية</w:t>
            </w:r>
            <w:r w:rsidRPr="00A25019">
              <w:rPr>
                <w:rFonts w:ascii="Simplified Arabic" w:eastAsia="Times New Roman" w:hAnsi="Simplified Arabic" w:cs="Simplified Arabic"/>
                <w:color w:val="EE0000"/>
                <w:kern w:val="0"/>
                <w14:ligatures w14:val="none"/>
              </w:rPr>
              <w:br/>
            </w:r>
            <w:r w:rsidRPr="00A25019">
              <w:rPr>
                <w:rFonts w:ascii="Simplified Arabic" w:eastAsia="Times New Roman" w:hAnsi="Simplified Arabic" w:cs="Simplified Arabic"/>
                <w:color w:val="EE0000"/>
                <w:kern w:val="0"/>
                <w:rtl/>
                <w14:ligatures w14:val="none"/>
              </w:rPr>
              <w:t>التابع: إدارة الحشود</w:t>
            </w:r>
          </w:p>
        </w:tc>
        <w:tc>
          <w:tcPr>
            <w:tcW w:w="1276" w:type="dxa"/>
            <w:hideMark/>
          </w:tcPr>
          <w:p w14:paraId="7C7123E2"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وصفي/كمي – وثائق وتقارير</w:t>
            </w:r>
          </w:p>
        </w:tc>
        <w:tc>
          <w:tcPr>
            <w:tcW w:w="1134" w:type="dxa"/>
            <w:hideMark/>
          </w:tcPr>
          <w:p w14:paraId="1B7A8499"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التنسيق الصحي–الأمني عامل حاسم لسلامة الحشود</w:t>
            </w:r>
          </w:p>
        </w:tc>
        <w:tc>
          <w:tcPr>
            <w:tcW w:w="1416" w:type="dxa"/>
            <w:hideMark/>
          </w:tcPr>
          <w:p w14:paraId="463D9FD9"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تتفق في الهدف العام، وتختلف في زاوية التحليل (الصحة مقابل الاستدامة والتقنية)</w:t>
            </w:r>
          </w:p>
        </w:tc>
      </w:tr>
      <w:tr w:rsidR="00A25019" w:rsidRPr="00A25019" w14:paraId="2E7F735A" w14:textId="77777777" w:rsidTr="00803095">
        <w:tc>
          <w:tcPr>
            <w:tcW w:w="1153" w:type="dxa"/>
            <w:hideMark/>
          </w:tcPr>
          <w:p w14:paraId="7C0738E7"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عياد</w:t>
            </w:r>
            <w:r w:rsidRPr="00A25019">
              <w:rPr>
                <w:rFonts w:ascii="Simplified Arabic" w:eastAsia="Times New Roman" w:hAnsi="Simplified Arabic" w:cs="Simplified Arabic"/>
                <w:color w:val="EE0000"/>
                <w:kern w:val="0"/>
                <w14:ligatures w14:val="none"/>
              </w:rPr>
              <w:t xml:space="preserve"> (2022)</w:t>
            </w:r>
          </w:p>
        </w:tc>
        <w:tc>
          <w:tcPr>
            <w:tcW w:w="1657" w:type="dxa"/>
            <w:hideMark/>
          </w:tcPr>
          <w:p w14:paraId="3C1EFA18"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دور الإدارة الإلكترونية في تحسين إدارة الحشود</w:t>
            </w:r>
          </w:p>
        </w:tc>
        <w:tc>
          <w:tcPr>
            <w:tcW w:w="1105" w:type="dxa"/>
            <w:hideMark/>
          </w:tcPr>
          <w:p w14:paraId="0B6D2E15"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قياس أثر الإدارة الإلكترونية على كفاءة إدارة الحشود</w:t>
            </w:r>
          </w:p>
        </w:tc>
        <w:tc>
          <w:tcPr>
            <w:tcW w:w="1275" w:type="dxa"/>
            <w:hideMark/>
          </w:tcPr>
          <w:p w14:paraId="768D9A6A"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المستقل: الإدارة الإلكترونية (نظم، قواعد بيانات، رقابة)</w:t>
            </w:r>
            <w:r w:rsidRPr="00A25019">
              <w:rPr>
                <w:rFonts w:ascii="Simplified Arabic" w:eastAsia="Times New Roman" w:hAnsi="Simplified Arabic" w:cs="Simplified Arabic"/>
                <w:color w:val="EE0000"/>
                <w:kern w:val="0"/>
                <w14:ligatures w14:val="none"/>
              </w:rPr>
              <w:br/>
            </w:r>
            <w:r w:rsidRPr="00A25019">
              <w:rPr>
                <w:rFonts w:ascii="Simplified Arabic" w:eastAsia="Times New Roman" w:hAnsi="Simplified Arabic" w:cs="Simplified Arabic"/>
                <w:color w:val="EE0000"/>
                <w:kern w:val="0"/>
                <w:rtl/>
                <w14:ligatures w14:val="none"/>
              </w:rPr>
              <w:t>التابع: كفاءة إدارة الحشود</w:t>
            </w:r>
          </w:p>
        </w:tc>
        <w:tc>
          <w:tcPr>
            <w:tcW w:w="1276" w:type="dxa"/>
            <w:hideMark/>
          </w:tcPr>
          <w:p w14:paraId="3169DCF4"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وصفي – استبانة</w:t>
            </w:r>
          </w:p>
        </w:tc>
        <w:tc>
          <w:tcPr>
            <w:tcW w:w="1134" w:type="dxa"/>
            <w:hideMark/>
          </w:tcPr>
          <w:p w14:paraId="454E4DA3"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تحسن ملحوظ في التنسيق وتقليل الازدحام</w:t>
            </w:r>
          </w:p>
        </w:tc>
        <w:tc>
          <w:tcPr>
            <w:tcW w:w="1416" w:type="dxa"/>
            <w:hideMark/>
          </w:tcPr>
          <w:p w14:paraId="68054D9D"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تتقاطع في دور التقنية، لكنها تركز على الإدارة الإلكترونية التقليدية</w:t>
            </w:r>
          </w:p>
        </w:tc>
      </w:tr>
      <w:tr w:rsidR="00A25019" w:rsidRPr="00A25019" w14:paraId="5A387D8F" w14:textId="77777777" w:rsidTr="00803095">
        <w:tc>
          <w:tcPr>
            <w:tcW w:w="1153" w:type="dxa"/>
            <w:hideMark/>
          </w:tcPr>
          <w:p w14:paraId="6A790C13"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اليوسف</w:t>
            </w:r>
            <w:r w:rsidRPr="00A25019">
              <w:rPr>
                <w:rFonts w:ascii="Simplified Arabic" w:eastAsia="Times New Roman" w:hAnsi="Simplified Arabic" w:cs="Simplified Arabic"/>
                <w:color w:val="EE0000"/>
                <w:kern w:val="0"/>
                <w14:ligatures w14:val="none"/>
              </w:rPr>
              <w:t xml:space="preserve"> (2016)</w:t>
            </w:r>
          </w:p>
        </w:tc>
        <w:tc>
          <w:tcPr>
            <w:tcW w:w="1657" w:type="dxa"/>
            <w:hideMark/>
          </w:tcPr>
          <w:p w14:paraId="40D12093"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إدارة الحشود: الأمن والحياة</w:t>
            </w:r>
          </w:p>
        </w:tc>
        <w:tc>
          <w:tcPr>
            <w:tcW w:w="1105" w:type="dxa"/>
            <w:hideMark/>
          </w:tcPr>
          <w:p w14:paraId="31DB81EB"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تأصيل مفهوم إدارة الحشود وأبعاده</w:t>
            </w:r>
          </w:p>
        </w:tc>
        <w:tc>
          <w:tcPr>
            <w:tcW w:w="1275" w:type="dxa"/>
            <w:hideMark/>
          </w:tcPr>
          <w:p w14:paraId="4D13D808"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المتغير المركزي: إدارة الحشود</w:t>
            </w:r>
          </w:p>
        </w:tc>
        <w:tc>
          <w:tcPr>
            <w:tcW w:w="1276" w:type="dxa"/>
            <w:hideMark/>
          </w:tcPr>
          <w:p w14:paraId="0D538593"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وصفي تحليلي – وثائق وخطط</w:t>
            </w:r>
          </w:p>
        </w:tc>
        <w:tc>
          <w:tcPr>
            <w:tcW w:w="1134" w:type="dxa"/>
            <w:hideMark/>
          </w:tcPr>
          <w:p w14:paraId="583803A3"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الانسيابية، الجاهزية، وسرعة الاستجابة عناصر أساسية</w:t>
            </w:r>
          </w:p>
        </w:tc>
        <w:tc>
          <w:tcPr>
            <w:tcW w:w="1416" w:type="dxa"/>
            <w:hideMark/>
          </w:tcPr>
          <w:p w14:paraId="77F056A2"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دراسة تأسيسية اعتمدت لتحديد أبعاد كفاءة إدارة الحشود</w:t>
            </w:r>
          </w:p>
        </w:tc>
      </w:tr>
      <w:tr w:rsidR="00A25019" w:rsidRPr="00A25019" w14:paraId="04C49544" w14:textId="77777777" w:rsidTr="00803095">
        <w:tc>
          <w:tcPr>
            <w:tcW w:w="1153" w:type="dxa"/>
            <w:hideMark/>
          </w:tcPr>
          <w:p w14:paraId="4435C8C4"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14:ligatures w14:val="none"/>
              </w:rPr>
              <w:t>Grimes et al. (2024)</w:t>
            </w:r>
          </w:p>
        </w:tc>
        <w:tc>
          <w:tcPr>
            <w:tcW w:w="1657" w:type="dxa"/>
            <w:hideMark/>
          </w:tcPr>
          <w:p w14:paraId="5E63DDAB"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14:ligatures w14:val="none"/>
              </w:rPr>
              <w:t xml:space="preserve">Crowd-Related Considerations at Mass </w:t>
            </w:r>
            <w:r w:rsidRPr="00A25019">
              <w:rPr>
                <w:rFonts w:ascii="Simplified Arabic" w:eastAsia="Times New Roman" w:hAnsi="Simplified Arabic" w:cs="Simplified Arabic"/>
                <w:color w:val="EE0000"/>
                <w:kern w:val="0"/>
                <w14:ligatures w14:val="none"/>
              </w:rPr>
              <w:lastRenderedPageBreak/>
              <w:t>Gathering Events</w:t>
            </w:r>
          </w:p>
        </w:tc>
        <w:tc>
          <w:tcPr>
            <w:tcW w:w="1105" w:type="dxa"/>
            <w:hideMark/>
          </w:tcPr>
          <w:p w14:paraId="383BDA7D"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lastRenderedPageBreak/>
              <w:t>تحليل إدارة الحشود في الفعاليات الكبرى</w:t>
            </w:r>
          </w:p>
        </w:tc>
        <w:tc>
          <w:tcPr>
            <w:tcW w:w="1275" w:type="dxa"/>
            <w:hideMark/>
          </w:tcPr>
          <w:p w14:paraId="6B39C06E"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المستقل: ممارسات إدارة الحشود</w:t>
            </w:r>
            <w:r w:rsidRPr="00A25019">
              <w:rPr>
                <w:rFonts w:ascii="Simplified Arabic" w:eastAsia="Times New Roman" w:hAnsi="Simplified Arabic" w:cs="Simplified Arabic"/>
                <w:color w:val="EE0000"/>
                <w:kern w:val="0"/>
                <w14:ligatures w14:val="none"/>
              </w:rPr>
              <w:br/>
            </w:r>
            <w:r w:rsidRPr="00A25019">
              <w:rPr>
                <w:rFonts w:ascii="Simplified Arabic" w:eastAsia="Times New Roman" w:hAnsi="Simplified Arabic" w:cs="Simplified Arabic"/>
                <w:color w:val="EE0000"/>
                <w:kern w:val="0"/>
                <w:rtl/>
                <w14:ligatures w14:val="none"/>
              </w:rPr>
              <w:t xml:space="preserve">التابع: </w:t>
            </w:r>
            <w:r w:rsidRPr="00A25019">
              <w:rPr>
                <w:rFonts w:ascii="Simplified Arabic" w:eastAsia="Times New Roman" w:hAnsi="Simplified Arabic" w:cs="Simplified Arabic"/>
                <w:color w:val="EE0000"/>
                <w:kern w:val="0"/>
                <w:rtl/>
                <w14:ligatures w14:val="none"/>
              </w:rPr>
              <w:lastRenderedPageBreak/>
              <w:t>السلامة وكفاءة الحركة</w:t>
            </w:r>
          </w:p>
        </w:tc>
        <w:tc>
          <w:tcPr>
            <w:tcW w:w="1276" w:type="dxa"/>
            <w:hideMark/>
          </w:tcPr>
          <w:p w14:paraId="21981FB1"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lastRenderedPageBreak/>
              <w:t>وصفي تحليلي – دراسات حالة</w:t>
            </w:r>
          </w:p>
        </w:tc>
        <w:tc>
          <w:tcPr>
            <w:tcW w:w="1134" w:type="dxa"/>
            <w:hideMark/>
          </w:tcPr>
          <w:p w14:paraId="64049A26"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 xml:space="preserve">المراقبة اللحظية وفهم السلوك </w:t>
            </w:r>
            <w:r w:rsidRPr="00A25019">
              <w:rPr>
                <w:rFonts w:ascii="Simplified Arabic" w:eastAsia="Times New Roman" w:hAnsi="Simplified Arabic" w:cs="Simplified Arabic"/>
                <w:color w:val="EE0000"/>
                <w:kern w:val="0"/>
                <w:rtl/>
                <w14:ligatures w14:val="none"/>
              </w:rPr>
              <w:lastRenderedPageBreak/>
              <w:t>الجمعي ضروريان</w:t>
            </w:r>
          </w:p>
        </w:tc>
        <w:tc>
          <w:tcPr>
            <w:tcW w:w="1416" w:type="dxa"/>
            <w:hideMark/>
          </w:tcPr>
          <w:p w14:paraId="1F9A7D45"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lastRenderedPageBreak/>
              <w:t>تتفق نظريًا، وتختلف في عدم دمج الاستدامة</w:t>
            </w:r>
          </w:p>
        </w:tc>
      </w:tr>
      <w:tr w:rsidR="00A25019" w:rsidRPr="00A25019" w14:paraId="744661F5" w14:textId="77777777" w:rsidTr="00803095">
        <w:tc>
          <w:tcPr>
            <w:tcW w:w="1153" w:type="dxa"/>
            <w:hideMark/>
          </w:tcPr>
          <w:p w14:paraId="049EF2FA" w14:textId="77777777" w:rsidR="00A25019" w:rsidRPr="00A25019" w:rsidRDefault="00A25019" w:rsidP="00A25019">
            <w:pPr>
              <w:rPr>
                <w:rFonts w:ascii="Simplified Arabic" w:eastAsia="Times New Roman" w:hAnsi="Simplified Arabic" w:cs="Simplified Arabic"/>
                <w:color w:val="EE0000"/>
                <w:kern w:val="0"/>
                <w:rtl/>
                <w14:ligatures w14:val="none"/>
              </w:rPr>
            </w:pPr>
            <w:r w:rsidRPr="00A25019">
              <w:rPr>
                <w:rFonts w:ascii="Simplified Arabic" w:eastAsia="Times New Roman" w:hAnsi="Simplified Arabic" w:cs="Simplified Arabic"/>
                <w:color w:val="EE0000"/>
                <w:kern w:val="0"/>
                <w14:ligatures w14:val="none"/>
              </w:rPr>
              <w:t>Karmakar et al. (2024)</w:t>
            </w:r>
          </w:p>
        </w:tc>
        <w:tc>
          <w:tcPr>
            <w:tcW w:w="1657" w:type="dxa"/>
            <w:hideMark/>
          </w:tcPr>
          <w:p w14:paraId="60DC06CF"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14:ligatures w14:val="none"/>
              </w:rPr>
              <w:t>Intelligent Crowd Density and Motion Estimation</w:t>
            </w:r>
          </w:p>
        </w:tc>
        <w:tc>
          <w:tcPr>
            <w:tcW w:w="1105" w:type="dxa"/>
            <w:hideMark/>
          </w:tcPr>
          <w:p w14:paraId="73FE108F"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تطوير نموذج ذكي لتحليل كثافة واتجاه الحشود</w:t>
            </w:r>
          </w:p>
        </w:tc>
        <w:tc>
          <w:tcPr>
            <w:tcW w:w="1275" w:type="dxa"/>
            <w:hideMark/>
          </w:tcPr>
          <w:p w14:paraId="74CE2439"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المستقل: نظام ذكي قائم على الذكاء الاصطناعي</w:t>
            </w:r>
            <w:r w:rsidRPr="00A25019">
              <w:rPr>
                <w:rFonts w:ascii="Simplified Arabic" w:eastAsia="Times New Roman" w:hAnsi="Simplified Arabic" w:cs="Simplified Arabic"/>
                <w:color w:val="EE0000"/>
                <w:kern w:val="0"/>
                <w14:ligatures w14:val="none"/>
              </w:rPr>
              <w:br/>
            </w:r>
            <w:r w:rsidRPr="00A25019">
              <w:rPr>
                <w:rFonts w:ascii="Simplified Arabic" w:eastAsia="Times New Roman" w:hAnsi="Simplified Arabic" w:cs="Simplified Arabic"/>
                <w:color w:val="EE0000"/>
                <w:kern w:val="0"/>
                <w:rtl/>
                <w14:ligatures w14:val="none"/>
              </w:rPr>
              <w:t>التابع: دقة تحليل الحشود</w:t>
            </w:r>
          </w:p>
        </w:tc>
        <w:tc>
          <w:tcPr>
            <w:tcW w:w="1276" w:type="dxa"/>
            <w:hideMark/>
          </w:tcPr>
          <w:p w14:paraId="23509CAA"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تجريبي – تحليل فيديو</w:t>
            </w:r>
          </w:p>
        </w:tc>
        <w:tc>
          <w:tcPr>
            <w:tcW w:w="1134" w:type="dxa"/>
            <w:hideMark/>
          </w:tcPr>
          <w:p w14:paraId="6696E645"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دقة عالية</w:t>
            </w:r>
            <w:r w:rsidRPr="00A25019">
              <w:rPr>
                <w:rFonts w:ascii="Simplified Arabic" w:eastAsia="Times New Roman" w:hAnsi="Simplified Arabic" w:cs="Simplified Arabic"/>
                <w:color w:val="EE0000"/>
                <w:kern w:val="0"/>
                <w14:ligatures w14:val="none"/>
              </w:rPr>
              <w:t xml:space="preserve"> </w:t>
            </w:r>
            <w:r w:rsidRPr="00A25019">
              <w:rPr>
                <w:rFonts w:ascii="Simplified Arabic" w:eastAsia="Times New Roman" w:hAnsi="Simplified Arabic" w:cs="Simplified Arabic"/>
                <w:color w:val="EE0000"/>
                <w:kern w:val="0"/>
                <w:rtl/>
                <w14:ligatures w14:val="none"/>
              </w:rPr>
              <w:t>في التنبؤ بالحركة</w:t>
            </w:r>
          </w:p>
        </w:tc>
        <w:tc>
          <w:tcPr>
            <w:tcW w:w="1416" w:type="dxa"/>
            <w:hideMark/>
          </w:tcPr>
          <w:p w14:paraId="460CCDF7"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تتفق في إبراز دور التكنولوجيا الذكية، وتختلف في الطابع التجريبي التقني</w:t>
            </w:r>
          </w:p>
        </w:tc>
      </w:tr>
    </w:tbl>
    <w:p w14:paraId="4B28DD0E"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 xml:space="preserve">يُستخلص من تحليل دراسات هذه المجموعة أن كفاءة إدارة الحشود متغير متعدد الأبعاد يتأثر بعوامل متنوعة تتراوح بين الجاهزية الصحية (الحناوي وآخرون، 2022) والتقنيات الرقمية (عياد، </w:t>
      </w:r>
      <w:r w:rsidRPr="00A25019">
        <w:rPr>
          <w:rFonts w:ascii="Simplified Arabic" w:hAnsi="Simplified Arabic" w:cs="Simplified Arabic"/>
          <w:color w:val="EE0000"/>
          <w:sz w:val="28"/>
          <w:szCs w:val="28"/>
          <w:lang w:bidi="ar-EG"/>
        </w:rPr>
        <w:t>2022</w:t>
      </w:r>
      <w:r w:rsidRPr="00A25019">
        <w:rPr>
          <w:rFonts w:ascii="Simplified Arabic" w:hAnsi="Simplified Arabic" w:cs="Simplified Arabic"/>
          <w:color w:val="EE0000"/>
          <w:sz w:val="28"/>
          <w:szCs w:val="28"/>
          <w:rtl/>
        </w:rPr>
        <w:t>) والتنظيم المسبق والمراقبة اللحظية</w:t>
      </w:r>
      <w:r w:rsidRPr="00A25019">
        <w:rPr>
          <w:rFonts w:ascii="Simplified Arabic" w:hAnsi="Simplified Arabic" w:cs="Simplified Arabic"/>
          <w:color w:val="EE0000"/>
          <w:sz w:val="28"/>
          <w:szCs w:val="28"/>
          <w:lang w:bidi="ar-EG"/>
        </w:rPr>
        <w:t xml:space="preserve"> (Grimes et al., 2024) </w:t>
      </w:r>
      <w:r w:rsidRPr="00A25019">
        <w:rPr>
          <w:rFonts w:ascii="Simplified Arabic" w:hAnsi="Simplified Arabic" w:cs="Simplified Arabic"/>
          <w:color w:val="EE0000"/>
          <w:sz w:val="28"/>
          <w:szCs w:val="28"/>
          <w:rtl/>
        </w:rPr>
        <w:t>والأنظمة الذكية القائمة على الذكاء الاصطناعي</w:t>
      </w:r>
      <w:r w:rsidRPr="00A25019">
        <w:rPr>
          <w:rFonts w:ascii="Simplified Arabic" w:hAnsi="Simplified Arabic" w:cs="Simplified Arabic"/>
          <w:color w:val="EE0000"/>
          <w:sz w:val="28"/>
          <w:szCs w:val="28"/>
          <w:lang w:bidi="ar-EG"/>
        </w:rPr>
        <w:t xml:space="preserve"> (Karmakar et al., 2024).</w:t>
      </w:r>
    </w:p>
    <w:p w14:paraId="79B52F09"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 xml:space="preserve">ويُلاحظ أن الدراسات التي طُبقت في سياق الحج والعمرة تحديداً (الحناوي وآخرون، 2022، </w:t>
      </w:r>
      <w:r w:rsidRPr="00A25019">
        <w:rPr>
          <w:rFonts w:ascii="Simplified Arabic" w:hAnsi="Simplified Arabic" w:cs="Simplified Arabic"/>
          <w:color w:val="EE0000"/>
          <w:sz w:val="28"/>
          <w:szCs w:val="28"/>
          <w:lang w:bidi="ar-EG"/>
        </w:rPr>
        <w:t>2023</w:t>
      </w:r>
      <w:r w:rsidRPr="00A25019">
        <w:rPr>
          <w:rFonts w:ascii="Simplified Arabic" w:hAnsi="Simplified Arabic" w:cs="Simplified Arabic"/>
          <w:color w:val="EE0000"/>
          <w:sz w:val="28"/>
          <w:szCs w:val="28"/>
          <w:rtl/>
        </w:rPr>
        <w:t>؛ عياد، 2022؛ اليوسف، 2016) ركزت على عوامل مؤثرة منفردة دون أن تدمجها في إطار شامل يربط بين الاستدامة والتكنولوجيا وإدارة الحشود</w:t>
      </w:r>
      <w:r w:rsidRPr="00A25019">
        <w:rPr>
          <w:rFonts w:ascii="Simplified Arabic" w:hAnsi="Simplified Arabic" w:cs="Simplified Arabic"/>
          <w:color w:val="EE0000"/>
          <w:sz w:val="28"/>
          <w:szCs w:val="28"/>
          <w:lang w:bidi="ar-EG"/>
        </w:rPr>
        <w:t>.</w:t>
      </w:r>
    </w:p>
    <w:p w14:paraId="36DA5B04"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كما يُلاحظ تطور واضح في الأدبيات من التركيز على الجوانب التنظيمية والأمنية التقليدية — كما في دراسة اليوسف</w:t>
      </w:r>
      <w:r w:rsidRPr="00A25019">
        <w:rPr>
          <w:rFonts w:ascii="Simplified Arabic" w:hAnsi="Simplified Arabic" w:cs="Simplified Arabic"/>
          <w:color w:val="EE0000"/>
          <w:sz w:val="28"/>
          <w:szCs w:val="28"/>
          <w:lang w:bidi="ar-EG"/>
        </w:rPr>
        <w:t xml:space="preserve"> (2016) </w:t>
      </w:r>
      <w:r w:rsidRPr="00A25019">
        <w:rPr>
          <w:rFonts w:ascii="Simplified Arabic" w:hAnsi="Simplified Arabic" w:cs="Simplified Arabic"/>
          <w:color w:val="EE0000"/>
          <w:sz w:val="28"/>
          <w:szCs w:val="28"/>
          <w:rtl/>
        </w:rPr>
        <w:t>إلى إدماج التقنيات الذكية وتحليل البيانات الحية كما في دراسة</w:t>
      </w:r>
      <w:r w:rsidRPr="00A25019">
        <w:rPr>
          <w:rFonts w:ascii="Simplified Arabic" w:hAnsi="Simplified Arabic" w:cs="Simplified Arabic"/>
          <w:color w:val="EE0000"/>
          <w:sz w:val="28"/>
          <w:szCs w:val="28"/>
          <w:lang w:bidi="ar-EG"/>
        </w:rPr>
        <w:t xml:space="preserve"> Karmakar et al. (2024) </w:t>
      </w:r>
      <w:r w:rsidRPr="00A25019">
        <w:rPr>
          <w:rFonts w:ascii="Simplified Arabic" w:hAnsi="Simplified Arabic" w:cs="Simplified Arabic"/>
          <w:color w:val="EE0000"/>
          <w:sz w:val="28"/>
          <w:szCs w:val="28"/>
          <w:rtl/>
        </w:rPr>
        <w:t>التي حققت دقة تجاوزت 93% في تحليل كثافة الحشود واتجاه حركتها، وهذا التطور يؤكد أن كفاءة إدارة الحشود لم تعد تعتمد فقط على التخطيط المسبق والتدخل البشري، بل أصبحت تستلزم تكاملاً بين الممارسات التنظيمية والتقنيات الذكية، وهو التكامل الذي يسعى نموذج الدراسة الحالية إلى اختباره</w:t>
      </w:r>
      <w:r w:rsidRPr="00A25019">
        <w:rPr>
          <w:rFonts w:ascii="Simplified Arabic" w:hAnsi="Simplified Arabic" w:cs="Simplified Arabic"/>
          <w:color w:val="EE0000"/>
          <w:sz w:val="28"/>
          <w:szCs w:val="28"/>
          <w:lang w:bidi="ar-EG"/>
        </w:rPr>
        <w:t>.</w:t>
      </w:r>
    </w:p>
    <w:p w14:paraId="71E26DE9"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غير أن الفجوة المشتركة في دراسات هذه المجموعة تتمثل في أنها لم تبحث كيف يمكن لممارسات الاستدامة  بوصفها إطاراً تنظيمياً شاملاً أن تسهم في تعزيز كفاءة إدارة الحشود، سواء بشكل مباشر أو من خلال التكنولوجيا الذكية كآلية وسيطة</w:t>
      </w:r>
      <w:r w:rsidRPr="00A25019">
        <w:rPr>
          <w:rFonts w:ascii="Simplified Arabic" w:hAnsi="Simplified Arabic" w:cs="Simplified Arabic"/>
          <w:color w:val="EE0000"/>
          <w:sz w:val="28"/>
          <w:szCs w:val="28"/>
          <w:lang w:bidi="ar-EG"/>
        </w:rPr>
        <w:t>.</w:t>
      </w:r>
    </w:p>
    <w:p w14:paraId="169F6C19"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المجموعة الثالثة: الدراسات التي تناولت التكنولوجيا الذكية وعلاقته بالمتغيرات الأخرى.</w:t>
      </w:r>
    </w:p>
    <w:p w14:paraId="7D02B6A6"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دراسة صالحي (2021) بعنوان: القوة الذكية: التنافس العالمي على قوة الفضاء الإلكتروني والقدرات السيبرانية.</w:t>
      </w:r>
    </w:p>
    <w:p w14:paraId="6C25E7A7"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lastRenderedPageBreak/>
        <w:t>هدفت هذه الدراسة إلى تحليل مفهوم القوة الذكية في سياق الفضاء الإلكتروني والقدرات السيبرانية، موضحةً كيف أصبحت السيطرة على البنية التحتية الرقمية والسيادة المعلوماتية أحد عناصر التنافس الجيوسياسي بين الدول، حيث تناولت الدراسة المتغير المستقل المتمثل في القدرات السيبرانية ومظاهر القوة الذكية، بينما المتغير التابع تمثل في موقع الدول في النظام الدولي الرقمي المعاصر، وقد استخدمت الباحثة المنهج التحليلي من خلال مراجعة الأدبيات والمصادر الفكرية الغربية والعربية التي ناقشت تطور الفضاء الإلكتروني في العلاقات الدولية.</w:t>
      </w:r>
    </w:p>
    <w:p w14:paraId="0534DA7F"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وتوصلت الدراسة إلى أن القوة الذكية السيبرانية لم تعد رفاهية بل باتت ضرورة في بناء النفوذ الاستراتيجي، وأن امتلاك أدوات هجومية ودفاعية في المجال السيبراني يمثل ركيزة لفرض السيادة وحماية المصالح، كما أظهرت الدراسة تصاعد المخاطر الأخلاقية والأمنية المرتبطة باستخدام هذه القوة.</w:t>
      </w:r>
    </w:p>
    <w:p w14:paraId="57AEF21B"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lang w:bidi="ar-EG"/>
        </w:rPr>
        <w:t>تتقاطع دراسة صالحي (2021) مع الدراسة الحالية في إبراز أهمية التقنيات الرقمية الذكية ودورها في دعم القدرة المؤسسية على الاستجابة والتكيف، إلا أن نطاقها يظل استراتيجيًا وجيوسياسيًا، بينما تركز الدراسة الحالية على التطبيقات التشغيلية للتكنولوجيا الذكية في إدارة الحشود داخل منظومة الحج والعمرة.</w:t>
      </w:r>
    </w:p>
    <w:p w14:paraId="6D8AE9F2"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دراسة هاشم وعبد السادة (2023) بعنون: تكنولوجيا الاتصال: ماهيتها وآثارها.</w:t>
      </w:r>
    </w:p>
    <w:p w14:paraId="053DD796"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هدفت الدراسة إلى توضيح ماهية تكنولوجيا الاتصال وتحليل انعكاساتها الاجتماعية والثقافية والمعرفية، من خلال تناولها لأبرز خصائص وسائل الاتصال الرقمية المعاصرة وتأثيرها في تشكيل الوعي والسلوك الجماهيري، حيث المتغير المستقل هو تكنولوجيا الاتصال بأشكالها التفاعلية والرقمية، والمتغير التابع هو التحولات الاجتماعية والثقافية والمعرفية، وقد اعتمدت الدراسة على المنهج الوصفي التحليلي، من خلال تحليل محتوى النصوص والمصادر المتعلقة بالتطور الاتصالي وتفسيرها في ضوء الواقع العربي .</w:t>
      </w:r>
    </w:p>
    <w:p w14:paraId="308453E9"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وتوصلت الدراسة إلى أن تكنولوجيا الاتصال أفرزت فضاءً إعلاميًا مفتوحًا يحد من السيطرة التقليدية للدولة، كما أدت إلى تعزيز الأنماط الفردية للتواصل والتعبير، لكنها أيضًا ساهمت في نشر المعلومات المضللة وأثّرت على بنية العلاقات الاجتماعية.</w:t>
      </w:r>
    </w:p>
    <w:p w14:paraId="5F93D0E2"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lang w:bidi="ar-EG"/>
        </w:rPr>
        <w:t>تتقاطع هذه الدراسة مع الدراسة الحالية في تناولها لتكنولوجيا الاتصال كجزء من التحول الرقمي، إلا أنها تتناولها من منظور اجتماعي–ثقافي، بينما تركز الدراسة الحالية على التكنولوجيا الذكية بوصفها عنصرًا تشغيلـيًا يؤثر في كفاءة إدارة الحشود.</w:t>
      </w:r>
    </w:p>
    <w:p w14:paraId="44C153A1"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lastRenderedPageBreak/>
        <w:t>دراسة علي (2021) بعنوان: دور تكنولوجيا المعلومات والاتصالات في تحقيق الاستدامة البيئية.</w:t>
      </w:r>
    </w:p>
    <w:p w14:paraId="47B2260C"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سعت هذه الدراسة إلى الكشف عن دور تكنولوجيا المعلومات والاتصالات في دعم أهداف الاستدامة البيئية، مع التركيز على آليات تقليل الأثر البيئي وتحسين كفاءة الموارد، حيث المتغير المستقل هو تكنولوجيا المعلومات والاتصالات بأبعادها المتعلقة بالأنظمة الذكية وإدارة البيانات والاتصال المؤسسي، أما المتغير التابع فهو الاستدامة البيئية، وقد استخدمت الدراسة المنهج الكمي من خلال استبانة موجهة إلى العاملين في بعض المؤسسات الحكومية، إلى جانب المنهج التحليلي في تفسير النتائج،</w:t>
      </w:r>
    </w:p>
    <w:p w14:paraId="186A7D0B"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وتوصلت الدراسة إلى أن اعتماد تكنولوجيا المعلومات يساهم بشكل فعال في تحسين إدارة الموارد الطبيعية، وتخفيض نسب الانبعاثات من خلال الأنظمة الذكية للمراقبة والتحكم، كما أبرزت الدراسة ضعف الوعي المؤسسي بأهمية التحول الرقمي البيئي في بعض القطاعات،</w:t>
      </w:r>
    </w:p>
    <w:p w14:paraId="484BCAF0"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rPr>
        <w:t>تتوافق دراسة علي (2021) مع الدراسة الحالية في الربط بين التكنولوجيا والاستدامة، إلا أنها ركّزت على التأثير المباشر لتكنولوجيا المعلومات في تعزيز الاستدامة البيئية، بينما تعتمد الدراسة الحالية نموذجًا أكثر تكاملًا من خلال دراسة التكنولوجيا الذكية كمتغير وسيط يعزز أثر ممارسات الاستدامة على كفاءة إدارة الحشود</w:t>
      </w:r>
      <w:r w:rsidRPr="00A25019">
        <w:rPr>
          <w:rFonts w:ascii="Simplified Arabic" w:hAnsi="Simplified Arabic" w:cs="Simplified Arabic"/>
          <w:color w:val="EE0000"/>
          <w:sz w:val="28"/>
          <w:szCs w:val="28"/>
          <w:rtl/>
          <w:lang w:bidi="ar-EG"/>
        </w:rPr>
        <w:t>.</w:t>
      </w:r>
    </w:p>
    <w:p w14:paraId="1EB53F04"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 xml:space="preserve">دراسة </w:t>
      </w:r>
      <w:r w:rsidRPr="00A25019">
        <w:rPr>
          <w:rFonts w:ascii="Simplified Arabic" w:hAnsi="Simplified Arabic" w:cs="Simplified Arabic"/>
          <w:sz w:val="28"/>
          <w:szCs w:val="28"/>
          <w:lang w:bidi="ar-EG"/>
        </w:rPr>
        <w:t>Popova etal.,2023)</w:t>
      </w:r>
      <w:r w:rsidRPr="00A25019">
        <w:rPr>
          <w:rFonts w:ascii="Simplified Arabic" w:hAnsi="Simplified Arabic" w:cs="Simplified Arabic"/>
          <w:sz w:val="28"/>
          <w:szCs w:val="28"/>
          <w:rtl/>
          <w:lang w:bidi="ar-EG"/>
        </w:rPr>
        <w:t xml:space="preserve"> </w:t>
      </w:r>
      <w:r w:rsidRPr="00A25019">
        <w:rPr>
          <w:rFonts w:ascii="Simplified Arabic" w:hAnsi="Simplified Arabic" w:cs="Simplified Arabic"/>
          <w:sz w:val="28"/>
          <w:szCs w:val="28"/>
          <w:lang w:bidi="ar-EG"/>
        </w:rPr>
        <w:t>(</w:t>
      </w:r>
      <w:r w:rsidRPr="00A25019">
        <w:rPr>
          <w:rFonts w:ascii="Simplified Arabic" w:hAnsi="Simplified Arabic" w:cs="Simplified Arabic"/>
          <w:sz w:val="28"/>
          <w:szCs w:val="28"/>
          <w:rtl/>
          <w:lang w:bidi="ar-EG"/>
        </w:rPr>
        <w:t xml:space="preserve"> بعنوان: </w:t>
      </w:r>
      <w:r w:rsidRPr="00A25019">
        <w:rPr>
          <w:rFonts w:ascii="Simplified Arabic" w:hAnsi="Simplified Arabic" w:cs="Simplified Arabic"/>
          <w:sz w:val="28"/>
          <w:szCs w:val="28"/>
          <w:lang w:bidi="ar-EG"/>
        </w:rPr>
        <w:t>Assessment of relationships between smart technologies, corporate sustainability, and economic behavior of companies</w:t>
      </w:r>
      <w:r w:rsidRPr="00A25019">
        <w:rPr>
          <w:rFonts w:ascii="Simplified Arabic" w:hAnsi="Simplified Arabic" w:cs="Simplified Arabic"/>
          <w:sz w:val="28"/>
          <w:szCs w:val="28"/>
          <w:rtl/>
          <w:lang w:bidi="ar-EG"/>
        </w:rPr>
        <w:t>.</w:t>
      </w:r>
    </w:p>
    <w:p w14:paraId="2A3F5086"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هدفت هذه الدراسة إلى تقييم العلاقة بين استخدام التقنيات الذكية والاستدامة المؤسسية، وسلوك الشركات الاقتصادي، وذلك في سياق بيئات الأعمال الصناعية في أوروبا الشرقية، حيث المتغير المستقل هو التكنولوجيا الذكية، ويتضمن تطبيقات الذكاء الاصطناعي، إنترنت الأشياء، وأنظمة التحليل التنبئي، والمتغير التابع هو الاستدامة المؤسسية بأبعادها البيئية والاجتماعية والاقتصادية، في حين شمل النموذج متغيرًا وسيطًا يتمثل في السلوك الاقتصادي للشركات.</w:t>
      </w:r>
    </w:p>
    <w:p w14:paraId="5A00F6E0"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اتبعت الدراسة المنهج الكمي التحليلي، حيث تم جمع البيانات من خلال استبانة وزعت على مديري 150 شركة صناعية في أوكرانيا وروسيا، وتم تحليل العلاقات بين المتغيرات باستخدام نماذج الانحدار المتعدد والتحليل البنيوي.</w:t>
      </w:r>
    </w:p>
    <w:p w14:paraId="720BD32D"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lastRenderedPageBreak/>
        <w:t>وتوصلت الدراسة إلى أن اعتماد التكنولوجيا الذكية يعزز من قدرة الشركات على تحقيق الاستدامة، وخاصة من خلال تحسين الكفاءة التشغيلية وترشيد استخدام الموارد، كما أظهرت النتائج أن الشركات التي تبنّت ممارسات اقتصادية رشيدة مدعومة بتكنولوجيا ذكية كانت أكثر قدرة على الاستجابة للتغيرات البيئية وتحقيق الربحية المستدامة.</w:t>
      </w:r>
    </w:p>
    <w:p w14:paraId="4AB16374"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lang w:bidi="ar-EG"/>
        </w:rPr>
        <w:t xml:space="preserve">تتلاقى هذه الدراسة مع الدراسة الحالية في تناول التكنولوجيا الذكية بوصفها عنصرًا مؤثرًا في الاستدامة المؤسسية، غير أن الاختلاف الجوهري يكمن في سياق التطبيق؛ فقد ركزت </w:t>
      </w:r>
      <w:r w:rsidRPr="00A25019">
        <w:rPr>
          <w:rFonts w:ascii="Simplified Arabic" w:hAnsi="Simplified Arabic" w:cs="Simplified Arabic"/>
          <w:color w:val="EE0000"/>
          <w:sz w:val="28"/>
          <w:szCs w:val="28"/>
          <w:lang w:bidi="ar-EG"/>
        </w:rPr>
        <w:t>Popova et al</w:t>
      </w:r>
      <w:r w:rsidRPr="00A25019">
        <w:rPr>
          <w:rFonts w:ascii="Simplified Arabic" w:hAnsi="Simplified Arabic" w:cs="Simplified Arabic"/>
          <w:color w:val="EE0000"/>
          <w:sz w:val="28"/>
          <w:szCs w:val="28"/>
          <w:rtl/>
        </w:rPr>
        <w:t>، و</w:t>
      </w:r>
      <w:r w:rsidRPr="00A25019">
        <w:rPr>
          <w:rFonts w:ascii="Simplified Arabic" w:hAnsi="Simplified Arabic" w:cs="Simplified Arabic"/>
          <w:color w:val="EE0000"/>
          <w:sz w:val="28"/>
          <w:szCs w:val="28"/>
          <w:rtl/>
          <w:lang w:bidi="ar-EG"/>
        </w:rPr>
        <w:t>على القطاع الصناعي الأوروبي، بينما تتناول الدراسة الحالية قطاعًا ميدانيًا فريدًا يتمثل في إدارة الحشود خلال الحج والعمرة.</w:t>
      </w:r>
    </w:p>
    <w:p w14:paraId="12412798"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 xml:space="preserve">دراسة </w:t>
      </w:r>
      <w:r w:rsidRPr="00A25019">
        <w:rPr>
          <w:rFonts w:ascii="Simplified Arabic" w:hAnsi="Simplified Arabic" w:cs="Simplified Arabic"/>
          <w:b/>
          <w:bCs/>
          <w:sz w:val="28"/>
          <w:szCs w:val="28"/>
          <w:lang w:bidi="ar-EG"/>
        </w:rPr>
        <w:t>Mahmood</w:t>
      </w:r>
      <w:r w:rsidRPr="00A25019">
        <w:rPr>
          <w:rFonts w:ascii="Simplified Arabic" w:hAnsi="Simplified Arabic" w:cs="Simplified Arabic"/>
          <w:b/>
          <w:bCs/>
          <w:sz w:val="28"/>
          <w:szCs w:val="28"/>
          <w:rtl/>
          <w:lang w:bidi="ar-EG"/>
        </w:rPr>
        <w:t xml:space="preserve"> (2024) بعنوان: </w:t>
      </w:r>
      <w:r w:rsidRPr="00A25019">
        <w:rPr>
          <w:rFonts w:ascii="Simplified Arabic" w:hAnsi="Simplified Arabic" w:cs="Simplified Arabic"/>
          <w:b/>
          <w:bCs/>
          <w:sz w:val="28"/>
          <w:szCs w:val="28"/>
          <w:lang w:bidi="ar-EG"/>
        </w:rPr>
        <w:t>The Role of Smart Technology in the Field of Information Technology: A Systematic Review</w:t>
      </w:r>
      <w:r w:rsidRPr="00A25019">
        <w:rPr>
          <w:rFonts w:ascii="Simplified Arabic" w:hAnsi="Simplified Arabic" w:cs="Simplified Arabic"/>
          <w:b/>
          <w:bCs/>
          <w:sz w:val="28"/>
          <w:szCs w:val="28"/>
          <w:rtl/>
          <w:lang w:bidi="ar-EG"/>
        </w:rPr>
        <w:t>.</w:t>
      </w:r>
    </w:p>
    <w:p w14:paraId="6898AC83"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هدفت هذه الدراسة إلى تقديم مراجعة منهجية لدور التكنولوجيا الذكية في قطاع تكنولوجيا المعلومات، من خلال تحليل الأدبيات العلمية المنشورة خلال الفترة من 2015 إلى 2023، حيث المتغير المحوري هو التكنولوجيا الذكية، وتضمنت الدراسة أبعادًا مثل تطبيقات الذكاء الاصطناعي، الروبوتات، البلوكتشين، والتعلم الآلي، وتأثيرها على تطوير البنية التحتية التقنية، وأمن المعلومات، وكفاءة معالجة البيانات،</w:t>
      </w:r>
    </w:p>
    <w:p w14:paraId="441F0391"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اعتمدت الدراسة على المنهج النوعي من خلال مراجعة منهجية لأكثر من 60 دراسة منشورة في قواعد بيانات عالمية، وتم تصنيف نتائج الدراسات وفق محاور تطبيقية وتأثيرية، مع تحليل الفجوات المعرفية في كل محور.</w:t>
      </w:r>
    </w:p>
    <w:p w14:paraId="74D8B3AE"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وتوصلت الدراسة إلى أن التكنولوجيا الذكية أصبحت ركيزة أساسية في تطوير الأنظمة المعلوماتية، خاصة في مجالات تحليل البيانات الضخمة، التشغيل الآلي للعمليات، وتعزيز حماية البيانات، كما أن المؤسسات التي استثمرت في هذه التقنيات أظهرت مرونة أعلى في التكيف مع متطلبات الأمن السيبراني والتحول الرقمي.</w:t>
      </w:r>
    </w:p>
    <w:p w14:paraId="38720A87"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lang w:bidi="ar-EG"/>
        </w:rPr>
        <w:t xml:space="preserve">تدعم هذه الدراسة التوجه العام للدراسة الحالية التي تعتمد على التكنولوجيا الذكية كعامل وسيط، وذلك من خلال تأكيدها أهمية التقنيات الذكية في رفع الكفاءة التشغيلية وتعزيز القدرات التحليلية، إلا أن اختلاف </w:t>
      </w:r>
      <w:r w:rsidRPr="00A25019">
        <w:rPr>
          <w:rFonts w:ascii="Simplified Arabic" w:hAnsi="Simplified Arabic" w:cs="Simplified Arabic"/>
          <w:color w:val="EE0000"/>
          <w:sz w:val="28"/>
          <w:szCs w:val="28"/>
          <w:rtl/>
          <w:lang w:bidi="ar-EG"/>
        </w:rPr>
        <w:lastRenderedPageBreak/>
        <w:t xml:space="preserve">السياق واضح؛ فقد ركزت دراسة </w:t>
      </w:r>
      <w:r w:rsidRPr="00A25019">
        <w:rPr>
          <w:rFonts w:ascii="Simplified Arabic" w:hAnsi="Simplified Arabic" w:cs="Simplified Arabic"/>
          <w:color w:val="EE0000"/>
          <w:sz w:val="28"/>
          <w:szCs w:val="28"/>
          <w:lang w:bidi="ar-EG"/>
        </w:rPr>
        <w:t>Mahmood</w:t>
      </w:r>
      <w:r w:rsidRPr="00A25019">
        <w:rPr>
          <w:rFonts w:ascii="Simplified Arabic" w:hAnsi="Simplified Arabic" w:cs="Simplified Arabic"/>
          <w:color w:val="EE0000"/>
          <w:sz w:val="28"/>
          <w:szCs w:val="28"/>
          <w:rtl/>
          <w:lang w:bidi="ar-EG"/>
        </w:rPr>
        <w:t xml:space="preserve"> على قطاع تكنولوجيا المعلومات بصورة عامة، بينما تطبق الدراسة الحالية التكنولوجيا الذكية في سياق ميداني عالي الديناميكية وهو إدارة الحشود في الحج والعمرة.</w:t>
      </w:r>
    </w:p>
    <w:p w14:paraId="0A0AC1AD" w14:textId="77777777" w:rsidR="00A25019" w:rsidRPr="00A25019" w:rsidRDefault="00A25019" w:rsidP="00A25019">
      <w:pPr>
        <w:spacing w:before="100" w:beforeAutospacing="1" w:after="100" w:afterAutospacing="1" w:line="240" w:lineRule="auto"/>
        <w:jc w:val="center"/>
        <w:outlineLvl w:val="1"/>
        <w:rPr>
          <w:rFonts w:ascii="Times New Roman" w:eastAsia="Times New Roman" w:hAnsi="Times New Roman" w:cs="Times New Roman"/>
          <w:b/>
          <w:bCs/>
          <w:kern w:val="0"/>
          <w:sz w:val="36"/>
          <w:szCs w:val="36"/>
          <w14:ligatures w14:val="none"/>
        </w:rPr>
      </w:pPr>
      <w:r w:rsidRPr="00A25019">
        <w:rPr>
          <w:rFonts w:ascii="Times New Roman" w:eastAsia="Times New Roman" w:hAnsi="Times New Roman" w:cs="Times New Roman"/>
          <w:b/>
          <w:bCs/>
          <w:kern w:val="0"/>
          <w:sz w:val="36"/>
          <w:szCs w:val="36"/>
          <w:rtl/>
          <w14:ligatures w14:val="none"/>
        </w:rPr>
        <w:t>جدول (3): ملخص للدراسات السابقة المتعلقة بالتكنولوجيا الذكية</w:t>
      </w:r>
    </w:p>
    <w:tbl>
      <w:tblPr>
        <w:tblStyle w:val="TableGrid"/>
        <w:bidiVisual/>
        <w:tblW w:w="0" w:type="auto"/>
        <w:tblLook w:val="04A0" w:firstRow="1" w:lastRow="0" w:firstColumn="1" w:lastColumn="0" w:noHBand="0" w:noVBand="1"/>
      </w:tblPr>
      <w:tblGrid>
        <w:gridCol w:w="1178"/>
        <w:gridCol w:w="1501"/>
        <w:gridCol w:w="1094"/>
        <w:gridCol w:w="1276"/>
        <w:gridCol w:w="985"/>
        <w:gridCol w:w="1025"/>
        <w:gridCol w:w="1957"/>
      </w:tblGrid>
      <w:tr w:rsidR="00A25019" w:rsidRPr="00A25019" w14:paraId="6FEC9B50" w14:textId="77777777" w:rsidTr="00803095">
        <w:tc>
          <w:tcPr>
            <w:tcW w:w="1178" w:type="dxa"/>
            <w:hideMark/>
          </w:tcPr>
          <w:p w14:paraId="59B4BB26" w14:textId="77777777" w:rsidR="00A25019" w:rsidRPr="00A25019" w:rsidRDefault="00A25019" w:rsidP="00A25019">
            <w:pPr>
              <w:jc w:val="center"/>
              <w:rPr>
                <w:rFonts w:ascii="Simplified Arabic" w:eastAsia="Times New Roman" w:hAnsi="Simplified Arabic" w:cs="Simplified Arabic"/>
                <w:b/>
                <w:bCs/>
                <w:color w:val="EE0000"/>
                <w:kern w:val="0"/>
                <w14:ligatures w14:val="none"/>
              </w:rPr>
            </w:pPr>
            <w:r w:rsidRPr="00A25019">
              <w:rPr>
                <w:rFonts w:ascii="Simplified Arabic" w:eastAsia="Times New Roman" w:hAnsi="Simplified Arabic" w:cs="Simplified Arabic"/>
                <w:b/>
                <w:bCs/>
                <w:color w:val="EE0000"/>
                <w:kern w:val="0"/>
                <w:rtl/>
                <w14:ligatures w14:val="none"/>
              </w:rPr>
              <w:t>الباحث / السنة</w:t>
            </w:r>
          </w:p>
        </w:tc>
        <w:tc>
          <w:tcPr>
            <w:tcW w:w="1501" w:type="dxa"/>
            <w:hideMark/>
          </w:tcPr>
          <w:p w14:paraId="057C8E94" w14:textId="77777777" w:rsidR="00A25019" w:rsidRPr="00A25019" w:rsidRDefault="00A25019" w:rsidP="00A25019">
            <w:pPr>
              <w:jc w:val="center"/>
              <w:rPr>
                <w:rFonts w:ascii="Simplified Arabic" w:eastAsia="Times New Roman" w:hAnsi="Simplified Arabic" w:cs="Simplified Arabic"/>
                <w:b/>
                <w:bCs/>
                <w:color w:val="EE0000"/>
                <w:kern w:val="0"/>
                <w14:ligatures w14:val="none"/>
              </w:rPr>
            </w:pPr>
            <w:r w:rsidRPr="00A25019">
              <w:rPr>
                <w:rFonts w:ascii="Simplified Arabic" w:eastAsia="Times New Roman" w:hAnsi="Simplified Arabic" w:cs="Simplified Arabic"/>
                <w:b/>
                <w:bCs/>
                <w:color w:val="EE0000"/>
                <w:kern w:val="0"/>
                <w:rtl/>
                <w14:ligatures w14:val="none"/>
              </w:rPr>
              <w:t>عنوان الدراسة</w:t>
            </w:r>
          </w:p>
        </w:tc>
        <w:tc>
          <w:tcPr>
            <w:tcW w:w="1094" w:type="dxa"/>
            <w:hideMark/>
          </w:tcPr>
          <w:p w14:paraId="16767B37" w14:textId="77777777" w:rsidR="00A25019" w:rsidRPr="00A25019" w:rsidRDefault="00A25019" w:rsidP="00A25019">
            <w:pPr>
              <w:jc w:val="center"/>
              <w:rPr>
                <w:rFonts w:ascii="Simplified Arabic" w:eastAsia="Times New Roman" w:hAnsi="Simplified Arabic" w:cs="Simplified Arabic"/>
                <w:b/>
                <w:bCs/>
                <w:color w:val="EE0000"/>
                <w:kern w:val="0"/>
                <w14:ligatures w14:val="none"/>
              </w:rPr>
            </w:pPr>
            <w:r w:rsidRPr="00A25019">
              <w:rPr>
                <w:rFonts w:ascii="Simplified Arabic" w:eastAsia="Times New Roman" w:hAnsi="Simplified Arabic" w:cs="Simplified Arabic"/>
                <w:b/>
                <w:bCs/>
                <w:color w:val="EE0000"/>
                <w:kern w:val="0"/>
                <w:rtl/>
                <w14:ligatures w14:val="none"/>
              </w:rPr>
              <w:t>الهدف الرئيس</w:t>
            </w:r>
          </w:p>
        </w:tc>
        <w:tc>
          <w:tcPr>
            <w:tcW w:w="1276" w:type="dxa"/>
            <w:hideMark/>
          </w:tcPr>
          <w:p w14:paraId="5A61B057" w14:textId="77777777" w:rsidR="00A25019" w:rsidRPr="00A25019" w:rsidRDefault="00A25019" w:rsidP="00A25019">
            <w:pPr>
              <w:jc w:val="center"/>
              <w:rPr>
                <w:rFonts w:ascii="Simplified Arabic" w:eastAsia="Times New Roman" w:hAnsi="Simplified Arabic" w:cs="Simplified Arabic"/>
                <w:b/>
                <w:bCs/>
                <w:color w:val="EE0000"/>
                <w:kern w:val="0"/>
                <w14:ligatures w14:val="none"/>
              </w:rPr>
            </w:pPr>
            <w:r w:rsidRPr="00A25019">
              <w:rPr>
                <w:rFonts w:ascii="Simplified Arabic" w:eastAsia="Times New Roman" w:hAnsi="Simplified Arabic" w:cs="Simplified Arabic"/>
                <w:b/>
                <w:bCs/>
                <w:color w:val="EE0000"/>
                <w:kern w:val="0"/>
                <w:rtl/>
                <w14:ligatures w14:val="none"/>
              </w:rPr>
              <w:t>المتغيرات الرئيسة</w:t>
            </w:r>
          </w:p>
        </w:tc>
        <w:tc>
          <w:tcPr>
            <w:tcW w:w="985" w:type="dxa"/>
            <w:hideMark/>
          </w:tcPr>
          <w:p w14:paraId="70B6DEC2" w14:textId="77777777" w:rsidR="00A25019" w:rsidRPr="00A25019" w:rsidRDefault="00A25019" w:rsidP="00A25019">
            <w:pPr>
              <w:jc w:val="center"/>
              <w:rPr>
                <w:rFonts w:ascii="Simplified Arabic" w:eastAsia="Times New Roman" w:hAnsi="Simplified Arabic" w:cs="Simplified Arabic"/>
                <w:b/>
                <w:bCs/>
                <w:color w:val="EE0000"/>
                <w:kern w:val="0"/>
                <w14:ligatures w14:val="none"/>
              </w:rPr>
            </w:pPr>
            <w:r w:rsidRPr="00A25019">
              <w:rPr>
                <w:rFonts w:ascii="Simplified Arabic" w:eastAsia="Times New Roman" w:hAnsi="Simplified Arabic" w:cs="Simplified Arabic"/>
                <w:b/>
                <w:bCs/>
                <w:color w:val="EE0000"/>
                <w:kern w:val="0"/>
                <w:rtl/>
                <w14:ligatures w14:val="none"/>
              </w:rPr>
              <w:t>المنهج والأداة</w:t>
            </w:r>
          </w:p>
        </w:tc>
        <w:tc>
          <w:tcPr>
            <w:tcW w:w="0" w:type="auto"/>
            <w:hideMark/>
          </w:tcPr>
          <w:p w14:paraId="328C9A8F" w14:textId="77777777" w:rsidR="00A25019" w:rsidRPr="00A25019" w:rsidRDefault="00A25019" w:rsidP="00A25019">
            <w:pPr>
              <w:jc w:val="center"/>
              <w:rPr>
                <w:rFonts w:ascii="Simplified Arabic" w:eastAsia="Times New Roman" w:hAnsi="Simplified Arabic" w:cs="Simplified Arabic"/>
                <w:b/>
                <w:bCs/>
                <w:color w:val="EE0000"/>
                <w:kern w:val="0"/>
                <w14:ligatures w14:val="none"/>
              </w:rPr>
            </w:pPr>
            <w:r w:rsidRPr="00A25019">
              <w:rPr>
                <w:rFonts w:ascii="Simplified Arabic" w:eastAsia="Times New Roman" w:hAnsi="Simplified Arabic" w:cs="Simplified Arabic"/>
                <w:b/>
                <w:bCs/>
                <w:color w:val="EE0000"/>
                <w:kern w:val="0"/>
                <w:rtl/>
                <w14:ligatures w14:val="none"/>
              </w:rPr>
              <w:t>أبرز النتائج</w:t>
            </w:r>
          </w:p>
        </w:tc>
        <w:tc>
          <w:tcPr>
            <w:tcW w:w="0" w:type="auto"/>
            <w:hideMark/>
          </w:tcPr>
          <w:p w14:paraId="571230F2" w14:textId="77777777" w:rsidR="00A25019" w:rsidRPr="00A25019" w:rsidRDefault="00A25019" w:rsidP="00A25019">
            <w:pPr>
              <w:jc w:val="center"/>
              <w:rPr>
                <w:rFonts w:ascii="Simplified Arabic" w:eastAsia="Times New Roman" w:hAnsi="Simplified Arabic" w:cs="Simplified Arabic"/>
                <w:b/>
                <w:bCs/>
                <w:color w:val="EE0000"/>
                <w:kern w:val="0"/>
                <w14:ligatures w14:val="none"/>
              </w:rPr>
            </w:pPr>
            <w:r w:rsidRPr="00A25019">
              <w:rPr>
                <w:rFonts w:ascii="Simplified Arabic" w:eastAsia="Times New Roman" w:hAnsi="Simplified Arabic" w:cs="Simplified Arabic"/>
                <w:b/>
                <w:bCs/>
                <w:color w:val="EE0000"/>
                <w:kern w:val="0"/>
                <w:rtl/>
                <w14:ligatures w14:val="none"/>
              </w:rPr>
              <w:t>أوجه الاتفاق والاختلاف مع الدراسة الحالية</w:t>
            </w:r>
          </w:p>
        </w:tc>
      </w:tr>
      <w:tr w:rsidR="00A25019" w:rsidRPr="00A25019" w14:paraId="4546FC5D" w14:textId="77777777" w:rsidTr="00803095">
        <w:tc>
          <w:tcPr>
            <w:tcW w:w="1178" w:type="dxa"/>
            <w:hideMark/>
          </w:tcPr>
          <w:p w14:paraId="630F3F60"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صالحي</w:t>
            </w:r>
            <w:r w:rsidRPr="00A25019">
              <w:rPr>
                <w:rFonts w:ascii="Simplified Arabic" w:eastAsia="Times New Roman" w:hAnsi="Simplified Arabic" w:cs="Simplified Arabic"/>
                <w:color w:val="EE0000"/>
                <w:kern w:val="0"/>
                <w14:ligatures w14:val="none"/>
              </w:rPr>
              <w:t xml:space="preserve"> (2021)</w:t>
            </w:r>
          </w:p>
        </w:tc>
        <w:tc>
          <w:tcPr>
            <w:tcW w:w="1501" w:type="dxa"/>
            <w:hideMark/>
          </w:tcPr>
          <w:p w14:paraId="5AFF34B1"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القوة الذكية: التنافس العالمي على قوة الفضاء الإلكتروني</w:t>
            </w:r>
          </w:p>
        </w:tc>
        <w:tc>
          <w:tcPr>
            <w:tcW w:w="1094" w:type="dxa"/>
            <w:hideMark/>
          </w:tcPr>
          <w:p w14:paraId="0B955CF2"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تحليل دور القدرات السيبرانية في القوة الذكية للدول</w:t>
            </w:r>
          </w:p>
        </w:tc>
        <w:tc>
          <w:tcPr>
            <w:tcW w:w="1276" w:type="dxa"/>
            <w:hideMark/>
          </w:tcPr>
          <w:p w14:paraId="7C1B5FF1"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المستقل: القدرات السيبرانية والتقنيات الذكية</w:t>
            </w:r>
            <w:r w:rsidRPr="00A25019">
              <w:rPr>
                <w:rFonts w:ascii="Simplified Arabic" w:eastAsia="Times New Roman" w:hAnsi="Simplified Arabic" w:cs="Simplified Arabic"/>
                <w:color w:val="EE0000"/>
                <w:kern w:val="0"/>
                <w14:ligatures w14:val="none"/>
              </w:rPr>
              <w:br/>
            </w:r>
            <w:r w:rsidRPr="00A25019">
              <w:rPr>
                <w:rFonts w:ascii="Simplified Arabic" w:eastAsia="Times New Roman" w:hAnsi="Simplified Arabic" w:cs="Simplified Arabic"/>
                <w:color w:val="EE0000"/>
                <w:kern w:val="0"/>
                <w:rtl/>
                <w14:ligatures w14:val="none"/>
              </w:rPr>
              <w:t>التابع: الموقع الاستراتيجي للدول</w:t>
            </w:r>
          </w:p>
        </w:tc>
        <w:tc>
          <w:tcPr>
            <w:tcW w:w="985" w:type="dxa"/>
            <w:hideMark/>
          </w:tcPr>
          <w:p w14:paraId="413C8AF3"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تحليلي نظري – مراجعة أدبيات</w:t>
            </w:r>
          </w:p>
        </w:tc>
        <w:tc>
          <w:tcPr>
            <w:tcW w:w="0" w:type="auto"/>
            <w:hideMark/>
          </w:tcPr>
          <w:p w14:paraId="4AAB636B"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التكنولوجيا الذكية عنصر حاسم في النفوذ والسيادة الرقمية</w:t>
            </w:r>
          </w:p>
        </w:tc>
        <w:tc>
          <w:tcPr>
            <w:tcW w:w="0" w:type="auto"/>
            <w:hideMark/>
          </w:tcPr>
          <w:p w14:paraId="2C11E33A"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تتفق في إبراز أهمية التكنولوجيا الذكية، وتختلف في المستوى (استراتيجي/جيوسياسي مقابل تشغيلي)</w:t>
            </w:r>
          </w:p>
        </w:tc>
      </w:tr>
      <w:tr w:rsidR="00A25019" w:rsidRPr="00A25019" w14:paraId="3F7622EC" w14:textId="77777777" w:rsidTr="00803095">
        <w:tc>
          <w:tcPr>
            <w:tcW w:w="1178" w:type="dxa"/>
            <w:hideMark/>
          </w:tcPr>
          <w:p w14:paraId="4F4C62E3"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هاشم وعبد السادة</w:t>
            </w:r>
            <w:r w:rsidRPr="00A25019">
              <w:rPr>
                <w:rFonts w:ascii="Simplified Arabic" w:eastAsia="Times New Roman" w:hAnsi="Simplified Arabic" w:cs="Simplified Arabic"/>
                <w:color w:val="EE0000"/>
                <w:kern w:val="0"/>
                <w14:ligatures w14:val="none"/>
              </w:rPr>
              <w:t xml:space="preserve"> (2023)</w:t>
            </w:r>
          </w:p>
        </w:tc>
        <w:tc>
          <w:tcPr>
            <w:tcW w:w="1501" w:type="dxa"/>
            <w:hideMark/>
          </w:tcPr>
          <w:p w14:paraId="407A75E8"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تكنولوجيا الاتصال: ماهيتها وآثارها</w:t>
            </w:r>
          </w:p>
        </w:tc>
        <w:tc>
          <w:tcPr>
            <w:tcW w:w="1094" w:type="dxa"/>
            <w:hideMark/>
          </w:tcPr>
          <w:p w14:paraId="350A1E26"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تحليل آثار تكنولوجيا الاتصال اجتماعيًا وثقافيًا</w:t>
            </w:r>
          </w:p>
        </w:tc>
        <w:tc>
          <w:tcPr>
            <w:tcW w:w="1276" w:type="dxa"/>
            <w:hideMark/>
          </w:tcPr>
          <w:p w14:paraId="60335B9D"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المستقل: تكنولوجيا الاتصال الرقمية</w:t>
            </w:r>
            <w:r w:rsidRPr="00A25019">
              <w:rPr>
                <w:rFonts w:ascii="Simplified Arabic" w:eastAsia="Times New Roman" w:hAnsi="Simplified Arabic" w:cs="Simplified Arabic"/>
                <w:color w:val="EE0000"/>
                <w:kern w:val="0"/>
                <w14:ligatures w14:val="none"/>
              </w:rPr>
              <w:br/>
            </w:r>
            <w:r w:rsidRPr="00A25019">
              <w:rPr>
                <w:rFonts w:ascii="Simplified Arabic" w:eastAsia="Times New Roman" w:hAnsi="Simplified Arabic" w:cs="Simplified Arabic"/>
                <w:color w:val="EE0000"/>
                <w:kern w:val="0"/>
                <w:rtl/>
                <w14:ligatures w14:val="none"/>
              </w:rPr>
              <w:t>التابع: التحولات الاجتماعية والثقافية</w:t>
            </w:r>
          </w:p>
        </w:tc>
        <w:tc>
          <w:tcPr>
            <w:tcW w:w="985" w:type="dxa"/>
            <w:hideMark/>
          </w:tcPr>
          <w:p w14:paraId="2D4E7EA3"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وصفي تحليلي – تحليل محتوى</w:t>
            </w:r>
          </w:p>
        </w:tc>
        <w:tc>
          <w:tcPr>
            <w:tcW w:w="0" w:type="auto"/>
            <w:hideMark/>
          </w:tcPr>
          <w:p w14:paraId="375CFC92"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التكنولوجيا تعيد تشكيل الوعي والسلوك الجماهيري</w:t>
            </w:r>
          </w:p>
        </w:tc>
        <w:tc>
          <w:tcPr>
            <w:tcW w:w="0" w:type="auto"/>
            <w:hideMark/>
          </w:tcPr>
          <w:p w14:paraId="05524037"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تتقاطع في التحول الرقمي، وتختلف في زاوية التحليل (اجتماعي مقابل تشغيلي)</w:t>
            </w:r>
          </w:p>
        </w:tc>
      </w:tr>
      <w:tr w:rsidR="00A25019" w:rsidRPr="00A25019" w14:paraId="77617239" w14:textId="77777777" w:rsidTr="00803095">
        <w:tc>
          <w:tcPr>
            <w:tcW w:w="1178" w:type="dxa"/>
            <w:hideMark/>
          </w:tcPr>
          <w:p w14:paraId="32268044"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علي</w:t>
            </w:r>
            <w:r w:rsidRPr="00A25019">
              <w:rPr>
                <w:rFonts w:ascii="Simplified Arabic" w:eastAsia="Times New Roman" w:hAnsi="Simplified Arabic" w:cs="Simplified Arabic"/>
                <w:color w:val="EE0000"/>
                <w:kern w:val="0"/>
                <w14:ligatures w14:val="none"/>
              </w:rPr>
              <w:t xml:space="preserve"> (2021)</w:t>
            </w:r>
          </w:p>
        </w:tc>
        <w:tc>
          <w:tcPr>
            <w:tcW w:w="1501" w:type="dxa"/>
            <w:hideMark/>
          </w:tcPr>
          <w:p w14:paraId="0A1383F4"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دور تكنولوجيا المعلومات والاتصالات في تحقيق الاستدامة البيئية</w:t>
            </w:r>
          </w:p>
        </w:tc>
        <w:tc>
          <w:tcPr>
            <w:tcW w:w="1094" w:type="dxa"/>
            <w:hideMark/>
          </w:tcPr>
          <w:p w14:paraId="29B9D38D"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قياس أثر تكنولوجيا المعلومات في دعم الاستدامة البيئية</w:t>
            </w:r>
          </w:p>
        </w:tc>
        <w:tc>
          <w:tcPr>
            <w:tcW w:w="1276" w:type="dxa"/>
            <w:hideMark/>
          </w:tcPr>
          <w:p w14:paraId="58F58CA2"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المستقل: تكنولوجيا المعلومات والاتصالات</w:t>
            </w:r>
            <w:r w:rsidRPr="00A25019">
              <w:rPr>
                <w:rFonts w:ascii="Simplified Arabic" w:eastAsia="Times New Roman" w:hAnsi="Simplified Arabic" w:cs="Simplified Arabic"/>
                <w:color w:val="EE0000"/>
                <w:kern w:val="0"/>
                <w14:ligatures w14:val="none"/>
              </w:rPr>
              <w:br/>
            </w:r>
            <w:r w:rsidRPr="00A25019">
              <w:rPr>
                <w:rFonts w:ascii="Simplified Arabic" w:eastAsia="Times New Roman" w:hAnsi="Simplified Arabic" w:cs="Simplified Arabic"/>
                <w:color w:val="EE0000"/>
                <w:kern w:val="0"/>
                <w:rtl/>
                <w14:ligatures w14:val="none"/>
              </w:rPr>
              <w:t>التابع: الاستدامة البيئية</w:t>
            </w:r>
          </w:p>
        </w:tc>
        <w:tc>
          <w:tcPr>
            <w:tcW w:w="985" w:type="dxa"/>
            <w:hideMark/>
          </w:tcPr>
          <w:p w14:paraId="5F20F678"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كمي – استبانة</w:t>
            </w:r>
          </w:p>
        </w:tc>
        <w:tc>
          <w:tcPr>
            <w:tcW w:w="0" w:type="auto"/>
            <w:hideMark/>
          </w:tcPr>
          <w:p w14:paraId="0E9C4EB6"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التكنولوجيا تقلل الأثر البيئي وتحسن إدارة الموارد</w:t>
            </w:r>
          </w:p>
        </w:tc>
        <w:tc>
          <w:tcPr>
            <w:tcW w:w="0" w:type="auto"/>
            <w:hideMark/>
          </w:tcPr>
          <w:p w14:paraId="1D844BED"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تتفق في الربط بين التكنولوجيا والاستدامة، وتختلف في غياب إدارة الحشود</w:t>
            </w:r>
          </w:p>
        </w:tc>
      </w:tr>
      <w:tr w:rsidR="00A25019" w:rsidRPr="00A25019" w14:paraId="07D79182" w14:textId="77777777" w:rsidTr="00803095">
        <w:tc>
          <w:tcPr>
            <w:tcW w:w="1178" w:type="dxa"/>
            <w:hideMark/>
          </w:tcPr>
          <w:p w14:paraId="7067FE93"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14:ligatures w14:val="none"/>
              </w:rPr>
              <w:t>Popova et al. (2023)</w:t>
            </w:r>
          </w:p>
        </w:tc>
        <w:tc>
          <w:tcPr>
            <w:tcW w:w="1501" w:type="dxa"/>
            <w:hideMark/>
          </w:tcPr>
          <w:p w14:paraId="609E2FA2"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14:ligatures w14:val="none"/>
              </w:rPr>
              <w:t xml:space="preserve">Smart Technologies and </w:t>
            </w:r>
            <w:r w:rsidRPr="00A25019">
              <w:rPr>
                <w:rFonts w:ascii="Simplified Arabic" w:eastAsia="Times New Roman" w:hAnsi="Simplified Arabic" w:cs="Simplified Arabic"/>
                <w:color w:val="EE0000"/>
                <w:kern w:val="0"/>
                <w14:ligatures w14:val="none"/>
              </w:rPr>
              <w:lastRenderedPageBreak/>
              <w:t>Corporate Sustainability</w:t>
            </w:r>
          </w:p>
        </w:tc>
        <w:tc>
          <w:tcPr>
            <w:tcW w:w="1094" w:type="dxa"/>
            <w:hideMark/>
          </w:tcPr>
          <w:p w14:paraId="2F9638C9"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lastRenderedPageBreak/>
              <w:t xml:space="preserve">تقييم أثر التكنولوجيا الذكية على </w:t>
            </w:r>
            <w:r w:rsidRPr="00A25019">
              <w:rPr>
                <w:rFonts w:ascii="Simplified Arabic" w:eastAsia="Times New Roman" w:hAnsi="Simplified Arabic" w:cs="Simplified Arabic"/>
                <w:color w:val="EE0000"/>
                <w:kern w:val="0"/>
                <w:rtl/>
                <w14:ligatures w14:val="none"/>
              </w:rPr>
              <w:lastRenderedPageBreak/>
              <w:t>الاستدامة المؤسسية</w:t>
            </w:r>
          </w:p>
        </w:tc>
        <w:tc>
          <w:tcPr>
            <w:tcW w:w="1276" w:type="dxa"/>
            <w:hideMark/>
          </w:tcPr>
          <w:p w14:paraId="310D562E"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lastRenderedPageBreak/>
              <w:t>المستقل: التكنولوجيا الذكية</w:t>
            </w:r>
            <w:r w:rsidRPr="00A25019">
              <w:rPr>
                <w:rFonts w:ascii="Simplified Arabic" w:eastAsia="Times New Roman" w:hAnsi="Simplified Arabic" w:cs="Simplified Arabic"/>
                <w:color w:val="EE0000"/>
                <w:kern w:val="0"/>
                <w14:ligatures w14:val="none"/>
              </w:rPr>
              <w:br/>
            </w:r>
            <w:r w:rsidRPr="00A25019">
              <w:rPr>
                <w:rFonts w:ascii="Simplified Arabic" w:eastAsia="Times New Roman" w:hAnsi="Simplified Arabic" w:cs="Simplified Arabic"/>
                <w:color w:val="EE0000"/>
                <w:kern w:val="0"/>
                <w:rtl/>
                <w14:ligatures w14:val="none"/>
              </w:rPr>
              <w:lastRenderedPageBreak/>
              <w:t>الوسيط: السلوك الاقتصادي</w:t>
            </w:r>
            <w:r w:rsidRPr="00A25019">
              <w:rPr>
                <w:rFonts w:ascii="Simplified Arabic" w:eastAsia="Times New Roman" w:hAnsi="Simplified Arabic" w:cs="Simplified Arabic"/>
                <w:color w:val="EE0000"/>
                <w:kern w:val="0"/>
                <w14:ligatures w14:val="none"/>
              </w:rPr>
              <w:br/>
            </w:r>
            <w:r w:rsidRPr="00A25019">
              <w:rPr>
                <w:rFonts w:ascii="Simplified Arabic" w:eastAsia="Times New Roman" w:hAnsi="Simplified Arabic" w:cs="Simplified Arabic"/>
                <w:color w:val="EE0000"/>
                <w:kern w:val="0"/>
                <w:rtl/>
                <w14:ligatures w14:val="none"/>
              </w:rPr>
              <w:t>التابع: الاستدامة المؤسسية</w:t>
            </w:r>
          </w:p>
        </w:tc>
        <w:tc>
          <w:tcPr>
            <w:tcW w:w="985" w:type="dxa"/>
            <w:hideMark/>
          </w:tcPr>
          <w:p w14:paraId="67AFF069"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lastRenderedPageBreak/>
              <w:t>كمي</w:t>
            </w:r>
            <w:r w:rsidRPr="00A25019">
              <w:rPr>
                <w:rFonts w:ascii="Simplified Arabic" w:eastAsia="Times New Roman" w:hAnsi="Simplified Arabic" w:cs="Simplified Arabic"/>
                <w:color w:val="EE0000"/>
                <w:kern w:val="0"/>
                <w14:ligatures w14:val="none"/>
              </w:rPr>
              <w:t xml:space="preserve"> – SEM / </w:t>
            </w:r>
            <w:r w:rsidRPr="00A25019">
              <w:rPr>
                <w:rFonts w:ascii="Simplified Arabic" w:eastAsia="Times New Roman" w:hAnsi="Simplified Arabic" w:cs="Simplified Arabic"/>
                <w:color w:val="EE0000"/>
                <w:kern w:val="0"/>
                <w:rtl/>
                <w14:ligatures w14:val="none"/>
              </w:rPr>
              <w:t>انحدار</w:t>
            </w:r>
          </w:p>
        </w:tc>
        <w:tc>
          <w:tcPr>
            <w:tcW w:w="0" w:type="auto"/>
            <w:hideMark/>
          </w:tcPr>
          <w:p w14:paraId="63A6D3D8"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 xml:space="preserve">التكنولوجيا الذكية تعزز </w:t>
            </w:r>
            <w:r w:rsidRPr="00A25019">
              <w:rPr>
                <w:rFonts w:ascii="Simplified Arabic" w:eastAsia="Times New Roman" w:hAnsi="Simplified Arabic" w:cs="Simplified Arabic"/>
                <w:color w:val="EE0000"/>
                <w:kern w:val="0"/>
                <w:rtl/>
                <w14:ligatures w14:val="none"/>
              </w:rPr>
              <w:lastRenderedPageBreak/>
              <w:t>الكفاءة والاستدامة</w:t>
            </w:r>
          </w:p>
        </w:tc>
        <w:tc>
          <w:tcPr>
            <w:tcW w:w="0" w:type="auto"/>
            <w:hideMark/>
          </w:tcPr>
          <w:p w14:paraId="1219EE4C"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lastRenderedPageBreak/>
              <w:t xml:space="preserve">تتفق في الإطار الوسيط، وتختلف في </w:t>
            </w:r>
            <w:r w:rsidRPr="00A25019">
              <w:rPr>
                <w:rFonts w:ascii="Simplified Arabic" w:eastAsia="Times New Roman" w:hAnsi="Simplified Arabic" w:cs="Simplified Arabic"/>
                <w:color w:val="EE0000"/>
                <w:kern w:val="0"/>
                <w:rtl/>
                <w14:ligatures w14:val="none"/>
              </w:rPr>
              <w:lastRenderedPageBreak/>
              <w:t>السياق (صناعي مقابل حشود بشرية)</w:t>
            </w:r>
          </w:p>
        </w:tc>
      </w:tr>
      <w:tr w:rsidR="00A25019" w:rsidRPr="00A25019" w14:paraId="164CA5BE" w14:textId="77777777" w:rsidTr="00803095">
        <w:tc>
          <w:tcPr>
            <w:tcW w:w="1178" w:type="dxa"/>
            <w:hideMark/>
          </w:tcPr>
          <w:p w14:paraId="73F5EF08"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14:ligatures w14:val="none"/>
              </w:rPr>
              <w:lastRenderedPageBreak/>
              <w:t>Mahmood (2024)</w:t>
            </w:r>
          </w:p>
        </w:tc>
        <w:tc>
          <w:tcPr>
            <w:tcW w:w="1501" w:type="dxa"/>
            <w:hideMark/>
          </w:tcPr>
          <w:p w14:paraId="3CDFF8B2"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14:ligatures w14:val="none"/>
              </w:rPr>
              <w:t>The Role of Smart Technology in IT: Systematic Review</w:t>
            </w:r>
          </w:p>
        </w:tc>
        <w:tc>
          <w:tcPr>
            <w:tcW w:w="1094" w:type="dxa"/>
            <w:hideMark/>
          </w:tcPr>
          <w:p w14:paraId="7754A8FD"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مراجعة دور التكنولوجيا الذكية في نظم المعلومات</w:t>
            </w:r>
          </w:p>
        </w:tc>
        <w:tc>
          <w:tcPr>
            <w:tcW w:w="1276" w:type="dxa"/>
            <w:hideMark/>
          </w:tcPr>
          <w:p w14:paraId="05E3FA6F"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المتغير المحوري: التكنولوجيا الذكية</w:t>
            </w:r>
          </w:p>
        </w:tc>
        <w:tc>
          <w:tcPr>
            <w:tcW w:w="985" w:type="dxa"/>
            <w:hideMark/>
          </w:tcPr>
          <w:p w14:paraId="160B2601"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نوعي – مراجعة منهجية</w:t>
            </w:r>
          </w:p>
        </w:tc>
        <w:tc>
          <w:tcPr>
            <w:tcW w:w="0" w:type="auto"/>
            <w:hideMark/>
          </w:tcPr>
          <w:p w14:paraId="44BDB840"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التكنولوجيا الذكية ترفع الكفاءة والمرونة المؤسسية</w:t>
            </w:r>
          </w:p>
        </w:tc>
        <w:tc>
          <w:tcPr>
            <w:tcW w:w="0" w:type="auto"/>
            <w:hideMark/>
          </w:tcPr>
          <w:p w14:paraId="3D523875" w14:textId="77777777" w:rsidR="00A25019" w:rsidRPr="00A25019" w:rsidRDefault="00A25019" w:rsidP="00A25019">
            <w:pPr>
              <w:rPr>
                <w:rFonts w:ascii="Simplified Arabic" w:eastAsia="Times New Roman" w:hAnsi="Simplified Arabic" w:cs="Simplified Arabic"/>
                <w:color w:val="EE0000"/>
                <w:kern w:val="0"/>
                <w14:ligatures w14:val="none"/>
              </w:rPr>
            </w:pPr>
            <w:r w:rsidRPr="00A25019">
              <w:rPr>
                <w:rFonts w:ascii="Simplified Arabic" w:eastAsia="Times New Roman" w:hAnsi="Simplified Arabic" w:cs="Simplified Arabic"/>
                <w:color w:val="EE0000"/>
                <w:kern w:val="0"/>
                <w:rtl/>
                <w14:ligatures w14:val="none"/>
              </w:rPr>
              <w:t>تتفق في مركزية التكنولوجيا الذكية، وتختلف في الطابع التطبيقي</w:t>
            </w:r>
          </w:p>
        </w:tc>
      </w:tr>
    </w:tbl>
    <w:p w14:paraId="157F1735"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b/>
          <w:bCs/>
          <w:color w:val="EE0000"/>
          <w:sz w:val="28"/>
          <w:szCs w:val="28"/>
          <w:lang w:bidi="ar-EG"/>
        </w:rPr>
        <w:t>:</w:t>
      </w:r>
    </w:p>
    <w:p w14:paraId="47AA1409"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يتبيّن من مراجعة دراسات هذه المجموعة أن التكنولوجيا الذكية أصبحت عنصراً محورياً في تعزيز الكفاءة التشغيلية والاستدامة المؤسسية، وهو ما أكدته دراسة</w:t>
      </w:r>
      <w:r w:rsidRPr="00A25019">
        <w:rPr>
          <w:rFonts w:ascii="Simplified Arabic" w:hAnsi="Simplified Arabic" w:cs="Simplified Arabic"/>
          <w:color w:val="EE0000"/>
          <w:sz w:val="28"/>
          <w:szCs w:val="28"/>
          <w:lang w:bidi="ar-EG"/>
        </w:rPr>
        <w:t xml:space="preserve"> Popova et al. (2023) </w:t>
      </w:r>
      <w:r w:rsidRPr="00A25019">
        <w:rPr>
          <w:rFonts w:ascii="Simplified Arabic" w:hAnsi="Simplified Arabic" w:cs="Simplified Arabic"/>
          <w:color w:val="EE0000"/>
          <w:sz w:val="28"/>
          <w:szCs w:val="28"/>
          <w:rtl/>
        </w:rPr>
        <w:t>التي أثبتت أن الشركات المتبنية لتكنولوجيا ذكية مدعومة بممارسات اقتصادية رشيدة كانت أكثر قدرة على تحقيق الاستدامة، وكذلك دراسة</w:t>
      </w:r>
      <w:r w:rsidRPr="00A25019">
        <w:rPr>
          <w:rFonts w:ascii="Simplified Arabic" w:hAnsi="Simplified Arabic" w:cs="Simplified Arabic"/>
          <w:color w:val="EE0000"/>
          <w:sz w:val="28"/>
          <w:szCs w:val="28"/>
          <w:lang w:bidi="ar-EG"/>
        </w:rPr>
        <w:t xml:space="preserve"> Mahmood (2024) </w:t>
      </w:r>
      <w:r w:rsidRPr="00A25019">
        <w:rPr>
          <w:rFonts w:ascii="Simplified Arabic" w:hAnsi="Simplified Arabic" w:cs="Simplified Arabic"/>
          <w:color w:val="EE0000"/>
          <w:sz w:val="28"/>
          <w:szCs w:val="28"/>
          <w:rtl/>
        </w:rPr>
        <w:t>التي بيّنت أن التقنيات الذكية ترفع المرونة المؤسسية والقدرات التحليلية. كما أكدت دراسة علي (2021) الربط المباشر بين تكنولوجيا المعلومات والاستدامة البيئية من خلال ترشيد الموارد وتقليل الانبعاثات</w:t>
      </w:r>
      <w:r w:rsidRPr="00A25019">
        <w:rPr>
          <w:rFonts w:ascii="Simplified Arabic" w:hAnsi="Simplified Arabic" w:cs="Simplified Arabic"/>
          <w:color w:val="EE0000"/>
          <w:sz w:val="28"/>
          <w:szCs w:val="28"/>
          <w:lang w:bidi="ar-EG"/>
        </w:rPr>
        <w:t>.</w:t>
      </w:r>
    </w:p>
    <w:p w14:paraId="62CF778E"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غير أن هذه الدراسات تشترك في قيدين رئيسين</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القيد الأول أنها تناولت التكنولوجيا الذكية في سياقات بعيدة عن إدارة الحشود  فدراسة صالحي (2021) تناولتها من منظور جيوسياسي، ودراسة هاشم وعبد السادة (2023) من منظور اجتماعي ثقافي، والدراسات الأخرى في سياقات صناعية ومعلوماتية. القيد الثاني أن أياً من هذه الدراسات لم يختبر التكنولوجيا الذكية بأبعادها التشغيلية المحددة (أنظمة المراقبة الذكية، وتطبيقات التوجيه والتحكم، وتحليل البيانات الحية) بوصفها متغيراً وسيطاً يعزز العلاقة بين ممارسات الاستدامة وكفاءة إدارة الحشود</w:t>
      </w:r>
      <w:r w:rsidRPr="00A25019">
        <w:rPr>
          <w:rFonts w:ascii="Simplified Arabic" w:hAnsi="Simplified Arabic" w:cs="Simplified Arabic"/>
          <w:color w:val="EE0000"/>
          <w:sz w:val="28"/>
          <w:szCs w:val="28"/>
          <w:lang w:bidi="ar-EG"/>
        </w:rPr>
        <w:t>.</w:t>
      </w:r>
    </w:p>
    <w:p w14:paraId="4C2A7E11"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ومن ثم تأتي الدراسة الحالية لتوظّف التكنولوجيا الذكية بأبعادها الثلاثة كمتغير وسيط — وليس مجرد متغير مستقل أو أداة تقنية — في إطار تكاملي يربطها بممارسات الاستدامة وكفاءة إدارة الحشود في سياق ميداني فريد</w:t>
      </w:r>
      <w:r w:rsidRPr="00A25019">
        <w:rPr>
          <w:rFonts w:ascii="Simplified Arabic" w:hAnsi="Simplified Arabic" w:cs="Simplified Arabic"/>
          <w:color w:val="EE0000"/>
          <w:sz w:val="28"/>
          <w:szCs w:val="28"/>
          <w:lang w:bidi="ar-EG"/>
        </w:rPr>
        <w:t>.</w:t>
      </w:r>
    </w:p>
    <w:p w14:paraId="15333935" w14:textId="77777777" w:rsidR="00A25019" w:rsidRPr="00A25019" w:rsidRDefault="00A25019" w:rsidP="00A25019">
      <w:pPr>
        <w:keepNext/>
        <w:keepLines/>
        <w:spacing w:before="360" w:after="80"/>
        <w:outlineLvl w:val="0"/>
        <w:rPr>
          <w:rFonts w:ascii="Simplified Arabic" w:eastAsiaTheme="majorEastAsia" w:hAnsi="Simplified Arabic" w:cs="Simplified Arabic"/>
          <w:b/>
          <w:bCs/>
          <w:sz w:val="36"/>
          <w:szCs w:val="36"/>
          <w:rtl/>
          <w:lang w:bidi="ar-EG"/>
        </w:rPr>
      </w:pPr>
      <w:bookmarkStart w:id="17" w:name="_Toc202053530"/>
      <w:r w:rsidRPr="00A25019">
        <w:rPr>
          <w:rFonts w:ascii="Simplified Arabic" w:eastAsiaTheme="majorEastAsia" w:hAnsi="Simplified Arabic" w:cs="Simplified Arabic"/>
          <w:b/>
          <w:bCs/>
          <w:sz w:val="36"/>
          <w:szCs w:val="36"/>
          <w:rtl/>
          <w:lang w:bidi="ar-EG"/>
        </w:rPr>
        <w:lastRenderedPageBreak/>
        <w:t>الفجوة البحثية</w:t>
      </w:r>
      <w:bookmarkEnd w:id="17"/>
      <w:r w:rsidRPr="00A25019">
        <w:rPr>
          <w:rFonts w:ascii="Simplified Arabic" w:eastAsiaTheme="majorEastAsia" w:hAnsi="Simplified Arabic" w:cs="Simplified Arabic"/>
          <w:b/>
          <w:bCs/>
          <w:sz w:val="36"/>
          <w:szCs w:val="36"/>
          <w:rtl/>
          <w:lang w:bidi="ar-EG"/>
        </w:rPr>
        <w:t xml:space="preserve"> </w:t>
      </w:r>
    </w:p>
    <w:p w14:paraId="6926505D" w14:textId="77777777" w:rsidR="00A25019" w:rsidRPr="00A25019" w:rsidRDefault="00A25019" w:rsidP="00A25019">
      <w:pPr>
        <w:spacing w:before="100" w:beforeAutospacing="1" w:after="100" w:afterAutospacing="1" w:line="240" w:lineRule="auto"/>
        <w:jc w:val="center"/>
        <w:outlineLvl w:val="1"/>
        <w:rPr>
          <w:rFonts w:ascii="Times New Roman" w:eastAsia="Times New Roman" w:hAnsi="Times New Roman" w:cs="Times New Roman"/>
          <w:b/>
          <w:bCs/>
          <w:color w:val="EE0000"/>
          <w:kern w:val="0"/>
          <w:sz w:val="36"/>
          <w:szCs w:val="36"/>
          <w14:ligatures w14:val="none"/>
        </w:rPr>
      </w:pPr>
      <w:r w:rsidRPr="00A25019">
        <w:rPr>
          <w:rFonts w:ascii="Times New Roman" w:eastAsia="Times New Roman" w:hAnsi="Times New Roman" w:cs="Times New Roman"/>
          <w:b/>
          <w:bCs/>
          <w:color w:val="EE0000"/>
          <w:kern w:val="0"/>
          <w:sz w:val="36"/>
          <w:szCs w:val="36"/>
          <w:rtl/>
          <w14:ligatures w14:val="none"/>
        </w:rPr>
        <w:t>جدول التحليل لجميع الدراسات السابقة</w:t>
      </w:r>
    </w:p>
    <w:tbl>
      <w:tblPr>
        <w:tblStyle w:val="TableGrid"/>
        <w:bidiVisual/>
        <w:tblW w:w="0" w:type="auto"/>
        <w:tblLook w:val="04A0" w:firstRow="1" w:lastRow="0" w:firstColumn="1" w:lastColumn="0" w:noHBand="0" w:noVBand="1"/>
      </w:tblPr>
      <w:tblGrid>
        <w:gridCol w:w="1110"/>
        <w:gridCol w:w="3953"/>
        <w:gridCol w:w="3953"/>
      </w:tblGrid>
      <w:tr w:rsidR="00A25019" w:rsidRPr="00A25019" w14:paraId="4714A451" w14:textId="77777777" w:rsidTr="00803095">
        <w:tc>
          <w:tcPr>
            <w:tcW w:w="0" w:type="auto"/>
            <w:hideMark/>
          </w:tcPr>
          <w:p w14:paraId="7DE5DCC5" w14:textId="77777777" w:rsidR="00A25019" w:rsidRPr="00A25019" w:rsidRDefault="00A25019" w:rsidP="00A25019">
            <w:pPr>
              <w:jc w:val="center"/>
              <w:rPr>
                <w:rFonts w:ascii="Simplified Arabic" w:eastAsia="Times New Roman" w:hAnsi="Simplified Arabic" w:cs="Simplified Arabic"/>
                <w:b/>
                <w:bCs/>
                <w:color w:val="EE0000"/>
                <w:kern w:val="0"/>
                <w:sz w:val="28"/>
                <w:szCs w:val="28"/>
                <w14:ligatures w14:val="none"/>
              </w:rPr>
            </w:pPr>
            <w:r w:rsidRPr="00A25019">
              <w:rPr>
                <w:rFonts w:ascii="Simplified Arabic" w:eastAsia="Times New Roman" w:hAnsi="Simplified Arabic" w:cs="Simplified Arabic"/>
                <w:b/>
                <w:bCs/>
                <w:color w:val="EE0000"/>
                <w:kern w:val="0"/>
                <w:sz w:val="28"/>
                <w:szCs w:val="28"/>
                <w:rtl/>
                <w14:ligatures w14:val="none"/>
              </w:rPr>
              <w:t>معيار المقارنة</w:t>
            </w:r>
          </w:p>
        </w:tc>
        <w:tc>
          <w:tcPr>
            <w:tcW w:w="0" w:type="auto"/>
            <w:hideMark/>
          </w:tcPr>
          <w:p w14:paraId="76535B5D" w14:textId="77777777" w:rsidR="00A25019" w:rsidRPr="00A25019" w:rsidRDefault="00A25019" w:rsidP="00A25019">
            <w:pPr>
              <w:jc w:val="center"/>
              <w:rPr>
                <w:rFonts w:ascii="Simplified Arabic" w:eastAsia="Times New Roman" w:hAnsi="Simplified Arabic" w:cs="Simplified Arabic"/>
                <w:b/>
                <w:bCs/>
                <w:color w:val="EE0000"/>
                <w:kern w:val="0"/>
                <w:sz w:val="28"/>
                <w:szCs w:val="28"/>
                <w14:ligatures w14:val="none"/>
              </w:rPr>
            </w:pPr>
            <w:r w:rsidRPr="00A25019">
              <w:rPr>
                <w:rFonts w:ascii="Simplified Arabic" w:eastAsia="Times New Roman" w:hAnsi="Simplified Arabic" w:cs="Simplified Arabic"/>
                <w:b/>
                <w:bCs/>
                <w:color w:val="EE0000"/>
                <w:kern w:val="0"/>
                <w:sz w:val="28"/>
                <w:szCs w:val="28"/>
                <w:rtl/>
                <w14:ligatures w14:val="none"/>
              </w:rPr>
              <w:t>أوجه الاتفاق مع الدراسة الحالية</w:t>
            </w:r>
          </w:p>
        </w:tc>
        <w:tc>
          <w:tcPr>
            <w:tcW w:w="0" w:type="auto"/>
            <w:hideMark/>
          </w:tcPr>
          <w:p w14:paraId="76E4EAE7" w14:textId="77777777" w:rsidR="00A25019" w:rsidRPr="00A25019" w:rsidRDefault="00A25019" w:rsidP="00A25019">
            <w:pPr>
              <w:jc w:val="center"/>
              <w:rPr>
                <w:rFonts w:ascii="Simplified Arabic" w:eastAsia="Times New Roman" w:hAnsi="Simplified Arabic" w:cs="Simplified Arabic"/>
                <w:b/>
                <w:bCs/>
                <w:color w:val="EE0000"/>
                <w:kern w:val="0"/>
                <w:sz w:val="28"/>
                <w:szCs w:val="28"/>
                <w14:ligatures w14:val="none"/>
              </w:rPr>
            </w:pPr>
            <w:r w:rsidRPr="00A25019">
              <w:rPr>
                <w:rFonts w:ascii="Simplified Arabic" w:eastAsia="Times New Roman" w:hAnsi="Simplified Arabic" w:cs="Simplified Arabic"/>
                <w:b/>
                <w:bCs/>
                <w:color w:val="EE0000"/>
                <w:kern w:val="0"/>
                <w:sz w:val="28"/>
                <w:szCs w:val="28"/>
                <w:rtl/>
                <w14:ligatures w14:val="none"/>
              </w:rPr>
              <w:t>أوجه الاختلاف مع الدراسة الحالية</w:t>
            </w:r>
          </w:p>
        </w:tc>
      </w:tr>
      <w:tr w:rsidR="00A25019" w:rsidRPr="00A25019" w14:paraId="6678AD9D" w14:textId="77777777" w:rsidTr="00803095">
        <w:tc>
          <w:tcPr>
            <w:tcW w:w="0" w:type="auto"/>
            <w:hideMark/>
          </w:tcPr>
          <w:p w14:paraId="7DF08FC3" w14:textId="77777777" w:rsidR="00A25019" w:rsidRPr="00A25019" w:rsidRDefault="00A25019" w:rsidP="00A25019">
            <w:pPr>
              <w:rPr>
                <w:rFonts w:ascii="Simplified Arabic" w:eastAsia="Times New Roman" w:hAnsi="Simplified Arabic" w:cs="Simplified Arabic"/>
                <w:color w:val="EE0000"/>
                <w:kern w:val="0"/>
                <w:sz w:val="28"/>
                <w:szCs w:val="28"/>
                <w14:ligatures w14:val="none"/>
              </w:rPr>
            </w:pPr>
            <w:r w:rsidRPr="00A25019">
              <w:rPr>
                <w:rFonts w:ascii="Simplified Arabic" w:eastAsia="Times New Roman" w:hAnsi="Simplified Arabic" w:cs="Simplified Arabic"/>
                <w:b/>
                <w:bCs/>
                <w:color w:val="EE0000"/>
                <w:kern w:val="0"/>
                <w:sz w:val="28"/>
                <w:szCs w:val="28"/>
                <w:rtl/>
                <w14:ligatures w14:val="none"/>
              </w:rPr>
              <w:t>الهدف</w:t>
            </w:r>
          </w:p>
        </w:tc>
        <w:tc>
          <w:tcPr>
            <w:tcW w:w="0" w:type="auto"/>
            <w:hideMark/>
          </w:tcPr>
          <w:p w14:paraId="10C831F7" w14:textId="77777777" w:rsidR="00A25019" w:rsidRPr="00A25019" w:rsidRDefault="00A25019" w:rsidP="00A25019">
            <w:pPr>
              <w:rPr>
                <w:rFonts w:ascii="Simplified Arabic" w:eastAsia="Times New Roman" w:hAnsi="Simplified Arabic" w:cs="Simplified Arabic"/>
                <w:color w:val="EE0000"/>
                <w:kern w:val="0"/>
                <w:sz w:val="28"/>
                <w:szCs w:val="28"/>
                <w14:ligatures w14:val="none"/>
              </w:rPr>
            </w:pPr>
            <w:r w:rsidRPr="00A25019">
              <w:rPr>
                <w:rFonts w:ascii="Simplified Arabic" w:eastAsia="Times New Roman" w:hAnsi="Simplified Arabic" w:cs="Simplified Arabic"/>
                <w:color w:val="EE0000"/>
                <w:kern w:val="0"/>
                <w:sz w:val="28"/>
                <w:szCs w:val="28"/>
                <w:rtl/>
                <w14:ligatures w14:val="none"/>
              </w:rPr>
              <w:t xml:space="preserve">اتفقت جميع الدراسات على أهمية تحليل العلاقات بين المتغيرات التنظيمية والتشغيلية لتحسين الأداء؛ فدراسات الاستدامة (سحنون، 2023؛ محمود وعثمان، </w:t>
            </w:r>
            <w:r w:rsidRPr="00A25019">
              <w:rPr>
                <w:rFonts w:ascii="Simplified Arabic" w:eastAsia="Times New Roman" w:hAnsi="Simplified Arabic" w:cs="Simplified Arabic"/>
                <w:color w:val="EE0000"/>
                <w:kern w:val="0"/>
                <w:sz w:val="28"/>
                <w:szCs w:val="28"/>
                <w14:ligatures w14:val="none"/>
              </w:rPr>
              <w:t>2024</w:t>
            </w:r>
            <w:r w:rsidRPr="00A25019">
              <w:rPr>
                <w:rFonts w:ascii="Simplified Arabic" w:eastAsia="Times New Roman" w:hAnsi="Simplified Arabic" w:cs="Simplified Arabic"/>
                <w:color w:val="EE0000"/>
                <w:kern w:val="0"/>
                <w:sz w:val="28"/>
                <w:szCs w:val="28"/>
                <w:rtl/>
                <w14:ligatures w14:val="none"/>
              </w:rPr>
              <w:t>؛ أبو خشبة، 2022) هدفت إلى قياس أثر ممارسات الاستدامة على الأداء والكفاءة، ودراسات إدارة الحشود (الحناوي وآخرون، 2022، 2023؛ عياد، 2022) هدفت إلى تحليل العوامل المؤثرة في كفاءة إدارة الحشود، ودراسات التكنولوجيا الذكية</w:t>
            </w:r>
            <w:r w:rsidRPr="00A25019">
              <w:rPr>
                <w:rFonts w:ascii="Simplified Arabic" w:eastAsia="Times New Roman" w:hAnsi="Simplified Arabic" w:cs="Simplified Arabic"/>
                <w:color w:val="EE0000"/>
                <w:kern w:val="0"/>
                <w:sz w:val="28"/>
                <w:szCs w:val="28"/>
                <w14:ligatures w14:val="none"/>
              </w:rPr>
              <w:t xml:space="preserve"> (Mahmood, 2024</w:t>
            </w:r>
            <w:r w:rsidRPr="00A25019">
              <w:rPr>
                <w:rFonts w:ascii="Simplified Arabic" w:eastAsia="Times New Roman" w:hAnsi="Simplified Arabic" w:cs="Simplified Arabic"/>
                <w:color w:val="EE0000"/>
                <w:kern w:val="0"/>
                <w:sz w:val="28"/>
                <w:szCs w:val="28"/>
                <w:rtl/>
                <w14:ligatures w14:val="none"/>
              </w:rPr>
              <w:t>؛</w:t>
            </w:r>
            <w:r w:rsidRPr="00A25019">
              <w:rPr>
                <w:rFonts w:ascii="Simplified Arabic" w:eastAsia="Times New Roman" w:hAnsi="Simplified Arabic" w:cs="Simplified Arabic"/>
                <w:color w:val="EE0000"/>
                <w:kern w:val="0"/>
                <w:sz w:val="28"/>
                <w:szCs w:val="28"/>
                <w14:ligatures w14:val="none"/>
              </w:rPr>
              <w:t xml:space="preserve"> Popova et al., 2023) </w:t>
            </w:r>
            <w:r w:rsidRPr="00A25019">
              <w:rPr>
                <w:rFonts w:ascii="Simplified Arabic" w:eastAsia="Times New Roman" w:hAnsi="Simplified Arabic" w:cs="Simplified Arabic"/>
                <w:color w:val="EE0000"/>
                <w:kern w:val="0"/>
                <w:sz w:val="28"/>
                <w:szCs w:val="28"/>
                <w:rtl/>
                <w14:ligatures w14:val="none"/>
              </w:rPr>
              <w:t>أكدت دور التقنيات في رفع الكفاءة التشغيلية</w:t>
            </w:r>
          </w:p>
        </w:tc>
        <w:tc>
          <w:tcPr>
            <w:tcW w:w="0" w:type="auto"/>
            <w:hideMark/>
          </w:tcPr>
          <w:p w14:paraId="6B318999" w14:textId="77777777" w:rsidR="00A25019" w:rsidRPr="00A25019" w:rsidRDefault="00A25019" w:rsidP="00A25019">
            <w:pPr>
              <w:rPr>
                <w:rFonts w:ascii="Simplified Arabic" w:eastAsia="Times New Roman" w:hAnsi="Simplified Arabic" w:cs="Simplified Arabic"/>
                <w:color w:val="EE0000"/>
                <w:kern w:val="0"/>
                <w:sz w:val="28"/>
                <w:szCs w:val="28"/>
                <w14:ligatures w14:val="none"/>
              </w:rPr>
            </w:pPr>
            <w:r w:rsidRPr="00A25019">
              <w:rPr>
                <w:rFonts w:ascii="Simplified Arabic" w:eastAsia="Times New Roman" w:hAnsi="Simplified Arabic" w:cs="Simplified Arabic"/>
                <w:color w:val="EE0000"/>
                <w:kern w:val="0"/>
                <w:sz w:val="28"/>
                <w:szCs w:val="28"/>
                <w:rtl/>
                <w14:ligatures w14:val="none"/>
              </w:rPr>
              <w:t>ركزت دراسات الاستدامة على الأداء المؤسسي العام أو سلاسل التوريد، ودراسات الحشود على عوامل منفردة (الجاهزية الطبية، الإدارة الإلكترونية)، ودراسات التكنولوجيا على قطاعات بعيدة عن إدارة الحشود؛ بينما تهدف الدراسة الحالية إلى بناء نموذج تكاملي يجمع المتغيرات الثلاثة في سياق واحد</w:t>
            </w:r>
          </w:p>
        </w:tc>
      </w:tr>
      <w:tr w:rsidR="00A25019" w:rsidRPr="00A25019" w14:paraId="2BABB7D1" w14:textId="77777777" w:rsidTr="00803095">
        <w:tc>
          <w:tcPr>
            <w:tcW w:w="0" w:type="auto"/>
            <w:hideMark/>
          </w:tcPr>
          <w:p w14:paraId="3EA943C4" w14:textId="77777777" w:rsidR="00A25019" w:rsidRPr="00A25019" w:rsidRDefault="00A25019" w:rsidP="00A25019">
            <w:pPr>
              <w:rPr>
                <w:rFonts w:ascii="Simplified Arabic" w:eastAsia="Times New Roman" w:hAnsi="Simplified Arabic" w:cs="Simplified Arabic"/>
                <w:color w:val="EE0000"/>
                <w:kern w:val="0"/>
                <w:sz w:val="28"/>
                <w:szCs w:val="28"/>
                <w14:ligatures w14:val="none"/>
              </w:rPr>
            </w:pPr>
            <w:r w:rsidRPr="00A25019">
              <w:rPr>
                <w:rFonts w:ascii="Simplified Arabic" w:eastAsia="Times New Roman" w:hAnsi="Simplified Arabic" w:cs="Simplified Arabic"/>
                <w:b/>
                <w:bCs/>
                <w:color w:val="EE0000"/>
                <w:kern w:val="0"/>
                <w:sz w:val="28"/>
                <w:szCs w:val="28"/>
                <w:rtl/>
                <w14:ligatures w14:val="none"/>
              </w:rPr>
              <w:t>الأبعاد المدروسة</w:t>
            </w:r>
          </w:p>
        </w:tc>
        <w:tc>
          <w:tcPr>
            <w:tcW w:w="0" w:type="auto"/>
            <w:hideMark/>
          </w:tcPr>
          <w:p w14:paraId="7E9986F9" w14:textId="77777777" w:rsidR="00A25019" w:rsidRPr="00A25019" w:rsidRDefault="00A25019" w:rsidP="00A25019">
            <w:pPr>
              <w:rPr>
                <w:rFonts w:ascii="Simplified Arabic" w:eastAsia="Times New Roman" w:hAnsi="Simplified Arabic" w:cs="Simplified Arabic"/>
                <w:color w:val="EE0000"/>
                <w:kern w:val="0"/>
                <w:sz w:val="28"/>
                <w:szCs w:val="28"/>
                <w14:ligatures w14:val="none"/>
              </w:rPr>
            </w:pPr>
            <w:r w:rsidRPr="00A25019">
              <w:rPr>
                <w:rFonts w:ascii="Simplified Arabic" w:eastAsia="Times New Roman" w:hAnsi="Simplified Arabic" w:cs="Simplified Arabic"/>
                <w:color w:val="EE0000"/>
                <w:kern w:val="0"/>
                <w:sz w:val="28"/>
                <w:szCs w:val="28"/>
                <w:rtl/>
                <w14:ligatures w14:val="none"/>
              </w:rPr>
              <w:t>اعتمدت دراسات الاستدامة</w:t>
            </w:r>
            <w:r w:rsidRPr="00A25019">
              <w:rPr>
                <w:rFonts w:ascii="Simplified Arabic" w:eastAsia="Times New Roman" w:hAnsi="Simplified Arabic" w:cs="Simplified Arabic"/>
                <w:color w:val="EE0000"/>
                <w:kern w:val="0"/>
                <w:sz w:val="28"/>
                <w:szCs w:val="28"/>
                <w14:ligatures w14:val="none"/>
              </w:rPr>
              <w:t xml:space="preserve"> (</w:t>
            </w:r>
            <w:r w:rsidRPr="00A25019">
              <w:rPr>
                <w:rFonts w:ascii="Simplified Arabic" w:eastAsia="Times New Roman" w:hAnsi="Simplified Arabic" w:cs="Simplified Arabic"/>
                <w:color w:val="EE0000"/>
                <w:kern w:val="0"/>
                <w:sz w:val="28"/>
                <w:szCs w:val="28"/>
                <w:rtl/>
                <w14:ligatures w14:val="none"/>
              </w:rPr>
              <w:t>سحنون، 2023؛</w:t>
            </w:r>
            <w:r w:rsidRPr="00A25019">
              <w:rPr>
                <w:rFonts w:ascii="Simplified Arabic" w:eastAsia="Times New Roman" w:hAnsi="Simplified Arabic" w:cs="Simplified Arabic"/>
                <w:color w:val="EE0000"/>
                <w:kern w:val="0"/>
                <w:sz w:val="28"/>
                <w:szCs w:val="28"/>
                <w14:ligatures w14:val="none"/>
              </w:rPr>
              <w:t xml:space="preserve"> Salem et al., 2023) </w:t>
            </w:r>
            <w:r w:rsidRPr="00A25019">
              <w:rPr>
                <w:rFonts w:ascii="Simplified Arabic" w:eastAsia="Times New Roman" w:hAnsi="Simplified Arabic" w:cs="Simplified Arabic"/>
                <w:color w:val="EE0000"/>
                <w:kern w:val="0"/>
                <w:sz w:val="28"/>
                <w:szCs w:val="28"/>
                <w:rtl/>
                <w14:ligatures w14:val="none"/>
              </w:rPr>
              <w:t xml:space="preserve">على الأبعاد الثلاثية (البيئية، الاقتصادية، الاجتماعية)، وحددت دراسة اليوسف </w:t>
            </w:r>
            <w:r w:rsidRPr="00A25019">
              <w:rPr>
                <w:rFonts w:ascii="Simplified Arabic" w:eastAsia="Times New Roman" w:hAnsi="Simplified Arabic" w:cs="Simplified Arabic"/>
                <w:color w:val="EE0000"/>
                <w:kern w:val="0"/>
                <w:sz w:val="28"/>
                <w:szCs w:val="28"/>
                <w14:ligatures w14:val="none"/>
              </w:rPr>
              <w:t xml:space="preserve">(2016) </w:t>
            </w:r>
            <w:r w:rsidRPr="00A25019">
              <w:rPr>
                <w:rFonts w:ascii="Simplified Arabic" w:eastAsia="Times New Roman" w:hAnsi="Simplified Arabic" w:cs="Simplified Arabic"/>
                <w:color w:val="EE0000"/>
                <w:kern w:val="0"/>
                <w:sz w:val="28"/>
                <w:szCs w:val="28"/>
                <w:rtl/>
                <w14:ligatures w14:val="none"/>
              </w:rPr>
              <w:t>أبعاداً لإدارة الحشود (الانسيابية، الجاهزية، الاستجابة)، وتناولت دراسات التكنولوجيا أبعاداً كأنظمة المراقبة وتحليل البيانات</w:t>
            </w:r>
            <w:r w:rsidRPr="00A25019">
              <w:rPr>
                <w:rFonts w:ascii="Simplified Arabic" w:eastAsia="Times New Roman" w:hAnsi="Simplified Arabic" w:cs="Simplified Arabic"/>
                <w:color w:val="EE0000"/>
                <w:kern w:val="0"/>
                <w:sz w:val="28"/>
                <w:szCs w:val="28"/>
                <w14:ligatures w14:val="none"/>
              </w:rPr>
              <w:t xml:space="preserve"> (Karmakar et al., 2024)</w:t>
            </w:r>
          </w:p>
        </w:tc>
        <w:tc>
          <w:tcPr>
            <w:tcW w:w="0" w:type="auto"/>
            <w:hideMark/>
          </w:tcPr>
          <w:p w14:paraId="62DBF751" w14:textId="77777777" w:rsidR="00A25019" w:rsidRPr="00A25019" w:rsidRDefault="00A25019" w:rsidP="00A25019">
            <w:pPr>
              <w:rPr>
                <w:rFonts w:ascii="Simplified Arabic" w:eastAsia="Times New Roman" w:hAnsi="Simplified Arabic" w:cs="Simplified Arabic"/>
                <w:color w:val="EE0000"/>
                <w:kern w:val="0"/>
                <w:sz w:val="28"/>
                <w:szCs w:val="28"/>
                <w14:ligatures w14:val="none"/>
              </w:rPr>
            </w:pPr>
            <w:r w:rsidRPr="00A25019">
              <w:rPr>
                <w:rFonts w:ascii="Simplified Arabic" w:eastAsia="Times New Roman" w:hAnsi="Simplified Arabic" w:cs="Simplified Arabic"/>
                <w:color w:val="EE0000"/>
                <w:kern w:val="0"/>
                <w:sz w:val="28"/>
                <w:szCs w:val="28"/>
                <w:rtl/>
                <w14:ligatures w14:val="none"/>
              </w:rPr>
              <w:t>تناولت كل مجموعة أبعاد متغير واحد فقط؛ فلم تدمج أي دراسة أبعاد الاستدامة مع أبعاد كفاءة الحشود وأبعاد التكنولوجيا الذكية في نموذج واحد كما تفعل الدراسة الحالية التي تتبنى 9 أبعاد متكاملة</w:t>
            </w:r>
          </w:p>
        </w:tc>
      </w:tr>
      <w:tr w:rsidR="00A25019" w:rsidRPr="00A25019" w14:paraId="4166EDDF" w14:textId="77777777" w:rsidTr="00803095">
        <w:tc>
          <w:tcPr>
            <w:tcW w:w="0" w:type="auto"/>
            <w:hideMark/>
          </w:tcPr>
          <w:p w14:paraId="75B79B26" w14:textId="77777777" w:rsidR="00A25019" w:rsidRPr="00A25019" w:rsidRDefault="00A25019" w:rsidP="00A25019">
            <w:pPr>
              <w:rPr>
                <w:rFonts w:ascii="Simplified Arabic" w:eastAsia="Times New Roman" w:hAnsi="Simplified Arabic" w:cs="Simplified Arabic"/>
                <w:color w:val="EE0000"/>
                <w:kern w:val="0"/>
                <w:sz w:val="28"/>
                <w:szCs w:val="28"/>
                <w14:ligatures w14:val="none"/>
              </w:rPr>
            </w:pPr>
            <w:r w:rsidRPr="00A25019">
              <w:rPr>
                <w:rFonts w:ascii="Simplified Arabic" w:eastAsia="Times New Roman" w:hAnsi="Simplified Arabic" w:cs="Simplified Arabic"/>
                <w:b/>
                <w:bCs/>
                <w:color w:val="EE0000"/>
                <w:kern w:val="0"/>
                <w:sz w:val="28"/>
                <w:szCs w:val="28"/>
                <w:rtl/>
                <w14:ligatures w14:val="none"/>
              </w:rPr>
              <w:t>المنهجية</w:t>
            </w:r>
          </w:p>
        </w:tc>
        <w:tc>
          <w:tcPr>
            <w:tcW w:w="0" w:type="auto"/>
            <w:hideMark/>
          </w:tcPr>
          <w:p w14:paraId="1FC7F2EC" w14:textId="77777777" w:rsidR="00A25019" w:rsidRPr="00A25019" w:rsidRDefault="00A25019" w:rsidP="00A25019">
            <w:pPr>
              <w:rPr>
                <w:rFonts w:ascii="Simplified Arabic" w:eastAsia="Times New Roman" w:hAnsi="Simplified Arabic" w:cs="Simplified Arabic"/>
                <w:color w:val="EE0000"/>
                <w:kern w:val="0"/>
                <w:sz w:val="28"/>
                <w:szCs w:val="28"/>
                <w14:ligatures w14:val="none"/>
              </w:rPr>
            </w:pPr>
            <w:r w:rsidRPr="00A25019">
              <w:rPr>
                <w:rFonts w:ascii="Simplified Arabic" w:eastAsia="Times New Roman" w:hAnsi="Simplified Arabic" w:cs="Simplified Arabic"/>
                <w:color w:val="EE0000"/>
                <w:kern w:val="0"/>
                <w:sz w:val="28"/>
                <w:szCs w:val="28"/>
                <w:rtl/>
                <w14:ligatures w14:val="none"/>
              </w:rPr>
              <w:t xml:space="preserve">اعتمدت غالبية الدراسات على المنهج الكمي والاستبانة وأدوات التحليل الإحصائي؛ فاستخدمت دراسات (محمود </w:t>
            </w:r>
            <w:r w:rsidRPr="00A25019">
              <w:rPr>
                <w:rFonts w:ascii="Simplified Arabic" w:eastAsia="Times New Roman" w:hAnsi="Simplified Arabic" w:cs="Simplified Arabic"/>
                <w:color w:val="EE0000"/>
                <w:kern w:val="0"/>
                <w:sz w:val="28"/>
                <w:szCs w:val="28"/>
                <w:rtl/>
                <w14:ligatures w14:val="none"/>
              </w:rPr>
              <w:lastRenderedPageBreak/>
              <w:t>وعثمان، 2024؛ أبو خشبة، 2022؛</w:t>
            </w:r>
            <w:r w:rsidRPr="00A25019">
              <w:rPr>
                <w:rFonts w:ascii="Simplified Arabic" w:eastAsia="Times New Roman" w:hAnsi="Simplified Arabic" w:cs="Simplified Arabic"/>
                <w:color w:val="EE0000"/>
                <w:kern w:val="0"/>
                <w:sz w:val="28"/>
                <w:szCs w:val="28"/>
                <w14:ligatures w14:val="none"/>
              </w:rPr>
              <w:t xml:space="preserve"> Popova et al., 2023) </w:t>
            </w:r>
            <w:r w:rsidRPr="00A25019">
              <w:rPr>
                <w:rFonts w:ascii="Simplified Arabic" w:eastAsia="Times New Roman" w:hAnsi="Simplified Arabic" w:cs="Simplified Arabic"/>
                <w:color w:val="EE0000"/>
                <w:kern w:val="0"/>
                <w:sz w:val="28"/>
                <w:szCs w:val="28"/>
                <w:rtl/>
                <w14:ligatures w14:val="none"/>
              </w:rPr>
              <w:t>تحليل المسار والنمذجة البنائية، واستخدمت دراسات (عياد، 2022؛ علي، 2021) الاستبانة والتحليل الوصفي</w:t>
            </w:r>
          </w:p>
        </w:tc>
        <w:tc>
          <w:tcPr>
            <w:tcW w:w="0" w:type="auto"/>
            <w:hideMark/>
          </w:tcPr>
          <w:p w14:paraId="54BF13C9" w14:textId="77777777" w:rsidR="00A25019" w:rsidRPr="00A25019" w:rsidRDefault="00A25019" w:rsidP="00A25019">
            <w:pPr>
              <w:rPr>
                <w:rFonts w:ascii="Simplified Arabic" w:eastAsia="Times New Roman" w:hAnsi="Simplified Arabic" w:cs="Simplified Arabic"/>
                <w:color w:val="EE0000"/>
                <w:kern w:val="0"/>
                <w:sz w:val="28"/>
                <w:szCs w:val="28"/>
                <w14:ligatures w14:val="none"/>
              </w:rPr>
            </w:pPr>
            <w:r w:rsidRPr="00A25019">
              <w:rPr>
                <w:rFonts w:ascii="Simplified Arabic" w:eastAsia="Times New Roman" w:hAnsi="Simplified Arabic" w:cs="Simplified Arabic"/>
                <w:color w:val="EE0000"/>
                <w:kern w:val="0"/>
                <w:sz w:val="28"/>
                <w:szCs w:val="28"/>
                <w:rtl/>
                <w14:ligatures w14:val="none"/>
              </w:rPr>
              <w:lastRenderedPageBreak/>
              <w:t xml:space="preserve">اختبرت دراستان فقط الدور الوسيط (محمود وعثمان، 2024؛ أبو خشبة، 2022) لكن بمتغيرات وسيطة مختلفة (التحول الرقمي، </w:t>
            </w:r>
            <w:r w:rsidRPr="00A25019">
              <w:rPr>
                <w:rFonts w:ascii="Simplified Arabic" w:eastAsia="Times New Roman" w:hAnsi="Simplified Arabic" w:cs="Simplified Arabic"/>
                <w:color w:val="EE0000"/>
                <w:kern w:val="0"/>
                <w:sz w:val="28"/>
                <w:szCs w:val="28"/>
                <w:rtl/>
                <w14:ligatures w14:val="none"/>
              </w:rPr>
              <w:lastRenderedPageBreak/>
              <w:t>تقليل الفاقد)؛ واعتمدت بعض الدراسات على المنهج النوعي أو التجريبي</w:t>
            </w:r>
            <w:r w:rsidRPr="00A25019">
              <w:rPr>
                <w:rFonts w:ascii="Simplified Arabic" w:eastAsia="Times New Roman" w:hAnsi="Simplified Arabic" w:cs="Simplified Arabic"/>
                <w:color w:val="EE0000"/>
                <w:kern w:val="0"/>
                <w:sz w:val="28"/>
                <w:szCs w:val="28"/>
                <w14:ligatures w14:val="none"/>
              </w:rPr>
              <w:t xml:space="preserve"> (Mahmood, 2024</w:t>
            </w:r>
            <w:r w:rsidRPr="00A25019">
              <w:rPr>
                <w:rFonts w:ascii="Simplified Arabic" w:eastAsia="Times New Roman" w:hAnsi="Simplified Arabic" w:cs="Simplified Arabic"/>
                <w:color w:val="EE0000"/>
                <w:kern w:val="0"/>
                <w:sz w:val="28"/>
                <w:szCs w:val="28"/>
                <w:rtl/>
                <w14:ligatures w14:val="none"/>
              </w:rPr>
              <w:t>؛</w:t>
            </w:r>
            <w:r w:rsidRPr="00A25019">
              <w:rPr>
                <w:rFonts w:ascii="Simplified Arabic" w:eastAsia="Times New Roman" w:hAnsi="Simplified Arabic" w:cs="Simplified Arabic"/>
                <w:color w:val="EE0000"/>
                <w:kern w:val="0"/>
                <w:sz w:val="28"/>
                <w:szCs w:val="28"/>
                <w14:ligatures w14:val="none"/>
              </w:rPr>
              <w:t xml:space="preserve"> Karmakar et al., 2024)</w:t>
            </w:r>
            <w:r w:rsidRPr="00A25019">
              <w:rPr>
                <w:rFonts w:ascii="Simplified Arabic" w:eastAsia="Times New Roman" w:hAnsi="Simplified Arabic" w:cs="Simplified Arabic"/>
                <w:color w:val="EE0000"/>
                <w:kern w:val="0"/>
                <w:sz w:val="28"/>
                <w:szCs w:val="28"/>
                <w:rtl/>
                <w14:ligatures w14:val="none"/>
              </w:rPr>
              <w:t>؛ بينما تعتمد الدراسة الحالية منهجاً كمياً تحليلياً متكاملاً لاختبار الوساطة باستخدام</w:t>
            </w:r>
            <w:r w:rsidRPr="00A25019">
              <w:rPr>
                <w:rFonts w:ascii="Simplified Arabic" w:eastAsia="Times New Roman" w:hAnsi="Simplified Arabic" w:cs="Simplified Arabic"/>
                <w:color w:val="EE0000"/>
                <w:kern w:val="0"/>
                <w:sz w:val="28"/>
                <w:szCs w:val="28"/>
                <w14:ligatures w14:val="none"/>
              </w:rPr>
              <w:t xml:space="preserve"> AMOS</w:t>
            </w:r>
          </w:p>
        </w:tc>
      </w:tr>
      <w:tr w:rsidR="00A25019" w:rsidRPr="00A25019" w14:paraId="4A5FE74F" w14:textId="77777777" w:rsidTr="00803095">
        <w:tc>
          <w:tcPr>
            <w:tcW w:w="0" w:type="auto"/>
            <w:hideMark/>
          </w:tcPr>
          <w:p w14:paraId="24C05469" w14:textId="77777777" w:rsidR="00A25019" w:rsidRPr="00A25019" w:rsidRDefault="00A25019" w:rsidP="00A25019">
            <w:pPr>
              <w:rPr>
                <w:rFonts w:ascii="Simplified Arabic" w:eastAsia="Times New Roman" w:hAnsi="Simplified Arabic" w:cs="Simplified Arabic"/>
                <w:color w:val="EE0000"/>
                <w:kern w:val="0"/>
                <w:sz w:val="28"/>
                <w:szCs w:val="28"/>
                <w14:ligatures w14:val="none"/>
              </w:rPr>
            </w:pPr>
            <w:r w:rsidRPr="00A25019">
              <w:rPr>
                <w:rFonts w:ascii="Simplified Arabic" w:eastAsia="Times New Roman" w:hAnsi="Simplified Arabic" w:cs="Simplified Arabic"/>
                <w:b/>
                <w:bCs/>
                <w:color w:val="EE0000"/>
                <w:kern w:val="0"/>
                <w:sz w:val="28"/>
                <w:szCs w:val="28"/>
                <w:rtl/>
                <w14:ligatures w14:val="none"/>
              </w:rPr>
              <w:lastRenderedPageBreak/>
              <w:t>بيئة التطبيق</w:t>
            </w:r>
          </w:p>
        </w:tc>
        <w:tc>
          <w:tcPr>
            <w:tcW w:w="0" w:type="auto"/>
            <w:hideMark/>
          </w:tcPr>
          <w:p w14:paraId="0173162B" w14:textId="77777777" w:rsidR="00A25019" w:rsidRPr="00A25019" w:rsidRDefault="00A25019" w:rsidP="00A25019">
            <w:pPr>
              <w:rPr>
                <w:rFonts w:ascii="Simplified Arabic" w:eastAsia="Times New Roman" w:hAnsi="Simplified Arabic" w:cs="Simplified Arabic"/>
                <w:color w:val="EE0000"/>
                <w:kern w:val="0"/>
                <w:sz w:val="28"/>
                <w:szCs w:val="28"/>
                <w14:ligatures w14:val="none"/>
              </w:rPr>
            </w:pPr>
            <w:r w:rsidRPr="00A25019">
              <w:rPr>
                <w:rFonts w:ascii="Simplified Arabic" w:eastAsia="Times New Roman" w:hAnsi="Simplified Arabic" w:cs="Simplified Arabic"/>
                <w:color w:val="EE0000"/>
                <w:kern w:val="0"/>
                <w:sz w:val="28"/>
                <w:szCs w:val="28"/>
                <w:rtl/>
                <w14:ligatures w14:val="none"/>
              </w:rPr>
              <w:t>طُبقت عدة دراسات في السياق السعودي (سحنون، 2023؛</w:t>
            </w:r>
            <w:r w:rsidRPr="00A25019">
              <w:rPr>
                <w:rFonts w:ascii="Simplified Arabic" w:eastAsia="Times New Roman" w:hAnsi="Simplified Arabic" w:cs="Simplified Arabic"/>
                <w:color w:val="EE0000"/>
                <w:kern w:val="0"/>
                <w:sz w:val="28"/>
                <w:szCs w:val="28"/>
                <w14:ligatures w14:val="none"/>
              </w:rPr>
              <w:t xml:space="preserve"> Salem et al., 2023)</w:t>
            </w:r>
            <w:r w:rsidRPr="00A25019">
              <w:rPr>
                <w:rFonts w:ascii="Simplified Arabic" w:eastAsia="Times New Roman" w:hAnsi="Simplified Arabic" w:cs="Simplified Arabic"/>
                <w:color w:val="EE0000"/>
                <w:kern w:val="0"/>
                <w:sz w:val="28"/>
                <w:szCs w:val="28"/>
                <w:rtl/>
                <w14:ligatures w14:val="none"/>
              </w:rPr>
              <w:t xml:space="preserve">، وطُبقت دراسات أخرى في سياق الحج والعمرة تحديداً (الحناوي وآخرون، </w:t>
            </w:r>
            <w:r w:rsidRPr="00A25019">
              <w:rPr>
                <w:rFonts w:ascii="Simplified Arabic" w:eastAsia="Times New Roman" w:hAnsi="Simplified Arabic" w:cs="Simplified Arabic"/>
                <w:color w:val="EE0000"/>
                <w:kern w:val="0"/>
                <w:sz w:val="28"/>
                <w:szCs w:val="28"/>
                <w14:ligatures w14:val="none"/>
              </w:rPr>
              <w:t>2022</w:t>
            </w:r>
            <w:r w:rsidRPr="00A25019">
              <w:rPr>
                <w:rFonts w:ascii="Simplified Arabic" w:eastAsia="Times New Roman" w:hAnsi="Simplified Arabic" w:cs="Simplified Arabic"/>
                <w:color w:val="EE0000"/>
                <w:kern w:val="0"/>
                <w:sz w:val="28"/>
                <w:szCs w:val="28"/>
                <w:rtl/>
                <w14:ligatures w14:val="none"/>
              </w:rPr>
              <w:t>، 2023؛ عياد، 2022؛ اليوسف، 2016) مما يوفر قاعدة معرفية للدراسة الحالية</w:t>
            </w:r>
          </w:p>
        </w:tc>
        <w:tc>
          <w:tcPr>
            <w:tcW w:w="0" w:type="auto"/>
            <w:hideMark/>
          </w:tcPr>
          <w:p w14:paraId="372610D1" w14:textId="77777777" w:rsidR="00A25019" w:rsidRPr="00A25019" w:rsidRDefault="00A25019" w:rsidP="00A25019">
            <w:pPr>
              <w:rPr>
                <w:rFonts w:ascii="Simplified Arabic" w:eastAsia="Times New Roman" w:hAnsi="Simplified Arabic" w:cs="Simplified Arabic"/>
                <w:color w:val="EE0000"/>
                <w:kern w:val="0"/>
                <w:sz w:val="28"/>
                <w:szCs w:val="28"/>
                <w14:ligatures w14:val="none"/>
              </w:rPr>
            </w:pPr>
            <w:r w:rsidRPr="00A25019">
              <w:rPr>
                <w:rFonts w:ascii="Simplified Arabic" w:eastAsia="Times New Roman" w:hAnsi="Simplified Arabic" w:cs="Simplified Arabic"/>
                <w:color w:val="EE0000"/>
                <w:kern w:val="0"/>
                <w:sz w:val="28"/>
                <w:szCs w:val="28"/>
                <w:rtl/>
                <w14:ligatures w14:val="none"/>
              </w:rPr>
              <w:t>طُبقت دراسات الاستدامة في بيئات صناعية وخدمية مستقرة، ودراسات التكنولوجيا في قطاعات معلوماتية وصناعية؛ ولم تجمع أي دراسة بين الاستدامة والتكنولوجيا في بيئة الحج والعمرة التي تتميز بالكثافة البشرية العالية والتعقيد التنظيمي والتنوع الثقافي والضغط الزمني</w:t>
            </w:r>
          </w:p>
        </w:tc>
      </w:tr>
      <w:tr w:rsidR="00A25019" w:rsidRPr="00A25019" w14:paraId="1892F901" w14:textId="77777777" w:rsidTr="00803095">
        <w:tc>
          <w:tcPr>
            <w:tcW w:w="0" w:type="auto"/>
            <w:hideMark/>
          </w:tcPr>
          <w:p w14:paraId="5C39AEA5" w14:textId="77777777" w:rsidR="00A25019" w:rsidRPr="00A25019" w:rsidRDefault="00A25019" w:rsidP="00A25019">
            <w:pPr>
              <w:rPr>
                <w:rFonts w:ascii="Simplified Arabic" w:eastAsia="Times New Roman" w:hAnsi="Simplified Arabic" w:cs="Simplified Arabic"/>
                <w:color w:val="EE0000"/>
                <w:kern w:val="0"/>
                <w:sz w:val="28"/>
                <w:szCs w:val="28"/>
                <w14:ligatures w14:val="none"/>
              </w:rPr>
            </w:pPr>
            <w:r w:rsidRPr="00A25019">
              <w:rPr>
                <w:rFonts w:ascii="Simplified Arabic" w:eastAsia="Times New Roman" w:hAnsi="Simplified Arabic" w:cs="Simplified Arabic"/>
                <w:b/>
                <w:bCs/>
                <w:color w:val="EE0000"/>
                <w:kern w:val="0"/>
                <w:sz w:val="28"/>
                <w:szCs w:val="28"/>
                <w:rtl/>
                <w14:ligatures w14:val="none"/>
              </w:rPr>
              <w:t>العينة</w:t>
            </w:r>
          </w:p>
        </w:tc>
        <w:tc>
          <w:tcPr>
            <w:tcW w:w="0" w:type="auto"/>
            <w:hideMark/>
          </w:tcPr>
          <w:p w14:paraId="2BEDCDD4" w14:textId="77777777" w:rsidR="00A25019" w:rsidRPr="00A25019" w:rsidRDefault="00A25019" w:rsidP="00A25019">
            <w:pPr>
              <w:rPr>
                <w:rFonts w:ascii="Simplified Arabic" w:eastAsia="Times New Roman" w:hAnsi="Simplified Arabic" w:cs="Simplified Arabic"/>
                <w:color w:val="EE0000"/>
                <w:kern w:val="0"/>
                <w:sz w:val="28"/>
                <w:szCs w:val="28"/>
                <w14:ligatures w14:val="none"/>
              </w:rPr>
            </w:pPr>
            <w:r w:rsidRPr="00A25019">
              <w:rPr>
                <w:rFonts w:ascii="Simplified Arabic" w:eastAsia="Times New Roman" w:hAnsi="Simplified Arabic" w:cs="Simplified Arabic"/>
                <w:color w:val="EE0000"/>
                <w:kern w:val="0"/>
                <w:sz w:val="28"/>
                <w:szCs w:val="28"/>
                <w:rtl/>
                <w14:ligatures w14:val="none"/>
              </w:rPr>
              <w:t>استهدفت الدراسات عينات من الموظفين والمديرين في المؤسسات المعنية؛ ودراسة عياد (2022) استهدفت العاملين في منظومة الحج والعمرة تحديداً</w:t>
            </w:r>
          </w:p>
        </w:tc>
        <w:tc>
          <w:tcPr>
            <w:tcW w:w="0" w:type="auto"/>
            <w:hideMark/>
          </w:tcPr>
          <w:p w14:paraId="5CFE0858" w14:textId="77777777" w:rsidR="00A25019" w:rsidRPr="00A25019" w:rsidRDefault="00A25019" w:rsidP="00A25019">
            <w:pPr>
              <w:rPr>
                <w:rFonts w:ascii="Simplified Arabic" w:eastAsia="Times New Roman" w:hAnsi="Simplified Arabic" w:cs="Simplified Arabic"/>
                <w:color w:val="EE0000"/>
                <w:kern w:val="0"/>
                <w:sz w:val="28"/>
                <w:szCs w:val="28"/>
                <w14:ligatures w14:val="none"/>
              </w:rPr>
            </w:pPr>
            <w:r w:rsidRPr="00A25019">
              <w:rPr>
                <w:rFonts w:ascii="Simplified Arabic" w:eastAsia="Times New Roman" w:hAnsi="Simplified Arabic" w:cs="Simplified Arabic"/>
                <w:color w:val="EE0000"/>
                <w:kern w:val="0"/>
                <w:sz w:val="28"/>
                <w:szCs w:val="28"/>
                <w:rtl/>
                <w14:ligatures w14:val="none"/>
              </w:rPr>
              <w:t>تنوعت العينات بين موظفي مؤسسات صناعية (سحنون، 2023)، ومديري شركات (محمود وعثمان، 2024)، ومختصين طبيين (الحناوي وآخرون، 2023)، وأسر</w:t>
            </w:r>
            <w:r w:rsidRPr="00A25019">
              <w:rPr>
                <w:rFonts w:ascii="Simplified Arabic" w:eastAsia="Times New Roman" w:hAnsi="Simplified Arabic" w:cs="Simplified Arabic"/>
                <w:color w:val="EE0000"/>
                <w:kern w:val="0"/>
                <w:sz w:val="28"/>
                <w:szCs w:val="28"/>
                <w14:ligatures w14:val="none"/>
              </w:rPr>
              <w:t xml:space="preserve"> (Arning &amp; Venghaus, 2024)</w:t>
            </w:r>
            <w:r w:rsidRPr="00A25019">
              <w:rPr>
                <w:rFonts w:ascii="Simplified Arabic" w:eastAsia="Times New Roman" w:hAnsi="Simplified Arabic" w:cs="Simplified Arabic"/>
                <w:color w:val="EE0000"/>
                <w:kern w:val="0"/>
                <w:sz w:val="28"/>
                <w:szCs w:val="28"/>
                <w:rtl/>
                <w14:ligatures w14:val="none"/>
              </w:rPr>
              <w:t>؛ بينما تستهدف الدراسة الحالية عينة شاملة ومتخصصة تضم العاملين في الجهات التنظيمية والتشغيلية والتقنية والميدانية المعنية بإدارة الحشود في موسم الحج والعمرة</w:t>
            </w:r>
          </w:p>
        </w:tc>
      </w:tr>
    </w:tbl>
    <w:p w14:paraId="59675774" w14:textId="77777777" w:rsidR="00A25019" w:rsidRPr="00A25019" w:rsidRDefault="00A25019" w:rsidP="00A25019">
      <w:pPr>
        <w:jc w:val="both"/>
        <w:rPr>
          <w:rFonts w:ascii="Simplified Arabic" w:hAnsi="Simplified Arabic" w:cs="Simplified Arabic"/>
          <w:color w:val="EE0000"/>
          <w:sz w:val="28"/>
          <w:szCs w:val="28"/>
        </w:rPr>
      </w:pPr>
    </w:p>
    <w:p w14:paraId="6C92F0E7"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على الرغم من تعدد الدراسات التي تناولت ممارسات الاستدامة والتكنولوجيا الذكية وكفاءة إدارة الحشود، فإن المراجعة التحليلية للأدبيات تكشف عن أربع فجوات بحثية محددة لم تُعالَج بصورة متكاملة، تسعى الدراسة الحالية إلى سدّها</w:t>
      </w:r>
      <w:r w:rsidRPr="00A25019">
        <w:rPr>
          <w:rFonts w:ascii="Simplified Arabic" w:hAnsi="Simplified Arabic" w:cs="Simplified Arabic"/>
          <w:color w:val="EE0000"/>
          <w:sz w:val="28"/>
          <w:szCs w:val="28"/>
        </w:rPr>
        <w:t>:</w:t>
      </w:r>
    </w:p>
    <w:p w14:paraId="5C30C01B"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lastRenderedPageBreak/>
        <w:t>الفجوة الأولى: غياب النموذج التكاملي ثلاثي المتغيرات</w:t>
      </w:r>
      <w:r w:rsidRPr="00A25019">
        <w:rPr>
          <w:rFonts w:ascii="Simplified Arabic" w:hAnsi="Simplified Arabic" w:cs="Simplified Arabic"/>
          <w:color w:val="EE0000"/>
          <w:sz w:val="28"/>
          <w:szCs w:val="28"/>
        </w:rPr>
        <w:t xml:space="preserve">. </w:t>
      </w:r>
      <w:r w:rsidRPr="00A25019">
        <w:rPr>
          <w:rFonts w:ascii="Simplified Arabic" w:hAnsi="Simplified Arabic" w:cs="Simplified Arabic"/>
          <w:color w:val="EE0000"/>
          <w:sz w:val="28"/>
          <w:szCs w:val="28"/>
          <w:rtl/>
        </w:rPr>
        <w:t>لم تُقدّم أيٌّ من الدراسات المستعرضة نموذجاً واحداً يجمع بين ممارسات الاستدامة بأبعادها الثلاثة، والتكنولوجيا الذكية بأبعادها الثلاثة، وكفاءة إدارة الحشود بأبعادها الثلاثة. فدراسة محمود وعثمان (2024) ربطت بين الاستدامة والكفاءة التشغيلية بوساطة التحول الرقمي لكن خارج سياق الحشود، ودراسة الرشيدي (2024) ربطت بين الذكاء الاصطناعي وكفاءة إدارة الحشود لكن دون البعد الاستدامي، ودراسة</w:t>
      </w:r>
      <w:r w:rsidRPr="00A25019">
        <w:rPr>
          <w:rFonts w:ascii="Simplified Arabic" w:hAnsi="Simplified Arabic" w:cs="Simplified Arabic"/>
          <w:color w:val="EE0000"/>
          <w:sz w:val="28"/>
          <w:szCs w:val="28"/>
        </w:rPr>
        <w:t xml:space="preserve"> Popova et al. (2023) </w:t>
      </w:r>
      <w:r w:rsidRPr="00A25019">
        <w:rPr>
          <w:rFonts w:ascii="Simplified Arabic" w:hAnsi="Simplified Arabic" w:cs="Simplified Arabic"/>
          <w:color w:val="EE0000"/>
          <w:sz w:val="28"/>
          <w:szCs w:val="28"/>
          <w:rtl/>
        </w:rPr>
        <w:t>ربطت بين الاستدامة والتكنولوجيا الذكية لكن دون البعد التطبيقي للحشود. وتُعالج الدراسة الحالية هذه الفجوة عبر اختبار النموذج الثلاثي مجتمعاً لأول مرة في سياق الحرمين الشريفين</w:t>
      </w:r>
      <w:r w:rsidRPr="00A25019">
        <w:rPr>
          <w:rFonts w:ascii="Simplified Arabic" w:hAnsi="Simplified Arabic" w:cs="Simplified Arabic"/>
          <w:color w:val="EE0000"/>
          <w:sz w:val="28"/>
          <w:szCs w:val="28"/>
        </w:rPr>
        <w:t>.</w:t>
      </w:r>
    </w:p>
    <w:p w14:paraId="5546C51E"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الفجوة الثانية: غياب الإطار النظري المُحدِّد للوساطة التقنية</w:t>
      </w:r>
      <w:r w:rsidRPr="00A25019">
        <w:rPr>
          <w:rFonts w:ascii="Simplified Arabic" w:hAnsi="Simplified Arabic" w:cs="Simplified Arabic"/>
          <w:color w:val="EE0000"/>
          <w:sz w:val="28"/>
          <w:szCs w:val="28"/>
        </w:rPr>
        <w:t xml:space="preserve">. </w:t>
      </w:r>
      <w:r w:rsidRPr="00A25019">
        <w:rPr>
          <w:rFonts w:ascii="Simplified Arabic" w:hAnsi="Simplified Arabic" w:cs="Simplified Arabic"/>
          <w:color w:val="EE0000"/>
          <w:sz w:val="28"/>
          <w:szCs w:val="28"/>
          <w:rtl/>
        </w:rPr>
        <w:t>الدراسات السابقة التي تناولت دور التكنولوجيا تعاملت معها بوصفها متغيراً مستقلاً (الرشيدي 2024) أو متغيراً تابعاً</w:t>
      </w:r>
      <w:r w:rsidRPr="00A25019">
        <w:rPr>
          <w:rFonts w:ascii="Simplified Arabic" w:hAnsi="Simplified Arabic" w:cs="Simplified Arabic"/>
          <w:color w:val="EE0000"/>
          <w:sz w:val="28"/>
          <w:szCs w:val="28"/>
        </w:rPr>
        <w:t xml:space="preserve"> (Lee et al. 2023) </w:t>
      </w:r>
      <w:r w:rsidRPr="00A25019">
        <w:rPr>
          <w:rFonts w:ascii="Simplified Arabic" w:hAnsi="Simplified Arabic" w:cs="Simplified Arabic"/>
          <w:color w:val="EE0000"/>
          <w:sz w:val="28"/>
          <w:szCs w:val="28"/>
          <w:rtl/>
        </w:rPr>
        <w:t>أو متغيراً معدلاً</w:t>
      </w:r>
      <w:r w:rsidRPr="00A25019">
        <w:rPr>
          <w:rFonts w:ascii="Simplified Arabic" w:hAnsi="Simplified Arabic" w:cs="Simplified Arabic"/>
          <w:color w:val="EE0000"/>
          <w:sz w:val="28"/>
          <w:szCs w:val="28"/>
        </w:rPr>
        <w:t xml:space="preserve"> (Aivazidou et al. 2021)</w:t>
      </w:r>
      <w:r w:rsidRPr="00A25019">
        <w:rPr>
          <w:rFonts w:ascii="Simplified Arabic" w:hAnsi="Simplified Arabic" w:cs="Simplified Arabic"/>
          <w:color w:val="EE0000"/>
          <w:sz w:val="28"/>
          <w:szCs w:val="28"/>
          <w:rtl/>
        </w:rPr>
        <w:t>، دون أن تُقدّم تأصيلاً نظرياً صريحاً يُبرّر تصنيفها كمتغير وسيط. وتُعالج الدراسة الحالية هذه الفجوة عبر التبني الصريح لنظرية النظم السوسيوتقنية كإطار يُبرّر دور الوساطة، واختبار قوته إحصائياً عبر نمذجة المعادلات الهيكلية</w:t>
      </w:r>
      <w:r w:rsidRPr="00A25019">
        <w:rPr>
          <w:rFonts w:ascii="Simplified Arabic" w:hAnsi="Simplified Arabic" w:cs="Simplified Arabic"/>
          <w:color w:val="EE0000"/>
          <w:sz w:val="28"/>
          <w:szCs w:val="28"/>
        </w:rPr>
        <w:t>.</w:t>
      </w:r>
    </w:p>
    <w:p w14:paraId="1704ECAA"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الفجوة الثالثة: محدودية السياق التطبيقي السعودي للدراسات الاستدامية</w:t>
      </w:r>
      <w:r w:rsidRPr="00A25019">
        <w:rPr>
          <w:rFonts w:ascii="Simplified Arabic" w:hAnsi="Simplified Arabic" w:cs="Simplified Arabic"/>
          <w:color w:val="EE0000"/>
          <w:sz w:val="28"/>
          <w:szCs w:val="28"/>
        </w:rPr>
        <w:t xml:space="preserve">. </w:t>
      </w:r>
      <w:r w:rsidRPr="00A25019">
        <w:rPr>
          <w:rFonts w:ascii="Simplified Arabic" w:hAnsi="Simplified Arabic" w:cs="Simplified Arabic"/>
          <w:color w:val="EE0000"/>
          <w:sz w:val="28"/>
          <w:szCs w:val="28"/>
          <w:rtl/>
        </w:rPr>
        <w:t>الدراسات العربية التي تناولت ممارسات الاستدامة طُبّقت في الغالب على القطاعات الصناعية (سحنون 2023) أو سلاسل الإمداد (محمود وعثمان 2024) أو التعليم العالي (راشد وعيد 2025)، ولم تُختبر هذه الممارسات في بيئة تجمع بشري ديني موسمي بكثافة الحج والعمرة</w:t>
      </w:r>
      <w:r w:rsidRPr="00A25019">
        <w:rPr>
          <w:rFonts w:ascii="Simplified Arabic" w:hAnsi="Simplified Arabic" w:cs="Simplified Arabic"/>
          <w:color w:val="EE0000"/>
          <w:sz w:val="28"/>
          <w:szCs w:val="28"/>
        </w:rPr>
        <w:t xml:space="preserve">. </w:t>
      </w:r>
      <w:r w:rsidRPr="00A25019">
        <w:rPr>
          <w:rFonts w:ascii="Simplified Arabic" w:hAnsi="Simplified Arabic" w:cs="Simplified Arabic"/>
          <w:color w:val="EE0000"/>
          <w:sz w:val="28"/>
          <w:szCs w:val="28"/>
          <w:rtl/>
        </w:rPr>
        <w:t>وتُعالج الدراسة الحالية هذه الفجوة عبر اختبار نموذج الاستدامة في أكبر تجمع بشري ديني سنوي في العالم</w:t>
      </w:r>
      <w:r w:rsidRPr="00A25019">
        <w:rPr>
          <w:rFonts w:ascii="Simplified Arabic" w:hAnsi="Simplified Arabic" w:cs="Simplified Arabic"/>
          <w:color w:val="EE0000"/>
          <w:sz w:val="28"/>
          <w:szCs w:val="28"/>
        </w:rPr>
        <w:t>.</w:t>
      </w:r>
    </w:p>
    <w:p w14:paraId="32F7E44A"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الفجوة الرابعة: محدودية الشمول العيّني وتنوّع التخصصات</w:t>
      </w:r>
      <w:r w:rsidRPr="00A25019">
        <w:rPr>
          <w:rFonts w:ascii="Simplified Arabic" w:hAnsi="Simplified Arabic" w:cs="Simplified Arabic"/>
          <w:color w:val="EE0000"/>
          <w:sz w:val="28"/>
          <w:szCs w:val="28"/>
        </w:rPr>
        <w:t xml:space="preserve">. </w:t>
      </w:r>
      <w:r w:rsidRPr="00A25019">
        <w:rPr>
          <w:rFonts w:ascii="Simplified Arabic" w:hAnsi="Simplified Arabic" w:cs="Simplified Arabic"/>
          <w:color w:val="EE0000"/>
          <w:sz w:val="28"/>
          <w:szCs w:val="28"/>
          <w:rtl/>
        </w:rPr>
        <w:t>اعتمدت الدراسات السابقة على عينات أحادية التخصص (موظفون إداريون، مديرو شركات، مختصون صحيون، أسر)، في حين أن إدارة الحشود في الحج بيئة متعددة الأطراف الفاعلة. وتُعالج الدراسة الحالية هذه الفجوة عبر عينة ميدانية تشمل أربع فئات وظيفية متمايزة هي: العاملون في الجهات التنظيمية، والعاملون في الجهات التشغيلية الميدانية، والمتخصصون التقنيون، والكوادر الأمنية المعنية مباشرة بإدارة الحشود في موسم الحج والعمرة</w:t>
      </w:r>
      <w:r w:rsidRPr="00A25019">
        <w:rPr>
          <w:rFonts w:ascii="Simplified Arabic" w:hAnsi="Simplified Arabic" w:cs="Simplified Arabic"/>
          <w:color w:val="EE0000"/>
          <w:sz w:val="28"/>
          <w:szCs w:val="28"/>
        </w:rPr>
        <w:t>.</w:t>
      </w:r>
    </w:p>
    <w:p w14:paraId="6AFDBD00" w14:textId="77777777" w:rsidR="00A25019" w:rsidRPr="00A25019" w:rsidRDefault="00A25019" w:rsidP="00A25019">
      <w:pPr>
        <w:jc w:val="both"/>
        <w:rPr>
          <w:rFonts w:ascii="Simplified Arabic" w:hAnsi="Simplified Arabic" w:cs="Simplified Arabic"/>
          <w:color w:val="EE0000"/>
          <w:sz w:val="28"/>
          <w:szCs w:val="28"/>
          <w:u w:val="single"/>
        </w:rPr>
      </w:pPr>
      <w:r w:rsidRPr="00A25019">
        <w:rPr>
          <w:rFonts w:ascii="Simplified Arabic" w:hAnsi="Simplified Arabic" w:cs="Simplified Arabic"/>
          <w:color w:val="EE0000"/>
          <w:sz w:val="28"/>
          <w:szCs w:val="28"/>
          <w:u w:val="single"/>
          <w:rtl/>
        </w:rPr>
        <w:t>تعالج الدراسة الحالية هذه الفجوات الأربع من خلال أربع آليات محددة تتوافق مع كل فجوة</w:t>
      </w:r>
      <w:r w:rsidRPr="00A25019">
        <w:rPr>
          <w:rFonts w:ascii="Simplified Arabic" w:hAnsi="Simplified Arabic" w:cs="Simplified Arabic"/>
          <w:color w:val="EE0000"/>
          <w:sz w:val="28"/>
          <w:szCs w:val="28"/>
          <w:u w:val="single"/>
        </w:rPr>
        <w:t>:</w:t>
      </w:r>
    </w:p>
    <w:p w14:paraId="2348AC34"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lastRenderedPageBreak/>
        <w:t>أولاً: لمعالجة فجوة غياب التكامل، تبني الدراسة نموذجاً تفسيرياً واحداً يدمج ممارسات الاستدامة بأبعادها الثلاثة (البيئية، الاقتصادية، الاجتماعية) مع كفاءة إدارة الحشود بأبعادها الثلاثة (الانسيابية، سرعة الاستجابة، تقليل التكدس) والتكنولوجيا الذكية بأبعادها الثلاثة (أنظمة المراقبة الذكية، تطبيقات التوجيه والتحكم، تحليل البيانات الحية)، وهو ما لم تتناوله أيٌّ من الدراسات السابقة المستعرضة</w:t>
      </w:r>
      <w:r w:rsidRPr="00A25019">
        <w:rPr>
          <w:rFonts w:ascii="Simplified Arabic" w:hAnsi="Simplified Arabic" w:cs="Simplified Arabic"/>
          <w:color w:val="EE0000"/>
          <w:sz w:val="28"/>
          <w:szCs w:val="28"/>
        </w:rPr>
        <w:t>.</w:t>
      </w:r>
    </w:p>
    <w:p w14:paraId="3602FC77"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ثانياً: لمعالجة فجوة محدودية اختبار الدور الوسيط، تختبر الدراسة العلاقات المباشرة وغير المباشرة بين المتغيرات باستخدام نماذج المعادلات البنائية عبر برنامج</w:t>
      </w:r>
      <w:r w:rsidRPr="00A25019">
        <w:rPr>
          <w:rFonts w:ascii="Simplified Arabic" w:hAnsi="Simplified Arabic" w:cs="Simplified Arabic"/>
          <w:color w:val="EE0000"/>
          <w:sz w:val="28"/>
          <w:szCs w:val="28"/>
        </w:rPr>
        <w:t xml:space="preserve"> AMOS</w:t>
      </w:r>
      <w:r w:rsidRPr="00A25019">
        <w:rPr>
          <w:rFonts w:ascii="Simplified Arabic" w:hAnsi="Simplified Arabic" w:cs="Simplified Arabic"/>
          <w:color w:val="EE0000"/>
          <w:sz w:val="28"/>
          <w:szCs w:val="28"/>
          <w:rtl/>
        </w:rPr>
        <w:t>، مع التركيز تحديداً على قياس الدور الوسيط للتكنولوجيا الذكية في تعزيز أثر ممارسات الاستدامة على كفاءة إدارة الحشود، وهي العلاقة الوسيطة التي لم تُختبر في الأدبيات السابقة</w:t>
      </w:r>
      <w:r w:rsidRPr="00A25019">
        <w:rPr>
          <w:rFonts w:ascii="Simplified Arabic" w:hAnsi="Simplified Arabic" w:cs="Simplified Arabic"/>
          <w:color w:val="EE0000"/>
          <w:sz w:val="28"/>
          <w:szCs w:val="28"/>
        </w:rPr>
        <w:t>.</w:t>
      </w:r>
    </w:p>
    <w:p w14:paraId="2B9C3633"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ثالثاً: لمعالجة فجوة ندرة التطبيق في البيئات الديناميكية، تُطبّق الدراسة نموذجها في سياق موسم الحج والعمرة بمكة المكرمة والمدينة المنورة، مما يمنح النتائج قيمة تطبيقية عالية في بيئة تشغيلية فريدة عالمياً من حيث حجم التحديات وتعقيدها، وينسجم مع مستهدفات رؤية المملكة 2030 في بناء منظومة حج وعمرة مستدامة وذكية</w:t>
      </w:r>
      <w:r w:rsidRPr="00A25019">
        <w:rPr>
          <w:rFonts w:ascii="Simplified Arabic" w:hAnsi="Simplified Arabic" w:cs="Simplified Arabic"/>
          <w:color w:val="EE0000"/>
          <w:sz w:val="28"/>
          <w:szCs w:val="28"/>
        </w:rPr>
        <w:t>.</w:t>
      </w:r>
    </w:p>
    <w:p w14:paraId="22D81B9F"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رابعاً: لمعالجة فجوة محدودية العينات، تستهدف الدراسة عينة ميدانية متعددة التخصصات تشمل العاملين في الجهات التنظيمية والتشغيلية والتقنية والميدانية المعنية مباشرة بإدارة الحشود، مما يوفر بيانات أكثر عمقاً وارتباطاً بالواقع العملي مقارنة بالعينات أحادية التخصص التي اعتمدتها الدراسات السابقة</w:t>
      </w:r>
      <w:r w:rsidRPr="00A25019">
        <w:rPr>
          <w:rFonts w:ascii="Simplified Arabic" w:hAnsi="Simplified Arabic" w:cs="Simplified Arabic"/>
          <w:color w:val="EE0000"/>
          <w:sz w:val="28"/>
          <w:szCs w:val="28"/>
        </w:rPr>
        <w:t>.</w:t>
      </w:r>
    </w:p>
    <w:p w14:paraId="57A8551D" w14:textId="77777777" w:rsidR="00A25019" w:rsidRPr="00A25019" w:rsidRDefault="00A25019" w:rsidP="00A25019">
      <w:pPr>
        <w:jc w:val="both"/>
        <w:rPr>
          <w:rFonts w:ascii="Simplified Arabic" w:hAnsi="Simplified Arabic" w:cs="Simplified Arabic"/>
          <w:b/>
          <w:bCs/>
          <w:color w:val="EE0000"/>
          <w:sz w:val="28"/>
          <w:szCs w:val="28"/>
          <w:rtl/>
        </w:rPr>
      </w:pPr>
      <w:r w:rsidRPr="00A25019">
        <w:rPr>
          <w:rFonts w:ascii="Simplified Arabic" w:hAnsi="Simplified Arabic" w:cs="Simplified Arabic"/>
          <w:b/>
          <w:bCs/>
          <w:color w:val="EE0000"/>
          <w:sz w:val="28"/>
          <w:szCs w:val="28"/>
          <w:rtl/>
        </w:rPr>
        <w:t xml:space="preserve">ما تتميز بية هذه الدراسة </w:t>
      </w:r>
    </w:p>
    <w:p w14:paraId="6FD615C5" w14:textId="77777777" w:rsidR="00A25019" w:rsidRPr="00A25019" w:rsidRDefault="00A25019" w:rsidP="00A25019">
      <w:pPr>
        <w:numPr>
          <w:ilvl w:val="0"/>
          <w:numId w:val="19"/>
        </w:numPr>
        <w:contextualSpacing/>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تقدم الدراسة نموذجًا تفسيريًا يجمع بين ممارسات الاستدامة والتكنولوجيا الذكية وكفاءة إدارة الحشود في إطار واحد متكامل، وهو ما لم تتناوله الدراسات السابقة التي عالجت هذه المفاهيم بصورة منفصلة</w:t>
      </w:r>
      <w:r w:rsidRPr="00A25019">
        <w:rPr>
          <w:rFonts w:ascii="Simplified Arabic" w:hAnsi="Simplified Arabic" w:cs="Simplified Arabic"/>
          <w:color w:val="EE0000"/>
          <w:sz w:val="28"/>
          <w:szCs w:val="28"/>
          <w:lang w:bidi="ar-EG"/>
        </w:rPr>
        <w:t>.</w:t>
      </w:r>
    </w:p>
    <w:p w14:paraId="030E176A" w14:textId="77777777" w:rsidR="00A25019" w:rsidRPr="00A25019" w:rsidRDefault="00A25019" w:rsidP="00A25019">
      <w:pPr>
        <w:numPr>
          <w:ilvl w:val="0"/>
          <w:numId w:val="19"/>
        </w:numPr>
        <w:contextualSpacing/>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تسعى الدراسة إلى قياس الدور الوسيط للتكنولوجيا الذكية في تعزيز أثر ممارسات الاستدامة على كفاءة إدارة الحشود، باستخدام نماذج سببية كمية تعتمد على التحليل الإحصائي المتقدم، بما يضيف بعدًا تفسيريًا جديدًا للأدبيات القائمة</w:t>
      </w:r>
      <w:r w:rsidRPr="00A25019">
        <w:rPr>
          <w:rFonts w:ascii="Simplified Arabic" w:hAnsi="Simplified Arabic" w:cs="Simplified Arabic"/>
          <w:color w:val="EE0000"/>
          <w:sz w:val="28"/>
          <w:szCs w:val="28"/>
          <w:lang w:bidi="ar-EG"/>
        </w:rPr>
        <w:t>.</w:t>
      </w:r>
    </w:p>
    <w:p w14:paraId="4EA4DFE6" w14:textId="77777777" w:rsidR="00A25019" w:rsidRPr="00A25019" w:rsidRDefault="00A25019" w:rsidP="00A25019">
      <w:pPr>
        <w:numPr>
          <w:ilvl w:val="0"/>
          <w:numId w:val="19"/>
        </w:numPr>
        <w:contextualSpacing/>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lastRenderedPageBreak/>
        <w:t>تتميز الدراسة بتطبيقها في موسمَي الحج والعمرة، وهي بيئة تشغيلية ذات خصوصية استثنائية تتسم بارتفاع الكثافة البشرية وتنوّع الثقافات وتغيّر الظروف الميدانية بشكل لحظي، وهو ما يمنح النتائج قيمة تطبيقية عالية تمتد إلى مجالات إدارة الحشود الكبرى عالميًا</w:t>
      </w:r>
      <w:r w:rsidRPr="00A25019">
        <w:rPr>
          <w:rFonts w:ascii="Simplified Arabic" w:hAnsi="Simplified Arabic" w:cs="Simplified Arabic"/>
          <w:color w:val="EE0000"/>
          <w:sz w:val="28"/>
          <w:szCs w:val="28"/>
          <w:lang w:bidi="ar-EG"/>
        </w:rPr>
        <w:t>.</w:t>
      </w:r>
    </w:p>
    <w:p w14:paraId="262E62B6" w14:textId="77777777" w:rsidR="00A25019" w:rsidRPr="00A25019" w:rsidRDefault="00A25019" w:rsidP="00A25019">
      <w:pPr>
        <w:numPr>
          <w:ilvl w:val="0"/>
          <w:numId w:val="19"/>
        </w:numPr>
        <w:contextualSpacing/>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 xml:space="preserve"> تعتمد هذه الدراسة على عينة ميدانية من العاملين في إدارة وتنظيم الحشود والمختصين التقنيين، ما يوفّر بيانات أكثر عمقًا وارتباطًا بالواقع العملي</w:t>
      </w:r>
      <w:r w:rsidRPr="00A25019">
        <w:rPr>
          <w:rFonts w:ascii="Simplified Arabic" w:hAnsi="Simplified Arabic" w:cs="Simplified Arabic"/>
          <w:color w:val="EE0000"/>
          <w:sz w:val="28"/>
          <w:szCs w:val="28"/>
          <w:lang w:bidi="ar-EG"/>
        </w:rPr>
        <w:t>.</w:t>
      </w:r>
    </w:p>
    <w:p w14:paraId="5C8D96AA" w14:textId="77777777" w:rsidR="00A25019" w:rsidRPr="00A25019" w:rsidRDefault="00A25019" w:rsidP="00A25019">
      <w:pPr>
        <w:numPr>
          <w:ilvl w:val="0"/>
          <w:numId w:val="19"/>
        </w:numPr>
        <w:contextualSpacing/>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تنسجم الدراسة مع مستهدفات رؤية المملكة 2030 في بناء منظومة حج وعمرة مستدامة وذكية، وتقدّم توصيات علمية يمكن توظيفها في سياسات تحسين الكفاءة التشغيلية وتقليل المخاطر وتعزيز الاستدامة المؤسسية في إدارة الحشود</w:t>
      </w:r>
      <w:r w:rsidRPr="00A25019">
        <w:rPr>
          <w:rFonts w:ascii="Simplified Arabic" w:hAnsi="Simplified Arabic" w:cs="Simplified Arabic"/>
          <w:color w:val="EE0000"/>
          <w:sz w:val="28"/>
          <w:szCs w:val="28"/>
          <w:lang w:bidi="ar-EG"/>
        </w:rPr>
        <w:t>.</w:t>
      </w:r>
    </w:p>
    <w:p w14:paraId="3ED9DA97" w14:textId="77777777" w:rsidR="00A25019" w:rsidRPr="00A25019" w:rsidRDefault="00A25019" w:rsidP="00A25019">
      <w:pPr>
        <w:bidi w:val="0"/>
        <w:rPr>
          <w:rFonts w:ascii="Simplified Arabic" w:hAnsi="Simplified Arabic" w:cs="Simplified Arabic"/>
          <w:b/>
          <w:bCs/>
          <w:sz w:val="28"/>
          <w:szCs w:val="28"/>
          <w:rtl/>
        </w:rPr>
      </w:pPr>
      <w:r w:rsidRPr="00A25019">
        <w:rPr>
          <w:rFonts w:ascii="Simplified Arabic" w:hAnsi="Simplified Arabic" w:cs="Simplified Arabic"/>
          <w:b/>
          <w:bCs/>
          <w:sz w:val="28"/>
          <w:szCs w:val="28"/>
          <w:rtl/>
        </w:rPr>
        <w:br w:type="page"/>
      </w:r>
    </w:p>
    <w:p w14:paraId="46A39CBC" w14:textId="77777777" w:rsidR="00A25019" w:rsidRPr="00A25019" w:rsidRDefault="00A25019" w:rsidP="00A25019">
      <w:pPr>
        <w:jc w:val="center"/>
        <w:rPr>
          <w:rFonts w:ascii="Simplified Arabic" w:hAnsi="Simplified Arabic" w:cs="Simplified Arabic"/>
          <w:b/>
          <w:bCs/>
          <w:sz w:val="28"/>
          <w:szCs w:val="28"/>
          <w:lang w:bidi="ar-EG"/>
        </w:rPr>
      </w:pPr>
      <w:r w:rsidRPr="00A25019">
        <w:rPr>
          <w:rFonts w:ascii="Simplified Arabic" w:hAnsi="Simplified Arabic" w:cs="Simplified Arabic"/>
          <w:b/>
          <w:bCs/>
          <w:sz w:val="28"/>
          <w:szCs w:val="28"/>
          <w:rtl/>
        </w:rPr>
        <w:lastRenderedPageBreak/>
        <w:t>الفصل الثاني: الإطار النظري للدراسة</w:t>
      </w:r>
    </w:p>
    <w:p w14:paraId="0DC0B5E3" w14:textId="77777777" w:rsidR="00A25019" w:rsidRPr="00A25019" w:rsidRDefault="00A25019" w:rsidP="00A25019">
      <w:pPr>
        <w:jc w:val="both"/>
        <w:rPr>
          <w:rFonts w:ascii="Simplified Arabic" w:hAnsi="Simplified Arabic" w:cs="Simplified Arabic"/>
          <w:b/>
          <w:bCs/>
          <w:sz w:val="28"/>
          <w:szCs w:val="28"/>
          <w:lang w:bidi="ar-EG"/>
        </w:rPr>
      </w:pPr>
      <w:r w:rsidRPr="00A25019">
        <w:rPr>
          <w:rFonts w:ascii="Simplified Arabic" w:hAnsi="Simplified Arabic" w:cs="Simplified Arabic"/>
          <w:b/>
          <w:bCs/>
          <w:sz w:val="28"/>
          <w:szCs w:val="28"/>
          <w:rtl/>
        </w:rPr>
        <w:t xml:space="preserve">المبحث الأول: ممارسات الاستدامة </w:t>
      </w:r>
    </w:p>
    <w:p w14:paraId="350E73EC" w14:textId="77777777" w:rsidR="00A25019" w:rsidRPr="00A25019" w:rsidRDefault="00A25019" w:rsidP="00A25019">
      <w:pPr>
        <w:jc w:val="both"/>
        <w:rPr>
          <w:rFonts w:ascii="Simplified Arabic" w:hAnsi="Simplified Arabic" w:cs="Simplified Arabic"/>
          <w:b/>
          <w:bCs/>
          <w:sz w:val="28"/>
          <w:szCs w:val="28"/>
          <w:lang w:bidi="ar-EG"/>
        </w:rPr>
      </w:pPr>
      <w:r w:rsidRPr="00A25019">
        <w:rPr>
          <w:rFonts w:ascii="Simplified Arabic" w:hAnsi="Simplified Arabic" w:cs="Simplified Arabic"/>
          <w:b/>
          <w:bCs/>
          <w:sz w:val="28"/>
          <w:szCs w:val="28"/>
          <w:rtl/>
        </w:rPr>
        <w:t>تمهيد</w:t>
      </w:r>
    </w:p>
    <w:p w14:paraId="0681EFE4" w14:textId="77777777" w:rsidR="00A25019" w:rsidRPr="00A25019" w:rsidRDefault="00A25019" w:rsidP="00A25019">
      <w:pPr>
        <w:jc w:val="both"/>
        <w:rPr>
          <w:rFonts w:ascii="Simplified Arabic" w:hAnsi="Simplified Arabic" w:cs="Simplified Arabic"/>
          <w:sz w:val="28"/>
          <w:szCs w:val="28"/>
          <w:rtl/>
        </w:rPr>
      </w:pPr>
      <w:r w:rsidRPr="00A25019">
        <w:rPr>
          <w:rFonts w:ascii="Simplified Arabic" w:hAnsi="Simplified Arabic" w:cs="Simplified Arabic"/>
          <w:sz w:val="28"/>
          <w:szCs w:val="28"/>
          <w:rtl/>
        </w:rPr>
        <w:t>شكّلت ممارسات الاستدامة محوراً جوهرياً في الفكر الإداري والتنموي خلال العقود الأخيرة، حيث تجاوز مفهومها الإطار البيئي الضيق ليصبح منظومة متكاملة تجمع بين الأبعاد البيئية والاقتصادية والاجتماعية في رؤية واحدة تستهدف تحقيق التوازن بين متطلبات الحاضر واحتياجات المستقبل، وقد أسهمت التحولات العالمية المتسارعة من تصاعد الضغوط على الموارد الطبيعية إلى تنامي التفاوتات الاجتماعية وتعقّد سلاسل الإمداد في جعل تبني ممارسات الاستدامة ضرورة استراتيجية للمؤسسات والقطاعات الخدمية، ولا سيما تلك التي تدير تجمعات بشرية كبرى ذات طابع موسمي ومتكرر كموسم الحج والعمرة.</w:t>
      </w:r>
    </w:p>
    <w:p w14:paraId="41DCB86C" w14:textId="77777777" w:rsidR="00A25019" w:rsidRPr="00A25019" w:rsidRDefault="00A25019" w:rsidP="00A25019">
      <w:p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 xml:space="preserve"> ويتناول هذا المبحث مفهوم ممارسات الاستدامة من خلال عرض التعريفات المتعددة التي قدمها الباحثون، ثم استعراض أهميتها وأهدافها، وصولاً إلى تحليل أبعادها الثلاثة واستراتيجيات تطبيقها، مع الربط المستمر بسياق إدارة مواسم الحج والعمرة بوصفه ميدان التطبيق الذي تستهدفه الدراسة الحالية</w:t>
      </w:r>
      <w:r w:rsidRPr="00A25019">
        <w:rPr>
          <w:rFonts w:ascii="Simplified Arabic" w:hAnsi="Simplified Arabic" w:cs="Simplified Arabic"/>
          <w:sz w:val="28"/>
          <w:szCs w:val="28"/>
          <w:lang w:bidi="ar-EG"/>
        </w:rPr>
        <w:t>.</w:t>
      </w:r>
    </w:p>
    <w:p w14:paraId="4B9BE2B9" w14:textId="77777777" w:rsidR="00A25019" w:rsidRPr="00A25019" w:rsidRDefault="00A25019" w:rsidP="00A25019">
      <w:pPr>
        <w:jc w:val="both"/>
        <w:rPr>
          <w:rFonts w:ascii="Simplified Arabic" w:hAnsi="Simplified Arabic" w:cs="Simplified Arabic"/>
          <w:b/>
          <w:bCs/>
          <w:sz w:val="28"/>
          <w:szCs w:val="28"/>
          <w:lang w:bidi="ar-EG"/>
        </w:rPr>
      </w:pPr>
      <w:r w:rsidRPr="00A25019">
        <w:rPr>
          <w:rFonts w:ascii="Simplified Arabic" w:hAnsi="Simplified Arabic" w:cs="Simplified Arabic"/>
          <w:b/>
          <w:bCs/>
          <w:sz w:val="28"/>
          <w:szCs w:val="28"/>
          <w:rtl/>
        </w:rPr>
        <w:t>أولاً: مفهوم ممارسات الاستدامة</w:t>
      </w:r>
    </w:p>
    <w:p w14:paraId="3655A4BB" w14:textId="77777777" w:rsidR="00A25019" w:rsidRPr="00A25019" w:rsidRDefault="00A25019" w:rsidP="00A25019">
      <w:p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 xml:space="preserve">يُعد مفهوم ممارسات الاستدامة من المفاهيم التي شهدت تطوراً ملحوظاً في الأدبيات الإدارية والتنموية، إذ تعددت زوايا المعالجة ومستويات التحليل التي تناولها الباحثون، فقد عرّف سحنون (2023) ممارسات الاستدامة بأنها مجموعة الأنشطة والسياسات التي تتبناها المؤسسات بهدف إدماج الأبعاد الاقتصادية والاجتماعية والبيئية في عملياتها التشغيلية والاستراتيجية، بحيث لا يظل مبدأ الاستدامة مجرد شعار بل يتحول إلى نهج تسييري متكامل يقود المؤسسة نحو ما يُعرف بالمؤسسة المستدامة. </w:t>
      </w:r>
    </w:p>
    <w:p w14:paraId="0E9D6564" w14:textId="77777777" w:rsidR="00A25019" w:rsidRPr="00A25019" w:rsidRDefault="00A25019" w:rsidP="00A25019">
      <w:p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 xml:space="preserve">و قدّم أبو خشبة </w:t>
      </w:r>
      <w:r w:rsidRPr="00A25019">
        <w:rPr>
          <w:rFonts w:ascii="Simplified Arabic" w:hAnsi="Simplified Arabic" w:cs="Simplified Arabic"/>
          <w:sz w:val="28"/>
          <w:szCs w:val="28"/>
          <w:lang w:bidi="ar-EG"/>
        </w:rPr>
        <w:t xml:space="preserve">(2022) </w:t>
      </w:r>
      <w:r w:rsidRPr="00A25019">
        <w:rPr>
          <w:rFonts w:ascii="Simplified Arabic" w:hAnsi="Simplified Arabic" w:cs="Simplified Arabic"/>
          <w:sz w:val="28"/>
          <w:szCs w:val="28"/>
          <w:rtl/>
        </w:rPr>
        <w:t xml:space="preserve">مقاربة مختلفة لممارسات الاستدامة حين تناولها بوصفها الإجراءات المنهجية التي تتبعها المؤسسات عبر سلسلة التوريد بأكملها لتحقيق الأداء المستدام، بما يشمل تقليل الفاقد وابتكار العمليات كآليات وسيطة تربط بين ممارسات الاستدامة ومخرجات الأداء. </w:t>
      </w:r>
    </w:p>
    <w:p w14:paraId="47475D6F" w14:textId="77777777" w:rsidR="00A25019" w:rsidRPr="00A25019" w:rsidRDefault="00A25019" w:rsidP="00A25019">
      <w:p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ووسّع محمود وعثمان</w:t>
      </w:r>
      <w:r w:rsidRPr="00A25019">
        <w:rPr>
          <w:rFonts w:ascii="Simplified Arabic" w:hAnsi="Simplified Arabic" w:cs="Simplified Arabic"/>
          <w:sz w:val="28"/>
          <w:szCs w:val="28"/>
          <w:lang w:bidi="ar-EG"/>
        </w:rPr>
        <w:t xml:space="preserve"> (2024) </w:t>
      </w:r>
      <w:r w:rsidRPr="00A25019">
        <w:rPr>
          <w:rFonts w:ascii="Simplified Arabic" w:hAnsi="Simplified Arabic" w:cs="Simplified Arabic"/>
          <w:sz w:val="28"/>
          <w:szCs w:val="28"/>
          <w:rtl/>
        </w:rPr>
        <w:t xml:space="preserve">نطاق المفهوم حين تناولا ممارسات الاستدامة في سلاسل الإمداد من زاوية علاقتها بالكفاءة التشغيلية للشركات، مع إبراز الدور الوسيط للتحول الرقمي في تفعيل هذه الممارسات. </w:t>
      </w:r>
    </w:p>
    <w:p w14:paraId="17D83655" w14:textId="77777777" w:rsidR="00A25019" w:rsidRPr="00A25019" w:rsidRDefault="00A25019" w:rsidP="00A25019">
      <w:p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lastRenderedPageBreak/>
        <w:t xml:space="preserve">وأضاف الفتلاوي والعبيدي (2022) بُعداً آخر حين ربطا ممارسات الاستدامة التنظيمية بمفهوم التجديد الاستراتيجي، مؤكدين أن تحقيق الاستدامة يستلزم من المنظمات القدرة على تجديد استراتيجياتها وأساليب عملها بشكل مستمر للتكيف مع المتغيرات البيئية والمجتمعية. </w:t>
      </w:r>
    </w:p>
    <w:p w14:paraId="5CA90789" w14:textId="77777777" w:rsidR="00A25019" w:rsidRPr="00A25019" w:rsidRDefault="00A25019" w:rsidP="00A25019">
      <w:p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 xml:space="preserve">كما تناول الميالي والحسني (2022) ممارسات الاستدامة من زاوية الاستقامة التنظيمية، حيث ربطا بين القيم الأخلاقية والسلوكية للمنظمة وقدرتها على تعزيز ممارسات الاستدامة، مما يُبرز البعد القيمي والأخلاقي كمحرك أساسي للاستدامة التنظيمية. </w:t>
      </w:r>
    </w:p>
    <w:p w14:paraId="5B92F67F" w14:textId="77777777" w:rsidR="00A25019" w:rsidRPr="00A25019" w:rsidRDefault="00A25019" w:rsidP="00A25019">
      <w:p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وعرّف</w:t>
      </w:r>
      <w:r w:rsidRPr="00A25019">
        <w:rPr>
          <w:rFonts w:ascii="Simplified Arabic" w:hAnsi="Simplified Arabic" w:cs="Simplified Arabic"/>
          <w:sz w:val="28"/>
          <w:szCs w:val="28"/>
          <w:lang w:bidi="ar-EG"/>
        </w:rPr>
        <w:t xml:space="preserve"> Literal (2020) </w:t>
      </w:r>
      <w:r w:rsidRPr="00A25019">
        <w:rPr>
          <w:rFonts w:ascii="Simplified Arabic" w:hAnsi="Simplified Arabic" w:cs="Simplified Arabic"/>
          <w:sz w:val="28"/>
          <w:szCs w:val="28"/>
          <w:rtl/>
        </w:rPr>
        <w:t xml:space="preserve">ممارسات الإدارة المستدامة بأنها الممارسات التي تدمج بين التوجه الاستراتيجي والثقافة التنظيمية لتحقيق أداء الاستدامة في المؤسسات الصناعية، مؤكداً أن هذه الممارسات لا تعمل بمعزل عن السياق المؤسسي بل تتشكل وفقاً للتوجهات الاستراتيجية والثقافة السائدة. </w:t>
      </w:r>
    </w:p>
    <w:p w14:paraId="30075D46"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 xml:space="preserve">وبتحليل التعريفات السابقة ومقارنتها، يتبيّن أنها تتوزع على ثلاثة اتجاهات رئيسة يختلف كل منها في زاوية المعالجة ومستوى التحليل. يتمثل </w:t>
      </w:r>
      <w:r w:rsidRPr="00A25019">
        <w:rPr>
          <w:rFonts w:ascii="Simplified Arabic" w:hAnsi="Simplified Arabic" w:cs="Simplified Arabic"/>
          <w:b/>
          <w:bCs/>
          <w:color w:val="EE0000"/>
          <w:sz w:val="28"/>
          <w:szCs w:val="28"/>
          <w:rtl/>
        </w:rPr>
        <w:t>الاتجاه الأول</w:t>
      </w:r>
      <w:r w:rsidRPr="00A25019">
        <w:rPr>
          <w:rFonts w:ascii="Simplified Arabic" w:hAnsi="Simplified Arabic" w:cs="Simplified Arabic"/>
          <w:color w:val="EE0000"/>
          <w:sz w:val="28"/>
          <w:szCs w:val="28"/>
          <w:rtl/>
        </w:rPr>
        <w:t xml:space="preserve"> في المقاربة التشغيلية التي تنظر إلى ممارسات الاستدامة بوصفها إجراءات عملية مدمجة في العمليات التشغيلية اليومية للمؤسسة، وهو ما تبنّاه كل من سحنون</w:t>
      </w:r>
      <w:r w:rsidRPr="00A25019">
        <w:rPr>
          <w:rFonts w:ascii="Simplified Arabic" w:hAnsi="Simplified Arabic" w:cs="Simplified Arabic"/>
          <w:color w:val="EE0000"/>
          <w:sz w:val="28"/>
          <w:szCs w:val="28"/>
        </w:rPr>
        <w:t xml:space="preserve"> (2023) </w:t>
      </w:r>
      <w:r w:rsidRPr="00A25019">
        <w:rPr>
          <w:rFonts w:ascii="Simplified Arabic" w:hAnsi="Simplified Arabic" w:cs="Simplified Arabic"/>
          <w:color w:val="EE0000"/>
          <w:sz w:val="28"/>
          <w:szCs w:val="28"/>
          <w:rtl/>
        </w:rPr>
        <w:t>الذي ركّز على إدماج الأبعاد الثلاثة في العمليات التشغيلية والاستراتيجية، وأبو خشبة (2022) الذي تناولها كإجراءات منهجية عبر سلسلة التوريد، ومحمود وعثمان (2024) اللذان ربطاها بالكفاءة التشغيلية في سلاسل الإمداد. ويشترك أصحاب هذا الاتجاه في التركيز على المخرجات الملموسة لممارسات الاستدامة وعلاقتها بالأداء الفعلي للمؤسسة</w:t>
      </w:r>
      <w:r w:rsidRPr="00A25019">
        <w:rPr>
          <w:rFonts w:ascii="Simplified Arabic" w:hAnsi="Simplified Arabic" w:cs="Simplified Arabic"/>
          <w:color w:val="EE0000"/>
          <w:sz w:val="28"/>
          <w:szCs w:val="28"/>
        </w:rPr>
        <w:t>.</w:t>
      </w:r>
    </w:p>
    <w:p w14:paraId="259218ED"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 xml:space="preserve">أما </w:t>
      </w:r>
      <w:r w:rsidRPr="00A25019">
        <w:rPr>
          <w:rFonts w:ascii="Simplified Arabic" w:hAnsi="Simplified Arabic" w:cs="Simplified Arabic"/>
          <w:b/>
          <w:bCs/>
          <w:color w:val="EE0000"/>
          <w:sz w:val="28"/>
          <w:szCs w:val="28"/>
          <w:rtl/>
        </w:rPr>
        <w:t>الاتجاه الثاني</w:t>
      </w:r>
      <w:r w:rsidRPr="00A25019">
        <w:rPr>
          <w:rFonts w:ascii="Simplified Arabic" w:hAnsi="Simplified Arabic" w:cs="Simplified Arabic"/>
          <w:color w:val="EE0000"/>
          <w:sz w:val="28"/>
          <w:szCs w:val="28"/>
          <w:rtl/>
        </w:rPr>
        <w:t xml:space="preserve"> فيتمثل في المقاربة المؤسسية الاستراتيجية التي تتجاوز البعد التشغيلي لتنظر إلى ممارسات الاستدامة بوصفها قدرة مؤسسية شاملة ترتبط بالبقاء والنمو والتنافسية على المدى البعيد، وهو ما يتجلى في تعريف أحمد (2024) الذي ركّز على قدرة المنظمة على الاستمرار والنمو من خلال التوازن بين الأهداف الاقتصادية والمسؤوليات البيئية والاجتماعية، ومقاربة الشريفي والعنزي </w:t>
      </w:r>
      <w:r w:rsidRPr="00A25019">
        <w:rPr>
          <w:rFonts w:ascii="Simplified Arabic" w:hAnsi="Simplified Arabic" w:cs="Simplified Arabic"/>
          <w:color w:val="EE0000"/>
          <w:sz w:val="28"/>
          <w:szCs w:val="28"/>
        </w:rPr>
        <w:t xml:space="preserve">(2022) </w:t>
      </w:r>
      <w:r w:rsidRPr="00A25019">
        <w:rPr>
          <w:rFonts w:ascii="Simplified Arabic" w:hAnsi="Simplified Arabic" w:cs="Simplified Arabic"/>
          <w:color w:val="EE0000"/>
          <w:sz w:val="28"/>
          <w:szCs w:val="28"/>
          <w:rtl/>
        </w:rPr>
        <w:t>التي أبرزت البعد التنافسي والسمعة المؤسسية، وطرح الفتلاوي والعبيدي (2022) الذي ربط الاستدامة بالتجديد الاستراتيجي المستمر. ويلتقي أصحاب هذا الاتجاه في النظر إلى الاستدامة لا كمجموعة إجراءات بل كتوجه مؤسسي استراتيجي يُحدد هوية المنظمة ومسارها المستقبلي</w:t>
      </w:r>
      <w:r w:rsidRPr="00A25019">
        <w:rPr>
          <w:rFonts w:ascii="Simplified Arabic" w:hAnsi="Simplified Arabic" w:cs="Simplified Arabic"/>
          <w:color w:val="EE0000"/>
          <w:sz w:val="28"/>
          <w:szCs w:val="28"/>
        </w:rPr>
        <w:t>.</w:t>
      </w:r>
    </w:p>
    <w:p w14:paraId="70D31569" w14:textId="77777777" w:rsidR="00A25019" w:rsidRPr="00A25019" w:rsidRDefault="00A25019" w:rsidP="00A25019">
      <w:p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lastRenderedPageBreak/>
        <w:t xml:space="preserve">ويتمثل </w:t>
      </w:r>
      <w:r w:rsidRPr="00A25019">
        <w:rPr>
          <w:rFonts w:ascii="Simplified Arabic" w:hAnsi="Simplified Arabic" w:cs="Simplified Arabic"/>
          <w:b/>
          <w:bCs/>
          <w:color w:val="EE0000"/>
          <w:sz w:val="28"/>
          <w:szCs w:val="28"/>
          <w:rtl/>
        </w:rPr>
        <w:t>الاتجاه الثالث</w:t>
      </w:r>
      <w:r w:rsidRPr="00A25019">
        <w:rPr>
          <w:rFonts w:ascii="Simplified Arabic" w:hAnsi="Simplified Arabic" w:cs="Simplified Arabic"/>
          <w:color w:val="EE0000"/>
          <w:sz w:val="28"/>
          <w:szCs w:val="28"/>
          <w:rtl/>
        </w:rPr>
        <w:t xml:space="preserve"> في المقاربة التكاملية التفاعلية التي تنظر إلى ممارسات الاستدامة في إطار تفاعلها مع عوامل تنظيمية وتقنية أخرى، وهو ما تبنّاه الميالي والحسني </w:t>
      </w:r>
      <w:r w:rsidRPr="00A25019">
        <w:rPr>
          <w:rFonts w:ascii="Simplified Arabic" w:hAnsi="Simplified Arabic" w:cs="Simplified Arabic"/>
          <w:color w:val="EE0000"/>
          <w:sz w:val="28"/>
          <w:szCs w:val="28"/>
        </w:rPr>
        <w:t xml:space="preserve">(2022) </w:t>
      </w:r>
      <w:r w:rsidRPr="00A25019">
        <w:rPr>
          <w:rFonts w:ascii="Simplified Arabic" w:hAnsi="Simplified Arabic" w:cs="Simplified Arabic"/>
          <w:color w:val="EE0000"/>
          <w:sz w:val="28"/>
          <w:szCs w:val="28"/>
          <w:rtl/>
        </w:rPr>
        <w:t>حين ربطا الاستدامة بالاستقامة التنظيمية والقيم الأخلاقية، و</w:t>
      </w:r>
      <w:r w:rsidRPr="00A25019">
        <w:rPr>
          <w:rFonts w:ascii="Simplified Arabic" w:hAnsi="Simplified Arabic" w:cs="Simplified Arabic"/>
          <w:color w:val="EE0000"/>
          <w:sz w:val="28"/>
          <w:szCs w:val="28"/>
        </w:rPr>
        <w:t xml:space="preserve">Literal (2020) </w:t>
      </w:r>
      <w:r w:rsidRPr="00A25019">
        <w:rPr>
          <w:rFonts w:ascii="Simplified Arabic" w:hAnsi="Simplified Arabic" w:cs="Simplified Arabic"/>
          <w:color w:val="EE0000"/>
          <w:sz w:val="28"/>
          <w:szCs w:val="28"/>
          <w:rtl/>
        </w:rPr>
        <w:t>الذي أكد تشكّل ممارسات الاستدامة وفقاً للثقافة التنظيمية والتوجه الاستراتيجي، و</w:t>
      </w:r>
      <w:r w:rsidRPr="00A25019">
        <w:rPr>
          <w:rFonts w:ascii="Simplified Arabic" w:hAnsi="Simplified Arabic" w:cs="Simplified Arabic"/>
          <w:color w:val="EE0000"/>
          <w:sz w:val="28"/>
          <w:szCs w:val="28"/>
        </w:rPr>
        <w:t xml:space="preserve">Popova et al. (2023) </w:t>
      </w:r>
      <w:r w:rsidRPr="00A25019">
        <w:rPr>
          <w:rFonts w:ascii="Simplified Arabic" w:hAnsi="Simplified Arabic" w:cs="Simplified Arabic"/>
          <w:color w:val="EE0000"/>
          <w:sz w:val="28"/>
          <w:szCs w:val="28"/>
          <w:rtl/>
        </w:rPr>
        <w:t>الذين أبرزوا العلاقة التفاعلية بين الاستدامة والتقنيات الذكية والسلوك الاقتصادي. ويتميز هذا الاتجاه بتجاوزه للنظرة الأحادية إلى ممارسات الاستدامة واعترافه بأنها لا تعمل بمعزل عن السياق المؤسسي والتقني المحيط بها</w:t>
      </w:r>
      <w:r w:rsidRPr="00A25019">
        <w:rPr>
          <w:rFonts w:ascii="Simplified Arabic" w:hAnsi="Simplified Arabic" w:cs="Simplified Arabic"/>
          <w:color w:val="EE0000"/>
          <w:sz w:val="28"/>
          <w:szCs w:val="28"/>
        </w:rPr>
        <w:t>.</w:t>
      </w:r>
    </w:p>
    <w:p w14:paraId="6CE94AC3"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بالنظر النقدي إلى الاتجاهات الثلاثة المستعرَضة، يتبيّن أن لكلٍّ منها نقاط قوة ومحدوديات يلزم التصريح بها لتأسيس موقف الدراسة. فالاتجاه الأول (المقاربة التشغيلية) يتميّز بقابليته للقياس وارتباطه المباشر بالأداء الفعلي، غير أن محدوديته تكمن في تركيزه على المخرجات قصيرة المدى وإغفاله للبُعد القيمي والثقافي الذي يُحدّد جودة هذه الممارسات على المدى البعيد. والاتجاه الثاني (المقاربة المؤسسية الاستراتيجية) يتفوّق في استيعابه للبعد طويل المدى وربطه الاستدامة بالبقاء التنافسي، إلا أنه يميل إلى التجريد ويصعب ترجمته إلى مؤشرات قابلة للقياس في بيئة ميدانية كبيئة الحج. أما الاتجاه الثالث (المقاربة التكاملية التفاعلية) فيُعدّ الأقرب إلى تعقيد الواقع لأنه يعترف بتفاعل ممارسات الاستدامة مع عوامل تنظيمية وتقنية أخرى، غير أنه يُواجَه بصعوبة منهجية تتعلق بكيفية فصل أثر الاستدامة عن أثر العوامل المتفاعلة معها في النماذج الإحصائية</w:t>
      </w:r>
      <w:r w:rsidRPr="00A25019">
        <w:rPr>
          <w:rFonts w:ascii="Simplified Arabic" w:hAnsi="Simplified Arabic" w:cs="Simplified Arabic"/>
          <w:color w:val="EE0000"/>
          <w:sz w:val="28"/>
          <w:szCs w:val="28"/>
        </w:rPr>
        <w:t>.</w:t>
      </w:r>
    </w:p>
    <w:p w14:paraId="4CE61127"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 xml:space="preserve">وتنطلق الدراسة الحالية من </w:t>
      </w:r>
      <w:r w:rsidRPr="00A25019">
        <w:rPr>
          <w:rFonts w:ascii="Simplified Arabic" w:hAnsi="Simplified Arabic" w:cs="Simplified Arabic"/>
          <w:b/>
          <w:bCs/>
          <w:color w:val="EE0000"/>
          <w:sz w:val="28"/>
          <w:szCs w:val="28"/>
          <w:rtl/>
        </w:rPr>
        <w:t>الاتجاه الثالث</w:t>
      </w:r>
      <w:r w:rsidRPr="00A25019">
        <w:rPr>
          <w:rFonts w:ascii="Simplified Arabic" w:hAnsi="Simplified Arabic" w:cs="Simplified Arabic"/>
          <w:color w:val="EE0000"/>
          <w:sz w:val="28"/>
          <w:szCs w:val="28"/>
          <w:rtl/>
        </w:rPr>
        <w:t xml:space="preserve"> بوصفه الإطار المفاهيمي الأنسب، ليس لأنه أكثر شمولاً فحسب، بل لأنه يتسق نظرياً مع الإطار المرجعي للدراسة (نظرية النظم السوسيوتقنية) التي تفترض بدورها أن ممارسات الاستدامة لا تعمل بمعزل عن النظام التقني المحيط بها. وتُعالج الدراسة الإشكالية المنهجية لهذا الاتجاه عبر اعتماد </w:t>
      </w:r>
      <w:r w:rsidRPr="00A25019">
        <w:rPr>
          <w:rFonts w:ascii="Simplified Arabic" w:hAnsi="Simplified Arabic" w:cs="Simplified Arabic"/>
          <w:b/>
          <w:bCs/>
          <w:color w:val="EE0000"/>
          <w:sz w:val="28"/>
          <w:szCs w:val="28"/>
          <w:rtl/>
        </w:rPr>
        <w:t>نمذجة المعادلات الهيكلية</w:t>
      </w:r>
      <w:r w:rsidRPr="00A25019">
        <w:rPr>
          <w:rFonts w:ascii="Simplified Arabic" w:hAnsi="Simplified Arabic" w:cs="Simplified Arabic"/>
          <w:b/>
          <w:bCs/>
          <w:color w:val="EE0000"/>
          <w:sz w:val="28"/>
          <w:szCs w:val="28"/>
        </w:rPr>
        <w:t xml:space="preserve"> (SEM)</w:t>
      </w:r>
      <w:r w:rsidRPr="00A25019">
        <w:rPr>
          <w:rFonts w:ascii="Simplified Arabic" w:hAnsi="Simplified Arabic" w:cs="Simplified Arabic"/>
          <w:color w:val="EE0000"/>
          <w:sz w:val="28"/>
          <w:szCs w:val="28"/>
        </w:rPr>
        <w:t xml:space="preserve"> </w:t>
      </w:r>
      <w:r w:rsidRPr="00A25019">
        <w:rPr>
          <w:rFonts w:ascii="Simplified Arabic" w:hAnsi="Simplified Arabic" w:cs="Simplified Arabic"/>
          <w:color w:val="EE0000"/>
          <w:sz w:val="28"/>
          <w:szCs w:val="28"/>
          <w:rtl/>
        </w:rPr>
        <w:t>التي تُمكّن من قياس المسارات المباشرة وغير المباشرة بين المتغيرات، وعزل الأثر الوسيط للتكنولوجيا الذكية عن الأثر المباشر لممارسات الاستدامة على كفاءة إدارة الحشود</w:t>
      </w:r>
      <w:r w:rsidRPr="00A25019">
        <w:rPr>
          <w:rFonts w:ascii="Simplified Arabic" w:hAnsi="Simplified Arabic" w:cs="Simplified Arabic"/>
          <w:color w:val="EE0000"/>
          <w:sz w:val="28"/>
          <w:szCs w:val="28"/>
        </w:rPr>
        <w:t>.</w:t>
      </w:r>
    </w:p>
    <w:p w14:paraId="312CD7D1"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t>ثانياً: أهمية ممارسات الاستدامة</w:t>
      </w:r>
    </w:p>
    <w:p w14:paraId="20602DD1"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 xml:space="preserve">تحتل ممارسات الاستدامة مكانة محورية في الفكر الإداري والتنموي المعاصر، إذ أصبحت تمثل المعيار الذي تُقاس به قدرة المؤسسات والمنظومات الكبرى على الاستمرار والنمو في بيئة عالمية تتسم بالتعقيد </w:t>
      </w:r>
      <w:r w:rsidRPr="00A25019">
        <w:rPr>
          <w:rFonts w:ascii="Simplified Arabic" w:hAnsi="Simplified Arabic" w:cs="Simplified Arabic"/>
          <w:color w:val="EE0000"/>
          <w:sz w:val="28"/>
          <w:szCs w:val="28"/>
          <w:rtl/>
        </w:rPr>
        <w:lastRenderedPageBreak/>
        <w:t>والتحولات المتسارعة،  وقد تجاوزت أهمية هذه الممارسات كونها مجرد استجابة للمتطلبات التنظيمية والتشريعية، لتغدو ضرورة استراتيجية تُحدد مسار المؤسسات وتُشكّل علاقتها بأصحاب المصلحة والبيئة المحيطة. وتتعاظم هذه الأهمية بشكل خاص في السياقات التي تتسم بالكثافة البشرية العالية والتعقيد التشغيلي وتعدد الأطراف الفاعلة، كما هو الحال في إدارة مواسم الحج والعمرة التي تستقبل ملايين الحجاج والمعتمرين سنوياً في رقعة جغرافية محدودة وضمن فترة زمنية قصيرة، مما يجعل تبني ممارسات استدامة فعالة أمراً حتمياً لا غنى عنه. وقد تناول الباحثون أهمية ممارسات الاستدامة من زوايا متعددة يمكن استعراضها على النحو الآتي</w:t>
      </w:r>
      <w:r w:rsidRPr="00A25019">
        <w:rPr>
          <w:rFonts w:ascii="Simplified Arabic" w:hAnsi="Simplified Arabic" w:cs="Simplified Arabic"/>
          <w:color w:val="EE0000"/>
          <w:sz w:val="28"/>
          <w:szCs w:val="28"/>
          <w:lang w:bidi="ar-EG"/>
        </w:rPr>
        <w:t>.</w:t>
      </w:r>
    </w:p>
    <w:p w14:paraId="24CA69F1"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يشير أحمد (2024) إلى أن أهمية ممارسات الاستدامة التنظيمية تتجلى في عدة جوانب جوهرية هي</w:t>
      </w:r>
      <w:r w:rsidRPr="00A25019">
        <w:rPr>
          <w:rFonts w:ascii="Simplified Arabic" w:hAnsi="Simplified Arabic" w:cs="Simplified Arabic"/>
          <w:color w:val="EE0000"/>
          <w:sz w:val="28"/>
          <w:szCs w:val="28"/>
          <w:lang w:bidi="ar-EG"/>
        </w:rPr>
        <w:t>:</w:t>
      </w:r>
    </w:p>
    <w:p w14:paraId="044F132D" w14:textId="77777777" w:rsidR="00A25019" w:rsidRPr="00A25019" w:rsidRDefault="00A25019" w:rsidP="00A25019">
      <w:pPr>
        <w:numPr>
          <w:ilvl w:val="0"/>
          <w:numId w:val="31"/>
        </w:numPr>
        <w:jc w:val="both"/>
        <w:rPr>
          <w:rFonts w:ascii="Simplified Arabic" w:hAnsi="Simplified Arabic" w:cs="Simplified Arabic"/>
          <w:color w:val="EE0000"/>
          <w:sz w:val="28"/>
          <w:szCs w:val="28"/>
          <w:lang w:bidi="ar-EG"/>
        </w:rPr>
      </w:pPr>
      <w:r w:rsidRPr="00A25019">
        <w:rPr>
          <w:rFonts w:ascii="Simplified Arabic" w:hAnsi="Simplified Arabic" w:cs="Simplified Arabic"/>
          <w:b/>
          <w:bCs/>
          <w:color w:val="EE0000"/>
          <w:sz w:val="28"/>
          <w:szCs w:val="28"/>
          <w:rtl/>
        </w:rPr>
        <w:t>تعزيز قدرة المنظمة على البقاء والاستمرارية</w:t>
      </w:r>
      <w:r w:rsidRPr="00A25019">
        <w:rPr>
          <w:rFonts w:ascii="Simplified Arabic" w:hAnsi="Simplified Arabic" w:cs="Simplified Arabic"/>
          <w:b/>
          <w:bCs/>
          <w:color w:val="EE0000"/>
          <w:sz w:val="28"/>
          <w:szCs w:val="28"/>
          <w:lang w:bidi="ar-EG"/>
        </w:rPr>
        <w:t>:</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حيث تُسهم ممارسات الاستدامة في بناء منظومة إدارية مرنة وقادرة على التكيف مع المتغيرات البيئية والاجتماعية والاقتصادية المتسارعة، مما يُعزز من فرص المنظمة في الصمود أمام الأزمات والتحولات غير المتوقعة، وينطبق ذلك بوضوح على منظومة الحج والعمرة التي تواجه تحديات موسمية متجددة تستلزم قدرة مؤسسية عالية على التكيف والاستجابة</w:t>
      </w:r>
      <w:r w:rsidRPr="00A25019">
        <w:rPr>
          <w:rFonts w:ascii="Simplified Arabic" w:hAnsi="Simplified Arabic" w:cs="Simplified Arabic"/>
          <w:color w:val="EE0000"/>
          <w:sz w:val="28"/>
          <w:szCs w:val="28"/>
          <w:lang w:bidi="ar-EG"/>
        </w:rPr>
        <w:t>.</w:t>
      </w:r>
    </w:p>
    <w:p w14:paraId="689F69E8" w14:textId="77777777" w:rsidR="00A25019" w:rsidRPr="00A25019" w:rsidRDefault="00A25019" w:rsidP="00A25019">
      <w:pPr>
        <w:numPr>
          <w:ilvl w:val="0"/>
          <w:numId w:val="31"/>
        </w:numPr>
        <w:jc w:val="both"/>
        <w:rPr>
          <w:rFonts w:ascii="Simplified Arabic" w:hAnsi="Simplified Arabic" w:cs="Simplified Arabic"/>
          <w:color w:val="EE0000"/>
          <w:sz w:val="28"/>
          <w:szCs w:val="28"/>
          <w:lang w:bidi="ar-EG"/>
        </w:rPr>
      </w:pPr>
      <w:r w:rsidRPr="00A25019">
        <w:rPr>
          <w:rFonts w:ascii="Simplified Arabic" w:hAnsi="Simplified Arabic" w:cs="Simplified Arabic"/>
          <w:b/>
          <w:bCs/>
          <w:color w:val="EE0000"/>
          <w:sz w:val="28"/>
          <w:szCs w:val="28"/>
          <w:rtl/>
        </w:rPr>
        <w:t>توفير إطار حاكم لعمليات صنع القرار</w:t>
      </w:r>
      <w:r w:rsidRPr="00A25019">
        <w:rPr>
          <w:rFonts w:ascii="Simplified Arabic" w:hAnsi="Simplified Arabic" w:cs="Simplified Arabic"/>
          <w:b/>
          <w:bCs/>
          <w:color w:val="EE0000"/>
          <w:sz w:val="28"/>
          <w:szCs w:val="28"/>
          <w:lang w:bidi="ar-EG"/>
        </w:rPr>
        <w:t>:</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إذ تُقدم ممارسات الاستدامة معايير واضحة ومتكاملة تُوجّه القرارات الإدارية على المستويين الاستراتيجي والتشغيلي، بحيث تُراعى الأبعاد البيئية والاجتماعية في كل قرار إلى جانب الاعتبارات المالية والتشغيلية، مما يُقلل من احتمالات اتخاذ قرارات أحادية البعد قد تُلحق أضراراً بعيدة المدى بالبيئة أو المجتمع</w:t>
      </w:r>
      <w:r w:rsidRPr="00A25019">
        <w:rPr>
          <w:rFonts w:ascii="Simplified Arabic" w:hAnsi="Simplified Arabic" w:cs="Simplified Arabic"/>
          <w:color w:val="EE0000"/>
          <w:sz w:val="28"/>
          <w:szCs w:val="28"/>
          <w:lang w:bidi="ar-EG"/>
        </w:rPr>
        <w:t>.</w:t>
      </w:r>
    </w:p>
    <w:p w14:paraId="46AECAD6" w14:textId="77777777" w:rsidR="00A25019" w:rsidRPr="00A25019" w:rsidRDefault="00A25019" w:rsidP="00A25019">
      <w:pPr>
        <w:numPr>
          <w:ilvl w:val="0"/>
          <w:numId w:val="31"/>
        </w:numPr>
        <w:jc w:val="both"/>
        <w:rPr>
          <w:rFonts w:ascii="Simplified Arabic" w:hAnsi="Simplified Arabic" w:cs="Simplified Arabic"/>
          <w:color w:val="EE0000"/>
          <w:sz w:val="28"/>
          <w:szCs w:val="28"/>
          <w:lang w:bidi="ar-EG"/>
        </w:rPr>
      </w:pPr>
      <w:r w:rsidRPr="00A25019">
        <w:rPr>
          <w:rFonts w:ascii="Simplified Arabic" w:hAnsi="Simplified Arabic" w:cs="Simplified Arabic"/>
          <w:b/>
          <w:bCs/>
          <w:color w:val="EE0000"/>
          <w:sz w:val="28"/>
          <w:szCs w:val="28"/>
          <w:rtl/>
        </w:rPr>
        <w:t>تعزيز شرعية المنظمة ومقبوليتها الاجتماعية</w:t>
      </w:r>
      <w:r w:rsidRPr="00A25019">
        <w:rPr>
          <w:rFonts w:ascii="Simplified Arabic" w:hAnsi="Simplified Arabic" w:cs="Simplified Arabic"/>
          <w:b/>
          <w:bCs/>
          <w:color w:val="EE0000"/>
          <w:sz w:val="28"/>
          <w:szCs w:val="28"/>
          <w:lang w:bidi="ar-EG"/>
        </w:rPr>
        <w:t>:</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حيث تُسهم ممارسات الاستدامة في بناء علاقة ثقة متينة بين المنظمة وأصحاب المصلحة المختلفين، مما يُحسّن من سمعتها ويُعزز مكانتها التنافسية على المدى البعيد، وهو ما يكتسب دلالة خاصة في سياق الحج والعمرة حيث تسعى المملكة العربية السعودية إلى تعزيز مكانتها الريادية عالمياً في إدارة التجمعات الدينية الكبرى</w:t>
      </w:r>
      <w:r w:rsidRPr="00A25019">
        <w:rPr>
          <w:rFonts w:ascii="Simplified Arabic" w:hAnsi="Simplified Arabic" w:cs="Simplified Arabic"/>
          <w:color w:val="EE0000"/>
          <w:sz w:val="28"/>
          <w:szCs w:val="28"/>
          <w:lang w:bidi="ar-EG"/>
        </w:rPr>
        <w:t>.</w:t>
      </w:r>
    </w:p>
    <w:p w14:paraId="3AA8609D"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 xml:space="preserve">ويرى سحنون (2023) أن أهمية ممارسات الاستدامة تكمن في تحولها من خيار تطوعي تتبناه المؤسسات طواعية إلى ضرورة استراتيجية تفرضها المتطلبات الدولية والمؤسسية المتزايدة، وذلك في ظل ارتفاع الأصوات الداعية من المؤسسات والهيئات الدولية إلى إدماج الأبعاد البيئية والاجتماعية والاقتصادية وجعلها </w:t>
      </w:r>
      <w:r w:rsidRPr="00A25019">
        <w:rPr>
          <w:rFonts w:ascii="Simplified Arabic" w:hAnsi="Simplified Arabic" w:cs="Simplified Arabic"/>
          <w:color w:val="EE0000"/>
          <w:sz w:val="28"/>
          <w:szCs w:val="28"/>
          <w:rtl/>
        </w:rPr>
        <w:lastRenderedPageBreak/>
        <w:t>من صميم اهتمامات المؤسسة وأولوياتها، ويعكس هذا التحول تطوراً جوهرياً في البيئة المؤسسية العالمية، حيث أصبحت ممارسات الاستدامة شرطاً لاستمرار المؤسسات في بيئة أعمال محكومة بمعايير دولية متزايدة الصرامة والإلزام، وهو ما ينطبق على منظومة الحج والعمرة التي تخضع لمراقبة ومتابعة دولية واسعة</w:t>
      </w:r>
      <w:r w:rsidRPr="00A25019">
        <w:rPr>
          <w:rFonts w:ascii="Simplified Arabic" w:hAnsi="Simplified Arabic" w:cs="Simplified Arabic"/>
          <w:color w:val="EE0000"/>
          <w:sz w:val="28"/>
          <w:szCs w:val="28"/>
          <w:lang w:bidi="ar-EG"/>
        </w:rPr>
        <w:t>.</w:t>
      </w:r>
    </w:p>
    <w:p w14:paraId="688F3DF3"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ويُبرز أبو خشبة (2022) أن أهمية ممارسات الاستدامة لا تقتصر على تحقيق الالتزام البيئي والاجتماعي فحسب، بل تمتد إلى تحسين الأداء المستدام لسلسلة التوريد بأكملها من خلال آليات وسيطة كتقليل الفاقد وابتكار العمليات، ويكشف هذا الطرح عن العلاقة العضوية بين ممارسات الاستدامة والكفاءة التشغيلية، وهي علاقة ذات صلة وثيقة بالدراسة الحالية التي تفترض أن تبني ممارسات استدامة فعالة في منظومة الحج والعمرة يُسهم في تحسين كفاءة إدارة الحشود من خلال ترشيد استخدام الموارد وتقليل الهدر وتحسين العمليات التشغيلية</w:t>
      </w:r>
      <w:r w:rsidRPr="00A25019">
        <w:rPr>
          <w:rFonts w:ascii="Simplified Arabic" w:hAnsi="Simplified Arabic" w:cs="Simplified Arabic"/>
          <w:color w:val="EE0000"/>
          <w:sz w:val="28"/>
          <w:szCs w:val="28"/>
          <w:lang w:bidi="ar-EG"/>
        </w:rPr>
        <w:t>.</w:t>
      </w:r>
    </w:p>
    <w:p w14:paraId="5A488817"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t>ثالثاً: أبعاد ممارسات الاستدامة</w:t>
      </w:r>
    </w:p>
    <w:p w14:paraId="2B99BB04"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 xml:space="preserve">تم تحديد أبعاد ممارسات الاستدامة في هذه الدراسة بالاعتماد على دراسة سحنون (2023) التي تناولت تطبيق أفضل ممارسات الاستدامة في المؤسسات الصناعية الطاقوية، حيث حدّد ثلاثة أبعاد رئيسة لممارسات الاستدامة هي: الاستدامة البيئية، والاستدامة الاقتصادية، والاستدامة الاجتماعية. ويتسق هذا التحديد مع ما أكده أحمد (2024) من تعدد أبعاد الاستدامة التنظيمية وتكاملها، ومع المقاربة التطبيقية التي تبناها </w:t>
      </w:r>
      <w:r w:rsidRPr="00A25019">
        <w:rPr>
          <w:rFonts w:ascii="Simplified Arabic" w:hAnsi="Simplified Arabic" w:cs="Simplified Arabic"/>
          <w:color w:val="EE0000"/>
          <w:sz w:val="28"/>
          <w:szCs w:val="28"/>
          <w:lang w:bidi="ar-EG"/>
        </w:rPr>
        <w:t xml:space="preserve">Osra et al. (2021) </w:t>
      </w:r>
      <w:r w:rsidRPr="00A25019">
        <w:rPr>
          <w:rFonts w:ascii="Simplified Arabic" w:hAnsi="Simplified Arabic" w:cs="Simplified Arabic"/>
          <w:color w:val="EE0000"/>
          <w:sz w:val="28"/>
          <w:szCs w:val="28"/>
          <w:rtl/>
        </w:rPr>
        <w:t xml:space="preserve">في تناولهم للاستدامة البيئية والاقتصادية في سياق منظومة الحج، فضلاً عن اتساقه مع الإطار الذي اعتمده العاني وعبدالله </w:t>
      </w:r>
      <w:r w:rsidRPr="00A25019">
        <w:rPr>
          <w:rFonts w:ascii="Simplified Arabic" w:hAnsi="Simplified Arabic" w:cs="Simplified Arabic"/>
          <w:color w:val="EE0000"/>
          <w:sz w:val="28"/>
          <w:szCs w:val="28"/>
          <w:lang w:bidi="ar-EG"/>
        </w:rPr>
        <w:t xml:space="preserve">(2021) </w:t>
      </w:r>
      <w:r w:rsidRPr="00A25019">
        <w:rPr>
          <w:rFonts w:ascii="Simplified Arabic" w:hAnsi="Simplified Arabic" w:cs="Simplified Arabic"/>
          <w:color w:val="EE0000"/>
          <w:sz w:val="28"/>
          <w:szCs w:val="28"/>
          <w:rtl/>
        </w:rPr>
        <w:t>في تحليل واقع ممارسات الاستدامة وفق هذه الأبعاد الثلاثة المتكاملة،  ويقوم هذا التقسيم الثلاثي على مبدأ أساسي مفاده أن الاستدامة الحقيقية لا تتحقق إلا بتكامل هذه الأبعاد الثلاثة وتفاعلها، إذ إن التركيز على بُعد واحد وإهمال البعدين الآخرين يُفضي حتماً إلى اختلال المنظومة وتقويض قدرتها على الاستمرار والتطور. وفيما يلي عرض تفصيلي لكل بُعد من هذه الأبعاد الثلاثة</w:t>
      </w:r>
      <w:r w:rsidRPr="00A25019">
        <w:rPr>
          <w:rFonts w:ascii="Simplified Arabic" w:hAnsi="Simplified Arabic" w:cs="Simplified Arabic"/>
          <w:color w:val="EE0000"/>
          <w:sz w:val="28"/>
          <w:szCs w:val="28"/>
          <w:lang w:bidi="ar-EG"/>
        </w:rPr>
        <w:t>.</w:t>
      </w:r>
    </w:p>
    <w:p w14:paraId="43A84811"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t>البُعد الأول: الاستدامة البيئية</w:t>
      </w:r>
    </w:p>
    <w:p w14:paraId="29E1962F"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 xml:space="preserve">تمثل الاستدامة البيئية الركيزة الأولى في منظومة ممارسات الاستدامة، وتتمحور حول العلاقة بين الأنشطة البشرية والمؤسسية من جهة والنظم البيئية الطبيعية من جهة أخرى، بهدف ضمان أن تُمارَس هذه الأنشطة </w:t>
      </w:r>
      <w:r w:rsidRPr="00A25019">
        <w:rPr>
          <w:rFonts w:ascii="Simplified Arabic" w:hAnsi="Simplified Arabic" w:cs="Simplified Arabic"/>
          <w:color w:val="EE0000"/>
          <w:sz w:val="28"/>
          <w:szCs w:val="28"/>
          <w:rtl/>
        </w:rPr>
        <w:lastRenderedPageBreak/>
        <w:t>بأقل أثر سلبي ممكن على البيئة مع الحفاظ على الموارد الطبيعية وصيانتها للأجيال القادمة، ويتجاوز مفهوم الاستدامة البيئية مجرد الامتثال للتشريعات واللوائح البيئية ليشمل تبنياً استباقياً لممارسات تُحافظ على النظم الإيكولوجية وتُعزز قدرتها على التجدد والاستمرار، وتقليل استنزاف الموارد غير المتجددة، والحد من التلوث بأشكاله المختلفة، والتكيف مع التغيرات المناخية والتخفيف من حدتها(على ،2021)</w:t>
      </w:r>
      <w:r w:rsidRPr="00A25019">
        <w:rPr>
          <w:rFonts w:ascii="Simplified Arabic" w:hAnsi="Simplified Arabic" w:cs="Simplified Arabic"/>
          <w:color w:val="EE0000"/>
          <w:sz w:val="28"/>
          <w:szCs w:val="28"/>
          <w:lang w:bidi="ar-EG"/>
        </w:rPr>
        <w:t>.</w:t>
      </w:r>
    </w:p>
    <w:p w14:paraId="4E4B5307"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تكتسب الاستدامة البيئية أبعاداً استثنائية تنبع من الخصوصية الفريدة لهذا السياق. فتجمع ملايين الحجاج والمعتمرين في رقعة جغرافية محدودة خلال فترة زمنية قصيرة يُولّد ضغوطاً بيئية هائلة تفوق بمراحل الطاقة الاستيعابية العادية للمنطقة، وقد أوضح</w:t>
      </w:r>
      <w:r w:rsidRPr="00A25019">
        <w:rPr>
          <w:rFonts w:ascii="Simplified Arabic" w:hAnsi="Simplified Arabic" w:cs="Simplified Arabic"/>
          <w:color w:val="EE0000"/>
          <w:sz w:val="28"/>
          <w:szCs w:val="28"/>
          <w:lang w:bidi="ar-EG"/>
        </w:rPr>
        <w:t xml:space="preserve"> Osra et al. (2021) </w:t>
      </w:r>
      <w:r w:rsidRPr="00A25019">
        <w:rPr>
          <w:rFonts w:ascii="Simplified Arabic" w:hAnsi="Simplified Arabic" w:cs="Simplified Arabic"/>
          <w:color w:val="EE0000"/>
          <w:sz w:val="28"/>
          <w:szCs w:val="28"/>
          <w:rtl/>
        </w:rPr>
        <w:t>أن هذه الضغوط تتمحور حول عدة محاور مترابطة: أولها الاستهلاك المكثف للمياه في منطقة تعاني أصلاً من الشح المائي، حيث تتضاعف معدلات الاستهلاك بشكل حاد خلال فترة الموسم بسبب احتياجات الوضوء والاغتسال والشرب والطهي والتنظيف. وثانيها الكميات الضخمة من النفايات الصلبة والسائلة المتولدة يومياً، والتي تشمل نفايات الغذاء والتعبئة والتغليف والنفايات الطبية وغيرها، مما يفرض تحدياً لوجستياً كبيراً في الجمع والنقل والمعالجة والتخلص الآمن، وثالثها الانبعاثات الكربونية الناجمة عن وسائل النقل وأنظمة التبريد والتكييف ومولدات الطاقة، والتي تتزايد بشكل ملحوظ خلال أشهر الصيف عندما يتزامن الموسم مع ارتفاع درجات الحرارة</w:t>
      </w:r>
      <w:r w:rsidRPr="00A25019">
        <w:rPr>
          <w:rFonts w:ascii="Simplified Arabic" w:hAnsi="Simplified Arabic" w:cs="Simplified Arabic"/>
          <w:color w:val="EE0000"/>
          <w:sz w:val="28"/>
          <w:szCs w:val="28"/>
          <w:lang w:bidi="ar-EG"/>
        </w:rPr>
        <w:t>.</w:t>
      </w:r>
    </w:p>
    <w:p w14:paraId="3ABD1819"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وقد أشارت وزارة الحج والعمرة (2023) في تقريرها السنوي إلى جملة من المبادرات البيئية المتخذة لتعزيز الاستدامة البيئية في المشاعر المقدسة، تتضمن الحد من استخدام المواد البلاستيكية ذات الاستخدام الواحد، وتطوير أنظمة النقل النظيف، وتحسين آليات إدارة النفايات وفرزها ومعالجتها، كما أكدت الهيئة العامة للإحصاء (2025) من خلال نشرتها الإحصائية لموسم الحج تطوراً ملحوظاً في مؤشرات الأداء البيئي للمنظومة خلال المواسم الأخيرة، مما يعكس التزاماً متنامياً بممارسات الاستدامة البيئية على المستوى التنفيذي</w:t>
      </w:r>
      <w:r w:rsidRPr="00A25019">
        <w:rPr>
          <w:rFonts w:ascii="Simplified Arabic" w:hAnsi="Simplified Arabic" w:cs="Simplified Arabic"/>
          <w:color w:val="EE0000"/>
          <w:sz w:val="28"/>
          <w:szCs w:val="28"/>
          <w:lang w:bidi="ar-EG"/>
        </w:rPr>
        <w:t>.</w:t>
      </w:r>
    </w:p>
    <w:p w14:paraId="035247C9"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t>البُعد الثاني: الاستدامة الاقتصادية</w:t>
      </w:r>
    </w:p>
    <w:p w14:paraId="06988F30"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 xml:space="preserve">تشكّل الاستدامة الاقتصادية البُعد الثاني من أبعاد ممارسات الاستدامة، وتتصل بقدرة المنظومة على تحقيق عوائد اقتصادية متوازنة ومستمرة تكفل تمويل أنشطتها وتطوير خدماتها وصيانة بنيتها التحتية، وقد تناول أبو خشبة (2022) هذا البعد من خلال تحليل العلاقة بين ممارسات الاستدامة في سلاسل التوريد والأداء المستدام، مُبرزاً أن تقليل الفاقد وابتكار العمليات يمثلان آليتين اقتصاديتين محوريتين تُترجمان التوجه </w:t>
      </w:r>
      <w:r w:rsidRPr="00A25019">
        <w:rPr>
          <w:rFonts w:ascii="Simplified Arabic" w:hAnsi="Simplified Arabic" w:cs="Simplified Arabic"/>
          <w:color w:val="EE0000"/>
          <w:sz w:val="28"/>
          <w:szCs w:val="28"/>
          <w:rtl/>
        </w:rPr>
        <w:lastRenderedPageBreak/>
        <w:t>الاستدامي إلى مكاسب مالية وتشغيلية ملموسة</w:t>
      </w:r>
      <w:r w:rsidRPr="00A25019">
        <w:rPr>
          <w:rFonts w:ascii="Simplified Arabic" w:hAnsi="Simplified Arabic" w:cs="Simplified Arabic"/>
          <w:color w:val="EE0000"/>
          <w:sz w:val="28"/>
          <w:szCs w:val="28"/>
          <w:rtl/>
          <w:lang w:bidi="ar-EG"/>
        </w:rPr>
        <w:t xml:space="preserve">، </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ويعني ذلك أن الاستدامة الاقتصادية لا تتحقق من خلال سياسات مالية منفصلة، بل من خلال تحسين العمليات التشغيلية ذاتها بما يُقلل الهدر ويرفع الإنتاجية، وهو منطق يمكن تطبيقه مباشرة على منظومة الحج والعمرة حيث تُسهم كفاءة العمليات اللوجستية والخدمية في ترشيد الإنفاق وتحسين العوائد الاقتصادية</w:t>
      </w:r>
      <w:r w:rsidRPr="00A25019">
        <w:rPr>
          <w:rFonts w:ascii="Simplified Arabic" w:hAnsi="Simplified Arabic" w:cs="Simplified Arabic"/>
          <w:color w:val="EE0000"/>
          <w:sz w:val="28"/>
          <w:szCs w:val="28"/>
          <w:lang w:bidi="ar-EG"/>
        </w:rPr>
        <w:t>.</w:t>
      </w:r>
    </w:p>
    <w:p w14:paraId="25B9DB84"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 xml:space="preserve">ويمثل موسم الحج والعمرة ركيزة اقتصادية استراتيجية للمملكة العربية السعودية، إذ يُسهم بنسبة معتبرة في الناتج المحلي الإجمالي ويُوفر مئات الآلاف من فرص العمل المباشرة وغير المباشرة في قطاعات متعددة تشمل النقل والإيواء والإعاشة والتجارة والخدمات الصحية والأمنية واللوجستية والتقنية، وتتسق أهداف رؤية المملكة 2030 مع مبدأ الاستدامة الاقتصادية من خلال السعي إلى رفع الطاقة الاستيعابية لاستقبال </w:t>
      </w:r>
      <w:r w:rsidRPr="00A25019">
        <w:rPr>
          <w:rFonts w:ascii="Simplified Arabic" w:hAnsi="Simplified Arabic" w:cs="Simplified Arabic"/>
          <w:color w:val="EE0000"/>
          <w:sz w:val="28"/>
          <w:szCs w:val="28"/>
          <w:lang w:bidi="ar-EG"/>
        </w:rPr>
        <w:t xml:space="preserve">30 </w:t>
      </w:r>
      <w:r w:rsidRPr="00A25019">
        <w:rPr>
          <w:rFonts w:ascii="Simplified Arabic" w:hAnsi="Simplified Arabic" w:cs="Simplified Arabic"/>
          <w:color w:val="EE0000"/>
          <w:sz w:val="28"/>
          <w:szCs w:val="28"/>
          <w:rtl/>
        </w:rPr>
        <w:t>مليون معتمر سنوياً، وهو ما يتطلب استثمارات ضخمة ومتواصلة في البنية التحتية والخدمات مع ضرورة ضمان الجدوى الاقتصادية والاستدامة المالية لهذه الاستثمارات على المدى البعيد، كما أشارت إليه وزارة الحج والعمرة</w:t>
      </w:r>
      <w:r w:rsidRPr="00A25019">
        <w:rPr>
          <w:rFonts w:ascii="Simplified Arabic" w:hAnsi="Simplified Arabic" w:cs="Simplified Arabic"/>
          <w:color w:val="EE0000"/>
          <w:sz w:val="28"/>
          <w:szCs w:val="28"/>
          <w:lang w:bidi="ar-EG"/>
        </w:rPr>
        <w:t xml:space="preserve"> (2023) </w:t>
      </w:r>
      <w:r w:rsidRPr="00A25019">
        <w:rPr>
          <w:rFonts w:ascii="Simplified Arabic" w:hAnsi="Simplified Arabic" w:cs="Simplified Arabic"/>
          <w:color w:val="EE0000"/>
          <w:sz w:val="28"/>
          <w:szCs w:val="28"/>
          <w:rtl/>
        </w:rPr>
        <w:t>في تقريرها السنوي</w:t>
      </w:r>
      <w:r w:rsidRPr="00A25019">
        <w:rPr>
          <w:rFonts w:ascii="Simplified Arabic" w:hAnsi="Simplified Arabic" w:cs="Simplified Arabic"/>
          <w:color w:val="EE0000"/>
          <w:sz w:val="28"/>
          <w:szCs w:val="28"/>
          <w:lang w:bidi="ar-EG"/>
        </w:rPr>
        <w:t>.</w:t>
      </w:r>
    </w:p>
    <w:p w14:paraId="66270E77"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وتتجلى ممارسات الاستدامة الاقتصادية في منظومة الحج والعمرة في عدة محاور مترابطة. يتعلق المحور الأول بالكفاءة في إدارة البنية التحتية والمرافق، حيث إن المشاريع العملاقة التي تشهدها مكة المكرمة والمدينة المنورة والمشاعر المقدسة – من توسعات للحرمين الشريفين وتطوير لشبكات النقل وبناء للمنشآت الإيوائية والخدمية – تستلزم نماذج تمويل مبتكرة تضمن تحقيق عوائد اقتصادية كافية لتغطية تكاليف التشغيل والصيانة والتحديث المستمر،  ويرتبط المحور الثاني بتنويع مصادر الدخل المرتبطة بقطاع الحج والعمرة، من خلال تطوير الخدمات السياحية والثقافية والتجارية المصاحبة، واستقطاب الاستثمارات الخاصة في مجالات الضيافة والتقنية واللوجستيات، بما يُعظّم القيمة الاقتصادية المولدة من كل حاج ومعتمر، أما المحور الثالث فيتصل بخلق فرص العمل المستدامة للمجتمعات المحلية وتطوير الكوادر الوطنية المتخصصة في إدارة المواسم والخدمات الدينية، بما يُسهم في تحقيق أهداف التوطين وتقليل الاعتماد على العمالة الوافدة</w:t>
      </w:r>
      <w:r w:rsidRPr="00A25019">
        <w:rPr>
          <w:rFonts w:ascii="Simplified Arabic" w:hAnsi="Simplified Arabic" w:cs="Simplified Arabic"/>
          <w:color w:val="EE0000"/>
          <w:sz w:val="28"/>
          <w:szCs w:val="28"/>
          <w:lang w:bidi="ar-EG"/>
        </w:rPr>
        <w:t>.</w:t>
      </w:r>
    </w:p>
    <w:p w14:paraId="0362CCAE"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t>البُعد الثالث: الاستدامة الاجتماعية</w:t>
      </w:r>
    </w:p>
    <w:p w14:paraId="0052D820"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 xml:space="preserve">تُشكّل الاستدامة الاجتماعية البُعد الثالث في منظومة ممارسات الاستدامة، وتتمحور حول تأثير الأنشطة المؤسسية على رفاهية الأفراد والمجتمعات وجودة حياتهم، بما يشمل الحفاظ على سلامتهم وصحتهم،وقد </w:t>
      </w:r>
      <w:r w:rsidRPr="00A25019">
        <w:rPr>
          <w:rFonts w:ascii="Simplified Arabic" w:hAnsi="Simplified Arabic" w:cs="Simplified Arabic"/>
          <w:color w:val="EE0000"/>
          <w:sz w:val="28"/>
          <w:szCs w:val="28"/>
          <w:rtl/>
        </w:rPr>
        <w:lastRenderedPageBreak/>
        <w:t>تناول الميالي والحسني (2022) هذا البعد من زاوية العلاقة بين الاستقامة التنظيمية والاستدامة، مؤكدين أن القيم الأخلاقية والسلوكية للمنظمة تُمثل الأساس الذي تقوم عليه ممارسات الاستدامة الاجتماعية. ويعني ذلك أن الالتزام بمعايير النزاهة والعدالة والشفافية في التعامل مع أصحاب المصلحة ليس مجرد متطلب أخلاقي، بل هو شرط جوهري لتحقيق استدامة اجتماعية حقيقية ومستمرة ، يتجسد هذا البعد الأخلاقي في الالتزام بتقديم خدمات عادلة ومتكافئة لجميع الحجاج والمعتمرين بصرف النظر عن جنسياتهم أو مستوياتهم الاقتصادية أو قدراتهم الجسدية</w:t>
      </w:r>
      <w:r w:rsidRPr="00A25019">
        <w:rPr>
          <w:rFonts w:ascii="Simplified Arabic" w:hAnsi="Simplified Arabic" w:cs="Simplified Arabic"/>
          <w:color w:val="EE0000"/>
          <w:sz w:val="28"/>
          <w:szCs w:val="28"/>
          <w:lang w:bidi="ar-EG"/>
        </w:rPr>
        <w:t>.</w:t>
      </w:r>
    </w:p>
    <w:p w14:paraId="0539FDD9"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 xml:space="preserve">وفي سياق موسم الحج والعمرة تحديداً، تكتسب الاستدامة الاجتماعية خصوصية فريدة تنبع من الطبيعة الروحية والإنسانية لهذه الشعيرة الإسلامية الكبرى. فالحج يجمع بين ملايين المسلمين من أكثر من </w:t>
      </w:r>
      <w:r w:rsidRPr="00A25019">
        <w:rPr>
          <w:rFonts w:ascii="Simplified Arabic" w:hAnsi="Simplified Arabic" w:cs="Simplified Arabic"/>
          <w:color w:val="EE0000"/>
          <w:sz w:val="28"/>
          <w:szCs w:val="28"/>
          <w:lang w:bidi="ar-EG"/>
        </w:rPr>
        <w:t xml:space="preserve">180 </w:t>
      </w:r>
      <w:r w:rsidRPr="00A25019">
        <w:rPr>
          <w:rFonts w:ascii="Simplified Arabic" w:hAnsi="Simplified Arabic" w:cs="Simplified Arabic"/>
          <w:color w:val="EE0000"/>
          <w:sz w:val="28"/>
          <w:szCs w:val="28"/>
          <w:rtl/>
        </w:rPr>
        <w:t>دولة، بمختلف اللغات والثقافات والأعمار والقدرات الجسدية والمستويات الصحية، في مكان واحد وزمان واحد لأداء شعائر متماثلة، مما يطرح تحديات اجتماعية وإنسانية بالغة التعقيد والتنوع، ويتطلب التعامل مع هذا التنوع الهائل منظومة خدمات شاملة ومرنة قادرة على تلبية احتياجات جميع الفئات وتوفير بيئة آمنة وميسرة لأداء المناسك</w:t>
      </w:r>
      <w:r w:rsidRPr="00A25019">
        <w:rPr>
          <w:rFonts w:ascii="Simplified Arabic" w:hAnsi="Simplified Arabic" w:cs="Simplified Arabic"/>
          <w:color w:val="EE0000"/>
          <w:sz w:val="28"/>
          <w:szCs w:val="28"/>
          <w:lang w:bidi="ar-EG"/>
        </w:rPr>
        <w:t>.</w:t>
      </w:r>
    </w:p>
    <w:p w14:paraId="1CCC267B"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rPr>
        <w:t xml:space="preserve">وتتجلى ممارسات الاستدامة الاجتماعية في منظومة الحج والعمرة في عدة مجالات مترابطة ومتكاملة. يتعلق المجال الأول بضمان سلامة الحجاج والمعتمرين الجسدية والنفسية، وهو ما يرتبط ارتباطاً وثيقاً بكفاءة إدارة الحشود حيث إن تحقيق الانسيابية في الحركة وتقليل التكدس وسرعة الاستجابة للطوارئ يُترجم مباشرة إلى حماية أرواح الحجاج وسلامتهم، وقد تناول الحناوي وشحاتة والشرقي </w:t>
      </w:r>
      <w:r w:rsidRPr="00A25019">
        <w:rPr>
          <w:rFonts w:ascii="Simplified Arabic" w:hAnsi="Simplified Arabic" w:cs="Simplified Arabic"/>
          <w:color w:val="EE0000"/>
          <w:sz w:val="28"/>
          <w:szCs w:val="28"/>
          <w:lang w:bidi="ar-EG"/>
        </w:rPr>
        <w:t xml:space="preserve">(2023) </w:t>
      </w:r>
      <w:r w:rsidRPr="00A25019">
        <w:rPr>
          <w:rFonts w:ascii="Simplified Arabic" w:hAnsi="Simplified Arabic" w:cs="Simplified Arabic"/>
          <w:color w:val="EE0000"/>
          <w:sz w:val="28"/>
          <w:szCs w:val="28"/>
          <w:rtl/>
        </w:rPr>
        <w:t>هذا الجانب من خلال استعراض العلاقة بين طب الحشود وإدارة الحشود في الحج والعمرة، مُبرزين أن البعد الصحي يُشكّل مكوناً أساسياً من مكونات الاستدامة الاجتماعية في هذا السياق، إذ يتطلب تجمع هذا العدد الهائل من البشر منظومة صحية متكاملة تشمل الرعاية الوقائية والعلاجية والطوارئ والتعامل مع الأوبئة والأمراض المعدية</w:t>
      </w:r>
      <w:r w:rsidRPr="00A25019">
        <w:rPr>
          <w:rFonts w:ascii="Simplified Arabic" w:hAnsi="Simplified Arabic" w:cs="Simplified Arabic"/>
          <w:color w:val="EE0000"/>
          <w:sz w:val="28"/>
          <w:szCs w:val="28"/>
          <w:lang w:bidi="ar-EG"/>
        </w:rPr>
        <w:t>.</w:t>
      </w:r>
    </w:p>
    <w:p w14:paraId="5EED0AD1"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 xml:space="preserve">وبمقارنة الأبعاد الثلاثة لممارسات الاستدامة فيما بينها، يتبيّن أنها لا تعمل كمكونات منفصلة بل تتفاعل في إطار علاقات تبادلية تُحدد مستوى كفاءة المنظومة التشغيلية بأكملها. فالاستدامة البيئية من خلال ترشيد استهلاك الموارد وإدارة النفايات تُسهم في خفض التكاليف التشغيلية مما يُعزز الاستدامة الاقتصادية، وفي الوقت ذاته فإن تقليل التلوث وتحسين جودة البيئة المحيطة بالمشاعر المقدسة ينعكس مباشرة على صحة الحجاج ورفاهيتهم مما يُعزز الاستدامة الاجتماعية، كما أن الاستدامة الاقتصادية من خلال ترشيد </w:t>
      </w:r>
      <w:r w:rsidRPr="00A25019">
        <w:rPr>
          <w:rFonts w:ascii="Simplified Arabic" w:hAnsi="Simplified Arabic" w:cs="Simplified Arabic"/>
          <w:color w:val="EE0000"/>
          <w:sz w:val="28"/>
          <w:szCs w:val="28"/>
          <w:rtl/>
        </w:rPr>
        <w:lastRenderedPageBreak/>
        <w:t>الإنفاق وتحسين كفاءة تخصيص الموارد تُتيح توجيه الوفورات المالية نحو تحسين الخدمات المقدمة للحجاج وتطوير البنية التحتية البيئية. وبدورها فإن الاستدامة الاجتماعية من خلال تعزيز سلامة الحجاج وتحسين تجربتهم تُسهم في رفع مستوى الرضا مما يدعم السمعة المؤسسية ويجذب مزيداً من الاستثمارات ويُعزز البعد الاقتصادي</w:t>
      </w:r>
      <w:r w:rsidRPr="00A25019">
        <w:rPr>
          <w:rFonts w:ascii="Simplified Arabic" w:hAnsi="Simplified Arabic" w:cs="Simplified Arabic"/>
          <w:color w:val="EE0000"/>
          <w:sz w:val="28"/>
          <w:szCs w:val="28"/>
          <w:lang w:bidi="ar-EG"/>
        </w:rPr>
        <w:t>.</w:t>
      </w:r>
    </w:p>
    <w:p w14:paraId="46C4EE8C"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ويتصل هذا التكامل بين الأبعاد الثلاثة اتصالاً مباشراً بنموذج الدراسة الحالية من خلال ثلاث علاقات محورية</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العلاقة الأولى أن كل بُعد من أبعاد الاستدامة يُسهم بآلية مختلفة في تعزيز كفاءة إدارة الحشود  المتغير التابع فالاستدامة البيئية تُوفر بيئة مادية أكثر ملاءمة لحركة الحشود من خلال تقليل مصادر التلوث والحرارة والنفايات التي تعيق الانسيابية، والاستدامة الاقتصادية تُتيح تخصيص الموارد المالية اللازمة لتطوير أنظمة إدارة الحشود وصيانتها، والاستدامة الاجتماعية تُعزز وعي الحجاج وتعاونهم مما يُسهّل عمليات التوجيه والتحكم</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والعلاقة الثانية أن التكنولوجيا الذكية المتغير الوسيط تعمل كرابط تشغيلي بين الأبعاد الثلاثة وكفاءة إدارة الحشود، إذ تُترجم ممارسات الاستدامة إلى قرارات آنية من خلال أنظمة المراقبة الذكية وتحليل البيانات الحية وتطبيقات التوجيه والتحكم. والعلاقة الثالثة أن إهمال أي بُعد من الأبعاد الثلاثة يُضعف فاعلية البعدين الآخرين ويُقلل من قدرة التكنولوجيا الذكية على أداء دورها الوسيط بكفاءة، فمثلاً لا يمكن للأنظمة الذكية أن تُحقق انسيابية الحركة إذا كانت البيئة المادية متدهورة بيئياً أو كانت الموارد المالية غير كافية لتشغيل هذه الأنظمة أو كان الحجاج غير مهيئين اجتماعياً للتفاعل معها</w:t>
      </w:r>
      <w:r w:rsidRPr="00A25019">
        <w:rPr>
          <w:rFonts w:ascii="Simplified Arabic" w:hAnsi="Simplified Arabic" w:cs="Simplified Arabic"/>
          <w:color w:val="EE0000"/>
          <w:sz w:val="28"/>
          <w:szCs w:val="28"/>
          <w:lang w:bidi="ar-EG"/>
        </w:rPr>
        <w:t>.</w:t>
      </w:r>
    </w:p>
    <w:p w14:paraId="0C004156"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t>رابعاً: متطلبات تطبيق ممارسات الاستدامة في منظومة الحج والعمرة</w:t>
      </w:r>
    </w:p>
    <w:p w14:paraId="00D736DE"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يستلزم التطبيق الفعال لممارسات الاستدامة في منظومة الحج والعمرة توافر مجموعة من المتطلبات الأساسية التي تُهيئ البيئة المؤسسية والتشغيلية والتقنية لنجاح هذا التطبيق وتحقيق مخرجاته المستهدفة، يتمثل المتطلب الأول في وجود إرادة مؤسسية والتزام قيادي واضح بتبني ممارسات الاستدامة وتخصيص الموارد اللازمة لها</w:t>
      </w:r>
      <w:r w:rsidRPr="00A25019">
        <w:rPr>
          <w:rFonts w:ascii="Simplified Arabic" w:hAnsi="Simplified Arabic" w:cs="Simplified Arabic"/>
          <w:color w:val="EE0000"/>
          <w:sz w:val="28"/>
          <w:szCs w:val="28"/>
          <w:rtl/>
          <w:lang w:bidi="ar-EG"/>
        </w:rPr>
        <w:t xml:space="preserve">، </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وقد أكد الميالي والحسني (2022) أن الاستقامة التنظيمية بما تتضمنه من التزام قيادي بالقيم والمبادئ الأخلاقية تُعد الأساس الذي تنطلق منه ممارسات الاستدامة الفعالة، إذ إن غياب الدعم القيادي يُفقد هذه الممارسات زخمها ويُحولها إلى إجراءات شكلية لا تُحقق أثراً حقيقياً، ويتجلى هذا الالتزام القيادي في توجيهات القيادة السعودية ضمن رؤية المملكة 2030 التي وضعت تطوير منظومة الحج والعمرة وفق أعلى معايير الاستدامة في صدارة الأولويات الوطنية</w:t>
      </w:r>
      <w:r w:rsidRPr="00A25019">
        <w:rPr>
          <w:rFonts w:ascii="Simplified Arabic" w:hAnsi="Simplified Arabic" w:cs="Simplified Arabic"/>
          <w:color w:val="EE0000"/>
          <w:sz w:val="28"/>
          <w:szCs w:val="28"/>
          <w:lang w:bidi="ar-EG"/>
        </w:rPr>
        <w:t>.</w:t>
      </w:r>
    </w:p>
    <w:p w14:paraId="5B60A615"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lastRenderedPageBreak/>
        <w:t xml:space="preserve">ويرتبط المتطلب الثاني بتوافر بنية تحتية تقنية متقدمة تُمكّن من تطبيق ممارسات الاستدامة بكفاءة ودقة. وقد أبرز علي </w:t>
      </w:r>
      <w:r w:rsidRPr="00A25019">
        <w:rPr>
          <w:rFonts w:ascii="Simplified Arabic" w:hAnsi="Simplified Arabic" w:cs="Simplified Arabic"/>
          <w:color w:val="EE0000"/>
          <w:sz w:val="28"/>
          <w:szCs w:val="28"/>
          <w:lang w:bidi="ar-EG"/>
        </w:rPr>
        <w:t xml:space="preserve">(2021) </w:t>
      </w:r>
      <w:r w:rsidRPr="00A25019">
        <w:rPr>
          <w:rFonts w:ascii="Simplified Arabic" w:hAnsi="Simplified Arabic" w:cs="Simplified Arabic"/>
          <w:color w:val="EE0000"/>
          <w:sz w:val="28"/>
          <w:szCs w:val="28"/>
          <w:rtl/>
        </w:rPr>
        <w:t>أن تكنولوجيا المعلومات والاتصالات أصبحت أداة لا غنى عنها لتحقيق الاستدامة البيئية، من خلال قدرتها على رصد المؤشرات البيئية وتحسين كفاءة استخدام الموارد ودعم صنع القرار بالبيانات الفعلية.</w:t>
      </w:r>
    </w:p>
    <w:p w14:paraId="25D05FC1"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أما المتطلب الثالث فيتصل ببناء الكفاءات البشرية المتخصصة في مجالات الاستدامة وإدارة الحشود والتقنيات الذكية. وقد أشار</w:t>
      </w:r>
      <w:r w:rsidRPr="00A25019">
        <w:rPr>
          <w:rFonts w:ascii="Simplified Arabic" w:hAnsi="Simplified Arabic" w:cs="Simplified Arabic"/>
          <w:color w:val="EE0000"/>
          <w:sz w:val="28"/>
          <w:szCs w:val="28"/>
          <w:lang w:bidi="ar-EG"/>
        </w:rPr>
        <w:t xml:space="preserve"> Literal (2020) </w:t>
      </w:r>
      <w:r w:rsidRPr="00A25019">
        <w:rPr>
          <w:rFonts w:ascii="Simplified Arabic" w:hAnsi="Simplified Arabic" w:cs="Simplified Arabic"/>
          <w:color w:val="EE0000"/>
          <w:sz w:val="28"/>
          <w:szCs w:val="28"/>
          <w:rtl/>
        </w:rPr>
        <w:t>إلى أن فعالية ممارسات الاستدامة تتوقف على مدى انسجامها مع الثقافة التنظيمية السائدة والتوجه الاستراتيجي للمؤسسة، مما يعني أن تأهيل العاملين وتطوير وعيهم بمفاهيم الاستدامة وأساليبها يُعد شرطاً ضرورياً لنجاح التطبيق. (الفرائضي ،2025) .</w:t>
      </w:r>
    </w:p>
    <w:p w14:paraId="45F6322D"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rPr>
        <w:t>ويتعلق المتطلب الرابع بتأسيس منظومة حوكمة وتنسيق فعالة بين الجهات المتعددة المسؤولة عن إدارة موسم الحج والعمرة</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فتعدد الجهات الحكومية والخاصة المشاركة في إدارة الموسم  من وزارة الحج والعمرة إلى وزارة الداخلية ووزارة الصحة وهيئة النقل والجهات البلدية وشركات القطاع الخاص  يستوجب آليات تنسيق محكمة تضمن توحيد الرؤية وتكامل الجهود وتجنب التضارب والازدواجية في الأدوار والمسؤوليات(راشد وعيد ،2025)</w:t>
      </w:r>
      <w:r w:rsidRPr="00A25019">
        <w:rPr>
          <w:rFonts w:ascii="Simplified Arabic" w:hAnsi="Simplified Arabic" w:cs="Simplified Arabic"/>
          <w:color w:val="EE0000"/>
          <w:sz w:val="28"/>
          <w:szCs w:val="28"/>
          <w:lang w:bidi="ar-EG"/>
        </w:rPr>
        <w:t>.</w:t>
      </w:r>
    </w:p>
    <w:p w14:paraId="10EFB1A1"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ويتمثل المتطلب الخامس في توافر منظومة قياس وتقييم شاملة ومستمرة لمؤشرات الاستدامة عبر أبعادها الثلاثة. وقد أشار العاني وعبدالله (2021) إلى أهمية تحليل واقع ممارسات الاستدامة كأداة تشخيصية تكشف عن الفجوات وتُوجّه جهود التحسين، وهو ما يستلزم في سياق الحج والعمرة تصميم مؤشرات أداء رئيسة قابلة للقياس والمتابعة تُغطي الجوانب البيئية والاقتصادية والاجتماعية، مع بناء قواعد بيانات تراكمية تُتيح المقارنة بين المواسم ورصد اتجاهات التحسن أو التراجع.</w:t>
      </w:r>
    </w:p>
    <w:p w14:paraId="567E39B0"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وبتحليل هذه المتطلبات الخمسة ومقارنتها، يتبيّن أنها لا تقع على مستوى واحد بل تتوزع على مستويين يتصلان اتصالاً مباشراً بمتغيرات الدراسة الحالية. فالمتطلبات الأول والثالث والرابع</w:t>
      </w:r>
      <w:r w:rsidRPr="00A25019">
        <w:rPr>
          <w:rFonts w:ascii="Simplified Arabic" w:hAnsi="Simplified Arabic" w:cs="Simplified Arabic"/>
          <w:color w:val="EE0000"/>
          <w:sz w:val="28"/>
          <w:szCs w:val="28"/>
        </w:rPr>
        <w:t xml:space="preserve"> </w:t>
      </w:r>
      <w:r w:rsidRPr="00A25019">
        <w:rPr>
          <w:rFonts w:ascii="Simplified Arabic" w:hAnsi="Simplified Arabic" w:cs="Simplified Arabic"/>
          <w:color w:val="EE0000"/>
          <w:sz w:val="28"/>
          <w:szCs w:val="28"/>
          <w:rtl/>
        </w:rPr>
        <w:t xml:space="preserve">الإرادة القيادية والكفاءات البشرية والحوكمة  تمثل متطلبات تنظيمية ومؤسسية تُهيئ البيئة اللازمة لتبني ممارسات الاستدامة (المتغير المستقل) وتحويلها من سياسات نظرية إلى إجراءات تشغيلية فعلية. </w:t>
      </w:r>
    </w:p>
    <w:p w14:paraId="43780ABA"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ويعني ذلك أن العلاقة بين ممارسات الاستدامة وكفاءة إدارة الحشود وهي العلاقة المحورية التي تختبرها الدراسة الحالية</w:t>
      </w:r>
      <w:r w:rsidRPr="00A25019">
        <w:rPr>
          <w:rFonts w:ascii="Simplified Arabic" w:hAnsi="Simplified Arabic" w:cs="Simplified Arabic"/>
          <w:color w:val="EE0000"/>
          <w:sz w:val="28"/>
          <w:szCs w:val="28"/>
        </w:rPr>
        <w:t xml:space="preserve">  </w:t>
      </w:r>
      <w:r w:rsidRPr="00A25019">
        <w:rPr>
          <w:rFonts w:ascii="Simplified Arabic" w:hAnsi="Simplified Arabic" w:cs="Simplified Arabic"/>
          <w:color w:val="EE0000"/>
          <w:sz w:val="28"/>
          <w:szCs w:val="28"/>
          <w:rtl/>
        </w:rPr>
        <w:t xml:space="preserve">لا تتحقق تلقائياً بمجرد تبني سياسات استدامة، بل تستلزم توافر هذه المتطلبات مجتمعة، </w:t>
      </w:r>
      <w:r w:rsidRPr="00A25019">
        <w:rPr>
          <w:rFonts w:ascii="Simplified Arabic" w:hAnsi="Simplified Arabic" w:cs="Simplified Arabic"/>
          <w:color w:val="EE0000"/>
          <w:sz w:val="28"/>
          <w:szCs w:val="28"/>
          <w:rtl/>
        </w:rPr>
        <w:lastRenderedPageBreak/>
        <w:t>وهو ما يُعزز الافتراض النظري للدراسة بأن التكنولوجيا الذكية تؤدي دوراً وسيطاً في هذه العلاقة؛ فهي الآلية التي تُترجم من خلالها ممارسات الاستدامة إلى تحسين فعلي في انسيابية حركة الحشود وسرعة الاستجابة وتقليل التكدس. فحين تتبنى الجهات المنظمة ممارسات ترشيد الموارد وتقليل الهدر (استدامة بيئية واقتصادية) وتعزز سلامة الحجاج وجودة خدماتهم (استدامة اجتماعية)، فإن هذه الممارسات تحتاج إلى أنظمة مراقبة ذكية ترصد تنفيذها، وتطبيقات توجيه تُحوّلها إلى إرشادات ميدانية، وتحليل بيانات حية يقيس أثرها اللحظي على حركة الحشود، وبذلك تكتمل حلقة التأثير من المتغير المستقل إلى المتغير التابع عبر المتغير الوسيط</w:t>
      </w:r>
      <w:r w:rsidRPr="00A25019">
        <w:rPr>
          <w:rFonts w:ascii="Simplified Arabic" w:hAnsi="Simplified Arabic" w:cs="Simplified Arabic"/>
          <w:color w:val="EE0000"/>
          <w:sz w:val="28"/>
          <w:szCs w:val="28"/>
        </w:rPr>
        <w:t>.</w:t>
      </w:r>
    </w:p>
    <w:p w14:paraId="6F4049B9" w14:textId="77777777" w:rsidR="00A25019" w:rsidRPr="00A25019" w:rsidRDefault="00A25019" w:rsidP="00A25019">
      <w:pPr>
        <w:jc w:val="both"/>
        <w:rPr>
          <w:rFonts w:ascii="Simplified Arabic" w:hAnsi="Simplified Arabic" w:cs="Simplified Arabic"/>
          <w:b/>
          <w:bCs/>
          <w:sz w:val="28"/>
          <w:szCs w:val="28"/>
          <w:rtl/>
        </w:rPr>
      </w:pPr>
    </w:p>
    <w:p w14:paraId="10593B57" w14:textId="77777777" w:rsidR="00A25019" w:rsidRPr="00A25019" w:rsidRDefault="00A25019" w:rsidP="00A25019">
      <w:pPr>
        <w:bidi w:val="0"/>
        <w:rPr>
          <w:rFonts w:ascii="Simplified Arabic" w:hAnsi="Simplified Arabic" w:cs="Simplified Arabic"/>
          <w:b/>
          <w:bCs/>
          <w:sz w:val="28"/>
          <w:szCs w:val="28"/>
        </w:rPr>
      </w:pPr>
      <w:r w:rsidRPr="00A25019">
        <w:rPr>
          <w:rFonts w:ascii="Simplified Arabic" w:hAnsi="Simplified Arabic" w:cs="Simplified Arabic"/>
          <w:b/>
          <w:bCs/>
          <w:sz w:val="28"/>
          <w:szCs w:val="28"/>
          <w:rtl/>
        </w:rPr>
        <w:br w:type="page"/>
      </w:r>
    </w:p>
    <w:p w14:paraId="4A463945" w14:textId="77777777" w:rsidR="00A25019" w:rsidRPr="00A25019" w:rsidRDefault="00A25019" w:rsidP="00A25019">
      <w:pPr>
        <w:jc w:val="center"/>
        <w:rPr>
          <w:rFonts w:ascii="Simplified Arabic" w:hAnsi="Simplified Arabic" w:cs="Simplified Arabic"/>
          <w:b/>
          <w:bCs/>
          <w:sz w:val="28"/>
          <w:szCs w:val="28"/>
          <w:lang w:bidi="ar-EG"/>
        </w:rPr>
      </w:pPr>
      <w:r w:rsidRPr="00A25019">
        <w:rPr>
          <w:rFonts w:ascii="Simplified Arabic" w:hAnsi="Simplified Arabic" w:cs="Simplified Arabic"/>
          <w:b/>
          <w:bCs/>
          <w:sz w:val="28"/>
          <w:szCs w:val="28"/>
          <w:rtl/>
        </w:rPr>
        <w:lastRenderedPageBreak/>
        <w:t>المبحث الثاني: كفاءة إدارة الحشود في موسم الحج والعمرة</w:t>
      </w:r>
    </w:p>
    <w:p w14:paraId="030FDC8B"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rPr>
        <w:t>تمهيد</w:t>
      </w:r>
    </w:p>
    <w:p w14:paraId="128C771F" w14:textId="77777777" w:rsidR="00A25019" w:rsidRPr="00A25019" w:rsidRDefault="00A25019" w:rsidP="00A25019">
      <w:p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تُعد إدارة الحشود من أكثر المجالات الإدارية تعقيداً وحساسية، إذ تتعامل مع سلوك جماعي بشري يتسم بالديناميكية وعدم القابلية الكاملة للتنبؤ، في سياقات مكانية وزمنية محددة تفرض قيوداً صارمة على الحركة والموارد والاستجابة، وتكتسب كفاءة إدارة الحشود أهمية استثنائية حين يتعلق الأمر بالتجمعات الدينية الكبرى التي تستقطب ملايين البشر من مختلف الثقافات والأعمار والقدرات الجسدية، ويتناول هذا المبحث مفهوم كفاءة إدارة الحشود من خلال عرض التعريفات التي قدمها الباحثون، ثم استعراض أهميتها وأهدافها، وصولاً إلى تحليل أبعادها الثلاثة المتمثلة في الانسيابية في الحركة وسرعة الاستجابة وتقليل التكدس والازدحام، مع الربط المستمر بسياق الحج والعمرة وعلاقتها بممارسات الاستدامة والتكنولوجيا الذكية</w:t>
      </w:r>
      <w:r w:rsidRPr="00A25019">
        <w:rPr>
          <w:rFonts w:ascii="Simplified Arabic" w:hAnsi="Simplified Arabic" w:cs="Simplified Arabic"/>
          <w:sz w:val="28"/>
          <w:szCs w:val="28"/>
          <w:lang w:bidi="ar-EG"/>
        </w:rPr>
        <w:t>.</w:t>
      </w:r>
    </w:p>
    <w:p w14:paraId="31C2A3B3"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t>أولاً: مفهوم كفاءة إدارة الحشود</w:t>
      </w:r>
    </w:p>
    <w:p w14:paraId="130EE6CB"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 xml:space="preserve">يُعد مفهوم إدارة الحشود من المفاهيم التي شهدت تطوراً ملحوظاً في الأدبيات الإدارية والأمنية، إذ انتقل من كونه مجرد إجراءات أمنية تقليدية تهدف إلى السيطرة على التجمعات البشرية ومنع الفوضى، وقدّم عبدالرحيم (2024) تعريفاً أكثر شمولية حين وصف إدارة الحشود بأنها علم وفنّ التنسيق بين الفنّيات والاستراتيجيات اللازمة لتوجيه حركة الجماعات البشرية الكبيرة والسيطرة عليها، بما يضمن انتظام تدفّقها وتقليل احتمالات التدافع والتكدّس، مع الحفاظ على حقّ الأفراد في إتمام أنشطتهم بأمان وكرامة. </w:t>
      </w:r>
    </w:p>
    <w:p w14:paraId="3DB8A847"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 xml:space="preserve">أمّا الحناوي وشحاتة والشرقي (2023) أشاروا إلى أن كفاءة إدارة الحشود لا تتحقّق بمعزل عن الاستعداد الصحّي والطبي، وأن المنظومة الفعّالة هي تلك التي تدمج بين البُعد اللوجستي المتعلّق بحركة الحشود والبُعد الصحّي المتعلّق بسلامتهم الجسدية، وهو ما يجعل مفهوم كفاءة إدارة الحشود مفهوماً متعدّد الأبعاد لا يُختزل في بُعد واحد. </w:t>
      </w:r>
    </w:p>
    <w:p w14:paraId="701C7DE9"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 xml:space="preserve"> قدّم</w:t>
      </w:r>
      <w:r w:rsidRPr="00A25019">
        <w:rPr>
          <w:rFonts w:ascii="Simplified Arabic" w:hAnsi="Simplified Arabic" w:cs="Simplified Arabic"/>
          <w:color w:val="EE0000"/>
          <w:sz w:val="28"/>
          <w:szCs w:val="28"/>
        </w:rPr>
        <w:t xml:space="preserve"> Klatt et al. (2024) </w:t>
      </w:r>
      <w:r w:rsidRPr="00A25019">
        <w:rPr>
          <w:rFonts w:ascii="Simplified Arabic" w:hAnsi="Simplified Arabic" w:cs="Simplified Arabic"/>
          <w:color w:val="EE0000"/>
          <w:sz w:val="28"/>
          <w:szCs w:val="28"/>
          <w:rtl/>
        </w:rPr>
        <w:t xml:space="preserve">إطاراً مفاهيمياً لإدارة الحشود في سياق التجمّعات الكبرى، حيث عرّفوها بأنها المنظومة المتكاملة من السياسات والإجراءات والتقنيات التي تستهدف تنظيم حركة الجماعات البشرية الكثيفة وضمان سلامتها وديناميكيّتها، مع مراعاة خصوصية كل حدث من حيث طبيعته ومكانه وحجمه وتكراره. </w:t>
      </w:r>
    </w:p>
    <w:p w14:paraId="101756D9"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lastRenderedPageBreak/>
        <w:t>أشار</w:t>
      </w:r>
      <w:r w:rsidRPr="00A25019">
        <w:rPr>
          <w:rFonts w:ascii="Simplified Arabic" w:hAnsi="Simplified Arabic" w:cs="Simplified Arabic"/>
          <w:color w:val="EE0000"/>
          <w:sz w:val="28"/>
          <w:szCs w:val="28"/>
        </w:rPr>
        <w:t xml:space="preserve"> Almutairi (2024) </w:t>
      </w:r>
      <w:r w:rsidRPr="00A25019">
        <w:rPr>
          <w:rFonts w:ascii="Simplified Arabic" w:hAnsi="Simplified Arabic" w:cs="Simplified Arabic"/>
          <w:color w:val="EE0000"/>
          <w:sz w:val="28"/>
          <w:szCs w:val="28"/>
          <w:rtl/>
        </w:rPr>
        <w:t>بأنها قدرة المنظومة الإدارية على توظيف الأدوات التقنية والبشرية معاً لتحقيق أعلى مستوى من السيطرة المنظّمة على حركة الحشود بأقلّ تكلفة وأقلّ مخاطر، مع تعظيم رضا المستفيدين. كما أسهم</w:t>
      </w:r>
      <w:r w:rsidRPr="00A25019">
        <w:rPr>
          <w:rFonts w:ascii="Simplified Arabic" w:hAnsi="Simplified Arabic" w:cs="Simplified Arabic"/>
          <w:color w:val="EE0000"/>
          <w:sz w:val="28"/>
          <w:szCs w:val="28"/>
        </w:rPr>
        <w:t xml:space="preserve"> Almutairi et al. (2021) </w:t>
      </w:r>
      <w:r w:rsidRPr="00A25019">
        <w:rPr>
          <w:rFonts w:ascii="Simplified Arabic" w:hAnsi="Simplified Arabic" w:cs="Simplified Arabic"/>
          <w:color w:val="EE0000"/>
          <w:sz w:val="28"/>
          <w:szCs w:val="28"/>
          <w:rtl/>
        </w:rPr>
        <w:t>في مرحلة سابقة بتقديم إطار عملي لإدارة الحشود في ظروف استثنائية كجائحة كوفيد-19، حيث أوضحوا أن الكفاءة تتجلّى في قدرة النظام على التكيّف السريع مع المعطيات الجديدة وإعادة تشكيل بروتوكولات الإدارة وفقاً للمتغيّرات الصحّية والأمنية المستجدّة</w:t>
      </w:r>
      <w:r w:rsidRPr="00A25019">
        <w:rPr>
          <w:rFonts w:ascii="Simplified Arabic" w:hAnsi="Simplified Arabic" w:cs="Simplified Arabic"/>
          <w:color w:val="EE0000"/>
          <w:sz w:val="28"/>
          <w:szCs w:val="28"/>
        </w:rPr>
        <w:t>.</w:t>
      </w:r>
    </w:p>
    <w:p w14:paraId="6A6B7867"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 xml:space="preserve">و يُستفاد من تقرير وزارة الحج والعمرة (2023) أن المفهوم المعتمد لكفاءة إدارة الحشود يرتبط ارتباطاً وثيقاً بقدرة الجهات المعنية على استيعاب الأعداد المتزايدة من الحجّاج والمعتمرين مع الحفاظ على مستويات عالية من الأمان والانسيابية وجودة الخدمة، وهو ما يعكس رؤية مؤسّسية ترى في الكفاءة محصّلة للتكامل بين التخطيط والتنفيذ والتقييم، وربط الرشيدي (2024) مفهوم كفاءة إدارة الحشود بالتخطيط الاستراتيجي واستخدام الذكاء الاصطناعي، حيث عرفها بأنها تعني القدرة على التنبّؤ بسلوك الحشود قبل حدوث الأزمات واتّخاذ قرارات استباقية مبنية على بيانات حقيقية، وليس مجرّد إدارة ردّ الفعل بعد وقوع المشكلة. </w:t>
      </w:r>
    </w:p>
    <w:p w14:paraId="37F702C0" w14:textId="77777777" w:rsidR="00A25019" w:rsidRPr="00A25019" w:rsidRDefault="00A25019" w:rsidP="00A25019">
      <w:p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وبتحليل التعريفات السابقة ومقارنتها، يتبيّن أنها تتوزع على ثلاثة اتجاهات رئيسة يختلف كل منها في زاوية المعالجة ومستوى الشمول. يتمثل الاتجاه الأول في المقاربة الأمنية واللوجستية التي تنظر إلى كفاءة إدارة الحشود من زاوية التنظيم والسيطرة على التدفق البشري وتقليل المخاطر، وهو ما يتجلى في تعريف عبدالرحيم (2024) الذي ركّز على التنسيق بين الفنيات والاستراتيجيات لضمان انتظام التدفق ومنع التدافع. ويتمثل الاتجاه الثاني في المقاربة التكاملية متعددة الأبعاد التي تتجاوز البعد الأمني لتدمج الأبعاد الصحية والخدمية واللوجستية في إطار واحد، وهو ما تبنّاه الحناوي وشحاتة والشرقي (2023) حين أكدوا أن الكفاءة لا تتحقق بمعزل عن الاستعداد الصحي، وكذلك</w:t>
      </w:r>
      <w:r w:rsidRPr="00A25019">
        <w:rPr>
          <w:rFonts w:ascii="Simplified Arabic" w:hAnsi="Simplified Arabic" w:cs="Simplified Arabic"/>
          <w:color w:val="EE0000"/>
          <w:sz w:val="28"/>
          <w:szCs w:val="28"/>
        </w:rPr>
        <w:t xml:space="preserve"> Klatt et al. (2024) </w:t>
      </w:r>
      <w:r w:rsidRPr="00A25019">
        <w:rPr>
          <w:rFonts w:ascii="Simplified Arabic" w:hAnsi="Simplified Arabic" w:cs="Simplified Arabic"/>
          <w:color w:val="EE0000"/>
          <w:sz w:val="28"/>
          <w:szCs w:val="28"/>
          <w:rtl/>
        </w:rPr>
        <w:t xml:space="preserve">الذين قدّموا إطاراً يراعي خصوصية كل حدث من حيث طبيعته وحجمه وتكراره. أما الاتجاه الثالث فيتمثل في المقاربة التقنية الاستباقية التي تربط كفاءة إدارة الحشود بالقدرة على التنبؤ واتخاذ القرارات المبنية على البيانات والتكنولوجيا، وهو ما أبرزه </w:t>
      </w:r>
      <w:r w:rsidRPr="00A25019">
        <w:rPr>
          <w:rFonts w:ascii="Simplified Arabic" w:hAnsi="Simplified Arabic" w:cs="Simplified Arabic"/>
          <w:color w:val="EE0000"/>
          <w:sz w:val="28"/>
          <w:szCs w:val="28"/>
        </w:rPr>
        <w:t xml:space="preserve">Almutairi (2024) </w:t>
      </w:r>
      <w:r w:rsidRPr="00A25019">
        <w:rPr>
          <w:rFonts w:ascii="Simplified Arabic" w:hAnsi="Simplified Arabic" w:cs="Simplified Arabic"/>
          <w:color w:val="EE0000"/>
          <w:sz w:val="28"/>
          <w:szCs w:val="28"/>
          <w:rtl/>
        </w:rPr>
        <w:t>في تركيزه على توظيف الأدوات التقنية والبشرية معاً، والرشيدي (2024) في ربطه بالذكاء الاصطناعي والتنبؤ الاستباقي، و</w:t>
      </w:r>
      <w:r w:rsidRPr="00A25019">
        <w:rPr>
          <w:rFonts w:ascii="Simplified Arabic" w:hAnsi="Simplified Arabic" w:cs="Simplified Arabic"/>
          <w:color w:val="EE0000"/>
          <w:sz w:val="28"/>
          <w:szCs w:val="28"/>
        </w:rPr>
        <w:t xml:space="preserve">Almutairi et al. (2021) </w:t>
      </w:r>
      <w:r w:rsidRPr="00A25019">
        <w:rPr>
          <w:rFonts w:ascii="Simplified Arabic" w:hAnsi="Simplified Arabic" w:cs="Simplified Arabic"/>
          <w:color w:val="EE0000"/>
          <w:sz w:val="28"/>
          <w:szCs w:val="28"/>
          <w:rtl/>
        </w:rPr>
        <w:t>في تأكيدهم على التكيف السريع مع المعطيات الجديدة</w:t>
      </w:r>
      <w:r w:rsidRPr="00A25019">
        <w:rPr>
          <w:rFonts w:ascii="Simplified Arabic" w:hAnsi="Simplified Arabic" w:cs="Simplified Arabic"/>
          <w:color w:val="EE0000"/>
          <w:sz w:val="28"/>
          <w:szCs w:val="28"/>
        </w:rPr>
        <w:t>.</w:t>
      </w:r>
    </w:p>
    <w:p w14:paraId="1A3158D8"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 xml:space="preserve">يكشف التحليل النقدي للاتجاهات الثلاثة عن تباين واضح في القدرة التفسيرية. فالاتجاه الأمني-اللوجستي (عبدالرحيم 2024) يتميّز بوضوح إجراءاته وقابليته للتطبيق الميداني الفوري، غير أن محدوديته تتجلّى </w:t>
      </w:r>
      <w:r w:rsidRPr="00A25019">
        <w:rPr>
          <w:rFonts w:ascii="Simplified Arabic" w:hAnsi="Simplified Arabic" w:cs="Simplified Arabic"/>
          <w:color w:val="EE0000"/>
          <w:sz w:val="28"/>
          <w:szCs w:val="28"/>
          <w:rtl/>
        </w:rPr>
        <w:lastRenderedPageBreak/>
        <w:t>في اختزاله الكفاءة في بُعد السيطرة والمنع، مما يُغفل الأبعاد الإنسانية والروحية التي تُميّز الحج بوصفه عبادة لا مجرد تجمع بشري. والاتجاه التكاملي متعدد الأبعاد</w:t>
      </w:r>
      <w:r w:rsidRPr="00A25019">
        <w:rPr>
          <w:rFonts w:ascii="Simplified Arabic" w:hAnsi="Simplified Arabic" w:cs="Simplified Arabic"/>
          <w:color w:val="EE0000"/>
          <w:sz w:val="28"/>
          <w:szCs w:val="28"/>
        </w:rPr>
        <w:t xml:space="preserve"> (</w:t>
      </w:r>
      <w:r w:rsidRPr="00A25019">
        <w:rPr>
          <w:rFonts w:ascii="Simplified Arabic" w:hAnsi="Simplified Arabic" w:cs="Simplified Arabic"/>
          <w:color w:val="EE0000"/>
          <w:sz w:val="28"/>
          <w:szCs w:val="28"/>
          <w:rtl/>
        </w:rPr>
        <w:t>الحناوي وآخرون 2023؛</w:t>
      </w:r>
      <w:r w:rsidRPr="00A25019">
        <w:rPr>
          <w:rFonts w:ascii="Simplified Arabic" w:hAnsi="Simplified Arabic" w:cs="Simplified Arabic"/>
          <w:color w:val="EE0000"/>
          <w:sz w:val="28"/>
          <w:szCs w:val="28"/>
        </w:rPr>
        <w:t xml:space="preserve"> Klatt et al. 2024) </w:t>
      </w:r>
      <w:r w:rsidRPr="00A25019">
        <w:rPr>
          <w:rFonts w:ascii="Simplified Arabic" w:hAnsi="Simplified Arabic" w:cs="Simplified Arabic"/>
          <w:color w:val="EE0000"/>
          <w:sz w:val="28"/>
          <w:szCs w:val="28"/>
          <w:rtl/>
        </w:rPr>
        <w:t>يُقدّم رؤية أكثر شمولاً تستوعب التعقيد الواقعي لإدارة الحشود في الحج، إلا أنه يُواجَه بإشكالية تشغيلية تتعلق بصعوبة قياس التكامل بين أبعاده المتعددة في إطار تجريبي واحد. أما الاتجاه التقني الاستباقي</w:t>
      </w:r>
      <w:r w:rsidRPr="00A25019">
        <w:rPr>
          <w:rFonts w:ascii="Simplified Arabic" w:hAnsi="Simplified Arabic" w:cs="Simplified Arabic"/>
          <w:color w:val="EE0000"/>
          <w:sz w:val="28"/>
          <w:szCs w:val="28"/>
        </w:rPr>
        <w:t xml:space="preserve"> (Almutairi 2024</w:t>
      </w:r>
      <w:r w:rsidRPr="00A25019">
        <w:rPr>
          <w:rFonts w:ascii="Simplified Arabic" w:hAnsi="Simplified Arabic" w:cs="Simplified Arabic"/>
          <w:color w:val="EE0000"/>
          <w:sz w:val="28"/>
          <w:szCs w:val="28"/>
          <w:rtl/>
        </w:rPr>
        <w:t>؛ الرشيدي 2024</w:t>
      </w:r>
      <w:r w:rsidRPr="00A25019">
        <w:rPr>
          <w:rFonts w:ascii="Simplified Arabic" w:hAnsi="Simplified Arabic" w:cs="Simplified Arabic"/>
          <w:color w:val="EE0000"/>
          <w:sz w:val="28"/>
          <w:szCs w:val="28"/>
        </w:rPr>
        <w:t xml:space="preserve">) </w:t>
      </w:r>
      <w:r w:rsidRPr="00A25019">
        <w:rPr>
          <w:rFonts w:ascii="Simplified Arabic" w:hAnsi="Simplified Arabic" w:cs="Simplified Arabic"/>
          <w:color w:val="EE0000"/>
          <w:sz w:val="28"/>
          <w:szCs w:val="28"/>
          <w:rtl/>
        </w:rPr>
        <w:t>فيقدّم أعلى قدرة تنبؤية ويستجيب لمتطلبات العصر الرقمي، لكنه يحمل خطر "التحيّز التقني" أي افتراض أن التكنولوجيا تحلّ المشكلات بمعزل عن السياق التنظيمي والبشري</w:t>
      </w:r>
      <w:r w:rsidRPr="00A25019">
        <w:rPr>
          <w:rFonts w:ascii="Simplified Arabic" w:hAnsi="Simplified Arabic" w:cs="Simplified Arabic"/>
          <w:color w:val="EE0000"/>
          <w:sz w:val="28"/>
          <w:szCs w:val="28"/>
        </w:rPr>
        <w:t>.</w:t>
      </w:r>
    </w:p>
    <w:p w14:paraId="722A08D1"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وتتبنّى الدراسة الحالية موقفاً تركيبياً يجمع بين عناصر الاتجاهات الثلاثة في إطار نظرية النظم السوسيوتقنية: فالكفاءة لا تتحقق بالسيطرة الأمنية وحدها (الاتجاه الأول)، ولا بمجرد دمج الأبعاد دون آلية ربط واضحة (الاتجاه الثاني)، ولا بالتقنية بمعزل عن السياق (الاتجاه الثالث)، بل تتحقق حين تتكامل التوجهات الاستدامية (النظام الاجتماعي) مع المنظومة التقنية الذكية (النظام التقني) لإنتاج مخرجات تشغيلية قابلة للقياس عبر أبعاد الانسيابية وسرعة الاستجابة وتقليل التكدس</w:t>
      </w:r>
      <w:r w:rsidRPr="00A25019">
        <w:rPr>
          <w:rFonts w:ascii="Simplified Arabic" w:hAnsi="Simplified Arabic" w:cs="Simplified Arabic"/>
          <w:color w:val="EE0000"/>
          <w:sz w:val="28"/>
          <w:szCs w:val="28"/>
        </w:rPr>
        <w:t>.</w:t>
      </w:r>
    </w:p>
    <w:p w14:paraId="51A13C86" w14:textId="77777777" w:rsidR="00A25019" w:rsidRPr="00A25019" w:rsidRDefault="00A25019" w:rsidP="00A25019">
      <w:pPr>
        <w:jc w:val="both"/>
        <w:rPr>
          <w:rFonts w:ascii="Simplified Arabic" w:hAnsi="Simplified Arabic" w:cs="Simplified Arabic"/>
          <w:b/>
          <w:bCs/>
          <w:color w:val="EE0000"/>
          <w:sz w:val="28"/>
          <w:szCs w:val="28"/>
          <w:rtl/>
          <w:lang w:bidi="ar-EG"/>
        </w:rPr>
      </w:pPr>
      <w:r w:rsidRPr="00A25019">
        <w:rPr>
          <w:rFonts w:ascii="Simplified Arabic" w:hAnsi="Simplified Arabic" w:cs="Simplified Arabic"/>
          <w:b/>
          <w:bCs/>
          <w:color w:val="EE0000"/>
          <w:sz w:val="28"/>
          <w:szCs w:val="28"/>
          <w:rtl/>
        </w:rPr>
        <w:t>ثانياً: أهمية كفاءة إدارة الحشود</w:t>
      </w:r>
    </w:p>
    <w:p w14:paraId="319BD199"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وقد تناول الباحثون أهمية كفاءة إدارة الحشود من زوايا متنوعة يمكن عرضها على النحو الآتي</w:t>
      </w:r>
      <w:r w:rsidRPr="00A25019">
        <w:rPr>
          <w:rFonts w:ascii="Simplified Arabic" w:hAnsi="Simplified Arabic" w:cs="Simplified Arabic"/>
          <w:color w:val="EE0000"/>
          <w:sz w:val="28"/>
          <w:szCs w:val="28"/>
          <w:lang w:bidi="ar-EG"/>
        </w:rPr>
        <w:t>.</w:t>
      </w:r>
    </w:p>
    <w:p w14:paraId="41C4AA28"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يشير الحناوي وشحاتة والشرقي (2023) إلى أن أهمية كفاءة إدارة الحشود في الحج والعمرة تتجلى في عدة جوانب محورية هي</w:t>
      </w:r>
      <w:r w:rsidRPr="00A25019">
        <w:rPr>
          <w:rFonts w:ascii="Simplified Arabic" w:hAnsi="Simplified Arabic" w:cs="Simplified Arabic"/>
          <w:color w:val="EE0000"/>
          <w:sz w:val="28"/>
          <w:szCs w:val="28"/>
          <w:lang w:bidi="ar-EG"/>
        </w:rPr>
        <w:t>:</w:t>
      </w:r>
    </w:p>
    <w:p w14:paraId="30C096A0" w14:textId="77777777" w:rsidR="00A25019" w:rsidRPr="00A25019" w:rsidRDefault="00A25019" w:rsidP="00A25019">
      <w:pPr>
        <w:numPr>
          <w:ilvl w:val="0"/>
          <w:numId w:val="36"/>
        </w:numPr>
        <w:jc w:val="both"/>
        <w:rPr>
          <w:rFonts w:ascii="Simplified Arabic" w:hAnsi="Simplified Arabic" w:cs="Simplified Arabic"/>
          <w:color w:val="EE0000"/>
          <w:sz w:val="28"/>
          <w:szCs w:val="28"/>
          <w:lang w:bidi="ar-EG"/>
        </w:rPr>
      </w:pPr>
      <w:r w:rsidRPr="00A25019">
        <w:rPr>
          <w:rFonts w:ascii="Simplified Arabic" w:hAnsi="Simplified Arabic" w:cs="Simplified Arabic"/>
          <w:b/>
          <w:bCs/>
          <w:color w:val="EE0000"/>
          <w:sz w:val="28"/>
          <w:szCs w:val="28"/>
          <w:rtl/>
        </w:rPr>
        <w:t>الحفاظ على أرواح الحجاج وسلامتهم الجسدية</w:t>
      </w:r>
      <w:r w:rsidRPr="00A25019">
        <w:rPr>
          <w:rFonts w:ascii="Simplified Arabic" w:hAnsi="Simplified Arabic" w:cs="Simplified Arabic"/>
          <w:b/>
          <w:bCs/>
          <w:color w:val="EE0000"/>
          <w:sz w:val="28"/>
          <w:szCs w:val="28"/>
          <w:lang w:bidi="ar-EG"/>
        </w:rPr>
        <w:t>:</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حيث إن أي خلل في إدارة الحشود قد يُفضي إلى حوادث تدافع وسحق قد تُسفر عن خسائر بشرية فادحة، مما يجعل كفاءة إدارة الحشود مسألة حياة أو موت بالمعنى الحرفي للكلمة. كما أن العلاقة الوثيقة بين إدارة الحشود والمنظومة الصحية تعني أن أي تكدس مفرط يُعرّض الحجاج لمخاطر صحية متعددة تشمل الإجهاد الحراري والاختناق والإصابات الجسدية وتفشي الأمراض المعدية</w:t>
      </w:r>
      <w:r w:rsidRPr="00A25019">
        <w:rPr>
          <w:rFonts w:ascii="Simplified Arabic" w:hAnsi="Simplified Arabic" w:cs="Simplified Arabic"/>
          <w:color w:val="EE0000"/>
          <w:sz w:val="28"/>
          <w:szCs w:val="28"/>
          <w:lang w:bidi="ar-EG"/>
        </w:rPr>
        <w:t>.</w:t>
      </w:r>
    </w:p>
    <w:p w14:paraId="675F46A6" w14:textId="77777777" w:rsidR="00A25019" w:rsidRPr="00A25019" w:rsidRDefault="00A25019" w:rsidP="00A25019">
      <w:pPr>
        <w:numPr>
          <w:ilvl w:val="0"/>
          <w:numId w:val="36"/>
        </w:numPr>
        <w:jc w:val="both"/>
        <w:rPr>
          <w:rFonts w:ascii="Simplified Arabic" w:hAnsi="Simplified Arabic" w:cs="Simplified Arabic"/>
          <w:color w:val="EE0000"/>
          <w:sz w:val="28"/>
          <w:szCs w:val="28"/>
          <w:lang w:bidi="ar-EG"/>
        </w:rPr>
      </w:pPr>
      <w:r w:rsidRPr="00A25019">
        <w:rPr>
          <w:rFonts w:ascii="Simplified Arabic" w:hAnsi="Simplified Arabic" w:cs="Simplified Arabic"/>
          <w:b/>
          <w:bCs/>
          <w:color w:val="EE0000"/>
          <w:sz w:val="28"/>
          <w:szCs w:val="28"/>
          <w:rtl/>
        </w:rPr>
        <w:t>ضمان التغطية الطبية الفعالة</w:t>
      </w:r>
      <w:r w:rsidRPr="00A25019">
        <w:rPr>
          <w:rFonts w:ascii="Simplified Arabic" w:hAnsi="Simplified Arabic" w:cs="Simplified Arabic"/>
          <w:b/>
          <w:bCs/>
          <w:color w:val="EE0000"/>
          <w:sz w:val="28"/>
          <w:szCs w:val="28"/>
          <w:lang w:bidi="ar-EG"/>
        </w:rPr>
        <w:t>:</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إذ إن كفاءة إدارة الحشود تُحدد بدرجة كبيرة قدرة الفرق الطبية على الوصول إلى المصابين وتقديم الإسعافات الأولية والرعاية الطارئة في الوقت المناسب، حيث إن التكدس الشديد قد يحول دون وصول سيارات الإسعاف والفرق الطبية إلى مواقع الحوادث</w:t>
      </w:r>
      <w:r w:rsidRPr="00A25019">
        <w:rPr>
          <w:rFonts w:ascii="Simplified Arabic" w:hAnsi="Simplified Arabic" w:cs="Simplified Arabic"/>
          <w:color w:val="EE0000"/>
          <w:sz w:val="28"/>
          <w:szCs w:val="28"/>
          <w:lang w:bidi="ar-EG"/>
        </w:rPr>
        <w:t>.</w:t>
      </w:r>
    </w:p>
    <w:p w14:paraId="4D2635EE" w14:textId="77777777" w:rsidR="00A25019" w:rsidRPr="00A25019" w:rsidRDefault="00A25019" w:rsidP="00A25019">
      <w:pPr>
        <w:numPr>
          <w:ilvl w:val="0"/>
          <w:numId w:val="36"/>
        </w:numPr>
        <w:jc w:val="both"/>
        <w:rPr>
          <w:rFonts w:ascii="Simplified Arabic" w:hAnsi="Simplified Arabic" w:cs="Simplified Arabic"/>
          <w:color w:val="EE0000"/>
          <w:sz w:val="28"/>
          <w:szCs w:val="28"/>
          <w:lang w:bidi="ar-EG"/>
        </w:rPr>
      </w:pPr>
      <w:r w:rsidRPr="00A25019">
        <w:rPr>
          <w:rFonts w:ascii="Simplified Arabic" w:hAnsi="Simplified Arabic" w:cs="Simplified Arabic"/>
          <w:b/>
          <w:bCs/>
          <w:color w:val="EE0000"/>
          <w:sz w:val="28"/>
          <w:szCs w:val="28"/>
          <w:rtl/>
        </w:rPr>
        <w:lastRenderedPageBreak/>
        <w:t>تكامل المنظومة الصحية مع المنظومة الإدارية</w:t>
      </w:r>
      <w:r w:rsidRPr="00A25019">
        <w:rPr>
          <w:rFonts w:ascii="Simplified Arabic" w:hAnsi="Simplified Arabic" w:cs="Simplified Arabic"/>
          <w:b/>
          <w:bCs/>
          <w:color w:val="EE0000"/>
          <w:sz w:val="28"/>
          <w:szCs w:val="28"/>
          <w:lang w:bidi="ar-EG"/>
        </w:rPr>
        <w:t>:</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بحيث تعمل فرق طب الحشود بتنسيق كامل مع فرق إدارة الحشود لضمان جاهزية النظام الصحي في مواقع التجمع ونقاط الاختناق المحتملة، مما يُقلل من زمن الاستجابة الطبية ويُحسّن مخرجات الرعاية الصحية الطارئة</w:t>
      </w:r>
      <w:r w:rsidRPr="00A25019">
        <w:rPr>
          <w:rFonts w:ascii="Simplified Arabic" w:hAnsi="Simplified Arabic" w:cs="Simplified Arabic"/>
          <w:color w:val="EE0000"/>
          <w:sz w:val="28"/>
          <w:szCs w:val="28"/>
          <w:lang w:bidi="ar-EG"/>
        </w:rPr>
        <w:t>.</w:t>
      </w:r>
    </w:p>
    <w:p w14:paraId="4DEFCD51"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ويشير الرشيدي (2024) إلى أن أهمية كفاءة إدارة الحشود في الحرمين الشريفين تتضمن</w:t>
      </w:r>
      <w:r w:rsidRPr="00A25019">
        <w:rPr>
          <w:rFonts w:ascii="Simplified Arabic" w:hAnsi="Simplified Arabic" w:cs="Simplified Arabic"/>
          <w:color w:val="EE0000"/>
          <w:sz w:val="28"/>
          <w:szCs w:val="28"/>
          <w:lang w:bidi="ar-EG"/>
        </w:rPr>
        <w:t>:</w:t>
      </w:r>
    </w:p>
    <w:p w14:paraId="03A47ED0" w14:textId="77777777" w:rsidR="00A25019" w:rsidRPr="00A25019" w:rsidRDefault="00A25019" w:rsidP="00A25019">
      <w:pPr>
        <w:numPr>
          <w:ilvl w:val="0"/>
          <w:numId w:val="37"/>
        </w:numPr>
        <w:jc w:val="both"/>
        <w:rPr>
          <w:rFonts w:ascii="Simplified Arabic" w:hAnsi="Simplified Arabic" w:cs="Simplified Arabic"/>
          <w:color w:val="EE0000"/>
          <w:sz w:val="28"/>
          <w:szCs w:val="28"/>
          <w:lang w:bidi="ar-EG"/>
        </w:rPr>
      </w:pPr>
      <w:r w:rsidRPr="00A25019">
        <w:rPr>
          <w:rFonts w:ascii="Simplified Arabic" w:hAnsi="Simplified Arabic" w:cs="Simplified Arabic"/>
          <w:b/>
          <w:bCs/>
          <w:color w:val="EE0000"/>
          <w:sz w:val="28"/>
          <w:szCs w:val="28"/>
          <w:rtl/>
        </w:rPr>
        <w:t>البعد الاستراتيجي الوطني</w:t>
      </w:r>
      <w:r w:rsidRPr="00A25019">
        <w:rPr>
          <w:rFonts w:ascii="Simplified Arabic" w:hAnsi="Simplified Arabic" w:cs="Simplified Arabic"/>
          <w:b/>
          <w:bCs/>
          <w:color w:val="EE0000"/>
          <w:sz w:val="28"/>
          <w:szCs w:val="28"/>
          <w:lang w:bidi="ar-EG"/>
        </w:rPr>
        <w:t>:</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حيث يُمثل نجاح إدارة مواسم الحج والعمرة ركيزة أساسية في تحقيق مستهدفات رؤية المملكة 2030 المتعلقة بقطاع الحج والعمرة، ويُعزز مكانة المملكة الريادية عالمياً في إدارة التجمعات الدينية الكبرى</w:t>
      </w:r>
      <w:r w:rsidRPr="00A25019">
        <w:rPr>
          <w:rFonts w:ascii="Simplified Arabic" w:hAnsi="Simplified Arabic" w:cs="Simplified Arabic"/>
          <w:color w:val="EE0000"/>
          <w:sz w:val="28"/>
          <w:szCs w:val="28"/>
          <w:lang w:bidi="ar-EG"/>
        </w:rPr>
        <w:t>.</w:t>
      </w:r>
    </w:p>
    <w:p w14:paraId="58A191A1" w14:textId="77777777" w:rsidR="00A25019" w:rsidRPr="00A25019" w:rsidRDefault="00A25019" w:rsidP="00A25019">
      <w:pPr>
        <w:numPr>
          <w:ilvl w:val="0"/>
          <w:numId w:val="37"/>
        </w:numPr>
        <w:jc w:val="both"/>
        <w:rPr>
          <w:rFonts w:ascii="Simplified Arabic" w:hAnsi="Simplified Arabic" w:cs="Simplified Arabic"/>
          <w:color w:val="EE0000"/>
          <w:sz w:val="28"/>
          <w:szCs w:val="28"/>
          <w:lang w:bidi="ar-EG"/>
        </w:rPr>
      </w:pPr>
      <w:r w:rsidRPr="00A25019">
        <w:rPr>
          <w:rFonts w:ascii="Simplified Arabic" w:hAnsi="Simplified Arabic" w:cs="Simplified Arabic"/>
          <w:b/>
          <w:bCs/>
          <w:color w:val="EE0000"/>
          <w:sz w:val="28"/>
          <w:szCs w:val="28"/>
          <w:rtl/>
        </w:rPr>
        <w:t>البعد التكنولوجي المتقدم</w:t>
      </w:r>
      <w:r w:rsidRPr="00A25019">
        <w:rPr>
          <w:rFonts w:ascii="Simplified Arabic" w:hAnsi="Simplified Arabic" w:cs="Simplified Arabic"/>
          <w:b/>
          <w:bCs/>
          <w:color w:val="EE0000"/>
          <w:sz w:val="28"/>
          <w:szCs w:val="28"/>
          <w:lang w:bidi="ar-EG"/>
        </w:rPr>
        <w:t>:</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إذ أصبح توظيف الذكاء الاصطناعي والتقنيات الذكية في التخطيط الاستراتيجي لإدارة الحشود والأزمات ضرورة لا غنى عنها لمواكبة الأعداد المتزايدة من الحجاج والمعتمرين وتحقيق مستويات أعلى من الكفاءة والسلامة</w:t>
      </w:r>
      <w:r w:rsidRPr="00A25019">
        <w:rPr>
          <w:rFonts w:ascii="Simplified Arabic" w:hAnsi="Simplified Arabic" w:cs="Simplified Arabic"/>
          <w:color w:val="EE0000"/>
          <w:sz w:val="28"/>
          <w:szCs w:val="28"/>
          <w:lang w:bidi="ar-EG"/>
        </w:rPr>
        <w:t>.</w:t>
      </w:r>
    </w:p>
    <w:p w14:paraId="495CC3CD" w14:textId="77777777" w:rsidR="00A25019" w:rsidRPr="00A25019" w:rsidRDefault="00A25019" w:rsidP="00A25019">
      <w:pPr>
        <w:numPr>
          <w:ilvl w:val="0"/>
          <w:numId w:val="37"/>
        </w:numPr>
        <w:jc w:val="both"/>
        <w:rPr>
          <w:rFonts w:ascii="Simplified Arabic" w:hAnsi="Simplified Arabic" w:cs="Simplified Arabic"/>
          <w:color w:val="EE0000"/>
          <w:sz w:val="28"/>
          <w:szCs w:val="28"/>
          <w:lang w:bidi="ar-EG"/>
        </w:rPr>
      </w:pPr>
      <w:r w:rsidRPr="00A25019">
        <w:rPr>
          <w:rFonts w:ascii="Simplified Arabic" w:hAnsi="Simplified Arabic" w:cs="Simplified Arabic"/>
          <w:b/>
          <w:bCs/>
          <w:color w:val="EE0000"/>
          <w:sz w:val="28"/>
          <w:szCs w:val="28"/>
          <w:rtl/>
        </w:rPr>
        <w:t>البعد الوقائي والاستباقي</w:t>
      </w:r>
      <w:r w:rsidRPr="00A25019">
        <w:rPr>
          <w:rFonts w:ascii="Simplified Arabic" w:hAnsi="Simplified Arabic" w:cs="Simplified Arabic"/>
          <w:b/>
          <w:bCs/>
          <w:color w:val="EE0000"/>
          <w:sz w:val="28"/>
          <w:szCs w:val="28"/>
          <w:lang w:bidi="ar-EG"/>
        </w:rPr>
        <w:t>:</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حيث تُمكّن الكفاءة في إدارة الحشود من التنبؤ بالمخاطر والتعامل معها قبل تفاقمها، بدلاً من الاكتفاء بردّ الفعل بعد وقوع الحوادث، مما يُقلل من الخسائر البشرية والمادية</w:t>
      </w:r>
      <w:r w:rsidRPr="00A25019">
        <w:rPr>
          <w:rFonts w:ascii="Simplified Arabic" w:hAnsi="Simplified Arabic" w:cs="Simplified Arabic"/>
          <w:color w:val="EE0000"/>
          <w:sz w:val="28"/>
          <w:szCs w:val="28"/>
          <w:lang w:bidi="ar-EG"/>
        </w:rPr>
        <w:t>.</w:t>
      </w:r>
    </w:p>
    <w:p w14:paraId="06D0620C"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يتبيّن أن الباحثين اتفقوا على أن كفاءة إدارة الحشود لا تمثل مجرد متطلب تشغيلي بل ضرورة حيوية متعددة المستويات، غير أنهم تباينوا في تحديد المستوى الأكثر أهمية. فالحناوي وشحاتة والشرقي (2023) أولوا الأولوية للبعد الإنساني والصحي باعتباره مسألة حياة أو موت، بينما ركّز عبدالرحيم (2024) على البعد الأمني والتنظيمي بوصفه الأساس الذي تقوم عليه بقية الأبعاد، في حين وسّع الرشيدي (2024) النطاق ليشمل الأبعاد الاستراتيجية والتكنولوجية والوقائية معاً</w:t>
      </w:r>
      <w:r w:rsidRPr="00A25019">
        <w:rPr>
          <w:rFonts w:ascii="Simplified Arabic" w:hAnsi="Simplified Arabic" w:cs="Simplified Arabic"/>
          <w:color w:val="EE0000"/>
          <w:sz w:val="28"/>
          <w:szCs w:val="28"/>
          <w:lang w:bidi="ar-EG"/>
        </w:rPr>
        <w:t>.</w:t>
      </w:r>
    </w:p>
    <w:p w14:paraId="034E2048"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rPr>
        <w:t xml:space="preserve">ويرى الباحث أن هذا التباين لا يمثل تعارضاً بل يعكس تكاملاً يدعم نموذج الدراسة الحالية. فالأهمية الإنسانية والصحية التي أبرزها الحناوي وآخرون (2023) تُؤسس للعلاقة بين كفاءة إدارة الحشود والاستدامة الاجتماعية  أحد أبعاد المتغير المستقل  حيث إن سلامة الحجاج ورفاهيتهم تمثل غاية مشتركة بينهما. والأهمية التنظيمية والأمنية التي أكدها عبدالرحيم (2024) تُبرز الحاجة إلى ممارسات استدامة مؤسسية شاملة تتجاوز التدابير الأمنية الجزئية. أما الأهمية التكنولوجية والاستباقية التي طرحها الرشيدي (2024) فتُقدّم الدعم النظري المباشر للدور الوسيط الذي تفترضه الدراسة للتكنولوجيا الذكية، إذ إن التنبؤ بالمخاطر </w:t>
      </w:r>
      <w:r w:rsidRPr="00A25019">
        <w:rPr>
          <w:rFonts w:ascii="Simplified Arabic" w:hAnsi="Simplified Arabic" w:cs="Simplified Arabic"/>
          <w:color w:val="EE0000"/>
          <w:sz w:val="28"/>
          <w:szCs w:val="28"/>
          <w:rtl/>
        </w:rPr>
        <w:lastRenderedPageBreak/>
        <w:t xml:space="preserve">واتخاذ القرارات الاستباقية المبنية على البيانات لا يتحققان إلا من خلال أنظمة مراقبة ذكية وتحليل بيانات حية وتطبيقات توجيه وتحكم، وهي الأبعاد الثلاثة للمتغير الوسيط في الدراسة الحالية. </w:t>
      </w:r>
    </w:p>
    <w:p w14:paraId="67392D4A"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t>ثالثاً: أبعاد كفاءة إدارة الحشود</w:t>
      </w:r>
    </w:p>
    <w:p w14:paraId="178B6680"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تم تحديد أبعاد كفاءة إدارة الحشود في هذه الدراسة بالاعتماد على دراسة</w:t>
      </w:r>
      <w:r w:rsidRPr="00A25019">
        <w:rPr>
          <w:rFonts w:ascii="Simplified Arabic" w:hAnsi="Simplified Arabic" w:cs="Simplified Arabic"/>
          <w:color w:val="EE0000"/>
          <w:sz w:val="28"/>
          <w:szCs w:val="28"/>
          <w:lang w:bidi="ar-EG"/>
        </w:rPr>
        <w:t xml:space="preserve"> Klatt et al. (2024) </w:t>
      </w:r>
      <w:r w:rsidRPr="00A25019">
        <w:rPr>
          <w:rFonts w:ascii="Simplified Arabic" w:hAnsi="Simplified Arabic" w:cs="Simplified Arabic"/>
          <w:color w:val="EE0000"/>
          <w:sz w:val="28"/>
          <w:szCs w:val="28"/>
          <w:rtl/>
        </w:rPr>
        <w:t>التي تناولت الاعتبارات المتعلقة بالحشود في فعاليات التجمعات الكبرى من حيث الإدارة والسلامة والديناميكيات، حيث حُددت ثلاثة أبعاد رئيسة هي: الانسيابية في الحركة، وسرعة الاستجابة، وتقليل التكدس والازدحام. ويتسق هذا التحديد مع ما أكده عبدالرحيم (2024) من تعدد فنيات واستراتيجيات إدارة الحشود والسيطرة عليها، ومع الإطار الذي قدمه</w:t>
      </w:r>
      <w:r w:rsidRPr="00A25019">
        <w:rPr>
          <w:rFonts w:ascii="Simplified Arabic" w:hAnsi="Simplified Arabic" w:cs="Simplified Arabic"/>
          <w:color w:val="EE0000"/>
          <w:sz w:val="28"/>
          <w:szCs w:val="28"/>
          <w:lang w:bidi="ar-EG"/>
        </w:rPr>
        <w:t xml:space="preserve"> Almutairi (2024) </w:t>
      </w:r>
      <w:r w:rsidRPr="00A25019">
        <w:rPr>
          <w:rFonts w:ascii="Simplified Arabic" w:hAnsi="Simplified Arabic" w:cs="Simplified Arabic"/>
          <w:color w:val="EE0000"/>
          <w:sz w:val="28"/>
          <w:szCs w:val="28"/>
          <w:rtl/>
        </w:rPr>
        <w:t xml:space="preserve">لإدارة الحشود بكفاءة باستخدام التقنيات الحديثة، فضلاً عن اتساقه مع المقاربة التحليلية التي تبناها </w:t>
      </w:r>
      <w:r w:rsidRPr="00A25019">
        <w:rPr>
          <w:rFonts w:ascii="Simplified Arabic" w:hAnsi="Simplified Arabic" w:cs="Simplified Arabic"/>
          <w:color w:val="EE0000"/>
          <w:sz w:val="28"/>
          <w:szCs w:val="28"/>
          <w:lang w:bidi="ar-EG"/>
        </w:rPr>
        <w:t xml:space="preserve">Al-Nami (2023) </w:t>
      </w:r>
      <w:r w:rsidRPr="00A25019">
        <w:rPr>
          <w:rFonts w:ascii="Simplified Arabic" w:hAnsi="Simplified Arabic" w:cs="Simplified Arabic"/>
          <w:color w:val="EE0000"/>
          <w:sz w:val="28"/>
          <w:szCs w:val="28"/>
          <w:rtl/>
        </w:rPr>
        <w:t xml:space="preserve">في تصنيف استراتيجيات إدارة الحشود لتقليل مخاطر التدافع والسحق، </w:t>
      </w:r>
    </w:p>
    <w:p w14:paraId="59E7F538"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t>البُعد الأول: الانسيابية في الحركة</w:t>
      </w:r>
    </w:p>
    <w:p w14:paraId="32B75271"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تُعد الانسيابية في الحركة البُعد الأول والأساسي من أبعاد كفاءة إدارة الحشود، وتُشير إلى قدرة المنظومة على تحقيق تدفق بشري منتظم ومتواصل دون انقطاعات أو اختناقات أو توقفات مفاجئة، بحيث ينتقل الأفراد بين المواقع المختلفة بسلاسة وأمان وضمن معدلات زمنية معقولة،وقد تناول</w:t>
      </w:r>
      <w:r w:rsidRPr="00A25019">
        <w:rPr>
          <w:rFonts w:ascii="Simplified Arabic" w:hAnsi="Simplified Arabic" w:cs="Simplified Arabic"/>
          <w:color w:val="EE0000"/>
          <w:sz w:val="28"/>
          <w:szCs w:val="28"/>
          <w:lang w:bidi="ar-EG"/>
        </w:rPr>
        <w:t xml:space="preserve"> Klatt et al. (2024) </w:t>
      </w:r>
      <w:r w:rsidRPr="00A25019">
        <w:rPr>
          <w:rFonts w:ascii="Simplified Arabic" w:hAnsi="Simplified Arabic" w:cs="Simplified Arabic"/>
          <w:color w:val="EE0000"/>
          <w:sz w:val="28"/>
          <w:szCs w:val="28"/>
          <w:rtl/>
        </w:rPr>
        <w:t xml:space="preserve">ديناميكيات الحشود في التجمعات الكبرى، مُبرزين أن انسيابية الحركة تتأثر بعوامل فيزيائية تتعلق بالبيئة المبنية كعرض الممرات وانحدار المسارات وتوزيع العوائق، وعوامل سلوكية تتعلق بنمط حركة الأفراد وسرعتهم واتجاهاتهم، وعوامل نفسية تتعلق بمستوى القلق والتوتر والإحساس بالأمان لدى المشاركين في التجمع. </w:t>
      </w:r>
    </w:p>
    <w:p w14:paraId="3DE27E82"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وقد أشار الرشيدي (2024) إلى أن الذكاء الاصطناعي يُسهم في تحسين انسيابية الحركة من خلال قدرته على تحليل أنماط التدفق في الوقت الفعلي وتحديد المسارات الأمثل وتوجيه الحشود إلكترونياً عبر الشاشات والتطبيقات الذكية، مما يُقلل من الاعتماد الحصري على التوجيه البشري المباشر الذي قد لا يكون كافياً في ظل الكثافة البشرية الهائلة، كما أبرزت عياد (2022) أن الإدارة الإلكترونية تُسهم في تحسين انسيابية الحركة من خلال أتمتة عمليات التنسيق بين الجهات المعنية وتسريع تبادل المعلومات حول حالة التدفق في المواقع المختلفة</w:t>
      </w:r>
      <w:r w:rsidRPr="00A25019">
        <w:rPr>
          <w:rFonts w:ascii="Simplified Arabic" w:hAnsi="Simplified Arabic" w:cs="Simplified Arabic"/>
          <w:color w:val="EE0000"/>
          <w:sz w:val="28"/>
          <w:szCs w:val="28"/>
          <w:lang w:bidi="ar-EG"/>
        </w:rPr>
        <w:t>.</w:t>
      </w:r>
    </w:p>
    <w:p w14:paraId="351C29AD"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lastRenderedPageBreak/>
        <w:t>البُعد الثاني: سرعة الاستجابة</w:t>
      </w:r>
    </w:p>
    <w:p w14:paraId="1477B3A2" w14:textId="77777777" w:rsidR="00A25019" w:rsidRPr="00A25019" w:rsidRDefault="00A25019" w:rsidP="00A25019">
      <w:p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يُمثل بُعد سرعة الاستجابة المكون الثاني من مكونات كفاءة إدارة الحشود، ويُشير إلى قدرة المنظومة على التفاعل الفوري والفعال مع المواقف الطارئة والتغيرات اللحظية في ظروف التجمع، بما يشمل حالات التدافع المفاجئ والحالات الصحية الطارئة والحوادث الأمنية والتغيرات المناخية الحادة وأي أحداث غير متوقعة قد تُهدد سلامة الحجاج والمعتمرين</w:t>
      </w:r>
      <w:r w:rsidRPr="00A25019">
        <w:rPr>
          <w:rFonts w:ascii="Simplified Arabic" w:hAnsi="Simplified Arabic" w:cs="Simplified Arabic"/>
          <w:color w:val="EE0000"/>
          <w:sz w:val="28"/>
          <w:szCs w:val="28"/>
          <w:rtl/>
          <w:lang w:bidi="ar-EG"/>
        </w:rPr>
        <w:t>،</w:t>
      </w:r>
      <w:r w:rsidRPr="00A25019">
        <w:rPr>
          <w:rFonts w:ascii="Simplified Arabic" w:hAnsi="Simplified Arabic" w:cs="Simplified Arabic"/>
          <w:color w:val="EE0000"/>
          <w:sz w:val="28"/>
          <w:szCs w:val="28"/>
          <w:rtl/>
        </w:rPr>
        <w:t xml:space="preserve"> وقد أبرز أحمد (2024) أن سرعة الاستجابة في إدارة الحشود أصبحت مرتبطة بشكل وثيق بقدرات الذكاء الاصطناعي في الرصد والتحليل والتنبؤ، حيث تُمكّن أنظمة المراقبة الذكية من الكشف المبكر عن المؤشرات التي تُنذر بحدوث تكدس أو تدافع قبل أن يتطور إلى أزمة حقيقية، مما يمنح صانعي القرار هامشاً زمنياً حاسماً لاتخاذ التدابير الوقائية.</w:t>
      </w:r>
    </w:p>
    <w:p w14:paraId="4F3302E6"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 xml:space="preserve">و تكتسب سرعة الاستجابة طابعاً حيوياً بالغ الخطورة، إذ إن أي تأخر في التعامل مع موقف طارئ قد يُفضي إلى تصاعد سريع في حدة الأزمة نظراً للكثافة البشرية العالية وصعوبة المناورة في الأماكن المحدودة، وقد تناول الحناوي وشحاتة والشرقي </w:t>
      </w:r>
      <w:r w:rsidRPr="00A25019">
        <w:rPr>
          <w:rFonts w:ascii="Simplified Arabic" w:hAnsi="Simplified Arabic" w:cs="Simplified Arabic"/>
          <w:color w:val="EE0000"/>
          <w:sz w:val="28"/>
          <w:szCs w:val="28"/>
          <w:lang w:bidi="ar-EG"/>
        </w:rPr>
        <w:t xml:space="preserve">(2023) </w:t>
      </w:r>
      <w:r w:rsidRPr="00A25019">
        <w:rPr>
          <w:rFonts w:ascii="Simplified Arabic" w:hAnsi="Simplified Arabic" w:cs="Simplified Arabic"/>
          <w:color w:val="EE0000"/>
          <w:sz w:val="28"/>
          <w:szCs w:val="28"/>
          <w:rtl/>
        </w:rPr>
        <w:t>هذا البُعد من زاوية طب الحشود، مؤكدين أن سرعة الوصول الطبي إلى المصابين تتوقف على كفاءة التنسيق بين فرق إدارة الحشود والفرق الطبية، وعلى توفر ممرات إسعاف مخصصة لا يُسمح للحشود بإغلاقها</w:t>
      </w:r>
      <w:r w:rsidRPr="00A25019">
        <w:rPr>
          <w:rFonts w:ascii="Simplified Arabic" w:hAnsi="Simplified Arabic" w:cs="Simplified Arabic"/>
          <w:color w:val="EE0000"/>
          <w:sz w:val="28"/>
          <w:szCs w:val="28"/>
          <w:lang w:bidi="ar-EG"/>
        </w:rPr>
        <w:t>.</w:t>
      </w:r>
    </w:p>
    <w:p w14:paraId="73032278"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وقد أشارت الفرائضي (2025) إلى أن التخطيط الاستراتيجي لتحسين الإدارة الذكية لحشود الحجاج يستلزم بناء منظومة استجابة متعددة المستويات تعمل وفق بروتوكولات واضحة ومحددة سلفاً لمختلف أنواع الطوارئ المحتملة، بحيث يعرف كل فريق دوره ومسؤولياته بدقة عند حدوث أي طارئ، كما أكد طيبة وعقيلي وخوج (2025) أن تقنيات الذكاء الاصطناعي تُسهم في تقليص زمن الاستجابة بشكل ملحوظ من خلال أتمتة عمليات الإنذار والتنبيه وتوجيه فرق التدخل إلى مواقع الحوادث بأقصر الطرق الممكنة</w:t>
      </w:r>
      <w:r w:rsidRPr="00A25019">
        <w:rPr>
          <w:rFonts w:ascii="Simplified Arabic" w:hAnsi="Simplified Arabic" w:cs="Simplified Arabic"/>
          <w:color w:val="EE0000"/>
          <w:sz w:val="28"/>
          <w:szCs w:val="28"/>
          <w:lang w:bidi="ar-EG"/>
        </w:rPr>
        <w:t>.</w:t>
      </w:r>
    </w:p>
    <w:p w14:paraId="5A4E4B88"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t>البُعد الثالث: تقليل التكدس والازدحام</w:t>
      </w:r>
    </w:p>
    <w:p w14:paraId="08B476A7"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يُشكّل تقليل التكدس والازدحام البُعد الثالث من أبعاد كفاءة إدارة الحشود، ويُشير إلى قدرة المنظومة على منع تراكم أعداد كبيرة من الأفراد في مساحات محدودة بما يتجاوز الطاقة الاستيعابية الآمنة لهذه المساحات، ومعالجة حالات التكدس فور حدوثها قبل أن تتحول إلى أزمة تُهدد السلامة، وقد تناول</w:t>
      </w:r>
      <w:r w:rsidRPr="00A25019">
        <w:rPr>
          <w:rFonts w:ascii="Simplified Arabic" w:hAnsi="Simplified Arabic" w:cs="Simplified Arabic"/>
          <w:color w:val="EE0000"/>
          <w:sz w:val="28"/>
          <w:szCs w:val="28"/>
          <w:lang w:bidi="ar-EG"/>
        </w:rPr>
        <w:t xml:space="preserve"> Al-Nami (2023) </w:t>
      </w:r>
      <w:r w:rsidRPr="00A25019">
        <w:rPr>
          <w:rFonts w:ascii="Simplified Arabic" w:hAnsi="Simplified Arabic" w:cs="Simplified Arabic"/>
          <w:color w:val="EE0000"/>
          <w:sz w:val="28"/>
          <w:szCs w:val="28"/>
          <w:rtl/>
        </w:rPr>
        <w:t xml:space="preserve">هذا البُعد بعمق حين ركّز على استراتيجيات تقليل مخاطر التدافع والسحق في البيئات المزدحمة، </w:t>
      </w:r>
      <w:r w:rsidRPr="00A25019">
        <w:rPr>
          <w:rFonts w:ascii="Simplified Arabic" w:hAnsi="Simplified Arabic" w:cs="Simplified Arabic"/>
          <w:color w:val="EE0000"/>
          <w:sz w:val="28"/>
          <w:szCs w:val="28"/>
          <w:rtl/>
        </w:rPr>
        <w:lastRenderedPageBreak/>
        <w:t>مؤكداً أن تقليل التكدس يتطلب تصنيف الاستراتيجيات المتاحة وترتيبها وفق فعاليتها واختيار المزيج الأنسب منها تبعاً لخصائص الموقع وطبيعة التجمع وحجم الحشود المتوقعة.</w:t>
      </w:r>
    </w:p>
    <w:p w14:paraId="0E389AC5"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وقد عالج عبدالرحيم (2024) هذا التحدي حين تناول فنيات السيطرة على الحشود وإدارتها، مُبرزاً أن تقليل التكدس يستلزم تضافر الجهود على مستويات متعددة تشمل التصميم الهندسي للمواقع والتخطيط الزمني للأنشطة والتوجيه الميداني والتحكم الإلكتروني في التدفقات</w:t>
      </w:r>
      <w:r w:rsidRPr="00A25019">
        <w:rPr>
          <w:rFonts w:ascii="Simplified Arabic" w:hAnsi="Simplified Arabic" w:cs="Simplified Arabic"/>
          <w:color w:val="EE0000"/>
          <w:sz w:val="28"/>
          <w:szCs w:val="28"/>
          <w:lang w:bidi="ar-EG"/>
        </w:rPr>
        <w:t>.</w:t>
      </w:r>
    </w:p>
    <w:p w14:paraId="2C963097"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وقد أوضح</w:t>
      </w:r>
      <w:r w:rsidRPr="00A25019">
        <w:rPr>
          <w:rFonts w:ascii="Simplified Arabic" w:hAnsi="Simplified Arabic" w:cs="Simplified Arabic"/>
          <w:color w:val="EE0000"/>
          <w:sz w:val="28"/>
          <w:szCs w:val="28"/>
          <w:lang w:bidi="ar-EG"/>
        </w:rPr>
        <w:t xml:space="preserve"> Almutairi et al. (2021) </w:t>
      </w:r>
      <w:r w:rsidRPr="00A25019">
        <w:rPr>
          <w:rFonts w:ascii="Simplified Arabic" w:hAnsi="Simplified Arabic" w:cs="Simplified Arabic"/>
          <w:color w:val="EE0000"/>
          <w:sz w:val="28"/>
          <w:szCs w:val="28"/>
          <w:rtl/>
        </w:rPr>
        <w:t xml:space="preserve">أن تقليل التكدس خلال جائحة كوفيد-19 استلزم تبني آليات جديدة كلياً تشمل التحكم في أعداد الحجاج المسموح لهم بالتواجد في كل موقع في الوقت نفسه، واستخدام التطبيقات الذكية لجدولة مواعيد أداء المناسك، وتوظيف الذكاء الاصطناعي في مراقبة الكثافة البشرية وإطلاق التنبيهات عند اقتراب أي موقع من طاقته الاستيعابية القصوى. </w:t>
      </w:r>
    </w:p>
    <w:p w14:paraId="18D2CD1A"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rPr>
        <w:t>كما أشار</w:t>
      </w:r>
      <w:r w:rsidRPr="00A25019">
        <w:rPr>
          <w:rFonts w:ascii="Simplified Arabic" w:hAnsi="Simplified Arabic" w:cs="Simplified Arabic"/>
          <w:color w:val="EE0000"/>
          <w:sz w:val="28"/>
          <w:szCs w:val="28"/>
          <w:lang w:bidi="ar-EG"/>
        </w:rPr>
        <w:t xml:space="preserve"> Kanaujiya and Tiwari (2022) </w:t>
      </w:r>
      <w:r w:rsidRPr="00A25019">
        <w:rPr>
          <w:rFonts w:ascii="Simplified Arabic" w:hAnsi="Simplified Arabic" w:cs="Simplified Arabic"/>
          <w:color w:val="EE0000"/>
          <w:sz w:val="28"/>
          <w:szCs w:val="28"/>
          <w:rtl/>
        </w:rPr>
        <w:t>إلى أن تقليل التكدس في التجمعات الدينية الكبرى يتطلب منظومة مراقبة شاملة تجمع بين الوسائل التقليدية كنقاط المراقبة الثابتة والأبراج المرتفعة، والوسائل التكنولوجية الحديثة ككاميرات المراقبة الذكية وأجهزة الاستشعار وتحليل بيانات الهواتف المحمولة، بما يُتيح رسم خريطة كثافة آنية شاملة لجميع مواقع التجمع واتخاذ قرارات توزيع وتحويل مبنية على بيانات فعلية</w:t>
      </w:r>
      <w:r w:rsidRPr="00A25019">
        <w:rPr>
          <w:rFonts w:ascii="Simplified Arabic" w:hAnsi="Simplified Arabic" w:cs="Simplified Arabic"/>
          <w:color w:val="EE0000"/>
          <w:sz w:val="28"/>
          <w:szCs w:val="28"/>
          <w:lang w:bidi="ar-EG"/>
        </w:rPr>
        <w:t>.</w:t>
      </w:r>
    </w:p>
    <w:p w14:paraId="6A13136B" w14:textId="77777777" w:rsidR="00A25019" w:rsidRPr="00A25019" w:rsidRDefault="00A25019" w:rsidP="00A25019">
      <w:p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يكشف التحليل المقارن للأبعاد الثلاثة أنها لا تعمل كمكوّنات مستقلة بل كمنظومة تفاعلية ذات تغذية راجعة متبادلة؛ فالاستدامة البيئية حين تُقلّل استهلاك المياه والطاقة وتُحسّن إدارة النفايات في المشاعر المقدسة فإنها تخفض تكاليف التشغيل بصورة مباشرة، وهو ما يُغذّي البعد الاقتصادي ويُتيح إعادة توجيه الوفورات المالية نحو تطوير البنية التحتية والخدمات، وهذا بدوره يصبّ في البعد الاجتماعي عبر تحسين جودة الخدمات المقدّمة للحجاج وتعزيز سلامتهم. غير أن الأدبيات المستعرَضة تكشف عن خلل في التوازن البحثي بين هذه الأبعاد؛ إذ حظي البعد البيئي بالنصيب الأكبر من الاهتمام الأكاديمي (</w:t>
      </w:r>
      <w:r w:rsidRPr="00A25019">
        <w:rPr>
          <w:rFonts w:ascii="Simplified Arabic" w:hAnsi="Simplified Arabic" w:cs="Simplified Arabic"/>
          <w:color w:val="EE0000"/>
          <w:sz w:val="28"/>
          <w:szCs w:val="28"/>
        </w:rPr>
        <w:t>Osra et al. 2021</w:t>
      </w:r>
      <w:r w:rsidRPr="00A25019">
        <w:rPr>
          <w:rFonts w:ascii="Simplified Arabic" w:hAnsi="Simplified Arabic" w:cs="Simplified Arabic"/>
          <w:color w:val="EE0000"/>
          <w:sz w:val="28"/>
          <w:szCs w:val="28"/>
          <w:rtl/>
        </w:rPr>
        <w:t xml:space="preserve">؛ علي 2021؛ </w:t>
      </w:r>
      <w:r w:rsidRPr="00A25019">
        <w:rPr>
          <w:rFonts w:ascii="Simplified Arabic" w:hAnsi="Simplified Arabic" w:cs="Simplified Arabic"/>
          <w:color w:val="EE0000"/>
          <w:sz w:val="28"/>
          <w:szCs w:val="28"/>
        </w:rPr>
        <w:t>Aivazidou et al. 2021</w:t>
      </w:r>
      <w:r w:rsidRPr="00A25019">
        <w:rPr>
          <w:rFonts w:ascii="Simplified Arabic" w:hAnsi="Simplified Arabic" w:cs="Simplified Arabic"/>
          <w:color w:val="EE0000"/>
          <w:sz w:val="28"/>
          <w:szCs w:val="28"/>
          <w:rtl/>
        </w:rPr>
        <w:t>) نظراً لقابليته للقياس الكمّي عبر مؤشرات واضحة كمعدلات الانبعاثات وحجم النفايات، بينما ظلّ البعد الاجتماعي أقل دراسةً رغم ارتباطه المباشر بكفاءة إدارة الحشود من حيث الانسيابية وسرعة الاستجابة وتقليل التكدس، وهي الأبعاد الثلاثة للمتغيّر التابع في الدراسة الحالية. هذا التفاوت يُمثّل فجوة منهجية تسعى الدراسة إلى معالجتها عبر قياس تأثير كل بُعد من أبعاد الاستدامة على كل بُعد من أبعاد كفاءة إدارة الحشود بصورة منفصلة ومجتمعة.</w:t>
      </w:r>
    </w:p>
    <w:p w14:paraId="78DCD9D1" w14:textId="77777777" w:rsidR="00A25019" w:rsidRPr="00A25019" w:rsidRDefault="00A25019" w:rsidP="00A25019">
      <w:pPr>
        <w:jc w:val="center"/>
        <w:rPr>
          <w:rFonts w:ascii="Simplified Arabic" w:hAnsi="Simplified Arabic" w:cs="Simplified Arabic"/>
          <w:b/>
          <w:bCs/>
          <w:color w:val="EE0000"/>
          <w:sz w:val="28"/>
          <w:szCs w:val="28"/>
          <w:rtl/>
        </w:rPr>
      </w:pPr>
      <w:r w:rsidRPr="00A25019">
        <w:rPr>
          <w:rFonts w:ascii="Simplified Arabic" w:hAnsi="Simplified Arabic" w:cs="Simplified Arabic"/>
          <w:b/>
          <w:bCs/>
          <w:color w:val="EE0000"/>
          <w:sz w:val="28"/>
          <w:szCs w:val="28"/>
          <w:rtl/>
        </w:rPr>
        <w:lastRenderedPageBreak/>
        <w:t>المبحث الثالث: التكنولوجيا الذكية</w:t>
      </w:r>
    </w:p>
    <w:p w14:paraId="4B9D20FC" w14:textId="77777777" w:rsidR="00A25019" w:rsidRPr="00A25019" w:rsidRDefault="00A25019" w:rsidP="00A25019">
      <w:pPr>
        <w:jc w:val="both"/>
        <w:rPr>
          <w:rFonts w:ascii="Simplified Arabic" w:hAnsi="Simplified Arabic" w:cs="Simplified Arabic"/>
          <w:b/>
          <w:bCs/>
          <w:color w:val="EE0000"/>
          <w:sz w:val="28"/>
          <w:szCs w:val="28"/>
          <w:lang w:bidi="ar-EG"/>
        </w:rPr>
      </w:pPr>
    </w:p>
    <w:p w14:paraId="66073956"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t>تمهيد</w:t>
      </w:r>
    </w:p>
    <w:p w14:paraId="3E2F979F" w14:textId="77777777" w:rsidR="00A25019" w:rsidRPr="00A25019" w:rsidRDefault="00A25019" w:rsidP="00A25019">
      <w:p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 xml:space="preserve">شهد العقد الأخير تحوّلاً جذرياً في طريقة تفاعل المنظّمات مع بيئاتها الداخلية والخارجية، إذ لم يعد الحديث عن التكنولوجيا مقتصراً على أدوات تشغيلية تُؤدّي وظائف محدّدة، بل امتدّ ليشمل منظومات ذكية قادرة على الإدراك والتحليل والتعلّم واتّخاذ القرار بشكل شبه مستقلّ. وقد أضحت التكنولوجيا الذكية رافعة أساسية في القطاعات الخدمية والصناعية على حدّ سواء، وباتت تحتلّ موقعاً محورياً في السياقات التي تتطلّب إدارة تدفّقات بشرية كثيفة وعمليات معقّدة ومتزامنة، كما هو الحال في منظومة الحج والعمرة. </w:t>
      </w:r>
    </w:p>
    <w:p w14:paraId="42D88082"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rPr>
        <w:t>ويُعالج هذا المبحث التكنولوجيا الذكية بوصفها المتغيّر الوسيط في نموذج الدراسة الحالية، أي الآلية التي يُفترض أنها تنقل أثر ممارسات الاستدامة إلى كفاءة إدارة الحشود، وذلك من خلال استعراض مفهومها وأهميتها وأهدافها وأبعادها والمداخل النظرية المفسّرة لها ومتطلّبات تطبيقها وتحدّياتها وعلاقتها بمنظومة الحج والعمرة في ضوء رؤية المملكة العربية السعودية 2030</w:t>
      </w:r>
      <w:r w:rsidRPr="00A25019">
        <w:rPr>
          <w:rFonts w:ascii="Simplified Arabic" w:hAnsi="Simplified Arabic" w:cs="Simplified Arabic"/>
          <w:color w:val="EE0000"/>
          <w:sz w:val="28"/>
          <w:szCs w:val="28"/>
          <w:lang w:bidi="ar-EG"/>
        </w:rPr>
        <w:t>.</w:t>
      </w:r>
    </w:p>
    <w:p w14:paraId="06C6DB97" w14:textId="77777777" w:rsidR="00A25019" w:rsidRPr="00A25019" w:rsidRDefault="00A25019" w:rsidP="00A25019">
      <w:pPr>
        <w:jc w:val="both"/>
        <w:rPr>
          <w:rFonts w:ascii="Simplified Arabic" w:hAnsi="Simplified Arabic" w:cs="Simplified Arabic"/>
          <w:b/>
          <w:bCs/>
          <w:color w:val="EE0000"/>
          <w:sz w:val="28"/>
          <w:szCs w:val="28"/>
          <w:rtl/>
          <w:lang w:bidi="ar-EG"/>
        </w:rPr>
      </w:pPr>
      <w:r w:rsidRPr="00A25019">
        <w:rPr>
          <w:rFonts w:ascii="Simplified Arabic" w:hAnsi="Simplified Arabic" w:cs="Simplified Arabic"/>
          <w:b/>
          <w:bCs/>
          <w:color w:val="EE0000"/>
          <w:sz w:val="28"/>
          <w:szCs w:val="28"/>
          <w:rtl/>
        </w:rPr>
        <w:t>أولاً: مفهوم التكنولوجيا الذكية</w:t>
      </w:r>
    </w:p>
    <w:p w14:paraId="15E2D399"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حظي مفهوم التكنولوجيا الذكية باهتمام بحثي متصاعد خلال السنوات الأخيرة، غير أن تعريفه لم يستقرّ على صيغة واحدة نظراً لتشعّب المجالات التي يُطبَّق فيها وتعدّد الأبعاد التي ينطوي عليها</w:t>
      </w:r>
      <w:r w:rsidRPr="00A25019">
        <w:rPr>
          <w:rFonts w:ascii="Simplified Arabic" w:hAnsi="Simplified Arabic" w:cs="Simplified Arabic"/>
          <w:color w:val="EE0000"/>
          <w:sz w:val="28"/>
          <w:szCs w:val="28"/>
          <w:rtl/>
          <w:lang w:bidi="ar-EG"/>
        </w:rPr>
        <w:t xml:space="preserve">، </w:t>
      </w:r>
      <w:r w:rsidRPr="00A25019">
        <w:rPr>
          <w:rFonts w:ascii="Simplified Arabic" w:hAnsi="Simplified Arabic" w:cs="Simplified Arabic"/>
          <w:color w:val="EE0000"/>
          <w:sz w:val="28"/>
          <w:szCs w:val="28"/>
          <w:rtl/>
        </w:rPr>
        <w:t>وقد أسهم عدد من الباحثين في بناء إطار مفاهيمي يُحدّد ملامح هذا المفهوم ويُميّزه عن المفاهيم المجاورة كتكنولوجيا المعلومات التقليدية والرقمنة والأتمتة، وفيما يلي عرض لأبرز هذه التعريفات وتحليل لمكوّناتها</w:t>
      </w:r>
      <w:r w:rsidRPr="00A25019">
        <w:rPr>
          <w:rFonts w:ascii="Simplified Arabic" w:hAnsi="Simplified Arabic" w:cs="Simplified Arabic"/>
          <w:color w:val="EE0000"/>
          <w:sz w:val="28"/>
          <w:szCs w:val="28"/>
          <w:lang w:bidi="ar-EG"/>
        </w:rPr>
        <w:t>.</w:t>
      </w:r>
    </w:p>
    <w:p w14:paraId="39DC60B6"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عرّف</w:t>
      </w:r>
      <w:r w:rsidRPr="00A25019">
        <w:rPr>
          <w:rFonts w:ascii="Simplified Arabic" w:hAnsi="Simplified Arabic" w:cs="Simplified Arabic"/>
          <w:color w:val="EE0000"/>
          <w:sz w:val="28"/>
          <w:szCs w:val="28"/>
          <w:lang w:bidi="ar-EG"/>
        </w:rPr>
        <w:t xml:space="preserve"> Mahmood (2024) </w:t>
      </w:r>
      <w:r w:rsidRPr="00A25019">
        <w:rPr>
          <w:rFonts w:ascii="Simplified Arabic" w:hAnsi="Simplified Arabic" w:cs="Simplified Arabic"/>
          <w:color w:val="EE0000"/>
          <w:sz w:val="28"/>
          <w:szCs w:val="28"/>
          <w:rtl/>
        </w:rPr>
        <w:t xml:space="preserve">التكنولوجيا الذكية بأنها </w:t>
      </w:r>
      <w:r w:rsidRPr="00A25019">
        <w:rPr>
          <w:rFonts w:ascii="Simplified Arabic" w:hAnsi="Simplified Arabic" w:cs="Simplified Arabic"/>
          <w:color w:val="EE0000"/>
          <w:sz w:val="28"/>
          <w:szCs w:val="28"/>
          <w:lang w:bidi="ar-EG"/>
        </w:rPr>
        <w:t>"</w:t>
      </w:r>
      <w:r w:rsidRPr="00A25019">
        <w:rPr>
          <w:rFonts w:ascii="Simplified Arabic" w:hAnsi="Simplified Arabic" w:cs="Simplified Arabic"/>
          <w:color w:val="EE0000"/>
          <w:sz w:val="28"/>
          <w:szCs w:val="28"/>
          <w:rtl/>
        </w:rPr>
        <w:t xml:space="preserve">تكامل بين الذكاء الاصطناعي وإنترنت الأشياء والتحليلات المتقدّمة للبيانات والحوسبة السحابية، بحيث تعمل هذه المكوّنات معاً في منظومة واحدة قادرة على جمع البيانات من مصادر متعدّدة ومعالجتها في زمن فعلي واستخلاص أنماط واتّخاذ قرارات أو تقديم توصيات دون الحاجة إلى تدخّل بشري مباشر في كل مرحلة". </w:t>
      </w:r>
    </w:p>
    <w:p w14:paraId="5676EE92"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lastRenderedPageBreak/>
        <w:t>و عرّف</w:t>
      </w:r>
      <w:r w:rsidRPr="00A25019">
        <w:rPr>
          <w:rFonts w:ascii="Simplified Arabic" w:hAnsi="Simplified Arabic" w:cs="Simplified Arabic"/>
          <w:color w:val="EE0000"/>
          <w:sz w:val="28"/>
          <w:szCs w:val="28"/>
          <w:lang w:bidi="ar-EG"/>
        </w:rPr>
        <w:t xml:space="preserve"> Popova et al. (2023) </w:t>
      </w:r>
      <w:r w:rsidRPr="00A25019">
        <w:rPr>
          <w:rFonts w:ascii="Simplified Arabic" w:hAnsi="Simplified Arabic" w:cs="Simplified Arabic"/>
          <w:color w:val="EE0000"/>
          <w:sz w:val="28"/>
          <w:szCs w:val="28"/>
          <w:rtl/>
        </w:rPr>
        <w:t xml:space="preserve">التكنولوجيا الذكية بأنها "أنظمة فيزيائية-سيبرانية تدمج تكنولوجيا المعلومات والاتصالات في العمليات المادية للمنظّمة، بحيث تُصبح البيانات المتولّدة من هذه العمليات مُدخلاً لاتّخاذ قرارات تلقائية أو شبه تلقائية تُحسّن الأداء الاقتصادي والبيئي والاجتماعي". </w:t>
      </w:r>
    </w:p>
    <w:p w14:paraId="2BAB49AE"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 xml:space="preserve">و عرّف هاشم وعبد السادة </w:t>
      </w:r>
      <w:r w:rsidRPr="00A25019">
        <w:rPr>
          <w:rFonts w:ascii="Simplified Arabic" w:hAnsi="Simplified Arabic" w:cs="Simplified Arabic"/>
          <w:color w:val="EE0000"/>
          <w:sz w:val="28"/>
          <w:szCs w:val="28"/>
          <w:lang w:bidi="ar-EG"/>
        </w:rPr>
        <w:t xml:space="preserve">(2023) </w:t>
      </w:r>
      <w:r w:rsidRPr="00A25019">
        <w:rPr>
          <w:rFonts w:ascii="Simplified Arabic" w:hAnsi="Simplified Arabic" w:cs="Simplified Arabic"/>
          <w:color w:val="EE0000"/>
          <w:sz w:val="28"/>
          <w:szCs w:val="28"/>
          <w:rtl/>
        </w:rPr>
        <w:t>تكنولوجيا الاتصال التي تُشكّل البنية التحتية للتكنولوجيا الذكية بأنها "المنظومة التقنية المتطوّرة التي تشمل الأقمار الصناعية والألياف الضوئية والحاسبات الإلكترونية وشبكات الاتصال المتنقّلة، والتي توفّر قنوات نقل فائقة السرعة تُتيح تبادل البيانات وتحليلها في أيّ مكان وزمان</w:t>
      </w:r>
      <w:r w:rsidRPr="00A25019">
        <w:rPr>
          <w:rFonts w:ascii="Simplified Arabic" w:hAnsi="Simplified Arabic" w:cs="Simplified Arabic"/>
          <w:color w:val="EE0000"/>
          <w:sz w:val="28"/>
          <w:szCs w:val="28"/>
          <w:lang w:bidi="ar-EG"/>
        </w:rPr>
        <w:t xml:space="preserve">". </w:t>
      </w:r>
    </w:p>
    <w:p w14:paraId="65366E9A"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وقد عرّفت صالحي (2021) التكنولوجيا الذكية من زاوية القوة والأمن بوصفها "مجموعة القدرات التقنية المتقدّمة التي تُمكّن الدول والمنظّمات من التحكّم في فضائها الإلكتروني واستثمار إمكاناته وحماية بنيته التحتية الرقمية"، ما يعني أن مفهوم التكنولوجيا الذكية لا ينفصل عن البنية الأمنية السيبرانية التي تضمن سلامة البيانات واستمرارية عمل الأنظمة</w:t>
      </w:r>
      <w:r w:rsidRPr="00A25019">
        <w:rPr>
          <w:rFonts w:ascii="Simplified Arabic" w:hAnsi="Simplified Arabic" w:cs="Simplified Arabic"/>
          <w:color w:val="EE0000"/>
          <w:sz w:val="28"/>
          <w:szCs w:val="28"/>
          <w:lang w:bidi="ar-EG"/>
        </w:rPr>
        <w:t>.</w:t>
      </w:r>
    </w:p>
    <w:p w14:paraId="743DF457"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 xml:space="preserve">كذلك عرّف الرشيدي (2024) التكنولوجيا الذكية في منظومة الحرمين الشريفين بأنها "تطبيقات الذكاء الاصطناعي التي تُمكّن من التخطيط الاستراتيجي لإدارة الحشود والأزمات، بحيث تتحوّل عملية الإدارة من ردّ فعل لاحق إلى استباق مبنيّ على التنبّؤ والتحليل". </w:t>
      </w:r>
    </w:p>
    <w:p w14:paraId="07D3AB1D"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 xml:space="preserve">وقد عرّف طيبة وعقيلي وخوج (2025) التكنولوجيا الذكية إجرائياً بأنها "مجموعة الأنظمة والتطبيقات التقنية المتقدّمة التي تستخدمها الجهات المسؤولة عن إدارة الحشود لرصد الكثافات وتوجيه التدفّقات واتّخاذ قرارات فورية بناءً على بيانات ميدانية حيّة". </w:t>
      </w:r>
    </w:p>
    <w:p w14:paraId="5E58349A"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 xml:space="preserve">و عرّفت عياد </w:t>
      </w:r>
      <w:r w:rsidRPr="00A25019">
        <w:rPr>
          <w:rFonts w:ascii="Simplified Arabic" w:hAnsi="Simplified Arabic" w:cs="Simplified Arabic"/>
          <w:color w:val="EE0000"/>
          <w:sz w:val="28"/>
          <w:szCs w:val="28"/>
          <w:lang w:bidi="ar-EG"/>
        </w:rPr>
        <w:t xml:space="preserve">(2022) </w:t>
      </w:r>
      <w:r w:rsidRPr="00A25019">
        <w:rPr>
          <w:rFonts w:ascii="Simplified Arabic" w:hAnsi="Simplified Arabic" w:cs="Simplified Arabic"/>
          <w:color w:val="EE0000"/>
          <w:sz w:val="28"/>
          <w:szCs w:val="28"/>
          <w:rtl/>
        </w:rPr>
        <w:t>التكنولوجيا الذكية في منظومة الحج والعمرة بأنها "المنظومة الرقمية الشاملة التي تتضمّن التخطيط الرقمي والتنظيم الرقمي والإرشاد الرقمي والمراقبة الرقمية، وهي وظائف إدارية تقليدية أُعيد تشكيلها بفضل التقنيات الحديثة لتعمل بكفاءة أعلى وسرعة أكبر وتنسيق أفضل بين الجهات المتعدّدة</w:t>
      </w:r>
      <w:r w:rsidRPr="00A25019">
        <w:rPr>
          <w:rFonts w:ascii="Simplified Arabic" w:hAnsi="Simplified Arabic" w:cs="Simplified Arabic"/>
          <w:color w:val="EE0000"/>
          <w:sz w:val="28"/>
          <w:szCs w:val="28"/>
          <w:lang w:bidi="ar-EG"/>
        </w:rPr>
        <w:t xml:space="preserve">". </w:t>
      </w:r>
    </w:p>
    <w:p w14:paraId="78E6D334"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يكشف التحليل المقارن للتعريفات المستعرَضة أنها تتوزّع على ثلاثة اتجاهات نظرية متمايزة: اتجاه تقني-بنيوي يُعرّف التكنولوجيا الذكية انطلاقاً من مكوّناتها المادية والرقمية كتكامل الذكاء الاصطناعي وإنترنت الأشياء والحوسبة السحابية والبنية التحتية للاتصالات (</w:t>
      </w:r>
      <w:r w:rsidRPr="00A25019">
        <w:rPr>
          <w:rFonts w:ascii="Simplified Arabic" w:hAnsi="Simplified Arabic" w:cs="Simplified Arabic"/>
          <w:color w:val="EE0000"/>
          <w:sz w:val="28"/>
          <w:szCs w:val="28"/>
        </w:rPr>
        <w:t>Mahmood 2024</w:t>
      </w:r>
      <w:r w:rsidRPr="00A25019">
        <w:rPr>
          <w:rFonts w:ascii="Simplified Arabic" w:hAnsi="Simplified Arabic" w:cs="Simplified Arabic"/>
          <w:color w:val="EE0000"/>
          <w:sz w:val="28"/>
          <w:szCs w:val="28"/>
          <w:rtl/>
        </w:rPr>
        <w:t xml:space="preserve">؛ هاشم وعبد السادة 2023؛ صالحي 2021)، واتجاه وظيفي-تطبيقي ينقل التركيز إلى ما تؤدّيه التكنولوجيا من وظائف في سياق محدّد كالرصد الآني والتوجيه والاستباق واتخاذ القرار الفوري في إدارة الحشود (أحمد 2024؛ الرشيدي </w:t>
      </w:r>
      <w:r w:rsidRPr="00A25019">
        <w:rPr>
          <w:rFonts w:ascii="Simplified Arabic" w:hAnsi="Simplified Arabic" w:cs="Simplified Arabic"/>
          <w:color w:val="EE0000"/>
          <w:sz w:val="28"/>
          <w:szCs w:val="28"/>
          <w:rtl/>
        </w:rPr>
        <w:lastRenderedPageBreak/>
        <w:t>2024؛ طيبة وعقيلي وخوج 2025؛ عياد 2022)، واتجاه تكاملي-استراتيجي يتجاوز المكوّنات والوظائف ليضع التكنولوجيا في موقع وسيط يربط مدخلات مؤسسية بمخرجات أدائية عبر تحويل البيانات إلى معرفة قابلة للتطبيق وتحسين الأداء الاقتصادي والبيئي والاجتماعي في آنٍ واحد (</w:t>
      </w:r>
      <w:r w:rsidRPr="00A25019">
        <w:rPr>
          <w:rFonts w:ascii="Simplified Arabic" w:hAnsi="Simplified Arabic" w:cs="Simplified Arabic"/>
          <w:color w:val="EE0000"/>
          <w:sz w:val="28"/>
          <w:szCs w:val="28"/>
        </w:rPr>
        <w:t>Popova et al. 2023</w:t>
      </w:r>
      <w:r w:rsidRPr="00A25019">
        <w:rPr>
          <w:rFonts w:ascii="Simplified Arabic" w:hAnsi="Simplified Arabic" w:cs="Simplified Arabic"/>
          <w:color w:val="EE0000"/>
          <w:sz w:val="28"/>
          <w:szCs w:val="28"/>
          <w:rtl/>
        </w:rPr>
        <w:t xml:space="preserve">؛ </w:t>
      </w:r>
      <w:r w:rsidRPr="00A25019">
        <w:rPr>
          <w:rFonts w:ascii="Simplified Arabic" w:hAnsi="Simplified Arabic" w:cs="Simplified Arabic"/>
          <w:color w:val="EE0000"/>
          <w:sz w:val="28"/>
          <w:szCs w:val="28"/>
        </w:rPr>
        <w:t>Lee et al. 2023</w:t>
      </w:r>
      <w:r w:rsidRPr="00A25019">
        <w:rPr>
          <w:rFonts w:ascii="Simplified Arabic" w:hAnsi="Simplified Arabic" w:cs="Simplified Arabic"/>
          <w:color w:val="EE0000"/>
          <w:sz w:val="28"/>
          <w:szCs w:val="28"/>
          <w:rtl/>
        </w:rPr>
        <w:t xml:space="preserve">؛ </w:t>
      </w:r>
      <w:r w:rsidRPr="00A25019">
        <w:rPr>
          <w:rFonts w:ascii="Simplified Arabic" w:hAnsi="Simplified Arabic" w:cs="Simplified Arabic"/>
          <w:color w:val="EE0000"/>
          <w:sz w:val="28"/>
          <w:szCs w:val="28"/>
        </w:rPr>
        <w:t>Mahmoud et al. 2025</w:t>
      </w:r>
      <w:r w:rsidRPr="00A25019">
        <w:rPr>
          <w:rFonts w:ascii="Simplified Arabic" w:hAnsi="Simplified Arabic" w:cs="Simplified Arabic"/>
          <w:color w:val="EE0000"/>
          <w:sz w:val="28"/>
          <w:szCs w:val="28"/>
          <w:rtl/>
        </w:rPr>
        <w:t xml:space="preserve">؛ </w:t>
      </w:r>
      <w:r w:rsidRPr="00A25019">
        <w:rPr>
          <w:rFonts w:ascii="Simplified Arabic" w:hAnsi="Simplified Arabic" w:cs="Simplified Arabic"/>
          <w:color w:val="EE0000"/>
          <w:sz w:val="28"/>
          <w:szCs w:val="28"/>
        </w:rPr>
        <w:t>Zhang &amp; Deng 2024</w:t>
      </w:r>
      <w:r w:rsidRPr="00A25019">
        <w:rPr>
          <w:rFonts w:ascii="Simplified Arabic" w:hAnsi="Simplified Arabic" w:cs="Simplified Arabic"/>
          <w:color w:val="EE0000"/>
          <w:sz w:val="28"/>
          <w:szCs w:val="28"/>
          <w:rtl/>
        </w:rPr>
        <w:t xml:space="preserve">؛ </w:t>
      </w:r>
      <w:r w:rsidRPr="00A25019">
        <w:rPr>
          <w:rFonts w:ascii="Simplified Arabic" w:hAnsi="Simplified Arabic" w:cs="Simplified Arabic"/>
          <w:color w:val="EE0000"/>
          <w:sz w:val="28"/>
          <w:szCs w:val="28"/>
        </w:rPr>
        <w:t>Ullah et al. 2023</w:t>
      </w:r>
      <w:r w:rsidRPr="00A25019">
        <w:rPr>
          <w:rFonts w:ascii="Simplified Arabic" w:hAnsi="Simplified Arabic" w:cs="Simplified Arabic"/>
          <w:color w:val="EE0000"/>
          <w:sz w:val="28"/>
          <w:szCs w:val="28"/>
          <w:rtl/>
        </w:rPr>
        <w:t>). يُقدّم كل اتجاه من الاتجاهات الثلاثة إسهاماً نظرياً مهماً، غير أن لكلٍّ منها قصوراً يلزم استيعابه لتحديد موقف الدراسة بدقة. فالاتجاه التقني-البنيوي يتفوّق في تحديد المكونات المادية التي تقوم عليها التكنولوجيا الذكية، لكنه يقع في فخ "الحتمية التقنية" بافتراضه أن مجرد توافر هذه المكونات يُحقق الذكاء، متجاهلاً أن الذكاء وظيفة في السياق وليس خاصية في الأجهزة. والاتجاه الوظيفي-التطبيقي يُصحّح هذا القصور بتركيزه على ما تؤدّيه التكنولوجيا في سياق محدد، إلا أنه يُخاطر بالتشظّي إذ يُعرّف التكنولوجيا الذكية في كل قطاع تعريفاً مختلفاً يصعب التوحيد بينها. أما الاتجاه التكاملي-الاستراتيجي فيتجاوز هذين القصورين بربطه التكنولوجيا الذكية بمدخلات ومخرجات منظومية، غير أنه قد يُعطي انطباعاً بأن التكنولوجيا "محايدة" تنقل أثر الاستدامة دون أن تُضيف هي ذاتها قيمة جديدة</w:t>
      </w:r>
      <w:r w:rsidRPr="00A25019">
        <w:rPr>
          <w:rFonts w:ascii="Simplified Arabic" w:hAnsi="Simplified Arabic" w:cs="Simplified Arabic"/>
          <w:color w:val="EE0000"/>
          <w:sz w:val="28"/>
          <w:szCs w:val="28"/>
        </w:rPr>
        <w:t>.</w:t>
      </w:r>
    </w:p>
    <w:p w14:paraId="4A417B3C"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 xml:space="preserve">وتتبنّى الدراسة الحالية الاتجاه الثالث مع تحفّظ نظري مهم: فالتكنولوجيا الذكية في النموذج المُقترح ليست مجرد ناقل سلبي لأثر الاستدامة، بل هي </w:t>
      </w:r>
      <w:r w:rsidRPr="00A25019">
        <w:rPr>
          <w:rFonts w:ascii="Simplified Arabic" w:hAnsi="Simplified Arabic" w:cs="Simplified Arabic"/>
          <w:b/>
          <w:bCs/>
          <w:color w:val="EE0000"/>
          <w:sz w:val="28"/>
          <w:szCs w:val="28"/>
          <w:rtl/>
        </w:rPr>
        <w:t>آلية تحويل</w:t>
      </w:r>
      <w:r w:rsidRPr="00A25019">
        <w:rPr>
          <w:rFonts w:ascii="Simplified Arabic" w:hAnsi="Simplified Arabic" w:cs="Simplified Arabic"/>
          <w:b/>
          <w:bCs/>
          <w:color w:val="EE0000"/>
          <w:sz w:val="28"/>
          <w:szCs w:val="28"/>
        </w:rPr>
        <w:t xml:space="preserve"> (Transformation Mechanism)</w:t>
      </w:r>
      <w:r w:rsidRPr="00A25019">
        <w:rPr>
          <w:rFonts w:ascii="Simplified Arabic" w:hAnsi="Simplified Arabic" w:cs="Simplified Arabic"/>
          <w:color w:val="EE0000"/>
          <w:sz w:val="28"/>
          <w:szCs w:val="28"/>
        </w:rPr>
        <w:t xml:space="preserve"> </w:t>
      </w:r>
      <w:r w:rsidRPr="00A25019">
        <w:rPr>
          <w:rFonts w:ascii="Simplified Arabic" w:hAnsi="Simplified Arabic" w:cs="Simplified Arabic"/>
          <w:color w:val="EE0000"/>
          <w:sz w:val="28"/>
          <w:szCs w:val="28"/>
          <w:rtl/>
        </w:rPr>
        <w:t>تُضيف قيمة من خلال إعادة تشكيل المعطيات المؤسسية وتحويلها إلى قرارات استباقية، وهذا ما يُبرّر تسميتها متغيراً وسيطاً</w:t>
      </w:r>
      <w:r w:rsidRPr="00A25019">
        <w:rPr>
          <w:rFonts w:ascii="Simplified Arabic" w:hAnsi="Simplified Arabic" w:cs="Simplified Arabic"/>
          <w:color w:val="EE0000"/>
          <w:sz w:val="28"/>
          <w:szCs w:val="28"/>
        </w:rPr>
        <w:t xml:space="preserve"> (Mediator) </w:t>
      </w:r>
      <w:r w:rsidRPr="00A25019">
        <w:rPr>
          <w:rFonts w:ascii="Simplified Arabic" w:hAnsi="Simplified Arabic" w:cs="Simplified Arabic"/>
          <w:color w:val="EE0000"/>
          <w:sz w:val="28"/>
          <w:szCs w:val="28"/>
          <w:rtl/>
        </w:rPr>
        <w:t>لا متغيراً معدلاً</w:t>
      </w:r>
      <w:r w:rsidRPr="00A25019">
        <w:rPr>
          <w:rFonts w:ascii="Simplified Arabic" w:hAnsi="Simplified Arabic" w:cs="Simplified Arabic"/>
          <w:color w:val="EE0000"/>
          <w:sz w:val="28"/>
          <w:szCs w:val="28"/>
        </w:rPr>
        <w:t xml:space="preserve"> (Moderator) </w:t>
      </w:r>
      <w:r w:rsidRPr="00A25019">
        <w:rPr>
          <w:rFonts w:ascii="Simplified Arabic" w:hAnsi="Simplified Arabic" w:cs="Simplified Arabic"/>
          <w:color w:val="EE0000"/>
          <w:sz w:val="28"/>
          <w:szCs w:val="28"/>
          <w:rtl/>
        </w:rPr>
        <w:t>ولا متغيراً مستقلاً ثانياً، وهو ما يتسق تماماً مع الافتراض الثالث لنظرية النظم السوسيوتقنية حول دور النظام التقني كآلية وساطة بين النظام الاجتماعي والمخرجات</w:t>
      </w:r>
      <w:r w:rsidRPr="00A25019">
        <w:rPr>
          <w:rFonts w:ascii="Simplified Arabic" w:hAnsi="Simplified Arabic" w:cs="Simplified Arabic"/>
          <w:color w:val="EE0000"/>
          <w:sz w:val="28"/>
          <w:szCs w:val="28"/>
        </w:rPr>
        <w:t>.</w:t>
      </w:r>
    </w:p>
    <w:p w14:paraId="4D2184B0"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t>ثانياً: أهمية التكنولوجيا الذكية</w:t>
      </w:r>
    </w:p>
    <w:p w14:paraId="19EC3040"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قد تناولت الأدبيات البحثية أهمية التكنولوجيا الذكية من زوايا متعدّدة يمكن تنظيمها فيما يلي</w:t>
      </w:r>
      <w:r w:rsidRPr="00A25019">
        <w:rPr>
          <w:rFonts w:ascii="Simplified Arabic" w:hAnsi="Simplified Arabic" w:cs="Simplified Arabic"/>
          <w:color w:val="EE0000"/>
          <w:sz w:val="28"/>
          <w:szCs w:val="28"/>
          <w:lang w:bidi="ar-EG"/>
        </w:rPr>
        <w:t>:</w:t>
      </w:r>
    </w:p>
    <w:p w14:paraId="1503D8B3"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b/>
          <w:bCs/>
          <w:color w:val="EE0000"/>
          <w:sz w:val="28"/>
          <w:szCs w:val="28"/>
          <w:rtl/>
          <w:lang w:bidi="ar-EG"/>
        </w:rPr>
        <w:t xml:space="preserve">- </w:t>
      </w:r>
      <w:r w:rsidRPr="00A25019">
        <w:rPr>
          <w:rFonts w:ascii="Simplified Arabic" w:hAnsi="Simplified Arabic" w:cs="Simplified Arabic"/>
          <w:b/>
          <w:bCs/>
          <w:color w:val="EE0000"/>
          <w:sz w:val="28"/>
          <w:szCs w:val="28"/>
          <w:lang w:bidi="ar-EG"/>
        </w:rPr>
        <w:t xml:space="preserve"> </w:t>
      </w:r>
      <w:r w:rsidRPr="00A25019">
        <w:rPr>
          <w:rFonts w:ascii="Simplified Arabic" w:hAnsi="Simplified Arabic" w:cs="Simplified Arabic"/>
          <w:b/>
          <w:bCs/>
          <w:color w:val="EE0000"/>
          <w:sz w:val="28"/>
          <w:szCs w:val="28"/>
          <w:rtl/>
        </w:rPr>
        <w:t>تعزيز القدرة الاستباقية والتحوّل من ردّ الفعل إلى الاستشراف</w:t>
      </w:r>
      <w:r w:rsidRPr="00A25019">
        <w:rPr>
          <w:rFonts w:ascii="Simplified Arabic" w:hAnsi="Simplified Arabic" w:cs="Simplified Arabic"/>
          <w:b/>
          <w:bCs/>
          <w:color w:val="EE0000"/>
          <w:sz w:val="28"/>
          <w:szCs w:val="28"/>
          <w:lang w:bidi="ar-EG"/>
        </w:rPr>
        <w:t>:</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يُشير الرشيدي (2024) إلى أن أهمية التكنولوجيا الذكية في إدارة الحشود بالحرمين الشريفين تتجلّى في قدرتها على تحويل عملية الإدارة من نمط تفاعلي يعتمد على ردّ الفعل بعد وقوع المشكلة إلى نمط استباقي يقوم على التنبّؤ بالأزمات قبل حدوثها واتّخاذ إجراءات وقائية مبنية على بيانات حقيقية.</w:t>
      </w:r>
    </w:p>
    <w:p w14:paraId="4F9D0F83"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b/>
          <w:bCs/>
          <w:color w:val="EE0000"/>
          <w:sz w:val="28"/>
          <w:szCs w:val="28"/>
          <w:rtl/>
          <w:lang w:bidi="ar-EG"/>
        </w:rPr>
        <w:lastRenderedPageBreak/>
        <w:t xml:space="preserve">- </w:t>
      </w:r>
      <w:r w:rsidRPr="00A25019">
        <w:rPr>
          <w:rFonts w:ascii="Simplified Arabic" w:hAnsi="Simplified Arabic" w:cs="Simplified Arabic"/>
          <w:b/>
          <w:bCs/>
          <w:color w:val="EE0000"/>
          <w:sz w:val="28"/>
          <w:szCs w:val="28"/>
          <w:rtl/>
        </w:rPr>
        <w:t>معالجة البيانات الضخمة وتجاوز حدود القدرة البشرية</w:t>
      </w:r>
      <w:r w:rsidRPr="00A25019">
        <w:rPr>
          <w:rFonts w:ascii="Simplified Arabic" w:hAnsi="Simplified Arabic" w:cs="Simplified Arabic"/>
          <w:b/>
          <w:bCs/>
          <w:color w:val="EE0000"/>
          <w:sz w:val="28"/>
          <w:szCs w:val="28"/>
          <w:lang w:bidi="ar-EG"/>
        </w:rPr>
        <w:t>:</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يُؤكّد طيبة وعقيلي وخوج (2025) أن أهمية التكنولوجيا الذكية تتجسّد في قدرتها على معالجة كمّيات ضخمة من البيانات المتولّدة من حركة ملايين الحجّاج في زمن فعلي، وهو ما يتجاوز قدرة الإنسان على الرصد والتحليل اليدوي بمراحل كبيرة.</w:t>
      </w:r>
    </w:p>
    <w:p w14:paraId="5768EF2D"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b/>
          <w:bCs/>
          <w:color w:val="EE0000"/>
          <w:sz w:val="28"/>
          <w:szCs w:val="28"/>
          <w:rtl/>
          <w:lang w:bidi="ar-EG"/>
        </w:rPr>
        <w:t xml:space="preserve">- </w:t>
      </w:r>
      <w:r w:rsidRPr="00A25019">
        <w:rPr>
          <w:rFonts w:ascii="Simplified Arabic" w:hAnsi="Simplified Arabic" w:cs="Simplified Arabic"/>
          <w:b/>
          <w:bCs/>
          <w:color w:val="EE0000"/>
          <w:sz w:val="28"/>
          <w:szCs w:val="28"/>
          <w:lang w:bidi="ar-EG"/>
        </w:rPr>
        <w:t xml:space="preserve"> </w:t>
      </w:r>
      <w:r w:rsidRPr="00A25019">
        <w:rPr>
          <w:rFonts w:ascii="Simplified Arabic" w:hAnsi="Simplified Arabic" w:cs="Simplified Arabic"/>
          <w:b/>
          <w:bCs/>
          <w:color w:val="EE0000"/>
          <w:sz w:val="28"/>
          <w:szCs w:val="28"/>
          <w:rtl/>
        </w:rPr>
        <w:t>تعميق فهم السلوك الجماعي للحشود</w:t>
      </w:r>
      <w:r w:rsidRPr="00A25019">
        <w:rPr>
          <w:rFonts w:ascii="Simplified Arabic" w:hAnsi="Simplified Arabic" w:cs="Simplified Arabic"/>
          <w:b/>
          <w:bCs/>
          <w:color w:val="EE0000"/>
          <w:sz w:val="28"/>
          <w:szCs w:val="28"/>
          <w:lang w:bidi="ar-EG"/>
        </w:rPr>
        <w:t>:</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يُوضّح أحمد (2024) أن التكنولوجيا الذكية تكتسب أهمية استثنائية من كونها تُوفّر فهماً أعمق لسلوكيات الحشد الجماعية يتجاوز الرصد الظاهري للكثافات، إذ تُمكّن من تحليل أنماط الحركة والتنبّؤ بالنقاط الحرجة قبل تحوّلها إلى بؤر ازدحام خطرة، ويتّصل بذلك ما أشار إليه</w:t>
      </w:r>
      <w:r w:rsidRPr="00A25019">
        <w:rPr>
          <w:rFonts w:ascii="Simplified Arabic" w:hAnsi="Simplified Arabic" w:cs="Simplified Arabic"/>
          <w:color w:val="EE0000"/>
          <w:sz w:val="28"/>
          <w:szCs w:val="28"/>
          <w:lang w:bidi="ar-EG"/>
        </w:rPr>
        <w:t xml:space="preserve"> Mallick et al. (2024) </w:t>
      </w:r>
      <w:r w:rsidRPr="00A25019">
        <w:rPr>
          <w:rFonts w:ascii="Simplified Arabic" w:hAnsi="Simplified Arabic" w:cs="Simplified Arabic"/>
          <w:color w:val="EE0000"/>
          <w:sz w:val="28"/>
          <w:szCs w:val="28"/>
          <w:rtl/>
        </w:rPr>
        <w:t>من أن أنظمة تقدير كثافة الحشود واتجاه حركتها في الزمن الفعلي تُمكّن من بناء خرائط ديناميكية للتدفّق البشري تتحدّث لحظياً، وهو ما يُعطي صانع القرار صورة شاملة ومحدّثة باستمرار عن حالة الحشد في كل نقطة من نقاط المشاعر المقدّسة</w:t>
      </w:r>
      <w:r w:rsidRPr="00A25019">
        <w:rPr>
          <w:rFonts w:ascii="Simplified Arabic" w:hAnsi="Simplified Arabic" w:cs="Simplified Arabic"/>
          <w:color w:val="EE0000"/>
          <w:sz w:val="28"/>
          <w:szCs w:val="28"/>
          <w:lang w:bidi="ar-EG"/>
        </w:rPr>
        <w:t>.</w:t>
      </w:r>
    </w:p>
    <w:p w14:paraId="6FAC8256"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b/>
          <w:bCs/>
          <w:color w:val="EE0000"/>
          <w:sz w:val="28"/>
          <w:szCs w:val="28"/>
          <w:rtl/>
          <w:lang w:bidi="ar-EG"/>
        </w:rPr>
        <w:t xml:space="preserve">- </w:t>
      </w:r>
      <w:r w:rsidRPr="00A25019">
        <w:rPr>
          <w:rFonts w:ascii="Simplified Arabic" w:hAnsi="Simplified Arabic" w:cs="Simplified Arabic"/>
          <w:b/>
          <w:bCs/>
          <w:color w:val="EE0000"/>
          <w:sz w:val="28"/>
          <w:szCs w:val="28"/>
          <w:lang w:bidi="ar-EG"/>
        </w:rPr>
        <w:t xml:space="preserve"> </w:t>
      </w:r>
      <w:r w:rsidRPr="00A25019">
        <w:rPr>
          <w:rFonts w:ascii="Simplified Arabic" w:hAnsi="Simplified Arabic" w:cs="Simplified Arabic"/>
          <w:b/>
          <w:bCs/>
          <w:color w:val="EE0000"/>
          <w:sz w:val="28"/>
          <w:szCs w:val="28"/>
          <w:rtl/>
        </w:rPr>
        <w:t>تحسين التنسيق المؤسّسي بين الجهات المتعدّدة</w:t>
      </w:r>
      <w:r w:rsidRPr="00A25019">
        <w:rPr>
          <w:rFonts w:ascii="Simplified Arabic" w:hAnsi="Simplified Arabic" w:cs="Simplified Arabic"/>
          <w:b/>
          <w:bCs/>
          <w:color w:val="EE0000"/>
          <w:sz w:val="28"/>
          <w:szCs w:val="28"/>
          <w:lang w:bidi="ar-EG"/>
        </w:rPr>
        <w:t>:</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تُؤكّد عياد (2022) أن أهمية التكنولوجيا الذكية تظهر بوضوح في تحسين التنسيق بين الجهات المتعدّدة المسؤولة عن إدارة موسم الحج، حيث تُتيح المنصّات الرقمية المشتركة تبادل المعلومات بين هذه الجهات بشكل فوري ومتزامن، ما يُقلّل من التعارض في القرارات ، وتُعزّز وزارة الحج والعمرة (2023) هذا المعنى حين تُشير إلى أن التقنيات الذكية باتت ركيزة أساسية في استراتيجية تنسيق العمليات بين الجهات المسؤولة عن الموسم، بما يُحقّق تكاملاً تشغيلياً يُترجم إلى تحسّن ملموس في مستوى الخدمة المقدّمة للحجّاج</w:t>
      </w:r>
      <w:r w:rsidRPr="00A25019">
        <w:rPr>
          <w:rFonts w:ascii="Simplified Arabic" w:hAnsi="Simplified Arabic" w:cs="Simplified Arabic"/>
          <w:color w:val="EE0000"/>
          <w:sz w:val="28"/>
          <w:szCs w:val="28"/>
          <w:lang w:bidi="ar-EG"/>
        </w:rPr>
        <w:t>.</w:t>
      </w:r>
    </w:p>
    <w:p w14:paraId="48111A26"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b/>
          <w:bCs/>
          <w:color w:val="EE0000"/>
          <w:sz w:val="28"/>
          <w:szCs w:val="28"/>
          <w:rtl/>
          <w:lang w:bidi="ar-EG"/>
        </w:rPr>
        <w:t xml:space="preserve">- </w:t>
      </w:r>
      <w:r w:rsidRPr="00A25019">
        <w:rPr>
          <w:rFonts w:ascii="Simplified Arabic" w:hAnsi="Simplified Arabic" w:cs="Simplified Arabic"/>
          <w:b/>
          <w:bCs/>
          <w:color w:val="EE0000"/>
          <w:sz w:val="28"/>
          <w:szCs w:val="28"/>
          <w:rtl/>
        </w:rPr>
        <w:t>خلق شفافية تشغيلية شاملة في سلسلة الخدمات</w:t>
      </w:r>
      <w:r w:rsidRPr="00A25019">
        <w:rPr>
          <w:rFonts w:ascii="Simplified Arabic" w:hAnsi="Simplified Arabic" w:cs="Simplified Arabic"/>
          <w:b/>
          <w:bCs/>
          <w:color w:val="EE0000"/>
          <w:sz w:val="28"/>
          <w:szCs w:val="28"/>
          <w:lang w:bidi="ar-EG"/>
        </w:rPr>
        <w:t>:</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يُوضّح</w:t>
      </w:r>
      <w:r w:rsidRPr="00A25019">
        <w:rPr>
          <w:rFonts w:ascii="Simplified Arabic" w:hAnsi="Simplified Arabic" w:cs="Simplified Arabic"/>
          <w:color w:val="EE0000"/>
          <w:sz w:val="28"/>
          <w:szCs w:val="28"/>
          <w:lang w:bidi="ar-EG"/>
        </w:rPr>
        <w:t xml:space="preserve"> Lee et al. (2023) </w:t>
      </w:r>
      <w:r w:rsidRPr="00A25019">
        <w:rPr>
          <w:rFonts w:ascii="Simplified Arabic" w:hAnsi="Simplified Arabic" w:cs="Simplified Arabic"/>
          <w:color w:val="EE0000"/>
          <w:sz w:val="28"/>
          <w:szCs w:val="28"/>
          <w:rtl/>
        </w:rPr>
        <w:t xml:space="preserve">أن أهمية التكنولوجيا الذكية في تحسين الأداء التشغيلي ترتبط بقدرتها على خلق شفافية كاملة في سلسلة العمليات، بحيث يمكن رصد كل حلقة من حلقاتها في الزمن الفعلي وتحديد مواطن الخلل فوراً واتّخاذ إجراءات تصحيحية دون تأخير. </w:t>
      </w:r>
    </w:p>
    <w:p w14:paraId="5324F5DA"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b/>
          <w:bCs/>
          <w:color w:val="EE0000"/>
          <w:sz w:val="28"/>
          <w:szCs w:val="28"/>
          <w:rtl/>
          <w:lang w:bidi="ar-EG"/>
        </w:rPr>
        <w:t xml:space="preserve">- </w:t>
      </w:r>
      <w:r w:rsidRPr="00A25019">
        <w:rPr>
          <w:rFonts w:ascii="Simplified Arabic" w:hAnsi="Simplified Arabic" w:cs="Simplified Arabic"/>
          <w:b/>
          <w:bCs/>
          <w:color w:val="EE0000"/>
          <w:sz w:val="28"/>
          <w:szCs w:val="28"/>
          <w:rtl/>
        </w:rPr>
        <w:t>تعزيز الاستدامة المؤسّسية وترشيد الموارد</w:t>
      </w:r>
      <w:r w:rsidRPr="00A25019">
        <w:rPr>
          <w:rFonts w:ascii="Simplified Arabic" w:hAnsi="Simplified Arabic" w:cs="Simplified Arabic"/>
          <w:b/>
          <w:bCs/>
          <w:color w:val="EE0000"/>
          <w:sz w:val="28"/>
          <w:szCs w:val="28"/>
          <w:lang w:bidi="ar-EG"/>
        </w:rPr>
        <w:t>:</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يُشير</w:t>
      </w:r>
      <w:r w:rsidRPr="00A25019">
        <w:rPr>
          <w:rFonts w:ascii="Simplified Arabic" w:hAnsi="Simplified Arabic" w:cs="Simplified Arabic"/>
          <w:color w:val="EE0000"/>
          <w:sz w:val="28"/>
          <w:szCs w:val="28"/>
          <w:lang w:bidi="ar-EG"/>
        </w:rPr>
        <w:t xml:space="preserve"> Popova et al. (2023) </w:t>
      </w:r>
      <w:r w:rsidRPr="00A25019">
        <w:rPr>
          <w:rFonts w:ascii="Simplified Arabic" w:hAnsi="Simplified Arabic" w:cs="Simplified Arabic"/>
          <w:color w:val="EE0000"/>
          <w:sz w:val="28"/>
          <w:szCs w:val="28"/>
          <w:rtl/>
        </w:rPr>
        <w:t xml:space="preserve">إلى أن أهمية التكنولوجيا الذكية لا تقتصر على البُعد التشغيلي بل تمتدّ إلى تعزيز الاستدامة المؤسّسية، حيث تُمكّن المنظّمات من تحسين سلوكها الاقتصادي والبيئي من خلال توظيف البيانات في ترشيد استهلاك الموارد وتقليل الهدر. </w:t>
      </w:r>
      <w:r w:rsidRPr="00A25019">
        <w:rPr>
          <w:rFonts w:ascii="Simplified Arabic" w:hAnsi="Simplified Arabic" w:cs="Simplified Arabic"/>
          <w:color w:val="EE0000"/>
          <w:sz w:val="28"/>
          <w:szCs w:val="28"/>
          <w:lang w:bidi="ar-EG"/>
        </w:rPr>
        <w:t xml:space="preserve"> </w:t>
      </w:r>
    </w:p>
    <w:p w14:paraId="4BF88210" w14:textId="77777777" w:rsidR="00A25019" w:rsidRPr="00A25019" w:rsidRDefault="00A25019" w:rsidP="00A25019">
      <w:pPr>
        <w:jc w:val="both"/>
        <w:rPr>
          <w:rFonts w:ascii="Simplified Arabic" w:hAnsi="Simplified Arabic" w:cs="Simplified Arabic"/>
          <w:color w:val="EE0000"/>
          <w:sz w:val="28"/>
          <w:szCs w:val="28"/>
          <w:rtl/>
        </w:rPr>
      </w:pPr>
      <w:r w:rsidRPr="00A25019">
        <w:rPr>
          <w:rFonts w:ascii="Simplified Arabic" w:hAnsi="Simplified Arabic" w:cs="Simplified Arabic"/>
          <w:b/>
          <w:bCs/>
          <w:color w:val="EE0000"/>
          <w:sz w:val="28"/>
          <w:szCs w:val="28"/>
          <w:rtl/>
          <w:lang w:bidi="ar-EG"/>
        </w:rPr>
        <w:t xml:space="preserve">- </w:t>
      </w:r>
      <w:r w:rsidRPr="00A25019">
        <w:rPr>
          <w:rFonts w:ascii="Simplified Arabic" w:hAnsi="Simplified Arabic" w:cs="Simplified Arabic"/>
          <w:b/>
          <w:bCs/>
          <w:color w:val="EE0000"/>
          <w:sz w:val="28"/>
          <w:szCs w:val="28"/>
          <w:rtl/>
        </w:rPr>
        <w:t>دعم تحقيق مستهدفات رؤية المملكة 2030</w:t>
      </w:r>
      <w:r w:rsidRPr="00A25019">
        <w:rPr>
          <w:rFonts w:ascii="Simplified Arabic" w:hAnsi="Simplified Arabic" w:cs="Simplified Arabic"/>
          <w:b/>
          <w:bCs/>
          <w:color w:val="EE0000"/>
          <w:sz w:val="28"/>
          <w:szCs w:val="28"/>
          <w:lang w:bidi="ar-EG"/>
        </w:rPr>
        <w:t>:</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 xml:space="preserve">تتّصل أهمية التكنولوجيا الذكية اتّصالاً وثيقاً بالمستهدفات الطموحة لرؤية المملكة العربية السعودية 2030، التي تسعى إلى رفع عدد المعتمرين إلى ثلاثين مليوناً </w:t>
      </w:r>
      <w:r w:rsidRPr="00A25019">
        <w:rPr>
          <w:rFonts w:ascii="Simplified Arabic" w:hAnsi="Simplified Arabic" w:cs="Simplified Arabic"/>
          <w:color w:val="EE0000"/>
          <w:sz w:val="28"/>
          <w:szCs w:val="28"/>
          <w:rtl/>
        </w:rPr>
        <w:lastRenderedPageBreak/>
        <w:t>وتحسين جودة تجربة الحاج والمعتمر وتحقيق التنمية المستدامة، ويُوضّح الفرائضي (2025) أن تحقيق هذه المستهدفات يستلزم توظيفاً مكثّفاً للتكنولوجيا الذكية في جميع حلقات المنظومة، إذ لا يمكن استيعاب هذه الأعداد المتزايدة مع الحفاظ على مستويات عالية من الأمان والجودة دون منظومة تقنية ذكية قادرة على إدارة التدفّقات وتحسين الخدمات وترشيد الموارد.</w:t>
      </w:r>
    </w:p>
    <w:p w14:paraId="17A27FCC"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lang w:bidi="ar-EG"/>
        </w:rPr>
        <w:t xml:space="preserve">يتّضح من التحليل المقارن لما سبق أن أهمية التكنولوجيا الذكية لا تتجلّى في مستوى واحد بل تتدرّج عبر ثلاثة مستويات مترابطة ترتبط كل منها بمتغيّر من متغيّرات الدراسة: مستوى تشغيلي-ميداني يشمل معالجة البيانات الضخمة وتعميق فهم السلوك الجماعي وخلق الشفافية التشغيلية (طيبة وعقيلي وخوج 2025؛ أحمد 2024؛ </w:t>
      </w:r>
      <w:r w:rsidRPr="00A25019">
        <w:rPr>
          <w:rFonts w:ascii="Simplified Arabic" w:hAnsi="Simplified Arabic" w:cs="Simplified Arabic"/>
          <w:color w:val="EE0000"/>
          <w:sz w:val="28"/>
          <w:szCs w:val="28"/>
          <w:lang w:bidi="ar-EG"/>
        </w:rPr>
        <w:t>Mallick et al. 2024</w:t>
      </w:r>
      <w:r w:rsidRPr="00A25019">
        <w:rPr>
          <w:rFonts w:ascii="Simplified Arabic" w:hAnsi="Simplified Arabic" w:cs="Simplified Arabic"/>
          <w:color w:val="EE0000"/>
          <w:sz w:val="28"/>
          <w:szCs w:val="28"/>
          <w:rtl/>
          <w:lang w:bidi="ar-EG"/>
        </w:rPr>
        <w:t xml:space="preserve">؛ </w:t>
      </w:r>
      <w:r w:rsidRPr="00A25019">
        <w:rPr>
          <w:rFonts w:ascii="Simplified Arabic" w:hAnsi="Simplified Arabic" w:cs="Simplified Arabic"/>
          <w:color w:val="EE0000"/>
          <w:sz w:val="28"/>
          <w:szCs w:val="28"/>
          <w:lang w:bidi="ar-EG"/>
        </w:rPr>
        <w:t>Lee et al. 2023</w:t>
      </w:r>
      <w:r w:rsidRPr="00A25019">
        <w:rPr>
          <w:rFonts w:ascii="Simplified Arabic" w:hAnsi="Simplified Arabic" w:cs="Simplified Arabic"/>
          <w:color w:val="EE0000"/>
          <w:sz w:val="28"/>
          <w:szCs w:val="28"/>
          <w:rtl/>
          <w:lang w:bidi="ar-EG"/>
        </w:rPr>
        <w:t xml:space="preserve">) وهو المستوى الذي يتّصل مباشرةً بأبعاد المتغيّر التابع (الانسيابية وسرعة الاستجابة وتقليل التكدس)، ومستوى مؤسسي-تنسيقي يتمثّل في تحسين التنسيق بين الجهات المتعدّدة وتعزيز الاستدامة المؤسسية وترشيد الموارد (عياد 2022؛ وزارة الحج والعمرة 2023؛ </w:t>
      </w:r>
      <w:r w:rsidRPr="00A25019">
        <w:rPr>
          <w:rFonts w:ascii="Simplified Arabic" w:hAnsi="Simplified Arabic" w:cs="Simplified Arabic"/>
          <w:color w:val="EE0000"/>
          <w:sz w:val="28"/>
          <w:szCs w:val="28"/>
          <w:lang w:bidi="ar-EG"/>
        </w:rPr>
        <w:t>Popova et al. 2023</w:t>
      </w:r>
      <w:r w:rsidRPr="00A25019">
        <w:rPr>
          <w:rFonts w:ascii="Simplified Arabic" w:hAnsi="Simplified Arabic" w:cs="Simplified Arabic"/>
          <w:color w:val="EE0000"/>
          <w:sz w:val="28"/>
          <w:szCs w:val="28"/>
          <w:rtl/>
          <w:lang w:bidi="ar-EG"/>
        </w:rPr>
        <w:t xml:space="preserve">؛ </w:t>
      </w:r>
      <w:r w:rsidRPr="00A25019">
        <w:rPr>
          <w:rFonts w:ascii="Simplified Arabic" w:hAnsi="Simplified Arabic" w:cs="Simplified Arabic"/>
          <w:color w:val="EE0000"/>
          <w:sz w:val="28"/>
          <w:szCs w:val="28"/>
          <w:lang w:bidi="ar-EG"/>
        </w:rPr>
        <w:t>Aivazidou et al. 2021</w:t>
      </w:r>
      <w:r w:rsidRPr="00A25019">
        <w:rPr>
          <w:rFonts w:ascii="Simplified Arabic" w:hAnsi="Simplified Arabic" w:cs="Simplified Arabic"/>
          <w:color w:val="EE0000"/>
          <w:sz w:val="28"/>
          <w:szCs w:val="28"/>
          <w:rtl/>
          <w:lang w:bidi="ar-EG"/>
        </w:rPr>
        <w:t>) وهو المستوى الذي يُجسّد نقطة التقاء التكنولوجيا الذكية بممارسات الاستدامة (المتغيّر المستقل) حيث تتحوّل السياسات البيئية والاقتصادية والاجتماعية إلى قرارات تشغيلية مبنية على بيانات حيّة، ومستوى استراتيجي-استشرافي يتجلّى في التحوّل من ردّ الفعل إلى الاستباق ودعم مستهدفات رؤية 2030 (الرشيدي 2024؛ الفرائضي 2025) وهو المستوى الذي يُبرّر وضع التكنولوجيا الذكية كمتغيّر وسيط وليس مجرّد أداة تنفيذية، لأن دورها لا يقتصر على تحسين الأداء الآني بل يمتد إلى إعادة تشكيل العلاقة بين مدخلات الاستدامة ومخرجات كفاءة إدارة الحشود بصورة هيكلية. وهذا التدرّج في المستويات يُعزّز الافتراض المركزي لنموذج الدراسة بأن التكنولوجيا الذكية تتوسّط العلاقة بين ممارسات الاستدامة وكفاءة إدارة الحشود عبر آليات متعدّدة وليس عبر مسار أحادي، ما يستوجب اختبار قوة الوساطة في كل مستوى على حدة ضمن نموذج المعادلات الهيكلية.</w:t>
      </w:r>
    </w:p>
    <w:p w14:paraId="500D82BC"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t>ثالثاً: أهداف التكنولوجيا الذكية</w:t>
      </w:r>
    </w:p>
    <w:p w14:paraId="315D4708"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عكست الأدبيات البحثية طيفاً واسعاً من هذه الأهداف يمكن تنظيمها في المحاور التالية</w:t>
      </w:r>
      <w:r w:rsidRPr="00A25019">
        <w:rPr>
          <w:rFonts w:ascii="Simplified Arabic" w:hAnsi="Simplified Arabic" w:cs="Simplified Arabic"/>
          <w:color w:val="EE0000"/>
          <w:sz w:val="28"/>
          <w:szCs w:val="28"/>
          <w:lang w:bidi="ar-EG"/>
        </w:rPr>
        <w:t>:</w:t>
      </w:r>
    </w:p>
    <w:p w14:paraId="627AC47D" w14:textId="77777777" w:rsidR="00A25019" w:rsidRPr="00A25019" w:rsidRDefault="00A25019" w:rsidP="00A25019">
      <w:pPr>
        <w:numPr>
          <w:ilvl w:val="0"/>
          <w:numId w:val="41"/>
        </w:numPr>
        <w:contextualSpacing/>
        <w:jc w:val="both"/>
        <w:rPr>
          <w:rFonts w:ascii="Simplified Arabic" w:hAnsi="Simplified Arabic" w:cs="Simplified Arabic"/>
          <w:color w:val="EE0000"/>
          <w:sz w:val="28"/>
          <w:szCs w:val="28"/>
          <w:rtl/>
        </w:rPr>
      </w:pPr>
      <w:r w:rsidRPr="00A25019">
        <w:rPr>
          <w:rFonts w:ascii="Simplified Arabic" w:hAnsi="Simplified Arabic" w:cs="Simplified Arabic"/>
          <w:b/>
          <w:bCs/>
          <w:color w:val="EE0000"/>
          <w:sz w:val="28"/>
          <w:szCs w:val="28"/>
          <w:rtl/>
        </w:rPr>
        <w:t>بناء منظومة استشرافية للتنبّؤ بالأزمات ومنع وقوعها</w:t>
      </w:r>
      <w:r w:rsidRPr="00A25019">
        <w:rPr>
          <w:rFonts w:ascii="Simplified Arabic" w:hAnsi="Simplified Arabic" w:cs="Simplified Arabic"/>
          <w:b/>
          <w:bCs/>
          <w:color w:val="EE0000"/>
          <w:sz w:val="28"/>
          <w:szCs w:val="28"/>
          <w:lang w:bidi="ar-EG"/>
        </w:rPr>
        <w:t>:</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 xml:space="preserve">يُؤكّد الرشيدي (2024) أن الهدف الجوهري من توظيف تقنيات الذكاء الاصطناعي في إدارة الحشود بالحرمين الشريفين هو التحوّل </w:t>
      </w:r>
      <w:r w:rsidRPr="00A25019">
        <w:rPr>
          <w:rFonts w:ascii="Simplified Arabic" w:hAnsi="Simplified Arabic" w:cs="Simplified Arabic"/>
          <w:color w:val="EE0000"/>
          <w:sz w:val="28"/>
          <w:szCs w:val="28"/>
          <w:rtl/>
        </w:rPr>
        <w:lastRenderedPageBreak/>
        <w:t xml:space="preserve">من الإدارة التفاعلية التي تتعامل مع الأزمات بعد وقوعها إلى الإدارة الاستشرافية التي ترصد مؤشرات الخطر المبكّرة وتُفعّل بروتوكولات الاستجابة قبل تفاقم المشكلة. </w:t>
      </w:r>
    </w:p>
    <w:p w14:paraId="1AD0CD4C" w14:textId="77777777" w:rsidR="00A25019" w:rsidRPr="00A25019" w:rsidRDefault="00A25019" w:rsidP="00A25019">
      <w:pPr>
        <w:ind w:left="720"/>
        <w:jc w:val="both"/>
        <w:rPr>
          <w:rFonts w:ascii="Simplified Arabic" w:hAnsi="Simplified Arabic" w:cs="Simplified Arabic"/>
          <w:color w:val="EE0000"/>
          <w:sz w:val="28"/>
          <w:szCs w:val="28"/>
          <w:lang w:bidi="ar-EG"/>
        </w:rPr>
      </w:pPr>
      <w:r w:rsidRPr="00A25019">
        <w:rPr>
          <w:rFonts w:ascii="Simplified Arabic" w:hAnsi="Simplified Arabic" w:cs="Simplified Arabic"/>
          <w:b/>
          <w:bCs/>
          <w:color w:val="EE0000"/>
          <w:sz w:val="28"/>
          <w:szCs w:val="28"/>
          <w:rtl/>
        </w:rPr>
        <w:t>و</w:t>
      </w:r>
      <w:r w:rsidRPr="00A25019">
        <w:rPr>
          <w:rFonts w:ascii="Simplified Arabic" w:hAnsi="Simplified Arabic" w:cs="Simplified Arabic"/>
          <w:color w:val="EE0000"/>
          <w:sz w:val="28"/>
          <w:szCs w:val="28"/>
          <w:rtl/>
        </w:rPr>
        <w:t>أشار إليه</w:t>
      </w:r>
      <w:r w:rsidRPr="00A25019">
        <w:rPr>
          <w:rFonts w:ascii="Simplified Arabic" w:hAnsi="Simplified Arabic" w:cs="Simplified Arabic"/>
          <w:color w:val="EE0000"/>
          <w:sz w:val="28"/>
          <w:szCs w:val="28"/>
          <w:lang w:bidi="ar-EG"/>
        </w:rPr>
        <w:t xml:space="preserve"> Mallick et al. (2024) </w:t>
      </w:r>
      <w:r w:rsidRPr="00A25019">
        <w:rPr>
          <w:rFonts w:ascii="Simplified Arabic" w:hAnsi="Simplified Arabic" w:cs="Simplified Arabic"/>
          <w:color w:val="EE0000"/>
          <w:sz w:val="28"/>
          <w:szCs w:val="28"/>
          <w:rtl/>
        </w:rPr>
        <w:t>من أن أنظمة تقدير كثافة الحشود واتجاه حركتها تهدف إلى بناء نماذج تنبّؤية ديناميكية تتحدّث لحظياً وتُمكّن من اتّخاذ قرارات استباقية قائمة على معطيات كمّية دقيقة وليس على تقديرات بشرية تقريبية</w:t>
      </w:r>
      <w:r w:rsidRPr="00A25019">
        <w:rPr>
          <w:rFonts w:ascii="Simplified Arabic" w:hAnsi="Simplified Arabic" w:cs="Simplified Arabic"/>
          <w:color w:val="EE0000"/>
          <w:sz w:val="28"/>
          <w:szCs w:val="28"/>
          <w:lang w:bidi="ar-EG"/>
        </w:rPr>
        <w:t>.</w:t>
      </w:r>
    </w:p>
    <w:p w14:paraId="5760A6F0"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b/>
          <w:bCs/>
          <w:color w:val="EE0000"/>
          <w:sz w:val="28"/>
          <w:szCs w:val="28"/>
          <w:rtl/>
          <w:lang w:bidi="ar-EG"/>
        </w:rPr>
        <w:t>2.</w:t>
      </w:r>
      <w:r w:rsidRPr="00A25019">
        <w:rPr>
          <w:rFonts w:ascii="Simplified Arabic" w:hAnsi="Simplified Arabic" w:cs="Simplified Arabic"/>
          <w:b/>
          <w:bCs/>
          <w:color w:val="EE0000"/>
          <w:sz w:val="28"/>
          <w:szCs w:val="28"/>
          <w:lang w:bidi="ar-EG"/>
        </w:rPr>
        <w:t xml:space="preserve"> </w:t>
      </w:r>
      <w:r w:rsidRPr="00A25019">
        <w:rPr>
          <w:rFonts w:ascii="Simplified Arabic" w:hAnsi="Simplified Arabic" w:cs="Simplified Arabic"/>
          <w:b/>
          <w:bCs/>
          <w:color w:val="EE0000"/>
          <w:sz w:val="28"/>
          <w:szCs w:val="28"/>
          <w:rtl/>
        </w:rPr>
        <w:t>تحسين تجربة الحاج والمعتمر وضمان كرامته</w:t>
      </w:r>
      <w:r w:rsidRPr="00A25019">
        <w:rPr>
          <w:rFonts w:ascii="Simplified Arabic" w:hAnsi="Simplified Arabic" w:cs="Simplified Arabic"/>
          <w:b/>
          <w:bCs/>
          <w:color w:val="EE0000"/>
          <w:sz w:val="28"/>
          <w:szCs w:val="28"/>
          <w:lang w:bidi="ar-EG"/>
        </w:rPr>
        <w:t>:</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تُمثّل تجربة الحاج محوراً رئيسياً تسعى التكنولوجيا الذكية إلى تحسينه، حيث أوضحت عياد (2022) أن الإدارة الإلكترونية في منظومة الحج تهدف إلى رفع مستوى رضا ضيوف الرحمن من خلال تقليل أوقات الانتظار وتحسين الإرشاد الرقمي وتوفير معلومات دقيقة ومحدّثة عن المسارات ومستويات الازدحام والخدمات المتاحة،  وهذا الهدف يتجاوز المفهوم الضيّق للرضا إلى مفهوم أوسع يشمل تمكين الحاج من أداء شعائره في بيئة آمنة ومنظّمة تحفظ كرامته وتُيسّر عبادته، ويُعزّز أحمد (2024) هذا المنظور حين يُشير إلى أن تطبيقات الذكاء الاصطناعي تهدف إلى إبقاء أفراد الحشد في حالة آمنة ومريحة، بحيث يتمكّن كل حاج من إتمام مناسكه دون إعاقة أو تعريض لمخاطر جسدية أو نفسية.</w:t>
      </w:r>
    </w:p>
    <w:p w14:paraId="31F12639"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b/>
          <w:bCs/>
          <w:color w:val="EE0000"/>
          <w:sz w:val="28"/>
          <w:szCs w:val="28"/>
          <w:rtl/>
          <w:lang w:bidi="ar-EG"/>
        </w:rPr>
        <w:t>3-</w:t>
      </w:r>
      <w:r w:rsidRPr="00A25019">
        <w:rPr>
          <w:rFonts w:ascii="Simplified Arabic" w:hAnsi="Simplified Arabic" w:cs="Simplified Arabic"/>
          <w:b/>
          <w:bCs/>
          <w:color w:val="EE0000"/>
          <w:sz w:val="28"/>
          <w:szCs w:val="28"/>
          <w:lang w:bidi="ar-EG"/>
        </w:rPr>
        <w:t xml:space="preserve"> </w:t>
      </w:r>
      <w:r w:rsidRPr="00A25019">
        <w:rPr>
          <w:rFonts w:ascii="Simplified Arabic" w:hAnsi="Simplified Arabic" w:cs="Simplified Arabic"/>
          <w:b/>
          <w:bCs/>
          <w:color w:val="EE0000"/>
          <w:sz w:val="28"/>
          <w:szCs w:val="28"/>
          <w:rtl/>
        </w:rPr>
        <w:t>تعظيم كفاءة استخدام الموارد وتقليل الهدر</w:t>
      </w:r>
      <w:r w:rsidRPr="00A25019">
        <w:rPr>
          <w:rFonts w:ascii="Simplified Arabic" w:hAnsi="Simplified Arabic" w:cs="Simplified Arabic"/>
          <w:b/>
          <w:bCs/>
          <w:color w:val="EE0000"/>
          <w:sz w:val="28"/>
          <w:szCs w:val="28"/>
          <w:lang w:bidi="ar-EG"/>
        </w:rPr>
        <w:t>:</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يُوضّح</w:t>
      </w:r>
      <w:r w:rsidRPr="00A25019">
        <w:rPr>
          <w:rFonts w:ascii="Simplified Arabic" w:hAnsi="Simplified Arabic" w:cs="Simplified Arabic"/>
          <w:color w:val="EE0000"/>
          <w:sz w:val="28"/>
          <w:szCs w:val="28"/>
          <w:lang w:bidi="ar-EG"/>
        </w:rPr>
        <w:t xml:space="preserve"> Popova et al. (2023) </w:t>
      </w:r>
      <w:r w:rsidRPr="00A25019">
        <w:rPr>
          <w:rFonts w:ascii="Simplified Arabic" w:hAnsi="Simplified Arabic" w:cs="Simplified Arabic"/>
          <w:color w:val="EE0000"/>
          <w:sz w:val="28"/>
          <w:szCs w:val="28"/>
          <w:rtl/>
        </w:rPr>
        <w:t>أن التكنولوجيا الذكية تهدف إلى تحسين السلوك الاقتصادي للمنظّمات من خلال ترشيد استهلاك الموارد والحدّ من الهدر، وهو ما يتحقّق عبر أنظمة رصد ذكية تُحدّد أنماط الاستهلاك الفعلي وتُقارنها بالمعايير المثلى وتُقدّم توصيات تصحيحية فورية.</w:t>
      </w:r>
    </w:p>
    <w:p w14:paraId="0B5414CE" w14:textId="77777777" w:rsidR="00A25019" w:rsidRPr="00A25019" w:rsidRDefault="00A25019" w:rsidP="00A25019">
      <w:pPr>
        <w:jc w:val="both"/>
        <w:rPr>
          <w:rFonts w:ascii="Simplified Arabic" w:hAnsi="Simplified Arabic" w:cs="Simplified Arabic"/>
          <w:b/>
          <w:bCs/>
          <w:color w:val="EE0000"/>
          <w:sz w:val="28"/>
          <w:szCs w:val="28"/>
          <w:rtl/>
        </w:rPr>
      </w:pPr>
      <w:r w:rsidRPr="00A25019">
        <w:rPr>
          <w:rFonts w:ascii="Simplified Arabic" w:hAnsi="Simplified Arabic" w:cs="Simplified Arabic"/>
          <w:color w:val="EE0000"/>
          <w:sz w:val="28"/>
          <w:szCs w:val="28"/>
          <w:rtl/>
        </w:rPr>
        <w:t xml:space="preserve">يُلاحَظ من التحليل المقارن للأهداف المستعرَضة أنها تتكامل في ثلاث حلقات تتّصل كل منها بمتغيّر من متغيّرات الدراسة وتُغذّي الحلقتين الأخريين: فبناء المنظومة الاستشرافية (الرشيدي 2024؛ </w:t>
      </w:r>
      <w:r w:rsidRPr="00A25019">
        <w:rPr>
          <w:rFonts w:ascii="Simplified Arabic" w:hAnsi="Simplified Arabic" w:cs="Simplified Arabic"/>
          <w:color w:val="EE0000"/>
          <w:sz w:val="28"/>
          <w:szCs w:val="28"/>
        </w:rPr>
        <w:t>Mallick et al. 2024</w:t>
      </w:r>
      <w:r w:rsidRPr="00A25019">
        <w:rPr>
          <w:rFonts w:ascii="Simplified Arabic" w:hAnsi="Simplified Arabic" w:cs="Simplified Arabic"/>
          <w:color w:val="EE0000"/>
          <w:sz w:val="28"/>
          <w:szCs w:val="28"/>
          <w:rtl/>
        </w:rPr>
        <w:t>) يرتبط مباشرةً بأبعاد كفاءة إدارة الحشود بوصفه الآلية التي تُحوّل البيانات الحية إلى قرارات استباقية تُحسّن الانسيابية وتُسرّع الاستجابة وتمنع التكدس قبل حدوثه، وتحسين تجربة الحاج (عياد 2022؛ أحمد 2024) يعكس البعد الاجتماعي من ممارسات الاستدامة حيث تنتقل سياسات السلامة وجودة الخدمات من مستوى التخطيط المؤسسي إلى واقع ميداني ملموس عبر الإرشاد الرقمي والمراقبة الآنية، وتعظيم كفاءة الموارد وتقليل الهدر (</w:t>
      </w:r>
      <w:r w:rsidRPr="00A25019">
        <w:rPr>
          <w:rFonts w:ascii="Simplified Arabic" w:hAnsi="Simplified Arabic" w:cs="Simplified Arabic"/>
          <w:color w:val="EE0000"/>
          <w:sz w:val="28"/>
          <w:szCs w:val="28"/>
        </w:rPr>
        <w:t>Popova et al. 2023</w:t>
      </w:r>
      <w:r w:rsidRPr="00A25019">
        <w:rPr>
          <w:rFonts w:ascii="Simplified Arabic" w:hAnsi="Simplified Arabic" w:cs="Simplified Arabic"/>
          <w:color w:val="EE0000"/>
          <w:sz w:val="28"/>
          <w:szCs w:val="28"/>
          <w:rtl/>
        </w:rPr>
        <w:t xml:space="preserve">) يُجسّد البعدين البيئي والاقتصادي من ممارسات الاستدامة حين تُترجمهما أنظمة الرصد الذكية إلى ترشيد فعلي في استهلاك المياه والطاقة وتوزيع </w:t>
      </w:r>
      <w:r w:rsidRPr="00A25019">
        <w:rPr>
          <w:rFonts w:ascii="Simplified Arabic" w:hAnsi="Simplified Arabic" w:cs="Simplified Arabic"/>
          <w:color w:val="EE0000"/>
          <w:sz w:val="28"/>
          <w:szCs w:val="28"/>
          <w:rtl/>
        </w:rPr>
        <w:lastRenderedPageBreak/>
        <w:t>أمثل للموارد البشرية والمادية. وهذا الترابط بين الأهداف الثلاثة يُؤكّد أن التكنولوجيا الذكية لا تخدم هدفاً تشغيلياً منعزلاً بل تعمل كحلقة وصل وظيفية تستقبل مدخلات ممارسات الاستدامة بأبعادها الثلاثة وتُحوّلها إلى مخرجات قابلة للقياس في كفاءة إدارة الحشود، وهو ما يدعم تصنيفها كمتغيّر وسيط في نموذج الدراسة الحالية وليس مجرّد متغيّر مستقل إضافي أو أداة تنفيذية مساندة.</w:t>
      </w:r>
    </w:p>
    <w:p w14:paraId="33AEC9E0"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t>رابعاً: أبعاد التكنولوجيا الذكية</w:t>
      </w:r>
    </w:p>
    <w:p w14:paraId="53836234"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rPr>
        <w:t>تمّ تحديد أبعاد التكنولوجيا الذكية في الدراسة الحالية بناءً على دراسة</w:t>
      </w:r>
      <w:r w:rsidRPr="00A25019">
        <w:rPr>
          <w:rFonts w:ascii="Simplified Arabic" w:hAnsi="Simplified Arabic" w:cs="Simplified Arabic"/>
          <w:color w:val="EE0000"/>
          <w:sz w:val="28"/>
          <w:szCs w:val="28"/>
          <w:lang w:bidi="ar-EG"/>
        </w:rPr>
        <w:t xml:space="preserve"> Mallick et al. (2024) </w:t>
      </w:r>
      <w:r w:rsidRPr="00A25019">
        <w:rPr>
          <w:rFonts w:ascii="Simplified Arabic" w:hAnsi="Simplified Arabic" w:cs="Simplified Arabic"/>
          <w:color w:val="EE0000"/>
          <w:sz w:val="28"/>
          <w:szCs w:val="28"/>
          <w:rtl/>
        </w:rPr>
        <w:t>التي قدّمت نظاماً ذكياً لتقدير كثافة الحشود واتجاه حركتها في الزمن الفعلي باستخدام شبكات عصبية عميقة، واستُكمل هذا الإطار بما أسهمت به دراسات أخرى ضمن قائمة مراجع الدراسة مثل</w:t>
      </w:r>
      <w:r w:rsidRPr="00A25019">
        <w:rPr>
          <w:rFonts w:ascii="Simplified Arabic" w:hAnsi="Simplified Arabic" w:cs="Simplified Arabic"/>
          <w:color w:val="EE0000"/>
          <w:sz w:val="28"/>
          <w:szCs w:val="28"/>
          <w:lang w:bidi="ar-EG"/>
        </w:rPr>
        <w:t xml:space="preserve"> Mahmood (2024) </w:t>
      </w:r>
      <w:r w:rsidRPr="00A25019">
        <w:rPr>
          <w:rFonts w:ascii="Simplified Arabic" w:hAnsi="Simplified Arabic" w:cs="Simplified Arabic"/>
          <w:color w:val="EE0000"/>
          <w:sz w:val="28"/>
          <w:szCs w:val="28"/>
          <w:rtl/>
        </w:rPr>
        <w:t>و</w:t>
      </w:r>
      <w:r w:rsidRPr="00A25019">
        <w:rPr>
          <w:rFonts w:ascii="Simplified Arabic" w:hAnsi="Simplified Arabic" w:cs="Simplified Arabic"/>
          <w:color w:val="EE0000"/>
          <w:sz w:val="28"/>
          <w:szCs w:val="28"/>
          <w:lang w:bidi="ar-EG"/>
        </w:rPr>
        <w:t xml:space="preserve">Popova et al. (2023) </w:t>
      </w:r>
      <w:r w:rsidRPr="00A25019">
        <w:rPr>
          <w:rFonts w:ascii="Simplified Arabic" w:hAnsi="Simplified Arabic" w:cs="Simplified Arabic"/>
          <w:color w:val="EE0000"/>
          <w:sz w:val="28"/>
          <w:szCs w:val="28"/>
          <w:rtl/>
        </w:rPr>
        <w:t xml:space="preserve">وطيبة وعقيلي وخوج </w:t>
      </w:r>
      <w:r w:rsidRPr="00A25019">
        <w:rPr>
          <w:rFonts w:ascii="Simplified Arabic" w:hAnsi="Simplified Arabic" w:cs="Simplified Arabic"/>
          <w:color w:val="EE0000"/>
          <w:sz w:val="28"/>
          <w:szCs w:val="28"/>
          <w:lang w:bidi="ar-EG"/>
        </w:rPr>
        <w:t xml:space="preserve">(2025) </w:t>
      </w:r>
      <w:r w:rsidRPr="00A25019">
        <w:rPr>
          <w:rFonts w:ascii="Simplified Arabic" w:hAnsi="Simplified Arabic" w:cs="Simplified Arabic"/>
          <w:color w:val="EE0000"/>
          <w:sz w:val="28"/>
          <w:szCs w:val="28"/>
          <w:rtl/>
        </w:rPr>
        <w:t>والرشيدي (2024)،  وتتمثّل هذه الأبعاد في ثلاثة مكوّنات مترابطة هي</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أنظمة المراقبة الذكية، وتطبيقات التوجيه والتحكّم، وتحليل البيانات الحيّة. وتعمل هذه الأبعاد بشكل تكاملي في منظومة واحدة تبدأ بجمع البيانات عبر أنظمة المراقبة، ثم تُعالَج هذه البيانات وتُحلَّل في الزمن الفعلي، وأخيراً تُترجَم نتائج التحليل إلى إجراءات ميدانية عبر تطبيقات التوجيه والتحكّم، وهو ما يُشكّل المنظومة التقنية الوسيطة التي تنقل أثر ممارسات الاستدامة إلى كفاءة إدارة الحشود</w:t>
      </w:r>
      <w:r w:rsidRPr="00A25019">
        <w:rPr>
          <w:rFonts w:ascii="Simplified Arabic" w:hAnsi="Simplified Arabic" w:cs="Simplified Arabic"/>
          <w:color w:val="EE0000"/>
          <w:sz w:val="28"/>
          <w:szCs w:val="28"/>
          <w:lang w:bidi="ar-EG"/>
        </w:rPr>
        <w:t>.</w:t>
      </w:r>
    </w:p>
    <w:p w14:paraId="725B37D5"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t>البُعد الأوّل: أنظمة المراقبة الذكية</w:t>
      </w:r>
    </w:p>
    <w:p w14:paraId="3079E981"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يُمثّل هذا البُعد الطبقة الأولى في منظومة التكنولوجيا الذكية، وهي طبقة الإدراك والرصد التي تُوفّر المادة الخام من البيانات التي تقوم عليها جميع العمليات اللاحقة، ويتجاوز مفهوم أنظمة المراقبة الذكية المفهوم التقليدي للمراقبة بالكاميرات الأمنية إلى منظومة متكاملة من الأجهزة والخوارزميات القادرة على الرصد والفهم والتفسير في آنٍ واحد</w:t>
      </w:r>
      <w:r w:rsidRPr="00A25019">
        <w:rPr>
          <w:rFonts w:ascii="Simplified Arabic" w:hAnsi="Simplified Arabic" w:cs="Simplified Arabic"/>
          <w:color w:val="EE0000"/>
          <w:sz w:val="28"/>
          <w:szCs w:val="28"/>
          <w:lang w:bidi="ar-EG"/>
        </w:rPr>
        <w:t>.</w:t>
      </w:r>
    </w:p>
    <w:p w14:paraId="4FFFCEE8"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وقد أوضح</w:t>
      </w:r>
      <w:r w:rsidRPr="00A25019">
        <w:rPr>
          <w:rFonts w:ascii="Simplified Arabic" w:hAnsi="Simplified Arabic" w:cs="Simplified Arabic"/>
          <w:color w:val="EE0000"/>
          <w:sz w:val="28"/>
          <w:szCs w:val="28"/>
          <w:lang w:bidi="ar-EG"/>
        </w:rPr>
        <w:t xml:space="preserve"> Mallick et al. (2024) </w:t>
      </w:r>
      <w:r w:rsidRPr="00A25019">
        <w:rPr>
          <w:rFonts w:ascii="Simplified Arabic" w:hAnsi="Simplified Arabic" w:cs="Simplified Arabic"/>
          <w:color w:val="EE0000"/>
          <w:sz w:val="28"/>
          <w:szCs w:val="28"/>
          <w:rtl/>
        </w:rPr>
        <w:t>أن أنظمة المراقبة الذكية للحشود تعتمد على شبكات عصبية عميقة قادرة على تقدير كثافة الحشود واتجاه حركتها بشكل متزامن من خلال تحليل التدفّقات المرئية الواردة من الكاميرات، بحيث لا يكون الرصد مجرّد تسجيل بصري يحتاج إلى مراجعة بشرية لاحقة، بل تحليل ذكي فوري يُنتج مؤشرات كمّية قابلة للتصرّف بناءً عليها مباشرة، وهذا التحوّل من المراقبة السلبية إلى المراقبة الذكية التحليلية يُعدّ جوهر ما يُميّز هذا البُعد ويمنحه قدرته على دعم كفاءة إدارة الحشود</w:t>
      </w:r>
      <w:r w:rsidRPr="00A25019">
        <w:rPr>
          <w:rFonts w:ascii="Simplified Arabic" w:hAnsi="Simplified Arabic" w:cs="Simplified Arabic"/>
          <w:color w:val="EE0000"/>
          <w:sz w:val="28"/>
          <w:szCs w:val="28"/>
          <w:lang w:bidi="ar-EG"/>
        </w:rPr>
        <w:t>.</w:t>
      </w:r>
    </w:p>
    <w:p w14:paraId="23B17A57"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lastRenderedPageBreak/>
        <w:t>البُعد الثاني: تطبيقات التوجيه والتحكّم</w:t>
      </w:r>
    </w:p>
    <w:p w14:paraId="6AAF3032"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يُمثّل هذا البُعد الطبقة التنفيذية في منظومة التكنولوجيا الذكية، وهي الطبقة التي تُترجم البيانات والتحليلات إلى إجراءات ميدانية ملموسة تُؤثّر مباشرة في حركة الحشود وتدفّقاتها واتجاهاتها، ويشمل هذا البُعد مجموعة الأدوات والأنظمة الرقمية التي تُوجّه الحجّاج والمعتمرين وتتحكّم في مساراتهم بما يضمن انسيابية الحركة وتقليل نقاط الازدحام والاستجابة السريعة للمتغيّرات الميدانية</w:t>
      </w:r>
      <w:r w:rsidRPr="00A25019">
        <w:rPr>
          <w:rFonts w:ascii="Simplified Arabic" w:hAnsi="Simplified Arabic" w:cs="Simplified Arabic"/>
          <w:color w:val="EE0000"/>
          <w:sz w:val="28"/>
          <w:szCs w:val="28"/>
          <w:lang w:bidi="ar-EG"/>
        </w:rPr>
        <w:t>.</w:t>
      </w:r>
    </w:p>
    <w:p w14:paraId="5DD8F123"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وقد أشار الرشيدي (2024) إلى أن تطبيقات الذكاء الاصطناعي في الحرمين الشريفين تُمكّن من اتّخاذ قرارات فورية بشأن فتح مسارات بديلة أو إغلاق مسارات مزدحمة أو إعادة توزيع التدفّقات البشرية وفقاً للبيانات الآنية، وهو ما يُحوّل عملية التوجيه من إرشادات ثابتة مُعدّة مسبقاً إلى توجيه ديناميكي متكيّف يتغيّر لحظة بلحظة بحسب الوضع الميداني الفعلي. وهذا التحوّل يعني أن المسار الذي يُوجَّه إليه الحاج في لحظة معيّنة قد يختلف عن المسار المقترح بعد دقائق قليلة بناءً على تغيّر الكثافات، وهو مستوى من المرونة لا يمكن تحقيقه بالأساليب التقليدية</w:t>
      </w:r>
      <w:r w:rsidRPr="00A25019">
        <w:rPr>
          <w:rFonts w:ascii="Simplified Arabic" w:hAnsi="Simplified Arabic" w:cs="Simplified Arabic"/>
          <w:color w:val="EE0000"/>
          <w:sz w:val="28"/>
          <w:szCs w:val="28"/>
          <w:lang w:bidi="ar-EG"/>
        </w:rPr>
        <w:t>.</w:t>
      </w:r>
    </w:p>
    <w:p w14:paraId="66A7B908" w14:textId="77777777" w:rsidR="00A25019" w:rsidRPr="00A25019" w:rsidRDefault="00A25019" w:rsidP="00A25019">
      <w:p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وأكّد</w:t>
      </w:r>
      <w:r w:rsidRPr="00A25019">
        <w:rPr>
          <w:rFonts w:ascii="Simplified Arabic" w:hAnsi="Simplified Arabic" w:cs="Simplified Arabic"/>
          <w:color w:val="EE0000"/>
          <w:sz w:val="28"/>
          <w:szCs w:val="28"/>
          <w:lang w:bidi="ar-EG"/>
        </w:rPr>
        <w:t xml:space="preserve"> Al-Nami (2023) </w:t>
      </w:r>
      <w:r w:rsidRPr="00A25019">
        <w:rPr>
          <w:rFonts w:ascii="Simplified Arabic" w:hAnsi="Simplified Arabic" w:cs="Simplified Arabic"/>
          <w:color w:val="EE0000"/>
          <w:sz w:val="28"/>
          <w:szCs w:val="28"/>
          <w:rtl/>
        </w:rPr>
        <w:t xml:space="preserve">أن كفاءة تطبيقات التوجيه والتحكّم ترتبط بترتيب أولويات الاستراتيجيات المتّبعة، بحيث تُمنح الأولوية للمسارات والإجراءات الأكثر فاعلية في تقليل مخاطر التدافع والتزاحم وفقاً لطبيعة البيئة المكانية وحجم الحشد والظروف المحيطة، وهذا يعني أن تطبيقات التوجيه والتحكّم ليست مجرّد أدوات تنفيذية بل تتضمّن بُعداً استراتيجياً يرتبط بعملية تقييم مستمرّة للبدائل واختيار الأنسب منها في كل لحظة. </w:t>
      </w:r>
    </w:p>
    <w:p w14:paraId="4B7268A2"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t>البُعد الثالث: تحليل البيانات الحيّة</w:t>
      </w:r>
    </w:p>
    <w:p w14:paraId="7F24EAEF"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أوضح</w:t>
      </w:r>
      <w:r w:rsidRPr="00A25019">
        <w:rPr>
          <w:rFonts w:ascii="Simplified Arabic" w:hAnsi="Simplified Arabic" w:cs="Simplified Arabic"/>
          <w:color w:val="EE0000"/>
          <w:sz w:val="28"/>
          <w:szCs w:val="28"/>
          <w:lang w:bidi="ar-EG"/>
        </w:rPr>
        <w:t xml:space="preserve"> Mallick et al. (2024) </w:t>
      </w:r>
      <w:r w:rsidRPr="00A25019">
        <w:rPr>
          <w:rFonts w:ascii="Simplified Arabic" w:hAnsi="Simplified Arabic" w:cs="Simplified Arabic"/>
          <w:color w:val="EE0000"/>
          <w:sz w:val="28"/>
          <w:szCs w:val="28"/>
          <w:rtl/>
        </w:rPr>
        <w:t>أن تحليل البيانات الحيّة في سياق إدارة الحشود يتضمّن تقدير الكثافة واتجاه الحركة بشكل متزامن باستخدام شبكات عصبية عميقة، بحيث تتحوّل البيانات الخام الواردة من الكاميرات وأجهزة الاستشعار إلى مؤشرات كمّية دقيقة تشمل عدد الأفراد في كل متر مربّع وسرعة تحرّكهم واتجاهاتهم الغالبة ومستوى الخطورة في كل منطقة، وهذه المؤشرات تُحدَّث لحظياً وتُعرض على لوحات تحكّم رقمية تُمكّن صانعي القرار من قراءة الوضع الميداني بنظرة واحدة واتّخاذ الإجراء المناسب دون تأخير</w:t>
      </w:r>
      <w:r w:rsidRPr="00A25019">
        <w:rPr>
          <w:rFonts w:ascii="Simplified Arabic" w:hAnsi="Simplified Arabic" w:cs="Simplified Arabic"/>
          <w:color w:val="EE0000"/>
          <w:sz w:val="28"/>
          <w:szCs w:val="28"/>
          <w:lang w:bidi="ar-EG"/>
        </w:rPr>
        <w:t>.</w:t>
      </w:r>
    </w:p>
    <w:p w14:paraId="4655DC18"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rPr>
        <w:t>ويُعزّز</w:t>
      </w:r>
      <w:r w:rsidRPr="00A25019">
        <w:rPr>
          <w:rFonts w:ascii="Simplified Arabic" w:hAnsi="Simplified Arabic" w:cs="Simplified Arabic"/>
          <w:color w:val="EE0000"/>
          <w:sz w:val="28"/>
          <w:szCs w:val="28"/>
          <w:lang w:bidi="ar-EG"/>
        </w:rPr>
        <w:t xml:space="preserve"> Mahmood (2024) </w:t>
      </w:r>
      <w:r w:rsidRPr="00A25019">
        <w:rPr>
          <w:rFonts w:ascii="Simplified Arabic" w:hAnsi="Simplified Arabic" w:cs="Simplified Arabic"/>
          <w:color w:val="EE0000"/>
          <w:sz w:val="28"/>
          <w:szCs w:val="28"/>
          <w:rtl/>
        </w:rPr>
        <w:t xml:space="preserve">هذا المنظور حين يُشير إلى أن التحليلات المتقدّمة المبنية على الذكاء الاصطناعي والتعلّم الآلي تُتيح استكشاف أنماط مخفيّة في البيانات الضخمة لا يمكن كشفها بالتحليل </w:t>
      </w:r>
      <w:r w:rsidRPr="00A25019">
        <w:rPr>
          <w:rFonts w:ascii="Simplified Arabic" w:hAnsi="Simplified Arabic" w:cs="Simplified Arabic"/>
          <w:color w:val="EE0000"/>
          <w:sz w:val="28"/>
          <w:szCs w:val="28"/>
          <w:rtl/>
        </w:rPr>
        <w:lastRenderedPageBreak/>
        <w:t>التقليدي، كالعلاقات غير الخطّية بين متغيّرات متعدّدة والتأثيرات المتبادلة بين عوامل مختلفة ، وقد يكشف التحليل الذكي عن علاقة بين ارتفاع درجة الحرارة وتباطؤ حركة الحشود في مسارات بعينها، أو بين توقيت معيّن وزيادة الكثافة في مناطق محدّدة، وهي رؤى لا يمكن الوصول إليها بسهولة بالتحليل البشري المجرّد</w:t>
      </w:r>
      <w:r w:rsidRPr="00A25019">
        <w:rPr>
          <w:rFonts w:ascii="Simplified Arabic" w:hAnsi="Simplified Arabic" w:cs="Simplified Arabic"/>
          <w:color w:val="EE0000"/>
          <w:sz w:val="28"/>
          <w:szCs w:val="28"/>
          <w:lang w:bidi="ar-EG"/>
        </w:rPr>
        <w:t>.</w:t>
      </w:r>
    </w:p>
    <w:p w14:paraId="66E95590" w14:textId="77777777" w:rsidR="00A25019" w:rsidRPr="00A25019" w:rsidRDefault="00A25019" w:rsidP="00A25019">
      <w:p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lang w:bidi="ar-EG"/>
        </w:rPr>
        <w:t>يتبيّن من التحليل المقارن للأبعاد الثلاثة أنها لا تعمل كطبقات مستقلة بل كمنظومة دورية تبدأ بالإدراك وتنتهي بالفعل ثم تعود لتُغذّي الإدراك من جديد؛ فأنظمة المراقبة الذكية (</w:t>
      </w:r>
      <w:r w:rsidRPr="00A25019">
        <w:rPr>
          <w:rFonts w:ascii="Simplified Arabic" w:hAnsi="Simplified Arabic" w:cs="Simplified Arabic"/>
          <w:color w:val="EE0000"/>
          <w:sz w:val="28"/>
          <w:szCs w:val="28"/>
          <w:lang w:bidi="ar-EG"/>
        </w:rPr>
        <w:t>Mallick et al. 2024</w:t>
      </w:r>
      <w:r w:rsidRPr="00A25019">
        <w:rPr>
          <w:rFonts w:ascii="Simplified Arabic" w:hAnsi="Simplified Arabic" w:cs="Simplified Arabic"/>
          <w:color w:val="EE0000"/>
          <w:sz w:val="28"/>
          <w:szCs w:val="28"/>
          <w:rtl/>
          <w:lang w:bidi="ar-EG"/>
        </w:rPr>
        <w:t>) تجمع المادة الخام من البيانات البصرية والحسّية، وتحليل البيانات الحية (</w:t>
      </w:r>
      <w:r w:rsidRPr="00A25019">
        <w:rPr>
          <w:rFonts w:ascii="Simplified Arabic" w:hAnsi="Simplified Arabic" w:cs="Simplified Arabic"/>
          <w:color w:val="EE0000"/>
          <w:sz w:val="28"/>
          <w:szCs w:val="28"/>
          <w:lang w:bidi="ar-EG"/>
        </w:rPr>
        <w:t>Mahmood 2024</w:t>
      </w:r>
      <w:r w:rsidRPr="00A25019">
        <w:rPr>
          <w:rFonts w:ascii="Simplified Arabic" w:hAnsi="Simplified Arabic" w:cs="Simplified Arabic"/>
          <w:color w:val="EE0000"/>
          <w:sz w:val="28"/>
          <w:szCs w:val="28"/>
          <w:rtl/>
          <w:lang w:bidi="ar-EG"/>
        </w:rPr>
        <w:t xml:space="preserve">) يُحوّل هذه المادة الخام إلى مؤشرات كمّية ونماذج تنبّؤية تكشف أنماطاً مخفية كالعلاقة بين الظروف المناخية وتباطؤ حركة الحشود، ثم تطبيقات التوجيه والتحكم (الرشيدي 2024؛ </w:t>
      </w:r>
      <w:r w:rsidRPr="00A25019">
        <w:rPr>
          <w:rFonts w:ascii="Simplified Arabic" w:hAnsi="Simplified Arabic" w:cs="Simplified Arabic"/>
          <w:color w:val="EE0000"/>
          <w:sz w:val="28"/>
          <w:szCs w:val="28"/>
          <w:lang w:bidi="ar-EG"/>
        </w:rPr>
        <w:t>Al-Nami 2023</w:t>
      </w:r>
      <w:r w:rsidRPr="00A25019">
        <w:rPr>
          <w:rFonts w:ascii="Simplified Arabic" w:hAnsi="Simplified Arabic" w:cs="Simplified Arabic"/>
          <w:color w:val="EE0000"/>
          <w:sz w:val="28"/>
          <w:szCs w:val="28"/>
          <w:rtl/>
          <w:lang w:bidi="ar-EG"/>
        </w:rPr>
        <w:t xml:space="preserve">) تُترجم هذه المؤشرات إلى قرارات ميدانية فورية كفتح مسارات بديلة أو إعادة توزيع التدفقات، وما ينتج عن هذه القرارات من تغيّر في حركة الحشود يُولّد بيانات جديدة ترصدها أنظمة المراقبة فتبدأ الدورة مجدّداً. </w:t>
      </w:r>
    </w:p>
    <w:p w14:paraId="20847524" w14:textId="77777777" w:rsidR="00A25019" w:rsidRPr="00A25019" w:rsidRDefault="00A25019" w:rsidP="00A25019">
      <w:pPr>
        <w:jc w:val="center"/>
        <w:rPr>
          <w:rFonts w:ascii="Simplified Arabic" w:hAnsi="Simplified Arabic" w:cs="Simplified Arabic"/>
          <w:color w:val="EE0000"/>
          <w:sz w:val="28"/>
          <w:szCs w:val="28"/>
          <w:rtl/>
        </w:rPr>
      </w:pPr>
    </w:p>
    <w:p w14:paraId="148EBB46" w14:textId="77777777" w:rsidR="00A25019" w:rsidRPr="00A25019" w:rsidRDefault="00A25019" w:rsidP="00A25019">
      <w:pPr>
        <w:jc w:val="center"/>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t>المبحث الرابع: العلاقة بين متغيّرات الدراسة</w:t>
      </w:r>
    </w:p>
    <w:p w14:paraId="42B33410"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t>تمهيد</w:t>
      </w:r>
    </w:p>
    <w:p w14:paraId="6FE11629"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بعد أن تناولت المباحث الثلاثة السابقة كلّاً من ممارسات الاستدامة بأبعادها البيئية والاقتصادية والاجتماعية بوصفها المتغيّر المستقل، وكفاءة إدارة الحشود بأبعادها المتمثّلة في الانسيابية في الحركة وسرعة الاستجابة وتقليل التكدّس والازدحام بوصفها المتغيّر التابع، والتكنولوجيا الذكية بأبعادها المتمثّلة في أنظمة المراقبة الذكية وتطبيقات التوجيه والتحكّم وتحليل البيانات الحيّة بوصفها المتغيّر الوسيط</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يأتي هذا المبحث ليُعالج الروابط النظرية والمنطقية بين هذه المتغيّرات الثلاثة ويُؤسّس لفرضيات الدراسة من خلال استعراض ما قدّمته الأدبيات البحثية من تأصيل نظري وتفسيرات علمية لطبيعة هذه العلاقات واتجاهاتها وآلياتها. ويتناول المبحث ثلاث علاقات رئيسة: العلاقة المباشرة بين ممارسات الاستدامة وكفاءة إدارة الحشود، والعلاقة بين ممارسات الاستدامة والتكنولوجيا الذكية، والعلاقة بين التكنولوجيا الذكية وكفاءة إدارة الحشود، وصولاً إلى تفسير الدور الوسيط للتكنولوجيا الذكية في نقل أثر ممارسات الاستدامة إلى كفاءة إدارة الحشود</w:t>
      </w:r>
      <w:r w:rsidRPr="00A25019">
        <w:rPr>
          <w:rFonts w:ascii="Simplified Arabic" w:hAnsi="Simplified Arabic" w:cs="Simplified Arabic"/>
          <w:color w:val="EE0000"/>
          <w:sz w:val="28"/>
          <w:szCs w:val="28"/>
          <w:lang w:bidi="ar-EG"/>
        </w:rPr>
        <w:t>.</w:t>
      </w:r>
    </w:p>
    <w:p w14:paraId="291C269F"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t>أوّلاً: العلاقة بين ممارسات الاستدامة وكفاءة إدارة الحشود</w:t>
      </w:r>
    </w:p>
    <w:p w14:paraId="380261D4"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lastRenderedPageBreak/>
        <w:t>تقوم العلاقة بين ممارسات الاستدامة وكفاءة إدارة الحشود على منطق نظري مفاده أن تبنّي المنظّمة لممارسات مستدامة بيئياً واقتصادياً واجتماعياً يُهيّئ الظروف الهيكلية والتشغيلية التي تُمكّن من تحقيق مستويات أعلى من الانسيابية في حركة الحشود وسرعة الاستجابة للمتغيّرات وتقليل مظاهر التكدّس والازدحام، وهذا المنطق لا يفترض علاقة ميكانيكية مباشرة بين المتغيّرين بقدر ما يُؤسّس لعلاقة بنيوية تتحقّق من خلال عدّة مسارات متكاملة</w:t>
      </w:r>
      <w:r w:rsidRPr="00A25019">
        <w:rPr>
          <w:rFonts w:ascii="Simplified Arabic" w:hAnsi="Simplified Arabic" w:cs="Simplified Arabic"/>
          <w:color w:val="EE0000"/>
          <w:sz w:val="28"/>
          <w:szCs w:val="28"/>
          <w:lang w:bidi="ar-EG"/>
        </w:rPr>
        <w:t>.</w:t>
      </w:r>
    </w:p>
    <w:p w14:paraId="4E6FC11B"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و أوضح</w:t>
      </w:r>
      <w:r w:rsidRPr="00A25019">
        <w:rPr>
          <w:rFonts w:ascii="Simplified Arabic" w:hAnsi="Simplified Arabic" w:cs="Simplified Arabic"/>
          <w:color w:val="EE0000"/>
          <w:sz w:val="28"/>
          <w:szCs w:val="28"/>
          <w:lang w:bidi="ar-EG"/>
        </w:rPr>
        <w:t xml:space="preserve"> Osra et al. (2021) </w:t>
      </w:r>
      <w:r w:rsidRPr="00A25019">
        <w:rPr>
          <w:rFonts w:ascii="Simplified Arabic" w:hAnsi="Simplified Arabic" w:cs="Simplified Arabic"/>
          <w:color w:val="EE0000"/>
          <w:sz w:val="28"/>
          <w:szCs w:val="28"/>
          <w:rtl/>
        </w:rPr>
        <w:t>أن إدارة الموارد البيئية بكفاءة في منظومة الحج  من حيث ترشيد استهلاك المياه وإدارة النفايات الصلبة وخفض الانبعاثات  تنعكس إيجابياً على جودة البيئة المكانية التي يتحرّك فيها الحجّاج، فتراكم النفايات وتلوّث الهواء وشحّ المياه تُمثّل عوامل تُعيق حركة الحشود وتُبطئ استجابة المنظومة وتزيد من احتمالات التكدّس في المناطق التي تتوافر فيها الخدمات على حساب المناطق المحرومة منها، ويتّصل بذلك ما أشار إليه سحنون (2023) من أن ممارسات الاستدامة في المؤسّسات الصناعية تُسهم في تحسين بيئة العمل وتقليل الأعطال والتوقّفات الناجمة عن سوء إدارة الموارد، وهو منطق ينطبق على منظومة الحج حيث يُؤدّي ترشيد الموارد إلى استمرارية تشغيل المرافق دون انقطاع وتوزيع الخدمات بشكل أكثر عدالة وانتظاماً</w:t>
      </w:r>
      <w:r w:rsidRPr="00A25019">
        <w:rPr>
          <w:rFonts w:ascii="Simplified Arabic" w:hAnsi="Simplified Arabic" w:cs="Simplified Arabic"/>
          <w:color w:val="EE0000"/>
          <w:sz w:val="28"/>
          <w:szCs w:val="28"/>
          <w:lang w:bidi="ar-EG"/>
        </w:rPr>
        <w:t>.</w:t>
      </w:r>
    </w:p>
    <w:p w14:paraId="30500067"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و أكّد أبو خشبة (2022) أن ممارسات الاستدامة في سلاسل التوريد تُؤثّر إيجابياً في الأداء المستدام من خلال تحسين كفاءة استخدام الموارد وتقليل الفاقد وتعزيز ابتكار العمليات،  وبإسقاط هذا المنطق على منظومة الحج، فإن الاستثمار المستدام في البنية التحتية والتخطيط المالي طويل المدى يُتيح توفير مسارات متعدّدة ومرافق كافية وأنظمة نقل فعّالة، وهي عوامل تُسهم مباشرة في تحسين انسيابية الحركة وتقليل الازدحام،  كما أشار محمود وعثمان (2024) إلى أن ممارسات الاستدامة في سلاسل الإمداد تُؤثّر إيجابياً في الكفاءة التشغيلية للشركات، وقد أكّدا أن هذا التأثير يتعزّز حين يتوسّط التحوّل الرقمي هذه العلاقة، وهو ما يُقدّم دعماً نظرياً مبدئياً لنموذج الدراسة الحالية الذي يفترض دوراً وسيطاً للتكنولوجيا الذكية</w:t>
      </w:r>
      <w:r w:rsidRPr="00A25019">
        <w:rPr>
          <w:rFonts w:ascii="Simplified Arabic" w:hAnsi="Simplified Arabic" w:cs="Simplified Arabic"/>
          <w:color w:val="EE0000"/>
          <w:sz w:val="28"/>
          <w:szCs w:val="28"/>
          <w:lang w:bidi="ar-EG"/>
        </w:rPr>
        <w:t>.</w:t>
      </w:r>
    </w:p>
    <w:p w14:paraId="082C2FDC"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 xml:space="preserve">وتُشير وزارة الحج والعمرة (2023) إلى أن تطوير منظومة الخدمات وفق معايير الاستدامة يُسهم في رفع كفاءة إدارة المواسم، حيث يُتيح التخطيط المستدام توزيعاً أفضل للموارد وتنسيقاً أكثر فعالية بين الجهات المسؤولة، وهو ما ينعكس على مؤشرات كفاءة إدارة الحشود كمعدّلات التدفّق وأزمنة الانتظار ومعدّلات الحوادث. كما تُدعّم الهيئة العامة للإحصاء (2025) هذا الطرح من خلال البيانات التي تُظهر ارتباطاً </w:t>
      </w:r>
      <w:r w:rsidRPr="00A25019">
        <w:rPr>
          <w:rFonts w:ascii="Simplified Arabic" w:hAnsi="Simplified Arabic" w:cs="Simplified Arabic"/>
          <w:color w:val="EE0000"/>
          <w:sz w:val="28"/>
          <w:szCs w:val="28"/>
          <w:rtl/>
        </w:rPr>
        <w:lastRenderedPageBreak/>
        <w:t>بين تحسين البنية التحتية والخدمات بوصفها مخرجات لممارسات الاستدامة</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وتحسّن مؤشرات أداء إدارة الحشود عبر المواسم المتعاقبة</w:t>
      </w:r>
      <w:r w:rsidRPr="00A25019">
        <w:rPr>
          <w:rFonts w:ascii="Simplified Arabic" w:hAnsi="Simplified Arabic" w:cs="Simplified Arabic"/>
          <w:color w:val="EE0000"/>
          <w:sz w:val="28"/>
          <w:szCs w:val="28"/>
          <w:lang w:bidi="ar-EG"/>
        </w:rPr>
        <w:t>.</w:t>
      </w:r>
    </w:p>
    <w:p w14:paraId="2234C67E"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t>ثانياً: العلاقة بين ممارسات الاستدامة والتكنولوجيا الذكية</w:t>
      </w:r>
    </w:p>
    <w:p w14:paraId="5DAF92C2"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تستند العلاقة بين ممارسات الاستدامة والتكنولوجيا الذكية إلى منطق نظري يرى أن تبنّي التوجّهات المستدامة يُولّد حاجة مؤسّسية إلى أدوات ذكية قادرة على ترجمة هذه التوجّهات إلى ممارسات تشغيلية قابلة للقياس والتحسين، كما أن التكنولوجيا الذكية بدورها تُوفّر البنية التقنية التي تُمكّن من تطبيق ممارسات الاستدامة بكفاءة أعلى وتكلفة أقل</w:t>
      </w:r>
      <w:r w:rsidRPr="00A25019">
        <w:rPr>
          <w:rFonts w:ascii="Simplified Arabic" w:hAnsi="Simplified Arabic" w:cs="Simplified Arabic"/>
          <w:color w:val="EE0000"/>
          <w:sz w:val="28"/>
          <w:szCs w:val="28"/>
          <w:lang w:bidi="ar-EG"/>
        </w:rPr>
        <w:t>.</w:t>
      </w:r>
    </w:p>
    <w:p w14:paraId="339E0527"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وقد أكّد</w:t>
      </w:r>
      <w:r w:rsidRPr="00A25019">
        <w:rPr>
          <w:rFonts w:ascii="Simplified Arabic" w:hAnsi="Simplified Arabic" w:cs="Simplified Arabic"/>
          <w:color w:val="EE0000"/>
          <w:sz w:val="28"/>
          <w:szCs w:val="28"/>
          <w:lang w:bidi="ar-EG"/>
        </w:rPr>
        <w:t xml:space="preserve"> Popova et al. (2023) </w:t>
      </w:r>
      <w:r w:rsidRPr="00A25019">
        <w:rPr>
          <w:rFonts w:ascii="Simplified Arabic" w:hAnsi="Simplified Arabic" w:cs="Simplified Arabic"/>
          <w:color w:val="EE0000"/>
          <w:sz w:val="28"/>
          <w:szCs w:val="28"/>
          <w:rtl/>
        </w:rPr>
        <w:t>وجود علاقة ذات دلالة إحصائية بين استخدام التكنولوجيا الذكية والاستدامة المؤسّسية والسلوك الاقتصادي للشركات، حيث تناول هذا الإطار العلاقة من منظور الأنظمة الفيزيائية-السيبرانية التي تدمج تكنولوجيا المعلومات في العمليات المادية لتحقيق أهداف الاستدامة، وأوضحت نتائج دراستهم أن زيادة استخدام التكنولوجيا الذكية ترتبط بتحسّن مؤشرات التنمية الاقتصادية، وإن كانت قوة هذا الارتباط متفاوتة بحسب السياق المؤسّسي، مما يُشير إلى أن العلاقة ليست آلية بل مشروطة بعوامل سياقية تشمل البنية التحتية والكوادر البشرية والحوكمة المؤسّسية</w:t>
      </w:r>
      <w:r w:rsidRPr="00A25019">
        <w:rPr>
          <w:rFonts w:ascii="Simplified Arabic" w:hAnsi="Simplified Arabic" w:cs="Simplified Arabic"/>
          <w:color w:val="EE0000"/>
          <w:sz w:val="28"/>
          <w:szCs w:val="28"/>
          <w:lang w:bidi="ar-EG"/>
        </w:rPr>
        <w:t>.</w:t>
      </w:r>
    </w:p>
    <w:p w14:paraId="5038797E"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و أوضح</w:t>
      </w:r>
      <w:r w:rsidRPr="00A25019">
        <w:rPr>
          <w:rFonts w:ascii="Simplified Arabic" w:hAnsi="Simplified Arabic" w:cs="Simplified Arabic"/>
          <w:color w:val="EE0000"/>
          <w:sz w:val="28"/>
          <w:szCs w:val="28"/>
          <w:lang w:bidi="ar-EG"/>
        </w:rPr>
        <w:t xml:space="preserve"> Aivazidou et al. (2021) </w:t>
      </w:r>
      <w:r w:rsidRPr="00A25019">
        <w:rPr>
          <w:rFonts w:ascii="Simplified Arabic" w:hAnsi="Simplified Arabic" w:cs="Simplified Arabic"/>
          <w:color w:val="EE0000"/>
          <w:sz w:val="28"/>
          <w:szCs w:val="28"/>
          <w:rtl/>
        </w:rPr>
        <w:t>أن التكنولوجيا الذكية تُمكّن من تطبيق ممارسات الاستدامة البيئية بفعالية أعلى من خلال شبكات الاستشعار الذكية التي تُراقب استهلاك الموارد الطبيعية وتُحدّد أنماط الهدر وتُقدّم حلولاً تصحيحية آنية، وهو ما يعني أن الممارسات البيئية المستدامة تجد في التكنولوجيا الذكية أداة تنفيذية تُعظّم أثرها وتُرفع كفاءتها .</w:t>
      </w:r>
    </w:p>
    <w:p w14:paraId="2199A5D3"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كما أكّد</w:t>
      </w:r>
      <w:r w:rsidRPr="00A25019">
        <w:rPr>
          <w:rFonts w:ascii="Simplified Arabic" w:hAnsi="Simplified Arabic" w:cs="Simplified Arabic"/>
          <w:color w:val="EE0000"/>
          <w:sz w:val="28"/>
          <w:szCs w:val="28"/>
          <w:lang w:bidi="ar-EG"/>
        </w:rPr>
        <w:t xml:space="preserve"> Lee et al. (2023) </w:t>
      </w:r>
      <w:r w:rsidRPr="00A25019">
        <w:rPr>
          <w:rFonts w:ascii="Simplified Arabic" w:hAnsi="Simplified Arabic" w:cs="Simplified Arabic"/>
          <w:color w:val="EE0000"/>
          <w:sz w:val="28"/>
          <w:szCs w:val="28"/>
          <w:rtl/>
        </w:rPr>
        <w:t>أن تبنّي تقنيات سلاسل الإمداد الذكية يرتبط ارتباطاً وثيقاً بممارسات الإدارة المستدامة، حيث تُمكّن هذه التقنيات من تحسين الشفافية والتتبّع والاستجابة في سلسلة العمليات، وهي متطلّبات أساسية لتطبيق ممارسات الاستدامة بفعالية،  و أشار</w:t>
      </w:r>
      <w:r w:rsidRPr="00A25019">
        <w:rPr>
          <w:rFonts w:ascii="Simplified Arabic" w:hAnsi="Simplified Arabic" w:cs="Simplified Arabic"/>
          <w:color w:val="EE0000"/>
          <w:sz w:val="28"/>
          <w:szCs w:val="28"/>
          <w:lang w:bidi="ar-EG"/>
        </w:rPr>
        <w:t xml:space="preserve"> Hwang et al. (2022) </w:t>
      </w:r>
      <w:r w:rsidRPr="00A25019">
        <w:rPr>
          <w:rFonts w:ascii="Simplified Arabic" w:hAnsi="Simplified Arabic" w:cs="Simplified Arabic"/>
          <w:color w:val="EE0000"/>
          <w:sz w:val="28"/>
          <w:szCs w:val="28"/>
          <w:rtl/>
        </w:rPr>
        <w:t>إلى أن التحدّيات والاستراتيجيات المرتبطة بتبنّي التقنيات الذكية تتشابك مع أهداف الاستدامة، حيث إن تحسين السلامة وخفض التكاليف ورفع الإنتاجية</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 xml:space="preserve">وهي أهداف مشتركة بين الاستدامة والتكنولوجيا الذكية  تُنشئ حلقة تعزيز متبادل بين المتغيّرين. </w:t>
      </w:r>
    </w:p>
    <w:p w14:paraId="1E7B5B55"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lastRenderedPageBreak/>
        <w:t>و يُشير الفرائضي</w:t>
      </w:r>
      <w:r w:rsidRPr="00A25019">
        <w:rPr>
          <w:rFonts w:ascii="Simplified Arabic" w:hAnsi="Simplified Arabic" w:cs="Simplified Arabic"/>
          <w:color w:val="EE0000"/>
          <w:sz w:val="28"/>
          <w:szCs w:val="28"/>
          <w:lang w:bidi="ar-EG"/>
        </w:rPr>
        <w:t xml:space="preserve"> (2025) </w:t>
      </w:r>
      <w:r w:rsidRPr="00A25019">
        <w:rPr>
          <w:rFonts w:ascii="Simplified Arabic" w:hAnsi="Simplified Arabic" w:cs="Simplified Arabic"/>
          <w:color w:val="EE0000"/>
          <w:sz w:val="28"/>
          <w:szCs w:val="28"/>
          <w:rtl/>
        </w:rPr>
        <w:t>إلى أن تحسين الإدارة الذكية لحشود الحجّاج يرتبط بالتخطيط الاستراتيجي الذي يستوعب أهداف الاستدامة ضمن أولوياته، مما يعني أن ممارسات الاستدامة تُشكّل الإطار الاستراتيجي الذي يُوجّه توظيف التكنولوجيا الذكية ويُحدّد أولوياته، كما أكّد الرشيدي (2024) أن فعالية تطبيقات الذكاء الاصطناعي في إدارة الحشود ترتبط بمدى تكاملها مع الأهداف الاستراتيجية الشاملة للمنظومة، التي تتضمّن بالضرورة أبعاد الاستدامة البيئية والاقتصادية والاجتماعية</w:t>
      </w:r>
      <w:r w:rsidRPr="00A25019">
        <w:rPr>
          <w:rFonts w:ascii="Simplified Arabic" w:hAnsi="Simplified Arabic" w:cs="Simplified Arabic"/>
          <w:color w:val="EE0000"/>
          <w:sz w:val="28"/>
          <w:szCs w:val="28"/>
          <w:lang w:bidi="ar-EG"/>
        </w:rPr>
        <w:t>.</w:t>
      </w:r>
    </w:p>
    <w:p w14:paraId="7D6B90E2"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t>ثالثاً: العلاقة بين التكنولوجيا الذكية وكفاءة إدارة الحشود</w:t>
      </w:r>
    </w:p>
    <w:p w14:paraId="22A23978"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تُمثّل العلاقة بين التكنولوجيا الذكية وكفاءة إدارة الحشود المسار الثاني في نموذج الوساطة، وهي العلاقة التي تربط المتغيّر الوسيط بالمتغيّر التابع. وتستند هذه العلاقة إلى منطق نظري واضح مفاده أن الأدوات التقنية الذكية بأبعادها الثلاثة: المراقبة والتوجيه والتحليل تُسهم مباشرة في تحسين مؤشرات كفاءة إدارة الحشود من حيث الانسيابية والاستجابة وتقليل التكدّس</w:t>
      </w:r>
      <w:r w:rsidRPr="00A25019">
        <w:rPr>
          <w:rFonts w:ascii="Simplified Arabic" w:hAnsi="Simplified Arabic" w:cs="Simplified Arabic"/>
          <w:color w:val="EE0000"/>
          <w:sz w:val="28"/>
          <w:szCs w:val="28"/>
          <w:lang w:bidi="ar-EG"/>
        </w:rPr>
        <w:t>.</w:t>
      </w:r>
    </w:p>
    <w:p w14:paraId="448384BD"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 xml:space="preserve">وقد أكّد طيبة وعقيلي وخوج (2025) أن استخدام تقنيات الذكاء الاصطناعي يُؤثّر تأثيراً إيجابياً في إدارة الحشود بالمسجد الحرام، حيث تُمكّن هذه التقنيات من رصد الكثافات في المسارات الحرجة واتّخاذ قرارات فورية بشأن تنظيم التدفّقات. ويتّصل بذلك ما أكّده الرشيدي </w:t>
      </w:r>
      <w:r w:rsidRPr="00A25019">
        <w:rPr>
          <w:rFonts w:ascii="Simplified Arabic" w:hAnsi="Simplified Arabic" w:cs="Simplified Arabic"/>
          <w:color w:val="EE0000"/>
          <w:sz w:val="28"/>
          <w:szCs w:val="28"/>
          <w:lang w:bidi="ar-EG"/>
        </w:rPr>
        <w:t xml:space="preserve">(2024) </w:t>
      </w:r>
      <w:r w:rsidRPr="00A25019">
        <w:rPr>
          <w:rFonts w:ascii="Simplified Arabic" w:hAnsi="Simplified Arabic" w:cs="Simplified Arabic"/>
          <w:color w:val="EE0000"/>
          <w:sz w:val="28"/>
          <w:szCs w:val="28"/>
          <w:rtl/>
        </w:rPr>
        <w:t>من وجود علاقة ارتباطية ذات دلالة إحصائية بين أبعاد التخطيط الاستراتيجي القائم على الذكاء الاصطناعي ودرجة كفاءة إدارة الحشود والأزمات بالحرمين الشريفين، حيث إن التقنيات الذكية تُمكّن من التنبّؤ بسلوك الحشود واتّخاذ قرارات استباقية تمنع تفاقم المشكلات</w:t>
      </w:r>
      <w:r w:rsidRPr="00A25019">
        <w:rPr>
          <w:rFonts w:ascii="Simplified Arabic" w:hAnsi="Simplified Arabic" w:cs="Simplified Arabic"/>
          <w:color w:val="EE0000"/>
          <w:sz w:val="28"/>
          <w:szCs w:val="28"/>
          <w:lang w:bidi="ar-EG"/>
        </w:rPr>
        <w:t>.</w:t>
      </w:r>
    </w:p>
    <w:p w14:paraId="04881FD4"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كما أشار أحمد (2024) إلى أن تطبيقات الذكاء الاصطناعي في إدارة الحشود — بما تشمله من كاميرات ذكية وأنظمة تعرّف بالترددات الراديوية وأنظمة تحليل السلوك الجماعي — تُسهم في تحسين قدرة المنظومة على إبقاء أفراد الحشد في حالة آمنة ومنظّمة من خلال الفهم العميق لديناميكيات الحشد والتدخّل الفوري عند ظهور مؤشرات الخطر، و أكّد</w:t>
      </w:r>
      <w:r w:rsidRPr="00A25019">
        <w:rPr>
          <w:rFonts w:ascii="Simplified Arabic" w:hAnsi="Simplified Arabic" w:cs="Simplified Arabic"/>
          <w:color w:val="EE0000"/>
          <w:sz w:val="28"/>
          <w:szCs w:val="28"/>
          <w:lang w:bidi="ar-EG"/>
        </w:rPr>
        <w:t xml:space="preserve"> Almutairi et al. (2021) </w:t>
      </w:r>
      <w:r w:rsidRPr="00A25019">
        <w:rPr>
          <w:rFonts w:ascii="Simplified Arabic" w:hAnsi="Simplified Arabic" w:cs="Simplified Arabic"/>
          <w:color w:val="EE0000"/>
          <w:sz w:val="28"/>
          <w:szCs w:val="28"/>
          <w:rtl/>
        </w:rPr>
        <w:t>أن توظيف الذكاء الاصطناعي في إدارة الحشود يُعزّز كفاءة المنظومة خاصة في الظروف الاستثنائية، حيث أظهرت تجربة إدارة الحج خلال جائحة كوفيد-19 أن التقنيات الذكية مكّنت من تطبيق بروتوكولات تباعد صارمة وإدارة تدفّقات محدودة بدقّة عالية،  كما أشار</w:t>
      </w:r>
      <w:r w:rsidRPr="00A25019">
        <w:rPr>
          <w:rFonts w:ascii="Simplified Arabic" w:hAnsi="Simplified Arabic" w:cs="Simplified Arabic"/>
          <w:color w:val="EE0000"/>
          <w:sz w:val="28"/>
          <w:szCs w:val="28"/>
          <w:lang w:bidi="ar-EG"/>
        </w:rPr>
        <w:t xml:space="preserve"> Almutairi (2024) </w:t>
      </w:r>
      <w:r w:rsidRPr="00A25019">
        <w:rPr>
          <w:rFonts w:ascii="Simplified Arabic" w:hAnsi="Simplified Arabic" w:cs="Simplified Arabic"/>
          <w:color w:val="EE0000"/>
          <w:sz w:val="28"/>
          <w:szCs w:val="28"/>
          <w:rtl/>
        </w:rPr>
        <w:t xml:space="preserve">إلى أن الأُطر التقنية الحديثة لإدارة الحشود تُحسّن الكفاءة من </w:t>
      </w:r>
      <w:r w:rsidRPr="00A25019">
        <w:rPr>
          <w:rFonts w:ascii="Simplified Arabic" w:hAnsi="Simplified Arabic" w:cs="Simplified Arabic"/>
          <w:color w:val="EE0000"/>
          <w:sz w:val="28"/>
          <w:szCs w:val="28"/>
          <w:rtl/>
        </w:rPr>
        <w:lastRenderedPageBreak/>
        <w:t xml:space="preserve">خلال الربط بين مصادر البيانات المتعدّدة وأدوات اتّخاذ القرار الفوري وآليات التنفيذ الميداني في منظومة واحدة متكاملة،  </w:t>
      </w:r>
    </w:p>
    <w:p w14:paraId="7539C155"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ومن ناحية المنظومة الرسمية، تُشير وزارة الحج والعمرة (2023) إلى أن التقنيات الذكية باتت مكوّناً أساسياً في استراتيجية تطوير إدارة المواسم، حيث أسهمت في تحسين مؤشرات الأداء التشغيلي، كما تُدعّم الهيئة العامة للإحصاء (2025) هذا الطرح من خلال بيانات تُظهر تحسّناً في مؤشرات التدفّق وأزمنة الانتظار ومعدّلات الحوادث بالتزامن مع تطوّر المنظومة التقنية عبر المواسم المتعاقبة</w:t>
      </w:r>
      <w:r w:rsidRPr="00A25019">
        <w:rPr>
          <w:rFonts w:ascii="Simplified Arabic" w:hAnsi="Simplified Arabic" w:cs="Simplified Arabic"/>
          <w:color w:val="EE0000"/>
          <w:sz w:val="28"/>
          <w:szCs w:val="28"/>
          <w:lang w:bidi="ar-EG"/>
        </w:rPr>
        <w:t>.</w:t>
      </w:r>
    </w:p>
    <w:p w14:paraId="43BAD85C"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t>رابعاً: الدور الوسيط للتكنولوجيا الذكية في العلاقة بين ممارسات الاستدامة وكفاءة إدارة الحشود</w:t>
      </w:r>
    </w:p>
    <w:p w14:paraId="720B0C46"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يُمثّل الدور الوسيط للتكنولوجيا الذكية جوهر النموذج النظري للدراسة الحالية، إذ يفترض أن أثر ممارسات الاستدامة على كفاءة إدارة الحشود لا يتحقّق بكامل قوّته بشكل مباشر فحسب، بل ينتقل جزء جوهري منه عبر التكنولوجيا الذكية التي تعمل كآلية تحويل تُترجم التوجّهات الاستراتيجية المستدامة إلى ممارسات تشغيلية ذكية تُحسّن الأداء الميداني لإدارة الحشود، ويمكن تفسير هذا الدور الوسيط من خلال عدّة مسارات نظرية متكاملة</w:t>
      </w:r>
      <w:r w:rsidRPr="00A25019">
        <w:rPr>
          <w:rFonts w:ascii="Simplified Arabic" w:hAnsi="Simplified Arabic" w:cs="Simplified Arabic"/>
          <w:color w:val="EE0000"/>
          <w:sz w:val="28"/>
          <w:szCs w:val="28"/>
          <w:lang w:bidi="ar-EG"/>
        </w:rPr>
        <w:t>.</w:t>
      </w:r>
    </w:p>
    <w:p w14:paraId="2CE2C4E1"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المسار الأوّل هو مسار التحويل الرقمي لممارسات الاستدامة، حيث أكّد محمود وعثمان (2024) أن التحوّل الرقمي يلعب دوراً وسيطاً إيجابياً في تعزيز التأثيرات الإيجابية لممارسات الاستدامة على الكفاءة التشغيلية، وأنه يُحوّل الممارسات المستدامة من توجّهات استراتيجية عامة إلى عمليات رقمية قابلة للقياس والمتابعة والتحسين المستمرّ.</w:t>
      </w:r>
    </w:p>
    <w:p w14:paraId="12A7B180"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rPr>
        <w:t>والمسار الثاني هو مسار ترجمة المعايير المستدامة  إلى مؤشرات رقمية، حيث يُوضّح</w:t>
      </w:r>
      <w:r w:rsidRPr="00A25019">
        <w:rPr>
          <w:rFonts w:ascii="Simplified Arabic" w:hAnsi="Simplified Arabic" w:cs="Simplified Arabic"/>
          <w:color w:val="EE0000"/>
          <w:sz w:val="28"/>
          <w:szCs w:val="28"/>
          <w:lang w:bidi="ar-EG"/>
        </w:rPr>
        <w:t xml:space="preserve"> Popova et al. (2023) </w:t>
      </w:r>
      <w:r w:rsidRPr="00A25019">
        <w:rPr>
          <w:rFonts w:ascii="Simplified Arabic" w:hAnsi="Simplified Arabic" w:cs="Simplified Arabic"/>
          <w:color w:val="EE0000"/>
          <w:sz w:val="28"/>
          <w:szCs w:val="28"/>
          <w:rtl/>
        </w:rPr>
        <w:t xml:space="preserve">أن التكنولوجيا الذكية تُمكّن من قياس العلاقة بين الاستدامة المؤسّسية والسلوك الاقتصادي من خلال نماذج هيكلية تربط بين المؤشرات، وهو ما يعني أنها تُحوّل المفاهيم المستدامة  المجرّدة  مثل ترشيد الموارد وتقليل المخاطر وتحسين الجودة  إلى مؤشرات رقمية قابلة للرصد الآني والتصحيح الفوري. </w:t>
      </w:r>
    </w:p>
    <w:p w14:paraId="46513319"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حيث يُشير</w:t>
      </w:r>
      <w:r w:rsidRPr="00A25019">
        <w:rPr>
          <w:rFonts w:ascii="Simplified Arabic" w:hAnsi="Simplified Arabic" w:cs="Simplified Arabic"/>
          <w:color w:val="EE0000"/>
          <w:sz w:val="28"/>
          <w:szCs w:val="28"/>
          <w:lang w:bidi="ar-EG"/>
        </w:rPr>
        <w:t xml:space="preserve"> Mahmoud et al. (2025) </w:t>
      </w:r>
      <w:r w:rsidRPr="00A25019">
        <w:rPr>
          <w:rFonts w:ascii="Simplified Arabic" w:hAnsi="Simplified Arabic" w:cs="Simplified Arabic"/>
          <w:color w:val="EE0000"/>
          <w:sz w:val="28"/>
          <w:szCs w:val="28"/>
          <w:rtl/>
        </w:rPr>
        <w:t xml:space="preserve">إلى أن التكنولوجيا الذكية تُحوّل البيانات التشغيلية إلى معرفة مؤسّسية تُغذّي دورات التحسين المستمرّ. وفي سياق الدراسة الحالية، يعني ذلك أن ممارسات الاستدامة تُنتج توجّهات وسياسات، والتكنولوجيا الذكية تُحوّل هذه التوجّهات إلى ممارسات ميدانية وترصد نتائجها وتُعيد تغذية دورة التخطيط بدروس مستفادة، مما يُنشئ حلقة تحسين مستمرّ تتصاعد فيها كفاءة إدارة </w:t>
      </w:r>
      <w:r w:rsidRPr="00A25019">
        <w:rPr>
          <w:rFonts w:ascii="Simplified Arabic" w:hAnsi="Simplified Arabic" w:cs="Simplified Arabic"/>
          <w:color w:val="EE0000"/>
          <w:sz w:val="28"/>
          <w:szCs w:val="28"/>
          <w:rtl/>
        </w:rPr>
        <w:lastRenderedPageBreak/>
        <w:t>الحشود مع كل موسم،  ويدعم ذلك ما أكّده الرشيدي (2024) من أن التخطيط الاستراتيجي القائم على الذكاء الاصطناعي يُمكّن من بناء منظومة إدارة حشود ذاتية التطوّر تستفيد من بيانات كل موسم في تحسين الموسم التالي</w:t>
      </w:r>
      <w:r w:rsidRPr="00A25019">
        <w:rPr>
          <w:rFonts w:ascii="Simplified Arabic" w:hAnsi="Simplified Arabic" w:cs="Simplified Arabic"/>
          <w:color w:val="EE0000"/>
          <w:sz w:val="28"/>
          <w:szCs w:val="28"/>
          <w:lang w:bidi="ar-EG"/>
        </w:rPr>
        <w:t>.</w:t>
      </w:r>
    </w:p>
    <w:p w14:paraId="34221761" w14:textId="77777777" w:rsidR="00A25019" w:rsidRPr="00A25019" w:rsidRDefault="00A25019" w:rsidP="00A25019">
      <w:pPr>
        <w:jc w:val="both"/>
        <w:rPr>
          <w:rFonts w:ascii="Simplified Arabic" w:hAnsi="Simplified Arabic" w:cs="Simplified Arabic"/>
          <w:b/>
          <w:bCs/>
          <w:color w:val="EE0000"/>
          <w:sz w:val="28"/>
          <w:szCs w:val="28"/>
          <w:lang w:bidi="ar-EG"/>
        </w:rPr>
      </w:pPr>
      <w:r w:rsidRPr="00A25019">
        <w:rPr>
          <w:rFonts w:ascii="Simplified Arabic" w:hAnsi="Simplified Arabic" w:cs="Simplified Arabic"/>
          <w:b/>
          <w:bCs/>
          <w:color w:val="EE0000"/>
          <w:sz w:val="28"/>
          <w:szCs w:val="28"/>
          <w:rtl/>
        </w:rPr>
        <w:t>خامساً: النموذج التكاملي للعلاقة بين المتغيّرات</w:t>
      </w:r>
    </w:p>
    <w:p w14:paraId="1AE7C127"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يتّضح ممّا سبق أن العلاقة بين متغيّرات الدراسة الثلاثة تتشكّل وفق نموذج تكاملي يمكن وصفه على النحو التالي</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تُمثّل ممارسات الاستدامة بأبعادها الثلاثة البيئية والاقتصادية والاجتماعية الإطار الاستراتيجي الذي يُحدّد التوجّهات والمعايير والأولويات التي تحكم عمل منظومة الحج والعمرة. وتعمل التكنولوجيا الذكية بأبعادها الثلاثة أنظمة المراقبة الذكية وتطبيقات التوجيه والتحكّم وتحليل البيانات الحيّة — كآلية تحويل وتمكين تُترجم هذه التوجّهات الاستراتيجية إلى ممارسات تشغيلية ذكية وآنية وقابلة للقياس والتحسين المستمرّ. وتتجلّى نتائج هذا التحويل في كفاءة إدارة الحشود بأبعادها الثلاثة الانسيابية في الحركة وسرعة الاستجابة وتقليل التكدّس والازدحام</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color w:val="EE0000"/>
          <w:sz w:val="28"/>
          <w:szCs w:val="28"/>
          <w:rtl/>
        </w:rPr>
        <w:t>التي تُمثّل المخرجات التشغيلية الملموسة للمنظومة</w:t>
      </w:r>
      <w:r w:rsidRPr="00A25019">
        <w:rPr>
          <w:rFonts w:ascii="Simplified Arabic" w:hAnsi="Simplified Arabic" w:cs="Simplified Arabic"/>
          <w:color w:val="EE0000"/>
          <w:sz w:val="28"/>
          <w:szCs w:val="28"/>
          <w:lang w:bidi="ar-EG"/>
        </w:rPr>
        <w:t>.</w:t>
      </w:r>
    </w:p>
    <w:p w14:paraId="47E9B1A3"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وهذا النموذج يتوافق مع المنطق النظري الذي قدّمه أبو خشبة (2022) حول تأثير ممارسات الاستدامة على الأداء المستدام عبر متغيّرات وسيطة، ومع ما أكّده محمود وعثمان (2024) من الدور الوسيط للتحوّل الرقمي في تعزيز أثر الاستدامة على الكفاءة التشغيلية، ومع ما أوضحه</w:t>
      </w:r>
      <w:r w:rsidRPr="00A25019">
        <w:rPr>
          <w:rFonts w:ascii="Simplified Arabic" w:hAnsi="Simplified Arabic" w:cs="Simplified Arabic"/>
          <w:color w:val="EE0000"/>
          <w:sz w:val="28"/>
          <w:szCs w:val="28"/>
          <w:lang w:bidi="ar-EG"/>
        </w:rPr>
        <w:t xml:space="preserve"> Popova et al. (2023) </w:t>
      </w:r>
      <w:r w:rsidRPr="00A25019">
        <w:rPr>
          <w:rFonts w:ascii="Simplified Arabic" w:hAnsi="Simplified Arabic" w:cs="Simplified Arabic"/>
          <w:color w:val="EE0000"/>
          <w:sz w:val="28"/>
          <w:szCs w:val="28"/>
          <w:rtl/>
        </w:rPr>
        <w:t>من العلاقة الثلاثية بين التكنولوجيا الذكية والاستدامة المؤسّسية والسلوك الاقتصادي. كما يتوافق مع السياق المؤسّسي السعودي الذي يربط بين رؤية 2030 وتطوير منظومة الحج والعمرة من خلال التكامل بين الاستدامة والتحوّل الرقمي (الفرائضي، 2025)</w:t>
      </w:r>
    </w:p>
    <w:p w14:paraId="6B508418" w14:textId="77777777" w:rsidR="00A25019" w:rsidRPr="00A25019" w:rsidRDefault="00A25019" w:rsidP="00A25019">
      <w:pPr>
        <w:jc w:val="both"/>
        <w:rPr>
          <w:rFonts w:ascii="Simplified Arabic" w:hAnsi="Simplified Arabic" w:cs="Simplified Arabic"/>
          <w:color w:val="EE0000"/>
          <w:sz w:val="28"/>
          <w:szCs w:val="28"/>
          <w:rtl/>
          <w:lang w:bidi="ar-EG"/>
        </w:rPr>
      </w:pPr>
      <w:r w:rsidRPr="00A25019">
        <w:rPr>
          <w:rFonts w:ascii="Simplified Arabic" w:hAnsi="Simplified Arabic" w:cs="Simplified Arabic"/>
          <w:color w:val="EE0000"/>
          <w:sz w:val="28"/>
          <w:szCs w:val="28"/>
          <w:rtl/>
        </w:rPr>
        <w:t>ويُؤسّس هذا الإطار النظري التكاملي للفرضيات الرئيسة للدراسة، التي تفترض وجود أثر ذي دلالة إحصائية لممارسات الاستدامة على كفاءة إدارة الحشود، ووجود أثر ذي دلالة إحصائية لممارسات الاستدامة على التكنولوجيا الذكية، ووجود أثر ذي دلالة إحصائية للتكنولوجيا الذكية على كفاءة إدارة الحشود، ووجود دور وسيط ذي دلالة إحصائية للتكنولوجيا الذكية في العلاقة بين ممارسات الاستدامة وكفاءة إدارة الحشود في موسم الحج والعمرة</w:t>
      </w:r>
      <w:r w:rsidRPr="00A25019">
        <w:rPr>
          <w:rFonts w:ascii="Simplified Arabic" w:hAnsi="Simplified Arabic" w:cs="Simplified Arabic"/>
          <w:color w:val="EE0000"/>
          <w:sz w:val="28"/>
          <w:szCs w:val="28"/>
          <w:lang w:bidi="ar-EG"/>
        </w:rPr>
        <w:t>.</w:t>
      </w:r>
    </w:p>
    <w:p w14:paraId="0AE86A4F" w14:textId="77777777" w:rsidR="00A25019" w:rsidRPr="00A25019" w:rsidRDefault="00A25019" w:rsidP="00A25019">
      <w:pPr>
        <w:jc w:val="both"/>
        <w:rPr>
          <w:rFonts w:ascii="Simplified Arabic" w:hAnsi="Simplified Arabic" w:cs="Simplified Arabic"/>
          <w:b/>
          <w:bCs/>
          <w:color w:val="EE0000"/>
          <w:sz w:val="28"/>
          <w:szCs w:val="28"/>
          <w:rtl/>
        </w:rPr>
      </w:pPr>
    </w:p>
    <w:p w14:paraId="1143073C" w14:textId="77777777" w:rsidR="00A25019" w:rsidRPr="00A25019" w:rsidRDefault="00A25019" w:rsidP="00A25019">
      <w:pPr>
        <w:jc w:val="both"/>
        <w:rPr>
          <w:rFonts w:ascii="Simplified Arabic" w:hAnsi="Simplified Arabic" w:cs="Simplified Arabic"/>
          <w:b/>
          <w:bCs/>
          <w:color w:val="EE0000"/>
          <w:sz w:val="28"/>
          <w:szCs w:val="28"/>
          <w:rtl/>
        </w:rPr>
      </w:pPr>
    </w:p>
    <w:p w14:paraId="5379348E"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b/>
          <w:bCs/>
          <w:color w:val="EE0000"/>
          <w:sz w:val="28"/>
          <w:szCs w:val="28"/>
          <w:rtl/>
        </w:rPr>
        <w:lastRenderedPageBreak/>
        <w:t>خلاصة الفصل الثاني</w:t>
      </w:r>
    </w:p>
    <w:p w14:paraId="6BE2086B"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 xml:space="preserve">تناول هذا الفصل الإطار النظري للدراسة من خلال أربعة مباحث متكاملة، تأسّست جميعها على </w:t>
      </w:r>
      <w:r w:rsidRPr="00A25019">
        <w:rPr>
          <w:rFonts w:ascii="Simplified Arabic" w:hAnsi="Simplified Arabic" w:cs="Simplified Arabic"/>
          <w:b/>
          <w:bCs/>
          <w:color w:val="EE0000"/>
          <w:sz w:val="28"/>
          <w:szCs w:val="28"/>
          <w:rtl/>
        </w:rPr>
        <w:t>نظرية النظم السوسيوتقنية</w:t>
      </w:r>
      <w:r w:rsidRPr="00A25019">
        <w:rPr>
          <w:rFonts w:ascii="Simplified Arabic" w:hAnsi="Simplified Arabic" w:cs="Simplified Arabic"/>
          <w:color w:val="EE0000"/>
          <w:sz w:val="28"/>
          <w:szCs w:val="28"/>
          <w:rtl/>
        </w:rPr>
        <w:t xml:space="preserve"> بوصفها الإطار المرجعي الذي يُؤطّر العلاقة بين المتغيرات الثلاثة. وقد قدّم المبحث الأول تحليلاً نقدياً لممارسات الاستدامة بأبعادها البيئية والاقتصادية والاجتماعية بوصفها النظام الاجتماعي-التنظيمي للمنظومة. وعرض المبحث الثاني كفاءة إدارة الحشود بأبعادها الثلاثة (الانسيابية، سرعة الاستجابة، تقليل التكدس) بوصفها المخرجات التشغيلية. وحلّل المبحث الثالث التكنولوجيا الذكية بأبعادها الثلاثة (المراقبة، التوجيه، تحليل البيانات) بوصفها النظام التقني الوسيط. وأسّس المبحث الرابع نظرياً للعلاقات الثلاث بين هذه المتغيرات، مُمهّداً لصياغة فرضيات الدراسة التي ستُختبر ميدانياً في الفصول التالية</w:t>
      </w:r>
      <w:r w:rsidRPr="00A25019">
        <w:rPr>
          <w:rFonts w:ascii="Simplified Arabic" w:hAnsi="Simplified Arabic" w:cs="Simplified Arabic"/>
          <w:color w:val="EE0000"/>
          <w:sz w:val="28"/>
          <w:szCs w:val="28"/>
          <w:lang w:bidi="ar-EG"/>
        </w:rPr>
        <w:t>.</w:t>
      </w:r>
    </w:p>
    <w:p w14:paraId="5969F318" w14:textId="77777777" w:rsidR="00A25019" w:rsidRPr="00A25019" w:rsidRDefault="00A25019" w:rsidP="00A25019">
      <w:pPr>
        <w:jc w:val="both"/>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rPr>
        <w:t>ويُلخَّص الإسهام النظري للفصل في ثلاث نقاط</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b/>
          <w:bCs/>
          <w:color w:val="EE0000"/>
          <w:sz w:val="28"/>
          <w:szCs w:val="28"/>
          <w:rtl/>
        </w:rPr>
        <w:t>أولاً</w:t>
      </w:r>
      <w:r w:rsidRPr="00A25019">
        <w:rPr>
          <w:rFonts w:ascii="Simplified Arabic" w:hAnsi="Simplified Arabic" w:cs="Simplified Arabic"/>
          <w:color w:val="EE0000"/>
          <w:sz w:val="28"/>
          <w:szCs w:val="28"/>
          <w:rtl/>
        </w:rPr>
        <w:t>، التبنّي الصريح لإطار نظري واحد (النظم السوسيوتقنية) يُؤطّر العلاقة بين المتغيرات</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b/>
          <w:bCs/>
          <w:color w:val="EE0000"/>
          <w:sz w:val="28"/>
          <w:szCs w:val="28"/>
          <w:rtl/>
        </w:rPr>
        <w:t>ثانياً</w:t>
      </w:r>
      <w:r w:rsidRPr="00A25019">
        <w:rPr>
          <w:rFonts w:ascii="Simplified Arabic" w:hAnsi="Simplified Arabic" w:cs="Simplified Arabic"/>
          <w:color w:val="EE0000"/>
          <w:sz w:val="28"/>
          <w:szCs w:val="28"/>
          <w:rtl/>
        </w:rPr>
        <w:t>، تقديم تحليل نقدي للاتجاهات النظرية المتنافسة في كل متغير وتحديد موقف الدراسة منها بمبررات واضحة</w:t>
      </w:r>
      <w:r w:rsidRPr="00A25019">
        <w:rPr>
          <w:rFonts w:ascii="Simplified Arabic" w:hAnsi="Simplified Arabic" w:cs="Simplified Arabic"/>
          <w:color w:val="EE0000"/>
          <w:sz w:val="28"/>
          <w:szCs w:val="28"/>
          <w:lang w:bidi="ar-EG"/>
        </w:rPr>
        <w:t xml:space="preserve">. </w:t>
      </w:r>
      <w:r w:rsidRPr="00A25019">
        <w:rPr>
          <w:rFonts w:ascii="Simplified Arabic" w:hAnsi="Simplified Arabic" w:cs="Simplified Arabic"/>
          <w:b/>
          <w:bCs/>
          <w:color w:val="EE0000"/>
          <w:sz w:val="28"/>
          <w:szCs w:val="28"/>
          <w:rtl/>
        </w:rPr>
        <w:t>ثالثاً</w:t>
      </w:r>
      <w:r w:rsidRPr="00A25019">
        <w:rPr>
          <w:rFonts w:ascii="Simplified Arabic" w:hAnsi="Simplified Arabic" w:cs="Simplified Arabic"/>
          <w:color w:val="EE0000"/>
          <w:sz w:val="28"/>
          <w:szCs w:val="28"/>
          <w:rtl/>
        </w:rPr>
        <w:t>، صياغة الفجوة البحثية بشكل محدد ومُقاس يربطها مباشرةً بالإسهام النوعي للدراسة الحالية</w:t>
      </w:r>
      <w:r w:rsidRPr="00A25019">
        <w:rPr>
          <w:rFonts w:ascii="Simplified Arabic" w:hAnsi="Simplified Arabic" w:cs="Simplified Arabic"/>
          <w:color w:val="EE0000"/>
          <w:sz w:val="28"/>
          <w:szCs w:val="28"/>
          <w:lang w:bidi="ar-EG"/>
        </w:rPr>
        <w:t>.</w:t>
      </w:r>
    </w:p>
    <w:p w14:paraId="509FD43B" w14:textId="77777777" w:rsidR="00A25019" w:rsidRPr="00A25019" w:rsidRDefault="00A25019" w:rsidP="00A25019">
      <w:pPr>
        <w:bidi w:val="0"/>
        <w:rPr>
          <w:rFonts w:ascii="Simplified Arabic" w:hAnsi="Simplified Arabic" w:cs="Simplified Arabic"/>
          <w:color w:val="EE0000"/>
          <w:sz w:val="28"/>
          <w:szCs w:val="28"/>
          <w:lang w:bidi="ar-EG"/>
        </w:rPr>
      </w:pPr>
      <w:r w:rsidRPr="00A25019">
        <w:rPr>
          <w:rFonts w:ascii="Simplified Arabic" w:hAnsi="Simplified Arabic" w:cs="Simplified Arabic"/>
          <w:color w:val="EE0000"/>
          <w:sz w:val="28"/>
          <w:szCs w:val="28"/>
          <w:rtl/>
          <w:lang w:bidi="ar-EG"/>
        </w:rPr>
        <w:br w:type="page"/>
      </w:r>
    </w:p>
    <w:p w14:paraId="1E9DC695" w14:textId="77777777" w:rsidR="00A25019" w:rsidRPr="00A25019" w:rsidRDefault="00A25019" w:rsidP="00A25019">
      <w:pPr>
        <w:jc w:val="center"/>
        <w:rPr>
          <w:rFonts w:ascii="Simplified Arabic" w:hAnsi="Simplified Arabic" w:cs="Simplified Arabic"/>
          <w:b/>
          <w:bCs/>
          <w:sz w:val="28"/>
          <w:szCs w:val="28"/>
          <w:lang w:bidi="ar-EG"/>
        </w:rPr>
      </w:pPr>
      <w:r w:rsidRPr="00A25019">
        <w:rPr>
          <w:rFonts w:ascii="Simplified Arabic" w:hAnsi="Simplified Arabic" w:cs="Simplified Arabic"/>
          <w:b/>
          <w:bCs/>
          <w:sz w:val="28"/>
          <w:szCs w:val="28"/>
          <w:rtl/>
        </w:rPr>
        <w:lastRenderedPageBreak/>
        <w:t>الفصل الثالث: منهجية الدراسة وإجراءاتها</w:t>
      </w:r>
    </w:p>
    <w:p w14:paraId="25D8123B" w14:textId="77777777" w:rsidR="00A25019" w:rsidRPr="00A25019" w:rsidRDefault="00A25019" w:rsidP="00A25019">
      <w:pPr>
        <w:jc w:val="both"/>
        <w:rPr>
          <w:rFonts w:ascii="Simplified Arabic" w:hAnsi="Simplified Arabic" w:cs="Simplified Arabic"/>
          <w:b/>
          <w:bCs/>
          <w:sz w:val="28"/>
          <w:szCs w:val="28"/>
          <w:lang w:bidi="ar-EG"/>
        </w:rPr>
      </w:pPr>
      <w:r w:rsidRPr="00A25019">
        <w:rPr>
          <w:rFonts w:ascii="Simplified Arabic" w:hAnsi="Simplified Arabic" w:cs="Simplified Arabic"/>
          <w:b/>
          <w:bCs/>
          <w:sz w:val="28"/>
          <w:szCs w:val="28"/>
          <w:rtl/>
        </w:rPr>
        <w:t>تمهيد</w:t>
      </w:r>
    </w:p>
    <w:p w14:paraId="6D401B93" w14:textId="77777777" w:rsidR="00A25019" w:rsidRPr="00A25019" w:rsidRDefault="00A25019" w:rsidP="00A25019">
      <w:p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يُعدّ هذا الفصل العمود الفقري للدراسة، إذ يستعرض الإطار المنهجي المتّبع في تنفيذها، ويوضّح الإجراءات العلمية التي اعتمدتها الباحث لتحقيق أهدافها واختبار فرضياتها. ويتناول هذا الفصل بالتفصيل: منهج الدراسة المستخدم ومبرّرات اختياره، ومجتمع الدراسة وعيّنته، وأداة الدراسة وكيفية بنائها والتحقق من خصائصها السيكومترية (الصدق والثبات)، فضلًا عن المعالجات الإحصائية التي ستُوظَّف لتحليل البيانات واستخلاص النتائج، وذلك بما يضمن الوصول إلى نتائج علمية موثوقة تُسهم في معالجة مشكلة الدراسة المتعلقة بأثر ممارسات الاستدامة في كفاءة إدارة الحشود بتوسيط التكنولوجيا الذكية خلال موسم الحج والعمرة في مكة المكرمة والمدينة المنورة</w:t>
      </w:r>
      <w:r w:rsidRPr="00A25019">
        <w:rPr>
          <w:rFonts w:ascii="Simplified Arabic" w:hAnsi="Simplified Arabic" w:cs="Simplified Arabic"/>
          <w:sz w:val="28"/>
          <w:szCs w:val="28"/>
          <w:lang w:bidi="ar-EG"/>
        </w:rPr>
        <w:t>.</w:t>
      </w:r>
    </w:p>
    <w:p w14:paraId="4F6ED4CE" w14:textId="77777777" w:rsidR="00A25019" w:rsidRPr="00A25019" w:rsidRDefault="00A25019" w:rsidP="00A25019">
      <w:pPr>
        <w:jc w:val="both"/>
        <w:rPr>
          <w:rFonts w:ascii="Simplified Arabic" w:hAnsi="Simplified Arabic" w:cs="Simplified Arabic"/>
          <w:b/>
          <w:bCs/>
          <w:sz w:val="28"/>
          <w:szCs w:val="28"/>
          <w:lang w:bidi="ar-EG"/>
        </w:rPr>
      </w:pPr>
      <w:r w:rsidRPr="00A25019">
        <w:rPr>
          <w:rFonts w:ascii="Simplified Arabic" w:hAnsi="Simplified Arabic" w:cs="Simplified Arabic"/>
          <w:b/>
          <w:bCs/>
          <w:sz w:val="28"/>
          <w:szCs w:val="28"/>
          <w:rtl/>
        </w:rPr>
        <w:t>أولًا: منهج الدراسة</w:t>
      </w:r>
    </w:p>
    <w:p w14:paraId="69E6CD28" w14:textId="77777777" w:rsidR="00A25019" w:rsidRPr="00A25019" w:rsidRDefault="00A25019" w:rsidP="00A25019">
      <w:p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اعتمدت الدراسة الحالية على المنهج الوصفي التحليلي بوصفه الإطار المنهجي الأكثر ملاءمة لطبيعة الموضوع المدروس، إذ يسمح هذا المنهج بوصف الظاهرة كما هي في واقعها الميداني، وتحليل العلاقات السببية بين المتغيرات الثلاثة: ممارسات الاستدامة بوصفها متغيرًا مستقلاً، والتكنولوجيا الذكية كمتغير وسيط، وكفاءة إدارة الحشود بوصفها متغيرًا تابعًا، وتستند الدراسة إلى هذا المنهج بهدف بناء نموذج تفسيري قادر على تفسير التفاعل بين هذه المكونات داخل بيئة تشغيلية معقدة مثل موسمَي الحج والعمرة</w:t>
      </w:r>
      <w:r w:rsidRPr="00A25019">
        <w:rPr>
          <w:rFonts w:ascii="Simplified Arabic" w:hAnsi="Simplified Arabic" w:cs="Simplified Arabic"/>
          <w:sz w:val="28"/>
          <w:szCs w:val="28"/>
          <w:lang w:bidi="ar-EG"/>
        </w:rPr>
        <w:t>.</w:t>
      </w:r>
    </w:p>
    <w:p w14:paraId="56596E11" w14:textId="77777777" w:rsidR="00A25019" w:rsidRPr="00A25019" w:rsidRDefault="00A25019" w:rsidP="00A25019">
      <w:pPr>
        <w:jc w:val="both"/>
        <w:rPr>
          <w:rFonts w:ascii="Simplified Arabic" w:hAnsi="Simplified Arabic" w:cs="Simplified Arabic"/>
          <w:sz w:val="28"/>
          <w:szCs w:val="28"/>
          <w:rtl/>
        </w:rPr>
      </w:pPr>
      <w:r w:rsidRPr="00A25019">
        <w:rPr>
          <w:rFonts w:ascii="Simplified Arabic" w:hAnsi="Simplified Arabic" w:cs="Simplified Arabic"/>
          <w:sz w:val="28"/>
          <w:szCs w:val="28"/>
          <w:rtl/>
        </w:rPr>
        <w:t>ويجد اختيار هذا المنهج مبررات علمية واضحة، أبرزها أن طبيعة المتغيرات المدروسة تتطلب منهجًا قادرًا على الربط بين الوصف الدقيق للواقع وبين التحليل الإحصائي للعلاقات،</w:t>
      </w:r>
      <w:r w:rsidRPr="00A25019">
        <w:rPr>
          <w:rFonts w:ascii="Simplified Arabic" w:hAnsi="Simplified Arabic" w:cs="Simplified Arabic"/>
          <w:sz w:val="28"/>
          <w:szCs w:val="28"/>
          <w:lang w:bidi="ar-EG"/>
        </w:rPr>
        <w:t xml:space="preserve"> </w:t>
      </w:r>
      <w:r w:rsidRPr="00A25019">
        <w:rPr>
          <w:rFonts w:ascii="Simplified Arabic" w:hAnsi="Simplified Arabic" w:cs="Simplified Arabic"/>
          <w:sz w:val="28"/>
          <w:szCs w:val="28"/>
          <w:rtl/>
        </w:rPr>
        <w:t>فممارسات الاستدامة والتكنولوجيا الذكية ليست مجرد مفاهيم نظرية، بل ظواهر قابلة للقياس تحتاج إلى توظيف أدوات كمية لرصد أثرها المباشر وغير المباشر على كفاءة إدارة الحشود.</w:t>
      </w:r>
    </w:p>
    <w:p w14:paraId="3FE069A7" w14:textId="77777777" w:rsidR="00A25019" w:rsidRPr="00A25019" w:rsidRDefault="00A25019" w:rsidP="00A25019">
      <w:p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إن المنهج الوصفي التحليلي يوفّر إطارًا مناسبًا للجمع بين التحليل الوصفي لمستوى توافر هذه الممارسات والأدوات، والتحليل السببي لاختبار الأدوار التفسيرية والوسيطة، كما يُعد هذا المنهج متسقًا مع طبيعة بيئة الدراسة، التي تتسم بدرجة عالية من الديناميكية والكثافة البشرية، ما يستلزم منهجًا مرنًا قادرًا على توصيف الخصائص التشغيلية المتغيرة وتحليل أثرها في مؤشرات كفاءة الحشود</w:t>
      </w:r>
      <w:r w:rsidRPr="00A25019">
        <w:rPr>
          <w:rFonts w:ascii="Simplified Arabic" w:hAnsi="Simplified Arabic" w:cs="Simplified Arabic"/>
          <w:sz w:val="28"/>
          <w:szCs w:val="28"/>
          <w:lang w:bidi="ar-EG"/>
        </w:rPr>
        <w:t>.</w:t>
      </w:r>
    </w:p>
    <w:p w14:paraId="1F41FF97" w14:textId="77777777" w:rsidR="00A25019" w:rsidRPr="00A25019" w:rsidRDefault="00A25019" w:rsidP="00A25019">
      <w:pPr>
        <w:jc w:val="both"/>
        <w:rPr>
          <w:rFonts w:ascii="Simplified Arabic" w:hAnsi="Simplified Arabic" w:cs="Simplified Arabic"/>
          <w:b/>
          <w:bCs/>
          <w:sz w:val="28"/>
          <w:szCs w:val="28"/>
          <w:rtl/>
          <w:lang w:bidi="ar-EG"/>
        </w:rPr>
      </w:pPr>
    </w:p>
    <w:p w14:paraId="41F7081E"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lastRenderedPageBreak/>
        <w:t>مجتمع الدراسة:</w:t>
      </w:r>
    </w:p>
    <w:p w14:paraId="3CFF2C95" w14:textId="77777777" w:rsidR="00A25019" w:rsidRPr="00A25019" w:rsidRDefault="00A25019" w:rsidP="00A25019">
      <w:pPr>
        <w:jc w:val="both"/>
        <w:rPr>
          <w:rFonts w:ascii="Simplified Arabic" w:hAnsi="Simplified Arabic" w:cs="Simplified Arabic"/>
          <w:sz w:val="28"/>
          <w:szCs w:val="28"/>
          <w:rtl/>
        </w:rPr>
      </w:pPr>
      <w:r w:rsidRPr="00A25019">
        <w:rPr>
          <w:rFonts w:ascii="Simplified Arabic" w:hAnsi="Simplified Arabic" w:cs="Simplified Arabic"/>
          <w:sz w:val="28"/>
          <w:szCs w:val="28"/>
          <w:rtl/>
        </w:rPr>
        <w:t>يتكوّن مجتمع الدراسة من جميع العاملين في الجهات الحكومية والخاصة المعنية بتنظيم وإدارة الحشود خلال موسم الحج والعمرة في كل من مكة المكرمة والمدينة المنورة، وتشمل هذه الجهات: وزارة الحج والعمرة، رئاسة شؤون الحرمين الشريفين، القوات الخاصة لأمن الحج، هيئة الهلال الأحمر السعودي، هيئة تطوير مكة المكرمة والمشاعر المقدسة، بالإضافة إلى الشركات التشغيلية واللوجستية المتعاونة مع الجهات التنظيمية، مثل شركات النقل، التغذية، والإعاشة، والمؤسسات الخدمية المعتمدة، ويُعد هذا المجتمع من المجتمعات المتخصصة التي تملك خبرة مباشرة وميدانية في مجالات تنظيم الحشود، وتطبيق الحلول التقنية، وتبنّي ممارسات الاستدامة التشغيلية، مما يُتيح الحصول على بيانات موثوقة ترتبط بطبيعة موضوع الدراسة.</w:t>
      </w:r>
    </w:p>
    <w:p w14:paraId="245E271F"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b/>
          <w:bCs/>
          <w:sz w:val="28"/>
          <w:szCs w:val="28"/>
          <w:rtl/>
          <w:lang w:bidi="ar-EG"/>
        </w:rPr>
        <w:t>عينة الدراسة</w:t>
      </w:r>
      <w:r w:rsidRPr="00A25019">
        <w:rPr>
          <w:rFonts w:ascii="Simplified Arabic" w:hAnsi="Simplified Arabic" w:cs="Simplified Arabic"/>
          <w:sz w:val="28"/>
          <w:szCs w:val="28"/>
          <w:rtl/>
          <w:lang w:bidi="ar-EG"/>
        </w:rPr>
        <w:t>:</w:t>
      </w:r>
    </w:p>
    <w:p w14:paraId="4B0FA5AE" w14:textId="77777777" w:rsidR="00A25019" w:rsidRPr="00A25019" w:rsidRDefault="00A25019" w:rsidP="00A25019">
      <w:pPr>
        <w:jc w:val="both"/>
        <w:rPr>
          <w:rFonts w:ascii="Simplified Arabic" w:hAnsi="Simplified Arabic" w:cs="Simplified Arabic"/>
          <w:sz w:val="28"/>
          <w:szCs w:val="28"/>
        </w:rPr>
      </w:pPr>
      <w:r w:rsidRPr="00A25019">
        <w:rPr>
          <w:rFonts w:ascii="Simplified Arabic" w:hAnsi="Simplified Arabic" w:cs="Simplified Arabic"/>
          <w:sz w:val="28"/>
          <w:szCs w:val="28"/>
          <w:rtl/>
        </w:rPr>
        <w:t xml:space="preserve">اعتمدت الدراسة على أسلوب </w:t>
      </w:r>
      <w:r w:rsidRPr="00A25019">
        <w:rPr>
          <w:rFonts w:ascii="Simplified Arabic" w:hAnsi="Simplified Arabic" w:cs="Simplified Arabic"/>
          <w:b/>
          <w:bCs/>
          <w:sz w:val="28"/>
          <w:szCs w:val="28"/>
          <w:rtl/>
        </w:rPr>
        <w:t>العيّنة القصدية (الهادفة)</w:t>
      </w:r>
      <w:r w:rsidRPr="00A25019">
        <w:rPr>
          <w:rFonts w:ascii="Simplified Arabic" w:hAnsi="Simplified Arabic" w:cs="Simplified Arabic"/>
          <w:sz w:val="28"/>
          <w:szCs w:val="28"/>
          <w:rtl/>
        </w:rPr>
        <w:t>، وذلك لاستهداف الأفراد الذين يشغلون مناصب إدارية أو ميدانية ذات صلة مباشرة بعمليات التخطيط والتنفيذ لموسم الحج والعمرة، سواء في الجهات الرسمية أو لدى الشركاء التشغيليين. وقد شملت العيّنة عددًا من الموظفين العاملين في إدارات: التخطيط، والتشغيل الميداني، والتقنية، والأمن، والخدمات اللوجستية، والصحة والسلامة</w:t>
      </w:r>
      <w:r w:rsidRPr="00A25019">
        <w:rPr>
          <w:rFonts w:ascii="Simplified Arabic" w:hAnsi="Simplified Arabic" w:cs="Simplified Arabic"/>
          <w:sz w:val="28"/>
          <w:szCs w:val="28"/>
        </w:rPr>
        <w:t>.</w:t>
      </w:r>
    </w:p>
    <w:p w14:paraId="3253E0C0" w14:textId="77777777" w:rsidR="00A25019" w:rsidRPr="00A25019" w:rsidRDefault="00A25019" w:rsidP="00A25019">
      <w:pPr>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تنبثق مبرّرات اعتماد العيّنة القصدية من طبيعة مجتمع الدراسة ومن خصوصية الظاهرة المدروسة، ويمكن إجمال هذه المبرّرات في المحاور الآتية</w:t>
      </w:r>
      <w:r w:rsidRPr="00A25019">
        <w:rPr>
          <w:rFonts w:ascii="Simplified Arabic" w:hAnsi="Simplified Arabic" w:cs="Simplified Arabic"/>
          <w:color w:val="EE0000"/>
          <w:sz w:val="28"/>
          <w:szCs w:val="28"/>
          <w:highlight w:val="yellow"/>
        </w:rPr>
        <w:t>:</w:t>
      </w:r>
    </w:p>
    <w:p w14:paraId="56E1E5BD" w14:textId="77777777" w:rsidR="00A25019" w:rsidRPr="00A25019" w:rsidRDefault="00A25019" w:rsidP="00A25019">
      <w:pPr>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أن مجتمع الدراسة ليس مجتمعًا عامًّا يمكن معاينته عشوائيًّا، بل هو مجتمع مغلق ومتخصّص، تتوزّع فيه الخبرات المتّصلة بإدارة الحشود على شرائح وظيفية محدّدة داخل جهات بعينها. ومن ثمّ فإن المعاينة العشوائية قد تُفضي إلى إدراج مستجيبين لا يمتلكون معرفة فعلية بموضوع الدراسة، مما يُضعف صدق البيانات ويُشوّه نتائج التحليل</w:t>
      </w:r>
      <w:r w:rsidRPr="00A25019">
        <w:rPr>
          <w:rFonts w:ascii="Simplified Arabic" w:hAnsi="Simplified Arabic" w:cs="Simplified Arabic"/>
          <w:color w:val="EE0000"/>
          <w:sz w:val="28"/>
          <w:szCs w:val="28"/>
          <w:highlight w:val="yellow"/>
        </w:rPr>
        <w:t xml:space="preserve">. </w:t>
      </w:r>
      <w:r w:rsidRPr="00A25019">
        <w:rPr>
          <w:rFonts w:ascii="Simplified Arabic" w:hAnsi="Simplified Arabic" w:cs="Simplified Arabic"/>
          <w:color w:val="EE0000"/>
          <w:sz w:val="28"/>
          <w:szCs w:val="28"/>
          <w:highlight w:val="yellow"/>
          <w:rtl/>
        </w:rPr>
        <w:t xml:space="preserve">وقد أشار كلٌّ من إتيكان وموسا وألكاسيم </w:t>
      </w:r>
      <w:r w:rsidRPr="00A25019">
        <w:rPr>
          <w:rFonts w:ascii="Simplified Arabic" w:hAnsi="Simplified Arabic" w:cs="Simplified Arabic"/>
          <w:color w:val="EE0000"/>
          <w:sz w:val="28"/>
          <w:szCs w:val="28"/>
          <w:highlight w:val="yellow"/>
        </w:rPr>
        <w:t xml:space="preserve">(Etikan, Musa, &amp; Alkassim, 2016) </w:t>
      </w:r>
      <w:r w:rsidRPr="00A25019">
        <w:rPr>
          <w:rFonts w:ascii="Simplified Arabic" w:hAnsi="Simplified Arabic" w:cs="Simplified Arabic"/>
          <w:color w:val="EE0000"/>
          <w:sz w:val="28"/>
          <w:szCs w:val="28"/>
          <w:highlight w:val="yellow"/>
          <w:rtl/>
        </w:rPr>
        <w:t>إلى أن العيّنة القصدية هي الأنسب حين يتعلّق الأمر بمجتمعات متخصّصة يُشترط فيها توافر خبرة نوعية لدى المستجيب</w:t>
      </w:r>
      <w:r w:rsidRPr="00A25019">
        <w:rPr>
          <w:rFonts w:ascii="Simplified Arabic" w:hAnsi="Simplified Arabic" w:cs="Simplified Arabic"/>
          <w:color w:val="EE0000"/>
          <w:sz w:val="28"/>
          <w:szCs w:val="28"/>
          <w:highlight w:val="yellow"/>
        </w:rPr>
        <w:t>.</w:t>
      </w:r>
    </w:p>
    <w:p w14:paraId="33376225" w14:textId="77777777" w:rsidR="00A25019" w:rsidRPr="00A25019" w:rsidRDefault="00A25019" w:rsidP="00A25019">
      <w:pPr>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 xml:space="preserve">لا يتوفّر لدى الباحث إطار معاينة شامل يضمّ قوائم كاملة بأسماء ومناصب جميع العاملين في الجهات المعنية بإدارة الحشود، بسبب حساسية طبيعة العمل وتغيّر التشكيلات الوظيفية بحسب المواسم. وغياب </w:t>
      </w:r>
      <w:r w:rsidRPr="00A25019">
        <w:rPr>
          <w:rFonts w:ascii="Simplified Arabic" w:hAnsi="Simplified Arabic" w:cs="Simplified Arabic"/>
          <w:color w:val="EE0000"/>
          <w:sz w:val="28"/>
          <w:szCs w:val="28"/>
          <w:highlight w:val="yellow"/>
          <w:rtl/>
        </w:rPr>
        <w:lastRenderedPageBreak/>
        <w:t>إطار معاينة موثوق يجعل تطبيق العيّنة العشوائية البسيطة أو الطبقية أمرًا غير عملي، ويُوجب اللجوء إلى المعاينة القصدية القائمة على معايير موضوعية للاختيار</w:t>
      </w:r>
      <w:r w:rsidRPr="00A25019">
        <w:rPr>
          <w:rFonts w:ascii="Simplified Arabic" w:hAnsi="Simplified Arabic" w:cs="Simplified Arabic"/>
          <w:color w:val="EE0000"/>
          <w:sz w:val="28"/>
          <w:szCs w:val="28"/>
          <w:highlight w:val="yellow"/>
        </w:rPr>
        <w:t>.</w:t>
      </w:r>
    </w:p>
    <w:p w14:paraId="6EBD0127" w14:textId="77777777" w:rsidR="00A25019" w:rsidRPr="00A25019" w:rsidRDefault="00A25019" w:rsidP="00A25019">
      <w:pPr>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تُطبَّق الدراسة في سياق زمني ومكاني بالغَي الحساسية (موسم الحج والعمرة، والحرمان الشريفان)، وهو ما يفرض قيودًا على الوصول إلى المستجيبين، ويُحتّم استهداف من تتوافر فيهم شروط الخبرة والملامسة الميدانية المباشرة للظاهرة</w:t>
      </w:r>
      <w:r w:rsidRPr="00A25019">
        <w:rPr>
          <w:rFonts w:ascii="Simplified Arabic" w:hAnsi="Simplified Arabic" w:cs="Simplified Arabic"/>
          <w:color w:val="EE0000"/>
          <w:sz w:val="28"/>
          <w:szCs w:val="28"/>
          <w:highlight w:val="yellow"/>
        </w:rPr>
        <w:t>.</w:t>
      </w:r>
    </w:p>
    <w:p w14:paraId="63E21B98" w14:textId="77777777" w:rsidR="00A25019" w:rsidRPr="00A25019" w:rsidRDefault="00A25019" w:rsidP="00A25019">
      <w:pPr>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 xml:space="preserve"> </w:t>
      </w:r>
      <w:r w:rsidRPr="00A25019">
        <w:rPr>
          <w:rFonts w:ascii="Simplified Arabic" w:hAnsi="Simplified Arabic" w:cs="Simplified Arabic"/>
          <w:color w:val="EE0000"/>
          <w:sz w:val="28"/>
          <w:szCs w:val="28"/>
          <w:highlight w:val="yellow"/>
          <w:rtl/>
        </w:rPr>
        <w:t>يتطلّب اختبار نموذج الوساطة عبر نمذجة المعادلات الهيكلية توافر بيانات عالية الجودة من مستجيبين قادرين على تقييم كلٍّ من ممارسات الاستدامة، والتكنولوجيا الذكية، ومؤشرات كفاءة إدارة الحشود في آنٍ واحد، وهو ما لا يتحقّق إلا لدى فئات وظيفية محدَّدة تمّ استهدافها قصديًّا</w:t>
      </w:r>
      <w:r w:rsidRPr="00A25019">
        <w:rPr>
          <w:rFonts w:ascii="Simplified Arabic" w:hAnsi="Simplified Arabic" w:cs="Simplified Arabic"/>
          <w:color w:val="EE0000"/>
          <w:sz w:val="28"/>
          <w:szCs w:val="28"/>
          <w:highlight w:val="yellow"/>
        </w:rPr>
        <w:t>.</w:t>
      </w:r>
    </w:p>
    <w:p w14:paraId="74497BBE"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b/>
          <w:bCs/>
          <w:color w:val="EE0000"/>
          <w:sz w:val="28"/>
          <w:szCs w:val="28"/>
          <w:highlight w:val="yellow"/>
          <w:rtl/>
        </w:rPr>
        <w:t>و</w:t>
      </w:r>
      <w:r w:rsidRPr="00A25019">
        <w:rPr>
          <w:rFonts w:ascii="Simplified Arabic" w:hAnsi="Simplified Arabic" w:cs="Simplified Arabic"/>
          <w:color w:val="EE0000"/>
          <w:sz w:val="28"/>
          <w:szCs w:val="28"/>
          <w:highlight w:val="yellow"/>
          <w:rtl/>
        </w:rPr>
        <w:t xml:space="preserve">تمّ تحديد حجم العيّنة البالغ </w:t>
      </w:r>
      <w:r w:rsidRPr="00A25019">
        <w:rPr>
          <w:rFonts w:ascii="Simplified Arabic" w:hAnsi="Simplified Arabic" w:cs="Simplified Arabic"/>
          <w:b/>
          <w:bCs/>
          <w:color w:val="EE0000"/>
          <w:sz w:val="28"/>
          <w:szCs w:val="28"/>
          <w:highlight w:val="yellow"/>
        </w:rPr>
        <w:t xml:space="preserve">(389) </w:t>
      </w:r>
      <w:r w:rsidRPr="00A25019">
        <w:rPr>
          <w:rFonts w:ascii="Simplified Arabic" w:hAnsi="Simplified Arabic" w:cs="Simplified Arabic"/>
          <w:b/>
          <w:bCs/>
          <w:color w:val="EE0000"/>
          <w:sz w:val="28"/>
          <w:szCs w:val="28"/>
          <w:highlight w:val="yellow"/>
          <w:rtl/>
        </w:rPr>
        <w:t>فردًا</w:t>
      </w:r>
      <w:r w:rsidRPr="00A25019">
        <w:rPr>
          <w:rFonts w:ascii="Simplified Arabic" w:hAnsi="Simplified Arabic" w:cs="Simplified Arabic"/>
          <w:color w:val="EE0000"/>
          <w:sz w:val="28"/>
          <w:szCs w:val="28"/>
          <w:highlight w:val="yellow"/>
          <w:rtl/>
        </w:rPr>
        <w:t xml:space="preserve"> بالاعتماد على معادلة كريجسي ومورغان</w:t>
      </w:r>
      <w:r w:rsidRPr="00A25019">
        <w:rPr>
          <w:rFonts w:ascii="Simplified Arabic" w:hAnsi="Simplified Arabic" w:cs="Simplified Arabic"/>
          <w:color w:val="EE0000"/>
          <w:sz w:val="28"/>
          <w:szCs w:val="28"/>
          <w:highlight w:val="yellow"/>
        </w:rPr>
        <w:t xml:space="preserve"> (Krejcie &amp; Morgan, 1970) </w:t>
      </w:r>
      <w:r w:rsidRPr="00A25019">
        <w:rPr>
          <w:rFonts w:ascii="Simplified Arabic" w:hAnsi="Simplified Arabic" w:cs="Simplified Arabic"/>
          <w:color w:val="EE0000"/>
          <w:sz w:val="28"/>
          <w:szCs w:val="28"/>
          <w:highlight w:val="yellow"/>
          <w:rtl/>
        </w:rPr>
        <w:t>المستخدَمة على نطاق واسع لتحديد أحجام العيّنات في البحوث الكمّية، وذلك بناءً على حجم مجتمع يُقدَّر بعدة آلاف، ومستوى دلالة</w:t>
      </w:r>
      <w:r w:rsidRPr="00A25019">
        <w:rPr>
          <w:rFonts w:ascii="Simplified Arabic" w:hAnsi="Simplified Arabic" w:cs="Simplified Arabic"/>
          <w:color w:val="EE0000"/>
          <w:sz w:val="28"/>
          <w:szCs w:val="28"/>
          <w:highlight w:val="yellow"/>
        </w:rPr>
        <w:t xml:space="preserve"> (0.05)</w:t>
      </w:r>
      <w:r w:rsidRPr="00A25019">
        <w:rPr>
          <w:rFonts w:ascii="Simplified Arabic" w:hAnsi="Simplified Arabic" w:cs="Simplified Arabic"/>
          <w:color w:val="EE0000"/>
          <w:sz w:val="28"/>
          <w:szCs w:val="28"/>
          <w:highlight w:val="yellow"/>
          <w:rtl/>
        </w:rPr>
        <w:t>، وهامش خطأ مقبول قدره</w:t>
      </w:r>
      <w:r w:rsidRPr="00A25019">
        <w:rPr>
          <w:rFonts w:ascii="Simplified Arabic" w:hAnsi="Simplified Arabic" w:cs="Simplified Arabic"/>
          <w:color w:val="EE0000"/>
          <w:sz w:val="28"/>
          <w:szCs w:val="28"/>
          <w:highlight w:val="yellow"/>
        </w:rPr>
        <w:t xml:space="preserve"> (5%). </w:t>
      </w:r>
      <w:r w:rsidRPr="00A25019">
        <w:rPr>
          <w:rFonts w:ascii="Simplified Arabic" w:hAnsi="Simplified Arabic" w:cs="Simplified Arabic"/>
          <w:color w:val="EE0000"/>
          <w:sz w:val="28"/>
          <w:szCs w:val="28"/>
          <w:highlight w:val="yellow"/>
          <w:rtl/>
        </w:rPr>
        <w:t>ويتّفق هذا الحجم أيضًا مع القاعدة الإرشادية التي وضعها هير وزملاؤه</w:t>
      </w:r>
      <w:r w:rsidRPr="00A25019">
        <w:rPr>
          <w:rFonts w:ascii="Simplified Arabic" w:hAnsi="Simplified Arabic" w:cs="Simplified Arabic"/>
          <w:color w:val="EE0000"/>
          <w:sz w:val="28"/>
          <w:szCs w:val="28"/>
          <w:highlight w:val="yellow"/>
        </w:rPr>
        <w:t xml:space="preserve"> (Hair et al., 2019) </w:t>
      </w:r>
      <w:r w:rsidRPr="00A25019">
        <w:rPr>
          <w:rFonts w:ascii="Simplified Arabic" w:hAnsi="Simplified Arabic" w:cs="Simplified Arabic"/>
          <w:color w:val="EE0000"/>
          <w:sz w:val="28"/>
          <w:szCs w:val="28"/>
          <w:highlight w:val="yellow"/>
          <w:rtl/>
        </w:rPr>
        <w:t xml:space="preserve">لنمذجة المعادلات الهيكلية، والتي تُوصي بأن يكون حجم العيّنة بحدٍّ أدنى عشرة أضعاف عدد المؤشرات في النموذج، وهو ما يتحقّق بوضوح في الدراسة الحالية، ويؤهّل البيانات لإجراء التحليل العاملي التوكيدي واختبار الوساطة عبر تقنية </w:t>
      </w:r>
      <w:r w:rsidRPr="00A25019">
        <w:rPr>
          <w:rFonts w:ascii="Simplified Arabic" w:hAnsi="Simplified Arabic" w:cs="Simplified Arabic"/>
          <w:color w:val="EE0000"/>
          <w:sz w:val="28"/>
          <w:szCs w:val="28"/>
          <w:highlight w:val="yellow"/>
        </w:rPr>
        <w:t>Bootstrap.</w:t>
      </w:r>
    </w:p>
    <w:p w14:paraId="421D2CF2" w14:textId="77777777" w:rsidR="00A25019" w:rsidRPr="00A25019" w:rsidRDefault="00A25019" w:rsidP="00A25019">
      <w:pPr>
        <w:jc w:val="both"/>
        <w:rPr>
          <w:rFonts w:ascii="Simplified Arabic" w:hAnsi="Simplified Arabic" w:cs="Simplified Arabic"/>
          <w:sz w:val="28"/>
          <w:szCs w:val="28"/>
        </w:rPr>
      </w:pPr>
      <w:r w:rsidRPr="00A25019">
        <w:rPr>
          <w:rFonts w:ascii="Simplified Arabic" w:hAnsi="Simplified Arabic" w:cs="Simplified Arabic"/>
          <w:b/>
          <w:bCs/>
          <w:sz w:val="28"/>
          <w:szCs w:val="28"/>
          <w:rtl/>
        </w:rPr>
        <w:t>و</w:t>
      </w:r>
      <w:r w:rsidRPr="00A25019">
        <w:rPr>
          <w:rFonts w:ascii="Simplified Arabic" w:hAnsi="Simplified Arabic" w:cs="Simplified Arabic"/>
          <w:sz w:val="28"/>
          <w:szCs w:val="28"/>
          <w:rtl/>
        </w:rPr>
        <w:t>روعي عند اختيار أفراد العيّنة توافر المعايير الآتية: أن يكون المشارك على رأس عمله في إحدى الجهات المعنية بإدارة الحشود في موسم الحج والعمرة، وأن تتوافر لديه خبرة ميدانية أو إدارية مباشرة في تنظيم الحشود أو التعامل معها لا تقلّ عن سنة واحدة، وأن يكون على دراية بالتقنيات المستخدَمة في إدارة الحشود أو بممارسات الاستدامة المطبَّقة في جهته</w:t>
      </w:r>
      <w:r w:rsidRPr="00A25019">
        <w:rPr>
          <w:rFonts w:ascii="Simplified Arabic" w:hAnsi="Simplified Arabic" w:cs="Simplified Arabic"/>
          <w:sz w:val="28"/>
          <w:szCs w:val="28"/>
        </w:rPr>
        <w:t>.</w:t>
      </w:r>
    </w:p>
    <w:p w14:paraId="745222BE"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مصادر البيانات في الدراسة</w:t>
      </w:r>
    </w:p>
    <w:p w14:paraId="0E0BC345"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أولًا: المصادر الثانوية</w:t>
      </w:r>
    </w:p>
    <w:p w14:paraId="744EE570" w14:textId="77777777" w:rsidR="00A25019" w:rsidRPr="00A25019" w:rsidRDefault="00A25019" w:rsidP="00A25019">
      <w:pPr>
        <w:jc w:val="both"/>
        <w:rPr>
          <w:rFonts w:ascii="Simplified Arabic" w:hAnsi="Simplified Arabic" w:cs="Simplified Arabic"/>
          <w:sz w:val="28"/>
          <w:szCs w:val="28"/>
          <w:rtl/>
        </w:rPr>
      </w:pPr>
      <w:r w:rsidRPr="00A25019">
        <w:rPr>
          <w:rFonts w:ascii="Simplified Arabic" w:hAnsi="Simplified Arabic" w:cs="Simplified Arabic"/>
          <w:sz w:val="28"/>
          <w:szCs w:val="28"/>
          <w:rtl/>
        </w:rPr>
        <w:t xml:space="preserve">تمثلت في مراجعة الأدبيات العلمية والنظرية التي تناولت موضوعات ممارسات الاستدامة في البيئات التشغيلية، وإدارة الحشود في السياقات الكثيفة، والتكنولوجيا الذكية وتطبيقاتها في التنظيم والتحكم، بالإضافة إلى الدراسات السابقة المنشورة في المجلات العلمية المحكمة، والتي بحثت العلاقة بين ممارسات الاستدامة </w:t>
      </w:r>
      <w:r w:rsidRPr="00A25019">
        <w:rPr>
          <w:rFonts w:ascii="Simplified Arabic" w:hAnsi="Simplified Arabic" w:cs="Simplified Arabic"/>
          <w:sz w:val="28"/>
          <w:szCs w:val="28"/>
          <w:rtl/>
        </w:rPr>
        <w:lastRenderedPageBreak/>
        <w:t>وكفاءة الأداء في القطاعات الخدمية والبيئات عالية الكثافة، سواء في السياقات الدينية أو اللوجستية. كما تم الرجوع إلى تقارير رسمية صادرة عن وزارة الحج والعمرة، ورئاسة شؤون الحرمين الشريفين، وهيئة تطوير مكة والمشاعر المقدسة، إضافة إلى بيانات الهيئة العامة للإحصاء وتقارير الأداء التشغيلي للمواسم، والتي دعمت بناء الإطار النظري للدراسة وساعدت في بلورة الفرضيات الدراسة.</w:t>
      </w:r>
    </w:p>
    <w:p w14:paraId="11C4DC72"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ثانيًا: المصادر الأولية</w:t>
      </w:r>
    </w:p>
    <w:p w14:paraId="4849C47A" w14:textId="77777777" w:rsidR="00A25019" w:rsidRPr="00A25019" w:rsidRDefault="00A25019" w:rsidP="00A25019">
      <w:pPr>
        <w:jc w:val="both"/>
        <w:rPr>
          <w:rFonts w:ascii="Simplified Arabic" w:hAnsi="Simplified Arabic" w:cs="Simplified Arabic"/>
          <w:sz w:val="28"/>
          <w:szCs w:val="28"/>
          <w:rtl/>
        </w:rPr>
      </w:pPr>
      <w:r w:rsidRPr="00A25019">
        <w:rPr>
          <w:rFonts w:ascii="Simplified Arabic" w:hAnsi="Simplified Arabic" w:cs="Simplified Arabic"/>
          <w:sz w:val="28"/>
          <w:szCs w:val="28"/>
          <w:rtl/>
        </w:rPr>
        <w:t xml:space="preserve">تمثلت في البيانات الميدانية التي جُمعت من خلال استبانة علمية معدة خصيصًا لقياس أثر ممارسات الاستدامة بأبعادها (البيئية، الاقتصادية، الاجتماعية) على كفاءة إدارة الحشود، عند توسيط التكنولوجيا الذكية بأبعادها (أنظمة المراقبة الذكية، تطبيقات التوجيه والتحكم، تحليل البيانات الحية). </w:t>
      </w:r>
    </w:p>
    <w:p w14:paraId="51034599" w14:textId="77777777" w:rsidR="00A25019" w:rsidRPr="00A25019" w:rsidRDefault="00A25019" w:rsidP="00A25019">
      <w:pPr>
        <w:jc w:val="both"/>
        <w:rPr>
          <w:rFonts w:ascii="Simplified Arabic" w:hAnsi="Simplified Arabic" w:cs="Simplified Arabic"/>
          <w:b/>
          <w:bCs/>
          <w:sz w:val="28"/>
          <w:szCs w:val="28"/>
          <w:rtl/>
          <w:lang w:bidi="ar-EG"/>
        </w:rPr>
      </w:pPr>
      <w:r w:rsidRPr="00A25019">
        <w:rPr>
          <w:rFonts w:ascii="Simplified Arabic" w:hAnsi="Simplified Arabic" w:cs="Simplified Arabic"/>
          <w:b/>
          <w:bCs/>
          <w:sz w:val="28"/>
          <w:szCs w:val="28"/>
          <w:rtl/>
          <w:lang w:bidi="ar-EG"/>
        </w:rPr>
        <w:t xml:space="preserve">أداة الدراسة </w:t>
      </w:r>
    </w:p>
    <w:p w14:paraId="0591F127" w14:textId="77777777" w:rsidR="00A25019" w:rsidRPr="00A25019" w:rsidRDefault="00A25019" w:rsidP="00A25019">
      <w:pPr>
        <w:jc w:val="both"/>
        <w:rPr>
          <w:rFonts w:ascii="Simplified Arabic" w:hAnsi="Simplified Arabic" w:cs="Simplified Arabic"/>
          <w:sz w:val="28"/>
          <w:szCs w:val="28"/>
          <w:rtl/>
        </w:rPr>
      </w:pPr>
      <w:r w:rsidRPr="00A25019">
        <w:rPr>
          <w:rFonts w:ascii="Simplified Arabic" w:hAnsi="Simplified Arabic" w:cs="Simplified Arabic"/>
          <w:sz w:val="28"/>
          <w:szCs w:val="28"/>
          <w:rtl/>
        </w:rPr>
        <w:t>اعتمدت الدراسة على استبانة إلكترونية مغلقة كأداة رئيسية لجمع البيانات، وسيتم تصميمها بالاستناد إلى مقاييس معيارية معتمدة في الأدبيات العلمية ذات العلاقة بمجالات الاستدامة، والتكنولوجيا الذكية، وكفاءة إدارة الحشود، مع إجراء التعديلات اللازمة لتلائم بيئة الدراسة وسياقها المكاني (مكة المكرمة والمدينة المنورة) والزمني (موسم الحج والعمرة)</w:t>
      </w:r>
      <w:r w:rsidRPr="00A25019">
        <w:rPr>
          <w:rFonts w:ascii="Simplified Arabic" w:hAnsi="Simplified Arabic" w:cs="Simplified Arabic"/>
          <w:sz w:val="28"/>
          <w:szCs w:val="28"/>
          <w:lang w:bidi="ar-EG"/>
        </w:rPr>
        <w:t>.</w:t>
      </w:r>
    </w:p>
    <w:p w14:paraId="4ADD0E3A" w14:textId="77777777" w:rsidR="00A25019" w:rsidRPr="00A25019" w:rsidRDefault="00A25019" w:rsidP="00A25019">
      <w:pPr>
        <w:jc w:val="both"/>
        <w:rPr>
          <w:rFonts w:ascii="Simplified Arabic" w:hAnsi="Simplified Arabic" w:cs="Simplified Arabic"/>
          <w:b/>
          <w:bCs/>
          <w:sz w:val="28"/>
          <w:szCs w:val="28"/>
          <w:rtl/>
        </w:rPr>
      </w:pPr>
      <w:r w:rsidRPr="00A25019">
        <w:rPr>
          <w:rFonts w:ascii="Simplified Arabic" w:hAnsi="Simplified Arabic" w:cs="Simplified Arabic"/>
          <w:b/>
          <w:bCs/>
          <w:sz w:val="28"/>
          <w:szCs w:val="28"/>
          <w:rtl/>
        </w:rPr>
        <w:t>أولاً: مصادر بناء البنود</w:t>
      </w:r>
    </w:p>
    <w:p w14:paraId="1D77B598"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المتغير المستقل: ممارسات الاستدامة بأبعادها (الاستدامة البيئية – الاستدامة الاقتصادية – الاستدامة الاجتماعية)</w:t>
      </w:r>
      <w:r w:rsidRPr="00A25019">
        <w:rPr>
          <w:rFonts w:ascii="Simplified Arabic" w:hAnsi="Simplified Arabic" w:cs="Simplified Arabic"/>
          <w:sz w:val="28"/>
          <w:szCs w:val="28"/>
          <w:rtl/>
        </w:rPr>
        <w:t xml:space="preserve"> بالاعتماد على دراسة( سحنون</w:t>
      </w:r>
      <w:r w:rsidRPr="00A25019">
        <w:rPr>
          <w:rFonts w:ascii="Simplified Arabic" w:hAnsi="Simplified Arabic" w:cs="Simplified Arabic"/>
          <w:sz w:val="28"/>
          <w:szCs w:val="28"/>
          <w:lang w:bidi="ar-EG"/>
        </w:rPr>
        <w:t xml:space="preserve"> </w:t>
      </w:r>
      <w:r w:rsidRPr="00A25019">
        <w:rPr>
          <w:rFonts w:ascii="Simplified Arabic" w:hAnsi="Simplified Arabic" w:cs="Simplified Arabic"/>
          <w:sz w:val="28"/>
          <w:szCs w:val="28"/>
          <w:rtl/>
        </w:rPr>
        <w:t>،</w:t>
      </w:r>
      <w:r w:rsidRPr="00A25019">
        <w:rPr>
          <w:rFonts w:ascii="Simplified Arabic" w:hAnsi="Simplified Arabic" w:cs="Simplified Arabic"/>
          <w:sz w:val="28"/>
          <w:szCs w:val="28"/>
          <w:lang w:bidi="ar-EG"/>
        </w:rPr>
        <w:t>2023</w:t>
      </w:r>
      <w:r w:rsidRPr="00A25019">
        <w:rPr>
          <w:rFonts w:ascii="Simplified Arabic" w:hAnsi="Simplified Arabic" w:cs="Simplified Arabic"/>
          <w:sz w:val="28"/>
          <w:szCs w:val="28"/>
          <w:rtl/>
          <w:lang w:bidi="ar-EG"/>
        </w:rPr>
        <w:t>)</w:t>
      </w:r>
    </w:p>
    <w:p w14:paraId="147E38A0"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Cambria Math" w:hAnsi="Cambria Math" w:cs="Cambria Math"/>
          <w:sz w:val="28"/>
          <w:szCs w:val="28"/>
          <w:rtl/>
          <w:lang w:bidi="ar-EG"/>
        </w:rPr>
        <w:t>−</w:t>
      </w:r>
      <w:r w:rsidRPr="00A25019">
        <w:rPr>
          <w:rFonts w:ascii="Simplified Arabic" w:hAnsi="Simplified Arabic" w:cs="Simplified Arabic"/>
          <w:sz w:val="28"/>
          <w:szCs w:val="28"/>
          <w:rtl/>
          <w:lang w:bidi="ar-EG"/>
        </w:rPr>
        <w:t xml:space="preserve"> المتغير التابع: كفاءة إدارة الحشود بأبعادها (الانسيابية في الحركة – سرعة الاستجابة – تقليل التكدس والازدحام)بالاعتماد على دراسة</w:t>
      </w:r>
      <w:r w:rsidRPr="00A25019">
        <w:rPr>
          <w:rFonts w:ascii="Simplified Arabic" w:hAnsi="Simplified Arabic" w:cs="Simplified Arabic"/>
          <w:sz w:val="28"/>
          <w:szCs w:val="28"/>
          <w:lang w:bidi="ar-EG"/>
        </w:rPr>
        <w:t xml:space="preserve"> Klatt et al. ,2024)</w:t>
      </w:r>
      <w:r w:rsidRPr="00A25019">
        <w:rPr>
          <w:rFonts w:ascii="Simplified Arabic" w:hAnsi="Simplified Arabic" w:cs="Simplified Arabic"/>
          <w:sz w:val="28"/>
          <w:szCs w:val="28"/>
          <w:rtl/>
          <w:lang w:bidi="ar-EG"/>
        </w:rPr>
        <w:t>)      .</w:t>
      </w:r>
    </w:p>
    <w:p w14:paraId="494F12A3" w14:textId="77777777" w:rsidR="00A25019" w:rsidRPr="00A25019" w:rsidRDefault="00A25019" w:rsidP="00A25019">
      <w:pPr>
        <w:jc w:val="both"/>
        <w:rPr>
          <w:rFonts w:ascii="Simplified Arabic" w:hAnsi="Simplified Arabic" w:cs="Simplified Arabic"/>
          <w:sz w:val="28"/>
          <w:szCs w:val="28"/>
          <w:rtl/>
          <w:lang w:bidi="ar-EG"/>
        </w:rPr>
      </w:pPr>
      <w:r w:rsidRPr="00A25019">
        <w:rPr>
          <w:rFonts w:ascii="Cambria Math" w:hAnsi="Cambria Math" w:cs="Cambria Math"/>
          <w:sz w:val="28"/>
          <w:szCs w:val="28"/>
          <w:rtl/>
          <w:lang w:bidi="ar-EG"/>
        </w:rPr>
        <w:t>−</w:t>
      </w:r>
      <w:r w:rsidRPr="00A25019">
        <w:rPr>
          <w:rFonts w:ascii="Simplified Arabic" w:hAnsi="Simplified Arabic" w:cs="Simplified Arabic"/>
          <w:sz w:val="28"/>
          <w:szCs w:val="28"/>
          <w:rtl/>
          <w:lang w:bidi="ar-EG"/>
        </w:rPr>
        <w:t xml:space="preserve"> المتغير الوسيط: التكنولوجيا الذكية بأبعادها (أنظمة المراقبة الذكية – تطبيقات التوجيه والتحكم – تحليل البيانات الحية)</w:t>
      </w:r>
      <w:r w:rsidRPr="00A25019">
        <w:rPr>
          <w:rFonts w:ascii="Simplified Arabic" w:hAnsi="Simplified Arabic" w:cs="Simplified Arabic"/>
          <w:sz w:val="28"/>
          <w:szCs w:val="28"/>
          <w:rtl/>
        </w:rPr>
        <w:t xml:space="preserve"> بالاعتماد على دراسة</w:t>
      </w:r>
      <w:r w:rsidRPr="00A25019">
        <w:rPr>
          <w:rFonts w:ascii="Simplified Arabic" w:hAnsi="Simplified Arabic" w:cs="Simplified Arabic"/>
          <w:sz w:val="28"/>
          <w:szCs w:val="28"/>
          <w:lang w:bidi="ar-EG"/>
        </w:rPr>
        <w:t xml:space="preserve"> Mallick et al. ,2024)</w:t>
      </w:r>
      <w:r w:rsidRPr="00A25019">
        <w:rPr>
          <w:rFonts w:ascii="Simplified Arabic" w:hAnsi="Simplified Arabic" w:cs="Simplified Arabic"/>
          <w:sz w:val="28"/>
          <w:szCs w:val="28"/>
          <w:rtl/>
          <w:lang w:bidi="ar-EG"/>
        </w:rPr>
        <w:t>).</w:t>
      </w:r>
    </w:p>
    <w:p w14:paraId="798AE01C" w14:textId="77777777" w:rsidR="00A25019" w:rsidRPr="00A25019" w:rsidRDefault="00A25019" w:rsidP="00A25019">
      <w:pPr>
        <w:jc w:val="both"/>
        <w:rPr>
          <w:rFonts w:ascii="Simplified Arabic" w:hAnsi="Simplified Arabic" w:cs="Simplified Arabic"/>
          <w:sz w:val="28"/>
          <w:szCs w:val="28"/>
        </w:rPr>
      </w:pPr>
      <w:r w:rsidRPr="00A25019">
        <w:rPr>
          <w:rFonts w:ascii="Simplified Arabic" w:hAnsi="Simplified Arabic" w:cs="Simplified Arabic"/>
          <w:sz w:val="28"/>
          <w:szCs w:val="28"/>
          <w:rtl/>
        </w:rPr>
        <w:t xml:space="preserve">تتضمّن الاستبانة قسمًا للبيانات الديموغرافية وثلاثة محاور رئيسة تُغطّي أبعاد المتغيّرات، بواقع </w:t>
      </w:r>
      <w:r w:rsidRPr="00A25019">
        <w:rPr>
          <w:rFonts w:ascii="Simplified Arabic" w:hAnsi="Simplified Arabic" w:cs="Simplified Arabic"/>
          <w:sz w:val="28"/>
          <w:szCs w:val="28"/>
        </w:rPr>
        <w:t xml:space="preserve">(37) </w:t>
      </w:r>
      <w:r w:rsidRPr="00A25019">
        <w:rPr>
          <w:rFonts w:ascii="Simplified Arabic" w:hAnsi="Simplified Arabic" w:cs="Simplified Arabic"/>
          <w:sz w:val="28"/>
          <w:szCs w:val="28"/>
          <w:rtl/>
        </w:rPr>
        <w:t xml:space="preserve">فقرة موزّعة بالتساوي على تسعة أبعاد فرعية، بمعدّل </w:t>
      </w:r>
      <w:r w:rsidRPr="00A25019">
        <w:rPr>
          <w:rFonts w:ascii="Simplified Arabic" w:hAnsi="Simplified Arabic" w:cs="Simplified Arabic"/>
          <w:sz w:val="28"/>
          <w:szCs w:val="28"/>
        </w:rPr>
        <w:t xml:space="preserve">(4) </w:t>
      </w:r>
      <w:r w:rsidRPr="00A25019">
        <w:rPr>
          <w:rFonts w:ascii="Simplified Arabic" w:hAnsi="Simplified Arabic" w:cs="Simplified Arabic"/>
          <w:sz w:val="28"/>
          <w:szCs w:val="28"/>
          <w:rtl/>
        </w:rPr>
        <w:t>فقرات لكل بُعد</w:t>
      </w:r>
      <w:r w:rsidRPr="00A25019">
        <w:rPr>
          <w:rFonts w:ascii="Simplified Arabic" w:hAnsi="Simplified Arabic" w:cs="Simplified Arabic"/>
          <w:sz w:val="28"/>
          <w:szCs w:val="28"/>
        </w:rPr>
        <w:t>.</w:t>
      </w:r>
    </w:p>
    <w:p w14:paraId="5FC49DC3" w14:textId="77777777" w:rsidR="00A25019" w:rsidRPr="00A25019" w:rsidRDefault="00A25019" w:rsidP="00A25019">
      <w:p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سوف تتضمن الاستبانة ثلاثة محاور رئيسية، تغطي أبعاد المتغيرات كما يلي</w:t>
      </w:r>
      <w:r w:rsidRPr="00A25019">
        <w:rPr>
          <w:rFonts w:ascii="Simplified Arabic" w:hAnsi="Simplified Arabic" w:cs="Simplified Arabic"/>
          <w:sz w:val="28"/>
          <w:szCs w:val="28"/>
          <w:lang w:bidi="ar-EG"/>
        </w:rPr>
        <w:t>:</w:t>
      </w:r>
    </w:p>
    <w:p w14:paraId="14E52AF8" w14:textId="77777777" w:rsidR="00A25019" w:rsidRPr="00A25019" w:rsidRDefault="00A25019" w:rsidP="00A25019">
      <w:pPr>
        <w:jc w:val="both"/>
        <w:rPr>
          <w:rFonts w:ascii="Simplified Arabic" w:hAnsi="Simplified Arabic" w:cs="Simplified Arabic"/>
          <w:sz w:val="28"/>
          <w:szCs w:val="28"/>
          <w:rtl/>
        </w:rPr>
      </w:pPr>
      <w:r w:rsidRPr="00A25019">
        <w:rPr>
          <w:rFonts w:ascii="Simplified Arabic" w:hAnsi="Simplified Arabic" w:cs="Simplified Arabic"/>
          <w:sz w:val="28"/>
          <w:szCs w:val="28"/>
          <w:rtl/>
        </w:rPr>
        <w:lastRenderedPageBreak/>
        <w:t>المحور الأول: ممارسات الاستدامة</w:t>
      </w:r>
      <w:r w:rsidRPr="00A25019">
        <w:rPr>
          <w:rFonts w:ascii="Simplified Arabic" w:hAnsi="Simplified Arabic" w:cs="Simplified Arabic"/>
          <w:sz w:val="28"/>
          <w:szCs w:val="28"/>
          <w:lang w:bidi="ar-EG"/>
        </w:rPr>
        <w:t xml:space="preserve"> 12 </w:t>
      </w:r>
      <w:r w:rsidRPr="00A25019">
        <w:rPr>
          <w:rFonts w:ascii="Simplified Arabic" w:hAnsi="Simplified Arabic" w:cs="Simplified Arabic"/>
          <w:sz w:val="28"/>
          <w:szCs w:val="28"/>
          <w:rtl/>
        </w:rPr>
        <w:t>فقرة</w:t>
      </w:r>
    </w:p>
    <w:p w14:paraId="36AE1980" w14:textId="77777777" w:rsidR="00A25019" w:rsidRPr="00A25019" w:rsidRDefault="00A25019" w:rsidP="00A25019">
      <w:p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سيقيس هذا المحور مستوى تطبيق ممارسات الاستدامة من قبل الجهات التنظيمية المشاركة في إدارة الحشود، من خلال الأبعاد الثلاثة</w:t>
      </w:r>
      <w:r w:rsidRPr="00A25019">
        <w:rPr>
          <w:rFonts w:ascii="Simplified Arabic" w:hAnsi="Simplified Arabic" w:cs="Simplified Arabic"/>
          <w:sz w:val="28"/>
          <w:szCs w:val="28"/>
          <w:lang w:bidi="ar-EG"/>
        </w:rPr>
        <w:t>:</w:t>
      </w:r>
    </w:p>
    <w:p w14:paraId="50152030" w14:textId="77777777" w:rsidR="00A25019" w:rsidRPr="00A25019" w:rsidRDefault="00A25019" w:rsidP="00A25019">
      <w:pPr>
        <w:numPr>
          <w:ilvl w:val="0"/>
          <w:numId w:val="28"/>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الاستدامة البيئية</w:t>
      </w:r>
      <w:r w:rsidRPr="00A25019">
        <w:rPr>
          <w:rFonts w:ascii="Simplified Arabic" w:hAnsi="Simplified Arabic" w:cs="Simplified Arabic"/>
          <w:sz w:val="28"/>
          <w:szCs w:val="28"/>
          <w:lang w:bidi="ar-EG"/>
        </w:rPr>
        <w:t xml:space="preserve"> 4 </w:t>
      </w:r>
      <w:r w:rsidRPr="00A25019">
        <w:rPr>
          <w:rFonts w:ascii="Simplified Arabic" w:hAnsi="Simplified Arabic" w:cs="Simplified Arabic"/>
          <w:sz w:val="28"/>
          <w:szCs w:val="28"/>
          <w:rtl/>
        </w:rPr>
        <w:t>فقرات</w:t>
      </w:r>
    </w:p>
    <w:p w14:paraId="55809F5D" w14:textId="77777777" w:rsidR="00A25019" w:rsidRPr="00A25019" w:rsidRDefault="00A25019" w:rsidP="00A25019">
      <w:pPr>
        <w:numPr>
          <w:ilvl w:val="0"/>
          <w:numId w:val="28"/>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الاستدامة الاقتصادية</w:t>
      </w:r>
      <w:r w:rsidRPr="00A25019">
        <w:rPr>
          <w:rFonts w:ascii="Simplified Arabic" w:hAnsi="Simplified Arabic" w:cs="Simplified Arabic"/>
          <w:sz w:val="28"/>
          <w:szCs w:val="28"/>
          <w:lang w:bidi="ar-EG"/>
        </w:rPr>
        <w:t xml:space="preserve"> 4 </w:t>
      </w:r>
      <w:r w:rsidRPr="00A25019">
        <w:rPr>
          <w:rFonts w:ascii="Simplified Arabic" w:hAnsi="Simplified Arabic" w:cs="Simplified Arabic"/>
          <w:sz w:val="28"/>
          <w:szCs w:val="28"/>
          <w:rtl/>
        </w:rPr>
        <w:t>فقرات</w:t>
      </w:r>
    </w:p>
    <w:p w14:paraId="426E8907" w14:textId="77777777" w:rsidR="00A25019" w:rsidRPr="00A25019" w:rsidRDefault="00A25019" w:rsidP="00A25019">
      <w:pPr>
        <w:numPr>
          <w:ilvl w:val="0"/>
          <w:numId w:val="28"/>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الاستدامة الاجتماعية</w:t>
      </w:r>
      <w:r w:rsidRPr="00A25019">
        <w:rPr>
          <w:rFonts w:ascii="Simplified Arabic" w:hAnsi="Simplified Arabic" w:cs="Simplified Arabic"/>
          <w:sz w:val="28"/>
          <w:szCs w:val="28"/>
          <w:lang w:bidi="ar-EG"/>
        </w:rPr>
        <w:t xml:space="preserve"> 4 </w:t>
      </w:r>
      <w:r w:rsidRPr="00A25019">
        <w:rPr>
          <w:rFonts w:ascii="Simplified Arabic" w:hAnsi="Simplified Arabic" w:cs="Simplified Arabic"/>
          <w:sz w:val="28"/>
          <w:szCs w:val="28"/>
          <w:rtl/>
        </w:rPr>
        <w:t>فقرات</w:t>
      </w:r>
    </w:p>
    <w:p w14:paraId="258BAE02" w14:textId="77777777" w:rsidR="00A25019" w:rsidRPr="00A25019" w:rsidRDefault="00A25019" w:rsidP="00A25019">
      <w:pPr>
        <w:jc w:val="both"/>
        <w:rPr>
          <w:rFonts w:ascii="Simplified Arabic" w:hAnsi="Simplified Arabic" w:cs="Simplified Arabic"/>
          <w:sz w:val="28"/>
          <w:szCs w:val="28"/>
          <w:rtl/>
        </w:rPr>
      </w:pPr>
      <w:r w:rsidRPr="00A25019">
        <w:rPr>
          <w:rFonts w:ascii="Simplified Arabic" w:hAnsi="Simplified Arabic" w:cs="Simplified Arabic"/>
          <w:sz w:val="28"/>
          <w:szCs w:val="28"/>
          <w:rtl/>
        </w:rPr>
        <w:t>المحور الثاني: التكنولوجيا الذكية</w:t>
      </w:r>
      <w:r w:rsidRPr="00A25019">
        <w:rPr>
          <w:rFonts w:ascii="Simplified Arabic" w:hAnsi="Simplified Arabic" w:cs="Simplified Arabic"/>
          <w:sz w:val="28"/>
          <w:szCs w:val="28"/>
          <w:lang w:bidi="ar-EG"/>
        </w:rPr>
        <w:t xml:space="preserve">12 </w:t>
      </w:r>
      <w:r w:rsidRPr="00A25019">
        <w:rPr>
          <w:rFonts w:ascii="Simplified Arabic" w:hAnsi="Simplified Arabic" w:cs="Simplified Arabic"/>
          <w:sz w:val="28"/>
          <w:szCs w:val="28"/>
          <w:rtl/>
        </w:rPr>
        <w:t>فقرة</w:t>
      </w:r>
    </w:p>
    <w:p w14:paraId="7A9F3BBE" w14:textId="77777777" w:rsidR="00A25019" w:rsidRPr="00A25019" w:rsidRDefault="00A25019" w:rsidP="00A25019">
      <w:p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سيركز هذا المحور على مدى توظيف التكنولوجيا الذكية في إدارة الحشود، من خلال أبعاد ثلاثة هي</w:t>
      </w:r>
      <w:r w:rsidRPr="00A25019">
        <w:rPr>
          <w:rFonts w:ascii="Simplified Arabic" w:hAnsi="Simplified Arabic" w:cs="Simplified Arabic"/>
          <w:sz w:val="28"/>
          <w:szCs w:val="28"/>
          <w:lang w:bidi="ar-EG"/>
        </w:rPr>
        <w:t>:</w:t>
      </w:r>
    </w:p>
    <w:p w14:paraId="49C3F0FE" w14:textId="77777777" w:rsidR="00A25019" w:rsidRPr="00A25019" w:rsidRDefault="00A25019" w:rsidP="00A25019">
      <w:pPr>
        <w:numPr>
          <w:ilvl w:val="0"/>
          <w:numId w:val="27"/>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أنظمة المراقبة الذكية</w:t>
      </w:r>
      <w:r w:rsidRPr="00A25019">
        <w:rPr>
          <w:rFonts w:ascii="Simplified Arabic" w:hAnsi="Simplified Arabic" w:cs="Simplified Arabic"/>
          <w:sz w:val="28"/>
          <w:szCs w:val="28"/>
          <w:lang w:bidi="ar-EG"/>
        </w:rPr>
        <w:t xml:space="preserve"> 4 </w:t>
      </w:r>
      <w:r w:rsidRPr="00A25019">
        <w:rPr>
          <w:rFonts w:ascii="Simplified Arabic" w:hAnsi="Simplified Arabic" w:cs="Simplified Arabic"/>
          <w:sz w:val="28"/>
          <w:szCs w:val="28"/>
          <w:rtl/>
        </w:rPr>
        <w:t>فقرات</w:t>
      </w:r>
    </w:p>
    <w:p w14:paraId="7D011B9C" w14:textId="77777777" w:rsidR="00A25019" w:rsidRPr="00A25019" w:rsidRDefault="00A25019" w:rsidP="00A25019">
      <w:pPr>
        <w:numPr>
          <w:ilvl w:val="0"/>
          <w:numId w:val="27"/>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تطبيقات التوجيه والتحكم</w:t>
      </w:r>
      <w:r w:rsidRPr="00A25019">
        <w:rPr>
          <w:rFonts w:ascii="Simplified Arabic" w:hAnsi="Simplified Arabic" w:cs="Simplified Arabic"/>
          <w:sz w:val="28"/>
          <w:szCs w:val="28"/>
          <w:lang w:bidi="ar-EG"/>
        </w:rPr>
        <w:t xml:space="preserve"> 4 </w:t>
      </w:r>
      <w:r w:rsidRPr="00A25019">
        <w:rPr>
          <w:rFonts w:ascii="Simplified Arabic" w:hAnsi="Simplified Arabic" w:cs="Simplified Arabic"/>
          <w:sz w:val="28"/>
          <w:szCs w:val="28"/>
          <w:rtl/>
        </w:rPr>
        <w:t>فقرات</w:t>
      </w:r>
    </w:p>
    <w:p w14:paraId="2E8D199F" w14:textId="77777777" w:rsidR="00A25019" w:rsidRPr="00A25019" w:rsidRDefault="00A25019" w:rsidP="00A25019">
      <w:pPr>
        <w:numPr>
          <w:ilvl w:val="0"/>
          <w:numId w:val="27"/>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تحليل البيانات الحية</w:t>
      </w:r>
      <w:r w:rsidRPr="00A25019">
        <w:rPr>
          <w:rFonts w:ascii="Simplified Arabic" w:hAnsi="Simplified Arabic" w:cs="Simplified Arabic"/>
          <w:sz w:val="28"/>
          <w:szCs w:val="28"/>
          <w:lang w:bidi="ar-EG"/>
        </w:rPr>
        <w:t xml:space="preserve"> 4 </w:t>
      </w:r>
      <w:r w:rsidRPr="00A25019">
        <w:rPr>
          <w:rFonts w:ascii="Simplified Arabic" w:hAnsi="Simplified Arabic" w:cs="Simplified Arabic"/>
          <w:sz w:val="28"/>
          <w:szCs w:val="28"/>
          <w:rtl/>
        </w:rPr>
        <w:t>فقرات</w:t>
      </w:r>
    </w:p>
    <w:p w14:paraId="761CBC9A" w14:textId="77777777" w:rsidR="00A25019" w:rsidRPr="00A25019" w:rsidRDefault="00A25019" w:rsidP="00A25019">
      <w:pPr>
        <w:jc w:val="both"/>
        <w:rPr>
          <w:rFonts w:ascii="Simplified Arabic" w:hAnsi="Simplified Arabic" w:cs="Simplified Arabic"/>
          <w:sz w:val="28"/>
          <w:szCs w:val="28"/>
          <w:rtl/>
        </w:rPr>
      </w:pPr>
      <w:r w:rsidRPr="00A25019">
        <w:rPr>
          <w:rFonts w:ascii="Simplified Arabic" w:hAnsi="Simplified Arabic" w:cs="Simplified Arabic"/>
          <w:sz w:val="28"/>
          <w:szCs w:val="28"/>
          <w:rtl/>
        </w:rPr>
        <w:t>المحور الثالث: كفاءة إدارة الحشود</w:t>
      </w:r>
      <w:r w:rsidRPr="00A25019">
        <w:rPr>
          <w:rFonts w:ascii="Simplified Arabic" w:hAnsi="Simplified Arabic" w:cs="Simplified Arabic"/>
          <w:sz w:val="28"/>
          <w:szCs w:val="28"/>
          <w:lang w:bidi="ar-EG"/>
        </w:rPr>
        <w:t xml:space="preserve">12 </w:t>
      </w:r>
      <w:r w:rsidRPr="00A25019">
        <w:rPr>
          <w:rFonts w:ascii="Simplified Arabic" w:hAnsi="Simplified Arabic" w:cs="Simplified Arabic"/>
          <w:sz w:val="28"/>
          <w:szCs w:val="28"/>
          <w:rtl/>
        </w:rPr>
        <w:t>فقرة</w:t>
      </w:r>
    </w:p>
    <w:p w14:paraId="477C69F7" w14:textId="77777777" w:rsidR="00A25019" w:rsidRPr="00A25019" w:rsidRDefault="00A25019" w:rsidP="00A25019">
      <w:p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سيقيس هذا المحور مستوى كفاءة إدارة الحشود، انطلاقًا من وجهة نظر المشاركين في الدراسة، عبر الأبعاد التالية</w:t>
      </w:r>
      <w:r w:rsidRPr="00A25019">
        <w:rPr>
          <w:rFonts w:ascii="Simplified Arabic" w:hAnsi="Simplified Arabic" w:cs="Simplified Arabic"/>
          <w:sz w:val="28"/>
          <w:szCs w:val="28"/>
          <w:lang w:bidi="ar-EG"/>
        </w:rPr>
        <w:t>:</w:t>
      </w:r>
    </w:p>
    <w:p w14:paraId="0AF9F2B0" w14:textId="77777777" w:rsidR="00A25019" w:rsidRPr="00A25019" w:rsidRDefault="00A25019" w:rsidP="00A25019">
      <w:pPr>
        <w:numPr>
          <w:ilvl w:val="0"/>
          <w:numId w:val="26"/>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الانسيابية</w:t>
      </w:r>
      <w:r w:rsidRPr="00A25019">
        <w:rPr>
          <w:rFonts w:ascii="Simplified Arabic" w:hAnsi="Simplified Arabic" w:cs="Simplified Arabic"/>
          <w:sz w:val="28"/>
          <w:szCs w:val="28"/>
          <w:lang w:bidi="ar-EG"/>
        </w:rPr>
        <w:t xml:space="preserve"> 4 </w:t>
      </w:r>
      <w:r w:rsidRPr="00A25019">
        <w:rPr>
          <w:rFonts w:ascii="Simplified Arabic" w:hAnsi="Simplified Arabic" w:cs="Simplified Arabic"/>
          <w:sz w:val="28"/>
          <w:szCs w:val="28"/>
          <w:rtl/>
        </w:rPr>
        <w:t>فقرات</w:t>
      </w:r>
    </w:p>
    <w:p w14:paraId="31E00821" w14:textId="77777777" w:rsidR="00A25019" w:rsidRPr="00A25019" w:rsidRDefault="00A25019" w:rsidP="00A25019">
      <w:pPr>
        <w:numPr>
          <w:ilvl w:val="0"/>
          <w:numId w:val="26"/>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سرعة الاستجابة</w:t>
      </w:r>
      <w:r w:rsidRPr="00A25019">
        <w:rPr>
          <w:rFonts w:ascii="Simplified Arabic" w:hAnsi="Simplified Arabic" w:cs="Simplified Arabic"/>
          <w:sz w:val="28"/>
          <w:szCs w:val="28"/>
          <w:lang w:bidi="ar-EG"/>
        </w:rPr>
        <w:t xml:space="preserve"> 4 </w:t>
      </w:r>
      <w:r w:rsidRPr="00A25019">
        <w:rPr>
          <w:rFonts w:ascii="Simplified Arabic" w:hAnsi="Simplified Arabic" w:cs="Simplified Arabic"/>
          <w:sz w:val="28"/>
          <w:szCs w:val="28"/>
          <w:rtl/>
        </w:rPr>
        <w:t>فقرات</w:t>
      </w:r>
    </w:p>
    <w:p w14:paraId="7AA4AAAF" w14:textId="77777777" w:rsidR="00A25019" w:rsidRPr="00A25019" w:rsidRDefault="00A25019" w:rsidP="00A25019">
      <w:pPr>
        <w:numPr>
          <w:ilvl w:val="0"/>
          <w:numId w:val="26"/>
        </w:num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تقليل التكدس والازدحام</w:t>
      </w:r>
      <w:r w:rsidRPr="00A25019">
        <w:rPr>
          <w:rFonts w:ascii="Simplified Arabic" w:hAnsi="Simplified Arabic" w:cs="Simplified Arabic"/>
          <w:sz w:val="28"/>
          <w:szCs w:val="28"/>
          <w:lang w:bidi="ar-EG"/>
        </w:rPr>
        <w:t xml:space="preserve"> 4 </w:t>
      </w:r>
      <w:r w:rsidRPr="00A25019">
        <w:rPr>
          <w:rFonts w:ascii="Simplified Arabic" w:hAnsi="Simplified Arabic" w:cs="Simplified Arabic"/>
          <w:sz w:val="28"/>
          <w:szCs w:val="28"/>
          <w:rtl/>
        </w:rPr>
        <w:t>فقرات</w:t>
      </w:r>
    </w:p>
    <w:p w14:paraId="1A34ED78" w14:textId="77777777" w:rsidR="00A25019" w:rsidRPr="00A25019" w:rsidRDefault="00A25019" w:rsidP="00A25019">
      <w:pPr>
        <w:jc w:val="both"/>
        <w:rPr>
          <w:rFonts w:ascii="Simplified Arabic" w:hAnsi="Simplified Arabic" w:cs="Simplified Arabic"/>
          <w:sz w:val="28"/>
          <w:szCs w:val="28"/>
          <w:lang w:bidi="ar-EG"/>
        </w:rPr>
      </w:pPr>
      <w:r w:rsidRPr="00A25019">
        <w:rPr>
          <w:rFonts w:ascii="Simplified Arabic" w:hAnsi="Simplified Arabic" w:cs="Simplified Arabic"/>
          <w:sz w:val="28"/>
          <w:szCs w:val="28"/>
          <w:rtl/>
        </w:rPr>
        <w:t>استخدمت الدراسة مقياس ليكرت الخماسي لقياس استجابات أفراد العينة، لما يتميز به هذا المقياس من قدرة على قياس الاتجاهات والإدراكات بصورة كمية دقيقة، وتمثيل مستويات الموافقة أو عدمها على بنود الاستبانة بشكل متدرّج. وقد تم اعتماد الدرجات وفق التدرّج التالي</w:t>
      </w:r>
      <w:r w:rsidRPr="00A25019">
        <w:rPr>
          <w:rFonts w:ascii="Simplified Arabic" w:hAnsi="Simplified Arabic" w:cs="Simplified Arabic"/>
          <w:sz w:val="28"/>
          <w:szCs w:val="28"/>
          <w:lang w:bidi="ar-EG"/>
        </w:rPr>
        <w:t>:</w:t>
      </w:r>
    </w:p>
    <w:p w14:paraId="7B86CBAA" w14:textId="77777777" w:rsidR="00A25019" w:rsidRPr="00A25019" w:rsidRDefault="00A25019" w:rsidP="00A25019">
      <w:pPr>
        <w:rPr>
          <w:rFonts w:ascii="Simplified Arabic" w:hAnsi="Simplified Arabic" w:cs="Simplified Arabic"/>
          <w:sz w:val="28"/>
          <w:szCs w:val="28"/>
          <w:lang w:bidi="ar-EG"/>
        </w:rPr>
      </w:pPr>
      <w:r w:rsidRPr="00A25019">
        <w:rPr>
          <w:rFonts w:ascii="Simplified Arabic" w:hAnsi="Simplified Arabic" w:cs="Simplified Arabic"/>
          <w:sz w:val="28"/>
          <w:szCs w:val="28"/>
          <w:lang w:bidi="ar-EG"/>
        </w:rPr>
        <w:lastRenderedPageBreak/>
        <w:t xml:space="preserve">1 = </w:t>
      </w:r>
      <w:r w:rsidRPr="00A25019">
        <w:rPr>
          <w:rFonts w:ascii="Simplified Arabic" w:hAnsi="Simplified Arabic" w:cs="Simplified Arabic"/>
          <w:sz w:val="28"/>
          <w:szCs w:val="28"/>
          <w:rtl/>
        </w:rPr>
        <w:t>لا أوافق بشدة</w:t>
      </w:r>
      <w:r w:rsidRPr="00A25019">
        <w:rPr>
          <w:rFonts w:ascii="Simplified Arabic" w:hAnsi="Simplified Arabic" w:cs="Simplified Arabic"/>
          <w:sz w:val="28"/>
          <w:szCs w:val="28"/>
          <w:lang w:bidi="ar-EG"/>
        </w:rPr>
        <w:br/>
        <w:t xml:space="preserve">2 = </w:t>
      </w:r>
      <w:r w:rsidRPr="00A25019">
        <w:rPr>
          <w:rFonts w:ascii="Simplified Arabic" w:hAnsi="Simplified Arabic" w:cs="Simplified Arabic"/>
          <w:sz w:val="28"/>
          <w:szCs w:val="28"/>
          <w:rtl/>
        </w:rPr>
        <w:t>لا أوافق</w:t>
      </w:r>
      <w:r w:rsidRPr="00A25019">
        <w:rPr>
          <w:rFonts w:ascii="Simplified Arabic" w:hAnsi="Simplified Arabic" w:cs="Simplified Arabic"/>
          <w:sz w:val="28"/>
          <w:szCs w:val="28"/>
          <w:lang w:bidi="ar-EG"/>
        </w:rPr>
        <w:br/>
        <w:t xml:space="preserve">3 = </w:t>
      </w:r>
      <w:r w:rsidRPr="00A25019">
        <w:rPr>
          <w:rFonts w:ascii="Simplified Arabic" w:hAnsi="Simplified Arabic" w:cs="Simplified Arabic"/>
          <w:sz w:val="28"/>
          <w:szCs w:val="28"/>
          <w:rtl/>
        </w:rPr>
        <w:t>محايد</w:t>
      </w:r>
      <w:r w:rsidRPr="00A25019">
        <w:rPr>
          <w:rFonts w:ascii="Simplified Arabic" w:hAnsi="Simplified Arabic" w:cs="Simplified Arabic"/>
          <w:sz w:val="28"/>
          <w:szCs w:val="28"/>
          <w:lang w:bidi="ar-EG"/>
        </w:rPr>
        <w:br/>
        <w:t xml:space="preserve">4 = </w:t>
      </w:r>
      <w:r w:rsidRPr="00A25019">
        <w:rPr>
          <w:rFonts w:ascii="Simplified Arabic" w:hAnsi="Simplified Arabic" w:cs="Simplified Arabic"/>
          <w:sz w:val="28"/>
          <w:szCs w:val="28"/>
          <w:rtl/>
        </w:rPr>
        <w:t>أوافق</w:t>
      </w:r>
      <w:r w:rsidRPr="00A25019">
        <w:rPr>
          <w:rFonts w:ascii="Simplified Arabic" w:hAnsi="Simplified Arabic" w:cs="Simplified Arabic"/>
          <w:sz w:val="28"/>
          <w:szCs w:val="28"/>
          <w:lang w:bidi="ar-EG"/>
        </w:rPr>
        <w:br/>
        <w:t xml:space="preserve">5 = </w:t>
      </w:r>
      <w:r w:rsidRPr="00A25019">
        <w:rPr>
          <w:rFonts w:ascii="Simplified Arabic" w:hAnsi="Simplified Arabic" w:cs="Simplified Arabic"/>
          <w:sz w:val="28"/>
          <w:szCs w:val="28"/>
          <w:rtl/>
        </w:rPr>
        <w:t>أوافق بشدة</w:t>
      </w:r>
    </w:p>
    <w:p w14:paraId="7D402600"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 xml:space="preserve">يستند اختيار </w:t>
      </w:r>
      <w:r w:rsidRPr="00A25019">
        <w:rPr>
          <w:rFonts w:ascii="Simplified Arabic" w:hAnsi="Simplified Arabic" w:cs="Simplified Arabic"/>
          <w:b/>
          <w:bCs/>
          <w:color w:val="EE0000"/>
          <w:sz w:val="28"/>
          <w:szCs w:val="28"/>
          <w:rtl/>
        </w:rPr>
        <w:t>أربع فقرات لكلّ بُعد</w:t>
      </w:r>
      <w:r w:rsidRPr="00A25019">
        <w:rPr>
          <w:rFonts w:ascii="Simplified Arabic" w:hAnsi="Simplified Arabic" w:cs="Simplified Arabic"/>
          <w:color w:val="EE0000"/>
          <w:sz w:val="28"/>
          <w:szCs w:val="28"/>
          <w:rtl/>
        </w:rPr>
        <w:t xml:space="preserve"> إلى مبرّرات علمية موثَّقة، على النحو الآتي:</w:t>
      </w:r>
    </w:p>
    <w:p w14:paraId="20FEC7E9" w14:textId="77777777" w:rsidR="00A25019" w:rsidRPr="00A25019" w:rsidRDefault="00A25019" w:rsidP="00A25019">
      <w:pPr>
        <w:jc w:val="both"/>
        <w:rPr>
          <w:rFonts w:ascii="Simplified Arabic" w:hAnsi="Simplified Arabic" w:cs="Simplified Arabic"/>
          <w:b/>
          <w:bCs/>
          <w:color w:val="EE0000"/>
          <w:sz w:val="28"/>
          <w:szCs w:val="28"/>
          <w:rtl/>
        </w:rPr>
      </w:pPr>
      <w:r w:rsidRPr="00A25019">
        <w:rPr>
          <w:rFonts w:ascii="Simplified Arabic" w:hAnsi="Simplified Arabic" w:cs="Simplified Arabic"/>
          <w:b/>
          <w:bCs/>
          <w:color w:val="EE0000"/>
          <w:sz w:val="28"/>
          <w:szCs w:val="28"/>
          <w:rtl/>
        </w:rPr>
        <w:t>أوّلًا: الاستناد الصريح إلى الدراسات المرجعية المُشتقّة منها البنود</w:t>
      </w:r>
    </w:p>
    <w:p w14:paraId="6947FD80" w14:textId="77777777" w:rsidR="00A25019" w:rsidRPr="00A25019" w:rsidRDefault="00A25019" w:rsidP="00A25019">
      <w:p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يُبيّن الجدول الآتي عدد الفقرات المُخصَّصة لكلّ بُعد في الدراسات المرجعية، والتي جرى منها استخلاص القاسم المشترك المتمثّل في (4) فقرات:</w:t>
      </w:r>
    </w:p>
    <w:tbl>
      <w:tblPr>
        <w:tblStyle w:val="PlainTable1"/>
        <w:bidiVisual/>
        <w:tblW w:w="0" w:type="auto"/>
        <w:tblLook w:val="04A0" w:firstRow="1" w:lastRow="0" w:firstColumn="1" w:lastColumn="0" w:noHBand="0" w:noVBand="1"/>
      </w:tblPr>
      <w:tblGrid>
        <w:gridCol w:w="2670"/>
        <w:gridCol w:w="3346"/>
        <w:gridCol w:w="3000"/>
      </w:tblGrid>
      <w:tr w:rsidR="00A25019" w:rsidRPr="00A25019" w14:paraId="2919EE60" w14:textId="77777777" w:rsidTr="008030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D4F8C3" w14:textId="77777777" w:rsidR="00A25019" w:rsidRPr="00A25019" w:rsidRDefault="00A25019" w:rsidP="00A25019">
            <w:pPr>
              <w:spacing w:after="160" w:line="278" w:lineRule="auto"/>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الدراسة المرجعية</w:t>
            </w:r>
          </w:p>
        </w:tc>
        <w:tc>
          <w:tcPr>
            <w:tcW w:w="0" w:type="auto"/>
            <w:hideMark/>
          </w:tcPr>
          <w:p w14:paraId="4A57FB79" w14:textId="77777777" w:rsidR="00A25019" w:rsidRPr="00A25019" w:rsidRDefault="00A25019" w:rsidP="00A25019">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البُعد المُقاس</w:t>
            </w:r>
          </w:p>
        </w:tc>
        <w:tc>
          <w:tcPr>
            <w:tcW w:w="0" w:type="auto"/>
            <w:hideMark/>
          </w:tcPr>
          <w:p w14:paraId="2C57385C" w14:textId="77777777" w:rsidR="00A25019" w:rsidRPr="00A25019" w:rsidRDefault="00A25019" w:rsidP="00A25019">
            <w:pPr>
              <w:spacing w:after="160" w:line="278"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عدد الفقرات في الدراسة الأصلية</w:t>
            </w:r>
          </w:p>
        </w:tc>
      </w:tr>
      <w:tr w:rsidR="00A25019" w:rsidRPr="00A25019" w14:paraId="0071B1EF" w14:textId="77777777" w:rsidTr="00803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DAA141" w14:textId="77777777" w:rsidR="00A25019" w:rsidRPr="00A25019" w:rsidRDefault="00A25019" w:rsidP="00A25019">
            <w:pPr>
              <w:spacing w:after="160" w:line="278" w:lineRule="auto"/>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سحنون</w:t>
            </w:r>
            <w:r w:rsidRPr="00A25019">
              <w:rPr>
                <w:rFonts w:ascii="Simplified Arabic" w:hAnsi="Simplified Arabic" w:cs="Simplified Arabic"/>
                <w:color w:val="EE0000"/>
                <w:sz w:val="28"/>
                <w:szCs w:val="28"/>
              </w:rPr>
              <w:t xml:space="preserve"> (2023)</w:t>
            </w:r>
          </w:p>
        </w:tc>
        <w:tc>
          <w:tcPr>
            <w:tcW w:w="0" w:type="auto"/>
            <w:hideMark/>
          </w:tcPr>
          <w:p w14:paraId="78692648" w14:textId="77777777" w:rsidR="00A25019" w:rsidRPr="00A25019" w:rsidRDefault="00A25019" w:rsidP="00A25019">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الاستدامة البيئية</w:t>
            </w:r>
          </w:p>
        </w:tc>
        <w:tc>
          <w:tcPr>
            <w:tcW w:w="0" w:type="auto"/>
            <w:hideMark/>
          </w:tcPr>
          <w:p w14:paraId="74EE9908" w14:textId="77777777" w:rsidR="00A25019" w:rsidRPr="00A25019" w:rsidRDefault="00A25019" w:rsidP="00A25019">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Pr>
              <w:t>4</w:t>
            </w:r>
          </w:p>
        </w:tc>
      </w:tr>
      <w:tr w:rsidR="00A25019" w:rsidRPr="00A25019" w14:paraId="514878AF" w14:textId="77777777" w:rsidTr="00803095">
        <w:tc>
          <w:tcPr>
            <w:cnfStyle w:val="001000000000" w:firstRow="0" w:lastRow="0" w:firstColumn="1" w:lastColumn="0" w:oddVBand="0" w:evenVBand="0" w:oddHBand="0" w:evenHBand="0" w:firstRowFirstColumn="0" w:firstRowLastColumn="0" w:lastRowFirstColumn="0" w:lastRowLastColumn="0"/>
            <w:tcW w:w="0" w:type="auto"/>
            <w:hideMark/>
          </w:tcPr>
          <w:p w14:paraId="24C3D233" w14:textId="77777777" w:rsidR="00A25019" w:rsidRPr="00A25019" w:rsidRDefault="00A25019" w:rsidP="00A25019">
            <w:pPr>
              <w:spacing w:after="160" w:line="278" w:lineRule="auto"/>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أبو خشبة</w:t>
            </w:r>
            <w:r w:rsidRPr="00A25019">
              <w:rPr>
                <w:rFonts w:ascii="Simplified Arabic" w:hAnsi="Simplified Arabic" w:cs="Simplified Arabic"/>
                <w:color w:val="EE0000"/>
                <w:sz w:val="28"/>
                <w:szCs w:val="28"/>
              </w:rPr>
              <w:t xml:space="preserve"> (2022)</w:t>
            </w:r>
          </w:p>
        </w:tc>
        <w:tc>
          <w:tcPr>
            <w:tcW w:w="0" w:type="auto"/>
            <w:hideMark/>
          </w:tcPr>
          <w:p w14:paraId="0763C719" w14:textId="77777777" w:rsidR="00A25019" w:rsidRPr="00A25019" w:rsidRDefault="00A25019" w:rsidP="00A2501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الاستدامة الاقتصادية والاجتماعية</w:t>
            </w:r>
          </w:p>
        </w:tc>
        <w:tc>
          <w:tcPr>
            <w:tcW w:w="0" w:type="auto"/>
            <w:hideMark/>
          </w:tcPr>
          <w:p w14:paraId="19D9BD86" w14:textId="77777777" w:rsidR="00A25019" w:rsidRPr="00A25019" w:rsidRDefault="00A25019" w:rsidP="00A2501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Pr>
              <w:t>3–5</w:t>
            </w:r>
          </w:p>
        </w:tc>
      </w:tr>
      <w:tr w:rsidR="00A25019" w:rsidRPr="00A25019" w14:paraId="6C4789E2" w14:textId="77777777" w:rsidTr="00803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4AC034" w14:textId="77777777" w:rsidR="00A25019" w:rsidRPr="00A25019" w:rsidRDefault="00A25019" w:rsidP="00A25019">
            <w:pPr>
              <w:spacing w:after="160" w:line="278" w:lineRule="auto"/>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Pr>
              <w:t>Mallick et al. (2024)</w:t>
            </w:r>
          </w:p>
        </w:tc>
        <w:tc>
          <w:tcPr>
            <w:tcW w:w="0" w:type="auto"/>
            <w:hideMark/>
          </w:tcPr>
          <w:p w14:paraId="22BC7F55" w14:textId="77777777" w:rsidR="00A25019" w:rsidRPr="00A25019" w:rsidRDefault="00A25019" w:rsidP="00A25019">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أنظمة المراقبة الذكية وتحليل البيانات</w:t>
            </w:r>
          </w:p>
        </w:tc>
        <w:tc>
          <w:tcPr>
            <w:tcW w:w="0" w:type="auto"/>
            <w:hideMark/>
          </w:tcPr>
          <w:p w14:paraId="346D9DB2" w14:textId="77777777" w:rsidR="00A25019" w:rsidRPr="00A25019" w:rsidRDefault="00A25019" w:rsidP="00A25019">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Pr>
              <w:t>3–5</w:t>
            </w:r>
          </w:p>
        </w:tc>
      </w:tr>
      <w:tr w:rsidR="00A25019" w:rsidRPr="00A25019" w14:paraId="1744AF62" w14:textId="77777777" w:rsidTr="00803095">
        <w:tc>
          <w:tcPr>
            <w:cnfStyle w:val="001000000000" w:firstRow="0" w:lastRow="0" w:firstColumn="1" w:lastColumn="0" w:oddVBand="0" w:evenVBand="0" w:oddHBand="0" w:evenHBand="0" w:firstRowFirstColumn="0" w:firstRowLastColumn="0" w:lastRowFirstColumn="0" w:lastRowLastColumn="0"/>
            <w:tcW w:w="0" w:type="auto"/>
            <w:hideMark/>
          </w:tcPr>
          <w:p w14:paraId="0F81833D" w14:textId="77777777" w:rsidR="00A25019" w:rsidRPr="00A25019" w:rsidRDefault="00A25019" w:rsidP="00A25019">
            <w:pPr>
              <w:spacing w:after="160" w:line="278" w:lineRule="auto"/>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هاشم وعبد السادة</w:t>
            </w:r>
            <w:r w:rsidRPr="00A25019">
              <w:rPr>
                <w:rFonts w:ascii="Simplified Arabic" w:hAnsi="Simplified Arabic" w:cs="Simplified Arabic"/>
                <w:color w:val="EE0000"/>
                <w:sz w:val="28"/>
                <w:szCs w:val="28"/>
              </w:rPr>
              <w:t xml:space="preserve"> (2023)</w:t>
            </w:r>
          </w:p>
        </w:tc>
        <w:tc>
          <w:tcPr>
            <w:tcW w:w="0" w:type="auto"/>
            <w:hideMark/>
          </w:tcPr>
          <w:p w14:paraId="7694706E" w14:textId="77777777" w:rsidR="00A25019" w:rsidRPr="00A25019" w:rsidRDefault="00A25019" w:rsidP="00A2501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تطبيقات التوجيه والتحكم</w:t>
            </w:r>
          </w:p>
        </w:tc>
        <w:tc>
          <w:tcPr>
            <w:tcW w:w="0" w:type="auto"/>
            <w:hideMark/>
          </w:tcPr>
          <w:p w14:paraId="37AA31C9" w14:textId="77777777" w:rsidR="00A25019" w:rsidRPr="00A25019" w:rsidRDefault="00A25019" w:rsidP="00A25019">
            <w:pPr>
              <w:spacing w:after="160" w:line="278"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Pr>
              <w:t>4</w:t>
            </w:r>
          </w:p>
        </w:tc>
      </w:tr>
      <w:tr w:rsidR="00A25019" w:rsidRPr="00A25019" w14:paraId="5018F89C" w14:textId="77777777" w:rsidTr="00803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090164" w14:textId="77777777" w:rsidR="00A25019" w:rsidRPr="00A25019" w:rsidRDefault="00A25019" w:rsidP="00A25019">
            <w:pPr>
              <w:spacing w:after="160" w:line="278" w:lineRule="auto"/>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Pr>
              <w:t>Klatt et al. (2024)</w:t>
            </w:r>
          </w:p>
        </w:tc>
        <w:tc>
          <w:tcPr>
            <w:tcW w:w="0" w:type="auto"/>
            <w:hideMark/>
          </w:tcPr>
          <w:p w14:paraId="11873B6A" w14:textId="77777777" w:rsidR="00A25019" w:rsidRPr="00A25019" w:rsidRDefault="00A25019" w:rsidP="00A25019">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أبعاد كفاءة إدارة الحشود</w:t>
            </w:r>
          </w:p>
        </w:tc>
        <w:tc>
          <w:tcPr>
            <w:tcW w:w="0" w:type="auto"/>
            <w:hideMark/>
          </w:tcPr>
          <w:p w14:paraId="0BFEFC12" w14:textId="77777777" w:rsidR="00A25019" w:rsidRPr="00A25019" w:rsidRDefault="00A25019" w:rsidP="00A25019">
            <w:pPr>
              <w:spacing w:after="160" w:line="278"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Pr>
              <w:t>3–4</w:t>
            </w:r>
          </w:p>
        </w:tc>
      </w:tr>
    </w:tbl>
    <w:p w14:paraId="690649BE" w14:textId="77777777" w:rsidR="00A25019" w:rsidRPr="00A25019" w:rsidRDefault="00A25019" w:rsidP="00A25019">
      <w:pPr>
        <w:jc w:val="both"/>
        <w:rPr>
          <w:rFonts w:ascii="Simplified Arabic" w:hAnsi="Simplified Arabic" w:cs="Simplified Arabic"/>
          <w:color w:val="EE0000"/>
          <w:sz w:val="28"/>
          <w:szCs w:val="28"/>
        </w:rPr>
      </w:pPr>
      <w:r w:rsidRPr="00A25019">
        <w:rPr>
          <w:rFonts w:ascii="Simplified Arabic" w:hAnsi="Simplified Arabic" w:cs="Simplified Arabic"/>
          <w:color w:val="EE0000"/>
          <w:sz w:val="28"/>
          <w:szCs w:val="28"/>
          <w:rtl/>
        </w:rPr>
        <w:t xml:space="preserve">يتبيّن من الجدول أن </w:t>
      </w:r>
      <w:r w:rsidRPr="00A25019">
        <w:rPr>
          <w:rFonts w:ascii="Simplified Arabic" w:hAnsi="Simplified Arabic" w:cs="Simplified Arabic"/>
          <w:b/>
          <w:bCs/>
          <w:color w:val="EE0000"/>
          <w:sz w:val="28"/>
          <w:szCs w:val="28"/>
          <w:rtl/>
        </w:rPr>
        <w:t>المتوسّط المرجعي يتراوح بين ثلاث وخمس فقرات لكلّ بُعد</w:t>
      </w:r>
      <w:r w:rsidRPr="00A25019">
        <w:rPr>
          <w:rFonts w:ascii="Simplified Arabic" w:hAnsi="Simplified Arabic" w:cs="Simplified Arabic"/>
          <w:color w:val="EE0000"/>
          <w:sz w:val="28"/>
          <w:szCs w:val="28"/>
          <w:rtl/>
        </w:rPr>
        <w:t>، وأن اعتماد أربع فقرات يُمثّل الحدّ الأمثل الذي يُحقّق التغطية المفاهيمية المُثلى دون إثقال المستجيب.</w:t>
      </w:r>
    </w:p>
    <w:p w14:paraId="3147EC65" w14:textId="77777777" w:rsidR="00A25019" w:rsidRPr="00A25019" w:rsidRDefault="00A25019" w:rsidP="00A25019">
      <w:pPr>
        <w:jc w:val="both"/>
        <w:rPr>
          <w:rFonts w:ascii="Simplified Arabic" w:hAnsi="Simplified Arabic" w:cs="Simplified Arabic"/>
          <w:b/>
          <w:bCs/>
          <w:color w:val="EE0000"/>
          <w:sz w:val="28"/>
          <w:szCs w:val="28"/>
          <w:rtl/>
        </w:rPr>
      </w:pPr>
      <w:r w:rsidRPr="00A25019">
        <w:rPr>
          <w:rFonts w:ascii="Simplified Arabic" w:hAnsi="Simplified Arabic" w:cs="Simplified Arabic"/>
          <w:b/>
          <w:bCs/>
          <w:color w:val="EE0000"/>
          <w:sz w:val="28"/>
          <w:szCs w:val="28"/>
          <w:rtl/>
        </w:rPr>
        <w:t xml:space="preserve">ثانيًا: المعيار الإحصائي وفق </w:t>
      </w:r>
      <w:r w:rsidRPr="00A25019">
        <w:rPr>
          <w:rFonts w:ascii="Simplified Arabic" w:hAnsi="Simplified Arabic" w:cs="Simplified Arabic"/>
          <w:b/>
          <w:bCs/>
          <w:color w:val="EE0000"/>
          <w:sz w:val="28"/>
          <w:szCs w:val="28"/>
        </w:rPr>
        <w:t>Hair et al</w:t>
      </w:r>
      <w:r w:rsidRPr="00A25019">
        <w:rPr>
          <w:rFonts w:ascii="Simplified Arabic" w:hAnsi="Simplified Arabic" w:cs="Simplified Arabic"/>
          <w:b/>
          <w:bCs/>
          <w:color w:val="EE0000"/>
          <w:sz w:val="28"/>
          <w:szCs w:val="28"/>
          <w:rtl/>
        </w:rPr>
        <w:t>. (2019)</w:t>
      </w:r>
    </w:p>
    <w:p w14:paraId="2F44A786" w14:textId="77777777" w:rsidR="00A25019" w:rsidRPr="00A25019" w:rsidRDefault="00A25019" w:rsidP="00A25019">
      <w:p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 xml:space="preserve">يُشير </w:t>
      </w:r>
      <w:r w:rsidRPr="00A25019">
        <w:rPr>
          <w:rFonts w:ascii="Simplified Arabic" w:hAnsi="Simplified Arabic" w:cs="Simplified Arabic"/>
          <w:color w:val="EE0000"/>
          <w:sz w:val="28"/>
          <w:szCs w:val="28"/>
        </w:rPr>
        <w:t>Hair et al</w:t>
      </w:r>
      <w:r w:rsidRPr="00A25019">
        <w:rPr>
          <w:rFonts w:ascii="Simplified Arabic" w:hAnsi="Simplified Arabic" w:cs="Simplified Arabic"/>
          <w:color w:val="EE0000"/>
          <w:sz w:val="28"/>
          <w:szCs w:val="28"/>
          <w:rtl/>
        </w:rPr>
        <w:t>. (2019) إلى أن كلّ بُعد كامن (</w:t>
      </w:r>
      <w:r w:rsidRPr="00A25019">
        <w:rPr>
          <w:rFonts w:ascii="Simplified Arabic" w:hAnsi="Simplified Arabic" w:cs="Simplified Arabic"/>
          <w:color w:val="EE0000"/>
          <w:sz w:val="28"/>
          <w:szCs w:val="28"/>
        </w:rPr>
        <w:t>Latent Construct</w:t>
      </w:r>
      <w:r w:rsidRPr="00A25019">
        <w:rPr>
          <w:rFonts w:ascii="Simplified Arabic" w:hAnsi="Simplified Arabic" w:cs="Simplified Arabic"/>
          <w:color w:val="EE0000"/>
          <w:sz w:val="28"/>
          <w:szCs w:val="28"/>
          <w:rtl/>
        </w:rPr>
        <w:t xml:space="preserve">) في نمذجة المعادلات الهيكلية يحتاج إلى </w:t>
      </w:r>
      <w:r w:rsidRPr="00A25019">
        <w:rPr>
          <w:rFonts w:ascii="Simplified Arabic" w:hAnsi="Simplified Arabic" w:cs="Simplified Arabic"/>
          <w:b/>
          <w:bCs/>
          <w:color w:val="EE0000"/>
          <w:sz w:val="28"/>
          <w:szCs w:val="28"/>
          <w:rtl/>
        </w:rPr>
        <w:t>ثلاث فقرات كحدّ أدنى</w:t>
      </w:r>
      <w:r w:rsidRPr="00A25019">
        <w:rPr>
          <w:rFonts w:ascii="Simplified Arabic" w:hAnsi="Simplified Arabic" w:cs="Simplified Arabic"/>
          <w:color w:val="EE0000"/>
          <w:sz w:val="28"/>
          <w:szCs w:val="28"/>
          <w:rtl/>
        </w:rPr>
        <w:t xml:space="preserve"> لتحقيق التعريف الإحصائي (</w:t>
      </w:r>
      <w:r w:rsidRPr="00A25019">
        <w:rPr>
          <w:rFonts w:ascii="Simplified Arabic" w:hAnsi="Simplified Arabic" w:cs="Simplified Arabic"/>
          <w:color w:val="EE0000"/>
          <w:sz w:val="28"/>
          <w:szCs w:val="28"/>
        </w:rPr>
        <w:t>Statistical Identification</w:t>
      </w:r>
      <w:r w:rsidRPr="00A25019">
        <w:rPr>
          <w:rFonts w:ascii="Simplified Arabic" w:hAnsi="Simplified Arabic" w:cs="Simplified Arabic"/>
          <w:color w:val="EE0000"/>
          <w:sz w:val="28"/>
          <w:szCs w:val="28"/>
          <w:rtl/>
        </w:rPr>
        <w:t xml:space="preserve">)، فيما يُعدّ اعتماد </w:t>
      </w:r>
      <w:r w:rsidRPr="00A25019">
        <w:rPr>
          <w:rFonts w:ascii="Simplified Arabic" w:hAnsi="Simplified Arabic" w:cs="Simplified Arabic"/>
          <w:b/>
          <w:bCs/>
          <w:color w:val="EE0000"/>
          <w:sz w:val="28"/>
          <w:szCs w:val="28"/>
          <w:rtl/>
        </w:rPr>
        <w:t>أربع فقرات</w:t>
      </w:r>
      <w:r w:rsidRPr="00A25019">
        <w:rPr>
          <w:rFonts w:ascii="Simplified Arabic" w:hAnsi="Simplified Arabic" w:cs="Simplified Arabic"/>
          <w:color w:val="EE0000"/>
          <w:sz w:val="28"/>
          <w:szCs w:val="28"/>
          <w:rtl/>
        </w:rPr>
        <w:t xml:space="preserve"> الحدّ الأمثل لتحقيق:</w:t>
      </w:r>
    </w:p>
    <w:p w14:paraId="77DB886F" w14:textId="77777777" w:rsidR="00A25019" w:rsidRPr="00A25019" w:rsidRDefault="00A25019" w:rsidP="00A25019">
      <w:pPr>
        <w:numPr>
          <w:ilvl w:val="0"/>
          <w:numId w:val="48"/>
        </w:num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استقرار تقديرات النموذج.</w:t>
      </w:r>
    </w:p>
    <w:p w14:paraId="3C0DF27A" w14:textId="77777777" w:rsidR="00A25019" w:rsidRPr="00A25019" w:rsidRDefault="00A25019" w:rsidP="00A25019">
      <w:pPr>
        <w:numPr>
          <w:ilvl w:val="0"/>
          <w:numId w:val="48"/>
        </w:num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lastRenderedPageBreak/>
        <w:t>إمكانية إسقاط فقرة ذات تشبّع منخفض دون الإخلال بالبنية.</w:t>
      </w:r>
    </w:p>
    <w:p w14:paraId="7E1BF860" w14:textId="77777777" w:rsidR="00A25019" w:rsidRPr="00A25019" w:rsidRDefault="00A25019" w:rsidP="00A25019">
      <w:pPr>
        <w:numPr>
          <w:ilvl w:val="0"/>
          <w:numId w:val="48"/>
        </w:num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تحقيق الصدق التقاربي والتمييزي.</w:t>
      </w:r>
    </w:p>
    <w:p w14:paraId="121474B6" w14:textId="77777777" w:rsidR="00A25019" w:rsidRPr="00A25019" w:rsidRDefault="00A25019" w:rsidP="00A25019">
      <w:pPr>
        <w:jc w:val="both"/>
        <w:rPr>
          <w:rFonts w:ascii="Simplified Arabic" w:hAnsi="Simplified Arabic" w:cs="Simplified Arabic"/>
          <w:b/>
          <w:bCs/>
          <w:color w:val="EE0000"/>
          <w:sz w:val="28"/>
          <w:szCs w:val="28"/>
          <w:rtl/>
        </w:rPr>
      </w:pPr>
      <w:r w:rsidRPr="00A25019">
        <w:rPr>
          <w:rFonts w:ascii="Simplified Arabic" w:hAnsi="Simplified Arabic" w:cs="Simplified Arabic"/>
          <w:b/>
          <w:bCs/>
          <w:color w:val="EE0000"/>
          <w:sz w:val="28"/>
          <w:szCs w:val="28"/>
          <w:rtl/>
        </w:rPr>
        <w:t>ثالثًا: التكافؤ التفسيري بين الأبعاد</w:t>
      </w:r>
    </w:p>
    <w:p w14:paraId="35CE2B15" w14:textId="77777777" w:rsidR="00A25019" w:rsidRPr="00A25019" w:rsidRDefault="00A25019" w:rsidP="00A25019">
      <w:p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يُجنّب اعتماد عدد متساوٍ من الفقرات (4 لكلّ بُعد) التحيّز القياسي الذي قد يترتّب على إعطاء بُعدٍ ما وزنًا تفسيريًّا أكبر من غيره في النموذج البنيوي.</w:t>
      </w:r>
    </w:p>
    <w:p w14:paraId="41578A9D" w14:textId="77777777" w:rsidR="00A25019" w:rsidRPr="00A25019" w:rsidRDefault="00A25019" w:rsidP="00A25019">
      <w:pPr>
        <w:jc w:val="both"/>
        <w:rPr>
          <w:rFonts w:ascii="Simplified Arabic" w:hAnsi="Simplified Arabic" w:cs="Simplified Arabic"/>
          <w:b/>
          <w:bCs/>
          <w:color w:val="EE0000"/>
          <w:sz w:val="28"/>
          <w:szCs w:val="28"/>
          <w:rtl/>
        </w:rPr>
      </w:pPr>
      <w:r w:rsidRPr="00A25019">
        <w:rPr>
          <w:rFonts w:ascii="Simplified Arabic" w:hAnsi="Simplified Arabic" w:cs="Simplified Arabic"/>
          <w:b/>
          <w:bCs/>
          <w:color w:val="EE0000"/>
          <w:sz w:val="28"/>
          <w:szCs w:val="28"/>
          <w:rtl/>
        </w:rPr>
        <w:t>رابعًا: مراعاة عبء الاستجابة (</w:t>
      </w:r>
      <w:r w:rsidRPr="00A25019">
        <w:rPr>
          <w:rFonts w:ascii="Simplified Arabic" w:hAnsi="Simplified Arabic" w:cs="Simplified Arabic"/>
          <w:b/>
          <w:bCs/>
          <w:color w:val="EE0000"/>
          <w:sz w:val="28"/>
          <w:szCs w:val="28"/>
        </w:rPr>
        <w:t>Response Load</w:t>
      </w:r>
      <w:r w:rsidRPr="00A25019">
        <w:rPr>
          <w:rFonts w:ascii="Simplified Arabic" w:hAnsi="Simplified Arabic" w:cs="Simplified Arabic"/>
          <w:b/>
          <w:bCs/>
          <w:color w:val="EE0000"/>
          <w:sz w:val="28"/>
          <w:szCs w:val="28"/>
          <w:rtl/>
        </w:rPr>
        <w:t>)</w:t>
      </w:r>
    </w:p>
    <w:p w14:paraId="566D7589" w14:textId="77777777" w:rsidR="00A25019" w:rsidRPr="00A25019" w:rsidRDefault="00A25019" w:rsidP="00A25019">
      <w:p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يبلغ إجمالي الفقرات (37) فقرة، وهو ضمن المدى الأمثل الذي أوصت به الأدبيات (25–40 فقرة) لتجنّب إرهاق المستجيب (</w:t>
      </w:r>
      <w:r w:rsidRPr="00A25019">
        <w:rPr>
          <w:rFonts w:ascii="Simplified Arabic" w:hAnsi="Simplified Arabic" w:cs="Simplified Arabic"/>
          <w:color w:val="EE0000"/>
          <w:sz w:val="28"/>
          <w:szCs w:val="28"/>
        </w:rPr>
        <w:t>Response Fatigue</w:t>
      </w:r>
      <w:r w:rsidRPr="00A25019">
        <w:rPr>
          <w:rFonts w:ascii="Simplified Arabic" w:hAnsi="Simplified Arabic" w:cs="Simplified Arabic"/>
          <w:color w:val="EE0000"/>
          <w:sz w:val="28"/>
          <w:szCs w:val="28"/>
          <w:rtl/>
        </w:rPr>
        <w:t>)، لا سيّما أن المستجيبين من الفئات التشغيلية عالية الانشغال خلال الموسم.</w:t>
      </w:r>
    </w:p>
    <w:p w14:paraId="4042F411" w14:textId="77777777" w:rsidR="00A25019" w:rsidRPr="00A25019" w:rsidRDefault="00A25019" w:rsidP="00A25019">
      <w:pPr>
        <w:jc w:val="both"/>
        <w:rPr>
          <w:rFonts w:ascii="Simplified Arabic" w:hAnsi="Simplified Arabic" w:cs="Simplified Arabic"/>
          <w:b/>
          <w:bCs/>
          <w:sz w:val="28"/>
          <w:szCs w:val="28"/>
        </w:rPr>
      </w:pPr>
      <w:r w:rsidRPr="00A25019">
        <w:rPr>
          <w:rFonts w:ascii="Simplified Arabic" w:hAnsi="Simplified Arabic" w:cs="Simplified Arabic"/>
          <w:b/>
          <w:bCs/>
          <w:sz w:val="28"/>
          <w:szCs w:val="28"/>
          <w:rtl/>
        </w:rPr>
        <w:t>آلية توزيع الاستبانة الإلكترونية</w:t>
      </w:r>
    </w:p>
    <w:p w14:paraId="639A0E35" w14:textId="77777777" w:rsidR="00A25019" w:rsidRPr="00A25019" w:rsidRDefault="00A25019" w:rsidP="00A25019">
      <w:pPr>
        <w:jc w:val="both"/>
        <w:rPr>
          <w:rFonts w:ascii="Simplified Arabic" w:hAnsi="Simplified Arabic" w:cs="Simplified Arabic"/>
          <w:b/>
          <w:bCs/>
          <w:color w:val="EE0000"/>
          <w:sz w:val="28"/>
          <w:szCs w:val="28"/>
          <w:rtl/>
        </w:rPr>
      </w:pPr>
      <w:r w:rsidRPr="00A25019">
        <w:rPr>
          <w:rFonts w:ascii="Simplified Arabic" w:hAnsi="Simplified Arabic" w:cs="Simplified Arabic"/>
          <w:b/>
          <w:bCs/>
          <w:color w:val="EE0000"/>
          <w:sz w:val="28"/>
          <w:szCs w:val="28"/>
          <w:rtl/>
        </w:rPr>
        <w:t>أ) وسيلة التوزيع</w:t>
      </w:r>
    </w:p>
    <w:p w14:paraId="282005E2" w14:textId="77777777" w:rsidR="00A25019" w:rsidRPr="00A25019" w:rsidRDefault="00A25019" w:rsidP="00A25019">
      <w:pPr>
        <w:numPr>
          <w:ilvl w:val="0"/>
          <w:numId w:val="44"/>
        </w:num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 xml:space="preserve">بُنيت الاستبانة عبر منصّة </w:t>
      </w:r>
      <w:r w:rsidRPr="00A25019">
        <w:rPr>
          <w:rFonts w:ascii="Simplified Arabic" w:hAnsi="Simplified Arabic" w:cs="Simplified Arabic"/>
          <w:b/>
          <w:bCs/>
          <w:color w:val="EE0000"/>
          <w:sz w:val="28"/>
          <w:szCs w:val="28"/>
        </w:rPr>
        <w:t>Google Forms</w:t>
      </w:r>
      <w:r w:rsidRPr="00A25019">
        <w:rPr>
          <w:rFonts w:ascii="Simplified Arabic" w:hAnsi="Simplified Arabic" w:cs="Simplified Arabic"/>
          <w:color w:val="EE0000"/>
          <w:sz w:val="28"/>
          <w:szCs w:val="28"/>
          <w:rtl/>
        </w:rPr>
        <w:t xml:space="preserve"> بواجهة عربية متوافقة مع الأجهزة المكتبية والهواتف الذكية.</w:t>
      </w:r>
    </w:p>
    <w:p w14:paraId="6F8E87E4" w14:textId="77777777" w:rsidR="00A25019" w:rsidRPr="00A25019" w:rsidRDefault="00A25019" w:rsidP="00A25019">
      <w:pPr>
        <w:numPr>
          <w:ilvl w:val="0"/>
          <w:numId w:val="44"/>
        </w:num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 xml:space="preserve">فُعِّلت خاصية </w:t>
      </w:r>
      <w:r w:rsidRPr="00A25019">
        <w:rPr>
          <w:rFonts w:ascii="Simplified Arabic" w:hAnsi="Simplified Arabic" w:cs="Simplified Arabic"/>
          <w:b/>
          <w:bCs/>
          <w:color w:val="EE0000"/>
          <w:sz w:val="28"/>
          <w:szCs w:val="28"/>
          <w:rtl/>
        </w:rPr>
        <w:t>إلزامية الاستجابة</w:t>
      </w:r>
      <w:r w:rsidRPr="00A25019">
        <w:rPr>
          <w:rFonts w:ascii="Simplified Arabic" w:hAnsi="Simplified Arabic" w:cs="Simplified Arabic"/>
          <w:color w:val="EE0000"/>
          <w:sz w:val="28"/>
          <w:szCs w:val="28"/>
          <w:rtl/>
        </w:rPr>
        <w:t xml:space="preserve"> لجميع الفقرات تفاديًا لأيّ بيانات مفقودة (</w:t>
      </w:r>
      <w:r w:rsidRPr="00A25019">
        <w:rPr>
          <w:rFonts w:ascii="Simplified Arabic" w:hAnsi="Simplified Arabic" w:cs="Simplified Arabic"/>
          <w:color w:val="EE0000"/>
          <w:sz w:val="28"/>
          <w:szCs w:val="28"/>
        </w:rPr>
        <w:t>Missing Data</w:t>
      </w:r>
      <w:r w:rsidRPr="00A25019">
        <w:rPr>
          <w:rFonts w:ascii="Simplified Arabic" w:hAnsi="Simplified Arabic" w:cs="Simplified Arabic"/>
          <w:color w:val="EE0000"/>
          <w:sz w:val="28"/>
          <w:szCs w:val="28"/>
          <w:rtl/>
        </w:rPr>
        <w:t>).</w:t>
      </w:r>
    </w:p>
    <w:p w14:paraId="4A001908" w14:textId="77777777" w:rsidR="00A25019" w:rsidRPr="00A25019" w:rsidRDefault="00A25019" w:rsidP="00A25019">
      <w:pPr>
        <w:numPr>
          <w:ilvl w:val="0"/>
          <w:numId w:val="44"/>
        </w:num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 xml:space="preserve">أُتيحت للمستجيب </w:t>
      </w:r>
      <w:r w:rsidRPr="00A25019">
        <w:rPr>
          <w:rFonts w:ascii="Simplified Arabic" w:hAnsi="Simplified Arabic" w:cs="Simplified Arabic"/>
          <w:b/>
          <w:bCs/>
          <w:color w:val="EE0000"/>
          <w:sz w:val="28"/>
          <w:szCs w:val="28"/>
          <w:rtl/>
        </w:rPr>
        <w:t>مراجعة استجابته وتعديلها</w:t>
      </w:r>
      <w:r w:rsidRPr="00A25019">
        <w:rPr>
          <w:rFonts w:ascii="Simplified Arabic" w:hAnsi="Simplified Arabic" w:cs="Simplified Arabic"/>
          <w:color w:val="EE0000"/>
          <w:sz w:val="28"/>
          <w:szCs w:val="28"/>
          <w:rtl/>
        </w:rPr>
        <w:t xml:space="preserve"> قبل الإرسال النهائي.</w:t>
      </w:r>
    </w:p>
    <w:p w14:paraId="00CD34A2" w14:textId="77777777" w:rsidR="00A25019" w:rsidRPr="00A25019" w:rsidRDefault="00A25019" w:rsidP="00A25019">
      <w:pPr>
        <w:jc w:val="both"/>
        <w:rPr>
          <w:rFonts w:ascii="Simplified Arabic" w:hAnsi="Simplified Arabic" w:cs="Simplified Arabic"/>
          <w:b/>
          <w:bCs/>
          <w:color w:val="EE0000"/>
          <w:sz w:val="28"/>
          <w:szCs w:val="28"/>
          <w:rtl/>
        </w:rPr>
      </w:pPr>
      <w:r w:rsidRPr="00A25019">
        <w:rPr>
          <w:rFonts w:ascii="Simplified Arabic" w:hAnsi="Simplified Arabic" w:cs="Simplified Arabic"/>
          <w:b/>
          <w:bCs/>
          <w:color w:val="EE0000"/>
          <w:sz w:val="28"/>
          <w:szCs w:val="28"/>
          <w:rtl/>
        </w:rPr>
        <w:t>ب) قنوات التوزيع</w:t>
      </w:r>
    </w:p>
    <w:p w14:paraId="5B68CD78" w14:textId="77777777" w:rsidR="00A25019" w:rsidRPr="00A25019" w:rsidRDefault="00A25019" w:rsidP="00A25019">
      <w:pPr>
        <w:numPr>
          <w:ilvl w:val="0"/>
          <w:numId w:val="45"/>
        </w:num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تعميم الرابط عبر القنوات الرسمية للجهات المعنيّة بعد الحصول على الموافقات النظامية.</w:t>
      </w:r>
    </w:p>
    <w:p w14:paraId="5E9F4B49" w14:textId="77777777" w:rsidR="00A25019" w:rsidRPr="00A25019" w:rsidRDefault="00A25019" w:rsidP="00A25019">
      <w:pPr>
        <w:numPr>
          <w:ilvl w:val="0"/>
          <w:numId w:val="45"/>
        </w:num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التنسيق مع إدارات الموارد البشرية لضمان وصول الرابط إلى الفئات المستهدفة.</w:t>
      </w:r>
    </w:p>
    <w:p w14:paraId="20181AE5" w14:textId="77777777" w:rsidR="00A25019" w:rsidRPr="00A25019" w:rsidRDefault="00A25019" w:rsidP="00A25019">
      <w:pPr>
        <w:numPr>
          <w:ilvl w:val="0"/>
          <w:numId w:val="45"/>
        </w:num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توظيف قنوات التواصل المؤسّسية (البريد الإلكتروني الرسمي، ومجموعات العمل عبر تطبيقات المراسلة المعتمدة داخل الجهات).</w:t>
      </w:r>
    </w:p>
    <w:p w14:paraId="57CC81D5" w14:textId="77777777" w:rsidR="00A25019" w:rsidRPr="00A25019" w:rsidRDefault="00A25019" w:rsidP="00A25019">
      <w:pPr>
        <w:jc w:val="both"/>
        <w:rPr>
          <w:rFonts w:ascii="Simplified Arabic" w:hAnsi="Simplified Arabic" w:cs="Simplified Arabic"/>
          <w:b/>
          <w:bCs/>
          <w:color w:val="EE0000"/>
          <w:sz w:val="28"/>
          <w:szCs w:val="28"/>
          <w:rtl/>
        </w:rPr>
      </w:pPr>
      <w:r w:rsidRPr="00A25019">
        <w:rPr>
          <w:rFonts w:ascii="Simplified Arabic" w:hAnsi="Simplified Arabic" w:cs="Simplified Arabic"/>
          <w:b/>
          <w:bCs/>
          <w:color w:val="EE0000"/>
          <w:sz w:val="28"/>
          <w:szCs w:val="28"/>
          <w:rtl/>
        </w:rPr>
        <w:t>ج) الجهات المستهدَفة</w:t>
      </w:r>
    </w:p>
    <w:p w14:paraId="5B9D9C86" w14:textId="77777777" w:rsidR="00A25019" w:rsidRPr="00A25019" w:rsidRDefault="00A25019" w:rsidP="00A25019">
      <w:p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lastRenderedPageBreak/>
        <w:t>وزارة الحج والعمرة – رئاسة الشؤون الدينية للحرمَين الشريفَين – القوات الخاصة لأمن الحج والعمرة – هيئة الهلال الأحمر السعودي (فرعا مكة والمدينة) – هيئة تطوير مكة المكرمة والمشاعر المقدسة – الشركات التشغيلية واللوجستية المتعاقدة.</w:t>
      </w:r>
    </w:p>
    <w:p w14:paraId="488A99D8" w14:textId="77777777" w:rsidR="00A25019" w:rsidRPr="00A25019" w:rsidRDefault="00A25019" w:rsidP="00A25019">
      <w:pPr>
        <w:jc w:val="both"/>
        <w:rPr>
          <w:rFonts w:ascii="Simplified Arabic" w:hAnsi="Simplified Arabic" w:cs="Simplified Arabic"/>
          <w:b/>
          <w:bCs/>
          <w:color w:val="EE0000"/>
          <w:sz w:val="28"/>
          <w:szCs w:val="28"/>
          <w:rtl/>
        </w:rPr>
      </w:pPr>
      <w:r w:rsidRPr="00A25019">
        <w:rPr>
          <w:rFonts w:ascii="Simplified Arabic" w:hAnsi="Simplified Arabic" w:cs="Simplified Arabic"/>
          <w:b/>
          <w:bCs/>
          <w:color w:val="EE0000"/>
          <w:sz w:val="28"/>
          <w:szCs w:val="28"/>
          <w:rtl/>
        </w:rPr>
        <w:t>د) مدّة جمع البيانات</w:t>
      </w:r>
    </w:p>
    <w:p w14:paraId="083CD328" w14:textId="77777777" w:rsidR="00A25019" w:rsidRPr="00A25019" w:rsidRDefault="00A25019" w:rsidP="00A25019">
      <w:pPr>
        <w:jc w:val="both"/>
        <w:rPr>
          <w:rFonts w:ascii="Simplified Arabic" w:hAnsi="Simplified Arabic" w:cs="Simplified Arabic"/>
          <w:color w:val="EE0000"/>
          <w:sz w:val="28"/>
          <w:szCs w:val="28"/>
          <w:rtl/>
        </w:rPr>
      </w:pPr>
      <w:r w:rsidRPr="00A25019">
        <w:rPr>
          <w:rFonts w:ascii="Simplified Arabic" w:hAnsi="Simplified Arabic" w:cs="Simplified Arabic"/>
          <w:b/>
          <w:bCs/>
          <w:color w:val="EE0000"/>
          <w:sz w:val="28"/>
          <w:szCs w:val="28"/>
          <w:rtl/>
        </w:rPr>
        <w:t>ثلاثة أشهر</w:t>
      </w:r>
      <w:r w:rsidRPr="00A25019">
        <w:rPr>
          <w:rFonts w:ascii="Simplified Arabic" w:hAnsi="Simplified Arabic" w:cs="Simplified Arabic"/>
          <w:color w:val="EE0000"/>
          <w:sz w:val="28"/>
          <w:szCs w:val="28"/>
          <w:rtl/>
        </w:rPr>
        <w:t xml:space="preserve"> متتابعة تتزامن مع موسم الحج والعمرة لعام 1447هـ / 2026م، بحيث تُغطّي:</w:t>
      </w:r>
    </w:p>
    <w:p w14:paraId="207D5749" w14:textId="77777777" w:rsidR="00A25019" w:rsidRPr="00A25019" w:rsidRDefault="00A25019" w:rsidP="00A25019">
      <w:pPr>
        <w:numPr>
          <w:ilvl w:val="0"/>
          <w:numId w:val="46"/>
        </w:num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مرحلة الاستعداد التشغيلي (ما قبل الموسم).</w:t>
      </w:r>
    </w:p>
    <w:p w14:paraId="038A5660" w14:textId="77777777" w:rsidR="00A25019" w:rsidRPr="00A25019" w:rsidRDefault="00A25019" w:rsidP="00A25019">
      <w:pPr>
        <w:numPr>
          <w:ilvl w:val="0"/>
          <w:numId w:val="46"/>
        </w:num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مرحلة الذروة التشغيلية.</w:t>
      </w:r>
    </w:p>
    <w:p w14:paraId="6D2065F5" w14:textId="77777777" w:rsidR="00A25019" w:rsidRPr="00A25019" w:rsidRDefault="00A25019" w:rsidP="00A25019">
      <w:pPr>
        <w:numPr>
          <w:ilvl w:val="0"/>
          <w:numId w:val="46"/>
        </w:numPr>
        <w:jc w:val="both"/>
        <w:rPr>
          <w:rFonts w:ascii="Simplified Arabic" w:hAnsi="Simplified Arabic" w:cs="Simplified Arabic"/>
          <w:color w:val="EE0000"/>
          <w:sz w:val="28"/>
          <w:szCs w:val="28"/>
          <w:rtl/>
        </w:rPr>
      </w:pPr>
      <w:r w:rsidRPr="00A25019">
        <w:rPr>
          <w:rFonts w:ascii="Simplified Arabic" w:hAnsi="Simplified Arabic" w:cs="Simplified Arabic"/>
          <w:color w:val="EE0000"/>
          <w:sz w:val="28"/>
          <w:szCs w:val="28"/>
          <w:rtl/>
        </w:rPr>
        <w:t>مرحلة التقييم اللاحق (ما بعد الموسم).</w:t>
      </w:r>
    </w:p>
    <w:p w14:paraId="0EF453FB" w14:textId="77777777" w:rsidR="00A25019" w:rsidRPr="00A25019" w:rsidRDefault="00A25019" w:rsidP="00A25019">
      <w:pPr>
        <w:jc w:val="both"/>
        <w:rPr>
          <w:rFonts w:ascii="Simplified Arabic" w:hAnsi="Simplified Arabic" w:cs="Simplified Arabic"/>
          <w:b/>
          <w:bCs/>
          <w:color w:val="EE0000"/>
          <w:sz w:val="28"/>
          <w:szCs w:val="28"/>
          <w:rtl/>
        </w:rPr>
      </w:pPr>
      <w:r w:rsidRPr="00A25019">
        <w:rPr>
          <w:rFonts w:ascii="Simplified Arabic" w:hAnsi="Simplified Arabic" w:cs="Simplified Arabic"/>
          <w:b/>
          <w:bCs/>
          <w:color w:val="EE0000"/>
          <w:sz w:val="28"/>
          <w:szCs w:val="28"/>
          <w:rtl/>
        </w:rPr>
        <w:t>هـ) إجراءات ضمان السرّية وجودة الاستجابات</w:t>
      </w:r>
    </w:p>
    <w:p w14:paraId="4E466DEB" w14:textId="77777777" w:rsidR="00A25019" w:rsidRPr="00A25019" w:rsidRDefault="00A25019" w:rsidP="00A25019">
      <w:pPr>
        <w:numPr>
          <w:ilvl w:val="0"/>
          <w:numId w:val="47"/>
        </w:numPr>
        <w:jc w:val="both"/>
        <w:rPr>
          <w:rFonts w:ascii="Simplified Arabic" w:hAnsi="Simplified Arabic" w:cs="Simplified Arabic"/>
          <w:color w:val="EE0000"/>
          <w:sz w:val="28"/>
          <w:szCs w:val="28"/>
          <w:rtl/>
        </w:rPr>
      </w:pPr>
      <w:r w:rsidRPr="00A25019">
        <w:rPr>
          <w:rFonts w:ascii="Simplified Arabic" w:hAnsi="Simplified Arabic" w:cs="Simplified Arabic"/>
          <w:b/>
          <w:bCs/>
          <w:color w:val="EE0000"/>
          <w:sz w:val="28"/>
          <w:szCs w:val="28"/>
          <w:rtl/>
        </w:rPr>
        <w:t>صفحة تعريفية استهلالية</w:t>
      </w:r>
      <w:r w:rsidRPr="00A25019">
        <w:rPr>
          <w:rFonts w:ascii="Simplified Arabic" w:hAnsi="Simplified Arabic" w:cs="Simplified Arabic"/>
          <w:color w:val="EE0000"/>
          <w:sz w:val="28"/>
          <w:szCs w:val="28"/>
          <w:rtl/>
        </w:rPr>
        <w:t xml:space="preserve"> توضّح: الهدف من الدراسة، والمشاركة الطوعية، وحقّ الانسحاب، وسرّية البيانات، والاستخدام العلمي الحصري.</w:t>
      </w:r>
    </w:p>
    <w:p w14:paraId="7EF3B0E0" w14:textId="77777777" w:rsidR="00A25019" w:rsidRPr="00A25019" w:rsidRDefault="00A25019" w:rsidP="00A25019">
      <w:pPr>
        <w:numPr>
          <w:ilvl w:val="0"/>
          <w:numId w:val="47"/>
        </w:numPr>
        <w:jc w:val="both"/>
        <w:rPr>
          <w:rFonts w:ascii="Simplified Arabic" w:hAnsi="Simplified Arabic" w:cs="Simplified Arabic"/>
          <w:color w:val="EE0000"/>
          <w:sz w:val="28"/>
          <w:szCs w:val="28"/>
          <w:rtl/>
        </w:rPr>
      </w:pPr>
      <w:r w:rsidRPr="00A25019">
        <w:rPr>
          <w:rFonts w:ascii="Simplified Arabic" w:hAnsi="Simplified Arabic" w:cs="Simplified Arabic"/>
          <w:b/>
          <w:bCs/>
          <w:color w:val="EE0000"/>
          <w:sz w:val="28"/>
          <w:szCs w:val="28"/>
          <w:rtl/>
        </w:rPr>
        <w:t>الموافقة المستنيرة الإلكترونية</w:t>
      </w:r>
      <w:r w:rsidRPr="00A25019">
        <w:rPr>
          <w:rFonts w:ascii="Simplified Arabic" w:hAnsi="Simplified Arabic" w:cs="Simplified Arabic"/>
          <w:color w:val="EE0000"/>
          <w:sz w:val="28"/>
          <w:szCs w:val="28"/>
          <w:rtl/>
        </w:rPr>
        <w:t xml:space="preserve"> (</w:t>
      </w:r>
      <w:r w:rsidRPr="00A25019">
        <w:rPr>
          <w:rFonts w:ascii="Simplified Arabic" w:hAnsi="Simplified Arabic" w:cs="Simplified Arabic"/>
          <w:color w:val="EE0000"/>
          <w:sz w:val="28"/>
          <w:szCs w:val="28"/>
        </w:rPr>
        <w:t>Informed Consent</w:t>
      </w:r>
      <w:r w:rsidRPr="00A25019">
        <w:rPr>
          <w:rFonts w:ascii="Simplified Arabic" w:hAnsi="Simplified Arabic" w:cs="Simplified Arabic"/>
          <w:color w:val="EE0000"/>
          <w:sz w:val="28"/>
          <w:szCs w:val="28"/>
          <w:rtl/>
        </w:rPr>
        <w:t>) قبل الشروع في التعبئة.</w:t>
      </w:r>
    </w:p>
    <w:p w14:paraId="65D57FC7" w14:textId="77777777" w:rsidR="00A25019" w:rsidRPr="00A25019" w:rsidRDefault="00A25019" w:rsidP="00A25019">
      <w:pPr>
        <w:numPr>
          <w:ilvl w:val="0"/>
          <w:numId w:val="47"/>
        </w:numPr>
        <w:jc w:val="both"/>
        <w:rPr>
          <w:rFonts w:ascii="Simplified Arabic" w:hAnsi="Simplified Arabic" w:cs="Simplified Arabic"/>
          <w:color w:val="EE0000"/>
          <w:sz w:val="28"/>
          <w:szCs w:val="28"/>
          <w:rtl/>
        </w:rPr>
      </w:pPr>
      <w:r w:rsidRPr="00A25019">
        <w:rPr>
          <w:rFonts w:ascii="Simplified Arabic" w:hAnsi="Simplified Arabic" w:cs="Simplified Arabic"/>
          <w:b/>
          <w:bCs/>
          <w:color w:val="EE0000"/>
          <w:sz w:val="28"/>
          <w:szCs w:val="28"/>
          <w:rtl/>
        </w:rPr>
        <w:t>عدم طلب أيّ بيانات كاشفة عن الهوية</w:t>
      </w:r>
      <w:r w:rsidRPr="00A25019">
        <w:rPr>
          <w:rFonts w:ascii="Simplified Arabic" w:hAnsi="Simplified Arabic" w:cs="Simplified Arabic"/>
          <w:color w:val="EE0000"/>
          <w:sz w:val="28"/>
          <w:szCs w:val="28"/>
          <w:rtl/>
        </w:rPr>
        <w:t xml:space="preserve"> (الاسم، الرقم الوظيفي، الجوال، البريد الإلكتروني).</w:t>
      </w:r>
    </w:p>
    <w:p w14:paraId="4A93DF9E" w14:textId="77777777" w:rsidR="00A25019" w:rsidRPr="00A25019" w:rsidRDefault="00A25019" w:rsidP="00A25019">
      <w:pPr>
        <w:numPr>
          <w:ilvl w:val="0"/>
          <w:numId w:val="47"/>
        </w:numPr>
        <w:jc w:val="both"/>
        <w:rPr>
          <w:rFonts w:ascii="Simplified Arabic" w:hAnsi="Simplified Arabic" w:cs="Simplified Arabic"/>
          <w:color w:val="EE0000"/>
          <w:sz w:val="28"/>
          <w:szCs w:val="28"/>
          <w:rtl/>
        </w:rPr>
      </w:pPr>
      <w:r w:rsidRPr="00A25019">
        <w:rPr>
          <w:rFonts w:ascii="Simplified Arabic" w:hAnsi="Simplified Arabic" w:cs="Simplified Arabic"/>
          <w:b/>
          <w:bCs/>
          <w:color w:val="EE0000"/>
          <w:sz w:val="28"/>
          <w:szCs w:val="28"/>
          <w:rtl/>
        </w:rPr>
        <w:t>حصر استجابة واحدة لكلّ جهاز</w:t>
      </w:r>
      <w:r w:rsidRPr="00A25019">
        <w:rPr>
          <w:rFonts w:ascii="Simplified Arabic" w:hAnsi="Simplified Arabic" w:cs="Simplified Arabic"/>
          <w:color w:val="EE0000"/>
          <w:sz w:val="28"/>
          <w:szCs w:val="28"/>
          <w:rtl/>
        </w:rPr>
        <w:t xml:space="preserve"> قدر الإمكان تفاديًا للتكرار.</w:t>
      </w:r>
    </w:p>
    <w:p w14:paraId="25F68093" w14:textId="77777777" w:rsidR="00A25019" w:rsidRPr="00A25019" w:rsidRDefault="00A25019" w:rsidP="00A25019">
      <w:pPr>
        <w:numPr>
          <w:ilvl w:val="0"/>
          <w:numId w:val="47"/>
        </w:numPr>
        <w:jc w:val="both"/>
        <w:rPr>
          <w:rFonts w:ascii="Simplified Arabic" w:hAnsi="Simplified Arabic" w:cs="Simplified Arabic"/>
          <w:color w:val="EE0000"/>
          <w:sz w:val="28"/>
          <w:szCs w:val="28"/>
          <w:rtl/>
        </w:rPr>
      </w:pPr>
      <w:r w:rsidRPr="00A25019">
        <w:rPr>
          <w:rFonts w:ascii="Simplified Arabic" w:hAnsi="Simplified Arabic" w:cs="Simplified Arabic"/>
          <w:b/>
          <w:bCs/>
          <w:color w:val="EE0000"/>
          <w:sz w:val="28"/>
          <w:szCs w:val="28"/>
          <w:rtl/>
        </w:rPr>
        <w:t>تنقية الاستجابات</w:t>
      </w:r>
      <w:r w:rsidRPr="00A25019">
        <w:rPr>
          <w:rFonts w:ascii="Simplified Arabic" w:hAnsi="Simplified Arabic" w:cs="Simplified Arabic"/>
          <w:color w:val="EE0000"/>
          <w:sz w:val="28"/>
          <w:szCs w:val="28"/>
          <w:rtl/>
        </w:rPr>
        <w:t xml:space="preserve"> بحذف الاستجابات النمطية (</w:t>
      </w:r>
      <w:r w:rsidRPr="00A25019">
        <w:rPr>
          <w:rFonts w:ascii="Simplified Arabic" w:hAnsi="Simplified Arabic" w:cs="Simplified Arabic"/>
          <w:color w:val="EE0000"/>
          <w:sz w:val="28"/>
          <w:szCs w:val="28"/>
        </w:rPr>
        <w:t>Straight-lining</w:t>
      </w:r>
      <w:r w:rsidRPr="00A25019">
        <w:rPr>
          <w:rFonts w:ascii="Simplified Arabic" w:hAnsi="Simplified Arabic" w:cs="Simplified Arabic"/>
          <w:color w:val="EE0000"/>
          <w:sz w:val="28"/>
          <w:szCs w:val="28"/>
          <w:rtl/>
        </w:rPr>
        <w:t>) والاستجابات المكتملة في زمن أقلّ من أربع دقائق.</w:t>
      </w:r>
    </w:p>
    <w:p w14:paraId="7CAF4883" w14:textId="77777777" w:rsidR="00A25019" w:rsidRPr="00A25019" w:rsidRDefault="00A25019" w:rsidP="00A25019">
      <w:pPr>
        <w:jc w:val="both"/>
        <w:rPr>
          <w:rFonts w:ascii="Simplified Arabic" w:hAnsi="Simplified Arabic" w:cs="Simplified Arabic"/>
          <w:b/>
          <w:bCs/>
          <w:sz w:val="28"/>
          <w:szCs w:val="28"/>
          <w:lang w:bidi="ar-EG"/>
        </w:rPr>
      </w:pPr>
      <w:r w:rsidRPr="00A25019">
        <w:rPr>
          <w:rFonts w:ascii="Simplified Arabic" w:hAnsi="Simplified Arabic" w:cs="Simplified Arabic"/>
          <w:b/>
          <w:bCs/>
          <w:sz w:val="28"/>
          <w:szCs w:val="28"/>
          <w:rtl/>
        </w:rPr>
        <w:t>التحقق من الخصائص السيكومترية للأداة</w:t>
      </w:r>
    </w:p>
    <w:p w14:paraId="6B7DC3DF" w14:textId="77777777" w:rsidR="00A25019" w:rsidRPr="00A25019" w:rsidRDefault="00A25019" w:rsidP="00A25019">
      <w:pPr>
        <w:jc w:val="both"/>
        <w:rPr>
          <w:rFonts w:ascii="Simplified Arabic" w:hAnsi="Simplified Arabic" w:cs="Simplified Arabic"/>
          <w:b/>
          <w:bCs/>
          <w:sz w:val="28"/>
          <w:szCs w:val="28"/>
          <w:highlight w:val="yellow"/>
          <w:lang w:bidi="ar-EG"/>
        </w:rPr>
      </w:pPr>
      <w:r w:rsidRPr="00A25019">
        <w:rPr>
          <w:rFonts w:ascii="Simplified Arabic" w:hAnsi="Simplified Arabic" w:cs="Simplified Arabic"/>
          <w:b/>
          <w:bCs/>
          <w:sz w:val="28"/>
          <w:szCs w:val="28"/>
          <w:highlight w:val="yellow"/>
          <w:rtl/>
        </w:rPr>
        <w:t>أ) الصدق</w:t>
      </w:r>
      <w:r w:rsidRPr="00A25019">
        <w:rPr>
          <w:rFonts w:ascii="Simplified Arabic" w:hAnsi="Simplified Arabic" w:cs="Simplified Arabic"/>
          <w:b/>
          <w:bCs/>
          <w:sz w:val="28"/>
          <w:szCs w:val="28"/>
          <w:highlight w:val="yellow"/>
          <w:lang w:bidi="ar-EG"/>
        </w:rPr>
        <w:t xml:space="preserve"> (Validity)</w:t>
      </w:r>
    </w:p>
    <w:p w14:paraId="52D02CA2" w14:textId="77777777" w:rsidR="00A25019" w:rsidRPr="00A25019" w:rsidRDefault="00A25019" w:rsidP="00A25019">
      <w:pPr>
        <w:ind w:left="360"/>
        <w:jc w:val="both"/>
        <w:rPr>
          <w:rFonts w:ascii="Simplified Arabic" w:hAnsi="Simplified Arabic" w:cs="Simplified Arabic"/>
          <w:b/>
          <w:bCs/>
          <w:sz w:val="28"/>
          <w:szCs w:val="28"/>
          <w:highlight w:val="yellow"/>
        </w:rPr>
      </w:pPr>
      <w:r w:rsidRPr="00A25019">
        <w:rPr>
          <w:rFonts w:ascii="Simplified Arabic" w:hAnsi="Simplified Arabic" w:cs="Simplified Arabic"/>
          <w:b/>
          <w:bCs/>
          <w:sz w:val="28"/>
          <w:szCs w:val="28"/>
          <w:highlight w:val="yellow"/>
          <w:rtl/>
        </w:rPr>
        <w:t>أ. الصدق الظاهري</w:t>
      </w:r>
      <w:r w:rsidRPr="00A25019">
        <w:rPr>
          <w:rFonts w:ascii="Simplified Arabic" w:hAnsi="Simplified Arabic" w:cs="Simplified Arabic"/>
          <w:b/>
          <w:bCs/>
          <w:sz w:val="28"/>
          <w:szCs w:val="28"/>
          <w:highlight w:val="yellow"/>
        </w:rPr>
        <w:t xml:space="preserve"> (Face Validity)</w:t>
      </w:r>
    </w:p>
    <w:p w14:paraId="174D2EFA" w14:textId="77777777" w:rsidR="00A25019" w:rsidRPr="00A25019" w:rsidRDefault="00A25019" w:rsidP="00A25019">
      <w:pPr>
        <w:numPr>
          <w:ilvl w:val="0"/>
          <w:numId w:val="12"/>
        </w:numPr>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 xml:space="preserve">يُعنى هذا النوع من الصدق بمدى ظهور فقرات الأداة قادرةً  من حيث الشكل والصياغة اللغوية  على قياس ما وُضعت لأجله من وجهة نظر المحكّمين والمستجيبين. وستُعرَض الاستبانة في </w:t>
      </w:r>
      <w:r w:rsidRPr="00A25019">
        <w:rPr>
          <w:rFonts w:ascii="Simplified Arabic" w:hAnsi="Simplified Arabic" w:cs="Simplified Arabic"/>
          <w:sz w:val="28"/>
          <w:szCs w:val="28"/>
          <w:highlight w:val="yellow"/>
          <w:rtl/>
        </w:rPr>
        <w:lastRenderedPageBreak/>
        <w:t>صورتها الأوّلية على مجموعة من المحكّمين الأكاديميين المتخصّصين في إدارة الأعمال، وإدارة العمليات، والاستدامة، وتقنية المعلومات، فضلًا عن الخبراء الميدانيين من العاملين في إدارة الحشود، وذلك لإبداء آرائهم في: وضوح الصياغة اللغوية، ودقّة المصطلحات، وخلوّ الفقرات من الازدواجية أو الغموض، ومناسبتها للسياق الثقافي والتشغيلي للحج والعمرة</w:t>
      </w:r>
      <w:r w:rsidRPr="00A25019">
        <w:rPr>
          <w:rFonts w:ascii="Simplified Arabic" w:hAnsi="Simplified Arabic" w:cs="Simplified Arabic"/>
          <w:sz w:val="28"/>
          <w:szCs w:val="28"/>
          <w:highlight w:val="yellow"/>
        </w:rPr>
        <w:t>.</w:t>
      </w:r>
    </w:p>
    <w:p w14:paraId="070FE46C" w14:textId="77777777" w:rsidR="00A25019" w:rsidRPr="00A25019" w:rsidRDefault="00A25019" w:rsidP="00A25019">
      <w:pPr>
        <w:ind w:left="360"/>
        <w:jc w:val="both"/>
        <w:rPr>
          <w:rFonts w:ascii="Simplified Arabic" w:hAnsi="Simplified Arabic" w:cs="Simplified Arabic"/>
          <w:b/>
          <w:bCs/>
          <w:sz w:val="28"/>
          <w:szCs w:val="28"/>
          <w:highlight w:val="yellow"/>
        </w:rPr>
      </w:pPr>
      <w:r w:rsidRPr="00A25019">
        <w:rPr>
          <w:rFonts w:ascii="Simplified Arabic" w:hAnsi="Simplified Arabic" w:cs="Simplified Arabic"/>
          <w:b/>
          <w:bCs/>
          <w:sz w:val="28"/>
          <w:szCs w:val="28"/>
          <w:highlight w:val="yellow"/>
          <w:rtl/>
        </w:rPr>
        <w:t>ب. صدق المحتوى</w:t>
      </w:r>
      <w:r w:rsidRPr="00A25019">
        <w:rPr>
          <w:rFonts w:ascii="Simplified Arabic" w:hAnsi="Simplified Arabic" w:cs="Simplified Arabic"/>
          <w:b/>
          <w:bCs/>
          <w:sz w:val="28"/>
          <w:szCs w:val="28"/>
          <w:highlight w:val="yellow"/>
        </w:rPr>
        <w:t xml:space="preserve"> (Content Validity)</w:t>
      </w:r>
    </w:p>
    <w:p w14:paraId="07BAAE2C" w14:textId="77777777" w:rsidR="00A25019" w:rsidRPr="00A25019" w:rsidRDefault="00A25019" w:rsidP="00A25019">
      <w:pPr>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يُعنى هذا الصدق بمدى تمثيل فقرات الأداة للمحتوى المفاهيمي للمتغيّرات وأبعادها، بحيث تُغطّي جميع الجوانب النظرية للظاهرة دون قصور أو تحيّز. وسيُحسب من خلال</w:t>
      </w:r>
      <w:r w:rsidRPr="00A25019">
        <w:rPr>
          <w:rFonts w:ascii="Simplified Arabic" w:hAnsi="Simplified Arabic" w:cs="Simplified Arabic"/>
          <w:sz w:val="28"/>
          <w:szCs w:val="28"/>
          <w:highlight w:val="yellow"/>
        </w:rPr>
        <w:t>:</w:t>
      </w:r>
    </w:p>
    <w:p w14:paraId="1FB88489"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نسبة صدق المحتوى</w:t>
      </w:r>
      <w:r w:rsidRPr="00A25019">
        <w:rPr>
          <w:rFonts w:ascii="Simplified Arabic" w:hAnsi="Simplified Arabic" w:cs="Simplified Arabic"/>
          <w:b/>
          <w:bCs/>
          <w:sz w:val="28"/>
          <w:szCs w:val="28"/>
          <w:highlight w:val="yellow"/>
        </w:rPr>
        <w:t xml:space="preserve"> (CVR) </w:t>
      </w:r>
      <w:r w:rsidRPr="00A25019">
        <w:rPr>
          <w:rFonts w:ascii="Simplified Arabic" w:hAnsi="Simplified Arabic" w:cs="Simplified Arabic"/>
          <w:b/>
          <w:bCs/>
          <w:sz w:val="28"/>
          <w:szCs w:val="28"/>
          <w:highlight w:val="yellow"/>
          <w:rtl/>
        </w:rPr>
        <w:t>وفق معادلة لوشي</w:t>
      </w:r>
      <w:r w:rsidRPr="00A25019">
        <w:rPr>
          <w:rFonts w:ascii="Simplified Arabic" w:hAnsi="Simplified Arabic" w:cs="Simplified Arabic"/>
          <w:b/>
          <w:bCs/>
          <w:sz w:val="28"/>
          <w:szCs w:val="28"/>
          <w:highlight w:val="yellow"/>
        </w:rPr>
        <w:t xml:space="preserve"> (Lawshe, 1975)</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بحيث تُحسب لكل فقرة نسبة تعبّر عن مدى اتفاق المحكّمين على ضرورتها، ويُشترط أن تتجاوز الحدّ الأدنى المقبول وفقًا لعدد المحكّمين المشاركين</w:t>
      </w:r>
      <w:r w:rsidRPr="00A25019">
        <w:rPr>
          <w:rFonts w:ascii="Simplified Arabic" w:hAnsi="Simplified Arabic" w:cs="Simplified Arabic"/>
          <w:sz w:val="28"/>
          <w:szCs w:val="28"/>
          <w:highlight w:val="yellow"/>
        </w:rPr>
        <w:t>.</w:t>
      </w:r>
    </w:p>
    <w:p w14:paraId="04C1383E"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مؤشر صدق المحتوى</w:t>
      </w:r>
      <w:r w:rsidRPr="00A25019">
        <w:rPr>
          <w:rFonts w:ascii="Simplified Arabic" w:hAnsi="Simplified Arabic" w:cs="Simplified Arabic"/>
          <w:b/>
          <w:bCs/>
          <w:sz w:val="28"/>
          <w:szCs w:val="28"/>
          <w:highlight w:val="yellow"/>
        </w:rPr>
        <w:t xml:space="preserve"> (CVI)</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على مستوى الفقرة</w:t>
      </w:r>
      <w:r w:rsidRPr="00A25019">
        <w:rPr>
          <w:rFonts w:ascii="Simplified Arabic" w:hAnsi="Simplified Arabic" w:cs="Simplified Arabic"/>
          <w:sz w:val="28"/>
          <w:szCs w:val="28"/>
          <w:highlight w:val="yellow"/>
        </w:rPr>
        <w:t xml:space="preserve"> (I-CVI) </w:t>
      </w:r>
      <w:r w:rsidRPr="00A25019">
        <w:rPr>
          <w:rFonts w:ascii="Simplified Arabic" w:hAnsi="Simplified Arabic" w:cs="Simplified Arabic"/>
          <w:sz w:val="28"/>
          <w:szCs w:val="28"/>
          <w:highlight w:val="yellow"/>
          <w:rtl/>
        </w:rPr>
        <w:t>وعلى مستوى الأداة الكاملة</w:t>
      </w:r>
      <w:r w:rsidRPr="00A25019">
        <w:rPr>
          <w:rFonts w:ascii="Simplified Arabic" w:hAnsi="Simplified Arabic" w:cs="Simplified Arabic"/>
          <w:sz w:val="28"/>
          <w:szCs w:val="28"/>
          <w:highlight w:val="yellow"/>
        </w:rPr>
        <w:t xml:space="preserve"> (S-CVI)</w:t>
      </w:r>
      <w:r w:rsidRPr="00A25019">
        <w:rPr>
          <w:rFonts w:ascii="Simplified Arabic" w:hAnsi="Simplified Arabic" w:cs="Simplified Arabic"/>
          <w:sz w:val="28"/>
          <w:szCs w:val="28"/>
          <w:highlight w:val="yellow"/>
          <w:rtl/>
        </w:rPr>
        <w:t>، ويُشترط أن تبلغ قيمة</w:t>
      </w:r>
      <w:r w:rsidRPr="00A25019">
        <w:rPr>
          <w:rFonts w:ascii="Simplified Arabic" w:hAnsi="Simplified Arabic" w:cs="Simplified Arabic"/>
          <w:sz w:val="28"/>
          <w:szCs w:val="28"/>
          <w:highlight w:val="yellow"/>
        </w:rPr>
        <w:t xml:space="preserve"> I-CVI </w:t>
      </w:r>
      <w:r w:rsidRPr="00A25019">
        <w:rPr>
          <w:rFonts w:ascii="Simplified Arabic" w:hAnsi="Simplified Arabic" w:cs="Simplified Arabic"/>
          <w:sz w:val="28"/>
          <w:szCs w:val="28"/>
          <w:highlight w:val="yellow"/>
          <w:rtl/>
        </w:rPr>
        <w:t>لكلّ فقرة (0.78) فأعلى، وأن تصل قيمة</w:t>
      </w:r>
      <w:r w:rsidRPr="00A25019">
        <w:rPr>
          <w:rFonts w:ascii="Simplified Arabic" w:hAnsi="Simplified Arabic" w:cs="Simplified Arabic"/>
          <w:sz w:val="28"/>
          <w:szCs w:val="28"/>
          <w:highlight w:val="yellow"/>
        </w:rPr>
        <w:t xml:space="preserve"> S-CVI/Ave </w:t>
      </w:r>
      <w:r w:rsidRPr="00A25019">
        <w:rPr>
          <w:rFonts w:ascii="Simplified Arabic" w:hAnsi="Simplified Arabic" w:cs="Simplified Arabic"/>
          <w:sz w:val="28"/>
          <w:szCs w:val="28"/>
          <w:highlight w:val="yellow"/>
          <w:rtl/>
        </w:rPr>
        <w:t>للأداة الكاملة إلى (0.90) فأكثر، وفقًا لمعايير بولاند وبك</w:t>
      </w:r>
      <w:r w:rsidRPr="00A25019">
        <w:rPr>
          <w:rFonts w:ascii="Simplified Arabic" w:hAnsi="Simplified Arabic" w:cs="Simplified Arabic"/>
          <w:sz w:val="28"/>
          <w:szCs w:val="28"/>
          <w:highlight w:val="yellow"/>
        </w:rPr>
        <w:t xml:space="preserve"> (Polit &amp; Beck, 2006).</w:t>
      </w:r>
    </w:p>
    <w:p w14:paraId="0397460B"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معيار نسبة الاتفاق</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يُعتمد الحدّ الأدنى لاتفاق المحكّمين عند (80%) لإقرار الفقرة، فإن قلّت النسبة عن ذلك جرى تعديل الفقرة أو حذفها</w:t>
      </w:r>
      <w:r w:rsidRPr="00A25019">
        <w:rPr>
          <w:rFonts w:ascii="Simplified Arabic" w:hAnsi="Simplified Arabic" w:cs="Simplified Arabic"/>
          <w:sz w:val="28"/>
          <w:szCs w:val="28"/>
          <w:highlight w:val="yellow"/>
        </w:rPr>
        <w:t>.</w:t>
      </w:r>
    </w:p>
    <w:p w14:paraId="5D66CB37" w14:textId="77777777" w:rsidR="00A25019" w:rsidRPr="00A25019" w:rsidRDefault="00A25019" w:rsidP="00A25019">
      <w:pPr>
        <w:ind w:left="360"/>
        <w:jc w:val="both"/>
        <w:rPr>
          <w:rFonts w:ascii="Simplified Arabic" w:hAnsi="Simplified Arabic" w:cs="Simplified Arabic"/>
          <w:b/>
          <w:bCs/>
          <w:sz w:val="28"/>
          <w:szCs w:val="28"/>
          <w:highlight w:val="yellow"/>
        </w:rPr>
      </w:pPr>
      <w:r w:rsidRPr="00A25019">
        <w:rPr>
          <w:rFonts w:ascii="Simplified Arabic" w:hAnsi="Simplified Arabic" w:cs="Simplified Arabic"/>
          <w:b/>
          <w:bCs/>
          <w:sz w:val="28"/>
          <w:szCs w:val="28"/>
          <w:highlight w:val="yellow"/>
          <w:rtl/>
        </w:rPr>
        <w:t>ج. صدق الاتّساق الداخلي</w:t>
      </w:r>
      <w:r w:rsidRPr="00A25019">
        <w:rPr>
          <w:rFonts w:ascii="Simplified Arabic" w:hAnsi="Simplified Arabic" w:cs="Simplified Arabic"/>
          <w:b/>
          <w:bCs/>
          <w:sz w:val="28"/>
          <w:szCs w:val="28"/>
          <w:highlight w:val="yellow"/>
        </w:rPr>
        <w:t xml:space="preserve"> (Internal Consistency Validity)</w:t>
      </w:r>
    </w:p>
    <w:p w14:paraId="4B8EF82A" w14:textId="77777777" w:rsidR="00A25019" w:rsidRPr="00A25019" w:rsidRDefault="00A25019" w:rsidP="00A25019">
      <w:pPr>
        <w:numPr>
          <w:ilvl w:val="0"/>
          <w:numId w:val="12"/>
        </w:numPr>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سيُحسب من خلال معاملات ارتباط بيرسون</w:t>
      </w:r>
      <w:r w:rsidRPr="00A25019">
        <w:rPr>
          <w:rFonts w:ascii="Simplified Arabic" w:hAnsi="Simplified Arabic" w:cs="Simplified Arabic"/>
          <w:sz w:val="28"/>
          <w:szCs w:val="28"/>
          <w:highlight w:val="yellow"/>
        </w:rPr>
        <w:t xml:space="preserve"> (Pearson Correlation) </w:t>
      </w:r>
      <w:r w:rsidRPr="00A25019">
        <w:rPr>
          <w:rFonts w:ascii="Simplified Arabic" w:hAnsi="Simplified Arabic" w:cs="Simplified Arabic"/>
          <w:sz w:val="28"/>
          <w:szCs w:val="28"/>
          <w:highlight w:val="yellow"/>
          <w:rtl/>
        </w:rPr>
        <w:t>بين</w:t>
      </w:r>
      <w:r w:rsidRPr="00A25019">
        <w:rPr>
          <w:rFonts w:ascii="Simplified Arabic" w:hAnsi="Simplified Arabic" w:cs="Simplified Arabic"/>
          <w:sz w:val="28"/>
          <w:szCs w:val="28"/>
          <w:highlight w:val="yellow"/>
        </w:rPr>
        <w:t>:</w:t>
      </w:r>
    </w:p>
    <w:p w14:paraId="46D32E69"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درجة كلّ فقرة والدرجة الكلية للبُعد الذي تنتمي إليه</w:t>
      </w:r>
      <w:r w:rsidRPr="00A25019">
        <w:rPr>
          <w:rFonts w:ascii="Simplified Arabic" w:hAnsi="Simplified Arabic" w:cs="Simplified Arabic"/>
          <w:sz w:val="28"/>
          <w:szCs w:val="28"/>
          <w:highlight w:val="yellow"/>
        </w:rPr>
        <w:t>.</w:t>
      </w:r>
    </w:p>
    <w:p w14:paraId="2EA8531A"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درجة كلّ بُعد والدرجة الكلية للمحور الذي ينتمي إليه</w:t>
      </w:r>
      <w:r w:rsidRPr="00A25019">
        <w:rPr>
          <w:rFonts w:ascii="Simplified Arabic" w:hAnsi="Simplified Arabic" w:cs="Simplified Arabic"/>
          <w:sz w:val="28"/>
          <w:szCs w:val="28"/>
          <w:highlight w:val="yellow"/>
        </w:rPr>
        <w:t>.</w:t>
      </w:r>
    </w:p>
    <w:p w14:paraId="0A88E7F0"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درجة كلّ محور والدرجة الكلية للاستبانة</w:t>
      </w:r>
      <w:r w:rsidRPr="00A25019">
        <w:rPr>
          <w:rFonts w:ascii="Simplified Arabic" w:hAnsi="Simplified Arabic" w:cs="Simplified Arabic"/>
          <w:sz w:val="28"/>
          <w:szCs w:val="28"/>
          <w:highlight w:val="yellow"/>
        </w:rPr>
        <w:t>.</w:t>
      </w:r>
    </w:p>
    <w:p w14:paraId="41368D59" w14:textId="77777777" w:rsidR="00A25019" w:rsidRPr="00A25019" w:rsidRDefault="00A25019" w:rsidP="00A25019">
      <w:pPr>
        <w:numPr>
          <w:ilvl w:val="0"/>
          <w:numId w:val="12"/>
        </w:numPr>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ويُشترط أن تكون معاملات الارتباط دالّة إحصائيًّا عند مستوى (0.01)، وأن تتجاوز قيمة (0.30) على أقلّ تقدير، حتى تُعدّ الفقرة متّسقة داخليًّا</w:t>
      </w:r>
      <w:r w:rsidRPr="00A25019">
        <w:rPr>
          <w:rFonts w:ascii="Simplified Arabic" w:hAnsi="Simplified Arabic" w:cs="Simplified Arabic"/>
          <w:sz w:val="28"/>
          <w:szCs w:val="28"/>
          <w:highlight w:val="yellow"/>
        </w:rPr>
        <w:t>.</w:t>
      </w:r>
    </w:p>
    <w:p w14:paraId="64D95AC8" w14:textId="77777777" w:rsidR="00A25019" w:rsidRPr="00A25019" w:rsidRDefault="00A25019" w:rsidP="00A25019">
      <w:pPr>
        <w:ind w:left="360"/>
        <w:jc w:val="both"/>
        <w:rPr>
          <w:rFonts w:ascii="Simplified Arabic" w:hAnsi="Simplified Arabic" w:cs="Simplified Arabic"/>
          <w:b/>
          <w:bCs/>
          <w:sz w:val="28"/>
          <w:szCs w:val="28"/>
          <w:highlight w:val="yellow"/>
        </w:rPr>
      </w:pPr>
      <w:r w:rsidRPr="00A25019">
        <w:rPr>
          <w:rFonts w:ascii="Simplified Arabic" w:hAnsi="Simplified Arabic" w:cs="Simplified Arabic"/>
          <w:b/>
          <w:bCs/>
          <w:sz w:val="28"/>
          <w:szCs w:val="28"/>
          <w:highlight w:val="yellow"/>
          <w:rtl/>
        </w:rPr>
        <w:lastRenderedPageBreak/>
        <w:t>د. الصدق البنائي</w:t>
      </w:r>
      <w:r w:rsidRPr="00A25019">
        <w:rPr>
          <w:rFonts w:ascii="Simplified Arabic" w:hAnsi="Simplified Arabic" w:cs="Simplified Arabic"/>
          <w:b/>
          <w:bCs/>
          <w:sz w:val="28"/>
          <w:szCs w:val="28"/>
          <w:highlight w:val="yellow"/>
        </w:rPr>
        <w:t xml:space="preserve"> (Construct Validity)</w:t>
      </w:r>
    </w:p>
    <w:p w14:paraId="017CA77E" w14:textId="77777777" w:rsidR="00A25019" w:rsidRPr="00A25019" w:rsidRDefault="00A25019" w:rsidP="00A25019">
      <w:pPr>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يُعدّ الصدق البنائي أحد الأركان الجوهرية للأدوات المُوظَّفة في نمذجة المعادلات الهيكلية، وقد اعتمدت الدراسة الحاليّة على مسار متكامل من ثلاث مراحل متتابعة على النحو الآتي:</w:t>
      </w:r>
    </w:p>
    <w:p w14:paraId="2632316A" w14:textId="77777777" w:rsidR="00A25019" w:rsidRPr="00A25019" w:rsidRDefault="00A25019" w:rsidP="00A25019">
      <w:pPr>
        <w:ind w:left="720"/>
        <w:jc w:val="both"/>
        <w:rPr>
          <w:rFonts w:ascii="Simplified Arabic" w:hAnsi="Simplified Arabic" w:cs="Simplified Arabic"/>
          <w:b/>
          <w:bCs/>
          <w:color w:val="EE0000"/>
          <w:sz w:val="28"/>
          <w:szCs w:val="28"/>
          <w:highlight w:val="yellow"/>
          <w:rtl/>
        </w:rPr>
      </w:pPr>
      <w:r w:rsidRPr="00A25019">
        <w:rPr>
          <w:rFonts w:ascii="Simplified Arabic" w:hAnsi="Simplified Arabic" w:cs="Simplified Arabic"/>
          <w:b/>
          <w:bCs/>
          <w:color w:val="EE0000"/>
          <w:sz w:val="28"/>
          <w:szCs w:val="28"/>
          <w:highlight w:val="yellow"/>
          <w:rtl/>
        </w:rPr>
        <w:t>المرحلة الأولى: التحليل العاملي الاستكشافي (</w:t>
      </w:r>
      <w:r w:rsidRPr="00A25019">
        <w:rPr>
          <w:rFonts w:ascii="Simplified Arabic" w:hAnsi="Simplified Arabic" w:cs="Simplified Arabic"/>
          <w:b/>
          <w:bCs/>
          <w:color w:val="EE0000"/>
          <w:sz w:val="28"/>
          <w:szCs w:val="28"/>
          <w:highlight w:val="yellow"/>
        </w:rPr>
        <w:t>Exploratory Factor Analysis – EFA</w:t>
      </w:r>
      <w:r w:rsidRPr="00A25019">
        <w:rPr>
          <w:rFonts w:ascii="Simplified Arabic" w:hAnsi="Simplified Arabic" w:cs="Simplified Arabic"/>
          <w:b/>
          <w:bCs/>
          <w:color w:val="EE0000"/>
          <w:sz w:val="28"/>
          <w:szCs w:val="28"/>
          <w:highlight w:val="yellow"/>
          <w:rtl/>
        </w:rPr>
        <w:t>)</w:t>
      </w:r>
    </w:p>
    <w:p w14:paraId="6E9E8287" w14:textId="77777777" w:rsidR="00A25019" w:rsidRPr="00A25019" w:rsidRDefault="00A25019" w:rsidP="00A25019">
      <w:pPr>
        <w:ind w:left="720"/>
        <w:jc w:val="both"/>
        <w:rPr>
          <w:rFonts w:ascii="Simplified Arabic" w:hAnsi="Simplified Arabic" w:cs="Simplified Arabic"/>
          <w:color w:val="EE0000"/>
          <w:sz w:val="28"/>
          <w:szCs w:val="28"/>
          <w:highlight w:val="yellow"/>
          <w:rtl/>
        </w:rPr>
      </w:pPr>
      <w:r w:rsidRPr="00A25019">
        <w:rPr>
          <w:rFonts w:ascii="Simplified Arabic" w:hAnsi="Simplified Arabic" w:cs="Simplified Arabic"/>
          <w:color w:val="EE0000"/>
          <w:sz w:val="28"/>
          <w:szCs w:val="28"/>
          <w:highlight w:val="yellow"/>
          <w:rtl/>
        </w:rPr>
        <w:t>يُطبَّق التحليل العاملي الاستكشافي على بيانات العيّنة الاستطلاعية باستخدام أسلوب المكوّنات الرئيسة (</w:t>
      </w:r>
      <w:r w:rsidRPr="00A25019">
        <w:rPr>
          <w:rFonts w:ascii="Simplified Arabic" w:hAnsi="Simplified Arabic" w:cs="Simplified Arabic"/>
          <w:color w:val="EE0000"/>
          <w:sz w:val="28"/>
          <w:szCs w:val="28"/>
          <w:highlight w:val="yellow"/>
        </w:rPr>
        <w:t>Principal Component Analysis – PCA</w:t>
      </w:r>
      <w:r w:rsidRPr="00A25019">
        <w:rPr>
          <w:rFonts w:ascii="Simplified Arabic" w:hAnsi="Simplified Arabic" w:cs="Simplified Arabic"/>
          <w:color w:val="EE0000"/>
          <w:sz w:val="28"/>
          <w:szCs w:val="28"/>
          <w:highlight w:val="yellow"/>
          <w:rtl/>
        </w:rPr>
        <w:t xml:space="preserve">) مع التدوير المتعامد بطريقة </w:t>
      </w:r>
      <w:r w:rsidRPr="00A25019">
        <w:rPr>
          <w:rFonts w:ascii="Simplified Arabic" w:hAnsi="Simplified Arabic" w:cs="Simplified Arabic"/>
          <w:color w:val="EE0000"/>
          <w:sz w:val="28"/>
          <w:szCs w:val="28"/>
          <w:highlight w:val="yellow"/>
        </w:rPr>
        <w:t>Varimax</w:t>
      </w:r>
      <w:r w:rsidRPr="00A25019">
        <w:rPr>
          <w:rFonts w:ascii="Simplified Arabic" w:hAnsi="Simplified Arabic" w:cs="Simplified Arabic"/>
          <w:color w:val="EE0000"/>
          <w:sz w:val="28"/>
          <w:szCs w:val="28"/>
          <w:highlight w:val="yellow"/>
          <w:rtl/>
        </w:rPr>
        <w:t>، وذلك للتحقّق من البنية العاملية الكامنة للأداة قبل الانتقال إلى التحليل التوكيدي. وتُعتمد المعايير الآتية للحكم على ملاءمة البيانات:</w:t>
      </w:r>
    </w:p>
    <w:tbl>
      <w:tblPr>
        <w:tblStyle w:val="PlainTable1"/>
        <w:bidiVisual/>
        <w:tblW w:w="0" w:type="auto"/>
        <w:tblLook w:val="04A0" w:firstRow="1" w:lastRow="0" w:firstColumn="1" w:lastColumn="0" w:noHBand="0" w:noVBand="1"/>
      </w:tblPr>
      <w:tblGrid>
        <w:gridCol w:w="3847"/>
        <w:gridCol w:w="2734"/>
        <w:gridCol w:w="2435"/>
      </w:tblGrid>
      <w:tr w:rsidR="00A25019" w:rsidRPr="00A25019" w14:paraId="6D2466BD" w14:textId="77777777" w:rsidTr="008030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026446" w14:textId="77777777" w:rsidR="00A25019" w:rsidRPr="00A25019" w:rsidRDefault="00A25019" w:rsidP="00A25019">
            <w:pPr>
              <w:spacing w:after="160" w:line="278" w:lineRule="auto"/>
              <w:ind w:left="720"/>
              <w:jc w:val="both"/>
              <w:rPr>
                <w:rFonts w:ascii="Simplified Arabic" w:hAnsi="Simplified Arabic" w:cs="Simplified Arabic"/>
                <w:color w:val="EE0000"/>
                <w:sz w:val="28"/>
                <w:szCs w:val="28"/>
                <w:highlight w:val="yellow"/>
                <w:rtl/>
              </w:rPr>
            </w:pPr>
            <w:r w:rsidRPr="00A25019">
              <w:rPr>
                <w:rFonts w:ascii="Simplified Arabic" w:hAnsi="Simplified Arabic" w:cs="Simplified Arabic"/>
                <w:color w:val="EE0000"/>
                <w:sz w:val="28"/>
                <w:szCs w:val="28"/>
                <w:highlight w:val="yellow"/>
                <w:rtl/>
              </w:rPr>
              <w:t>المعيار</w:t>
            </w:r>
          </w:p>
        </w:tc>
        <w:tc>
          <w:tcPr>
            <w:tcW w:w="0" w:type="auto"/>
            <w:hideMark/>
          </w:tcPr>
          <w:p w14:paraId="40CDB0F7" w14:textId="77777777" w:rsidR="00A25019" w:rsidRPr="00A25019" w:rsidRDefault="00A25019" w:rsidP="00A25019">
            <w:pPr>
              <w:spacing w:after="160" w:line="278"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القيمة المطلوبة</w:t>
            </w:r>
          </w:p>
        </w:tc>
        <w:tc>
          <w:tcPr>
            <w:tcW w:w="0" w:type="auto"/>
            <w:hideMark/>
          </w:tcPr>
          <w:p w14:paraId="2E0ABDE9" w14:textId="77777777" w:rsidR="00A25019" w:rsidRPr="00A25019" w:rsidRDefault="00A25019" w:rsidP="00A25019">
            <w:pPr>
              <w:spacing w:after="160" w:line="278"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المرجع</w:t>
            </w:r>
          </w:p>
        </w:tc>
      </w:tr>
      <w:tr w:rsidR="00A25019" w:rsidRPr="00A25019" w14:paraId="1C12DDBA" w14:textId="77777777" w:rsidTr="00803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864B5C" w14:textId="77777777" w:rsidR="00A25019" w:rsidRPr="00A25019" w:rsidRDefault="00A25019" w:rsidP="00A25019">
            <w:pPr>
              <w:spacing w:after="160" w:line="278" w:lineRule="auto"/>
              <w:ind w:left="72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اختبار كايزر–ماير–أولكن</w:t>
            </w:r>
            <w:r w:rsidRPr="00A25019">
              <w:rPr>
                <w:rFonts w:ascii="Simplified Arabic" w:hAnsi="Simplified Arabic" w:cs="Simplified Arabic"/>
                <w:color w:val="EE0000"/>
                <w:sz w:val="28"/>
                <w:szCs w:val="28"/>
                <w:highlight w:val="yellow"/>
              </w:rPr>
              <w:t xml:space="preserve"> (KMO)</w:t>
            </w:r>
          </w:p>
        </w:tc>
        <w:tc>
          <w:tcPr>
            <w:tcW w:w="0" w:type="auto"/>
            <w:hideMark/>
          </w:tcPr>
          <w:p w14:paraId="4305D513" w14:textId="77777777" w:rsidR="00A25019" w:rsidRPr="00A25019" w:rsidRDefault="00A25019" w:rsidP="00A25019">
            <w:pPr>
              <w:spacing w:after="160" w:line="278"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Cambria Math" w:hAnsi="Cambria Math" w:cs="Cambria Math"/>
                <w:color w:val="EE0000"/>
                <w:sz w:val="28"/>
                <w:szCs w:val="28"/>
                <w:highlight w:val="yellow"/>
              </w:rPr>
              <w:t>≥</w:t>
            </w:r>
            <w:r w:rsidRPr="00A25019">
              <w:rPr>
                <w:rFonts w:ascii="Simplified Arabic" w:hAnsi="Simplified Arabic" w:cs="Simplified Arabic"/>
                <w:color w:val="EE0000"/>
                <w:sz w:val="28"/>
                <w:szCs w:val="28"/>
                <w:highlight w:val="yellow"/>
              </w:rPr>
              <w:t xml:space="preserve"> 0.60 (</w:t>
            </w:r>
            <w:r w:rsidRPr="00A25019">
              <w:rPr>
                <w:rFonts w:ascii="Simplified Arabic" w:hAnsi="Simplified Arabic" w:cs="Simplified Arabic"/>
                <w:color w:val="EE0000"/>
                <w:sz w:val="28"/>
                <w:szCs w:val="28"/>
                <w:highlight w:val="yellow"/>
                <w:rtl/>
              </w:rPr>
              <w:t xml:space="preserve">يُفضَّل </w:t>
            </w:r>
            <w:r w:rsidRPr="00A25019">
              <w:rPr>
                <w:rFonts w:ascii="Cambria Math" w:hAnsi="Cambria Math" w:cs="Cambria Math"/>
                <w:color w:val="EE0000"/>
                <w:sz w:val="28"/>
                <w:szCs w:val="28"/>
                <w:highlight w:val="yellow"/>
                <w:rtl/>
              </w:rPr>
              <w:t>≥</w:t>
            </w:r>
            <w:r w:rsidRPr="00A25019">
              <w:rPr>
                <w:rFonts w:ascii="Simplified Arabic" w:hAnsi="Simplified Arabic" w:cs="Simplified Arabic"/>
                <w:color w:val="EE0000"/>
                <w:sz w:val="28"/>
                <w:szCs w:val="28"/>
                <w:highlight w:val="yellow"/>
                <w:rtl/>
              </w:rPr>
              <w:t xml:space="preserve"> 0.80</w:t>
            </w:r>
            <w:r w:rsidRPr="00A25019">
              <w:rPr>
                <w:rFonts w:ascii="Simplified Arabic" w:hAnsi="Simplified Arabic" w:cs="Simplified Arabic"/>
                <w:color w:val="EE0000"/>
                <w:sz w:val="28"/>
                <w:szCs w:val="28"/>
                <w:highlight w:val="yellow"/>
              </w:rPr>
              <w:t>)</w:t>
            </w:r>
          </w:p>
        </w:tc>
        <w:tc>
          <w:tcPr>
            <w:tcW w:w="0" w:type="auto"/>
            <w:hideMark/>
          </w:tcPr>
          <w:p w14:paraId="51CC0CC6" w14:textId="77777777" w:rsidR="00A25019" w:rsidRPr="00A25019" w:rsidRDefault="00A25019" w:rsidP="00A25019">
            <w:pPr>
              <w:spacing w:after="160" w:line="278"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Kaiser (1974)</w:t>
            </w:r>
          </w:p>
        </w:tc>
      </w:tr>
      <w:tr w:rsidR="00A25019" w:rsidRPr="00A25019" w14:paraId="51C7759A" w14:textId="77777777" w:rsidTr="00803095">
        <w:tc>
          <w:tcPr>
            <w:cnfStyle w:val="001000000000" w:firstRow="0" w:lastRow="0" w:firstColumn="1" w:lastColumn="0" w:oddVBand="0" w:evenVBand="0" w:oddHBand="0" w:evenHBand="0" w:firstRowFirstColumn="0" w:firstRowLastColumn="0" w:lastRowFirstColumn="0" w:lastRowLastColumn="0"/>
            <w:tcW w:w="0" w:type="auto"/>
            <w:hideMark/>
          </w:tcPr>
          <w:p w14:paraId="1AD0DB39" w14:textId="77777777" w:rsidR="00A25019" w:rsidRPr="00A25019" w:rsidRDefault="00A25019" w:rsidP="00A25019">
            <w:pPr>
              <w:spacing w:after="160" w:line="278" w:lineRule="auto"/>
              <w:ind w:left="72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اختبار بارتليت للتكرّية</w:t>
            </w:r>
            <w:r w:rsidRPr="00A25019">
              <w:rPr>
                <w:rFonts w:ascii="Simplified Arabic" w:hAnsi="Simplified Arabic" w:cs="Simplified Arabic"/>
                <w:color w:val="EE0000"/>
                <w:sz w:val="28"/>
                <w:szCs w:val="28"/>
                <w:highlight w:val="yellow"/>
              </w:rPr>
              <w:t xml:space="preserve"> (Bartlett's Test)</w:t>
            </w:r>
          </w:p>
        </w:tc>
        <w:tc>
          <w:tcPr>
            <w:tcW w:w="0" w:type="auto"/>
            <w:hideMark/>
          </w:tcPr>
          <w:p w14:paraId="5976EB74" w14:textId="77777777" w:rsidR="00A25019" w:rsidRPr="00A25019" w:rsidRDefault="00A25019" w:rsidP="00A25019">
            <w:pPr>
              <w:spacing w:after="160" w:line="278"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دالّ عند مستوى</w:t>
            </w:r>
            <w:r w:rsidRPr="00A25019">
              <w:rPr>
                <w:rFonts w:ascii="Simplified Arabic" w:hAnsi="Simplified Arabic" w:cs="Simplified Arabic"/>
                <w:color w:val="EE0000"/>
                <w:sz w:val="28"/>
                <w:szCs w:val="28"/>
                <w:highlight w:val="yellow"/>
              </w:rPr>
              <w:t xml:space="preserve"> p &lt; 0.05</w:t>
            </w:r>
          </w:p>
        </w:tc>
        <w:tc>
          <w:tcPr>
            <w:tcW w:w="0" w:type="auto"/>
            <w:hideMark/>
          </w:tcPr>
          <w:p w14:paraId="4233A180" w14:textId="77777777" w:rsidR="00A25019" w:rsidRPr="00A25019" w:rsidRDefault="00A25019" w:rsidP="00A25019">
            <w:pPr>
              <w:spacing w:after="160" w:line="278"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Bartlett (1954)</w:t>
            </w:r>
          </w:p>
        </w:tc>
      </w:tr>
      <w:tr w:rsidR="00A25019" w:rsidRPr="00A25019" w14:paraId="3950601C" w14:textId="77777777" w:rsidTr="00803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F7876F" w14:textId="77777777" w:rsidR="00A25019" w:rsidRPr="00A25019" w:rsidRDefault="00A25019" w:rsidP="00A25019">
            <w:pPr>
              <w:spacing w:after="160" w:line="278" w:lineRule="auto"/>
              <w:ind w:left="72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الجذر الكامن</w:t>
            </w:r>
            <w:r w:rsidRPr="00A25019">
              <w:rPr>
                <w:rFonts w:ascii="Simplified Arabic" w:hAnsi="Simplified Arabic" w:cs="Simplified Arabic"/>
                <w:color w:val="EE0000"/>
                <w:sz w:val="28"/>
                <w:szCs w:val="28"/>
                <w:highlight w:val="yellow"/>
              </w:rPr>
              <w:t xml:space="preserve"> (Eigenvalue)</w:t>
            </w:r>
          </w:p>
        </w:tc>
        <w:tc>
          <w:tcPr>
            <w:tcW w:w="0" w:type="auto"/>
            <w:hideMark/>
          </w:tcPr>
          <w:p w14:paraId="12139C25" w14:textId="77777777" w:rsidR="00A25019" w:rsidRPr="00A25019" w:rsidRDefault="00A25019" w:rsidP="00A25019">
            <w:pPr>
              <w:spacing w:after="160" w:line="278"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 xml:space="preserve">&gt; 1 </w:t>
            </w:r>
            <w:r w:rsidRPr="00A25019">
              <w:rPr>
                <w:rFonts w:ascii="Simplified Arabic" w:hAnsi="Simplified Arabic" w:cs="Simplified Arabic"/>
                <w:color w:val="EE0000"/>
                <w:sz w:val="28"/>
                <w:szCs w:val="28"/>
                <w:highlight w:val="yellow"/>
                <w:rtl/>
              </w:rPr>
              <w:t>لكلّ عامل</w:t>
            </w:r>
          </w:p>
        </w:tc>
        <w:tc>
          <w:tcPr>
            <w:tcW w:w="0" w:type="auto"/>
            <w:hideMark/>
          </w:tcPr>
          <w:p w14:paraId="155A03CC" w14:textId="77777777" w:rsidR="00A25019" w:rsidRPr="00A25019" w:rsidRDefault="00A25019" w:rsidP="00A25019">
            <w:pPr>
              <w:spacing w:after="160" w:line="278"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Kaiser (1960)</w:t>
            </w:r>
          </w:p>
        </w:tc>
      </w:tr>
      <w:tr w:rsidR="00A25019" w:rsidRPr="00A25019" w14:paraId="6577C993" w14:textId="77777777" w:rsidTr="00803095">
        <w:tc>
          <w:tcPr>
            <w:cnfStyle w:val="001000000000" w:firstRow="0" w:lastRow="0" w:firstColumn="1" w:lastColumn="0" w:oddVBand="0" w:evenVBand="0" w:oddHBand="0" w:evenHBand="0" w:firstRowFirstColumn="0" w:firstRowLastColumn="0" w:lastRowFirstColumn="0" w:lastRowLastColumn="0"/>
            <w:tcW w:w="0" w:type="auto"/>
            <w:hideMark/>
          </w:tcPr>
          <w:p w14:paraId="5B83D216" w14:textId="77777777" w:rsidR="00A25019" w:rsidRPr="00A25019" w:rsidRDefault="00A25019" w:rsidP="00A25019">
            <w:pPr>
              <w:spacing w:after="160" w:line="278" w:lineRule="auto"/>
              <w:ind w:left="72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التشبّع العاملي</w:t>
            </w:r>
            <w:r w:rsidRPr="00A25019">
              <w:rPr>
                <w:rFonts w:ascii="Simplified Arabic" w:hAnsi="Simplified Arabic" w:cs="Simplified Arabic"/>
                <w:color w:val="EE0000"/>
                <w:sz w:val="28"/>
                <w:szCs w:val="28"/>
                <w:highlight w:val="yellow"/>
              </w:rPr>
              <w:t xml:space="preserve"> (Factor Loading)</w:t>
            </w:r>
          </w:p>
        </w:tc>
        <w:tc>
          <w:tcPr>
            <w:tcW w:w="0" w:type="auto"/>
            <w:hideMark/>
          </w:tcPr>
          <w:p w14:paraId="6B1F6D82" w14:textId="77777777" w:rsidR="00A25019" w:rsidRPr="00A25019" w:rsidRDefault="00A25019" w:rsidP="00A25019">
            <w:pPr>
              <w:spacing w:after="160" w:line="278"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Cambria Math" w:hAnsi="Cambria Math" w:cs="Cambria Math"/>
                <w:color w:val="EE0000"/>
                <w:sz w:val="28"/>
                <w:szCs w:val="28"/>
                <w:highlight w:val="yellow"/>
              </w:rPr>
              <w:t>≥</w:t>
            </w:r>
            <w:r w:rsidRPr="00A25019">
              <w:rPr>
                <w:rFonts w:ascii="Simplified Arabic" w:hAnsi="Simplified Arabic" w:cs="Simplified Arabic"/>
                <w:color w:val="EE0000"/>
                <w:sz w:val="28"/>
                <w:szCs w:val="28"/>
                <w:highlight w:val="yellow"/>
              </w:rPr>
              <w:t xml:space="preserve"> 0.50</w:t>
            </w:r>
          </w:p>
        </w:tc>
        <w:tc>
          <w:tcPr>
            <w:tcW w:w="0" w:type="auto"/>
            <w:hideMark/>
          </w:tcPr>
          <w:p w14:paraId="2FB8F410" w14:textId="77777777" w:rsidR="00A25019" w:rsidRPr="00A25019" w:rsidRDefault="00A25019" w:rsidP="00A25019">
            <w:pPr>
              <w:spacing w:after="160" w:line="278"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Hair et al. (2019)</w:t>
            </w:r>
          </w:p>
        </w:tc>
      </w:tr>
      <w:tr w:rsidR="00A25019" w:rsidRPr="00A25019" w14:paraId="218896A1" w14:textId="77777777" w:rsidTr="00803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7CFC58" w14:textId="77777777" w:rsidR="00A25019" w:rsidRPr="00A25019" w:rsidRDefault="00A25019" w:rsidP="00A25019">
            <w:pPr>
              <w:spacing w:after="160" w:line="278" w:lineRule="auto"/>
              <w:ind w:left="72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نسبة التباين المُفسَّر التراكمي</w:t>
            </w:r>
          </w:p>
        </w:tc>
        <w:tc>
          <w:tcPr>
            <w:tcW w:w="0" w:type="auto"/>
            <w:hideMark/>
          </w:tcPr>
          <w:p w14:paraId="38E9A40B" w14:textId="77777777" w:rsidR="00A25019" w:rsidRPr="00A25019" w:rsidRDefault="00A25019" w:rsidP="00A25019">
            <w:pPr>
              <w:spacing w:after="160" w:line="278"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Cambria Math" w:hAnsi="Cambria Math" w:cs="Cambria Math"/>
                <w:color w:val="EE0000"/>
                <w:sz w:val="28"/>
                <w:szCs w:val="28"/>
                <w:highlight w:val="yellow"/>
              </w:rPr>
              <w:t>≥</w:t>
            </w:r>
            <w:r w:rsidRPr="00A25019">
              <w:rPr>
                <w:rFonts w:ascii="Simplified Arabic" w:hAnsi="Simplified Arabic" w:cs="Simplified Arabic"/>
                <w:color w:val="EE0000"/>
                <w:sz w:val="28"/>
                <w:szCs w:val="28"/>
                <w:highlight w:val="yellow"/>
              </w:rPr>
              <w:t xml:space="preserve"> 60%</w:t>
            </w:r>
          </w:p>
        </w:tc>
        <w:tc>
          <w:tcPr>
            <w:tcW w:w="0" w:type="auto"/>
            <w:hideMark/>
          </w:tcPr>
          <w:p w14:paraId="76471F4C" w14:textId="77777777" w:rsidR="00A25019" w:rsidRPr="00A25019" w:rsidRDefault="00A25019" w:rsidP="00A25019">
            <w:pPr>
              <w:spacing w:after="160" w:line="278"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Hair et al. (2019)</w:t>
            </w:r>
          </w:p>
        </w:tc>
      </w:tr>
    </w:tbl>
    <w:p w14:paraId="1007673F" w14:textId="77777777" w:rsidR="00A25019" w:rsidRPr="00A25019" w:rsidRDefault="00A25019" w:rsidP="00A25019">
      <w:pPr>
        <w:ind w:left="720"/>
        <w:jc w:val="both"/>
        <w:rPr>
          <w:rFonts w:ascii="Simplified Arabic" w:hAnsi="Simplified Arabic" w:cs="Simplified Arabic"/>
          <w:b/>
          <w:bCs/>
          <w:color w:val="EE0000"/>
          <w:sz w:val="28"/>
          <w:szCs w:val="28"/>
          <w:highlight w:val="yellow"/>
        </w:rPr>
      </w:pPr>
      <w:r w:rsidRPr="00A25019">
        <w:rPr>
          <w:rFonts w:ascii="Simplified Arabic" w:hAnsi="Simplified Arabic" w:cs="Simplified Arabic"/>
          <w:b/>
          <w:bCs/>
          <w:color w:val="EE0000"/>
          <w:sz w:val="28"/>
          <w:szCs w:val="28"/>
          <w:highlight w:val="yellow"/>
          <w:rtl/>
        </w:rPr>
        <w:t>المرحلة الثانية: التحليل العاملي التوكيدي (</w:t>
      </w:r>
      <w:r w:rsidRPr="00A25019">
        <w:rPr>
          <w:rFonts w:ascii="Simplified Arabic" w:hAnsi="Simplified Arabic" w:cs="Simplified Arabic"/>
          <w:b/>
          <w:bCs/>
          <w:color w:val="EE0000"/>
          <w:sz w:val="28"/>
          <w:szCs w:val="28"/>
          <w:highlight w:val="yellow"/>
        </w:rPr>
        <w:t>Confirmatory Factor Analysis – CFA</w:t>
      </w:r>
      <w:r w:rsidRPr="00A25019">
        <w:rPr>
          <w:rFonts w:ascii="Simplified Arabic" w:hAnsi="Simplified Arabic" w:cs="Simplified Arabic"/>
          <w:b/>
          <w:bCs/>
          <w:color w:val="EE0000"/>
          <w:sz w:val="28"/>
          <w:szCs w:val="28"/>
          <w:highlight w:val="yellow"/>
          <w:rtl/>
        </w:rPr>
        <w:t>)</w:t>
      </w:r>
    </w:p>
    <w:p w14:paraId="07109DAD" w14:textId="77777777" w:rsidR="00A25019" w:rsidRPr="00A25019" w:rsidRDefault="00A25019" w:rsidP="00A25019">
      <w:pPr>
        <w:ind w:left="720"/>
        <w:jc w:val="both"/>
        <w:rPr>
          <w:rFonts w:ascii="Simplified Arabic" w:hAnsi="Simplified Arabic" w:cs="Simplified Arabic"/>
          <w:color w:val="EE0000"/>
          <w:sz w:val="28"/>
          <w:szCs w:val="28"/>
          <w:highlight w:val="yellow"/>
          <w:rtl/>
        </w:rPr>
      </w:pPr>
      <w:r w:rsidRPr="00A25019">
        <w:rPr>
          <w:rFonts w:ascii="Simplified Arabic" w:hAnsi="Simplified Arabic" w:cs="Simplified Arabic"/>
          <w:color w:val="EE0000"/>
          <w:sz w:val="28"/>
          <w:szCs w:val="28"/>
          <w:highlight w:val="yellow"/>
          <w:rtl/>
        </w:rPr>
        <w:t xml:space="preserve">يُطبَّق التحليل العاملي التوكيدي على بيانات العيّنة الرئيسة عبر برنامج </w:t>
      </w:r>
      <w:r w:rsidRPr="00A25019">
        <w:rPr>
          <w:rFonts w:ascii="Simplified Arabic" w:hAnsi="Simplified Arabic" w:cs="Simplified Arabic"/>
          <w:color w:val="EE0000"/>
          <w:sz w:val="28"/>
          <w:szCs w:val="28"/>
          <w:highlight w:val="yellow"/>
        </w:rPr>
        <w:t>AMOS (v.28)</w:t>
      </w:r>
      <w:r w:rsidRPr="00A25019">
        <w:rPr>
          <w:rFonts w:ascii="Simplified Arabic" w:hAnsi="Simplified Arabic" w:cs="Simplified Arabic"/>
          <w:color w:val="EE0000"/>
          <w:sz w:val="28"/>
          <w:szCs w:val="28"/>
          <w:highlight w:val="yellow"/>
          <w:rtl/>
        </w:rPr>
        <w:t xml:space="preserve"> للتحقّق من مطابقة البنية العاملية للنموذج النظري المُفترَض، ويُعتمد على مؤشّرات المطابقة الآتية:</w:t>
      </w:r>
    </w:p>
    <w:tbl>
      <w:tblPr>
        <w:tblStyle w:val="PlainTable1"/>
        <w:bidiVisual/>
        <w:tblW w:w="0" w:type="auto"/>
        <w:tblLook w:val="04A0" w:firstRow="1" w:lastRow="0" w:firstColumn="1" w:lastColumn="0" w:noHBand="0" w:noVBand="1"/>
      </w:tblPr>
      <w:tblGrid>
        <w:gridCol w:w="3903"/>
        <w:gridCol w:w="2032"/>
        <w:gridCol w:w="3081"/>
      </w:tblGrid>
      <w:tr w:rsidR="00A25019" w:rsidRPr="00A25019" w14:paraId="52A8741A" w14:textId="77777777" w:rsidTr="008030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7DBBC2" w14:textId="77777777" w:rsidR="00A25019" w:rsidRPr="00A25019" w:rsidRDefault="00A25019" w:rsidP="00A25019">
            <w:pPr>
              <w:spacing w:after="160" w:line="278" w:lineRule="auto"/>
              <w:ind w:left="720"/>
              <w:jc w:val="both"/>
              <w:rPr>
                <w:rFonts w:ascii="Simplified Arabic" w:hAnsi="Simplified Arabic" w:cs="Simplified Arabic"/>
                <w:color w:val="EE0000"/>
                <w:sz w:val="28"/>
                <w:szCs w:val="28"/>
                <w:highlight w:val="yellow"/>
                <w:rtl/>
                <w:lang w:bidi="ar-EG"/>
              </w:rPr>
            </w:pPr>
            <w:r w:rsidRPr="00A25019">
              <w:rPr>
                <w:rFonts w:ascii="Simplified Arabic" w:hAnsi="Simplified Arabic" w:cs="Simplified Arabic"/>
                <w:color w:val="EE0000"/>
                <w:sz w:val="28"/>
                <w:szCs w:val="28"/>
                <w:highlight w:val="yellow"/>
                <w:rtl/>
              </w:rPr>
              <w:lastRenderedPageBreak/>
              <w:t>المؤشّر</w:t>
            </w:r>
          </w:p>
        </w:tc>
        <w:tc>
          <w:tcPr>
            <w:tcW w:w="0" w:type="auto"/>
            <w:hideMark/>
          </w:tcPr>
          <w:p w14:paraId="2998C703" w14:textId="77777777" w:rsidR="00A25019" w:rsidRPr="00A25019" w:rsidRDefault="00A25019" w:rsidP="00A25019">
            <w:pPr>
              <w:spacing w:after="160" w:line="278"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القيمة المقبولة</w:t>
            </w:r>
          </w:p>
        </w:tc>
        <w:tc>
          <w:tcPr>
            <w:tcW w:w="0" w:type="auto"/>
            <w:hideMark/>
          </w:tcPr>
          <w:p w14:paraId="65178725" w14:textId="77777777" w:rsidR="00A25019" w:rsidRPr="00A25019" w:rsidRDefault="00A25019" w:rsidP="00A25019">
            <w:pPr>
              <w:spacing w:after="160" w:line="278"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المرجع</w:t>
            </w:r>
          </w:p>
        </w:tc>
      </w:tr>
      <w:tr w:rsidR="00A25019" w:rsidRPr="00A25019" w14:paraId="200FD94D" w14:textId="77777777" w:rsidTr="00803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7AE53C" w14:textId="77777777" w:rsidR="00A25019" w:rsidRPr="00A25019" w:rsidRDefault="00A25019" w:rsidP="00A25019">
            <w:pPr>
              <w:spacing w:after="160" w:line="278" w:lineRule="auto"/>
              <w:ind w:left="72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مربّع كاي المعياري</w:t>
            </w:r>
            <w:r w:rsidRPr="00A25019">
              <w:rPr>
                <w:rFonts w:ascii="Simplified Arabic" w:hAnsi="Simplified Arabic" w:cs="Simplified Arabic"/>
                <w:color w:val="EE0000"/>
                <w:sz w:val="28"/>
                <w:szCs w:val="28"/>
                <w:highlight w:val="yellow"/>
              </w:rPr>
              <w:t xml:space="preserve"> (</w:t>
            </w:r>
            <w:r w:rsidRPr="00A25019">
              <w:rPr>
                <w:rFonts w:ascii="Cambria" w:hAnsi="Cambria" w:cs="Cambria"/>
                <w:color w:val="EE0000"/>
                <w:sz w:val="28"/>
                <w:szCs w:val="28"/>
                <w:highlight w:val="yellow"/>
              </w:rPr>
              <w:t>χ</w:t>
            </w:r>
            <w:r w:rsidRPr="00A25019">
              <w:rPr>
                <w:rFonts w:ascii="Simplified Arabic" w:hAnsi="Simplified Arabic" w:cs="Simplified Arabic"/>
                <w:color w:val="EE0000"/>
                <w:sz w:val="28"/>
                <w:szCs w:val="28"/>
                <w:highlight w:val="yellow"/>
              </w:rPr>
              <w:t>²/df)</w:t>
            </w:r>
          </w:p>
        </w:tc>
        <w:tc>
          <w:tcPr>
            <w:tcW w:w="0" w:type="auto"/>
            <w:hideMark/>
          </w:tcPr>
          <w:p w14:paraId="3CB8F5D4" w14:textId="77777777" w:rsidR="00A25019" w:rsidRPr="00A25019" w:rsidRDefault="00A25019" w:rsidP="00A25019">
            <w:pPr>
              <w:spacing w:after="160" w:line="278"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&lt; 3</w:t>
            </w:r>
          </w:p>
        </w:tc>
        <w:tc>
          <w:tcPr>
            <w:tcW w:w="0" w:type="auto"/>
            <w:hideMark/>
          </w:tcPr>
          <w:p w14:paraId="1EBBA75A" w14:textId="77777777" w:rsidR="00A25019" w:rsidRPr="00A25019" w:rsidRDefault="00A25019" w:rsidP="00A25019">
            <w:pPr>
              <w:spacing w:after="160" w:line="278"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Kline (2016)</w:t>
            </w:r>
          </w:p>
        </w:tc>
      </w:tr>
      <w:tr w:rsidR="00A25019" w:rsidRPr="00A25019" w14:paraId="243FE966" w14:textId="77777777" w:rsidTr="00803095">
        <w:tc>
          <w:tcPr>
            <w:cnfStyle w:val="001000000000" w:firstRow="0" w:lastRow="0" w:firstColumn="1" w:lastColumn="0" w:oddVBand="0" w:evenVBand="0" w:oddHBand="0" w:evenHBand="0" w:firstRowFirstColumn="0" w:firstRowLastColumn="0" w:lastRowFirstColumn="0" w:lastRowLastColumn="0"/>
            <w:tcW w:w="0" w:type="auto"/>
            <w:hideMark/>
          </w:tcPr>
          <w:p w14:paraId="1B101BE4" w14:textId="77777777" w:rsidR="00A25019" w:rsidRPr="00A25019" w:rsidRDefault="00A25019" w:rsidP="00A25019">
            <w:pPr>
              <w:spacing w:after="160" w:line="278" w:lineRule="auto"/>
              <w:ind w:left="72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مؤشّر جودة المطابقة</w:t>
            </w:r>
            <w:r w:rsidRPr="00A25019">
              <w:rPr>
                <w:rFonts w:ascii="Simplified Arabic" w:hAnsi="Simplified Arabic" w:cs="Simplified Arabic"/>
                <w:color w:val="EE0000"/>
                <w:sz w:val="28"/>
                <w:szCs w:val="28"/>
                <w:highlight w:val="yellow"/>
              </w:rPr>
              <w:t xml:space="preserve"> (GFI)</w:t>
            </w:r>
          </w:p>
        </w:tc>
        <w:tc>
          <w:tcPr>
            <w:tcW w:w="0" w:type="auto"/>
            <w:hideMark/>
          </w:tcPr>
          <w:p w14:paraId="540AC727" w14:textId="77777777" w:rsidR="00A25019" w:rsidRPr="00A25019" w:rsidRDefault="00A25019" w:rsidP="00A25019">
            <w:pPr>
              <w:spacing w:after="160" w:line="278"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Cambria Math" w:hAnsi="Cambria Math" w:cs="Cambria Math"/>
                <w:color w:val="EE0000"/>
                <w:sz w:val="28"/>
                <w:szCs w:val="28"/>
                <w:highlight w:val="yellow"/>
              </w:rPr>
              <w:t>≥</w:t>
            </w:r>
            <w:r w:rsidRPr="00A25019">
              <w:rPr>
                <w:rFonts w:ascii="Simplified Arabic" w:hAnsi="Simplified Arabic" w:cs="Simplified Arabic"/>
                <w:color w:val="EE0000"/>
                <w:sz w:val="28"/>
                <w:szCs w:val="28"/>
                <w:highlight w:val="yellow"/>
              </w:rPr>
              <w:t xml:space="preserve"> 0.90</w:t>
            </w:r>
          </w:p>
        </w:tc>
        <w:tc>
          <w:tcPr>
            <w:tcW w:w="0" w:type="auto"/>
            <w:hideMark/>
          </w:tcPr>
          <w:p w14:paraId="3C870E64" w14:textId="77777777" w:rsidR="00A25019" w:rsidRPr="00A25019" w:rsidRDefault="00A25019" w:rsidP="00A25019">
            <w:pPr>
              <w:spacing w:after="160" w:line="278"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Hair et al. (2019)</w:t>
            </w:r>
          </w:p>
        </w:tc>
      </w:tr>
      <w:tr w:rsidR="00A25019" w:rsidRPr="00A25019" w14:paraId="1E2A4A27" w14:textId="77777777" w:rsidTr="00803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E9A414" w14:textId="77777777" w:rsidR="00A25019" w:rsidRPr="00A25019" w:rsidRDefault="00A25019" w:rsidP="00A25019">
            <w:pPr>
              <w:spacing w:after="160" w:line="278" w:lineRule="auto"/>
              <w:ind w:left="72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مؤشّر المطابقة المقارن</w:t>
            </w:r>
            <w:r w:rsidRPr="00A25019">
              <w:rPr>
                <w:rFonts w:ascii="Simplified Arabic" w:hAnsi="Simplified Arabic" w:cs="Simplified Arabic"/>
                <w:color w:val="EE0000"/>
                <w:sz w:val="28"/>
                <w:szCs w:val="28"/>
                <w:highlight w:val="yellow"/>
              </w:rPr>
              <w:t xml:space="preserve"> (CFI)</w:t>
            </w:r>
          </w:p>
        </w:tc>
        <w:tc>
          <w:tcPr>
            <w:tcW w:w="0" w:type="auto"/>
            <w:hideMark/>
          </w:tcPr>
          <w:p w14:paraId="18486BAF" w14:textId="77777777" w:rsidR="00A25019" w:rsidRPr="00A25019" w:rsidRDefault="00A25019" w:rsidP="00A25019">
            <w:pPr>
              <w:spacing w:after="160" w:line="278"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Cambria Math" w:hAnsi="Cambria Math" w:cs="Cambria Math"/>
                <w:color w:val="EE0000"/>
                <w:sz w:val="28"/>
                <w:szCs w:val="28"/>
                <w:highlight w:val="yellow"/>
              </w:rPr>
              <w:t>≥</w:t>
            </w:r>
            <w:r w:rsidRPr="00A25019">
              <w:rPr>
                <w:rFonts w:ascii="Simplified Arabic" w:hAnsi="Simplified Arabic" w:cs="Simplified Arabic"/>
                <w:color w:val="EE0000"/>
                <w:sz w:val="28"/>
                <w:szCs w:val="28"/>
                <w:highlight w:val="yellow"/>
              </w:rPr>
              <w:t xml:space="preserve"> 0.90</w:t>
            </w:r>
          </w:p>
        </w:tc>
        <w:tc>
          <w:tcPr>
            <w:tcW w:w="0" w:type="auto"/>
            <w:hideMark/>
          </w:tcPr>
          <w:p w14:paraId="2D57D8F0" w14:textId="77777777" w:rsidR="00A25019" w:rsidRPr="00A25019" w:rsidRDefault="00A25019" w:rsidP="00A25019">
            <w:pPr>
              <w:spacing w:after="160" w:line="278"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Bentler (1990)</w:t>
            </w:r>
          </w:p>
        </w:tc>
      </w:tr>
      <w:tr w:rsidR="00A25019" w:rsidRPr="00A25019" w14:paraId="74085CF2" w14:textId="77777777" w:rsidTr="00803095">
        <w:tc>
          <w:tcPr>
            <w:cnfStyle w:val="001000000000" w:firstRow="0" w:lastRow="0" w:firstColumn="1" w:lastColumn="0" w:oddVBand="0" w:evenVBand="0" w:oddHBand="0" w:evenHBand="0" w:firstRowFirstColumn="0" w:firstRowLastColumn="0" w:lastRowFirstColumn="0" w:lastRowLastColumn="0"/>
            <w:tcW w:w="0" w:type="auto"/>
            <w:hideMark/>
          </w:tcPr>
          <w:p w14:paraId="576B8146" w14:textId="77777777" w:rsidR="00A25019" w:rsidRPr="00A25019" w:rsidRDefault="00A25019" w:rsidP="00A25019">
            <w:pPr>
              <w:spacing w:after="160" w:line="278" w:lineRule="auto"/>
              <w:ind w:left="72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مؤشّر تاكر–لويس</w:t>
            </w:r>
            <w:r w:rsidRPr="00A25019">
              <w:rPr>
                <w:rFonts w:ascii="Simplified Arabic" w:hAnsi="Simplified Arabic" w:cs="Simplified Arabic"/>
                <w:color w:val="EE0000"/>
                <w:sz w:val="28"/>
                <w:szCs w:val="28"/>
                <w:highlight w:val="yellow"/>
              </w:rPr>
              <w:t xml:space="preserve"> (TLI)</w:t>
            </w:r>
          </w:p>
        </w:tc>
        <w:tc>
          <w:tcPr>
            <w:tcW w:w="0" w:type="auto"/>
            <w:hideMark/>
          </w:tcPr>
          <w:p w14:paraId="524B42BB" w14:textId="77777777" w:rsidR="00A25019" w:rsidRPr="00A25019" w:rsidRDefault="00A25019" w:rsidP="00A25019">
            <w:pPr>
              <w:spacing w:after="160" w:line="278"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Cambria Math" w:hAnsi="Cambria Math" w:cs="Cambria Math"/>
                <w:color w:val="EE0000"/>
                <w:sz w:val="28"/>
                <w:szCs w:val="28"/>
                <w:highlight w:val="yellow"/>
              </w:rPr>
              <w:t>≥</w:t>
            </w:r>
            <w:r w:rsidRPr="00A25019">
              <w:rPr>
                <w:rFonts w:ascii="Simplified Arabic" w:hAnsi="Simplified Arabic" w:cs="Simplified Arabic"/>
                <w:color w:val="EE0000"/>
                <w:sz w:val="28"/>
                <w:szCs w:val="28"/>
                <w:highlight w:val="yellow"/>
              </w:rPr>
              <w:t xml:space="preserve"> 0.90</w:t>
            </w:r>
          </w:p>
        </w:tc>
        <w:tc>
          <w:tcPr>
            <w:tcW w:w="0" w:type="auto"/>
            <w:hideMark/>
          </w:tcPr>
          <w:p w14:paraId="2C4BD3C8" w14:textId="77777777" w:rsidR="00A25019" w:rsidRPr="00A25019" w:rsidRDefault="00A25019" w:rsidP="00A25019">
            <w:pPr>
              <w:spacing w:after="160" w:line="278"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Tucker &amp; Lewis (1973)</w:t>
            </w:r>
          </w:p>
        </w:tc>
      </w:tr>
      <w:tr w:rsidR="00A25019" w:rsidRPr="00A25019" w14:paraId="2C6A5A8F" w14:textId="77777777" w:rsidTr="00803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E2A014" w14:textId="77777777" w:rsidR="00A25019" w:rsidRPr="00A25019" w:rsidRDefault="00A25019" w:rsidP="00A25019">
            <w:pPr>
              <w:spacing w:after="160" w:line="278" w:lineRule="auto"/>
              <w:ind w:left="72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جذر متوسّط مربّع خطأ التقريب</w:t>
            </w:r>
            <w:r w:rsidRPr="00A25019">
              <w:rPr>
                <w:rFonts w:ascii="Simplified Arabic" w:hAnsi="Simplified Arabic" w:cs="Simplified Arabic"/>
                <w:color w:val="EE0000"/>
                <w:sz w:val="28"/>
                <w:szCs w:val="28"/>
                <w:highlight w:val="yellow"/>
              </w:rPr>
              <w:t xml:space="preserve"> (RMSEA)</w:t>
            </w:r>
          </w:p>
        </w:tc>
        <w:tc>
          <w:tcPr>
            <w:tcW w:w="0" w:type="auto"/>
            <w:hideMark/>
          </w:tcPr>
          <w:p w14:paraId="34241C52" w14:textId="77777777" w:rsidR="00A25019" w:rsidRPr="00A25019" w:rsidRDefault="00A25019" w:rsidP="00A25019">
            <w:pPr>
              <w:spacing w:after="160" w:line="278"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Cambria Math" w:hAnsi="Cambria Math" w:cs="Cambria Math"/>
                <w:color w:val="EE0000"/>
                <w:sz w:val="28"/>
                <w:szCs w:val="28"/>
                <w:highlight w:val="yellow"/>
              </w:rPr>
              <w:t>≤</w:t>
            </w:r>
            <w:r w:rsidRPr="00A25019">
              <w:rPr>
                <w:rFonts w:ascii="Simplified Arabic" w:hAnsi="Simplified Arabic" w:cs="Simplified Arabic"/>
                <w:color w:val="EE0000"/>
                <w:sz w:val="28"/>
                <w:szCs w:val="28"/>
                <w:highlight w:val="yellow"/>
              </w:rPr>
              <w:t xml:space="preserve"> 0.08</w:t>
            </w:r>
          </w:p>
        </w:tc>
        <w:tc>
          <w:tcPr>
            <w:tcW w:w="0" w:type="auto"/>
            <w:hideMark/>
          </w:tcPr>
          <w:p w14:paraId="685F55C5" w14:textId="77777777" w:rsidR="00A25019" w:rsidRPr="00A25019" w:rsidRDefault="00A25019" w:rsidP="00A25019">
            <w:pPr>
              <w:spacing w:after="160" w:line="278"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Browne &amp; Cudeck (1993)</w:t>
            </w:r>
          </w:p>
        </w:tc>
      </w:tr>
      <w:tr w:rsidR="00A25019" w:rsidRPr="00A25019" w14:paraId="2D425763" w14:textId="77777777" w:rsidTr="00803095">
        <w:tc>
          <w:tcPr>
            <w:cnfStyle w:val="001000000000" w:firstRow="0" w:lastRow="0" w:firstColumn="1" w:lastColumn="0" w:oddVBand="0" w:evenVBand="0" w:oddHBand="0" w:evenHBand="0" w:firstRowFirstColumn="0" w:firstRowLastColumn="0" w:lastRowFirstColumn="0" w:lastRowLastColumn="0"/>
            <w:tcW w:w="0" w:type="auto"/>
            <w:hideMark/>
          </w:tcPr>
          <w:p w14:paraId="0720DA52" w14:textId="77777777" w:rsidR="00A25019" w:rsidRPr="00A25019" w:rsidRDefault="00A25019" w:rsidP="00A25019">
            <w:pPr>
              <w:spacing w:after="160" w:line="278" w:lineRule="auto"/>
              <w:ind w:left="72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جذر متوسّط مربّع البواقي المعياري</w:t>
            </w:r>
            <w:r w:rsidRPr="00A25019">
              <w:rPr>
                <w:rFonts w:ascii="Simplified Arabic" w:hAnsi="Simplified Arabic" w:cs="Simplified Arabic"/>
                <w:color w:val="EE0000"/>
                <w:sz w:val="28"/>
                <w:szCs w:val="28"/>
                <w:highlight w:val="yellow"/>
              </w:rPr>
              <w:t xml:space="preserve"> (SRMR)</w:t>
            </w:r>
          </w:p>
        </w:tc>
        <w:tc>
          <w:tcPr>
            <w:tcW w:w="0" w:type="auto"/>
            <w:hideMark/>
          </w:tcPr>
          <w:p w14:paraId="12644260" w14:textId="77777777" w:rsidR="00A25019" w:rsidRPr="00A25019" w:rsidRDefault="00A25019" w:rsidP="00A25019">
            <w:pPr>
              <w:spacing w:after="160" w:line="278"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Cambria Math" w:hAnsi="Cambria Math" w:cs="Cambria Math"/>
                <w:color w:val="EE0000"/>
                <w:sz w:val="28"/>
                <w:szCs w:val="28"/>
                <w:highlight w:val="yellow"/>
              </w:rPr>
              <w:t>≤</w:t>
            </w:r>
            <w:r w:rsidRPr="00A25019">
              <w:rPr>
                <w:rFonts w:ascii="Simplified Arabic" w:hAnsi="Simplified Arabic" w:cs="Simplified Arabic"/>
                <w:color w:val="EE0000"/>
                <w:sz w:val="28"/>
                <w:szCs w:val="28"/>
                <w:highlight w:val="yellow"/>
              </w:rPr>
              <w:t xml:space="preserve"> 0.08</w:t>
            </w:r>
          </w:p>
        </w:tc>
        <w:tc>
          <w:tcPr>
            <w:tcW w:w="0" w:type="auto"/>
            <w:hideMark/>
          </w:tcPr>
          <w:p w14:paraId="2B531466" w14:textId="77777777" w:rsidR="00A25019" w:rsidRPr="00A25019" w:rsidRDefault="00A25019" w:rsidP="00A25019">
            <w:pPr>
              <w:spacing w:after="160" w:line="278"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Hu &amp; Bentler (1999)</w:t>
            </w:r>
          </w:p>
        </w:tc>
      </w:tr>
    </w:tbl>
    <w:p w14:paraId="651F2BA2" w14:textId="77777777" w:rsidR="00A25019" w:rsidRPr="00A25019" w:rsidRDefault="00A25019" w:rsidP="00A25019">
      <w:pPr>
        <w:ind w:left="720"/>
        <w:jc w:val="both"/>
        <w:rPr>
          <w:rFonts w:ascii="Simplified Arabic" w:hAnsi="Simplified Arabic" w:cs="Simplified Arabic"/>
          <w:b/>
          <w:bCs/>
          <w:color w:val="EE0000"/>
          <w:sz w:val="28"/>
          <w:szCs w:val="28"/>
          <w:highlight w:val="yellow"/>
        </w:rPr>
      </w:pPr>
      <w:r w:rsidRPr="00A25019">
        <w:rPr>
          <w:rFonts w:ascii="Simplified Arabic" w:hAnsi="Simplified Arabic" w:cs="Simplified Arabic"/>
          <w:b/>
          <w:bCs/>
          <w:color w:val="EE0000"/>
          <w:sz w:val="28"/>
          <w:szCs w:val="28"/>
          <w:highlight w:val="yellow"/>
          <w:rtl/>
        </w:rPr>
        <w:t>المرحلة الثالثة: الصدق التقاربي والتمييزي</w:t>
      </w:r>
    </w:p>
    <w:p w14:paraId="77D9C84E" w14:textId="77777777" w:rsidR="00A25019" w:rsidRPr="00A25019" w:rsidRDefault="00A25019" w:rsidP="00A25019">
      <w:pPr>
        <w:ind w:left="720"/>
        <w:jc w:val="both"/>
        <w:rPr>
          <w:rFonts w:ascii="Simplified Arabic" w:hAnsi="Simplified Arabic" w:cs="Simplified Arabic"/>
          <w:color w:val="EE0000"/>
          <w:sz w:val="28"/>
          <w:szCs w:val="28"/>
          <w:highlight w:val="yellow"/>
          <w:rtl/>
        </w:rPr>
      </w:pPr>
      <w:r w:rsidRPr="00A25019">
        <w:rPr>
          <w:rFonts w:ascii="Simplified Arabic" w:hAnsi="Simplified Arabic" w:cs="Simplified Arabic"/>
          <w:b/>
          <w:bCs/>
          <w:color w:val="EE0000"/>
          <w:sz w:val="28"/>
          <w:szCs w:val="28"/>
          <w:highlight w:val="yellow"/>
          <w:rtl/>
        </w:rPr>
        <w:t>الصدق التقاربي (</w:t>
      </w:r>
      <w:r w:rsidRPr="00A25019">
        <w:rPr>
          <w:rFonts w:ascii="Simplified Arabic" w:hAnsi="Simplified Arabic" w:cs="Simplified Arabic"/>
          <w:b/>
          <w:bCs/>
          <w:color w:val="EE0000"/>
          <w:sz w:val="28"/>
          <w:szCs w:val="28"/>
          <w:highlight w:val="yellow"/>
        </w:rPr>
        <w:t>Convergent Validity</w:t>
      </w:r>
      <w:r w:rsidRPr="00A25019">
        <w:rPr>
          <w:rFonts w:ascii="Simplified Arabic" w:hAnsi="Simplified Arabic" w:cs="Simplified Arabic"/>
          <w:b/>
          <w:bCs/>
          <w:color w:val="EE0000"/>
          <w:sz w:val="28"/>
          <w:szCs w:val="28"/>
          <w:highlight w:val="yellow"/>
          <w:rtl/>
        </w:rPr>
        <w:t>):</w:t>
      </w:r>
    </w:p>
    <w:tbl>
      <w:tblPr>
        <w:tblStyle w:val="PlainTable1"/>
        <w:bidiVisual/>
        <w:tblW w:w="0" w:type="auto"/>
        <w:tblLook w:val="04A0" w:firstRow="1" w:lastRow="0" w:firstColumn="1" w:lastColumn="0" w:noHBand="0" w:noVBand="1"/>
      </w:tblPr>
      <w:tblGrid>
        <w:gridCol w:w="4201"/>
        <w:gridCol w:w="2012"/>
        <w:gridCol w:w="2803"/>
      </w:tblGrid>
      <w:tr w:rsidR="00A25019" w:rsidRPr="00A25019" w14:paraId="64640E65" w14:textId="77777777" w:rsidTr="008030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E64C19" w14:textId="77777777" w:rsidR="00A25019" w:rsidRPr="00A25019" w:rsidRDefault="00A25019" w:rsidP="00A25019">
            <w:pPr>
              <w:spacing w:after="160" w:line="278" w:lineRule="auto"/>
              <w:ind w:left="720"/>
              <w:jc w:val="both"/>
              <w:rPr>
                <w:rFonts w:ascii="Simplified Arabic" w:hAnsi="Simplified Arabic" w:cs="Simplified Arabic"/>
                <w:color w:val="EE0000"/>
                <w:sz w:val="28"/>
                <w:szCs w:val="28"/>
                <w:highlight w:val="yellow"/>
                <w:rtl/>
              </w:rPr>
            </w:pPr>
            <w:r w:rsidRPr="00A25019">
              <w:rPr>
                <w:rFonts w:ascii="Simplified Arabic" w:hAnsi="Simplified Arabic" w:cs="Simplified Arabic"/>
                <w:color w:val="EE0000"/>
                <w:sz w:val="28"/>
                <w:szCs w:val="28"/>
                <w:highlight w:val="yellow"/>
                <w:rtl/>
              </w:rPr>
              <w:t>المؤشّر</w:t>
            </w:r>
          </w:p>
        </w:tc>
        <w:tc>
          <w:tcPr>
            <w:tcW w:w="0" w:type="auto"/>
            <w:hideMark/>
          </w:tcPr>
          <w:p w14:paraId="36024D59" w14:textId="77777777" w:rsidR="00A25019" w:rsidRPr="00A25019" w:rsidRDefault="00A25019" w:rsidP="00A25019">
            <w:pPr>
              <w:spacing w:after="160" w:line="278"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القيمة المطلوبة</w:t>
            </w:r>
          </w:p>
        </w:tc>
        <w:tc>
          <w:tcPr>
            <w:tcW w:w="0" w:type="auto"/>
            <w:hideMark/>
          </w:tcPr>
          <w:p w14:paraId="115E2953" w14:textId="77777777" w:rsidR="00A25019" w:rsidRPr="00A25019" w:rsidRDefault="00A25019" w:rsidP="00A25019">
            <w:pPr>
              <w:spacing w:after="160" w:line="278"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المرجع</w:t>
            </w:r>
          </w:p>
        </w:tc>
      </w:tr>
      <w:tr w:rsidR="00A25019" w:rsidRPr="00A25019" w14:paraId="507EA84B" w14:textId="77777777" w:rsidTr="00803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893033" w14:textId="77777777" w:rsidR="00A25019" w:rsidRPr="00A25019" w:rsidRDefault="00A25019" w:rsidP="00A25019">
            <w:pPr>
              <w:spacing w:after="160" w:line="278" w:lineRule="auto"/>
              <w:ind w:left="72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التشبّعات المعيارية</w:t>
            </w:r>
            <w:r w:rsidRPr="00A25019">
              <w:rPr>
                <w:rFonts w:ascii="Simplified Arabic" w:hAnsi="Simplified Arabic" w:cs="Simplified Arabic"/>
                <w:color w:val="EE0000"/>
                <w:sz w:val="28"/>
                <w:szCs w:val="28"/>
                <w:highlight w:val="yellow"/>
              </w:rPr>
              <w:t xml:space="preserve"> (Standardized Loadings)</w:t>
            </w:r>
          </w:p>
        </w:tc>
        <w:tc>
          <w:tcPr>
            <w:tcW w:w="0" w:type="auto"/>
            <w:hideMark/>
          </w:tcPr>
          <w:p w14:paraId="430B09DD" w14:textId="77777777" w:rsidR="00A25019" w:rsidRPr="00A25019" w:rsidRDefault="00A25019" w:rsidP="00A25019">
            <w:pPr>
              <w:spacing w:after="160" w:line="278"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Cambria Math" w:hAnsi="Cambria Math" w:cs="Cambria Math"/>
                <w:color w:val="EE0000"/>
                <w:sz w:val="28"/>
                <w:szCs w:val="28"/>
                <w:highlight w:val="yellow"/>
              </w:rPr>
              <w:t>≥</w:t>
            </w:r>
            <w:r w:rsidRPr="00A25019">
              <w:rPr>
                <w:rFonts w:ascii="Simplified Arabic" w:hAnsi="Simplified Arabic" w:cs="Simplified Arabic"/>
                <w:color w:val="EE0000"/>
                <w:sz w:val="28"/>
                <w:szCs w:val="28"/>
                <w:highlight w:val="yellow"/>
              </w:rPr>
              <w:t xml:space="preserve"> 0.70</w:t>
            </w:r>
          </w:p>
        </w:tc>
        <w:tc>
          <w:tcPr>
            <w:tcW w:w="0" w:type="auto"/>
            <w:hideMark/>
          </w:tcPr>
          <w:p w14:paraId="19864E83" w14:textId="77777777" w:rsidR="00A25019" w:rsidRPr="00A25019" w:rsidRDefault="00A25019" w:rsidP="00A25019">
            <w:pPr>
              <w:spacing w:after="160" w:line="278"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Hair et al. (2019)</w:t>
            </w:r>
          </w:p>
        </w:tc>
      </w:tr>
      <w:tr w:rsidR="00A25019" w:rsidRPr="00A25019" w14:paraId="5BF2ADEC" w14:textId="77777777" w:rsidTr="00803095">
        <w:tc>
          <w:tcPr>
            <w:cnfStyle w:val="001000000000" w:firstRow="0" w:lastRow="0" w:firstColumn="1" w:lastColumn="0" w:oddVBand="0" w:evenVBand="0" w:oddHBand="0" w:evenHBand="0" w:firstRowFirstColumn="0" w:firstRowLastColumn="0" w:lastRowFirstColumn="0" w:lastRowLastColumn="0"/>
            <w:tcW w:w="0" w:type="auto"/>
            <w:hideMark/>
          </w:tcPr>
          <w:p w14:paraId="260B21A2" w14:textId="77777777" w:rsidR="00A25019" w:rsidRPr="00A25019" w:rsidRDefault="00A25019" w:rsidP="00A25019">
            <w:pPr>
              <w:spacing w:after="160" w:line="278" w:lineRule="auto"/>
              <w:ind w:left="72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متوسّط التباين المُستخرَج</w:t>
            </w:r>
            <w:r w:rsidRPr="00A25019">
              <w:rPr>
                <w:rFonts w:ascii="Simplified Arabic" w:hAnsi="Simplified Arabic" w:cs="Simplified Arabic"/>
                <w:color w:val="EE0000"/>
                <w:sz w:val="28"/>
                <w:szCs w:val="28"/>
                <w:highlight w:val="yellow"/>
              </w:rPr>
              <w:t xml:space="preserve"> (AVE)</w:t>
            </w:r>
          </w:p>
        </w:tc>
        <w:tc>
          <w:tcPr>
            <w:tcW w:w="0" w:type="auto"/>
            <w:hideMark/>
          </w:tcPr>
          <w:p w14:paraId="14161C45" w14:textId="77777777" w:rsidR="00A25019" w:rsidRPr="00A25019" w:rsidRDefault="00A25019" w:rsidP="00A25019">
            <w:pPr>
              <w:spacing w:after="160" w:line="278"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Cambria Math" w:hAnsi="Cambria Math" w:cs="Cambria Math"/>
                <w:color w:val="EE0000"/>
                <w:sz w:val="28"/>
                <w:szCs w:val="28"/>
                <w:highlight w:val="yellow"/>
              </w:rPr>
              <w:t>≥</w:t>
            </w:r>
            <w:r w:rsidRPr="00A25019">
              <w:rPr>
                <w:rFonts w:ascii="Simplified Arabic" w:hAnsi="Simplified Arabic" w:cs="Simplified Arabic"/>
                <w:color w:val="EE0000"/>
                <w:sz w:val="28"/>
                <w:szCs w:val="28"/>
                <w:highlight w:val="yellow"/>
              </w:rPr>
              <w:t xml:space="preserve"> 0.50</w:t>
            </w:r>
          </w:p>
        </w:tc>
        <w:tc>
          <w:tcPr>
            <w:tcW w:w="0" w:type="auto"/>
            <w:hideMark/>
          </w:tcPr>
          <w:p w14:paraId="2F47436E" w14:textId="77777777" w:rsidR="00A25019" w:rsidRPr="00A25019" w:rsidRDefault="00A25019" w:rsidP="00A25019">
            <w:pPr>
              <w:spacing w:after="160" w:line="278"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Fornell &amp; Larcker (1981)</w:t>
            </w:r>
          </w:p>
        </w:tc>
      </w:tr>
      <w:tr w:rsidR="00A25019" w:rsidRPr="00A25019" w14:paraId="70867B98" w14:textId="77777777" w:rsidTr="00803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072435" w14:textId="77777777" w:rsidR="00A25019" w:rsidRPr="00A25019" w:rsidRDefault="00A25019" w:rsidP="00A25019">
            <w:pPr>
              <w:spacing w:after="160" w:line="278" w:lineRule="auto"/>
              <w:ind w:left="72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الثبات المركّب</w:t>
            </w:r>
            <w:r w:rsidRPr="00A25019">
              <w:rPr>
                <w:rFonts w:ascii="Simplified Arabic" w:hAnsi="Simplified Arabic" w:cs="Simplified Arabic"/>
                <w:color w:val="EE0000"/>
                <w:sz w:val="28"/>
                <w:szCs w:val="28"/>
                <w:highlight w:val="yellow"/>
              </w:rPr>
              <w:t xml:space="preserve"> (CR)</w:t>
            </w:r>
          </w:p>
        </w:tc>
        <w:tc>
          <w:tcPr>
            <w:tcW w:w="0" w:type="auto"/>
            <w:hideMark/>
          </w:tcPr>
          <w:p w14:paraId="1504C732" w14:textId="77777777" w:rsidR="00A25019" w:rsidRPr="00A25019" w:rsidRDefault="00A25019" w:rsidP="00A25019">
            <w:pPr>
              <w:spacing w:after="160" w:line="278"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Cambria Math" w:hAnsi="Cambria Math" w:cs="Cambria Math"/>
                <w:color w:val="EE0000"/>
                <w:sz w:val="28"/>
                <w:szCs w:val="28"/>
                <w:highlight w:val="yellow"/>
              </w:rPr>
              <w:t>≥</w:t>
            </w:r>
            <w:r w:rsidRPr="00A25019">
              <w:rPr>
                <w:rFonts w:ascii="Simplified Arabic" w:hAnsi="Simplified Arabic" w:cs="Simplified Arabic"/>
                <w:color w:val="EE0000"/>
                <w:sz w:val="28"/>
                <w:szCs w:val="28"/>
                <w:highlight w:val="yellow"/>
              </w:rPr>
              <w:t xml:space="preserve"> 0.70</w:t>
            </w:r>
          </w:p>
        </w:tc>
        <w:tc>
          <w:tcPr>
            <w:tcW w:w="0" w:type="auto"/>
            <w:hideMark/>
          </w:tcPr>
          <w:p w14:paraId="735A76A5" w14:textId="77777777" w:rsidR="00A25019" w:rsidRPr="00A25019" w:rsidRDefault="00A25019" w:rsidP="00A25019">
            <w:pPr>
              <w:spacing w:after="160" w:line="278"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Hair et al. (2019)</w:t>
            </w:r>
          </w:p>
        </w:tc>
      </w:tr>
    </w:tbl>
    <w:p w14:paraId="72406689" w14:textId="77777777" w:rsidR="00A25019" w:rsidRPr="00A25019" w:rsidRDefault="00A25019" w:rsidP="00A25019">
      <w:pPr>
        <w:ind w:left="720"/>
        <w:jc w:val="both"/>
        <w:rPr>
          <w:rFonts w:ascii="Simplified Arabic" w:hAnsi="Simplified Arabic" w:cs="Simplified Arabic"/>
          <w:color w:val="EE0000"/>
          <w:sz w:val="28"/>
          <w:szCs w:val="28"/>
          <w:highlight w:val="yellow"/>
        </w:rPr>
      </w:pPr>
      <w:r w:rsidRPr="00A25019">
        <w:rPr>
          <w:rFonts w:ascii="Simplified Arabic" w:hAnsi="Simplified Arabic" w:cs="Simplified Arabic"/>
          <w:b/>
          <w:bCs/>
          <w:color w:val="EE0000"/>
          <w:sz w:val="28"/>
          <w:szCs w:val="28"/>
          <w:highlight w:val="yellow"/>
          <w:rtl/>
        </w:rPr>
        <w:lastRenderedPageBreak/>
        <w:t>الصدق التمييزي (</w:t>
      </w:r>
      <w:r w:rsidRPr="00A25019">
        <w:rPr>
          <w:rFonts w:ascii="Simplified Arabic" w:hAnsi="Simplified Arabic" w:cs="Simplified Arabic"/>
          <w:b/>
          <w:bCs/>
          <w:color w:val="EE0000"/>
          <w:sz w:val="28"/>
          <w:szCs w:val="28"/>
          <w:highlight w:val="yellow"/>
        </w:rPr>
        <w:t>Discriminant Validity</w:t>
      </w:r>
      <w:r w:rsidRPr="00A25019">
        <w:rPr>
          <w:rFonts w:ascii="Simplified Arabic" w:hAnsi="Simplified Arabic" w:cs="Simplified Arabic"/>
          <w:b/>
          <w:bCs/>
          <w:color w:val="EE0000"/>
          <w:sz w:val="28"/>
          <w:szCs w:val="28"/>
          <w:highlight w:val="yellow"/>
          <w:rtl/>
        </w:rPr>
        <w:t>):</w:t>
      </w:r>
    </w:p>
    <w:tbl>
      <w:tblPr>
        <w:tblStyle w:val="PlainTable1"/>
        <w:bidiVisual/>
        <w:tblW w:w="0" w:type="auto"/>
        <w:tblLook w:val="04A0" w:firstRow="1" w:lastRow="0" w:firstColumn="1" w:lastColumn="0" w:noHBand="0" w:noVBand="1"/>
      </w:tblPr>
      <w:tblGrid>
        <w:gridCol w:w="1944"/>
        <w:gridCol w:w="4091"/>
        <w:gridCol w:w="2981"/>
      </w:tblGrid>
      <w:tr w:rsidR="00A25019" w:rsidRPr="00A25019" w14:paraId="6E7AD0BC" w14:textId="77777777" w:rsidTr="008030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AA7A66" w14:textId="77777777" w:rsidR="00A25019" w:rsidRPr="00A25019" w:rsidRDefault="00A25019" w:rsidP="00A25019">
            <w:pPr>
              <w:spacing w:after="160" w:line="278" w:lineRule="auto"/>
              <w:ind w:left="720"/>
              <w:jc w:val="both"/>
              <w:rPr>
                <w:rFonts w:ascii="Simplified Arabic" w:hAnsi="Simplified Arabic" w:cs="Simplified Arabic"/>
                <w:color w:val="EE0000"/>
                <w:sz w:val="28"/>
                <w:szCs w:val="28"/>
                <w:highlight w:val="yellow"/>
                <w:rtl/>
              </w:rPr>
            </w:pPr>
            <w:r w:rsidRPr="00A25019">
              <w:rPr>
                <w:rFonts w:ascii="Simplified Arabic" w:hAnsi="Simplified Arabic" w:cs="Simplified Arabic"/>
                <w:color w:val="EE0000"/>
                <w:sz w:val="28"/>
                <w:szCs w:val="28"/>
                <w:highlight w:val="yellow"/>
                <w:rtl/>
              </w:rPr>
              <w:t>المعيار</w:t>
            </w:r>
          </w:p>
        </w:tc>
        <w:tc>
          <w:tcPr>
            <w:tcW w:w="0" w:type="auto"/>
            <w:hideMark/>
          </w:tcPr>
          <w:p w14:paraId="462672CC" w14:textId="77777777" w:rsidR="00A25019" w:rsidRPr="00A25019" w:rsidRDefault="00A25019" w:rsidP="00A25019">
            <w:pPr>
              <w:spacing w:after="160" w:line="278"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القاعدة</w:t>
            </w:r>
          </w:p>
        </w:tc>
        <w:tc>
          <w:tcPr>
            <w:tcW w:w="0" w:type="auto"/>
            <w:hideMark/>
          </w:tcPr>
          <w:p w14:paraId="4C0ECA7C" w14:textId="77777777" w:rsidR="00A25019" w:rsidRPr="00A25019" w:rsidRDefault="00A25019" w:rsidP="00A25019">
            <w:pPr>
              <w:spacing w:after="160" w:line="278" w:lineRule="auto"/>
              <w:ind w:left="72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المرجع</w:t>
            </w:r>
          </w:p>
        </w:tc>
      </w:tr>
      <w:tr w:rsidR="00A25019" w:rsidRPr="00A25019" w14:paraId="05455E29" w14:textId="77777777" w:rsidTr="00803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A6A664" w14:textId="77777777" w:rsidR="00A25019" w:rsidRPr="00A25019" w:rsidRDefault="00A25019" w:rsidP="00A25019">
            <w:pPr>
              <w:spacing w:after="160" w:line="278" w:lineRule="auto"/>
              <w:ind w:left="72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فورنيل–لاركر</w:t>
            </w:r>
          </w:p>
        </w:tc>
        <w:tc>
          <w:tcPr>
            <w:tcW w:w="0" w:type="auto"/>
            <w:hideMark/>
          </w:tcPr>
          <w:p w14:paraId="2C4A5253" w14:textId="77777777" w:rsidR="00A25019" w:rsidRPr="00A25019" w:rsidRDefault="00A25019" w:rsidP="00A25019">
            <w:pPr>
              <w:spacing w:after="160" w:line="278"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Cambria Math" w:hAnsi="Cambria Math" w:cs="Cambria Math"/>
                <w:color w:val="EE0000"/>
                <w:sz w:val="28"/>
                <w:szCs w:val="28"/>
                <w:highlight w:val="yellow"/>
              </w:rPr>
              <w:t>√</w:t>
            </w:r>
            <w:r w:rsidRPr="00A25019">
              <w:rPr>
                <w:rFonts w:ascii="Simplified Arabic" w:hAnsi="Simplified Arabic" w:cs="Simplified Arabic"/>
                <w:color w:val="EE0000"/>
                <w:sz w:val="28"/>
                <w:szCs w:val="28"/>
                <w:highlight w:val="yellow"/>
              </w:rPr>
              <w:t xml:space="preserve">AVE </w:t>
            </w:r>
            <w:r w:rsidRPr="00A25019">
              <w:rPr>
                <w:rFonts w:ascii="Simplified Arabic" w:hAnsi="Simplified Arabic" w:cs="Simplified Arabic"/>
                <w:color w:val="EE0000"/>
                <w:sz w:val="28"/>
                <w:szCs w:val="28"/>
                <w:highlight w:val="yellow"/>
                <w:rtl/>
              </w:rPr>
              <w:t>للمتغيّر</w:t>
            </w:r>
            <w:r w:rsidRPr="00A25019">
              <w:rPr>
                <w:rFonts w:ascii="Simplified Arabic" w:hAnsi="Simplified Arabic" w:cs="Simplified Arabic"/>
                <w:color w:val="EE0000"/>
                <w:sz w:val="28"/>
                <w:szCs w:val="28"/>
                <w:highlight w:val="yellow"/>
              </w:rPr>
              <w:t xml:space="preserve"> &gt; </w:t>
            </w:r>
            <w:r w:rsidRPr="00A25019">
              <w:rPr>
                <w:rFonts w:ascii="Simplified Arabic" w:hAnsi="Simplified Arabic" w:cs="Simplified Arabic"/>
                <w:color w:val="EE0000"/>
                <w:sz w:val="28"/>
                <w:szCs w:val="28"/>
                <w:highlight w:val="yellow"/>
                <w:rtl/>
              </w:rPr>
              <w:t>معاملات ارتباطه مع سائر المتغيّرات</w:t>
            </w:r>
          </w:p>
        </w:tc>
        <w:tc>
          <w:tcPr>
            <w:tcW w:w="0" w:type="auto"/>
            <w:hideMark/>
          </w:tcPr>
          <w:p w14:paraId="3A4507B4" w14:textId="77777777" w:rsidR="00A25019" w:rsidRPr="00A25019" w:rsidRDefault="00A25019" w:rsidP="00A25019">
            <w:pPr>
              <w:spacing w:after="160" w:line="278" w:lineRule="auto"/>
              <w:ind w:left="72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Fornell &amp; Larcker (1981)</w:t>
            </w:r>
          </w:p>
        </w:tc>
      </w:tr>
      <w:tr w:rsidR="00A25019" w:rsidRPr="00A25019" w14:paraId="3D1F227F" w14:textId="77777777" w:rsidTr="00803095">
        <w:tc>
          <w:tcPr>
            <w:cnfStyle w:val="001000000000" w:firstRow="0" w:lastRow="0" w:firstColumn="1" w:lastColumn="0" w:oddVBand="0" w:evenVBand="0" w:oddHBand="0" w:evenHBand="0" w:firstRowFirstColumn="0" w:firstRowLastColumn="0" w:lastRowFirstColumn="0" w:lastRowLastColumn="0"/>
            <w:tcW w:w="0" w:type="auto"/>
            <w:hideMark/>
          </w:tcPr>
          <w:p w14:paraId="5139EF3C" w14:textId="77777777" w:rsidR="00A25019" w:rsidRPr="00A25019" w:rsidRDefault="00A25019" w:rsidP="00A25019">
            <w:pPr>
              <w:spacing w:after="160" w:line="278" w:lineRule="auto"/>
              <w:ind w:left="72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نسبة</w:t>
            </w:r>
            <w:r w:rsidRPr="00A25019">
              <w:rPr>
                <w:rFonts w:ascii="Simplified Arabic" w:hAnsi="Simplified Arabic" w:cs="Simplified Arabic"/>
                <w:color w:val="EE0000"/>
                <w:sz w:val="28"/>
                <w:szCs w:val="28"/>
                <w:highlight w:val="yellow"/>
              </w:rPr>
              <w:t xml:space="preserve"> HTMT</w:t>
            </w:r>
          </w:p>
        </w:tc>
        <w:tc>
          <w:tcPr>
            <w:tcW w:w="0" w:type="auto"/>
            <w:hideMark/>
          </w:tcPr>
          <w:p w14:paraId="369BAE4F" w14:textId="77777777" w:rsidR="00A25019" w:rsidRPr="00A25019" w:rsidRDefault="00A25019" w:rsidP="00A25019">
            <w:pPr>
              <w:spacing w:after="160" w:line="278"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Cambria Math" w:hAnsi="Cambria Math" w:cs="Cambria Math"/>
                <w:color w:val="EE0000"/>
                <w:sz w:val="28"/>
                <w:szCs w:val="28"/>
                <w:highlight w:val="yellow"/>
              </w:rPr>
              <w:t>≤</w:t>
            </w:r>
            <w:r w:rsidRPr="00A25019">
              <w:rPr>
                <w:rFonts w:ascii="Simplified Arabic" w:hAnsi="Simplified Arabic" w:cs="Simplified Arabic"/>
                <w:color w:val="EE0000"/>
                <w:sz w:val="28"/>
                <w:szCs w:val="28"/>
                <w:highlight w:val="yellow"/>
              </w:rPr>
              <w:t xml:space="preserve"> 0.85</w:t>
            </w:r>
          </w:p>
        </w:tc>
        <w:tc>
          <w:tcPr>
            <w:tcW w:w="0" w:type="auto"/>
            <w:hideMark/>
          </w:tcPr>
          <w:p w14:paraId="0D7ADA8E" w14:textId="77777777" w:rsidR="00A25019" w:rsidRPr="00A25019" w:rsidRDefault="00A25019" w:rsidP="00A25019">
            <w:pPr>
              <w:spacing w:after="160" w:line="278" w:lineRule="auto"/>
              <w:ind w:left="72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Henseler et al. (2015)</w:t>
            </w:r>
          </w:p>
        </w:tc>
      </w:tr>
    </w:tbl>
    <w:p w14:paraId="6E7B42B7" w14:textId="77777777" w:rsidR="00A25019" w:rsidRPr="00A25019" w:rsidRDefault="00A25019" w:rsidP="00A25019">
      <w:pPr>
        <w:jc w:val="both"/>
        <w:rPr>
          <w:rFonts w:ascii="Simplified Arabic" w:hAnsi="Simplified Arabic" w:cs="Simplified Arabic"/>
          <w:b/>
          <w:bCs/>
          <w:sz w:val="28"/>
          <w:szCs w:val="28"/>
          <w:highlight w:val="yellow"/>
        </w:rPr>
      </w:pPr>
      <w:r w:rsidRPr="00A25019">
        <w:rPr>
          <w:rFonts w:ascii="Simplified Arabic" w:hAnsi="Simplified Arabic" w:cs="Simplified Arabic"/>
          <w:b/>
          <w:bCs/>
          <w:sz w:val="28"/>
          <w:szCs w:val="28"/>
          <w:highlight w:val="yellow"/>
          <w:rtl/>
        </w:rPr>
        <w:t>الثبات</w:t>
      </w:r>
      <w:r w:rsidRPr="00A25019">
        <w:rPr>
          <w:rFonts w:ascii="Simplified Arabic" w:hAnsi="Simplified Arabic" w:cs="Simplified Arabic"/>
          <w:b/>
          <w:bCs/>
          <w:sz w:val="28"/>
          <w:szCs w:val="28"/>
          <w:highlight w:val="yellow"/>
        </w:rPr>
        <w:t xml:space="preserve"> (Reliability)</w:t>
      </w:r>
    </w:p>
    <w:p w14:paraId="09BB6BDB" w14:textId="77777777" w:rsidR="00A25019" w:rsidRPr="00A25019" w:rsidRDefault="00A25019" w:rsidP="00A25019">
      <w:pPr>
        <w:ind w:left="720"/>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سيُتحقَّق من ثبات الأداة عبر ثلاثة مؤشّرات متكاملة</w:t>
      </w:r>
      <w:r w:rsidRPr="00A25019">
        <w:rPr>
          <w:rFonts w:ascii="Simplified Arabic" w:hAnsi="Simplified Arabic" w:cs="Simplified Arabic"/>
          <w:sz w:val="28"/>
          <w:szCs w:val="28"/>
          <w:highlight w:val="yellow"/>
        </w:rPr>
        <w:t>:</w:t>
      </w:r>
    </w:p>
    <w:p w14:paraId="76257052" w14:textId="77777777" w:rsidR="00A25019" w:rsidRPr="00A25019" w:rsidRDefault="00A25019" w:rsidP="00A25019">
      <w:pPr>
        <w:ind w:left="720"/>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أ. معامل كرونباخ ألفا</w:t>
      </w:r>
      <w:r w:rsidRPr="00A25019">
        <w:rPr>
          <w:rFonts w:ascii="Simplified Arabic" w:hAnsi="Simplified Arabic" w:cs="Simplified Arabic"/>
          <w:b/>
          <w:bCs/>
          <w:sz w:val="28"/>
          <w:szCs w:val="28"/>
          <w:highlight w:val="yellow"/>
        </w:rPr>
        <w:t xml:space="preserve"> (Cronbach's Alpha):</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يُحسب لكلّ بُعد ولكلّ محور وللأداة ككلّ، ويُعدّ مقبولًا عند القيمة (0.70) فأعلى وفقًا لمعيار</w:t>
      </w:r>
      <w:r w:rsidRPr="00A25019">
        <w:rPr>
          <w:rFonts w:ascii="Simplified Arabic" w:hAnsi="Simplified Arabic" w:cs="Simplified Arabic"/>
          <w:sz w:val="28"/>
          <w:szCs w:val="28"/>
          <w:highlight w:val="yellow"/>
        </w:rPr>
        <w:t xml:space="preserve"> (Nunnally, 1978)</w:t>
      </w:r>
      <w:r w:rsidRPr="00A25019">
        <w:rPr>
          <w:rFonts w:ascii="Simplified Arabic" w:hAnsi="Simplified Arabic" w:cs="Simplified Arabic"/>
          <w:sz w:val="28"/>
          <w:szCs w:val="28"/>
          <w:highlight w:val="yellow"/>
          <w:rtl/>
        </w:rPr>
        <w:t>، وجيّدًا عند (0.80) فأعلى، وممتازًا عند (0.90) فأعلى</w:t>
      </w:r>
      <w:r w:rsidRPr="00A25019">
        <w:rPr>
          <w:rFonts w:ascii="Simplified Arabic" w:hAnsi="Simplified Arabic" w:cs="Simplified Arabic"/>
          <w:sz w:val="28"/>
          <w:szCs w:val="28"/>
          <w:highlight w:val="yellow"/>
        </w:rPr>
        <w:t>.</w:t>
      </w:r>
    </w:p>
    <w:p w14:paraId="1552E9BC" w14:textId="77777777" w:rsidR="00A25019" w:rsidRPr="00A25019" w:rsidRDefault="00A25019" w:rsidP="00A25019">
      <w:pPr>
        <w:ind w:left="360"/>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ب. الثبات المركّب</w:t>
      </w:r>
      <w:r w:rsidRPr="00A25019">
        <w:rPr>
          <w:rFonts w:ascii="Simplified Arabic" w:hAnsi="Simplified Arabic" w:cs="Simplified Arabic"/>
          <w:b/>
          <w:bCs/>
          <w:sz w:val="28"/>
          <w:szCs w:val="28"/>
          <w:highlight w:val="yellow"/>
        </w:rPr>
        <w:t xml:space="preserve"> (Composite Reliability – CR):</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ضمن نمذجة المعادلات الهيكلية، ويُعدّ مقبولًا عند القيمة (0.70) فأعلى وفقًا لـ</w:t>
      </w:r>
      <w:r w:rsidRPr="00A25019">
        <w:rPr>
          <w:rFonts w:ascii="Simplified Arabic" w:hAnsi="Simplified Arabic" w:cs="Simplified Arabic"/>
          <w:sz w:val="28"/>
          <w:szCs w:val="28"/>
          <w:highlight w:val="yellow"/>
        </w:rPr>
        <w:t>(Hair et al., 2019)</w:t>
      </w:r>
      <w:r w:rsidRPr="00A25019">
        <w:rPr>
          <w:rFonts w:ascii="Simplified Arabic" w:hAnsi="Simplified Arabic" w:cs="Simplified Arabic"/>
          <w:sz w:val="28"/>
          <w:szCs w:val="28"/>
          <w:highlight w:val="yellow"/>
          <w:rtl/>
        </w:rPr>
        <w:t>، ويُفضَّل عليه في الدراسات المعتمدة على النمذجة لأنه لا يفترض تساوي التشبّعات كما يفترض ألفا</w:t>
      </w:r>
      <w:r w:rsidRPr="00A25019">
        <w:rPr>
          <w:rFonts w:ascii="Simplified Arabic" w:hAnsi="Simplified Arabic" w:cs="Simplified Arabic"/>
          <w:sz w:val="28"/>
          <w:szCs w:val="28"/>
          <w:highlight w:val="yellow"/>
        </w:rPr>
        <w:t>.</w:t>
      </w:r>
    </w:p>
    <w:p w14:paraId="28DD9329" w14:textId="77777777" w:rsidR="00A25019" w:rsidRPr="00A25019" w:rsidRDefault="00A25019" w:rsidP="00A25019">
      <w:pPr>
        <w:ind w:left="360"/>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ج. معامل ثبات مكدونالد أوميغا</w:t>
      </w:r>
      <w:r w:rsidRPr="00A25019">
        <w:rPr>
          <w:rFonts w:ascii="Simplified Arabic" w:hAnsi="Simplified Arabic" w:cs="Simplified Arabic"/>
          <w:b/>
          <w:bCs/>
          <w:sz w:val="28"/>
          <w:szCs w:val="28"/>
          <w:highlight w:val="yellow"/>
        </w:rPr>
        <w:t xml:space="preserve"> (McDonald's Omega – </w:t>
      </w:r>
      <w:r w:rsidRPr="00A25019">
        <w:rPr>
          <w:rFonts w:ascii="Cambria" w:hAnsi="Cambria" w:cs="Cambria"/>
          <w:b/>
          <w:bCs/>
          <w:sz w:val="28"/>
          <w:szCs w:val="28"/>
          <w:highlight w:val="yellow"/>
        </w:rPr>
        <w:t>ω</w:t>
      </w:r>
      <w:r w:rsidRPr="00A25019">
        <w:rPr>
          <w:rFonts w:ascii="Simplified Arabic" w:hAnsi="Simplified Arabic" w:cs="Simplified Arabic"/>
          <w:b/>
          <w:bCs/>
          <w:sz w:val="28"/>
          <w:szCs w:val="28"/>
          <w:highlight w:val="yellow"/>
        </w:rPr>
        <w:t>):</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بوصفه مؤشّرًا أحدث وأكثر دقّة من ألفا في بعض السياقات، ويُشترط أن يتجاوز</w:t>
      </w:r>
      <w:r w:rsidRPr="00A25019">
        <w:rPr>
          <w:rFonts w:ascii="Simplified Arabic" w:hAnsi="Simplified Arabic" w:cs="Simplified Arabic"/>
          <w:sz w:val="28"/>
          <w:szCs w:val="28"/>
          <w:highlight w:val="yellow"/>
        </w:rPr>
        <w:t xml:space="preserve"> (0.70).</w:t>
      </w:r>
    </w:p>
    <w:p w14:paraId="576358C5" w14:textId="77777777" w:rsidR="00A25019" w:rsidRPr="00A25019" w:rsidRDefault="00A25019" w:rsidP="00A25019">
      <w:pPr>
        <w:jc w:val="both"/>
        <w:rPr>
          <w:rFonts w:ascii="Simplified Arabic" w:hAnsi="Simplified Arabic" w:cs="Simplified Arabic"/>
          <w:b/>
          <w:bCs/>
          <w:sz w:val="28"/>
          <w:szCs w:val="28"/>
          <w:highlight w:val="yellow"/>
        </w:rPr>
      </w:pPr>
      <w:r w:rsidRPr="00A25019">
        <w:rPr>
          <w:rFonts w:ascii="Simplified Arabic" w:hAnsi="Simplified Arabic" w:cs="Simplified Arabic"/>
          <w:b/>
          <w:bCs/>
          <w:sz w:val="28"/>
          <w:szCs w:val="28"/>
          <w:highlight w:val="yellow"/>
          <w:rtl/>
        </w:rPr>
        <w:t>سابعًا: العيّنة الاستطلاعية</w:t>
      </w:r>
    </w:p>
    <w:p w14:paraId="19516558" w14:textId="77777777" w:rsidR="00A25019" w:rsidRPr="00A25019" w:rsidRDefault="00A25019" w:rsidP="00A25019">
      <w:pPr>
        <w:numPr>
          <w:ilvl w:val="0"/>
          <w:numId w:val="12"/>
        </w:numPr>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 xml:space="preserve">قبل التطبيق النهائي، ستُوزَّع الاستبانة على عيّنة استطلاعية مكوَّنة من </w:t>
      </w:r>
      <w:r w:rsidRPr="00A25019">
        <w:rPr>
          <w:rFonts w:ascii="Simplified Arabic" w:hAnsi="Simplified Arabic" w:cs="Simplified Arabic"/>
          <w:b/>
          <w:bCs/>
          <w:sz w:val="28"/>
          <w:szCs w:val="28"/>
          <w:highlight w:val="yellow"/>
        </w:rPr>
        <w:t xml:space="preserve">(40) </w:t>
      </w:r>
      <w:r w:rsidRPr="00A25019">
        <w:rPr>
          <w:rFonts w:ascii="Simplified Arabic" w:hAnsi="Simplified Arabic" w:cs="Simplified Arabic"/>
          <w:b/>
          <w:bCs/>
          <w:sz w:val="28"/>
          <w:szCs w:val="28"/>
          <w:highlight w:val="yellow"/>
          <w:rtl/>
        </w:rPr>
        <w:t>فردًا</w:t>
      </w:r>
      <w:r w:rsidRPr="00A25019">
        <w:rPr>
          <w:rFonts w:ascii="Simplified Arabic" w:hAnsi="Simplified Arabic" w:cs="Simplified Arabic"/>
          <w:sz w:val="28"/>
          <w:szCs w:val="28"/>
          <w:highlight w:val="yellow"/>
          <w:rtl/>
        </w:rPr>
        <w:t xml:space="preserve"> من خارج عيّنة الدراسة الأصلية، بما يتجاوز الحدّ الأدنى الموصى به لضمان استقرار التقديرات الأوّلية للصدق والثبات. وتهدف هذه المرحلة إلى: التحقّق من وضوح الفقرات وسلامة صياغتها، ورصد ما قد يكتنف بعضها من غموض أو التباس، وحساب معاملات الصدق والثبات الأوّلية، وإجراء التحليل العاملي الاستكشافي الأوّلي، وقياس الزمن اللازم لتعبئة الاستبانة، وإجراء التعديلات الضرورية قبل التطبيق الميداني الرسمي</w:t>
      </w:r>
      <w:r w:rsidRPr="00A25019">
        <w:rPr>
          <w:rFonts w:ascii="Simplified Arabic" w:hAnsi="Simplified Arabic" w:cs="Simplified Arabic"/>
          <w:sz w:val="28"/>
          <w:szCs w:val="28"/>
          <w:highlight w:val="yellow"/>
        </w:rPr>
        <w:t>.</w:t>
      </w:r>
    </w:p>
    <w:p w14:paraId="62A9AA66" w14:textId="77777777" w:rsidR="00A25019" w:rsidRPr="00A25019" w:rsidRDefault="00A25019" w:rsidP="00A25019">
      <w:pPr>
        <w:jc w:val="both"/>
        <w:rPr>
          <w:rFonts w:ascii="Simplified Arabic" w:hAnsi="Simplified Arabic" w:cs="Simplified Arabic"/>
          <w:b/>
          <w:bCs/>
          <w:color w:val="EE0000"/>
          <w:sz w:val="28"/>
          <w:szCs w:val="28"/>
          <w:highlight w:val="yellow"/>
        </w:rPr>
      </w:pPr>
      <w:r w:rsidRPr="00A25019">
        <w:rPr>
          <w:rFonts w:ascii="Simplified Arabic" w:hAnsi="Simplified Arabic" w:cs="Simplified Arabic"/>
          <w:b/>
          <w:bCs/>
          <w:color w:val="EE0000"/>
          <w:sz w:val="28"/>
          <w:szCs w:val="28"/>
          <w:highlight w:val="yellow"/>
          <w:rtl/>
        </w:rPr>
        <w:lastRenderedPageBreak/>
        <w:t>تاسعًا: الاعتبارات الأخلاقية للدراسة</w:t>
      </w:r>
    </w:p>
    <w:p w14:paraId="21FAE532" w14:textId="77777777" w:rsidR="00A25019" w:rsidRPr="00A25019" w:rsidRDefault="00A25019" w:rsidP="00A25019">
      <w:pPr>
        <w:ind w:left="36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 xml:space="preserve">التزم الباحث بمجموعة من </w:t>
      </w:r>
      <w:r w:rsidRPr="00A25019">
        <w:rPr>
          <w:rFonts w:ascii="Simplified Arabic" w:hAnsi="Simplified Arabic" w:cs="Simplified Arabic"/>
          <w:b/>
          <w:bCs/>
          <w:color w:val="EE0000"/>
          <w:sz w:val="28"/>
          <w:szCs w:val="28"/>
          <w:highlight w:val="yellow"/>
          <w:rtl/>
        </w:rPr>
        <w:t>المبادئ الأخلاقية للبحث العلمي</w:t>
      </w:r>
      <w:r w:rsidRPr="00A25019">
        <w:rPr>
          <w:rFonts w:ascii="Simplified Arabic" w:hAnsi="Simplified Arabic" w:cs="Simplified Arabic"/>
          <w:color w:val="EE0000"/>
          <w:sz w:val="28"/>
          <w:szCs w:val="28"/>
          <w:highlight w:val="yellow"/>
          <w:rtl/>
        </w:rPr>
        <w:t xml:space="preserve"> التي تحكم الدراسات الميدانية الإنسانية، وذلك في جميع مراحل الدراسة، على النحو الآتي</w:t>
      </w:r>
      <w:r w:rsidRPr="00A25019">
        <w:rPr>
          <w:rFonts w:ascii="Simplified Arabic" w:hAnsi="Simplified Arabic" w:cs="Simplified Arabic"/>
          <w:color w:val="EE0000"/>
          <w:sz w:val="28"/>
          <w:szCs w:val="28"/>
          <w:highlight w:val="yellow"/>
        </w:rPr>
        <w:t>:</w:t>
      </w:r>
    </w:p>
    <w:p w14:paraId="31377659" w14:textId="77777777" w:rsidR="00A25019" w:rsidRPr="00A25019" w:rsidRDefault="00A25019" w:rsidP="00A25019">
      <w:pPr>
        <w:numPr>
          <w:ilvl w:val="0"/>
          <w:numId w:val="43"/>
        </w:numPr>
        <w:contextualSpacing/>
        <w:jc w:val="both"/>
        <w:rPr>
          <w:rFonts w:ascii="Simplified Arabic" w:hAnsi="Simplified Arabic" w:cs="Simplified Arabic"/>
          <w:color w:val="EE0000"/>
          <w:sz w:val="28"/>
          <w:szCs w:val="28"/>
          <w:highlight w:val="yellow"/>
        </w:rPr>
      </w:pPr>
      <w:r w:rsidRPr="00A25019">
        <w:rPr>
          <w:rFonts w:ascii="Simplified Arabic" w:hAnsi="Simplified Arabic" w:cs="Simplified Arabic"/>
          <w:b/>
          <w:bCs/>
          <w:color w:val="EE0000"/>
          <w:sz w:val="28"/>
          <w:szCs w:val="28"/>
          <w:highlight w:val="yellow"/>
          <w:rtl/>
        </w:rPr>
        <w:t>الموافقة المستنيرة</w:t>
      </w:r>
      <w:r w:rsidRPr="00A25019">
        <w:rPr>
          <w:rFonts w:ascii="Simplified Arabic" w:hAnsi="Simplified Arabic" w:cs="Simplified Arabic"/>
          <w:b/>
          <w:bCs/>
          <w:color w:val="EE0000"/>
          <w:sz w:val="28"/>
          <w:szCs w:val="28"/>
          <w:highlight w:val="yellow"/>
        </w:rPr>
        <w:t>:</w:t>
      </w:r>
      <w:r w:rsidRPr="00A25019">
        <w:rPr>
          <w:rFonts w:ascii="Simplified Arabic" w:hAnsi="Simplified Arabic" w:cs="Simplified Arabic"/>
          <w:color w:val="EE0000"/>
          <w:sz w:val="28"/>
          <w:szCs w:val="28"/>
          <w:highlight w:val="yellow"/>
        </w:rPr>
        <w:t xml:space="preserve"> </w:t>
      </w:r>
      <w:r w:rsidRPr="00A25019">
        <w:rPr>
          <w:rFonts w:ascii="Simplified Arabic" w:hAnsi="Simplified Arabic" w:cs="Simplified Arabic"/>
          <w:color w:val="EE0000"/>
          <w:sz w:val="28"/>
          <w:szCs w:val="28"/>
          <w:highlight w:val="yellow"/>
          <w:rtl/>
        </w:rPr>
        <w:t>استُحصلت موافقة صريحة من كلّ مشارك قبل الشروع في تعبئة الاستبانة، بعد إطلاعه على الهدف من الدراسة، والجهة الأكاديمية التي تُنفَّذ في إطارها، وطبيعة المشاركة الطوعية، وحقّه في الانسحاب في أيّ لحظة دون أيّ التزامات</w:t>
      </w:r>
      <w:r w:rsidRPr="00A25019">
        <w:rPr>
          <w:rFonts w:ascii="Simplified Arabic" w:hAnsi="Simplified Arabic" w:cs="Simplified Arabic"/>
          <w:color w:val="EE0000"/>
          <w:sz w:val="28"/>
          <w:szCs w:val="28"/>
          <w:highlight w:val="yellow"/>
        </w:rPr>
        <w:t>.</w:t>
      </w:r>
    </w:p>
    <w:p w14:paraId="37C3FD3D" w14:textId="77777777" w:rsidR="00A25019" w:rsidRPr="00A25019" w:rsidRDefault="00A25019" w:rsidP="00A25019">
      <w:pPr>
        <w:numPr>
          <w:ilvl w:val="0"/>
          <w:numId w:val="43"/>
        </w:numPr>
        <w:contextualSpacing/>
        <w:jc w:val="both"/>
        <w:rPr>
          <w:rFonts w:ascii="Simplified Arabic" w:hAnsi="Simplified Arabic" w:cs="Simplified Arabic"/>
          <w:color w:val="EE0000"/>
          <w:sz w:val="28"/>
          <w:szCs w:val="28"/>
          <w:highlight w:val="yellow"/>
        </w:rPr>
      </w:pPr>
      <w:r w:rsidRPr="00A25019">
        <w:rPr>
          <w:rFonts w:ascii="Simplified Arabic" w:hAnsi="Simplified Arabic" w:cs="Simplified Arabic"/>
          <w:b/>
          <w:bCs/>
          <w:color w:val="EE0000"/>
          <w:sz w:val="28"/>
          <w:szCs w:val="28"/>
          <w:highlight w:val="yellow"/>
          <w:rtl/>
        </w:rPr>
        <w:t>سرّية المعلومات والخصوصية</w:t>
      </w:r>
      <w:r w:rsidRPr="00A25019">
        <w:rPr>
          <w:rFonts w:ascii="Simplified Arabic" w:hAnsi="Simplified Arabic" w:cs="Simplified Arabic"/>
          <w:b/>
          <w:bCs/>
          <w:color w:val="EE0000"/>
          <w:sz w:val="28"/>
          <w:szCs w:val="28"/>
          <w:highlight w:val="yellow"/>
        </w:rPr>
        <w:t>:</w:t>
      </w:r>
      <w:r w:rsidRPr="00A25019">
        <w:rPr>
          <w:rFonts w:ascii="Simplified Arabic" w:hAnsi="Simplified Arabic" w:cs="Simplified Arabic"/>
          <w:color w:val="EE0000"/>
          <w:sz w:val="28"/>
          <w:szCs w:val="28"/>
          <w:highlight w:val="yellow"/>
        </w:rPr>
        <w:t xml:space="preserve"> </w:t>
      </w:r>
      <w:r w:rsidRPr="00A25019">
        <w:rPr>
          <w:rFonts w:ascii="Simplified Arabic" w:hAnsi="Simplified Arabic" w:cs="Simplified Arabic"/>
          <w:color w:val="EE0000"/>
          <w:sz w:val="28"/>
          <w:szCs w:val="28"/>
          <w:highlight w:val="yellow"/>
          <w:rtl/>
        </w:rPr>
        <w:t>التزم الباحث بالحفاظ التامّ على سرّية بيانات المشاركين وجهاتهم، وتخزين البيانات في قواعد محميّة بكلمة مرور، وعدم إتاحتها لأيّ طرف من خارج فريق البحث الأكاديمي، مع تعهّد بإتلاف البيانات الخام بعد انقضاء المدّة النظامية لحفظها</w:t>
      </w:r>
      <w:r w:rsidRPr="00A25019">
        <w:rPr>
          <w:rFonts w:ascii="Simplified Arabic" w:hAnsi="Simplified Arabic" w:cs="Simplified Arabic"/>
          <w:color w:val="EE0000"/>
          <w:sz w:val="28"/>
          <w:szCs w:val="28"/>
          <w:highlight w:val="yellow"/>
        </w:rPr>
        <w:t>.</w:t>
      </w:r>
    </w:p>
    <w:p w14:paraId="74D6DCE2" w14:textId="77777777" w:rsidR="00A25019" w:rsidRPr="00A25019" w:rsidRDefault="00A25019" w:rsidP="00A25019">
      <w:pPr>
        <w:numPr>
          <w:ilvl w:val="0"/>
          <w:numId w:val="43"/>
        </w:numPr>
        <w:contextualSpacing/>
        <w:jc w:val="both"/>
        <w:rPr>
          <w:rFonts w:ascii="Simplified Arabic" w:hAnsi="Simplified Arabic" w:cs="Simplified Arabic"/>
          <w:color w:val="EE0000"/>
          <w:sz w:val="28"/>
          <w:szCs w:val="28"/>
          <w:highlight w:val="yellow"/>
        </w:rPr>
      </w:pPr>
      <w:r w:rsidRPr="00A25019">
        <w:rPr>
          <w:rFonts w:ascii="Simplified Arabic" w:hAnsi="Simplified Arabic" w:cs="Simplified Arabic"/>
          <w:b/>
          <w:bCs/>
          <w:color w:val="EE0000"/>
          <w:sz w:val="28"/>
          <w:szCs w:val="28"/>
          <w:highlight w:val="yellow"/>
          <w:rtl/>
        </w:rPr>
        <w:t>مبدأ عدم الإضرار</w:t>
      </w:r>
      <w:r w:rsidRPr="00A25019">
        <w:rPr>
          <w:rFonts w:ascii="Simplified Arabic" w:hAnsi="Simplified Arabic" w:cs="Simplified Arabic"/>
          <w:b/>
          <w:bCs/>
          <w:color w:val="EE0000"/>
          <w:sz w:val="28"/>
          <w:szCs w:val="28"/>
          <w:highlight w:val="yellow"/>
        </w:rPr>
        <w:t xml:space="preserve"> (Non-Maleficence):</w:t>
      </w:r>
      <w:r w:rsidRPr="00A25019">
        <w:rPr>
          <w:rFonts w:ascii="Simplified Arabic" w:hAnsi="Simplified Arabic" w:cs="Simplified Arabic"/>
          <w:color w:val="EE0000"/>
          <w:sz w:val="28"/>
          <w:szCs w:val="28"/>
          <w:highlight w:val="yellow"/>
        </w:rPr>
        <w:t xml:space="preserve"> </w:t>
      </w:r>
      <w:r w:rsidRPr="00A25019">
        <w:rPr>
          <w:rFonts w:ascii="Simplified Arabic" w:hAnsi="Simplified Arabic" w:cs="Simplified Arabic"/>
          <w:color w:val="EE0000"/>
          <w:sz w:val="28"/>
          <w:szCs w:val="28"/>
          <w:highlight w:val="yellow"/>
          <w:rtl/>
        </w:rPr>
        <w:t>حرص الباحث على ألّا تتضمّن الاستبانة أي أسئلة قد تُسبّب حرجًا مهنيًّا أو ضغطًا نفسيًّا للمستجيبين، أو تُفضي إلى تسريب معلومات حسّاسة عن جهات عملهم</w:t>
      </w:r>
      <w:r w:rsidRPr="00A25019">
        <w:rPr>
          <w:rFonts w:ascii="Simplified Arabic" w:hAnsi="Simplified Arabic" w:cs="Simplified Arabic"/>
          <w:color w:val="EE0000"/>
          <w:sz w:val="28"/>
          <w:szCs w:val="28"/>
          <w:highlight w:val="yellow"/>
        </w:rPr>
        <w:t>.</w:t>
      </w:r>
    </w:p>
    <w:p w14:paraId="71E4AE21" w14:textId="77777777" w:rsidR="00A25019" w:rsidRPr="00A25019" w:rsidRDefault="00A25019" w:rsidP="00A25019">
      <w:pPr>
        <w:numPr>
          <w:ilvl w:val="0"/>
          <w:numId w:val="43"/>
        </w:numPr>
        <w:contextualSpacing/>
        <w:jc w:val="both"/>
        <w:rPr>
          <w:rFonts w:ascii="Simplified Arabic" w:hAnsi="Simplified Arabic" w:cs="Simplified Arabic"/>
          <w:color w:val="EE0000"/>
          <w:sz w:val="28"/>
          <w:szCs w:val="28"/>
          <w:highlight w:val="yellow"/>
        </w:rPr>
      </w:pPr>
      <w:r w:rsidRPr="00A25019">
        <w:rPr>
          <w:rFonts w:ascii="Simplified Arabic" w:hAnsi="Simplified Arabic" w:cs="Simplified Arabic"/>
          <w:b/>
          <w:bCs/>
          <w:color w:val="EE0000"/>
          <w:sz w:val="28"/>
          <w:szCs w:val="28"/>
          <w:highlight w:val="yellow"/>
          <w:rtl/>
        </w:rPr>
        <w:t>الاستخدام المقصور لأغراض البحث العلمي</w:t>
      </w:r>
      <w:r w:rsidRPr="00A25019">
        <w:rPr>
          <w:rFonts w:ascii="Simplified Arabic" w:hAnsi="Simplified Arabic" w:cs="Simplified Arabic"/>
          <w:b/>
          <w:bCs/>
          <w:color w:val="EE0000"/>
          <w:sz w:val="28"/>
          <w:szCs w:val="28"/>
          <w:highlight w:val="yellow"/>
        </w:rPr>
        <w:t>:</w:t>
      </w:r>
      <w:r w:rsidRPr="00A25019">
        <w:rPr>
          <w:rFonts w:ascii="Simplified Arabic" w:hAnsi="Simplified Arabic" w:cs="Simplified Arabic"/>
          <w:color w:val="EE0000"/>
          <w:sz w:val="28"/>
          <w:szCs w:val="28"/>
          <w:highlight w:val="yellow"/>
        </w:rPr>
        <w:t xml:space="preserve"> </w:t>
      </w:r>
      <w:r w:rsidRPr="00A25019">
        <w:rPr>
          <w:rFonts w:ascii="Simplified Arabic" w:hAnsi="Simplified Arabic" w:cs="Simplified Arabic"/>
          <w:color w:val="EE0000"/>
          <w:sz w:val="28"/>
          <w:szCs w:val="28"/>
          <w:highlight w:val="yellow"/>
          <w:rtl/>
        </w:rPr>
        <w:t xml:space="preserve">التزم الباحث بأن تُستخدم البيانات المجمَّعة </w:t>
      </w:r>
      <w:r w:rsidRPr="00A25019">
        <w:rPr>
          <w:rFonts w:ascii="Simplified Arabic" w:hAnsi="Simplified Arabic" w:cs="Simplified Arabic"/>
          <w:b/>
          <w:bCs/>
          <w:color w:val="EE0000"/>
          <w:sz w:val="28"/>
          <w:szCs w:val="28"/>
          <w:highlight w:val="yellow"/>
          <w:rtl/>
        </w:rPr>
        <w:t>حصرًا</w:t>
      </w:r>
      <w:r w:rsidRPr="00A25019">
        <w:rPr>
          <w:rFonts w:ascii="Simplified Arabic" w:hAnsi="Simplified Arabic" w:cs="Simplified Arabic"/>
          <w:color w:val="EE0000"/>
          <w:sz w:val="28"/>
          <w:szCs w:val="28"/>
          <w:highlight w:val="yellow"/>
          <w:rtl/>
        </w:rPr>
        <w:t xml:space="preserve"> لأغراض إعداد أطروحة الدكتوراه والنشر العلمي المرتبط بها، دون أيّ استخدام تجاري أو تنظيمي أو أمني</w:t>
      </w:r>
      <w:r w:rsidRPr="00A25019">
        <w:rPr>
          <w:rFonts w:ascii="Simplified Arabic" w:hAnsi="Simplified Arabic" w:cs="Simplified Arabic"/>
          <w:color w:val="EE0000"/>
          <w:sz w:val="28"/>
          <w:szCs w:val="28"/>
          <w:highlight w:val="yellow"/>
        </w:rPr>
        <w:t>.</w:t>
      </w:r>
    </w:p>
    <w:p w14:paraId="6CF914B5" w14:textId="77777777" w:rsidR="00A25019" w:rsidRPr="00A25019" w:rsidRDefault="00A25019" w:rsidP="00A25019">
      <w:pPr>
        <w:numPr>
          <w:ilvl w:val="0"/>
          <w:numId w:val="43"/>
        </w:numPr>
        <w:contextualSpacing/>
        <w:jc w:val="both"/>
        <w:rPr>
          <w:rFonts w:ascii="Simplified Arabic" w:hAnsi="Simplified Arabic" w:cs="Simplified Arabic"/>
          <w:color w:val="EE0000"/>
          <w:sz w:val="28"/>
          <w:szCs w:val="28"/>
          <w:highlight w:val="yellow"/>
        </w:rPr>
      </w:pPr>
      <w:r w:rsidRPr="00A25019">
        <w:rPr>
          <w:rFonts w:ascii="Simplified Arabic" w:hAnsi="Simplified Arabic" w:cs="Simplified Arabic"/>
          <w:b/>
          <w:bCs/>
          <w:color w:val="EE0000"/>
          <w:sz w:val="28"/>
          <w:szCs w:val="28"/>
          <w:highlight w:val="yellow"/>
          <w:rtl/>
        </w:rPr>
        <w:t>النزاهة العلمية والأمانة في التوثيق</w:t>
      </w:r>
      <w:r w:rsidRPr="00A25019">
        <w:rPr>
          <w:rFonts w:ascii="Simplified Arabic" w:hAnsi="Simplified Arabic" w:cs="Simplified Arabic"/>
          <w:b/>
          <w:bCs/>
          <w:color w:val="EE0000"/>
          <w:sz w:val="28"/>
          <w:szCs w:val="28"/>
          <w:highlight w:val="yellow"/>
        </w:rPr>
        <w:t>:</w:t>
      </w:r>
      <w:r w:rsidRPr="00A25019">
        <w:rPr>
          <w:rFonts w:ascii="Simplified Arabic" w:hAnsi="Simplified Arabic" w:cs="Simplified Arabic"/>
          <w:color w:val="EE0000"/>
          <w:sz w:val="28"/>
          <w:szCs w:val="28"/>
          <w:highlight w:val="yellow"/>
        </w:rPr>
        <w:t xml:space="preserve"> </w:t>
      </w:r>
      <w:r w:rsidRPr="00A25019">
        <w:rPr>
          <w:rFonts w:ascii="Simplified Arabic" w:hAnsi="Simplified Arabic" w:cs="Simplified Arabic"/>
          <w:color w:val="EE0000"/>
          <w:sz w:val="28"/>
          <w:szCs w:val="28"/>
          <w:highlight w:val="yellow"/>
          <w:rtl/>
        </w:rPr>
        <w:t>التزم الباحث بمعايير النزاهة الأكاديمية في اقتباس الأدبيات وتوثيقها وفق نظام</w:t>
      </w:r>
      <w:r w:rsidRPr="00A25019">
        <w:rPr>
          <w:rFonts w:ascii="Simplified Arabic" w:hAnsi="Simplified Arabic" w:cs="Simplified Arabic"/>
          <w:color w:val="EE0000"/>
          <w:sz w:val="28"/>
          <w:szCs w:val="28"/>
          <w:highlight w:val="yellow"/>
        </w:rPr>
        <w:t xml:space="preserve"> APA </w:t>
      </w:r>
      <w:r w:rsidRPr="00A25019">
        <w:rPr>
          <w:rFonts w:ascii="Simplified Arabic" w:hAnsi="Simplified Arabic" w:cs="Simplified Arabic"/>
          <w:color w:val="EE0000"/>
          <w:sz w:val="28"/>
          <w:szCs w:val="28"/>
          <w:highlight w:val="yellow"/>
          <w:rtl/>
        </w:rPr>
        <w:t>(الإصدار السابع)، والإفصاح الكامل عن مصادر بنود الاستبانة، وتجنّب أيّ صور للانتحال أو التحوير غير المشروع للبيانات</w:t>
      </w:r>
      <w:r w:rsidRPr="00A25019">
        <w:rPr>
          <w:rFonts w:ascii="Simplified Arabic" w:hAnsi="Simplified Arabic" w:cs="Simplified Arabic"/>
          <w:color w:val="EE0000"/>
          <w:sz w:val="28"/>
          <w:szCs w:val="28"/>
          <w:highlight w:val="yellow"/>
        </w:rPr>
        <w:t>.</w:t>
      </w:r>
    </w:p>
    <w:p w14:paraId="2A9C532D" w14:textId="77777777" w:rsidR="00A25019" w:rsidRPr="00A25019" w:rsidRDefault="00A25019" w:rsidP="00A25019">
      <w:pPr>
        <w:numPr>
          <w:ilvl w:val="0"/>
          <w:numId w:val="43"/>
        </w:numPr>
        <w:contextualSpacing/>
        <w:jc w:val="both"/>
        <w:rPr>
          <w:rFonts w:ascii="Simplified Arabic" w:hAnsi="Simplified Arabic" w:cs="Simplified Arabic"/>
          <w:color w:val="EE0000"/>
          <w:sz w:val="28"/>
          <w:szCs w:val="28"/>
          <w:highlight w:val="yellow"/>
        </w:rPr>
      </w:pPr>
      <w:r w:rsidRPr="00A25019">
        <w:rPr>
          <w:rFonts w:ascii="Simplified Arabic" w:hAnsi="Simplified Arabic" w:cs="Simplified Arabic"/>
          <w:b/>
          <w:bCs/>
          <w:color w:val="EE0000"/>
          <w:sz w:val="28"/>
          <w:szCs w:val="28"/>
          <w:highlight w:val="yellow"/>
          <w:rtl/>
        </w:rPr>
        <w:t>الحصول على الموافقات النظامية</w:t>
      </w:r>
      <w:r w:rsidRPr="00A25019">
        <w:rPr>
          <w:rFonts w:ascii="Simplified Arabic" w:hAnsi="Simplified Arabic" w:cs="Simplified Arabic"/>
          <w:b/>
          <w:bCs/>
          <w:color w:val="EE0000"/>
          <w:sz w:val="28"/>
          <w:szCs w:val="28"/>
          <w:highlight w:val="yellow"/>
        </w:rPr>
        <w:t>:</w:t>
      </w:r>
      <w:r w:rsidRPr="00A25019">
        <w:rPr>
          <w:rFonts w:ascii="Simplified Arabic" w:hAnsi="Simplified Arabic" w:cs="Simplified Arabic"/>
          <w:color w:val="EE0000"/>
          <w:sz w:val="28"/>
          <w:szCs w:val="28"/>
          <w:highlight w:val="yellow"/>
        </w:rPr>
        <w:t xml:space="preserve"> </w:t>
      </w:r>
      <w:r w:rsidRPr="00A25019">
        <w:rPr>
          <w:rFonts w:ascii="Simplified Arabic" w:hAnsi="Simplified Arabic" w:cs="Simplified Arabic"/>
          <w:color w:val="EE0000"/>
          <w:sz w:val="28"/>
          <w:szCs w:val="28"/>
          <w:highlight w:val="yellow"/>
          <w:rtl/>
        </w:rPr>
        <w:t>حرص الباحث على الحصول على الموافقات الرسمية اللازمة من الجهة الأكاديمية المشرفة (الجامعة والقسم العلمي)، فضلًا عن التنسيق مع الجهات الحكومية المستهدَفة قبل توزيع الاستبانة</w:t>
      </w:r>
      <w:r w:rsidRPr="00A25019">
        <w:rPr>
          <w:rFonts w:ascii="Simplified Arabic" w:hAnsi="Simplified Arabic" w:cs="Simplified Arabic"/>
          <w:color w:val="EE0000"/>
          <w:sz w:val="28"/>
          <w:szCs w:val="28"/>
          <w:highlight w:val="yellow"/>
        </w:rPr>
        <w:t>.</w:t>
      </w:r>
    </w:p>
    <w:p w14:paraId="4A2F9CB8" w14:textId="77777777" w:rsidR="00A25019" w:rsidRPr="00A25019" w:rsidRDefault="00A25019" w:rsidP="00A25019">
      <w:pPr>
        <w:numPr>
          <w:ilvl w:val="0"/>
          <w:numId w:val="43"/>
        </w:numPr>
        <w:contextualSpacing/>
        <w:jc w:val="both"/>
        <w:rPr>
          <w:rFonts w:ascii="Simplified Arabic" w:hAnsi="Simplified Arabic" w:cs="Simplified Arabic"/>
          <w:color w:val="EE0000"/>
          <w:sz w:val="28"/>
          <w:szCs w:val="28"/>
          <w:highlight w:val="yellow"/>
        </w:rPr>
      </w:pPr>
      <w:r w:rsidRPr="00A25019">
        <w:rPr>
          <w:rFonts w:ascii="Simplified Arabic" w:hAnsi="Simplified Arabic" w:cs="Simplified Arabic"/>
          <w:b/>
          <w:bCs/>
          <w:color w:val="EE0000"/>
          <w:sz w:val="28"/>
          <w:szCs w:val="28"/>
          <w:highlight w:val="yellow"/>
          <w:rtl/>
        </w:rPr>
        <w:t>الالتزام بنظام حماية البيانات الشخصية</w:t>
      </w:r>
      <w:r w:rsidRPr="00A25019">
        <w:rPr>
          <w:rFonts w:ascii="Simplified Arabic" w:hAnsi="Simplified Arabic" w:cs="Simplified Arabic"/>
          <w:b/>
          <w:bCs/>
          <w:color w:val="EE0000"/>
          <w:sz w:val="28"/>
          <w:szCs w:val="28"/>
          <w:highlight w:val="yellow"/>
        </w:rPr>
        <w:t xml:space="preserve"> (PDPL) </w:t>
      </w:r>
      <w:r w:rsidRPr="00A25019">
        <w:rPr>
          <w:rFonts w:ascii="Simplified Arabic" w:hAnsi="Simplified Arabic" w:cs="Simplified Arabic"/>
          <w:b/>
          <w:bCs/>
          <w:color w:val="EE0000"/>
          <w:sz w:val="28"/>
          <w:szCs w:val="28"/>
          <w:highlight w:val="yellow"/>
          <w:rtl/>
        </w:rPr>
        <w:t>في المملكة العربية السعودية</w:t>
      </w:r>
      <w:r w:rsidRPr="00A25019">
        <w:rPr>
          <w:rFonts w:ascii="Simplified Arabic" w:hAnsi="Simplified Arabic" w:cs="Simplified Arabic"/>
          <w:b/>
          <w:bCs/>
          <w:color w:val="EE0000"/>
          <w:sz w:val="28"/>
          <w:szCs w:val="28"/>
          <w:highlight w:val="yellow"/>
        </w:rPr>
        <w:t>:</w:t>
      </w:r>
      <w:r w:rsidRPr="00A25019">
        <w:rPr>
          <w:rFonts w:ascii="Simplified Arabic" w:hAnsi="Simplified Arabic" w:cs="Simplified Arabic"/>
          <w:color w:val="EE0000"/>
          <w:sz w:val="28"/>
          <w:szCs w:val="28"/>
          <w:highlight w:val="yellow"/>
        </w:rPr>
        <w:t xml:space="preserve"> </w:t>
      </w:r>
      <w:r w:rsidRPr="00A25019">
        <w:rPr>
          <w:rFonts w:ascii="Simplified Arabic" w:hAnsi="Simplified Arabic" w:cs="Simplified Arabic"/>
          <w:color w:val="EE0000"/>
          <w:sz w:val="28"/>
          <w:szCs w:val="28"/>
          <w:highlight w:val="yellow"/>
          <w:rtl/>
        </w:rPr>
        <w:t>روعي في تصميم الاستبانة وعمليات جمع البيانات ومعالجتها التوافق مع أحكام نظام حماية البيانات الشخصية الصادر بالمرسوم الملكي رقم (م/19) وتعديلاته، بما يضمن المعالجة المشروعة والآمنة للبيانات</w:t>
      </w:r>
      <w:r w:rsidRPr="00A25019">
        <w:rPr>
          <w:rFonts w:ascii="Simplified Arabic" w:hAnsi="Simplified Arabic" w:cs="Simplified Arabic"/>
          <w:color w:val="EE0000"/>
          <w:sz w:val="28"/>
          <w:szCs w:val="28"/>
          <w:highlight w:val="yellow"/>
        </w:rPr>
        <w:t>.</w:t>
      </w:r>
    </w:p>
    <w:p w14:paraId="1F9C219A" w14:textId="77777777" w:rsidR="00A25019" w:rsidRPr="00A25019" w:rsidRDefault="00A25019" w:rsidP="00A25019">
      <w:pPr>
        <w:jc w:val="both"/>
        <w:rPr>
          <w:rFonts w:ascii="Simplified Arabic" w:hAnsi="Simplified Arabic" w:cs="Simplified Arabic"/>
          <w:b/>
          <w:bCs/>
          <w:sz w:val="28"/>
          <w:szCs w:val="28"/>
          <w:highlight w:val="yellow"/>
        </w:rPr>
      </w:pPr>
      <w:r w:rsidRPr="00A25019">
        <w:rPr>
          <w:rFonts w:ascii="Simplified Arabic" w:hAnsi="Simplified Arabic" w:cs="Simplified Arabic"/>
          <w:b/>
          <w:bCs/>
          <w:sz w:val="28"/>
          <w:szCs w:val="28"/>
          <w:highlight w:val="yellow"/>
          <w:rtl/>
        </w:rPr>
        <w:lastRenderedPageBreak/>
        <w:t>عاشرًا: إجراءات تطبيق الدراسة الميدانية</w:t>
      </w:r>
    </w:p>
    <w:p w14:paraId="43C1D3DB" w14:textId="77777777" w:rsidR="00A25019" w:rsidRPr="00A25019" w:rsidRDefault="00A25019" w:rsidP="00A25019">
      <w:pPr>
        <w:ind w:left="720"/>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سارت إجراءات الدراسة وفق الخطوات الآتية</w:t>
      </w:r>
      <w:r w:rsidRPr="00A25019">
        <w:rPr>
          <w:rFonts w:ascii="Simplified Arabic" w:hAnsi="Simplified Arabic" w:cs="Simplified Arabic"/>
          <w:sz w:val="28"/>
          <w:szCs w:val="28"/>
          <w:highlight w:val="yellow"/>
        </w:rPr>
        <w:t>:</w:t>
      </w:r>
    </w:p>
    <w:p w14:paraId="7DE95A43"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مراجعة الأدبيات والدراسات السابقة لبناء الإطار النظري وتحديد متغيّرات الدراسة وأبعادها</w:t>
      </w:r>
      <w:r w:rsidRPr="00A25019">
        <w:rPr>
          <w:rFonts w:ascii="Simplified Arabic" w:hAnsi="Simplified Arabic" w:cs="Simplified Arabic"/>
          <w:sz w:val="28"/>
          <w:szCs w:val="28"/>
          <w:highlight w:val="yellow"/>
        </w:rPr>
        <w:t>.</w:t>
      </w:r>
    </w:p>
    <w:p w14:paraId="7C38B725"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صياغة فقرات الاستبانة بالاستناد إلى المقاييس المعتمدة في الدراسات السابقة، مع تعديلها لتناسب سياق الحج والعمرة</w:t>
      </w:r>
      <w:r w:rsidRPr="00A25019">
        <w:rPr>
          <w:rFonts w:ascii="Simplified Arabic" w:hAnsi="Simplified Arabic" w:cs="Simplified Arabic"/>
          <w:sz w:val="28"/>
          <w:szCs w:val="28"/>
          <w:highlight w:val="yellow"/>
        </w:rPr>
        <w:t>.</w:t>
      </w:r>
    </w:p>
    <w:p w14:paraId="26D6FB8E"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عرض الاستبانة على المحكّمين وإجراء التعديلات في ضوء ملاحظاتهم</w:t>
      </w:r>
      <w:r w:rsidRPr="00A25019">
        <w:rPr>
          <w:rFonts w:ascii="Simplified Arabic" w:hAnsi="Simplified Arabic" w:cs="Simplified Arabic"/>
          <w:sz w:val="28"/>
          <w:szCs w:val="28"/>
          <w:highlight w:val="yellow"/>
        </w:rPr>
        <w:t>.</w:t>
      </w:r>
    </w:p>
    <w:p w14:paraId="207D4CD5"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تطبيق الاستبانة على العيّنة الاستطلاعية والتحقّق من صدقها وثباتها الأوّلي</w:t>
      </w:r>
      <w:r w:rsidRPr="00A25019">
        <w:rPr>
          <w:rFonts w:ascii="Simplified Arabic" w:hAnsi="Simplified Arabic" w:cs="Simplified Arabic"/>
          <w:sz w:val="28"/>
          <w:szCs w:val="28"/>
          <w:highlight w:val="yellow"/>
        </w:rPr>
        <w:t>.</w:t>
      </w:r>
    </w:p>
    <w:p w14:paraId="01F93D7B"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إخراج الاستبانة في صورتها النهائية وتحويلها إلى نموذج إلكتروني عبر</w:t>
      </w:r>
      <w:r w:rsidRPr="00A25019">
        <w:rPr>
          <w:rFonts w:ascii="Simplified Arabic" w:hAnsi="Simplified Arabic" w:cs="Simplified Arabic"/>
          <w:sz w:val="28"/>
          <w:szCs w:val="28"/>
          <w:highlight w:val="yellow"/>
        </w:rPr>
        <w:t xml:space="preserve"> Google Forms.</w:t>
      </w:r>
    </w:p>
    <w:p w14:paraId="51B850B4"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الحصول على الموافقات الأكاديمية والنظامية اللازمة لتوزيع الاستبانة</w:t>
      </w:r>
      <w:r w:rsidRPr="00A25019">
        <w:rPr>
          <w:rFonts w:ascii="Simplified Arabic" w:hAnsi="Simplified Arabic" w:cs="Simplified Arabic"/>
          <w:sz w:val="28"/>
          <w:szCs w:val="28"/>
          <w:highlight w:val="yellow"/>
        </w:rPr>
        <w:t>.</w:t>
      </w:r>
    </w:p>
    <w:p w14:paraId="26FCEC00"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توزيع الاستبانة إلكترونيًّا على أفراد العيّنة وجمع الردود خلال موسم الحج والعمرة لعام 2026م</w:t>
      </w:r>
      <w:r w:rsidRPr="00A25019">
        <w:rPr>
          <w:rFonts w:ascii="Simplified Arabic" w:hAnsi="Simplified Arabic" w:cs="Simplified Arabic"/>
          <w:sz w:val="28"/>
          <w:szCs w:val="28"/>
          <w:highlight w:val="yellow"/>
        </w:rPr>
        <w:t>.</w:t>
      </w:r>
    </w:p>
    <w:p w14:paraId="4FF687FA"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مراجعة الردود وتنقية البيانات وإدخالها في برنامجَي</w:t>
      </w:r>
      <w:r w:rsidRPr="00A25019">
        <w:rPr>
          <w:rFonts w:ascii="Simplified Arabic" w:hAnsi="Simplified Arabic" w:cs="Simplified Arabic"/>
          <w:sz w:val="28"/>
          <w:szCs w:val="28"/>
          <w:highlight w:val="yellow"/>
        </w:rPr>
        <w:t xml:space="preserve"> SPSS </w:t>
      </w:r>
      <w:r w:rsidRPr="00A25019">
        <w:rPr>
          <w:rFonts w:ascii="Simplified Arabic" w:hAnsi="Simplified Arabic" w:cs="Simplified Arabic"/>
          <w:sz w:val="28"/>
          <w:szCs w:val="28"/>
          <w:highlight w:val="yellow"/>
          <w:rtl/>
        </w:rPr>
        <w:t>و</w:t>
      </w:r>
      <w:r w:rsidRPr="00A25019">
        <w:rPr>
          <w:rFonts w:ascii="Simplified Arabic" w:hAnsi="Simplified Arabic" w:cs="Simplified Arabic"/>
          <w:sz w:val="28"/>
          <w:szCs w:val="28"/>
          <w:highlight w:val="yellow"/>
        </w:rPr>
        <w:t>AMOS.</w:t>
      </w:r>
    </w:p>
    <w:p w14:paraId="3FCB62B4"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إجراء التحليلات الإحصائية الوصفية والتحليل العاملي التوكيدي واختبار الفرضيات ونموذج الوساطة</w:t>
      </w:r>
      <w:r w:rsidRPr="00A25019">
        <w:rPr>
          <w:rFonts w:ascii="Simplified Arabic" w:hAnsi="Simplified Arabic" w:cs="Simplified Arabic"/>
          <w:sz w:val="28"/>
          <w:szCs w:val="28"/>
          <w:highlight w:val="yellow"/>
        </w:rPr>
        <w:t>.</w:t>
      </w:r>
    </w:p>
    <w:p w14:paraId="789667E8"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تفسير النتائج ومناقشتها في ضوء الإطار النظري والدراسات السابقة</w:t>
      </w:r>
      <w:r w:rsidRPr="00A25019">
        <w:rPr>
          <w:rFonts w:ascii="Simplified Arabic" w:hAnsi="Simplified Arabic" w:cs="Simplified Arabic"/>
          <w:sz w:val="28"/>
          <w:szCs w:val="28"/>
          <w:highlight w:val="yellow"/>
        </w:rPr>
        <w:t>.</w:t>
      </w:r>
    </w:p>
    <w:p w14:paraId="3D1D2B4A" w14:textId="77777777" w:rsidR="00A25019" w:rsidRPr="00A25019" w:rsidRDefault="00A25019" w:rsidP="00A25019">
      <w:pPr>
        <w:ind w:left="360"/>
        <w:jc w:val="both"/>
        <w:rPr>
          <w:rFonts w:ascii="Simplified Arabic" w:hAnsi="Simplified Arabic" w:cs="Simplified Arabic"/>
          <w:b/>
          <w:bCs/>
          <w:sz w:val="28"/>
          <w:szCs w:val="28"/>
          <w:highlight w:val="yellow"/>
        </w:rPr>
      </w:pPr>
      <w:r w:rsidRPr="00A25019">
        <w:rPr>
          <w:rFonts w:ascii="Simplified Arabic" w:hAnsi="Simplified Arabic" w:cs="Simplified Arabic"/>
          <w:b/>
          <w:bCs/>
          <w:sz w:val="28"/>
          <w:szCs w:val="28"/>
          <w:highlight w:val="yellow"/>
          <w:rtl/>
        </w:rPr>
        <w:t>حادي عشر: المعالجات الإحصائية</w:t>
      </w:r>
    </w:p>
    <w:p w14:paraId="2312810A" w14:textId="77777777" w:rsidR="00A25019" w:rsidRPr="00A25019" w:rsidRDefault="00A25019" w:rsidP="00A25019">
      <w:pPr>
        <w:numPr>
          <w:ilvl w:val="0"/>
          <w:numId w:val="12"/>
        </w:numPr>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 xml:space="preserve">اعتمدت الدراسة على مجموعة متكاملة من الأساليب الإحصائية الوصفية والتحليلية، عبر برنامجَي </w:t>
      </w:r>
      <w:r w:rsidRPr="00A25019">
        <w:rPr>
          <w:rFonts w:ascii="Simplified Arabic" w:hAnsi="Simplified Arabic" w:cs="Simplified Arabic"/>
          <w:b/>
          <w:bCs/>
          <w:sz w:val="28"/>
          <w:szCs w:val="28"/>
          <w:highlight w:val="yellow"/>
        </w:rPr>
        <w:t>SPSS (v.28)</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لإجراء التحليلات الوصفية والاستكشافية، و</w:t>
      </w:r>
      <w:r w:rsidRPr="00A25019">
        <w:rPr>
          <w:rFonts w:ascii="Simplified Arabic" w:hAnsi="Simplified Arabic" w:cs="Simplified Arabic"/>
          <w:b/>
          <w:bCs/>
          <w:sz w:val="28"/>
          <w:szCs w:val="28"/>
          <w:highlight w:val="yellow"/>
        </w:rPr>
        <w:t>AMOS (v.28)</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لاختبار النموذج البنيوي وتحليل الوساطة</w:t>
      </w:r>
      <w:r w:rsidRPr="00A25019">
        <w:rPr>
          <w:rFonts w:ascii="Simplified Arabic" w:hAnsi="Simplified Arabic" w:cs="Simplified Arabic"/>
          <w:sz w:val="28"/>
          <w:szCs w:val="28"/>
          <w:highlight w:val="yellow"/>
        </w:rPr>
        <w:t>.</w:t>
      </w:r>
    </w:p>
    <w:p w14:paraId="17ED173B" w14:textId="77777777" w:rsidR="00A25019" w:rsidRPr="00A25019" w:rsidRDefault="00A25019" w:rsidP="00A25019">
      <w:pPr>
        <w:ind w:left="360"/>
        <w:jc w:val="both"/>
        <w:rPr>
          <w:rFonts w:ascii="Simplified Arabic" w:hAnsi="Simplified Arabic" w:cs="Simplified Arabic"/>
          <w:b/>
          <w:bCs/>
          <w:sz w:val="28"/>
          <w:szCs w:val="28"/>
          <w:highlight w:val="yellow"/>
        </w:rPr>
      </w:pPr>
      <w:r w:rsidRPr="00A25019">
        <w:rPr>
          <w:rFonts w:ascii="Simplified Arabic" w:hAnsi="Simplified Arabic" w:cs="Simplified Arabic"/>
          <w:b/>
          <w:bCs/>
          <w:sz w:val="28"/>
          <w:szCs w:val="28"/>
          <w:highlight w:val="yellow"/>
          <w:rtl/>
        </w:rPr>
        <w:t>الإحصاء الوصفي</w:t>
      </w:r>
    </w:p>
    <w:p w14:paraId="7DA0E78E"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التكرارات والنسب المئوية</w:t>
      </w:r>
      <w:r w:rsidRPr="00A25019">
        <w:rPr>
          <w:rFonts w:ascii="Simplified Arabic" w:hAnsi="Simplified Arabic" w:cs="Simplified Arabic"/>
          <w:b/>
          <w:bCs/>
          <w:sz w:val="28"/>
          <w:szCs w:val="28"/>
          <w:highlight w:val="yellow"/>
        </w:rPr>
        <w:t>:</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لتحليل الخصائص الديموغرافية لأفراد العيّنة</w:t>
      </w:r>
      <w:r w:rsidRPr="00A25019">
        <w:rPr>
          <w:rFonts w:ascii="Simplified Arabic" w:hAnsi="Simplified Arabic" w:cs="Simplified Arabic"/>
          <w:sz w:val="28"/>
          <w:szCs w:val="28"/>
          <w:highlight w:val="yellow"/>
        </w:rPr>
        <w:t>.</w:t>
      </w:r>
    </w:p>
    <w:p w14:paraId="20E02A79"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lastRenderedPageBreak/>
        <w:t>الوسط الحسابي</w:t>
      </w:r>
      <w:r w:rsidRPr="00A25019">
        <w:rPr>
          <w:rFonts w:ascii="Simplified Arabic" w:hAnsi="Simplified Arabic" w:cs="Simplified Arabic"/>
          <w:b/>
          <w:bCs/>
          <w:sz w:val="28"/>
          <w:szCs w:val="28"/>
          <w:highlight w:val="yellow"/>
        </w:rPr>
        <w:t>:</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لقياس متوسّطات تقديرات المستجيبين لأبعاد الاستدامة والتكنولوجيا الذكية وكفاءة إدارة الحشود</w:t>
      </w:r>
      <w:r w:rsidRPr="00A25019">
        <w:rPr>
          <w:rFonts w:ascii="Simplified Arabic" w:hAnsi="Simplified Arabic" w:cs="Simplified Arabic"/>
          <w:sz w:val="28"/>
          <w:szCs w:val="28"/>
          <w:highlight w:val="yellow"/>
        </w:rPr>
        <w:t>.</w:t>
      </w:r>
    </w:p>
    <w:p w14:paraId="52CA2F69"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الانحراف المعياري</w:t>
      </w:r>
      <w:r w:rsidRPr="00A25019">
        <w:rPr>
          <w:rFonts w:ascii="Simplified Arabic" w:hAnsi="Simplified Arabic" w:cs="Simplified Arabic"/>
          <w:b/>
          <w:bCs/>
          <w:sz w:val="28"/>
          <w:szCs w:val="28"/>
          <w:highlight w:val="yellow"/>
        </w:rPr>
        <w:t>:</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لقياس تباين آراء المستجيبين ومدى التجانس</w:t>
      </w:r>
      <w:r w:rsidRPr="00A25019">
        <w:rPr>
          <w:rFonts w:ascii="Simplified Arabic" w:hAnsi="Simplified Arabic" w:cs="Simplified Arabic"/>
          <w:sz w:val="28"/>
          <w:szCs w:val="28"/>
          <w:highlight w:val="yellow"/>
        </w:rPr>
        <w:t>.</w:t>
      </w:r>
    </w:p>
    <w:p w14:paraId="3189A59D"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معامل الالتواء والتفلطح</w:t>
      </w:r>
      <w:r w:rsidRPr="00A25019">
        <w:rPr>
          <w:rFonts w:ascii="Simplified Arabic" w:hAnsi="Simplified Arabic" w:cs="Simplified Arabic"/>
          <w:b/>
          <w:bCs/>
          <w:sz w:val="28"/>
          <w:szCs w:val="28"/>
          <w:highlight w:val="yellow"/>
        </w:rPr>
        <w:t xml:space="preserve"> (Skewness &amp; Kurtosis):</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للتحقّق من الاعتدالية التوزيعية للبيانات، ويُشترط أن تقع القيم بين (±3) لـ</w:t>
      </w:r>
      <w:r w:rsidRPr="00A25019">
        <w:rPr>
          <w:rFonts w:ascii="Simplified Arabic" w:hAnsi="Simplified Arabic" w:cs="Simplified Arabic"/>
          <w:sz w:val="28"/>
          <w:szCs w:val="28"/>
          <w:highlight w:val="yellow"/>
        </w:rPr>
        <w:t xml:space="preserve">Skewness </w:t>
      </w:r>
      <w:r w:rsidRPr="00A25019">
        <w:rPr>
          <w:rFonts w:ascii="Simplified Arabic" w:hAnsi="Simplified Arabic" w:cs="Simplified Arabic"/>
          <w:sz w:val="28"/>
          <w:szCs w:val="28"/>
          <w:highlight w:val="yellow"/>
          <w:rtl/>
        </w:rPr>
        <w:t>و(±10) لـ</w:t>
      </w:r>
      <w:r w:rsidRPr="00A25019">
        <w:rPr>
          <w:rFonts w:ascii="Simplified Arabic" w:hAnsi="Simplified Arabic" w:cs="Simplified Arabic"/>
          <w:sz w:val="28"/>
          <w:szCs w:val="28"/>
          <w:highlight w:val="yellow"/>
        </w:rPr>
        <w:t xml:space="preserve">Kurtosis </w:t>
      </w:r>
      <w:r w:rsidRPr="00A25019">
        <w:rPr>
          <w:rFonts w:ascii="Simplified Arabic" w:hAnsi="Simplified Arabic" w:cs="Simplified Arabic"/>
          <w:sz w:val="28"/>
          <w:szCs w:val="28"/>
          <w:highlight w:val="yellow"/>
          <w:rtl/>
        </w:rPr>
        <w:t>وفقًا لـ</w:t>
      </w:r>
      <w:r w:rsidRPr="00A25019">
        <w:rPr>
          <w:rFonts w:ascii="Simplified Arabic" w:hAnsi="Simplified Arabic" w:cs="Simplified Arabic"/>
          <w:sz w:val="28"/>
          <w:szCs w:val="28"/>
          <w:highlight w:val="yellow"/>
        </w:rPr>
        <w:t>(Kline, 2016).</w:t>
      </w:r>
    </w:p>
    <w:p w14:paraId="08A3430B" w14:textId="77777777" w:rsidR="00A25019" w:rsidRPr="00A25019" w:rsidRDefault="00A25019" w:rsidP="00A25019">
      <w:pPr>
        <w:ind w:left="360"/>
        <w:jc w:val="both"/>
        <w:rPr>
          <w:rFonts w:ascii="Simplified Arabic" w:hAnsi="Simplified Arabic" w:cs="Simplified Arabic"/>
          <w:b/>
          <w:bCs/>
          <w:sz w:val="28"/>
          <w:szCs w:val="28"/>
          <w:highlight w:val="yellow"/>
        </w:rPr>
      </w:pPr>
      <w:r w:rsidRPr="00A25019">
        <w:rPr>
          <w:rFonts w:ascii="Simplified Arabic" w:hAnsi="Simplified Arabic" w:cs="Simplified Arabic"/>
          <w:b/>
          <w:bCs/>
          <w:sz w:val="28"/>
          <w:szCs w:val="28"/>
          <w:highlight w:val="yellow"/>
          <w:rtl/>
        </w:rPr>
        <w:t>اختبارات الصدق والثبات</w:t>
      </w:r>
    </w:p>
    <w:p w14:paraId="7A4FA9A6"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معامل ألفا كرونباخ، والثبات المركّب</w:t>
      </w:r>
      <w:r w:rsidRPr="00A25019">
        <w:rPr>
          <w:rFonts w:ascii="Simplified Arabic" w:hAnsi="Simplified Arabic" w:cs="Simplified Arabic"/>
          <w:b/>
          <w:bCs/>
          <w:sz w:val="28"/>
          <w:szCs w:val="28"/>
          <w:highlight w:val="yellow"/>
        </w:rPr>
        <w:t xml:space="preserve"> (CR)</w:t>
      </w:r>
      <w:r w:rsidRPr="00A25019">
        <w:rPr>
          <w:rFonts w:ascii="Simplified Arabic" w:hAnsi="Simplified Arabic" w:cs="Simplified Arabic"/>
          <w:b/>
          <w:bCs/>
          <w:sz w:val="28"/>
          <w:szCs w:val="28"/>
          <w:highlight w:val="yellow"/>
          <w:rtl/>
        </w:rPr>
        <w:t>، ومعامل أوميغا</w:t>
      </w:r>
      <w:r w:rsidRPr="00A25019">
        <w:rPr>
          <w:rFonts w:ascii="Simplified Arabic" w:hAnsi="Simplified Arabic" w:cs="Simplified Arabic"/>
          <w:b/>
          <w:bCs/>
          <w:sz w:val="28"/>
          <w:szCs w:val="28"/>
          <w:highlight w:val="yellow"/>
        </w:rPr>
        <w:t xml:space="preserve"> (</w:t>
      </w:r>
      <w:r w:rsidRPr="00A25019">
        <w:rPr>
          <w:rFonts w:ascii="Cambria" w:hAnsi="Cambria" w:cs="Cambria"/>
          <w:b/>
          <w:bCs/>
          <w:sz w:val="28"/>
          <w:szCs w:val="28"/>
          <w:highlight w:val="yellow"/>
        </w:rPr>
        <w:t>ω</w:t>
      </w:r>
      <w:r w:rsidRPr="00A25019">
        <w:rPr>
          <w:rFonts w:ascii="Simplified Arabic" w:hAnsi="Simplified Arabic" w:cs="Simplified Arabic"/>
          <w:b/>
          <w:bCs/>
          <w:sz w:val="28"/>
          <w:szCs w:val="28"/>
          <w:highlight w:val="yellow"/>
        </w:rPr>
        <w:t>)</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لقياس الثبات</w:t>
      </w:r>
      <w:r w:rsidRPr="00A25019">
        <w:rPr>
          <w:rFonts w:ascii="Simplified Arabic" w:hAnsi="Simplified Arabic" w:cs="Simplified Arabic"/>
          <w:sz w:val="28"/>
          <w:szCs w:val="28"/>
          <w:highlight w:val="yellow"/>
        </w:rPr>
        <w:t>.</w:t>
      </w:r>
    </w:p>
    <w:p w14:paraId="5D2C4F65"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معاملات ارتباط بيرسون</w:t>
      </w:r>
      <w:r w:rsidRPr="00A25019">
        <w:rPr>
          <w:rFonts w:ascii="Simplified Arabic" w:hAnsi="Simplified Arabic" w:cs="Simplified Arabic"/>
          <w:sz w:val="28"/>
          <w:szCs w:val="28"/>
          <w:highlight w:val="yellow"/>
          <w:rtl/>
        </w:rPr>
        <w:t xml:space="preserve"> لقياس الاتّساق الداخلي</w:t>
      </w:r>
      <w:r w:rsidRPr="00A25019">
        <w:rPr>
          <w:rFonts w:ascii="Simplified Arabic" w:hAnsi="Simplified Arabic" w:cs="Simplified Arabic"/>
          <w:sz w:val="28"/>
          <w:szCs w:val="28"/>
          <w:highlight w:val="yellow"/>
        </w:rPr>
        <w:t>.</w:t>
      </w:r>
    </w:p>
    <w:p w14:paraId="07EECCE8"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التحليل العاملي الاستكشافي</w:t>
      </w:r>
      <w:r w:rsidRPr="00A25019">
        <w:rPr>
          <w:rFonts w:ascii="Simplified Arabic" w:hAnsi="Simplified Arabic" w:cs="Simplified Arabic"/>
          <w:b/>
          <w:bCs/>
          <w:sz w:val="28"/>
          <w:szCs w:val="28"/>
          <w:highlight w:val="yellow"/>
        </w:rPr>
        <w:t xml:space="preserve"> (EFA)</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عبر</w:t>
      </w:r>
      <w:r w:rsidRPr="00A25019">
        <w:rPr>
          <w:rFonts w:ascii="Simplified Arabic" w:hAnsi="Simplified Arabic" w:cs="Simplified Arabic"/>
          <w:sz w:val="28"/>
          <w:szCs w:val="28"/>
          <w:highlight w:val="yellow"/>
        </w:rPr>
        <w:t xml:space="preserve"> SPSS.</w:t>
      </w:r>
    </w:p>
    <w:p w14:paraId="6F379361"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التحليل العاملي التوكيدي</w:t>
      </w:r>
      <w:r w:rsidRPr="00A25019">
        <w:rPr>
          <w:rFonts w:ascii="Simplified Arabic" w:hAnsi="Simplified Arabic" w:cs="Simplified Arabic"/>
          <w:b/>
          <w:bCs/>
          <w:sz w:val="28"/>
          <w:szCs w:val="28"/>
          <w:highlight w:val="yellow"/>
        </w:rPr>
        <w:t xml:space="preserve"> (CFA)</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عبر</w:t>
      </w:r>
      <w:r w:rsidRPr="00A25019">
        <w:rPr>
          <w:rFonts w:ascii="Simplified Arabic" w:hAnsi="Simplified Arabic" w:cs="Simplified Arabic"/>
          <w:sz w:val="28"/>
          <w:szCs w:val="28"/>
          <w:highlight w:val="yellow"/>
        </w:rPr>
        <w:t xml:space="preserve"> AMOS.</w:t>
      </w:r>
    </w:p>
    <w:p w14:paraId="421DEBCC"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متوسّط التباين المُستخرَج</w:t>
      </w:r>
      <w:r w:rsidRPr="00A25019">
        <w:rPr>
          <w:rFonts w:ascii="Simplified Arabic" w:hAnsi="Simplified Arabic" w:cs="Simplified Arabic"/>
          <w:b/>
          <w:bCs/>
          <w:sz w:val="28"/>
          <w:szCs w:val="28"/>
          <w:highlight w:val="yellow"/>
        </w:rPr>
        <w:t xml:space="preserve"> (AVE) </w:t>
      </w:r>
      <w:r w:rsidRPr="00A25019">
        <w:rPr>
          <w:rFonts w:ascii="Simplified Arabic" w:hAnsi="Simplified Arabic" w:cs="Simplified Arabic"/>
          <w:b/>
          <w:bCs/>
          <w:sz w:val="28"/>
          <w:szCs w:val="28"/>
          <w:highlight w:val="yellow"/>
          <w:rtl/>
        </w:rPr>
        <w:t>ومعيار فورنيل-لاركر ونسبة</w:t>
      </w:r>
      <w:r w:rsidRPr="00A25019">
        <w:rPr>
          <w:rFonts w:ascii="Simplified Arabic" w:hAnsi="Simplified Arabic" w:cs="Simplified Arabic"/>
          <w:b/>
          <w:bCs/>
          <w:sz w:val="28"/>
          <w:szCs w:val="28"/>
          <w:highlight w:val="yellow"/>
        </w:rPr>
        <w:t xml:space="preserve"> HTMT</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لاختبار الصدق التقاربي والتمييزي</w:t>
      </w:r>
      <w:r w:rsidRPr="00A25019">
        <w:rPr>
          <w:rFonts w:ascii="Simplified Arabic" w:hAnsi="Simplified Arabic" w:cs="Simplified Arabic"/>
          <w:sz w:val="28"/>
          <w:szCs w:val="28"/>
          <w:highlight w:val="yellow"/>
        </w:rPr>
        <w:t>.</w:t>
      </w:r>
    </w:p>
    <w:p w14:paraId="10EBB8D2" w14:textId="77777777" w:rsidR="00A25019" w:rsidRPr="00A25019" w:rsidRDefault="00A25019" w:rsidP="00A25019">
      <w:pPr>
        <w:ind w:left="360"/>
        <w:jc w:val="both"/>
        <w:rPr>
          <w:rFonts w:ascii="Simplified Arabic" w:hAnsi="Simplified Arabic" w:cs="Simplified Arabic"/>
          <w:b/>
          <w:bCs/>
          <w:sz w:val="28"/>
          <w:szCs w:val="28"/>
          <w:highlight w:val="yellow"/>
        </w:rPr>
      </w:pPr>
      <w:r w:rsidRPr="00A25019">
        <w:rPr>
          <w:rFonts w:ascii="Simplified Arabic" w:hAnsi="Simplified Arabic" w:cs="Simplified Arabic"/>
          <w:b/>
          <w:bCs/>
          <w:sz w:val="28"/>
          <w:szCs w:val="28"/>
          <w:highlight w:val="yellow"/>
          <w:rtl/>
        </w:rPr>
        <w:t>الإحصاء التحليلي واختبار الفرضيات</w:t>
      </w:r>
    </w:p>
    <w:p w14:paraId="3E1DFD3F" w14:textId="77777777" w:rsidR="00A25019" w:rsidRPr="00A25019" w:rsidRDefault="00A25019" w:rsidP="00A25019">
      <w:pPr>
        <w:numPr>
          <w:ilvl w:val="0"/>
          <w:numId w:val="12"/>
        </w:numPr>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 xml:space="preserve">اعتمدت الدراسة </w:t>
      </w:r>
      <w:r w:rsidRPr="00A25019">
        <w:rPr>
          <w:rFonts w:ascii="Simplified Arabic" w:hAnsi="Simplified Arabic" w:cs="Simplified Arabic"/>
          <w:b/>
          <w:bCs/>
          <w:sz w:val="28"/>
          <w:szCs w:val="28"/>
          <w:highlight w:val="yellow"/>
          <w:rtl/>
        </w:rPr>
        <w:t>نمذجة المعادلات الهيكلية القائمة على التباين المشترك</w:t>
      </w:r>
      <w:r w:rsidRPr="00A25019">
        <w:rPr>
          <w:rFonts w:ascii="Simplified Arabic" w:hAnsi="Simplified Arabic" w:cs="Simplified Arabic"/>
          <w:b/>
          <w:bCs/>
          <w:sz w:val="28"/>
          <w:szCs w:val="28"/>
          <w:highlight w:val="yellow"/>
        </w:rPr>
        <w:t xml:space="preserve"> (CB-SEM)</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عبر برنامج</w:t>
      </w:r>
      <w:r w:rsidRPr="00A25019">
        <w:rPr>
          <w:rFonts w:ascii="Simplified Arabic" w:hAnsi="Simplified Arabic" w:cs="Simplified Arabic"/>
          <w:sz w:val="28"/>
          <w:szCs w:val="28"/>
          <w:highlight w:val="yellow"/>
        </w:rPr>
        <w:t xml:space="preserve"> AMOS </w:t>
      </w:r>
      <w:r w:rsidRPr="00A25019">
        <w:rPr>
          <w:rFonts w:ascii="Simplified Arabic" w:hAnsi="Simplified Arabic" w:cs="Simplified Arabic"/>
          <w:sz w:val="28"/>
          <w:szCs w:val="28"/>
          <w:highlight w:val="yellow"/>
          <w:rtl/>
        </w:rPr>
        <w:t>بوصفها الأسلوب الإحصائي الأكثر ملاءمة لطبيعة النموذج المفاهيمي المقترح، ولتوافقه مع طبيعة اختبار الوساطة. وقد صُمّم مسار اختبار الفرضيات على النحو الآتي</w:t>
      </w:r>
      <w:r w:rsidRPr="00A25019">
        <w:rPr>
          <w:rFonts w:ascii="Simplified Arabic" w:hAnsi="Simplified Arabic" w:cs="Simplified Arabic"/>
          <w:sz w:val="28"/>
          <w:szCs w:val="28"/>
          <w:highlight w:val="yellow"/>
        </w:rPr>
        <w:t>:</w:t>
      </w:r>
    </w:p>
    <w:p w14:paraId="1F893321" w14:textId="77777777" w:rsidR="00A25019" w:rsidRPr="00A25019" w:rsidRDefault="00A25019" w:rsidP="00A25019">
      <w:pPr>
        <w:numPr>
          <w:ilvl w:val="0"/>
          <w:numId w:val="12"/>
        </w:numPr>
        <w:jc w:val="both"/>
        <w:rPr>
          <w:rFonts w:ascii="Simplified Arabic" w:hAnsi="Simplified Arabic" w:cs="Simplified Arabic"/>
          <w:b/>
          <w:bCs/>
          <w:sz w:val="28"/>
          <w:szCs w:val="28"/>
          <w:highlight w:val="yellow"/>
        </w:rPr>
      </w:pPr>
      <w:r w:rsidRPr="00A25019">
        <w:rPr>
          <w:rFonts w:ascii="Simplified Arabic" w:hAnsi="Simplified Arabic" w:cs="Simplified Arabic"/>
          <w:b/>
          <w:bCs/>
          <w:sz w:val="28"/>
          <w:szCs w:val="28"/>
          <w:highlight w:val="yellow"/>
          <w:rtl/>
        </w:rPr>
        <w:t>أ. الفرضيات المتعلّقة بالعلاقات المباشرة</w:t>
      </w:r>
    </w:p>
    <w:p w14:paraId="6D7B3946"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تحليل الانحدار المتعدّد</w:t>
      </w:r>
      <w:r w:rsidRPr="00A25019">
        <w:rPr>
          <w:rFonts w:ascii="Simplified Arabic" w:hAnsi="Simplified Arabic" w:cs="Simplified Arabic"/>
          <w:b/>
          <w:bCs/>
          <w:sz w:val="28"/>
          <w:szCs w:val="28"/>
          <w:highlight w:val="yellow"/>
        </w:rPr>
        <w:t xml:space="preserve"> (Multiple Regression):</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لاختبار العلاقة الكلّية بين أبعاد ممارسات الاستدامة (المستقل) وكفاءة إدارة الحشود (التابع)</w:t>
      </w:r>
      <w:r w:rsidRPr="00A25019">
        <w:rPr>
          <w:rFonts w:ascii="Simplified Arabic" w:hAnsi="Simplified Arabic" w:cs="Simplified Arabic"/>
          <w:sz w:val="28"/>
          <w:szCs w:val="28"/>
          <w:highlight w:val="yellow"/>
        </w:rPr>
        <w:t>.</w:t>
      </w:r>
    </w:p>
    <w:p w14:paraId="2B512CCA"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تحليل الانحدار الخطي البسيط</w:t>
      </w:r>
      <w:r w:rsidRPr="00A25019">
        <w:rPr>
          <w:rFonts w:ascii="Simplified Arabic" w:hAnsi="Simplified Arabic" w:cs="Simplified Arabic"/>
          <w:b/>
          <w:bCs/>
          <w:sz w:val="28"/>
          <w:szCs w:val="28"/>
          <w:highlight w:val="yellow"/>
        </w:rPr>
        <w:t xml:space="preserve"> (Simple Regression):</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لاختبار أثر كلّ بُعد على حدة من أبعاد الاستدامة والتكنولوجيا الذكية في كل بُعد من أبعاد كفاءة إدارة الحشود</w:t>
      </w:r>
      <w:r w:rsidRPr="00A25019">
        <w:rPr>
          <w:rFonts w:ascii="Simplified Arabic" w:hAnsi="Simplified Arabic" w:cs="Simplified Arabic"/>
          <w:sz w:val="28"/>
          <w:szCs w:val="28"/>
          <w:highlight w:val="yellow"/>
        </w:rPr>
        <w:t>.</w:t>
      </w:r>
    </w:p>
    <w:p w14:paraId="64300CAF"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lastRenderedPageBreak/>
        <w:t>مسارات النموذج البنيوي</w:t>
      </w:r>
      <w:r w:rsidRPr="00A25019">
        <w:rPr>
          <w:rFonts w:ascii="Simplified Arabic" w:hAnsi="Simplified Arabic" w:cs="Simplified Arabic"/>
          <w:b/>
          <w:bCs/>
          <w:sz w:val="28"/>
          <w:szCs w:val="28"/>
          <w:highlight w:val="yellow"/>
        </w:rPr>
        <w:t xml:space="preserve"> (Path Analysis)</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ضمن</w:t>
      </w:r>
      <w:r w:rsidRPr="00A25019">
        <w:rPr>
          <w:rFonts w:ascii="Simplified Arabic" w:hAnsi="Simplified Arabic" w:cs="Simplified Arabic"/>
          <w:sz w:val="28"/>
          <w:szCs w:val="28"/>
          <w:highlight w:val="yellow"/>
        </w:rPr>
        <w:t xml:space="preserve"> AMOS: </w:t>
      </w:r>
      <w:r w:rsidRPr="00A25019">
        <w:rPr>
          <w:rFonts w:ascii="Simplified Arabic" w:hAnsi="Simplified Arabic" w:cs="Simplified Arabic"/>
          <w:sz w:val="28"/>
          <w:szCs w:val="28"/>
          <w:highlight w:val="yellow"/>
          <w:rtl/>
        </w:rPr>
        <w:t>لقياس قوّة ودلالة كلّ علاقة مباشرة، مع اعتماد قيمة</w:t>
      </w:r>
      <w:r w:rsidRPr="00A25019">
        <w:rPr>
          <w:rFonts w:ascii="Simplified Arabic" w:hAnsi="Simplified Arabic" w:cs="Simplified Arabic"/>
          <w:sz w:val="28"/>
          <w:szCs w:val="28"/>
          <w:highlight w:val="yellow"/>
        </w:rPr>
        <w:t xml:space="preserve"> (</w:t>
      </w:r>
      <w:r w:rsidRPr="00A25019">
        <w:rPr>
          <w:rFonts w:ascii="Cambria" w:hAnsi="Cambria" w:cs="Cambria"/>
          <w:sz w:val="28"/>
          <w:szCs w:val="28"/>
          <w:highlight w:val="yellow"/>
        </w:rPr>
        <w:t>β</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المعيارية ومستوى الدلالة</w:t>
      </w:r>
      <w:r w:rsidRPr="00A25019">
        <w:rPr>
          <w:rFonts w:ascii="Simplified Arabic" w:hAnsi="Simplified Arabic" w:cs="Simplified Arabic"/>
          <w:sz w:val="28"/>
          <w:szCs w:val="28"/>
          <w:highlight w:val="yellow"/>
        </w:rPr>
        <w:t xml:space="preserve"> (p &lt; 0.05).</w:t>
      </w:r>
    </w:p>
    <w:p w14:paraId="22638478" w14:textId="77777777" w:rsidR="00A25019" w:rsidRPr="00A25019" w:rsidRDefault="00A25019" w:rsidP="00A25019">
      <w:pPr>
        <w:ind w:left="360"/>
        <w:jc w:val="both"/>
        <w:rPr>
          <w:rFonts w:ascii="Simplified Arabic" w:hAnsi="Simplified Arabic" w:cs="Simplified Arabic"/>
          <w:b/>
          <w:bCs/>
          <w:sz w:val="28"/>
          <w:szCs w:val="28"/>
          <w:highlight w:val="yellow"/>
        </w:rPr>
      </w:pPr>
      <w:r w:rsidRPr="00A25019">
        <w:rPr>
          <w:rFonts w:ascii="Simplified Arabic" w:hAnsi="Simplified Arabic" w:cs="Simplified Arabic"/>
          <w:b/>
          <w:bCs/>
          <w:sz w:val="28"/>
          <w:szCs w:val="28"/>
          <w:highlight w:val="yellow"/>
          <w:rtl/>
        </w:rPr>
        <w:t>ب. الفرضية المتعلّقة بالدور الوسيط للتكنولوجيا الذكية</w:t>
      </w:r>
    </w:p>
    <w:p w14:paraId="5EDDC2D6" w14:textId="77777777" w:rsidR="00A25019" w:rsidRPr="00A25019" w:rsidRDefault="00A25019" w:rsidP="00A25019">
      <w:pPr>
        <w:numPr>
          <w:ilvl w:val="0"/>
          <w:numId w:val="12"/>
        </w:numPr>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 xml:space="preserve">يُختبر أثر الوساطة عبر </w:t>
      </w:r>
      <w:r w:rsidRPr="00A25019">
        <w:rPr>
          <w:rFonts w:ascii="Simplified Arabic" w:hAnsi="Simplified Arabic" w:cs="Simplified Arabic"/>
          <w:b/>
          <w:bCs/>
          <w:sz w:val="28"/>
          <w:szCs w:val="28"/>
          <w:highlight w:val="yellow"/>
          <w:rtl/>
        </w:rPr>
        <w:t>أسلوب</w:t>
      </w:r>
      <w:r w:rsidRPr="00A25019">
        <w:rPr>
          <w:rFonts w:ascii="Simplified Arabic" w:hAnsi="Simplified Arabic" w:cs="Simplified Arabic"/>
          <w:b/>
          <w:bCs/>
          <w:sz w:val="28"/>
          <w:szCs w:val="28"/>
          <w:highlight w:val="yellow"/>
        </w:rPr>
        <w:t xml:space="preserve"> Bootstrap</w:t>
      </w:r>
      <w:r w:rsidRPr="00A25019">
        <w:rPr>
          <w:rFonts w:ascii="Simplified Arabic" w:hAnsi="Simplified Arabic" w:cs="Simplified Arabic"/>
          <w:sz w:val="28"/>
          <w:szCs w:val="28"/>
          <w:highlight w:val="yellow"/>
          <w:rtl/>
        </w:rPr>
        <w:t>، الذي يُعدّ الأكثر دقّة في تقدير الأثر غير المباشر مقارنةً بأسلوب</w:t>
      </w:r>
      <w:r w:rsidRPr="00A25019">
        <w:rPr>
          <w:rFonts w:ascii="Simplified Arabic" w:hAnsi="Simplified Arabic" w:cs="Simplified Arabic"/>
          <w:sz w:val="28"/>
          <w:szCs w:val="28"/>
          <w:highlight w:val="yellow"/>
        </w:rPr>
        <w:t xml:space="preserve"> Sobel </w:t>
      </w:r>
      <w:r w:rsidRPr="00A25019">
        <w:rPr>
          <w:rFonts w:ascii="Simplified Arabic" w:hAnsi="Simplified Arabic" w:cs="Simplified Arabic"/>
          <w:sz w:val="28"/>
          <w:szCs w:val="28"/>
          <w:highlight w:val="yellow"/>
          <w:rtl/>
        </w:rPr>
        <w:t>التقليدي، وذلك وفقًا لتوصيات</w:t>
      </w:r>
      <w:r w:rsidRPr="00A25019">
        <w:rPr>
          <w:rFonts w:ascii="Simplified Arabic" w:hAnsi="Simplified Arabic" w:cs="Simplified Arabic"/>
          <w:sz w:val="28"/>
          <w:szCs w:val="28"/>
          <w:highlight w:val="yellow"/>
        </w:rPr>
        <w:t xml:space="preserve"> (Preacher &amp; Hayes, 2008) </w:t>
      </w:r>
      <w:r w:rsidRPr="00A25019">
        <w:rPr>
          <w:rFonts w:ascii="Simplified Arabic" w:hAnsi="Simplified Arabic" w:cs="Simplified Arabic"/>
          <w:sz w:val="28"/>
          <w:szCs w:val="28"/>
          <w:highlight w:val="yellow"/>
          <w:rtl/>
        </w:rPr>
        <w:t>و</w:t>
      </w:r>
      <w:r w:rsidRPr="00A25019">
        <w:rPr>
          <w:rFonts w:ascii="Simplified Arabic" w:hAnsi="Simplified Arabic" w:cs="Simplified Arabic"/>
          <w:sz w:val="28"/>
          <w:szCs w:val="28"/>
          <w:highlight w:val="yellow"/>
        </w:rPr>
        <w:t xml:space="preserve">(Hair et al., 2019). </w:t>
      </w:r>
      <w:r w:rsidRPr="00A25019">
        <w:rPr>
          <w:rFonts w:ascii="Simplified Arabic" w:hAnsi="Simplified Arabic" w:cs="Simplified Arabic"/>
          <w:sz w:val="28"/>
          <w:szCs w:val="28"/>
          <w:highlight w:val="yellow"/>
          <w:rtl/>
        </w:rPr>
        <w:t>وتتضمّن إجراءات اختبار الوساطة</w:t>
      </w:r>
      <w:r w:rsidRPr="00A25019">
        <w:rPr>
          <w:rFonts w:ascii="Simplified Arabic" w:hAnsi="Simplified Arabic" w:cs="Simplified Arabic"/>
          <w:sz w:val="28"/>
          <w:szCs w:val="28"/>
          <w:highlight w:val="yellow"/>
        </w:rPr>
        <w:t>:</w:t>
      </w:r>
    </w:p>
    <w:p w14:paraId="7C888460"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تحديد نموذج الوساطة</w:t>
      </w:r>
      <w:r w:rsidRPr="00A25019">
        <w:rPr>
          <w:rFonts w:ascii="Simplified Arabic" w:hAnsi="Simplified Arabic" w:cs="Simplified Arabic"/>
          <w:b/>
          <w:bCs/>
          <w:sz w:val="28"/>
          <w:szCs w:val="28"/>
          <w:highlight w:val="yellow"/>
        </w:rPr>
        <w:t>:</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 xml:space="preserve">ممارسات الاستدامة </w:t>
      </w:r>
      <w:r w:rsidRPr="00A25019">
        <w:rPr>
          <w:rFonts w:ascii="Times New Roman" w:hAnsi="Times New Roman" w:cs="Times New Roman"/>
          <w:sz w:val="28"/>
          <w:szCs w:val="28"/>
          <w:highlight w:val="yellow"/>
          <w:rtl/>
        </w:rPr>
        <w:t>←</w:t>
      </w:r>
      <w:r w:rsidRPr="00A25019">
        <w:rPr>
          <w:rFonts w:ascii="Simplified Arabic" w:hAnsi="Simplified Arabic" w:cs="Simplified Arabic"/>
          <w:sz w:val="28"/>
          <w:szCs w:val="28"/>
          <w:highlight w:val="yellow"/>
          <w:rtl/>
        </w:rPr>
        <w:t xml:space="preserve"> التكنولوجيا الذكية </w:t>
      </w:r>
      <w:r w:rsidRPr="00A25019">
        <w:rPr>
          <w:rFonts w:ascii="Times New Roman" w:hAnsi="Times New Roman" w:cs="Times New Roman"/>
          <w:sz w:val="28"/>
          <w:szCs w:val="28"/>
          <w:highlight w:val="yellow"/>
          <w:rtl/>
        </w:rPr>
        <w:t>←</w:t>
      </w:r>
      <w:r w:rsidRPr="00A25019">
        <w:rPr>
          <w:rFonts w:ascii="Simplified Arabic" w:hAnsi="Simplified Arabic" w:cs="Simplified Arabic"/>
          <w:sz w:val="28"/>
          <w:szCs w:val="28"/>
          <w:highlight w:val="yellow"/>
          <w:rtl/>
        </w:rPr>
        <w:t xml:space="preserve"> كفاءة إدارة الحشود</w:t>
      </w:r>
      <w:r w:rsidRPr="00A25019">
        <w:rPr>
          <w:rFonts w:ascii="Simplified Arabic" w:hAnsi="Simplified Arabic" w:cs="Simplified Arabic"/>
          <w:sz w:val="28"/>
          <w:szCs w:val="28"/>
          <w:highlight w:val="yellow"/>
        </w:rPr>
        <w:t>.</w:t>
      </w:r>
    </w:p>
    <w:p w14:paraId="1C4B41A6"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حساب الأثر المباشر</w:t>
      </w:r>
      <w:r w:rsidRPr="00A25019">
        <w:rPr>
          <w:rFonts w:ascii="Simplified Arabic" w:hAnsi="Simplified Arabic" w:cs="Simplified Arabic"/>
          <w:b/>
          <w:bCs/>
          <w:sz w:val="28"/>
          <w:szCs w:val="28"/>
          <w:highlight w:val="yellow"/>
        </w:rPr>
        <w:t xml:space="preserve"> (Direct Effect):</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أثر ممارسات الاستدامة في كفاءة إدارة الحشود في وجود المتغيّر الوسيط</w:t>
      </w:r>
      <w:r w:rsidRPr="00A25019">
        <w:rPr>
          <w:rFonts w:ascii="Simplified Arabic" w:hAnsi="Simplified Arabic" w:cs="Simplified Arabic"/>
          <w:sz w:val="28"/>
          <w:szCs w:val="28"/>
          <w:highlight w:val="yellow"/>
        </w:rPr>
        <w:t>.</w:t>
      </w:r>
    </w:p>
    <w:p w14:paraId="0E225101"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حساب الأثر غير المباشر</w:t>
      </w:r>
      <w:r w:rsidRPr="00A25019">
        <w:rPr>
          <w:rFonts w:ascii="Simplified Arabic" w:hAnsi="Simplified Arabic" w:cs="Simplified Arabic"/>
          <w:b/>
          <w:bCs/>
          <w:sz w:val="28"/>
          <w:szCs w:val="28"/>
          <w:highlight w:val="yellow"/>
        </w:rPr>
        <w:t xml:space="preserve"> (Indirect Effect):</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أثر ممارسات الاستدامة في كفاءة إدارة الحشود عبر التكنولوجيا الذكية</w:t>
      </w:r>
      <w:r w:rsidRPr="00A25019">
        <w:rPr>
          <w:rFonts w:ascii="Simplified Arabic" w:hAnsi="Simplified Arabic" w:cs="Simplified Arabic"/>
          <w:sz w:val="28"/>
          <w:szCs w:val="28"/>
          <w:highlight w:val="yellow"/>
        </w:rPr>
        <w:t>.</w:t>
      </w:r>
    </w:p>
    <w:p w14:paraId="558A42B8"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حساب الأثر الكلّي</w:t>
      </w:r>
      <w:r w:rsidRPr="00A25019">
        <w:rPr>
          <w:rFonts w:ascii="Simplified Arabic" w:hAnsi="Simplified Arabic" w:cs="Simplified Arabic"/>
          <w:b/>
          <w:bCs/>
          <w:sz w:val="28"/>
          <w:szCs w:val="28"/>
          <w:highlight w:val="yellow"/>
        </w:rPr>
        <w:t xml:space="preserve"> (Total Effect):</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مجموع الأثرَين المباشر وغير المباشر</w:t>
      </w:r>
      <w:r w:rsidRPr="00A25019">
        <w:rPr>
          <w:rFonts w:ascii="Simplified Arabic" w:hAnsi="Simplified Arabic" w:cs="Simplified Arabic"/>
          <w:sz w:val="28"/>
          <w:szCs w:val="28"/>
          <w:highlight w:val="yellow"/>
        </w:rPr>
        <w:t>.</w:t>
      </w:r>
    </w:p>
    <w:p w14:paraId="342E5EE4"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اختبار</w:t>
      </w:r>
      <w:r w:rsidRPr="00A25019">
        <w:rPr>
          <w:rFonts w:ascii="Simplified Arabic" w:hAnsi="Simplified Arabic" w:cs="Simplified Arabic"/>
          <w:b/>
          <w:bCs/>
          <w:sz w:val="28"/>
          <w:szCs w:val="28"/>
          <w:highlight w:val="yellow"/>
        </w:rPr>
        <w:t xml:space="preserve"> Bootstrap</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بعدد (5,000) عيّنة فرعية، مع فترة ثقة (95%) بالطريقة المصحَّحة للتحيّز</w:t>
      </w:r>
      <w:r w:rsidRPr="00A25019">
        <w:rPr>
          <w:rFonts w:ascii="Simplified Arabic" w:hAnsi="Simplified Arabic" w:cs="Simplified Arabic"/>
          <w:sz w:val="28"/>
          <w:szCs w:val="28"/>
          <w:highlight w:val="yellow"/>
        </w:rPr>
        <w:t xml:space="preserve"> (Bias-Corrected Confidence Intervals).</w:t>
      </w:r>
    </w:p>
    <w:p w14:paraId="71FB26B1"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تحديد نوع الوساطة</w:t>
      </w:r>
      <w:r w:rsidRPr="00A25019">
        <w:rPr>
          <w:rFonts w:ascii="Simplified Arabic" w:hAnsi="Simplified Arabic" w:cs="Simplified Arabic"/>
          <w:b/>
          <w:bCs/>
          <w:sz w:val="28"/>
          <w:szCs w:val="28"/>
          <w:highlight w:val="yellow"/>
        </w:rPr>
        <w:t>:</w:t>
      </w:r>
      <w:r w:rsidRPr="00A25019">
        <w:rPr>
          <w:rFonts w:ascii="Simplified Arabic" w:hAnsi="Simplified Arabic" w:cs="Simplified Arabic"/>
          <w:sz w:val="28"/>
          <w:szCs w:val="28"/>
          <w:highlight w:val="yellow"/>
        </w:rPr>
        <w:t xml:space="preserve"> </w:t>
      </w:r>
    </w:p>
    <w:p w14:paraId="4B085AA6" w14:textId="77777777" w:rsidR="00A25019" w:rsidRPr="00A25019" w:rsidRDefault="00A25019" w:rsidP="00A25019">
      <w:pPr>
        <w:numPr>
          <w:ilvl w:val="0"/>
          <w:numId w:val="12"/>
        </w:numPr>
        <w:tabs>
          <w:tab w:val="num" w:pos="144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وساطة كاملة</w:t>
      </w:r>
      <w:r w:rsidRPr="00A25019">
        <w:rPr>
          <w:rFonts w:ascii="Simplified Arabic" w:hAnsi="Simplified Arabic" w:cs="Simplified Arabic"/>
          <w:b/>
          <w:bCs/>
          <w:sz w:val="28"/>
          <w:szCs w:val="28"/>
          <w:highlight w:val="yellow"/>
        </w:rPr>
        <w:t xml:space="preserve"> (Full Mediation):</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إذا كان الأثر غير المباشر دالًّا والأثر المباشر غير دالّ</w:t>
      </w:r>
      <w:r w:rsidRPr="00A25019">
        <w:rPr>
          <w:rFonts w:ascii="Simplified Arabic" w:hAnsi="Simplified Arabic" w:cs="Simplified Arabic"/>
          <w:sz w:val="28"/>
          <w:szCs w:val="28"/>
          <w:highlight w:val="yellow"/>
        </w:rPr>
        <w:t>.</w:t>
      </w:r>
    </w:p>
    <w:p w14:paraId="1A8A6002" w14:textId="77777777" w:rsidR="00A25019" w:rsidRPr="00A25019" w:rsidRDefault="00A25019" w:rsidP="00A25019">
      <w:pPr>
        <w:numPr>
          <w:ilvl w:val="0"/>
          <w:numId w:val="12"/>
        </w:numPr>
        <w:tabs>
          <w:tab w:val="num" w:pos="144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وساطة جزئية</w:t>
      </w:r>
      <w:r w:rsidRPr="00A25019">
        <w:rPr>
          <w:rFonts w:ascii="Simplified Arabic" w:hAnsi="Simplified Arabic" w:cs="Simplified Arabic"/>
          <w:b/>
          <w:bCs/>
          <w:sz w:val="28"/>
          <w:szCs w:val="28"/>
          <w:highlight w:val="yellow"/>
        </w:rPr>
        <w:t xml:space="preserve"> (Partial Mediation):</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إذا كان الأثران دالَّين معًا</w:t>
      </w:r>
      <w:r w:rsidRPr="00A25019">
        <w:rPr>
          <w:rFonts w:ascii="Simplified Arabic" w:hAnsi="Simplified Arabic" w:cs="Simplified Arabic"/>
          <w:sz w:val="28"/>
          <w:szCs w:val="28"/>
          <w:highlight w:val="yellow"/>
        </w:rPr>
        <w:t>.</w:t>
      </w:r>
    </w:p>
    <w:p w14:paraId="4991EE10" w14:textId="77777777" w:rsidR="00A25019" w:rsidRPr="00A25019" w:rsidRDefault="00A25019" w:rsidP="00A25019">
      <w:pPr>
        <w:numPr>
          <w:ilvl w:val="0"/>
          <w:numId w:val="12"/>
        </w:numPr>
        <w:tabs>
          <w:tab w:val="num" w:pos="144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لا وساطة</w:t>
      </w:r>
      <w:r w:rsidRPr="00A25019">
        <w:rPr>
          <w:rFonts w:ascii="Simplified Arabic" w:hAnsi="Simplified Arabic" w:cs="Simplified Arabic"/>
          <w:b/>
          <w:bCs/>
          <w:sz w:val="28"/>
          <w:szCs w:val="28"/>
          <w:highlight w:val="yellow"/>
        </w:rPr>
        <w:t xml:space="preserve"> (No Mediation):</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إذا كان الأثر غير المباشر غير دالّ</w:t>
      </w:r>
      <w:r w:rsidRPr="00A25019">
        <w:rPr>
          <w:rFonts w:ascii="Simplified Arabic" w:hAnsi="Simplified Arabic" w:cs="Simplified Arabic"/>
          <w:sz w:val="28"/>
          <w:szCs w:val="28"/>
          <w:highlight w:val="yellow"/>
        </w:rPr>
        <w:t>.</w:t>
      </w:r>
    </w:p>
    <w:p w14:paraId="7E66C4A2" w14:textId="77777777" w:rsidR="00A25019" w:rsidRPr="00A25019" w:rsidRDefault="00A25019" w:rsidP="00A25019">
      <w:pPr>
        <w:ind w:left="720"/>
        <w:jc w:val="both"/>
        <w:rPr>
          <w:rFonts w:ascii="Simplified Arabic" w:hAnsi="Simplified Arabic" w:cs="Simplified Arabic"/>
          <w:b/>
          <w:bCs/>
          <w:sz w:val="28"/>
          <w:szCs w:val="28"/>
          <w:highlight w:val="yellow"/>
        </w:rPr>
      </w:pPr>
      <w:r w:rsidRPr="00A25019">
        <w:rPr>
          <w:rFonts w:ascii="Simplified Arabic" w:hAnsi="Simplified Arabic" w:cs="Simplified Arabic"/>
          <w:b/>
          <w:bCs/>
          <w:sz w:val="28"/>
          <w:szCs w:val="28"/>
          <w:highlight w:val="yellow"/>
          <w:rtl/>
        </w:rPr>
        <w:t>ج. مؤشّرات جودة النموذج البنيوي</w:t>
      </w:r>
    </w:p>
    <w:p w14:paraId="47927F79" w14:textId="77777777" w:rsidR="00A25019" w:rsidRPr="00A25019" w:rsidRDefault="00A25019" w:rsidP="00A25019">
      <w:pPr>
        <w:numPr>
          <w:ilvl w:val="0"/>
          <w:numId w:val="12"/>
        </w:numPr>
        <w:jc w:val="both"/>
        <w:rPr>
          <w:rFonts w:ascii="Simplified Arabic" w:hAnsi="Simplified Arabic" w:cs="Simplified Arabic"/>
          <w:sz w:val="28"/>
          <w:szCs w:val="28"/>
          <w:highlight w:val="yellow"/>
        </w:rPr>
      </w:pPr>
      <w:r w:rsidRPr="00A25019">
        <w:rPr>
          <w:rFonts w:ascii="Simplified Arabic" w:hAnsi="Simplified Arabic" w:cs="Simplified Arabic"/>
          <w:sz w:val="28"/>
          <w:szCs w:val="28"/>
          <w:highlight w:val="yellow"/>
          <w:rtl/>
        </w:rPr>
        <w:t>بعد التحقّق من مطابقة النموذج البنيوي، ستُعتمَد المؤشّرات الآتية للحكم على قوّته التفسيرية</w:t>
      </w:r>
      <w:r w:rsidRPr="00A25019">
        <w:rPr>
          <w:rFonts w:ascii="Simplified Arabic" w:hAnsi="Simplified Arabic" w:cs="Simplified Arabic"/>
          <w:sz w:val="28"/>
          <w:szCs w:val="28"/>
          <w:highlight w:val="yellow"/>
        </w:rPr>
        <w:t>:</w:t>
      </w:r>
    </w:p>
    <w:p w14:paraId="5A313247"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معامل التحديد</w:t>
      </w:r>
      <w:r w:rsidRPr="00A25019">
        <w:rPr>
          <w:rFonts w:ascii="Simplified Arabic" w:hAnsi="Simplified Arabic" w:cs="Simplified Arabic"/>
          <w:b/>
          <w:bCs/>
          <w:sz w:val="28"/>
          <w:szCs w:val="28"/>
          <w:highlight w:val="yellow"/>
        </w:rPr>
        <w:t xml:space="preserve"> (R²):</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لقياس نسبة التباين المفسَّر للمتغيّرات التابعة</w:t>
      </w:r>
      <w:r w:rsidRPr="00A25019">
        <w:rPr>
          <w:rFonts w:ascii="Simplified Arabic" w:hAnsi="Simplified Arabic" w:cs="Simplified Arabic"/>
          <w:sz w:val="28"/>
          <w:szCs w:val="28"/>
          <w:highlight w:val="yellow"/>
        </w:rPr>
        <w:t>.</w:t>
      </w:r>
    </w:p>
    <w:p w14:paraId="2C62A828"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lastRenderedPageBreak/>
        <w:t>حجم التأثير</w:t>
      </w:r>
      <w:r w:rsidRPr="00A25019">
        <w:rPr>
          <w:rFonts w:ascii="Simplified Arabic" w:hAnsi="Simplified Arabic" w:cs="Simplified Arabic"/>
          <w:b/>
          <w:bCs/>
          <w:sz w:val="28"/>
          <w:szCs w:val="28"/>
          <w:highlight w:val="yellow"/>
        </w:rPr>
        <w:t xml:space="preserve"> (f²):</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لقياس مساهمة كلّ متغيّر مستقل في تفسير التباين، ويُفسَّر وفق</w:t>
      </w:r>
      <w:r w:rsidRPr="00A25019">
        <w:rPr>
          <w:rFonts w:ascii="Simplified Arabic" w:hAnsi="Simplified Arabic" w:cs="Simplified Arabic"/>
          <w:sz w:val="28"/>
          <w:szCs w:val="28"/>
          <w:highlight w:val="yellow"/>
        </w:rPr>
        <w:t xml:space="preserve"> (Cohen, 1988): (0.02) </w:t>
      </w:r>
      <w:r w:rsidRPr="00A25019">
        <w:rPr>
          <w:rFonts w:ascii="Simplified Arabic" w:hAnsi="Simplified Arabic" w:cs="Simplified Arabic"/>
          <w:sz w:val="28"/>
          <w:szCs w:val="28"/>
          <w:highlight w:val="yellow"/>
          <w:rtl/>
        </w:rPr>
        <w:t>صغير، (0.15) متوسّط، (0.35) كبير</w:t>
      </w:r>
      <w:r w:rsidRPr="00A25019">
        <w:rPr>
          <w:rFonts w:ascii="Simplified Arabic" w:hAnsi="Simplified Arabic" w:cs="Simplified Arabic"/>
          <w:sz w:val="28"/>
          <w:szCs w:val="28"/>
          <w:highlight w:val="yellow"/>
        </w:rPr>
        <w:t>.</w:t>
      </w:r>
    </w:p>
    <w:p w14:paraId="5FD9E29E" w14:textId="77777777" w:rsidR="00A25019" w:rsidRPr="00A25019" w:rsidRDefault="00A25019" w:rsidP="00A25019">
      <w:pPr>
        <w:numPr>
          <w:ilvl w:val="0"/>
          <w:numId w:val="12"/>
        </w:numPr>
        <w:tabs>
          <w:tab w:val="num" w:pos="720"/>
        </w:tabs>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مؤشّر ستون-جيسر</w:t>
      </w:r>
      <w:r w:rsidRPr="00A25019">
        <w:rPr>
          <w:rFonts w:ascii="Simplified Arabic" w:hAnsi="Simplified Arabic" w:cs="Simplified Arabic"/>
          <w:b/>
          <w:bCs/>
          <w:sz w:val="28"/>
          <w:szCs w:val="28"/>
          <w:highlight w:val="yellow"/>
        </w:rPr>
        <w:t xml:space="preserve"> (Q²):</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لقياس القدرة التنبؤية للنموذج</w:t>
      </w:r>
      <w:r w:rsidRPr="00A25019">
        <w:rPr>
          <w:rFonts w:ascii="Simplified Arabic" w:hAnsi="Simplified Arabic" w:cs="Simplified Arabic"/>
          <w:sz w:val="28"/>
          <w:szCs w:val="28"/>
          <w:highlight w:val="yellow"/>
        </w:rPr>
        <w:t>.</w:t>
      </w:r>
    </w:p>
    <w:p w14:paraId="44D7AA4E" w14:textId="77777777" w:rsidR="00A25019" w:rsidRPr="00A25019" w:rsidRDefault="00A25019" w:rsidP="00A25019">
      <w:pPr>
        <w:numPr>
          <w:ilvl w:val="0"/>
          <w:numId w:val="12"/>
        </w:numPr>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اختبار الفروق</w:t>
      </w:r>
      <w:r w:rsidRPr="00A25019">
        <w:rPr>
          <w:rFonts w:ascii="Simplified Arabic" w:hAnsi="Simplified Arabic" w:cs="Simplified Arabic"/>
          <w:b/>
          <w:bCs/>
          <w:sz w:val="28"/>
          <w:szCs w:val="28"/>
          <w:highlight w:val="yellow"/>
        </w:rPr>
        <w:t xml:space="preserve"> (T-test / ANOVA)</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للكشف عن الفروق في إدراكات المستجيبين وفقًا للمتغيّرات الديموغرافية (الجهة، سنوات الخبرة، طبيعة العمل، عدد مواسم المشاركة)</w:t>
      </w:r>
      <w:r w:rsidRPr="00A25019">
        <w:rPr>
          <w:rFonts w:ascii="Simplified Arabic" w:hAnsi="Simplified Arabic" w:cs="Simplified Arabic"/>
          <w:sz w:val="28"/>
          <w:szCs w:val="28"/>
          <w:highlight w:val="yellow"/>
        </w:rPr>
        <w:t>.</w:t>
      </w:r>
    </w:p>
    <w:p w14:paraId="20AD4330" w14:textId="77777777" w:rsidR="00A25019" w:rsidRPr="00A25019" w:rsidRDefault="00A25019" w:rsidP="00A25019">
      <w:pPr>
        <w:numPr>
          <w:ilvl w:val="0"/>
          <w:numId w:val="12"/>
        </w:numPr>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اختبار تعدّد الارتباط الخطي</w:t>
      </w:r>
      <w:r w:rsidRPr="00A25019">
        <w:rPr>
          <w:rFonts w:ascii="Simplified Arabic" w:hAnsi="Simplified Arabic" w:cs="Simplified Arabic"/>
          <w:b/>
          <w:bCs/>
          <w:sz w:val="28"/>
          <w:szCs w:val="28"/>
          <w:highlight w:val="yellow"/>
        </w:rPr>
        <w:t xml:space="preserve"> (Multicollinearity)</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عبر معامل تضخّم التباين</w:t>
      </w:r>
      <w:r w:rsidRPr="00A25019">
        <w:rPr>
          <w:rFonts w:ascii="Simplified Arabic" w:hAnsi="Simplified Arabic" w:cs="Simplified Arabic"/>
          <w:sz w:val="28"/>
          <w:szCs w:val="28"/>
          <w:highlight w:val="yellow"/>
        </w:rPr>
        <w:t xml:space="preserve"> (VIF)</w:t>
      </w:r>
      <w:r w:rsidRPr="00A25019">
        <w:rPr>
          <w:rFonts w:ascii="Simplified Arabic" w:hAnsi="Simplified Arabic" w:cs="Simplified Arabic"/>
          <w:sz w:val="28"/>
          <w:szCs w:val="28"/>
          <w:highlight w:val="yellow"/>
          <w:rtl/>
        </w:rPr>
        <w:t>، بحيث لا يتجاوز (5)، وقيمة التسامح</w:t>
      </w:r>
      <w:r w:rsidRPr="00A25019">
        <w:rPr>
          <w:rFonts w:ascii="Simplified Arabic" w:hAnsi="Simplified Arabic" w:cs="Simplified Arabic"/>
          <w:sz w:val="28"/>
          <w:szCs w:val="28"/>
          <w:highlight w:val="yellow"/>
        </w:rPr>
        <w:t xml:space="preserve"> (Tolerance) </w:t>
      </w:r>
      <w:r w:rsidRPr="00A25019">
        <w:rPr>
          <w:rFonts w:ascii="Simplified Arabic" w:hAnsi="Simplified Arabic" w:cs="Simplified Arabic"/>
          <w:sz w:val="28"/>
          <w:szCs w:val="28"/>
          <w:highlight w:val="yellow"/>
          <w:rtl/>
        </w:rPr>
        <w:t>بحيث لا تقلّ عن</w:t>
      </w:r>
      <w:r w:rsidRPr="00A25019">
        <w:rPr>
          <w:rFonts w:ascii="Simplified Arabic" w:hAnsi="Simplified Arabic" w:cs="Simplified Arabic"/>
          <w:sz w:val="28"/>
          <w:szCs w:val="28"/>
          <w:highlight w:val="yellow"/>
        </w:rPr>
        <w:t xml:space="preserve"> (0.20).</w:t>
      </w:r>
    </w:p>
    <w:p w14:paraId="31F73B8A" w14:textId="77777777" w:rsidR="00A25019" w:rsidRPr="00A25019" w:rsidRDefault="00A25019" w:rsidP="00A25019">
      <w:pPr>
        <w:numPr>
          <w:ilvl w:val="0"/>
          <w:numId w:val="12"/>
        </w:numPr>
        <w:jc w:val="both"/>
        <w:rPr>
          <w:rFonts w:ascii="Simplified Arabic" w:hAnsi="Simplified Arabic" w:cs="Simplified Arabic"/>
          <w:sz w:val="28"/>
          <w:szCs w:val="28"/>
          <w:highlight w:val="yellow"/>
        </w:rPr>
      </w:pPr>
      <w:r w:rsidRPr="00A25019">
        <w:rPr>
          <w:rFonts w:ascii="Simplified Arabic" w:hAnsi="Simplified Arabic" w:cs="Simplified Arabic"/>
          <w:b/>
          <w:bCs/>
          <w:sz w:val="28"/>
          <w:szCs w:val="28"/>
          <w:highlight w:val="yellow"/>
          <w:rtl/>
        </w:rPr>
        <w:t>اختبار التباين المشترك للطريقة</w:t>
      </w:r>
      <w:r w:rsidRPr="00A25019">
        <w:rPr>
          <w:rFonts w:ascii="Simplified Arabic" w:hAnsi="Simplified Arabic" w:cs="Simplified Arabic"/>
          <w:b/>
          <w:bCs/>
          <w:sz w:val="28"/>
          <w:szCs w:val="28"/>
          <w:highlight w:val="yellow"/>
        </w:rPr>
        <w:t xml:space="preserve"> (Common Method Bias)</w:t>
      </w:r>
      <w:r w:rsidRPr="00A25019">
        <w:rPr>
          <w:rFonts w:ascii="Simplified Arabic" w:hAnsi="Simplified Arabic" w:cs="Simplified Arabic"/>
          <w:sz w:val="28"/>
          <w:szCs w:val="28"/>
          <w:highlight w:val="yellow"/>
        </w:rPr>
        <w:t xml:space="preserve"> </w:t>
      </w:r>
      <w:r w:rsidRPr="00A25019">
        <w:rPr>
          <w:rFonts w:ascii="Simplified Arabic" w:hAnsi="Simplified Arabic" w:cs="Simplified Arabic"/>
          <w:sz w:val="28"/>
          <w:szCs w:val="28"/>
          <w:highlight w:val="yellow"/>
          <w:rtl/>
        </w:rPr>
        <w:t>عبر اختبار هارمان أحادي العامل</w:t>
      </w:r>
      <w:r w:rsidRPr="00A25019">
        <w:rPr>
          <w:rFonts w:ascii="Simplified Arabic" w:hAnsi="Simplified Arabic" w:cs="Simplified Arabic"/>
          <w:sz w:val="28"/>
          <w:szCs w:val="28"/>
          <w:highlight w:val="yellow"/>
        </w:rPr>
        <w:t xml:space="preserve"> (Harman's Single-Factor Test)</w:t>
      </w:r>
      <w:r w:rsidRPr="00A25019">
        <w:rPr>
          <w:rFonts w:ascii="Simplified Arabic" w:hAnsi="Simplified Arabic" w:cs="Simplified Arabic"/>
          <w:sz w:val="28"/>
          <w:szCs w:val="28"/>
          <w:highlight w:val="yellow"/>
          <w:rtl/>
        </w:rPr>
        <w:t>، للتحقّق من عدم وجود تحيّز ناتج عن استخدام أداة قياس واحدة</w:t>
      </w:r>
      <w:r w:rsidRPr="00A25019">
        <w:rPr>
          <w:rFonts w:ascii="Simplified Arabic" w:hAnsi="Simplified Arabic" w:cs="Simplified Arabic"/>
          <w:sz w:val="28"/>
          <w:szCs w:val="28"/>
          <w:highlight w:val="yellow"/>
        </w:rPr>
        <w:t>.</w:t>
      </w:r>
    </w:p>
    <w:p w14:paraId="74B3F253" w14:textId="77777777" w:rsidR="00A25019" w:rsidRPr="00A25019" w:rsidRDefault="00A25019" w:rsidP="00A25019">
      <w:pPr>
        <w:ind w:left="360"/>
        <w:jc w:val="both"/>
        <w:rPr>
          <w:rFonts w:ascii="Simplified Arabic" w:hAnsi="Simplified Arabic" w:cs="Simplified Arabic"/>
          <w:b/>
          <w:bCs/>
          <w:color w:val="EE0000"/>
          <w:sz w:val="28"/>
          <w:szCs w:val="28"/>
          <w:highlight w:val="yellow"/>
          <w:rtl/>
          <w:lang w:bidi="ar-EG"/>
        </w:rPr>
      </w:pPr>
      <w:r w:rsidRPr="00A25019">
        <w:rPr>
          <w:rFonts w:ascii="Simplified Arabic" w:hAnsi="Simplified Arabic" w:cs="Simplified Arabic"/>
          <w:b/>
          <w:bCs/>
          <w:color w:val="EE0000"/>
          <w:sz w:val="28"/>
          <w:szCs w:val="28"/>
          <w:highlight w:val="yellow"/>
          <w:rtl/>
        </w:rPr>
        <w:t>مصفوفة اختبار الفرضيات</w:t>
      </w:r>
    </w:p>
    <w:tbl>
      <w:tblPr>
        <w:tblStyle w:val="PlainTable1"/>
        <w:bidiVisual/>
        <w:tblW w:w="0" w:type="auto"/>
        <w:tblLook w:val="04A0" w:firstRow="1" w:lastRow="0" w:firstColumn="1" w:lastColumn="0" w:noHBand="0" w:noVBand="1"/>
      </w:tblPr>
      <w:tblGrid>
        <w:gridCol w:w="1285"/>
        <w:gridCol w:w="2123"/>
        <w:gridCol w:w="2464"/>
        <w:gridCol w:w="1721"/>
        <w:gridCol w:w="1423"/>
      </w:tblGrid>
      <w:tr w:rsidR="00A25019" w:rsidRPr="00A25019" w14:paraId="3666ECFD" w14:textId="77777777" w:rsidTr="008030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644826" w14:textId="77777777" w:rsidR="00A25019" w:rsidRPr="00A25019" w:rsidRDefault="00A25019" w:rsidP="00A25019">
            <w:pPr>
              <w:spacing w:after="160" w:line="278" w:lineRule="auto"/>
              <w:ind w:left="360"/>
              <w:jc w:val="both"/>
              <w:rPr>
                <w:rFonts w:ascii="Simplified Arabic" w:hAnsi="Simplified Arabic" w:cs="Simplified Arabic"/>
                <w:color w:val="EE0000"/>
                <w:sz w:val="28"/>
                <w:szCs w:val="28"/>
                <w:highlight w:val="yellow"/>
                <w:rtl/>
              </w:rPr>
            </w:pPr>
            <w:r w:rsidRPr="00A25019">
              <w:rPr>
                <w:rFonts w:ascii="Simplified Arabic" w:hAnsi="Simplified Arabic" w:cs="Simplified Arabic"/>
                <w:color w:val="EE0000"/>
                <w:sz w:val="28"/>
                <w:szCs w:val="28"/>
                <w:highlight w:val="yellow"/>
                <w:rtl/>
              </w:rPr>
              <w:t>الفرضية</w:t>
            </w:r>
          </w:p>
        </w:tc>
        <w:tc>
          <w:tcPr>
            <w:tcW w:w="0" w:type="auto"/>
            <w:hideMark/>
          </w:tcPr>
          <w:p w14:paraId="4030A628" w14:textId="77777777" w:rsidR="00A25019" w:rsidRPr="00A25019" w:rsidRDefault="00A25019" w:rsidP="00A25019">
            <w:pPr>
              <w:spacing w:after="160" w:line="278" w:lineRule="auto"/>
              <w:ind w:left="36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نصّ الفرضية</w:t>
            </w:r>
          </w:p>
        </w:tc>
        <w:tc>
          <w:tcPr>
            <w:tcW w:w="0" w:type="auto"/>
            <w:hideMark/>
          </w:tcPr>
          <w:p w14:paraId="256329E5" w14:textId="77777777" w:rsidR="00A25019" w:rsidRPr="00A25019" w:rsidRDefault="00A25019" w:rsidP="00A25019">
            <w:pPr>
              <w:spacing w:after="160" w:line="278" w:lineRule="auto"/>
              <w:ind w:left="36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الأسلوب الإحصائي</w:t>
            </w:r>
          </w:p>
        </w:tc>
        <w:tc>
          <w:tcPr>
            <w:tcW w:w="0" w:type="auto"/>
            <w:hideMark/>
          </w:tcPr>
          <w:p w14:paraId="684AF61A" w14:textId="77777777" w:rsidR="00A25019" w:rsidRPr="00A25019" w:rsidRDefault="00A25019" w:rsidP="00A25019">
            <w:pPr>
              <w:spacing w:after="160" w:line="278" w:lineRule="auto"/>
              <w:ind w:left="36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معايير القبول</w:t>
            </w:r>
          </w:p>
        </w:tc>
        <w:tc>
          <w:tcPr>
            <w:tcW w:w="0" w:type="auto"/>
            <w:hideMark/>
          </w:tcPr>
          <w:p w14:paraId="1ED04154" w14:textId="77777777" w:rsidR="00A25019" w:rsidRPr="00A25019" w:rsidRDefault="00A25019" w:rsidP="00A25019">
            <w:pPr>
              <w:spacing w:after="160" w:line="278" w:lineRule="auto"/>
              <w:ind w:left="360"/>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البرنامج</w:t>
            </w:r>
          </w:p>
        </w:tc>
      </w:tr>
      <w:tr w:rsidR="00A25019" w:rsidRPr="00A25019" w14:paraId="78000367" w14:textId="77777777" w:rsidTr="00803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9E659A" w14:textId="77777777" w:rsidR="00A25019" w:rsidRPr="00A25019" w:rsidRDefault="00A25019" w:rsidP="00A25019">
            <w:pPr>
              <w:spacing w:after="160" w:line="278" w:lineRule="auto"/>
              <w:ind w:left="36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H1</w:t>
            </w:r>
          </w:p>
        </w:tc>
        <w:tc>
          <w:tcPr>
            <w:tcW w:w="0" w:type="auto"/>
            <w:hideMark/>
          </w:tcPr>
          <w:p w14:paraId="48AC878E"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يوجد أثر ذو دلالة إحصائية لممارسات الاستدامة في كفاءة إدارة الحشود</w:t>
            </w:r>
          </w:p>
        </w:tc>
        <w:tc>
          <w:tcPr>
            <w:tcW w:w="0" w:type="auto"/>
            <w:hideMark/>
          </w:tcPr>
          <w:p w14:paraId="1DD93EC9"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تحليل الانحدار المتعدّد</w:t>
            </w:r>
            <w:r w:rsidRPr="00A25019">
              <w:rPr>
                <w:rFonts w:ascii="Simplified Arabic" w:hAnsi="Simplified Arabic" w:cs="Simplified Arabic"/>
                <w:color w:val="EE0000"/>
                <w:sz w:val="28"/>
                <w:szCs w:val="28"/>
                <w:highlight w:val="yellow"/>
              </w:rPr>
              <w:t xml:space="preserve"> (Multiple Regression) + Path Analysis</w:t>
            </w:r>
          </w:p>
        </w:tc>
        <w:tc>
          <w:tcPr>
            <w:tcW w:w="0" w:type="auto"/>
            <w:hideMark/>
          </w:tcPr>
          <w:p w14:paraId="324A6396"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Cambria" w:hAnsi="Cambria" w:cs="Cambria"/>
                <w:color w:val="EE0000"/>
                <w:sz w:val="28"/>
                <w:szCs w:val="28"/>
                <w:highlight w:val="yellow"/>
              </w:rPr>
              <w:t>β</w:t>
            </w:r>
            <w:r w:rsidRPr="00A25019">
              <w:rPr>
                <w:rFonts w:ascii="Simplified Arabic" w:hAnsi="Simplified Arabic" w:cs="Simplified Arabic"/>
                <w:color w:val="EE0000"/>
                <w:sz w:val="28"/>
                <w:szCs w:val="28"/>
                <w:highlight w:val="yellow"/>
              </w:rPr>
              <w:t xml:space="preserve"> </w:t>
            </w:r>
            <w:r w:rsidRPr="00A25019">
              <w:rPr>
                <w:rFonts w:ascii="Simplified Arabic" w:hAnsi="Simplified Arabic" w:cs="Simplified Arabic"/>
                <w:color w:val="EE0000"/>
                <w:sz w:val="28"/>
                <w:szCs w:val="28"/>
                <w:highlight w:val="yellow"/>
                <w:rtl/>
              </w:rPr>
              <w:t xml:space="preserve">معياري، </w:t>
            </w:r>
            <w:r w:rsidRPr="00A25019">
              <w:rPr>
                <w:rFonts w:ascii="Simplified Arabic" w:hAnsi="Simplified Arabic" w:cs="Simplified Arabic"/>
                <w:color w:val="EE0000"/>
                <w:sz w:val="28"/>
                <w:szCs w:val="28"/>
                <w:highlight w:val="yellow"/>
              </w:rPr>
              <w:t>p &lt; 0.05</w:t>
            </w:r>
            <w:r w:rsidRPr="00A25019">
              <w:rPr>
                <w:rFonts w:ascii="Simplified Arabic" w:hAnsi="Simplified Arabic" w:cs="Simplified Arabic"/>
                <w:color w:val="EE0000"/>
                <w:sz w:val="28"/>
                <w:szCs w:val="28"/>
                <w:highlight w:val="yellow"/>
                <w:rtl/>
              </w:rPr>
              <w:t xml:space="preserve">، </w:t>
            </w:r>
            <w:r w:rsidRPr="00A25019">
              <w:rPr>
                <w:rFonts w:ascii="Simplified Arabic" w:hAnsi="Simplified Arabic" w:cs="Simplified Arabic"/>
                <w:color w:val="EE0000"/>
                <w:sz w:val="28"/>
                <w:szCs w:val="28"/>
                <w:highlight w:val="yellow"/>
              </w:rPr>
              <w:t>VIF &lt; 5</w:t>
            </w:r>
          </w:p>
        </w:tc>
        <w:tc>
          <w:tcPr>
            <w:tcW w:w="0" w:type="auto"/>
            <w:hideMark/>
          </w:tcPr>
          <w:p w14:paraId="6ADB3EAB"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SPSS + AMOS</w:t>
            </w:r>
          </w:p>
        </w:tc>
      </w:tr>
      <w:tr w:rsidR="00A25019" w:rsidRPr="00A25019" w14:paraId="535A88A6" w14:textId="77777777" w:rsidTr="00803095">
        <w:tc>
          <w:tcPr>
            <w:cnfStyle w:val="001000000000" w:firstRow="0" w:lastRow="0" w:firstColumn="1" w:lastColumn="0" w:oddVBand="0" w:evenVBand="0" w:oddHBand="0" w:evenHBand="0" w:firstRowFirstColumn="0" w:firstRowLastColumn="0" w:lastRowFirstColumn="0" w:lastRowLastColumn="0"/>
            <w:tcW w:w="0" w:type="auto"/>
            <w:hideMark/>
          </w:tcPr>
          <w:p w14:paraId="338F8C2B" w14:textId="77777777" w:rsidR="00A25019" w:rsidRPr="00A25019" w:rsidRDefault="00A25019" w:rsidP="00A25019">
            <w:pPr>
              <w:spacing w:after="160" w:line="278" w:lineRule="auto"/>
              <w:ind w:left="36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H1a</w:t>
            </w:r>
          </w:p>
        </w:tc>
        <w:tc>
          <w:tcPr>
            <w:tcW w:w="0" w:type="auto"/>
            <w:hideMark/>
          </w:tcPr>
          <w:p w14:paraId="250109F1"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أثر الاستدامة البيئية في كفاءة إدارة الحشود</w:t>
            </w:r>
          </w:p>
        </w:tc>
        <w:tc>
          <w:tcPr>
            <w:tcW w:w="0" w:type="auto"/>
            <w:hideMark/>
          </w:tcPr>
          <w:p w14:paraId="33E71E7F"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الانحدار الخطي البسيط</w:t>
            </w:r>
            <w:r w:rsidRPr="00A25019">
              <w:rPr>
                <w:rFonts w:ascii="Simplified Arabic" w:hAnsi="Simplified Arabic" w:cs="Simplified Arabic"/>
                <w:color w:val="EE0000"/>
                <w:sz w:val="28"/>
                <w:szCs w:val="28"/>
                <w:highlight w:val="yellow"/>
              </w:rPr>
              <w:t xml:space="preserve"> + Path</w:t>
            </w:r>
          </w:p>
        </w:tc>
        <w:tc>
          <w:tcPr>
            <w:tcW w:w="0" w:type="auto"/>
            <w:hideMark/>
          </w:tcPr>
          <w:p w14:paraId="4489AD9A"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Cambria" w:hAnsi="Cambria" w:cs="Cambria"/>
                <w:color w:val="EE0000"/>
                <w:sz w:val="28"/>
                <w:szCs w:val="28"/>
                <w:highlight w:val="yellow"/>
              </w:rPr>
              <w:t>β</w:t>
            </w:r>
            <w:r w:rsidRPr="00A25019">
              <w:rPr>
                <w:rFonts w:ascii="Simplified Arabic" w:hAnsi="Simplified Arabic" w:cs="Simplified Arabic"/>
                <w:color w:val="EE0000"/>
                <w:sz w:val="28"/>
                <w:szCs w:val="28"/>
                <w:highlight w:val="yellow"/>
                <w:rtl/>
              </w:rPr>
              <w:t xml:space="preserve">، </w:t>
            </w:r>
            <w:r w:rsidRPr="00A25019">
              <w:rPr>
                <w:rFonts w:ascii="Simplified Arabic" w:hAnsi="Simplified Arabic" w:cs="Simplified Arabic"/>
                <w:color w:val="EE0000"/>
                <w:sz w:val="28"/>
                <w:szCs w:val="28"/>
                <w:highlight w:val="yellow"/>
              </w:rPr>
              <w:t>p &lt; 0.05</w:t>
            </w:r>
          </w:p>
        </w:tc>
        <w:tc>
          <w:tcPr>
            <w:tcW w:w="0" w:type="auto"/>
            <w:hideMark/>
          </w:tcPr>
          <w:p w14:paraId="70D5C103"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AMOS</w:t>
            </w:r>
          </w:p>
        </w:tc>
      </w:tr>
      <w:tr w:rsidR="00A25019" w:rsidRPr="00A25019" w14:paraId="5E00C2B8" w14:textId="77777777" w:rsidTr="00803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392C2F" w14:textId="77777777" w:rsidR="00A25019" w:rsidRPr="00A25019" w:rsidRDefault="00A25019" w:rsidP="00A25019">
            <w:pPr>
              <w:spacing w:after="160" w:line="278" w:lineRule="auto"/>
              <w:ind w:left="36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lastRenderedPageBreak/>
              <w:t>H1b</w:t>
            </w:r>
          </w:p>
        </w:tc>
        <w:tc>
          <w:tcPr>
            <w:tcW w:w="0" w:type="auto"/>
            <w:hideMark/>
          </w:tcPr>
          <w:p w14:paraId="5360E5C8"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أثر الاستدامة الاقتصادية في كفاءة إدارة الحشود</w:t>
            </w:r>
          </w:p>
        </w:tc>
        <w:tc>
          <w:tcPr>
            <w:tcW w:w="0" w:type="auto"/>
            <w:hideMark/>
          </w:tcPr>
          <w:p w14:paraId="475C1A46"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الانحدار الخطي البسيط</w:t>
            </w:r>
            <w:r w:rsidRPr="00A25019">
              <w:rPr>
                <w:rFonts w:ascii="Simplified Arabic" w:hAnsi="Simplified Arabic" w:cs="Simplified Arabic"/>
                <w:color w:val="EE0000"/>
                <w:sz w:val="28"/>
                <w:szCs w:val="28"/>
                <w:highlight w:val="yellow"/>
              </w:rPr>
              <w:t xml:space="preserve"> + Path</w:t>
            </w:r>
          </w:p>
        </w:tc>
        <w:tc>
          <w:tcPr>
            <w:tcW w:w="0" w:type="auto"/>
            <w:hideMark/>
          </w:tcPr>
          <w:p w14:paraId="3368C97F"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Cambria" w:hAnsi="Cambria" w:cs="Cambria"/>
                <w:color w:val="EE0000"/>
                <w:sz w:val="28"/>
                <w:szCs w:val="28"/>
                <w:highlight w:val="yellow"/>
              </w:rPr>
              <w:t>β</w:t>
            </w:r>
            <w:r w:rsidRPr="00A25019">
              <w:rPr>
                <w:rFonts w:ascii="Simplified Arabic" w:hAnsi="Simplified Arabic" w:cs="Simplified Arabic"/>
                <w:color w:val="EE0000"/>
                <w:sz w:val="28"/>
                <w:szCs w:val="28"/>
                <w:highlight w:val="yellow"/>
                <w:rtl/>
              </w:rPr>
              <w:t xml:space="preserve">، </w:t>
            </w:r>
            <w:r w:rsidRPr="00A25019">
              <w:rPr>
                <w:rFonts w:ascii="Simplified Arabic" w:hAnsi="Simplified Arabic" w:cs="Simplified Arabic"/>
                <w:color w:val="EE0000"/>
                <w:sz w:val="28"/>
                <w:szCs w:val="28"/>
                <w:highlight w:val="yellow"/>
              </w:rPr>
              <w:t>p &lt; 0.05</w:t>
            </w:r>
          </w:p>
        </w:tc>
        <w:tc>
          <w:tcPr>
            <w:tcW w:w="0" w:type="auto"/>
            <w:hideMark/>
          </w:tcPr>
          <w:p w14:paraId="5606CD59"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AMOS</w:t>
            </w:r>
          </w:p>
        </w:tc>
      </w:tr>
      <w:tr w:rsidR="00A25019" w:rsidRPr="00A25019" w14:paraId="49D74236" w14:textId="77777777" w:rsidTr="00803095">
        <w:tc>
          <w:tcPr>
            <w:cnfStyle w:val="001000000000" w:firstRow="0" w:lastRow="0" w:firstColumn="1" w:lastColumn="0" w:oddVBand="0" w:evenVBand="0" w:oddHBand="0" w:evenHBand="0" w:firstRowFirstColumn="0" w:firstRowLastColumn="0" w:lastRowFirstColumn="0" w:lastRowLastColumn="0"/>
            <w:tcW w:w="0" w:type="auto"/>
            <w:hideMark/>
          </w:tcPr>
          <w:p w14:paraId="5E3B028E" w14:textId="77777777" w:rsidR="00A25019" w:rsidRPr="00A25019" w:rsidRDefault="00A25019" w:rsidP="00A25019">
            <w:pPr>
              <w:spacing w:after="160" w:line="278" w:lineRule="auto"/>
              <w:ind w:left="36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H1c</w:t>
            </w:r>
          </w:p>
        </w:tc>
        <w:tc>
          <w:tcPr>
            <w:tcW w:w="0" w:type="auto"/>
            <w:hideMark/>
          </w:tcPr>
          <w:p w14:paraId="18DDE924"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أثر الاستدامة الاجتماعية في كفاءة إدارة الحشود</w:t>
            </w:r>
          </w:p>
        </w:tc>
        <w:tc>
          <w:tcPr>
            <w:tcW w:w="0" w:type="auto"/>
            <w:hideMark/>
          </w:tcPr>
          <w:p w14:paraId="1445BE9B"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الانحدار الخطي البسيط</w:t>
            </w:r>
            <w:r w:rsidRPr="00A25019">
              <w:rPr>
                <w:rFonts w:ascii="Simplified Arabic" w:hAnsi="Simplified Arabic" w:cs="Simplified Arabic"/>
                <w:color w:val="EE0000"/>
                <w:sz w:val="28"/>
                <w:szCs w:val="28"/>
                <w:highlight w:val="yellow"/>
              </w:rPr>
              <w:t xml:space="preserve"> + Path</w:t>
            </w:r>
          </w:p>
        </w:tc>
        <w:tc>
          <w:tcPr>
            <w:tcW w:w="0" w:type="auto"/>
            <w:hideMark/>
          </w:tcPr>
          <w:p w14:paraId="52AE0072"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Cambria" w:hAnsi="Cambria" w:cs="Cambria"/>
                <w:color w:val="EE0000"/>
                <w:sz w:val="28"/>
                <w:szCs w:val="28"/>
                <w:highlight w:val="yellow"/>
              </w:rPr>
              <w:t>β</w:t>
            </w:r>
            <w:r w:rsidRPr="00A25019">
              <w:rPr>
                <w:rFonts w:ascii="Simplified Arabic" w:hAnsi="Simplified Arabic" w:cs="Simplified Arabic"/>
                <w:color w:val="EE0000"/>
                <w:sz w:val="28"/>
                <w:szCs w:val="28"/>
                <w:highlight w:val="yellow"/>
                <w:rtl/>
              </w:rPr>
              <w:t xml:space="preserve">، </w:t>
            </w:r>
            <w:r w:rsidRPr="00A25019">
              <w:rPr>
                <w:rFonts w:ascii="Simplified Arabic" w:hAnsi="Simplified Arabic" w:cs="Simplified Arabic"/>
                <w:color w:val="EE0000"/>
                <w:sz w:val="28"/>
                <w:szCs w:val="28"/>
                <w:highlight w:val="yellow"/>
              </w:rPr>
              <w:t>p &lt; 0.05</w:t>
            </w:r>
          </w:p>
        </w:tc>
        <w:tc>
          <w:tcPr>
            <w:tcW w:w="0" w:type="auto"/>
            <w:hideMark/>
          </w:tcPr>
          <w:p w14:paraId="785401D5"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AMOS</w:t>
            </w:r>
          </w:p>
        </w:tc>
      </w:tr>
      <w:tr w:rsidR="00A25019" w:rsidRPr="00A25019" w14:paraId="7123E77A" w14:textId="77777777" w:rsidTr="00803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13F8F1" w14:textId="77777777" w:rsidR="00A25019" w:rsidRPr="00A25019" w:rsidRDefault="00A25019" w:rsidP="00A25019">
            <w:pPr>
              <w:spacing w:after="160" w:line="278" w:lineRule="auto"/>
              <w:ind w:left="36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H2</w:t>
            </w:r>
          </w:p>
        </w:tc>
        <w:tc>
          <w:tcPr>
            <w:tcW w:w="0" w:type="auto"/>
            <w:hideMark/>
          </w:tcPr>
          <w:p w14:paraId="334221E6"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يوجد أثر ذو دلالة إحصائية لممارسات الاستدامة في التكنولوجيا الذكية</w:t>
            </w:r>
          </w:p>
        </w:tc>
        <w:tc>
          <w:tcPr>
            <w:tcW w:w="0" w:type="auto"/>
            <w:hideMark/>
          </w:tcPr>
          <w:p w14:paraId="0B1B410F"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تحليل الانحدار المتعدّد</w:t>
            </w:r>
            <w:r w:rsidRPr="00A25019">
              <w:rPr>
                <w:rFonts w:ascii="Simplified Arabic" w:hAnsi="Simplified Arabic" w:cs="Simplified Arabic"/>
                <w:color w:val="EE0000"/>
                <w:sz w:val="28"/>
                <w:szCs w:val="28"/>
                <w:highlight w:val="yellow"/>
              </w:rPr>
              <w:t xml:space="preserve"> + Path</w:t>
            </w:r>
          </w:p>
        </w:tc>
        <w:tc>
          <w:tcPr>
            <w:tcW w:w="0" w:type="auto"/>
            <w:hideMark/>
          </w:tcPr>
          <w:p w14:paraId="2F9BA162"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Cambria" w:hAnsi="Cambria" w:cs="Cambria"/>
                <w:color w:val="EE0000"/>
                <w:sz w:val="28"/>
                <w:szCs w:val="28"/>
                <w:highlight w:val="yellow"/>
              </w:rPr>
              <w:t>β</w:t>
            </w:r>
            <w:r w:rsidRPr="00A25019">
              <w:rPr>
                <w:rFonts w:ascii="Simplified Arabic" w:hAnsi="Simplified Arabic" w:cs="Simplified Arabic"/>
                <w:color w:val="EE0000"/>
                <w:sz w:val="28"/>
                <w:szCs w:val="28"/>
                <w:highlight w:val="yellow"/>
                <w:rtl/>
              </w:rPr>
              <w:t xml:space="preserve">، </w:t>
            </w:r>
            <w:r w:rsidRPr="00A25019">
              <w:rPr>
                <w:rFonts w:ascii="Simplified Arabic" w:hAnsi="Simplified Arabic" w:cs="Simplified Arabic"/>
                <w:color w:val="EE0000"/>
                <w:sz w:val="28"/>
                <w:szCs w:val="28"/>
                <w:highlight w:val="yellow"/>
              </w:rPr>
              <w:t>p &lt; 0.05</w:t>
            </w:r>
          </w:p>
        </w:tc>
        <w:tc>
          <w:tcPr>
            <w:tcW w:w="0" w:type="auto"/>
            <w:hideMark/>
          </w:tcPr>
          <w:p w14:paraId="008B0AA4"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AMOS</w:t>
            </w:r>
          </w:p>
        </w:tc>
      </w:tr>
      <w:tr w:rsidR="00A25019" w:rsidRPr="00A25019" w14:paraId="0CA4CD91" w14:textId="77777777" w:rsidTr="00803095">
        <w:tc>
          <w:tcPr>
            <w:cnfStyle w:val="001000000000" w:firstRow="0" w:lastRow="0" w:firstColumn="1" w:lastColumn="0" w:oddVBand="0" w:evenVBand="0" w:oddHBand="0" w:evenHBand="0" w:firstRowFirstColumn="0" w:firstRowLastColumn="0" w:lastRowFirstColumn="0" w:lastRowLastColumn="0"/>
            <w:tcW w:w="0" w:type="auto"/>
            <w:hideMark/>
          </w:tcPr>
          <w:p w14:paraId="0974327A" w14:textId="77777777" w:rsidR="00A25019" w:rsidRPr="00A25019" w:rsidRDefault="00A25019" w:rsidP="00A25019">
            <w:pPr>
              <w:spacing w:after="160" w:line="278" w:lineRule="auto"/>
              <w:ind w:left="36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H3</w:t>
            </w:r>
          </w:p>
        </w:tc>
        <w:tc>
          <w:tcPr>
            <w:tcW w:w="0" w:type="auto"/>
            <w:hideMark/>
          </w:tcPr>
          <w:p w14:paraId="49C13AC7"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يوجد أثر ذو دلالة إحصائية للتكنولوجيا الذكية في كفاءة إدارة الحشود</w:t>
            </w:r>
          </w:p>
        </w:tc>
        <w:tc>
          <w:tcPr>
            <w:tcW w:w="0" w:type="auto"/>
            <w:hideMark/>
          </w:tcPr>
          <w:p w14:paraId="14F8B093"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تحليل الانحدار المتعدّد</w:t>
            </w:r>
            <w:r w:rsidRPr="00A25019">
              <w:rPr>
                <w:rFonts w:ascii="Simplified Arabic" w:hAnsi="Simplified Arabic" w:cs="Simplified Arabic"/>
                <w:color w:val="EE0000"/>
                <w:sz w:val="28"/>
                <w:szCs w:val="28"/>
                <w:highlight w:val="yellow"/>
              </w:rPr>
              <w:t xml:space="preserve"> + Path</w:t>
            </w:r>
          </w:p>
        </w:tc>
        <w:tc>
          <w:tcPr>
            <w:tcW w:w="0" w:type="auto"/>
            <w:hideMark/>
          </w:tcPr>
          <w:p w14:paraId="239AA76F"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Cambria" w:hAnsi="Cambria" w:cs="Cambria"/>
                <w:color w:val="EE0000"/>
                <w:sz w:val="28"/>
                <w:szCs w:val="28"/>
                <w:highlight w:val="yellow"/>
              </w:rPr>
              <w:t>β</w:t>
            </w:r>
            <w:r w:rsidRPr="00A25019">
              <w:rPr>
                <w:rFonts w:ascii="Simplified Arabic" w:hAnsi="Simplified Arabic" w:cs="Simplified Arabic"/>
                <w:color w:val="EE0000"/>
                <w:sz w:val="28"/>
                <w:szCs w:val="28"/>
                <w:highlight w:val="yellow"/>
                <w:rtl/>
              </w:rPr>
              <w:t xml:space="preserve">، </w:t>
            </w:r>
            <w:r w:rsidRPr="00A25019">
              <w:rPr>
                <w:rFonts w:ascii="Simplified Arabic" w:hAnsi="Simplified Arabic" w:cs="Simplified Arabic"/>
                <w:color w:val="EE0000"/>
                <w:sz w:val="28"/>
                <w:szCs w:val="28"/>
                <w:highlight w:val="yellow"/>
              </w:rPr>
              <w:t>p &lt; 0.05</w:t>
            </w:r>
          </w:p>
        </w:tc>
        <w:tc>
          <w:tcPr>
            <w:tcW w:w="0" w:type="auto"/>
            <w:hideMark/>
          </w:tcPr>
          <w:p w14:paraId="7F16115B"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AMOS</w:t>
            </w:r>
          </w:p>
        </w:tc>
      </w:tr>
      <w:tr w:rsidR="00A25019" w:rsidRPr="00A25019" w14:paraId="616C0C22" w14:textId="77777777" w:rsidTr="00803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6EF0BE" w14:textId="77777777" w:rsidR="00A25019" w:rsidRPr="00A25019" w:rsidRDefault="00A25019" w:rsidP="00A25019">
            <w:pPr>
              <w:spacing w:after="160" w:line="278" w:lineRule="auto"/>
              <w:ind w:left="36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H3a</w:t>
            </w:r>
          </w:p>
        </w:tc>
        <w:tc>
          <w:tcPr>
            <w:tcW w:w="0" w:type="auto"/>
            <w:hideMark/>
          </w:tcPr>
          <w:p w14:paraId="2016844A"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أثر أنظمة المراقبة الذكية في كفاءة إدارة الحشود</w:t>
            </w:r>
          </w:p>
        </w:tc>
        <w:tc>
          <w:tcPr>
            <w:tcW w:w="0" w:type="auto"/>
            <w:hideMark/>
          </w:tcPr>
          <w:p w14:paraId="1ADDC781"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Path Analysis</w:t>
            </w:r>
          </w:p>
        </w:tc>
        <w:tc>
          <w:tcPr>
            <w:tcW w:w="0" w:type="auto"/>
            <w:hideMark/>
          </w:tcPr>
          <w:p w14:paraId="493B5151"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Cambria" w:hAnsi="Cambria" w:cs="Cambria"/>
                <w:color w:val="EE0000"/>
                <w:sz w:val="28"/>
                <w:szCs w:val="28"/>
                <w:highlight w:val="yellow"/>
              </w:rPr>
              <w:t>β</w:t>
            </w:r>
            <w:r w:rsidRPr="00A25019">
              <w:rPr>
                <w:rFonts w:ascii="Simplified Arabic" w:hAnsi="Simplified Arabic" w:cs="Simplified Arabic"/>
                <w:color w:val="EE0000"/>
                <w:sz w:val="28"/>
                <w:szCs w:val="28"/>
                <w:highlight w:val="yellow"/>
                <w:rtl/>
              </w:rPr>
              <w:t xml:space="preserve">، </w:t>
            </w:r>
            <w:r w:rsidRPr="00A25019">
              <w:rPr>
                <w:rFonts w:ascii="Simplified Arabic" w:hAnsi="Simplified Arabic" w:cs="Simplified Arabic"/>
                <w:color w:val="EE0000"/>
                <w:sz w:val="28"/>
                <w:szCs w:val="28"/>
                <w:highlight w:val="yellow"/>
              </w:rPr>
              <w:t>p &lt; 0.05</w:t>
            </w:r>
          </w:p>
        </w:tc>
        <w:tc>
          <w:tcPr>
            <w:tcW w:w="0" w:type="auto"/>
            <w:hideMark/>
          </w:tcPr>
          <w:p w14:paraId="03AB65C6"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AMOS</w:t>
            </w:r>
          </w:p>
        </w:tc>
      </w:tr>
      <w:tr w:rsidR="00A25019" w:rsidRPr="00A25019" w14:paraId="7B1E5998" w14:textId="77777777" w:rsidTr="00803095">
        <w:tc>
          <w:tcPr>
            <w:cnfStyle w:val="001000000000" w:firstRow="0" w:lastRow="0" w:firstColumn="1" w:lastColumn="0" w:oddVBand="0" w:evenVBand="0" w:oddHBand="0" w:evenHBand="0" w:firstRowFirstColumn="0" w:firstRowLastColumn="0" w:lastRowFirstColumn="0" w:lastRowLastColumn="0"/>
            <w:tcW w:w="0" w:type="auto"/>
            <w:hideMark/>
          </w:tcPr>
          <w:p w14:paraId="091A5ED4" w14:textId="77777777" w:rsidR="00A25019" w:rsidRPr="00A25019" w:rsidRDefault="00A25019" w:rsidP="00A25019">
            <w:pPr>
              <w:spacing w:after="160" w:line="278" w:lineRule="auto"/>
              <w:ind w:left="36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H3b</w:t>
            </w:r>
          </w:p>
        </w:tc>
        <w:tc>
          <w:tcPr>
            <w:tcW w:w="0" w:type="auto"/>
            <w:hideMark/>
          </w:tcPr>
          <w:p w14:paraId="53B4A2C3"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أثر تطبيقات التوجيه والتحكم في كفاءة إدارة الحشود</w:t>
            </w:r>
          </w:p>
        </w:tc>
        <w:tc>
          <w:tcPr>
            <w:tcW w:w="0" w:type="auto"/>
            <w:hideMark/>
          </w:tcPr>
          <w:p w14:paraId="53D4F213"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Path Analysis</w:t>
            </w:r>
          </w:p>
        </w:tc>
        <w:tc>
          <w:tcPr>
            <w:tcW w:w="0" w:type="auto"/>
            <w:hideMark/>
          </w:tcPr>
          <w:p w14:paraId="2B579793"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Cambria" w:hAnsi="Cambria" w:cs="Cambria"/>
                <w:color w:val="EE0000"/>
                <w:sz w:val="28"/>
                <w:szCs w:val="28"/>
                <w:highlight w:val="yellow"/>
              </w:rPr>
              <w:t>β</w:t>
            </w:r>
            <w:r w:rsidRPr="00A25019">
              <w:rPr>
                <w:rFonts w:ascii="Simplified Arabic" w:hAnsi="Simplified Arabic" w:cs="Simplified Arabic"/>
                <w:color w:val="EE0000"/>
                <w:sz w:val="28"/>
                <w:szCs w:val="28"/>
                <w:highlight w:val="yellow"/>
                <w:rtl/>
              </w:rPr>
              <w:t xml:space="preserve">، </w:t>
            </w:r>
            <w:r w:rsidRPr="00A25019">
              <w:rPr>
                <w:rFonts w:ascii="Simplified Arabic" w:hAnsi="Simplified Arabic" w:cs="Simplified Arabic"/>
                <w:color w:val="EE0000"/>
                <w:sz w:val="28"/>
                <w:szCs w:val="28"/>
                <w:highlight w:val="yellow"/>
              </w:rPr>
              <w:t>p &lt; 0.05</w:t>
            </w:r>
          </w:p>
        </w:tc>
        <w:tc>
          <w:tcPr>
            <w:tcW w:w="0" w:type="auto"/>
            <w:hideMark/>
          </w:tcPr>
          <w:p w14:paraId="5A5E9F9E"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AMOS</w:t>
            </w:r>
          </w:p>
        </w:tc>
      </w:tr>
      <w:tr w:rsidR="00A25019" w:rsidRPr="00A25019" w14:paraId="12098F3D" w14:textId="77777777" w:rsidTr="00803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601D52" w14:textId="77777777" w:rsidR="00A25019" w:rsidRPr="00A25019" w:rsidRDefault="00A25019" w:rsidP="00A25019">
            <w:pPr>
              <w:spacing w:after="160" w:line="278" w:lineRule="auto"/>
              <w:ind w:left="36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lastRenderedPageBreak/>
              <w:t>H3c</w:t>
            </w:r>
          </w:p>
        </w:tc>
        <w:tc>
          <w:tcPr>
            <w:tcW w:w="0" w:type="auto"/>
            <w:hideMark/>
          </w:tcPr>
          <w:p w14:paraId="4051AB6E"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أثر تحليل البيانات الحية في كفاءة إدارة الحشود</w:t>
            </w:r>
          </w:p>
        </w:tc>
        <w:tc>
          <w:tcPr>
            <w:tcW w:w="0" w:type="auto"/>
            <w:hideMark/>
          </w:tcPr>
          <w:p w14:paraId="182A703B"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Path Analysis</w:t>
            </w:r>
          </w:p>
        </w:tc>
        <w:tc>
          <w:tcPr>
            <w:tcW w:w="0" w:type="auto"/>
            <w:hideMark/>
          </w:tcPr>
          <w:p w14:paraId="2F205609"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Cambria" w:hAnsi="Cambria" w:cs="Cambria"/>
                <w:color w:val="EE0000"/>
                <w:sz w:val="28"/>
                <w:szCs w:val="28"/>
                <w:highlight w:val="yellow"/>
              </w:rPr>
              <w:t>β</w:t>
            </w:r>
            <w:r w:rsidRPr="00A25019">
              <w:rPr>
                <w:rFonts w:ascii="Simplified Arabic" w:hAnsi="Simplified Arabic" w:cs="Simplified Arabic"/>
                <w:color w:val="EE0000"/>
                <w:sz w:val="28"/>
                <w:szCs w:val="28"/>
                <w:highlight w:val="yellow"/>
                <w:rtl/>
              </w:rPr>
              <w:t xml:space="preserve">، </w:t>
            </w:r>
            <w:r w:rsidRPr="00A25019">
              <w:rPr>
                <w:rFonts w:ascii="Simplified Arabic" w:hAnsi="Simplified Arabic" w:cs="Simplified Arabic"/>
                <w:color w:val="EE0000"/>
                <w:sz w:val="28"/>
                <w:szCs w:val="28"/>
                <w:highlight w:val="yellow"/>
              </w:rPr>
              <w:t>p &lt; 0.05</w:t>
            </w:r>
          </w:p>
        </w:tc>
        <w:tc>
          <w:tcPr>
            <w:tcW w:w="0" w:type="auto"/>
            <w:hideMark/>
          </w:tcPr>
          <w:p w14:paraId="06915F81"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AMOS</w:t>
            </w:r>
          </w:p>
        </w:tc>
      </w:tr>
      <w:tr w:rsidR="00A25019" w:rsidRPr="00A25019" w14:paraId="68625BC5" w14:textId="77777777" w:rsidTr="00803095">
        <w:tc>
          <w:tcPr>
            <w:cnfStyle w:val="001000000000" w:firstRow="0" w:lastRow="0" w:firstColumn="1" w:lastColumn="0" w:oddVBand="0" w:evenVBand="0" w:oddHBand="0" w:evenHBand="0" w:firstRowFirstColumn="0" w:firstRowLastColumn="0" w:lastRowFirstColumn="0" w:lastRowLastColumn="0"/>
            <w:tcW w:w="0" w:type="auto"/>
            <w:hideMark/>
          </w:tcPr>
          <w:p w14:paraId="13C8D38E" w14:textId="77777777" w:rsidR="00A25019" w:rsidRPr="00A25019" w:rsidRDefault="00A25019" w:rsidP="00A25019">
            <w:pPr>
              <w:spacing w:after="160" w:line="278" w:lineRule="auto"/>
              <w:ind w:left="36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H4</w:t>
            </w:r>
          </w:p>
        </w:tc>
        <w:tc>
          <w:tcPr>
            <w:tcW w:w="0" w:type="auto"/>
            <w:hideMark/>
          </w:tcPr>
          <w:p w14:paraId="1A68B180"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تتوسّط التكنولوجيا الذكية العلاقة بين ممارسات الاستدامة وكفاءة إدارة الحشود</w:t>
            </w:r>
          </w:p>
        </w:tc>
        <w:tc>
          <w:tcPr>
            <w:tcW w:w="0" w:type="auto"/>
            <w:hideMark/>
          </w:tcPr>
          <w:p w14:paraId="3D6E36D8"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b/>
                <w:bCs/>
                <w:color w:val="EE0000"/>
                <w:sz w:val="28"/>
                <w:szCs w:val="28"/>
                <w:highlight w:val="yellow"/>
              </w:rPr>
              <w:t>Bootstrap Mediation</w:t>
            </w:r>
            <w:r w:rsidRPr="00A25019">
              <w:rPr>
                <w:rFonts w:ascii="Simplified Arabic" w:hAnsi="Simplified Arabic" w:cs="Simplified Arabic"/>
                <w:color w:val="EE0000"/>
                <w:sz w:val="28"/>
                <w:szCs w:val="28"/>
                <w:highlight w:val="yellow"/>
              </w:rPr>
              <w:t xml:space="preserve"> (5,000 </w:t>
            </w:r>
            <w:r w:rsidRPr="00A25019">
              <w:rPr>
                <w:rFonts w:ascii="Simplified Arabic" w:hAnsi="Simplified Arabic" w:cs="Simplified Arabic"/>
                <w:color w:val="EE0000"/>
                <w:sz w:val="28"/>
                <w:szCs w:val="28"/>
                <w:highlight w:val="yellow"/>
                <w:rtl/>
              </w:rPr>
              <w:t>عيّنة، فترة ثقة 95</w:t>
            </w:r>
            <w:r w:rsidRPr="00A25019">
              <w:rPr>
                <w:rFonts w:ascii="Simplified Arabic" w:hAnsi="Simplified Arabic" w:cs="Simplified Arabic"/>
                <w:color w:val="EE0000"/>
                <w:sz w:val="28"/>
                <w:szCs w:val="28"/>
                <w:highlight w:val="yellow"/>
              </w:rPr>
              <w:t>% BC)</w:t>
            </w:r>
          </w:p>
        </w:tc>
        <w:tc>
          <w:tcPr>
            <w:tcW w:w="0" w:type="auto"/>
            <w:hideMark/>
          </w:tcPr>
          <w:p w14:paraId="483AD0EA"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الأثر غير المباشر دالّ، لا تحتوي فترة الثقة على الصفر</w:t>
            </w:r>
          </w:p>
        </w:tc>
        <w:tc>
          <w:tcPr>
            <w:tcW w:w="0" w:type="auto"/>
            <w:hideMark/>
          </w:tcPr>
          <w:p w14:paraId="136D6FB0"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AMOS</w:t>
            </w:r>
          </w:p>
        </w:tc>
      </w:tr>
      <w:tr w:rsidR="00A25019" w:rsidRPr="00A25019" w14:paraId="383492AA" w14:textId="77777777" w:rsidTr="00803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67948C" w14:textId="77777777" w:rsidR="00A25019" w:rsidRPr="00A25019" w:rsidRDefault="00A25019" w:rsidP="00A25019">
            <w:pPr>
              <w:spacing w:after="160" w:line="278" w:lineRule="auto"/>
              <w:ind w:left="36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H5</w:t>
            </w:r>
          </w:p>
        </w:tc>
        <w:tc>
          <w:tcPr>
            <w:tcW w:w="0" w:type="auto"/>
            <w:hideMark/>
          </w:tcPr>
          <w:p w14:paraId="40BA7BA0"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توجد فروق ذات دلالة إحصائية في إدراكات المستجيبين تُعزى للجهة</w:t>
            </w:r>
          </w:p>
        </w:tc>
        <w:tc>
          <w:tcPr>
            <w:tcW w:w="0" w:type="auto"/>
            <w:hideMark/>
          </w:tcPr>
          <w:p w14:paraId="4D258EE1"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b/>
                <w:bCs/>
                <w:color w:val="EE0000"/>
                <w:sz w:val="28"/>
                <w:szCs w:val="28"/>
                <w:highlight w:val="yellow"/>
              </w:rPr>
              <w:t>One-way ANOVA</w:t>
            </w:r>
            <w:r w:rsidRPr="00A25019">
              <w:rPr>
                <w:rFonts w:ascii="Simplified Arabic" w:hAnsi="Simplified Arabic" w:cs="Simplified Arabic"/>
                <w:color w:val="EE0000"/>
                <w:sz w:val="28"/>
                <w:szCs w:val="28"/>
                <w:highlight w:val="yellow"/>
              </w:rPr>
              <w:t xml:space="preserve"> + </w:t>
            </w:r>
            <w:r w:rsidRPr="00A25019">
              <w:rPr>
                <w:rFonts w:ascii="Simplified Arabic" w:hAnsi="Simplified Arabic" w:cs="Simplified Arabic"/>
                <w:color w:val="EE0000"/>
                <w:sz w:val="28"/>
                <w:szCs w:val="28"/>
                <w:highlight w:val="yellow"/>
                <w:rtl/>
              </w:rPr>
              <w:t>اختبار</w:t>
            </w:r>
            <w:r w:rsidRPr="00A25019">
              <w:rPr>
                <w:rFonts w:ascii="Simplified Arabic" w:hAnsi="Simplified Arabic" w:cs="Simplified Arabic"/>
                <w:color w:val="EE0000"/>
                <w:sz w:val="28"/>
                <w:szCs w:val="28"/>
                <w:highlight w:val="yellow"/>
              </w:rPr>
              <w:t xml:space="preserve"> Scheffé </w:t>
            </w:r>
            <w:r w:rsidRPr="00A25019">
              <w:rPr>
                <w:rFonts w:ascii="Simplified Arabic" w:hAnsi="Simplified Arabic" w:cs="Simplified Arabic"/>
                <w:color w:val="EE0000"/>
                <w:sz w:val="28"/>
                <w:szCs w:val="28"/>
                <w:highlight w:val="yellow"/>
                <w:rtl/>
              </w:rPr>
              <w:t>للمقارنات البعدية</w:t>
            </w:r>
          </w:p>
        </w:tc>
        <w:tc>
          <w:tcPr>
            <w:tcW w:w="0" w:type="auto"/>
            <w:hideMark/>
          </w:tcPr>
          <w:p w14:paraId="34E71AD7"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F</w:t>
            </w:r>
            <w:r w:rsidRPr="00A25019">
              <w:rPr>
                <w:rFonts w:ascii="Simplified Arabic" w:hAnsi="Simplified Arabic" w:cs="Simplified Arabic"/>
                <w:color w:val="EE0000"/>
                <w:sz w:val="28"/>
                <w:szCs w:val="28"/>
                <w:highlight w:val="yellow"/>
                <w:rtl/>
              </w:rPr>
              <w:t xml:space="preserve">، </w:t>
            </w:r>
            <w:r w:rsidRPr="00A25019">
              <w:rPr>
                <w:rFonts w:ascii="Simplified Arabic" w:hAnsi="Simplified Arabic" w:cs="Simplified Arabic"/>
                <w:color w:val="EE0000"/>
                <w:sz w:val="28"/>
                <w:szCs w:val="28"/>
                <w:highlight w:val="yellow"/>
              </w:rPr>
              <w:t>p &lt; 0.05</w:t>
            </w:r>
          </w:p>
        </w:tc>
        <w:tc>
          <w:tcPr>
            <w:tcW w:w="0" w:type="auto"/>
            <w:hideMark/>
          </w:tcPr>
          <w:p w14:paraId="20FD806D"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SPSS</w:t>
            </w:r>
          </w:p>
        </w:tc>
      </w:tr>
      <w:tr w:rsidR="00A25019" w:rsidRPr="00A25019" w14:paraId="3D95CEBE" w14:textId="77777777" w:rsidTr="00803095">
        <w:tc>
          <w:tcPr>
            <w:cnfStyle w:val="001000000000" w:firstRow="0" w:lastRow="0" w:firstColumn="1" w:lastColumn="0" w:oddVBand="0" w:evenVBand="0" w:oddHBand="0" w:evenHBand="0" w:firstRowFirstColumn="0" w:firstRowLastColumn="0" w:lastRowFirstColumn="0" w:lastRowLastColumn="0"/>
            <w:tcW w:w="0" w:type="auto"/>
            <w:hideMark/>
          </w:tcPr>
          <w:p w14:paraId="53EB5F05" w14:textId="77777777" w:rsidR="00A25019" w:rsidRPr="00A25019" w:rsidRDefault="00A25019" w:rsidP="00A25019">
            <w:pPr>
              <w:spacing w:after="160" w:line="278" w:lineRule="auto"/>
              <w:ind w:left="36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H6</w:t>
            </w:r>
          </w:p>
        </w:tc>
        <w:tc>
          <w:tcPr>
            <w:tcW w:w="0" w:type="auto"/>
            <w:hideMark/>
          </w:tcPr>
          <w:p w14:paraId="07A925CD"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توجد فروق تُعزى لسنوات الخبرة</w:t>
            </w:r>
          </w:p>
        </w:tc>
        <w:tc>
          <w:tcPr>
            <w:tcW w:w="0" w:type="auto"/>
            <w:hideMark/>
          </w:tcPr>
          <w:p w14:paraId="7F1BDAEC"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b/>
                <w:bCs/>
                <w:color w:val="EE0000"/>
                <w:sz w:val="28"/>
                <w:szCs w:val="28"/>
                <w:highlight w:val="yellow"/>
              </w:rPr>
              <w:t>One-way ANOVA</w:t>
            </w:r>
            <w:r w:rsidRPr="00A25019">
              <w:rPr>
                <w:rFonts w:ascii="Simplified Arabic" w:hAnsi="Simplified Arabic" w:cs="Simplified Arabic"/>
                <w:color w:val="EE0000"/>
                <w:sz w:val="28"/>
                <w:szCs w:val="28"/>
                <w:highlight w:val="yellow"/>
              </w:rPr>
              <w:t xml:space="preserve"> + Scheffé</w:t>
            </w:r>
          </w:p>
        </w:tc>
        <w:tc>
          <w:tcPr>
            <w:tcW w:w="0" w:type="auto"/>
            <w:hideMark/>
          </w:tcPr>
          <w:p w14:paraId="6AAA8B70"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F</w:t>
            </w:r>
            <w:r w:rsidRPr="00A25019">
              <w:rPr>
                <w:rFonts w:ascii="Simplified Arabic" w:hAnsi="Simplified Arabic" w:cs="Simplified Arabic"/>
                <w:color w:val="EE0000"/>
                <w:sz w:val="28"/>
                <w:szCs w:val="28"/>
                <w:highlight w:val="yellow"/>
                <w:rtl/>
              </w:rPr>
              <w:t xml:space="preserve">، </w:t>
            </w:r>
            <w:r w:rsidRPr="00A25019">
              <w:rPr>
                <w:rFonts w:ascii="Simplified Arabic" w:hAnsi="Simplified Arabic" w:cs="Simplified Arabic"/>
                <w:color w:val="EE0000"/>
                <w:sz w:val="28"/>
                <w:szCs w:val="28"/>
                <w:highlight w:val="yellow"/>
              </w:rPr>
              <w:t>p &lt; 0.05</w:t>
            </w:r>
          </w:p>
        </w:tc>
        <w:tc>
          <w:tcPr>
            <w:tcW w:w="0" w:type="auto"/>
            <w:hideMark/>
          </w:tcPr>
          <w:p w14:paraId="2BB443B2"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SPSS</w:t>
            </w:r>
          </w:p>
        </w:tc>
      </w:tr>
      <w:tr w:rsidR="00A25019" w:rsidRPr="00A25019" w14:paraId="1C7B9B6B" w14:textId="77777777" w:rsidTr="00803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292903" w14:textId="77777777" w:rsidR="00A25019" w:rsidRPr="00A25019" w:rsidRDefault="00A25019" w:rsidP="00A25019">
            <w:pPr>
              <w:spacing w:after="160" w:line="278" w:lineRule="auto"/>
              <w:ind w:left="36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H7</w:t>
            </w:r>
          </w:p>
        </w:tc>
        <w:tc>
          <w:tcPr>
            <w:tcW w:w="0" w:type="auto"/>
            <w:hideMark/>
          </w:tcPr>
          <w:p w14:paraId="411737B3"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توجد فروق تُعزى لطبيعة العمل</w:t>
            </w:r>
          </w:p>
        </w:tc>
        <w:tc>
          <w:tcPr>
            <w:tcW w:w="0" w:type="auto"/>
            <w:hideMark/>
          </w:tcPr>
          <w:p w14:paraId="32C09F2D"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b/>
                <w:bCs/>
                <w:color w:val="EE0000"/>
                <w:sz w:val="28"/>
                <w:szCs w:val="28"/>
                <w:highlight w:val="yellow"/>
              </w:rPr>
              <w:t>One-way ANOVA</w:t>
            </w:r>
            <w:r w:rsidRPr="00A25019">
              <w:rPr>
                <w:rFonts w:ascii="Simplified Arabic" w:hAnsi="Simplified Arabic" w:cs="Simplified Arabic"/>
                <w:color w:val="EE0000"/>
                <w:sz w:val="28"/>
                <w:szCs w:val="28"/>
                <w:highlight w:val="yellow"/>
              </w:rPr>
              <w:t xml:space="preserve"> + Scheffé</w:t>
            </w:r>
          </w:p>
        </w:tc>
        <w:tc>
          <w:tcPr>
            <w:tcW w:w="0" w:type="auto"/>
            <w:hideMark/>
          </w:tcPr>
          <w:p w14:paraId="22A75053"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F</w:t>
            </w:r>
            <w:r w:rsidRPr="00A25019">
              <w:rPr>
                <w:rFonts w:ascii="Simplified Arabic" w:hAnsi="Simplified Arabic" w:cs="Simplified Arabic"/>
                <w:color w:val="EE0000"/>
                <w:sz w:val="28"/>
                <w:szCs w:val="28"/>
                <w:highlight w:val="yellow"/>
                <w:rtl/>
              </w:rPr>
              <w:t xml:space="preserve">، </w:t>
            </w:r>
            <w:r w:rsidRPr="00A25019">
              <w:rPr>
                <w:rFonts w:ascii="Simplified Arabic" w:hAnsi="Simplified Arabic" w:cs="Simplified Arabic"/>
                <w:color w:val="EE0000"/>
                <w:sz w:val="28"/>
                <w:szCs w:val="28"/>
                <w:highlight w:val="yellow"/>
              </w:rPr>
              <w:t>p &lt; 0.05</w:t>
            </w:r>
          </w:p>
        </w:tc>
        <w:tc>
          <w:tcPr>
            <w:tcW w:w="0" w:type="auto"/>
            <w:hideMark/>
          </w:tcPr>
          <w:p w14:paraId="07C144DE" w14:textId="77777777" w:rsidR="00A25019" w:rsidRPr="00A25019" w:rsidRDefault="00A25019" w:rsidP="00A25019">
            <w:pPr>
              <w:spacing w:after="160" w:line="278" w:lineRule="auto"/>
              <w:ind w:left="360"/>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SPSS</w:t>
            </w:r>
          </w:p>
        </w:tc>
      </w:tr>
      <w:tr w:rsidR="00A25019" w:rsidRPr="00A25019" w14:paraId="1393F5E6" w14:textId="77777777" w:rsidTr="00803095">
        <w:tc>
          <w:tcPr>
            <w:cnfStyle w:val="001000000000" w:firstRow="0" w:lastRow="0" w:firstColumn="1" w:lastColumn="0" w:oddVBand="0" w:evenVBand="0" w:oddHBand="0" w:evenHBand="0" w:firstRowFirstColumn="0" w:firstRowLastColumn="0" w:lastRowFirstColumn="0" w:lastRowLastColumn="0"/>
            <w:tcW w:w="0" w:type="auto"/>
            <w:hideMark/>
          </w:tcPr>
          <w:p w14:paraId="4D061623" w14:textId="77777777" w:rsidR="00A25019" w:rsidRPr="00A25019" w:rsidRDefault="00A25019" w:rsidP="00A25019">
            <w:pPr>
              <w:spacing w:after="160" w:line="278" w:lineRule="auto"/>
              <w:ind w:left="360"/>
              <w:jc w:val="both"/>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H8</w:t>
            </w:r>
          </w:p>
        </w:tc>
        <w:tc>
          <w:tcPr>
            <w:tcW w:w="0" w:type="auto"/>
            <w:hideMark/>
          </w:tcPr>
          <w:p w14:paraId="7D8C1461"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tl/>
              </w:rPr>
              <w:t>توجد فروق تُعزى لعدد مواسم المشاركة</w:t>
            </w:r>
          </w:p>
        </w:tc>
        <w:tc>
          <w:tcPr>
            <w:tcW w:w="0" w:type="auto"/>
            <w:hideMark/>
          </w:tcPr>
          <w:p w14:paraId="01F6BB03"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b/>
                <w:bCs/>
                <w:color w:val="EE0000"/>
                <w:sz w:val="28"/>
                <w:szCs w:val="28"/>
                <w:highlight w:val="yellow"/>
              </w:rPr>
              <w:t>One-way ANOVA</w:t>
            </w:r>
            <w:r w:rsidRPr="00A25019">
              <w:rPr>
                <w:rFonts w:ascii="Simplified Arabic" w:hAnsi="Simplified Arabic" w:cs="Simplified Arabic"/>
                <w:color w:val="EE0000"/>
                <w:sz w:val="28"/>
                <w:szCs w:val="28"/>
                <w:highlight w:val="yellow"/>
              </w:rPr>
              <w:t xml:space="preserve"> + Scheffé</w:t>
            </w:r>
          </w:p>
        </w:tc>
        <w:tc>
          <w:tcPr>
            <w:tcW w:w="0" w:type="auto"/>
            <w:hideMark/>
          </w:tcPr>
          <w:p w14:paraId="7171199C"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F</w:t>
            </w:r>
            <w:r w:rsidRPr="00A25019">
              <w:rPr>
                <w:rFonts w:ascii="Simplified Arabic" w:hAnsi="Simplified Arabic" w:cs="Simplified Arabic"/>
                <w:color w:val="EE0000"/>
                <w:sz w:val="28"/>
                <w:szCs w:val="28"/>
                <w:highlight w:val="yellow"/>
                <w:rtl/>
              </w:rPr>
              <w:t xml:space="preserve">، </w:t>
            </w:r>
            <w:r w:rsidRPr="00A25019">
              <w:rPr>
                <w:rFonts w:ascii="Simplified Arabic" w:hAnsi="Simplified Arabic" w:cs="Simplified Arabic"/>
                <w:color w:val="EE0000"/>
                <w:sz w:val="28"/>
                <w:szCs w:val="28"/>
                <w:highlight w:val="yellow"/>
              </w:rPr>
              <w:t>p &lt; 0.05</w:t>
            </w:r>
          </w:p>
        </w:tc>
        <w:tc>
          <w:tcPr>
            <w:tcW w:w="0" w:type="auto"/>
            <w:hideMark/>
          </w:tcPr>
          <w:p w14:paraId="1AF0665E" w14:textId="77777777" w:rsidR="00A25019" w:rsidRPr="00A25019" w:rsidRDefault="00A25019" w:rsidP="00A25019">
            <w:pPr>
              <w:spacing w:after="160" w:line="278" w:lineRule="auto"/>
              <w:ind w:left="360"/>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EE0000"/>
                <w:sz w:val="28"/>
                <w:szCs w:val="28"/>
                <w:highlight w:val="yellow"/>
              </w:rPr>
            </w:pPr>
            <w:r w:rsidRPr="00A25019">
              <w:rPr>
                <w:rFonts w:ascii="Simplified Arabic" w:hAnsi="Simplified Arabic" w:cs="Simplified Arabic"/>
                <w:color w:val="EE0000"/>
                <w:sz w:val="28"/>
                <w:szCs w:val="28"/>
                <w:highlight w:val="yellow"/>
              </w:rPr>
              <w:t>SPSS</w:t>
            </w:r>
          </w:p>
        </w:tc>
      </w:tr>
    </w:tbl>
    <w:p w14:paraId="2E4D328D" w14:textId="77777777" w:rsidR="00A25019" w:rsidRPr="00A25019" w:rsidRDefault="00A25019" w:rsidP="00A25019">
      <w:pPr>
        <w:ind w:left="360"/>
        <w:jc w:val="both"/>
        <w:rPr>
          <w:rFonts w:ascii="Simplified Arabic" w:hAnsi="Simplified Arabic" w:cs="Simplified Arabic"/>
          <w:b/>
          <w:bCs/>
          <w:color w:val="EE0000"/>
          <w:sz w:val="28"/>
          <w:szCs w:val="28"/>
          <w:highlight w:val="yellow"/>
        </w:rPr>
      </w:pPr>
      <w:r w:rsidRPr="00A25019">
        <w:rPr>
          <w:rFonts w:ascii="Simplified Arabic" w:hAnsi="Simplified Arabic" w:cs="Simplified Arabic"/>
          <w:b/>
          <w:bCs/>
          <w:color w:val="EE0000"/>
          <w:sz w:val="28"/>
          <w:szCs w:val="28"/>
          <w:highlight w:val="yellow"/>
          <w:rtl/>
        </w:rPr>
        <w:t>مسار اختبار الوساطة (</w:t>
      </w:r>
      <w:r w:rsidRPr="00A25019">
        <w:rPr>
          <w:rFonts w:ascii="Simplified Arabic" w:hAnsi="Simplified Arabic" w:cs="Simplified Arabic"/>
          <w:b/>
          <w:bCs/>
          <w:color w:val="EE0000"/>
          <w:sz w:val="28"/>
          <w:szCs w:val="28"/>
          <w:highlight w:val="yellow"/>
        </w:rPr>
        <w:t>H4</w:t>
      </w:r>
      <w:r w:rsidRPr="00A25019">
        <w:rPr>
          <w:rFonts w:ascii="Simplified Arabic" w:hAnsi="Simplified Arabic" w:cs="Simplified Arabic"/>
          <w:b/>
          <w:bCs/>
          <w:color w:val="EE0000"/>
          <w:sz w:val="28"/>
          <w:szCs w:val="28"/>
          <w:highlight w:val="yellow"/>
          <w:rtl/>
        </w:rPr>
        <w:t>) بالتفصيل</w:t>
      </w:r>
    </w:p>
    <w:p w14:paraId="62991553" w14:textId="77777777" w:rsidR="00A25019" w:rsidRPr="00A25019" w:rsidRDefault="00A25019" w:rsidP="00A25019">
      <w:pPr>
        <w:ind w:left="360"/>
        <w:jc w:val="both"/>
        <w:rPr>
          <w:rFonts w:ascii="Simplified Arabic" w:hAnsi="Simplified Arabic" w:cs="Simplified Arabic"/>
          <w:color w:val="EE0000"/>
          <w:sz w:val="28"/>
          <w:szCs w:val="28"/>
          <w:highlight w:val="yellow"/>
          <w:rtl/>
        </w:rPr>
      </w:pPr>
      <w:r w:rsidRPr="00A25019">
        <w:rPr>
          <w:rFonts w:ascii="Simplified Arabic" w:hAnsi="Simplified Arabic" w:cs="Simplified Arabic"/>
          <w:color w:val="EE0000"/>
          <w:sz w:val="28"/>
          <w:szCs w:val="28"/>
          <w:highlight w:val="yellow"/>
          <w:rtl/>
        </w:rPr>
        <w:lastRenderedPageBreak/>
        <w:t xml:space="preserve">يُختبر أثر الوساطة عبر </w:t>
      </w:r>
      <w:r w:rsidRPr="00A25019">
        <w:rPr>
          <w:rFonts w:ascii="Simplified Arabic" w:hAnsi="Simplified Arabic" w:cs="Simplified Arabic"/>
          <w:b/>
          <w:bCs/>
          <w:color w:val="EE0000"/>
          <w:sz w:val="28"/>
          <w:szCs w:val="28"/>
          <w:highlight w:val="yellow"/>
        </w:rPr>
        <w:t>Bootstrap</w:t>
      </w:r>
      <w:r w:rsidRPr="00A25019">
        <w:rPr>
          <w:rFonts w:ascii="Simplified Arabic" w:hAnsi="Simplified Arabic" w:cs="Simplified Arabic"/>
          <w:color w:val="EE0000"/>
          <w:sz w:val="28"/>
          <w:szCs w:val="28"/>
          <w:highlight w:val="yellow"/>
          <w:rtl/>
        </w:rPr>
        <w:t xml:space="preserve"> وفق (</w:t>
      </w:r>
      <w:r w:rsidRPr="00A25019">
        <w:rPr>
          <w:rFonts w:ascii="Simplified Arabic" w:hAnsi="Simplified Arabic" w:cs="Simplified Arabic"/>
          <w:color w:val="EE0000"/>
          <w:sz w:val="28"/>
          <w:szCs w:val="28"/>
          <w:highlight w:val="yellow"/>
        </w:rPr>
        <w:t>Preacher</w:t>
      </w:r>
      <w:r w:rsidRPr="00A25019">
        <w:rPr>
          <w:rFonts w:ascii="Simplified Arabic" w:hAnsi="Simplified Arabic" w:cs="Simplified Arabic"/>
          <w:color w:val="EE0000"/>
          <w:sz w:val="28"/>
          <w:szCs w:val="28"/>
          <w:highlight w:val="yellow"/>
          <w:rtl/>
        </w:rPr>
        <w:t xml:space="preserve"> &amp; </w:t>
      </w:r>
      <w:r w:rsidRPr="00A25019">
        <w:rPr>
          <w:rFonts w:ascii="Simplified Arabic" w:hAnsi="Simplified Arabic" w:cs="Simplified Arabic"/>
          <w:color w:val="EE0000"/>
          <w:sz w:val="28"/>
          <w:szCs w:val="28"/>
          <w:highlight w:val="yellow"/>
        </w:rPr>
        <w:t>Hayes, 2008</w:t>
      </w:r>
      <w:r w:rsidRPr="00A25019">
        <w:rPr>
          <w:rFonts w:ascii="Simplified Arabic" w:hAnsi="Simplified Arabic" w:cs="Simplified Arabic"/>
          <w:color w:val="EE0000"/>
          <w:sz w:val="28"/>
          <w:szCs w:val="28"/>
          <w:highlight w:val="yellow"/>
          <w:rtl/>
        </w:rPr>
        <w:t>) و(</w:t>
      </w:r>
      <w:r w:rsidRPr="00A25019">
        <w:rPr>
          <w:rFonts w:ascii="Simplified Arabic" w:hAnsi="Simplified Arabic" w:cs="Simplified Arabic"/>
          <w:color w:val="EE0000"/>
          <w:sz w:val="28"/>
          <w:szCs w:val="28"/>
          <w:highlight w:val="yellow"/>
        </w:rPr>
        <w:t>Hair et al., 2019</w:t>
      </w:r>
      <w:r w:rsidRPr="00A25019">
        <w:rPr>
          <w:rFonts w:ascii="Simplified Arabic" w:hAnsi="Simplified Arabic" w:cs="Simplified Arabic"/>
          <w:color w:val="EE0000"/>
          <w:sz w:val="28"/>
          <w:szCs w:val="28"/>
          <w:highlight w:val="yellow"/>
          <w:rtl/>
        </w:rPr>
        <w:t>):</w:t>
      </w:r>
    </w:p>
    <w:p w14:paraId="25D403A5" w14:textId="77777777" w:rsidR="00A25019" w:rsidRPr="00A25019" w:rsidRDefault="00A25019" w:rsidP="00A25019">
      <w:pPr>
        <w:numPr>
          <w:ilvl w:val="0"/>
          <w:numId w:val="49"/>
        </w:numPr>
        <w:jc w:val="both"/>
        <w:rPr>
          <w:rFonts w:ascii="Simplified Arabic" w:hAnsi="Simplified Arabic" w:cs="Simplified Arabic"/>
          <w:color w:val="EE0000"/>
          <w:sz w:val="28"/>
          <w:szCs w:val="28"/>
          <w:highlight w:val="yellow"/>
          <w:rtl/>
        </w:rPr>
      </w:pPr>
      <w:r w:rsidRPr="00A25019">
        <w:rPr>
          <w:rFonts w:ascii="Simplified Arabic" w:hAnsi="Simplified Arabic" w:cs="Simplified Arabic"/>
          <w:b/>
          <w:bCs/>
          <w:color w:val="EE0000"/>
          <w:sz w:val="28"/>
          <w:szCs w:val="28"/>
          <w:highlight w:val="yellow"/>
          <w:rtl/>
        </w:rPr>
        <w:t>حساب الأثر المباشر (</w:t>
      </w:r>
      <w:r w:rsidRPr="00A25019">
        <w:rPr>
          <w:rFonts w:ascii="Simplified Arabic" w:hAnsi="Simplified Arabic" w:cs="Simplified Arabic"/>
          <w:b/>
          <w:bCs/>
          <w:color w:val="EE0000"/>
          <w:sz w:val="28"/>
          <w:szCs w:val="28"/>
          <w:highlight w:val="yellow"/>
        </w:rPr>
        <w:t>c</w:t>
      </w:r>
      <w:r w:rsidRPr="00A25019">
        <w:rPr>
          <w:rFonts w:ascii="Times New Roman" w:hAnsi="Times New Roman" w:cs="Times New Roman"/>
          <w:b/>
          <w:bCs/>
          <w:color w:val="EE0000"/>
          <w:sz w:val="28"/>
          <w:szCs w:val="28"/>
          <w:highlight w:val="yellow"/>
          <w:rtl/>
        </w:rPr>
        <w:t>′</w:t>
      </w:r>
      <w:r w:rsidRPr="00A25019">
        <w:rPr>
          <w:rFonts w:ascii="Simplified Arabic" w:hAnsi="Simplified Arabic" w:cs="Simplified Arabic"/>
          <w:b/>
          <w:bCs/>
          <w:color w:val="EE0000"/>
          <w:sz w:val="28"/>
          <w:szCs w:val="28"/>
          <w:highlight w:val="yellow"/>
          <w:rtl/>
        </w:rPr>
        <w:t>)</w:t>
      </w:r>
      <w:r w:rsidRPr="00A25019">
        <w:rPr>
          <w:rFonts w:ascii="Simplified Arabic" w:hAnsi="Simplified Arabic" w:cs="Simplified Arabic"/>
          <w:color w:val="EE0000"/>
          <w:sz w:val="28"/>
          <w:szCs w:val="28"/>
          <w:highlight w:val="yellow"/>
          <w:rtl/>
        </w:rPr>
        <w:t>: أثر الاستدامة في كفاءة إدارة الحشود في وجود الوسيط.</w:t>
      </w:r>
    </w:p>
    <w:p w14:paraId="519C9965" w14:textId="77777777" w:rsidR="00A25019" w:rsidRPr="00A25019" w:rsidRDefault="00A25019" w:rsidP="00A25019">
      <w:pPr>
        <w:numPr>
          <w:ilvl w:val="0"/>
          <w:numId w:val="49"/>
        </w:numPr>
        <w:jc w:val="both"/>
        <w:rPr>
          <w:rFonts w:ascii="Simplified Arabic" w:hAnsi="Simplified Arabic" w:cs="Simplified Arabic"/>
          <w:color w:val="EE0000"/>
          <w:sz w:val="28"/>
          <w:szCs w:val="28"/>
          <w:highlight w:val="yellow"/>
          <w:rtl/>
        </w:rPr>
      </w:pPr>
      <w:r w:rsidRPr="00A25019">
        <w:rPr>
          <w:rFonts w:ascii="Simplified Arabic" w:hAnsi="Simplified Arabic" w:cs="Simplified Arabic"/>
          <w:b/>
          <w:bCs/>
          <w:color w:val="EE0000"/>
          <w:sz w:val="28"/>
          <w:szCs w:val="28"/>
          <w:highlight w:val="yellow"/>
          <w:rtl/>
        </w:rPr>
        <w:t>حساب الأثر غير المباشر (</w:t>
      </w:r>
      <w:r w:rsidRPr="00A25019">
        <w:rPr>
          <w:rFonts w:ascii="Simplified Arabic" w:hAnsi="Simplified Arabic" w:cs="Simplified Arabic"/>
          <w:b/>
          <w:bCs/>
          <w:color w:val="EE0000"/>
          <w:sz w:val="28"/>
          <w:szCs w:val="28"/>
          <w:highlight w:val="yellow"/>
        </w:rPr>
        <w:t>a × b</w:t>
      </w:r>
      <w:r w:rsidRPr="00A25019">
        <w:rPr>
          <w:rFonts w:ascii="Simplified Arabic" w:hAnsi="Simplified Arabic" w:cs="Simplified Arabic"/>
          <w:b/>
          <w:bCs/>
          <w:color w:val="EE0000"/>
          <w:sz w:val="28"/>
          <w:szCs w:val="28"/>
          <w:highlight w:val="yellow"/>
          <w:rtl/>
        </w:rPr>
        <w:t>)</w:t>
      </w:r>
      <w:r w:rsidRPr="00A25019">
        <w:rPr>
          <w:rFonts w:ascii="Simplified Arabic" w:hAnsi="Simplified Arabic" w:cs="Simplified Arabic"/>
          <w:color w:val="EE0000"/>
          <w:sz w:val="28"/>
          <w:szCs w:val="28"/>
          <w:highlight w:val="yellow"/>
          <w:rtl/>
        </w:rPr>
        <w:t>: أثر الاستدامة في كفاءة إدارة الحشود عبر التكنولوجيا الذكية.</w:t>
      </w:r>
    </w:p>
    <w:p w14:paraId="7FB5AA54" w14:textId="77777777" w:rsidR="00A25019" w:rsidRPr="00A25019" w:rsidRDefault="00A25019" w:rsidP="00A25019">
      <w:pPr>
        <w:numPr>
          <w:ilvl w:val="0"/>
          <w:numId w:val="49"/>
        </w:numPr>
        <w:jc w:val="both"/>
        <w:rPr>
          <w:rFonts w:ascii="Simplified Arabic" w:hAnsi="Simplified Arabic" w:cs="Simplified Arabic"/>
          <w:color w:val="EE0000"/>
          <w:sz w:val="28"/>
          <w:szCs w:val="28"/>
          <w:highlight w:val="yellow"/>
          <w:rtl/>
        </w:rPr>
      </w:pPr>
      <w:r w:rsidRPr="00A25019">
        <w:rPr>
          <w:rFonts w:ascii="Simplified Arabic" w:hAnsi="Simplified Arabic" w:cs="Simplified Arabic"/>
          <w:b/>
          <w:bCs/>
          <w:color w:val="EE0000"/>
          <w:sz w:val="28"/>
          <w:szCs w:val="28"/>
          <w:highlight w:val="yellow"/>
          <w:rtl/>
        </w:rPr>
        <w:t>حساب الأثر الكلّي (</w:t>
      </w:r>
      <w:r w:rsidRPr="00A25019">
        <w:rPr>
          <w:rFonts w:ascii="Simplified Arabic" w:hAnsi="Simplified Arabic" w:cs="Simplified Arabic"/>
          <w:b/>
          <w:bCs/>
          <w:color w:val="EE0000"/>
          <w:sz w:val="28"/>
          <w:szCs w:val="28"/>
          <w:highlight w:val="yellow"/>
        </w:rPr>
        <w:t>c</w:t>
      </w:r>
      <w:r w:rsidRPr="00A25019">
        <w:rPr>
          <w:rFonts w:ascii="Simplified Arabic" w:hAnsi="Simplified Arabic" w:cs="Simplified Arabic"/>
          <w:b/>
          <w:bCs/>
          <w:color w:val="EE0000"/>
          <w:sz w:val="28"/>
          <w:szCs w:val="28"/>
          <w:highlight w:val="yellow"/>
          <w:rtl/>
        </w:rPr>
        <w:t>)</w:t>
      </w:r>
      <w:r w:rsidRPr="00A25019">
        <w:rPr>
          <w:rFonts w:ascii="Simplified Arabic" w:hAnsi="Simplified Arabic" w:cs="Simplified Arabic"/>
          <w:color w:val="EE0000"/>
          <w:sz w:val="28"/>
          <w:szCs w:val="28"/>
          <w:highlight w:val="yellow"/>
          <w:rtl/>
        </w:rPr>
        <w:t>: مجموع الأثرَين.</w:t>
      </w:r>
    </w:p>
    <w:p w14:paraId="77545545" w14:textId="77777777" w:rsidR="00A25019" w:rsidRPr="00A25019" w:rsidRDefault="00A25019" w:rsidP="00A25019">
      <w:pPr>
        <w:numPr>
          <w:ilvl w:val="0"/>
          <w:numId w:val="49"/>
        </w:numPr>
        <w:jc w:val="both"/>
        <w:rPr>
          <w:rFonts w:ascii="Simplified Arabic" w:hAnsi="Simplified Arabic" w:cs="Simplified Arabic"/>
          <w:color w:val="EE0000"/>
          <w:sz w:val="28"/>
          <w:szCs w:val="28"/>
          <w:highlight w:val="yellow"/>
          <w:rtl/>
        </w:rPr>
      </w:pPr>
      <w:r w:rsidRPr="00A25019">
        <w:rPr>
          <w:rFonts w:ascii="Simplified Arabic" w:hAnsi="Simplified Arabic" w:cs="Simplified Arabic"/>
          <w:b/>
          <w:bCs/>
          <w:color w:val="EE0000"/>
          <w:sz w:val="28"/>
          <w:szCs w:val="28"/>
          <w:highlight w:val="yellow"/>
          <w:rtl/>
        </w:rPr>
        <w:t xml:space="preserve">اختبار </w:t>
      </w:r>
      <w:r w:rsidRPr="00A25019">
        <w:rPr>
          <w:rFonts w:ascii="Simplified Arabic" w:hAnsi="Simplified Arabic" w:cs="Simplified Arabic"/>
          <w:b/>
          <w:bCs/>
          <w:color w:val="EE0000"/>
          <w:sz w:val="28"/>
          <w:szCs w:val="28"/>
          <w:highlight w:val="yellow"/>
        </w:rPr>
        <w:t>Bootstrap</w:t>
      </w:r>
      <w:r w:rsidRPr="00A25019">
        <w:rPr>
          <w:rFonts w:ascii="Simplified Arabic" w:hAnsi="Simplified Arabic" w:cs="Simplified Arabic"/>
          <w:color w:val="EE0000"/>
          <w:sz w:val="28"/>
          <w:szCs w:val="28"/>
          <w:highlight w:val="yellow"/>
          <w:rtl/>
        </w:rPr>
        <w:t>: 5,000 عيّنة فرعية بفترة ثقة 95% بالطريقة المُصحَّحة للتحيّز (</w:t>
      </w:r>
      <w:r w:rsidRPr="00A25019">
        <w:rPr>
          <w:rFonts w:ascii="Simplified Arabic" w:hAnsi="Simplified Arabic" w:cs="Simplified Arabic"/>
          <w:color w:val="EE0000"/>
          <w:sz w:val="28"/>
          <w:szCs w:val="28"/>
          <w:highlight w:val="yellow"/>
        </w:rPr>
        <w:t>Bias-Corrected</w:t>
      </w:r>
      <w:r w:rsidRPr="00A25019">
        <w:rPr>
          <w:rFonts w:ascii="Simplified Arabic" w:hAnsi="Simplified Arabic" w:cs="Simplified Arabic"/>
          <w:color w:val="EE0000"/>
          <w:sz w:val="28"/>
          <w:szCs w:val="28"/>
          <w:highlight w:val="yellow"/>
          <w:rtl/>
        </w:rPr>
        <w:t>).</w:t>
      </w:r>
    </w:p>
    <w:p w14:paraId="79582289" w14:textId="77777777" w:rsidR="00A25019" w:rsidRPr="00A25019" w:rsidRDefault="00A25019" w:rsidP="00A25019">
      <w:pPr>
        <w:numPr>
          <w:ilvl w:val="0"/>
          <w:numId w:val="49"/>
        </w:numPr>
        <w:jc w:val="both"/>
        <w:rPr>
          <w:rFonts w:ascii="Simplified Arabic" w:hAnsi="Simplified Arabic" w:cs="Simplified Arabic"/>
          <w:color w:val="EE0000"/>
          <w:sz w:val="28"/>
          <w:szCs w:val="28"/>
          <w:highlight w:val="yellow"/>
          <w:rtl/>
        </w:rPr>
      </w:pPr>
      <w:r w:rsidRPr="00A25019">
        <w:rPr>
          <w:rFonts w:ascii="Simplified Arabic" w:hAnsi="Simplified Arabic" w:cs="Simplified Arabic"/>
          <w:b/>
          <w:bCs/>
          <w:color w:val="EE0000"/>
          <w:sz w:val="28"/>
          <w:szCs w:val="28"/>
          <w:highlight w:val="yellow"/>
          <w:rtl/>
        </w:rPr>
        <w:t>تحديد نوع الوساطة</w:t>
      </w:r>
      <w:r w:rsidRPr="00A25019">
        <w:rPr>
          <w:rFonts w:ascii="Simplified Arabic" w:hAnsi="Simplified Arabic" w:cs="Simplified Arabic"/>
          <w:color w:val="EE0000"/>
          <w:sz w:val="28"/>
          <w:szCs w:val="28"/>
          <w:highlight w:val="yellow"/>
          <w:rtl/>
        </w:rPr>
        <w:t xml:space="preserve">: </w:t>
      </w:r>
    </w:p>
    <w:p w14:paraId="4531E651" w14:textId="77777777" w:rsidR="00A25019" w:rsidRPr="00A25019" w:rsidRDefault="00A25019" w:rsidP="00A25019">
      <w:pPr>
        <w:numPr>
          <w:ilvl w:val="1"/>
          <w:numId w:val="49"/>
        </w:numPr>
        <w:jc w:val="both"/>
        <w:rPr>
          <w:rFonts w:ascii="Simplified Arabic" w:hAnsi="Simplified Arabic" w:cs="Simplified Arabic"/>
          <w:color w:val="EE0000"/>
          <w:sz w:val="28"/>
          <w:szCs w:val="28"/>
          <w:highlight w:val="yellow"/>
          <w:rtl/>
        </w:rPr>
      </w:pPr>
      <w:r w:rsidRPr="00A25019">
        <w:rPr>
          <w:rFonts w:ascii="Simplified Arabic" w:hAnsi="Simplified Arabic" w:cs="Simplified Arabic"/>
          <w:b/>
          <w:bCs/>
          <w:color w:val="EE0000"/>
          <w:sz w:val="28"/>
          <w:szCs w:val="28"/>
          <w:highlight w:val="yellow"/>
          <w:rtl/>
        </w:rPr>
        <w:t>كاملة</w:t>
      </w:r>
      <w:r w:rsidRPr="00A25019">
        <w:rPr>
          <w:rFonts w:ascii="Simplified Arabic" w:hAnsi="Simplified Arabic" w:cs="Simplified Arabic"/>
          <w:color w:val="EE0000"/>
          <w:sz w:val="28"/>
          <w:szCs w:val="28"/>
          <w:highlight w:val="yellow"/>
          <w:rtl/>
        </w:rPr>
        <w:t>: الأثر غير المباشر دالّ + الأثر المباشر غير دالّ.</w:t>
      </w:r>
    </w:p>
    <w:p w14:paraId="265D97B4" w14:textId="77777777" w:rsidR="00A25019" w:rsidRPr="00A25019" w:rsidRDefault="00A25019" w:rsidP="00A25019">
      <w:pPr>
        <w:numPr>
          <w:ilvl w:val="1"/>
          <w:numId w:val="49"/>
        </w:numPr>
        <w:jc w:val="both"/>
        <w:rPr>
          <w:rFonts w:ascii="Simplified Arabic" w:hAnsi="Simplified Arabic" w:cs="Simplified Arabic"/>
          <w:color w:val="EE0000"/>
          <w:sz w:val="28"/>
          <w:szCs w:val="28"/>
          <w:highlight w:val="yellow"/>
          <w:rtl/>
        </w:rPr>
      </w:pPr>
      <w:r w:rsidRPr="00A25019">
        <w:rPr>
          <w:rFonts w:ascii="Simplified Arabic" w:hAnsi="Simplified Arabic" w:cs="Simplified Arabic"/>
          <w:b/>
          <w:bCs/>
          <w:color w:val="EE0000"/>
          <w:sz w:val="28"/>
          <w:szCs w:val="28"/>
          <w:highlight w:val="yellow"/>
          <w:rtl/>
        </w:rPr>
        <w:t>جزئية</w:t>
      </w:r>
      <w:r w:rsidRPr="00A25019">
        <w:rPr>
          <w:rFonts w:ascii="Simplified Arabic" w:hAnsi="Simplified Arabic" w:cs="Simplified Arabic"/>
          <w:color w:val="EE0000"/>
          <w:sz w:val="28"/>
          <w:szCs w:val="28"/>
          <w:highlight w:val="yellow"/>
          <w:rtl/>
        </w:rPr>
        <w:t>: الأثران دالّان معًا.</w:t>
      </w:r>
    </w:p>
    <w:p w14:paraId="6F91ABE7" w14:textId="77777777" w:rsidR="00A25019" w:rsidRPr="00A25019" w:rsidRDefault="00A25019" w:rsidP="00A25019">
      <w:pPr>
        <w:numPr>
          <w:ilvl w:val="1"/>
          <w:numId w:val="49"/>
        </w:numPr>
        <w:jc w:val="both"/>
        <w:rPr>
          <w:rFonts w:ascii="Simplified Arabic" w:hAnsi="Simplified Arabic" w:cs="Simplified Arabic"/>
          <w:color w:val="EE0000"/>
          <w:sz w:val="28"/>
          <w:szCs w:val="28"/>
          <w:highlight w:val="yellow"/>
          <w:rtl/>
        </w:rPr>
      </w:pPr>
      <w:r w:rsidRPr="00A25019">
        <w:rPr>
          <w:rFonts w:ascii="Simplified Arabic" w:hAnsi="Simplified Arabic" w:cs="Simplified Arabic"/>
          <w:b/>
          <w:bCs/>
          <w:color w:val="EE0000"/>
          <w:sz w:val="28"/>
          <w:szCs w:val="28"/>
          <w:highlight w:val="yellow"/>
          <w:rtl/>
        </w:rPr>
        <w:t>لا وساطة</w:t>
      </w:r>
      <w:r w:rsidRPr="00A25019">
        <w:rPr>
          <w:rFonts w:ascii="Simplified Arabic" w:hAnsi="Simplified Arabic" w:cs="Simplified Arabic"/>
          <w:color w:val="EE0000"/>
          <w:sz w:val="28"/>
          <w:szCs w:val="28"/>
          <w:highlight w:val="yellow"/>
          <w:rtl/>
        </w:rPr>
        <w:t>: الأثر غير المباشر غير دالّ.</w:t>
      </w:r>
    </w:p>
    <w:p w14:paraId="427CC31D" w14:textId="77777777" w:rsidR="00A25019" w:rsidRPr="00A25019" w:rsidRDefault="00A25019" w:rsidP="00A25019">
      <w:pPr>
        <w:ind w:left="360"/>
        <w:jc w:val="both"/>
        <w:rPr>
          <w:rFonts w:ascii="Simplified Arabic" w:hAnsi="Simplified Arabic" w:cs="Simplified Arabic"/>
          <w:sz w:val="28"/>
          <w:szCs w:val="28"/>
          <w:highlight w:val="yellow"/>
        </w:rPr>
      </w:pPr>
    </w:p>
    <w:p w14:paraId="475615AA" w14:textId="77777777" w:rsidR="00A25019" w:rsidRPr="00A25019" w:rsidRDefault="00A25019" w:rsidP="00A25019">
      <w:pPr>
        <w:bidi w:val="0"/>
        <w:rPr>
          <w:rFonts w:ascii="Simplified Arabic" w:eastAsiaTheme="majorEastAsia" w:hAnsi="Simplified Arabic" w:cs="Simplified Arabic"/>
          <w:b/>
          <w:bCs/>
          <w:sz w:val="36"/>
          <w:szCs w:val="36"/>
          <w:rtl/>
          <w:lang w:bidi="ar-EG"/>
        </w:rPr>
      </w:pPr>
      <w:bookmarkStart w:id="18" w:name="_Toc202053531"/>
      <w:r w:rsidRPr="00A25019">
        <w:rPr>
          <w:rtl/>
        </w:rPr>
        <w:br w:type="page"/>
      </w:r>
    </w:p>
    <w:p w14:paraId="4C89E456" w14:textId="77777777" w:rsidR="00A25019" w:rsidRPr="00A25019" w:rsidRDefault="00A25019" w:rsidP="00A25019">
      <w:pPr>
        <w:keepNext/>
        <w:keepLines/>
        <w:spacing w:before="360" w:after="80"/>
        <w:outlineLvl w:val="0"/>
        <w:rPr>
          <w:rFonts w:ascii="Simplified Arabic" w:eastAsiaTheme="majorEastAsia" w:hAnsi="Simplified Arabic" w:cs="Simplified Arabic"/>
          <w:b/>
          <w:bCs/>
          <w:sz w:val="36"/>
          <w:szCs w:val="36"/>
          <w:rtl/>
          <w:lang w:bidi="ar-EG"/>
        </w:rPr>
      </w:pPr>
      <w:r w:rsidRPr="00A25019">
        <w:rPr>
          <w:rFonts w:ascii="Simplified Arabic" w:eastAsiaTheme="majorEastAsia" w:hAnsi="Simplified Arabic" w:cs="Simplified Arabic"/>
          <w:b/>
          <w:bCs/>
          <w:sz w:val="36"/>
          <w:szCs w:val="36"/>
          <w:rtl/>
          <w:lang w:bidi="ar-EG"/>
        </w:rPr>
        <w:lastRenderedPageBreak/>
        <w:t>قائمة المراجع:</w:t>
      </w:r>
      <w:bookmarkEnd w:id="18"/>
    </w:p>
    <w:p w14:paraId="61099F51" w14:textId="77777777" w:rsidR="00A25019" w:rsidRPr="00A25019" w:rsidRDefault="00A25019" w:rsidP="00A25019">
      <w:pPr>
        <w:jc w:val="both"/>
        <w:rPr>
          <w:rFonts w:ascii="Simplified Arabic" w:hAnsi="Simplified Arabic" w:cs="Simplified Arabic"/>
          <w:sz w:val="28"/>
          <w:szCs w:val="28"/>
          <w:rtl/>
          <w:lang w:bidi="ar-EG"/>
        </w:rPr>
      </w:pPr>
    </w:p>
    <w:p w14:paraId="4931CBBB" w14:textId="77777777" w:rsidR="00A25019" w:rsidRPr="00A25019" w:rsidRDefault="00A25019" w:rsidP="00A25019">
      <w:pPr>
        <w:numPr>
          <w:ilvl w:val="0"/>
          <w:numId w:val="20"/>
        </w:numPr>
        <w:contextualSpacing/>
        <w:jc w:val="both"/>
        <w:rPr>
          <w:rFonts w:ascii="Simplified Arabic" w:hAnsi="Simplified Arabic" w:cs="Simplified Arabic"/>
          <w:sz w:val="28"/>
          <w:szCs w:val="28"/>
          <w:lang w:bidi="ar-EG"/>
        </w:rPr>
      </w:pPr>
      <w:r w:rsidRPr="00A25019">
        <w:rPr>
          <w:rFonts w:ascii="Simplified Arabic" w:hAnsi="Simplified Arabic" w:cs="Simplified Arabic"/>
          <w:sz w:val="28"/>
          <w:szCs w:val="28"/>
          <w:rtl/>
          <w:lang w:bidi="ar-EG"/>
        </w:rPr>
        <w:t xml:space="preserve">أبو خشبة، محمد محمود محمد. (2022). أثر ممارسات الاستدامة على الأداء المستدام لسلسلة التوريد: الدور الوسيط لممارسات تقليل الفاقد وابتكار العملية: دراسة تطبيقية على عينة من المشروعات الصغيرة والمتوسطة الصناعية في محافظة الإسكندرية. مجلة جامعة الإسكندرية للعلوم الإدارية، مج59, ع6 ، 1 - 30. مسترجع من </w:t>
      </w:r>
      <w:hyperlink r:id="rId9" w:history="1">
        <w:r w:rsidRPr="00A25019">
          <w:rPr>
            <w:rFonts w:ascii="Simplified Arabic" w:hAnsi="Simplified Arabic" w:cs="Simplified Arabic"/>
            <w:color w:val="0563C1" w:themeColor="hyperlink"/>
            <w:sz w:val="28"/>
            <w:szCs w:val="28"/>
            <w:u w:val="single"/>
            <w:lang w:bidi="ar-EG"/>
          </w:rPr>
          <w:t>http://search.mandumah.com/Record/1344435</w:t>
        </w:r>
      </w:hyperlink>
    </w:p>
    <w:p w14:paraId="16618E97" w14:textId="77777777" w:rsidR="00A25019" w:rsidRPr="00A25019" w:rsidRDefault="00A25019" w:rsidP="00A25019">
      <w:pPr>
        <w:numPr>
          <w:ilvl w:val="0"/>
          <w:numId w:val="20"/>
        </w:numPr>
        <w:contextualSpacing/>
        <w:jc w:val="both"/>
        <w:rPr>
          <w:rFonts w:ascii="Simplified Arabic" w:hAnsi="Simplified Arabic" w:cs="Simplified Arabic"/>
          <w:sz w:val="28"/>
          <w:szCs w:val="28"/>
          <w:lang w:bidi="ar-EG"/>
        </w:rPr>
      </w:pPr>
      <w:r w:rsidRPr="00A25019">
        <w:rPr>
          <w:rFonts w:ascii="Simplified Arabic" w:hAnsi="Simplified Arabic" w:cs="Simplified Arabic"/>
          <w:sz w:val="28"/>
          <w:szCs w:val="28"/>
          <w:rtl/>
          <w:lang w:bidi="ar-EG"/>
        </w:rPr>
        <w:t xml:space="preserve">أتشيمبونج، مارتن، و ماهر، شيرين. (2026). التكنولوجيا الذكية والحيل القديمة: التقنيات الرقمية وثغرات الانتخابات في إفريقيا. قراءات إفريقية، ع67 ، 122 - 133. مسترجع من </w:t>
      </w:r>
      <w:hyperlink r:id="rId10" w:history="1">
        <w:r w:rsidRPr="00A25019">
          <w:rPr>
            <w:rFonts w:ascii="Simplified Arabic" w:hAnsi="Simplified Arabic" w:cs="Simplified Arabic"/>
            <w:color w:val="0563C1" w:themeColor="hyperlink"/>
            <w:sz w:val="28"/>
            <w:szCs w:val="28"/>
            <w:u w:val="single"/>
            <w:lang w:bidi="ar-EG"/>
          </w:rPr>
          <w:t>http://search.mandumah.com/Record/1656730</w:t>
        </w:r>
      </w:hyperlink>
    </w:p>
    <w:p w14:paraId="37A7FF89" w14:textId="77777777" w:rsidR="00A25019" w:rsidRPr="00A25019" w:rsidRDefault="00A25019" w:rsidP="00A25019">
      <w:pPr>
        <w:numPr>
          <w:ilvl w:val="0"/>
          <w:numId w:val="20"/>
        </w:numPr>
        <w:contextualSpacing/>
        <w:jc w:val="both"/>
        <w:rPr>
          <w:rFonts w:ascii="Simplified Arabic" w:hAnsi="Simplified Arabic" w:cs="Simplified Arabic"/>
          <w:sz w:val="28"/>
          <w:szCs w:val="28"/>
          <w:lang w:bidi="ar-EG"/>
        </w:rPr>
      </w:pPr>
      <w:r w:rsidRPr="00A25019">
        <w:rPr>
          <w:rFonts w:ascii="Simplified Arabic" w:hAnsi="Simplified Arabic" w:cs="Simplified Arabic"/>
          <w:sz w:val="28"/>
          <w:szCs w:val="28"/>
          <w:rtl/>
          <w:lang w:bidi="ar-EG"/>
        </w:rPr>
        <w:t xml:space="preserve">أحمد، أحمد محمد صالح. (2024). استخدام الذكاء الاصطناعي في إدارة الحشود. الفكر الشرطي، مج33, ع131 ، 111 - 160. مسترجع من </w:t>
      </w:r>
      <w:hyperlink r:id="rId11" w:history="1">
        <w:r w:rsidRPr="00A25019">
          <w:rPr>
            <w:rFonts w:ascii="Simplified Arabic" w:hAnsi="Simplified Arabic" w:cs="Simplified Arabic"/>
            <w:color w:val="0563C1" w:themeColor="hyperlink"/>
            <w:sz w:val="28"/>
            <w:szCs w:val="28"/>
            <w:u w:val="single"/>
            <w:lang w:bidi="ar-EG"/>
          </w:rPr>
          <w:t>http://search.mandumah.com/Record/1521757</w:t>
        </w:r>
      </w:hyperlink>
    </w:p>
    <w:p w14:paraId="43030BF4" w14:textId="77777777" w:rsidR="00A25019" w:rsidRPr="00A25019" w:rsidRDefault="00A25019" w:rsidP="00A25019">
      <w:pPr>
        <w:numPr>
          <w:ilvl w:val="0"/>
          <w:numId w:val="20"/>
        </w:numPr>
        <w:contextualSpacing/>
        <w:jc w:val="both"/>
        <w:rPr>
          <w:rFonts w:ascii="Simplified Arabic" w:hAnsi="Simplified Arabic" w:cs="Simplified Arabic"/>
          <w:sz w:val="28"/>
          <w:szCs w:val="28"/>
          <w:lang w:bidi="ar-EG"/>
        </w:rPr>
      </w:pPr>
      <w:r w:rsidRPr="00A25019">
        <w:rPr>
          <w:rFonts w:ascii="Simplified Arabic" w:hAnsi="Simplified Arabic" w:cs="Simplified Arabic"/>
          <w:sz w:val="28"/>
          <w:szCs w:val="28"/>
          <w:rtl/>
          <w:lang w:bidi="ar-EG"/>
        </w:rPr>
        <w:t xml:space="preserve">أحمد، عبدالناصر محمد سيد. (2024). الاستدامة التنظيمية: التعريف والأهداف والأهمية والأنواع والمبادئ والأبعاد. المجلة العربية للآداب والدراسات الانسانية، ع30 ، 237 - 248. مسترجع من </w:t>
      </w:r>
      <w:hyperlink r:id="rId12" w:history="1">
        <w:r w:rsidRPr="00A25019">
          <w:rPr>
            <w:rFonts w:ascii="Simplified Arabic" w:hAnsi="Simplified Arabic" w:cs="Simplified Arabic"/>
            <w:color w:val="0563C1" w:themeColor="hyperlink"/>
            <w:sz w:val="28"/>
            <w:szCs w:val="28"/>
            <w:u w:val="single"/>
            <w:lang w:bidi="ar-EG"/>
          </w:rPr>
          <w:t>http://search.mandumah.com/Record/1446450</w:t>
        </w:r>
      </w:hyperlink>
    </w:p>
    <w:p w14:paraId="66EE59AB" w14:textId="77777777" w:rsidR="00A25019" w:rsidRPr="00A25019" w:rsidRDefault="00A25019" w:rsidP="00A25019">
      <w:pPr>
        <w:numPr>
          <w:ilvl w:val="0"/>
          <w:numId w:val="20"/>
        </w:numPr>
        <w:contextualSpacing/>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 xml:space="preserve">الحناوي، محمد خالد محمد، شحاتة، طلعت الدمرداش إبراهيم، و الشرقي، عمر زيان. (2023). علاقة طب الحشود بإدارة الحشود في الحج والعمرة. مجلة جامعة الملك عبدالعزيز - الإقتصاد والإدارة، مج37, ع1 ، 1 - 40. مسترجع من </w:t>
      </w:r>
      <w:hyperlink r:id="rId13" w:history="1">
        <w:r w:rsidRPr="00A25019">
          <w:rPr>
            <w:rFonts w:ascii="Simplified Arabic" w:hAnsi="Simplified Arabic" w:cs="Simplified Arabic"/>
            <w:color w:val="0563C1" w:themeColor="hyperlink"/>
            <w:sz w:val="28"/>
            <w:szCs w:val="28"/>
            <w:u w:val="single"/>
            <w:lang w:bidi="ar-EG"/>
          </w:rPr>
          <w:t>http://search.mandumah.com/Record/1472486</w:t>
        </w:r>
      </w:hyperlink>
      <w:r w:rsidRPr="00A25019">
        <w:rPr>
          <w:rFonts w:ascii="Simplified Arabic" w:hAnsi="Simplified Arabic" w:cs="Simplified Arabic"/>
          <w:sz w:val="28"/>
          <w:szCs w:val="28"/>
          <w:lang w:bidi="ar-EG"/>
        </w:rPr>
        <w:t xml:space="preserve"> </w:t>
      </w:r>
    </w:p>
    <w:p w14:paraId="60F2E0A4" w14:textId="77777777" w:rsidR="00A25019" w:rsidRPr="00A25019" w:rsidRDefault="00A25019" w:rsidP="00A25019">
      <w:pPr>
        <w:numPr>
          <w:ilvl w:val="0"/>
          <w:numId w:val="20"/>
        </w:numPr>
        <w:contextualSpacing/>
        <w:jc w:val="both"/>
        <w:rPr>
          <w:rFonts w:ascii="Simplified Arabic" w:hAnsi="Simplified Arabic" w:cs="Simplified Arabic"/>
          <w:sz w:val="28"/>
          <w:szCs w:val="28"/>
          <w:lang w:bidi="ar-EG"/>
        </w:rPr>
      </w:pPr>
      <w:r w:rsidRPr="00A25019">
        <w:rPr>
          <w:rFonts w:ascii="Simplified Arabic" w:hAnsi="Simplified Arabic" w:cs="Simplified Arabic"/>
          <w:sz w:val="28"/>
          <w:szCs w:val="28"/>
          <w:rtl/>
          <w:lang w:bidi="ar-EG"/>
        </w:rPr>
        <w:t xml:space="preserve">راشد، أمال محمد، و عيد، أيمن عادل. (2025). دور المرونة التنظيمية في تحسين الاستدامة التنظيمية: دراسة تطبيقية على مؤسسات التعليم العالي. المجلة العلمیة للدراسات والبحوث المالیة والإداریة، مج17, ع3 ، 445 - 470. مسترجع من </w:t>
      </w:r>
      <w:hyperlink r:id="rId14" w:history="1">
        <w:r w:rsidRPr="00A25019">
          <w:rPr>
            <w:rFonts w:ascii="Simplified Arabic" w:hAnsi="Simplified Arabic" w:cs="Simplified Arabic"/>
            <w:color w:val="0563C1" w:themeColor="hyperlink"/>
            <w:sz w:val="28"/>
            <w:szCs w:val="28"/>
            <w:u w:val="single"/>
            <w:lang w:bidi="ar-EG"/>
          </w:rPr>
          <w:t>http://search.mandumah.com/Record/1628214</w:t>
        </w:r>
      </w:hyperlink>
    </w:p>
    <w:p w14:paraId="60A0E684" w14:textId="77777777" w:rsidR="00A25019" w:rsidRPr="00A25019" w:rsidRDefault="00A25019" w:rsidP="00A25019">
      <w:pPr>
        <w:numPr>
          <w:ilvl w:val="0"/>
          <w:numId w:val="20"/>
        </w:numPr>
        <w:contextualSpacing/>
        <w:jc w:val="both"/>
        <w:rPr>
          <w:rFonts w:ascii="Simplified Arabic" w:hAnsi="Simplified Arabic" w:cs="Simplified Arabic"/>
          <w:sz w:val="28"/>
          <w:szCs w:val="28"/>
          <w:lang w:bidi="ar-EG"/>
        </w:rPr>
      </w:pPr>
      <w:r w:rsidRPr="00A25019">
        <w:rPr>
          <w:rFonts w:ascii="Simplified Arabic" w:hAnsi="Simplified Arabic" w:cs="Simplified Arabic"/>
          <w:sz w:val="28"/>
          <w:szCs w:val="28"/>
          <w:rtl/>
          <w:lang w:bidi="ar-EG"/>
        </w:rPr>
        <w:t xml:space="preserve">الرشيدي، عمر بن عبدالله بن محياء. (2024). التخطيط الاستراتيجي لإدارة الحشود والأزمات باستخدام الذكاء الاصطناعي بالحرمين الشريفين. المجلة الدولية للعلوم التربوية والنفسية، ع76 ، 11 - 55. مسترجع من </w:t>
      </w:r>
      <w:hyperlink r:id="rId15" w:history="1">
        <w:r w:rsidRPr="00A25019">
          <w:rPr>
            <w:rFonts w:ascii="Simplified Arabic" w:hAnsi="Simplified Arabic" w:cs="Simplified Arabic"/>
            <w:color w:val="0563C1" w:themeColor="hyperlink"/>
            <w:sz w:val="28"/>
            <w:szCs w:val="28"/>
            <w:u w:val="single"/>
            <w:lang w:bidi="ar-EG"/>
          </w:rPr>
          <w:t>http://search.mandumah.com/Record/1567868</w:t>
        </w:r>
      </w:hyperlink>
    </w:p>
    <w:p w14:paraId="17B84839" w14:textId="77777777" w:rsidR="00A25019" w:rsidRPr="00A25019" w:rsidRDefault="00A25019" w:rsidP="00A25019">
      <w:pPr>
        <w:numPr>
          <w:ilvl w:val="0"/>
          <w:numId w:val="20"/>
        </w:numPr>
        <w:contextualSpacing/>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lastRenderedPageBreak/>
        <w:t xml:space="preserve">سحنون، قادة. (2023). تطبيق أفضل ممارسات الاستدامة في المؤسسات الصناعية الطاقوية: مؤسسة سابك السعودية أنموذجا. مجلة إدارة الأعمال والدراسات الاقتصادية، مج9, ع1 ، 241 - 254. مسترجع من </w:t>
      </w:r>
      <w:hyperlink r:id="rId16" w:history="1">
        <w:r w:rsidRPr="00A25019">
          <w:rPr>
            <w:rFonts w:ascii="Simplified Arabic" w:hAnsi="Simplified Arabic" w:cs="Simplified Arabic"/>
            <w:color w:val="0563C1" w:themeColor="hyperlink"/>
            <w:sz w:val="28"/>
            <w:szCs w:val="28"/>
            <w:u w:val="single"/>
            <w:lang w:bidi="ar-EG"/>
          </w:rPr>
          <w:t>http://search.mandumah.com/Record/1392033</w:t>
        </w:r>
      </w:hyperlink>
      <w:r w:rsidRPr="00A25019">
        <w:rPr>
          <w:rFonts w:ascii="Simplified Arabic" w:hAnsi="Simplified Arabic" w:cs="Simplified Arabic"/>
          <w:sz w:val="28"/>
          <w:szCs w:val="28"/>
          <w:lang w:bidi="ar-EG"/>
        </w:rPr>
        <w:t xml:space="preserve"> </w:t>
      </w:r>
    </w:p>
    <w:p w14:paraId="13B76643" w14:textId="77777777" w:rsidR="00A25019" w:rsidRPr="00A25019" w:rsidRDefault="00A25019" w:rsidP="00A25019">
      <w:pPr>
        <w:numPr>
          <w:ilvl w:val="0"/>
          <w:numId w:val="20"/>
        </w:numPr>
        <w:contextualSpacing/>
        <w:jc w:val="both"/>
        <w:rPr>
          <w:rFonts w:ascii="Simplified Arabic" w:hAnsi="Simplified Arabic" w:cs="Simplified Arabic"/>
          <w:sz w:val="28"/>
          <w:szCs w:val="28"/>
          <w:lang w:bidi="ar-EG"/>
        </w:rPr>
      </w:pPr>
      <w:r w:rsidRPr="00A25019">
        <w:rPr>
          <w:rFonts w:ascii="Simplified Arabic" w:hAnsi="Simplified Arabic" w:cs="Simplified Arabic"/>
          <w:sz w:val="28"/>
          <w:szCs w:val="28"/>
          <w:rtl/>
          <w:lang w:bidi="ar-EG"/>
        </w:rPr>
        <w:t xml:space="preserve">الشريفي، زينب هادي معيوف، و العنزي، أميرة خضير كاظم. (2022). تأثير الاستدامة التنظيمية على السمعة التنظيمية: دراسة تطبيقية في الشركة العامة للاسمنت العراقية- معاونية السمنت الجنوبية. مجلة الغري للعلوم الاقتصادية والإدارية، مج18, ع3 ، 817 - 838. مسترجع من </w:t>
      </w:r>
      <w:hyperlink r:id="rId17" w:history="1">
        <w:r w:rsidRPr="00A25019">
          <w:rPr>
            <w:rFonts w:ascii="Simplified Arabic" w:hAnsi="Simplified Arabic" w:cs="Simplified Arabic"/>
            <w:color w:val="0563C1" w:themeColor="hyperlink"/>
            <w:sz w:val="28"/>
            <w:szCs w:val="28"/>
            <w:u w:val="single"/>
            <w:lang w:bidi="ar-EG"/>
          </w:rPr>
          <w:t>http://search.mandumah.com/Record/1403096</w:t>
        </w:r>
      </w:hyperlink>
    </w:p>
    <w:p w14:paraId="7DDACA9D" w14:textId="77777777" w:rsidR="00A25019" w:rsidRPr="00A25019" w:rsidRDefault="00A25019" w:rsidP="00A25019">
      <w:pPr>
        <w:numPr>
          <w:ilvl w:val="0"/>
          <w:numId w:val="20"/>
        </w:numPr>
        <w:contextualSpacing/>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 xml:space="preserve">صالحي، نصيرة. (2021). القوة الذكية: التنافس العالمي على قوة الفضاء الإلكتروني والقدرات السيبرانية. دفاتر السياسة والقانون، مج13, ع1 ، 374 - 385. مسترجع من </w:t>
      </w:r>
      <w:hyperlink r:id="rId18" w:history="1">
        <w:r w:rsidRPr="00A25019">
          <w:rPr>
            <w:rFonts w:ascii="Simplified Arabic" w:hAnsi="Simplified Arabic" w:cs="Simplified Arabic"/>
            <w:color w:val="0563C1" w:themeColor="hyperlink"/>
            <w:sz w:val="28"/>
            <w:szCs w:val="28"/>
            <w:u w:val="single"/>
            <w:lang w:bidi="ar-EG"/>
          </w:rPr>
          <w:t>http://search.mandumah.com/Record/1107332</w:t>
        </w:r>
      </w:hyperlink>
      <w:r w:rsidRPr="00A25019">
        <w:rPr>
          <w:rFonts w:ascii="Simplified Arabic" w:hAnsi="Simplified Arabic" w:cs="Simplified Arabic"/>
          <w:sz w:val="28"/>
          <w:szCs w:val="28"/>
          <w:lang w:bidi="ar-EG"/>
        </w:rPr>
        <w:t xml:space="preserve"> </w:t>
      </w:r>
    </w:p>
    <w:p w14:paraId="4D9BE4AB" w14:textId="77777777" w:rsidR="00A25019" w:rsidRPr="00A25019" w:rsidRDefault="00A25019" w:rsidP="00A25019">
      <w:pPr>
        <w:numPr>
          <w:ilvl w:val="0"/>
          <w:numId w:val="20"/>
        </w:numPr>
        <w:contextualSpacing/>
        <w:jc w:val="both"/>
        <w:rPr>
          <w:rFonts w:ascii="Simplified Arabic" w:hAnsi="Simplified Arabic" w:cs="Simplified Arabic"/>
          <w:sz w:val="28"/>
          <w:szCs w:val="28"/>
          <w:lang w:bidi="ar-EG"/>
        </w:rPr>
      </w:pPr>
      <w:r w:rsidRPr="00A25019">
        <w:rPr>
          <w:rFonts w:ascii="Simplified Arabic" w:hAnsi="Simplified Arabic" w:cs="Simplified Arabic"/>
          <w:sz w:val="28"/>
          <w:szCs w:val="28"/>
          <w:rtl/>
          <w:lang w:bidi="ar-EG"/>
        </w:rPr>
        <w:t xml:space="preserve">طيبة، حسن بن عبدالقادر، عقيلي، محمد بن عمر بن علي، و خوج، محمد بن هاشم. (2025). أثر استخدام تقنيات الذكاء الاصطناعي على إدارة الحشود: دراسة ميدانية على موظفي الإدارة العامة للحشود بالهيئة العامة للعناية بشؤون المسجد الحرام والمسجد النبوي في مدينة مكة المكرمة. مجلة العلوم الإقتصادية والإدارية والقانونية، مج9, ع10 ، 73 - 91. مسترجع من </w:t>
      </w:r>
      <w:hyperlink r:id="rId19" w:history="1">
        <w:r w:rsidRPr="00A25019">
          <w:rPr>
            <w:rFonts w:ascii="Simplified Arabic" w:hAnsi="Simplified Arabic" w:cs="Simplified Arabic"/>
            <w:color w:val="0563C1" w:themeColor="hyperlink"/>
            <w:sz w:val="28"/>
            <w:szCs w:val="28"/>
            <w:u w:val="single"/>
            <w:lang w:bidi="ar-EG"/>
          </w:rPr>
          <w:t>http://search.mandumah.com/Record/1630310</w:t>
        </w:r>
      </w:hyperlink>
    </w:p>
    <w:p w14:paraId="70A042DE" w14:textId="77777777" w:rsidR="00A25019" w:rsidRPr="00A25019" w:rsidRDefault="00A25019" w:rsidP="00A25019">
      <w:pPr>
        <w:numPr>
          <w:ilvl w:val="0"/>
          <w:numId w:val="20"/>
        </w:numPr>
        <w:contextualSpacing/>
        <w:jc w:val="both"/>
        <w:rPr>
          <w:rFonts w:ascii="Simplified Arabic" w:hAnsi="Simplified Arabic" w:cs="Simplified Arabic"/>
          <w:sz w:val="28"/>
          <w:szCs w:val="28"/>
          <w:lang w:bidi="ar-EG"/>
        </w:rPr>
      </w:pPr>
      <w:r w:rsidRPr="00A25019">
        <w:rPr>
          <w:rFonts w:ascii="Simplified Arabic" w:hAnsi="Simplified Arabic" w:cs="Simplified Arabic"/>
          <w:sz w:val="28"/>
          <w:szCs w:val="28"/>
          <w:rtl/>
          <w:lang w:bidi="ar-EG"/>
        </w:rPr>
        <w:t xml:space="preserve">العاني، آلاء عبدالموجود عبدالجبار، و عبدالله، نور الدين محمد. (2021). تحليل واقع ممارسات الاستدامة المنظمية في المنظمات الصناعية العراقية: دراسة مقارنة بين معاونية السمنت الشمالية والشركة العامة لكبريت المشراق. مجلة تكريت للعلوم الإدارية والاقتصادية، مج17, ع55 ، 398 - 412. مسترجع من </w:t>
      </w:r>
      <w:hyperlink r:id="rId20" w:history="1">
        <w:r w:rsidRPr="00A25019">
          <w:rPr>
            <w:rFonts w:ascii="Simplified Arabic" w:hAnsi="Simplified Arabic" w:cs="Simplified Arabic"/>
            <w:color w:val="0563C1" w:themeColor="hyperlink"/>
            <w:sz w:val="28"/>
            <w:szCs w:val="28"/>
            <w:u w:val="single"/>
            <w:lang w:bidi="ar-EG"/>
          </w:rPr>
          <w:t>http://search.mandumah.com/Record/1205211</w:t>
        </w:r>
      </w:hyperlink>
    </w:p>
    <w:p w14:paraId="4F323B2E" w14:textId="77777777" w:rsidR="00A25019" w:rsidRPr="00A25019" w:rsidRDefault="00A25019" w:rsidP="00A25019">
      <w:pPr>
        <w:numPr>
          <w:ilvl w:val="0"/>
          <w:numId w:val="20"/>
        </w:numPr>
        <w:contextualSpacing/>
        <w:jc w:val="both"/>
        <w:rPr>
          <w:rFonts w:ascii="Simplified Arabic" w:hAnsi="Simplified Arabic" w:cs="Simplified Arabic"/>
          <w:sz w:val="28"/>
          <w:szCs w:val="28"/>
          <w:lang w:bidi="ar-EG"/>
        </w:rPr>
      </w:pPr>
      <w:r w:rsidRPr="00A25019">
        <w:rPr>
          <w:rFonts w:ascii="Simplified Arabic" w:hAnsi="Simplified Arabic" w:cs="Simplified Arabic"/>
          <w:sz w:val="28"/>
          <w:szCs w:val="28"/>
          <w:rtl/>
          <w:lang w:bidi="ar-EG"/>
        </w:rPr>
        <w:t xml:space="preserve">عبدالرحيم، أيمن سعد الدين. (2024). إدارة الحشود والسيطرة عليها: فنيات واستراتيجيات. مجلة الأمن والقانون، مج32, ع2 ، 216 - 308. مسترجع من </w:t>
      </w:r>
      <w:hyperlink r:id="rId21" w:history="1">
        <w:r w:rsidRPr="00A25019">
          <w:rPr>
            <w:rFonts w:ascii="Simplified Arabic" w:hAnsi="Simplified Arabic" w:cs="Simplified Arabic"/>
            <w:color w:val="0563C1" w:themeColor="hyperlink"/>
            <w:sz w:val="28"/>
            <w:szCs w:val="28"/>
            <w:u w:val="single"/>
            <w:lang w:bidi="ar-EG"/>
          </w:rPr>
          <w:t>http://search.mandumah.com/Record/1579441</w:t>
        </w:r>
      </w:hyperlink>
    </w:p>
    <w:p w14:paraId="5515295A" w14:textId="77777777" w:rsidR="00A25019" w:rsidRPr="00A25019" w:rsidRDefault="00A25019" w:rsidP="00A25019">
      <w:pPr>
        <w:numPr>
          <w:ilvl w:val="0"/>
          <w:numId w:val="20"/>
        </w:numPr>
        <w:contextualSpacing/>
        <w:jc w:val="both"/>
        <w:rPr>
          <w:rFonts w:ascii="Simplified Arabic" w:hAnsi="Simplified Arabic" w:cs="Simplified Arabic"/>
          <w:sz w:val="28"/>
          <w:szCs w:val="28"/>
          <w:lang w:bidi="ar-EG"/>
        </w:rPr>
      </w:pPr>
      <w:r w:rsidRPr="00A25019">
        <w:rPr>
          <w:rFonts w:ascii="Simplified Arabic" w:hAnsi="Simplified Arabic" w:cs="Simplified Arabic"/>
          <w:sz w:val="28"/>
          <w:szCs w:val="28"/>
          <w:rtl/>
          <w:lang w:bidi="ar-EG"/>
        </w:rPr>
        <w:t xml:space="preserve">علي، السيد صلاح الدين سيد محمد. (2021). دور تكنولوجيا المعلومات والاتصالات في تحقيق الاستدامة البيئية. مجلة النيل للعلوم التجارية والقانونية ونظم المعلومات، مج1, ع1 ، 73 - 95. مسترجع من </w:t>
      </w:r>
      <w:hyperlink r:id="rId22" w:history="1">
        <w:r w:rsidRPr="00A25019">
          <w:rPr>
            <w:rFonts w:ascii="Simplified Arabic" w:hAnsi="Simplified Arabic" w:cs="Simplified Arabic"/>
            <w:color w:val="0563C1" w:themeColor="hyperlink"/>
            <w:sz w:val="28"/>
            <w:szCs w:val="28"/>
            <w:u w:val="single"/>
            <w:lang w:bidi="ar-EG"/>
          </w:rPr>
          <w:t>http://search.mandumah.com/Record/1524160</w:t>
        </w:r>
      </w:hyperlink>
      <w:r w:rsidRPr="00A25019">
        <w:rPr>
          <w:rFonts w:ascii="Simplified Arabic" w:hAnsi="Simplified Arabic" w:cs="Simplified Arabic"/>
          <w:sz w:val="28"/>
          <w:szCs w:val="28"/>
          <w:lang w:bidi="ar-EG"/>
        </w:rPr>
        <w:t xml:space="preserve"> </w:t>
      </w:r>
    </w:p>
    <w:p w14:paraId="27E05323" w14:textId="77777777" w:rsidR="00A25019" w:rsidRPr="00A25019" w:rsidRDefault="00A25019" w:rsidP="00A25019">
      <w:pPr>
        <w:numPr>
          <w:ilvl w:val="0"/>
          <w:numId w:val="20"/>
        </w:numPr>
        <w:contextualSpacing/>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lastRenderedPageBreak/>
        <w:t xml:space="preserve">عياد، دنيا بنت عبدالعزيز. (2022). دور الإدارة الإلكترونية في تحسين إدارة الحشود من وجهة نظر العاملين في منظومة الحج والعمرة. مجلة العلوم الإقتصادية والإدارية والقانونية، مج6, ع6 ، 116 - 148. مسترجع من </w:t>
      </w:r>
      <w:hyperlink r:id="rId23" w:history="1">
        <w:r w:rsidRPr="00A25019">
          <w:rPr>
            <w:rFonts w:ascii="Simplified Arabic" w:hAnsi="Simplified Arabic" w:cs="Simplified Arabic"/>
            <w:color w:val="0563C1" w:themeColor="hyperlink"/>
            <w:sz w:val="28"/>
            <w:szCs w:val="28"/>
            <w:u w:val="single"/>
            <w:lang w:bidi="ar-EG"/>
          </w:rPr>
          <w:t>http://search.mandumah.com/Record/1264224</w:t>
        </w:r>
      </w:hyperlink>
      <w:r w:rsidRPr="00A25019">
        <w:rPr>
          <w:rFonts w:ascii="Simplified Arabic" w:hAnsi="Simplified Arabic" w:cs="Simplified Arabic"/>
          <w:sz w:val="28"/>
          <w:szCs w:val="28"/>
          <w:lang w:bidi="ar-EG"/>
        </w:rPr>
        <w:t xml:space="preserve"> </w:t>
      </w:r>
    </w:p>
    <w:p w14:paraId="63E23FB4" w14:textId="77777777" w:rsidR="00A25019" w:rsidRPr="00A25019" w:rsidRDefault="00A25019" w:rsidP="00A25019">
      <w:pPr>
        <w:numPr>
          <w:ilvl w:val="0"/>
          <w:numId w:val="20"/>
        </w:numPr>
        <w:contextualSpacing/>
        <w:jc w:val="both"/>
        <w:rPr>
          <w:rFonts w:ascii="Simplified Arabic" w:hAnsi="Simplified Arabic" w:cs="Simplified Arabic"/>
          <w:sz w:val="28"/>
          <w:szCs w:val="28"/>
          <w:lang w:bidi="ar-EG"/>
        </w:rPr>
      </w:pPr>
      <w:r w:rsidRPr="00A25019">
        <w:rPr>
          <w:rFonts w:ascii="Simplified Arabic" w:hAnsi="Simplified Arabic" w:cs="Simplified Arabic"/>
          <w:sz w:val="28"/>
          <w:szCs w:val="28"/>
          <w:rtl/>
          <w:lang w:bidi="ar-EG"/>
        </w:rPr>
        <w:t xml:space="preserve">الفتلاوي، ماجد جبار غزاي، و العبيدي، فرح علي عبد. (2022). انعكاس التجديد الاستراتيجي على الاستدامة التنظيمية: دراسة استطلاعية لآراء القيادات الجامعية في الجامعات العراقية. مجلة الغري للعلوم الاقتصادية والإدارية، مج18, ع2 ، 393 - 416. مسترجع من </w:t>
      </w:r>
      <w:hyperlink r:id="rId24" w:history="1">
        <w:r w:rsidRPr="00A25019">
          <w:rPr>
            <w:rFonts w:ascii="Simplified Arabic" w:hAnsi="Simplified Arabic" w:cs="Simplified Arabic"/>
            <w:color w:val="0563C1" w:themeColor="hyperlink"/>
            <w:sz w:val="28"/>
            <w:szCs w:val="28"/>
            <w:u w:val="single"/>
            <w:lang w:bidi="ar-EG"/>
          </w:rPr>
          <w:t>http://search.mandumah.com/Record/1353626</w:t>
        </w:r>
      </w:hyperlink>
    </w:p>
    <w:p w14:paraId="79B2BBFF" w14:textId="77777777" w:rsidR="00A25019" w:rsidRPr="00A25019" w:rsidRDefault="00A25019" w:rsidP="00A25019">
      <w:pPr>
        <w:numPr>
          <w:ilvl w:val="0"/>
          <w:numId w:val="20"/>
        </w:numPr>
        <w:contextualSpacing/>
        <w:jc w:val="both"/>
        <w:rPr>
          <w:rFonts w:ascii="Simplified Arabic" w:hAnsi="Simplified Arabic" w:cs="Simplified Arabic"/>
          <w:sz w:val="28"/>
          <w:szCs w:val="28"/>
          <w:lang w:bidi="ar-EG"/>
        </w:rPr>
      </w:pPr>
      <w:r w:rsidRPr="00A25019">
        <w:rPr>
          <w:rFonts w:ascii="Simplified Arabic" w:hAnsi="Simplified Arabic" w:cs="Simplified Arabic"/>
          <w:sz w:val="28"/>
          <w:szCs w:val="28"/>
          <w:rtl/>
          <w:lang w:bidi="ar-EG"/>
        </w:rPr>
        <w:t xml:space="preserve">الفرائضي، حمدة بنت عبدالله بن محمد. (2025). آليات تفعيل دور التخطيط الاستراتيجي في تحسين الإدارة الذكية لحشود الحجاج في ضوء رؤية المملكة 2030. مجلة جامعة أم القرى للعلوم الإجتماعية، مج17, ع1 ، 139 - 154. مسترجع من </w:t>
      </w:r>
      <w:hyperlink r:id="rId25" w:history="1">
        <w:r w:rsidRPr="00A25019">
          <w:rPr>
            <w:rFonts w:ascii="Simplified Arabic" w:hAnsi="Simplified Arabic" w:cs="Simplified Arabic"/>
            <w:color w:val="0563C1" w:themeColor="hyperlink"/>
            <w:sz w:val="28"/>
            <w:szCs w:val="28"/>
            <w:u w:val="single"/>
            <w:lang w:bidi="ar-EG"/>
          </w:rPr>
          <w:t>http://search.mandumah.com/Record/1643121</w:t>
        </w:r>
      </w:hyperlink>
    </w:p>
    <w:p w14:paraId="58E31D25" w14:textId="77777777" w:rsidR="00A25019" w:rsidRPr="00A25019" w:rsidRDefault="00A25019" w:rsidP="00A25019">
      <w:pPr>
        <w:numPr>
          <w:ilvl w:val="0"/>
          <w:numId w:val="20"/>
        </w:numPr>
        <w:contextualSpacing/>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 xml:space="preserve">محمود، رحاب عبدالمنعم أحمد، و عثمان، أحمد محمد حسن. (2024). تأثير ممارسات الاستدامة في سلاسل الامداد على الكفاءة التشغيلية للشركات: الدور الوسيط للتحول الرقمي: دراسة تطبيقية على الشركات الصناعية المدرجة في البورصة المصرية. مجلة راية الدولية للعلوم التجارية، مج3, ع11 ، 1885 - 1974. مسترجع من </w:t>
      </w:r>
      <w:hyperlink r:id="rId26" w:history="1">
        <w:r w:rsidRPr="00A25019">
          <w:rPr>
            <w:rFonts w:ascii="Simplified Arabic" w:hAnsi="Simplified Arabic" w:cs="Simplified Arabic"/>
            <w:sz w:val="28"/>
            <w:szCs w:val="28"/>
            <w:u w:val="single"/>
            <w:lang w:bidi="ar-EG"/>
          </w:rPr>
          <w:t>http://search.mandumah.com/Record/1525127</w:t>
        </w:r>
      </w:hyperlink>
      <w:r w:rsidRPr="00A25019">
        <w:rPr>
          <w:rFonts w:ascii="Simplified Arabic" w:hAnsi="Simplified Arabic" w:cs="Simplified Arabic"/>
          <w:sz w:val="28"/>
          <w:szCs w:val="28"/>
          <w:lang w:bidi="ar-EG"/>
        </w:rPr>
        <w:t xml:space="preserve"> </w:t>
      </w:r>
    </w:p>
    <w:p w14:paraId="1BE209DB" w14:textId="77777777" w:rsidR="00A25019" w:rsidRPr="00A25019" w:rsidRDefault="00A25019" w:rsidP="00A25019">
      <w:pPr>
        <w:numPr>
          <w:ilvl w:val="0"/>
          <w:numId w:val="20"/>
        </w:numPr>
        <w:contextualSpacing/>
        <w:jc w:val="both"/>
        <w:rPr>
          <w:rFonts w:ascii="Simplified Arabic" w:hAnsi="Simplified Arabic" w:cs="Simplified Arabic"/>
          <w:sz w:val="28"/>
          <w:szCs w:val="28"/>
          <w:lang w:bidi="ar-EG"/>
        </w:rPr>
      </w:pPr>
      <w:r w:rsidRPr="00A25019">
        <w:rPr>
          <w:rFonts w:ascii="Simplified Arabic" w:hAnsi="Simplified Arabic" w:cs="Simplified Arabic"/>
          <w:sz w:val="28"/>
          <w:szCs w:val="28"/>
          <w:rtl/>
          <w:lang w:bidi="ar-EG"/>
        </w:rPr>
        <w:t xml:space="preserve">الميالي، حاكم أحسوني مكرود، و الحسني، محمد هادي باسم. (2022). دور الاستقامة التنظيمية في تعزيز الاستدامة التنظيمية: دراسة استطلاعية في جامعة الكوفة. مجلة الغري للعلوم الاقتصادية والإدارية، مج18, ع2 ، 417 - 440. مسترجع من </w:t>
      </w:r>
      <w:hyperlink r:id="rId27" w:history="1">
        <w:r w:rsidRPr="00A25019">
          <w:rPr>
            <w:rFonts w:ascii="Simplified Arabic" w:hAnsi="Simplified Arabic" w:cs="Simplified Arabic"/>
            <w:color w:val="0563C1" w:themeColor="hyperlink"/>
            <w:sz w:val="28"/>
            <w:szCs w:val="28"/>
            <w:u w:val="single"/>
            <w:lang w:bidi="ar-EG"/>
          </w:rPr>
          <w:t>http://search.mandumah.com/Record/1353644</w:t>
        </w:r>
      </w:hyperlink>
    </w:p>
    <w:p w14:paraId="49A0E23C" w14:textId="77777777" w:rsidR="00A25019" w:rsidRPr="00A25019" w:rsidRDefault="00A25019" w:rsidP="00A25019">
      <w:pPr>
        <w:numPr>
          <w:ilvl w:val="0"/>
          <w:numId w:val="20"/>
        </w:numPr>
        <w:contextualSpacing/>
        <w:jc w:val="both"/>
        <w:rPr>
          <w:rFonts w:ascii="Simplified Arabic" w:hAnsi="Simplified Arabic" w:cs="Simplified Arabic"/>
          <w:sz w:val="28"/>
          <w:szCs w:val="28"/>
          <w:rtl/>
          <w:lang w:bidi="ar-EG"/>
        </w:rPr>
      </w:pPr>
      <w:r w:rsidRPr="00A25019">
        <w:rPr>
          <w:rFonts w:ascii="Simplified Arabic" w:hAnsi="Simplified Arabic" w:cs="Simplified Arabic"/>
          <w:sz w:val="28"/>
          <w:szCs w:val="28"/>
          <w:rtl/>
          <w:lang w:bidi="ar-EG"/>
        </w:rPr>
        <w:t xml:space="preserve">هاشم، بسمة مزعل، وعبد السادة، أساور عبد الحسين. (2023). تكنولوجيا الاتصال: ماهيتها وآثارها. مجلة الدراسات المستدامة، مج5,العدد الرابع، ملحق(2) ، 1158 - 1185. مسترجع من </w:t>
      </w:r>
      <w:hyperlink r:id="rId28" w:history="1">
        <w:r w:rsidRPr="00A25019">
          <w:rPr>
            <w:rFonts w:ascii="Simplified Arabic" w:hAnsi="Simplified Arabic" w:cs="Simplified Arabic"/>
            <w:sz w:val="28"/>
            <w:szCs w:val="28"/>
            <w:u w:val="single"/>
            <w:lang w:bidi="ar-EG"/>
          </w:rPr>
          <w:t>http://search.mandumah.com/Record/1422238</w:t>
        </w:r>
      </w:hyperlink>
      <w:r w:rsidRPr="00A25019">
        <w:rPr>
          <w:rFonts w:ascii="Simplified Arabic" w:hAnsi="Simplified Arabic" w:cs="Simplified Arabic"/>
          <w:sz w:val="28"/>
          <w:szCs w:val="28"/>
          <w:lang w:bidi="ar-EG"/>
        </w:rPr>
        <w:t xml:space="preserve"> </w:t>
      </w:r>
    </w:p>
    <w:p w14:paraId="3C14032B" w14:textId="77777777" w:rsidR="00A25019" w:rsidRPr="00A25019" w:rsidRDefault="00A25019" w:rsidP="00A25019">
      <w:pPr>
        <w:numPr>
          <w:ilvl w:val="0"/>
          <w:numId w:val="20"/>
        </w:numPr>
        <w:contextualSpacing/>
        <w:jc w:val="both"/>
        <w:rPr>
          <w:rFonts w:ascii="Simplified Arabic" w:hAnsi="Simplified Arabic" w:cs="Simplified Arabic"/>
          <w:sz w:val="28"/>
          <w:szCs w:val="28"/>
          <w:lang w:bidi="ar-EG"/>
        </w:rPr>
      </w:pPr>
      <w:r w:rsidRPr="00A25019">
        <w:rPr>
          <w:rFonts w:ascii="Simplified Arabic" w:hAnsi="Simplified Arabic" w:cs="Simplified Arabic"/>
          <w:sz w:val="28"/>
          <w:szCs w:val="28"/>
          <w:rtl/>
          <w:lang w:bidi="ar-EG"/>
        </w:rPr>
        <w:t>الهيئة العامة للإحصاء. (2025). علاقة طب الحشود بإدارة الحشود في الحج والعمرة. نشرة إحصاءات الحج لعام 1446هـ.</w:t>
      </w:r>
      <w:r w:rsidRPr="00A25019">
        <w:t xml:space="preserve"> </w:t>
      </w:r>
      <w:r w:rsidRPr="00A25019">
        <w:rPr>
          <w:rFonts w:ascii="Simplified Arabic" w:hAnsi="Simplified Arabic" w:cs="Simplified Arabic"/>
          <w:sz w:val="28"/>
          <w:szCs w:val="28"/>
          <w:lang w:bidi="ar-EG"/>
        </w:rPr>
        <w:t xml:space="preserve">. </w:t>
      </w:r>
      <w:r w:rsidRPr="00A25019">
        <w:rPr>
          <w:rFonts w:ascii="Simplified Arabic" w:hAnsi="Simplified Arabic" w:cs="Simplified Arabic"/>
          <w:sz w:val="28"/>
          <w:szCs w:val="28"/>
          <w:rtl/>
        </w:rPr>
        <w:t>مسترجع في 2 يوليو 2025، من</w:t>
      </w:r>
      <w:r w:rsidRPr="00A25019">
        <w:rPr>
          <w:rFonts w:ascii="Simplified Arabic" w:hAnsi="Simplified Arabic" w:cs="Simplified Arabic"/>
          <w:sz w:val="28"/>
          <w:szCs w:val="28"/>
          <w:rtl/>
          <w:lang w:bidi="ar-EG"/>
        </w:rPr>
        <w:t xml:space="preserve"> </w:t>
      </w:r>
      <w:hyperlink r:id="rId29" w:history="1">
        <w:r w:rsidRPr="00A25019">
          <w:rPr>
            <w:rFonts w:ascii="Simplified Arabic" w:hAnsi="Simplified Arabic" w:cs="Simplified Arabic"/>
            <w:sz w:val="28"/>
            <w:szCs w:val="28"/>
            <w:u w:val="single"/>
            <w:lang w:bidi="ar-EG"/>
          </w:rPr>
          <w:t>https://www.stats.gov.sa/documents/20117/2435281/Hajj+Statistics+Publication+2025AR.pdf</w:t>
        </w:r>
      </w:hyperlink>
      <w:r w:rsidRPr="00A25019">
        <w:rPr>
          <w:rFonts w:ascii="Simplified Arabic" w:hAnsi="Simplified Arabic" w:cs="Simplified Arabic"/>
          <w:sz w:val="28"/>
          <w:szCs w:val="28"/>
          <w:rtl/>
          <w:lang w:bidi="ar-EG"/>
        </w:rPr>
        <w:t xml:space="preserve"> </w:t>
      </w:r>
    </w:p>
    <w:p w14:paraId="66CA6D9F" w14:textId="77777777" w:rsidR="00A25019" w:rsidRPr="00A25019" w:rsidRDefault="00A25019" w:rsidP="00A25019">
      <w:pPr>
        <w:numPr>
          <w:ilvl w:val="0"/>
          <w:numId w:val="20"/>
        </w:numPr>
        <w:contextualSpacing/>
        <w:jc w:val="both"/>
        <w:rPr>
          <w:rFonts w:ascii="Simplified Arabic" w:hAnsi="Simplified Arabic" w:cs="Simplified Arabic"/>
          <w:sz w:val="28"/>
          <w:szCs w:val="28"/>
          <w:lang w:bidi="ar-EG"/>
        </w:rPr>
      </w:pPr>
      <w:r w:rsidRPr="00A25019">
        <w:rPr>
          <w:rFonts w:ascii="Simplified Arabic" w:hAnsi="Simplified Arabic" w:cs="Simplified Arabic"/>
          <w:sz w:val="28"/>
          <w:szCs w:val="28"/>
          <w:rtl/>
          <w:lang w:bidi="ar-EG"/>
        </w:rPr>
        <w:lastRenderedPageBreak/>
        <w:t>وزارة الحج والعمرة. (2023). التقرير السنوي لأعمال موسم الحج. وزارة الحج والعمرة – المملكة العربية السعودية.</w:t>
      </w:r>
      <w:r w:rsidRPr="00A25019">
        <w:t xml:space="preserve"> </w:t>
      </w:r>
      <w:r w:rsidRPr="00A25019">
        <w:rPr>
          <w:rFonts w:ascii="Simplified Arabic" w:hAnsi="Simplified Arabic" w:cs="Simplified Arabic"/>
          <w:sz w:val="28"/>
          <w:szCs w:val="28"/>
          <w:lang w:bidi="ar-EG"/>
        </w:rPr>
        <w:t xml:space="preserve">. </w:t>
      </w:r>
      <w:r w:rsidRPr="00A25019">
        <w:rPr>
          <w:rFonts w:ascii="Simplified Arabic" w:hAnsi="Simplified Arabic" w:cs="Simplified Arabic"/>
          <w:sz w:val="28"/>
          <w:szCs w:val="28"/>
          <w:rtl/>
        </w:rPr>
        <w:t xml:space="preserve">مسترجع في 26 يونيو 2025، من </w:t>
      </w:r>
      <w:hyperlink r:id="rId30" w:tgtFrame="_new" w:history="1">
        <w:r w:rsidRPr="00A25019">
          <w:rPr>
            <w:rFonts w:ascii="Simplified Arabic" w:hAnsi="Simplified Arabic" w:cs="Simplified Arabic"/>
            <w:sz w:val="28"/>
            <w:szCs w:val="28"/>
            <w:u w:val="single"/>
            <w:lang w:bidi="ar-EG"/>
          </w:rPr>
          <w:t>https://www.haj.gov.sa</w:t>
        </w:r>
      </w:hyperlink>
      <w:r w:rsidRPr="00A25019">
        <w:rPr>
          <w:rFonts w:ascii="Simplified Arabic" w:hAnsi="Simplified Arabic" w:cs="Simplified Arabic"/>
          <w:sz w:val="28"/>
          <w:szCs w:val="28"/>
          <w:rtl/>
          <w:lang w:bidi="ar-EG"/>
        </w:rPr>
        <w:t xml:space="preserve"> </w:t>
      </w:r>
      <w:hyperlink r:id="rId31" w:history="1">
        <w:r w:rsidRPr="00A25019">
          <w:rPr>
            <w:rFonts w:ascii="Simplified Arabic" w:hAnsi="Simplified Arabic" w:cs="Simplified Arabic"/>
            <w:sz w:val="28"/>
            <w:szCs w:val="28"/>
            <w:u w:val="single"/>
            <w:lang w:bidi="ar-EG"/>
          </w:rPr>
          <w:t>https://www.haj.gov.sa</w:t>
        </w:r>
      </w:hyperlink>
      <w:r w:rsidRPr="00A25019">
        <w:rPr>
          <w:rFonts w:ascii="Simplified Arabic" w:hAnsi="Simplified Arabic" w:cs="Simplified Arabic"/>
          <w:sz w:val="28"/>
          <w:szCs w:val="28"/>
          <w:lang w:bidi="ar-EG"/>
        </w:rPr>
        <w:t xml:space="preserve"> </w:t>
      </w:r>
    </w:p>
    <w:p w14:paraId="7EDC6744" w14:textId="77777777" w:rsidR="00A25019" w:rsidRPr="00A25019" w:rsidRDefault="00A25019" w:rsidP="00A25019">
      <w:pPr>
        <w:numPr>
          <w:ilvl w:val="0"/>
          <w:numId w:val="20"/>
        </w:numPr>
        <w:contextualSpacing/>
        <w:jc w:val="both"/>
        <w:rPr>
          <w:rFonts w:ascii="Simplified Arabic" w:hAnsi="Simplified Arabic" w:cs="Simplified Arabic"/>
          <w:sz w:val="28"/>
          <w:szCs w:val="28"/>
          <w:lang w:bidi="ar-EG"/>
        </w:rPr>
      </w:pPr>
      <w:r w:rsidRPr="00A25019">
        <w:rPr>
          <w:rFonts w:ascii="Simplified Arabic" w:hAnsi="Simplified Arabic" w:cs="Simplified Arabic"/>
          <w:sz w:val="28"/>
          <w:szCs w:val="28"/>
          <w:rtl/>
          <w:lang w:bidi="ar-EG"/>
        </w:rPr>
        <w:t>اليوسف، عبدالله. (2016). إدارة الحشود. الأمن والحياة، مج36, ع412 ، 88 - 93. مسترجع في 3 يوليو 2025، من</w:t>
      </w:r>
      <w:r w:rsidRPr="00A25019">
        <w:rPr>
          <w:rFonts w:ascii="Simplified Arabic" w:hAnsi="Simplified Arabic" w:cs="Simplified Arabic"/>
          <w:sz w:val="28"/>
          <w:szCs w:val="28"/>
          <w:lang w:bidi="ar-EG"/>
        </w:rPr>
        <w:t xml:space="preserve"> </w:t>
      </w:r>
      <w:hyperlink r:id="rId32" w:history="1">
        <w:r w:rsidRPr="00A25019">
          <w:rPr>
            <w:rFonts w:ascii="Simplified Arabic" w:hAnsi="Simplified Arabic" w:cs="Simplified Arabic"/>
            <w:sz w:val="28"/>
            <w:szCs w:val="28"/>
            <w:u w:val="single"/>
            <w:lang w:bidi="ar-EG"/>
          </w:rPr>
          <w:t>http://search.mandumah.com/Record/885101</w:t>
        </w:r>
      </w:hyperlink>
    </w:p>
    <w:p w14:paraId="68729B3B" w14:textId="77777777" w:rsidR="00A25019" w:rsidRPr="00A25019" w:rsidRDefault="00A25019" w:rsidP="00A25019">
      <w:pPr>
        <w:numPr>
          <w:ilvl w:val="0"/>
          <w:numId w:val="20"/>
        </w:numPr>
        <w:contextualSpacing/>
        <w:jc w:val="both"/>
        <w:rPr>
          <w:rFonts w:ascii="Simplified Arabic" w:hAnsi="Simplified Arabic" w:cs="Simplified Arabic"/>
          <w:sz w:val="28"/>
          <w:szCs w:val="28"/>
          <w:lang w:bidi="ar-EG"/>
        </w:rPr>
      </w:pPr>
    </w:p>
    <w:p w14:paraId="0FBA0645" w14:textId="77777777" w:rsidR="00A25019" w:rsidRPr="00A25019" w:rsidRDefault="00A25019" w:rsidP="00A25019">
      <w:pPr>
        <w:numPr>
          <w:ilvl w:val="0"/>
          <w:numId w:val="21"/>
        </w:numPr>
        <w:bidi w:val="0"/>
        <w:contextualSpacing/>
        <w:jc w:val="both"/>
        <w:rPr>
          <w:rFonts w:ascii="Simplified Arabic" w:hAnsi="Simplified Arabic" w:cs="Simplified Arabic"/>
          <w:sz w:val="28"/>
          <w:szCs w:val="28"/>
        </w:rPr>
      </w:pPr>
      <w:r w:rsidRPr="00A25019">
        <w:rPr>
          <w:rFonts w:ascii="Simplified Arabic" w:hAnsi="Simplified Arabic" w:cs="Simplified Arabic"/>
          <w:sz w:val="28"/>
          <w:szCs w:val="28"/>
        </w:rPr>
        <w:t xml:space="preserve">Abdou, A. H., Hassan, T. H., &amp; Salem, A. E. (2023). Promoting Sustainable Food Practices in Food Service Industry: An Empirical Investigation on Saudi Arabian Restaurants. Sustainability, 15(16), 12206. </w:t>
      </w:r>
      <w:hyperlink r:id="rId33" w:history="1">
        <w:r w:rsidRPr="00A25019">
          <w:rPr>
            <w:rFonts w:ascii="Simplified Arabic" w:hAnsi="Simplified Arabic" w:cs="Simplified Arabic"/>
            <w:sz w:val="28"/>
            <w:szCs w:val="28"/>
            <w:u w:val="single"/>
          </w:rPr>
          <w:t>https://doi.org/10.3390/su151612206</w:t>
        </w:r>
      </w:hyperlink>
      <w:r w:rsidRPr="00A25019">
        <w:rPr>
          <w:rFonts w:ascii="Simplified Arabic" w:hAnsi="Simplified Arabic" w:cs="Simplified Arabic"/>
          <w:sz w:val="28"/>
          <w:szCs w:val="28"/>
        </w:rPr>
        <w:t xml:space="preserve"> </w:t>
      </w:r>
    </w:p>
    <w:p w14:paraId="6E8F44C1" w14:textId="77777777" w:rsidR="00A25019" w:rsidRPr="00A25019" w:rsidRDefault="00A25019" w:rsidP="00A25019">
      <w:pPr>
        <w:numPr>
          <w:ilvl w:val="0"/>
          <w:numId w:val="21"/>
        </w:numPr>
        <w:bidi w:val="0"/>
        <w:contextualSpacing/>
        <w:jc w:val="both"/>
        <w:rPr>
          <w:rFonts w:ascii="Simplified Arabic" w:hAnsi="Simplified Arabic" w:cs="Simplified Arabic"/>
          <w:sz w:val="28"/>
          <w:szCs w:val="28"/>
        </w:rPr>
      </w:pPr>
      <w:r w:rsidRPr="00A25019">
        <w:rPr>
          <w:rFonts w:ascii="Simplified Arabic" w:hAnsi="Simplified Arabic" w:cs="Simplified Arabic"/>
          <w:sz w:val="28"/>
          <w:szCs w:val="28"/>
        </w:rPr>
        <w:t xml:space="preserve">Arning, K., &amp; Venghaus, S. (2024). Sustainable practices and household resilience: an empirical analysis of behavior change in times of crises. </w:t>
      </w:r>
      <w:r w:rsidRPr="00A25019">
        <w:rPr>
          <w:rFonts w:ascii="Simplified Arabic" w:hAnsi="Simplified Arabic" w:cs="Simplified Arabic"/>
          <w:i/>
          <w:iCs/>
          <w:sz w:val="28"/>
          <w:szCs w:val="28"/>
        </w:rPr>
        <w:t>Energy Efficiency</w:t>
      </w:r>
      <w:r w:rsidRPr="00A25019">
        <w:rPr>
          <w:rFonts w:ascii="Simplified Arabic" w:hAnsi="Simplified Arabic" w:cs="Simplified Arabic"/>
          <w:sz w:val="28"/>
          <w:szCs w:val="28"/>
        </w:rPr>
        <w:t xml:space="preserve"> </w:t>
      </w:r>
      <w:r w:rsidRPr="00A25019">
        <w:rPr>
          <w:rFonts w:ascii="Simplified Arabic" w:hAnsi="Simplified Arabic" w:cs="Simplified Arabic"/>
          <w:b/>
          <w:bCs/>
          <w:sz w:val="28"/>
          <w:szCs w:val="28"/>
        </w:rPr>
        <w:t>17</w:t>
      </w:r>
      <w:r w:rsidRPr="00A25019">
        <w:rPr>
          <w:rFonts w:ascii="Simplified Arabic" w:hAnsi="Simplified Arabic" w:cs="Simplified Arabic"/>
          <w:sz w:val="28"/>
          <w:szCs w:val="28"/>
        </w:rPr>
        <w:t xml:space="preserve">, 101 (2024). </w:t>
      </w:r>
      <w:hyperlink r:id="rId34" w:history="1">
        <w:r w:rsidRPr="00A25019">
          <w:rPr>
            <w:rFonts w:ascii="Simplified Arabic" w:hAnsi="Simplified Arabic" w:cs="Simplified Arabic"/>
            <w:sz w:val="28"/>
            <w:szCs w:val="28"/>
            <w:u w:val="single"/>
          </w:rPr>
          <w:t>https://doi.org/10.1007/s12053-024-10285-y</w:t>
        </w:r>
      </w:hyperlink>
    </w:p>
    <w:p w14:paraId="094D8917" w14:textId="77777777" w:rsidR="00A25019" w:rsidRPr="00A25019" w:rsidRDefault="00A25019" w:rsidP="00A25019">
      <w:pPr>
        <w:numPr>
          <w:ilvl w:val="0"/>
          <w:numId w:val="21"/>
        </w:numPr>
        <w:bidi w:val="0"/>
        <w:contextualSpacing/>
        <w:jc w:val="both"/>
        <w:rPr>
          <w:rFonts w:ascii="Simplified Arabic" w:hAnsi="Simplified Arabic" w:cs="Simplified Arabic"/>
          <w:sz w:val="28"/>
          <w:szCs w:val="28"/>
        </w:rPr>
      </w:pPr>
      <w:r w:rsidRPr="00A25019">
        <w:rPr>
          <w:rFonts w:ascii="Simplified Arabic" w:hAnsi="Simplified Arabic" w:cs="Simplified Arabic"/>
          <w:sz w:val="28"/>
          <w:szCs w:val="28"/>
        </w:rPr>
        <w:t xml:space="preserve">Klatt K, Serino R, Davis E, Grimes JO. Crowd-Related Considerations at Mass Gathering Events: Management, Safety, and Dynamics. In: Brady WJ, Sochor MR, Pepe PE, Maino II JC, Dyer KS, eds. Mass Gathering Medicine: A Guide to the Medical Management of Large Events. Cambridge University Press; 2024:268-283.. </w:t>
      </w:r>
      <w:hyperlink r:id="rId35" w:history="1">
        <w:r w:rsidRPr="00A25019">
          <w:rPr>
            <w:rFonts w:ascii="Simplified Arabic" w:hAnsi="Simplified Arabic" w:cs="Simplified Arabic"/>
            <w:sz w:val="28"/>
            <w:szCs w:val="28"/>
            <w:u w:val="single"/>
          </w:rPr>
          <w:t>https://doi.org/10.1017/9781009105156.021</w:t>
        </w:r>
      </w:hyperlink>
      <w:r w:rsidRPr="00A25019">
        <w:rPr>
          <w:rFonts w:ascii="Simplified Arabic" w:hAnsi="Simplified Arabic" w:cs="Simplified Arabic"/>
          <w:sz w:val="28"/>
          <w:szCs w:val="28"/>
        </w:rPr>
        <w:t xml:space="preserve"> </w:t>
      </w:r>
    </w:p>
    <w:p w14:paraId="7E90FD43" w14:textId="77777777" w:rsidR="00A25019" w:rsidRPr="00A25019" w:rsidRDefault="00A25019" w:rsidP="00A25019">
      <w:pPr>
        <w:numPr>
          <w:ilvl w:val="0"/>
          <w:numId w:val="21"/>
        </w:numPr>
        <w:bidi w:val="0"/>
        <w:contextualSpacing/>
        <w:jc w:val="both"/>
        <w:rPr>
          <w:rFonts w:ascii="Simplified Arabic" w:hAnsi="Simplified Arabic" w:cs="Simplified Arabic"/>
          <w:sz w:val="28"/>
          <w:szCs w:val="28"/>
        </w:rPr>
      </w:pPr>
      <w:r w:rsidRPr="00A25019">
        <w:rPr>
          <w:rFonts w:ascii="Simplified Arabic" w:hAnsi="Simplified Arabic" w:cs="Simplified Arabic"/>
          <w:sz w:val="28"/>
          <w:szCs w:val="28"/>
        </w:rPr>
        <w:t xml:space="preserve">Literal, V. J. I. (2020). Influence of Sustainable Management Practices, Strategic Orientation and Organizational Culture on Sustainability Performance in Manufacturing Firms. IOER International Multidisciplinary Research Journal. (Online), 2(2), 99–107. </w:t>
      </w:r>
      <w:hyperlink r:id="rId36" w:history="1">
        <w:r w:rsidRPr="00A25019">
          <w:rPr>
            <w:rFonts w:ascii="Simplified Arabic" w:hAnsi="Simplified Arabic" w:cs="Simplified Arabic"/>
            <w:sz w:val="28"/>
            <w:szCs w:val="28"/>
            <w:u w:val="single"/>
          </w:rPr>
          <w:t>https://doi.org/10.54476/iimrj371</w:t>
        </w:r>
      </w:hyperlink>
      <w:r w:rsidRPr="00A25019">
        <w:rPr>
          <w:rFonts w:ascii="Simplified Arabic" w:hAnsi="Simplified Arabic" w:cs="Simplified Arabic"/>
          <w:sz w:val="28"/>
          <w:szCs w:val="28"/>
        </w:rPr>
        <w:t xml:space="preserve"> </w:t>
      </w:r>
    </w:p>
    <w:p w14:paraId="1B50DF3D" w14:textId="77777777" w:rsidR="00A25019" w:rsidRPr="00A25019" w:rsidRDefault="00A25019" w:rsidP="00A25019">
      <w:pPr>
        <w:numPr>
          <w:ilvl w:val="0"/>
          <w:numId w:val="21"/>
        </w:numPr>
        <w:bidi w:val="0"/>
        <w:contextualSpacing/>
        <w:jc w:val="both"/>
        <w:rPr>
          <w:rFonts w:ascii="Simplified Arabic" w:hAnsi="Simplified Arabic" w:cs="Simplified Arabic"/>
          <w:sz w:val="28"/>
          <w:szCs w:val="28"/>
        </w:rPr>
      </w:pPr>
      <w:r w:rsidRPr="00A25019">
        <w:rPr>
          <w:rFonts w:ascii="Simplified Arabic" w:hAnsi="Simplified Arabic" w:cs="Simplified Arabic"/>
          <w:sz w:val="28"/>
          <w:szCs w:val="28"/>
        </w:rPr>
        <w:lastRenderedPageBreak/>
        <w:t xml:space="preserve">Mahmood, N. H. (2024). The Role of Smart Technology in the Field of Information Technology: A Systematic Review. Pìdvodnì Tehnologìï, 1(14), 85–97. </w:t>
      </w:r>
      <w:hyperlink r:id="rId37" w:history="1">
        <w:r w:rsidRPr="00A25019">
          <w:rPr>
            <w:rFonts w:ascii="Simplified Arabic" w:hAnsi="Simplified Arabic" w:cs="Simplified Arabic"/>
            <w:sz w:val="28"/>
            <w:szCs w:val="28"/>
            <w:u w:val="single"/>
          </w:rPr>
          <w:t>https://doi.org/10.32347/uwt.2024.14.1208</w:t>
        </w:r>
      </w:hyperlink>
      <w:r w:rsidRPr="00A25019">
        <w:rPr>
          <w:rFonts w:ascii="Simplified Arabic" w:hAnsi="Simplified Arabic" w:cs="Simplified Arabic"/>
          <w:sz w:val="28"/>
          <w:szCs w:val="28"/>
        </w:rPr>
        <w:t xml:space="preserve"> </w:t>
      </w:r>
    </w:p>
    <w:p w14:paraId="0890F038" w14:textId="77777777" w:rsidR="00A25019" w:rsidRPr="00A25019" w:rsidRDefault="00A25019" w:rsidP="00A25019">
      <w:pPr>
        <w:numPr>
          <w:ilvl w:val="0"/>
          <w:numId w:val="21"/>
        </w:numPr>
        <w:bidi w:val="0"/>
        <w:contextualSpacing/>
        <w:jc w:val="both"/>
        <w:rPr>
          <w:rFonts w:ascii="Simplified Arabic" w:hAnsi="Simplified Arabic" w:cs="Simplified Arabic"/>
          <w:sz w:val="28"/>
          <w:szCs w:val="28"/>
          <w:lang w:bidi="ar-EG"/>
        </w:rPr>
      </w:pPr>
      <w:r w:rsidRPr="00A25019">
        <w:rPr>
          <w:rFonts w:ascii="Simplified Arabic" w:hAnsi="Simplified Arabic" w:cs="Simplified Arabic"/>
          <w:sz w:val="28"/>
          <w:szCs w:val="28"/>
        </w:rPr>
        <w:t xml:space="preserve"> </w:t>
      </w:r>
      <w:r w:rsidRPr="00A25019">
        <w:rPr>
          <w:rFonts w:ascii="Simplified Arabic" w:hAnsi="Simplified Arabic" w:cs="Simplified Arabic"/>
          <w:sz w:val="28"/>
          <w:szCs w:val="28"/>
          <w:lang w:bidi="ar-EG"/>
        </w:rPr>
        <w:t xml:space="preserve">Mallick, S. S., Das, I., Das, S., &amp; Karmakar, R. (2024, June). An intelligent crowd density and motion direction estimation for real-time crowd dynamics. In 2024 15th International Conference on Computing Communication and Networking Technologies (ICCCNT) (pp. 1–6). IEEE. </w:t>
      </w:r>
      <w:hyperlink r:id="rId38" w:tgtFrame="_new" w:history="1">
        <w:r w:rsidRPr="00A25019">
          <w:rPr>
            <w:rFonts w:ascii="Simplified Arabic" w:hAnsi="Simplified Arabic" w:cs="Simplified Arabic"/>
            <w:sz w:val="28"/>
            <w:szCs w:val="28"/>
            <w:u w:val="single"/>
            <w:lang w:bidi="ar-EG"/>
          </w:rPr>
          <w:t>https://doi.org/10.1109/icccnt61001.2024.10723903</w:t>
        </w:r>
      </w:hyperlink>
    </w:p>
    <w:p w14:paraId="3B5C4BA4" w14:textId="77777777" w:rsidR="00A25019" w:rsidRPr="00A25019" w:rsidRDefault="00A25019" w:rsidP="00A25019">
      <w:pPr>
        <w:numPr>
          <w:ilvl w:val="0"/>
          <w:numId w:val="21"/>
        </w:numPr>
        <w:bidi w:val="0"/>
        <w:contextualSpacing/>
        <w:jc w:val="both"/>
        <w:rPr>
          <w:rFonts w:ascii="Simplified Arabic" w:hAnsi="Simplified Arabic" w:cs="Simplified Arabic"/>
          <w:sz w:val="28"/>
          <w:szCs w:val="28"/>
        </w:rPr>
      </w:pPr>
      <w:r w:rsidRPr="00A25019">
        <w:rPr>
          <w:rFonts w:ascii="Simplified Arabic" w:hAnsi="Simplified Arabic" w:cs="Simplified Arabic"/>
          <w:sz w:val="28"/>
          <w:szCs w:val="28"/>
          <w:lang w:val="pl-PL" w:bidi="ar-EG"/>
        </w:rPr>
        <w:t xml:space="preserve"> </w:t>
      </w:r>
      <w:r w:rsidRPr="00A25019">
        <w:rPr>
          <w:rFonts w:ascii="Simplified Arabic" w:hAnsi="Simplified Arabic" w:cs="Simplified Arabic"/>
          <w:sz w:val="28"/>
          <w:szCs w:val="28"/>
          <w:lang w:val="pl-PL"/>
        </w:rPr>
        <w:t xml:space="preserve">Osra, F. A., Alzahrani, J. S., Alsoufi, M. S., Osra, O. A., &amp; Mirza, A. Z. (2021). </w:t>
      </w:r>
      <w:r w:rsidRPr="00A25019">
        <w:rPr>
          <w:rFonts w:ascii="Simplified Arabic" w:hAnsi="Simplified Arabic" w:cs="Simplified Arabic"/>
          <w:sz w:val="28"/>
          <w:szCs w:val="28"/>
        </w:rPr>
        <w:t xml:space="preserve">Environmental and economic sustainability in the Hajj system. Arabian Journal of Geosciences, 14(20), 1–15. </w:t>
      </w:r>
      <w:hyperlink r:id="rId39" w:history="1">
        <w:r w:rsidRPr="00A25019">
          <w:rPr>
            <w:rFonts w:ascii="Simplified Arabic" w:hAnsi="Simplified Arabic" w:cs="Simplified Arabic"/>
            <w:sz w:val="28"/>
            <w:szCs w:val="28"/>
            <w:u w:val="single"/>
          </w:rPr>
          <w:t>https://doi.org/10.1007/S12517-021-08533-X</w:t>
        </w:r>
      </w:hyperlink>
      <w:r w:rsidRPr="00A25019">
        <w:rPr>
          <w:rFonts w:ascii="Simplified Arabic" w:hAnsi="Simplified Arabic" w:cs="Simplified Arabic"/>
          <w:sz w:val="28"/>
          <w:szCs w:val="28"/>
        </w:rPr>
        <w:t xml:space="preserve"> </w:t>
      </w:r>
    </w:p>
    <w:p w14:paraId="5ECEAE5D" w14:textId="77777777" w:rsidR="00A25019" w:rsidRPr="00A25019" w:rsidRDefault="00A25019" w:rsidP="00A25019">
      <w:pPr>
        <w:numPr>
          <w:ilvl w:val="0"/>
          <w:numId w:val="21"/>
        </w:numPr>
        <w:bidi w:val="0"/>
        <w:contextualSpacing/>
        <w:jc w:val="both"/>
        <w:rPr>
          <w:rFonts w:ascii="Simplified Arabic" w:hAnsi="Simplified Arabic" w:cs="Simplified Arabic"/>
          <w:sz w:val="28"/>
          <w:szCs w:val="28"/>
        </w:rPr>
      </w:pPr>
      <w:r w:rsidRPr="00A25019">
        <w:rPr>
          <w:rFonts w:ascii="Simplified Arabic" w:hAnsi="Simplified Arabic" w:cs="Simplified Arabic"/>
          <w:sz w:val="28"/>
          <w:szCs w:val="28"/>
        </w:rPr>
        <w:t xml:space="preserve">Popova, O., Chechel, A., Fomina, O., Myroshnychenko, G., Medvedieva, M. O., Hoholieva, N. F., &amp; Chernyshov, O. (2023). Assessment of relationships between smart technologies, corporate sustainability, and economic behavior of companies. Eastern-European Journal of Enterprise Technologies, 2(13), 41–51. </w:t>
      </w:r>
      <w:hyperlink r:id="rId40" w:history="1">
        <w:r w:rsidRPr="00A25019">
          <w:rPr>
            <w:rFonts w:ascii="Simplified Arabic" w:hAnsi="Simplified Arabic" w:cs="Simplified Arabic"/>
            <w:sz w:val="28"/>
            <w:szCs w:val="28"/>
            <w:u w:val="single"/>
          </w:rPr>
          <w:t>https://doi.org/10.15587/1729-4061.2023.275731</w:t>
        </w:r>
      </w:hyperlink>
    </w:p>
    <w:p w14:paraId="3A04132E" w14:textId="77777777" w:rsidR="00A25019" w:rsidRPr="00A25019" w:rsidRDefault="00A25019" w:rsidP="00A25019">
      <w:pPr>
        <w:numPr>
          <w:ilvl w:val="0"/>
          <w:numId w:val="21"/>
        </w:numPr>
        <w:bidi w:val="0"/>
        <w:contextualSpacing/>
        <w:jc w:val="both"/>
        <w:rPr>
          <w:rFonts w:ascii="Simplified Arabic" w:hAnsi="Simplified Arabic" w:cs="Simplified Arabic"/>
          <w:sz w:val="28"/>
          <w:szCs w:val="28"/>
        </w:rPr>
      </w:pPr>
      <w:r w:rsidRPr="00A25019">
        <w:rPr>
          <w:rFonts w:ascii="Simplified Arabic" w:hAnsi="Simplified Arabic" w:cs="Simplified Arabic"/>
          <w:sz w:val="28"/>
          <w:szCs w:val="28"/>
        </w:rPr>
        <w:t>Almutairi, M. M. (2024). A framework for efficient crowd management with modern technologies (Doctoral dissertation, City, University of London).</w:t>
      </w:r>
    </w:p>
    <w:p w14:paraId="4960AD0B" w14:textId="77777777" w:rsidR="00A25019" w:rsidRPr="00A25019" w:rsidRDefault="00A25019" w:rsidP="00A25019">
      <w:pPr>
        <w:numPr>
          <w:ilvl w:val="0"/>
          <w:numId w:val="21"/>
        </w:numPr>
        <w:bidi w:val="0"/>
        <w:contextualSpacing/>
        <w:jc w:val="both"/>
        <w:rPr>
          <w:rFonts w:ascii="Simplified Arabic" w:hAnsi="Simplified Arabic" w:cs="Simplified Arabic"/>
          <w:sz w:val="28"/>
          <w:szCs w:val="28"/>
        </w:rPr>
      </w:pPr>
      <w:r w:rsidRPr="00A25019">
        <w:rPr>
          <w:rFonts w:ascii="Simplified Arabic" w:hAnsi="Simplified Arabic" w:cs="Simplified Arabic"/>
          <w:sz w:val="28"/>
          <w:szCs w:val="28"/>
        </w:rPr>
        <w:t>Al-Nami, W. T. (2023). Ranking and analysis the strategies of crowd management to reduce the risks of crushes and stampedes in crowded environments and ensure the safety of passengers. Neutrosophic Systems with Applications, 8, 61-78.</w:t>
      </w:r>
      <w:r w:rsidRPr="00A25019">
        <w:rPr>
          <w:rFonts w:ascii="Simplified Arabic" w:hAnsi="Simplified Arabic" w:cs="Simplified Arabic"/>
          <w:sz w:val="28"/>
          <w:szCs w:val="28"/>
          <w:rtl/>
        </w:rPr>
        <w:t>‏</w:t>
      </w:r>
    </w:p>
    <w:p w14:paraId="1CDB56F7" w14:textId="77777777" w:rsidR="00A25019" w:rsidRPr="00A25019" w:rsidRDefault="00A25019" w:rsidP="00A25019">
      <w:pPr>
        <w:numPr>
          <w:ilvl w:val="0"/>
          <w:numId w:val="21"/>
        </w:numPr>
        <w:bidi w:val="0"/>
        <w:contextualSpacing/>
        <w:jc w:val="both"/>
        <w:rPr>
          <w:rFonts w:ascii="Simplified Arabic" w:hAnsi="Simplified Arabic" w:cs="Simplified Arabic"/>
          <w:sz w:val="28"/>
          <w:szCs w:val="28"/>
        </w:rPr>
      </w:pPr>
      <w:r w:rsidRPr="00A25019">
        <w:rPr>
          <w:rFonts w:ascii="Simplified Arabic" w:hAnsi="Simplified Arabic" w:cs="Simplified Arabic"/>
          <w:sz w:val="28"/>
          <w:szCs w:val="28"/>
        </w:rPr>
        <w:lastRenderedPageBreak/>
        <w:t>Almutairi, M. M., Yamin, M., Halikias, G., &amp; Abi Sen, A. A. (2021). A framework for crowd management during COVID-19 with artificial intelligence. Sustainability, 14(1), 303.</w:t>
      </w:r>
      <w:r w:rsidRPr="00A25019">
        <w:rPr>
          <w:rFonts w:ascii="Simplified Arabic" w:hAnsi="Simplified Arabic" w:cs="Simplified Arabic"/>
          <w:sz w:val="28"/>
          <w:szCs w:val="28"/>
          <w:rtl/>
        </w:rPr>
        <w:t>‏</w:t>
      </w:r>
    </w:p>
    <w:p w14:paraId="25A3FEA6" w14:textId="77777777" w:rsidR="00A25019" w:rsidRPr="00A25019" w:rsidRDefault="00A25019" w:rsidP="00A25019">
      <w:pPr>
        <w:numPr>
          <w:ilvl w:val="0"/>
          <w:numId w:val="21"/>
        </w:numPr>
        <w:bidi w:val="0"/>
        <w:contextualSpacing/>
        <w:jc w:val="both"/>
        <w:rPr>
          <w:rFonts w:ascii="Simplified Arabic" w:hAnsi="Simplified Arabic" w:cs="Simplified Arabic"/>
          <w:sz w:val="28"/>
          <w:szCs w:val="28"/>
        </w:rPr>
      </w:pPr>
      <w:r w:rsidRPr="00A25019">
        <w:rPr>
          <w:rFonts w:ascii="Simplified Arabic" w:hAnsi="Simplified Arabic" w:cs="Simplified Arabic"/>
          <w:sz w:val="28"/>
          <w:szCs w:val="28"/>
          <w:lang w:val="pl-PL"/>
        </w:rPr>
        <w:t xml:space="preserve">Kanaujiya, A. K., &amp; Tiwari, V. (2022). </w:t>
      </w:r>
      <w:r w:rsidRPr="00A25019">
        <w:rPr>
          <w:rFonts w:ascii="Simplified Arabic" w:hAnsi="Simplified Arabic" w:cs="Simplified Arabic"/>
          <w:sz w:val="28"/>
          <w:szCs w:val="28"/>
        </w:rPr>
        <w:t>Crowd Management and Strategies for Security and Surveillance During the Large Mass Gathering Events: The Prayagraj Kumbh Mela 2019 Experience: AK Kanaujiya, V. Tiwari. National Academy science letters, 45(3), 263-273.</w:t>
      </w:r>
    </w:p>
    <w:p w14:paraId="1F6CF3A2" w14:textId="77777777" w:rsidR="00A25019" w:rsidRPr="00A25019" w:rsidRDefault="00A25019" w:rsidP="00A25019">
      <w:pPr>
        <w:numPr>
          <w:ilvl w:val="0"/>
          <w:numId w:val="21"/>
        </w:numPr>
        <w:bidi w:val="0"/>
        <w:contextualSpacing/>
        <w:jc w:val="both"/>
        <w:rPr>
          <w:rFonts w:ascii="Simplified Arabic" w:hAnsi="Simplified Arabic" w:cs="Simplified Arabic"/>
          <w:sz w:val="28"/>
          <w:szCs w:val="28"/>
        </w:rPr>
      </w:pPr>
      <w:r w:rsidRPr="00A25019">
        <w:rPr>
          <w:rFonts w:ascii="Simplified Arabic" w:hAnsi="Simplified Arabic" w:cs="Simplified Arabic"/>
          <w:sz w:val="28"/>
          <w:szCs w:val="28"/>
        </w:rPr>
        <w:t>Pigliautile, I., &amp; Caratù, M. (2022, May). Application of Crowd Sensing for Sustainable Management of Smart Cities. In INTERNATIONAL SYMPOSIUM: New Metropolitan Perspectives (pp. 2800-2808). Cham: Springer International Publishing.</w:t>
      </w:r>
    </w:p>
    <w:p w14:paraId="31CB52B6" w14:textId="77777777" w:rsidR="00A25019" w:rsidRPr="00A25019" w:rsidRDefault="00A25019" w:rsidP="00A25019">
      <w:pPr>
        <w:numPr>
          <w:ilvl w:val="0"/>
          <w:numId w:val="21"/>
        </w:numPr>
        <w:bidi w:val="0"/>
        <w:contextualSpacing/>
        <w:jc w:val="both"/>
        <w:rPr>
          <w:rFonts w:ascii="Simplified Arabic" w:hAnsi="Simplified Arabic" w:cs="Simplified Arabic"/>
          <w:sz w:val="28"/>
          <w:szCs w:val="28"/>
        </w:rPr>
      </w:pPr>
      <w:r w:rsidRPr="00A25019">
        <w:rPr>
          <w:rFonts w:ascii="Simplified Arabic" w:hAnsi="Simplified Arabic" w:cs="Simplified Arabic"/>
          <w:sz w:val="28"/>
          <w:szCs w:val="28"/>
        </w:rPr>
        <w:t>Ullah, M., Hamayun, S., Wahab, A., Khan, S. U., Rehman, M. U., Haq, Z. U., ... &amp; Naeem, M. (2023). Smart technologies used as smart tools in the management of cardiovascular disease and their future perspective. Current Problems in Cardiology, 48(11), 101922.</w:t>
      </w:r>
      <w:r w:rsidRPr="00A25019">
        <w:rPr>
          <w:rFonts w:ascii="Simplified Arabic" w:hAnsi="Simplified Arabic" w:cs="Simplified Arabic"/>
          <w:sz w:val="28"/>
          <w:szCs w:val="28"/>
          <w:rtl/>
        </w:rPr>
        <w:t>‏</w:t>
      </w:r>
    </w:p>
    <w:p w14:paraId="6030E72F" w14:textId="77777777" w:rsidR="00A25019" w:rsidRPr="00A25019" w:rsidRDefault="00A25019" w:rsidP="00A25019">
      <w:pPr>
        <w:numPr>
          <w:ilvl w:val="0"/>
          <w:numId w:val="21"/>
        </w:numPr>
        <w:bidi w:val="0"/>
        <w:contextualSpacing/>
        <w:jc w:val="both"/>
        <w:rPr>
          <w:rFonts w:ascii="Simplified Arabic" w:hAnsi="Simplified Arabic" w:cs="Simplified Arabic"/>
          <w:sz w:val="28"/>
          <w:szCs w:val="28"/>
        </w:rPr>
      </w:pPr>
      <w:r w:rsidRPr="00A25019">
        <w:rPr>
          <w:rFonts w:ascii="Simplified Arabic" w:hAnsi="Simplified Arabic" w:cs="Simplified Arabic"/>
          <w:sz w:val="28"/>
          <w:szCs w:val="28"/>
        </w:rPr>
        <w:t>Lee, K. L., Wong, S. Y., Alzoubi, H. M., Al Kurdi, B., Alshurideh, M. T., &amp; El Khatib, M. (2023). Adopting smart supply chain and smart technologies to improve operational performance in manufacturing industry. International Journal of Engineering Business Management, 15, 18479790231200614</w:t>
      </w:r>
    </w:p>
    <w:p w14:paraId="4F21D276" w14:textId="77777777" w:rsidR="00A25019" w:rsidRPr="00A25019" w:rsidRDefault="00A25019" w:rsidP="00A25019">
      <w:pPr>
        <w:numPr>
          <w:ilvl w:val="0"/>
          <w:numId w:val="21"/>
        </w:numPr>
        <w:bidi w:val="0"/>
        <w:contextualSpacing/>
        <w:jc w:val="both"/>
        <w:rPr>
          <w:rFonts w:ascii="Simplified Arabic" w:hAnsi="Simplified Arabic" w:cs="Simplified Arabic"/>
          <w:sz w:val="28"/>
          <w:szCs w:val="28"/>
        </w:rPr>
      </w:pPr>
      <w:r w:rsidRPr="00A25019">
        <w:rPr>
          <w:rFonts w:ascii="Simplified Arabic" w:hAnsi="Simplified Arabic" w:cs="Simplified Arabic"/>
          <w:sz w:val="28"/>
          <w:szCs w:val="28"/>
        </w:rPr>
        <w:t>Aivazidou, E., Banias, G., Lampridi, M., Vasileiadis, G., Anagnostis, A., Papageorgiou, E., &amp; Bochtis, D. (2021). Smart technologies for sustainable water management: An urban analysis. Sustainability, 13(24), 13940.</w:t>
      </w:r>
      <w:r w:rsidRPr="00A25019">
        <w:rPr>
          <w:rFonts w:ascii="Simplified Arabic" w:hAnsi="Simplified Arabic" w:cs="Simplified Arabic"/>
          <w:sz w:val="28"/>
          <w:szCs w:val="28"/>
          <w:rtl/>
        </w:rPr>
        <w:t>‏</w:t>
      </w:r>
    </w:p>
    <w:p w14:paraId="5F93D148" w14:textId="77777777" w:rsidR="00A25019" w:rsidRPr="00A25019" w:rsidRDefault="00A25019" w:rsidP="00A25019">
      <w:pPr>
        <w:numPr>
          <w:ilvl w:val="0"/>
          <w:numId w:val="21"/>
        </w:numPr>
        <w:bidi w:val="0"/>
        <w:contextualSpacing/>
        <w:jc w:val="both"/>
        <w:rPr>
          <w:rFonts w:ascii="Simplified Arabic" w:hAnsi="Simplified Arabic" w:cs="Simplified Arabic"/>
          <w:sz w:val="28"/>
          <w:szCs w:val="28"/>
        </w:rPr>
      </w:pPr>
      <w:r w:rsidRPr="00A25019">
        <w:rPr>
          <w:rFonts w:ascii="Simplified Arabic" w:hAnsi="Simplified Arabic" w:cs="Simplified Arabic"/>
          <w:sz w:val="28"/>
          <w:szCs w:val="28"/>
          <w:lang w:val="pl-PL"/>
        </w:rPr>
        <w:t xml:space="preserve">Hwang, B. G., Ngo, J., &amp; Teo, J. Z. K. (2022). </w:t>
      </w:r>
      <w:r w:rsidRPr="00A25019">
        <w:rPr>
          <w:rFonts w:ascii="Simplified Arabic" w:hAnsi="Simplified Arabic" w:cs="Simplified Arabic"/>
          <w:sz w:val="28"/>
          <w:szCs w:val="28"/>
        </w:rPr>
        <w:t xml:space="preserve">Challenges and strategies for the adoption of smart technologies in the construction industry: The </w:t>
      </w:r>
      <w:r w:rsidRPr="00A25019">
        <w:rPr>
          <w:rFonts w:ascii="Simplified Arabic" w:hAnsi="Simplified Arabic" w:cs="Simplified Arabic"/>
          <w:sz w:val="28"/>
          <w:szCs w:val="28"/>
        </w:rPr>
        <w:lastRenderedPageBreak/>
        <w:t>case of Singapore. Journal of Management in Engineering, 38(1), 05021014</w:t>
      </w:r>
    </w:p>
    <w:p w14:paraId="44D09DE2" w14:textId="77777777" w:rsidR="00A25019" w:rsidRPr="00A25019" w:rsidRDefault="00A25019" w:rsidP="00A25019">
      <w:pPr>
        <w:numPr>
          <w:ilvl w:val="0"/>
          <w:numId w:val="21"/>
        </w:numPr>
        <w:bidi w:val="0"/>
        <w:contextualSpacing/>
        <w:jc w:val="both"/>
        <w:rPr>
          <w:rFonts w:ascii="Simplified Arabic" w:hAnsi="Simplified Arabic" w:cs="Simplified Arabic"/>
          <w:sz w:val="28"/>
          <w:szCs w:val="28"/>
        </w:rPr>
      </w:pPr>
      <w:r w:rsidRPr="00A25019">
        <w:rPr>
          <w:rFonts w:ascii="Simplified Arabic" w:hAnsi="Simplified Arabic" w:cs="Simplified Arabic"/>
          <w:sz w:val="28"/>
          <w:szCs w:val="28"/>
        </w:rPr>
        <w:t>Mahmoud, M., Shma, T., Aziz, A., &amp; Awad, A. (2025). Integrating knowledge management with smart technologies in public pharmaceutical organizations. Knowledge and Performance Management, 9(1), 31.</w:t>
      </w:r>
      <w:r w:rsidRPr="00A25019">
        <w:rPr>
          <w:rFonts w:ascii="Simplified Arabic" w:hAnsi="Simplified Arabic" w:cs="Simplified Arabic"/>
          <w:sz w:val="28"/>
          <w:szCs w:val="28"/>
          <w:rtl/>
        </w:rPr>
        <w:t>‏</w:t>
      </w:r>
    </w:p>
    <w:p w14:paraId="1245C211" w14:textId="77777777" w:rsidR="00A25019" w:rsidRPr="00A25019" w:rsidRDefault="00A25019" w:rsidP="00A25019">
      <w:pPr>
        <w:numPr>
          <w:ilvl w:val="0"/>
          <w:numId w:val="21"/>
        </w:numPr>
        <w:bidi w:val="0"/>
        <w:contextualSpacing/>
        <w:jc w:val="both"/>
        <w:rPr>
          <w:rFonts w:ascii="Simplified Arabic" w:hAnsi="Simplified Arabic" w:cs="Simplified Arabic"/>
          <w:sz w:val="28"/>
          <w:szCs w:val="28"/>
        </w:rPr>
      </w:pPr>
      <w:r w:rsidRPr="00A25019">
        <w:rPr>
          <w:rFonts w:ascii="Simplified Arabic" w:hAnsi="Simplified Arabic" w:cs="Simplified Arabic"/>
          <w:sz w:val="28"/>
          <w:szCs w:val="28"/>
        </w:rPr>
        <w:t>Zhang, Y., &amp; Deng, B. (2024). Exploring the nexus of smart technologies and sustainable ecotourism: A systematic review. Heliyon, 10(11).</w:t>
      </w:r>
    </w:p>
    <w:p w14:paraId="1932CD49" w14:textId="77777777" w:rsidR="00A25019" w:rsidRPr="00A25019" w:rsidRDefault="00A25019" w:rsidP="00A25019">
      <w:pPr>
        <w:numPr>
          <w:ilvl w:val="0"/>
          <w:numId w:val="21"/>
        </w:numPr>
        <w:bidi w:val="0"/>
        <w:contextualSpacing/>
        <w:jc w:val="both"/>
        <w:rPr>
          <w:rFonts w:ascii="Simplified Arabic" w:hAnsi="Simplified Arabic" w:cs="Simplified Arabic"/>
          <w:sz w:val="28"/>
          <w:szCs w:val="28"/>
        </w:rPr>
      </w:pPr>
    </w:p>
    <w:p w14:paraId="4CFA2B75" w14:textId="77777777" w:rsidR="00A25019" w:rsidRPr="00A25019" w:rsidRDefault="00A25019" w:rsidP="00A25019">
      <w:pPr>
        <w:bidi w:val="0"/>
        <w:ind w:left="720"/>
        <w:contextualSpacing/>
        <w:jc w:val="both"/>
        <w:rPr>
          <w:rFonts w:ascii="Simplified Arabic" w:hAnsi="Simplified Arabic" w:cs="Simplified Arabic"/>
          <w:sz w:val="28"/>
          <w:szCs w:val="28"/>
        </w:rPr>
      </w:pPr>
    </w:p>
    <w:p w14:paraId="72377697" w14:textId="77777777" w:rsidR="0089166E" w:rsidRDefault="0089166E" w:rsidP="009106A1">
      <w:pPr>
        <w:jc w:val="both"/>
        <w:rPr>
          <w:rFonts w:ascii="Simplified Arabic" w:hAnsi="Simplified Arabic" w:cs="Simplified Arabic" w:hint="cs"/>
          <w:sz w:val="28"/>
          <w:szCs w:val="28"/>
        </w:rPr>
      </w:pPr>
    </w:p>
    <w:sectPr w:rsidR="0089166E" w:rsidSect="00CB6D93">
      <w:footerReference w:type="default" r:id="rId41"/>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893CD" w14:textId="77777777" w:rsidR="00012DE2" w:rsidRDefault="00012DE2" w:rsidP="00621DED">
      <w:pPr>
        <w:spacing w:after="0" w:line="240" w:lineRule="auto"/>
      </w:pPr>
      <w:r>
        <w:separator/>
      </w:r>
    </w:p>
  </w:endnote>
  <w:endnote w:type="continuationSeparator" w:id="0">
    <w:p w14:paraId="374A6A2F" w14:textId="77777777" w:rsidR="00012DE2" w:rsidRDefault="00012DE2"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EndPr/>
    <w:sdtContent>
      <w:p w14:paraId="65D1FB2A" w14:textId="75411D9E" w:rsidR="00621DED" w:rsidRDefault="00621D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197F1" w14:textId="77777777" w:rsidR="00012DE2" w:rsidRDefault="00012DE2" w:rsidP="00621DED">
      <w:pPr>
        <w:spacing w:after="0" w:line="240" w:lineRule="auto"/>
      </w:pPr>
      <w:r>
        <w:separator/>
      </w:r>
    </w:p>
  </w:footnote>
  <w:footnote w:type="continuationSeparator" w:id="0">
    <w:p w14:paraId="3ECF4F23" w14:textId="77777777" w:rsidR="00012DE2" w:rsidRDefault="00012DE2"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7250B"/>
    <w:multiLevelType w:val="hybridMultilevel"/>
    <w:tmpl w:val="9D404EEE"/>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A0C65"/>
    <w:multiLevelType w:val="hybridMultilevel"/>
    <w:tmpl w:val="46800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CD3781"/>
    <w:multiLevelType w:val="hybridMultilevel"/>
    <w:tmpl w:val="404282C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0279BC"/>
    <w:multiLevelType w:val="hybridMultilevel"/>
    <w:tmpl w:val="F7AE718C"/>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A414E5"/>
    <w:multiLevelType w:val="multilevel"/>
    <w:tmpl w:val="79784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733652"/>
    <w:multiLevelType w:val="multilevel"/>
    <w:tmpl w:val="33B2C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9F0F41"/>
    <w:multiLevelType w:val="hybridMultilevel"/>
    <w:tmpl w:val="BCCA2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9F7269"/>
    <w:multiLevelType w:val="multilevel"/>
    <w:tmpl w:val="081A4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0F382B"/>
    <w:multiLevelType w:val="multilevel"/>
    <w:tmpl w:val="F1226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8B2CB8"/>
    <w:multiLevelType w:val="hybridMultilevel"/>
    <w:tmpl w:val="A6C675B4"/>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664422"/>
    <w:multiLevelType w:val="multilevel"/>
    <w:tmpl w:val="F91C5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946987"/>
    <w:multiLevelType w:val="multilevel"/>
    <w:tmpl w:val="73B2F9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CE5AE7"/>
    <w:multiLevelType w:val="hybridMultilevel"/>
    <w:tmpl w:val="328CA95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6F7CB0"/>
    <w:multiLevelType w:val="multilevel"/>
    <w:tmpl w:val="93DAB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5F1F72"/>
    <w:multiLevelType w:val="hybridMultilevel"/>
    <w:tmpl w:val="82B49198"/>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AA7F71"/>
    <w:multiLevelType w:val="multilevel"/>
    <w:tmpl w:val="E112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4D1487"/>
    <w:multiLevelType w:val="hybridMultilevel"/>
    <w:tmpl w:val="F3C8DE44"/>
    <w:lvl w:ilvl="0" w:tplc="1CB499A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08316D5"/>
    <w:multiLevelType w:val="multilevel"/>
    <w:tmpl w:val="16CA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8510D2"/>
    <w:multiLevelType w:val="multilevel"/>
    <w:tmpl w:val="00867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DB61DA"/>
    <w:multiLevelType w:val="multilevel"/>
    <w:tmpl w:val="6F2C7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794D03"/>
    <w:multiLevelType w:val="hybridMultilevel"/>
    <w:tmpl w:val="E640BC20"/>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A22236"/>
    <w:multiLevelType w:val="multilevel"/>
    <w:tmpl w:val="70FE4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AF7C92"/>
    <w:multiLevelType w:val="multilevel"/>
    <w:tmpl w:val="5FBC4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776278"/>
    <w:multiLevelType w:val="multilevel"/>
    <w:tmpl w:val="CFE628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ED77AC"/>
    <w:multiLevelType w:val="multilevel"/>
    <w:tmpl w:val="CBEEE1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73250F"/>
    <w:multiLevelType w:val="hybridMultilevel"/>
    <w:tmpl w:val="9D647EF6"/>
    <w:lvl w:ilvl="0" w:tplc="6A3E6C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88384B"/>
    <w:multiLevelType w:val="hybridMultilevel"/>
    <w:tmpl w:val="9BD4AEE4"/>
    <w:lvl w:ilvl="0" w:tplc="6626382E">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908624D"/>
    <w:multiLevelType w:val="hybridMultilevel"/>
    <w:tmpl w:val="F34C2C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A95D9A"/>
    <w:multiLevelType w:val="multilevel"/>
    <w:tmpl w:val="6B28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AF33F2"/>
    <w:multiLevelType w:val="hybridMultilevel"/>
    <w:tmpl w:val="710EB704"/>
    <w:lvl w:ilvl="0" w:tplc="D0FAC83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845D88"/>
    <w:multiLevelType w:val="hybridMultilevel"/>
    <w:tmpl w:val="0BFE5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9A2C70"/>
    <w:multiLevelType w:val="multilevel"/>
    <w:tmpl w:val="E536F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323339"/>
    <w:multiLevelType w:val="hybridMultilevel"/>
    <w:tmpl w:val="DD769B0E"/>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3B56C08"/>
    <w:multiLevelType w:val="multilevel"/>
    <w:tmpl w:val="578CF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BB0FD4"/>
    <w:multiLevelType w:val="hybridMultilevel"/>
    <w:tmpl w:val="C096E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8217AEA"/>
    <w:multiLevelType w:val="multilevel"/>
    <w:tmpl w:val="4E4C2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89725D8"/>
    <w:multiLevelType w:val="hybridMultilevel"/>
    <w:tmpl w:val="F6EAFD9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E66B75"/>
    <w:multiLevelType w:val="hybridMultilevel"/>
    <w:tmpl w:val="474EC720"/>
    <w:lvl w:ilvl="0" w:tplc="06B83980">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6DF80774"/>
    <w:multiLevelType w:val="multilevel"/>
    <w:tmpl w:val="52DAC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0A52D0"/>
    <w:multiLevelType w:val="hybridMultilevel"/>
    <w:tmpl w:val="5868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8B5F38"/>
    <w:multiLevelType w:val="multilevel"/>
    <w:tmpl w:val="429CB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39C75B2"/>
    <w:multiLevelType w:val="multilevel"/>
    <w:tmpl w:val="14F8F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CE34A8"/>
    <w:multiLevelType w:val="hybridMultilevel"/>
    <w:tmpl w:val="8688A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6587106"/>
    <w:multiLevelType w:val="multilevel"/>
    <w:tmpl w:val="912A6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AD22B81"/>
    <w:multiLevelType w:val="multilevel"/>
    <w:tmpl w:val="5670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A41E29"/>
    <w:multiLevelType w:val="hybridMultilevel"/>
    <w:tmpl w:val="58A05272"/>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DD51670"/>
    <w:multiLevelType w:val="multilevel"/>
    <w:tmpl w:val="04242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FE12D02"/>
    <w:multiLevelType w:val="hybridMultilevel"/>
    <w:tmpl w:val="ED14A82A"/>
    <w:lvl w:ilvl="0" w:tplc="1CB49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0001994">
    <w:abstractNumId w:val="39"/>
  </w:num>
  <w:num w:numId="2" w16cid:durableId="722676305">
    <w:abstractNumId w:val="20"/>
  </w:num>
  <w:num w:numId="3" w16cid:durableId="1612391823">
    <w:abstractNumId w:val="9"/>
  </w:num>
  <w:num w:numId="4" w16cid:durableId="484711512">
    <w:abstractNumId w:val="3"/>
  </w:num>
  <w:num w:numId="5" w16cid:durableId="1506020014">
    <w:abstractNumId w:val="27"/>
  </w:num>
  <w:num w:numId="6" w16cid:durableId="896816887">
    <w:abstractNumId w:val="1"/>
  </w:num>
  <w:num w:numId="7" w16cid:durableId="297416488">
    <w:abstractNumId w:val="12"/>
  </w:num>
  <w:num w:numId="8" w16cid:durableId="1037581495">
    <w:abstractNumId w:val="16"/>
  </w:num>
  <w:num w:numId="9" w16cid:durableId="762915338">
    <w:abstractNumId w:val="48"/>
  </w:num>
  <w:num w:numId="10" w16cid:durableId="1900287191">
    <w:abstractNumId w:val="25"/>
  </w:num>
  <w:num w:numId="11" w16cid:durableId="178087966">
    <w:abstractNumId w:val="2"/>
  </w:num>
  <w:num w:numId="12" w16cid:durableId="1196456994">
    <w:abstractNumId w:val="36"/>
  </w:num>
  <w:num w:numId="13" w16cid:durableId="135220262">
    <w:abstractNumId w:val="0"/>
  </w:num>
  <w:num w:numId="14" w16cid:durableId="46488563">
    <w:abstractNumId w:val="14"/>
  </w:num>
  <w:num w:numId="15" w16cid:durableId="1354186088">
    <w:abstractNumId w:val="32"/>
  </w:num>
  <w:num w:numId="16" w16cid:durableId="1230456850">
    <w:abstractNumId w:val="15"/>
  </w:num>
  <w:num w:numId="17" w16cid:durableId="939215101">
    <w:abstractNumId w:val="47"/>
  </w:num>
  <w:num w:numId="18" w16cid:durableId="1735346853">
    <w:abstractNumId w:val="23"/>
  </w:num>
  <w:num w:numId="19" w16cid:durableId="22947908">
    <w:abstractNumId w:val="34"/>
  </w:num>
  <w:num w:numId="20" w16cid:durableId="1165631200">
    <w:abstractNumId w:val="37"/>
  </w:num>
  <w:num w:numId="21" w16cid:durableId="1178347311">
    <w:abstractNumId w:val="46"/>
  </w:num>
  <w:num w:numId="22" w16cid:durableId="1957910601">
    <w:abstractNumId w:val="45"/>
  </w:num>
  <w:num w:numId="23" w16cid:durableId="868831893">
    <w:abstractNumId w:val="17"/>
  </w:num>
  <w:num w:numId="24" w16cid:durableId="1496410156">
    <w:abstractNumId w:val="28"/>
  </w:num>
  <w:num w:numId="25" w16cid:durableId="1883713791">
    <w:abstractNumId w:val="11"/>
  </w:num>
  <w:num w:numId="26" w16cid:durableId="1428967923">
    <w:abstractNumId w:val="6"/>
  </w:num>
  <w:num w:numId="27" w16cid:durableId="421532175">
    <w:abstractNumId w:val="43"/>
  </w:num>
  <w:num w:numId="28" w16cid:durableId="602734817">
    <w:abstractNumId w:val="40"/>
  </w:num>
  <w:num w:numId="29" w16cid:durableId="2019236600">
    <w:abstractNumId w:val="30"/>
  </w:num>
  <w:num w:numId="30" w16cid:durableId="646399073">
    <w:abstractNumId w:val="33"/>
  </w:num>
  <w:num w:numId="31" w16cid:durableId="457837095">
    <w:abstractNumId w:val="44"/>
  </w:num>
  <w:num w:numId="32" w16cid:durableId="1198354139">
    <w:abstractNumId w:val="10"/>
  </w:num>
  <w:num w:numId="33" w16cid:durableId="1608810104">
    <w:abstractNumId w:val="4"/>
  </w:num>
  <w:num w:numId="34" w16cid:durableId="261913691">
    <w:abstractNumId w:val="22"/>
  </w:num>
  <w:num w:numId="35" w16cid:durableId="699090905">
    <w:abstractNumId w:val="41"/>
  </w:num>
  <w:num w:numId="36" w16cid:durableId="256452896">
    <w:abstractNumId w:val="18"/>
  </w:num>
  <w:num w:numId="37" w16cid:durableId="1054693663">
    <w:abstractNumId w:val="38"/>
  </w:num>
  <w:num w:numId="38" w16cid:durableId="156962685">
    <w:abstractNumId w:val="21"/>
  </w:num>
  <w:num w:numId="39" w16cid:durableId="1052969971">
    <w:abstractNumId w:val="31"/>
  </w:num>
  <w:num w:numId="40" w16cid:durableId="821197420">
    <w:abstractNumId w:val="7"/>
  </w:num>
  <w:num w:numId="41" w16cid:durableId="1544294730">
    <w:abstractNumId w:val="29"/>
  </w:num>
  <w:num w:numId="42" w16cid:durableId="1072115755">
    <w:abstractNumId w:val="35"/>
  </w:num>
  <w:num w:numId="43" w16cid:durableId="516384846">
    <w:abstractNumId w:val="26"/>
  </w:num>
  <w:num w:numId="44" w16cid:durableId="1136722339">
    <w:abstractNumId w:val="19"/>
  </w:num>
  <w:num w:numId="45" w16cid:durableId="2100447100">
    <w:abstractNumId w:val="42"/>
  </w:num>
  <w:num w:numId="46" w16cid:durableId="1123109326">
    <w:abstractNumId w:val="13"/>
  </w:num>
  <w:num w:numId="47" w16cid:durableId="1012144276">
    <w:abstractNumId w:val="5"/>
  </w:num>
  <w:num w:numId="48" w16cid:durableId="1587689216">
    <w:abstractNumId w:val="8"/>
  </w:num>
  <w:num w:numId="49" w16cid:durableId="162411845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12DE2"/>
    <w:rsid w:val="000217A0"/>
    <w:rsid w:val="00021FD1"/>
    <w:rsid w:val="000236E3"/>
    <w:rsid w:val="000672A4"/>
    <w:rsid w:val="000D1962"/>
    <w:rsid w:val="000E0033"/>
    <w:rsid w:val="000F2B75"/>
    <w:rsid w:val="00105A15"/>
    <w:rsid w:val="00120252"/>
    <w:rsid w:val="001B07D9"/>
    <w:rsid w:val="001B43EF"/>
    <w:rsid w:val="001E3435"/>
    <w:rsid w:val="0024185C"/>
    <w:rsid w:val="002765C1"/>
    <w:rsid w:val="00277513"/>
    <w:rsid w:val="0031052E"/>
    <w:rsid w:val="0031199A"/>
    <w:rsid w:val="003372C0"/>
    <w:rsid w:val="0034535E"/>
    <w:rsid w:val="003579FF"/>
    <w:rsid w:val="003A2075"/>
    <w:rsid w:val="003A2D4F"/>
    <w:rsid w:val="003B79B8"/>
    <w:rsid w:val="003D06DF"/>
    <w:rsid w:val="00405B10"/>
    <w:rsid w:val="004148FE"/>
    <w:rsid w:val="00415B4B"/>
    <w:rsid w:val="004A7FE3"/>
    <w:rsid w:val="004D35D3"/>
    <w:rsid w:val="004F5A01"/>
    <w:rsid w:val="00552609"/>
    <w:rsid w:val="005673FD"/>
    <w:rsid w:val="00593280"/>
    <w:rsid w:val="00594458"/>
    <w:rsid w:val="005A39B2"/>
    <w:rsid w:val="005E52A1"/>
    <w:rsid w:val="005F3A85"/>
    <w:rsid w:val="006114F7"/>
    <w:rsid w:val="00621DED"/>
    <w:rsid w:val="006A3451"/>
    <w:rsid w:val="006C2178"/>
    <w:rsid w:val="006D1996"/>
    <w:rsid w:val="006D66C1"/>
    <w:rsid w:val="006E6147"/>
    <w:rsid w:val="007543D1"/>
    <w:rsid w:val="00757761"/>
    <w:rsid w:val="00761E9B"/>
    <w:rsid w:val="007A3635"/>
    <w:rsid w:val="008019E7"/>
    <w:rsid w:val="00804576"/>
    <w:rsid w:val="00804FE9"/>
    <w:rsid w:val="00813640"/>
    <w:rsid w:val="008314B2"/>
    <w:rsid w:val="00854791"/>
    <w:rsid w:val="00860640"/>
    <w:rsid w:val="00881070"/>
    <w:rsid w:val="00886CC5"/>
    <w:rsid w:val="0089166E"/>
    <w:rsid w:val="008A6E68"/>
    <w:rsid w:val="008D1C82"/>
    <w:rsid w:val="009106A1"/>
    <w:rsid w:val="0091397D"/>
    <w:rsid w:val="00917C1F"/>
    <w:rsid w:val="00945C17"/>
    <w:rsid w:val="0095065B"/>
    <w:rsid w:val="00955C78"/>
    <w:rsid w:val="00956FA5"/>
    <w:rsid w:val="00991714"/>
    <w:rsid w:val="00994E57"/>
    <w:rsid w:val="009B7AB2"/>
    <w:rsid w:val="009C14F2"/>
    <w:rsid w:val="009D3DFA"/>
    <w:rsid w:val="009E740B"/>
    <w:rsid w:val="00A02588"/>
    <w:rsid w:val="00A02711"/>
    <w:rsid w:val="00A25019"/>
    <w:rsid w:val="00B04F4C"/>
    <w:rsid w:val="00B06F35"/>
    <w:rsid w:val="00B3427B"/>
    <w:rsid w:val="00B41819"/>
    <w:rsid w:val="00B729F2"/>
    <w:rsid w:val="00B91104"/>
    <w:rsid w:val="00BA0007"/>
    <w:rsid w:val="00C060B1"/>
    <w:rsid w:val="00C47709"/>
    <w:rsid w:val="00C6076E"/>
    <w:rsid w:val="00C819E8"/>
    <w:rsid w:val="00CB6D93"/>
    <w:rsid w:val="00CC209D"/>
    <w:rsid w:val="00CE3A56"/>
    <w:rsid w:val="00CE613B"/>
    <w:rsid w:val="00D15B17"/>
    <w:rsid w:val="00D27039"/>
    <w:rsid w:val="00D41B42"/>
    <w:rsid w:val="00D42274"/>
    <w:rsid w:val="00D439AC"/>
    <w:rsid w:val="00D6106B"/>
    <w:rsid w:val="00D8772F"/>
    <w:rsid w:val="00D923D8"/>
    <w:rsid w:val="00DE18A5"/>
    <w:rsid w:val="00E76458"/>
    <w:rsid w:val="00E819C0"/>
    <w:rsid w:val="00E931BE"/>
    <w:rsid w:val="00E965D2"/>
    <w:rsid w:val="00E96A24"/>
    <w:rsid w:val="00EC2DAD"/>
    <w:rsid w:val="00EC46FD"/>
    <w:rsid w:val="00ED3794"/>
    <w:rsid w:val="00EE4C90"/>
    <w:rsid w:val="00EF1163"/>
    <w:rsid w:val="00EF38E2"/>
    <w:rsid w:val="00F036C9"/>
    <w:rsid w:val="00F10871"/>
    <w:rsid w:val="00F21AAC"/>
    <w:rsid w:val="00F40CAA"/>
    <w:rsid w:val="00F41775"/>
    <w:rsid w:val="00F515BC"/>
    <w:rsid w:val="00F83102"/>
    <w:rsid w:val="00FC39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C8C0FE32-7AA2-4ADE-AF0A-E8E993E8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1BE"/>
    <w:pPr>
      <w:bidi/>
    </w:pPr>
  </w:style>
  <w:style w:type="paragraph" w:styleId="Heading1">
    <w:name w:val="heading 1"/>
    <w:basedOn w:val="Normal"/>
    <w:next w:val="Normal"/>
    <w:link w:val="Heading1Char"/>
    <w:autoRedefine/>
    <w:uiPriority w:val="9"/>
    <w:qFormat/>
    <w:rsid w:val="00D439AC"/>
    <w:pPr>
      <w:keepNext/>
      <w:keepLines/>
      <w:spacing w:before="360" w:after="80"/>
      <w:outlineLvl w:val="0"/>
    </w:pPr>
    <w:rPr>
      <w:rFonts w:ascii="Simplified Arabic" w:eastAsiaTheme="majorEastAsia" w:hAnsi="Simplified Arabic" w:cs="Simplified Arabic"/>
      <w:b/>
      <w:bCs/>
      <w:sz w:val="36"/>
      <w:szCs w:val="36"/>
      <w:lang w:bidi="ar-EG"/>
    </w:rPr>
  </w:style>
  <w:style w:type="paragraph" w:styleId="Heading2">
    <w:name w:val="heading 2"/>
    <w:basedOn w:val="Normal"/>
    <w:next w:val="Normal"/>
    <w:link w:val="Heading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9AC"/>
    <w:rPr>
      <w:rFonts w:ascii="Simplified Arabic" w:eastAsiaTheme="majorEastAsia" w:hAnsi="Simplified Arabic" w:cs="Simplified Arabic"/>
      <w:b/>
      <w:bCs/>
      <w:sz w:val="36"/>
      <w:szCs w:val="36"/>
      <w:lang w:bidi="ar-EG"/>
    </w:rPr>
  </w:style>
  <w:style w:type="character" w:customStyle="1" w:styleId="Heading2Char">
    <w:name w:val="Heading 2 Char"/>
    <w:basedOn w:val="DefaultParagraphFont"/>
    <w:link w:val="Heading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831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31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31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31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1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1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102"/>
    <w:rPr>
      <w:rFonts w:eastAsiaTheme="majorEastAsia" w:cstheme="majorBidi"/>
      <w:color w:val="272727" w:themeColor="text1" w:themeTint="D8"/>
    </w:rPr>
  </w:style>
  <w:style w:type="paragraph" w:styleId="Title">
    <w:name w:val="Title"/>
    <w:basedOn w:val="Normal"/>
    <w:next w:val="Normal"/>
    <w:link w:val="Title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1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1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102"/>
    <w:pPr>
      <w:spacing w:before="160"/>
      <w:jc w:val="center"/>
    </w:pPr>
    <w:rPr>
      <w:i/>
      <w:iCs/>
      <w:color w:val="404040" w:themeColor="text1" w:themeTint="BF"/>
    </w:rPr>
  </w:style>
  <w:style w:type="character" w:customStyle="1" w:styleId="QuoteChar">
    <w:name w:val="Quote Char"/>
    <w:basedOn w:val="DefaultParagraphFont"/>
    <w:link w:val="Quote"/>
    <w:uiPriority w:val="29"/>
    <w:rsid w:val="00F83102"/>
    <w:rPr>
      <w:i/>
      <w:iCs/>
      <w:color w:val="404040" w:themeColor="text1" w:themeTint="BF"/>
    </w:rPr>
  </w:style>
  <w:style w:type="paragraph" w:styleId="ListParagraph">
    <w:name w:val="List Paragraph"/>
    <w:basedOn w:val="Normal"/>
    <w:uiPriority w:val="34"/>
    <w:qFormat/>
    <w:rsid w:val="00F83102"/>
    <w:pPr>
      <w:ind w:left="720"/>
      <w:contextualSpacing/>
    </w:pPr>
  </w:style>
  <w:style w:type="character" w:styleId="IntenseEmphasis">
    <w:name w:val="Intense Emphasis"/>
    <w:basedOn w:val="DefaultParagraphFont"/>
    <w:uiPriority w:val="21"/>
    <w:qFormat/>
    <w:rsid w:val="00F83102"/>
    <w:rPr>
      <w:i/>
      <w:iCs/>
      <w:color w:val="2F5496" w:themeColor="accent1" w:themeShade="BF"/>
    </w:rPr>
  </w:style>
  <w:style w:type="paragraph" w:styleId="IntenseQuote">
    <w:name w:val="Intense Quote"/>
    <w:basedOn w:val="Normal"/>
    <w:next w:val="Normal"/>
    <w:link w:val="IntenseQuoteChar"/>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3102"/>
    <w:rPr>
      <w:i/>
      <w:iCs/>
      <w:color w:val="2F5496" w:themeColor="accent1" w:themeShade="BF"/>
    </w:rPr>
  </w:style>
  <w:style w:type="character" w:styleId="IntenseReference">
    <w:name w:val="Intense Reference"/>
    <w:basedOn w:val="DefaultParagraphFont"/>
    <w:uiPriority w:val="32"/>
    <w:qFormat/>
    <w:rsid w:val="00F83102"/>
    <w:rPr>
      <w:b/>
      <w:bCs/>
      <w:smallCaps/>
      <w:color w:val="2F5496" w:themeColor="accent1" w:themeShade="BF"/>
      <w:spacing w:val="5"/>
    </w:rPr>
  </w:style>
  <w:style w:type="character" w:styleId="Hyperlink">
    <w:name w:val="Hyperlink"/>
    <w:basedOn w:val="DefaultParagraphFont"/>
    <w:uiPriority w:val="99"/>
    <w:unhideWhenUsed/>
    <w:rsid w:val="00EE4C90"/>
    <w:rPr>
      <w:color w:val="0563C1" w:themeColor="hyperlink"/>
      <w:u w:val="single"/>
    </w:rPr>
  </w:style>
  <w:style w:type="character" w:styleId="UnresolvedMention">
    <w:name w:val="Unresolved Mention"/>
    <w:basedOn w:val="DefaultParagraphFont"/>
    <w:uiPriority w:val="99"/>
    <w:semiHidden/>
    <w:unhideWhenUsed/>
    <w:rsid w:val="00EE4C90"/>
    <w:rPr>
      <w:color w:val="605E5C"/>
      <w:shd w:val="clear" w:color="auto" w:fill="E1DFDD"/>
    </w:rPr>
  </w:style>
  <w:style w:type="paragraph" w:styleId="Header">
    <w:name w:val="header"/>
    <w:basedOn w:val="Normal"/>
    <w:link w:val="HeaderChar"/>
    <w:uiPriority w:val="99"/>
    <w:unhideWhenUsed/>
    <w:rsid w:val="00621D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DED"/>
  </w:style>
  <w:style w:type="paragraph" w:styleId="Footer">
    <w:name w:val="footer"/>
    <w:basedOn w:val="Normal"/>
    <w:link w:val="FooterChar"/>
    <w:uiPriority w:val="99"/>
    <w:unhideWhenUsed/>
    <w:rsid w:val="00621D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DED"/>
  </w:style>
  <w:style w:type="paragraph" w:styleId="TOCHeading">
    <w:name w:val="TOC Heading"/>
    <w:basedOn w:val="Heading1"/>
    <w:next w:val="Normal"/>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TOC1">
    <w:name w:val="toc 1"/>
    <w:basedOn w:val="Normal"/>
    <w:next w:val="Normal"/>
    <w:autoRedefine/>
    <w:uiPriority w:val="39"/>
    <w:unhideWhenUsed/>
    <w:rsid w:val="00D439AC"/>
    <w:pPr>
      <w:spacing w:after="100"/>
    </w:pPr>
  </w:style>
  <w:style w:type="paragraph" w:styleId="NormalWeb">
    <w:name w:val="Normal (Web)"/>
    <w:basedOn w:val="Normal"/>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EF1163"/>
    <w:rPr>
      <w:color w:val="954F72" w:themeColor="followedHyperlink"/>
      <w:u w:val="single"/>
    </w:rPr>
  </w:style>
  <w:style w:type="paragraph" w:styleId="TOC3">
    <w:name w:val="toc 3"/>
    <w:basedOn w:val="Normal"/>
    <w:next w:val="Normal"/>
    <w:autoRedefine/>
    <w:uiPriority w:val="39"/>
    <w:unhideWhenUsed/>
    <w:rsid w:val="00E76458"/>
    <w:pPr>
      <w:spacing w:after="100"/>
      <w:ind w:left="480"/>
    </w:pPr>
  </w:style>
  <w:style w:type="table" w:customStyle="1" w:styleId="TableGrid1">
    <w:name w:val="Table Grid1"/>
    <w:basedOn w:val="TableNormal"/>
    <w:next w:val="TableGrid"/>
    <w:uiPriority w:val="39"/>
    <w:rsid w:val="00E7645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76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5A39B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1">
    <w:name w:val="Plain Table 1"/>
    <w:basedOn w:val="TableNormal"/>
    <w:uiPriority w:val="41"/>
    <w:rsid w:val="00A2501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65013746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472486" TargetMode="External"/><Relationship Id="rId18" Type="http://schemas.openxmlformats.org/officeDocument/2006/relationships/hyperlink" Target="http://search.mandumah.com/Record/1107332" TargetMode="External"/><Relationship Id="rId26" Type="http://schemas.openxmlformats.org/officeDocument/2006/relationships/hyperlink" Target="http://search.mandumah.com/Record/1525127" TargetMode="External"/><Relationship Id="rId39" Type="http://schemas.openxmlformats.org/officeDocument/2006/relationships/hyperlink" Target="https://doi.org/10.1007/S12517-021-08533-X" TargetMode="External"/><Relationship Id="rId21" Type="http://schemas.openxmlformats.org/officeDocument/2006/relationships/hyperlink" Target="http://search.mandumah.com/Record/1579441" TargetMode="External"/><Relationship Id="rId34" Type="http://schemas.openxmlformats.org/officeDocument/2006/relationships/hyperlink" Target="https://doi.org/10.1007/s12053-024-10285-y"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392033" TargetMode="External"/><Relationship Id="rId20" Type="http://schemas.openxmlformats.org/officeDocument/2006/relationships/hyperlink" Target="http://search.mandumah.com/Record/1205211" TargetMode="External"/><Relationship Id="rId29" Type="http://schemas.openxmlformats.org/officeDocument/2006/relationships/hyperlink" Target="https://www.stats.gov.sa/documents/20117/2435281/Hajj+Statistics+Publication+2025AR.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521757" TargetMode="External"/><Relationship Id="rId24" Type="http://schemas.openxmlformats.org/officeDocument/2006/relationships/hyperlink" Target="http://search.mandumah.com/Record/1353626" TargetMode="External"/><Relationship Id="rId32" Type="http://schemas.openxmlformats.org/officeDocument/2006/relationships/hyperlink" Target="http://search.mandumah.com/Record/885101" TargetMode="External"/><Relationship Id="rId37" Type="http://schemas.openxmlformats.org/officeDocument/2006/relationships/hyperlink" Target="https://doi.org/10.32347/uwt.2024.14.1208" TargetMode="External"/><Relationship Id="rId40" Type="http://schemas.openxmlformats.org/officeDocument/2006/relationships/hyperlink" Target="https://doi.org/10.15587/1729-4061.2023.275731" TargetMode="External"/><Relationship Id="rId5" Type="http://schemas.openxmlformats.org/officeDocument/2006/relationships/webSettings" Target="webSettings.xml"/><Relationship Id="rId15" Type="http://schemas.openxmlformats.org/officeDocument/2006/relationships/hyperlink" Target="http://search.mandumah.com/Record/1567868" TargetMode="External"/><Relationship Id="rId23" Type="http://schemas.openxmlformats.org/officeDocument/2006/relationships/hyperlink" Target="http://search.mandumah.com/Record/1264224" TargetMode="External"/><Relationship Id="rId28" Type="http://schemas.openxmlformats.org/officeDocument/2006/relationships/hyperlink" Target="http://search.mandumah.com/Record/1422238" TargetMode="External"/><Relationship Id="rId36" Type="http://schemas.openxmlformats.org/officeDocument/2006/relationships/hyperlink" Target="https://doi.org/10.54476/iimrj371" TargetMode="External"/><Relationship Id="rId10" Type="http://schemas.openxmlformats.org/officeDocument/2006/relationships/hyperlink" Target="http://search.mandumah.com/Record/1656730" TargetMode="External"/><Relationship Id="rId19" Type="http://schemas.openxmlformats.org/officeDocument/2006/relationships/hyperlink" Target="http://search.mandumah.com/Record/1630310" TargetMode="External"/><Relationship Id="rId31" Type="http://schemas.openxmlformats.org/officeDocument/2006/relationships/hyperlink" Target="https://www.haj.gov.sa" TargetMode="External"/><Relationship Id="rId4" Type="http://schemas.openxmlformats.org/officeDocument/2006/relationships/settings" Target="settings.xml"/><Relationship Id="rId9" Type="http://schemas.openxmlformats.org/officeDocument/2006/relationships/hyperlink" Target="http://search.mandumah.com/Record/1344435" TargetMode="External"/><Relationship Id="rId14" Type="http://schemas.openxmlformats.org/officeDocument/2006/relationships/hyperlink" Target="http://search.mandumah.com/Record/1628214" TargetMode="External"/><Relationship Id="rId22" Type="http://schemas.openxmlformats.org/officeDocument/2006/relationships/hyperlink" Target="http://search.mandumah.com/Record/1524160" TargetMode="External"/><Relationship Id="rId27" Type="http://schemas.openxmlformats.org/officeDocument/2006/relationships/hyperlink" Target="http://search.mandumah.com/Record/1353644" TargetMode="External"/><Relationship Id="rId30" Type="http://schemas.openxmlformats.org/officeDocument/2006/relationships/hyperlink" Target="https://www.haj.gov.sa" TargetMode="External"/><Relationship Id="rId35" Type="http://schemas.openxmlformats.org/officeDocument/2006/relationships/hyperlink" Target="https://doi.org/10.1017/9781009105156.021"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earch.mandumah.com/Record/1446450" TargetMode="External"/><Relationship Id="rId17" Type="http://schemas.openxmlformats.org/officeDocument/2006/relationships/hyperlink" Target="http://search.mandumah.com/Record/1403096" TargetMode="External"/><Relationship Id="rId25" Type="http://schemas.openxmlformats.org/officeDocument/2006/relationships/hyperlink" Target="http://search.mandumah.com/Record/1643121" TargetMode="External"/><Relationship Id="rId33" Type="http://schemas.openxmlformats.org/officeDocument/2006/relationships/hyperlink" Target="https://doi.org/10.3390/su151612206" TargetMode="External"/><Relationship Id="rId38" Type="http://schemas.openxmlformats.org/officeDocument/2006/relationships/hyperlink" Target="https://doi.org/10.1109/icccnt61001.2024.107239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101</Pages>
  <Words>24653</Words>
  <Characters>140528</Characters>
  <Application>Microsoft Office Word</Application>
  <DocSecurity>0</DocSecurity>
  <Lines>1171</Lines>
  <Paragraphs>329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Hamid S. Albahari</cp:lastModifiedBy>
  <cp:revision>2</cp:revision>
  <cp:lastPrinted>2025-06-29T20:53:00Z</cp:lastPrinted>
  <dcterms:created xsi:type="dcterms:W3CDTF">2026-08-13T07:14:00Z</dcterms:created>
  <dcterms:modified xsi:type="dcterms:W3CDTF">2026-08-13T07:14:00Z</dcterms:modified>
</cp:coreProperties>
</file>