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rFonts w:ascii="Traditional Arabic" w:hAnsi="Traditional Arabic" w:cs="Traditional Arabic"/>
          <w:b/>
          <w:bCs/>
          <w:sz w:val="28"/>
          <w:szCs w:val="28"/>
          <w:rtl/>
          <w:lang w:bidi="ar-JO"/>
        </w:rPr>
        <w:t>جامعة مداوشن</w:t>
      </w:r>
    </w:p>
    <w:p w14:paraId="2949A666" w14:textId="28720D0D" w:rsidR="00C57504" w:rsidRPr="0049674D" w:rsidRDefault="00A73BD3" w:rsidP="00C57504">
      <w:pPr>
        <w:bidi/>
        <w:jc w:val="center"/>
        <w:rPr>
          <w:rFonts w:ascii="Traditional Arabic" w:hAnsi="Traditional Arabic" w:cs="Traditional Arabic"/>
          <w:b/>
          <w:bCs/>
          <w:sz w:val="24"/>
          <w:szCs w:val="24"/>
          <w:rtl/>
          <w:lang w:bidi="ar-JO"/>
        </w:rPr>
      </w:pPr>
      <w:proofErr w:type="gramStart"/>
      <w:r w:rsidRPr="0049674D">
        <w:rPr>
          <w:rFonts w:ascii="Traditional Arabic" w:hAnsi="Traditional Arabic" w:cs="Traditional Arabic" w:hint="cs"/>
          <w:b/>
          <w:bCs/>
          <w:sz w:val="24"/>
          <w:szCs w:val="24"/>
          <w:rtl/>
          <w:lang w:bidi="ar-JO"/>
        </w:rPr>
        <w:t>كلية</w:t>
      </w:r>
      <w:proofErr w:type="gramEnd"/>
      <w:r w:rsidRPr="0049674D">
        <w:rPr>
          <w:rFonts w:ascii="Traditional Arabic" w:hAnsi="Traditional Arabic" w:cs="Traditional Arabic" w:hint="cs"/>
          <w:b/>
          <w:bCs/>
          <w:sz w:val="24"/>
          <w:szCs w:val="24"/>
          <w:rtl/>
          <w:lang w:bidi="ar-JO"/>
        </w:rPr>
        <w:t xml:space="preserve"> التربية</w:t>
      </w:r>
    </w:p>
    <w:p w14:paraId="0981692E" w14:textId="77777777" w:rsidR="00C57504" w:rsidRPr="0049674D" w:rsidRDefault="00C57504" w:rsidP="00C57504">
      <w:pPr>
        <w:bidi/>
        <w:jc w:val="center"/>
        <w:rPr>
          <w:sz w:val="20"/>
          <w:szCs w:val="20"/>
          <w:rtl/>
          <w:lang w:bidi="ar-JO"/>
        </w:rPr>
      </w:pPr>
    </w:p>
    <w:p w14:paraId="79C708C2" w14:textId="77777777" w:rsidR="00A73BD3" w:rsidRPr="0049674D" w:rsidRDefault="00A73BD3" w:rsidP="00A73BD3">
      <w:pPr>
        <w:bidi/>
        <w:jc w:val="center"/>
        <w:rPr>
          <w:rFonts w:ascii="Traditional Arabic" w:eastAsia="Calibri" w:hAnsi="Traditional Arabic" w:cs="Traditional Arabic"/>
          <w:b/>
          <w:bCs/>
          <w:noProof/>
          <w:sz w:val="36"/>
          <w:szCs w:val="36"/>
          <w:rtl/>
        </w:rPr>
      </w:pPr>
      <w:r w:rsidRPr="0049674D">
        <w:rPr>
          <w:rFonts w:ascii="Traditional Arabic" w:eastAsia="Calibri" w:hAnsi="Traditional Arabic" w:cs="Traditional Arabic"/>
          <w:b/>
          <w:bCs/>
          <w:noProof/>
          <w:sz w:val="36"/>
          <w:szCs w:val="36"/>
          <w:rtl/>
        </w:rPr>
        <w:t>أثر برامج التنمية المهنية في تطوير كفاءة معلمي المرحلة الابتدائية بمدينة الرياض: دراسة ميدانية تحليلية</w:t>
      </w:r>
      <w:r w:rsidRPr="0049674D">
        <w:rPr>
          <w:rFonts w:ascii="Traditional Arabic" w:eastAsia="Calibri" w:hAnsi="Traditional Arabic" w:cs="Traditional Arabic" w:hint="cs"/>
          <w:b/>
          <w:bCs/>
          <w:noProof/>
          <w:sz w:val="36"/>
          <w:szCs w:val="36"/>
          <w:rtl/>
        </w:rPr>
        <w:t xml:space="preserve"> </w:t>
      </w:r>
    </w:p>
    <w:p w14:paraId="3255A6F0" w14:textId="77777777" w:rsidR="00C57504" w:rsidRPr="0049674D" w:rsidRDefault="00C57504" w:rsidP="00C57504">
      <w:pPr>
        <w:bidi/>
        <w:jc w:val="center"/>
        <w:rPr>
          <w:rFonts w:ascii="Traditional Arabic" w:hAnsi="Traditional Arabic" w:cs="Traditional Arabic"/>
          <w:b/>
          <w:bCs/>
          <w:sz w:val="28"/>
          <w:szCs w:val="28"/>
          <w:rtl/>
        </w:rPr>
      </w:pPr>
    </w:p>
    <w:p w14:paraId="1AF21331" w14:textId="77777777" w:rsidR="00C57504" w:rsidRPr="0049674D" w:rsidRDefault="00C57504" w:rsidP="00C57504">
      <w:pPr>
        <w:bidi/>
        <w:jc w:val="center"/>
        <w:rPr>
          <w:rFonts w:ascii="Traditional Arabic" w:hAnsi="Traditional Arabic" w:cs="Traditional Arabic"/>
          <w:b/>
          <w:bCs/>
          <w:sz w:val="28"/>
          <w:szCs w:val="28"/>
          <w:rtl/>
        </w:rPr>
      </w:pPr>
      <w:r w:rsidRPr="0049674D">
        <w:rPr>
          <w:rFonts w:ascii="Traditional Arabic" w:hAnsi="Traditional Arabic" w:cs="Traditional Arabic"/>
          <w:b/>
          <w:bCs/>
          <w:sz w:val="28"/>
          <w:szCs w:val="28"/>
          <w:rtl/>
        </w:rPr>
        <w:t xml:space="preserve">اعداد: </w:t>
      </w:r>
    </w:p>
    <w:p w14:paraId="7359E8C6" w14:textId="77777777" w:rsidR="00A73BD3" w:rsidRPr="0049674D" w:rsidRDefault="00A73BD3" w:rsidP="00A73BD3">
      <w:pPr>
        <w:bidi/>
        <w:jc w:val="center"/>
        <w:rPr>
          <w:rFonts w:ascii="Traditional Arabic" w:hAnsi="Traditional Arabic" w:cs="Traditional Arabic"/>
          <w:b/>
          <w:bCs/>
          <w:sz w:val="28"/>
          <w:szCs w:val="28"/>
          <w:rtl/>
        </w:rPr>
      </w:pPr>
      <w:r w:rsidRPr="0049674D">
        <w:rPr>
          <w:rFonts w:ascii="Traditional Arabic" w:hAnsi="Traditional Arabic" w:cs="Traditional Arabic" w:hint="cs"/>
          <w:b/>
          <w:bCs/>
          <w:sz w:val="28"/>
          <w:szCs w:val="28"/>
          <w:rtl/>
        </w:rPr>
        <w:t xml:space="preserve">غزيل بنت فهد الدوسري </w:t>
      </w:r>
    </w:p>
    <w:p w14:paraId="789AB9A4" w14:textId="5B43EBE3" w:rsidR="00C57504" w:rsidRPr="0049674D" w:rsidRDefault="00C57504" w:rsidP="00A73BD3">
      <w:pPr>
        <w:bidi/>
        <w:jc w:val="center"/>
        <w:rPr>
          <w:rFonts w:ascii="Traditional Arabic" w:hAnsi="Traditional Arabic" w:cs="Traditional Arabic"/>
          <w:b/>
          <w:bCs/>
          <w:sz w:val="24"/>
          <w:szCs w:val="24"/>
          <w:rtl/>
        </w:rPr>
      </w:pPr>
      <w:proofErr w:type="gramStart"/>
      <w:r w:rsidRPr="0049674D">
        <w:rPr>
          <w:rFonts w:ascii="Traditional Arabic" w:hAnsi="Traditional Arabic" w:cs="Traditional Arabic" w:hint="cs"/>
          <w:b/>
          <w:bCs/>
          <w:sz w:val="24"/>
          <w:szCs w:val="24"/>
          <w:rtl/>
        </w:rPr>
        <w:t>المملكة</w:t>
      </w:r>
      <w:proofErr w:type="gramEnd"/>
      <w:r w:rsidRPr="0049674D">
        <w:rPr>
          <w:rFonts w:ascii="Traditional Arabic" w:hAnsi="Traditional Arabic" w:cs="Traditional Arabic" w:hint="cs"/>
          <w:b/>
          <w:bCs/>
          <w:sz w:val="24"/>
          <w:szCs w:val="24"/>
          <w:rtl/>
        </w:rPr>
        <w:t xml:space="preserve"> العربية السعودية</w:t>
      </w:r>
    </w:p>
    <w:p w14:paraId="62D0CEB3" w14:textId="77777777" w:rsidR="00C57504" w:rsidRPr="0049674D" w:rsidRDefault="00C57504" w:rsidP="00C57504">
      <w:pPr>
        <w:bidi/>
        <w:jc w:val="center"/>
        <w:rPr>
          <w:rFonts w:ascii="Traditional Arabic" w:hAnsi="Traditional Arabic" w:cs="Traditional Arabic"/>
          <w:b/>
          <w:bCs/>
          <w:sz w:val="24"/>
          <w:szCs w:val="24"/>
          <w:rtl/>
        </w:rPr>
      </w:pPr>
    </w:p>
    <w:p w14:paraId="7F96881C" w14:textId="77777777" w:rsidR="00C57504" w:rsidRPr="0049674D" w:rsidRDefault="00C57504"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4A5796BB" w:rsidR="00C57504" w:rsidRPr="0049674D" w:rsidRDefault="00A73BD3"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 xml:space="preserve"> في التربية</w:t>
      </w:r>
    </w:p>
    <w:p w14:paraId="42822786" w14:textId="77777777" w:rsidR="00C57504" w:rsidRPr="0049674D" w:rsidRDefault="00C57504" w:rsidP="00C57504">
      <w:pPr>
        <w:bidi/>
        <w:rPr>
          <w:rtl/>
          <w:lang w:bidi="ar-JO"/>
        </w:rPr>
      </w:pPr>
    </w:p>
    <w:p w14:paraId="16332822" w14:textId="77777777" w:rsidR="00C57504" w:rsidRPr="0049674D" w:rsidRDefault="00C57504" w:rsidP="00C57504">
      <w:pPr>
        <w:bidi/>
        <w:rPr>
          <w:rtl/>
          <w:lang w:bidi="ar-JO"/>
        </w:rPr>
      </w:pPr>
    </w:p>
    <w:p w14:paraId="43975BC5" w14:textId="77777777" w:rsidR="00C57504" w:rsidRPr="0049674D" w:rsidRDefault="00C57504" w:rsidP="00C57504">
      <w:pPr>
        <w:bidi/>
        <w:rPr>
          <w:rtl/>
          <w:lang w:bidi="ar-JO"/>
        </w:rPr>
      </w:pPr>
    </w:p>
    <w:p w14:paraId="20A86FFB" w14:textId="77777777" w:rsidR="00C57504" w:rsidRPr="0049674D" w:rsidRDefault="00C57504" w:rsidP="00C57504">
      <w:pPr>
        <w:bidi/>
        <w:rPr>
          <w:rtl/>
          <w:lang w:bidi="ar-JO"/>
        </w:rPr>
      </w:pPr>
    </w:p>
    <w:p w14:paraId="78DCBABC" w14:textId="77777777" w:rsidR="00C57504" w:rsidRPr="0049674D" w:rsidRDefault="00C57504" w:rsidP="00C57504">
      <w:pPr>
        <w:bidi/>
        <w:rPr>
          <w:rtl/>
          <w:lang w:bidi="ar-JO"/>
        </w:rPr>
      </w:pPr>
    </w:p>
    <w:p w14:paraId="46F4B43C" w14:textId="77777777" w:rsidR="00C57504" w:rsidRPr="0049674D" w:rsidRDefault="00C57504" w:rsidP="00C57504">
      <w:pPr>
        <w:bidi/>
        <w:jc w:val="center"/>
        <w:rPr>
          <w:rtl/>
          <w:lang w:bidi="ar-JO"/>
        </w:rPr>
      </w:pPr>
      <w:r w:rsidRPr="0049674D">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49674D" w:rsidRDefault="00C57504" w:rsidP="00C57504">
      <w:pPr>
        <w:jc w:val="center"/>
        <w:rPr>
          <w:rFonts w:asciiTheme="majorBidi" w:hAnsiTheme="majorBidi" w:cstheme="majorBidi"/>
          <w:b/>
          <w:bCs/>
          <w:sz w:val="24"/>
          <w:szCs w:val="24"/>
          <w:lang w:bidi="ar-JO"/>
        </w:rPr>
      </w:pPr>
      <w:r w:rsidRPr="0049674D">
        <w:rPr>
          <w:rFonts w:asciiTheme="majorBidi" w:hAnsiTheme="majorBidi" w:cstheme="majorBidi"/>
          <w:b/>
          <w:bCs/>
          <w:sz w:val="28"/>
          <w:szCs w:val="28"/>
          <w:lang w:bidi="ar-JO"/>
        </w:rPr>
        <w:t>M</w:t>
      </w:r>
      <w:r w:rsidRPr="0049674D">
        <w:rPr>
          <w:rFonts w:asciiTheme="majorBidi" w:hAnsiTheme="majorBidi" w:cstheme="majorBidi"/>
          <w:b/>
          <w:bCs/>
          <w:sz w:val="28"/>
          <w:szCs w:val="28"/>
          <w:lang w:bidi="ar-AE"/>
        </w:rPr>
        <w:t>IDOCEAN</w:t>
      </w:r>
      <w:r w:rsidRPr="0049674D">
        <w:rPr>
          <w:rFonts w:asciiTheme="majorBidi" w:hAnsiTheme="majorBidi" w:cstheme="majorBidi"/>
          <w:b/>
          <w:bCs/>
          <w:sz w:val="28"/>
          <w:szCs w:val="28"/>
          <w:lang w:bidi="ar-JO"/>
        </w:rPr>
        <w:t xml:space="preserve"> UNIVERSITY</w:t>
      </w:r>
      <w:r w:rsidRPr="0049674D">
        <w:rPr>
          <w:rFonts w:asciiTheme="majorBidi" w:hAnsiTheme="majorBidi" w:cstheme="majorBidi"/>
          <w:lang w:bidi="ar-JO"/>
        </w:rPr>
        <w:br/>
      </w:r>
    </w:p>
    <w:p w14:paraId="5A73F45A" w14:textId="77777777" w:rsidR="00C57504" w:rsidRPr="0049674D" w:rsidRDefault="00C57504" w:rsidP="00C57504">
      <w:pPr>
        <w:jc w:val="center"/>
        <w:rPr>
          <w:rFonts w:asciiTheme="majorBidi" w:hAnsiTheme="majorBidi" w:cstheme="majorBidi"/>
          <w:b/>
          <w:bCs/>
          <w:sz w:val="24"/>
          <w:szCs w:val="24"/>
          <w:lang w:bidi="ar-JO"/>
        </w:rPr>
      </w:pPr>
    </w:p>
    <w:p w14:paraId="2D720853" w14:textId="77777777" w:rsidR="00C57504" w:rsidRPr="0049674D" w:rsidRDefault="00C57504" w:rsidP="00C57504">
      <w:pPr>
        <w:jc w:val="center"/>
        <w:rPr>
          <w:rFonts w:asciiTheme="majorBidi" w:hAnsiTheme="majorBidi" w:cstheme="majorBidi"/>
          <w:b/>
          <w:bCs/>
          <w:sz w:val="24"/>
          <w:szCs w:val="24"/>
          <w:lang w:bidi="ar-JO"/>
        </w:rPr>
      </w:pPr>
    </w:p>
    <w:p w14:paraId="061C8353" w14:textId="5C83C5D0" w:rsidR="00C57504"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24"/>
          <w:szCs w:val="24"/>
          <w:lang w:bidi="ar-JO"/>
        </w:rPr>
        <w:t>College of Education</w:t>
      </w:r>
    </w:p>
    <w:p w14:paraId="0EE6CD97" w14:textId="77777777" w:rsidR="00C57504" w:rsidRPr="0049674D" w:rsidRDefault="00C57504" w:rsidP="00C57504">
      <w:pPr>
        <w:jc w:val="center"/>
        <w:rPr>
          <w:rFonts w:asciiTheme="majorBidi" w:hAnsiTheme="majorBidi" w:cstheme="majorBidi"/>
          <w:b/>
          <w:bCs/>
          <w:sz w:val="36"/>
          <w:szCs w:val="36"/>
          <w:lang w:bidi="ar-JO"/>
        </w:rPr>
      </w:pPr>
    </w:p>
    <w:p w14:paraId="45666B3B" w14:textId="77777777" w:rsidR="00A73BD3"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36"/>
          <w:szCs w:val="36"/>
          <w:lang w:bidi="ar-JO"/>
        </w:rPr>
        <w:t>The Impact of Professional Development Programs on Improving the Competence of Primary School Teachers in Riyadh: An Analytical Field Study</w:t>
      </w:r>
    </w:p>
    <w:p w14:paraId="3F7B989F" w14:textId="77777777" w:rsidR="00C57504" w:rsidRPr="0049674D" w:rsidRDefault="00C57504" w:rsidP="00C57504">
      <w:pPr>
        <w:jc w:val="center"/>
        <w:rPr>
          <w:rFonts w:asciiTheme="majorBidi" w:hAnsiTheme="majorBidi" w:cstheme="majorBidi"/>
          <w:b/>
          <w:bCs/>
          <w:sz w:val="28"/>
          <w:szCs w:val="28"/>
          <w:lang w:bidi="ar-JO"/>
        </w:rPr>
      </w:pPr>
    </w:p>
    <w:p w14:paraId="039AEC0C" w14:textId="77777777" w:rsidR="00C57504" w:rsidRPr="0049674D" w:rsidRDefault="00C57504" w:rsidP="00C57504">
      <w:pPr>
        <w:jc w:val="center"/>
        <w:rPr>
          <w:rFonts w:asciiTheme="majorBidi" w:hAnsiTheme="majorBidi" w:cstheme="majorBidi"/>
          <w:b/>
          <w:bCs/>
          <w:sz w:val="28"/>
          <w:szCs w:val="28"/>
          <w:lang w:bidi="ar-JO"/>
        </w:rPr>
      </w:pPr>
    </w:p>
    <w:p w14:paraId="695E4B7E" w14:textId="0CE35D7A" w:rsidR="00C57504" w:rsidRPr="0049674D" w:rsidRDefault="00C57504" w:rsidP="00C57504">
      <w:pPr>
        <w:jc w:val="center"/>
        <w:rPr>
          <w:rFonts w:asciiTheme="majorBidi" w:hAnsiTheme="majorBidi" w:cstheme="majorBidi"/>
          <w:b/>
          <w:bCs/>
          <w:sz w:val="28"/>
          <w:szCs w:val="28"/>
          <w:lang w:bidi="ar-JO"/>
        </w:rPr>
      </w:pPr>
      <w:r w:rsidRPr="0049674D">
        <w:rPr>
          <w:rFonts w:asciiTheme="majorBidi" w:hAnsiTheme="majorBidi" w:cstheme="majorBidi"/>
          <w:b/>
          <w:bCs/>
          <w:sz w:val="28"/>
          <w:szCs w:val="28"/>
          <w:lang w:bidi="ar-JO"/>
        </w:rPr>
        <w:t>Prepared by:</w:t>
      </w:r>
    </w:p>
    <w:p w14:paraId="04A05D6B" w14:textId="77777777" w:rsidR="00A73BD3" w:rsidRPr="0049674D" w:rsidRDefault="00A73BD3" w:rsidP="00A73BD3">
      <w:pPr>
        <w:jc w:val="center"/>
        <w:rPr>
          <w:rFonts w:asciiTheme="majorBidi" w:hAnsiTheme="majorBidi" w:cstheme="majorBidi"/>
          <w:b/>
          <w:bCs/>
          <w:sz w:val="24"/>
          <w:szCs w:val="24"/>
          <w:rtl/>
        </w:rPr>
      </w:pPr>
      <w:r w:rsidRPr="0049674D">
        <w:rPr>
          <w:rFonts w:asciiTheme="majorBidi" w:hAnsiTheme="majorBidi" w:cstheme="majorBidi" w:hint="cs"/>
          <w:b/>
          <w:bCs/>
          <w:sz w:val="24"/>
          <w:szCs w:val="24"/>
          <w:rtl/>
        </w:rPr>
        <w:t xml:space="preserve">غزيل بنت فهد الدوسري </w:t>
      </w:r>
    </w:p>
    <w:p w14:paraId="61831762" w14:textId="47BBA471" w:rsidR="00C57504" w:rsidRPr="0049674D" w:rsidRDefault="00C57504" w:rsidP="00C57504">
      <w:pPr>
        <w:jc w:val="center"/>
        <w:rPr>
          <w:rFonts w:asciiTheme="majorBidi" w:hAnsiTheme="majorBidi" w:cstheme="majorBidi"/>
          <w:b/>
          <w:bCs/>
          <w:sz w:val="24"/>
          <w:szCs w:val="24"/>
        </w:rPr>
      </w:pPr>
      <w:r w:rsidRPr="0049674D">
        <w:rPr>
          <w:rFonts w:asciiTheme="majorBidi" w:hAnsiTheme="majorBidi" w:cstheme="majorBidi"/>
          <w:lang w:bidi="ar-JO"/>
        </w:rPr>
        <w:br/>
      </w:r>
      <w:r w:rsidRPr="0049674D">
        <w:rPr>
          <w:rFonts w:asciiTheme="majorBidi" w:hAnsiTheme="majorBidi" w:cstheme="majorBidi"/>
          <w:b/>
          <w:bCs/>
          <w:sz w:val="24"/>
          <w:szCs w:val="24"/>
          <w:lang w:bidi="ar-JO"/>
        </w:rPr>
        <w:t>Kingdom of Saudi Arabia</w:t>
      </w:r>
    </w:p>
    <w:p w14:paraId="7D24F90B" w14:textId="77777777" w:rsidR="00C57504" w:rsidRPr="0049674D" w:rsidRDefault="00C57504" w:rsidP="00C57504">
      <w:pPr>
        <w:jc w:val="center"/>
        <w:rPr>
          <w:rFonts w:asciiTheme="majorBidi" w:hAnsiTheme="majorBidi" w:cstheme="majorBidi"/>
          <w:sz w:val="24"/>
          <w:szCs w:val="24"/>
          <w:lang w:bidi="ar-JO"/>
        </w:rPr>
      </w:pPr>
    </w:p>
    <w:p w14:paraId="0E731129" w14:textId="7F088CB8" w:rsidR="00C57504" w:rsidRPr="0049674D" w:rsidRDefault="00C57504" w:rsidP="00A73BD3">
      <w:pPr>
        <w:jc w:val="center"/>
        <w:rPr>
          <w:rFonts w:asciiTheme="majorBidi" w:hAnsiTheme="majorBidi" w:cstheme="majorBidi"/>
          <w:sz w:val="24"/>
          <w:szCs w:val="24"/>
          <w:rtl/>
          <w:lang w:bidi="ar-JO"/>
        </w:rPr>
        <w:sectPr w:rsidR="00C57504" w:rsidRPr="0049674D" w:rsidSect="009043AB">
          <w:footerReference w:type="default" r:id="rId10"/>
          <w:footerReference w:type="first" r:id="rId11"/>
          <w:pgSz w:w="12240" w:h="15840"/>
          <w:pgMar w:top="1440" w:right="1440" w:bottom="1440" w:left="1440" w:header="720" w:footer="720" w:gutter="0"/>
          <w:cols w:space="720"/>
          <w:titlePg/>
          <w:docGrid w:linePitch="360"/>
        </w:sectPr>
      </w:pPr>
      <w:r w:rsidRPr="0049674D">
        <w:rPr>
          <w:rFonts w:asciiTheme="majorBidi" w:hAnsiTheme="majorBidi" w:cstheme="majorBidi"/>
          <w:sz w:val="24"/>
          <w:szCs w:val="24"/>
          <w:lang w:bidi="ar-JO"/>
        </w:rPr>
        <w:t>A dissertation submitted to Midocean University in partial fulfillment of the requirements</w:t>
      </w:r>
      <w:r w:rsidRPr="0049674D">
        <w:rPr>
          <w:rFonts w:asciiTheme="majorBidi" w:hAnsiTheme="majorBidi" w:cstheme="majorBidi"/>
          <w:sz w:val="24"/>
          <w:szCs w:val="24"/>
          <w:lang w:bidi="ar-JO"/>
        </w:rPr>
        <w:br/>
        <w:t xml:space="preserve">for the degree of Doctor of Philosophy (Ph.D.) in </w:t>
      </w:r>
      <w:r w:rsidR="00A73BD3" w:rsidRPr="0049674D">
        <w:rPr>
          <w:rFonts w:asciiTheme="majorBidi" w:hAnsiTheme="majorBidi" w:cstheme="majorBidi"/>
          <w:sz w:val="24"/>
          <w:szCs w:val="24"/>
          <w:lang w:bidi="ar-JO"/>
        </w:rPr>
        <w:t>Education</w:t>
      </w:r>
    </w:p>
    <w:p w14:paraId="4F80EBFD" w14:textId="77777777" w:rsidR="00A73BD3" w:rsidRPr="005D4EED" w:rsidRDefault="00A73BD3" w:rsidP="00DD6416">
      <w:pPr>
        <w:pageBreakBefore/>
        <w:bidi/>
        <w:spacing w:after="200" w:line="276" w:lineRule="auto"/>
        <w:jc w:val="center"/>
        <w:rPr>
          <w:rFonts w:ascii="Traditional Arabic" w:eastAsia="Calibri" w:hAnsi="Traditional Arabic" w:cs="Traditional Arabic"/>
          <w:b/>
          <w:bCs/>
          <w:sz w:val="40"/>
          <w:szCs w:val="40"/>
          <w:rtl/>
          <w:lang w:val="en-GB"/>
        </w:rPr>
      </w:pPr>
      <w:r w:rsidRPr="005D4EED">
        <w:rPr>
          <w:rFonts w:ascii="Traditional Arabic" w:eastAsia="Calibri" w:hAnsi="Traditional Arabic" w:cs="Traditional Arabic"/>
          <w:b/>
          <w:bCs/>
          <w:sz w:val="40"/>
          <w:szCs w:val="40"/>
          <w:rtl/>
          <w:lang w:val="en-GB"/>
        </w:rPr>
        <w:lastRenderedPageBreak/>
        <w:t xml:space="preserve">أثر برامج التنمية المهنية في تطوير كفاءة معلمي المرحلة الابتدائية بمدينة الرياض: </w:t>
      </w:r>
      <w:proofErr w:type="gramStart"/>
      <w:r w:rsidRPr="005D4EED">
        <w:rPr>
          <w:rFonts w:ascii="Traditional Arabic" w:eastAsia="Calibri" w:hAnsi="Traditional Arabic" w:cs="Traditional Arabic"/>
          <w:b/>
          <w:bCs/>
          <w:sz w:val="40"/>
          <w:szCs w:val="40"/>
          <w:rtl/>
          <w:lang w:val="en-GB"/>
        </w:rPr>
        <w:t>دراسة</w:t>
      </w:r>
      <w:proofErr w:type="gramEnd"/>
      <w:r w:rsidRPr="005D4EED">
        <w:rPr>
          <w:rFonts w:ascii="Traditional Arabic" w:eastAsia="Calibri" w:hAnsi="Traditional Arabic" w:cs="Traditional Arabic"/>
          <w:b/>
          <w:bCs/>
          <w:sz w:val="40"/>
          <w:szCs w:val="40"/>
          <w:rtl/>
          <w:lang w:val="en-GB"/>
        </w:rPr>
        <w:t xml:space="preserve"> ميدانية تحليلية</w:t>
      </w:r>
      <w:r w:rsidRPr="005D4EED">
        <w:rPr>
          <w:rFonts w:ascii="Traditional Arabic" w:eastAsia="Calibri" w:hAnsi="Traditional Arabic" w:cs="Traditional Arabic" w:hint="cs"/>
          <w:b/>
          <w:bCs/>
          <w:sz w:val="40"/>
          <w:szCs w:val="40"/>
          <w:rtl/>
          <w:lang w:val="en-GB"/>
        </w:rPr>
        <w:t xml:space="preserve"> </w:t>
      </w:r>
    </w:p>
    <w:p w14:paraId="538B2B1B" w14:textId="77777777" w:rsidR="008074A2" w:rsidRPr="005D4EED"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الفصل الاول</w:t>
      </w:r>
    </w:p>
    <w:p w14:paraId="19F6199F" w14:textId="084F5B85"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 xml:space="preserve">الاطار </w:t>
      </w:r>
      <w:r w:rsidRPr="005D4EED">
        <w:rPr>
          <w:rFonts w:ascii="Traditional Arabic" w:eastAsia="Calibri" w:hAnsi="Traditional Arabic" w:cs="Traditional Arabic" w:hint="cs"/>
          <w:b/>
          <w:bCs/>
          <w:sz w:val="36"/>
          <w:szCs w:val="36"/>
          <w:rtl/>
          <w:lang w:val="en-GB"/>
        </w:rPr>
        <w:t>العام للدراسة</w:t>
      </w:r>
    </w:p>
    <w:p w14:paraId="38B1F8A7" w14:textId="275DC9B0" w:rsidR="00C57504" w:rsidRPr="005D4EED" w:rsidRDefault="0065664D" w:rsidP="0065664D">
      <w:pPr>
        <w:bidi/>
        <w:spacing w:after="200" w:line="276" w:lineRule="auto"/>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hint="cs"/>
          <w:b/>
          <w:bCs/>
          <w:sz w:val="36"/>
          <w:szCs w:val="36"/>
          <w:rtl/>
          <w:lang w:val="en-GB"/>
        </w:rPr>
        <w:t>تمهيد</w:t>
      </w:r>
    </w:p>
    <w:p w14:paraId="4B3A879D" w14:textId="4755489B" w:rsidR="0065664D" w:rsidRPr="005D4EED" w:rsidRDefault="00F700E3" w:rsidP="00F700E3">
      <w:pPr>
        <w:bidi/>
        <w:spacing w:after="200" w:line="360" w:lineRule="auto"/>
        <w:ind w:firstLine="720"/>
        <w:jc w:val="both"/>
        <w:rPr>
          <w:rFonts w:ascii="Traditional Arabic" w:eastAsia="Calibri" w:hAnsi="Traditional Arabic" w:cs="Traditional Arabic"/>
          <w:sz w:val="32"/>
          <w:szCs w:val="32"/>
          <w:rtl/>
        </w:rPr>
      </w:pPr>
      <w:r w:rsidRPr="005D4EED">
        <w:rPr>
          <w:rFonts w:ascii="Traditional Arabic" w:eastAsia="Calibri" w:hAnsi="Traditional Arabic" w:cs="Traditional Arabic"/>
          <w:sz w:val="32"/>
          <w:szCs w:val="32"/>
          <w:rtl/>
          <w:lang w:val="en-GB"/>
        </w:rPr>
        <w:t xml:space="preserve">يقدّم هذا الفصل الإطار العام للدراسة التي تتناول أثر برامج التنمية المهنية في تطوير كفاءة معلمي المرحلة الابتدائية بمدينة الرياض، وذلك من خلال استعراض خلفية الموضوع وأهميته في ظل التحولات التربوية التي تشهدها المملكة العربية السعودية ضمن توجهات رؤية ٢٠٣٠ الهادفة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تطوير التعليم ورفع كفاءة المعلمين. يبدأ الفصل بمقدمة توضّح الدور الجوهري للتنمية المهنية بوصفها أداة استراتيجية لتحسين جودة التعليم وتعزيز أداء المعلمين، مع التركيز على المرحلة الابتدائية التي تمثل الأساس في بناء المعارف والمهارات والقيم لدى المتعلمين. كما يعرض الفصل مشكلة الدراسة التي تتمثل في الحاجة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تقييم الأثر الفعلي لبرامج التنمية المهنية على تطوير كفاءة المعلمين في مجالاتهم المختلفة، في ظل تباين الاستفادة من هذه البرامج واختلاف مستويات الكفاءة التدريسية بين المعلمين. ويقدّم الفصل أسئلة الدراسة وأهدافها التي تسعى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تحليل العلاقة بين برامج التنمية المهنية وأبعاد الكفاءة التدر</w:t>
      </w:r>
      <w:r w:rsidR="00FE6D40" w:rsidRPr="005D4EED">
        <w:rPr>
          <w:rFonts w:ascii="Traditional Arabic" w:eastAsia="Calibri" w:hAnsi="Traditional Arabic" w:cs="Traditional Arabic"/>
          <w:sz w:val="32"/>
          <w:szCs w:val="32"/>
          <w:rtl/>
          <w:lang w:val="en-GB"/>
        </w:rPr>
        <w:t>يسية (التخطيط التدريسي،</w:t>
      </w:r>
      <w:r w:rsidRPr="005D4EED">
        <w:rPr>
          <w:rFonts w:ascii="Traditional Arabic" w:eastAsia="Calibri" w:hAnsi="Traditional Arabic" w:cs="Traditional Arabic"/>
          <w:sz w:val="32"/>
          <w:szCs w:val="32"/>
          <w:rtl/>
          <w:lang w:val="en-GB"/>
        </w:rPr>
        <w:t xml:space="preserve"> التقويم، وإدارة الصف، والتواصل</w:t>
      </w:r>
      <w:r w:rsidR="00FE6D40" w:rsidRPr="005D4EED">
        <w:rPr>
          <w:rFonts w:ascii="Traditional Arabic" w:eastAsia="Calibri" w:hAnsi="Traditional Arabic" w:cs="Traditional Arabic" w:hint="cs"/>
          <w:sz w:val="32"/>
          <w:szCs w:val="32"/>
          <w:rtl/>
          <w:lang w:val="en-GB"/>
        </w:rPr>
        <w:t xml:space="preserve"> والتفاعل</w:t>
      </w:r>
      <w:r w:rsidRPr="005D4EED">
        <w:rPr>
          <w:rFonts w:ascii="Traditional Arabic" w:eastAsia="Calibri" w:hAnsi="Traditional Arabic" w:cs="Traditional Arabic"/>
          <w:sz w:val="32"/>
          <w:szCs w:val="32"/>
          <w:rtl/>
          <w:lang w:val="en-GB"/>
        </w:rPr>
        <w:t xml:space="preserve"> مع الطلاب)، موضحًا الأساس النظري الذي تستند إليه الدراسة في بناء فرضياتها. </w:t>
      </w:r>
      <w:proofErr w:type="gramStart"/>
      <w:r w:rsidRPr="005D4EED">
        <w:rPr>
          <w:rFonts w:ascii="Traditional Arabic" w:eastAsia="Calibri" w:hAnsi="Traditional Arabic" w:cs="Traditional Arabic"/>
          <w:sz w:val="32"/>
          <w:szCs w:val="32"/>
          <w:rtl/>
          <w:lang w:val="en-GB"/>
        </w:rPr>
        <w:t>كما</w:t>
      </w:r>
      <w:proofErr w:type="gramEnd"/>
      <w:r w:rsidRPr="005D4EED">
        <w:rPr>
          <w:rFonts w:ascii="Traditional Arabic" w:eastAsia="Calibri" w:hAnsi="Traditional Arabic" w:cs="Traditional Arabic"/>
          <w:sz w:val="32"/>
          <w:szCs w:val="32"/>
          <w:rtl/>
          <w:lang w:val="en-GB"/>
        </w:rPr>
        <w:t xml:space="preserve"> يبرز الفصل أهمية الدراسة النظرية في إثراء الأدبيات التربوية المتعلقة بتنمية الكفاءات المهنية للمعلمين، وأهميتها التطبيقية في تقديم توصيات عملية لوزارة </w:t>
      </w:r>
      <w:r w:rsidRPr="005D4EED">
        <w:rPr>
          <w:rFonts w:ascii="Traditional Arabic" w:eastAsia="Calibri" w:hAnsi="Traditional Arabic" w:cs="Traditional Arabic"/>
          <w:sz w:val="32"/>
          <w:szCs w:val="32"/>
          <w:rtl/>
          <w:lang w:val="en-GB"/>
        </w:rPr>
        <w:lastRenderedPageBreak/>
        <w:t>التعليم والمشرفين التربويين ومديري المدارس لتطوير برامج التنمية المهنية بما يتناسب مع احتياجات الميدان التربوي. ويختتم الفصل بعرض فرضيات الدراسة ونموذجها المفاهيمي وحدودها المكانية والبشرية والمنهجية، تمهيدًا للفصول اللاحقة التي تتناول الإطار النظري والدراسات السابقة والتحليل الإحصائي للنتائج</w:t>
      </w:r>
      <w:r w:rsidRPr="005D4EED">
        <w:rPr>
          <w:rFonts w:ascii="Traditional Arabic" w:eastAsia="Calibri" w:hAnsi="Traditional Arabic" w:cs="Traditional Arabic"/>
          <w:sz w:val="32"/>
          <w:szCs w:val="32"/>
        </w:rPr>
        <w:t>.</w:t>
      </w:r>
    </w:p>
    <w:p w14:paraId="0402B4C9" w14:textId="77777777" w:rsidR="00F700E3" w:rsidRPr="005D60BE" w:rsidRDefault="00F700E3" w:rsidP="0065664D">
      <w:pPr>
        <w:bidi/>
        <w:spacing w:after="200" w:line="360" w:lineRule="auto"/>
        <w:jc w:val="both"/>
        <w:rPr>
          <w:rFonts w:ascii="Traditional Arabic" w:eastAsia="等线 Light" w:hAnsi="Traditional Arabic" w:cs="Traditional Arabic"/>
          <w:b/>
          <w:bCs/>
          <w:color w:val="000000"/>
          <w:sz w:val="36"/>
          <w:szCs w:val="36"/>
          <w:highlight w:val="yellow"/>
          <w:rtl/>
        </w:rPr>
      </w:pPr>
    </w:p>
    <w:p w14:paraId="062D81E1" w14:textId="1916C0EC" w:rsidR="00F65912" w:rsidRPr="005D4EED" w:rsidRDefault="008074A2" w:rsidP="00F65912">
      <w:pPr>
        <w:bidi/>
        <w:spacing w:after="200" w:line="360" w:lineRule="auto"/>
        <w:jc w:val="both"/>
        <w:rPr>
          <w:rFonts w:ascii="Traditional Arabic" w:eastAsia="Calibri" w:hAnsi="Traditional Arabic" w:cs="Traditional Arabic"/>
          <w:b/>
          <w:bCs/>
          <w:sz w:val="36"/>
          <w:szCs w:val="36"/>
          <w:rtl/>
          <w:lang w:bidi="ar-JO"/>
        </w:rPr>
      </w:pPr>
      <w:proofErr w:type="gramStart"/>
      <w:r w:rsidRPr="005D4EED">
        <w:rPr>
          <w:rFonts w:ascii="Traditional Arabic" w:eastAsia="等线 Light" w:hAnsi="Traditional Arabic" w:cs="Traditional Arabic"/>
          <w:b/>
          <w:bCs/>
          <w:color w:val="000000"/>
          <w:sz w:val="32"/>
          <w:szCs w:val="32"/>
          <w:rtl/>
        </w:rPr>
        <w:t>مقدمة</w:t>
      </w:r>
      <w:proofErr w:type="gramEnd"/>
      <w:r w:rsidRPr="005D4EED">
        <w:rPr>
          <w:rFonts w:ascii="Traditional Arabic" w:eastAsia="等线 Light" w:hAnsi="Traditional Arabic" w:cs="Traditional Arabic"/>
          <w:b/>
          <w:bCs/>
          <w:color w:val="000000"/>
          <w:sz w:val="32"/>
          <w:szCs w:val="32"/>
          <w:rtl/>
        </w:rPr>
        <w:t xml:space="preserve"> الدراسة</w:t>
      </w:r>
    </w:p>
    <w:p w14:paraId="73E53C0F"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تواجه</w:t>
      </w:r>
      <w:proofErr w:type="gramEnd"/>
      <w:r w:rsidRPr="005D4EED">
        <w:rPr>
          <w:rFonts w:ascii="Traditional Arabic" w:eastAsia="Times New Roman" w:hAnsi="Traditional Arabic" w:cs="Traditional Arabic"/>
          <w:sz w:val="32"/>
          <w:szCs w:val="32"/>
          <w:rtl/>
        </w:rPr>
        <w:t xml:space="preserve"> الأنظمة التعليمية في المملكة العربية السعودية مرحلة تحول تربوي جوهري مدفوعًا بمستهدفات رؤية المملكة 2030 التي جعلت تطوير التعليم وتنمية قدرات المعلمين محورًا أساسيًا للارتقاء بجودة المخرجات التعليمية. وفي هذا السياق، أصبحت التنمية المهنية للمعلمين ركيزة استراتيجية لا غنى عنها لضمان تحسين الأداء التدريسي، وتمكين المعلمين من مواكبة المستجدات التربوية والتقنية، وتعزيز كفاءاتهم بما يتناسب مع متطلبات التعليم الحديثة. ويكتسب هذا الموضوع أهمية خاصة في المرحلة الابتدائية بوصفها الأساس الذي تُبنى عليه </w:t>
      </w:r>
      <w:proofErr w:type="gramStart"/>
      <w:r w:rsidRPr="005D4EED">
        <w:rPr>
          <w:rFonts w:ascii="Traditional Arabic" w:eastAsia="Times New Roman" w:hAnsi="Traditional Arabic" w:cs="Traditional Arabic"/>
          <w:sz w:val="32"/>
          <w:szCs w:val="32"/>
          <w:rtl/>
        </w:rPr>
        <w:t>المعارف</w:t>
      </w:r>
      <w:proofErr w:type="gramEnd"/>
      <w:r w:rsidRPr="005D4EED">
        <w:rPr>
          <w:rFonts w:ascii="Traditional Arabic" w:eastAsia="Times New Roman" w:hAnsi="Traditional Arabic" w:cs="Traditional Arabic"/>
          <w:sz w:val="32"/>
          <w:szCs w:val="32"/>
          <w:rtl/>
        </w:rPr>
        <w:t xml:space="preserve"> والمهارات والقيم لدى المتعلمين</w:t>
      </w:r>
      <w:r w:rsidRPr="005D4EED">
        <w:rPr>
          <w:rFonts w:ascii="Traditional Arabic" w:eastAsia="Times New Roman" w:hAnsi="Traditional Arabic" w:cs="Traditional Arabic"/>
          <w:sz w:val="32"/>
          <w:szCs w:val="32"/>
        </w:rPr>
        <w:t>.</w:t>
      </w:r>
    </w:p>
    <w:p w14:paraId="3C3E079B" w14:textId="003530A5"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ورغم توسع وزارة التعليم في تنفيذ برامج التنمية المهنية وإطلاق مبادرات تدريبية نوعية تستهدف رفع مستوى الكفاءة التدريسية، تشير شواهد ميدانية ودراسات تربوية حديثة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وجود قصور في فاعلية بعض هذه البرامج من حيث التطبيق والمتابعة وتحقيق الأثر المطلوب على أداء المعلمين. كما يظهر تفاوت ملحوظ في مستوى الكفاءة التدريسية بين معلمي المرحلة الابتدائية، إضافة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غياب تقييم علمي منهجي يوضح درجة إسهام هذه البرامج فعليًا في تحسين ممارساتهم المهنية داخل الصف الدراسي</w:t>
      </w:r>
      <w:r w:rsidRPr="005D4EED">
        <w:rPr>
          <w:rFonts w:ascii="Traditional Arabic" w:eastAsia="Times New Roman" w:hAnsi="Traditional Arabic" w:cs="Traditional Arabic"/>
          <w:sz w:val="32"/>
          <w:szCs w:val="32"/>
        </w:rPr>
        <w:t>.</w:t>
      </w:r>
    </w:p>
    <w:p w14:paraId="32B69E66" w14:textId="427ABA0E" w:rsidR="005D60BE" w:rsidRPr="005D4EED" w:rsidRDefault="005D60BE" w:rsidP="005D60BE">
      <w:p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 xml:space="preserve">وتكشف مراجعة الأدبيات عن وجود فجوة بحثية واضحة تتمثل في محدودية الدراسات التي ربطت بصورة مباشرة بين برامج التنمية المهنية وبين الكفاءة التدريسية لدى معلمي المرحلة الابتدائية في مدينة الرياض تحديدًا، على الرغم من كونها من أكبر البيئات التعليمية في المملكة وأكثرها تنوعًا. وهذا يعزز الحاجة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دراسة علمية ميدانية تقدم فهمًا منهجيًا لمدى فاعلية تلك البرامج في تطوير الكفاءة التدريسية بأبعادها المختلفة، وتحديد العوامل التي قد تسهم في نجاحها أو تحدّ من تأثيرها</w:t>
      </w:r>
      <w:r w:rsidRPr="005D4EED">
        <w:rPr>
          <w:rFonts w:ascii="Traditional Arabic" w:eastAsia="Times New Roman" w:hAnsi="Traditional Arabic" w:cs="Traditional Arabic"/>
          <w:sz w:val="32"/>
          <w:szCs w:val="32"/>
        </w:rPr>
        <w:t>.</w:t>
      </w:r>
    </w:p>
    <w:p w14:paraId="22E787C6" w14:textId="5B837454"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بناءً على ذلك، تنبع أهمية الدراسة الحالية من سعيها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تحليل أثر برامج التنمية المهنية في تطوير الكفاءة المهنية لمعلمي المرحلة الابتدائية بمدينة الرياض، وتقديم تقييم علمي لواقع تلك البرامج، والكشف عن التحديات التي تواجه تطبيقها، وصولًا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مقترحات عملية تُسهم في تعزيز جودة التعليم ودعم التوجهات الوطنية في بناء معلم متمكن قادر على تحقيق أهداف المرحلة الابتدائية ومتطلبات رؤية المملكة 2030</w:t>
      </w:r>
      <w:r w:rsidRPr="005D4EED">
        <w:rPr>
          <w:rFonts w:ascii="Traditional Arabic" w:eastAsia="Times New Roman" w:hAnsi="Traditional Arabic" w:cs="Traditional Arabic"/>
          <w:sz w:val="32"/>
          <w:szCs w:val="32"/>
        </w:rPr>
        <w:t>.</w:t>
      </w:r>
    </w:p>
    <w:p w14:paraId="5EC6CA33" w14:textId="77777777" w:rsidR="00F700E3" w:rsidRPr="005D4EED" w:rsidRDefault="00F700E3" w:rsidP="00F700E3">
      <w:pPr>
        <w:bidi/>
        <w:spacing w:after="200" w:line="360" w:lineRule="auto"/>
        <w:jc w:val="both"/>
        <w:rPr>
          <w:rFonts w:ascii="Traditional Arabic" w:eastAsia="Times New Roman" w:hAnsi="Traditional Arabic" w:cs="Traditional Arabic"/>
          <w:sz w:val="32"/>
          <w:szCs w:val="32"/>
          <w:rtl/>
        </w:rPr>
      </w:pPr>
    </w:p>
    <w:p w14:paraId="1873C1B7" w14:textId="77777777" w:rsidR="005D60BE" w:rsidRPr="005D4EED" w:rsidRDefault="008074A2" w:rsidP="005D60BE">
      <w:p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等线 Light" w:hAnsi="Traditional Arabic" w:cs="Traditional Arabic"/>
          <w:b/>
          <w:bCs/>
          <w:color w:val="000000"/>
          <w:sz w:val="36"/>
          <w:szCs w:val="36"/>
          <w:rtl/>
        </w:rPr>
        <w:t>مشكلة الدراسة</w:t>
      </w:r>
      <w:r w:rsidRPr="005D4EED">
        <w:rPr>
          <w:rFonts w:ascii="Traditional Arabic" w:eastAsia="等线 Light" w:hAnsi="Traditional Arabic" w:cs="Traditional Arabic" w:hint="cs"/>
          <w:b/>
          <w:bCs/>
          <w:color w:val="000000"/>
          <w:sz w:val="36"/>
          <w:szCs w:val="36"/>
          <w:rtl/>
        </w:rPr>
        <w:t xml:space="preserve"> </w:t>
      </w:r>
      <w:proofErr w:type="gramStart"/>
      <w:r w:rsidRPr="005D4EED">
        <w:rPr>
          <w:rFonts w:ascii="Traditional Arabic" w:eastAsia="等线 Light" w:hAnsi="Traditional Arabic" w:cs="Traditional Arabic" w:hint="cs"/>
          <w:b/>
          <w:bCs/>
          <w:color w:val="000000"/>
          <w:sz w:val="36"/>
          <w:szCs w:val="36"/>
          <w:rtl/>
        </w:rPr>
        <w:t>وتساؤلاتها</w:t>
      </w:r>
      <w:proofErr w:type="gramEnd"/>
      <w:r w:rsidRPr="005D4EED">
        <w:rPr>
          <w:rFonts w:ascii="Traditional Arabic" w:eastAsia="等线 Light" w:hAnsi="Traditional Arabic" w:cs="Traditional Arabic" w:hint="cs"/>
          <w:b/>
          <w:bCs/>
          <w:color w:val="000000"/>
          <w:sz w:val="36"/>
          <w:szCs w:val="36"/>
          <w:rtl/>
        </w:rPr>
        <w:t xml:space="preserve"> </w:t>
      </w:r>
    </w:p>
    <w:p w14:paraId="44A171B8" w14:textId="0EDE76F3"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等线 Light" w:hAnsi="Traditional Arabic" w:cs="Traditional Arabic"/>
          <w:color w:val="000000"/>
          <w:sz w:val="32"/>
          <w:szCs w:val="32"/>
          <w:rtl/>
        </w:rPr>
        <w:t xml:space="preserve">رغم الجهود الكبيرة التي تبذلها وزارة التعليم في المملكة العربية السعودية لتطوير برامج التنمية المهنية ورفع كفاءة المعلمين تماشيًا مع مستهدفات رؤية 2030، إلا أن واقع الممارسات التعليمية في مدينة الرياض يشير </w:t>
      </w:r>
      <w:r w:rsidR="00976DAD">
        <w:rPr>
          <w:rFonts w:ascii="Traditional Arabic" w:eastAsia="等线 Light" w:hAnsi="Traditional Arabic" w:cs="Traditional Arabic"/>
          <w:color w:val="000000"/>
          <w:sz w:val="32"/>
          <w:szCs w:val="32"/>
          <w:rtl/>
        </w:rPr>
        <w:t>إلى</w:t>
      </w:r>
      <w:r w:rsidRPr="005D4EED">
        <w:rPr>
          <w:rFonts w:ascii="Traditional Arabic" w:eastAsia="等线 Light" w:hAnsi="Traditional Arabic" w:cs="Traditional Arabic"/>
          <w:color w:val="000000"/>
          <w:sz w:val="32"/>
          <w:szCs w:val="32"/>
          <w:rtl/>
        </w:rPr>
        <w:t xml:space="preserve"> وجود تفاوت في مستوى الكفاءة التدريسية بين معلمي المرحلة الابتدائية، وضعف في وضوح الأثر الفعلي الذي تُحدثه هذه البرامج في تحسين التخطيط والتقويم وإدارة الصف والتفاعل التعليمي. ويعكس هذا التباين وجود فجوة بحثية تتمثل في غياب تقييم علمي شامل يحدد مدى فاعلية برامج التنمية المهنية في تطوير الكفاءة التدريسية داخل هذه المرحلة المهمة. </w:t>
      </w:r>
      <w:proofErr w:type="gramStart"/>
      <w:r w:rsidRPr="005D4EED">
        <w:rPr>
          <w:rFonts w:ascii="Traditional Arabic" w:eastAsia="等线 Light" w:hAnsi="Traditional Arabic" w:cs="Traditional Arabic"/>
          <w:color w:val="000000"/>
          <w:sz w:val="32"/>
          <w:szCs w:val="32"/>
          <w:rtl/>
        </w:rPr>
        <w:t>ومن</w:t>
      </w:r>
      <w:proofErr w:type="gramEnd"/>
      <w:r w:rsidRPr="005D4EED">
        <w:rPr>
          <w:rFonts w:ascii="Traditional Arabic" w:eastAsia="等线 Light" w:hAnsi="Traditional Arabic" w:cs="Traditional Arabic"/>
          <w:color w:val="000000"/>
          <w:sz w:val="32"/>
          <w:szCs w:val="32"/>
          <w:rtl/>
        </w:rPr>
        <w:t xml:space="preserve"> ثمّ، تنبع الحاجة </w:t>
      </w:r>
      <w:r w:rsidR="00976DAD">
        <w:rPr>
          <w:rFonts w:ascii="Traditional Arabic" w:eastAsia="等线 Light" w:hAnsi="Traditional Arabic" w:cs="Traditional Arabic"/>
          <w:color w:val="000000"/>
          <w:sz w:val="32"/>
          <w:szCs w:val="32"/>
          <w:rtl/>
        </w:rPr>
        <w:lastRenderedPageBreak/>
        <w:t>إلى</w:t>
      </w:r>
      <w:r w:rsidRPr="005D4EED">
        <w:rPr>
          <w:rFonts w:ascii="Traditional Arabic" w:eastAsia="等线 Light" w:hAnsi="Traditional Arabic" w:cs="Traditional Arabic"/>
          <w:color w:val="000000"/>
          <w:sz w:val="32"/>
          <w:szCs w:val="32"/>
          <w:rtl/>
        </w:rPr>
        <w:t xml:space="preserve"> دراسة ميدانية تُعنى بتحليل هذا الأثر بصورة مباشرة، وتوضيح مدى قدرة هذه البرامج على تلبية احتياجات المعلمين وتحسين جودة العملية التعليمية</w:t>
      </w:r>
      <w:r w:rsidRPr="005D4EED">
        <w:rPr>
          <w:rFonts w:ascii="Traditional Arabic" w:eastAsia="等线 Light" w:hAnsi="Traditional Arabic" w:cs="Traditional Arabic"/>
          <w:color w:val="000000"/>
          <w:sz w:val="32"/>
          <w:szCs w:val="32"/>
        </w:rPr>
        <w:t>.</w:t>
      </w:r>
    </w:p>
    <w:p w14:paraId="11089A94"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等线 Light" w:hAnsi="Traditional Arabic" w:cs="Traditional Arabic"/>
          <w:color w:val="000000"/>
          <w:sz w:val="32"/>
          <w:szCs w:val="32"/>
          <w:rtl/>
        </w:rPr>
        <w:t>وبناءً على ذلك، تتمثل مشكلة الدراسة في عدم وضوح مدى فاعلية برامج التنمية المهنية في تطوير الكفاءة التدريسية لمعلمي المرحلة الابتدائية بمدينة الرياض</w:t>
      </w:r>
      <w:r w:rsidRPr="005D4EED">
        <w:rPr>
          <w:rFonts w:ascii="Traditional Arabic" w:eastAsia="等线 Light" w:hAnsi="Traditional Arabic" w:cs="Traditional Arabic"/>
          <w:color w:val="000000"/>
          <w:sz w:val="32"/>
          <w:szCs w:val="32"/>
        </w:rPr>
        <w:t>."</w:t>
      </w:r>
    </w:p>
    <w:p w14:paraId="6904461D"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等线 Light" w:hAnsi="Traditional Arabic" w:cs="Traditional Arabic"/>
          <w:color w:val="000000"/>
          <w:sz w:val="32"/>
          <w:szCs w:val="32"/>
          <w:rtl/>
        </w:rPr>
        <w:t>وينبثق عنها السؤال الرئيس الآتي</w:t>
      </w:r>
      <w:r w:rsidRPr="005D4EED">
        <w:rPr>
          <w:rFonts w:ascii="Traditional Arabic" w:eastAsia="等线 Light" w:hAnsi="Traditional Arabic" w:cs="Traditional Arabic"/>
          <w:color w:val="000000"/>
          <w:sz w:val="32"/>
          <w:szCs w:val="32"/>
        </w:rPr>
        <w:t>:</w:t>
      </w:r>
    </w:p>
    <w:p w14:paraId="071A5CB9"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Times New Roman" w:hAnsi="Traditional Arabic" w:cs="Traditional Arabic" w:hint="cs"/>
          <w:sz w:val="32"/>
          <w:szCs w:val="32"/>
          <w:rtl/>
          <w:lang w:bidi="ar-JO"/>
        </w:rPr>
        <w:t>"</w:t>
      </w:r>
      <w:r w:rsidRPr="005D4EED">
        <w:rPr>
          <w:rFonts w:ascii="Traditional Arabic" w:eastAsia="等线 Light" w:hAnsi="Traditional Arabic" w:cs="Traditional Arabic"/>
          <w:b/>
          <w:bCs/>
          <w:color w:val="000000"/>
          <w:sz w:val="32"/>
          <w:szCs w:val="32"/>
          <w:rtl/>
        </w:rPr>
        <w:t>ما أثر برامج التنمية المهنية في تعزيز الكفاءة التدريسية لمعلمي المرحلة الابتدائية بمدينة الرياض؟</w:t>
      </w:r>
      <w:r w:rsidRPr="005D4EED">
        <w:rPr>
          <w:rFonts w:ascii="Traditional Arabic" w:eastAsia="等线 Light" w:hAnsi="Traditional Arabic" w:cs="Traditional Arabic"/>
          <w:b/>
          <w:bCs/>
          <w:color w:val="000000"/>
          <w:sz w:val="32"/>
          <w:szCs w:val="32"/>
        </w:rPr>
        <w:t>"</w:t>
      </w:r>
    </w:p>
    <w:p w14:paraId="6A25959B" w14:textId="77777777" w:rsidR="005D60BE" w:rsidRPr="005D4EED" w:rsidRDefault="00A73BD3"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等线 Light" w:hAnsi="Traditional Arabic" w:cs="Traditional Arabic"/>
          <w:color w:val="000000"/>
          <w:sz w:val="32"/>
          <w:szCs w:val="32"/>
          <w:rtl/>
        </w:rPr>
        <w:t xml:space="preserve">يتفرع من هذا </w:t>
      </w:r>
      <w:r w:rsidRPr="005D4EED">
        <w:rPr>
          <w:rFonts w:ascii="Traditional Arabic" w:eastAsia="等线 Light" w:hAnsi="Traditional Arabic" w:cs="Traditional Arabic" w:hint="cs"/>
          <w:color w:val="000000"/>
          <w:sz w:val="32"/>
          <w:szCs w:val="32"/>
          <w:rtl/>
        </w:rPr>
        <w:t>السؤال</w:t>
      </w:r>
      <w:r w:rsidRPr="005D4EED">
        <w:rPr>
          <w:rFonts w:ascii="Traditional Arabic" w:eastAsia="等线 Light" w:hAnsi="Traditional Arabic" w:cs="Traditional Arabic"/>
          <w:color w:val="000000"/>
          <w:sz w:val="32"/>
          <w:szCs w:val="32"/>
          <w:rtl/>
        </w:rPr>
        <w:t xml:space="preserve"> الرئيسي الأسئلة الفرعية التالية:</w:t>
      </w:r>
    </w:p>
    <w:p w14:paraId="0E3A172B"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واقع برامج التنمية المهنية المقدمة لمعلمي </w:t>
      </w:r>
      <w:proofErr w:type="gramStart"/>
      <w:r w:rsidRPr="005D4EED">
        <w:rPr>
          <w:rFonts w:ascii="Traditional Arabic" w:eastAsia="等线 Light" w:hAnsi="Traditional Arabic" w:cs="Traditional Arabic"/>
          <w:color w:val="000000"/>
          <w:sz w:val="32"/>
          <w:szCs w:val="32"/>
          <w:rtl/>
          <w:lang w:bidi="ar-EG"/>
        </w:rPr>
        <w:t>المرحلة</w:t>
      </w:r>
      <w:proofErr w:type="gramEnd"/>
      <w:r w:rsidRPr="005D4EED">
        <w:rPr>
          <w:rFonts w:ascii="Traditional Arabic" w:eastAsia="等线 Light" w:hAnsi="Traditional Arabic" w:cs="Traditional Arabic"/>
          <w:color w:val="000000"/>
          <w:sz w:val="32"/>
          <w:szCs w:val="32"/>
          <w:rtl/>
          <w:lang w:bidi="ar-EG"/>
        </w:rPr>
        <w:t xml:space="preserve"> الابتدائية في مدينة الرياض؟</w:t>
      </w:r>
    </w:p>
    <w:p w14:paraId="53CD7FBC"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مستوى كفاءة معلمي المرحلة الابتدائية بمدينة الرياض في ضوء اشتراكهم في برامج التنمية المهنية؟</w:t>
      </w:r>
    </w:p>
    <w:p w14:paraId="326AB9A9" w14:textId="77777777" w:rsidR="005D60BE" w:rsidRPr="005D4EED" w:rsidRDefault="009474D8"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等线 Light" w:hAnsi="Traditional Arabic" w:cs="Traditional Arabic"/>
          <w:color w:val="000000"/>
          <w:sz w:val="32"/>
          <w:szCs w:val="32"/>
          <w:rtl/>
        </w:rPr>
        <w:t>ما أثر المشاركة في برامج التنمية المهنية على تطوير الكفاءة المهنية لمعلمي المرحلة الابتدائية بمدينة الرياض،</w:t>
      </w:r>
      <w:r w:rsidRPr="005D4EED">
        <w:rPr>
          <w:rFonts w:ascii="Traditional Arabic" w:eastAsia="等线 Light" w:hAnsi="Traditional Arabic" w:cs="Traditional Arabic" w:hint="cs"/>
          <w:color w:val="000000"/>
          <w:sz w:val="32"/>
          <w:szCs w:val="32"/>
          <w:rtl/>
        </w:rPr>
        <w:t xml:space="preserve"> بأبعادها (</w:t>
      </w:r>
      <w:r w:rsidRPr="005D4EED">
        <w:rPr>
          <w:rFonts w:ascii="Traditional Arabic" w:eastAsia="等线 Light" w:hAnsi="Traditional Arabic" w:cs="Traditional Arabic"/>
          <w:color w:val="000000"/>
          <w:sz w:val="32"/>
          <w:szCs w:val="32"/>
          <w:rtl/>
        </w:rPr>
        <w:t>التخطيط التدريسي، إدارة الصف، التقويم التعليمي، والتواصل والتفاعل مع الطلاب؟</w:t>
      </w:r>
    </w:p>
    <w:p w14:paraId="652DAE79"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التحديات التي تواجه معلمي المرحلة الابتدائية في الاستفادة من برامج التنمية المهنية بمدينة الرياض؟</w:t>
      </w:r>
    </w:p>
    <w:p w14:paraId="7EC9C7DC" w14:textId="51CD5337" w:rsidR="00B6305B" w:rsidRPr="005D60BE"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المقترحات التي </w:t>
      </w:r>
      <w:proofErr w:type="gramStart"/>
      <w:r w:rsidRPr="005D4EED">
        <w:rPr>
          <w:rFonts w:ascii="Traditional Arabic" w:eastAsia="等线 Light" w:hAnsi="Traditional Arabic" w:cs="Traditional Arabic"/>
          <w:color w:val="000000"/>
          <w:sz w:val="32"/>
          <w:szCs w:val="32"/>
          <w:rtl/>
          <w:lang w:bidi="ar-EG"/>
        </w:rPr>
        <w:t>يمكن</w:t>
      </w:r>
      <w:proofErr w:type="gramEnd"/>
      <w:r w:rsidRPr="005D4EED">
        <w:rPr>
          <w:rFonts w:ascii="Traditional Arabic" w:eastAsia="等线 Light" w:hAnsi="Traditional Arabic" w:cs="Traditional Arabic"/>
          <w:color w:val="000000"/>
          <w:sz w:val="32"/>
          <w:szCs w:val="32"/>
          <w:rtl/>
          <w:lang w:bidi="ar-EG"/>
        </w:rPr>
        <w:t xml:space="preserve"> تقديمها لتعزيز فاعلية برامج التنمية المهنية في تطوير كفاءة معلمي المرحلة الابتدائية</w:t>
      </w:r>
      <w:r w:rsidRPr="005D60BE">
        <w:rPr>
          <w:rFonts w:ascii="Traditional Arabic" w:eastAsia="等线 Light" w:hAnsi="Traditional Arabic" w:cs="Traditional Arabic"/>
          <w:color w:val="000000"/>
          <w:sz w:val="32"/>
          <w:szCs w:val="32"/>
          <w:rtl/>
          <w:lang w:bidi="ar-EG"/>
        </w:rPr>
        <w:t xml:space="preserve"> بمدينة الرياض؟</w:t>
      </w:r>
    </w:p>
    <w:p w14:paraId="27BB403B" w14:textId="77777777" w:rsidR="00B6305B" w:rsidRPr="0049674D" w:rsidRDefault="008074A2" w:rsidP="008074A2">
      <w:pPr>
        <w:bidi/>
        <w:spacing w:after="200" w:line="360" w:lineRule="auto"/>
        <w:jc w:val="both"/>
        <w:rPr>
          <w:rFonts w:ascii="Traditional Arabic" w:eastAsia="Calibri" w:hAnsi="Traditional Arabic" w:cs="Traditional Arabic"/>
          <w:b/>
          <w:bCs/>
          <w:sz w:val="36"/>
          <w:szCs w:val="36"/>
          <w:rtl/>
        </w:rPr>
      </w:pPr>
      <w:r w:rsidRPr="0049674D">
        <w:rPr>
          <w:rFonts w:ascii="Traditional Arabic" w:eastAsia="Calibri" w:hAnsi="Traditional Arabic" w:cs="Traditional Arabic"/>
          <w:b/>
          <w:bCs/>
          <w:sz w:val="36"/>
          <w:szCs w:val="36"/>
          <w:rtl/>
        </w:rPr>
        <w:lastRenderedPageBreak/>
        <w:t>أهمية الدراسة</w:t>
      </w:r>
    </w:p>
    <w:p w14:paraId="0543EBE7" w14:textId="77777777" w:rsidR="00AA29C0" w:rsidRPr="0049674D" w:rsidRDefault="00A73BD3" w:rsidP="00AA29C0">
      <w:pPr>
        <w:bidi/>
        <w:spacing w:line="360" w:lineRule="auto"/>
        <w:jc w:val="both"/>
        <w:rPr>
          <w:rFonts w:ascii="Traditional Arabic" w:eastAsia="Aptos" w:hAnsi="Traditional Arabic" w:cs="Traditional Arabic"/>
          <w:b/>
          <w:bCs/>
          <w:kern w:val="2"/>
          <w:sz w:val="32"/>
          <w:szCs w:val="32"/>
          <w:rtl/>
          <w:lang w:bidi="ar-EG"/>
          <w14:ligatures w14:val="standardContextual"/>
        </w:rPr>
      </w:pPr>
      <w:r w:rsidRPr="0049674D">
        <w:rPr>
          <w:rFonts w:ascii="Traditional Arabic" w:eastAsia="Aptos" w:hAnsi="Traditional Arabic" w:cs="Traditional Arabic"/>
          <w:b/>
          <w:bCs/>
          <w:kern w:val="2"/>
          <w:sz w:val="32"/>
          <w:szCs w:val="32"/>
          <w:rtl/>
          <w14:ligatures w14:val="standardContextual"/>
        </w:rPr>
        <w:t>أولاً: الأهمية النظرية</w:t>
      </w:r>
    </w:p>
    <w:p w14:paraId="426F9A9B" w14:textId="77777777" w:rsidR="006907A8" w:rsidRPr="0049674D" w:rsidRDefault="00AA29C0" w:rsidP="006907A8">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hint="cs"/>
          <w:kern w:val="2"/>
          <w:sz w:val="32"/>
          <w:szCs w:val="32"/>
          <w:rtl/>
          <w:lang w:bidi="ar-EG"/>
          <w14:ligatures w14:val="standardContextual"/>
        </w:rPr>
        <w:t>ت</w:t>
      </w:r>
      <w:r w:rsidRPr="0049674D">
        <w:rPr>
          <w:rFonts w:ascii="Traditional Arabic" w:eastAsia="Aptos" w:hAnsi="Traditional Arabic" w:cs="Traditional Arabic"/>
          <w:kern w:val="2"/>
          <w:sz w:val="32"/>
          <w:szCs w:val="32"/>
          <w:rtl/>
          <w14:ligatures w14:val="standardContextual"/>
        </w:rPr>
        <w:t xml:space="preserve">سهم هذه الدراسة في إثراء المعرفة العلمية في ميدان التنمية المهنية للمعلمين، من خلال تحليل العلاقة بين برامج التنمية المهنية والكفاءة التدريسية لدى معلمي المرحلة الابتدائية بمدينة الرياض. </w:t>
      </w:r>
      <w:proofErr w:type="gramStart"/>
      <w:r w:rsidRPr="0049674D">
        <w:rPr>
          <w:rFonts w:ascii="Traditional Arabic" w:eastAsia="Aptos" w:hAnsi="Traditional Arabic" w:cs="Traditional Arabic"/>
          <w:kern w:val="2"/>
          <w:sz w:val="32"/>
          <w:szCs w:val="32"/>
          <w:rtl/>
          <w14:ligatures w14:val="standardContextual"/>
        </w:rPr>
        <w:t>وتنبع</w:t>
      </w:r>
      <w:proofErr w:type="gramEnd"/>
      <w:r w:rsidRPr="0049674D">
        <w:rPr>
          <w:rFonts w:ascii="Traditional Arabic" w:eastAsia="Aptos" w:hAnsi="Traditional Arabic" w:cs="Traditional Arabic"/>
          <w:kern w:val="2"/>
          <w:sz w:val="32"/>
          <w:szCs w:val="32"/>
          <w:rtl/>
          <w14:ligatures w14:val="standardContextual"/>
        </w:rPr>
        <w:t xml:space="preserve"> أهميتها من معالجتها لإحدى القضايا التربوية الجوهرية التي تمسّ جودة التعليم وأداء المعلمين، وذلك في ظل التحولات التعليمية والتنظيمية التي تشهدها المملكة العربية السعودية ضمن مستهدفات رؤية المملكة 2030</w:t>
      </w:r>
      <w:r w:rsidRPr="0049674D">
        <w:rPr>
          <w:rFonts w:ascii="Traditional Arabic" w:eastAsia="Aptos" w:hAnsi="Traditional Arabic" w:cs="Traditional Arabic"/>
          <w:kern w:val="2"/>
          <w:sz w:val="32"/>
          <w:szCs w:val="32"/>
          <w14:ligatures w14:val="standardContextual"/>
        </w:rPr>
        <w:t>.</w:t>
      </w:r>
      <w:r w:rsidR="006907A8" w:rsidRPr="0049674D">
        <w:rPr>
          <w:rFonts w:ascii="Traditional Arabic" w:eastAsia="Aptos" w:hAnsi="Traditional Arabic" w:cs="Traditional Arabic" w:hint="cs"/>
          <w:kern w:val="2"/>
          <w:sz w:val="32"/>
          <w:szCs w:val="32"/>
          <w:rtl/>
          <w14:ligatures w14:val="standardContextual"/>
        </w:rPr>
        <w:t xml:space="preserve"> </w:t>
      </w:r>
    </w:p>
    <w:p w14:paraId="5042A441" w14:textId="3890FE60" w:rsidR="00AA29C0" w:rsidRDefault="00AA29C0"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hint="cs"/>
          <w:kern w:val="2"/>
          <w:sz w:val="32"/>
          <w:szCs w:val="32"/>
          <w:rtl/>
          <w14:ligatures w14:val="standardContextual"/>
        </w:rPr>
        <w:t xml:space="preserve">من جانب اخر، </w:t>
      </w:r>
      <w:r w:rsidRPr="0049674D">
        <w:rPr>
          <w:rFonts w:ascii="Traditional Arabic" w:eastAsia="Aptos" w:hAnsi="Traditional Arabic" w:cs="Traditional Arabic"/>
          <w:kern w:val="2"/>
          <w:sz w:val="32"/>
          <w:szCs w:val="32"/>
          <w:rtl/>
          <w14:ligatures w14:val="standardContextual"/>
        </w:rPr>
        <w:t>تعالج الدراسة فجوة بحثية واضحة في الأدبيات المحلية، حيث ما تزال معظم الدراسات السابقة تتناول موضوع الكفاءة التدريسية بشكل عام دون تحليل معمق لأبعادها أو ارتباطها الفعلي بالبرامج التدريبية القائمة. ومن خلال تركيزها على الأبعاد الأربعة للكفاءة التدريسية (التخطيط، التدريس، التقويم، وإدارة الصف)، تقدم هذه الدراسة إطارًا علميًا متكاملًا يوضح كيف يمكن لبرامج التنمية المهنية أن تُسهم في تعزيز أداء المعلم ورفع جودة العملية التعليمية</w:t>
      </w:r>
      <w:r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كما تُقدّم الدراسة إضافة نظرية مهمة تتمثل في دمج مفاهيم التنمية المهنية والكفاءة التدريسية في نموذج تفسيري يمكن أن يُبنى عليه في دراسات لاحقة داخل البيئة التعليمية السعودية. </w:t>
      </w:r>
      <w:proofErr w:type="gramStart"/>
      <w:r w:rsidRPr="0049674D">
        <w:rPr>
          <w:rFonts w:ascii="Traditional Arabic" w:eastAsia="Aptos" w:hAnsi="Traditional Arabic" w:cs="Traditional Arabic"/>
          <w:kern w:val="2"/>
          <w:sz w:val="32"/>
          <w:szCs w:val="32"/>
          <w:rtl/>
          <w14:ligatures w14:val="standardContextual"/>
        </w:rPr>
        <w:t>وبذلك</w:t>
      </w:r>
      <w:proofErr w:type="gramEnd"/>
      <w:r w:rsidRPr="0049674D">
        <w:rPr>
          <w:rFonts w:ascii="Traditional Arabic" w:eastAsia="Aptos" w:hAnsi="Traditional Arabic" w:cs="Traditional Arabic"/>
          <w:kern w:val="2"/>
          <w:sz w:val="32"/>
          <w:szCs w:val="32"/>
          <w:rtl/>
          <w14:ligatures w14:val="standardContextual"/>
        </w:rPr>
        <w:t xml:space="preserve">، فهي تدعم الاتجاهات البحثية الحديثة التي تسعى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فهم العلاقة بين التطوير المهني المستمر وفاعلية التعليم في سياقات وطنية مختلفة، وتثري الأدبيات التربوية العربية بإطار نظري متسق مع التوجهات العالمية الحديثة في تطوير كفاءات المعلمين</w:t>
      </w:r>
      <w:r w:rsidRPr="0049674D">
        <w:rPr>
          <w:rFonts w:ascii="Traditional Arabic" w:eastAsia="Aptos" w:hAnsi="Traditional Arabic" w:cs="Traditional Arabic"/>
          <w:kern w:val="2"/>
          <w:sz w:val="32"/>
          <w:szCs w:val="32"/>
          <w14:ligatures w14:val="standardContextual"/>
        </w:rPr>
        <w:t>.</w:t>
      </w:r>
    </w:p>
    <w:p w14:paraId="53D34C65" w14:textId="77777777" w:rsidR="005D60BE"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6C26A9B0" w14:textId="77777777" w:rsidR="005D60BE" w:rsidRPr="0049674D"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7A44348" w14:textId="77777777" w:rsidR="00AA29C0" w:rsidRPr="0049674D" w:rsidRDefault="00AA29C0" w:rsidP="00AA29C0">
      <w:pPr>
        <w:bidi/>
        <w:spacing w:line="360" w:lineRule="auto"/>
        <w:jc w:val="both"/>
        <w:rPr>
          <w:rFonts w:ascii="Traditional Arabic" w:eastAsia="Aptos" w:hAnsi="Traditional Arabic" w:cs="Traditional Arabic"/>
          <w:b/>
          <w:bCs/>
          <w:kern w:val="2"/>
          <w:sz w:val="32"/>
          <w:szCs w:val="32"/>
          <w14:ligatures w14:val="standardContextual"/>
        </w:rPr>
      </w:pPr>
      <w:r w:rsidRPr="0049674D">
        <w:rPr>
          <w:rFonts w:ascii="Traditional Arabic" w:eastAsia="Aptos" w:hAnsi="Traditional Arabic" w:cs="Traditional Arabic"/>
          <w:b/>
          <w:bCs/>
          <w:kern w:val="2"/>
          <w:sz w:val="32"/>
          <w:szCs w:val="32"/>
          <w:rtl/>
          <w14:ligatures w14:val="standardContextual"/>
        </w:rPr>
        <w:lastRenderedPageBreak/>
        <w:t xml:space="preserve">ثانيًا: </w:t>
      </w:r>
      <w:proofErr w:type="gramStart"/>
      <w:r w:rsidRPr="0049674D">
        <w:rPr>
          <w:rFonts w:ascii="Traditional Arabic" w:eastAsia="Aptos" w:hAnsi="Traditional Arabic" w:cs="Traditional Arabic"/>
          <w:b/>
          <w:bCs/>
          <w:kern w:val="2"/>
          <w:sz w:val="32"/>
          <w:szCs w:val="32"/>
          <w:rtl/>
          <w14:ligatures w14:val="standardContextual"/>
        </w:rPr>
        <w:t>الأهمية</w:t>
      </w:r>
      <w:proofErr w:type="gramEnd"/>
      <w:r w:rsidRPr="0049674D">
        <w:rPr>
          <w:rFonts w:ascii="Traditional Arabic" w:eastAsia="Aptos" w:hAnsi="Traditional Arabic" w:cs="Traditional Arabic"/>
          <w:b/>
          <w:bCs/>
          <w:kern w:val="2"/>
          <w:sz w:val="32"/>
          <w:szCs w:val="32"/>
          <w:rtl/>
          <w14:ligatures w14:val="standardContextual"/>
        </w:rPr>
        <w:t xml:space="preserve"> التطبيقية</w:t>
      </w:r>
    </w:p>
    <w:p w14:paraId="525A949E" w14:textId="6122377A"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تكتسب هذه الدراسة أهمية عملية بالغة من خلال ما تقدمه من نتائج علمية قابلة للتطبيق تسهم في تطوير برامج التنمية المهنية لمعلمي المرحلة الابتدائية بمدينة الرياض، بما ينعكس إيجابًا على جودة التعليم وكفاءة الأداء التدريسي. إذ تهدف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تقديم رؤى عملية مبنية على تحليل ميداني يمكن أن يستفيد منها صُنّاع القرار في وزارة التعليم، والمشرفون التربويون، ومديرو المدارس في تصميم برامج تدريبية أكثر فاعلية واستدامة، تستجيب للاحتياجات الحقيقية للمعلمين وتنسجم مع متطلبات الميدان التربوي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 القرني، 2018).</w:t>
      </w:r>
      <w:r w:rsidRPr="0049674D">
        <w:rPr>
          <w:rFonts w:ascii="Traditional Arabic" w:eastAsia="Aptos" w:hAnsi="Traditional Arabic" w:cs="Traditional Arabic" w:hint="cs"/>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تمكّن نتائج هذه الدراسة من تحديد الجوانب التي تحتاج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تحسين في آليات تصميم وتنفيذ البرامج التدريبية، بما يُسهم في تعزيز الكفاءة المهنية في مجالات التخطيط، والتقويم، وإدارة الصف، والتفاعل التعليمي. وبذلك، تُسهم الدراسة في توجيه الجهود التطويرية نحو بناء خطط تدريبية أكثر ارتباطًا بالممارسة الفعلية داخل الصفوف الدراسية، مما يساعد في رفع مستوى أداء المعلمين وتحسين تجربة التعلم لدى الطلاب (</w:t>
      </w:r>
      <w:proofErr w:type="spellStart"/>
      <w:r w:rsidRPr="0049674D">
        <w:rPr>
          <w:rFonts w:ascii="Traditional Arabic" w:eastAsia="Aptos" w:hAnsi="Traditional Arabic" w:cs="Traditional Arabic"/>
          <w:kern w:val="2"/>
          <w:sz w:val="32"/>
          <w:szCs w:val="32"/>
          <w14:ligatures w14:val="standardContextual"/>
        </w:rPr>
        <w:t>Alruqi</w:t>
      </w:r>
      <w:proofErr w:type="spellEnd"/>
      <w:r w:rsidRPr="0049674D">
        <w:rPr>
          <w:rFonts w:ascii="Traditional Arabic" w:eastAsia="Aptos" w:hAnsi="Traditional Arabic" w:cs="Traditional Arabic"/>
          <w:kern w:val="2"/>
          <w:sz w:val="32"/>
          <w:szCs w:val="32"/>
          <w14:ligatures w14:val="standardContextual"/>
        </w:rPr>
        <w:t xml:space="preserve"> &amp; </w:t>
      </w:r>
      <w:proofErr w:type="spellStart"/>
      <w:r w:rsidRPr="0049674D">
        <w:rPr>
          <w:rFonts w:ascii="Traditional Arabic" w:eastAsia="Aptos" w:hAnsi="Traditional Arabic" w:cs="Traditional Arabic"/>
          <w:kern w:val="2"/>
          <w:sz w:val="32"/>
          <w:szCs w:val="32"/>
          <w14:ligatures w14:val="standardContextual"/>
        </w:rPr>
        <w:t>Alharbi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الفجام</w:t>
      </w:r>
      <w:proofErr w:type="spellEnd"/>
      <w:r w:rsidRPr="0049674D">
        <w:rPr>
          <w:rFonts w:ascii="Traditional Arabic" w:eastAsia="Aptos" w:hAnsi="Traditional Arabic" w:cs="Traditional Arabic"/>
          <w:kern w:val="2"/>
          <w:sz w:val="32"/>
          <w:szCs w:val="32"/>
          <w:rtl/>
          <w14:ligatures w14:val="standardContextual"/>
        </w:rPr>
        <w:t>، المنصوري، والدويلة، 2017).</w:t>
      </w:r>
    </w:p>
    <w:p w14:paraId="63B5E9AF" w14:textId="2810EF97"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14:ligatures w14:val="standardContextual"/>
        </w:rPr>
      </w:pPr>
      <w:r w:rsidRPr="0049674D">
        <w:rPr>
          <w:rFonts w:ascii="Traditional Arabic" w:eastAsia="Aptos" w:hAnsi="Traditional Arabic" w:cs="Traditional Arabic"/>
          <w:kern w:val="2"/>
          <w:sz w:val="32"/>
          <w:szCs w:val="32"/>
          <w:rtl/>
          <w14:ligatures w14:val="standardContextual"/>
        </w:rPr>
        <w:t xml:space="preserve">علاوة على ذلك، يمكن الاستفادة من نتائج الدراسة في تطوير السياسات التعليمية الوطنية بما يدعم استدامة برامج التنمية المهنية، ويعزز التكامل بين الأهداف الاستراتيجية للتعليم ومتطلبات المعلمين في الميدان. ومن ثمّ، فإن القيمة التطبيقية لهذه الدراسة تكمن في إسهامها المباشر في تحقيق مستهدفات رؤية المملكة 2030 الرامية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بناء منظومة تعليمية متكاملة وكفاءات تدريسية مبدعة قادرة على التطوير والابتكار المستمر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rtl/>
          <w14:ligatures w14:val="standardContextual"/>
        </w:rPr>
        <w:t xml:space="preserve">، </w:t>
      </w:r>
      <w:r w:rsidRPr="0049674D">
        <w:rPr>
          <w:rFonts w:ascii="Traditional Arabic" w:eastAsia="Aptos" w:hAnsi="Traditional Arabic" w:cs="Traditional Arabic"/>
          <w:kern w:val="2"/>
          <w:sz w:val="32"/>
          <w:szCs w:val="32"/>
          <w14:ligatures w14:val="standardContextual"/>
        </w:rPr>
        <w:t>2024</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w:t>
      </w:r>
    </w:p>
    <w:p w14:paraId="269D4C26" w14:textId="77777777" w:rsidR="00447A5B"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
    <w:p w14:paraId="6F220AC1" w14:textId="77777777" w:rsidR="009474D8" w:rsidRPr="0049674D" w:rsidRDefault="008074A2" w:rsidP="009474D8">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等线 Light" w:hAnsi="Traditional Arabic" w:cs="Traditional Arabic"/>
          <w:b/>
          <w:bCs/>
          <w:color w:val="000000"/>
          <w:sz w:val="36"/>
          <w:szCs w:val="36"/>
          <w:rtl/>
        </w:rPr>
        <w:lastRenderedPageBreak/>
        <w:t>أهداف الدراسة</w:t>
      </w:r>
    </w:p>
    <w:p w14:paraId="62E8C13B" w14:textId="42A95687" w:rsidR="00447A5B" w:rsidRDefault="009474D8" w:rsidP="005D4EED">
      <w:pPr>
        <w:bidi/>
        <w:spacing w:line="360" w:lineRule="auto"/>
        <w:ind w:firstLine="720"/>
        <w:jc w:val="both"/>
        <w:rPr>
          <w:rFonts w:ascii="Traditional Arabic" w:hAnsi="Traditional Arabic" w:cs="Traditional Arabic"/>
          <w:sz w:val="32"/>
          <w:szCs w:val="32"/>
          <w:rtl/>
        </w:rPr>
      </w:pPr>
      <w:r w:rsidRPr="0049674D">
        <w:rPr>
          <w:rFonts w:ascii="Traditional Arabic" w:hAnsi="Traditional Arabic" w:cs="Traditional Arabic"/>
          <w:sz w:val="32"/>
          <w:szCs w:val="32"/>
          <w:rtl/>
        </w:rPr>
        <w:t xml:space="preserve">تهدف هذه الدراسة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w:t>
      </w:r>
      <w:r w:rsidRPr="0049674D">
        <w:rPr>
          <w:rFonts w:ascii="Traditional Arabic" w:hAnsi="Traditional Arabic" w:cs="Traditional Arabic"/>
          <w:b/>
          <w:bCs/>
          <w:sz w:val="32"/>
          <w:szCs w:val="32"/>
          <w:rtl/>
        </w:rPr>
        <w:t>تحليل أثر برامج التنمية المهنية في رفع كفاءة معلمي المرحلة الابتدائية بمدينة الرياض</w:t>
      </w:r>
      <w:r w:rsidRPr="0049674D">
        <w:rPr>
          <w:rFonts w:ascii="Traditional Arabic" w:hAnsi="Traditional Arabic" w:cs="Traditional Arabic"/>
          <w:sz w:val="32"/>
          <w:szCs w:val="32"/>
          <w:rtl/>
        </w:rPr>
        <w:t xml:space="preserve">، من خلال دراسة واقع تلك البرامج ومستوى الكفاءة المهنية للمعلمين، وتحديد العوامل التي تعزز أو تحد من فاعليتها، وصولاً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تقديم مقترحات عملية تسهم في تطوير الأداء التدريسي وتحسين جودة التعليم وفق متطلبات رؤية المملكة 2030</w:t>
      </w:r>
      <w:r w:rsidRPr="0049674D">
        <w:rPr>
          <w:rFonts w:ascii="Traditional Arabic" w:hAnsi="Traditional Arabic" w:cs="Traditional Arabic"/>
          <w:sz w:val="32"/>
          <w:szCs w:val="32"/>
        </w:rPr>
        <w:t>.</w:t>
      </w:r>
    </w:p>
    <w:p w14:paraId="31794211" w14:textId="77777777" w:rsidR="005D4EED" w:rsidRPr="0049674D" w:rsidRDefault="005D4EED"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B554441" w14:textId="77777777" w:rsidR="00447A5B" w:rsidRPr="0049674D" w:rsidRDefault="009474D8" w:rsidP="005D4EED">
      <w:pPr>
        <w:bidi/>
        <w:spacing w:line="360" w:lineRule="auto"/>
        <w:ind w:firstLine="360"/>
        <w:jc w:val="both"/>
        <w:rPr>
          <w:rFonts w:ascii="Traditional Arabic" w:eastAsia="Aptos" w:hAnsi="Traditional Arabic" w:cs="Traditional Arabic"/>
          <w:kern w:val="2"/>
          <w:sz w:val="32"/>
          <w:szCs w:val="32"/>
          <w:rtl/>
          <w:lang w:bidi="ar-JO"/>
          <w14:ligatures w14:val="standardContextual"/>
        </w:rPr>
      </w:pPr>
      <w:r w:rsidRPr="0049674D">
        <w:rPr>
          <w:rFonts w:ascii="Traditional Arabic" w:hAnsi="Traditional Arabic" w:cs="Traditional Arabic" w:hint="cs"/>
          <w:sz w:val="32"/>
          <w:szCs w:val="32"/>
          <w:rtl/>
        </w:rPr>
        <w:t xml:space="preserve">يتفرع من السابق </w:t>
      </w:r>
      <w:r w:rsidRPr="0049674D">
        <w:rPr>
          <w:rFonts w:ascii="Traditional Arabic" w:hAnsi="Traditional Arabic" w:cs="Traditional Arabic"/>
          <w:sz w:val="32"/>
          <w:szCs w:val="32"/>
          <w:rtl/>
        </w:rPr>
        <w:t>الأهداف الفرعية</w:t>
      </w:r>
      <w:r w:rsidRPr="0049674D">
        <w:rPr>
          <w:rFonts w:ascii="Traditional Arabic" w:hAnsi="Traditional Arabic" w:cs="Traditional Arabic" w:hint="cs"/>
          <w:sz w:val="32"/>
          <w:szCs w:val="32"/>
          <w:rtl/>
        </w:rPr>
        <w:t xml:space="preserve"> التالية</w:t>
      </w:r>
      <w:r w:rsidRPr="0049674D">
        <w:rPr>
          <w:rFonts w:ascii="Traditional Arabic" w:hAnsi="Traditional Arabic" w:cs="Traditional Arabic"/>
          <w:sz w:val="32"/>
          <w:szCs w:val="32"/>
        </w:rPr>
        <w:t>:</w:t>
      </w:r>
    </w:p>
    <w:p w14:paraId="1C8C315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proofErr w:type="gramStart"/>
      <w:r w:rsidRPr="0049674D">
        <w:rPr>
          <w:rFonts w:ascii="Traditional Arabic" w:hAnsi="Traditional Arabic" w:cs="Traditional Arabic"/>
          <w:sz w:val="32"/>
          <w:szCs w:val="32"/>
          <w:rtl/>
        </w:rPr>
        <w:t>تحليل</w:t>
      </w:r>
      <w:proofErr w:type="gramEnd"/>
      <w:r w:rsidRPr="0049674D">
        <w:rPr>
          <w:rFonts w:ascii="Traditional Arabic" w:hAnsi="Traditional Arabic" w:cs="Traditional Arabic"/>
          <w:sz w:val="32"/>
          <w:szCs w:val="32"/>
          <w:rtl/>
        </w:rPr>
        <w:t xml:space="preserve"> واقع برامج التنمية المهنية المقدمة لمعلمي المرحلة الابتدائية بمدينة الرياض من حيث نوعها، محتواها، وأساليب تنفيذها</w:t>
      </w:r>
      <w:r w:rsidRPr="0049674D">
        <w:rPr>
          <w:rFonts w:ascii="Traditional Arabic" w:hAnsi="Traditional Arabic" w:cs="Traditional Arabic"/>
          <w:sz w:val="32"/>
          <w:szCs w:val="32"/>
        </w:rPr>
        <w:t>.</w:t>
      </w:r>
    </w:p>
    <w:p w14:paraId="503FA8E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 xml:space="preserve">تقييم مستوى الكفاءة المهنية لمعلمي </w:t>
      </w:r>
      <w:proofErr w:type="gramStart"/>
      <w:r w:rsidRPr="0049674D">
        <w:rPr>
          <w:rFonts w:ascii="Traditional Arabic" w:hAnsi="Traditional Arabic" w:cs="Traditional Arabic"/>
          <w:sz w:val="32"/>
          <w:szCs w:val="32"/>
          <w:rtl/>
        </w:rPr>
        <w:t>المرحلة</w:t>
      </w:r>
      <w:proofErr w:type="gramEnd"/>
      <w:r w:rsidRPr="0049674D">
        <w:rPr>
          <w:rFonts w:ascii="Traditional Arabic" w:hAnsi="Traditional Arabic" w:cs="Traditional Arabic"/>
          <w:sz w:val="32"/>
          <w:szCs w:val="32"/>
          <w:rtl/>
        </w:rPr>
        <w:t xml:space="preserve"> الابتدائية في ضوء اشتراكهم في برامج التنمية المهنية</w:t>
      </w:r>
      <w:r w:rsidRPr="0049674D">
        <w:rPr>
          <w:rFonts w:ascii="Traditional Arabic" w:hAnsi="Traditional Arabic" w:cs="Traditional Arabic"/>
          <w:sz w:val="32"/>
          <w:szCs w:val="32"/>
        </w:rPr>
        <w:t>.</w:t>
      </w:r>
    </w:p>
    <w:p w14:paraId="27E309F9"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قياس أثر المشاركة في برامج التنمية المهنية على تطوير الكفاءة المهنية لمعلمي المرحلة الابتدائية بأبعادها الرئيسة</w:t>
      </w:r>
      <w:r w:rsidRPr="0049674D">
        <w:rPr>
          <w:rFonts w:ascii="Traditional Arabic" w:hAnsi="Traditional Arabic" w:cs="Traditional Arabic" w:hint="cs"/>
          <w:sz w:val="32"/>
          <w:szCs w:val="32"/>
          <w:rtl/>
        </w:rPr>
        <w:t xml:space="preserve"> (</w:t>
      </w:r>
      <w:r w:rsidRPr="0049674D">
        <w:rPr>
          <w:rFonts w:ascii="Traditional Arabic" w:hAnsi="Traditional Arabic" w:cs="Traditional Arabic"/>
          <w:sz w:val="32"/>
          <w:szCs w:val="32"/>
          <w:rtl/>
        </w:rPr>
        <w:t>التخطيط التدريسي، إدارة الصف، التقويم التعليمي، والتواصل والتفاعل مع الطلاب</w:t>
      </w:r>
      <w:r w:rsidRPr="0049674D">
        <w:rPr>
          <w:rFonts w:ascii="Traditional Arabic" w:hAnsi="Traditional Arabic" w:cs="Traditional Arabic"/>
          <w:sz w:val="32"/>
          <w:szCs w:val="32"/>
        </w:rPr>
        <w:t>.</w:t>
      </w:r>
      <w:r w:rsidRPr="0049674D">
        <w:rPr>
          <w:rFonts w:ascii="Traditional Arabic" w:hAnsi="Traditional Arabic" w:cs="Traditional Arabic" w:hint="cs"/>
          <w:sz w:val="32"/>
          <w:szCs w:val="32"/>
          <w:rtl/>
        </w:rPr>
        <w:t>)</w:t>
      </w:r>
    </w:p>
    <w:p w14:paraId="3B80C168"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تحديد أبرز التحديات التي تواجه معلمي المرحلة الابتدائية في الاستفادة من برامج التنمية المهنية</w:t>
      </w:r>
      <w:r w:rsidRPr="0049674D">
        <w:rPr>
          <w:rFonts w:ascii="Traditional Arabic" w:hAnsi="Traditional Arabic" w:cs="Traditional Arabic"/>
          <w:sz w:val="32"/>
          <w:szCs w:val="32"/>
        </w:rPr>
        <w:t>.</w:t>
      </w:r>
    </w:p>
    <w:p w14:paraId="743A5EE0"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اقتراح سبل واستراتيجيات عملية لتعزيز فاعلية برامج التنمية المهنية بما يسهم في تطوير كفاءة المعلمين وتحسين جودة العملية التعليمية في مدارس مدينة الرياض</w:t>
      </w:r>
      <w:r w:rsidRPr="0049674D">
        <w:rPr>
          <w:rFonts w:ascii="Traditional Arabic" w:hAnsi="Traditional Arabic" w:cs="Traditional Arabic"/>
          <w:sz w:val="32"/>
          <w:szCs w:val="32"/>
        </w:rPr>
        <w:t>.</w:t>
      </w:r>
    </w:p>
    <w:p w14:paraId="3DD6B2A0" w14:textId="77777777" w:rsidR="00447A5B" w:rsidRPr="0049674D" w:rsidRDefault="00447A5B" w:rsidP="00447A5B">
      <w:pPr>
        <w:bidi/>
        <w:spacing w:line="360" w:lineRule="auto"/>
        <w:jc w:val="both"/>
        <w:rPr>
          <w:rFonts w:ascii="Traditional Arabic" w:eastAsia="等线 Light" w:hAnsi="Traditional Arabic" w:cs="Traditional Arabic"/>
          <w:b/>
          <w:bCs/>
          <w:color w:val="000000"/>
          <w:sz w:val="36"/>
          <w:szCs w:val="36"/>
          <w:rtl/>
        </w:rPr>
      </w:pPr>
    </w:p>
    <w:p w14:paraId="77E62492" w14:textId="7E56B8EC" w:rsidR="008074A2" w:rsidRPr="0049674D" w:rsidRDefault="008074A2" w:rsidP="00447A5B">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等线 Light" w:hAnsi="Traditional Arabic" w:cs="Traditional Arabic"/>
          <w:b/>
          <w:bCs/>
          <w:color w:val="000000"/>
          <w:sz w:val="36"/>
          <w:szCs w:val="36"/>
          <w:rtl/>
        </w:rPr>
        <w:lastRenderedPageBreak/>
        <w:t>فرضيات الدراسة</w:t>
      </w:r>
    </w:p>
    <w:p w14:paraId="4651FDB1" w14:textId="65E11291" w:rsidR="006907A8" w:rsidRPr="0049674D" w:rsidRDefault="006907A8"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49674D">
        <w:rPr>
          <w:rFonts w:ascii="Traditional Arabic" w:eastAsia="Aptos" w:hAnsi="Traditional Arabic" w:cs="Traditional Arabic"/>
          <w:kern w:val="2"/>
          <w:sz w:val="32"/>
          <w:szCs w:val="32"/>
          <w:rtl/>
          <w14:ligatures w14:val="standardContextual"/>
        </w:rPr>
        <w:t>توضح</w:t>
      </w:r>
      <w:proofErr w:type="gramEnd"/>
      <w:r w:rsidRPr="0049674D">
        <w:rPr>
          <w:rFonts w:ascii="Traditional Arabic" w:eastAsia="Aptos" w:hAnsi="Traditional Arabic" w:cs="Traditional Arabic"/>
          <w:kern w:val="2"/>
          <w:sz w:val="32"/>
          <w:szCs w:val="32"/>
          <w:rtl/>
          <w14:ligatures w14:val="standardContextual"/>
        </w:rPr>
        <w:t xml:space="preserve"> مجمل الأدبيات أن التنمية المهنية تلعب دورًا جوهريًا في رفع كفاءة المعلمين في مختلف أبعاد العملية التعليمية. وتؤكد الدراسات الميدانية داخل السعودية وخارجها على العلاقة الوثيقة بين كثافة البرامج التدريبية وجودة الأداء التدريسي، مع وجود فروق ذات دلالة إحصائية مرتبطة بالخبرة والمؤهل وعدد المشاركات. وبالتالي فإن الفرضيات التي وضعتها الدراسة تستند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شواهد علمية راسخة ودراسات سابقة تدعم صدقيتها وتبرر اختبارها ميدانيًا في سياق مدينة الرياض</w:t>
      </w:r>
      <w:r w:rsidRPr="0049674D">
        <w:rPr>
          <w:rFonts w:ascii="Traditional Arabic" w:eastAsia="Aptos" w:hAnsi="Traditional Arabic" w:cs="Traditional Arabic"/>
          <w:kern w:val="2"/>
          <w:sz w:val="32"/>
          <w:szCs w:val="32"/>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 </w:t>
      </w:r>
      <w:r w:rsidR="00104BA5" w:rsidRPr="0049674D">
        <w:rPr>
          <w:rFonts w:ascii="Traditional Arabic" w:eastAsia="Aptos" w:hAnsi="Traditional Arabic" w:cs="Traditional Arabic" w:hint="cs"/>
          <w:kern w:val="2"/>
          <w:sz w:val="32"/>
          <w:szCs w:val="32"/>
          <w:rtl/>
          <w14:ligatures w14:val="standardContextual"/>
        </w:rPr>
        <w:t>على سبيل المثال لا الحصر،</w:t>
      </w:r>
      <w:r w:rsidR="009E0862" w:rsidRPr="0049674D">
        <w:rPr>
          <w:rFonts w:ascii="Traditional Arabic" w:eastAsia="Aptos" w:hAnsi="Traditional Arabic" w:cs="Traditional Arabic"/>
          <w:kern w:val="2"/>
          <w:sz w:val="32"/>
          <w:szCs w:val="32"/>
          <w:rtl/>
          <w14:ligatures w14:val="standardContextual"/>
        </w:rPr>
        <w:t xml:space="preserve"> أظهرت دراسة </w:t>
      </w:r>
      <w:proofErr w:type="spellStart"/>
      <w:r w:rsidR="009E0862" w:rsidRPr="0049674D">
        <w:rPr>
          <w:rFonts w:ascii="Traditional Arabic" w:eastAsia="Aptos" w:hAnsi="Traditional Arabic" w:cs="Traditional Arabic"/>
          <w:kern w:val="2"/>
          <w:sz w:val="32"/>
          <w:szCs w:val="32"/>
          <w14:ligatures w14:val="standardContextual"/>
        </w:rPr>
        <w:t>Alamri</w:t>
      </w:r>
      <w:proofErr w:type="spellEnd"/>
      <w:r w:rsidR="009E0862" w:rsidRPr="0049674D">
        <w:rPr>
          <w:rFonts w:ascii="Traditional Arabic" w:eastAsia="Aptos" w:hAnsi="Traditional Arabic" w:cs="Traditional Arabic"/>
          <w:kern w:val="2"/>
          <w:sz w:val="32"/>
          <w:szCs w:val="32"/>
          <w14:ligatures w14:val="standardContextual"/>
        </w:rPr>
        <w:t>, 2022)</w:t>
      </w:r>
      <w:r w:rsidR="009E0862" w:rsidRPr="0049674D">
        <w:rPr>
          <w:rFonts w:ascii="Traditional Arabic" w:eastAsia="Aptos" w:hAnsi="Traditional Arabic" w:cs="Traditional Arabic"/>
          <w:kern w:val="2"/>
          <w:sz w:val="32"/>
          <w:szCs w:val="32"/>
          <w:rtl/>
          <w14:ligatures w14:val="standardContextual"/>
        </w:rPr>
        <w:t xml:space="preserve">) في السعودية أن مستوى برامج تدريب المعلمين كان متوسطًا في حين كان مستوى الكفاءة التدريسية مرتفعًا، مع وجود علاقة ارتباطية موجبة ودالة بين مستوى البرامج ورفع الكفاءة التدريسية. وأكدت الدراسة أن تخطيط البرامج وتقييمها من أهم العوامل المؤثرة في كفاءة المعلمين، مما يدعم الفرضية القائلة بوجود </w:t>
      </w:r>
      <w:r w:rsidR="002610EF" w:rsidRPr="0049674D">
        <w:rPr>
          <w:rFonts w:ascii="Traditional Arabic" w:eastAsia="Aptos" w:hAnsi="Traditional Arabic" w:cs="Traditional Arabic"/>
          <w:kern w:val="2"/>
          <w:sz w:val="32"/>
          <w:szCs w:val="32"/>
          <w:rtl/>
          <w14:ligatures w14:val="standardContextual"/>
        </w:rPr>
        <w:t xml:space="preserve">علاقة ذات دلالة إحصائية بين التنمية المهنية والكفاءة التدريسية. </w:t>
      </w:r>
      <w:proofErr w:type="gramStart"/>
      <w:r w:rsidR="002610EF" w:rsidRPr="0049674D">
        <w:rPr>
          <w:rFonts w:ascii="Traditional Arabic" w:eastAsia="Aptos" w:hAnsi="Traditional Arabic" w:cs="Traditional Arabic"/>
          <w:kern w:val="2"/>
          <w:sz w:val="32"/>
          <w:szCs w:val="32"/>
          <w:rtl/>
          <w14:ligatures w14:val="standardContextual"/>
        </w:rPr>
        <w:t>كما</w:t>
      </w:r>
      <w:proofErr w:type="gramEnd"/>
      <w:r w:rsidR="002610EF" w:rsidRPr="0049674D">
        <w:rPr>
          <w:rFonts w:ascii="Traditional Arabic" w:eastAsia="Aptos" w:hAnsi="Traditional Arabic" w:cs="Traditional Arabic"/>
          <w:kern w:val="2"/>
          <w:sz w:val="32"/>
          <w:szCs w:val="32"/>
          <w:rtl/>
          <w14:ligatures w14:val="standardContextual"/>
        </w:rPr>
        <w:t xml:space="preserve"> توصلت دراسات أخرى مثل </w:t>
      </w:r>
      <w:r w:rsidR="002610EF" w:rsidRPr="0049674D">
        <w:rPr>
          <w:rFonts w:ascii="Traditional Arabic" w:eastAsia="Aptos" w:hAnsi="Traditional Arabic" w:cs="Traditional Arabic" w:hint="cs"/>
          <w:kern w:val="2"/>
          <w:sz w:val="32"/>
          <w:szCs w:val="32"/>
          <w:rtl/>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Abu </w:t>
      </w:r>
      <w:proofErr w:type="spellStart"/>
      <w:r w:rsidR="002610EF" w:rsidRPr="0049674D">
        <w:rPr>
          <w:rFonts w:ascii="Traditional Arabic" w:eastAsia="Aptos" w:hAnsi="Traditional Arabic" w:cs="Traditional Arabic"/>
          <w:kern w:val="2"/>
          <w:sz w:val="32"/>
          <w:szCs w:val="32"/>
          <w14:ligatures w14:val="standardContextual"/>
        </w:rPr>
        <w:t>Ashour</w:t>
      </w:r>
      <w:proofErr w:type="spellEnd"/>
      <w:r w:rsidR="002610EF" w:rsidRPr="0049674D">
        <w:rPr>
          <w:rFonts w:ascii="Traditional Arabic" w:eastAsia="Aptos" w:hAnsi="Traditional Arabic" w:cs="Traditional Arabic"/>
          <w:kern w:val="2"/>
          <w:sz w:val="32"/>
          <w:szCs w:val="32"/>
          <w14:ligatures w14:val="standardContextual"/>
        </w:rPr>
        <w:t xml:space="preserve"> &amp; Al-</w:t>
      </w:r>
      <w:proofErr w:type="spellStart"/>
      <w:r w:rsidR="002610EF" w:rsidRPr="0049674D">
        <w:rPr>
          <w:rFonts w:ascii="Traditional Arabic" w:eastAsia="Aptos" w:hAnsi="Traditional Arabic" w:cs="Traditional Arabic"/>
          <w:kern w:val="2"/>
          <w:sz w:val="32"/>
          <w:szCs w:val="32"/>
          <w14:ligatures w14:val="standardContextual"/>
        </w:rPr>
        <w:t>Jarrah</w:t>
      </w:r>
      <w:proofErr w:type="spellEnd"/>
      <w:r w:rsidR="002610EF" w:rsidRPr="0049674D">
        <w:rPr>
          <w:rFonts w:ascii="Traditional Arabic" w:eastAsia="Aptos" w:hAnsi="Traditional Arabic" w:cs="Traditional Arabic"/>
          <w:kern w:val="2"/>
          <w:sz w:val="32"/>
          <w:szCs w:val="32"/>
          <w14:ligatures w14:val="standardContextual"/>
        </w:rPr>
        <w:t>, 2021</w:t>
      </w:r>
      <w:r w:rsidR="002610EF" w:rsidRPr="0049674D">
        <w:rPr>
          <w:rFonts w:ascii="Traditional Arabic" w:eastAsia="Aptos" w:hAnsi="Traditional Arabic" w:cs="Traditional Arabic"/>
          <w:kern w:val="2"/>
          <w:sz w:val="32"/>
          <w:szCs w:val="32"/>
          <w:rtl/>
          <w14:ligatures w14:val="standardContextual"/>
        </w:rPr>
        <w:t xml:space="preserve">) في الأردن </w:t>
      </w:r>
      <w:r w:rsidR="00976DAD">
        <w:rPr>
          <w:rFonts w:ascii="Traditional Arabic" w:eastAsia="Aptos" w:hAnsi="Traditional Arabic" w:cs="Traditional Arabic"/>
          <w:kern w:val="2"/>
          <w:sz w:val="32"/>
          <w:szCs w:val="32"/>
          <w:rtl/>
          <w14:ligatures w14:val="standardContextual"/>
        </w:rPr>
        <w:t>إلى</w:t>
      </w:r>
      <w:r w:rsidR="002610EF" w:rsidRPr="0049674D">
        <w:rPr>
          <w:rFonts w:ascii="Traditional Arabic" w:eastAsia="Aptos" w:hAnsi="Traditional Arabic" w:cs="Traditional Arabic"/>
          <w:kern w:val="2"/>
          <w:sz w:val="32"/>
          <w:szCs w:val="32"/>
          <w:rtl/>
          <w14:ligatures w14:val="standardContextual"/>
        </w:rPr>
        <w:t xml:space="preserve"> أن فعالية البرامج التدريبية ترتبط إيجابيًا بأداء المعلمين </w:t>
      </w:r>
      <w:r w:rsidR="009E0862" w:rsidRPr="0049674D">
        <w:rPr>
          <w:rFonts w:ascii="Traditional Arabic" w:eastAsia="Aptos" w:hAnsi="Traditional Arabic" w:cs="Traditional Arabic"/>
          <w:kern w:val="2"/>
          <w:sz w:val="32"/>
          <w:szCs w:val="32"/>
          <w:rtl/>
          <w14:ligatures w14:val="standardContextual"/>
        </w:rPr>
        <w:t>الجدد، مما يعزز قوة هذا الترابط بين التطوير المهني وجودة الأداء التعليمي.</w:t>
      </w:r>
    </w:p>
    <w:p w14:paraId="5E41E2B9" w14:textId="77777777" w:rsidR="00A73BD3" w:rsidRPr="0049674D" w:rsidRDefault="00A73BD3"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بناء </w:t>
      </w:r>
      <w:proofErr w:type="gramStart"/>
      <w:r w:rsidRPr="0049674D">
        <w:rPr>
          <w:rFonts w:ascii="Traditional Arabic" w:eastAsia="Aptos" w:hAnsi="Traditional Arabic" w:cs="Traditional Arabic"/>
          <w:kern w:val="2"/>
          <w:sz w:val="32"/>
          <w:szCs w:val="32"/>
          <w:rtl/>
          <w14:ligatures w14:val="standardContextual"/>
        </w:rPr>
        <w:t>على</w:t>
      </w:r>
      <w:proofErr w:type="gramEnd"/>
      <w:r w:rsidRPr="0049674D">
        <w:rPr>
          <w:rFonts w:ascii="Traditional Arabic" w:eastAsia="Aptos" w:hAnsi="Traditional Arabic" w:cs="Traditional Arabic"/>
          <w:kern w:val="2"/>
          <w:sz w:val="32"/>
          <w:szCs w:val="32"/>
          <w:rtl/>
          <w14:ligatures w14:val="standardContextual"/>
        </w:rPr>
        <w:t xml:space="preserve"> ما سبق، يمكن صياغة الفرضية الرئيسية كالتالي:</w:t>
      </w:r>
    </w:p>
    <w:p w14:paraId="20A3C1BA" w14:textId="77777777" w:rsidR="00A73BD3" w:rsidRPr="0049674D" w:rsidRDefault="00A73BD3" w:rsidP="00A73BD3">
      <w:pPr>
        <w:bidi/>
        <w:spacing w:line="360" w:lineRule="auto"/>
        <w:jc w:val="both"/>
        <w:rPr>
          <w:rFonts w:ascii="Traditional Arabic" w:eastAsia="Aptos" w:hAnsi="Traditional Arabic" w:cs="Traditional Arabic"/>
          <w:b/>
          <w:bCs/>
          <w:kern w:val="2"/>
          <w:sz w:val="32"/>
          <w:szCs w:val="32"/>
          <w:rtl/>
          <w14:ligatures w14:val="standardContextual"/>
        </w:rPr>
      </w:pPr>
      <w:proofErr w:type="gramStart"/>
      <w:r w:rsidRPr="0049674D">
        <w:rPr>
          <w:rFonts w:ascii="Traditional Arabic" w:eastAsia="Aptos" w:hAnsi="Traditional Arabic" w:cs="Traditional Arabic"/>
          <w:b/>
          <w:bCs/>
          <w:kern w:val="2"/>
          <w:sz w:val="32"/>
          <w:szCs w:val="32"/>
          <w:lang w:bidi="ar-JO"/>
          <w14:ligatures w14:val="standardContextual"/>
        </w:rPr>
        <w:t>:H1</w:t>
      </w:r>
      <w:proofErr w:type="gramEnd"/>
      <w:r w:rsidRPr="0049674D">
        <w:rPr>
          <w:rFonts w:ascii="Traditional Arabic" w:eastAsia="Aptos" w:hAnsi="Traditional Arabic" w:cs="Traditional Arabic"/>
          <w:b/>
          <w:bCs/>
          <w:kern w:val="2"/>
          <w:sz w:val="32"/>
          <w:szCs w:val="32"/>
          <w:rtl/>
          <w14:ligatures w14:val="standardContextual"/>
        </w:rPr>
        <w:t xml:space="preserve"> </w:t>
      </w:r>
      <w:r w:rsidRPr="0049674D">
        <w:rPr>
          <w:rFonts w:ascii="Traditional Arabic" w:eastAsia="Aptos" w:hAnsi="Traditional Arabic" w:cs="Traditional Arabic" w:hint="eastAsia"/>
          <w:b/>
          <w:bCs/>
          <w:kern w:val="2"/>
          <w:sz w:val="32"/>
          <w:szCs w:val="32"/>
          <w:rtl/>
          <w:lang w:bidi="ar-EG"/>
          <w14:ligatures w14:val="standardContextual"/>
        </w:rPr>
        <w:t>توجد</w:t>
      </w:r>
      <w:r w:rsidRPr="0049674D">
        <w:rPr>
          <w:rFonts w:ascii="Traditional Arabic" w:eastAsia="Aptos" w:hAnsi="Traditional Arabic" w:cs="Traditional Arabic"/>
          <w:b/>
          <w:bCs/>
          <w:kern w:val="2"/>
          <w:sz w:val="32"/>
          <w:szCs w:val="32"/>
          <w:rtl/>
          <w:lang w:bidi="ar-EG"/>
          <w14:ligatures w14:val="standardContextual"/>
        </w:rPr>
        <w:t xml:space="preserve"> علاقة ذات دلالة إحصائية بين برامج التنمية المهنية وكفاءة معلمي المرحلة الابتدائية في مدينة الرياض</w:t>
      </w:r>
      <w:r w:rsidRPr="0049674D">
        <w:rPr>
          <w:rFonts w:ascii="Traditional Arabic" w:eastAsia="Aptos" w:hAnsi="Traditional Arabic" w:cs="Traditional Arabic"/>
          <w:b/>
          <w:bCs/>
          <w:kern w:val="2"/>
          <w:sz w:val="32"/>
          <w:szCs w:val="32"/>
          <w:lang w:bidi="ar-JO"/>
          <w14:ligatures w14:val="standardContextual"/>
        </w:rPr>
        <w:t>.</w:t>
      </w:r>
    </w:p>
    <w:p w14:paraId="13E852FB" w14:textId="77777777" w:rsidR="005D4EED" w:rsidRDefault="005D4EED"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p>
    <w:p w14:paraId="60C91741" w14:textId="774F7B41" w:rsidR="009E0862" w:rsidRPr="0049674D" w:rsidRDefault="009E0862" w:rsidP="005D4EED">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أثبتت نتائج </w:t>
      </w:r>
      <w:r w:rsidRPr="0049674D">
        <w:rPr>
          <w:rFonts w:ascii="Traditional Arabic" w:eastAsia="Aptos" w:hAnsi="Traditional Arabic" w:cs="Traditional Arabic"/>
          <w:kern w:val="2"/>
          <w:sz w:val="32"/>
          <w:szCs w:val="32"/>
          <w14:ligatures w14:val="standardContextual"/>
        </w:rPr>
        <w:t xml:space="preserve">Ahmed et al. </w:t>
      </w:r>
      <w:proofErr w:type="gramStart"/>
      <w:r w:rsidRPr="0049674D">
        <w:rPr>
          <w:rFonts w:ascii="Traditional Arabic" w:eastAsia="Aptos" w:hAnsi="Traditional Arabic" w:cs="Traditional Arabic"/>
          <w:kern w:val="2"/>
          <w:sz w:val="32"/>
          <w:szCs w:val="32"/>
          <w14:ligatures w14:val="standardContextual"/>
        </w:rPr>
        <w:t>2021)</w:t>
      </w:r>
      <w:r w:rsidRPr="0049674D">
        <w:rPr>
          <w:rFonts w:ascii="Traditional Arabic" w:eastAsia="Aptos" w:hAnsi="Traditional Arabic" w:cs="Traditional Arabic"/>
          <w:kern w:val="2"/>
          <w:sz w:val="32"/>
          <w:szCs w:val="32"/>
          <w:rtl/>
          <w14:ligatures w14:val="standardContextual"/>
        </w:rPr>
        <w:t>) أن المعلمين الذين شاركوا في برامج تطوير مهني تفاعلية أظهروا قدرة أكبر على تخطيط الدروس بمرونة ودمج التقنيات الحديثة في بيئة التعليم، مما ساعدهم على تحسين جودة التخطيط التدريسي.</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w:t>
      </w:r>
      <w:r w:rsidR="002610EF" w:rsidRPr="0049674D">
        <w:rPr>
          <w:rFonts w:ascii="Traditional Arabic" w:eastAsia="Aptos" w:hAnsi="Traditional Arabic" w:cs="Traditional Arabic"/>
          <w:kern w:val="2"/>
          <w:sz w:val="32"/>
          <w:szCs w:val="32"/>
          <w14:ligatures w14:val="standardContextual"/>
        </w:rPr>
        <w:t>ghayth</w:t>
      </w:r>
      <w:proofErr w:type="spellEnd"/>
      <w:r w:rsidR="002610EF" w:rsidRPr="0049674D">
        <w:rPr>
          <w:rFonts w:ascii="Traditional Arabic" w:eastAsia="Aptos" w:hAnsi="Traditional Arabic" w:cs="Traditional Arabic"/>
          <w:kern w:val="2"/>
          <w:sz w:val="32"/>
          <w:szCs w:val="32"/>
          <w14:ligatures w14:val="standardContextual"/>
        </w:rPr>
        <w:t xml:space="preserve">, </w:t>
      </w:r>
      <w:r w:rsidRPr="0049674D">
        <w:rPr>
          <w:rFonts w:ascii="Traditional Arabic" w:eastAsia="Aptos" w:hAnsi="Traditional Arabic" w:cs="Traditional Arabic"/>
          <w:kern w:val="2"/>
          <w:sz w:val="32"/>
          <w:szCs w:val="32"/>
          <w14:ligatures w14:val="standardContextual"/>
        </w:rPr>
        <w:t>2023</w:t>
      </w:r>
      <w:r w:rsidR="002610EF"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kern w:val="2"/>
          <w:sz w:val="32"/>
          <w:szCs w:val="32"/>
          <w:rtl/>
          <w14:ligatures w14:val="standardContextual"/>
        </w:rPr>
        <w:t xml:space="preserve">) أن التدريب المستمر يمكّن المعلمين من بناء خطط تدريس أكثر اتساقًا مع احتياجات الطلاب وأهداف المناهج،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الأولى</w:t>
      </w:r>
      <w:r w:rsidR="002610EF" w:rsidRPr="0049674D">
        <w:rPr>
          <w:rFonts w:ascii="Traditional Arabic" w:eastAsia="Aptos" w:hAnsi="Traditional Arabic" w:cs="Traditional Arabic" w:hint="cs"/>
          <w:kern w:val="2"/>
          <w:sz w:val="32"/>
          <w:szCs w:val="32"/>
          <w:rtl/>
          <w14:ligatures w14:val="standardContextual"/>
        </w:rPr>
        <w:t xml:space="preserve"> كالتالي:</w:t>
      </w:r>
    </w:p>
    <w:p w14:paraId="08F7711F" w14:textId="522963B9" w:rsidR="00A73BD3"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H1.1</w:t>
      </w:r>
      <w:proofErr w:type="spellEnd"/>
      <w:r w:rsidRPr="0049674D">
        <w:rPr>
          <w:rFonts w:ascii="Traditional Arabic" w:eastAsia="Aptos" w:hAnsi="Traditional Arabic" w:cs="Traditional Arabic"/>
          <w:b/>
          <w:bCs/>
          <w:kern w:val="2"/>
          <w:sz w:val="32"/>
          <w:szCs w:val="32"/>
          <w:rtl/>
          <w:lang w:bidi="ar-JO"/>
          <w14:ligatures w14:val="standardContextual"/>
        </w:rPr>
        <w:t>:</w:t>
      </w:r>
      <w:r w:rsidR="00A73BD3" w:rsidRPr="0049674D">
        <w:rPr>
          <w:rFonts w:ascii="Traditional Arabic" w:eastAsia="Aptos" w:hAnsi="Traditional Arabic" w:cs="Traditional Arabic"/>
          <w:kern w:val="2"/>
          <w:sz w:val="32"/>
          <w:szCs w:val="32"/>
          <w:rtl/>
          <w14:ligatures w14:val="standardContextual"/>
        </w:rPr>
        <w:t xml:space="preserve"> هناك علاقة إيجابية ذات دلالة إحصائية بين التنمية المهنية ومستوى كفاءة المعلمين في التخطيط التدريسي</w:t>
      </w:r>
      <w:r w:rsidR="00A73BD3" w:rsidRPr="0049674D">
        <w:rPr>
          <w:rFonts w:ascii="Traditional Arabic" w:eastAsia="Aptos" w:hAnsi="Traditional Arabic" w:cs="Traditional Arabic"/>
          <w:kern w:val="2"/>
          <w:sz w:val="32"/>
          <w:szCs w:val="32"/>
          <w:lang w:bidi="ar-JO"/>
          <w14:ligatures w14:val="standardContextual"/>
        </w:rPr>
        <w:t>.</w:t>
      </w:r>
    </w:p>
    <w:p w14:paraId="715E2F8A"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4552AE9A" w14:textId="52C421A0" w:rsidR="002610EF" w:rsidRPr="0049674D" w:rsidRDefault="002610EF"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تُظهر نتائج </w:t>
      </w:r>
      <w:r w:rsidRPr="0049674D">
        <w:rPr>
          <w:rFonts w:ascii="Traditional Arabic" w:eastAsia="Aptos" w:hAnsi="Traditional Arabic" w:cs="Traditional Arabic"/>
          <w:kern w:val="2"/>
          <w:sz w:val="32"/>
          <w:szCs w:val="32"/>
          <w14:ligatures w14:val="standardContextual"/>
        </w:rPr>
        <w:t xml:space="preserve">Jamal et al. </w:t>
      </w:r>
      <w:proofErr w:type="gramStart"/>
      <w:r w:rsidRPr="0049674D">
        <w:rPr>
          <w:rFonts w:ascii="Traditional Arabic" w:eastAsia="Aptos" w:hAnsi="Traditional Arabic" w:cs="Traditional Arabic"/>
          <w:kern w:val="2"/>
          <w:sz w:val="32"/>
          <w:szCs w:val="32"/>
          <w14:ligatures w14:val="standardContextual"/>
        </w:rPr>
        <w:t>2023</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باكستان أن المعلمين الذين تلقوا تدريبًا مهنيًا منتظمًا أظهروا تحسنًا ملحوظًا في مهارات إدارة الصف، وخاصة في التعامل مع السلوكيات الطلابية وتنظيم بيئة التعلم، وهو ما يثبت أن التنمية المهنية ترفع كفاءة المعلمين في هذا المجال.</w:t>
      </w:r>
      <w:proofErr w:type="gramEnd"/>
      <w:r w:rsidRPr="0049674D">
        <w:rPr>
          <w:rFonts w:ascii="Traditional Arabic" w:eastAsia="Aptos" w:hAnsi="Traditional Arabic" w:cs="Traditional Arabic"/>
          <w:kern w:val="2"/>
          <w:sz w:val="32"/>
          <w:szCs w:val="32"/>
          <w:rtl/>
          <w14:ligatures w14:val="standardContextual"/>
        </w:rPr>
        <w:t xml:space="preserve"> كما تدعم دراسة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في السعودية هذا الاتجاه من خلال تأكيدها على أن التدريب المستمر يعزز قدرة المعلمين على خلق بيئة صفية محفزة قائمة على التفاعل الإيجابي والانضباط.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proofErr w:type="gramStart"/>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ثانية</w:t>
      </w:r>
      <w:proofErr w:type="gramEnd"/>
      <w:r w:rsidRPr="0049674D">
        <w:rPr>
          <w:rFonts w:ascii="Traditional Arabic" w:eastAsia="Aptos" w:hAnsi="Traditional Arabic" w:cs="Traditional Arabic" w:hint="cs"/>
          <w:kern w:val="2"/>
          <w:sz w:val="32"/>
          <w:szCs w:val="32"/>
          <w:rtl/>
          <w14:ligatures w14:val="standardContextual"/>
        </w:rPr>
        <w:t xml:space="preserve"> كالتالي:</w:t>
      </w:r>
    </w:p>
    <w:p w14:paraId="17BB74CD" w14:textId="611D4416" w:rsidR="00A73BD3" w:rsidRPr="0049674D" w:rsidRDefault="00447A5B"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H1.2</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00A73BD3"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إدارة الصف</w:t>
      </w:r>
      <w:r w:rsidR="00A73BD3" w:rsidRPr="0049674D">
        <w:rPr>
          <w:rFonts w:ascii="Traditional Arabic" w:eastAsia="Aptos" w:hAnsi="Traditional Arabic" w:cs="Traditional Arabic"/>
          <w:kern w:val="2"/>
          <w:sz w:val="32"/>
          <w:szCs w:val="32"/>
          <w:lang w:bidi="ar-JO"/>
          <w14:ligatures w14:val="standardContextual"/>
        </w:rPr>
        <w:t>.</w:t>
      </w:r>
    </w:p>
    <w:p w14:paraId="600AE592"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1D15F5B2" w14:textId="128FC3A4"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أظهرت نتائج دراسة </w:t>
      </w:r>
      <w:proofErr w:type="spellStart"/>
      <w:r w:rsidRPr="0049674D">
        <w:rPr>
          <w:rFonts w:ascii="Traditional Arabic" w:eastAsia="Aptos" w:hAnsi="Traditional Arabic" w:cs="Traditional Arabic"/>
          <w:kern w:val="2"/>
          <w:sz w:val="32"/>
          <w:szCs w:val="32"/>
          <w14:ligatures w14:val="standardContextual"/>
        </w:rPr>
        <w:t>Duraku</w:t>
      </w:r>
      <w:proofErr w:type="spellEnd"/>
      <w:r w:rsidRPr="0049674D">
        <w:rPr>
          <w:rFonts w:ascii="Traditional Arabic" w:eastAsia="Aptos" w:hAnsi="Traditional Arabic" w:cs="Traditional Arabic"/>
          <w:kern w:val="2"/>
          <w:sz w:val="32"/>
          <w:szCs w:val="32"/>
          <w14:ligatures w14:val="standardContextual"/>
        </w:rPr>
        <w:t xml:space="preserve"> et al. </w:t>
      </w:r>
      <w:proofErr w:type="gramStart"/>
      <w:r w:rsidRPr="0049674D">
        <w:rPr>
          <w:rFonts w:ascii="Traditional Arabic" w:eastAsia="Aptos" w:hAnsi="Traditional Arabic" w:cs="Traditional Arabic"/>
          <w:kern w:val="2"/>
          <w:sz w:val="32"/>
          <w:szCs w:val="32"/>
          <w14:ligatures w14:val="standardContextual"/>
        </w:rPr>
        <w:t xml:space="preserve">(2022) </w:t>
      </w:r>
      <w:r w:rsidR="00104BA5"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في ألبانيا أن برامج التنمية المهنية القائمة على التدريب العملي حسّنت من مهارات المعلمين في استخدام أدوات التقويم الحديثة وقياس تحصيل الطلبة بفاعلية.</w:t>
      </w:r>
      <w:proofErr w:type="gramEnd"/>
      <w:r w:rsidRPr="0049674D">
        <w:rPr>
          <w:rFonts w:ascii="Traditional Arabic" w:eastAsia="Aptos" w:hAnsi="Traditional Arabic" w:cs="Traditional Arabic"/>
          <w:kern w:val="2"/>
          <w:sz w:val="32"/>
          <w:szCs w:val="32"/>
          <w:rtl/>
          <w14:ligatures w14:val="standardContextual"/>
        </w:rPr>
        <w:t xml:space="preserve"> وتتفق هذه النتائج مع ما خلصت إليه دراسة </w:t>
      </w:r>
      <w:proofErr w:type="spellStart"/>
      <w:r w:rsidRPr="0049674D">
        <w:rPr>
          <w:rFonts w:ascii="Traditional Arabic" w:eastAsia="Aptos" w:hAnsi="Traditional Arabic" w:cs="Traditional Arabic"/>
          <w:kern w:val="2"/>
          <w:sz w:val="32"/>
          <w:szCs w:val="32"/>
          <w14:ligatures w14:val="standardContextual"/>
        </w:rPr>
        <w:t>Alamri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السعودية التي بينت أن أحد المجالات التي استفاد منها المعلمون بعد التدريب هو تطوير أدوات التقويم وأساليبه بما يعزز دقة التقييم ويخدم الأهداف التعليمية</w:t>
      </w:r>
      <w:r w:rsidRPr="0049674D">
        <w:rPr>
          <w:rFonts w:ascii="Traditional Arabic" w:eastAsia="Aptos" w:hAnsi="Traditional Arabic" w:cs="Traditional Arabic" w:hint="cs"/>
          <w:kern w:val="2"/>
          <w:sz w:val="32"/>
          <w:szCs w:val="32"/>
          <w:rtl/>
          <w14:ligatures w14:val="standardContextual"/>
        </w:rPr>
        <w:t xml:space="preserve">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ثالثة كالتالي:</w:t>
      </w:r>
    </w:p>
    <w:p w14:paraId="0D7C9B57" w14:textId="6D6E89C5" w:rsidR="00A73BD3" w:rsidRPr="0049674D" w:rsidRDefault="00A73BD3"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lang w:bidi="ar-AE"/>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H1.3</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التقويم التعليمي</w:t>
      </w:r>
      <w:r w:rsidRPr="0049674D">
        <w:rPr>
          <w:rFonts w:ascii="Traditional Arabic" w:eastAsia="Aptos" w:hAnsi="Traditional Arabic" w:cs="Traditional Arabic"/>
          <w:kern w:val="2"/>
          <w:sz w:val="32"/>
          <w:szCs w:val="32"/>
          <w:lang w:bidi="ar-JO"/>
          <w14:ligatures w14:val="standardContextual"/>
        </w:rPr>
        <w:t>.</w:t>
      </w:r>
    </w:p>
    <w:p w14:paraId="031E2F24"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22976D3C" w14:textId="30513702"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roofErr w:type="gramStart"/>
      <w:r w:rsidRPr="0049674D">
        <w:rPr>
          <w:rFonts w:ascii="Traditional Arabic" w:eastAsia="Aptos" w:hAnsi="Traditional Arabic" w:cs="Traditional Arabic"/>
          <w:kern w:val="2"/>
          <w:sz w:val="32"/>
          <w:szCs w:val="32"/>
          <w:rtl/>
          <w14:ligatures w14:val="standardContextual"/>
        </w:rPr>
        <w:t>أكدت</w:t>
      </w:r>
      <w:proofErr w:type="gramEnd"/>
      <w:r w:rsidRPr="0049674D">
        <w:rPr>
          <w:rFonts w:ascii="Traditional Arabic" w:eastAsia="Aptos" w:hAnsi="Traditional Arabic" w:cs="Traditional Arabic"/>
          <w:kern w:val="2"/>
          <w:sz w:val="32"/>
          <w:szCs w:val="32"/>
          <w:rtl/>
          <w14:ligatures w14:val="standardContextual"/>
        </w:rPr>
        <w:t xml:space="preserve">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أن برامج التنمية المهنية القائمة على تبادل الخبرات والمجتمعات التعليمية المهنية كان لها أثر مباشر في رفع مستوى تواصل المعلمين مع الطلاب وتفاعلهم داخل الصف.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Alghayth</w:t>
      </w:r>
      <w:proofErr w:type="spellEnd"/>
      <w:r w:rsidRPr="0049674D">
        <w:rPr>
          <w:rFonts w:ascii="Traditional Arabic" w:eastAsia="Aptos" w:hAnsi="Traditional Arabic" w:cs="Traditional Arabic"/>
          <w:kern w:val="2"/>
          <w:sz w:val="32"/>
          <w:szCs w:val="32"/>
          <w14:ligatures w14:val="standardContextual"/>
        </w:rPr>
        <w:t>, 2023</w:t>
      </w:r>
      <w:r w:rsidRPr="0049674D">
        <w:rPr>
          <w:rFonts w:ascii="Traditional Arabic" w:eastAsia="Aptos" w:hAnsi="Traditional Arabic" w:cs="Traditional Arabic"/>
          <w:kern w:val="2"/>
          <w:sz w:val="32"/>
          <w:szCs w:val="32"/>
          <w:rtl/>
          <w14:ligatures w14:val="standardContextual"/>
        </w:rPr>
        <w:t xml:space="preserve">) أن التنمية المهنية تسهم في تعزيز مهارات التواصل الفعّال لدى المعلمين، مما يجعلهم أكثر قدرة على تهيئة بيئة تعليمية تفاعلية. </w:t>
      </w:r>
      <w:proofErr w:type="gramStart"/>
      <w:r w:rsidRPr="0049674D">
        <w:rPr>
          <w:rFonts w:ascii="Traditional Arabic" w:eastAsia="Aptos" w:hAnsi="Traditional Arabic" w:cs="Traditional Arabic"/>
          <w:kern w:val="2"/>
          <w:sz w:val="32"/>
          <w:szCs w:val="32"/>
          <w:rtl/>
          <w14:ligatures w14:val="standardContextual"/>
        </w:rPr>
        <w:t>تدعم</w:t>
      </w:r>
      <w:proofErr w:type="gramEnd"/>
      <w:r w:rsidRPr="0049674D">
        <w:rPr>
          <w:rFonts w:ascii="Traditional Arabic" w:eastAsia="Aptos" w:hAnsi="Traditional Arabic" w:cs="Traditional Arabic"/>
          <w:kern w:val="2"/>
          <w:sz w:val="32"/>
          <w:szCs w:val="32"/>
          <w:rtl/>
          <w14:ligatures w14:val="standardContextual"/>
        </w:rPr>
        <w:t xml:space="preserve"> هذه النتائج الفرضية الفرعية التي تفترض وجود علاقة إيجابية بين التنمية المهنية وكفاءة المعلمين في التواص</w:t>
      </w:r>
      <w:r w:rsidRPr="0049674D">
        <w:rPr>
          <w:rFonts w:ascii="Traditional Arabic" w:eastAsia="Aptos" w:hAnsi="Traditional Arabic" w:cs="Traditional Arabic" w:hint="cs"/>
          <w:kern w:val="2"/>
          <w:sz w:val="32"/>
          <w:szCs w:val="32"/>
          <w:rtl/>
          <w14:ligatures w14:val="standardContextual"/>
        </w:rPr>
        <w:t>ل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رابعة كالتالي:</w:t>
      </w:r>
    </w:p>
    <w:p w14:paraId="00601B4C" w14:textId="07EFF1D1" w:rsidR="00A73BD3" w:rsidRPr="0049674D" w:rsidRDefault="00A73BD3" w:rsidP="002610EF">
      <w:pPr>
        <w:bidi/>
        <w:spacing w:line="360" w:lineRule="auto"/>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H1.4</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التواصل والتفاعل مع الطلاب.</w:t>
      </w:r>
    </w:p>
    <w:p w14:paraId="6CC5F092"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14:ligatures w14:val="standardContextual"/>
        </w:rPr>
      </w:pPr>
    </w:p>
    <w:p w14:paraId="36F0483B" w14:textId="303BED85" w:rsidR="00104BA5"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AE"/>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أظهرت </w:t>
      </w:r>
      <w:r w:rsidR="00104BA5" w:rsidRPr="0049674D">
        <w:rPr>
          <w:rFonts w:ascii="Traditional Arabic" w:eastAsia="Aptos" w:hAnsi="Traditional Arabic" w:cs="Traditional Arabic"/>
          <w:kern w:val="2"/>
          <w:sz w:val="32"/>
          <w:szCs w:val="32"/>
          <w:rtl/>
          <w14:ligatures w14:val="standardContextual"/>
        </w:rPr>
        <w:t xml:space="preserve">نتائج </w:t>
      </w:r>
      <w:r w:rsidR="00104BA5" w:rsidRPr="0049674D">
        <w:rPr>
          <w:rFonts w:ascii="Traditional Arabic" w:eastAsia="Aptos" w:hAnsi="Traditional Arabic" w:cs="Traditional Arabic"/>
          <w:kern w:val="2"/>
          <w:sz w:val="32"/>
          <w:szCs w:val="32"/>
          <w14:ligatures w14:val="standardContextual"/>
        </w:rPr>
        <w:t xml:space="preserve">Jamal et al. </w:t>
      </w:r>
      <w:proofErr w:type="gramStart"/>
      <w:r w:rsidR="00104BA5" w:rsidRPr="0049674D">
        <w:rPr>
          <w:rFonts w:ascii="Traditional Arabic" w:eastAsia="Aptos" w:hAnsi="Traditional Arabic" w:cs="Traditional Arabic"/>
          <w:kern w:val="2"/>
          <w:sz w:val="32"/>
          <w:szCs w:val="32"/>
          <w14:ligatures w14:val="standardContextual"/>
        </w:rPr>
        <w:t>2023)</w:t>
      </w:r>
      <w:r w:rsidR="00104BA5" w:rsidRPr="0049674D">
        <w:rPr>
          <w:rFonts w:ascii="Traditional Arabic" w:eastAsia="Aptos" w:hAnsi="Traditional Arabic" w:cs="Traditional Arabic"/>
          <w:kern w:val="2"/>
          <w:sz w:val="32"/>
          <w:szCs w:val="32"/>
          <w:rtl/>
          <w14:ligatures w14:val="standardContextual"/>
        </w:rPr>
        <w:t xml:space="preserve">) أن المعلمين الذين شاركوا أكثر من مرة في برامج التنمية المهنية سجلوا مستويات أعلى من الكفاءة </w:t>
      </w:r>
      <w:r w:rsidRPr="0049674D">
        <w:rPr>
          <w:rFonts w:ascii="Traditional Arabic" w:eastAsia="Aptos" w:hAnsi="Traditional Arabic" w:cs="Traditional Arabic"/>
          <w:kern w:val="2"/>
          <w:sz w:val="32"/>
          <w:szCs w:val="32"/>
          <w:rtl/>
          <w14:ligatures w14:val="standardContextual"/>
        </w:rPr>
        <w:t>في الأداء مقارنة بغيرهم، مع فروق ذات دلالة إحصائية بين المجموعات بحسب عدد المشاركات.</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ويشير</w:t>
      </w:r>
      <w:proofErr w:type="gramEnd"/>
      <w:r w:rsidRPr="0049674D">
        <w:rPr>
          <w:rFonts w:ascii="Traditional Arabic" w:eastAsia="Aptos" w:hAnsi="Traditional Arabic" w:cs="Traditional Arabic"/>
          <w:kern w:val="2"/>
          <w:sz w:val="32"/>
          <w:szCs w:val="32"/>
          <w:rtl/>
          <w14:ligatures w14:val="standardContextual"/>
        </w:rPr>
        <w:t xml:space="preserve"> ذلك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أن تكرار الانخراط في التدريب يسهم في تراكم الخبرات وتحسين الأداء الوظيفي، 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الخامسة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3B0FDF31" w14:textId="4366D091" w:rsidR="00104BA5" w:rsidRPr="0049674D" w:rsidRDefault="00104BA5" w:rsidP="00104BA5">
      <w:pPr>
        <w:bidi/>
        <w:spacing w:line="360" w:lineRule="auto"/>
        <w:jc w:val="both"/>
        <w:rPr>
          <w:rFonts w:ascii="Traditional Arabic" w:eastAsia="Aptos" w:hAnsi="Traditional Arabic" w:cs="Traditional Arabic"/>
          <w:kern w:val="2"/>
          <w:sz w:val="32"/>
          <w:szCs w:val="32"/>
          <w:lang w:bidi="ar-AE"/>
          <w14:ligatures w14:val="standardContextual"/>
        </w:rPr>
      </w:pPr>
      <w:proofErr w:type="spellStart"/>
      <w:r w:rsidRPr="0049674D">
        <w:rPr>
          <w:rFonts w:ascii="Traditional Arabic" w:eastAsia="Aptos" w:hAnsi="Traditional Arabic" w:cs="Traditional Arabic"/>
          <w:b/>
          <w:bCs/>
          <w:kern w:val="2"/>
          <w:sz w:val="32"/>
          <w:szCs w:val="32"/>
          <w:lang w:bidi="ar-AE"/>
          <w14:ligatures w14:val="standardContextual"/>
        </w:rPr>
        <w:t>H1.5</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AE"/>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 xml:space="preserve">توجد فروق ذات دلالة إحصائية في كفاءة معلمي المرحلة الابتدائية تُعزى </w:t>
      </w:r>
      <w:r w:rsidR="00976DAD">
        <w:rPr>
          <w:rFonts w:ascii="Traditional Arabic" w:eastAsia="Aptos" w:hAnsi="Traditional Arabic" w:cs="Traditional Arabic"/>
          <w:kern w:val="2"/>
          <w:sz w:val="32"/>
          <w:szCs w:val="32"/>
          <w:rtl/>
          <w:lang w:bidi="ar-AE"/>
          <w14:ligatures w14:val="standardContextual"/>
        </w:rPr>
        <w:t>إلى</w:t>
      </w:r>
      <w:r w:rsidRPr="0049674D">
        <w:rPr>
          <w:rFonts w:ascii="Traditional Arabic" w:eastAsia="Aptos" w:hAnsi="Traditional Arabic" w:cs="Traditional Arabic"/>
          <w:kern w:val="2"/>
          <w:sz w:val="32"/>
          <w:szCs w:val="32"/>
          <w:rtl/>
          <w:lang w:bidi="ar-AE"/>
          <w14:ligatures w14:val="standardContextual"/>
        </w:rPr>
        <w:t xml:space="preserve"> عدد مشاركاتهم في برامج التنمية المهنية.</w:t>
      </w:r>
    </w:p>
    <w:p w14:paraId="341B700F"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AE"/>
          <w14:ligatures w14:val="standardContextual"/>
        </w:rPr>
      </w:pPr>
    </w:p>
    <w:p w14:paraId="52CA0383" w14:textId="6D10EE43"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استكشفت </w:t>
      </w:r>
      <w:r w:rsidR="00104BA5" w:rsidRPr="0049674D">
        <w:rPr>
          <w:rFonts w:ascii="Traditional Arabic" w:eastAsia="Aptos" w:hAnsi="Traditional Arabic" w:cs="Traditional Arabic"/>
          <w:kern w:val="2"/>
          <w:sz w:val="32"/>
          <w:szCs w:val="32"/>
          <w:rtl/>
          <w14:ligatures w14:val="standardContextual"/>
        </w:rPr>
        <w:t xml:space="preserve">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Alshahrani</w:t>
      </w:r>
      <w:proofErr w:type="spellEnd"/>
      <w:r w:rsidR="00104BA5" w:rsidRPr="0049674D">
        <w:rPr>
          <w:rFonts w:ascii="Traditional Arabic" w:eastAsia="Aptos" w:hAnsi="Traditional Arabic" w:cs="Traditional Arabic"/>
          <w:kern w:val="2"/>
          <w:sz w:val="32"/>
          <w:szCs w:val="32"/>
          <w14:ligatures w14:val="standardContextual"/>
        </w:rPr>
        <w:t xml:space="preserve"> &amp; Abu-</w:t>
      </w:r>
      <w:proofErr w:type="spellStart"/>
      <w:r w:rsidR="00104BA5" w:rsidRPr="0049674D">
        <w:rPr>
          <w:rFonts w:ascii="Traditional Arabic" w:eastAsia="Aptos" w:hAnsi="Traditional Arabic" w:cs="Traditional Arabic"/>
          <w:kern w:val="2"/>
          <w:sz w:val="32"/>
          <w:szCs w:val="32"/>
          <w14:ligatures w14:val="standardContextual"/>
        </w:rPr>
        <w:t>Alghayth</w:t>
      </w:r>
      <w:proofErr w:type="spellEnd"/>
      <w:r w:rsidR="00104BA5" w:rsidRPr="0049674D">
        <w:rPr>
          <w:rFonts w:ascii="Traditional Arabic" w:eastAsia="Aptos" w:hAnsi="Traditional Arabic" w:cs="Traditional Arabic"/>
          <w:kern w:val="2"/>
          <w:sz w:val="32"/>
          <w:szCs w:val="32"/>
          <w14:ligatures w14:val="standardContextual"/>
        </w:rPr>
        <w:t>, 2023</w:t>
      </w:r>
      <w:r w:rsidR="00104BA5" w:rsidRPr="0049674D">
        <w:rPr>
          <w:rFonts w:ascii="Traditional Arabic" w:eastAsia="Aptos" w:hAnsi="Traditional Arabic" w:cs="Traditional Arabic"/>
          <w:kern w:val="2"/>
          <w:sz w:val="32"/>
          <w:szCs w:val="32"/>
          <w:rtl/>
          <w14:ligatures w14:val="standardContextual"/>
        </w:rPr>
        <w:t xml:space="preserve">) أثر المتغيرات الشخصية على فاعلية التنمية المهنية، وأظهرت أن الاختلافات في الخبرة والمؤهل العلمي قد تؤثر في مدى استفادة المعلمين من البرامج التدريبية، بينما لم تكن الفروق المرتبطة بالجنس ذات دلالة إحصائية كبيرة. هذه النتائج تتفق مع ما توصلت إليه 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Alamri</w:t>
      </w:r>
      <w:proofErr w:type="spellEnd"/>
      <w:r w:rsidR="00104BA5" w:rsidRPr="0049674D">
        <w:rPr>
          <w:rFonts w:ascii="Traditional Arabic" w:eastAsia="Aptos" w:hAnsi="Traditional Arabic" w:cs="Traditional Arabic"/>
          <w:kern w:val="2"/>
          <w:sz w:val="32"/>
          <w:szCs w:val="32"/>
          <w:lang w:bidi="ar-AE"/>
          <w14:ligatures w14:val="standardContextual"/>
        </w:rPr>
        <w:t xml:space="preserve">, </w:t>
      </w:r>
      <w:r w:rsidR="00104BA5" w:rsidRPr="0049674D">
        <w:rPr>
          <w:rFonts w:ascii="Traditional Arabic" w:eastAsia="Aptos" w:hAnsi="Traditional Arabic" w:cs="Traditional Arabic"/>
          <w:kern w:val="2"/>
          <w:sz w:val="32"/>
          <w:szCs w:val="32"/>
          <w14:ligatures w14:val="standardContextual"/>
        </w:rPr>
        <w:t>2022</w:t>
      </w:r>
      <w:r w:rsidR="00104BA5" w:rsidRPr="0049674D">
        <w:rPr>
          <w:rFonts w:ascii="Traditional Arabic" w:eastAsia="Aptos" w:hAnsi="Traditional Arabic" w:cs="Traditional Arabic"/>
          <w:kern w:val="2"/>
          <w:sz w:val="32"/>
          <w:szCs w:val="32"/>
          <w:rtl/>
          <w14:ligatures w14:val="standardContextual"/>
        </w:rPr>
        <w:t xml:space="preserve">) التي لاحظت تباينًا في مستويات </w:t>
      </w:r>
      <w:r w:rsidRPr="0049674D">
        <w:rPr>
          <w:rFonts w:ascii="Traditional Arabic" w:eastAsia="Aptos" w:hAnsi="Traditional Arabic" w:cs="Traditional Arabic"/>
          <w:kern w:val="2"/>
          <w:sz w:val="32"/>
          <w:szCs w:val="32"/>
          <w:rtl/>
          <w14:ligatures w14:val="standardContextual"/>
        </w:rPr>
        <w:t>الكفاءة التدريسية تبعًا للمسمى الوظيفي والخبرة، مما يبرر أهمية در</w:t>
      </w:r>
      <w:r w:rsidR="00104BA5" w:rsidRPr="0049674D">
        <w:rPr>
          <w:rFonts w:ascii="Traditional Arabic" w:eastAsia="Aptos" w:hAnsi="Traditional Arabic" w:cs="Traditional Arabic"/>
          <w:kern w:val="2"/>
          <w:sz w:val="32"/>
          <w:szCs w:val="32"/>
          <w:rtl/>
          <w14:ligatures w14:val="standardContextual"/>
        </w:rPr>
        <w:t>اسة تأثير المتغيرات الديموغرافي</w:t>
      </w:r>
      <w:r w:rsidR="00104BA5" w:rsidRPr="0049674D">
        <w:rPr>
          <w:rFonts w:ascii="Traditional Arabic" w:eastAsia="Aptos" w:hAnsi="Traditional Arabic" w:cs="Traditional Arabic" w:hint="cs"/>
          <w:kern w:val="2"/>
          <w:sz w:val="32"/>
          <w:szCs w:val="32"/>
          <w:rtl/>
          <w14:ligatures w14:val="standardContextual"/>
        </w:rPr>
        <w:t>ة،</w:t>
      </w:r>
      <w:r w:rsidR="00104BA5" w:rsidRPr="0049674D">
        <w:rPr>
          <w:rFonts w:ascii="Traditional Arabic" w:eastAsia="Aptos" w:hAnsi="Traditional Arabic" w:cs="Traditional Arabic"/>
          <w:kern w:val="2"/>
          <w:sz w:val="32"/>
          <w:szCs w:val="32"/>
          <w:lang w:bidi="ar-JO"/>
          <w14:ligatures w14:val="standardContextual"/>
        </w:rPr>
        <w:t xml:space="preserve"> </w:t>
      </w:r>
      <w:r w:rsidR="00104BA5" w:rsidRPr="0049674D">
        <w:rPr>
          <w:rFonts w:ascii="Traditional Arabic" w:eastAsia="Aptos" w:hAnsi="Traditional Arabic" w:cs="Traditional Arabic"/>
          <w:kern w:val="2"/>
          <w:sz w:val="32"/>
          <w:szCs w:val="32"/>
          <w:rtl/>
          <w14:ligatures w14:val="standardContextual"/>
        </w:rPr>
        <w:t xml:space="preserve">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00104BA5" w:rsidRPr="0049674D">
        <w:rPr>
          <w:rFonts w:ascii="Traditional Arabic" w:eastAsia="Aptos" w:hAnsi="Traditional Arabic" w:cs="Traditional Arabic"/>
          <w:kern w:val="2"/>
          <w:sz w:val="32"/>
          <w:szCs w:val="32"/>
          <w:rtl/>
          <w14:ligatures w14:val="standardContextual"/>
        </w:rPr>
        <w:t>ال</w:t>
      </w:r>
      <w:r w:rsidR="00104BA5" w:rsidRPr="0049674D">
        <w:rPr>
          <w:rFonts w:ascii="Traditional Arabic" w:eastAsia="Aptos" w:hAnsi="Traditional Arabic" w:cs="Traditional Arabic" w:hint="cs"/>
          <w:kern w:val="2"/>
          <w:sz w:val="32"/>
          <w:szCs w:val="32"/>
          <w:rtl/>
          <w14:ligatures w14:val="standardContextual"/>
        </w:rPr>
        <w:t>سادسة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7A56638C"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H1.6</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تختلف كفاءة المعلمين في ضوء متغيرات (الجنس - سنوات الخبرة - المؤهل العلمي) عند مشاركتهم في برامج التنمية المهنية.</w:t>
      </w:r>
    </w:p>
    <w:p w14:paraId="4C4A45B4" w14:textId="20125100" w:rsidR="00D26EC1" w:rsidRDefault="00D26EC1"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2248AD77" w14:textId="77777777" w:rsidR="005D60BE"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593370B1" w14:textId="77777777" w:rsidR="005D60BE" w:rsidRPr="0049674D"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493277E7" w14:textId="2D112CA8" w:rsidR="005E1A75" w:rsidRPr="0049674D" w:rsidRDefault="008074A2" w:rsidP="00A73BD3">
      <w:pPr>
        <w:bidi/>
        <w:spacing w:after="200" w:line="360" w:lineRule="auto"/>
        <w:jc w:val="both"/>
        <w:rPr>
          <w:rFonts w:ascii="Traditional Arabic" w:eastAsia="Times New Roman" w:hAnsi="Traditional Arabic" w:cs="Traditional Arabic"/>
          <w:b/>
          <w:bCs/>
          <w:sz w:val="36"/>
          <w:szCs w:val="36"/>
          <w:rtl/>
        </w:rPr>
      </w:pPr>
      <w:r w:rsidRPr="0049674D">
        <w:rPr>
          <w:rFonts w:ascii="Traditional Arabic" w:eastAsia="Times New Roman" w:hAnsi="Traditional Arabic" w:cs="Traditional Arabic"/>
          <w:b/>
          <w:bCs/>
          <w:sz w:val="36"/>
          <w:szCs w:val="36"/>
          <w:rtl/>
        </w:rPr>
        <w:lastRenderedPageBreak/>
        <w:t>مفاهيم الدراسة والمصطلحات الاساسية</w:t>
      </w:r>
    </w:p>
    <w:p w14:paraId="54770A61" w14:textId="45E424E5" w:rsidR="0049674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أولًا: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ببرامج التنمية المهنية</w:t>
      </w:r>
    </w:p>
    <w:p w14:paraId="5D28D7B0" w14:textId="1AAFBC1D"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البرامج والدورات وورش العمل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ورفع كفاءاتهم المهنية من خلال تحديث معارفهم وتعزيز ممارساتهم التدريسية</w:t>
      </w:r>
      <w:r w:rsidRPr="005D4EED">
        <w:rPr>
          <w:rFonts w:ascii="Traditional Arabic" w:eastAsia="Times New Roman" w:hAnsi="Traditional Arabic" w:cs="Traditional Arabic"/>
          <w:sz w:val="32"/>
          <w:szCs w:val="32"/>
        </w:rPr>
        <w:t>.</w:t>
      </w:r>
    </w:p>
    <w:p w14:paraId="01A33156" w14:textId="4C597A49"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برنامج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برنامج تدريبي محدد يستهدف جانبًا معينًا من جوانب الأداء التدريسي، مثل التخطيط، التقويم، أو إدارة الصف</w:t>
      </w:r>
      <w:r w:rsidRPr="005D4EED">
        <w:rPr>
          <w:rFonts w:ascii="Traditional Arabic" w:eastAsia="Times New Roman" w:hAnsi="Traditional Arabic" w:cs="Traditional Arabic"/>
          <w:sz w:val="32"/>
          <w:szCs w:val="32"/>
        </w:rPr>
        <w:t>.</w:t>
      </w:r>
    </w:p>
    <w:p w14:paraId="141D45F9" w14:textId="053E225E"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فعالية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مدى قدرة البرنامج التدريبي على تحقيق أهدافه وانعكاسه الفعلي على تحسين أداء المعلمين في المجالات المستهدفة</w:t>
      </w:r>
      <w:r w:rsidRPr="005D4EED">
        <w:rPr>
          <w:rFonts w:ascii="Traditional Arabic" w:eastAsia="Times New Roman" w:hAnsi="Traditional Arabic" w:cs="Traditional Arabic"/>
          <w:sz w:val="32"/>
          <w:szCs w:val="32"/>
        </w:rPr>
        <w:t>.</w:t>
      </w:r>
    </w:p>
    <w:p w14:paraId="49C2B19E" w14:textId="4FDA14FA"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التعلم</w:t>
      </w:r>
      <w:proofErr w:type="gramEnd"/>
      <w:r w:rsidRPr="005D4EED">
        <w:rPr>
          <w:rFonts w:ascii="Traditional Arabic" w:eastAsia="Times New Roman" w:hAnsi="Traditional Arabic" w:cs="Traditional Arabic"/>
          <w:sz w:val="32"/>
          <w:szCs w:val="32"/>
          <w:rtl/>
        </w:rPr>
        <w:t xml:space="preserve"> المستمر</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مواصلة تطوير ذاته مهنيًا عبر التعلم الرسمي وغير الرسمي، وما يرافقه من اكتساب مهارات جديدة على نحو مستمر</w:t>
      </w:r>
      <w:r w:rsidRPr="005D4EED">
        <w:rPr>
          <w:rFonts w:ascii="Traditional Arabic" w:eastAsia="Times New Roman" w:hAnsi="Traditional Arabic" w:cs="Traditional Arabic"/>
          <w:sz w:val="32"/>
          <w:szCs w:val="32"/>
        </w:rPr>
        <w:t>.</w:t>
      </w:r>
    </w:p>
    <w:p w14:paraId="4D24DCEE" w14:textId="64C38C5B"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1A3C6AD5"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ثانيًا: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بالمعلمين</w:t>
      </w:r>
    </w:p>
    <w:p w14:paraId="6690604F" w14:textId="578A82A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الكفاءة المهنية للمعلم</w:t>
      </w:r>
      <w:r w:rsidRPr="005D4EED">
        <w:rPr>
          <w:rFonts w:ascii="Traditional Arabic" w:eastAsia="Times New Roman" w:hAnsi="Traditional Arabic" w:cs="Traditional Arabic" w:hint="cs"/>
          <w:sz w:val="32"/>
          <w:szCs w:val="32"/>
          <w:rtl/>
          <w:lang w:bidi="ar-JO"/>
        </w:rPr>
        <w:t>:</w:t>
      </w:r>
      <w:proofErr w:type="gramStart"/>
      <w:r w:rsidRPr="005D4EED">
        <w:rPr>
          <w:rFonts w:ascii="Traditional Arabic" w:eastAsia="Times New Roman" w:hAnsi="Traditional Arabic" w:cs="Traditional Arabic"/>
          <w:sz w:val="32"/>
          <w:szCs w:val="32"/>
          <w:rtl/>
        </w:rPr>
        <w:t>مجموعة</w:t>
      </w:r>
      <w:proofErr w:type="gramEnd"/>
      <w:r w:rsidRPr="005D4EED">
        <w:rPr>
          <w:rFonts w:ascii="Traditional Arabic" w:eastAsia="Times New Roman" w:hAnsi="Traditional Arabic" w:cs="Traditional Arabic"/>
          <w:sz w:val="32"/>
          <w:szCs w:val="32"/>
          <w:rtl/>
        </w:rPr>
        <w:t xml:space="preserve"> المهارات والمعارف والاتجاهات التي تمكن المعلم من تنفيذ عملية التدريس بفاعلية، وتشمل التخطيط، التدريس، التقويم، وإدارة الصف</w:t>
      </w:r>
      <w:r w:rsidRPr="005D4EED">
        <w:rPr>
          <w:rFonts w:ascii="Traditional Arabic" w:eastAsia="Times New Roman" w:hAnsi="Traditional Arabic" w:cs="Traditional Arabic"/>
          <w:sz w:val="32"/>
          <w:szCs w:val="32"/>
        </w:rPr>
        <w:t>.</w:t>
      </w:r>
    </w:p>
    <w:p w14:paraId="611D8E9F" w14:textId="1CE49B11"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المهارات التربوية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قدرة المعلم على استخدام الأساليب التعليمية المناسبة، وتوظيف الوسائل التربوية التي تدعم </w:t>
      </w:r>
      <w:proofErr w:type="gramStart"/>
      <w:r w:rsidRPr="005D4EED">
        <w:rPr>
          <w:rFonts w:ascii="Traditional Arabic" w:eastAsia="Times New Roman" w:hAnsi="Traditional Arabic" w:cs="Traditional Arabic"/>
          <w:sz w:val="32"/>
          <w:szCs w:val="32"/>
          <w:rtl/>
        </w:rPr>
        <w:t>تعلم</w:t>
      </w:r>
      <w:proofErr w:type="gramEnd"/>
      <w:r w:rsidRPr="005D4EED">
        <w:rPr>
          <w:rFonts w:ascii="Traditional Arabic" w:eastAsia="Times New Roman" w:hAnsi="Traditional Arabic" w:cs="Traditional Arabic"/>
          <w:sz w:val="32"/>
          <w:szCs w:val="32"/>
          <w:rtl/>
        </w:rPr>
        <w:t xml:space="preserve"> الطلاب وتراعي الفروق الفردية</w:t>
      </w:r>
      <w:r w:rsidRPr="005D4EED">
        <w:rPr>
          <w:rFonts w:ascii="Traditional Arabic" w:eastAsia="Times New Roman" w:hAnsi="Traditional Arabic" w:cs="Traditional Arabic"/>
          <w:sz w:val="32"/>
          <w:szCs w:val="32"/>
        </w:rPr>
        <w:t>.</w:t>
      </w:r>
    </w:p>
    <w:p w14:paraId="720EC47D" w14:textId="69ABCAF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المعرفة</w:t>
      </w:r>
      <w:proofErr w:type="gramEnd"/>
      <w:r w:rsidRPr="005D4EED">
        <w:rPr>
          <w:rFonts w:ascii="Traditional Arabic" w:eastAsia="Times New Roman" w:hAnsi="Traditional Arabic" w:cs="Traditional Arabic"/>
          <w:sz w:val="32"/>
          <w:szCs w:val="32"/>
          <w:rtl/>
        </w:rPr>
        <w:t xml:space="preserve"> التخصصية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إلمام المعلم بالمحتوى العلمي الخاص بمادته، وقدرته على توظيف هذا المحتوى في تصميم أنشطة تعليمية مناسبة</w:t>
      </w:r>
      <w:r w:rsidRPr="005D4EED">
        <w:rPr>
          <w:rFonts w:ascii="Traditional Arabic" w:eastAsia="Times New Roman" w:hAnsi="Traditional Arabic" w:cs="Traditional Arabic"/>
          <w:sz w:val="32"/>
          <w:szCs w:val="32"/>
        </w:rPr>
        <w:t>.</w:t>
      </w:r>
    </w:p>
    <w:p w14:paraId="5815D5AF" w14:textId="4A009D20"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المواقف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اتجاهات المعلم نحو مهنة التعليم والتزامه بالقيم المهنية وتفاعله الإيجابي مع الطلاب </w:t>
      </w:r>
      <w:proofErr w:type="gramStart"/>
      <w:r w:rsidRPr="005D4EED">
        <w:rPr>
          <w:rFonts w:ascii="Traditional Arabic" w:eastAsia="Times New Roman" w:hAnsi="Traditional Arabic" w:cs="Traditional Arabic"/>
          <w:sz w:val="32"/>
          <w:szCs w:val="32"/>
          <w:rtl/>
        </w:rPr>
        <w:t>وزملائه</w:t>
      </w:r>
      <w:proofErr w:type="gramEnd"/>
      <w:r w:rsidRPr="005D4EED">
        <w:rPr>
          <w:rFonts w:ascii="Traditional Arabic" w:eastAsia="Times New Roman" w:hAnsi="Traditional Arabic" w:cs="Traditional Arabic"/>
          <w:sz w:val="32"/>
          <w:szCs w:val="32"/>
        </w:rPr>
        <w:t>.</w:t>
      </w:r>
    </w:p>
    <w:p w14:paraId="776079DC" w14:textId="0CA2154D"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التخطيط التدريسي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إعداد خطط تعليمية واضحة ومتكاملة، تشمل تحديد الأهداف، اختيار المحتوى، تصميم الأنشطة، وربط الدرس بواقع الطلاب</w:t>
      </w:r>
      <w:r w:rsidRPr="005D4EED">
        <w:rPr>
          <w:rFonts w:ascii="Traditional Arabic" w:eastAsia="Times New Roman" w:hAnsi="Traditional Arabic" w:cs="Traditional Arabic"/>
          <w:sz w:val="32"/>
          <w:szCs w:val="32"/>
        </w:rPr>
        <w:t>.</w:t>
      </w:r>
    </w:p>
    <w:p w14:paraId="051F3F0A" w14:textId="1BD0B10E"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إدارة الصف</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تنظيم البيئة الصفية وضبط السلوك الطلابي بطريقة تتيح بيئة تعليمية آمنة ومحفزة</w:t>
      </w:r>
      <w:r w:rsidRPr="005D4EED">
        <w:rPr>
          <w:rFonts w:ascii="Traditional Arabic" w:eastAsia="Times New Roman" w:hAnsi="Traditional Arabic" w:cs="Traditional Arabic"/>
          <w:sz w:val="32"/>
          <w:szCs w:val="32"/>
        </w:rPr>
        <w:t>.</w:t>
      </w:r>
    </w:p>
    <w:p w14:paraId="21D72D5B" w14:textId="300C2A45"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التقويم</w:t>
      </w:r>
      <w:proofErr w:type="gramEnd"/>
      <w:r w:rsidRPr="005D4EED">
        <w:rPr>
          <w:rFonts w:ascii="Traditional Arabic" w:eastAsia="Times New Roman" w:hAnsi="Traditional Arabic" w:cs="Traditional Arabic"/>
          <w:sz w:val="32"/>
          <w:szCs w:val="32"/>
          <w:rtl/>
        </w:rPr>
        <w:t xml:space="preserve"> التعليمي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قياس تعلم الطلاب باستخدام أدوات تقويم متنوعة، وتقديم تغذية راجعة تساعدهم على تحسين أدائهم</w:t>
      </w:r>
      <w:r w:rsidRPr="005D4EED">
        <w:rPr>
          <w:rFonts w:ascii="Traditional Arabic" w:eastAsia="Times New Roman" w:hAnsi="Traditional Arabic" w:cs="Traditional Arabic"/>
          <w:sz w:val="32"/>
          <w:szCs w:val="32"/>
        </w:rPr>
        <w:t>.</w:t>
      </w:r>
    </w:p>
    <w:p w14:paraId="3342BFB8" w14:textId="67134C21" w:rsid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التواصل والتفاعل مع الطلاب</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تمكن المعلم من بناء علاقات إيجابية مع الطلاب وتشجيع مشاركتهم، واستخدام استراتيجيات تواصل فعّالة داخل الصف</w:t>
      </w:r>
      <w:r w:rsidRPr="005D4EED">
        <w:rPr>
          <w:rFonts w:ascii="Traditional Arabic" w:eastAsia="Times New Roman" w:hAnsi="Traditional Arabic" w:cs="Traditional Arabic"/>
          <w:sz w:val="32"/>
          <w:szCs w:val="32"/>
        </w:rPr>
        <w:t>.</w:t>
      </w:r>
    </w:p>
    <w:p w14:paraId="6A5C70D1" w14:textId="77777777"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
    <w:p w14:paraId="22C1BA41"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ثالثًا: مصطلحات مرتبطة بالقياس </w:t>
      </w:r>
      <w:proofErr w:type="gramStart"/>
      <w:r w:rsidRPr="005D4EED">
        <w:rPr>
          <w:rFonts w:ascii="Traditional Arabic" w:eastAsia="Times New Roman" w:hAnsi="Traditional Arabic" w:cs="Traditional Arabic"/>
          <w:b/>
          <w:bCs/>
          <w:sz w:val="32"/>
          <w:szCs w:val="32"/>
          <w:rtl/>
        </w:rPr>
        <w:t>والتقييم</w:t>
      </w:r>
      <w:proofErr w:type="gramEnd"/>
    </w:p>
    <w:p w14:paraId="623B838B" w14:textId="5D373935"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أثر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 xml:space="preserve">التغير الذي </w:t>
      </w:r>
      <w:proofErr w:type="gramStart"/>
      <w:r w:rsidRPr="005D4EED">
        <w:rPr>
          <w:rFonts w:ascii="Traditional Arabic" w:eastAsia="Times New Roman" w:hAnsi="Traditional Arabic" w:cs="Traditional Arabic"/>
          <w:sz w:val="32"/>
          <w:szCs w:val="32"/>
          <w:rtl/>
        </w:rPr>
        <w:t>تحدثه</w:t>
      </w:r>
      <w:proofErr w:type="gramEnd"/>
      <w:r w:rsidRPr="005D4EED">
        <w:rPr>
          <w:rFonts w:ascii="Traditional Arabic" w:eastAsia="Times New Roman" w:hAnsi="Traditional Arabic" w:cs="Traditional Arabic"/>
          <w:sz w:val="32"/>
          <w:szCs w:val="32"/>
          <w:rtl/>
        </w:rPr>
        <w:t xml:space="preserve"> برامج التنمية المهنية في أداء المعلم وكفاءته المهنية</w:t>
      </w:r>
      <w:r w:rsidRPr="005D4EED">
        <w:rPr>
          <w:rFonts w:ascii="Traditional Arabic" w:eastAsia="Times New Roman" w:hAnsi="Traditional Arabic" w:cs="Traditional Arabic"/>
          <w:sz w:val="32"/>
          <w:szCs w:val="32"/>
        </w:rPr>
        <w:t>.</w:t>
      </w:r>
    </w:p>
    <w:p w14:paraId="48D089E8" w14:textId="75758AEE"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المؤشرات</w:t>
      </w:r>
      <w:proofErr w:type="gramEnd"/>
      <w:r w:rsidRPr="005D4EED">
        <w:rPr>
          <w:rFonts w:ascii="Traditional Arabic" w:eastAsia="Times New Roman" w:hAnsi="Traditional Arabic" w:cs="Traditional Arabic"/>
          <w:sz w:val="32"/>
          <w:szCs w:val="32"/>
          <w:rtl/>
        </w:rPr>
        <w:t xml:space="preserve"> الكمية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البيانات الرقمية الناتجة عن أدوات القياس، مثل المتوسطات والانحرافات، والتي تُستخدم لتقييم النتائج بصورة كمية</w:t>
      </w:r>
      <w:r w:rsidRPr="005D4EED">
        <w:rPr>
          <w:rFonts w:ascii="Traditional Arabic" w:eastAsia="Times New Roman" w:hAnsi="Traditional Arabic" w:cs="Traditional Arabic"/>
          <w:sz w:val="32"/>
          <w:szCs w:val="32"/>
        </w:rPr>
        <w:t>.</w:t>
      </w:r>
    </w:p>
    <w:p w14:paraId="6587245D" w14:textId="4268EB66"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المؤشرات النوعية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الملاحظات والتقييمات التي تعكس جودة الأداء التدريسي ومدى الاستفادة من البرامج التدريبية بصورة وصفية</w:t>
      </w:r>
      <w:r w:rsidRPr="005D4EED">
        <w:rPr>
          <w:rFonts w:ascii="Traditional Arabic" w:eastAsia="Times New Roman" w:hAnsi="Traditional Arabic" w:cs="Traditional Arabic"/>
          <w:sz w:val="32"/>
          <w:szCs w:val="32"/>
        </w:rPr>
        <w:t>.</w:t>
      </w:r>
    </w:p>
    <w:p w14:paraId="469EA937" w14:textId="3DAE54DD"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رضا</w:t>
      </w:r>
      <w:proofErr w:type="gramEnd"/>
      <w:r w:rsidRPr="005D4EED">
        <w:rPr>
          <w:rFonts w:ascii="Traditional Arabic" w:eastAsia="Times New Roman" w:hAnsi="Traditional Arabic" w:cs="Traditional Arabic"/>
          <w:sz w:val="32"/>
          <w:szCs w:val="32"/>
          <w:rtl/>
        </w:rPr>
        <w:t xml:space="preserve"> المعلمين</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مدى رضا المعلمين عن محتوى البرامج المهنية وأساليب تنفيذها ومدى توافقها مع احتياجاتهم الفعلية</w:t>
      </w:r>
      <w:r w:rsidRPr="005D4EED">
        <w:rPr>
          <w:rFonts w:ascii="Traditional Arabic" w:eastAsia="Times New Roman" w:hAnsi="Traditional Arabic" w:cs="Traditional Arabic"/>
          <w:sz w:val="32"/>
          <w:szCs w:val="32"/>
        </w:rPr>
        <w:t>.</w:t>
      </w:r>
    </w:p>
    <w:p w14:paraId="4FCE6D9C" w14:textId="518488B4"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3D4FD037"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رابعًا: مصطلحات مرتبطة بالدراسة الميدانية </w:t>
      </w:r>
      <w:proofErr w:type="gramStart"/>
      <w:r w:rsidRPr="005D4EED">
        <w:rPr>
          <w:rFonts w:ascii="Traditional Arabic" w:eastAsia="Times New Roman" w:hAnsi="Traditional Arabic" w:cs="Traditional Arabic"/>
          <w:b/>
          <w:bCs/>
          <w:sz w:val="32"/>
          <w:szCs w:val="32"/>
          <w:rtl/>
        </w:rPr>
        <w:t>والتحليل</w:t>
      </w:r>
      <w:proofErr w:type="gramEnd"/>
    </w:p>
    <w:p w14:paraId="524C228A" w14:textId="2036C265" w:rsidR="005D4EED" w:rsidRP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الدراسة الميدانية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جمع البيانات مباشرة من معلمي المرحلة الابتدائية في بيئة العمل بهدف فهم الواقع الفعلي للتنمية المهنية والكفاءة التدريسية</w:t>
      </w:r>
      <w:r w:rsidRPr="005D4EED">
        <w:rPr>
          <w:rFonts w:ascii="Traditional Arabic" w:eastAsia="Times New Roman" w:hAnsi="Traditional Arabic" w:cs="Traditional Arabic"/>
          <w:sz w:val="32"/>
          <w:szCs w:val="32"/>
        </w:rPr>
        <w:t>.</w:t>
      </w:r>
    </w:p>
    <w:p w14:paraId="49FCBEA6" w14:textId="77777777" w:rsid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التحليل</w:t>
      </w:r>
      <w:proofErr w:type="gramEnd"/>
      <w:r w:rsidRPr="005D4EED">
        <w:rPr>
          <w:rFonts w:ascii="Traditional Arabic" w:eastAsia="Times New Roman" w:hAnsi="Traditional Arabic" w:cs="Traditional Arabic"/>
          <w:sz w:val="32"/>
          <w:szCs w:val="32"/>
          <w:rtl/>
        </w:rPr>
        <w:t xml:space="preserve"> الإحصائي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استخدام الأساليب الإحصائية المناسبة لتحليل البيانات، مثل المتوسطات، الانحرافات المعيارية، والاختبارات الإحصائية، بهدف تفسير أثر التنمية المهنية على كفاءة المعلمين</w:t>
      </w:r>
      <w:r w:rsidRPr="005D4EED">
        <w:rPr>
          <w:rFonts w:ascii="Traditional Arabic" w:eastAsia="Times New Roman" w:hAnsi="Traditional Arabic" w:cs="Traditional Arabic"/>
          <w:sz w:val="32"/>
          <w:szCs w:val="32"/>
        </w:rPr>
        <w:t>.</w:t>
      </w:r>
    </w:p>
    <w:p w14:paraId="539E9E8D" w14:textId="77777777" w:rsidR="005D4EED" w:rsidRDefault="005D4EED" w:rsidP="005D4EED">
      <w:pPr>
        <w:pStyle w:val="a3"/>
        <w:bidi/>
        <w:spacing w:after="200" w:line="360" w:lineRule="auto"/>
        <w:jc w:val="both"/>
        <w:rPr>
          <w:rFonts w:ascii="Traditional Arabic" w:eastAsia="Times New Roman" w:hAnsi="Traditional Arabic" w:cs="Traditional Arabic"/>
          <w:sz w:val="32"/>
          <w:szCs w:val="32"/>
        </w:rPr>
      </w:pPr>
    </w:p>
    <w:p w14:paraId="2D491EA0" w14:textId="002AB702" w:rsidR="009043AB" w:rsidRDefault="008074A2" w:rsidP="005D4EED">
      <w:pPr>
        <w:bidi/>
        <w:spacing w:after="200" w:line="360" w:lineRule="auto"/>
        <w:jc w:val="both"/>
        <w:rPr>
          <w:rFonts w:ascii="Traditional Arabic" w:eastAsia="Times New Roman" w:hAnsi="Traditional Arabic" w:cs="Traditional Arabic"/>
          <w:b/>
          <w:bCs/>
          <w:sz w:val="36"/>
          <w:szCs w:val="36"/>
          <w:rtl/>
        </w:rPr>
      </w:pPr>
      <w:r w:rsidRPr="005D4EED">
        <w:rPr>
          <w:rFonts w:ascii="Traditional Arabic" w:eastAsia="Times New Roman" w:hAnsi="Traditional Arabic" w:cs="Traditional Arabic" w:hint="cs"/>
          <w:b/>
          <w:bCs/>
          <w:sz w:val="36"/>
          <w:szCs w:val="36"/>
          <w:rtl/>
        </w:rPr>
        <w:t>نموذج الدراسة</w:t>
      </w:r>
    </w:p>
    <w:p w14:paraId="19E1B2C7" w14:textId="6DE9FB77" w:rsidR="005D4EED" w:rsidRDefault="005D4EED" w:rsidP="005D4EED">
      <w:pPr>
        <w:bidi/>
        <w:spacing w:after="200" w:line="360" w:lineRule="auto"/>
        <w:ind w:firstLine="720"/>
        <w:jc w:val="both"/>
        <w:rPr>
          <w:rFonts w:ascii="Traditional Arabic" w:eastAsia="Times New Roman" w:hAnsi="Traditional Arabic" w:cs="Traditional Arabic"/>
          <w:sz w:val="32"/>
          <w:szCs w:val="32"/>
          <w:rtl/>
        </w:rPr>
      </w:pPr>
      <w:r w:rsidRPr="005D4EED">
        <w:rPr>
          <w:rFonts w:ascii="Traditional Arabic" w:eastAsia="Times New Roman" w:hAnsi="Traditional Arabic" w:cs="Traditional Arabic"/>
          <w:sz w:val="32"/>
          <w:szCs w:val="32"/>
          <w:rtl/>
        </w:rPr>
        <w:t xml:space="preserve">يبين الشكل رقم (١) النموذج المفاهيمي للدراسة، والذي يوضح العلاقة بين المتغيرات الرئيسة. </w:t>
      </w:r>
      <w:proofErr w:type="gramStart"/>
      <w:r w:rsidRPr="005D4EED">
        <w:rPr>
          <w:rFonts w:ascii="Traditional Arabic" w:eastAsia="Times New Roman" w:hAnsi="Traditional Arabic" w:cs="Traditional Arabic"/>
          <w:sz w:val="32"/>
          <w:szCs w:val="32"/>
          <w:rtl/>
        </w:rPr>
        <w:t>حيث</w:t>
      </w:r>
      <w:proofErr w:type="gramEnd"/>
      <w:r w:rsidRPr="005D4EED">
        <w:rPr>
          <w:rFonts w:ascii="Traditional Arabic" w:eastAsia="Times New Roman" w:hAnsi="Traditional Arabic" w:cs="Traditional Arabic"/>
          <w:sz w:val="32"/>
          <w:szCs w:val="32"/>
          <w:rtl/>
        </w:rPr>
        <w:t xml:space="preserve"> يمثل برامج التنمية المهنية المتغير المستقل في الدراسة، ويُقاس كمتغير كلي يشمل مختلف الأنشطة التدريبية الرسمية وغير الرسمية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أما الكفاءة التدريسية فتمثل المتغير التابع، وتتكون من أربعة أبعاد رئيسة هي: التخطيط التدريسي، وإدارة الصف، والتقويم التعليمي، والتواصل والتفاعل مع الطلاب. ويفترض النموذج وجود علاقة تأثير إيجابية ذات دلالة إحصائية بين برامج التنمية المهنية وهذه الأبعاد الأربعة للكفاءة التدريسية، كما يتضمن النموذج متغيرات ديموغرافية هي الجنس، وسنوات الخبرة، والمؤهل العلمي التي يُتوقع أن تُحدث فروقًا في مستوى الكفاءة التدريسية لدى المعلمين.</w:t>
      </w:r>
      <w:r w:rsidRPr="005D4EED">
        <w:rPr>
          <w:rFonts w:ascii="Traditional Arabic" w:eastAsia="Times New Roman" w:hAnsi="Traditional Arabic" w:cs="Traditional Arabic"/>
          <w:sz w:val="32"/>
          <w:szCs w:val="32"/>
        </w:rPr>
        <w:t xml:space="preserve"> </w:t>
      </w:r>
      <w:r w:rsidRPr="005D4EED">
        <w:rPr>
          <w:rFonts w:ascii="Traditional Arabic" w:eastAsia="Times New Roman" w:hAnsi="Traditional Arabic" w:cs="Traditional Arabic"/>
          <w:sz w:val="32"/>
          <w:szCs w:val="32"/>
          <w:rtl/>
        </w:rPr>
        <w:t xml:space="preserve">يعكس هذا النموذج الإطار النظري الذي استندت إليه الدراسة في صياغة فرضياتها </w:t>
      </w:r>
      <w:r w:rsidRPr="005D4EED">
        <w:rPr>
          <w:rFonts w:ascii="Traditional Arabic" w:eastAsia="Times New Roman" w:hAnsi="Traditional Arabic" w:cs="Traditional Arabic"/>
          <w:sz w:val="32"/>
          <w:szCs w:val="32"/>
          <w:rtl/>
        </w:rPr>
        <w:lastRenderedPageBreak/>
        <w:t>واختيار منهجها وأدواتها الميدانية، بهدف تفسير العلاقة بين التنمية المهنية ورفع جودة الأداء التدريسي لدى معلمي المرحلة الابتدائية بمدينة الرياض.</w:t>
      </w:r>
    </w:p>
    <w:p w14:paraId="289F748B" w14:textId="77777777" w:rsidR="005D4EED" w:rsidRPr="005D4EED" w:rsidRDefault="005D4EED" w:rsidP="005D4EED">
      <w:pPr>
        <w:bidi/>
        <w:spacing w:after="200" w:line="360" w:lineRule="auto"/>
        <w:ind w:firstLine="720"/>
        <w:jc w:val="both"/>
        <w:rPr>
          <w:rFonts w:ascii="Traditional Arabic" w:eastAsia="Times New Roman" w:hAnsi="Traditional Arabic" w:cs="Traditional Arabic"/>
          <w:sz w:val="32"/>
          <w:szCs w:val="32"/>
          <w:rtl/>
          <w:lang w:bidi="ar-JO"/>
        </w:rPr>
      </w:pPr>
    </w:p>
    <w:p w14:paraId="00FE581F" w14:textId="63BFEFDF" w:rsidR="00A73BD3" w:rsidRPr="0049674D" w:rsidRDefault="009043AB" w:rsidP="00B6305B">
      <w:pPr>
        <w:bidi/>
        <w:spacing w:after="0" w:line="360" w:lineRule="auto"/>
        <w:jc w:val="both"/>
        <w:rPr>
          <w:rFonts w:ascii="Traditional Arabic" w:eastAsia="Times New Roman" w:hAnsi="Traditional Arabic" w:cs="Traditional Arabic"/>
          <w:b/>
          <w:bCs/>
          <w:sz w:val="36"/>
          <w:szCs w:val="36"/>
        </w:rPr>
      </w:pPr>
      <w:r w:rsidRPr="0049674D">
        <w:rPr>
          <w:noProof/>
        </w:rPr>
        <mc:AlternateContent>
          <mc:Choice Requires="wpg">
            <w:drawing>
              <wp:anchor distT="0" distB="0" distL="114300" distR="114300" simplePos="0" relativeHeight="251659264" behindDoc="0" locked="0" layoutInCell="1" allowOverlap="1" wp14:anchorId="691DF3BB" wp14:editId="556221BE">
                <wp:simplePos x="0" y="0"/>
                <wp:positionH relativeFrom="column">
                  <wp:posOffset>180975</wp:posOffset>
                </wp:positionH>
                <wp:positionV relativeFrom="paragraph">
                  <wp:posOffset>71120</wp:posOffset>
                </wp:positionV>
                <wp:extent cx="5208270" cy="3752215"/>
                <wp:effectExtent l="57150" t="38100" r="68580" b="95885"/>
                <wp:wrapNone/>
                <wp:docPr id="27" name="مجموعة 27"/>
                <wp:cNvGraphicFramePr/>
                <a:graphic xmlns:a="http://schemas.openxmlformats.org/drawingml/2006/main">
                  <a:graphicData uri="http://schemas.microsoft.com/office/word/2010/wordprocessingGroup">
                    <wpg:wgp>
                      <wpg:cNvGrpSpPr/>
                      <wpg:grpSpPr>
                        <a:xfrm>
                          <a:off x="0" y="0"/>
                          <a:ext cx="5208270" cy="3752215"/>
                          <a:chOff x="0" y="0"/>
                          <a:chExt cx="5208270" cy="3752215"/>
                        </a:xfrm>
                      </wpg:grpSpPr>
                      <wpg:grpSp>
                        <wpg:cNvPr id="11" name="مجموعة 11"/>
                        <wpg:cNvGrpSpPr/>
                        <wpg:grpSpPr>
                          <a:xfrm>
                            <a:off x="0" y="0"/>
                            <a:ext cx="5208270" cy="3752215"/>
                            <a:chOff x="0" y="0"/>
                            <a:chExt cx="5208904" cy="3752850"/>
                          </a:xfrm>
                        </wpg:grpSpPr>
                        <wpg:grpSp>
                          <wpg:cNvPr id="9" name="مجموعة 9"/>
                          <wpg:cNvGrpSpPr/>
                          <wpg:grpSpPr>
                            <a:xfrm>
                              <a:off x="0" y="0"/>
                              <a:ext cx="5208904" cy="3752850"/>
                              <a:chOff x="0" y="0"/>
                              <a:chExt cx="5208904" cy="3752850"/>
                            </a:xfrm>
                          </wpg:grpSpPr>
                          <wpg:grpSp>
                            <wpg:cNvPr id="32" name="مجموعة 32"/>
                            <wpg:cNvGrpSpPr/>
                            <wpg:grpSpPr>
                              <a:xfrm>
                                <a:off x="0" y="0"/>
                                <a:ext cx="5208904" cy="3752850"/>
                                <a:chOff x="0" y="0"/>
                                <a:chExt cx="5208904" cy="3752850"/>
                              </a:xfrm>
                            </wpg:grpSpPr>
                            <wpg:grpSp>
                              <wpg:cNvPr id="35" name="مجموعة 35"/>
                              <wpg:cNvGrpSpPr/>
                              <wpg:grpSpPr>
                                <a:xfrm>
                                  <a:off x="0" y="0"/>
                                  <a:ext cx="5208904" cy="3752850"/>
                                  <a:chOff x="0" y="65314"/>
                                  <a:chExt cx="5208904" cy="3654477"/>
                                </a:xfrm>
                              </wpg:grpSpPr>
                              <wpg:grpSp>
                                <wpg:cNvPr id="30" name="مجموعة 30"/>
                                <wpg:cNvGrpSpPr/>
                                <wpg:grpSpPr>
                                  <a:xfrm>
                                    <a:off x="0" y="65314"/>
                                    <a:ext cx="5208904" cy="3654477"/>
                                    <a:chOff x="0" y="0"/>
                                    <a:chExt cx="5208904" cy="3654477"/>
                                  </a:xfrm>
                                </wpg:grpSpPr>
                                <wps:wsp>
                                  <wps:cNvPr id="2" name="مستطيل 2"/>
                                  <wps:cNvSpPr/>
                                  <wps:spPr>
                                    <a:xfrm>
                                      <a:off x="3657599" y="2"/>
                                      <a:ext cx="1551305" cy="36544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2332564" w14:textId="77777777" w:rsidR="00976DAD" w:rsidRPr="00A35C73" w:rsidRDefault="00976DAD"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976DAD" w:rsidRDefault="00976DAD" w:rsidP="009043AB">
                                        <w:pPr>
                                          <w:bidi/>
                                          <w:jc w:val="center"/>
                                          <w:rPr>
                                            <w:rFonts w:ascii="Traditional Arabic" w:hAnsi="Traditional Arabic" w:cs="Traditional Arabic"/>
                                            <w:b/>
                                            <w:bCs/>
                                            <w:sz w:val="36"/>
                                            <w:szCs w:val="36"/>
                                            <w:rtl/>
                                            <w:lang w:bidi="ar-JO"/>
                                          </w:rPr>
                                        </w:pPr>
                                      </w:p>
                                      <w:p w14:paraId="7DF42836" w14:textId="77777777" w:rsidR="00976DAD" w:rsidRPr="00A35C73" w:rsidRDefault="00976D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اسلوب التنفيذ)</w:t>
                                        </w:r>
                                      </w:p>
                                      <w:p w14:paraId="1AB79D80" w14:textId="77777777" w:rsidR="00976DAD" w:rsidRDefault="00976DAD" w:rsidP="009043AB">
                                        <w:pPr>
                                          <w:bidi/>
                                          <w:rPr>
                                            <w:b/>
                                            <w:bCs/>
                                            <w:sz w:val="28"/>
                                            <w:szCs w:val="28"/>
                                            <w:lang w:bidi="ar-JO"/>
                                          </w:rPr>
                                        </w:pPr>
                                      </w:p>
                                      <w:p w14:paraId="1121F0F9"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4"/>
                                  <wps:cNvSpPr/>
                                  <wps:spPr>
                                    <a:xfrm>
                                      <a:off x="0" y="0"/>
                                      <a:ext cx="1651000" cy="8972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C77B46A" w14:textId="77777777" w:rsidR="00976DAD" w:rsidRPr="00A35C73" w:rsidRDefault="00976DAD"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976DAD" w:rsidRPr="00A35C73" w:rsidRDefault="00976D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976DAD" w:rsidRDefault="00976DAD" w:rsidP="009043AB">
                                        <w:pPr>
                                          <w:jc w:val="center"/>
                                          <w:rPr>
                                            <w:rFonts w:cs="Arial"/>
                                            <w:b/>
                                            <w:bCs/>
                                            <w:sz w:val="28"/>
                                            <w:szCs w:val="28"/>
                                            <w:rtl/>
                                          </w:rPr>
                                        </w:pPr>
                                      </w:p>
                                      <w:p w14:paraId="7232FEF6" w14:textId="77777777" w:rsidR="00976DAD" w:rsidRDefault="00976DAD" w:rsidP="009043AB">
                                        <w:pPr>
                                          <w:jc w:val="center"/>
                                          <w:rPr>
                                            <w:rFonts w:cs="Arial"/>
                                            <w:b/>
                                            <w:bCs/>
                                            <w:sz w:val="28"/>
                                            <w:szCs w:val="28"/>
                                            <w:rtl/>
                                          </w:rPr>
                                        </w:pPr>
                                      </w:p>
                                      <w:p w14:paraId="296C2705" w14:textId="77777777" w:rsidR="00976DAD" w:rsidRDefault="00976DAD" w:rsidP="009043AB">
                                        <w:pPr>
                                          <w:jc w:val="center"/>
                                          <w:rPr>
                                            <w:rFonts w:cs="Arial"/>
                                            <w:b/>
                                            <w:bCs/>
                                            <w:sz w:val="28"/>
                                            <w:szCs w:val="28"/>
                                            <w:rtl/>
                                          </w:rPr>
                                        </w:pPr>
                                      </w:p>
                                      <w:p w14:paraId="3521A3D6" w14:textId="77777777" w:rsidR="00976DAD" w:rsidRDefault="00976DAD" w:rsidP="009043AB">
                                        <w:pPr>
                                          <w:jc w:val="center"/>
                                          <w:rPr>
                                            <w:rFonts w:cs="Arial"/>
                                            <w:b/>
                                            <w:bCs/>
                                            <w:sz w:val="28"/>
                                            <w:szCs w:val="28"/>
                                          </w:rPr>
                                        </w:pPr>
                                      </w:p>
                                      <w:p w14:paraId="66972B59"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1" y="2192043"/>
                                      <a:ext cx="1650998" cy="683308"/>
                                    </a:xfrm>
                                    <a:prstGeom prst="rect">
                                      <a:avLst/>
                                    </a:prstGeom>
                                    <a:solidFill>
                                      <a:sysClr val="window" lastClr="FFFFFF"/>
                                    </a:solidFill>
                                    <a:ln w="25400" cap="flat" cmpd="sng" algn="ctr">
                                      <a:solidFill>
                                        <a:srgbClr val="F79646"/>
                                      </a:solidFill>
                                      <a:prstDash val="solid"/>
                                    </a:ln>
                                    <a:effectLst/>
                                  </wps:spPr>
                                  <wps:txbx>
                                    <w:txbxContent>
                                      <w:p w14:paraId="13601A13" w14:textId="77777777" w:rsidR="00976DAD" w:rsidRPr="00A35C73" w:rsidRDefault="00976DAD"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0" y="1558254"/>
                                      <a:ext cx="1650999" cy="633787"/>
                                    </a:xfrm>
                                    <a:prstGeom prst="rect">
                                      <a:avLst/>
                                    </a:prstGeom>
                                    <a:solidFill>
                                      <a:sysClr val="window" lastClr="FFFFFF"/>
                                    </a:solidFill>
                                    <a:ln w="25400" cap="flat" cmpd="sng" algn="ctr">
                                      <a:solidFill>
                                        <a:srgbClr val="F79646"/>
                                      </a:solidFill>
                                      <a:prstDash val="solid"/>
                                    </a:ln>
                                    <a:effectLst/>
                                  </wps:spPr>
                                  <wps:txbx>
                                    <w:txbxContent>
                                      <w:p w14:paraId="41AEF900"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ادارة الصف</w:t>
                                        </w:r>
                                      </w:p>
                                      <w:p w14:paraId="70934ADD"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0" y="931284"/>
                                      <a:ext cx="1650999" cy="654796"/>
                                    </a:xfrm>
                                    <a:prstGeom prst="rect">
                                      <a:avLst/>
                                    </a:prstGeom>
                                    <a:solidFill>
                                      <a:sysClr val="window" lastClr="FFFFFF"/>
                                    </a:solidFill>
                                    <a:ln w="25400" cap="flat" cmpd="sng" algn="ctr">
                                      <a:solidFill>
                                        <a:srgbClr val="F79646"/>
                                      </a:solidFill>
                                      <a:prstDash val="solid"/>
                                    </a:ln>
                                    <a:effectLst/>
                                  </wps:spPr>
                                  <wps:txbx>
                                    <w:txbxContent>
                                      <w:p w14:paraId="2B87428E"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الخطيط التدريسي</w:t>
                                        </w:r>
                                      </w:p>
                                      <w:p w14:paraId="7F1102EB"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رابط كسهم مستقيم 12"/>
                                <wps:cNvCnPr>
                                  <a:stCxn id="2" idx="1"/>
                                  <a:endCxn id="8" idx="3"/>
                                </wps:cNvCnPr>
                                <wps:spPr>
                                  <a:xfrm flipH="1" flipV="1">
                                    <a:off x="1650999" y="1323996"/>
                                    <a:ext cx="2006600" cy="5685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3" name="Oval 2024668143"/>
                                <wps:cNvSpPr/>
                                <wps:spPr>
                                  <a:xfrm>
                                    <a:off x="1963158" y="1360150"/>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76E44C48"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رابط كسهم مستقيم 14"/>
                                <wps:cNvCnPr>
                                  <a:stCxn id="2" idx="1"/>
                                  <a:endCxn id="7" idx="3"/>
                                </wps:cNvCnPr>
                                <wps:spPr>
                                  <a:xfrm flipH="1">
                                    <a:off x="1650999" y="1892553"/>
                                    <a:ext cx="2006600" cy="4790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5" name="Oval 2024668143"/>
                                <wps:cNvSpPr/>
                                <wps:spPr>
                                  <a:xfrm>
                                    <a:off x="1969087" y="1796019"/>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1247DDEB"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a:stCxn id="2" idx="1"/>
                                  <a:endCxn id="6" idx="3"/>
                                </wps:cNvCnPr>
                                <wps:spPr>
                                  <a:xfrm flipH="1">
                                    <a:off x="1650999" y="1892553"/>
                                    <a:ext cx="2006600" cy="7064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949910" y="2218073"/>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6587AAC0"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مستطيل 16"/>
                              <wps:cNvSpPr/>
                              <wps:spPr>
                                <a:xfrm>
                                  <a:off x="1" y="2952748"/>
                                  <a:ext cx="1650997" cy="8001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F41343D" w14:textId="77777777" w:rsidR="00976DAD" w:rsidRPr="00A35C73" w:rsidRDefault="00976D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 name="رابط كسهم مستقيم 33"/>
                            <wps:cNvCnPr>
                              <a:stCxn id="2" idx="1"/>
                              <a:endCxn id="16" idx="3"/>
                            </wps:cNvCnPr>
                            <wps:spPr>
                              <a:xfrm flipH="1">
                                <a:off x="1650998" y="1876426"/>
                                <a:ext cx="2006601" cy="147637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34" name="Oval 2024668143"/>
                          <wps:cNvSpPr/>
                          <wps:spPr>
                            <a:xfrm>
                              <a:off x="1930854" y="2760889"/>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712E3655" w14:textId="77777777" w:rsidR="00976DAD" w:rsidRPr="00A35C73" w:rsidRDefault="00976D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سهم إلى اليسار 21"/>
                        <wps:cNvSpPr/>
                        <wps:spPr>
                          <a:xfrm>
                            <a:off x="1647825" y="219075"/>
                            <a:ext cx="2000250" cy="484505"/>
                          </a:xfrm>
                          <a:prstGeom prst="leftArrow">
                            <a:avLst/>
                          </a:prstGeom>
                        </wps:spPr>
                        <wps:style>
                          <a:lnRef idx="1">
                            <a:schemeClr val="accent3"/>
                          </a:lnRef>
                          <a:fillRef idx="2">
                            <a:schemeClr val="accent3"/>
                          </a:fillRef>
                          <a:effectRef idx="1">
                            <a:schemeClr val="accent3"/>
                          </a:effectRef>
                          <a:fontRef idx="minor">
                            <a:schemeClr val="dk1"/>
                          </a:fontRef>
                        </wps:style>
                        <wps:txbx>
                          <w:txbxContent>
                            <w:p w14:paraId="0662570F" w14:textId="77777777" w:rsidR="00976DAD" w:rsidRPr="00943DE4" w:rsidRDefault="00976D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مجموعة 27" o:spid="_x0000_s1026" style="position:absolute;left:0;text-align:left;margin-left:14.25pt;margin-top:5.6pt;width:410.1pt;height:295.45pt;z-index:251659264" coordsize="52082,37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">
                <v:group id="مجموعة 11" o:spid="_x0000_s1027" style="position:absolute;width:52082;height:37522"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مجموعة 9" o:spid="_x0000_s1028"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مجموعة 32" o:spid="_x0000_s1029"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group id="مجموعة 35" o:spid="_x0000_s1030" style="position:absolute;width:52089;height:37528" coordorigin=",653"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group id="مجموعة 30" o:spid="_x0000_s1031" style="position:absolute;top:653;width:52089;height:36544"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مستطيل 2" o:spid="_x0000_s1032" style="position:absolute;left:36575;width:15514;height:365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DSUMQA&#10;AADaAAAADwAAAGRycy9kb3ducmV2LnhtbESPS4vCQBCE74L/YegFbzrRg4/oKGtQyMEFH7voscn0&#10;JmEzPSEzavz3zoLgsaiqr6jFqjWVuFHjSssKhoMIBHFmdcm5gu/Ttj8F4TyyxsoyKXiQg9Wy21lg&#10;rO2dD3Q7+lwECLsYFRTe17GULivIoBvYmjh4v7Yx6INscqkbvAe4qeQoisbSYMlhocCakoKyv+PV&#10;KEjO6TDZf2335/Qy2ZkfWteb2UGp3kf7OQfhqfXv8KudagU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0lD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52332564" w14:textId="77777777" w:rsidR="00976DAD" w:rsidRPr="00A35C73" w:rsidRDefault="00976DAD"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976DAD" w:rsidRDefault="00976DAD" w:rsidP="009043AB">
                                  <w:pPr>
                                    <w:bidi/>
                                    <w:jc w:val="center"/>
                                    <w:rPr>
                                      <w:rFonts w:ascii="Traditional Arabic" w:hAnsi="Traditional Arabic" w:cs="Traditional Arabic"/>
                                      <w:b/>
                                      <w:bCs/>
                                      <w:sz w:val="36"/>
                                      <w:szCs w:val="36"/>
                                      <w:rtl/>
                                      <w:lang w:bidi="ar-JO"/>
                                    </w:rPr>
                                  </w:pPr>
                                </w:p>
                                <w:p w14:paraId="7DF42836" w14:textId="77777777" w:rsidR="00976DAD" w:rsidRPr="00A35C73" w:rsidRDefault="00976D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اسلوب التنفيذ)</w:t>
                                  </w:r>
                                </w:p>
                                <w:p w14:paraId="1AB79D80" w14:textId="77777777" w:rsidR="00976DAD" w:rsidRDefault="00976DAD" w:rsidP="009043AB">
                                  <w:pPr>
                                    <w:bidi/>
                                    <w:rPr>
                                      <w:b/>
                                      <w:bCs/>
                                      <w:sz w:val="28"/>
                                      <w:szCs w:val="28"/>
                                      <w:lang w:bidi="ar-JO"/>
                                    </w:rPr>
                                  </w:pPr>
                                </w:p>
                                <w:p w14:paraId="1121F0F9" w14:textId="77777777" w:rsidR="00976DAD" w:rsidRPr="00225281" w:rsidRDefault="00976DAD" w:rsidP="009043AB">
                                  <w:pPr>
                                    <w:rPr>
                                      <w:rtl/>
                                      <w:lang w:bidi="ar-AE"/>
                                    </w:rPr>
                                  </w:pPr>
                                </w:p>
                              </w:txbxContent>
                            </v:textbox>
                          </v:rect>
                          <v:rect id="مستطيل 4" o:spid="_x0000_s1033" style="position:absolute;width:16510;height:8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vv8QA&#10;AADaAAAADwAAAGRycy9kb3ducmV2LnhtbESPT2vCQBTE74LfYXkFb7qxSNXoKm2okIOCf9HjI/ua&#10;BLNvQ3ar8dt3C4LHYWZ+w8yXranEjRpXWlYwHEQgiDOrS84VHA+r/gSE88gaK8uk4EEOlotuZ46x&#10;tnfe0W3vcxEg7GJUUHhfx1K6rCCDbmBr4uD92MagD7LJpW7wHuCmku9R9CENlhwWCqwpKSi77n+N&#10;guScDpPtZrU9p5fx2pzoq/6e7pTqvbWfMxCeWv8KP9upVjCC/yvhBs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77/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7C77B46A" w14:textId="77777777" w:rsidR="00976DAD" w:rsidRPr="00A35C73" w:rsidRDefault="00976DAD"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976DAD" w:rsidRPr="00A35C73" w:rsidRDefault="00976D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976DAD" w:rsidRDefault="00976DAD" w:rsidP="009043AB">
                                  <w:pPr>
                                    <w:jc w:val="center"/>
                                    <w:rPr>
                                      <w:rFonts w:cs="Arial"/>
                                      <w:b/>
                                      <w:bCs/>
                                      <w:sz w:val="28"/>
                                      <w:szCs w:val="28"/>
                                      <w:rtl/>
                                    </w:rPr>
                                  </w:pPr>
                                </w:p>
                                <w:p w14:paraId="7232FEF6" w14:textId="77777777" w:rsidR="00976DAD" w:rsidRDefault="00976DAD" w:rsidP="009043AB">
                                  <w:pPr>
                                    <w:jc w:val="center"/>
                                    <w:rPr>
                                      <w:rFonts w:cs="Arial"/>
                                      <w:b/>
                                      <w:bCs/>
                                      <w:sz w:val="28"/>
                                      <w:szCs w:val="28"/>
                                      <w:rtl/>
                                    </w:rPr>
                                  </w:pPr>
                                </w:p>
                                <w:p w14:paraId="296C2705" w14:textId="77777777" w:rsidR="00976DAD" w:rsidRDefault="00976DAD" w:rsidP="009043AB">
                                  <w:pPr>
                                    <w:jc w:val="center"/>
                                    <w:rPr>
                                      <w:rFonts w:cs="Arial"/>
                                      <w:b/>
                                      <w:bCs/>
                                      <w:sz w:val="28"/>
                                      <w:szCs w:val="28"/>
                                      <w:rtl/>
                                    </w:rPr>
                                  </w:pPr>
                                </w:p>
                                <w:p w14:paraId="3521A3D6" w14:textId="77777777" w:rsidR="00976DAD" w:rsidRDefault="00976DAD" w:rsidP="009043AB">
                                  <w:pPr>
                                    <w:jc w:val="center"/>
                                    <w:rPr>
                                      <w:rFonts w:cs="Arial"/>
                                      <w:b/>
                                      <w:bCs/>
                                      <w:sz w:val="28"/>
                                      <w:szCs w:val="28"/>
                                    </w:rPr>
                                  </w:pPr>
                                </w:p>
                                <w:p w14:paraId="66972B59" w14:textId="77777777" w:rsidR="00976DAD" w:rsidRPr="00225281" w:rsidRDefault="00976DAD" w:rsidP="009043AB">
                                  <w:pPr>
                                    <w:rPr>
                                      <w:rtl/>
                                      <w:lang w:bidi="ar-AE"/>
                                    </w:rPr>
                                  </w:pPr>
                                </w:p>
                              </w:txbxContent>
                            </v:textbox>
                          </v:rect>
                          <v:rect id="مستطيل 6" o:spid="_x0000_s1034" style="position:absolute;top:21920;width:16509;height:68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e2Y8IA&#10;AADaAAAADwAAAGRycy9kb3ducmV2LnhtbESPQWvCQBSE74L/YXmCN93Yg9TUjZRKwYsFUw/t7ZF9&#10;2YTuvg3ZTYz/visUehxm5htmf5icFSP1ofWsYLPOQBBXXrdsFFw/31fPIEJE1mg9k4I7BTgU89ke&#10;c+1vfKGxjEYkCIccFTQxdrmUoWrIYVj7jjh5te8dxiR7I3WPtwR3Vj5l2VY6bDktNNjRW0PVTzk4&#10;Bcez2Y1f9hot19MgzfdQlrsPpZaL6fUFRKQp/of/2ietYAuPK+kG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17ZjwgAAANoAAAAPAAAAAAAAAAAAAAAAAJgCAABkcnMvZG93&#10;bnJldi54bWxQSwUGAAAAAAQABAD1AAAAhwMAAAAA&#10;" fillcolor="window" strokecolor="#f79646" strokeweight="2pt">
                            <v:textbox>
                              <w:txbxContent>
                                <w:p w14:paraId="13601A13" w14:textId="77777777" w:rsidR="00976DAD" w:rsidRPr="00A35C73" w:rsidRDefault="00976DAD"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976DAD" w:rsidRPr="00225281" w:rsidRDefault="00976DAD" w:rsidP="009043AB">
                                  <w:pPr>
                                    <w:rPr>
                                      <w:rtl/>
                                      <w:lang w:bidi="ar-AE"/>
                                    </w:rPr>
                                  </w:pPr>
                                </w:p>
                              </w:txbxContent>
                            </v:textbox>
                          </v:rect>
                          <v:rect id="مستطيل 7" o:spid="_x0000_s1035" style="position:absolute;top:15582;width:16509;height:63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sT+MIA&#10;AADaAAAADwAAAGRycy9kb3ducmV2LnhtbESPQWsCMRSE7wX/Q3iCt5rVg61boxRF8KLQ1YO9PTbP&#10;7NLkZdlk1/Xfm0Khx2FmvmFWm8FZ0VMbas8KZtMMBHHpdc1GweW8f30HESKyRuuZFDwowGY9ellh&#10;rv2dv6gvohEJwiFHBVWMTS5lKCtyGKa+IU7ezbcOY5KtkbrFe4I7K+dZtpAOa04LFTa0raj8KTqn&#10;YHc0y/5qL9Hybeik+e6KYnlSajIePj9ARBrif/ivfdAK3uD3Sro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mxP4wgAAANoAAAAPAAAAAAAAAAAAAAAAAJgCAABkcnMvZG93&#10;bnJldi54bWxQSwUGAAAAAAQABAD1AAAAhwMAAAAA&#10;" fillcolor="window" strokecolor="#f79646" strokeweight="2pt">
                            <v:textbox>
                              <w:txbxContent>
                                <w:p w14:paraId="41AEF900"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ادارة الصف</w:t>
                                  </w:r>
                                </w:p>
                                <w:p w14:paraId="70934ADD" w14:textId="77777777" w:rsidR="00976DAD" w:rsidRPr="00225281" w:rsidRDefault="00976DAD" w:rsidP="009043AB">
                                  <w:pPr>
                                    <w:rPr>
                                      <w:rtl/>
                                      <w:lang w:bidi="ar-AE"/>
                                    </w:rPr>
                                  </w:pPr>
                                </w:p>
                              </w:txbxContent>
                            </v:textbox>
                          </v:rect>
                          <v:rect id="مستطيل 8" o:spid="_x0000_s1036" style="position:absolute;top:9312;width:16509;height:65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Hir4A&#10;AADaAAAADwAAAGRycy9kb3ducmV2LnhtbERPTYvCMBC9L/gfwgje1tQ9iFajiLLgxQW7HvQ2NGNa&#10;TCalSWv99+awsMfH+15vB2dFT22oPSuYTTMQxKXXNRsFl9/vzwWIEJE1Ws+k4EUBtpvRxxpz7Z98&#10;pr6IRqQQDjkqqGJscilDWZHDMPUNceLuvnUYE2yN1C0+U7iz8ivL5tJhzamhwob2FZWPonMKDiez&#10;7K/2Ei3fh06aW1cUyx+lJuNhtwIRaYj/4j/3UStIW9OVdAPk5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kEh4q+AAAA2gAAAA8AAAAAAAAAAAAAAAAAmAIAAGRycy9kb3ducmV2&#10;LnhtbFBLBQYAAAAABAAEAPUAAACDAwAAAAA=&#10;" fillcolor="window" strokecolor="#f79646" strokeweight="2pt">
                            <v:textbox>
                              <w:txbxContent>
                                <w:p w14:paraId="2B87428E"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الخطيط التدريسي</w:t>
                                  </w:r>
                                </w:p>
                                <w:p w14:paraId="7F1102EB" w14:textId="77777777" w:rsidR="00976DAD" w:rsidRPr="00225281" w:rsidRDefault="00976DAD" w:rsidP="009043AB">
                                  <w:pPr>
                                    <w:rPr>
                                      <w:rtl/>
                                      <w:lang w:bidi="ar-AE"/>
                                    </w:rPr>
                                  </w:pPr>
                                </w:p>
                              </w:txbxContent>
                            </v:textbox>
                          </v:rect>
                        </v:group>
                        <v:shapetype id="_x0000_t32" coordsize="21600,21600" o:spt="32" o:oned="t" path="m,l21600,21600e" filled="f">
                          <v:path arrowok="t" fillok="f" o:connecttype="none"/>
                          <o:lock v:ext="edit" shapetype="t"/>
                        </v:shapetype>
                        <v:shape id="رابط كسهم مستقيم 12" o:spid="_x0000_s1037" type="#_x0000_t32" style="position:absolute;left:16509;top:13239;width:20066;height:568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88cEAAADbAAAADwAAAGRycy9kb3ducmV2LnhtbERPS2sCMRC+F/wPYYTeataFSlmN4gOh&#10;XgpV8Txsxn24mewmqa799aZQ8DYf33Nmi9404krOV5YVjEcJCOLc6ooLBcfD9u0DhA/IGhvLpOBO&#10;HhbzwcsMM21v/E3XfShEDGGfoYIyhDaT0uclGfQj2xJH7mydwRChK6R2eIvhppFpkkykwYpjQ4kt&#10;rUvKL/sfo2C3cfVvt1x1dX3ois2XPbXr91Sp12G/nIII1Ien+N/9qeP8FP5+iQ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5/zxwQAAANsAAAAPAAAAAAAAAAAAAAAA&#10;AKECAABkcnMvZG93bnJldi54bWxQSwUGAAAAAAQABAD5AAAAjwMAAAAA&#10;" strokecolor="windowText" strokeweight="2pt">
                          <v:stroke endarrow="open"/>
                          <v:shadow on="t" color="black" opacity="24903f" origin=",.5" offset="0,.55556mm"/>
                        </v:shape>
                        <v:oval id="Oval 2024668143" o:spid="_x0000_s1038" style="position:absolute;left:19631;top:13601;width:6008;height:3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dDC8EA&#10;AADbAAAADwAAAGRycy9kb3ducmV2LnhtbERPTYvCMBC9C/sfwix409QVxO0axRWLXjxUt3semrGt&#10;NpPSRK3/3giCt3m8z5ktOlOLK7WusqxgNIxAEOdWV1wo+DskgykI55E11pZJwZ0cLOYfvRnG2t44&#10;peveFyKEsItRQel9E0vp8pIMuqFtiAN3tK1BH2BbSN3iLYSbWn5F0UQarDg0lNjQqqT8vL8YBf/J&#10;OEu+f+/udDmlu3S5rjfHVaZU/7Nb/oDw1Pm3+OXe6jB/D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nQwvBAAAA2wAAAA8AAAAAAAAAAAAAAAAAmAIAAGRycy9kb3du&#10;cmV2LnhtbFBLBQYAAAAABAAEAPUAAACGAwAAAAA=&#10;" fillcolor="window" strokecolor="windowText" strokeweight="2pt">
                          <v:textbox>
                            <w:txbxContent>
                              <w:p w14:paraId="76E44C48"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v:textbox>
                        </v:oval>
                        <v:shape id="رابط كسهم مستقيم 14" o:spid="_x0000_s1039" type="#_x0000_t32" style="position:absolute;left:16509;top:18925;width:20066;height:4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yH48IAAADbAAAADwAAAGRycy9kb3ducmV2LnhtbERPzWrCQBC+F/oOyxS86SYiUqOrFIsi&#10;HizaPsCYHbPR7GzMbjR9+64g9DYf3+/MFp2txI0aXzpWkA4SEMS50yUXCn6+V/13ED4ga6wck4Jf&#10;8rCYv77MMNPuznu6HUIhYgj7DBWYEOpMSp8bsugHriaO3Mk1FkOETSF1g/cYbis5TJKxtFhybDBY&#10;09JQfjm0VsGxTtPtxHytR/56bpentr1uPndK9d66jymIQF34Fz/dGx3nj+DxSzx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kyH48IAAADbAAAADwAAAAAAAAAAAAAA&#10;AAChAgAAZHJzL2Rvd25yZXYueG1sUEsFBgAAAAAEAAQA+QAAAJADAAAAAA==&#10;" strokecolor="windowText" strokeweight="2pt">
                          <v:stroke endarrow="open"/>
                          <v:shadow on="t" color="black" opacity="24903f" origin=",.5" offset="0,.55556mm"/>
                        </v:shape>
                        <v:oval id="Oval 2024668143" o:spid="_x0000_s1040" style="position:absolute;left:19690;top:17960;width:5951;height:2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J+5MEA&#10;AADbAAAADwAAAGRycy9kb3ducmV2LnhtbERPS4vCMBC+L/gfwgje1lRlF61GUbHsXjzU13loxrba&#10;TEoTtf77jbDgbT6+58wWranEnRpXWlYw6EcgiDOrS84VHPbJ5xiE88gaK8uk4EkOFvPOxwxjbR+c&#10;0n3ncxFC2MWooPC+jqV0WUEGXd/WxIE728agD7DJpW7wEcJNJYdR9C0NlhwaCqxpXVB23d2MglMy&#10;OiaT1dNdbpd0my431c95fVSq122XUxCeWv8W/7t/dZj/Ba9fwg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CfuTBAAAA2wAAAA8AAAAAAAAAAAAAAAAAmAIAAGRycy9kb3du&#10;cmV2LnhtbFBLBQYAAAAABAAEAPUAAACGAwAAAAA=&#10;" fillcolor="window" strokecolor="windowText" strokeweight="2pt">
                          <v:textbox>
                            <w:txbxContent>
                              <w:p w14:paraId="1247DDEB"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18" o:spid="_x0000_s1041" type="#_x0000_t32" style="position:absolute;left:16509;top:18925;width:20066;height:70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GN5sUAAADbAAAADwAAAGRycy9kb3ducmV2LnhtbESPQU/DMAyF70j8h8hI3FhahBB0Syc0&#10;BJo4MFH4AV7jNoXG6Zp0K/8eHyZxs/We3/u8Ws++V0caYxfYQL7IQBHXwXbcGvj6fLl5ABUTssU+&#10;MBn4pQjr8vJihYUNJ/6gY5VaJSEcCzTgUhoKrWPtyGNchIFYtCaMHpOsY6vtiCcJ972+zbJ77bFj&#10;aXA40MZR/VNN3sB+yPO3R7d7vYuH72nTTNNh+/xuzPXV/LQElWhO/+bz9dYKvsDKLzK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GN5sUAAADbAAAADwAAAAAAAAAA&#10;AAAAAAChAgAAZHJzL2Rvd25yZXYueG1sUEsFBgAAAAAEAAQA+QAAAJMDAAAAAA==&#10;" strokecolor="windowText" strokeweight="2pt">
                          <v:stroke endarrow="open"/>
                          <v:shadow on="t" color="black" opacity="24903f" origin=",.5" offset="0,.55556mm"/>
                        </v:shape>
                        <v:oval id="Oval 2024668143" o:spid="_x0000_s1042" style="position:absolute;left:19499;top:22180;width:5949;height:31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904cEA&#10;AADbAAAADwAAAGRycy9kb3ducmV2LnhtbERPTYvCMBC9C/6HMAveNN0VxFajqGzRyx6q656HZmyr&#10;zaQ0Ueu/NwuCt3m8z5kvO1OLG7WusqzgcxSBIM6trrhQ8HtIh1MQziNrrC2Tggc5WC76vTkm2t45&#10;o9veFyKEsEtQQel9k0jp8pIMupFtiAN3sq1BH2BbSN3iPYSbWn5F0UQarDg0lNjQpqT8sr8aBX/p&#10;+JjG64c7X8/ZT7b6rrenzVGpwUe3moHw1Pm3+OXe6TA/hv9fw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PdOHBAAAA2wAAAA8AAAAAAAAAAAAAAAAAmAIAAGRycy9kb3du&#10;cmV2LnhtbFBLBQYAAAAABAAEAPUAAACGAwAAAAA=&#10;" fillcolor="window" strokecolor="windowText" strokeweight="2pt">
                          <v:textbox>
                            <w:txbxContent>
                              <w:p w14:paraId="6587AAC0"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16" o:spid="_x0000_s1043" style="position:absolute;top:29527;width:16509;height:8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G6OsEA&#10;AADbAAAADwAAAGRycy9kb3ducmV2LnhtbERPS2uDQBC+F/oflinkVldzMMW6SggU6kFK0kivgzs+&#10;iDsr7iax/75bKPQ2H99z8nI1k7jR4kbLCpIoBkHcWj1yr+D8+fb8AsJ5ZI2TZVLwTQ7K4vEhx0zb&#10;Ox/pdvK9CCHsMlQweD9nUrp2IIMusjNx4Dq7GPQBLr3UC95DuJnkNo5TaXDk0DDgTIeB2svpahTU&#10;aV1vsWq+mqo5VG6X6A/faaU2T+v+FYSn1f+L/9zvOsxP4feXcIA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xujrBAAAA2wAAAA8AAAAAAAAAAAAAAAAAmAIAAGRycy9kb3du&#10;cmV2LnhtbFBLBQYAAAAABAAEAPUAAACGAwAAAAA=&#10;" fillcolor="white [3201]" strokecolor="#f79646 [3209]" strokeweight="2pt">
                        <v:textbox>
                          <w:txbxContent>
                            <w:p w14:paraId="5F41343D" w14:textId="77777777" w:rsidR="00976DAD" w:rsidRPr="00A35C73" w:rsidRDefault="00976D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v:textbox>
                      </v:rect>
                    </v:group>
                    <v:shape id="رابط كسهم مستقيم 33" o:spid="_x0000_s1044" type="#_x0000_t32" style="position:absolute;left:16509;top:18764;width:20066;height:147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BD98UAAADbAAAADwAAAGRycy9kb3ducmV2LnhtbESP0WrCQBRE3wv9h+UKfaubVCk1ukqx&#10;VMQHpeoHXLPXbDR7N2Y3Gv/eLRT6OMzMGWYy62wlrtT40rGCtJ+AIM6dLrlQsN99v36A8AFZY+WY&#10;FNzJw2z6/DTBTLsb/9B1GwoRIewzVGBCqDMpfW7Iou+7mjh6R9dYDFE2hdQN3iLcVvItSd6lxZLj&#10;gsGa5oby87a1Cg51mq5GZrMY+supnR/b9rL8Wiv10us+xyACdeE//NdeagWDAfx+iT9AT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BD98UAAADbAAAADwAAAAAAAAAA&#10;AAAAAAChAgAAZHJzL2Rvd25yZXYueG1sUEsFBgAAAAAEAAQA+QAAAJMDAAAAAA==&#10;" strokecolor="windowText" strokeweight="2pt">
                      <v:stroke endarrow="open"/>
                      <v:shadow on="t" color="black" opacity="24903f" origin=",.5" offset="0,.55556mm"/>
                    </v:shape>
                  </v:group>
                  <v:oval id="Oval 2024668143" o:spid="_x0000_s1045" style="position:absolute;left:19308;top:27608;width:6317;height:3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uHH8QA&#10;AADbAAAADwAAAGRycy9kb3ducmV2LnhtbESPQYvCMBSE78L+h/AWvGnqKrJbjeKKRS8e6q6eH82z&#10;rTYvpYla/70RBI/DzHzDTOetqcSVGldaVjDoRyCIM6tLzhX8/yW9bxDOI2usLJOCOzmYzz46U4y1&#10;vXFK153PRYCwi1FB4X0dS+myggy6vq2Jg3e0jUEfZJNL3eAtwE0lv6JoLA2WHBYKrGlZUHbeXYyC&#10;QzLcJz+/d3e6nNJtulhV6+Nyr1T3s11MQHhq/Tv8am+0guEInl/CD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7hx/EAAAA2wAAAA8AAAAAAAAAAAAAAAAAmAIAAGRycy9k&#10;b3ducmV2LnhtbFBLBQYAAAAABAAEAPUAAACJAwAAAAA=&#10;" fillcolor="window" strokecolor="windowText" strokeweight="2pt">
                    <v:textbox>
                      <w:txbxContent>
                        <w:p w14:paraId="712E3655" w14:textId="77777777" w:rsidR="00976DAD" w:rsidRPr="00A35C73" w:rsidRDefault="00976D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
                      </w:txbxContent>
                    </v:textbox>
                  </v:oval>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1" o:spid="_x0000_s1046" type="#_x0000_t66" style="position:absolute;left:16478;top:2190;width:20002;height:4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1F68QA&#10;AADbAAAADwAAAGRycy9kb3ducmV2LnhtbESPS4vCQBCE74L/YWhhbzrRg0jMRFZlwcfF9XHYW5Pp&#10;zYTN9ITMqPHfO4Kwx6K6vurKFp2txY1aXzlWMB4lIIgLpysuFZxPX8MZCB+QNdaOScGDPCzyfi/D&#10;VLs7f9PtGEoRIexTVGBCaFIpfWHIoh+5hjh6v661GKJsS6lbvEe4reUkSabSYsWxwWBDK0PF3/Fq&#10;4xvuuvzZ1tt12LFJpqv95bA5X5T6GHSfcxCBuvB//E5vtILJGF5bIgBk/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dRevEAAAA2wAAAA8AAAAAAAAAAAAAAAAAmAIAAGRycy9k&#10;b3ducmV2LnhtbFBLBQYAAAAABAAEAPUAAACJAwAAAAA=&#10;" adj="2616" fillcolor="#cdddac [1622]" strokecolor="#94b64e [3046]">
                  <v:fill color2="#f0f4e6 [502]" rotate="t" angle="180" colors="0 #dafda7;22938f #e4fdc2;1 #f5ffe6" focus="100%" type="gradient"/>
                  <v:shadow on="t" color="black" opacity="24903f" origin=",.5" offset="0,.55556mm"/>
                  <v:textbox>
                    <w:txbxContent>
                      <w:p w14:paraId="0662570F" w14:textId="77777777" w:rsidR="00976DAD" w:rsidRPr="00943DE4" w:rsidRDefault="00976D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v:textbox>
                </v:shape>
              </v:group>
            </w:pict>
          </mc:Fallback>
        </mc:AlternateContent>
      </w:r>
    </w:p>
    <w:p w14:paraId="5BC41F17"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CC60310" w14:textId="3CECCEA2"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370791E"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1CE35AED"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DE9927F" w14:textId="0C291CB5"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4A5BD25"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5561851" w14:textId="7FF97C51" w:rsidR="009043AB" w:rsidRPr="0049674D" w:rsidRDefault="009043AB" w:rsidP="009043AB">
      <w:pPr>
        <w:bidi/>
        <w:spacing w:after="0" w:line="360" w:lineRule="auto"/>
        <w:jc w:val="both"/>
        <w:rPr>
          <w:rFonts w:ascii="Traditional Arabic" w:eastAsia="Times New Roman" w:hAnsi="Traditional Arabic" w:cs="Traditional Arabic"/>
          <w:b/>
          <w:bCs/>
          <w:sz w:val="36"/>
          <w:szCs w:val="36"/>
          <w:rtl/>
        </w:rPr>
      </w:pPr>
    </w:p>
    <w:p w14:paraId="662F1879" w14:textId="23D7E987" w:rsidR="009043AB" w:rsidRPr="0049674D" w:rsidRDefault="009043AB" w:rsidP="0049674D">
      <w:pPr>
        <w:bidi/>
        <w:spacing w:after="0" w:line="360" w:lineRule="auto"/>
        <w:jc w:val="center"/>
        <w:rPr>
          <w:rFonts w:ascii="Traditional Arabic" w:hAnsi="Traditional Arabic" w:cs="Traditional Arabic"/>
          <w:b/>
          <w:bCs/>
          <w:sz w:val="28"/>
          <w:szCs w:val="28"/>
        </w:rPr>
      </w:pPr>
      <w:r w:rsidRPr="0049674D">
        <w:rPr>
          <w:rFonts w:ascii="Traditional Arabic" w:eastAsia="Times New Roman" w:hAnsi="Traditional Arabic" w:cs="Traditional Arabic" w:hint="cs"/>
          <w:b/>
          <w:bCs/>
          <w:sz w:val="28"/>
          <w:szCs w:val="28"/>
          <w:rtl/>
        </w:rPr>
        <w:t xml:space="preserve">الشكل رقم (1) </w:t>
      </w:r>
      <w:r w:rsidRPr="0049674D">
        <w:rPr>
          <w:rFonts w:ascii="Traditional Arabic" w:hAnsi="Traditional Arabic" w:cs="Traditional Arabic"/>
          <w:b/>
          <w:bCs/>
          <w:sz w:val="28"/>
          <w:szCs w:val="28"/>
          <w:rtl/>
        </w:rPr>
        <w:t>النموذج المفاهيمي للدراسة من إعداد الباحث بالاعتماد على</w:t>
      </w:r>
      <w:r w:rsidR="0049674D" w:rsidRPr="0049674D">
        <w:rPr>
          <w:rFonts w:ascii="Traditional Arabic" w:hAnsi="Traditional Arabic" w:cs="Traditional Arabic" w:hint="cs"/>
          <w:b/>
          <w:bCs/>
          <w:sz w:val="28"/>
          <w:szCs w:val="28"/>
          <w:rtl/>
        </w:rPr>
        <w:t xml:space="preserve"> دراسة</w:t>
      </w:r>
      <w:r w:rsidRPr="0049674D">
        <w:rPr>
          <w:rFonts w:ascii="Traditional Arabic" w:hAnsi="Traditional Arabic" w:cs="Traditional Arabic"/>
          <w:b/>
          <w:bCs/>
          <w:sz w:val="28"/>
          <w:szCs w:val="28"/>
          <w:rtl/>
        </w:rPr>
        <w:t xml:space="preserve"> </w:t>
      </w:r>
      <w:r w:rsidR="0049674D" w:rsidRPr="0049674D">
        <w:rPr>
          <w:rFonts w:ascii="Traditional Arabic" w:hAnsi="Traditional Arabic" w:cs="Traditional Arabic" w:hint="cs"/>
          <w:b/>
          <w:bCs/>
          <w:sz w:val="28"/>
          <w:szCs w:val="28"/>
          <w:rtl/>
        </w:rPr>
        <w:t>(</w:t>
      </w:r>
      <w:proofErr w:type="spellStart"/>
      <w:r w:rsidR="006504A0">
        <w:rPr>
          <w:rFonts w:ascii="Traditional Arabic" w:hAnsi="Traditional Arabic" w:cs="Traditional Arabic"/>
          <w:b/>
          <w:bCs/>
          <w:sz w:val="28"/>
          <w:szCs w:val="28"/>
          <w:rtl/>
        </w:rPr>
        <w:t>الحيكان</w:t>
      </w:r>
      <w:proofErr w:type="spellEnd"/>
      <w:r w:rsidR="006504A0">
        <w:rPr>
          <w:rFonts w:ascii="Traditional Arabic" w:hAnsi="Traditional Arabic" w:cs="Traditional Arabic"/>
          <w:b/>
          <w:bCs/>
          <w:sz w:val="28"/>
          <w:szCs w:val="28"/>
          <w:rtl/>
        </w:rPr>
        <w:t xml:space="preserve">، 2024؛ </w:t>
      </w:r>
      <w:r w:rsidRPr="0049674D">
        <w:rPr>
          <w:rFonts w:ascii="Traditional Arabic" w:hAnsi="Traditional Arabic" w:cs="Traditional Arabic"/>
          <w:b/>
          <w:bCs/>
          <w:sz w:val="28"/>
          <w:szCs w:val="28"/>
          <w:rtl/>
        </w:rPr>
        <w:t>الجراح</w:t>
      </w:r>
      <w:r w:rsidR="006504A0">
        <w:rPr>
          <w:rFonts w:ascii="Traditional Arabic" w:hAnsi="Traditional Arabic" w:cs="Traditional Arabic"/>
          <w:b/>
          <w:bCs/>
          <w:sz w:val="28"/>
          <w:szCs w:val="28"/>
        </w:rPr>
        <w:t xml:space="preserve"> </w:t>
      </w:r>
      <w:r w:rsidR="0041582E">
        <w:rPr>
          <w:rFonts w:ascii="Traditional Arabic" w:hAnsi="Traditional Arabic" w:cs="Traditional Arabic" w:hint="cs"/>
          <w:b/>
          <w:bCs/>
          <w:sz w:val="28"/>
          <w:szCs w:val="28"/>
          <w:rtl/>
        </w:rPr>
        <w:t xml:space="preserve">وأبو </w:t>
      </w:r>
      <w:r w:rsidR="006504A0">
        <w:rPr>
          <w:rFonts w:ascii="Traditional Arabic" w:hAnsi="Traditional Arabic" w:cs="Traditional Arabic" w:hint="cs"/>
          <w:b/>
          <w:bCs/>
          <w:sz w:val="28"/>
          <w:szCs w:val="28"/>
          <w:rtl/>
        </w:rPr>
        <w:t>عاشور</w:t>
      </w:r>
      <w:r w:rsidR="0049674D" w:rsidRPr="0049674D">
        <w:rPr>
          <w:rFonts w:ascii="Traditional Arabic" w:hAnsi="Traditional Arabic" w:cs="Traditional Arabic"/>
          <w:b/>
          <w:bCs/>
          <w:sz w:val="28"/>
          <w:szCs w:val="28"/>
          <w:rtl/>
        </w:rPr>
        <w:t>، 2021؛ الشهراني، 2024</w:t>
      </w:r>
      <w:r w:rsidR="0049674D" w:rsidRPr="0049674D">
        <w:rPr>
          <w:rFonts w:ascii="Traditional Arabic" w:hAnsi="Traditional Arabic" w:cs="Traditional Arabic"/>
          <w:b/>
          <w:bCs/>
          <w:sz w:val="28"/>
          <w:szCs w:val="28"/>
        </w:rPr>
        <w:t>(</w:t>
      </w:r>
    </w:p>
    <w:p w14:paraId="21231CE6" w14:textId="7C08519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2EFE081" w14:textId="77777777" w:rsidR="009043AB" w:rsidRDefault="009043AB" w:rsidP="009043AB">
      <w:pPr>
        <w:bidi/>
        <w:spacing w:after="0" w:line="360" w:lineRule="auto"/>
        <w:jc w:val="both"/>
        <w:rPr>
          <w:rFonts w:ascii="Traditional Arabic" w:eastAsia="Calibri" w:hAnsi="Traditional Arabic" w:cs="Traditional Arabic"/>
          <w:b/>
          <w:bCs/>
          <w:sz w:val="36"/>
          <w:szCs w:val="36"/>
          <w:rtl/>
          <w:lang w:bidi="ar-JO"/>
        </w:rPr>
      </w:pPr>
    </w:p>
    <w:p w14:paraId="0846BD6F" w14:textId="77777777" w:rsidR="005D4EE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1CDE0300" w14:textId="77777777" w:rsidR="005D4EED" w:rsidRPr="0049674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39C415CD" w14:textId="4F3F9E40" w:rsidR="00B6305B" w:rsidRPr="0049674D" w:rsidRDefault="00B6305B" w:rsidP="00A73BD3">
      <w:pPr>
        <w:bidi/>
        <w:spacing w:after="0" w:line="360" w:lineRule="auto"/>
        <w:jc w:val="both"/>
        <w:rPr>
          <w:rFonts w:ascii="Traditional Arabic" w:eastAsia="Calibri" w:hAnsi="Traditional Arabic" w:cs="Traditional Arabic"/>
          <w:b/>
          <w:bCs/>
          <w:sz w:val="36"/>
          <w:szCs w:val="36"/>
        </w:rPr>
      </w:pPr>
      <w:r w:rsidRPr="0049674D">
        <w:rPr>
          <w:rFonts w:ascii="Traditional Arabic" w:eastAsia="Calibri" w:hAnsi="Traditional Arabic" w:cs="Traditional Arabic"/>
          <w:b/>
          <w:bCs/>
          <w:sz w:val="36"/>
          <w:szCs w:val="36"/>
          <w:rtl/>
        </w:rPr>
        <w:lastRenderedPageBreak/>
        <w:t>حدود الدراسة</w:t>
      </w:r>
    </w:p>
    <w:p w14:paraId="267BB5F5" w14:textId="6C78F575" w:rsidR="00A73BD3" w:rsidRPr="0049674D" w:rsidRDefault="0049674D" w:rsidP="00A73BD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اولا: </w:t>
      </w:r>
      <w:r w:rsidR="00A73BD3" w:rsidRPr="0049674D">
        <w:rPr>
          <w:rFonts w:ascii="Traditional Arabic" w:eastAsia="Times New Roman" w:hAnsi="Traditional Arabic" w:cs="Traditional Arabic"/>
          <w:b/>
          <w:bCs/>
          <w:sz w:val="32"/>
          <w:szCs w:val="32"/>
          <w:rtl/>
        </w:rPr>
        <w:t>الحدود المكانية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تقتصر الدراسة على مدارس التعليم الابتدائي الواقعة في مدينة الرياض بالمملكة العربية السعودية، حيث تم اختيار المدارس الحكومية كمجتمع الدراسة الأساسي. ويرجع اختيار هذه المنطقة لأهميتها التعليمية وتركز </w:t>
      </w:r>
      <w:proofErr w:type="gramStart"/>
      <w:r w:rsidR="00A73BD3" w:rsidRPr="0049674D">
        <w:rPr>
          <w:rFonts w:ascii="Traditional Arabic" w:eastAsia="Times New Roman" w:hAnsi="Traditional Arabic" w:cs="Traditional Arabic"/>
          <w:sz w:val="32"/>
          <w:szCs w:val="32"/>
          <w:rtl/>
        </w:rPr>
        <w:t>جهود</w:t>
      </w:r>
      <w:proofErr w:type="gramEnd"/>
      <w:r w:rsidR="00A73BD3" w:rsidRPr="0049674D">
        <w:rPr>
          <w:rFonts w:ascii="Traditional Arabic" w:eastAsia="Times New Roman" w:hAnsi="Traditional Arabic" w:cs="Traditional Arabic"/>
          <w:sz w:val="32"/>
          <w:szCs w:val="32"/>
          <w:rtl/>
        </w:rPr>
        <w:t xml:space="preserve"> التنمية المهنية فيها</w:t>
      </w:r>
      <w:r w:rsidR="00A73BD3" w:rsidRPr="0049674D">
        <w:rPr>
          <w:rFonts w:ascii="Traditional Arabic" w:eastAsia="Times New Roman" w:hAnsi="Traditional Arabic" w:cs="Traditional Arabic"/>
          <w:sz w:val="32"/>
          <w:szCs w:val="32"/>
        </w:rPr>
        <w:t>.</w:t>
      </w:r>
    </w:p>
    <w:p w14:paraId="73003F2F" w14:textId="1CAF3B01"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ثانيا: </w:t>
      </w:r>
      <w:r w:rsidR="00A73BD3" w:rsidRPr="0049674D">
        <w:rPr>
          <w:rFonts w:ascii="Traditional Arabic" w:eastAsia="Times New Roman" w:hAnsi="Traditional Arabic" w:cs="Traditional Arabic"/>
          <w:b/>
          <w:bCs/>
          <w:sz w:val="32"/>
          <w:szCs w:val="32"/>
          <w:rtl/>
        </w:rPr>
        <w:t>الحدود الزمانية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تشمل الدراسة فترة زمنية تمتد من بداية العام الدراسي 202</w:t>
      </w:r>
      <w:r w:rsidR="00F700E3" w:rsidRPr="0049674D">
        <w:rPr>
          <w:rFonts w:ascii="Traditional Arabic" w:eastAsia="Times New Roman" w:hAnsi="Traditional Arabic" w:cs="Traditional Arabic" w:hint="cs"/>
          <w:sz w:val="32"/>
          <w:szCs w:val="32"/>
          <w:rtl/>
        </w:rPr>
        <w:t>5</w:t>
      </w:r>
      <w:r w:rsidR="00A73BD3" w:rsidRPr="0049674D">
        <w:rPr>
          <w:rFonts w:ascii="Traditional Arabic" w:eastAsia="Times New Roman" w:hAnsi="Traditional Arabic" w:cs="Traditional Arabic"/>
          <w:sz w:val="32"/>
          <w:szCs w:val="32"/>
          <w:rtl/>
        </w:rPr>
        <w:t>/202</w:t>
      </w:r>
      <w:r w:rsidR="00F700E3" w:rsidRPr="0049674D">
        <w:rPr>
          <w:rFonts w:ascii="Traditional Arabic" w:eastAsia="Times New Roman" w:hAnsi="Traditional Arabic" w:cs="Traditional Arabic" w:hint="cs"/>
          <w:sz w:val="32"/>
          <w:szCs w:val="32"/>
          <w:rtl/>
        </w:rPr>
        <w:t>6</w:t>
      </w:r>
      <w:r w:rsidR="00A73BD3" w:rsidRPr="0049674D">
        <w:rPr>
          <w:rFonts w:ascii="Traditional Arabic" w:eastAsia="Times New Roman" w:hAnsi="Traditional Arabic" w:cs="Traditional Arabic"/>
          <w:sz w:val="32"/>
          <w:szCs w:val="32"/>
          <w:rtl/>
        </w:rPr>
        <w:t xml:space="preserve"> </w:t>
      </w:r>
      <w:r w:rsidR="00F700E3" w:rsidRPr="0049674D">
        <w:rPr>
          <w:rFonts w:ascii="Traditional Arabic" w:eastAsia="Times New Roman" w:hAnsi="Traditional Arabic" w:cs="Traditional Arabic" w:hint="cs"/>
          <w:sz w:val="32"/>
          <w:szCs w:val="32"/>
          <w:rtl/>
        </w:rPr>
        <w:t xml:space="preserve"> </w:t>
      </w:r>
      <w:r w:rsidR="00A73BD3" w:rsidRPr="0049674D">
        <w:rPr>
          <w:rFonts w:ascii="Traditional Arabic" w:eastAsia="Times New Roman" w:hAnsi="Traditional Arabic" w:cs="Traditional Arabic"/>
          <w:sz w:val="32"/>
          <w:szCs w:val="32"/>
          <w:rtl/>
        </w:rPr>
        <w:t>وحتى نهايته</w:t>
      </w:r>
      <w:r w:rsidR="00F700E3" w:rsidRPr="0049674D">
        <w:rPr>
          <w:rFonts w:ascii="Traditional Arabic" w:eastAsia="Times New Roman" w:hAnsi="Traditional Arabic" w:cs="Traditional Arabic" w:hint="cs"/>
          <w:sz w:val="32"/>
          <w:szCs w:val="32"/>
          <w:rtl/>
        </w:rPr>
        <w:t xml:space="preserve"> (يحدد لاحقا)</w:t>
      </w:r>
      <w:r w:rsidR="00A73BD3" w:rsidRPr="0049674D">
        <w:rPr>
          <w:rFonts w:ascii="Traditional Arabic" w:eastAsia="Times New Roman" w:hAnsi="Traditional Arabic" w:cs="Traditional Arabic"/>
          <w:sz w:val="32"/>
          <w:szCs w:val="32"/>
          <w:rtl/>
        </w:rPr>
        <w:t>، وذلك لضمان جمع بيانات تعكس واقع التنمية المهنية وكفاءة المعلمين في سياق زمني محدد يعكس الممارسات الحالية</w:t>
      </w:r>
      <w:r w:rsidR="00A73BD3" w:rsidRPr="0049674D">
        <w:rPr>
          <w:rFonts w:ascii="Traditional Arabic" w:eastAsia="Times New Roman" w:hAnsi="Traditional Arabic" w:cs="Traditional Arabic"/>
          <w:sz w:val="32"/>
          <w:szCs w:val="32"/>
        </w:rPr>
        <w:t>.</w:t>
      </w:r>
    </w:p>
    <w:p w14:paraId="6B84DD57" w14:textId="3BEDFFF8"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proofErr w:type="gramStart"/>
      <w:r>
        <w:rPr>
          <w:rFonts w:ascii="Traditional Arabic" w:eastAsia="Times New Roman" w:hAnsi="Traditional Arabic" w:cs="Traditional Arabic" w:hint="cs"/>
          <w:b/>
          <w:bCs/>
          <w:sz w:val="32"/>
          <w:szCs w:val="32"/>
          <w:rtl/>
        </w:rPr>
        <w:t>ثالثا</w:t>
      </w:r>
      <w:proofErr w:type="gramEnd"/>
      <w:r>
        <w:rPr>
          <w:rFonts w:ascii="Traditional Arabic" w:eastAsia="Times New Roman" w:hAnsi="Traditional Arabic" w:cs="Traditional Arabic" w:hint="cs"/>
          <w:b/>
          <w:bCs/>
          <w:sz w:val="32"/>
          <w:szCs w:val="32"/>
          <w:rtl/>
        </w:rPr>
        <w:t xml:space="preserve">: </w:t>
      </w:r>
      <w:r w:rsidR="00A73BD3" w:rsidRPr="0049674D">
        <w:rPr>
          <w:rFonts w:ascii="Traditional Arabic" w:eastAsia="Times New Roman" w:hAnsi="Traditional Arabic" w:cs="Traditional Arabic"/>
          <w:b/>
          <w:bCs/>
          <w:sz w:val="32"/>
          <w:szCs w:val="32"/>
          <w:rtl/>
        </w:rPr>
        <w:t>الحدود البشرية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المعلمين الذين خضعوا لبرامج التنمية المهنية خلال العام الدراسي </w:t>
      </w:r>
      <w:r w:rsidR="00F700E3" w:rsidRPr="0049674D">
        <w:rPr>
          <w:rFonts w:ascii="Traditional Arabic" w:eastAsia="Times New Roman" w:hAnsi="Traditional Arabic" w:cs="Traditional Arabic" w:hint="cs"/>
          <w:sz w:val="32"/>
          <w:szCs w:val="32"/>
          <w:rtl/>
        </w:rPr>
        <w:t>(يحدد لاحقا)</w:t>
      </w:r>
      <w:r w:rsidR="00A73BD3" w:rsidRPr="0049674D">
        <w:rPr>
          <w:rFonts w:ascii="Traditional Arabic" w:eastAsia="Times New Roman" w:hAnsi="Traditional Arabic" w:cs="Traditional Arabic"/>
          <w:sz w:val="32"/>
          <w:szCs w:val="32"/>
          <w:rtl/>
        </w:rPr>
        <w:t>. كما تشمل الدراسة معلمي المواد الأساسية التي تركز على الكفاءة التدريسية مثل اللغة العربية، الرياضيات، والعلوم</w:t>
      </w:r>
      <w:r w:rsidR="00A73BD3" w:rsidRPr="0049674D">
        <w:rPr>
          <w:rFonts w:ascii="Traditional Arabic" w:eastAsia="Times New Roman" w:hAnsi="Traditional Arabic" w:cs="Traditional Arabic"/>
          <w:sz w:val="32"/>
          <w:szCs w:val="32"/>
        </w:rPr>
        <w:t>.</w:t>
      </w:r>
    </w:p>
    <w:p w14:paraId="07CC0AB9" w14:textId="77777777" w:rsidR="00B6305B" w:rsidRPr="0049674D" w:rsidRDefault="00B6305B" w:rsidP="00B6305B">
      <w:pPr>
        <w:bidi/>
        <w:spacing w:after="0" w:line="360" w:lineRule="auto"/>
        <w:jc w:val="both"/>
        <w:rPr>
          <w:rFonts w:ascii="Traditional Arabic" w:eastAsia="Calibri" w:hAnsi="Traditional Arabic" w:cs="Traditional Arabic"/>
          <w:sz w:val="32"/>
          <w:szCs w:val="32"/>
          <w:rtl/>
        </w:rPr>
      </w:pPr>
    </w:p>
    <w:p w14:paraId="15ADB117" w14:textId="77777777" w:rsidR="005E1A75" w:rsidRPr="0049674D" w:rsidRDefault="005E1A75" w:rsidP="0065664D">
      <w:pPr>
        <w:bidi/>
        <w:spacing w:after="200" w:line="360" w:lineRule="auto"/>
        <w:jc w:val="both"/>
        <w:rPr>
          <w:rFonts w:ascii="Traditional Arabic" w:eastAsia="Calibri" w:hAnsi="Traditional Arabic" w:cs="Traditional Arabic"/>
          <w:b/>
          <w:bCs/>
          <w:sz w:val="32"/>
          <w:szCs w:val="32"/>
          <w:rtl/>
        </w:rPr>
      </w:pPr>
    </w:p>
    <w:p w14:paraId="3D1F13EE" w14:textId="77777777" w:rsidR="00F700E3" w:rsidRPr="0049674D" w:rsidRDefault="00F700E3" w:rsidP="005E1A75">
      <w:pPr>
        <w:bidi/>
        <w:spacing w:after="200" w:line="360" w:lineRule="auto"/>
        <w:jc w:val="both"/>
        <w:rPr>
          <w:rFonts w:ascii="Traditional Arabic" w:eastAsia="Calibri" w:hAnsi="Traditional Arabic" w:cs="Traditional Arabic"/>
          <w:b/>
          <w:bCs/>
          <w:sz w:val="32"/>
          <w:szCs w:val="32"/>
          <w:rtl/>
        </w:rPr>
      </w:pPr>
    </w:p>
    <w:p w14:paraId="18A45500" w14:textId="77777777" w:rsidR="0049674D" w:rsidRDefault="0049674D" w:rsidP="0049674D">
      <w:pPr>
        <w:bidi/>
        <w:spacing w:after="200" w:line="360" w:lineRule="auto"/>
        <w:jc w:val="both"/>
        <w:rPr>
          <w:rFonts w:ascii="Traditional Arabic" w:eastAsia="Calibri" w:hAnsi="Traditional Arabic" w:cs="Traditional Arabic"/>
          <w:b/>
          <w:bCs/>
          <w:sz w:val="32"/>
          <w:szCs w:val="32"/>
          <w:rtl/>
        </w:rPr>
      </w:pPr>
    </w:p>
    <w:p w14:paraId="2B5F0B53" w14:textId="77777777" w:rsidR="006504A0" w:rsidRPr="00DD6416" w:rsidRDefault="006504A0" w:rsidP="0041582E">
      <w:pPr>
        <w:pageBreakBefore/>
        <w:bidi/>
        <w:spacing w:after="200" w:line="360" w:lineRule="auto"/>
        <w:jc w:val="center"/>
        <w:rPr>
          <w:rFonts w:ascii="Traditional Arabic" w:eastAsia="Calibri" w:hAnsi="Traditional Arabic" w:cs="Traditional Arabic"/>
          <w:b/>
          <w:bCs/>
          <w:sz w:val="40"/>
          <w:szCs w:val="40"/>
          <w:rtl/>
        </w:rPr>
      </w:pPr>
      <w:proofErr w:type="gramStart"/>
      <w:r w:rsidRPr="00DD6416">
        <w:rPr>
          <w:rFonts w:ascii="Traditional Arabic" w:eastAsia="Calibri" w:hAnsi="Traditional Arabic" w:cs="Traditional Arabic" w:hint="cs"/>
          <w:b/>
          <w:bCs/>
          <w:sz w:val="40"/>
          <w:szCs w:val="40"/>
          <w:rtl/>
        </w:rPr>
        <w:lastRenderedPageBreak/>
        <w:t>الفصل</w:t>
      </w:r>
      <w:proofErr w:type="gramEnd"/>
      <w:r w:rsidRPr="00DD6416">
        <w:rPr>
          <w:rFonts w:ascii="Traditional Arabic" w:eastAsia="Calibri" w:hAnsi="Traditional Arabic" w:cs="Traditional Arabic" w:hint="cs"/>
          <w:b/>
          <w:bCs/>
          <w:sz w:val="40"/>
          <w:szCs w:val="40"/>
          <w:rtl/>
        </w:rPr>
        <w:t xml:space="preserve"> الثاني</w:t>
      </w:r>
    </w:p>
    <w:p w14:paraId="78424252" w14:textId="77777777" w:rsidR="006504A0" w:rsidRPr="00DD6416" w:rsidRDefault="006504A0" w:rsidP="006504A0">
      <w:pPr>
        <w:bidi/>
        <w:spacing w:after="200" w:line="360" w:lineRule="auto"/>
        <w:jc w:val="center"/>
        <w:rPr>
          <w:rFonts w:ascii="Traditional Arabic" w:eastAsia="Calibri" w:hAnsi="Traditional Arabic" w:cs="Traditional Arabic"/>
          <w:b/>
          <w:bCs/>
          <w:sz w:val="40"/>
          <w:szCs w:val="40"/>
          <w:rtl/>
        </w:rPr>
      </w:pPr>
      <w:r w:rsidRPr="00DD6416">
        <w:rPr>
          <w:rFonts w:ascii="Traditional Arabic" w:eastAsia="Calibri" w:hAnsi="Traditional Arabic" w:cs="Traditional Arabic" w:hint="cs"/>
          <w:b/>
          <w:bCs/>
          <w:sz w:val="40"/>
          <w:szCs w:val="40"/>
          <w:rtl/>
        </w:rPr>
        <w:t>الاطار النظري والدراسات السابقة</w:t>
      </w:r>
    </w:p>
    <w:p w14:paraId="20F7357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46CA921C" w14:textId="5B53AB89" w:rsidR="006504A0" w:rsidRPr="00DD6416" w:rsidRDefault="006504A0" w:rsidP="006504A0">
      <w:pPr>
        <w:bidi/>
        <w:spacing w:after="200" w:line="360" w:lineRule="auto"/>
        <w:jc w:val="both"/>
        <w:rPr>
          <w:rFonts w:ascii="Traditional Arabic" w:eastAsia="Calibri" w:hAnsi="Traditional Arabic" w:cs="Traditional Arabic"/>
          <w:b/>
          <w:bCs/>
          <w:sz w:val="36"/>
          <w:szCs w:val="36"/>
          <w:rtl/>
        </w:rPr>
      </w:pPr>
      <w:r w:rsidRPr="00DD6416">
        <w:rPr>
          <w:rFonts w:ascii="Traditional Arabic" w:eastAsia="Calibri" w:hAnsi="Traditional Arabic" w:cs="Traditional Arabic" w:hint="cs"/>
          <w:b/>
          <w:bCs/>
          <w:sz w:val="36"/>
          <w:szCs w:val="36"/>
          <w:rtl/>
        </w:rPr>
        <w:t xml:space="preserve">المحور </w:t>
      </w:r>
      <w:r w:rsidR="0041582E" w:rsidRPr="00DD6416">
        <w:rPr>
          <w:rFonts w:ascii="Traditional Arabic" w:eastAsia="Calibri" w:hAnsi="Traditional Arabic" w:cs="Traditional Arabic" w:hint="cs"/>
          <w:b/>
          <w:bCs/>
          <w:sz w:val="36"/>
          <w:szCs w:val="36"/>
          <w:rtl/>
        </w:rPr>
        <w:t>الأول</w:t>
      </w:r>
      <w:r w:rsidRPr="00DD6416">
        <w:rPr>
          <w:rFonts w:ascii="Traditional Arabic" w:eastAsia="Calibri" w:hAnsi="Traditional Arabic" w:cs="Traditional Arabic" w:hint="cs"/>
          <w:b/>
          <w:bCs/>
          <w:sz w:val="36"/>
          <w:szCs w:val="36"/>
          <w:rtl/>
        </w:rPr>
        <w:t>: الاطار النظري للدراسة</w:t>
      </w:r>
    </w:p>
    <w:p w14:paraId="64541662" w14:textId="04E45D28"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 xml:space="preserve">المبحث </w:t>
      </w:r>
      <w:r w:rsidR="0041582E" w:rsidRPr="006504A0">
        <w:rPr>
          <w:rFonts w:ascii="Traditional Arabic" w:eastAsia="Calibri" w:hAnsi="Traditional Arabic" w:cs="Traditional Arabic" w:hint="cs"/>
          <w:b/>
          <w:bCs/>
          <w:sz w:val="32"/>
          <w:szCs w:val="32"/>
          <w:rtl/>
        </w:rPr>
        <w:t>الأول</w:t>
      </w:r>
      <w:r w:rsidRPr="006504A0">
        <w:rPr>
          <w:rFonts w:ascii="Traditional Arabic" w:eastAsia="Calibri" w:hAnsi="Traditional Arabic" w:cs="Traditional Arabic" w:hint="cs"/>
          <w:b/>
          <w:bCs/>
          <w:sz w:val="32"/>
          <w:szCs w:val="32"/>
          <w:rtl/>
        </w:rPr>
        <w:t>: ا</w:t>
      </w:r>
      <w:r w:rsidRPr="006504A0">
        <w:rPr>
          <w:rFonts w:ascii="Traditional Arabic" w:eastAsia="Calibri" w:hAnsi="Traditional Arabic" w:cs="Traditional Arabic"/>
          <w:b/>
          <w:bCs/>
          <w:sz w:val="32"/>
          <w:szCs w:val="32"/>
          <w:rtl/>
        </w:rPr>
        <w:t>لبناء المفاهيمي والنظري للدراسة</w:t>
      </w:r>
    </w:p>
    <w:p w14:paraId="08EBA21E" w14:textId="58756DC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تعد جودة المعلم من أكثر العوامل تأثيرا في فاعلية النظام التعليمي، إذ 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تحسين مخرجات التعليم لا يمكن تحقيقه دون الاستثمار في تطوير المعلمين مهنيا. ومع التحولات المتسارعة التي يشهدها التعليم نتيجة التقدم التكنولوجي وتغير متطلبات التعلم، لم يعد </w:t>
      </w:r>
      <w:proofErr w:type="spellStart"/>
      <w:r w:rsidRPr="006504A0">
        <w:rPr>
          <w:rFonts w:ascii="Traditional Arabic" w:eastAsia="Calibri" w:hAnsi="Traditional Arabic" w:cs="Traditional Arabic"/>
          <w:sz w:val="32"/>
          <w:szCs w:val="32"/>
          <w:rtl/>
        </w:rPr>
        <w:t>الاعداد</w:t>
      </w:r>
      <w:proofErr w:type="spellEnd"/>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الاولي</w:t>
      </w:r>
      <w:proofErr w:type="spellEnd"/>
      <w:r w:rsidRPr="006504A0">
        <w:rPr>
          <w:rFonts w:ascii="Traditional Arabic" w:eastAsia="Calibri" w:hAnsi="Traditional Arabic" w:cs="Traditional Arabic"/>
          <w:sz w:val="32"/>
          <w:szCs w:val="32"/>
          <w:rtl/>
        </w:rPr>
        <w:t xml:space="preserve"> للمعلم كافيا لضمان استمرارية كفاءته المهنية، بل أصبح التعلم المستمر ضرورة استراتيجية تفرضها طبيعة المهنة ذاتها. وفي هذا السياق، برزت التنمية المهنية بوصفها مدخلا إصلاحيا رئيسيا يستهدف تحسين الممارسات التدريسية وتعزيز قدرة المعلم على التكيف مع البيئات التعليمية المتغيرة</w:t>
      </w:r>
      <w:r w:rsidRPr="006504A0">
        <w:rPr>
          <w:rFonts w:ascii="Traditional Arabic" w:eastAsia="Calibri" w:hAnsi="Traditional Arabic" w:cs="Traditional Arabic"/>
          <w:sz w:val="32"/>
          <w:szCs w:val="32"/>
        </w:rPr>
        <w:t>.</w:t>
      </w:r>
    </w:p>
    <w:p w14:paraId="52B71DAF" w14:textId="615735B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تنسجم</w:t>
      </w:r>
      <w:proofErr w:type="gramEnd"/>
      <w:r w:rsidRPr="006504A0">
        <w:rPr>
          <w:rFonts w:ascii="Traditional Arabic" w:eastAsia="Calibri" w:hAnsi="Traditional Arabic" w:cs="Traditional Arabic"/>
          <w:sz w:val="32"/>
          <w:szCs w:val="32"/>
          <w:rtl/>
        </w:rPr>
        <w:t xml:space="preserve"> هذه الرؤية مع توجهات النظم التعليمية الحديثة التي تنظر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المعلم باعتباره متعلما مدى الحياة، يحتاج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تجديد معارفه وتطوير مهاراته بصورة مستمرة حتى يتمكن من الاستجابة لاحتياجات المتعلمين المتنوعة. وفي السياق السعودي، ارتبطت جهود التنمية المهنية بمبادرات تطوير التعليم ومعايير الرخصة المهنية،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يعكس انتقال السياسة التعليمية من التركيز على </w:t>
      </w:r>
      <w:r w:rsidR="00DD6416" w:rsidRPr="006504A0">
        <w:rPr>
          <w:rFonts w:ascii="Traditional Arabic" w:eastAsia="Calibri" w:hAnsi="Traditional Arabic" w:cs="Traditional Arabic" w:hint="cs"/>
          <w:sz w:val="32"/>
          <w:szCs w:val="32"/>
          <w:rtl/>
        </w:rPr>
        <w:t>الإعداد</w:t>
      </w:r>
      <w:r w:rsidRPr="006504A0">
        <w:rPr>
          <w:rFonts w:ascii="Traditional Arabic" w:eastAsia="Calibri" w:hAnsi="Traditional Arabic" w:cs="Traditional Arabic"/>
          <w:sz w:val="32"/>
          <w:szCs w:val="32"/>
          <w:rtl/>
        </w:rPr>
        <w:t xml:space="preserve"> </w:t>
      </w:r>
      <w:r w:rsidR="00DD6416" w:rsidRPr="006504A0">
        <w:rPr>
          <w:rFonts w:ascii="Traditional Arabic" w:eastAsia="Calibri" w:hAnsi="Traditional Arabic" w:cs="Traditional Arabic" w:hint="cs"/>
          <w:sz w:val="32"/>
          <w:szCs w:val="32"/>
          <w:rtl/>
        </w:rPr>
        <w:t>الأولي</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تبني نموذج النمو المهني المستدام (</w:t>
      </w:r>
      <w:proofErr w:type="spellStart"/>
      <w:r w:rsidRPr="006504A0">
        <w:rPr>
          <w:rFonts w:ascii="Traditional Arabic" w:eastAsia="Calibri" w:hAnsi="Traditional Arabic" w:cs="Traditional Arabic"/>
          <w:sz w:val="32"/>
          <w:szCs w:val="32"/>
          <w:rtl/>
        </w:rPr>
        <w:t>الحيكان</w:t>
      </w:r>
      <w:proofErr w:type="spellEnd"/>
      <w:r w:rsidRPr="006504A0">
        <w:rPr>
          <w:rFonts w:ascii="Traditional Arabic" w:eastAsia="Calibri" w:hAnsi="Traditional Arabic" w:cs="Traditional Arabic"/>
          <w:sz w:val="32"/>
          <w:szCs w:val="32"/>
          <w:rtl/>
        </w:rPr>
        <w:t>، 2024).</w:t>
      </w:r>
    </w:p>
    <w:p w14:paraId="55FA92AC" w14:textId="77777777"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lastRenderedPageBreak/>
        <w:t>انطلاقا من ذلك، يتشكل الاطار النظري للدراسة الحالية حول محورين رئيسيين: التنمية المهنية للمعلمين بوصفها متغيرا مستقلا، والكفاءة التدريسية بوصفها متغيرا تابعا، مع تحليل العلاقة التفسيرية التي تربط بينهما</w:t>
      </w:r>
      <w:r w:rsidRPr="006504A0">
        <w:rPr>
          <w:rFonts w:ascii="Traditional Arabic" w:eastAsia="Calibri" w:hAnsi="Traditional Arabic" w:cs="Traditional Arabic"/>
          <w:sz w:val="32"/>
          <w:szCs w:val="32"/>
        </w:rPr>
        <w:t>.</w:t>
      </w:r>
    </w:p>
    <w:p w14:paraId="32F5AF1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08D9B0FF" w14:textId="4876C4E6" w:rsidR="006504A0" w:rsidRPr="006504A0" w:rsidRDefault="00DD6416"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أولا</w:t>
      </w:r>
      <w:r w:rsidR="006504A0" w:rsidRPr="006504A0">
        <w:rPr>
          <w:rFonts w:ascii="Traditional Arabic" w:eastAsia="Calibri" w:hAnsi="Traditional Arabic" w:cs="Traditional Arabic"/>
          <w:b/>
          <w:bCs/>
          <w:sz w:val="32"/>
          <w:szCs w:val="32"/>
          <w:rtl/>
        </w:rPr>
        <w:t xml:space="preserve">: التنمية المهنية للمعلمين – </w:t>
      </w:r>
      <w:proofErr w:type="gramStart"/>
      <w:r w:rsidR="006504A0" w:rsidRPr="006504A0">
        <w:rPr>
          <w:rFonts w:ascii="Traditional Arabic" w:eastAsia="Calibri" w:hAnsi="Traditional Arabic" w:cs="Traditional Arabic"/>
          <w:b/>
          <w:bCs/>
          <w:sz w:val="32"/>
          <w:szCs w:val="32"/>
          <w:rtl/>
        </w:rPr>
        <w:t>تطور</w:t>
      </w:r>
      <w:proofErr w:type="gramEnd"/>
      <w:r w:rsidR="006504A0" w:rsidRPr="006504A0">
        <w:rPr>
          <w:rFonts w:ascii="Traditional Arabic" w:eastAsia="Calibri" w:hAnsi="Traditional Arabic" w:cs="Traditional Arabic"/>
          <w:b/>
          <w:bCs/>
          <w:sz w:val="32"/>
          <w:szCs w:val="32"/>
          <w:rtl/>
        </w:rPr>
        <w:t xml:space="preserve"> المفهوم </w:t>
      </w:r>
      <w:r w:rsidRPr="006504A0">
        <w:rPr>
          <w:rFonts w:ascii="Traditional Arabic" w:eastAsia="Calibri" w:hAnsi="Traditional Arabic" w:cs="Traditional Arabic" w:hint="cs"/>
          <w:b/>
          <w:bCs/>
          <w:sz w:val="32"/>
          <w:szCs w:val="32"/>
          <w:rtl/>
        </w:rPr>
        <w:t>والأسس</w:t>
      </w:r>
      <w:r w:rsidR="006504A0" w:rsidRPr="006504A0">
        <w:rPr>
          <w:rFonts w:ascii="Traditional Arabic" w:eastAsia="Calibri" w:hAnsi="Traditional Arabic" w:cs="Traditional Arabic"/>
          <w:b/>
          <w:bCs/>
          <w:sz w:val="32"/>
          <w:szCs w:val="32"/>
          <w:rtl/>
        </w:rPr>
        <w:t xml:space="preserve"> النظرية</w:t>
      </w:r>
    </w:p>
    <w:p w14:paraId="2267D851" w14:textId="4878EB9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شهد</w:t>
      </w:r>
      <w:proofErr w:type="gramEnd"/>
      <w:r w:rsidRPr="006504A0">
        <w:rPr>
          <w:rFonts w:ascii="Traditional Arabic" w:eastAsia="Calibri" w:hAnsi="Traditional Arabic" w:cs="Traditional Arabic"/>
          <w:sz w:val="32"/>
          <w:szCs w:val="32"/>
          <w:rtl/>
        </w:rPr>
        <w:t xml:space="preserve"> مفهوم التنمية المهنية تحولا جوهريا خلال العقود الماضية، حيث انتقل من كونه نشاطا تدريبيا قصير المدى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كونه عملية تعلم مهني مستمرة ومنظمة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والممارسات الصفية للمعلمين. ويعرف </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Guskey</w:t>
      </w:r>
      <w:proofErr w:type="spellEnd"/>
      <w:r w:rsidRPr="006504A0">
        <w:rPr>
          <w:rFonts w:ascii="Traditional Arabic" w:eastAsia="Calibri" w:hAnsi="Traditional Arabic" w:cs="Traditional Arabic"/>
          <w:sz w:val="32"/>
          <w:szCs w:val="32"/>
        </w:rPr>
        <w:t>, 2002</w:t>
      </w:r>
      <w:r w:rsidRPr="006504A0">
        <w:rPr>
          <w:rFonts w:ascii="Traditional Arabic" w:eastAsia="Calibri" w:hAnsi="Traditional Arabic" w:cs="Traditional Arabic"/>
          <w:sz w:val="32"/>
          <w:szCs w:val="32"/>
          <w:rtl/>
        </w:rPr>
        <w:t xml:space="preserve">) التنمية المهنية بأنها مجموعة العمليات المتعمدة التي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إحداث تغيير في ممارسات المعلمين بما يؤدي في النهاية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تعلم الطلبة. ويشير هذا التعريف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القيمة الحقيقية للتنمية المهنية لا تكمن في التدريب ذاته، بل في قدرتها على إحداث تغيير قابل للملاحظة في السلوك التدريسي.</w:t>
      </w:r>
    </w:p>
    <w:p w14:paraId="04E25F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منظور أكثر شمولية، يرى</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Desimone</w:t>
      </w:r>
      <w:proofErr w:type="spellEnd"/>
      <w:r w:rsidRPr="006504A0">
        <w:rPr>
          <w:rFonts w:ascii="Traditional Arabic" w:eastAsia="Calibri" w:hAnsi="Traditional Arabic" w:cs="Traditional Arabic"/>
          <w:sz w:val="32"/>
          <w:szCs w:val="32"/>
        </w:rPr>
        <w:t xml:space="preserve">, (2009)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نظاما مترابطا من الخبرات التعليمية التي تركز على محتوى التخصص، وتدعم التعلم النشط، وتعزز التعاون بين المعلمين، وتوفر تغذية راجعة مستمرة. ويعد هذا الطرح من أكثر النماذج تأثيرا في تفسير فاعلية برامج التطوير المهني، </w:t>
      </w:r>
      <w:proofErr w:type="spellStart"/>
      <w:r w:rsidRPr="006504A0">
        <w:rPr>
          <w:rFonts w:ascii="Traditional Arabic" w:eastAsia="Calibri" w:hAnsi="Traditional Arabic" w:cs="Traditional Arabic"/>
          <w:sz w:val="32"/>
          <w:szCs w:val="32"/>
          <w:rtl/>
        </w:rPr>
        <w:t>اذ</w:t>
      </w:r>
      <w:proofErr w:type="spellEnd"/>
      <w:r w:rsidRPr="006504A0">
        <w:rPr>
          <w:rFonts w:ascii="Traditional Arabic" w:eastAsia="Calibri" w:hAnsi="Traditional Arabic" w:cs="Traditional Arabic"/>
          <w:sz w:val="32"/>
          <w:szCs w:val="32"/>
          <w:rtl/>
        </w:rPr>
        <w:t xml:space="preserve"> يربط بين خصائص البرنامج وبين التغير المتوقع في معرفة المعلم وممارساته</w:t>
      </w:r>
      <w:r w:rsidRPr="006504A0">
        <w:rPr>
          <w:rFonts w:ascii="Traditional Arabic" w:eastAsia="Calibri" w:hAnsi="Traditional Arabic" w:cs="Traditional Arabic"/>
          <w:sz w:val="32"/>
          <w:szCs w:val="32"/>
        </w:rPr>
        <w:t>.</w:t>
      </w:r>
    </w:p>
    <w:p w14:paraId="7B6F4944" w14:textId="4EDFCA1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وتدعم نتائج</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Garet</w:t>
      </w:r>
      <w:proofErr w:type="spellEnd"/>
      <w:r w:rsidRPr="006504A0">
        <w:rPr>
          <w:rFonts w:ascii="Traditional Arabic" w:eastAsia="Calibri" w:hAnsi="Traditional Arabic" w:cs="Traditional Arabic"/>
          <w:sz w:val="32"/>
          <w:szCs w:val="32"/>
        </w:rPr>
        <w:t xml:space="preserve"> et al. </w:t>
      </w:r>
      <w:proofErr w:type="gramStart"/>
      <w:r w:rsidRPr="006504A0">
        <w:rPr>
          <w:rFonts w:ascii="Traditional Arabic" w:eastAsia="Calibri" w:hAnsi="Traditional Arabic" w:cs="Traditional Arabic"/>
          <w:sz w:val="32"/>
          <w:szCs w:val="32"/>
        </w:rPr>
        <w:t xml:space="preserve">(2001) </w:t>
      </w:r>
      <w:r w:rsidRPr="006504A0">
        <w:rPr>
          <w:rFonts w:ascii="Traditional Arabic" w:eastAsia="Calibri" w:hAnsi="Traditional Arabic" w:cs="Traditional Arabic"/>
          <w:sz w:val="32"/>
          <w:szCs w:val="32"/>
          <w:rtl/>
        </w:rPr>
        <w:t xml:space="preserve">هذا الاتجاه، حيث توصلت دراستهم واسعة النطاق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البرامج المهنية تكون أكثر تأثيرا عندما تتسم بالاستمرارية والتركيز على المحتوى وإتاحة فرص التطبيق </w:t>
      </w:r>
      <w:r w:rsidRPr="006504A0">
        <w:rPr>
          <w:rFonts w:ascii="Traditional Arabic" w:eastAsia="Calibri" w:hAnsi="Traditional Arabic" w:cs="Traditional Arabic"/>
          <w:sz w:val="32"/>
          <w:szCs w:val="32"/>
          <w:rtl/>
        </w:rPr>
        <w:lastRenderedPageBreak/>
        <w:t xml:space="preserve">العملي، وهو ما يؤكد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الفعالة تتجاوز النموذج التقليدي القائم على المحاضرات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نموذج تعلم مهني تفاعلي</w:t>
      </w:r>
      <w:r w:rsidRPr="006504A0">
        <w:rPr>
          <w:rFonts w:ascii="Traditional Arabic" w:eastAsia="Calibri" w:hAnsi="Traditional Arabic" w:cs="Traditional Arabic"/>
          <w:sz w:val="32"/>
          <w:szCs w:val="32"/>
        </w:rPr>
        <w:t>.</w:t>
      </w:r>
      <w:proofErr w:type="gramEnd"/>
    </w:p>
    <w:p w14:paraId="775AA14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ويتفق هذا التصور مع ما أشارت </w:t>
      </w:r>
      <w:proofErr w:type="spellStart"/>
      <w:r w:rsidRPr="006504A0">
        <w:rPr>
          <w:rFonts w:ascii="Traditional Arabic" w:eastAsia="Calibri" w:hAnsi="Traditional Arabic" w:cs="Traditional Arabic"/>
          <w:sz w:val="32"/>
          <w:szCs w:val="32"/>
          <w:rtl/>
        </w:rPr>
        <w:t>اليه</w:t>
      </w:r>
      <w:proofErr w:type="spellEnd"/>
      <w:r w:rsidRPr="006504A0">
        <w:rPr>
          <w:rFonts w:ascii="Traditional Arabic" w:eastAsia="Calibri" w:hAnsi="Traditional Arabic" w:cs="Traditional Arabic"/>
          <w:sz w:val="32"/>
          <w:szCs w:val="32"/>
          <w:rtl/>
        </w:rPr>
        <w:t xml:space="preserve"> الدراسات العربية، حيث تؤكد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أداة استراتيجية لتحسين جودة التعليم من خلال تمكين المعلمين من مواكبة المستجدات التربوية وتعزيز ممارساتهم الصفية (</w:t>
      </w:r>
      <w:proofErr w:type="spellStart"/>
      <w:r w:rsidRPr="006504A0">
        <w:rPr>
          <w:rFonts w:ascii="Traditional Arabic" w:eastAsia="Calibri" w:hAnsi="Traditional Arabic" w:cs="Traditional Arabic"/>
          <w:sz w:val="32"/>
          <w:szCs w:val="32"/>
          <w:rtl/>
        </w:rPr>
        <w:t>الفجام</w:t>
      </w:r>
      <w:proofErr w:type="spellEnd"/>
      <w:r w:rsidRPr="006504A0">
        <w:rPr>
          <w:rFonts w:ascii="Traditional Arabic" w:eastAsia="Calibri" w:hAnsi="Traditional Arabic" w:cs="Traditional Arabic"/>
          <w:sz w:val="32"/>
          <w:szCs w:val="32"/>
          <w:rtl/>
        </w:rPr>
        <w:t xml:space="preserve">، المنصوري، والدويلة، 2017). كما يرى أبو كشك ومهدي (2016)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التطوير المهني يسهم في بناء معلم قادر على التفكير التأملي واتخاذ قرارات تربوية أكثر فاعلية داخل الصف.</w:t>
      </w:r>
    </w:p>
    <w:p w14:paraId="6AEADA84" w14:textId="53710C67"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من زاوية تفسيرية، يقدم</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Guskey</w:t>
      </w:r>
      <w:proofErr w:type="spellEnd"/>
      <w:r w:rsidRPr="006504A0">
        <w:rPr>
          <w:rFonts w:ascii="Traditional Arabic" w:eastAsia="Calibri" w:hAnsi="Traditional Arabic" w:cs="Traditional Arabic"/>
          <w:sz w:val="32"/>
          <w:szCs w:val="32"/>
        </w:rPr>
        <w:t xml:space="preserve">, (2002) </w:t>
      </w:r>
      <w:r w:rsidRPr="006504A0">
        <w:rPr>
          <w:rFonts w:ascii="Traditional Arabic" w:eastAsia="Calibri" w:hAnsi="Traditional Arabic" w:cs="Traditional Arabic"/>
          <w:sz w:val="32"/>
          <w:szCs w:val="32"/>
          <w:rtl/>
        </w:rPr>
        <w:t xml:space="preserve">نموذجا مهما لفهم آلية تأثير التنمية المهنية، إذ يرى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التغيير في معتقدات المعلم لا يحدث مباشرة بعد التدريب، بل يبدأ غالبا بتغيير الممارسة التدريسية، ثم يظهر أثره في تحسن تعلم الطلبة،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يؤدي لاحقا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تعديل قناعات المعلم المهنية. </w:t>
      </w:r>
      <w:proofErr w:type="gramStart"/>
      <w:r w:rsidRPr="006504A0">
        <w:rPr>
          <w:rFonts w:ascii="Traditional Arabic" w:eastAsia="Calibri" w:hAnsi="Traditional Arabic" w:cs="Traditional Arabic"/>
          <w:sz w:val="32"/>
          <w:szCs w:val="32"/>
          <w:rtl/>
        </w:rPr>
        <w:t>ويعد</w:t>
      </w:r>
      <w:proofErr w:type="gramEnd"/>
      <w:r w:rsidRPr="006504A0">
        <w:rPr>
          <w:rFonts w:ascii="Traditional Arabic" w:eastAsia="Calibri" w:hAnsi="Traditional Arabic" w:cs="Traditional Arabic"/>
          <w:sz w:val="32"/>
          <w:szCs w:val="32"/>
          <w:rtl/>
        </w:rPr>
        <w:t xml:space="preserve"> هذا التسلسل من النماذج النظرية الجوهرية في تفسير العلاقة بين التدريب وتحسين الأداء</w:t>
      </w:r>
      <w:r w:rsidRPr="006504A0">
        <w:rPr>
          <w:rFonts w:ascii="Traditional Arabic" w:eastAsia="Calibri" w:hAnsi="Traditional Arabic" w:cs="Traditional Arabic"/>
          <w:sz w:val="32"/>
          <w:szCs w:val="32"/>
        </w:rPr>
        <w:t>.</w:t>
      </w:r>
    </w:p>
    <w:p w14:paraId="164A35B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4ECDE82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ثانيا: </w:t>
      </w:r>
      <w:proofErr w:type="gramStart"/>
      <w:r w:rsidRPr="006504A0">
        <w:rPr>
          <w:rFonts w:ascii="Traditional Arabic" w:eastAsia="Calibri" w:hAnsi="Traditional Arabic" w:cs="Traditional Arabic"/>
          <w:b/>
          <w:bCs/>
          <w:sz w:val="32"/>
          <w:szCs w:val="32"/>
          <w:rtl/>
        </w:rPr>
        <w:t>خصائص</w:t>
      </w:r>
      <w:proofErr w:type="gramEnd"/>
      <w:r w:rsidRPr="006504A0">
        <w:rPr>
          <w:rFonts w:ascii="Traditional Arabic" w:eastAsia="Calibri" w:hAnsi="Traditional Arabic" w:cs="Traditional Arabic"/>
          <w:b/>
          <w:bCs/>
          <w:sz w:val="32"/>
          <w:szCs w:val="32"/>
          <w:rtl/>
        </w:rPr>
        <w:t xml:space="preserve"> التنمية المهنية الفعالة</w:t>
      </w:r>
    </w:p>
    <w:p w14:paraId="4C50C151" w14:textId="3BA689E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فاعلية برامج التنمية المهنية تعتمد على مجموعة من الخصائص الجوهرية. فقد </w:t>
      </w:r>
      <w:proofErr w:type="gramStart"/>
      <w:r w:rsidRPr="006504A0">
        <w:rPr>
          <w:rFonts w:ascii="Traditional Arabic" w:eastAsia="Calibri" w:hAnsi="Traditional Arabic" w:cs="Traditional Arabic"/>
          <w:sz w:val="32"/>
          <w:szCs w:val="32"/>
          <w:rtl/>
        </w:rPr>
        <w:t>أكدت</w:t>
      </w:r>
      <w:proofErr w:type="gramEnd"/>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 xml:space="preserve">Darling-Hammond et al. </w:t>
      </w:r>
      <w:proofErr w:type="gramStart"/>
      <w:r w:rsidRPr="006504A0">
        <w:rPr>
          <w:rFonts w:ascii="Traditional Arabic" w:eastAsia="Calibri" w:hAnsi="Traditional Arabic" w:cs="Traditional Arabic"/>
          <w:sz w:val="32"/>
          <w:szCs w:val="32"/>
        </w:rPr>
        <w:t>2017)</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البرامج التي تدمج التعلم النشط، وتربط التدريب بالممارسة، وتوفر دعما مستمرا داخل المدرسة، تحقق تأثيرا أكبر في تحسين التدريس مقارنة بالبرامج القصيرة والمنفصلة عن الواقع التعليمي</w:t>
      </w:r>
      <w:r w:rsidRPr="006504A0">
        <w:rPr>
          <w:rFonts w:ascii="Traditional Arabic" w:eastAsia="Calibri" w:hAnsi="Traditional Arabic" w:cs="Traditional Arabic"/>
          <w:sz w:val="32"/>
          <w:szCs w:val="32"/>
        </w:rPr>
        <w:t>.</w:t>
      </w:r>
      <w:proofErr w:type="gramEnd"/>
    </w:p>
    <w:p w14:paraId="51151864" w14:textId="19CA576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في السياق ذاته، يوضح</w:t>
      </w:r>
      <w:r w:rsidRPr="006504A0">
        <w:rPr>
          <w:rFonts w:ascii="Traditional Arabic" w:eastAsia="Calibri" w:hAnsi="Traditional Arabic" w:cs="Traditional Arabic"/>
          <w:sz w:val="32"/>
          <w:szCs w:val="32"/>
        </w:rPr>
        <w:t xml:space="preserve"> Joyce and Showers, (2002)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التدريب لا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تغيير فعلي في الممارسة ما لم يتبعه تدريب عملي وملاحظة صفية وتغذية راجعة، وهو ما يعرف بالتدريب المصحوب بالدعم المهني. وتكتسب هذه الفكرة أهمية خاصة في المرحلة الابتدائية، حيث تعتمد جودة التدريس بدرجة كبيرة على المهارات التطبيقية للمعلم</w:t>
      </w:r>
      <w:r w:rsidRPr="006504A0">
        <w:rPr>
          <w:rFonts w:ascii="Traditional Arabic" w:eastAsia="Calibri" w:hAnsi="Traditional Arabic" w:cs="Traditional Arabic"/>
          <w:sz w:val="32"/>
          <w:szCs w:val="32"/>
        </w:rPr>
        <w:t>.</w:t>
      </w:r>
    </w:p>
    <w:p w14:paraId="3155979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تنسجم هذه النتائج مع ما توصلت </w:t>
      </w:r>
      <w:proofErr w:type="spellStart"/>
      <w:r w:rsidRPr="006504A0">
        <w:rPr>
          <w:rFonts w:ascii="Traditional Arabic" w:eastAsia="Calibri" w:hAnsi="Traditional Arabic" w:cs="Traditional Arabic"/>
          <w:sz w:val="32"/>
          <w:szCs w:val="32"/>
          <w:rtl/>
        </w:rPr>
        <w:t>اليه</w:t>
      </w:r>
      <w:proofErr w:type="spellEnd"/>
      <w:r w:rsidRPr="006504A0">
        <w:rPr>
          <w:rFonts w:ascii="Traditional Arabic" w:eastAsia="Calibri" w:hAnsi="Traditional Arabic" w:cs="Traditional Arabic"/>
          <w:sz w:val="32"/>
          <w:szCs w:val="32"/>
          <w:rtl/>
        </w:rPr>
        <w:t xml:space="preserve"> دراسة</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Alhazmi</w:t>
      </w:r>
      <w:proofErr w:type="spellEnd"/>
      <w:r w:rsidRPr="006504A0">
        <w:rPr>
          <w:rFonts w:ascii="Traditional Arabic" w:eastAsia="Calibri" w:hAnsi="Traditional Arabic" w:cs="Traditional Arabic"/>
          <w:sz w:val="32"/>
          <w:szCs w:val="32"/>
        </w:rPr>
        <w:t xml:space="preserve"> et al. </w:t>
      </w:r>
      <w:proofErr w:type="gramStart"/>
      <w:r w:rsidRPr="006504A0">
        <w:rPr>
          <w:rFonts w:ascii="Traditional Arabic" w:eastAsia="Calibri" w:hAnsi="Traditional Arabic" w:cs="Traditional Arabic"/>
          <w:sz w:val="32"/>
          <w:szCs w:val="32"/>
        </w:rPr>
        <w:t xml:space="preserve">(2022) </w:t>
      </w:r>
      <w:r w:rsidRPr="006504A0">
        <w:rPr>
          <w:rFonts w:ascii="Traditional Arabic" w:eastAsia="Calibri" w:hAnsi="Traditional Arabic" w:cs="Traditional Arabic"/>
          <w:sz w:val="32"/>
          <w:szCs w:val="32"/>
          <w:rtl/>
        </w:rPr>
        <w:t>التي أكدت ضرورة مواءمة برامج التنمية المهنية مع معايير الرخصة المهنية لضمان تحسين الأداء التدريسي</w:t>
      </w:r>
      <w:r w:rsidRPr="006504A0">
        <w:rPr>
          <w:rFonts w:ascii="Traditional Arabic" w:eastAsia="Calibri" w:hAnsi="Traditional Arabic" w:cs="Traditional Arabic"/>
          <w:sz w:val="32"/>
          <w:szCs w:val="32"/>
        </w:rPr>
        <w:t>.</w:t>
      </w:r>
      <w:proofErr w:type="gramEnd"/>
    </w:p>
    <w:p w14:paraId="3BA6090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lang w:bidi="ar-JO"/>
        </w:rPr>
      </w:pPr>
    </w:p>
    <w:p w14:paraId="6BB409D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ثالثا</w:t>
      </w:r>
      <w:r w:rsidRPr="006504A0">
        <w:rPr>
          <w:rFonts w:ascii="Traditional Arabic" w:eastAsia="Calibri" w:hAnsi="Traditional Arabic" w:cs="Traditional Arabic"/>
          <w:b/>
          <w:bCs/>
          <w:sz w:val="32"/>
          <w:szCs w:val="32"/>
          <w:rtl/>
        </w:rPr>
        <w:t xml:space="preserve">: الكفاءة التدريسية – الجذور </w:t>
      </w:r>
      <w:proofErr w:type="spellStart"/>
      <w:r w:rsidRPr="006504A0">
        <w:rPr>
          <w:rFonts w:ascii="Traditional Arabic" w:eastAsia="Calibri" w:hAnsi="Traditional Arabic" w:cs="Traditional Arabic"/>
          <w:b/>
          <w:bCs/>
          <w:sz w:val="32"/>
          <w:szCs w:val="32"/>
          <w:rtl/>
        </w:rPr>
        <w:t>المفاهيمية</w:t>
      </w:r>
      <w:proofErr w:type="spellEnd"/>
      <w:r w:rsidRPr="006504A0">
        <w:rPr>
          <w:rFonts w:ascii="Traditional Arabic" w:eastAsia="Calibri" w:hAnsi="Traditional Arabic" w:cs="Traditional Arabic"/>
          <w:b/>
          <w:bCs/>
          <w:sz w:val="32"/>
          <w:szCs w:val="32"/>
          <w:rtl/>
        </w:rPr>
        <w:t xml:space="preserve"> والبناء النظري</w:t>
      </w:r>
    </w:p>
    <w:p w14:paraId="74EB13FC" w14:textId="2C420F3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تعد الكفاءة التدريسية مفهوما محوريا في أدبيات إعداد المعلمين، وقد تطور هذا المفهوم ليشمل مزيجا من المعارف المهنية والمهارات التطبيقية والقدرة على اتخاذ قرارات تعليمية فعالة. ويعد طرح</w:t>
      </w:r>
      <w:r w:rsidRPr="006504A0">
        <w:rPr>
          <w:rFonts w:ascii="Traditional Arabic" w:eastAsia="Calibri" w:hAnsi="Traditional Arabic" w:cs="Traditional Arabic"/>
          <w:sz w:val="32"/>
          <w:szCs w:val="32"/>
        </w:rPr>
        <w:t xml:space="preserve"> Shulman, (1986) </w:t>
      </w:r>
      <w:r w:rsidRPr="006504A0">
        <w:rPr>
          <w:rFonts w:ascii="Traditional Arabic" w:eastAsia="Calibri" w:hAnsi="Traditional Arabic" w:cs="Traditional Arabic"/>
          <w:sz w:val="32"/>
          <w:szCs w:val="32"/>
          <w:rtl/>
        </w:rPr>
        <w:t xml:space="preserve">حول "المعرفة التربوية للمحتوى" من أهم المداخل النظرية في هذا المجال، حيث أكد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المعلم الكفء ليس من يمتلك المعرفة العلمية فقط، بل من يستطيع تحويلها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خبرات تعلم قابلة للفهم لدى الطلبة</w:t>
      </w:r>
      <w:r w:rsidRPr="006504A0">
        <w:rPr>
          <w:rFonts w:ascii="Traditional Arabic" w:eastAsia="Calibri" w:hAnsi="Traditional Arabic" w:cs="Traditional Arabic"/>
          <w:sz w:val="32"/>
          <w:szCs w:val="32"/>
        </w:rPr>
        <w:t>.</w:t>
      </w:r>
    </w:p>
    <w:p w14:paraId="796AAD4B" w14:textId="2D93D9D8"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في هذا الإطار، تعرف الكفاءة التدريسية بأنها قدرة المعلم على التخطيط للتدريس وتنفيذه وتقويمه وإدارة بيئة التعلم بطريقة تحقق الأهداف التعليمية (الشهراني، 2024). كما تشير </w:t>
      </w:r>
      <w:r w:rsidRPr="006504A0">
        <w:rPr>
          <w:rFonts w:ascii="Traditional Arabic" w:eastAsia="Calibri" w:hAnsi="Traditional Arabic" w:cs="Traditional Arabic" w:hint="cs"/>
          <w:sz w:val="32"/>
          <w:szCs w:val="32"/>
          <w:rtl/>
        </w:rPr>
        <w:t xml:space="preserve">دراسة </w:t>
      </w:r>
      <w:r w:rsidRPr="006504A0">
        <w:rPr>
          <w:rFonts w:ascii="Traditional Arabic" w:eastAsia="Calibri" w:hAnsi="Traditional Arabic" w:cs="Traditional Arabic"/>
          <w:sz w:val="32"/>
          <w:szCs w:val="32"/>
          <w:rtl/>
        </w:rPr>
        <w:t xml:space="preserve">عرار (2023) </w:t>
      </w:r>
      <w:r w:rsidR="00976DAD">
        <w:rPr>
          <w:rFonts w:ascii="Traditional Arabic" w:eastAsia="Calibri" w:hAnsi="Traditional Arabic" w:cs="Traditional Arabic" w:hint="cs"/>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تمثل مؤشرا مباشرا على جودة الممارسات الصفية، وترتبط ارتباطا وثيقا بمستوى التدريب الذي يتلقاه المعلم</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وتؤكد الأدبيات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ليست سمة ثابتة، بل بناء مهني قابل للتطور عبر التعلم </w:t>
      </w:r>
      <w:r w:rsidRPr="006504A0">
        <w:rPr>
          <w:rFonts w:ascii="Traditional Arabic" w:eastAsia="Calibri" w:hAnsi="Traditional Arabic" w:cs="Traditional Arabic"/>
          <w:sz w:val="32"/>
          <w:szCs w:val="32"/>
          <w:rtl/>
        </w:rPr>
        <w:lastRenderedPageBreak/>
        <w:t xml:space="preserve">والخبرة. </w:t>
      </w:r>
      <w:r w:rsidRPr="006504A0">
        <w:rPr>
          <w:rFonts w:ascii="Traditional Arabic" w:eastAsia="Calibri" w:hAnsi="Traditional Arabic" w:cs="Traditional Arabic" w:hint="cs"/>
          <w:sz w:val="32"/>
          <w:szCs w:val="32"/>
          <w:rtl/>
        </w:rPr>
        <w:t xml:space="preserve">وان </w:t>
      </w:r>
      <w:r w:rsidRPr="006504A0">
        <w:rPr>
          <w:rFonts w:ascii="Traditional Arabic" w:eastAsia="Calibri" w:hAnsi="Traditional Arabic" w:cs="Traditional Arabic"/>
          <w:sz w:val="32"/>
          <w:szCs w:val="32"/>
          <w:rtl/>
        </w:rPr>
        <w:t>المعلمين الذين يشاركون بانتظام في برامج التطوير المهني يظهرون مستويات أعلى من الثقة المهنية والقدرة على إدارة الصف واستخدام استراتيجيات تدريس متنوعة</w:t>
      </w:r>
      <w:r w:rsidRPr="006504A0">
        <w:rPr>
          <w:rFonts w:ascii="Traditional Arabic" w:eastAsia="Calibri" w:hAnsi="Traditional Arabic" w:cs="Traditional Arabic" w:hint="cs"/>
          <w:sz w:val="32"/>
          <w:szCs w:val="32"/>
          <w:rtl/>
        </w:rPr>
        <w:t xml:space="preserve"> (عموش، 2020)</w:t>
      </w:r>
      <w:r w:rsidRPr="006504A0">
        <w:rPr>
          <w:rFonts w:ascii="Traditional Arabic" w:eastAsia="Calibri" w:hAnsi="Traditional Arabic" w:cs="Traditional Arabic"/>
          <w:sz w:val="32"/>
          <w:szCs w:val="32"/>
          <w:rtl/>
        </w:rPr>
        <w:t>.</w:t>
      </w:r>
    </w:p>
    <w:p w14:paraId="37FB375F"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0C87151A"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رابعا: </w:t>
      </w:r>
      <w:proofErr w:type="spellStart"/>
      <w:r w:rsidRPr="006504A0">
        <w:rPr>
          <w:rFonts w:ascii="Traditional Arabic" w:eastAsia="Calibri" w:hAnsi="Traditional Arabic" w:cs="Traditional Arabic"/>
          <w:b/>
          <w:bCs/>
          <w:sz w:val="32"/>
          <w:szCs w:val="32"/>
          <w:rtl/>
        </w:rPr>
        <w:t>ابعاد</w:t>
      </w:r>
      <w:proofErr w:type="spellEnd"/>
      <w:r w:rsidRPr="006504A0">
        <w:rPr>
          <w:rFonts w:ascii="Traditional Arabic" w:eastAsia="Calibri" w:hAnsi="Traditional Arabic" w:cs="Traditional Arabic"/>
          <w:b/>
          <w:bCs/>
          <w:sz w:val="32"/>
          <w:szCs w:val="32"/>
          <w:rtl/>
        </w:rPr>
        <w:t xml:space="preserve"> الكفاءة التدريسية</w:t>
      </w:r>
    </w:p>
    <w:p w14:paraId="35414DDA"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تعكس الكفاءة التدريسية منظومة متكاملة من الممارسات، من أبرزها التخطيط للتدريس، وإدارة الصف، والتقويم، والتفاعل مع الطلاب. وقد أظهرت دراسة سلام والزهيري (2022)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التخطيط يعد أساس العملية التدريسية، إذ يوجه اختيار الاستراتيجيات التعليمية وينظم خبرات التعلم</w:t>
      </w:r>
      <w:r w:rsidRPr="006504A0">
        <w:rPr>
          <w:rFonts w:ascii="Traditional Arabic" w:eastAsia="Calibri" w:hAnsi="Traditional Arabic" w:cs="Traditional Arabic"/>
          <w:sz w:val="32"/>
          <w:szCs w:val="32"/>
        </w:rPr>
        <w:t>.</w:t>
      </w:r>
    </w:p>
    <w:p w14:paraId="360C4A17" w14:textId="2AFE2000" w:rsidR="006504A0" w:rsidRDefault="006504A0" w:rsidP="00DD6416">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أما إدارة الصف، فتمثل شرطا ضروريا لحدوث التعلم، حيث تشير دراسة القطاوي (2022)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قدرة المعلم على تنظيم البيئة الصفية ترتبط مباشرة بمستوى تحصيل الطلبة. </w:t>
      </w:r>
      <w:proofErr w:type="gramStart"/>
      <w:r w:rsidRPr="006504A0">
        <w:rPr>
          <w:rFonts w:ascii="Traditional Arabic" w:eastAsia="Calibri" w:hAnsi="Traditional Arabic" w:cs="Traditional Arabic"/>
          <w:sz w:val="32"/>
          <w:szCs w:val="32"/>
          <w:rtl/>
        </w:rPr>
        <w:t>وفيما</w:t>
      </w:r>
      <w:proofErr w:type="gramEnd"/>
      <w:r w:rsidRPr="006504A0">
        <w:rPr>
          <w:rFonts w:ascii="Traditional Arabic" w:eastAsia="Calibri" w:hAnsi="Traditional Arabic" w:cs="Traditional Arabic"/>
          <w:sz w:val="32"/>
          <w:szCs w:val="32"/>
          <w:rtl/>
        </w:rPr>
        <w:t xml:space="preserve"> يتعلق بالتقويم، توصل الجراح وأبو عاشور (2021)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علاقة إيجابية بين فاعلية البرامج التدريبية وتحسن أداء المعلمين في استخدام أدوات التقييم</w:t>
      </w:r>
      <w:r w:rsidR="00DD6416">
        <w:rPr>
          <w:rFonts w:ascii="Traditional Arabic" w:eastAsia="Calibri" w:hAnsi="Traditional Arabic" w:cs="Traditional Arabic"/>
          <w:sz w:val="32"/>
          <w:szCs w:val="32"/>
        </w:rPr>
        <w:t>.</w:t>
      </w:r>
      <w:r w:rsidR="00DD6416">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كما تبرز مهارات التواصل مع الطلاب كأحد مؤشرات الكفاءة الحديثة، حيث تؤكد </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Alsamiri</w:t>
      </w:r>
      <w:proofErr w:type="spellEnd"/>
      <w:r w:rsidRPr="006504A0">
        <w:rPr>
          <w:rFonts w:ascii="Traditional Arabic" w:eastAsia="Calibri" w:hAnsi="Traditional Arabic" w:cs="Traditional Arabic"/>
          <w:sz w:val="32"/>
          <w:szCs w:val="32"/>
        </w:rPr>
        <w:t>, 2024</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تسهم في تعزيز وعي المعلمين باحتياجات الطلبة وتدعم قدرتهم على بناء علاقات تعليمية إيجابية.</w:t>
      </w:r>
    </w:p>
    <w:p w14:paraId="3B881074"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10831326"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خامسا</w:t>
      </w:r>
      <w:r w:rsidRPr="006504A0">
        <w:rPr>
          <w:rFonts w:ascii="Traditional Arabic" w:eastAsia="Calibri" w:hAnsi="Traditional Arabic" w:cs="Traditional Arabic"/>
          <w:b/>
          <w:bCs/>
          <w:sz w:val="32"/>
          <w:szCs w:val="32"/>
          <w:rtl/>
        </w:rPr>
        <w:t>: العلاقة النظرية بين التنمية المهنية والكفاءة التدريسية</w:t>
      </w:r>
    </w:p>
    <w:p w14:paraId="0F825487" w14:textId="0C4F733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تستند العلاقة بين التنمية المهنية وكفاءة المعلم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افتراض نظري مفاده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التعلم المهني المنظم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والتي تنعكس بدورها على الممارسة الصفية، ثم على تعلم الطلبة. وقد قدم </w:t>
      </w:r>
      <w:r w:rsidRPr="006504A0">
        <w:rPr>
          <w:rFonts w:ascii="Traditional Arabic" w:eastAsia="Calibri" w:hAnsi="Traditional Arabic" w:cs="Traditional Arabic" w:hint="cs"/>
          <w:sz w:val="32"/>
          <w:szCs w:val="32"/>
          <w:rtl/>
        </w:rPr>
        <w:lastRenderedPageBreak/>
        <w:t>(</w:t>
      </w:r>
      <w:proofErr w:type="spellStart"/>
      <w:r w:rsidRPr="006504A0">
        <w:rPr>
          <w:rFonts w:ascii="Traditional Arabic" w:eastAsia="Calibri" w:hAnsi="Traditional Arabic" w:cs="Traditional Arabic"/>
          <w:sz w:val="32"/>
          <w:szCs w:val="32"/>
        </w:rPr>
        <w:t>Desimone</w:t>
      </w:r>
      <w:proofErr w:type="spellEnd"/>
      <w:r w:rsidRPr="006504A0">
        <w:rPr>
          <w:rFonts w:ascii="Traditional Arabic" w:eastAsia="Calibri" w:hAnsi="Traditional Arabic" w:cs="Traditional Arabic"/>
          <w:sz w:val="32"/>
          <w:szCs w:val="32"/>
        </w:rPr>
        <w:t>, 2009</w:t>
      </w:r>
      <w:r w:rsidRPr="006504A0">
        <w:rPr>
          <w:rFonts w:ascii="Traditional Arabic" w:eastAsia="Calibri" w:hAnsi="Traditional Arabic" w:cs="Traditional Arabic"/>
          <w:sz w:val="32"/>
          <w:szCs w:val="32"/>
          <w:rtl/>
        </w:rPr>
        <w:t xml:space="preserve">) نموذجا تفسيريا يوضح هذا التسلسل السببي، حيث تبدأ العملية بخصائص البرنامج المهني، ثم التغير في معرفة المعلم، فالممارسة، وصولا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نتائج التعلم (</w:t>
      </w:r>
      <w:proofErr w:type="spellStart"/>
      <w:r w:rsidRPr="006504A0">
        <w:rPr>
          <w:rFonts w:ascii="Traditional Arabic" w:eastAsia="Calibri" w:hAnsi="Traditional Arabic" w:cs="Traditional Arabic"/>
          <w:sz w:val="32"/>
          <w:szCs w:val="32"/>
        </w:rPr>
        <w:t>Alruqi</w:t>
      </w:r>
      <w:proofErr w:type="spellEnd"/>
      <w:r w:rsidRPr="006504A0">
        <w:rPr>
          <w:rFonts w:ascii="Traditional Arabic" w:eastAsia="Calibri" w:hAnsi="Traditional Arabic" w:cs="Traditional Arabic"/>
          <w:sz w:val="32"/>
          <w:szCs w:val="32"/>
        </w:rPr>
        <w:t xml:space="preserve"> and  </w:t>
      </w:r>
      <w:proofErr w:type="spellStart"/>
      <w:r w:rsidRPr="006504A0">
        <w:rPr>
          <w:rFonts w:ascii="Traditional Arabic" w:eastAsia="Calibri" w:hAnsi="Traditional Arabic" w:cs="Traditional Arabic"/>
          <w:sz w:val="32"/>
          <w:szCs w:val="32"/>
        </w:rPr>
        <w:t>Alharbi2022</w:t>
      </w:r>
      <w:proofErr w:type="spellEnd"/>
      <w:r w:rsidRPr="006504A0">
        <w:rPr>
          <w:rFonts w:ascii="Traditional Arabic" w:eastAsia="Calibri" w:hAnsi="Traditional Arabic" w:cs="Traditional Arabic"/>
          <w:sz w:val="32"/>
          <w:szCs w:val="32"/>
          <w:rtl/>
        </w:rPr>
        <w:t>).</w:t>
      </w:r>
    </w:p>
    <w:p w14:paraId="15F1699B" w14:textId="4DCB35F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تدعم هذا التصور نتائج </w:t>
      </w: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2022)</w:t>
      </w:r>
      <w:r w:rsidRPr="006504A0">
        <w:rPr>
          <w:rFonts w:ascii="Traditional Arabic" w:eastAsia="Calibri" w:hAnsi="Traditional Arabic" w:cs="Traditional Arabic"/>
          <w:sz w:val="32"/>
          <w:szCs w:val="32"/>
          <w:rtl/>
        </w:rPr>
        <w:t xml:space="preserve">) التي أكدت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المستمرة تسهم في رفع الكفاءة الذاتية للمعلمين وتحسين ممارساتهم داخل الصف.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توصل</w:t>
      </w:r>
      <w:r w:rsidRPr="006504A0">
        <w:rPr>
          <w:rFonts w:ascii="Traditional Arabic" w:eastAsia="Calibri" w:hAnsi="Traditional Arabic" w:cs="Traditional Arabic"/>
          <w:sz w:val="32"/>
          <w:szCs w:val="32"/>
        </w:rPr>
        <w:t xml:space="preserve"> Abbas et al. </w:t>
      </w:r>
      <w:proofErr w:type="gramStart"/>
      <w:r w:rsidRPr="006504A0">
        <w:rPr>
          <w:rFonts w:ascii="Traditional Arabic" w:eastAsia="Calibri" w:hAnsi="Traditional Arabic" w:cs="Traditional Arabic"/>
          <w:sz w:val="32"/>
          <w:szCs w:val="32"/>
        </w:rPr>
        <w:t xml:space="preserve">(2021)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برامج التطوير المهني عززت مهارات المعلمين ومعارفهم التخصصية بصورة ملحوظة</w:t>
      </w:r>
      <w:r w:rsidRPr="006504A0">
        <w:rPr>
          <w:rFonts w:ascii="Traditional Arabic" w:eastAsia="Calibri" w:hAnsi="Traditional Arabic" w:cs="Traditional Arabic"/>
          <w:sz w:val="32"/>
          <w:szCs w:val="32"/>
        </w:rPr>
        <w:t>.</w:t>
      </w:r>
      <w:proofErr w:type="gramEnd"/>
    </w:p>
    <w:p w14:paraId="696D1960" w14:textId="7E335204"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في المقابل،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ضعف تصميم البرامج أو غلبة الطابع النظري قد يحد من أثرها، حيث وجد</w:t>
      </w:r>
      <w:r w:rsidRPr="006504A0">
        <w:rPr>
          <w:rFonts w:ascii="Traditional Arabic" w:eastAsia="Calibri" w:hAnsi="Traditional Arabic" w:cs="Traditional Arabic"/>
          <w:sz w:val="32"/>
          <w:szCs w:val="32"/>
        </w:rPr>
        <w:t xml:space="preserve"> Ahmed et al. </w:t>
      </w:r>
      <w:proofErr w:type="gramStart"/>
      <w:r w:rsidRPr="006504A0">
        <w:rPr>
          <w:rFonts w:ascii="Traditional Arabic" w:eastAsia="Calibri" w:hAnsi="Traditional Arabic" w:cs="Traditional Arabic"/>
          <w:sz w:val="32"/>
          <w:szCs w:val="32"/>
        </w:rPr>
        <w:t xml:space="preserve">(2021)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بعض برامج التدريب لم تحقق التأثير المتوقع بسبب عدم ارتباطها باحتياجات المعلمين الواقعية</w:t>
      </w:r>
      <w:r w:rsidRPr="006504A0">
        <w:rPr>
          <w:rFonts w:ascii="Traditional Arabic" w:eastAsia="Calibri" w:hAnsi="Traditional Arabic" w:cs="Traditional Arabic"/>
          <w:sz w:val="32"/>
          <w:szCs w:val="32"/>
        </w:rPr>
        <w:t>.</w:t>
      </w:r>
      <w:proofErr w:type="gramEnd"/>
    </w:p>
    <w:p w14:paraId="721E769D"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19736F5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سادسا: </w:t>
      </w:r>
      <w:r w:rsidRPr="006504A0">
        <w:rPr>
          <w:rFonts w:ascii="Traditional Arabic" w:eastAsia="Calibri" w:hAnsi="Traditional Arabic" w:cs="Traditional Arabic"/>
          <w:b/>
          <w:bCs/>
          <w:sz w:val="32"/>
          <w:szCs w:val="32"/>
          <w:rtl/>
        </w:rPr>
        <w:t>المتغيرات الديموغرافية كعوامل مفسرة</w:t>
      </w:r>
    </w:p>
    <w:p w14:paraId="7C821811" w14:textId="711CFAE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تؤكد الأدبيات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أثر التنمية المهنية لا يظهر بدرجة متساوية لدى جميع المعلمين، بل يتأثر بمتغيرات مثل الخبرة والمؤهل العلمي. فقد أظهرت دراسة</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Alshahrani</w:t>
      </w:r>
      <w:proofErr w:type="spellEnd"/>
      <w:r w:rsidRPr="006504A0">
        <w:rPr>
          <w:rFonts w:ascii="Traditional Arabic" w:eastAsia="Calibri" w:hAnsi="Traditional Arabic" w:cs="Traditional Arabic"/>
          <w:sz w:val="32"/>
          <w:szCs w:val="32"/>
        </w:rPr>
        <w:t xml:space="preserve"> and Abu-</w:t>
      </w:r>
      <w:proofErr w:type="spellStart"/>
      <w:r w:rsidRPr="006504A0">
        <w:rPr>
          <w:rFonts w:ascii="Traditional Arabic" w:eastAsia="Calibri" w:hAnsi="Traditional Arabic" w:cs="Traditional Arabic"/>
          <w:sz w:val="32"/>
          <w:szCs w:val="32"/>
        </w:rPr>
        <w:t>Alghayth</w:t>
      </w:r>
      <w:proofErr w:type="spellEnd"/>
      <w:r w:rsidRPr="006504A0">
        <w:rPr>
          <w:rFonts w:ascii="Traditional Arabic" w:eastAsia="Calibri" w:hAnsi="Traditional Arabic" w:cs="Traditional Arabic"/>
          <w:sz w:val="32"/>
          <w:szCs w:val="32"/>
        </w:rPr>
        <w:t xml:space="preserve">, (2023)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نقص التدريب العملي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في قدرة المعلمين على التعامل مع المواقف الصفية، مما يبرز أهمية تصميم برامج تراعي الفروق المهنية.</w:t>
      </w:r>
      <w:r w:rsidRPr="006504A0">
        <w:rPr>
          <w:rFonts w:ascii="Traditional Arabic" w:eastAsia="Calibri" w:hAnsi="Traditional Arabic" w:cs="Traditional Arabic"/>
          <w:sz w:val="32"/>
          <w:szCs w:val="32"/>
        </w:rPr>
        <w:t xml:space="preserve">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تشير </w:t>
      </w:r>
      <w:r w:rsidRPr="006504A0">
        <w:rPr>
          <w:rFonts w:ascii="Traditional Arabic" w:eastAsia="Calibri" w:hAnsi="Traditional Arabic" w:cs="Traditional Arabic"/>
          <w:sz w:val="32"/>
          <w:szCs w:val="32"/>
        </w:rPr>
        <w:t xml:space="preserve">Jamal et al. </w:t>
      </w:r>
      <w:proofErr w:type="gramStart"/>
      <w:r w:rsidRPr="006504A0">
        <w:rPr>
          <w:rFonts w:ascii="Traditional Arabic" w:eastAsia="Calibri" w:hAnsi="Traditional Arabic" w:cs="Traditional Arabic"/>
          <w:sz w:val="32"/>
          <w:szCs w:val="32"/>
        </w:rPr>
        <w:t>2023)</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فروق ذات دلالة إحصائية في الكفاءات المهنية تعزى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المشاركة في البرامج التدريبية، وهو ما يدعم الاتجاه القائل بأن التعلم المهني عملية تراكمية.</w:t>
      </w:r>
      <w:proofErr w:type="gramEnd"/>
    </w:p>
    <w:p w14:paraId="25E2335F"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يتضح من التحليل السابق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محركا رئيسيا لتحسين كفاءة المعلم، غير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فاعليتها تعتمد على جودة تصميم البرامج، وارتباطها بالممارسة، وتوفر الدعم المؤسسي، ودافعية المعلم نحو التعلم. كما يظهر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التدريسية بناء مهني ديناميكي يتطور عبر الخبرة والتدريب، وليس سمة جامدة</w:t>
      </w:r>
      <w:r w:rsidRPr="006504A0">
        <w:rPr>
          <w:rFonts w:ascii="Traditional Arabic" w:eastAsia="Calibri" w:hAnsi="Traditional Arabic" w:cs="Traditional Arabic"/>
          <w:sz w:val="32"/>
          <w:szCs w:val="32"/>
        </w:rPr>
        <w:t>.</w:t>
      </w:r>
    </w:p>
    <w:p w14:paraId="53EED884" w14:textId="6B98C92A" w:rsidR="00A73F98" w:rsidRDefault="006504A0" w:rsidP="00A73F98">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وبناء على ذلك، تنطلق الدراسة الحالية من تصور نظري يرى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المشاركة الفاعلة في برامج التنمية المهنية يمكن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تؤدي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أبعاد الكفاءة التدريسية لدى معلمي المرحلة الابتدائية، وهو افتراض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قاعدة نظرية راسخة ويدعم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اختباره ميدانيا في البيئة التعليمية بمدينة الرياض</w:t>
      </w:r>
      <w:r w:rsidRPr="006504A0">
        <w:rPr>
          <w:rFonts w:ascii="Traditional Arabic" w:eastAsia="Calibri" w:hAnsi="Traditional Arabic" w:cs="Traditional Arabic"/>
          <w:sz w:val="32"/>
          <w:szCs w:val="32"/>
        </w:rPr>
        <w:t>.</w:t>
      </w:r>
    </w:p>
    <w:p w14:paraId="5F6A4AD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F5220A"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b/>
          <w:bCs/>
          <w:sz w:val="32"/>
          <w:szCs w:val="32"/>
          <w:rtl/>
        </w:rPr>
        <w:t>المبحث الثاني: الأسس النظرية والنماذج المفسرة للعلاقة بين التنمية المهنية والكفاءة التدريسية</w:t>
      </w:r>
    </w:p>
    <w:p w14:paraId="33278431"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لم</w:t>
      </w:r>
      <w:proofErr w:type="gramEnd"/>
      <w:r w:rsidRPr="00A73F98">
        <w:rPr>
          <w:rFonts w:ascii="Traditional Arabic" w:eastAsia="Calibri" w:hAnsi="Traditional Arabic" w:cs="Traditional Arabic"/>
          <w:sz w:val="32"/>
          <w:szCs w:val="32"/>
          <w:rtl/>
        </w:rPr>
        <w:t xml:space="preserve"> يعد النظر إلى المعلم بوصفه ناقلًا للمعرفة متسقًا مع التحولات التي شهدتها النظرية التربوية المعاصرة، إذ انتقل الخطاب التربوي من نموذج "التعليم المتمركز حول المعلم" إلى نموذج أكثر تعقيدًا يرى المعلم فاعلًا معرفيًا ومنتجًا للخبرة التعليمية. وفي ظل هذا التحول، لم تعد التنمية المهنية مجرد أداة لتحسين الأداء الإجرائي، بل أصبحت آلية معرفية لإعادة تشكيل الممارسة التدريسية، وهو ما يعكس انتقالًا من الفهم </w:t>
      </w:r>
      <w:proofErr w:type="spellStart"/>
      <w:r w:rsidRPr="00A73F98">
        <w:rPr>
          <w:rFonts w:ascii="Traditional Arabic" w:eastAsia="Calibri" w:hAnsi="Traditional Arabic" w:cs="Traditional Arabic"/>
          <w:sz w:val="32"/>
          <w:szCs w:val="32"/>
          <w:rtl/>
        </w:rPr>
        <w:t>الأداتي</w:t>
      </w:r>
      <w:proofErr w:type="spellEnd"/>
      <w:r w:rsidRPr="00A73F98">
        <w:rPr>
          <w:rFonts w:ascii="Traditional Arabic" w:eastAsia="Calibri" w:hAnsi="Traditional Arabic" w:cs="Traditional Arabic"/>
          <w:sz w:val="32"/>
          <w:szCs w:val="32"/>
          <w:rtl/>
        </w:rPr>
        <w:t xml:space="preserve"> للتدريب إلى الفهم البنائي الذي يربط التعلم المهني بإعادة بناء المعرفة التربوية لدى المعلم</w:t>
      </w:r>
      <w:r w:rsidRPr="00A73F98">
        <w:rPr>
          <w:rFonts w:ascii="Traditional Arabic" w:eastAsia="Calibri" w:hAnsi="Traditional Arabic" w:cs="Traditional Arabic"/>
          <w:sz w:val="32"/>
          <w:szCs w:val="32"/>
        </w:rPr>
        <w:t>.</w:t>
      </w:r>
    </w:p>
    <w:p w14:paraId="0BC5FA3E" w14:textId="15B96457" w:rsidR="00A73F98" w:rsidRPr="00A73F98" w:rsidRDefault="00A73F98" w:rsidP="00DD6416">
      <w:pPr>
        <w:bidi/>
        <w:spacing w:after="200" w:line="360" w:lineRule="auto"/>
        <w:jc w:val="both"/>
        <w:rPr>
          <w:rFonts w:ascii="Traditional Arabic" w:eastAsia="Calibri" w:hAnsi="Traditional Arabic" w:cs="Traditional Arabic" w:hint="cs"/>
          <w:sz w:val="32"/>
          <w:szCs w:val="32"/>
          <w:rtl/>
          <w:lang w:bidi="ar-JO"/>
        </w:rPr>
      </w:pPr>
      <w:r w:rsidRPr="00A73F98">
        <w:rPr>
          <w:rFonts w:ascii="Traditional Arabic" w:eastAsia="Calibri" w:hAnsi="Traditional Arabic" w:cs="Traditional Arabic"/>
          <w:sz w:val="32"/>
          <w:szCs w:val="32"/>
          <w:rtl/>
        </w:rPr>
        <w:t>وتنبع أهمية هذا التحول من افتراض نظري مفاده أن جودة التعليم ترتبط بطبيعة القرارات الصفية التي يتخذها المعلم، والتي لا تُعد قرارات إجرائية فحسب، بل تمثل انعكاسًا لبنية معرفية ومهنية تتشكل عبر التعلم المستمر. ومن هنا، فإن تحليل أثر برامج التنمية المهنية لا يقتصر على قياس التحسن الظاهري في المهارات، بل يتطلب فهمًا أعمق لكيفية إعادة بناء المعرفة المهنية للمعلم، وهو ما يمثل جوهر العلاقة التفسيرية بين التنمية المهنية والكفاءة التدريسية</w:t>
      </w:r>
      <w:r w:rsidRPr="00A73F98">
        <w:rPr>
          <w:rFonts w:ascii="Traditional Arabic" w:eastAsia="Calibri" w:hAnsi="Traditional Arabic" w:cs="Traditional Arabic"/>
          <w:sz w:val="32"/>
          <w:szCs w:val="32"/>
        </w:rPr>
        <w:t>.</w:t>
      </w:r>
    </w:p>
    <w:p w14:paraId="51CB9504" w14:textId="06B00BD2"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lastRenderedPageBreak/>
        <w:t>أولًا: نظرية رأس المال البشري (</w:t>
      </w:r>
      <w:r w:rsidRPr="00A73F98">
        <w:rPr>
          <w:rFonts w:ascii="Traditional Arabic" w:eastAsia="Calibri" w:hAnsi="Traditional Arabic" w:cs="Traditional Arabic"/>
          <w:b/>
          <w:bCs/>
          <w:sz w:val="32"/>
          <w:szCs w:val="32"/>
        </w:rPr>
        <w:t>Human Capital Theory</w:t>
      </w:r>
      <w:r w:rsidRPr="00A73F98">
        <w:rPr>
          <w:rFonts w:ascii="Traditional Arabic" w:eastAsia="Calibri" w:hAnsi="Traditional Arabic" w:cs="Traditional Arabic"/>
          <w:b/>
          <w:bCs/>
          <w:sz w:val="32"/>
          <w:szCs w:val="32"/>
          <w:rtl/>
        </w:rPr>
        <w:t>)</w:t>
      </w:r>
    </w:p>
    <w:p w14:paraId="0A20A9A6" w14:textId="66157EBD"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تُعد</w:t>
      </w:r>
      <w:proofErr w:type="gramEnd"/>
      <w:r w:rsidRPr="00A73F98">
        <w:rPr>
          <w:rFonts w:ascii="Traditional Arabic" w:eastAsia="Calibri" w:hAnsi="Traditional Arabic" w:cs="Traditional Arabic"/>
          <w:sz w:val="32"/>
          <w:szCs w:val="32"/>
          <w:rtl/>
        </w:rPr>
        <w:t xml:space="preserve"> نظرية رأس المال البشري من أكثر الأطر استخدامًا في تفسير الاستثمار في التعليم والتدريب، حيث يفترض </w:t>
      </w:r>
      <w:r w:rsidRPr="00A73F98">
        <w:rPr>
          <w:rFonts w:ascii="Traditional Arabic" w:eastAsia="Calibri" w:hAnsi="Traditional Arabic" w:cs="Traditional Arabic"/>
          <w:sz w:val="32"/>
          <w:szCs w:val="32"/>
        </w:rPr>
        <w:t>Be</w:t>
      </w:r>
      <w:r>
        <w:rPr>
          <w:rFonts w:ascii="Traditional Arabic" w:eastAsia="Calibri" w:hAnsi="Traditional Arabic" w:cs="Traditional Arabic"/>
          <w:sz w:val="32"/>
          <w:szCs w:val="32"/>
        </w:rPr>
        <w:t xml:space="preserve">cker, </w:t>
      </w:r>
      <w:r w:rsidRPr="00A73F98">
        <w:rPr>
          <w:rFonts w:ascii="Traditional Arabic" w:eastAsia="Calibri" w:hAnsi="Traditional Arabic" w:cs="Traditional Arabic"/>
          <w:sz w:val="32"/>
          <w:szCs w:val="32"/>
        </w:rPr>
        <w:t>1993</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xml:space="preserve">) أن تنمية مهارات الأفراد ومعارفهم تمثل شكلًا من أشكال الاستثمار الذي يرفع إنتاجيتهم المستقبلية. </w:t>
      </w:r>
      <w:proofErr w:type="gramStart"/>
      <w:r w:rsidRPr="00A73F98">
        <w:rPr>
          <w:rFonts w:ascii="Traditional Arabic" w:eastAsia="Calibri" w:hAnsi="Traditional Arabic" w:cs="Traditional Arabic"/>
          <w:sz w:val="32"/>
          <w:szCs w:val="32"/>
          <w:rtl/>
        </w:rPr>
        <w:t>وعند</w:t>
      </w:r>
      <w:proofErr w:type="gramEnd"/>
      <w:r w:rsidRPr="00A73F98">
        <w:rPr>
          <w:rFonts w:ascii="Traditional Arabic" w:eastAsia="Calibri" w:hAnsi="Traditional Arabic" w:cs="Traditional Arabic"/>
          <w:sz w:val="32"/>
          <w:szCs w:val="32"/>
          <w:rtl/>
        </w:rPr>
        <w:t xml:space="preserve"> إسقاط هذا المنظور على المجال التربوي، يمكن النظر إلى التنمية المهنية للمعلمين باعتبارها استثمارًا مؤسسيًا يهدف إلى رفع جودة المخرجات التعليمية من خلال تحسين كفاءة المورد البشري الأكثر تأثيرًا في المدرسة.</w:t>
      </w:r>
    </w:p>
    <w:p w14:paraId="363D3D9A" w14:textId="451DD1B9" w:rsidR="00A73F98" w:rsidRDefault="00A73F98" w:rsidP="00A73F98">
      <w:pPr>
        <w:bidi/>
        <w:spacing w:after="200" w:line="360" w:lineRule="auto"/>
        <w:jc w:val="both"/>
        <w:rPr>
          <w:rFonts w:ascii="Traditional Arabic" w:eastAsia="Calibri" w:hAnsi="Traditional Arabic" w:cs="Traditional Arabic" w:hint="cs"/>
          <w:sz w:val="32"/>
          <w:szCs w:val="32"/>
          <w:rtl/>
        </w:rPr>
      </w:pPr>
      <w:proofErr w:type="gramStart"/>
      <w:r w:rsidRPr="00A73F98">
        <w:rPr>
          <w:rFonts w:ascii="Traditional Arabic" w:eastAsia="Calibri" w:hAnsi="Traditional Arabic" w:cs="Traditional Arabic"/>
          <w:sz w:val="32"/>
          <w:szCs w:val="32"/>
          <w:rtl/>
        </w:rPr>
        <w:t>وقد</w:t>
      </w:r>
      <w:proofErr w:type="gramEnd"/>
      <w:r w:rsidRPr="00A73F98">
        <w:rPr>
          <w:rFonts w:ascii="Traditional Arabic" w:eastAsia="Calibri" w:hAnsi="Traditional Arabic" w:cs="Traditional Arabic"/>
          <w:sz w:val="32"/>
          <w:szCs w:val="32"/>
          <w:rtl/>
        </w:rPr>
        <w:t xml:space="preserve"> أشارت الأدبيات إلى أن العائد التربوي من تدريب المعلمين يفوق في كثير من الأحيان العائد الناتج عن التوسع في الموارد المادية، نظرًا لأن المعلم يمثل العامل الأكثر حسمًا في تفسير فروق التحصيل بين الطلبة (</w:t>
      </w:r>
      <w:r w:rsidRPr="00A73F98">
        <w:rPr>
          <w:rFonts w:ascii="Traditional Arabic" w:eastAsia="Calibri" w:hAnsi="Traditional Arabic" w:cs="Traditional Arabic"/>
          <w:sz w:val="32"/>
          <w:szCs w:val="32"/>
        </w:rPr>
        <w:t>Darling-Hammond et al.</w:t>
      </w:r>
      <w:proofErr w:type="gramStart"/>
      <w:r w:rsidRPr="00A73F98">
        <w:rPr>
          <w:rFonts w:ascii="Traditional Arabic" w:eastAsia="Calibri" w:hAnsi="Traditional Arabic" w:cs="Traditional Arabic"/>
          <w:sz w:val="32"/>
          <w:szCs w:val="32"/>
        </w:rPr>
        <w:t>, 2017</w:t>
      </w:r>
      <w:r w:rsidRPr="00A73F98">
        <w:rPr>
          <w:rFonts w:ascii="Traditional Arabic" w:eastAsia="Calibri" w:hAnsi="Traditional Arabic" w:cs="Traditional Arabic"/>
          <w:sz w:val="32"/>
          <w:szCs w:val="32"/>
          <w:rtl/>
        </w:rPr>
        <w:t>).</w:t>
      </w:r>
      <w:proofErr w:type="gramEnd"/>
      <w:r w:rsidRPr="00A73F98">
        <w:rPr>
          <w:rFonts w:ascii="Traditional Arabic" w:eastAsia="Calibri" w:hAnsi="Traditional Arabic" w:cs="Traditional Arabic"/>
          <w:sz w:val="32"/>
          <w:szCs w:val="32"/>
          <w:rtl/>
        </w:rPr>
        <w:t xml:space="preserve"> </w:t>
      </w:r>
      <w:proofErr w:type="gramStart"/>
      <w:r w:rsidRPr="00A73F98">
        <w:rPr>
          <w:rFonts w:ascii="Traditional Arabic" w:eastAsia="Calibri" w:hAnsi="Traditional Arabic" w:cs="Traditional Arabic"/>
          <w:sz w:val="32"/>
          <w:szCs w:val="32"/>
          <w:rtl/>
        </w:rPr>
        <w:t>إلا</w:t>
      </w:r>
      <w:proofErr w:type="gramEnd"/>
      <w:r w:rsidRPr="00A73F98">
        <w:rPr>
          <w:rFonts w:ascii="Traditional Arabic" w:eastAsia="Calibri" w:hAnsi="Traditional Arabic" w:cs="Traditional Arabic"/>
          <w:sz w:val="32"/>
          <w:szCs w:val="32"/>
          <w:rtl/>
        </w:rPr>
        <w:t xml:space="preserve"> أن قوة هذا الطرح، رغم أهميتها، تظل محصورة في تفسير البعد الاستثماري للتنمية المهنية، إذ يركز على الإنتاجية والعائد أكثر من تركيزه على طبيعة المعرفة المهنية وآليات تشكلها. وعليه، فإن هذه النظرية تفسر أهمية التنمية المهنية من حيث "الجدوى"، لكنها لا تقدم تفسيرًا كافيًا لكيفية تأثيرها في الكفاءة التدريسية، مما يستدعي الاستعانة بأطر نظرية مكملة.</w:t>
      </w:r>
    </w:p>
    <w:p w14:paraId="74D7A967" w14:textId="4E1D4088" w:rsidR="00A73F98" w:rsidRDefault="00A73F98" w:rsidP="00A73F98">
      <w:pPr>
        <w:bidi/>
        <w:spacing w:after="200" w:line="360" w:lineRule="auto"/>
        <w:jc w:val="both"/>
        <w:rPr>
          <w:rFonts w:ascii="Traditional Arabic" w:eastAsia="Calibri" w:hAnsi="Traditional Arabic" w:cs="Traditional Arabic" w:hint="cs"/>
          <w:sz w:val="32"/>
          <w:szCs w:val="32"/>
          <w:rtl/>
        </w:rPr>
      </w:pPr>
      <w:proofErr w:type="gramStart"/>
      <w:r w:rsidRPr="00A73F98">
        <w:rPr>
          <w:rFonts w:ascii="Traditional Arabic" w:eastAsia="Calibri" w:hAnsi="Traditional Arabic" w:cs="Traditional Arabic"/>
          <w:sz w:val="32"/>
          <w:szCs w:val="32"/>
          <w:rtl/>
        </w:rPr>
        <w:t>وتكمن</w:t>
      </w:r>
      <w:proofErr w:type="gramEnd"/>
      <w:r w:rsidRPr="00A73F98">
        <w:rPr>
          <w:rFonts w:ascii="Traditional Arabic" w:eastAsia="Calibri" w:hAnsi="Traditional Arabic" w:cs="Traditional Arabic"/>
          <w:sz w:val="32"/>
          <w:szCs w:val="32"/>
          <w:rtl/>
        </w:rPr>
        <w:t xml:space="preserve"> قوة نظرية رأس المال البشري في قدرتها على تفسير الاستثمار في التنمية المهنية من منظور إنتاجي، حيث تربط بين تطوير مهارات المعلم وتحسين مخرجات العملية التعليمية. </w:t>
      </w:r>
      <w:proofErr w:type="gramStart"/>
      <w:r w:rsidRPr="00A73F98">
        <w:rPr>
          <w:rFonts w:ascii="Traditional Arabic" w:eastAsia="Calibri" w:hAnsi="Traditional Arabic" w:cs="Traditional Arabic"/>
          <w:sz w:val="32"/>
          <w:szCs w:val="32"/>
          <w:rtl/>
        </w:rPr>
        <w:t>إلا</w:t>
      </w:r>
      <w:proofErr w:type="gramEnd"/>
      <w:r w:rsidRPr="00A73F98">
        <w:rPr>
          <w:rFonts w:ascii="Traditional Arabic" w:eastAsia="Calibri" w:hAnsi="Traditional Arabic" w:cs="Traditional Arabic"/>
          <w:sz w:val="32"/>
          <w:szCs w:val="32"/>
          <w:rtl/>
        </w:rPr>
        <w:t xml:space="preserve"> أنه يُؤخذ عليها تركيزها على البعد الكمي والعائد الاقتصادي، دون التعمق في طبيعة المعرفة المهنية وآليات تشكلها داخل السياق التربوي. كما أن حدودها تظهر في عدم قدرتها على تفسير التباين في جودة الممارسة التدريسية رغم تشابه فرص التدريب. وعليه، فإن ملاءمتها للدراسة الحالية تتمثل في تفسير أهمية الاستثمار في </w:t>
      </w:r>
      <w:r w:rsidRPr="00A73F98">
        <w:rPr>
          <w:rFonts w:ascii="Traditional Arabic" w:eastAsia="Calibri" w:hAnsi="Traditional Arabic" w:cs="Traditional Arabic"/>
          <w:sz w:val="32"/>
          <w:szCs w:val="32"/>
          <w:rtl/>
        </w:rPr>
        <w:lastRenderedPageBreak/>
        <w:t>برامج التنمية المهنية لمعلمي المرحلة الابتدائية بمدينة الرياض، خاصة في ضوء سعي الدراسة إلى تحليل أثر هذه البرامج في رفع الكفاءة المهنية وتحسين جودة التعليم، إلا أنها تحتاج إلى التكامل مع أطر نظرية أخرى لتفسير الأثر النوعي للتدريب على أبعاد الكفاءة التدريسية المختلفة</w:t>
      </w:r>
      <w:r w:rsidRPr="00A73F98">
        <w:rPr>
          <w:rFonts w:ascii="Traditional Arabic" w:eastAsia="Calibri" w:hAnsi="Traditional Arabic" w:cs="Traditional Arabic"/>
          <w:sz w:val="32"/>
          <w:szCs w:val="32"/>
        </w:rPr>
        <w:t>.</w:t>
      </w:r>
    </w:p>
    <w:p w14:paraId="147216E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667102DA" w14:textId="65206C3C"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ثانيًا: نظرية المعرفة التربوية للمحتوى (</w:t>
      </w:r>
      <w:r w:rsidRPr="00A73F98">
        <w:rPr>
          <w:rFonts w:ascii="Traditional Arabic" w:eastAsia="Calibri" w:hAnsi="Traditional Arabic" w:cs="Traditional Arabic"/>
          <w:b/>
          <w:bCs/>
          <w:sz w:val="32"/>
          <w:szCs w:val="32"/>
        </w:rPr>
        <w:t xml:space="preserve">Pedagogical Content Knowledge - </w:t>
      </w:r>
      <w:proofErr w:type="spellStart"/>
      <w:r w:rsidRPr="00A73F98">
        <w:rPr>
          <w:rFonts w:ascii="Traditional Arabic" w:eastAsia="Calibri" w:hAnsi="Traditional Arabic" w:cs="Traditional Arabic"/>
          <w:b/>
          <w:bCs/>
          <w:sz w:val="32"/>
          <w:szCs w:val="32"/>
        </w:rPr>
        <w:t>PCK</w:t>
      </w:r>
      <w:proofErr w:type="spellEnd"/>
      <w:r w:rsidRPr="00A73F98">
        <w:rPr>
          <w:rFonts w:ascii="Traditional Arabic" w:eastAsia="Calibri" w:hAnsi="Traditional Arabic" w:cs="Traditional Arabic"/>
          <w:b/>
          <w:bCs/>
          <w:sz w:val="32"/>
          <w:szCs w:val="32"/>
          <w:rtl/>
        </w:rPr>
        <w:t>)</w:t>
      </w:r>
    </w:p>
    <w:p w14:paraId="1887511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يمثل طرح</w:t>
      </w:r>
      <w:r w:rsidRPr="00A73F98">
        <w:rPr>
          <w:rFonts w:ascii="Traditional Arabic" w:eastAsia="Calibri" w:hAnsi="Traditional Arabic" w:cs="Traditional Arabic"/>
          <w:sz w:val="32"/>
          <w:szCs w:val="32"/>
        </w:rPr>
        <w:t xml:space="preserve"> Shulman (1986) </w:t>
      </w:r>
      <w:r w:rsidRPr="00A73F98">
        <w:rPr>
          <w:rFonts w:ascii="Traditional Arabic" w:eastAsia="Calibri" w:hAnsi="Traditional Arabic" w:cs="Traditional Arabic"/>
          <w:sz w:val="32"/>
          <w:szCs w:val="32"/>
          <w:rtl/>
        </w:rPr>
        <w:t>تحولًا نوعيًا في فهم كفاءة المعلم، حيث انتقد الفصل التقليدي بين معرفة التخصص ومعرفة التدريس، وقدم مفهوم "المعرفة التربوية للمحتوى" بوصفه شكلًا مركبًا من المعرفة يتيح للمعلم تحويل المفاهيم العلمية إلى تمثيلات تعليمية قابلة للفهم</w:t>
      </w:r>
      <w:r w:rsidRPr="00A73F98">
        <w:rPr>
          <w:rFonts w:ascii="Traditional Arabic" w:eastAsia="Calibri" w:hAnsi="Traditional Arabic" w:cs="Traditional Arabic"/>
          <w:sz w:val="32"/>
          <w:szCs w:val="32"/>
        </w:rPr>
        <w:t>.</w:t>
      </w:r>
    </w:p>
    <w:p w14:paraId="1A3ECEC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وتكمن أهمية هذا الطرح في إعادة تعريف الكفاءة التدريسية باعتبارها قدرة تفسيرية وتحويلية، لا مجرد امتلاك للمعلومة، حيث يصبح المعلم الكفء هو القادر على تشخيص أخطاء المتعلمين، وتوقع صعوبات التعلم، وبناء إستراتيجيات تدريس تتلاءم مع الفروق الفردية. </w:t>
      </w:r>
      <w:proofErr w:type="gramStart"/>
      <w:r w:rsidRPr="00A73F98">
        <w:rPr>
          <w:rFonts w:ascii="Traditional Arabic" w:eastAsia="Calibri" w:hAnsi="Traditional Arabic" w:cs="Traditional Arabic"/>
          <w:sz w:val="32"/>
          <w:szCs w:val="32"/>
          <w:rtl/>
        </w:rPr>
        <w:t>كما</w:t>
      </w:r>
      <w:proofErr w:type="gramEnd"/>
      <w:r w:rsidRPr="00A73F98">
        <w:rPr>
          <w:rFonts w:ascii="Traditional Arabic" w:eastAsia="Calibri" w:hAnsi="Traditional Arabic" w:cs="Traditional Arabic"/>
          <w:sz w:val="32"/>
          <w:szCs w:val="32"/>
          <w:rtl/>
        </w:rPr>
        <w:t xml:space="preserve"> تبرز هذه النظرية في تفسير آليات تأثير التنمية المهنية، إذ تشير ضمنيًا إلى أن بناء هذا النوع من المعرفة لا يتحقق عبر الإعداد الأولي فقط، بل يتطلب تعلمًا مهنيًا مستمرًا وخبرات تراكمية</w:t>
      </w:r>
      <w:r w:rsidRPr="00A73F98">
        <w:rPr>
          <w:rFonts w:ascii="Traditional Arabic" w:eastAsia="Calibri" w:hAnsi="Traditional Arabic" w:cs="Traditional Arabic"/>
          <w:sz w:val="32"/>
          <w:szCs w:val="32"/>
        </w:rPr>
        <w:t>.</w:t>
      </w:r>
    </w:p>
    <w:p w14:paraId="768F5F96" w14:textId="77777777" w:rsidR="00A73F98" w:rsidRDefault="00A73F98" w:rsidP="00A73F98">
      <w:pPr>
        <w:bidi/>
        <w:spacing w:after="200" w:line="360" w:lineRule="auto"/>
        <w:jc w:val="both"/>
        <w:rPr>
          <w:rFonts w:ascii="Traditional Arabic" w:eastAsia="Calibri" w:hAnsi="Traditional Arabic" w:cs="Traditional Arabic" w:hint="cs"/>
          <w:sz w:val="32"/>
          <w:szCs w:val="32"/>
          <w:rtl/>
        </w:rPr>
      </w:pPr>
      <w:r w:rsidRPr="00A73F98">
        <w:rPr>
          <w:rFonts w:ascii="Traditional Arabic" w:eastAsia="Calibri" w:hAnsi="Traditional Arabic" w:cs="Traditional Arabic"/>
          <w:sz w:val="32"/>
          <w:szCs w:val="32"/>
          <w:rtl/>
        </w:rPr>
        <w:t>ومع ذلك، فإن هذا الطرح، على الرغم من عمقه، يركز بشكل رئيس على البعد المعرفي الفردي، ولا يعالج بصورة كافية أثر العوامل التنظيمية أو البيئية التي قد تعزز أو تعيق تطبيق هذه المعرفة داخل الصف، وهو ما يحد من قدرته التفسيرية في السياقات التعليمية المعقدة</w:t>
      </w:r>
      <w:r w:rsidRPr="00A73F98">
        <w:rPr>
          <w:rFonts w:ascii="Traditional Arabic" w:eastAsia="Calibri" w:hAnsi="Traditional Arabic" w:cs="Traditional Arabic"/>
          <w:sz w:val="32"/>
          <w:szCs w:val="32"/>
        </w:rPr>
        <w:t>.</w:t>
      </w:r>
    </w:p>
    <w:p w14:paraId="77E609D0" w14:textId="6C354F7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lastRenderedPageBreak/>
        <w:t>تتمثل قوة نظرية المعرفة التربوية للمحتوى في قدرتها على تفسير الكفاءة التدريسية بوصفها معرفة مركبة تتجاوز مجرد إتقان المحتوى، لتشمل القدرة على تحويله إلى خبرة تعليمية مناسبة للمتعلمين. إلا أن هذه النظرية تركز بشكل رئيس على البعد المعرفي الفردي، وتُغفل إلى حد ما أثر البيئة التنظيمية والعوامل السياقية في تشكيل الممارسة التدريسية، كما أن من حدودها صعوبة قياس هذا النوع من المعرفة بصورة دقيقة في الدراسات التطبيقية. ومع ذلك، فإنها تتلاءم بدرجة كبيرة مع الدراسة الحالية، لكونها تقدم تفسيرًا مباشرًا لكيفية تأثير برامج التنمية المهنية في تطوير الكفاءة المهنية للمعلمين، وخاصة في أبعادها المرتبطة بالتخطيط التدريسي، وإدارة الصف، وبناء إستراتيجيات التقويم، والتفاعل مع الطلبة، وهي الأبعاد التي تسعى الدراسة إلى قياسها وتحليلها</w:t>
      </w:r>
      <w:r w:rsidRPr="00A73F98">
        <w:rPr>
          <w:rFonts w:ascii="Traditional Arabic" w:eastAsia="Calibri" w:hAnsi="Traditional Arabic" w:cs="Traditional Arabic"/>
          <w:sz w:val="32"/>
          <w:szCs w:val="32"/>
        </w:rPr>
        <w:t>.</w:t>
      </w:r>
    </w:p>
    <w:p w14:paraId="7552FFA4" w14:textId="5EB497FA"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26240D" w14:textId="6F4900E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ثالثًا: نظرية التعلم المهني للمعلمين (</w:t>
      </w:r>
      <w:r w:rsidRPr="00A73F98">
        <w:rPr>
          <w:rFonts w:ascii="Traditional Arabic" w:eastAsia="Calibri" w:hAnsi="Traditional Arabic" w:cs="Traditional Arabic"/>
          <w:b/>
          <w:bCs/>
          <w:sz w:val="32"/>
          <w:szCs w:val="32"/>
        </w:rPr>
        <w:t>Teacher Professional Learning Theory</w:t>
      </w:r>
      <w:r w:rsidRPr="00A73F98">
        <w:rPr>
          <w:rFonts w:ascii="Traditional Arabic" w:eastAsia="Calibri" w:hAnsi="Traditional Arabic" w:cs="Traditional Arabic"/>
          <w:b/>
          <w:bCs/>
          <w:sz w:val="32"/>
          <w:szCs w:val="32"/>
          <w:rtl/>
        </w:rPr>
        <w:t>)</w:t>
      </w:r>
    </w:p>
    <w:p w14:paraId="2E41C8BC" w14:textId="23E498AB"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تنطلق هذه النظرية من افتراض أن تعلم المعلم عملية نشطة وسياقية واجتماعية، ويؤكد </w:t>
      </w:r>
      <w:proofErr w:type="spellStart"/>
      <w:r>
        <w:rPr>
          <w:rFonts w:ascii="Traditional Arabic" w:eastAsia="Calibri" w:hAnsi="Traditional Arabic" w:cs="Traditional Arabic"/>
          <w:sz w:val="32"/>
          <w:szCs w:val="32"/>
        </w:rPr>
        <w:t>Desimone</w:t>
      </w:r>
      <w:proofErr w:type="spellEnd"/>
      <w:r>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Pr>
        <w:t>2009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أن فعالية برامج التنمية المهنية تعتمد على مجموعة من الخصائص، من أبرزها التركيز على المحتوى، واعتماد التعلم النشط، وتعزيز التعاون المهني، وتوفير فرص التطبيق العملي.</w:t>
      </w:r>
    </w:p>
    <w:p w14:paraId="2CBEAF1D" w14:textId="2F772A36"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وتتجلى</w:t>
      </w:r>
      <w:proofErr w:type="gramEnd"/>
      <w:r w:rsidRPr="00A73F98">
        <w:rPr>
          <w:rFonts w:ascii="Traditional Arabic" w:eastAsia="Calibri" w:hAnsi="Traditional Arabic" w:cs="Traditional Arabic"/>
          <w:sz w:val="32"/>
          <w:szCs w:val="32"/>
          <w:rtl/>
        </w:rPr>
        <w:t xml:space="preserve"> أهمية هذا النموذج في تفسير التباين في نتائج البرامج التدريبية، إذ يوضح أن ضعف أثر بعض البرامج لا يعود إلى فكرة التدريب بحد ذاتها، بل إلى طبيعة تصميمها وانفصالها عن واقع الممارسة الصفية. وقد دعمت نتائج </w:t>
      </w:r>
      <w:proofErr w:type="spellStart"/>
      <w:r>
        <w:rPr>
          <w:rFonts w:ascii="Traditional Arabic" w:eastAsia="Calibri" w:hAnsi="Traditional Arabic" w:cs="Traditional Arabic"/>
          <w:sz w:val="32"/>
          <w:szCs w:val="32"/>
        </w:rPr>
        <w:t>Garet</w:t>
      </w:r>
      <w:proofErr w:type="spellEnd"/>
      <w:r>
        <w:rPr>
          <w:rFonts w:ascii="Traditional Arabic" w:eastAsia="Calibri" w:hAnsi="Traditional Arabic" w:cs="Traditional Arabic"/>
          <w:sz w:val="32"/>
          <w:szCs w:val="32"/>
        </w:rPr>
        <w:t xml:space="preserve"> et al. </w:t>
      </w:r>
      <w:proofErr w:type="gramStart"/>
      <w:r w:rsidRPr="00A73F98">
        <w:rPr>
          <w:rFonts w:ascii="Traditional Arabic" w:eastAsia="Calibri" w:hAnsi="Traditional Arabic" w:cs="Traditional Arabic"/>
          <w:sz w:val="32"/>
          <w:szCs w:val="32"/>
        </w:rPr>
        <w:t>2001</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xml:space="preserve">) هذا التوجه، حيث بينت أن البرامج الممتدة </w:t>
      </w:r>
      <w:r w:rsidRPr="00A73F98">
        <w:rPr>
          <w:rFonts w:ascii="Traditional Arabic" w:eastAsia="Calibri" w:hAnsi="Traditional Arabic" w:cs="Traditional Arabic"/>
          <w:sz w:val="32"/>
          <w:szCs w:val="32"/>
          <w:rtl/>
        </w:rPr>
        <w:lastRenderedPageBreak/>
        <w:t>زمنيًا، والتي تتضمن فرصًا للتجريب والتغذية الراجعة، تحقق أثرًا أكبر في تحسين التدريس مقارنة بالبرامج القصيرة.</w:t>
      </w:r>
      <w:proofErr w:type="gramEnd"/>
    </w:p>
    <w:p w14:paraId="2A50A4B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وعلى الرغم من قوة هذا النموذج التفسيرية، إلا أنه يفترض ضمنيًا وجود بيئة تعليمية داعمة تسمح بتطبيق ما تم تعلمه، وهو افتراض قد لا يتحقق في جميع السياقات، مما يجعل أثر التنمية المهنية مشروطًا بعوامل تنظيمية مرافقة</w:t>
      </w:r>
      <w:r w:rsidRPr="00A73F98">
        <w:rPr>
          <w:rFonts w:ascii="Traditional Arabic" w:eastAsia="Calibri" w:hAnsi="Traditional Arabic" w:cs="Traditional Arabic"/>
          <w:sz w:val="32"/>
          <w:szCs w:val="32"/>
        </w:rPr>
        <w:t>.</w:t>
      </w:r>
    </w:p>
    <w:p w14:paraId="2F1FF03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تكمن</w:t>
      </w:r>
      <w:proofErr w:type="gramEnd"/>
      <w:r w:rsidRPr="00A73F98">
        <w:rPr>
          <w:rFonts w:ascii="Traditional Arabic" w:eastAsia="Calibri" w:hAnsi="Traditional Arabic" w:cs="Traditional Arabic"/>
          <w:sz w:val="32"/>
          <w:szCs w:val="32"/>
          <w:rtl/>
        </w:rPr>
        <w:t xml:space="preserve"> قوة نظرية التعلم المهني للمعلمين في تقديمها تصورًا متكاملاً لخصائص التنمية المهنية الفعالة، حيث تركز على التعلم النشط، والتعاون المهني، والارتباط بالسياق الواقعي للممارسة الصفية. إلا أنه يُؤخذ عليها افتراضها الضمني بوجود بيئة تعليمية داعمة تسمح بتطبيق ما يتم تعلمه، وهو ما قد لا يتحقق في جميع المدارس. </w:t>
      </w:r>
      <w:proofErr w:type="gramStart"/>
      <w:r w:rsidRPr="00A73F98">
        <w:rPr>
          <w:rFonts w:ascii="Traditional Arabic" w:eastAsia="Calibri" w:hAnsi="Traditional Arabic" w:cs="Traditional Arabic"/>
          <w:sz w:val="32"/>
          <w:szCs w:val="32"/>
          <w:rtl/>
        </w:rPr>
        <w:t>كما</w:t>
      </w:r>
      <w:proofErr w:type="gramEnd"/>
      <w:r w:rsidRPr="00A73F98">
        <w:rPr>
          <w:rFonts w:ascii="Traditional Arabic" w:eastAsia="Calibri" w:hAnsi="Traditional Arabic" w:cs="Traditional Arabic"/>
          <w:sz w:val="32"/>
          <w:szCs w:val="32"/>
          <w:rtl/>
        </w:rPr>
        <w:t xml:space="preserve"> أن من حدودها عدم التركيز الكافي على الفروق الفردية بين المعلمين في الاستفادة من البرامج التدريبية. ومع ذلك، فإن هذه النظرية تتلاءم بشكل كبير مع الدراسة الحالية، لأنها تساعد في تحليل واقع برامج التنمية المهنية المقدمة لمعلمي المرحلة الابتدائية بمدينة الرياض، وتفسير مدى فاعليتها من حيث محتواها وأساليب تنفيذها، وهو ما يتوافق مع هدف الدراسة المتعلق بتحليل واقع هذه البرامج وتحديد العوامل التي تعزز أو تحد من فاعليتها</w:t>
      </w:r>
      <w:r w:rsidRPr="00A73F98">
        <w:rPr>
          <w:rFonts w:ascii="Traditional Arabic" w:eastAsia="Calibri" w:hAnsi="Traditional Arabic" w:cs="Traditional Arabic"/>
          <w:sz w:val="32"/>
          <w:szCs w:val="32"/>
        </w:rPr>
        <w:t>.</w:t>
      </w:r>
    </w:p>
    <w:p w14:paraId="72CB7DEE" w14:textId="68A74BEB"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3AB0CEC" w14:textId="66C9D96E"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رابعًا: نموذج التغيير لدى المعلم (</w:t>
      </w:r>
      <w:proofErr w:type="spellStart"/>
      <w:r w:rsidRPr="00A73F98">
        <w:rPr>
          <w:rFonts w:ascii="Traditional Arabic" w:eastAsia="Calibri" w:hAnsi="Traditional Arabic" w:cs="Traditional Arabic"/>
          <w:b/>
          <w:bCs/>
          <w:sz w:val="32"/>
          <w:szCs w:val="32"/>
        </w:rPr>
        <w:t>Guskey</w:t>
      </w:r>
      <w:proofErr w:type="spellEnd"/>
      <w:r w:rsidRPr="00A73F98">
        <w:rPr>
          <w:rFonts w:ascii="Traditional Arabic" w:eastAsia="Calibri" w:hAnsi="Traditional Arabic" w:cs="Traditional Arabic"/>
          <w:b/>
          <w:bCs/>
          <w:sz w:val="32"/>
          <w:szCs w:val="32"/>
        </w:rPr>
        <w:t xml:space="preserve"> Model of Teacher Change</w:t>
      </w:r>
      <w:r w:rsidRPr="00A73F98">
        <w:rPr>
          <w:rFonts w:ascii="Traditional Arabic" w:eastAsia="Calibri" w:hAnsi="Traditional Arabic" w:cs="Traditional Arabic"/>
          <w:b/>
          <w:bCs/>
          <w:sz w:val="32"/>
          <w:szCs w:val="32"/>
          <w:rtl/>
        </w:rPr>
        <w:t>)</w:t>
      </w:r>
    </w:p>
    <w:p w14:paraId="541B7E25" w14:textId="0C7FC6E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يقدم </w:t>
      </w:r>
      <w:proofErr w:type="spellStart"/>
      <w:r>
        <w:rPr>
          <w:rFonts w:ascii="Traditional Arabic" w:eastAsia="Calibri" w:hAnsi="Traditional Arabic" w:cs="Traditional Arabic"/>
          <w:sz w:val="32"/>
          <w:szCs w:val="32"/>
        </w:rPr>
        <w:t>Guskey</w:t>
      </w:r>
      <w:proofErr w:type="spellEnd"/>
      <w:r>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Pr>
        <w:t>2002</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نموذجًا تفسيريًا مميزًا يقلب الافتراض التقليدي الذي يرى أن تغيير معتقدات المعلم يسبق تغيير ممارسته، حيث يقترح تسلسلًا يبدأ بتغيير الممارسة التدريسية، يليه تحسن تعلم الطلبة، ثم يتبعه تعديل في قناعات المعلم.</w:t>
      </w:r>
    </w:p>
    <w:p w14:paraId="0271A591" w14:textId="24037EB3" w:rsid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lastRenderedPageBreak/>
        <w:t xml:space="preserve">وتكمن أهمية هذا النموذج في تفسير ديناميكية التغيير لدى المعلم، كما يسلط الضوء على أهمية البعد الزمني في تقييم أثر التنمية المهنية، إذ يؤكد أن نتائجها لا تكون فورية. ومع ذلك، فإن هذا النموذج يركز بدرجة أكبر على نتائج التغيير، دون أن يقدم تفسيرًا تفصيليًا لخصائص البرامج التدريبية التي تقود إلى هذا التغيير، مما يجعله أكثر فاعلية عند تكامله مع نماذج أخرى، مثل نموذج </w:t>
      </w:r>
      <w:proofErr w:type="spellStart"/>
      <w:r w:rsidRPr="00A73F98">
        <w:rPr>
          <w:rFonts w:ascii="Traditional Arabic" w:eastAsia="Calibri" w:hAnsi="Traditional Arabic" w:cs="Traditional Arabic"/>
          <w:sz w:val="32"/>
          <w:szCs w:val="32"/>
        </w:rPr>
        <w:t>Desimone</w:t>
      </w:r>
      <w:proofErr w:type="spellEnd"/>
      <w:r w:rsidRPr="00A73F98">
        <w:rPr>
          <w:rFonts w:ascii="Traditional Arabic" w:eastAsia="Calibri" w:hAnsi="Traditional Arabic" w:cs="Traditional Arabic"/>
          <w:sz w:val="32"/>
          <w:szCs w:val="32"/>
          <w:rtl/>
        </w:rPr>
        <w:t>، الذي يركز على مدخلات التدريب.</w:t>
      </w:r>
    </w:p>
    <w:p w14:paraId="3520605C" w14:textId="09D43572" w:rsidR="00A73F98" w:rsidRPr="00A73F98" w:rsidRDefault="00A73F98" w:rsidP="00A73F98">
      <w:pPr>
        <w:bidi/>
        <w:spacing w:after="200" w:line="360" w:lineRule="auto"/>
        <w:jc w:val="both"/>
        <w:rPr>
          <w:rFonts w:ascii="Traditional Arabic" w:eastAsia="Calibri" w:hAnsi="Traditional Arabic" w:cs="Traditional Arabic" w:hint="cs"/>
          <w:sz w:val="32"/>
          <w:szCs w:val="32"/>
          <w:rtl/>
          <w:lang w:bidi="ar-JO"/>
        </w:rPr>
      </w:pPr>
      <w:r w:rsidRPr="00A73F98">
        <w:rPr>
          <w:rFonts w:ascii="Traditional Arabic" w:eastAsia="Calibri" w:hAnsi="Traditional Arabic" w:cs="Traditional Arabic"/>
          <w:sz w:val="32"/>
          <w:szCs w:val="32"/>
          <w:rtl/>
        </w:rPr>
        <w:t>تتمثل قوة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Guskey</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 xml:space="preserve">في تقديمه تفسيرًا ديناميكيًا لعملية التغيير لدى المعلم، حيث يبرز دور الممارسة الفعلية في إحداث التغيير في القناعات المهنية، كما يسهم في تفسير التأخر الزمني لظهور أثر برامج التنمية المهنية. إلا أن من أبرز </w:t>
      </w:r>
      <w:proofErr w:type="spellStart"/>
      <w:r w:rsidRPr="00A73F98">
        <w:rPr>
          <w:rFonts w:ascii="Traditional Arabic" w:eastAsia="Calibri" w:hAnsi="Traditional Arabic" w:cs="Traditional Arabic"/>
          <w:sz w:val="32"/>
          <w:szCs w:val="32"/>
          <w:rtl/>
        </w:rPr>
        <w:t>محدودياته</w:t>
      </w:r>
      <w:proofErr w:type="spellEnd"/>
      <w:r w:rsidRPr="00A73F98">
        <w:rPr>
          <w:rFonts w:ascii="Traditional Arabic" w:eastAsia="Calibri" w:hAnsi="Traditional Arabic" w:cs="Traditional Arabic"/>
          <w:sz w:val="32"/>
          <w:szCs w:val="32"/>
          <w:rtl/>
        </w:rPr>
        <w:t xml:space="preserve"> تركيزه على نتائج التغيير دون تقديم إطار تفصيلي لخصائص البرامج التدريبية التي تقود إليه، كما يفترض إمكانية تطبيق التغيير في الممارسة التدريسية دون الأخذ بعين الاعتبار بعض القيود التنظيمية. وعليه، فإن ملاءمته للدراسة الحالية تكمن في تفسير آلية انتقال أثر برامج التنمية المهنية إلى الكفاءة المهنية للمعلمين عبر التغير في الممارسة التدريسية، وهو ما يتوافق مع هدف الدراسة المتمثل في قياس أثر هذه البرامج على تطوير الكفاءة المهنية بأبعادها المختلفة</w:t>
      </w:r>
      <w:r w:rsidRPr="00A73F98">
        <w:rPr>
          <w:rFonts w:ascii="Traditional Arabic" w:eastAsia="Calibri" w:hAnsi="Traditional Arabic" w:cs="Traditional Arabic"/>
          <w:sz w:val="32"/>
          <w:szCs w:val="32"/>
        </w:rPr>
        <w:t>.</w:t>
      </w:r>
    </w:p>
    <w:p w14:paraId="361D8044"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5CE95B7B" w14:textId="667E2826"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 xml:space="preserve">خامسًا: </w:t>
      </w:r>
      <w:proofErr w:type="gramStart"/>
      <w:r w:rsidRPr="00A73F98">
        <w:rPr>
          <w:rFonts w:ascii="Traditional Arabic" w:eastAsia="Calibri" w:hAnsi="Traditional Arabic" w:cs="Traditional Arabic"/>
          <w:b/>
          <w:bCs/>
          <w:sz w:val="32"/>
          <w:szCs w:val="32"/>
          <w:rtl/>
        </w:rPr>
        <w:t>نظرية</w:t>
      </w:r>
      <w:proofErr w:type="gramEnd"/>
      <w:r w:rsidRPr="00A73F98">
        <w:rPr>
          <w:rFonts w:ascii="Traditional Arabic" w:eastAsia="Calibri" w:hAnsi="Traditional Arabic" w:cs="Traditional Arabic"/>
          <w:b/>
          <w:bCs/>
          <w:sz w:val="32"/>
          <w:szCs w:val="32"/>
          <w:rtl/>
        </w:rPr>
        <w:t xml:space="preserve"> التعلم التنظيمي (</w:t>
      </w:r>
      <w:r w:rsidRPr="00A73F98">
        <w:rPr>
          <w:rFonts w:ascii="Traditional Arabic" w:eastAsia="Calibri" w:hAnsi="Traditional Arabic" w:cs="Traditional Arabic"/>
          <w:b/>
          <w:bCs/>
          <w:sz w:val="32"/>
          <w:szCs w:val="32"/>
        </w:rPr>
        <w:t>Organizational Learning Theory</w:t>
      </w:r>
      <w:r w:rsidRPr="00A73F98">
        <w:rPr>
          <w:rFonts w:ascii="Traditional Arabic" w:eastAsia="Calibri" w:hAnsi="Traditional Arabic" w:cs="Traditional Arabic"/>
          <w:b/>
          <w:bCs/>
          <w:sz w:val="32"/>
          <w:szCs w:val="32"/>
          <w:rtl/>
        </w:rPr>
        <w:t>)</w:t>
      </w:r>
    </w:p>
    <w:p w14:paraId="7F67532D" w14:textId="5FDF44BC"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تنطلق</w:t>
      </w:r>
      <w:proofErr w:type="gramEnd"/>
      <w:r w:rsidRPr="00A73F98">
        <w:rPr>
          <w:rFonts w:ascii="Traditional Arabic" w:eastAsia="Calibri" w:hAnsi="Traditional Arabic" w:cs="Traditional Arabic"/>
          <w:sz w:val="32"/>
          <w:szCs w:val="32"/>
          <w:rtl/>
        </w:rPr>
        <w:t xml:space="preserve"> هذه النظرية من أن التعلم لا يحدث على مستوى الفرد فقط، بل داخل المنظمة ككل، حيث تسهم البيئات المدرسية التي تشجع التعاون المهني والتأمل الجماعي في تعزيز تعلم المعلمين. وتشير تقارير </w:t>
      </w:r>
      <w:r>
        <w:rPr>
          <w:rFonts w:ascii="Traditional Arabic" w:eastAsia="Calibri" w:hAnsi="Traditional Arabic" w:cs="Traditional Arabic"/>
          <w:sz w:val="32"/>
          <w:szCs w:val="32"/>
        </w:rPr>
        <w:t>OECD</w:t>
      </w:r>
      <w:r>
        <w:rPr>
          <w:rFonts w:ascii="Traditional Arabic" w:eastAsia="Calibri" w:hAnsi="Traditional Arabic" w:cs="Traditional Arabic"/>
          <w:sz w:val="32"/>
          <w:szCs w:val="32"/>
          <w:lang w:bidi="ar-AE"/>
        </w:rPr>
        <w:t xml:space="preserve">, </w:t>
      </w:r>
      <w:r w:rsidRPr="00A73F98">
        <w:rPr>
          <w:rFonts w:ascii="Traditional Arabic" w:eastAsia="Calibri" w:hAnsi="Traditional Arabic" w:cs="Traditional Arabic"/>
          <w:sz w:val="32"/>
          <w:szCs w:val="32"/>
        </w:rPr>
        <w:t>2019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إلى أن المعلمين العاملين في بيئات مدرسية داعمة يظهرون مستويات أعلى من الكفاءة المهنية، مما يعكس دور الثقافة التنظيمية في تضخيم أثر التنمية المهنية.</w:t>
      </w:r>
    </w:p>
    <w:p w14:paraId="39EEDFDB" w14:textId="77777777" w:rsidR="00A73F98" w:rsidRDefault="00A73F98" w:rsidP="00A73F98">
      <w:pPr>
        <w:bidi/>
        <w:spacing w:after="200" w:line="360" w:lineRule="auto"/>
        <w:jc w:val="both"/>
        <w:rPr>
          <w:rFonts w:ascii="Traditional Arabic" w:eastAsia="Calibri" w:hAnsi="Traditional Arabic" w:cs="Traditional Arabic" w:hint="cs"/>
          <w:sz w:val="32"/>
          <w:szCs w:val="32"/>
          <w:rtl/>
        </w:rPr>
      </w:pPr>
      <w:proofErr w:type="gramStart"/>
      <w:r w:rsidRPr="00A73F98">
        <w:rPr>
          <w:rFonts w:ascii="Traditional Arabic" w:eastAsia="Calibri" w:hAnsi="Traditional Arabic" w:cs="Traditional Arabic"/>
          <w:sz w:val="32"/>
          <w:szCs w:val="32"/>
          <w:rtl/>
        </w:rPr>
        <w:lastRenderedPageBreak/>
        <w:t>وتكمن</w:t>
      </w:r>
      <w:proofErr w:type="gramEnd"/>
      <w:r w:rsidRPr="00A73F98">
        <w:rPr>
          <w:rFonts w:ascii="Traditional Arabic" w:eastAsia="Calibri" w:hAnsi="Traditional Arabic" w:cs="Traditional Arabic"/>
          <w:sz w:val="32"/>
          <w:szCs w:val="32"/>
          <w:rtl/>
        </w:rPr>
        <w:t xml:space="preserve"> قوة هذا الطرح في تفسير الفروق بين المؤسسات التعليمية في الاستفادة من نفس البرامج التدريبية، إلا أنه قد يقلل من أهمية الفروق الفردية بين المعلمين، مما يستدعي تبني منظور تكاملي يجمع بين المستويين الفردي والتنظيمي</w:t>
      </w:r>
      <w:r w:rsidRPr="00A73F98">
        <w:rPr>
          <w:rFonts w:ascii="Traditional Arabic" w:eastAsia="Calibri" w:hAnsi="Traditional Arabic" w:cs="Traditional Arabic"/>
          <w:sz w:val="32"/>
          <w:szCs w:val="32"/>
        </w:rPr>
        <w:t>.</w:t>
      </w:r>
    </w:p>
    <w:p w14:paraId="2D1304F2" w14:textId="1BAD1E29" w:rsidR="00A73F98" w:rsidRPr="00A73F98" w:rsidRDefault="00A73F98" w:rsidP="00A73F98">
      <w:pPr>
        <w:bidi/>
        <w:spacing w:after="200" w:line="360" w:lineRule="auto"/>
        <w:jc w:val="both"/>
        <w:rPr>
          <w:rFonts w:ascii="Traditional Arabic" w:eastAsia="Calibri" w:hAnsi="Traditional Arabic" w:cs="Traditional Arabic" w:hint="cs"/>
          <w:sz w:val="32"/>
          <w:szCs w:val="32"/>
          <w:rtl/>
          <w:lang w:bidi="ar-JO"/>
        </w:rPr>
      </w:pPr>
      <w:proofErr w:type="gramStart"/>
      <w:r w:rsidRPr="00A73F98">
        <w:rPr>
          <w:rFonts w:ascii="Traditional Arabic" w:eastAsia="Calibri" w:hAnsi="Traditional Arabic" w:cs="Traditional Arabic"/>
          <w:sz w:val="32"/>
          <w:szCs w:val="32"/>
          <w:rtl/>
        </w:rPr>
        <w:t>تكمن</w:t>
      </w:r>
      <w:proofErr w:type="gramEnd"/>
      <w:r w:rsidRPr="00A73F98">
        <w:rPr>
          <w:rFonts w:ascii="Traditional Arabic" w:eastAsia="Calibri" w:hAnsi="Traditional Arabic" w:cs="Traditional Arabic"/>
          <w:sz w:val="32"/>
          <w:szCs w:val="32"/>
          <w:rtl/>
        </w:rPr>
        <w:t xml:space="preserve"> قوة نظرية التعلم التنظيمي في توسيعها نطاق التحليل ليشمل البيئة المؤسسية، حيث تبرز دور الثقافة التنظيمية والتعلم الجماعي في تعزيز الكفاءة المهنية للمعلمين. إلا أنه يُؤخذ عليها تقليلها النسبي من تأثير الفروق الفردية، وتركزها على المستوى الكلي للمؤسسة، كما أن من حدودها صعوبة تطبيقها في البيئات التي تفتقر إلى ثقافة تنظيمية داعمة. ومع ذلك، فإنها تتلاءم مع الدراسة الحالية في تفسير دور البيئة المدرسية في مدينة الرياض في تعزيز أو إضعاف أثر برامج التنمية المهنية، كما تسهم في تحليل التحديات التي تواجه المعلمين في الاستفادة من هذه البرامج، وهو ما يتوافق مع هدف الدراسة المتعلق بتحديد المعوقات واقتراح سبل تطوير فاعلية البرامج التدريبية</w:t>
      </w:r>
      <w:r w:rsidRPr="00A73F98">
        <w:rPr>
          <w:rFonts w:ascii="Traditional Arabic" w:eastAsia="Calibri" w:hAnsi="Traditional Arabic" w:cs="Traditional Arabic"/>
          <w:sz w:val="32"/>
          <w:szCs w:val="32"/>
        </w:rPr>
        <w:t>.</w:t>
      </w:r>
    </w:p>
    <w:p w14:paraId="1C0EADCD" w14:textId="2699E8FF"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7A2E51C2" w14:textId="7777777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الخلاصة التحليلية للإطار النظري</w:t>
      </w:r>
    </w:p>
    <w:p w14:paraId="5E0379D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يتضح من التحليل النظري أن أيا من هذه النماذج لا يقدم تفسيرًا شاملًا للعلاقة بين التنمية المهنية والكفاءة التدريسية بصورة منفردة، بل إن كل نموذج يفسر بعدًا معينًا من هذه العلاقة؛ حيث تركز نظرية رأس المال البشري على البعد الاستثماري، بينما تبرز نظرية المعرفة التربوية للمحتوى البعد المعرفي، في حين يفسر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Desimone</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خصائص البرامج التدريبية الفعالة، ويعالج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Guskey</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ديناميكية التغيير، وتوضح نظرية التعلم التنظيمي أثر البيئة المؤسسية</w:t>
      </w:r>
      <w:r w:rsidRPr="00A73F98">
        <w:rPr>
          <w:rFonts w:ascii="Traditional Arabic" w:eastAsia="Calibri" w:hAnsi="Traditional Arabic" w:cs="Traditional Arabic"/>
          <w:sz w:val="32"/>
          <w:szCs w:val="32"/>
        </w:rPr>
        <w:t>.</w:t>
      </w:r>
    </w:p>
    <w:p w14:paraId="4665D20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lastRenderedPageBreak/>
        <w:t>وانطلاقًا من ذلك، تتبنى الدراسة الحالية مدخلًا تكامليًا يجمع بين هذه الأطر النظرية، انطلاقًا من أن الكفاءة التدريسية تمثل بناءً مهنيًا ديناميكيًا يتشكل من تفاعل العوامل المعرفية والتنظيمية والتدريبية، وأن أثر التنمية المهنية لا يتحقق بصورة مباشرة، بل يمر عبر التغير في الممارسة التدريسية، وهو ما تسعى الدراسة الحالية إلى اختباره في السياق التعليمي السعودي</w:t>
      </w:r>
      <w:r w:rsidRPr="00A73F98">
        <w:rPr>
          <w:rFonts w:ascii="Traditional Arabic" w:eastAsia="Calibri" w:hAnsi="Traditional Arabic" w:cs="Traditional Arabic"/>
          <w:sz w:val="32"/>
          <w:szCs w:val="32"/>
        </w:rPr>
        <w:t>.</w:t>
      </w:r>
    </w:p>
    <w:p w14:paraId="41E6F4DB" w14:textId="279EEE38" w:rsidR="006504A0" w:rsidRPr="00A73F98" w:rsidRDefault="00A73F98" w:rsidP="00A73F98">
      <w:pPr>
        <w:bidi/>
        <w:spacing w:after="200" w:line="360" w:lineRule="auto"/>
        <w:jc w:val="both"/>
        <w:rPr>
          <w:rFonts w:ascii="Traditional Arabic" w:eastAsia="Calibri" w:hAnsi="Traditional Arabic" w:cs="Traditional Arabic" w:hint="cs"/>
          <w:sz w:val="32"/>
          <w:szCs w:val="32"/>
          <w:rtl/>
          <w:lang w:bidi="ar-JO"/>
        </w:rPr>
      </w:pPr>
      <w:r>
        <w:rPr>
          <w:rFonts w:ascii="Traditional Arabic" w:eastAsia="Calibri" w:hAnsi="Traditional Arabic" w:cs="Traditional Arabic" w:hint="cs"/>
          <w:sz w:val="32"/>
          <w:szCs w:val="32"/>
          <w:rtl/>
        </w:rPr>
        <w:t xml:space="preserve">أخيرا، </w:t>
      </w:r>
      <w:r w:rsidRPr="00A73F98">
        <w:rPr>
          <w:rFonts w:ascii="Traditional Arabic" w:eastAsia="Calibri" w:hAnsi="Traditional Arabic" w:cs="Traditional Arabic"/>
          <w:sz w:val="32"/>
          <w:szCs w:val="32"/>
          <w:rtl/>
        </w:rPr>
        <w:t xml:space="preserve">يتضح من العرض والتحليل النظري أن التنمية المهنية تمثل مدخلًا </w:t>
      </w:r>
      <w:r w:rsidRPr="00A73F98">
        <w:rPr>
          <w:rFonts w:ascii="Traditional Arabic" w:eastAsia="Calibri" w:hAnsi="Traditional Arabic" w:cs="Traditional Arabic" w:hint="cs"/>
          <w:sz w:val="32"/>
          <w:szCs w:val="32"/>
          <w:rtl/>
        </w:rPr>
        <w:t>استراتيجيا</w:t>
      </w:r>
      <w:r w:rsidRPr="00A73F98">
        <w:rPr>
          <w:rFonts w:ascii="Traditional Arabic" w:eastAsia="Calibri" w:hAnsi="Traditional Arabic" w:cs="Traditional Arabic"/>
          <w:sz w:val="32"/>
          <w:szCs w:val="32"/>
          <w:rtl/>
        </w:rPr>
        <w:t xml:space="preserve"> لتطوير الكفاءة التدريسية، حيث تسهم في بناء المعرفة المهنية وتعزيز الممارسات الصفية الفاعلة. كما تبين أن العلاقة بين التنمية المهنية والكفاءة التدريسية ليست علاقة مباشرة فحسب، بل تتأثر بطبيعة البرامج التدريبية وخصائصها، إضافة إلى البيئة التنظيمية التي يعمل فيها المعلم. وتشير النماذج النظرية المختلفة إلى أن الكفاءة التدريسية تمثل بناءً مهنيًا ديناميكيًا يتطور عبر التعلم المستمر والخبرات التراكمية، وهو ما تسعى الدراسة الحالية إلى اختباره في سياقها التطبيقي</w:t>
      </w:r>
      <w:r w:rsidRPr="00A73F98">
        <w:rPr>
          <w:rFonts w:ascii="Traditional Arabic" w:eastAsia="Calibri" w:hAnsi="Traditional Arabic" w:cs="Traditional Arabic"/>
          <w:sz w:val="32"/>
          <w:szCs w:val="32"/>
        </w:rPr>
        <w:t>.</w:t>
      </w:r>
    </w:p>
    <w:p w14:paraId="4C9B1DF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75DA1CC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roofErr w:type="gramStart"/>
      <w:r w:rsidRPr="006504A0">
        <w:rPr>
          <w:rFonts w:ascii="Traditional Arabic" w:eastAsia="Calibri" w:hAnsi="Traditional Arabic" w:cs="Traditional Arabic" w:hint="cs"/>
          <w:b/>
          <w:bCs/>
          <w:sz w:val="32"/>
          <w:szCs w:val="32"/>
          <w:rtl/>
        </w:rPr>
        <w:t>المحور</w:t>
      </w:r>
      <w:proofErr w:type="gramEnd"/>
      <w:r w:rsidRPr="006504A0">
        <w:rPr>
          <w:rFonts w:ascii="Traditional Arabic" w:eastAsia="Calibri" w:hAnsi="Traditional Arabic" w:cs="Traditional Arabic" w:hint="cs"/>
          <w:b/>
          <w:bCs/>
          <w:sz w:val="32"/>
          <w:szCs w:val="32"/>
          <w:rtl/>
        </w:rPr>
        <w:t xml:space="preserve"> الثاني: الدراسات السابقة</w:t>
      </w:r>
    </w:p>
    <w:p w14:paraId="5C1BD599" w14:textId="044B2876" w:rsidR="006504A0" w:rsidRPr="006504A0" w:rsidRDefault="006504A0" w:rsidP="00DD6416">
      <w:pPr>
        <w:bidi/>
        <w:spacing w:after="200" w:line="360" w:lineRule="auto"/>
        <w:jc w:val="both"/>
        <w:rPr>
          <w:rFonts w:ascii="Traditional Arabic" w:eastAsia="Calibri" w:hAnsi="Traditional Arabic" w:cs="Traditional Arabic"/>
          <w:sz w:val="32"/>
          <w:szCs w:val="32"/>
          <w:rtl/>
        </w:rPr>
      </w:pPr>
      <w:proofErr w:type="gramStart"/>
      <w:r w:rsidRPr="006504A0">
        <w:rPr>
          <w:rFonts w:ascii="Traditional Arabic" w:eastAsia="Calibri" w:hAnsi="Traditional Arabic" w:cs="Traditional Arabic"/>
          <w:sz w:val="32"/>
          <w:szCs w:val="32"/>
          <w:rtl/>
        </w:rPr>
        <w:t>تُعد</w:t>
      </w:r>
      <w:proofErr w:type="gramEnd"/>
      <w:r w:rsidRPr="006504A0">
        <w:rPr>
          <w:rFonts w:ascii="Traditional Arabic" w:eastAsia="Calibri" w:hAnsi="Traditional Arabic" w:cs="Traditional Arabic"/>
          <w:sz w:val="32"/>
          <w:szCs w:val="32"/>
          <w:rtl/>
        </w:rPr>
        <w:t xml:space="preserve"> الدراسات السابقة ركيزة أساسية لفهم السياق البحثي الحالي حول العلاقة بين برامج التنمية المهنية وكفاءة معلمي المرحلة الابتدائية. تم اختيار هذه الدراسات بناءً على معايير محددة تشمل الصلة الموضوعية، الحداثة، البيئة التعليمية المشابهة، واعتمادها على مناهج علمية موثوقة. تهدف هذه المراجعة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تسليط الضوء على نتائج الدراسات التي تناولت التنمية المهنية وتأثيرها على كفاءة المعلمين في مجالات التخطيط التدريسي، إدارة الصف، التقويم التعليمي، والتواصل مع الطلاب، بالإضافة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تأثير المتغيرات الديموغرافية وعدد المشاركات في البرامج التدريبية</w:t>
      </w:r>
      <w:r w:rsidRPr="006504A0">
        <w:rPr>
          <w:rFonts w:ascii="Traditional Arabic" w:eastAsia="Calibri" w:hAnsi="Traditional Arabic" w:cs="Traditional Arabic"/>
          <w:sz w:val="32"/>
          <w:szCs w:val="32"/>
        </w:rPr>
        <w:t>.</w:t>
      </w:r>
    </w:p>
    <w:p w14:paraId="32DE399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roofErr w:type="spellStart"/>
      <w:r w:rsidRPr="006504A0">
        <w:rPr>
          <w:rFonts w:ascii="Traditional Arabic" w:eastAsia="Calibri" w:hAnsi="Traditional Arabic" w:cs="Traditional Arabic"/>
          <w:b/>
          <w:bCs/>
          <w:sz w:val="32"/>
          <w:szCs w:val="32"/>
          <w:rtl/>
          <w:lang w:bidi="ar-JO"/>
        </w:rPr>
        <w:lastRenderedPageBreak/>
        <w:t>اولا</w:t>
      </w:r>
      <w:proofErr w:type="spellEnd"/>
      <w:r w:rsidRPr="006504A0">
        <w:rPr>
          <w:rFonts w:ascii="Traditional Arabic" w:eastAsia="Calibri" w:hAnsi="Traditional Arabic" w:cs="Traditional Arabic"/>
          <w:b/>
          <w:bCs/>
          <w:sz w:val="32"/>
          <w:szCs w:val="32"/>
          <w:rtl/>
          <w:lang w:bidi="ar-JO"/>
        </w:rPr>
        <w:t xml:space="preserve">: </w:t>
      </w:r>
      <w:r w:rsidRPr="006504A0">
        <w:rPr>
          <w:rFonts w:ascii="Traditional Arabic" w:eastAsia="Calibri" w:hAnsi="Traditional Arabic" w:cs="Traditional Arabic"/>
          <w:b/>
          <w:bCs/>
          <w:sz w:val="32"/>
          <w:szCs w:val="32"/>
          <w:rtl/>
        </w:rPr>
        <w:t xml:space="preserve"> الدراسات المتعلقة ببرامج التنمية المهنية (المتغير المستقل)</w:t>
      </w:r>
    </w:p>
    <w:p w14:paraId="1253CB4B" w14:textId="6DC61C02"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w:t>
      </w:r>
      <w:proofErr w:type="spellStart"/>
      <w:r w:rsidRPr="00DD6416">
        <w:rPr>
          <w:rFonts w:ascii="Traditional Arabic" w:eastAsia="Calibri" w:hAnsi="Traditional Arabic" w:cs="Traditional Arabic"/>
          <w:b/>
          <w:bCs/>
          <w:sz w:val="32"/>
          <w:szCs w:val="32"/>
          <w:rtl/>
        </w:rPr>
        <w:t>الحيكان</w:t>
      </w:r>
      <w:proofErr w:type="spellEnd"/>
      <w:r w:rsidRPr="00DD6416">
        <w:rPr>
          <w:rFonts w:ascii="Traditional Arabic" w:eastAsia="Calibri" w:hAnsi="Traditional Arabic" w:cs="Traditional Arabic"/>
          <w:b/>
          <w:bCs/>
          <w:sz w:val="32"/>
          <w:szCs w:val="32"/>
          <w:rtl/>
        </w:rPr>
        <w:t>، 2024) بعنوان "بيان التجديد التربوي للتنمية المهنية للمعلمين في ضوء كفايات الرخصة المهنية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إبراز أهمية التجديد التربوي بوصفه مدخلًا أساسيًا لتعزيز التنمية المهنية المستدامة للمعلمين في المملكة العربية السعودية، في ظل التحولات التقنية المتسارعة والتحديات التي فرضتها جائحة </w:t>
      </w:r>
      <w:proofErr w:type="spellStart"/>
      <w:r w:rsidRPr="006504A0">
        <w:rPr>
          <w:rFonts w:ascii="Traditional Arabic" w:eastAsia="Calibri" w:hAnsi="Traditional Arabic" w:cs="Traditional Arabic"/>
          <w:sz w:val="32"/>
          <w:szCs w:val="32"/>
          <w:rtl/>
        </w:rPr>
        <w:t>كوفيد</w:t>
      </w:r>
      <w:proofErr w:type="spellEnd"/>
      <w:r w:rsidRPr="006504A0">
        <w:rPr>
          <w:rFonts w:ascii="Traditional Arabic" w:eastAsia="Calibri" w:hAnsi="Traditional Arabic" w:cs="Traditional Arabic"/>
          <w:sz w:val="32"/>
          <w:szCs w:val="32"/>
          <w:rtl/>
        </w:rPr>
        <w:t xml:space="preserve">-19 على النظم التعليمية. وركزت الدراسة على تحليل العلاقة بين برامج التنمية المهنية ومتطلبات الرخصة المهنية التي تعتمدها هيئة تقويم التعليم والتدريب، باعتبارها إطارًا معياريًا لقياس كفاءة المعلمين وفق معايير دقيقة ومنظمة. واعتمدت الدراسة على منهج تحليلي </w:t>
      </w:r>
      <w:proofErr w:type="gramStart"/>
      <w:r w:rsidRPr="006504A0">
        <w:rPr>
          <w:rFonts w:ascii="Traditional Arabic" w:eastAsia="Calibri" w:hAnsi="Traditional Arabic" w:cs="Traditional Arabic"/>
          <w:sz w:val="32"/>
          <w:szCs w:val="32"/>
          <w:rtl/>
        </w:rPr>
        <w:t>وصفي</w:t>
      </w:r>
      <w:proofErr w:type="gramEnd"/>
      <w:r w:rsidRPr="006504A0">
        <w:rPr>
          <w:rFonts w:ascii="Traditional Arabic" w:eastAsia="Calibri" w:hAnsi="Traditional Arabic" w:cs="Traditional Arabic"/>
          <w:sz w:val="32"/>
          <w:szCs w:val="32"/>
          <w:rtl/>
        </w:rPr>
        <w:t xml:space="preserve"> قائم على مراجعة السياسات التعليمية وتحليل الأطر التنظيمية المرتبطة بالتطوير المهني</w:t>
      </w:r>
      <w:r w:rsidRPr="006504A0">
        <w:rPr>
          <w:rFonts w:ascii="Traditional Arabic" w:eastAsia="Calibri" w:hAnsi="Traditional Arabic" w:cs="Traditional Arabic"/>
          <w:sz w:val="32"/>
          <w:szCs w:val="32"/>
        </w:rPr>
        <w:t>.</w:t>
      </w:r>
    </w:p>
    <w:p w14:paraId="33AABEA2" w14:textId="3B69038B"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أظهرت</w:t>
      </w:r>
      <w:proofErr w:type="gramEnd"/>
      <w:r w:rsidRPr="006504A0">
        <w:rPr>
          <w:rFonts w:ascii="Traditional Arabic" w:eastAsia="Calibri" w:hAnsi="Traditional Arabic" w:cs="Traditional Arabic"/>
          <w:sz w:val="32"/>
          <w:szCs w:val="32"/>
          <w:rtl/>
        </w:rPr>
        <w:t xml:space="preserve"> نتائج الدراسة أن جودة التعليم ترتبط بدرجة كبيرة بفاعلية برامج التنمية المهنية ومدى اتساقها مع معايير الرخصة المهنية، مؤكدة أن تطوير المعلمين ينبغي أن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احتياجاتهم الفعلية وأن يكون مستمرًا ومبنيًا على معايير واضحة. كما بينت أن نظام الرخصة المهنية يمثل أداة تنظيمية تسهم في سد الفجوة بين الإعداد النظري والممارسة الفعلية داخل الصف، من خلال تحفيز المعلمين على التطوير المستدام وتحسين الأداء المهني</w:t>
      </w:r>
      <w:r w:rsidRPr="006504A0">
        <w:rPr>
          <w:rFonts w:ascii="Traditional Arabic" w:eastAsia="Calibri" w:hAnsi="Traditional Arabic" w:cs="Traditional Arabic"/>
          <w:sz w:val="32"/>
          <w:szCs w:val="32"/>
        </w:rPr>
        <w:t>.</w:t>
      </w:r>
    </w:p>
    <w:p w14:paraId="38602425" w14:textId="5CE047E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تمثل ركيزة استراتيجية لتحسين جودة التعليم، وتميزت بربطها بين التطوير المهني والإطار التنظيمي للرخصة المهنية في السياق السعودي. إلا أنها ركزت على التحليل المفاهيمي والتنظيمي دون إجراء دراسة ميدانية تقيس الأثر الفعلي لبرامج التنمية المهنية على أبعاد الكفاءة التدريسية بصورة كمية. كما لم تختبر العلاقة الإحصائية المباشرة بين المشاركة في البرامج التدريبية ومستوى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w:t>
      </w:r>
      <w:r w:rsidRPr="006504A0">
        <w:rPr>
          <w:rFonts w:ascii="Traditional Arabic" w:eastAsia="Calibri" w:hAnsi="Traditional Arabic" w:cs="Traditional Arabic"/>
          <w:sz w:val="32"/>
          <w:szCs w:val="32"/>
          <w:rtl/>
        </w:rPr>
        <w:lastRenderedPageBreak/>
        <w:t>ميدانية تحليلية تقيس أثر برامج التنمية المهنية على الكفاءة التدريسية بأبعادها المختلفة باستخدام نماذج تحليلية كمية في بيئة تعليمية حضرية مثل مدينة الرياض</w:t>
      </w:r>
      <w:r w:rsidRPr="006504A0">
        <w:rPr>
          <w:rFonts w:ascii="Traditional Arabic" w:eastAsia="Calibri" w:hAnsi="Traditional Arabic" w:cs="Traditional Arabic"/>
          <w:sz w:val="32"/>
          <w:szCs w:val="32"/>
        </w:rPr>
        <w:t>.</w:t>
      </w:r>
    </w:p>
    <w:p w14:paraId="5B576A5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43988A90" w14:textId="2474E0F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Alshahrani</w:t>
      </w:r>
      <w:proofErr w:type="spellEnd"/>
      <w:r w:rsidRPr="00DD6416">
        <w:rPr>
          <w:rFonts w:ascii="Traditional Arabic" w:eastAsia="Calibri" w:hAnsi="Traditional Arabic" w:cs="Traditional Arabic"/>
          <w:b/>
          <w:bCs/>
          <w:sz w:val="32"/>
          <w:szCs w:val="32"/>
        </w:rPr>
        <w:t xml:space="preserve"> &amp; Abu-</w:t>
      </w:r>
      <w:proofErr w:type="spellStart"/>
      <w:r w:rsidRPr="00DD6416">
        <w:rPr>
          <w:rFonts w:ascii="Traditional Arabic" w:eastAsia="Calibri" w:hAnsi="Traditional Arabic" w:cs="Traditional Arabic"/>
          <w:b/>
          <w:bCs/>
          <w:sz w:val="32"/>
          <w:szCs w:val="32"/>
        </w:rPr>
        <w:t>Alghayth</w:t>
      </w:r>
      <w:proofErr w:type="spellEnd"/>
      <w:r w:rsidRPr="00DD6416">
        <w:rPr>
          <w:rFonts w:ascii="Traditional Arabic" w:eastAsia="Calibri" w:hAnsi="Traditional Arabic" w:cs="Traditional Arabic"/>
          <w:b/>
          <w:bCs/>
          <w:sz w:val="32"/>
          <w:szCs w:val="32"/>
        </w:rPr>
        <w:t xml:space="preserve">,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 xml:space="preserve">“Teachers’ professional development for inclusive education: A perspective from Saudi </w:t>
      </w:r>
      <w:proofErr w:type="gramStart"/>
      <w:r w:rsidRPr="00DD6416">
        <w:rPr>
          <w:rFonts w:ascii="Traditional Arabic" w:eastAsia="Calibri" w:hAnsi="Traditional Arabic" w:cs="Traditional Arabic"/>
          <w:b/>
          <w:bCs/>
          <w:i/>
          <w:iCs/>
          <w:sz w:val="32"/>
          <w:szCs w:val="32"/>
        </w:rPr>
        <w:t>Arabia</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هدفت</w:t>
      </w:r>
      <w:proofErr w:type="gramEnd"/>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اتجاهات معلمي المرحلة الابتدائية في المملكة العربية السعودية نحو توفر برامج التنمية المهنية المرتبطة بالتعليم الشامل، وتحليل مدى كفاية هذه البرامج في دعم تطبيق مبادئ الدمج ورفع جودة المخرجات التعليمية. واعتمدت الدراسة على المنهج المختلط الاستكشافي المتسلسل، حيث شارك (331) معلماً في الجزء الكمي من خلال استبانة، بينما أُجريت مقابلات نوعية مع (9) معلمين لاستكمال التفسير العميق للنتائج</w:t>
      </w:r>
      <w:r w:rsidRPr="006504A0">
        <w:rPr>
          <w:rFonts w:ascii="Traditional Arabic" w:eastAsia="Calibri" w:hAnsi="Traditional Arabic" w:cs="Traditional Arabic"/>
          <w:sz w:val="32"/>
          <w:szCs w:val="32"/>
        </w:rPr>
        <w:t>.</w:t>
      </w:r>
    </w:p>
    <w:p w14:paraId="4E089E2A" w14:textId="4EF840A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نقص ملحوظ في برامج التنمية المهنية المستمرة، سواء في مرحلة الإعداد قبل الخدمة أو أثناء الخدمة، حيث أشار المشاركون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التدريب كان يغلب عليه الطابع النظري مع محدودية التطبيق العملي، الأمر الذي انعكس سلباً على قدرة المعلمين على التعامل مع الطلاب في بيئات التعليم الشامل.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تطوير برامج تدريبية أكثر استدامة وملاءمة للاحتياجات الفعلية للمعلمين، بما يسهم في تعزيز كفاءتهم المهنية وتحسين جودة التعليم</w:t>
      </w:r>
      <w:r w:rsidRPr="006504A0">
        <w:rPr>
          <w:rFonts w:ascii="Traditional Arabic" w:eastAsia="Calibri" w:hAnsi="Traditional Arabic" w:cs="Traditional Arabic"/>
          <w:sz w:val="32"/>
          <w:szCs w:val="32"/>
        </w:rPr>
        <w:t>.</w:t>
      </w:r>
    </w:p>
    <w:p w14:paraId="3BA881A8" w14:textId="4E61AEA2"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أن فاعلية التنمية المهنية تعد شرطًا أساسياً لنجاح سياسات التعليم الشامل، وتميزت بتركيزها على السياق السعودي واستخدامها المنهج المختلط الذي جمع بين التحليل الكمي والنوعي. إلا أنها ركزت على تحليل تصورات المعلمين تجاه توفر البرامج وجودتها، دون </w:t>
      </w:r>
      <w:r w:rsidRPr="006504A0">
        <w:rPr>
          <w:rFonts w:ascii="Traditional Arabic" w:eastAsia="Calibri" w:hAnsi="Traditional Arabic" w:cs="Traditional Arabic"/>
          <w:sz w:val="32"/>
          <w:szCs w:val="32"/>
          <w:rtl/>
        </w:rPr>
        <w:lastRenderedPageBreak/>
        <w:t xml:space="preserve">قياس مباشر لمستوى الكفاءة التدريسية أو اختبار العلاقة الإحصائية بين المشاركة في برامج التنمية المهنية وتحسن الأداء التدريسي. كما لم تقدم نموذجًا تحليليًا يفسر تأثير المتغيرات الديموغرافية بصورة كمية في العلاقة بين البرامج والكفاءة.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كمية تقيس أثر برامج التنمية المهنية على أبعاد الكفاءة التدريسية، مع اختبار دور المتغيرات الديموغرافية كعوامل مؤثرة أو معدِّلة في السياق السعودي</w:t>
      </w:r>
      <w:r w:rsidRPr="006504A0">
        <w:rPr>
          <w:rFonts w:ascii="Traditional Arabic" w:eastAsia="Calibri" w:hAnsi="Traditional Arabic" w:cs="Traditional Arabic"/>
          <w:sz w:val="32"/>
          <w:szCs w:val="32"/>
        </w:rPr>
        <w:t>.</w:t>
      </w:r>
    </w:p>
    <w:p w14:paraId="525BFBF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4A82E00C" w14:textId="77D01056"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(Abbas et al.</w:t>
      </w:r>
      <w:proofErr w:type="gramStart"/>
      <w:r w:rsidRPr="00DD6416">
        <w:rPr>
          <w:rFonts w:ascii="Traditional Arabic" w:eastAsia="Calibri" w:hAnsi="Traditional Arabic" w:cs="Traditional Arabic"/>
          <w:b/>
          <w:bCs/>
          <w:sz w:val="32"/>
          <w:szCs w:val="32"/>
        </w:rPr>
        <w:t xml:space="preserve">, 2021)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“Impact of continuous professional development on the quality of education among primary school teachers in Lahore</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أثر برامج التنمية المهنية المستمرة على جودة التعليم لدى معلمي المرحلة الابتدائية في مدينة لاهور.</w:t>
      </w:r>
      <w:proofErr w:type="gramEnd"/>
      <w:r w:rsidRPr="006504A0">
        <w:rPr>
          <w:rFonts w:ascii="Traditional Arabic" w:eastAsia="Calibri" w:hAnsi="Traditional Arabic" w:cs="Traditional Arabic"/>
          <w:sz w:val="32"/>
          <w:szCs w:val="32"/>
          <w:rtl/>
        </w:rPr>
        <w:t xml:space="preserve"> واعتمدت الدراسة على المنهج الكمي الوصفي، حيث تم جمع البيانات من المعلمين باستخدام أداة استبانة لقياس إدراكهم لدور برامج التنمية المهنية في تحسين أدائهم المهني</w:t>
      </w:r>
      <w:r w:rsidRPr="006504A0">
        <w:rPr>
          <w:rFonts w:ascii="Traditional Arabic" w:eastAsia="Calibri" w:hAnsi="Traditional Arabic" w:cs="Traditional Arabic"/>
          <w:sz w:val="32"/>
          <w:szCs w:val="32"/>
        </w:rPr>
        <w:t>.</w:t>
      </w:r>
    </w:p>
    <w:p w14:paraId="19DA1A4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اتفاق مرتفع بين المعلمين على أن برامج التنمية المهنية المستمرة أسهمت بصورة إيجابية في تحسين مهاراتهم التدريسية، ومعرفتهم التخصصية، وكفاءاتهم المهنية بشكل عام، مما انعكس على جودة العملية التعليمية. </w:t>
      </w:r>
      <w:proofErr w:type="gramStart"/>
      <w:r w:rsidRPr="006504A0">
        <w:rPr>
          <w:rFonts w:ascii="Traditional Arabic" w:eastAsia="Calibri" w:hAnsi="Traditional Arabic" w:cs="Traditional Arabic"/>
          <w:sz w:val="32"/>
          <w:szCs w:val="32"/>
          <w:rtl/>
        </w:rPr>
        <w:t>وأوصت</w:t>
      </w:r>
      <w:proofErr w:type="gramEnd"/>
      <w:r w:rsidRPr="006504A0">
        <w:rPr>
          <w:rFonts w:ascii="Traditional Arabic" w:eastAsia="Calibri" w:hAnsi="Traditional Arabic" w:cs="Traditional Arabic"/>
          <w:sz w:val="32"/>
          <w:szCs w:val="32"/>
          <w:rtl/>
        </w:rPr>
        <w:t xml:space="preserve"> الدراسة بضرورة الاستمرار في تبني برامج التنمية المهنية كجزء أساسي من مسار التطوير الوظيفي للمعلمين، لضمان استدامة التحسين في جودة التعليم</w:t>
      </w:r>
      <w:r w:rsidRPr="006504A0">
        <w:rPr>
          <w:rFonts w:ascii="Traditional Arabic" w:eastAsia="Calibri" w:hAnsi="Traditional Arabic" w:cs="Traditional Arabic"/>
          <w:sz w:val="32"/>
          <w:szCs w:val="32"/>
        </w:rPr>
        <w:t>.</w:t>
      </w:r>
    </w:p>
    <w:p w14:paraId="5F2F018A" w14:textId="67D4600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المستمرة تسهم في رفع مستوى الكفاءة التدريسية وتحسين جودة التعليم، وتميزت بتركيزها على المرحلة الابتدائية واعتمادها قياسًا كميًا مباشرًا </w:t>
      </w:r>
      <w:r w:rsidRPr="006504A0">
        <w:rPr>
          <w:rFonts w:ascii="Traditional Arabic" w:eastAsia="Calibri" w:hAnsi="Traditional Arabic" w:cs="Traditional Arabic"/>
          <w:sz w:val="32"/>
          <w:szCs w:val="32"/>
          <w:rtl/>
        </w:rPr>
        <w:lastRenderedPageBreak/>
        <w:t xml:space="preserve">لإدراك المعلمين لأثر البرامج. إلا أنها اعتمدت بصورة أساسية على التقويم الذاتي للمعلمين دون استخدام أدوات قياس متعددة أو نماذج تحليل سببية متقدمة لتحديد قوة التأثير بين المتغيرين، كما لم تفصل أثر البرامج على أبعاد محددة من الكفاءة التدريسية بصورة مستقلة.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أكثر عمقًا تقيس أثر برامج التنمية المهنية على أبعاد الكفاءة التدريسية (التخطيط، إدارة الصف، التقويم، والتواصل) باستخدام نموذج إحصائي يسمح بتفسير العلاقة بصورة أدق، خاصة في سياق تعليمي سعودي</w:t>
      </w:r>
      <w:r w:rsidRPr="006504A0">
        <w:rPr>
          <w:rFonts w:ascii="Traditional Arabic" w:eastAsia="Calibri" w:hAnsi="Traditional Arabic" w:cs="Traditional Arabic"/>
          <w:sz w:val="32"/>
          <w:szCs w:val="32"/>
        </w:rPr>
        <w:t>.</w:t>
      </w:r>
    </w:p>
    <w:p w14:paraId="295AE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03428F1"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ثانيا: الدراسات المتعلقة بالكفاءة التدريسية (المتغير التابع)</w:t>
      </w:r>
    </w:p>
    <w:p w14:paraId="0C135A3B" w14:textId="41A279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(الشهراني، 2024) بعنوان "الكفايات التدريسية لدى معلمات العلوم أثناء جائحة كورونا في المملكة العربية السعودية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التعرف على مستوى الكفايات التدريسية لدى معلمات العلوم في المرحلة المتوسطة في محافظة خميس مشيط خلال فترة التعليم عن بُعد، مع التركيز على مجالات التخطيط والتنفيذ والتقويم،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الكشف عن أثر بعض المتغيرات الديموغرافية مثل التخصص، سنوات الخبرة، والمؤهل العلمي في مستوى هذه الكفايات. واعتمدت الدراسة على المنهج الوصفي التحليلي، واستخدمت الاستبانة أداة لجمع البيانات من عينة عشوائية مكونة من (60) معلمة من مجتمع بلغ (120) معلمة</w:t>
      </w:r>
      <w:r w:rsidRPr="006504A0">
        <w:rPr>
          <w:rFonts w:ascii="Traditional Arabic" w:eastAsia="Calibri" w:hAnsi="Traditional Arabic" w:cs="Traditional Arabic"/>
          <w:sz w:val="32"/>
          <w:szCs w:val="32"/>
        </w:rPr>
        <w:t>.</w:t>
      </w:r>
    </w:p>
    <w:p w14:paraId="5D793125" w14:textId="41173DD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نتائج الدراسة أن مستوى الكفايات التدريسية في التعليم عن بُعد جاء بدرجة مرتفعة بشكل عام، حيث احتل محور التخطيط المرتبة الأولى من حيث مستوى التوافر، يليه محور التقويم، ثم محور التنفيذ، وجميعها بمستوى عالٍ.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نسبي في مستوى الكفايات وفق بعض </w:t>
      </w:r>
      <w:r w:rsidRPr="006504A0">
        <w:rPr>
          <w:rFonts w:ascii="Traditional Arabic" w:eastAsia="Calibri" w:hAnsi="Traditional Arabic" w:cs="Traditional Arabic"/>
          <w:sz w:val="32"/>
          <w:szCs w:val="32"/>
          <w:rtl/>
        </w:rPr>
        <w:lastRenderedPageBreak/>
        <w:t>المتغيرات الشخصية، مما يعكس تأثير السياق التعليمي والتحولات الرقمية في إعادة تشكيل الممارسات التدريسية</w:t>
      </w:r>
      <w:r w:rsidRPr="006504A0">
        <w:rPr>
          <w:rFonts w:ascii="Traditional Arabic" w:eastAsia="Calibri" w:hAnsi="Traditional Arabic" w:cs="Traditional Arabic"/>
          <w:sz w:val="32"/>
          <w:szCs w:val="32"/>
        </w:rPr>
        <w:t>.</w:t>
      </w:r>
    </w:p>
    <w:p w14:paraId="0D5F3CA0" w14:textId="66320843"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أهمية الكفاءة التدريسية بوصفها حجر الأساس في جودة التعليم، خاصة في البيئات التعليمية المتغيرة. وتميزت بتركيزها على سياق التعليم عن بُعد وتحليل أبعاد الكفايات التدريسية بصورة تفصيلية. إلا أنها ركزت على قياس مستوى الكفايات دون اختبار العلاقة السببية بين برامج التنمية المهنية ومستوى هذه الكفايات، كما لم تتناول أثر المشاركة في برامج تدريبية منظمة على تطوير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أبعاد الكفاءة التدريسية باستخدام نماذج تحليلية تسمح بتفسير العلاقة بين المتغيرين في سياق تعليمي سعودي حضري مثل مدينة الرياض</w:t>
      </w:r>
      <w:r w:rsidRPr="006504A0">
        <w:rPr>
          <w:rFonts w:ascii="Traditional Arabic" w:eastAsia="Calibri" w:hAnsi="Traditional Arabic" w:cs="Traditional Arabic"/>
          <w:sz w:val="32"/>
          <w:szCs w:val="32"/>
        </w:rPr>
        <w:t>.</w:t>
      </w:r>
    </w:p>
    <w:p w14:paraId="2DDD8540"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19A573FC" w14:textId="0271B89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(سلام والزهيري، 2022) بعنوان "درجة توافر الكفايات التعليمية لدى معلمي الرياضيات في ليبيا وعلاقتها بالمؤهل التربوي</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الكفايات التعليمية لدى معلمي الرياضيات في المرحلة الإعدادية بمدينة طرابلس، مع تحليل العلاقة بين هذه الكفايات والمؤهل التربوي. واعتمدت الدراسة على المنهج الوصفي الارتباطي، حيث تم اختيار عينة عشوائية مكونة من (66) معلمًا ومعلمة من مجتمع شمل معلمي الصفين السابع والثامن. واستخدم الباحثان بطاقة ملاحظة </w:t>
      </w:r>
      <w:proofErr w:type="gramStart"/>
      <w:r w:rsidRPr="006504A0">
        <w:rPr>
          <w:rFonts w:ascii="Traditional Arabic" w:eastAsia="Calibri" w:hAnsi="Traditional Arabic" w:cs="Traditional Arabic"/>
          <w:sz w:val="32"/>
          <w:szCs w:val="32"/>
          <w:rtl/>
        </w:rPr>
        <w:t>تضمنت</w:t>
      </w:r>
      <w:proofErr w:type="gramEnd"/>
      <w:r w:rsidRPr="006504A0">
        <w:rPr>
          <w:rFonts w:ascii="Traditional Arabic" w:eastAsia="Calibri" w:hAnsi="Traditional Arabic" w:cs="Traditional Arabic"/>
          <w:sz w:val="32"/>
          <w:szCs w:val="32"/>
          <w:rtl/>
        </w:rPr>
        <w:t xml:space="preserve"> (38) كفاءة تعليمية موزعة على أربعة مجالات رئيسة هي: إعداد وتخطيط الدروس، تنفيذ الدرس، اختيار الوسائل والأنشطة، والتقويم</w:t>
      </w:r>
      <w:r w:rsidRPr="006504A0">
        <w:rPr>
          <w:rFonts w:ascii="Traditional Arabic" w:eastAsia="Calibri" w:hAnsi="Traditional Arabic" w:cs="Traditional Arabic"/>
          <w:sz w:val="32"/>
          <w:szCs w:val="32"/>
        </w:rPr>
        <w:t>.</w:t>
      </w:r>
    </w:p>
    <w:p w14:paraId="7B5F445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أظهرت النتائج أن مستوى توافر الكفايات التعليمية جاء بدرجة متوسطة، كما لم تكشف الدراسة عن وجود علاقة ارتباطية ذات دلالة إحصائية بين مستوى الكفايات التعليمية والمؤهل التربوي. وأوصت الدراسة بضرورة تطوير برامج إعداد المعلمين وتعزيز التدريب أثناء الخدمة بما يتناسب مع مدخل التربية المبنية على الكفايات، بهدف رفع مستوى الأداء التعليمي</w:t>
      </w:r>
      <w:r w:rsidRPr="006504A0">
        <w:rPr>
          <w:rFonts w:ascii="Traditional Arabic" w:eastAsia="Calibri" w:hAnsi="Traditional Arabic" w:cs="Traditional Arabic"/>
          <w:sz w:val="32"/>
          <w:szCs w:val="32"/>
        </w:rPr>
        <w:t>.</w:t>
      </w:r>
    </w:p>
    <w:p w14:paraId="10CCB2FE" w14:textId="4C1E3323"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أهمية قياس الكفاءة التدريسية بأبعادها المختلفة، وتميزت باستخدام أداة ملاحظة مباشرة مما يعزز موضوعية القياس مقارنة بالاستبانات الذاتية. إلا أنها ركزت على قياس مستوى الكفايات وعلاقتها بالمؤهل التربوي فقط، دون اختبار أثر برامج التنمية المهنية بصورة مباشرة على هذه الكفايات، كما لم تتناول العلاقة السببية بين التدريب أثناء الخدمة ومستوى الأداء التدريسي باستخدام نماذج تحليلية كمية.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تقيس أثر برامج التنمية المهنية على أبعاد الكفاءة التدريسية في سياقات تعليمية مختلفة، وبخاصة في البيئة السعودية</w:t>
      </w:r>
      <w:r w:rsidRPr="006504A0">
        <w:rPr>
          <w:rFonts w:ascii="Traditional Arabic" w:eastAsia="Calibri" w:hAnsi="Traditional Arabic" w:cs="Traditional Arabic"/>
          <w:sz w:val="32"/>
          <w:szCs w:val="32"/>
        </w:rPr>
        <w:t>.</w:t>
      </w:r>
    </w:p>
    <w:p w14:paraId="264DB84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17FB6C67" w14:textId="61553E0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(القطاوي، 2022) بعنوان "الكفايات اللازمة لمعلمي المنصات الإلكترونية من وجهة نظر الطلبة والمعلمين</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الكفايات الأساسية التي ينبغي أن يمتلكها معلمو المنصات الإلكترونية، مع تركيز خاص على كفايات إدارة الصف الإلكتروني، وذلك في المدارس الخاصة التابعة للواء الجامعة. واعتمدت الدراسة على المنهج المختلط، حيث استخدمت استبانتين؛ الأولى موجهة للمعلمين وتضمنت (53) فقرة موزعة على ستة محاور، والثانية موجهة للطلبة واشتملت على (29) </w:t>
      </w:r>
      <w:r w:rsidRPr="006504A0">
        <w:rPr>
          <w:rFonts w:ascii="Traditional Arabic" w:eastAsia="Calibri" w:hAnsi="Traditional Arabic" w:cs="Traditional Arabic"/>
          <w:sz w:val="32"/>
          <w:szCs w:val="32"/>
          <w:rtl/>
        </w:rPr>
        <w:lastRenderedPageBreak/>
        <w:t xml:space="preserve">فقرة موزعة على أربعة محاور،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استخدام المقابلات كأداة مساندة. </w:t>
      </w:r>
      <w:proofErr w:type="gramStart"/>
      <w:r w:rsidRPr="006504A0">
        <w:rPr>
          <w:rFonts w:ascii="Traditional Arabic" w:eastAsia="Calibri" w:hAnsi="Traditional Arabic" w:cs="Traditional Arabic"/>
          <w:sz w:val="32"/>
          <w:szCs w:val="32"/>
          <w:rtl/>
        </w:rPr>
        <w:t>وتكونت</w:t>
      </w:r>
      <w:proofErr w:type="gramEnd"/>
      <w:r w:rsidRPr="006504A0">
        <w:rPr>
          <w:rFonts w:ascii="Traditional Arabic" w:eastAsia="Calibri" w:hAnsi="Traditional Arabic" w:cs="Traditional Arabic"/>
          <w:sz w:val="32"/>
          <w:szCs w:val="32"/>
          <w:rtl/>
        </w:rPr>
        <w:t xml:space="preserve"> عينة الدراسة من (100) معلم ومعلمة و(200) طالب وطالبة، مع التحقق من صدق الأدوات وثباتها</w:t>
      </w:r>
      <w:r w:rsidRPr="006504A0">
        <w:rPr>
          <w:rFonts w:ascii="Traditional Arabic" w:eastAsia="Calibri" w:hAnsi="Traditional Arabic" w:cs="Traditional Arabic"/>
          <w:sz w:val="32"/>
          <w:szCs w:val="32"/>
        </w:rPr>
        <w:t>.</w:t>
      </w:r>
    </w:p>
    <w:p w14:paraId="237A72C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درجة عالية من التوافق بين آراء المعلمين والطلبة حول أهمية الكفايات المطلوبة، حيث سجلت جميع المجالات تقييمات مرتفعة، لا سيما في الجوانب المرتبطة بإدارة الصف الإلكتروني وتنظيم التفاعل التعليمي عبر المنصات. وأوصت الدراسة بضرورة تنفيذ برامج تدريبية مستمرة تستهدف </w:t>
      </w:r>
      <w:proofErr w:type="gramStart"/>
      <w:r w:rsidRPr="006504A0">
        <w:rPr>
          <w:rFonts w:ascii="Traditional Arabic" w:eastAsia="Calibri" w:hAnsi="Traditional Arabic" w:cs="Traditional Arabic"/>
          <w:sz w:val="32"/>
          <w:szCs w:val="32"/>
          <w:rtl/>
        </w:rPr>
        <w:t>تطوير</w:t>
      </w:r>
      <w:proofErr w:type="gramEnd"/>
      <w:r w:rsidRPr="006504A0">
        <w:rPr>
          <w:rFonts w:ascii="Traditional Arabic" w:eastAsia="Calibri" w:hAnsi="Traditional Arabic" w:cs="Traditional Arabic"/>
          <w:sz w:val="32"/>
          <w:szCs w:val="32"/>
          <w:rtl/>
        </w:rPr>
        <w:t xml:space="preserve"> المهارات التقنية والتربوية للمعلمين، بما يسهم في تحسين فاعلية استخدام المنصات التعليمية وتعزيز جودة العملية التعليمية</w:t>
      </w:r>
      <w:r w:rsidRPr="006504A0">
        <w:rPr>
          <w:rFonts w:ascii="Traditional Arabic" w:eastAsia="Calibri" w:hAnsi="Traditional Arabic" w:cs="Traditional Arabic"/>
          <w:sz w:val="32"/>
          <w:szCs w:val="32"/>
        </w:rPr>
        <w:t>.</w:t>
      </w:r>
    </w:p>
    <w:p w14:paraId="2B910698" w14:textId="45CA9BE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أهمية إدارة الصف – سواء التقليدي أو الإلكتروني – بوصفها بعدًا أساسيًا من أبعاد الكفاءة التدريسية. وتميزت باستخدامها المنهج المختلط، مما أتاح مقارنة تصورات المعلمين والطلبة بصورة متكاملة. إلا أنها ركزت على تحديد مستوى الكفايات المطلوبة دون اختبار العلاقة الكمية بين المشاركة في برامج التنمية المهنية ومستوى كفاءة إدارة الصف، كما لم تتناول قياس الأثر المباشر للتدريب على تحسين الأداء التدريسي باستخدام نماذج تحليلية تفسيرية. </w:t>
      </w:r>
      <w:proofErr w:type="gramStart"/>
      <w:r w:rsidRPr="006504A0">
        <w:rPr>
          <w:rFonts w:ascii="Traditional Arabic" w:eastAsia="Calibri" w:hAnsi="Traditional Arabic" w:cs="Traditional Arabic"/>
          <w:sz w:val="32"/>
          <w:szCs w:val="32"/>
          <w:rtl/>
        </w:rPr>
        <w:t>ومن</w:t>
      </w:r>
      <w:proofErr w:type="gramEnd"/>
      <w:r w:rsidRPr="006504A0">
        <w:rPr>
          <w:rFonts w:ascii="Traditional Arabic" w:eastAsia="Calibri" w:hAnsi="Traditional Arabic" w:cs="Traditional Arabic"/>
          <w:sz w:val="32"/>
          <w:szCs w:val="32"/>
          <w:rtl/>
        </w:rPr>
        <w:t xml:space="preserve">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بعد إدارة الصف ضمن إطار تحليلي كمي، خاصة في سياقات تعليمية مختلفة مثل البيئة السعودية</w:t>
      </w:r>
      <w:r w:rsidRPr="006504A0">
        <w:rPr>
          <w:rFonts w:ascii="Traditional Arabic" w:eastAsia="Calibri" w:hAnsi="Traditional Arabic" w:cs="Traditional Arabic"/>
          <w:sz w:val="32"/>
          <w:szCs w:val="32"/>
        </w:rPr>
        <w:t>.</w:t>
      </w:r>
    </w:p>
    <w:p w14:paraId="75B6BC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7E7203CD"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ثالثا: الدراسات التي ربطت ب</w:t>
      </w:r>
      <w:r w:rsidRPr="006504A0">
        <w:rPr>
          <w:rFonts w:ascii="Traditional Arabic" w:eastAsia="Calibri" w:hAnsi="Traditional Arabic" w:cs="Traditional Arabic"/>
          <w:b/>
          <w:bCs/>
          <w:sz w:val="32"/>
          <w:szCs w:val="32"/>
          <w:rtl/>
        </w:rPr>
        <w:t>رامج التنمية المهنية</w:t>
      </w:r>
      <w:r w:rsidRPr="006504A0">
        <w:rPr>
          <w:rFonts w:ascii="Traditional Arabic" w:eastAsia="Calibri" w:hAnsi="Traditional Arabic" w:cs="Traditional Arabic" w:hint="cs"/>
          <w:b/>
          <w:bCs/>
          <w:sz w:val="32"/>
          <w:szCs w:val="32"/>
          <w:rtl/>
        </w:rPr>
        <w:t xml:space="preserve"> بالكفاءة التدريسية</w:t>
      </w:r>
    </w:p>
    <w:p w14:paraId="7708DB83" w14:textId="2F82058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Alsamiri</w:t>
      </w:r>
      <w:proofErr w:type="spellEnd"/>
      <w:r w:rsidRPr="00DD6416">
        <w:rPr>
          <w:rFonts w:ascii="Traditional Arabic" w:eastAsia="Calibri" w:hAnsi="Traditional Arabic" w:cs="Traditional Arabic"/>
          <w:b/>
          <w:bCs/>
          <w:sz w:val="32"/>
          <w:szCs w:val="32"/>
        </w:rPr>
        <w:t xml:space="preserve">, 2024)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 xml:space="preserve">"Enhancing elementary school teachers’ competence in recognizing and supporting gifted </w:t>
      </w:r>
      <w:r w:rsidRPr="00DD6416">
        <w:rPr>
          <w:rFonts w:ascii="Traditional Arabic" w:eastAsia="Calibri" w:hAnsi="Traditional Arabic" w:cs="Traditional Arabic"/>
          <w:b/>
          <w:bCs/>
          <w:i/>
          <w:iCs/>
          <w:sz w:val="32"/>
          <w:szCs w:val="32"/>
        </w:rPr>
        <w:lastRenderedPageBreak/>
        <w:t>students with learning disabilities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كفاءة معلمي المرحلة الابتدائية في المملكة العربية السعودية في التعرف على الطلبة الموهوبين ذوي صعوبات التعلم ودعمهم، مع التركيز على إدراك المعلمين لدور التنمية المهنية في رفع مستوى وعيهم بهذه الفئة،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التحديات الأكاديمية التي تناولتها ورش العمل التعاونية المنفذة ضمن مجموعات مهنية. </w:t>
      </w:r>
      <w:proofErr w:type="gramStart"/>
      <w:r w:rsidRPr="006504A0">
        <w:rPr>
          <w:rFonts w:ascii="Traditional Arabic" w:eastAsia="Calibri" w:hAnsi="Traditional Arabic" w:cs="Traditional Arabic"/>
          <w:sz w:val="32"/>
          <w:szCs w:val="32"/>
          <w:rtl/>
        </w:rPr>
        <w:t>واعتمدت</w:t>
      </w:r>
      <w:proofErr w:type="gramEnd"/>
      <w:r w:rsidRPr="006504A0">
        <w:rPr>
          <w:rFonts w:ascii="Traditional Arabic" w:eastAsia="Calibri" w:hAnsi="Traditional Arabic" w:cs="Traditional Arabic"/>
          <w:sz w:val="32"/>
          <w:szCs w:val="32"/>
          <w:rtl/>
        </w:rPr>
        <w:t xml:space="preserve"> الدراسة على المنهج النوعي من خلال إجراء مقابلات متعمقة مع عشرة معلمين معتمدين في مدينة المدينة المنورة</w:t>
      </w:r>
      <w:r w:rsidRPr="006504A0">
        <w:rPr>
          <w:rFonts w:ascii="Traditional Arabic" w:eastAsia="Calibri" w:hAnsi="Traditional Arabic" w:cs="Traditional Arabic"/>
          <w:sz w:val="32"/>
          <w:szCs w:val="32"/>
        </w:rPr>
        <w:t>.</w:t>
      </w:r>
    </w:p>
    <w:p w14:paraId="29DA1D2A" w14:textId="4200733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محورين رئيسيين؛ أولهما أن التنمية المهنية المستمرة تسهم في تعزيز وعي المعلمين بخصائص الطلبة الموهوبين ذوي صعوبات التعلم وتطوير قدرتهم على التعامل مع الفروق الفردية، وثانيهما أن ورش العمل التعاونية تعزز تبادل الخبرات المهنية بين المعلمين وتسهم في تحسين ممارساتهم داخل الصف. وخلصت الدراسة </w:t>
      </w:r>
      <w:proofErr w:type="gramStart"/>
      <w:r w:rsidR="00976DAD">
        <w:rPr>
          <w:rFonts w:ascii="Traditional Arabic" w:eastAsia="Calibri" w:hAnsi="Traditional Arabic" w:cs="Traditional Arabic"/>
          <w:sz w:val="32"/>
          <w:szCs w:val="32"/>
          <w:rtl/>
        </w:rPr>
        <w:t>إلى</w:t>
      </w:r>
      <w:proofErr w:type="gramEnd"/>
      <w:r w:rsidRPr="006504A0">
        <w:rPr>
          <w:rFonts w:ascii="Traditional Arabic" w:eastAsia="Calibri" w:hAnsi="Traditional Arabic" w:cs="Traditional Arabic"/>
          <w:sz w:val="32"/>
          <w:szCs w:val="32"/>
          <w:rtl/>
        </w:rPr>
        <w:t xml:space="preserve"> أن التدريب المستمر والتعاون المهني يمثلان ركيزة أساسية في تطوير كفاءة المعلمين في التعامل مع الفئات الاستثنائية، وأوصت بضرورة تطوير برامج إعداد المعلمين وسياسات تعليمية شاملة تستجيب لاحتياجات هذه الفئة</w:t>
      </w:r>
      <w:r w:rsidRPr="006504A0">
        <w:rPr>
          <w:rFonts w:ascii="Traditional Arabic" w:eastAsia="Calibri" w:hAnsi="Traditional Arabic" w:cs="Traditional Arabic"/>
          <w:sz w:val="32"/>
          <w:szCs w:val="32"/>
        </w:rPr>
        <w:t>.</w:t>
      </w:r>
    </w:p>
    <w:p w14:paraId="2F9D8F61" w14:textId="1F936A6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تسهم في تطوير الكفاءة التدريسية، وتميزت بتركيزها على فئة نوعية من الطلبة في السياق السعودي،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اعتمادها المنهج النوعي الذي أتاح فهمًا عميقًا لتجارب المعلمين. إلا أنها اقتصرت على تحليل تصورات المعلمين دون قياس كمي لمستوى الكفاءة أو اختبار العلاقة الإحصائية بين برامج التنمية المهنية وأبعاد الكفاءة التدريسية المختلفة، كما لم تستخدم نموذجًا تحليليًا يسمح بتحديد قوة التأثير أو تعميم النتائج على نطاق أوسع.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كمية تحليلية تقيس أثر برامج التنمية المهنية بصورة مباشرة على أبعاد الكفاءة التدريسية، خاصة في المرحلة الابتدائية بمدينة الرياض</w:t>
      </w:r>
      <w:r w:rsidRPr="006504A0">
        <w:rPr>
          <w:rFonts w:ascii="Traditional Arabic" w:eastAsia="Calibri" w:hAnsi="Traditional Arabic" w:cs="Traditional Arabic"/>
          <w:sz w:val="32"/>
          <w:szCs w:val="32"/>
        </w:rPr>
        <w:t>.</w:t>
      </w:r>
    </w:p>
    <w:p w14:paraId="4A923BC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670C1C54" w14:textId="6A071C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(Jamal et al.</w:t>
      </w:r>
      <w:proofErr w:type="gramStart"/>
      <w:r w:rsidRPr="00DD6416">
        <w:rPr>
          <w:rFonts w:ascii="Traditional Arabic" w:eastAsia="Calibri" w:hAnsi="Traditional Arabic" w:cs="Traditional Arabic"/>
          <w:b/>
          <w:bCs/>
          <w:sz w:val="32"/>
          <w:szCs w:val="32"/>
        </w:rPr>
        <w:t xml:space="preserve">,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“Teachers' training impact on teachers' professional development at primary school level</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برامج التطوير المهني على كفاءات معلمي التعليم الأساسي في المدارس الحكومية، مع تحليل الفروق في مستوى الكفاءات المهنية تبعًا لبعض المتغيرات.</w:t>
      </w:r>
      <w:proofErr w:type="gramEnd"/>
      <w:r w:rsidRPr="006504A0">
        <w:rPr>
          <w:rFonts w:ascii="Traditional Arabic" w:eastAsia="Calibri" w:hAnsi="Traditional Arabic" w:cs="Traditional Arabic"/>
          <w:sz w:val="32"/>
          <w:szCs w:val="32"/>
          <w:rtl/>
        </w:rPr>
        <w:t xml:space="preserve"> </w:t>
      </w:r>
      <w:proofErr w:type="gramStart"/>
      <w:r w:rsidRPr="006504A0">
        <w:rPr>
          <w:rFonts w:ascii="Traditional Arabic" w:eastAsia="Calibri" w:hAnsi="Traditional Arabic" w:cs="Traditional Arabic"/>
          <w:sz w:val="32"/>
          <w:szCs w:val="32"/>
          <w:rtl/>
        </w:rPr>
        <w:t>وتكونت</w:t>
      </w:r>
      <w:proofErr w:type="gramEnd"/>
      <w:r w:rsidRPr="006504A0">
        <w:rPr>
          <w:rFonts w:ascii="Traditional Arabic" w:eastAsia="Calibri" w:hAnsi="Traditional Arabic" w:cs="Traditional Arabic"/>
          <w:sz w:val="32"/>
          <w:szCs w:val="32"/>
          <w:rtl/>
        </w:rPr>
        <w:t xml:space="preserve"> عينة الدراسة من (150) معلمًا ومعلمة تم اختيارهم عشوائيًا، موزعين بالتساوي بين الذكور والإناث. واعتمدت الدراسة على استبانة مكونة من ستة محاور رئيسية وفق مقياس ليكرت الخماسي، مع التحقق من موثوقية الأداة باستخدام معامل كرونباخ ألفا،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توظيف الإحصاء الاستدلالي لاختبار الفروق والعلاقات بين المتغيرات</w:t>
      </w:r>
      <w:r w:rsidRPr="006504A0">
        <w:rPr>
          <w:rFonts w:ascii="Traditional Arabic" w:eastAsia="Calibri" w:hAnsi="Traditional Arabic" w:cs="Traditional Arabic"/>
          <w:sz w:val="32"/>
          <w:szCs w:val="32"/>
        </w:rPr>
        <w:t>.</w:t>
      </w:r>
    </w:p>
    <w:p w14:paraId="56A7B6F4" w14:textId="63C52FA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فروق ذات دلالة إحصائية بين المعلمين تعكس تأثير برامج التنمية المهنية في تعزيز كفاءاتهم المهنية داخل البيئة التعليمية، مما يؤكد الدور الحيوي للتدريب المستمر في تحسين الأداء المهني.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المشاركة في برامج التطوير المهني ترتبط بتحسن ملموس في مستوى الكفاءة التدريسية، وهو ما يدعم الفرضيات المتعلقة بأثر التدريب على الأداء</w:t>
      </w:r>
      <w:r w:rsidRPr="006504A0">
        <w:rPr>
          <w:rFonts w:ascii="Traditional Arabic" w:eastAsia="Calibri" w:hAnsi="Traditional Arabic" w:cs="Traditional Arabic"/>
          <w:sz w:val="32"/>
          <w:szCs w:val="32"/>
        </w:rPr>
        <w:t>.</w:t>
      </w:r>
    </w:p>
    <w:p w14:paraId="7B2292D1" w14:textId="33D58A3B"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برامج التنمية المهنية وتطوير الكفاءات المهنية للمعلمين، وتميزت باستخدام أدوات قياس كمية موثوقة وتحليل إحصائي يدعم استنتاجاتها. إلا أنها لم تتناول تحليل الأبعاد التفصيلية للكفاءة التدريسية بصورة مستقلة، كما لم تدرس تأثير المتغيرات الديموغرافية كمتغيرات معدِّلة بصورة معمقة باستخدام نماذج تحليل متقدمة.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تفصيلية تقيس أثر برامج التنمية المهنية على أبعاد محددة من الكفاءة </w:t>
      </w:r>
      <w:r w:rsidRPr="006504A0">
        <w:rPr>
          <w:rFonts w:ascii="Traditional Arabic" w:eastAsia="Calibri" w:hAnsi="Traditional Arabic" w:cs="Traditional Arabic"/>
          <w:sz w:val="32"/>
          <w:szCs w:val="32"/>
          <w:rtl/>
        </w:rPr>
        <w:lastRenderedPageBreak/>
        <w:t>التدريسية مع اختبار دور عدد المشاركات والمتغيرات الديموغرافية كمؤثرات محتملة في العلاقة، خاصة في السياق السعودي</w:t>
      </w:r>
      <w:r w:rsidRPr="006504A0">
        <w:rPr>
          <w:rFonts w:ascii="Traditional Arabic" w:eastAsia="Calibri" w:hAnsi="Traditional Arabic" w:cs="Traditional Arabic"/>
          <w:sz w:val="32"/>
          <w:szCs w:val="32"/>
        </w:rPr>
        <w:t>.</w:t>
      </w:r>
    </w:p>
    <w:p w14:paraId="0EA32EF9"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78675681" w14:textId="2A0D6BA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(عرار، 2023) بعنوان "برامج تدريب المعلمين في المدارس الحكومية وعلاقتها برفع الكفاءة التدريسية من وجهة نظر المشرفين والمعلمين في المحافظات الشمالية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برامج تدريب المعلمين وتحليل علاقتها بالكفاءة التدريسية، مع دراسة أثر بعض المتغيرات الديموغرافية مثل الجنس، المؤهل العلمي، سنوات الخبرة، المسمى الوظيفي، والمديرية. واعتمدت الدراسة على المنهج الوصفي الارتباطي باستخدام المنهج المختلط (الكمي والنوعي)، حيث تم تطبيق استبانة على عينة واسعة بلغت (369) معلمًا ومعلمة و(118) مشرفًا ومشرفة،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إجراء مقابلات مع (10) مشاركين، مع التحقق من صدق الأداة وثباتها</w:t>
      </w:r>
      <w:r w:rsidRPr="006504A0">
        <w:rPr>
          <w:rFonts w:ascii="Traditional Arabic" w:eastAsia="Calibri" w:hAnsi="Traditional Arabic" w:cs="Traditional Arabic"/>
          <w:sz w:val="32"/>
          <w:szCs w:val="32"/>
        </w:rPr>
        <w:t>.</w:t>
      </w:r>
    </w:p>
    <w:p w14:paraId="2F6E995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وأظهرت النتائج أن مستوى برامج التدريب جاء بدرجة متوسطة في جميع المجالات، في حين جاء مستوى الكفاءة التدريسية بدرجة مرتفعة. كما بينت النتائج عدم وجود فروق ذات دلالة إحصائية في مستوى البرامج أو الكفاءة تعزى لمعظم المتغيرات الديموغرافية، باستثناء المسمى الوظيفي الذي كان له تأثير معنوي. والأهم من ذلك، كشفت الدراسة عن وجود علاقة ارتباطية موجبة ذات دلالة إحصائية بين مستوى برامج التدريب والكفاءة التدريسية، مع بروز محتوى البرنامج التدريبي، وتخطيطه، وتقييمه كمؤشرات تنبؤية مؤثرة في مستوى الكفاءة</w:t>
      </w:r>
      <w:r w:rsidRPr="006504A0">
        <w:rPr>
          <w:rFonts w:ascii="Traditional Arabic" w:eastAsia="Calibri" w:hAnsi="Traditional Arabic" w:cs="Traditional Arabic"/>
          <w:sz w:val="32"/>
          <w:szCs w:val="32"/>
        </w:rPr>
        <w:t>.</w:t>
      </w:r>
    </w:p>
    <w:p w14:paraId="40FE3A0F" w14:textId="41ABB8C2"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جودة برامج التنمية المهنية وتحسين الأداء التدريسي، وتميزت باعتمادها المنهج المختلط الذي أتاح تفسيرًا كميًا ونوعيًا للعلاقة بين المتغيرين. </w:t>
      </w:r>
      <w:r w:rsidRPr="006504A0">
        <w:rPr>
          <w:rFonts w:ascii="Traditional Arabic" w:eastAsia="Calibri" w:hAnsi="Traditional Arabic" w:cs="Traditional Arabic"/>
          <w:sz w:val="32"/>
          <w:szCs w:val="32"/>
          <w:rtl/>
        </w:rPr>
        <w:lastRenderedPageBreak/>
        <w:t xml:space="preserve">كما قدمت مؤشرات تنبؤية مهمة تعزز فهم آليات تأثير البرامج التدريبية في الكفاءة التدريسية. إلا أن الدراسة اقتصرت على سياق جغرافي محدد خارج البيئة السعودية، ولم تتناول بصورة معمقة تحليل الأثر التفسيري أو السببي باستخدام نماذج تحليل متقدمة تسمح بقياس قوة التأثير النسبي لكل بعد من أبعاد البرامج التدريبية.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السياق السعودي، وبخاصة في مدينة الرياض، تقيس أثر برامج التنمية المهنية على أبعاد الكفاءة التدريسية باستخدام نموذج تحليلي يسمح بتفسير العلاقة بصورة أكثر دقة</w:t>
      </w:r>
      <w:r w:rsidRPr="006504A0">
        <w:rPr>
          <w:rFonts w:ascii="Traditional Arabic" w:eastAsia="Calibri" w:hAnsi="Traditional Arabic" w:cs="Traditional Arabic"/>
          <w:sz w:val="32"/>
          <w:szCs w:val="32"/>
        </w:rPr>
        <w:t>.</w:t>
      </w:r>
    </w:p>
    <w:p w14:paraId="740630E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C8F1DDB" w14:textId="51D077F7"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DD6416">
        <w:rPr>
          <w:rFonts w:ascii="Traditional Arabic" w:eastAsia="Calibri" w:hAnsi="Traditional Arabic" w:cs="Traditional Arabic"/>
          <w:b/>
          <w:bCs/>
          <w:sz w:val="32"/>
          <w:szCs w:val="32"/>
          <w:rtl/>
        </w:rPr>
        <w:t>دراسة</w:t>
      </w:r>
      <w:proofErr w:type="gramEnd"/>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Alamri</w:t>
      </w:r>
      <w:proofErr w:type="spellEnd"/>
      <w:r w:rsidRPr="00DD6416">
        <w:rPr>
          <w:rFonts w:ascii="Traditional Arabic" w:eastAsia="Calibri" w:hAnsi="Traditional Arabic" w:cs="Traditional Arabic"/>
          <w:b/>
          <w:bCs/>
          <w:sz w:val="32"/>
          <w:szCs w:val="32"/>
        </w:rPr>
        <w:t xml:space="preserve">, 2022)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“Continuous professional development and its impact on primary school teachers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دور التنمية المهنية المستمرة في تعزيز الكفاءة الذاتية لمعلمي المرحلة الابتدائية في المملكة العربية السعودية، وانعكاس ذلك على ممارساتهم المهنية داخل الصف، مثل تحسين عرض المحتوى، واستخدام الموارد التعليمية، وإدارة الصف والوقت، ورفع مستوى تحصيل الطلاب.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سعت الدراسة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المعوقات التي تحد من مشاركة المعلمين في البرامج التدريبية، وتحليل مدى ملاءمة أنماط التنمية المهنية المتاحة لاحتياجاتهم الفعلية. واعتمدت الدراسة على منهج وصفي تحليلي باستخدام الاستبانات والمقابلات لجمع البيانات من المعلمين ومُعدّي البرامج التدريبية</w:t>
      </w:r>
      <w:r w:rsidRPr="006504A0">
        <w:rPr>
          <w:rFonts w:ascii="Traditional Arabic" w:eastAsia="Calibri" w:hAnsi="Traditional Arabic" w:cs="Traditional Arabic"/>
          <w:sz w:val="32"/>
          <w:szCs w:val="32"/>
        </w:rPr>
        <w:t>.</w:t>
      </w:r>
    </w:p>
    <w:p w14:paraId="097931DB" w14:textId="51A49E8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التنمية المهنية المستمرة تسهم في تعزيز الكفاءة الذاتية للمعلمين، الأمر الذي ينعكس إيجابًا على جودة ممارساتهم التدريسية، إلا أن المشاركة الفاعلة تتأثر بعدد من المعوقات التنظيمية والتحفيزية. كما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توفير بيئة داعمة وحوافز مناسبة لضمان استدامة التطوير </w:t>
      </w:r>
      <w:r w:rsidRPr="006504A0">
        <w:rPr>
          <w:rFonts w:ascii="Traditional Arabic" w:eastAsia="Calibri" w:hAnsi="Traditional Arabic" w:cs="Traditional Arabic"/>
          <w:sz w:val="32"/>
          <w:szCs w:val="32"/>
          <w:rtl/>
        </w:rPr>
        <w:lastRenderedPageBreak/>
        <w:t>المهني، مع التوصية بتوسيع نطاق البحث حول فعالية أنماط التدريب المختلفة، بما في ذلك التعلم عن بعد والتعليم الإلكتروني</w:t>
      </w:r>
      <w:r w:rsidRPr="006504A0">
        <w:rPr>
          <w:rFonts w:ascii="Traditional Arabic" w:eastAsia="Calibri" w:hAnsi="Traditional Arabic" w:cs="Traditional Arabic"/>
          <w:sz w:val="32"/>
          <w:szCs w:val="32"/>
        </w:rPr>
        <w:t>.</w:t>
      </w:r>
    </w:p>
    <w:p w14:paraId="097A4321" w14:textId="0BAE3984"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ترتبط بتحسين الأداء التدريسي وتعزيز الكفاءة الذاتية للمعلمين، وتميزت بتركيزها على البيئة السعودية وربطها بين التطوير المهني والممارسة الصفية الفعلية. إلا أنها ركزت بصورة أساسية على مفهوم الكفاءة الذاتية بوصفه متغيرًا وسيطًا، ولم تختبر العلاقة الكمية المباشرة بين برامج التنمية المهنية وأبعاد الكفاءة التدريسية التفصيلية باستخدام نموذج تحليلي سببي. كما لم تفصل أثر كل بعد من أبعاد الكفاءة التدريسية بصورة مستقلة.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كمية تقيس أثر برامج التنمية المهنية بصورة مباشرة على أبعاد الكفاءة التدريسية (التخطيط، إدارة الصف، التقويم، والتواصل) في سياق حضري سعودي مثل مدينة الرياض</w:t>
      </w:r>
      <w:r w:rsidRPr="006504A0">
        <w:rPr>
          <w:rFonts w:ascii="Traditional Arabic" w:eastAsia="Calibri" w:hAnsi="Traditional Arabic" w:cs="Traditional Arabic"/>
          <w:sz w:val="32"/>
          <w:szCs w:val="32"/>
        </w:rPr>
        <w:t>.</w:t>
      </w:r>
    </w:p>
    <w:p w14:paraId="254DBC42"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326DEEAE" w14:textId="6AABBE2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(الجراح وأبو عاشور، 2021) بعنوان "دور فاعلية البرامج التدريبية للمعلمين الجدد وعلاقتها في تحسين أدائهم</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فاعلية البرامج التدريبية في تحسين أداء المعلمين الجدد،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الفروق في تقديرات فاعلية هذه البرامج ومستوى الأداء تبعًا لمتغيرات الجنس، والمؤهل العلمي، والمسمى الوظيفي. واعتمدت الدراسة على المنهج الوصفي المسحي، حيث تم تطبيق أداة مكونة من جزأين على عينة بلغت (500) مشارك من المعلمين والمشرفين والمديرين في مدارس محافظة إربد، تم اختيارهم بطريقة عشوائية بسيطة. </w:t>
      </w:r>
      <w:proofErr w:type="gramStart"/>
      <w:r w:rsidRPr="006504A0">
        <w:rPr>
          <w:rFonts w:ascii="Traditional Arabic" w:eastAsia="Calibri" w:hAnsi="Traditional Arabic" w:cs="Traditional Arabic"/>
          <w:sz w:val="32"/>
          <w:szCs w:val="32"/>
          <w:rtl/>
        </w:rPr>
        <w:t>اشتمل</w:t>
      </w:r>
      <w:proofErr w:type="gramEnd"/>
      <w:r w:rsidRPr="006504A0">
        <w:rPr>
          <w:rFonts w:ascii="Traditional Arabic" w:eastAsia="Calibri" w:hAnsi="Traditional Arabic" w:cs="Traditional Arabic"/>
          <w:sz w:val="32"/>
          <w:szCs w:val="32"/>
          <w:rtl/>
        </w:rPr>
        <w:t xml:space="preserve"> الجزء الأول من الأداة على (46) فقرة لقياس </w:t>
      </w:r>
      <w:r w:rsidRPr="006504A0">
        <w:rPr>
          <w:rFonts w:ascii="Traditional Arabic" w:eastAsia="Calibri" w:hAnsi="Traditional Arabic" w:cs="Traditional Arabic"/>
          <w:sz w:val="32"/>
          <w:szCs w:val="32"/>
          <w:rtl/>
        </w:rPr>
        <w:lastRenderedPageBreak/>
        <w:t>فاعلية البرامج التدريبية، بينما تضمن الجزء الثاني (36) فقرة لقياس أداء المعلمين الجدد عبر أربعة مجالات في كل منهما</w:t>
      </w:r>
      <w:r w:rsidRPr="006504A0">
        <w:rPr>
          <w:rFonts w:ascii="Traditional Arabic" w:eastAsia="Calibri" w:hAnsi="Traditional Arabic" w:cs="Traditional Arabic"/>
          <w:sz w:val="32"/>
          <w:szCs w:val="32"/>
        </w:rPr>
        <w:t>.</w:t>
      </w:r>
    </w:p>
    <w:p w14:paraId="3E6A4A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فاعلية البرامج التدريبية جاءت بدرجة مرتفعة، كما كان مستوى </w:t>
      </w:r>
      <w:proofErr w:type="gramStart"/>
      <w:r w:rsidRPr="006504A0">
        <w:rPr>
          <w:rFonts w:ascii="Traditional Arabic" w:eastAsia="Calibri" w:hAnsi="Traditional Arabic" w:cs="Traditional Arabic"/>
          <w:sz w:val="32"/>
          <w:szCs w:val="32"/>
          <w:rtl/>
        </w:rPr>
        <w:t>أداء</w:t>
      </w:r>
      <w:proofErr w:type="gramEnd"/>
      <w:r w:rsidRPr="006504A0">
        <w:rPr>
          <w:rFonts w:ascii="Traditional Arabic" w:eastAsia="Calibri" w:hAnsi="Traditional Arabic" w:cs="Traditional Arabic"/>
          <w:sz w:val="32"/>
          <w:szCs w:val="32"/>
          <w:rtl/>
        </w:rPr>
        <w:t xml:space="preserve"> المعلمين الجدد مرتفعًا كذلك. وكشفت النتائج عن وجود فروق ذات دلالة إحصائية تعزى للجنس في تقدير فاعلية البرامج لصالح الإناث، بينما لم تظهر فروق بالنسبة للمؤهل العلمي أو المسمى الوظيفي في هذا الجانب. </w:t>
      </w:r>
      <w:proofErr w:type="gramStart"/>
      <w:r w:rsidRPr="006504A0">
        <w:rPr>
          <w:rFonts w:ascii="Traditional Arabic" w:eastAsia="Calibri" w:hAnsi="Traditional Arabic" w:cs="Traditional Arabic"/>
          <w:sz w:val="32"/>
          <w:szCs w:val="32"/>
          <w:rtl/>
        </w:rPr>
        <w:t>أما</w:t>
      </w:r>
      <w:proofErr w:type="gramEnd"/>
      <w:r w:rsidRPr="006504A0">
        <w:rPr>
          <w:rFonts w:ascii="Traditional Arabic" w:eastAsia="Calibri" w:hAnsi="Traditional Arabic" w:cs="Traditional Arabic"/>
          <w:sz w:val="32"/>
          <w:szCs w:val="32"/>
          <w:rtl/>
        </w:rPr>
        <w:t xml:space="preserve"> أداء المعلمين الجدد، فظهرت فروق ذات دلالة إحصائية تعزى للمؤهل العلمي لصالح حملة البكالوريوس. </w:t>
      </w:r>
      <w:proofErr w:type="gramStart"/>
      <w:r w:rsidRPr="006504A0">
        <w:rPr>
          <w:rFonts w:ascii="Traditional Arabic" w:eastAsia="Calibri" w:hAnsi="Traditional Arabic" w:cs="Traditional Arabic"/>
          <w:sz w:val="32"/>
          <w:szCs w:val="32"/>
          <w:rtl/>
        </w:rPr>
        <w:t>والأهم</w:t>
      </w:r>
      <w:proofErr w:type="gramEnd"/>
      <w:r w:rsidRPr="006504A0">
        <w:rPr>
          <w:rFonts w:ascii="Traditional Arabic" w:eastAsia="Calibri" w:hAnsi="Traditional Arabic" w:cs="Traditional Arabic"/>
          <w:sz w:val="32"/>
          <w:szCs w:val="32"/>
          <w:rtl/>
        </w:rPr>
        <w:t xml:space="preserve"> من ذلك، أظهرت الدراسة وجود علاقة إيجابية ذات دلالة إحصائية بين فاعلية البرامج التدريبية وأداء المعلمين الجدد، مما يعكس دور البرامج التدريبية في تعزيز الأداء المهني</w:t>
      </w:r>
      <w:r w:rsidRPr="006504A0">
        <w:rPr>
          <w:rFonts w:ascii="Traditional Arabic" w:eastAsia="Calibri" w:hAnsi="Traditional Arabic" w:cs="Traditional Arabic"/>
          <w:sz w:val="32"/>
          <w:szCs w:val="32"/>
        </w:rPr>
        <w:t>.</w:t>
      </w:r>
    </w:p>
    <w:p w14:paraId="0EC0856E" w14:textId="07F718A8"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وجود علاقة مباشرة بين جودة برامج التنمية المهنية وتحسين الأداء التدريسي، وتميزت بحجم عينة كبير وأداة قياس شاملة تضمنت أبعادًا متعددة للأداء. إلا أنها ركزت على فئة المعلمين الجدد دون بقية فئات المعلمين، كما لم تفصل أثر البرامج التدريبية على أبعاد محددة من الكفاءة التدريسية مثل التخطيط أو إدارة الصف بصورة تحليلية مستقلة، ولم تستخدم نماذج تحليل سببية متقدمة لتحديد قوة التأثير النسبي لكل بعد من أبعاد البرامج.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سياق مختلف – مثل البيئة السعودية – تقيس أثر برامج التنمية المهنية على أبعاد الكفاءة التدريسية بصورة تفصيلية باستخدام نموذج تحليلي يسمح بتفسير العلاقة بشكل أعمق</w:t>
      </w:r>
      <w:r w:rsidRPr="006504A0">
        <w:rPr>
          <w:rFonts w:ascii="Traditional Arabic" w:eastAsia="Calibri" w:hAnsi="Traditional Arabic" w:cs="Traditional Arabic"/>
          <w:sz w:val="32"/>
          <w:szCs w:val="32"/>
        </w:rPr>
        <w:t>.</w:t>
      </w:r>
    </w:p>
    <w:p w14:paraId="0ACB7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3B7880F5" w14:textId="2E7A724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 (</w:t>
      </w:r>
      <w:r w:rsidRPr="00DD6416">
        <w:rPr>
          <w:rFonts w:ascii="Traditional Arabic" w:eastAsia="Calibri" w:hAnsi="Traditional Arabic" w:cs="Traditional Arabic"/>
          <w:b/>
          <w:bCs/>
          <w:sz w:val="32"/>
          <w:szCs w:val="32"/>
        </w:rPr>
        <w:t>Ahmed et al.</w:t>
      </w:r>
      <w:proofErr w:type="gramStart"/>
      <w:r w:rsidRPr="00DD6416">
        <w:rPr>
          <w:rFonts w:ascii="Traditional Arabic" w:eastAsia="Calibri" w:hAnsi="Traditional Arabic" w:cs="Traditional Arabic"/>
          <w:b/>
          <w:bCs/>
          <w:sz w:val="32"/>
          <w:szCs w:val="32"/>
        </w:rPr>
        <w:t>, 2021</w:t>
      </w:r>
      <w:r w:rsidRPr="00DD6416">
        <w:rPr>
          <w:rFonts w:ascii="Traditional Arabic" w:eastAsia="Calibri" w:hAnsi="Traditional Arabic" w:cs="Traditional Arabic"/>
          <w:b/>
          <w:bCs/>
          <w:sz w:val="32"/>
          <w:szCs w:val="32"/>
          <w:rtl/>
        </w:rPr>
        <w:t>) بعنوان “</w:t>
      </w:r>
      <w:r w:rsidRPr="00DD6416">
        <w:rPr>
          <w:rFonts w:ascii="Traditional Arabic" w:eastAsia="Calibri" w:hAnsi="Traditional Arabic" w:cs="Traditional Arabic"/>
          <w:b/>
          <w:bCs/>
          <w:sz w:val="32"/>
          <w:szCs w:val="32"/>
        </w:rPr>
        <w:t>In-service professional development programs and their impact on teachers’ motivation and professional skills in Punjab, Pakistan</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دور برامج التنمية المهنية أثناء الخدمة في تحفيز المعلمين وتطوير مهاراتهم المهنية في إقليم البنجاب الباكستاني.</w:t>
      </w:r>
      <w:proofErr w:type="gramEnd"/>
      <w:r w:rsidRPr="006504A0">
        <w:rPr>
          <w:rFonts w:ascii="Traditional Arabic" w:eastAsia="Calibri" w:hAnsi="Traditional Arabic" w:cs="Traditional Arabic"/>
          <w:sz w:val="32"/>
          <w:szCs w:val="32"/>
          <w:rtl/>
        </w:rPr>
        <w:t xml:space="preserve"> وشملت الدراسة عينة واسعة بلغت (450) معلماً ومعلمة من المدارس الحكومية والخاصة، واعتمدت على استبانة منظمة لقياس مستوى الدافعية المهنية ومدى تطوير المهارات نتيجة المشاركة في البرامج التدريبية</w:t>
      </w:r>
      <w:r w:rsidRPr="006504A0">
        <w:rPr>
          <w:rFonts w:ascii="Traditional Arabic" w:eastAsia="Calibri" w:hAnsi="Traditional Arabic" w:cs="Traditional Arabic"/>
          <w:sz w:val="32"/>
          <w:szCs w:val="32"/>
        </w:rPr>
        <w:t>.</w:t>
      </w:r>
    </w:p>
    <w:p w14:paraId="18F7FC64"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برامج التنمية المهنية الحالية لم تحقق الأثر المتوقع في رفع دافعية المعلمين أو تطوير مهاراتهم المهنية بصورة فاعلة، حيث ارتبطت المشاركة في كثير من الأحيان بالحوافز الاجتماعية والمالية أكثر من ارتباطها بتحسين الأداء المهني الفعلي. كما كشفت الدراسة عن وجود قصور في تصميم البرامج من حيث محتواها وآليات تنفيذها ومتابعتها، مما حدّ من قدرتها على إحداث تغيير ملموس في الممارسات التدريسية. </w:t>
      </w:r>
      <w:proofErr w:type="gramStart"/>
      <w:r w:rsidRPr="006504A0">
        <w:rPr>
          <w:rFonts w:ascii="Traditional Arabic" w:eastAsia="Calibri" w:hAnsi="Traditional Arabic" w:cs="Traditional Arabic"/>
          <w:sz w:val="32"/>
          <w:szCs w:val="32"/>
          <w:rtl/>
        </w:rPr>
        <w:t>وأوصت</w:t>
      </w:r>
      <w:proofErr w:type="gramEnd"/>
      <w:r w:rsidRPr="006504A0">
        <w:rPr>
          <w:rFonts w:ascii="Traditional Arabic" w:eastAsia="Calibri" w:hAnsi="Traditional Arabic" w:cs="Traditional Arabic"/>
          <w:sz w:val="32"/>
          <w:szCs w:val="32"/>
          <w:rtl/>
        </w:rPr>
        <w:t xml:space="preserve"> الدراسة بضرورة إعادة تصميم برامج التنمية المهنية لتكون أكثر ارتباطًا باحتياجات المعلمين الواقعية، وأن تركز على تحقيق نتائج تعليمية قابلة للقياس</w:t>
      </w:r>
      <w:r w:rsidRPr="006504A0">
        <w:rPr>
          <w:rFonts w:ascii="Traditional Arabic" w:eastAsia="Calibri" w:hAnsi="Traditional Arabic" w:cs="Traditional Arabic"/>
          <w:sz w:val="32"/>
          <w:szCs w:val="32"/>
        </w:rPr>
        <w:t>.</w:t>
      </w:r>
    </w:p>
    <w:p w14:paraId="7C9A4371" w14:textId="26CF3FE3"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تتفق</w:t>
      </w:r>
      <w:proofErr w:type="gramEnd"/>
      <w:r w:rsidRPr="006504A0">
        <w:rPr>
          <w:rFonts w:ascii="Traditional Arabic" w:eastAsia="Calibri" w:hAnsi="Traditional Arabic" w:cs="Traditional Arabic"/>
          <w:sz w:val="32"/>
          <w:szCs w:val="32"/>
          <w:rtl/>
        </w:rPr>
        <w:t xml:space="preserve"> هذه الدراسة مع الأدبيات التي تشير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فعالية التنمية المهنية لا تتحقق بمجرد تنفيذ البرامج، بل تعتمد على جودة تصميمها وملاءمتها لاحتياجات المعلمين. وتميزت بطرحها النقدي الذي كشف </w:t>
      </w:r>
      <w:proofErr w:type="gramStart"/>
      <w:r w:rsidRPr="006504A0">
        <w:rPr>
          <w:rFonts w:ascii="Traditional Arabic" w:eastAsia="Calibri" w:hAnsi="Traditional Arabic" w:cs="Traditional Arabic"/>
          <w:sz w:val="32"/>
          <w:szCs w:val="32"/>
          <w:rtl/>
        </w:rPr>
        <w:t>الفجوة</w:t>
      </w:r>
      <w:proofErr w:type="gramEnd"/>
      <w:r w:rsidRPr="006504A0">
        <w:rPr>
          <w:rFonts w:ascii="Traditional Arabic" w:eastAsia="Calibri" w:hAnsi="Traditional Arabic" w:cs="Traditional Arabic"/>
          <w:sz w:val="32"/>
          <w:szCs w:val="32"/>
          <w:rtl/>
        </w:rPr>
        <w:t xml:space="preserve"> بين أهداف البرامج ونتائجها الفعلية. إلا أنها ركزت على قياس الدافعية والمهارات بصورة عامة دون تحليل تفصيلي لأبعاد الكفاءة التدريسية، كما لم تقدم نموذجًا تحليليًا سببيًا يفسر آلية التأثير بين جودة البرامج ومستوى الأداء.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تقيس أثر </w:t>
      </w:r>
      <w:r w:rsidRPr="006504A0">
        <w:rPr>
          <w:rFonts w:ascii="Traditional Arabic" w:eastAsia="Calibri" w:hAnsi="Traditional Arabic" w:cs="Traditional Arabic"/>
          <w:sz w:val="32"/>
          <w:szCs w:val="32"/>
          <w:rtl/>
        </w:rPr>
        <w:lastRenderedPageBreak/>
        <w:t>برامج التنمية المهنية على أبعاد الكفاءة التدريسية بصورة كمية دقيقة، مع تحديد العوامل التي تعزز أو تعيق فاعلية هذه البرامج، خاصة في سياقات تعليمية مختلفة مثل المملكة العربية السعودية</w:t>
      </w:r>
      <w:r w:rsidRPr="006504A0">
        <w:rPr>
          <w:rFonts w:ascii="Traditional Arabic" w:eastAsia="Calibri" w:hAnsi="Traditional Arabic" w:cs="Traditional Arabic"/>
          <w:sz w:val="32"/>
          <w:szCs w:val="32"/>
        </w:rPr>
        <w:t>.</w:t>
      </w:r>
    </w:p>
    <w:p w14:paraId="451A52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1DD4C87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خامسا: </w:t>
      </w:r>
      <w:proofErr w:type="gramStart"/>
      <w:r w:rsidRPr="006504A0">
        <w:rPr>
          <w:rFonts w:ascii="Traditional Arabic" w:eastAsia="Calibri" w:hAnsi="Traditional Arabic" w:cs="Traditional Arabic"/>
          <w:b/>
          <w:bCs/>
          <w:sz w:val="32"/>
          <w:szCs w:val="32"/>
          <w:rtl/>
        </w:rPr>
        <w:t>تحليل</w:t>
      </w:r>
      <w:proofErr w:type="gramEnd"/>
      <w:r w:rsidRPr="006504A0">
        <w:rPr>
          <w:rFonts w:ascii="Traditional Arabic" w:eastAsia="Calibri" w:hAnsi="Traditional Arabic" w:cs="Traditional Arabic"/>
          <w:b/>
          <w:bCs/>
          <w:sz w:val="32"/>
          <w:szCs w:val="32"/>
          <w:rtl/>
        </w:rPr>
        <w:t xml:space="preserve"> نقدي ومقارنة بين الدراسات</w:t>
      </w:r>
    </w:p>
    <w:p w14:paraId="071B4B4F" w14:textId="21C4009D"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يتضح من استعراض الدراسات السابقة أن هناك اتفاقًا واسعًا على الأثر الإيجابي لبرامج التنمية المهنية في رفع كفاءة المعلمين عبر مختلف الجوانب المهنية، خاصة في مجالات التخطيط التدريسي، إدارة الصف، التقويم، والتفاعل مع الطلاب. كما تؤكد الدراسات أهمية تنويع البرامج التدريبية وتطويرها لتلبية احتياجات المعلمين الفعلية، مع مراعاة المتغيرات الديموغرافية التي تؤثر على فعالية هذه البرامج. رغم ذلك،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تحديات تتعلق بمدى ملاءمة البرامج الحالية ومدى فعاليتها الحقيقية، مما يبرز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استراتيجيات تطوير مستمرة وشاملة لضمان تحقيق الأثر المرجو. هذه </w:t>
      </w:r>
      <w:proofErr w:type="gramStart"/>
      <w:r w:rsidRPr="006504A0">
        <w:rPr>
          <w:rFonts w:ascii="Traditional Arabic" w:eastAsia="Calibri" w:hAnsi="Traditional Arabic" w:cs="Traditional Arabic"/>
          <w:sz w:val="32"/>
          <w:szCs w:val="32"/>
          <w:rtl/>
        </w:rPr>
        <w:t>الملاحظات</w:t>
      </w:r>
      <w:proofErr w:type="gramEnd"/>
      <w:r w:rsidRPr="006504A0">
        <w:rPr>
          <w:rFonts w:ascii="Traditional Arabic" w:eastAsia="Calibri" w:hAnsi="Traditional Arabic" w:cs="Traditional Arabic"/>
          <w:sz w:val="32"/>
          <w:szCs w:val="32"/>
          <w:rtl/>
        </w:rPr>
        <w:t xml:space="preserve"> تسلط الضوء على أهمية الدراسة الحالية في اختبار الفرض</w:t>
      </w:r>
      <w:r w:rsidRPr="006504A0">
        <w:rPr>
          <w:rFonts w:ascii="Traditional Arabic" w:eastAsia="Calibri" w:hAnsi="Traditional Arabic" w:cs="Traditional Arabic" w:hint="cs"/>
          <w:sz w:val="32"/>
          <w:szCs w:val="32"/>
          <w:rtl/>
        </w:rPr>
        <w:t>يات.</w:t>
      </w:r>
    </w:p>
    <w:p w14:paraId="3D24D384" w14:textId="11DD21D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من</w:t>
      </w:r>
      <w:proofErr w:type="gramEnd"/>
      <w:r w:rsidRPr="006504A0">
        <w:rPr>
          <w:rFonts w:ascii="Traditional Arabic" w:eastAsia="Calibri" w:hAnsi="Traditional Arabic" w:cs="Traditional Arabic"/>
          <w:sz w:val="32"/>
          <w:szCs w:val="32"/>
          <w:rtl/>
        </w:rPr>
        <w:t xml:space="preserve"> خلال استعراض الدراسات السابقة، يتضح إجماع شبه كامل على الأثر الإيجابي لبرامج التنمية المهنية في تعزيز كفاءة المعلمين، وخاصة في مجالات التخطيط والتقويم والتواصل مع الطلاب. وتؤكد معظم الدراسات أن جودة هذه البرامج ومدى ملاءمتها لاحتياجات المعلمين تُعد من العوامل المحورية لتحقيق أثر فعّال</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على الرغم من ذلك، أظهرت بعض الدراسات فروقًا ديموغرافية مهمة مثل الجنس والمؤهل العلمي، مما يضيف بعدًا هامًا لتفسير اختلافات الكفاءة بين المعلمين، وهو ما تسعى </w:t>
      </w:r>
      <w:r w:rsidRPr="006504A0">
        <w:rPr>
          <w:rFonts w:ascii="Traditional Arabic" w:eastAsia="Calibri" w:hAnsi="Traditional Arabic" w:cs="Traditional Arabic" w:hint="cs"/>
          <w:sz w:val="32"/>
          <w:szCs w:val="32"/>
          <w:rtl/>
        </w:rPr>
        <w:t>الدراسة</w:t>
      </w:r>
      <w:r w:rsidRPr="006504A0">
        <w:rPr>
          <w:rFonts w:ascii="Traditional Arabic" w:eastAsia="Calibri" w:hAnsi="Traditional Arabic" w:cs="Traditional Arabic"/>
          <w:sz w:val="32"/>
          <w:szCs w:val="32"/>
          <w:rtl/>
        </w:rPr>
        <w:t xml:space="preserve"> الحالية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التحقق منه في السياق السعودي، وخاصة في مدينة الرياض</w:t>
      </w:r>
      <w:r w:rsidRPr="006504A0">
        <w:rPr>
          <w:rFonts w:ascii="Traditional Arabic" w:eastAsia="Calibri" w:hAnsi="Traditional Arabic" w:cs="Traditional Arabic"/>
          <w:sz w:val="32"/>
          <w:szCs w:val="32"/>
        </w:rPr>
        <w:t>.</w:t>
      </w:r>
    </w:p>
    <w:p w14:paraId="48D3432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lang w:bidi="ar-JO"/>
        </w:rPr>
      </w:pPr>
      <w:r w:rsidRPr="006504A0">
        <w:rPr>
          <w:rFonts w:ascii="Traditional Arabic" w:eastAsia="Calibri" w:hAnsi="Traditional Arabic" w:cs="Traditional Arabic"/>
          <w:sz w:val="32"/>
          <w:szCs w:val="32"/>
          <w:rtl/>
        </w:rPr>
        <w:lastRenderedPageBreak/>
        <w:t>كما كشفت الدراسات عن تحديات تتعلق بفعالية البرامج التدريبية، لا سيما في حالة الاعتماد على المحتوى النظري دون التطبيق العملي الكافي، مما يستدعي تطوير برامج تدريبية مستمرة ومرنة تتناسب مع متطلبات المعلمين والبيئة التعليمية الحديثة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بناءً على ذلك، تقدم </w:t>
      </w:r>
      <w:r w:rsidRPr="006504A0">
        <w:rPr>
          <w:rFonts w:ascii="Traditional Arabic" w:eastAsia="Calibri" w:hAnsi="Traditional Arabic" w:cs="Traditional Arabic" w:hint="cs"/>
          <w:sz w:val="32"/>
          <w:szCs w:val="32"/>
          <w:rtl/>
        </w:rPr>
        <w:t>هذه الدراسة</w:t>
      </w:r>
      <w:r w:rsidRPr="006504A0">
        <w:rPr>
          <w:rFonts w:ascii="Traditional Arabic" w:eastAsia="Calibri" w:hAnsi="Traditional Arabic" w:cs="Traditional Arabic"/>
          <w:sz w:val="32"/>
          <w:szCs w:val="32"/>
          <w:rtl/>
        </w:rPr>
        <w:t xml:space="preserve"> إضافة قيمة من خلال التركيز على العلاقة التفصيلية بين برامج التنمية المهنية وعدة أبعاد من كفاءة المعلمين، مع استكشاف أثر المتغيرات الديموغرافية وعدد المشاركات في التنمية المهنية، مما يعزز الإسهامات المعرفية في هذا المجال ويقدم توصيات موجهة لتحسين جودة التعليم في مدينة الرياض</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الجدول في </w:t>
      </w:r>
      <w:proofErr w:type="spellStart"/>
      <w:r w:rsidRPr="006504A0">
        <w:rPr>
          <w:rFonts w:ascii="Traditional Arabic" w:eastAsia="Calibri" w:hAnsi="Traditional Arabic" w:cs="Traditional Arabic"/>
          <w:sz w:val="32"/>
          <w:szCs w:val="32"/>
          <w:rtl/>
        </w:rPr>
        <w:t>الاسفل</w:t>
      </w:r>
      <w:proofErr w:type="spellEnd"/>
      <w:r w:rsidRPr="006504A0">
        <w:rPr>
          <w:rFonts w:ascii="Traditional Arabic" w:eastAsia="Calibri" w:hAnsi="Traditional Arabic" w:cs="Traditional Arabic"/>
          <w:sz w:val="32"/>
          <w:szCs w:val="32"/>
          <w:rtl/>
        </w:rPr>
        <w:t xml:space="preserve"> يلخص الدراسات السابقة المتعلقة بموضوع الدراسة. </w:t>
      </w:r>
    </w:p>
    <w:p w14:paraId="6BC4CF1D" w14:textId="77777777" w:rsidR="006504A0" w:rsidRPr="006504A0" w:rsidRDefault="006504A0" w:rsidP="00976DAD">
      <w:pPr>
        <w:bidi/>
        <w:spacing w:after="0" w:line="360" w:lineRule="auto"/>
        <w:jc w:val="center"/>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 xml:space="preserve">جدول </w:t>
      </w:r>
      <w:proofErr w:type="gramStart"/>
      <w:r w:rsidRPr="006504A0">
        <w:rPr>
          <w:rFonts w:ascii="Traditional Arabic" w:eastAsia="Calibri" w:hAnsi="Traditional Arabic" w:cs="Traditional Arabic"/>
          <w:b/>
          <w:bCs/>
          <w:sz w:val="32"/>
          <w:szCs w:val="32"/>
          <w:rtl/>
        </w:rPr>
        <w:t>رقم</w:t>
      </w:r>
      <w:proofErr w:type="gramEnd"/>
      <w:r w:rsidRPr="006504A0">
        <w:rPr>
          <w:rFonts w:ascii="Traditional Arabic" w:eastAsia="Calibri" w:hAnsi="Traditional Arabic" w:cs="Traditional Arabic"/>
          <w:b/>
          <w:bCs/>
          <w:sz w:val="32"/>
          <w:szCs w:val="32"/>
          <w:rtl/>
        </w:rPr>
        <w:t xml:space="preserve"> (1): ملخص الدراسات السابقة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975"/>
        <w:gridCol w:w="1166"/>
        <w:gridCol w:w="1186"/>
        <w:gridCol w:w="1621"/>
        <w:gridCol w:w="1757"/>
      </w:tblGrid>
      <w:tr w:rsidR="00DD6416" w:rsidRPr="006504A0" w14:paraId="637BC31F" w14:textId="77777777" w:rsidTr="00DD6416">
        <w:trPr>
          <w:jc w:val="center"/>
        </w:trPr>
        <w:tc>
          <w:tcPr>
            <w:tcW w:w="1066" w:type="pct"/>
            <w:shd w:val="clear" w:color="auto" w:fill="F79646" w:themeFill="accent6"/>
            <w:hideMark/>
          </w:tcPr>
          <w:p w14:paraId="5F21C05B"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الدراسة</w:t>
            </w:r>
          </w:p>
        </w:tc>
        <w:tc>
          <w:tcPr>
            <w:tcW w:w="572" w:type="pct"/>
            <w:shd w:val="clear" w:color="auto" w:fill="F79646" w:themeFill="accent6"/>
            <w:hideMark/>
          </w:tcPr>
          <w:p w14:paraId="2CDD50D4"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البلد</w:t>
            </w:r>
          </w:p>
        </w:tc>
        <w:tc>
          <w:tcPr>
            <w:tcW w:w="684" w:type="pct"/>
            <w:shd w:val="clear" w:color="auto" w:fill="F79646" w:themeFill="accent6"/>
            <w:hideMark/>
          </w:tcPr>
          <w:p w14:paraId="4172B2D3"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المنهج</w:t>
            </w:r>
          </w:p>
        </w:tc>
        <w:tc>
          <w:tcPr>
            <w:tcW w:w="696" w:type="pct"/>
            <w:shd w:val="clear" w:color="auto" w:fill="F79646" w:themeFill="accent6"/>
            <w:hideMark/>
          </w:tcPr>
          <w:p w14:paraId="68433260"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حجم العينة</w:t>
            </w:r>
          </w:p>
        </w:tc>
        <w:tc>
          <w:tcPr>
            <w:tcW w:w="951" w:type="pct"/>
            <w:shd w:val="clear" w:color="auto" w:fill="F79646" w:themeFill="accent6"/>
            <w:hideMark/>
          </w:tcPr>
          <w:p w14:paraId="74F07206"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proofErr w:type="gramStart"/>
            <w:r w:rsidRPr="006504A0">
              <w:rPr>
                <w:rFonts w:ascii="Traditional Arabic" w:eastAsia="Calibri" w:hAnsi="Traditional Arabic" w:cs="Traditional Arabic"/>
                <w:b/>
                <w:bCs/>
                <w:sz w:val="32"/>
                <w:szCs w:val="32"/>
                <w:rtl/>
              </w:rPr>
              <w:t>موضوع</w:t>
            </w:r>
            <w:proofErr w:type="gramEnd"/>
            <w:r w:rsidRPr="006504A0">
              <w:rPr>
                <w:rFonts w:ascii="Traditional Arabic" w:eastAsia="Calibri" w:hAnsi="Traditional Arabic" w:cs="Traditional Arabic"/>
                <w:b/>
                <w:bCs/>
                <w:sz w:val="32"/>
                <w:szCs w:val="32"/>
                <w:rtl/>
              </w:rPr>
              <w:t xml:space="preserve"> الدراسة</w:t>
            </w:r>
          </w:p>
        </w:tc>
        <w:tc>
          <w:tcPr>
            <w:tcW w:w="1031" w:type="pct"/>
            <w:shd w:val="clear" w:color="auto" w:fill="F79646" w:themeFill="accent6"/>
            <w:hideMark/>
          </w:tcPr>
          <w:p w14:paraId="475358A0"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 xml:space="preserve">أبرز التوصيات أو </w:t>
            </w:r>
            <w:proofErr w:type="gramStart"/>
            <w:r w:rsidRPr="006504A0">
              <w:rPr>
                <w:rFonts w:ascii="Traditional Arabic" w:eastAsia="Calibri" w:hAnsi="Traditional Arabic" w:cs="Traditional Arabic"/>
                <w:b/>
                <w:bCs/>
                <w:sz w:val="32"/>
                <w:szCs w:val="32"/>
                <w:rtl/>
              </w:rPr>
              <w:t>النتائج</w:t>
            </w:r>
            <w:proofErr w:type="gramEnd"/>
          </w:p>
        </w:tc>
      </w:tr>
      <w:tr w:rsidR="00DD6416" w:rsidRPr="006504A0" w14:paraId="0A0B86A0" w14:textId="77777777" w:rsidTr="00DD6416">
        <w:trPr>
          <w:jc w:val="center"/>
        </w:trPr>
        <w:tc>
          <w:tcPr>
            <w:tcW w:w="1066" w:type="pct"/>
            <w:shd w:val="clear" w:color="auto" w:fill="auto"/>
            <w:hideMark/>
          </w:tcPr>
          <w:p w14:paraId="03713DB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الشهراني، عبير</w:t>
            </w:r>
            <w:r w:rsidRPr="006504A0">
              <w:rPr>
                <w:rFonts w:ascii="Traditional Arabic" w:eastAsia="Calibri" w:hAnsi="Traditional Arabic" w:cs="Traditional Arabic" w:hint="cs"/>
                <w:sz w:val="32"/>
                <w:szCs w:val="32"/>
                <w:rtl/>
              </w:rPr>
              <w:t>، 2024</w:t>
            </w:r>
          </w:p>
        </w:tc>
        <w:tc>
          <w:tcPr>
            <w:tcW w:w="572" w:type="pct"/>
            <w:shd w:val="clear" w:color="auto" w:fill="auto"/>
            <w:hideMark/>
          </w:tcPr>
          <w:p w14:paraId="2A59378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shd w:val="clear" w:color="auto" w:fill="auto"/>
            <w:hideMark/>
          </w:tcPr>
          <w:p w14:paraId="3BB2EEC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shd w:val="clear" w:color="auto" w:fill="auto"/>
            <w:hideMark/>
          </w:tcPr>
          <w:p w14:paraId="5A8055B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60 </w:t>
            </w:r>
            <w:r w:rsidRPr="006504A0">
              <w:rPr>
                <w:rFonts w:ascii="Traditional Arabic" w:eastAsia="Calibri" w:hAnsi="Traditional Arabic" w:cs="Traditional Arabic"/>
                <w:sz w:val="32"/>
                <w:szCs w:val="32"/>
                <w:rtl/>
              </w:rPr>
              <w:t>معلمة</w:t>
            </w:r>
          </w:p>
        </w:tc>
        <w:tc>
          <w:tcPr>
            <w:tcW w:w="951" w:type="pct"/>
            <w:shd w:val="clear" w:color="auto" w:fill="auto"/>
            <w:hideMark/>
          </w:tcPr>
          <w:p w14:paraId="0865112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التعليم عن بُعد وكفايات التدريس</w:t>
            </w:r>
          </w:p>
        </w:tc>
        <w:tc>
          <w:tcPr>
            <w:tcW w:w="1031" w:type="pct"/>
            <w:shd w:val="clear" w:color="auto" w:fill="auto"/>
            <w:hideMark/>
          </w:tcPr>
          <w:p w14:paraId="284F6CB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التركيز على التخطيط والتقويم </w:t>
            </w:r>
            <w:proofErr w:type="gramStart"/>
            <w:r w:rsidRPr="006504A0">
              <w:rPr>
                <w:rFonts w:ascii="Traditional Arabic" w:eastAsia="Calibri" w:hAnsi="Traditional Arabic" w:cs="Traditional Arabic"/>
                <w:sz w:val="32"/>
                <w:szCs w:val="32"/>
                <w:rtl/>
              </w:rPr>
              <w:t>والتنفيذ</w:t>
            </w:r>
            <w:proofErr w:type="gramEnd"/>
          </w:p>
        </w:tc>
      </w:tr>
      <w:tr w:rsidR="00DD6416" w:rsidRPr="006504A0" w14:paraId="3E2A9A8F" w14:textId="77777777" w:rsidTr="00DD6416">
        <w:trPr>
          <w:jc w:val="center"/>
        </w:trPr>
        <w:tc>
          <w:tcPr>
            <w:tcW w:w="1066" w:type="pct"/>
            <w:shd w:val="clear" w:color="auto" w:fill="auto"/>
            <w:hideMark/>
          </w:tcPr>
          <w:p w14:paraId="4702616C"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spellStart"/>
            <w:r w:rsidRPr="006504A0">
              <w:rPr>
                <w:rFonts w:ascii="Traditional Arabic" w:eastAsia="Calibri" w:hAnsi="Traditional Arabic" w:cs="Traditional Arabic"/>
                <w:sz w:val="32"/>
                <w:szCs w:val="32"/>
                <w:rtl/>
              </w:rPr>
              <w:t>الحيكان</w:t>
            </w:r>
            <w:proofErr w:type="spellEnd"/>
            <w:r w:rsidRPr="006504A0">
              <w:rPr>
                <w:rFonts w:ascii="Traditional Arabic" w:eastAsia="Calibri" w:hAnsi="Traditional Arabic" w:cs="Traditional Arabic"/>
                <w:sz w:val="32"/>
                <w:szCs w:val="32"/>
                <w:rtl/>
              </w:rPr>
              <w:t>، عبدالرحمن</w:t>
            </w:r>
            <w:r w:rsidRPr="006504A0">
              <w:rPr>
                <w:rFonts w:ascii="Traditional Arabic" w:eastAsia="Calibri" w:hAnsi="Traditional Arabic" w:cs="Traditional Arabic" w:hint="cs"/>
                <w:sz w:val="32"/>
                <w:szCs w:val="32"/>
                <w:rtl/>
              </w:rPr>
              <w:t>، 2024</w:t>
            </w:r>
          </w:p>
        </w:tc>
        <w:tc>
          <w:tcPr>
            <w:tcW w:w="572" w:type="pct"/>
            <w:shd w:val="clear" w:color="auto" w:fill="auto"/>
            <w:hideMark/>
          </w:tcPr>
          <w:p w14:paraId="416037B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shd w:val="clear" w:color="auto" w:fill="auto"/>
            <w:hideMark/>
          </w:tcPr>
          <w:p w14:paraId="23453168"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تحليلية </w:t>
            </w:r>
            <w:proofErr w:type="gramStart"/>
            <w:r w:rsidRPr="006504A0">
              <w:rPr>
                <w:rFonts w:ascii="Traditional Arabic" w:eastAsia="Calibri" w:hAnsi="Traditional Arabic" w:cs="Traditional Arabic"/>
                <w:sz w:val="32"/>
                <w:szCs w:val="32"/>
                <w:rtl/>
              </w:rPr>
              <w:t>وصفية</w:t>
            </w:r>
            <w:proofErr w:type="gramEnd"/>
          </w:p>
        </w:tc>
        <w:tc>
          <w:tcPr>
            <w:tcW w:w="696" w:type="pct"/>
            <w:shd w:val="clear" w:color="auto" w:fill="auto"/>
            <w:hideMark/>
          </w:tcPr>
          <w:p w14:paraId="30852DC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غير محدد</w:t>
            </w:r>
          </w:p>
        </w:tc>
        <w:tc>
          <w:tcPr>
            <w:tcW w:w="951" w:type="pct"/>
            <w:shd w:val="clear" w:color="auto" w:fill="auto"/>
            <w:hideMark/>
          </w:tcPr>
          <w:p w14:paraId="003A4B0B"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التجديد</w:t>
            </w:r>
            <w:proofErr w:type="gramEnd"/>
            <w:r w:rsidRPr="006504A0">
              <w:rPr>
                <w:rFonts w:ascii="Traditional Arabic" w:eastAsia="Calibri" w:hAnsi="Traditional Arabic" w:cs="Traditional Arabic"/>
                <w:sz w:val="32"/>
                <w:szCs w:val="32"/>
                <w:rtl/>
              </w:rPr>
              <w:t xml:space="preserve"> التربوي والتنمية المهنية في ضوء الرخصة المهنية</w:t>
            </w:r>
          </w:p>
        </w:tc>
        <w:tc>
          <w:tcPr>
            <w:tcW w:w="1031" w:type="pct"/>
            <w:shd w:val="clear" w:color="auto" w:fill="auto"/>
            <w:hideMark/>
          </w:tcPr>
          <w:p w14:paraId="575DA25C"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ضرورة</w:t>
            </w:r>
            <w:proofErr w:type="gramEnd"/>
            <w:r w:rsidRPr="006504A0">
              <w:rPr>
                <w:rFonts w:ascii="Traditional Arabic" w:eastAsia="Calibri" w:hAnsi="Traditional Arabic" w:cs="Traditional Arabic"/>
                <w:sz w:val="32"/>
                <w:szCs w:val="32"/>
                <w:rtl/>
              </w:rPr>
              <w:t xml:space="preserve"> ربط التنمية المهنية بالرخصة المهنية</w:t>
            </w:r>
          </w:p>
        </w:tc>
      </w:tr>
      <w:tr w:rsidR="00DD6416" w:rsidRPr="006504A0" w14:paraId="0B63BFC0" w14:textId="77777777" w:rsidTr="00DD6416">
        <w:trPr>
          <w:jc w:val="center"/>
        </w:trPr>
        <w:tc>
          <w:tcPr>
            <w:tcW w:w="1066" w:type="pct"/>
            <w:shd w:val="clear" w:color="auto" w:fill="auto"/>
            <w:hideMark/>
          </w:tcPr>
          <w:p w14:paraId="375BFFE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hint="cs"/>
                <w:sz w:val="32"/>
                <w:szCs w:val="32"/>
                <w:rtl/>
              </w:rPr>
              <w:t>عرار ووردة، 2023</w:t>
            </w:r>
          </w:p>
        </w:tc>
        <w:tc>
          <w:tcPr>
            <w:tcW w:w="572" w:type="pct"/>
            <w:shd w:val="clear" w:color="auto" w:fill="auto"/>
            <w:hideMark/>
          </w:tcPr>
          <w:p w14:paraId="5F74F03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فلسطين</w:t>
            </w:r>
          </w:p>
        </w:tc>
        <w:tc>
          <w:tcPr>
            <w:tcW w:w="684" w:type="pct"/>
            <w:shd w:val="clear" w:color="auto" w:fill="auto"/>
            <w:hideMark/>
          </w:tcPr>
          <w:p w14:paraId="242F9F9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وصفي ارتباطي </w:t>
            </w:r>
            <w:proofErr w:type="gramStart"/>
            <w:r w:rsidRPr="006504A0">
              <w:rPr>
                <w:rFonts w:ascii="Traditional Arabic" w:eastAsia="Calibri" w:hAnsi="Traditional Arabic" w:cs="Traditional Arabic"/>
                <w:sz w:val="32"/>
                <w:szCs w:val="32"/>
                <w:rtl/>
              </w:rPr>
              <w:t>مختلط</w:t>
            </w:r>
            <w:proofErr w:type="gramEnd"/>
          </w:p>
        </w:tc>
        <w:tc>
          <w:tcPr>
            <w:tcW w:w="696" w:type="pct"/>
            <w:shd w:val="clear" w:color="auto" w:fill="auto"/>
            <w:hideMark/>
          </w:tcPr>
          <w:p w14:paraId="520AD74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487 </w:t>
            </w:r>
            <w:r w:rsidRPr="006504A0">
              <w:rPr>
                <w:rFonts w:ascii="Traditional Arabic" w:eastAsia="Calibri" w:hAnsi="Traditional Arabic" w:cs="Traditional Arabic"/>
                <w:sz w:val="32"/>
                <w:szCs w:val="32"/>
                <w:rtl/>
              </w:rPr>
              <w:t>مشارك</w:t>
            </w:r>
          </w:p>
        </w:tc>
        <w:tc>
          <w:tcPr>
            <w:tcW w:w="951" w:type="pct"/>
            <w:shd w:val="clear" w:color="auto" w:fill="auto"/>
            <w:hideMark/>
          </w:tcPr>
          <w:p w14:paraId="04F25E3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برامج تدريب المعلمين والكفاءة التدريسية</w:t>
            </w:r>
          </w:p>
        </w:tc>
        <w:tc>
          <w:tcPr>
            <w:tcW w:w="1031" w:type="pct"/>
            <w:shd w:val="clear" w:color="auto" w:fill="auto"/>
            <w:hideMark/>
          </w:tcPr>
          <w:p w14:paraId="61155B7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علاقة ارتباط إيجابية بين البرامج والكفاءة التدريسية</w:t>
            </w:r>
          </w:p>
        </w:tc>
      </w:tr>
      <w:tr w:rsidR="00DD6416" w:rsidRPr="006504A0" w14:paraId="30297CEA" w14:textId="77777777" w:rsidTr="00DD6416">
        <w:trPr>
          <w:jc w:val="center"/>
        </w:trPr>
        <w:tc>
          <w:tcPr>
            <w:tcW w:w="1066" w:type="pct"/>
            <w:shd w:val="clear" w:color="auto" w:fill="auto"/>
            <w:hideMark/>
          </w:tcPr>
          <w:p w14:paraId="3A0590F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سلام والزهيري </w:t>
            </w:r>
            <w:r w:rsidRPr="006504A0">
              <w:rPr>
                <w:rFonts w:ascii="Traditional Arabic" w:eastAsia="Calibri" w:hAnsi="Traditional Arabic" w:cs="Traditional Arabic" w:hint="cs"/>
                <w:sz w:val="32"/>
                <w:szCs w:val="32"/>
                <w:rtl/>
              </w:rPr>
              <w:t>، 2022</w:t>
            </w:r>
          </w:p>
        </w:tc>
        <w:tc>
          <w:tcPr>
            <w:tcW w:w="572" w:type="pct"/>
            <w:shd w:val="clear" w:color="auto" w:fill="auto"/>
            <w:hideMark/>
          </w:tcPr>
          <w:p w14:paraId="02986B4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ليبيا</w:t>
            </w:r>
          </w:p>
        </w:tc>
        <w:tc>
          <w:tcPr>
            <w:tcW w:w="684" w:type="pct"/>
            <w:shd w:val="clear" w:color="auto" w:fill="auto"/>
            <w:hideMark/>
          </w:tcPr>
          <w:p w14:paraId="2C57E75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 ارتباطي</w:t>
            </w:r>
          </w:p>
        </w:tc>
        <w:tc>
          <w:tcPr>
            <w:tcW w:w="696" w:type="pct"/>
            <w:shd w:val="clear" w:color="auto" w:fill="auto"/>
            <w:hideMark/>
          </w:tcPr>
          <w:p w14:paraId="4353EEE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66 </w:t>
            </w:r>
            <w:r w:rsidRPr="006504A0">
              <w:rPr>
                <w:rFonts w:ascii="Traditional Arabic" w:eastAsia="Calibri" w:hAnsi="Traditional Arabic" w:cs="Traditional Arabic"/>
                <w:sz w:val="32"/>
                <w:szCs w:val="32"/>
                <w:rtl/>
              </w:rPr>
              <w:t>معلم/ة</w:t>
            </w:r>
          </w:p>
        </w:tc>
        <w:tc>
          <w:tcPr>
            <w:tcW w:w="951" w:type="pct"/>
            <w:shd w:val="clear" w:color="auto" w:fill="auto"/>
            <w:hideMark/>
          </w:tcPr>
          <w:p w14:paraId="0601A23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الكفايات التعليمية وعلاقتها بالمؤهل التربوي</w:t>
            </w:r>
          </w:p>
        </w:tc>
        <w:tc>
          <w:tcPr>
            <w:tcW w:w="1031" w:type="pct"/>
            <w:shd w:val="clear" w:color="auto" w:fill="auto"/>
            <w:hideMark/>
          </w:tcPr>
          <w:p w14:paraId="07B7C5B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لا توجد علاقة دالة بين الكفايات والمؤهل التربوي</w:t>
            </w:r>
          </w:p>
        </w:tc>
      </w:tr>
      <w:tr w:rsidR="00DD6416" w:rsidRPr="006504A0" w14:paraId="4C2D7C66" w14:textId="77777777" w:rsidTr="00DD6416">
        <w:trPr>
          <w:jc w:val="center"/>
        </w:trPr>
        <w:tc>
          <w:tcPr>
            <w:tcW w:w="1066" w:type="pct"/>
            <w:shd w:val="clear" w:color="auto" w:fill="auto"/>
            <w:hideMark/>
          </w:tcPr>
          <w:p w14:paraId="08E948A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القطاوي، محمد </w:t>
            </w:r>
            <w:r w:rsidRPr="006504A0">
              <w:rPr>
                <w:rFonts w:ascii="Traditional Arabic" w:eastAsia="Calibri" w:hAnsi="Traditional Arabic" w:cs="Traditional Arabic" w:hint="cs"/>
                <w:sz w:val="32"/>
                <w:szCs w:val="32"/>
                <w:rtl/>
              </w:rPr>
              <w:t>، 2022</w:t>
            </w:r>
          </w:p>
        </w:tc>
        <w:tc>
          <w:tcPr>
            <w:tcW w:w="572" w:type="pct"/>
            <w:shd w:val="clear" w:color="auto" w:fill="auto"/>
            <w:hideMark/>
          </w:tcPr>
          <w:p w14:paraId="7893E05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الأردن</w:t>
            </w:r>
          </w:p>
        </w:tc>
        <w:tc>
          <w:tcPr>
            <w:tcW w:w="684" w:type="pct"/>
            <w:shd w:val="clear" w:color="auto" w:fill="auto"/>
            <w:hideMark/>
          </w:tcPr>
          <w:p w14:paraId="5C11541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مختلط</w:t>
            </w:r>
          </w:p>
        </w:tc>
        <w:tc>
          <w:tcPr>
            <w:tcW w:w="696" w:type="pct"/>
            <w:shd w:val="clear" w:color="auto" w:fill="auto"/>
            <w:hideMark/>
          </w:tcPr>
          <w:p w14:paraId="1FD51B3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100 </w:t>
            </w:r>
            <w:r w:rsidRPr="006504A0">
              <w:rPr>
                <w:rFonts w:ascii="Traditional Arabic" w:eastAsia="Calibri" w:hAnsi="Traditional Arabic" w:cs="Traditional Arabic"/>
                <w:sz w:val="32"/>
                <w:szCs w:val="32"/>
                <w:rtl/>
              </w:rPr>
              <w:t xml:space="preserve">معلم/ة </w:t>
            </w:r>
            <w:proofErr w:type="spellStart"/>
            <w:r w:rsidRPr="006504A0">
              <w:rPr>
                <w:rFonts w:ascii="Traditional Arabic" w:eastAsia="Calibri" w:hAnsi="Traditional Arabic" w:cs="Traditional Arabic"/>
                <w:sz w:val="32"/>
                <w:szCs w:val="32"/>
                <w:rtl/>
              </w:rPr>
              <w:t>و200</w:t>
            </w:r>
            <w:proofErr w:type="spellEnd"/>
            <w:r w:rsidRPr="006504A0">
              <w:rPr>
                <w:rFonts w:ascii="Traditional Arabic" w:eastAsia="Calibri" w:hAnsi="Traditional Arabic" w:cs="Traditional Arabic"/>
                <w:sz w:val="32"/>
                <w:szCs w:val="32"/>
                <w:rtl/>
              </w:rPr>
              <w:t xml:space="preserve"> طالب/ة</w:t>
            </w:r>
          </w:p>
        </w:tc>
        <w:tc>
          <w:tcPr>
            <w:tcW w:w="951" w:type="pct"/>
            <w:shd w:val="clear" w:color="auto" w:fill="auto"/>
            <w:hideMark/>
          </w:tcPr>
          <w:p w14:paraId="4D82647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كفايات معلمي المنصات الإلكترونية</w:t>
            </w:r>
          </w:p>
        </w:tc>
        <w:tc>
          <w:tcPr>
            <w:tcW w:w="1031" w:type="pct"/>
            <w:shd w:val="clear" w:color="auto" w:fill="auto"/>
            <w:hideMark/>
          </w:tcPr>
          <w:p w14:paraId="1E555F15" w14:textId="7E438FB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الحاجة </w:t>
            </w:r>
            <w:r>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ورش تطوير تقني </w:t>
            </w:r>
            <w:proofErr w:type="gramStart"/>
            <w:r w:rsidRPr="006504A0">
              <w:rPr>
                <w:rFonts w:ascii="Traditional Arabic" w:eastAsia="Calibri" w:hAnsi="Traditional Arabic" w:cs="Traditional Arabic"/>
                <w:sz w:val="32"/>
                <w:szCs w:val="32"/>
                <w:rtl/>
              </w:rPr>
              <w:t>وتربوي</w:t>
            </w:r>
            <w:proofErr w:type="gramEnd"/>
            <w:r w:rsidRPr="006504A0">
              <w:rPr>
                <w:rFonts w:ascii="Traditional Arabic" w:eastAsia="Calibri" w:hAnsi="Traditional Arabic" w:cs="Traditional Arabic"/>
                <w:sz w:val="32"/>
                <w:szCs w:val="32"/>
                <w:rtl/>
              </w:rPr>
              <w:t xml:space="preserve"> مستمر</w:t>
            </w:r>
          </w:p>
        </w:tc>
      </w:tr>
      <w:tr w:rsidR="00DD6416" w:rsidRPr="006504A0" w14:paraId="6B125C44" w14:textId="77777777" w:rsidTr="00DD6416">
        <w:trPr>
          <w:jc w:val="center"/>
        </w:trPr>
        <w:tc>
          <w:tcPr>
            <w:tcW w:w="1066" w:type="pct"/>
            <w:shd w:val="clear" w:color="auto" w:fill="auto"/>
            <w:hideMark/>
          </w:tcPr>
          <w:p w14:paraId="0A2313F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hint="cs"/>
                <w:sz w:val="32"/>
                <w:szCs w:val="32"/>
                <w:rtl/>
              </w:rPr>
              <w:t>الجراح و</w:t>
            </w:r>
            <w:r w:rsidRPr="006504A0">
              <w:rPr>
                <w:rFonts w:ascii="Traditional Arabic" w:eastAsia="Calibri" w:hAnsi="Traditional Arabic" w:cs="Traditional Arabic"/>
                <w:sz w:val="32"/>
                <w:szCs w:val="32"/>
                <w:rtl/>
              </w:rPr>
              <w:t>أبو عاشور</w:t>
            </w:r>
            <w:r w:rsidRPr="006504A0">
              <w:rPr>
                <w:rFonts w:ascii="Traditional Arabic" w:eastAsia="Calibri" w:hAnsi="Traditional Arabic" w:cs="Traditional Arabic" w:hint="cs"/>
                <w:sz w:val="32"/>
                <w:szCs w:val="32"/>
                <w:rtl/>
              </w:rPr>
              <w:t>، 2021</w:t>
            </w:r>
          </w:p>
        </w:tc>
        <w:tc>
          <w:tcPr>
            <w:tcW w:w="572" w:type="pct"/>
            <w:shd w:val="clear" w:color="auto" w:fill="auto"/>
            <w:hideMark/>
          </w:tcPr>
          <w:p w14:paraId="7EC1278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الأردن</w:t>
            </w:r>
          </w:p>
        </w:tc>
        <w:tc>
          <w:tcPr>
            <w:tcW w:w="684" w:type="pct"/>
            <w:shd w:val="clear" w:color="auto" w:fill="auto"/>
            <w:hideMark/>
          </w:tcPr>
          <w:p w14:paraId="5315F5C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shd w:val="clear" w:color="auto" w:fill="auto"/>
            <w:hideMark/>
          </w:tcPr>
          <w:p w14:paraId="0C82B2A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500 </w:t>
            </w:r>
            <w:r w:rsidRPr="006504A0">
              <w:rPr>
                <w:rFonts w:ascii="Traditional Arabic" w:eastAsia="Calibri" w:hAnsi="Traditional Arabic" w:cs="Traditional Arabic"/>
                <w:sz w:val="32"/>
                <w:szCs w:val="32"/>
                <w:rtl/>
              </w:rPr>
              <w:t>مشارك</w:t>
            </w:r>
          </w:p>
        </w:tc>
        <w:tc>
          <w:tcPr>
            <w:tcW w:w="951" w:type="pct"/>
            <w:shd w:val="clear" w:color="auto" w:fill="auto"/>
            <w:hideMark/>
          </w:tcPr>
          <w:p w14:paraId="0D0D797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فعالية البرامج التدريبية </w:t>
            </w:r>
            <w:proofErr w:type="gramStart"/>
            <w:r w:rsidRPr="006504A0">
              <w:rPr>
                <w:rFonts w:ascii="Traditional Arabic" w:eastAsia="Calibri" w:hAnsi="Traditional Arabic" w:cs="Traditional Arabic"/>
                <w:sz w:val="32"/>
                <w:szCs w:val="32"/>
                <w:rtl/>
              </w:rPr>
              <w:t>وأداء</w:t>
            </w:r>
            <w:proofErr w:type="gramEnd"/>
            <w:r w:rsidRPr="006504A0">
              <w:rPr>
                <w:rFonts w:ascii="Traditional Arabic" w:eastAsia="Calibri" w:hAnsi="Traditional Arabic" w:cs="Traditional Arabic"/>
                <w:sz w:val="32"/>
                <w:szCs w:val="32"/>
                <w:rtl/>
              </w:rPr>
              <w:t xml:space="preserve"> المعلمين الجدد</w:t>
            </w:r>
          </w:p>
        </w:tc>
        <w:tc>
          <w:tcPr>
            <w:tcW w:w="1031" w:type="pct"/>
            <w:shd w:val="clear" w:color="auto" w:fill="auto"/>
            <w:hideMark/>
          </w:tcPr>
          <w:p w14:paraId="58F9327A"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علاقة</w:t>
            </w:r>
            <w:proofErr w:type="gramEnd"/>
            <w:r w:rsidRPr="006504A0">
              <w:rPr>
                <w:rFonts w:ascii="Traditional Arabic" w:eastAsia="Calibri" w:hAnsi="Traditional Arabic" w:cs="Traditional Arabic"/>
                <w:sz w:val="32"/>
                <w:szCs w:val="32"/>
                <w:rtl/>
              </w:rPr>
              <w:t xml:space="preserve"> إيجابية بين البرامج التدريبية وأداء المعلمين الجدد</w:t>
            </w:r>
          </w:p>
        </w:tc>
      </w:tr>
      <w:tr w:rsidR="00DD6416" w:rsidRPr="006504A0" w14:paraId="172CE0C5" w14:textId="77777777" w:rsidTr="00DD6416">
        <w:trPr>
          <w:jc w:val="center"/>
        </w:trPr>
        <w:tc>
          <w:tcPr>
            <w:tcW w:w="1066" w:type="pct"/>
            <w:shd w:val="clear" w:color="auto" w:fill="auto"/>
            <w:hideMark/>
          </w:tcPr>
          <w:p w14:paraId="26268CA2"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spellStart"/>
            <w:r w:rsidRPr="006504A0">
              <w:rPr>
                <w:rFonts w:ascii="Traditional Arabic" w:eastAsia="Calibri" w:hAnsi="Traditional Arabic" w:cs="Traditional Arabic"/>
                <w:sz w:val="32"/>
                <w:szCs w:val="32"/>
              </w:rPr>
              <w:t>Alsamiri</w:t>
            </w:r>
            <w:proofErr w:type="spellEnd"/>
            <w:r w:rsidRPr="006504A0">
              <w:rPr>
                <w:rFonts w:ascii="Traditional Arabic" w:eastAsia="Calibri" w:hAnsi="Traditional Arabic" w:cs="Traditional Arabic"/>
                <w:sz w:val="32"/>
                <w:szCs w:val="32"/>
              </w:rPr>
              <w:t xml:space="preserve"> (2024)</w:t>
            </w:r>
          </w:p>
        </w:tc>
        <w:tc>
          <w:tcPr>
            <w:tcW w:w="572" w:type="pct"/>
            <w:shd w:val="clear" w:color="auto" w:fill="auto"/>
            <w:hideMark/>
          </w:tcPr>
          <w:p w14:paraId="2FEDFBD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shd w:val="clear" w:color="auto" w:fill="auto"/>
            <w:hideMark/>
          </w:tcPr>
          <w:p w14:paraId="57E4456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نوعي</w:t>
            </w:r>
          </w:p>
        </w:tc>
        <w:tc>
          <w:tcPr>
            <w:tcW w:w="696" w:type="pct"/>
            <w:shd w:val="clear" w:color="auto" w:fill="auto"/>
            <w:hideMark/>
          </w:tcPr>
          <w:p w14:paraId="6B47140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10 </w:t>
            </w:r>
            <w:r w:rsidRPr="006504A0">
              <w:rPr>
                <w:rFonts w:ascii="Traditional Arabic" w:eastAsia="Calibri" w:hAnsi="Traditional Arabic" w:cs="Traditional Arabic"/>
                <w:sz w:val="32"/>
                <w:szCs w:val="32"/>
                <w:rtl/>
              </w:rPr>
              <w:t>معلمين</w:t>
            </w:r>
          </w:p>
        </w:tc>
        <w:tc>
          <w:tcPr>
            <w:tcW w:w="951" w:type="pct"/>
            <w:shd w:val="clear" w:color="auto" w:fill="auto"/>
            <w:hideMark/>
          </w:tcPr>
          <w:p w14:paraId="20D900D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دعم الطلاب الموهوبين </w:t>
            </w:r>
            <w:proofErr w:type="gramStart"/>
            <w:r w:rsidRPr="006504A0">
              <w:rPr>
                <w:rFonts w:ascii="Traditional Arabic" w:eastAsia="Calibri" w:hAnsi="Traditional Arabic" w:cs="Traditional Arabic"/>
                <w:sz w:val="32"/>
                <w:szCs w:val="32"/>
                <w:rtl/>
              </w:rPr>
              <w:t>ذوي</w:t>
            </w:r>
            <w:proofErr w:type="gramEnd"/>
            <w:r w:rsidRPr="006504A0">
              <w:rPr>
                <w:rFonts w:ascii="Traditional Arabic" w:eastAsia="Calibri" w:hAnsi="Traditional Arabic" w:cs="Traditional Arabic"/>
                <w:sz w:val="32"/>
                <w:szCs w:val="32"/>
                <w:rtl/>
              </w:rPr>
              <w:t xml:space="preserve"> صعوبات التعلم</w:t>
            </w:r>
          </w:p>
        </w:tc>
        <w:tc>
          <w:tcPr>
            <w:tcW w:w="1031" w:type="pct"/>
            <w:shd w:val="clear" w:color="auto" w:fill="auto"/>
            <w:hideMark/>
          </w:tcPr>
          <w:p w14:paraId="40019138"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أهمية</w:t>
            </w:r>
            <w:proofErr w:type="gramEnd"/>
            <w:r w:rsidRPr="006504A0">
              <w:rPr>
                <w:rFonts w:ascii="Traditional Arabic" w:eastAsia="Calibri" w:hAnsi="Traditional Arabic" w:cs="Traditional Arabic"/>
                <w:sz w:val="32"/>
                <w:szCs w:val="32"/>
                <w:rtl/>
              </w:rPr>
              <w:t xml:space="preserve"> التدريب المستمر والتعاون المهني</w:t>
            </w:r>
          </w:p>
        </w:tc>
      </w:tr>
      <w:tr w:rsidR="00DD6416" w:rsidRPr="006504A0" w14:paraId="21A08F16" w14:textId="77777777" w:rsidTr="00DD6416">
        <w:trPr>
          <w:jc w:val="center"/>
        </w:trPr>
        <w:tc>
          <w:tcPr>
            <w:tcW w:w="1066" w:type="pct"/>
            <w:shd w:val="clear" w:color="auto" w:fill="auto"/>
            <w:hideMark/>
          </w:tcPr>
          <w:p w14:paraId="349068F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Jamal et al. (2023)</w:t>
            </w:r>
          </w:p>
        </w:tc>
        <w:tc>
          <w:tcPr>
            <w:tcW w:w="572" w:type="pct"/>
            <w:shd w:val="clear" w:color="auto" w:fill="auto"/>
            <w:hideMark/>
          </w:tcPr>
          <w:p w14:paraId="2317FF5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باكستان</w:t>
            </w:r>
          </w:p>
        </w:tc>
        <w:tc>
          <w:tcPr>
            <w:tcW w:w="684" w:type="pct"/>
            <w:shd w:val="clear" w:color="auto" w:fill="auto"/>
            <w:hideMark/>
          </w:tcPr>
          <w:p w14:paraId="6AAB48C7"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كمي</w:t>
            </w:r>
            <w:proofErr w:type="gramEnd"/>
            <w:r w:rsidRPr="006504A0">
              <w:rPr>
                <w:rFonts w:ascii="Traditional Arabic" w:eastAsia="Calibri" w:hAnsi="Traditional Arabic" w:cs="Traditional Arabic"/>
                <w:sz w:val="32"/>
                <w:szCs w:val="32"/>
                <w:rtl/>
              </w:rPr>
              <w:t xml:space="preserve"> وصفي</w:t>
            </w:r>
          </w:p>
        </w:tc>
        <w:tc>
          <w:tcPr>
            <w:tcW w:w="696" w:type="pct"/>
            <w:shd w:val="clear" w:color="auto" w:fill="auto"/>
            <w:hideMark/>
          </w:tcPr>
          <w:p w14:paraId="4813DF8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150 </w:t>
            </w:r>
            <w:r w:rsidRPr="006504A0">
              <w:rPr>
                <w:rFonts w:ascii="Traditional Arabic" w:eastAsia="Calibri" w:hAnsi="Traditional Arabic" w:cs="Traditional Arabic"/>
                <w:sz w:val="32"/>
                <w:szCs w:val="32"/>
                <w:rtl/>
              </w:rPr>
              <w:t>معلم/ة</w:t>
            </w:r>
          </w:p>
        </w:tc>
        <w:tc>
          <w:tcPr>
            <w:tcW w:w="951" w:type="pct"/>
            <w:shd w:val="clear" w:color="auto" w:fill="auto"/>
            <w:hideMark/>
          </w:tcPr>
          <w:p w14:paraId="3D72DA5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أثر التنمية المهنية على التعليم الأساسي</w:t>
            </w:r>
          </w:p>
        </w:tc>
        <w:tc>
          <w:tcPr>
            <w:tcW w:w="1031" w:type="pct"/>
            <w:shd w:val="clear" w:color="auto" w:fill="auto"/>
            <w:hideMark/>
          </w:tcPr>
          <w:p w14:paraId="7A3014F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وجود فروق دالة تؤكد فعالية التنمية المهنية</w:t>
            </w:r>
          </w:p>
        </w:tc>
      </w:tr>
      <w:tr w:rsidR="00DD6416" w:rsidRPr="006504A0" w14:paraId="5BA801DB" w14:textId="77777777" w:rsidTr="00DD6416">
        <w:trPr>
          <w:jc w:val="center"/>
        </w:trPr>
        <w:tc>
          <w:tcPr>
            <w:tcW w:w="1066" w:type="pct"/>
            <w:shd w:val="clear" w:color="auto" w:fill="auto"/>
            <w:hideMark/>
          </w:tcPr>
          <w:p w14:paraId="75540A42"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spellStart"/>
            <w:r w:rsidRPr="006504A0">
              <w:rPr>
                <w:rFonts w:ascii="Traditional Arabic" w:eastAsia="Calibri" w:hAnsi="Traditional Arabic" w:cs="Traditional Arabic"/>
                <w:sz w:val="32"/>
                <w:szCs w:val="32"/>
              </w:rPr>
              <w:t>Alshahrani</w:t>
            </w:r>
            <w:proofErr w:type="spellEnd"/>
            <w:r w:rsidRPr="006504A0">
              <w:rPr>
                <w:rFonts w:ascii="Traditional Arabic" w:eastAsia="Calibri" w:hAnsi="Traditional Arabic" w:cs="Traditional Arabic"/>
                <w:sz w:val="32"/>
                <w:szCs w:val="32"/>
              </w:rPr>
              <w:t xml:space="preserve"> &amp; Abu-</w:t>
            </w:r>
            <w:proofErr w:type="spellStart"/>
            <w:r w:rsidRPr="006504A0">
              <w:rPr>
                <w:rFonts w:ascii="Traditional Arabic" w:eastAsia="Calibri" w:hAnsi="Traditional Arabic" w:cs="Traditional Arabic"/>
                <w:sz w:val="32"/>
                <w:szCs w:val="32"/>
              </w:rPr>
              <w:t>Alghayth</w:t>
            </w:r>
            <w:proofErr w:type="spellEnd"/>
            <w:r w:rsidRPr="006504A0">
              <w:rPr>
                <w:rFonts w:ascii="Traditional Arabic" w:eastAsia="Calibri" w:hAnsi="Traditional Arabic" w:cs="Traditional Arabic"/>
                <w:sz w:val="32"/>
                <w:szCs w:val="32"/>
              </w:rPr>
              <w:t xml:space="preserve"> (2023)</w:t>
            </w:r>
          </w:p>
        </w:tc>
        <w:tc>
          <w:tcPr>
            <w:tcW w:w="572" w:type="pct"/>
            <w:shd w:val="clear" w:color="auto" w:fill="auto"/>
            <w:hideMark/>
          </w:tcPr>
          <w:p w14:paraId="341A770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shd w:val="clear" w:color="auto" w:fill="auto"/>
            <w:hideMark/>
          </w:tcPr>
          <w:p w14:paraId="7655BE94"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مختلط</w:t>
            </w:r>
            <w:proofErr w:type="gramEnd"/>
            <w:r w:rsidRPr="006504A0">
              <w:rPr>
                <w:rFonts w:ascii="Traditional Arabic" w:eastAsia="Calibri" w:hAnsi="Traditional Arabic" w:cs="Traditional Arabic"/>
                <w:sz w:val="32"/>
                <w:szCs w:val="32"/>
                <w:rtl/>
              </w:rPr>
              <w:t xml:space="preserve"> استكشافي</w:t>
            </w:r>
          </w:p>
        </w:tc>
        <w:tc>
          <w:tcPr>
            <w:tcW w:w="696" w:type="pct"/>
            <w:shd w:val="clear" w:color="auto" w:fill="auto"/>
            <w:hideMark/>
          </w:tcPr>
          <w:p w14:paraId="527D2EF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331 </w:t>
            </w:r>
            <w:r w:rsidRPr="006504A0">
              <w:rPr>
                <w:rFonts w:ascii="Traditional Arabic" w:eastAsia="Calibri" w:hAnsi="Traditional Arabic" w:cs="Traditional Arabic"/>
                <w:sz w:val="32"/>
                <w:szCs w:val="32"/>
                <w:rtl/>
              </w:rPr>
              <w:t>كمي + 9 نوعي</w:t>
            </w:r>
          </w:p>
        </w:tc>
        <w:tc>
          <w:tcPr>
            <w:tcW w:w="951" w:type="pct"/>
            <w:shd w:val="clear" w:color="auto" w:fill="auto"/>
            <w:hideMark/>
          </w:tcPr>
          <w:p w14:paraId="277EEB6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التنمية المهنية للتعليم الشامل</w:t>
            </w:r>
          </w:p>
        </w:tc>
        <w:tc>
          <w:tcPr>
            <w:tcW w:w="1031" w:type="pct"/>
            <w:shd w:val="clear" w:color="auto" w:fill="auto"/>
            <w:hideMark/>
          </w:tcPr>
          <w:p w14:paraId="4B1ABBE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الحاجة لبرامج فعالة ميدانية</w:t>
            </w:r>
          </w:p>
        </w:tc>
      </w:tr>
      <w:tr w:rsidR="00DD6416" w:rsidRPr="006504A0" w14:paraId="07A235F1" w14:textId="77777777" w:rsidTr="00DD6416">
        <w:trPr>
          <w:jc w:val="center"/>
        </w:trPr>
        <w:tc>
          <w:tcPr>
            <w:tcW w:w="1066" w:type="pct"/>
            <w:shd w:val="clear" w:color="auto" w:fill="auto"/>
            <w:hideMark/>
          </w:tcPr>
          <w:p w14:paraId="053BAEDF"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xml:space="preserve"> (2022)</w:t>
            </w:r>
          </w:p>
        </w:tc>
        <w:tc>
          <w:tcPr>
            <w:tcW w:w="572" w:type="pct"/>
            <w:shd w:val="clear" w:color="auto" w:fill="auto"/>
            <w:hideMark/>
          </w:tcPr>
          <w:p w14:paraId="5DB0511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shd w:val="clear" w:color="auto" w:fill="auto"/>
            <w:hideMark/>
          </w:tcPr>
          <w:p w14:paraId="5024B6E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shd w:val="clear" w:color="auto" w:fill="auto"/>
            <w:hideMark/>
          </w:tcPr>
          <w:p w14:paraId="2B898EF1"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غير محدد</w:t>
            </w:r>
          </w:p>
        </w:tc>
        <w:tc>
          <w:tcPr>
            <w:tcW w:w="951" w:type="pct"/>
            <w:shd w:val="clear" w:color="auto" w:fill="auto"/>
            <w:hideMark/>
          </w:tcPr>
          <w:p w14:paraId="573D70EA"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التنمية</w:t>
            </w:r>
            <w:proofErr w:type="gramEnd"/>
            <w:r w:rsidRPr="006504A0">
              <w:rPr>
                <w:rFonts w:ascii="Traditional Arabic" w:eastAsia="Calibri" w:hAnsi="Traditional Arabic" w:cs="Traditional Arabic"/>
                <w:sz w:val="32"/>
                <w:szCs w:val="32"/>
                <w:rtl/>
              </w:rPr>
              <w:t xml:space="preserve"> المهنية والكفاءة الذاتية</w:t>
            </w:r>
          </w:p>
        </w:tc>
        <w:tc>
          <w:tcPr>
            <w:tcW w:w="1031" w:type="pct"/>
            <w:shd w:val="clear" w:color="auto" w:fill="auto"/>
            <w:hideMark/>
          </w:tcPr>
          <w:p w14:paraId="6B21B824"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توفير</w:t>
            </w:r>
            <w:proofErr w:type="gramEnd"/>
            <w:r w:rsidRPr="006504A0">
              <w:rPr>
                <w:rFonts w:ascii="Traditional Arabic" w:eastAsia="Calibri" w:hAnsi="Traditional Arabic" w:cs="Traditional Arabic"/>
                <w:sz w:val="32"/>
                <w:szCs w:val="32"/>
                <w:rtl/>
              </w:rPr>
              <w:t xml:space="preserve"> الحوافز وتحسين التدريب</w:t>
            </w:r>
          </w:p>
        </w:tc>
      </w:tr>
      <w:tr w:rsidR="00DD6416" w:rsidRPr="006504A0" w14:paraId="1C4FC372" w14:textId="77777777" w:rsidTr="00DD6416">
        <w:trPr>
          <w:jc w:val="center"/>
        </w:trPr>
        <w:tc>
          <w:tcPr>
            <w:tcW w:w="1066" w:type="pct"/>
            <w:shd w:val="clear" w:color="auto" w:fill="auto"/>
            <w:hideMark/>
          </w:tcPr>
          <w:p w14:paraId="053B28FF"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spellStart"/>
            <w:r w:rsidRPr="006504A0">
              <w:rPr>
                <w:rFonts w:ascii="Traditional Arabic" w:eastAsia="Calibri" w:hAnsi="Traditional Arabic" w:cs="Traditional Arabic"/>
                <w:sz w:val="32"/>
                <w:szCs w:val="32"/>
              </w:rPr>
              <w:t>Alhazmi</w:t>
            </w:r>
            <w:proofErr w:type="spellEnd"/>
            <w:r w:rsidRPr="006504A0">
              <w:rPr>
                <w:rFonts w:ascii="Traditional Arabic" w:eastAsia="Calibri" w:hAnsi="Traditional Arabic" w:cs="Traditional Arabic"/>
                <w:sz w:val="32"/>
                <w:szCs w:val="32"/>
              </w:rPr>
              <w:t xml:space="preserve"> et al. (2022)</w:t>
            </w:r>
          </w:p>
        </w:tc>
        <w:tc>
          <w:tcPr>
            <w:tcW w:w="572" w:type="pct"/>
            <w:shd w:val="clear" w:color="auto" w:fill="auto"/>
            <w:hideMark/>
          </w:tcPr>
          <w:p w14:paraId="49A0640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shd w:val="clear" w:color="auto" w:fill="auto"/>
            <w:hideMark/>
          </w:tcPr>
          <w:p w14:paraId="292A2C8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shd w:val="clear" w:color="auto" w:fill="auto"/>
            <w:hideMark/>
          </w:tcPr>
          <w:p w14:paraId="51FACB33"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135 </w:t>
            </w:r>
            <w:r w:rsidRPr="006504A0">
              <w:rPr>
                <w:rFonts w:ascii="Traditional Arabic" w:eastAsia="Calibri" w:hAnsi="Traditional Arabic" w:cs="Traditional Arabic"/>
                <w:sz w:val="32"/>
                <w:szCs w:val="32"/>
                <w:rtl/>
              </w:rPr>
              <w:t>معلم/ة</w:t>
            </w:r>
          </w:p>
        </w:tc>
        <w:tc>
          <w:tcPr>
            <w:tcW w:w="951" w:type="pct"/>
            <w:shd w:val="clear" w:color="auto" w:fill="auto"/>
            <w:hideMark/>
          </w:tcPr>
          <w:p w14:paraId="1D52380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برامج التنمية المهنية </w:t>
            </w:r>
            <w:proofErr w:type="gramStart"/>
            <w:r w:rsidRPr="006504A0">
              <w:rPr>
                <w:rFonts w:ascii="Traditional Arabic" w:eastAsia="Calibri" w:hAnsi="Traditional Arabic" w:cs="Traditional Arabic"/>
                <w:sz w:val="32"/>
                <w:szCs w:val="32"/>
                <w:rtl/>
              </w:rPr>
              <w:t>والرخصة</w:t>
            </w:r>
            <w:proofErr w:type="gramEnd"/>
          </w:p>
        </w:tc>
        <w:tc>
          <w:tcPr>
            <w:tcW w:w="1031" w:type="pct"/>
            <w:shd w:val="clear" w:color="auto" w:fill="auto"/>
            <w:hideMark/>
          </w:tcPr>
          <w:p w14:paraId="763CFA0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ربط البرامج بمعايير الرخصة المهنية</w:t>
            </w:r>
          </w:p>
        </w:tc>
      </w:tr>
      <w:tr w:rsidR="00DD6416" w:rsidRPr="006504A0" w14:paraId="4044509F" w14:textId="77777777" w:rsidTr="00DD6416">
        <w:trPr>
          <w:jc w:val="center"/>
        </w:trPr>
        <w:tc>
          <w:tcPr>
            <w:tcW w:w="1066" w:type="pct"/>
            <w:shd w:val="clear" w:color="auto" w:fill="auto"/>
            <w:hideMark/>
          </w:tcPr>
          <w:p w14:paraId="7B4D7F3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Ahmed et al. (2021)</w:t>
            </w:r>
          </w:p>
        </w:tc>
        <w:tc>
          <w:tcPr>
            <w:tcW w:w="572" w:type="pct"/>
            <w:shd w:val="clear" w:color="auto" w:fill="auto"/>
            <w:hideMark/>
          </w:tcPr>
          <w:p w14:paraId="67173EA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باكستان</w:t>
            </w:r>
          </w:p>
        </w:tc>
        <w:tc>
          <w:tcPr>
            <w:tcW w:w="684" w:type="pct"/>
            <w:shd w:val="clear" w:color="auto" w:fill="auto"/>
            <w:hideMark/>
          </w:tcPr>
          <w:p w14:paraId="01CC1B8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مسحي</w:t>
            </w:r>
          </w:p>
        </w:tc>
        <w:tc>
          <w:tcPr>
            <w:tcW w:w="696" w:type="pct"/>
            <w:shd w:val="clear" w:color="auto" w:fill="auto"/>
            <w:hideMark/>
          </w:tcPr>
          <w:p w14:paraId="0E492273"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450 </w:t>
            </w:r>
            <w:r w:rsidRPr="006504A0">
              <w:rPr>
                <w:rFonts w:ascii="Traditional Arabic" w:eastAsia="Calibri" w:hAnsi="Traditional Arabic" w:cs="Traditional Arabic"/>
                <w:sz w:val="32"/>
                <w:szCs w:val="32"/>
                <w:rtl/>
              </w:rPr>
              <w:t>معلم/ة</w:t>
            </w:r>
          </w:p>
        </w:tc>
        <w:tc>
          <w:tcPr>
            <w:tcW w:w="951" w:type="pct"/>
            <w:shd w:val="clear" w:color="auto" w:fill="auto"/>
            <w:hideMark/>
          </w:tcPr>
          <w:p w14:paraId="26BB5AC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تطوير مهارات المعلمين أثناء الخدمة</w:t>
            </w:r>
          </w:p>
        </w:tc>
        <w:tc>
          <w:tcPr>
            <w:tcW w:w="1031" w:type="pct"/>
            <w:shd w:val="clear" w:color="auto" w:fill="auto"/>
            <w:hideMark/>
          </w:tcPr>
          <w:p w14:paraId="7C96CD0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إعادة تصميم البرامج لتلبية الاحتياجات</w:t>
            </w:r>
          </w:p>
        </w:tc>
      </w:tr>
      <w:tr w:rsidR="00DD6416" w:rsidRPr="006504A0" w14:paraId="57BB7241" w14:textId="77777777" w:rsidTr="00DD6416">
        <w:trPr>
          <w:jc w:val="center"/>
        </w:trPr>
        <w:tc>
          <w:tcPr>
            <w:tcW w:w="1066" w:type="pct"/>
            <w:shd w:val="clear" w:color="auto" w:fill="auto"/>
            <w:hideMark/>
          </w:tcPr>
          <w:p w14:paraId="7DDD4E5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Abbas et al. (2021)</w:t>
            </w:r>
          </w:p>
        </w:tc>
        <w:tc>
          <w:tcPr>
            <w:tcW w:w="572" w:type="pct"/>
            <w:shd w:val="clear" w:color="auto" w:fill="auto"/>
            <w:hideMark/>
          </w:tcPr>
          <w:p w14:paraId="2E13F09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باكستان</w:t>
            </w:r>
          </w:p>
        </w:tc>
        <w:tc>
          <w:tcPr>
            <w:tcW w:w="684" w:type="pct"/>
            <w:shd w:val="clear" w:color="auto" w:fill="auto"/>
            <w:hideMark/>
          </w:tcPr>
          <w:p w14:paraId="4E00E016" w14:textId="77777777" w:rsidR="00DD6416" w:rsidRPr="006504A0" w:rsidRDefault="00DD6416" w:rsidP="00DD6416">
            <w:pPr>
              <w:bidi/>
              <w:spacing w:after="0" w:line="240" w:lineRule="auto"/>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كمي</w:t>
            </w:r>
            <w:proofErr w:type="gramEnd"/>
            <w:r w:rsidRPr="006504A0">
              <w:rPr>
                <w:rFonts w:ascii="Traditional Arabic" w:eastAsia="Calibri" w:hAnsi="Traditional Arabic" w:cs="Traditional Arabic"/>
                <w:sz w:val="32"/>
                <w:szCs w:val="32"/>
                <w:rtl/>
              </w:rPr>
              <w:t xml:space="preserve"> وصفي</w:t>
            </w:r>
          </w:p>
        </w:tc>
        <w:tc>
          <w:tcPr>
            <w:tcW w:w="696" w:type="pct"/>
            <w:shd w:val="clear" w:color="auto" w:fill="auto"/>
            <w:hideMark/>
          </w:tcPr>
          <w:p w14:paraId="12A19E0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30 </w:t>
            </w:r>
            <w:r w:rsidRPr="006504A0">
              <w:rPr>
                <w:rFonts w:ascii="Traditional Arabic" w:eastAsia="Calibri" w:hAnsi="Traditional Arabic" w:cs="Traditional Arabic"/>
                <w:sz w:val="32"/>
                <w:szCs w:val="32"/>
                <w:rtl/>
              </w:rPr>
              <w:t>معلم</w:t>
            </w:r>
          </w:p>
        </w:tc>
        <w:tc>
          <w:tcPr>
            <w:tcW w:w="951" w:type="pct"/>
            <w:shd w:val="clear" w:color="auto" w:fill="auto"/>
            <w:hideMark/>
          </w:tcPr>
          <w:p w14:paraId="5D38844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أثر</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CPD</w:t>
            </w:r>
            <w:proofErr w:type="spellEnd"/>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على جودة التعليم</w:t>
            </w:r>
          </w:p>
        </w:tc>
        <w:tc>
          <w:tcPr>
            <w:tcW w:w="1031" w:type="pct"/>
            <w:shd w:val="clear" w:color="auto" w:fill="auto"/>
            <w:hideMark/>
          </w:tcPr>
          <w:p w14:paraId="5C377CC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الاستمرار بتطبيق برامج</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CPD</w:t>
            </w:r>
            <w:proofErr w:type="spellEnd"/>
          </w:p>
        </w:tc>
      </w:tr>
    </w:tbl>
    <w:p w14:paraId="4D1B00C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u w:val="single"/>
          <w:rtl/>
        </w:rPr>
      </w:pPr>
    </w:p>
    <w:p w14:paraId="1FF9B1F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lastRenderedPageBreak/>
        <w:t>التعليق على الدراسات السابقة حسب فرضيات الدراسة</w:t>
      </w:r>
    </w:p>
    <w:p w14:paraId="492D9BF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خلال استعراض الدراسات السابقة، يتضح أن هناك اتفاقًا واسعًا بين معظمها حول الأثر الإيجابي للتنمية المهنية في تحسين كفاءة المعلمين وأدائهم التدريسي، لا سيما في مجالات التخطيط للتدريس، وإدارة الصف، والتقويم التعليمي، وتعزيز التواصل الفعّال مع الطلاب. وقد أكدت دراسات حديثة مثل دراسة الشهراني (2024) وعرار (2023) و</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2022</w:t>
      </w:r>
      <w:r w:rsidRPr="006504A0">
        <w:rPr>
          <w:rFonts w:ascii="Traditional Arabic" w:eastAsia="Calibri" w:hAnsi="Traditional Arabic" w:cs="Traditional Arabic"/>
          <w:sz w:val="32"/>
          <w:szCs w:val="32"/>
          <w:rtl/>
        </w:rPr>
        <w:t>) أن برامج التنمية المهنية تسهم بفاعلية في رفع مستوى التخطيط التدريسي وجودة التقويم، فضلًا عن تطوير الممارسات الصفية وتبني استراتيجيات تدريس حديثة تتناسب مع متطلبات التعليم المعاصر.</w:t>
      </w:r>
    </w:p>
    <w:p w14:paraId="75C4110A" w14:textId="2A7FF0B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أشارت بعض الدراسات، مثل دراسة الجراح وأبو عاشور (2021) و</w:t>
      </w:r>
      <w:r w:rsidRPr="006504A0">
        <w:rPr>
          <w:rFonts w:ascii="Traditional Arabic" w:eastAsia="Calibri" w:hAnsi="Traditional Arabic" w:cs="Traditional Arabic"/>
          <w:sz w:val="32"/>
          <w:szCs w:val="32"/>
        </w:rPr>
        <w:t>Jamal et al. (2023)</w:t>
      </w:r>
      <w:r w:rsidRPr="006504A0">
        <w:rPr>
          <w:rFonts w:ascii="Traditional Arabic" w:eastAsia="Calibri" w:hAnsi="Traditional Arabic" w:cs="Traditional Arabic"/>
          <w:sz w:val="32"/>
          <w:szCs w:val="32"/>
          <w:rtl/>
        </w:rPr>
        <w:t xml:space="preserve">، </w:t>
      </w:r>
      <w:proofErr w:type="gramStart"/>
      <w:r w:rsidR="00976DAD">
        <w:rPr>
          <w:rFonts w:ascii="Traditional Arabic" w:eastAsia="Calibri" w:hAnsi="Traditional Arabic" w:cs="Traditional Arabic"/>
          <w:sz w:val="32"/>
          <w:szCs w:val="32"/>
          <w:rtl/>
        </w:rPr>
        <w:t>إلى</w:t>
      </w:r>
      <w:proofErr w:type="gramEnd"/>
      <w:r w:rsidRPr="006504A0">
        <w:rPr>
          <w:rFonts w:ascii="Traditional Arabic" w:eastAsia="Calibri" w:hAnsi="Traditional Arabic" w:cs="Traditional Arabic"/>
          <w:sz w:val="32"/>
          <w:szCs w:val="32"/>
          <w:rtl/>
        </w:rPr>
        <w:t xml:space="preserve"> وجود فروق دالة إحصائيًا ناتجة عن متغيرات شخصية ووظيفية مثل الجنس، وسنوات الخبرة، والمسمى الوظيفي، وهو ما يفتح المجال للتحقق من مدى انطباق هذه الفروق في السياق السعودي الحالي</w:t>
      </w:r>
      <w:r w:rsidRPr="006504A0">
        <w:rPr>
          <w:rFonts w:ascii="Traditional Arabic" w:eastAsia="Calibri" w:hAnsi="Traditional Arabic" w:cs="Traditional Arabic"/>
          <w:sz w:val="32"/>
          <w:szCs w:val="32"/>
        </w:rPr>
        <w:t>.</w:t>
      </w:r>
    </w:p>
    <w:p w14:paraId="7DCE9814" w14:textId="6C2AA55F"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تأسيسًا على ما سبق، فإن نتائج هذه الدراسات تدعم فرضيات الدراسة الحالية التي تفترض وجود علاقة ذات دلالة إحصائية بين برامج التنمية المهنية وكفاءة معلمي المرحلة الابتدائية في مدينة الرياض، سواء على المستوى الكلي أو في الجوانب الفرعية المتعلقة بالتخطيط التدريسي، وإدارة الصف، والتقويم التعليمي، والتواصل والتفاعل مع الطلاب. ومن المتوقع أن تسهم هذه الدراسة في سد فجوة معرفية من خلال تناول العلاقة في بيئة تعليمية سعودية معاصرة، وتحليل أثر المتغيرات الديموغرافية المختلفة في هذه العلاقة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الجداول في </w:t>
      </w:r>
      <w:r w:rsidR="00DD6416" w:rsidRPr="006504A0">
        <w:rPr>
          <w:rFonts w:ascii="Traditional Arabic" w:eastAsia="Calibri" w:hAnsi="Traditional Arabic" w:cs="Traditional Arabic" w:hint="cs"/>
          <w:sz w:val="32"/>
          <w:szCs w:val="32"/>
          <w:rtl/>
        </w:rPr>
        <w:t>الأسفل</w:t>
      </w:r>
      <w:r w:rsidRPr="006504A0">
        <w:rPr>
          <w:rFonts w:ascii="Traditional Arabic" w:eastAsia="Calibri" w:hAnsi="Traditional Arabic" w:cs="Traditional Arabic" w:hint="cs"/>
          <w:sz w:val="32"/>
          <w:szCs w:val="32"/>
          <w:rtl/>
        </w:rPr>
        <w:t xml:space="preserve"> </w:t>
      </w:r>
      <w:proofErr w:type="gramStart"/>
      <w:r w:rsidRPr="006504A0">
        <w:rPr>
          <w:rFonts w:ascii="Traditional Arabic" w:eastAsia="Calibri" w:hAnsi="Traditional Arabic" w:cs="Traditional Arabic" w:hint="cs"/>
          <w:sz w:val="32"/>
          <w:szCs w:val="32"/>
          <w:rtl/>
        </w:rPr>
        <w:t>تلخص</w:t>
      </w:r>
      <w:proofErr w:type="gramEnd"/>
      <w:r w:rsidRPr="006504A0">
        <w:rPr>
          <w:rFonts w:ascii="Traditional Arabic" w:eastAsia="Calibri" w:hAnsi="Traditional Arabic" w:cs="Traditional Arabic" w:hint="cs"/>
          <w:sz w:val="32"/>
          <w:szCs w:val="32"/>
          <w:rtl/>
        </w:rPr>
        <w:t xml:space="preserve"> ما سبق.</w:t>
      </w:r>
    </w:p>
    <w:p w14:paraId="79AD233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022DAB4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2D0FE39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b/>
          <w:bCs/>
          <w:sz w:val="32"/>
          <w:szCs w:val="32"/>
          <w:rtl/>
        </w:rPr>
        <w:lastRenderedPageBreak/>
        <w:t xml:space="preserve">ما </w:t>
      </w:r>
      <w:proofErr w:type="gramStart"/>
      <w:r w:rsidRPr="006504A0">
        <w:rPr>
          <w:rFonts w:ascii="Traditional Arabic" w:eastAsia="Calibri" w:hAnsi="Traditional Arabic" w:cs="Traditional Arabic"/>
          <w:b/>
          <w:bCs/>
          <w:sz w:val="32"/>
          <w:szCs w:val="32"/>
          <w:rtl/>
        </w:rPr>
        <w:t>يميز</w:t>
      </w:r>
      <w:proofErr w:type="gramEnd"/>
      <w:r w:rsidRPr="006504A0">
        <w:rPr>
          <w:rFonts w:ascii="Traditional Arabic" w:eastAsia="Calibri" w:hAnsi="Traditional Arabic" w:cs="Traditional Arabic"/>
          <w:b/>
          <w:bCs/>
          <w:sz w:val="32"/>
          <w:szCs w:val="32"/>
          <w:rtl/>
        </w:rPr>
        <w:t xml:space="preserve"> الدراسة الحالية عن الدراسات السابقة والفجوة البحثية</w:t>
      </w:r>
    </w:p>
    <w:p w14:paraId="5599C3F6"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على الرغم من تنوع الدراسات السابقة التي تناولت موضوع التنمية المهنية للمعلمين في السياقات المحلية والعربية والدولية، فإن معظم هذه الدراسات اتخذت أحد مسارين رئيسين؛ إما التركيز على تقييم مستوى الكفاءة التدريسية بصورة وصفية دون اختبار العلاقة السببية بينها وبين برامج التنمية المهنية، كما في دراسة الشهراني (2024) وسلام والزهيري (2022)، أو دراسة فاعلية برامج تدريبية في سياقات محددة أو لفئات معينة من المعلمين، مثل المعلمين الجدد (الجراح وأبو عاشور، 2021)، أو معلمي المنصات الإلكترونية (القطاوي، 2022)، أو في بيئات تعليمية خارج السياق السعودي (</w:t>
      </w:r>
      <w:r w:rsidRPr="006504A0">
        <w:rPr>
          <w:rFonts w:ascii="Traditional Arabic" w:eastAsia="Calibri" w:hAnsi="Traditional Arabic" w:cs="Traditional Arabic"/>
          <w:sz w:val="32"/>
          <w:szCs w:val="32"/>
        </w:rPr>
        <w:t>Jamal et al.</w:t>
      </w:r>
      <w:proofErr w:type="gramStart"/>
      <w:r w:rsidRPr="006504A0">
        <w:rPr>
          <w:rFonts w:ascii="Traditional Arabic" w:eastAsia="Calibri" w:hAnsi="Traditional Arabic" w:cs="Traditional Arabic"/>
          <w:sz w:val="32"/>
          <w:szCs w:val="32"/>
        </w:rPr>
        <w:t>, 2023</w:t>
      </w:r>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Ahmed et al., 2021</w:t>
      </w:r>
      <w:r w:rsidRPr="006504A0">
        <w:rPr>
          <w:rFonts w:ascii="Traditional Arabic" w:eastAsia="Calibri" w:hAnsi="Traditional Arabic" w:cs="Traditional Arabic"/>
          <w:sz w:val="32"/>
          <w:szCs w:val="32"/>
          <w:rtl/>
        </w:rPr>
        <w:t>).</w:t>
      </w:r>
      <w:proofErr w:type="gramEnd"/>
    </w:p>
    <w:p w14:paraId="06FF8B2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أن الدراسات التي ربطت بين التنمية المهنية والكفاءة التدريسية، مثل دراسة عرار (2023) و</w:t>
      </w:r>
      <w:r w:rsidRPr="006504A0">
        <w:rPr>
          <w:rFonts w:ascii="Traditional Arabic" w:eastAsia="Calibri" w:hAnsi="Traditional Arabic" w:cs="Traditional Arabic"/>
          <w:sz w:val="32"/>
          <w:szCs w:val="32"/>
        </w:rPr>
        <w:t>Abbas et al. (2021)</w:t>
      </w:r>
      <w:r w:rsidRPr="006504A0">
        <w:rPr>
          <w:rFonts w:ascii="Traditional Arabic" w:eastAsia="Calibri" w:hAnsi="Traditional Arabic" w:cs="Traditional Arabic"/>
          <w:sz w:val="32"/>
          <w:szCs w:val="32"/>
          <w:rtl/>
        </w:rPr>
        <w:t>، اكتفت غالبًا بالتحليل الارتباطي العام أو بقياس الإدراك الذاتي للمعلمين دون تفكيك أثر التنمية المهنية على الأبعاد التفصيلية للكفاءة التدريسية، ودون اختبار نموذج تفسيري يوضح طبيعة العلاقة بين المتغيرين بصورة سببية</w:t>
      </w:r>
      <w:r w:rsidRPr="006504A0">
        <w:rPr>
          <w:rFonts w:ascii="Traditional Arabic" w:eastAsia="Calibri" w:hAnsi="Traditional Arabic" w:cs="Traditional Arabic"/>
          <w:sz w:val="32"/>
          <w:szCs w:val="32"/>
        </w:rPr>
        <w:t>.</w:t>
      </w:r>
    </w:p>
    <w:p w14:paraId="14897E3B"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ومن ثمّ، تتمثل الفجوة البحثية في ثلاثة مستويات رئيسة</w:t>
      </w:r>
      <w:r w:rsidRPr="006504A0">
        <w:rPr>
          <w:rFonts w:ascii="Traditional Arabic" w:eastAsia="Calibri" w:hAnsi="Traditional Arabic" w:cs="Traditional Arabic"/>
          <w:sz w:val="32"/>
          <w:szCs w:val="32"/>
        </w:rPr>
        <w:t>:</w:t>
      </w:r>
    </w:p>
    <w:p w14:paraId="79BC5FF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roofErr w:type="gramStart"/>
      <w:r w:rsidRPr="006504A0">
        <w:rPr>
          <w:rFonts w:ascii="Traditional Arabic" w:eastAsia="Calibri" w:hAnsi="Traditional Arabic" w:cs="Traditional Arabic"/>
          <w:sz w:val="32"/>
          <w:szCs w:val="32"/>
          <w:rtl/>
        </w:rPr>
        <w:t>أولًا</w:t>
      </w:r>
      <w:proofErr w:type="gramEnd"/>
      <w:r w:rsidRPr="006504A0">
        <w:rPr>
          <w:rFonts w:ascii="Traditional Arabic" w:eastAsia="Calibri" w:hAnsi="Traditional Arabic" w:cs="Traditional Arabic"/>
          <w:sz w:val="32"/>
          <w:szCs w:val="32"/>
          <w:rtl/>
        </w:rPr>
        <w:t>: فجوة مكانية تتمثل في ندرة الدراسات التي تناولت معلمي المرحلة الابتدائية في مدينة الرياض تحديدًا،</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بوصفها بيئة تعليمية حضرية ذات كثافة وتنوع مرتفعين</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w:t>
      </w:r>
    </w:p>
    <w:p w14:paraId="4ABA925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ثانيًا: فجوة تحليلية تتعلق بغياب الدراسات التي تقيس أثر برامج التنمية المهنية على أبعاد الكفاءة التدريسية (التخطيط، إدارة الصف، التقويم، والتواصل) بصورة تفصيلية</w:t>
      </w:r>
      <w:r w:rsidRPr="006504A0">
        <w:rPr>
          <w:rFonts w:ascii="Traditional Arabic" w:eastAsia="Calibri" w:hAnsi="Traditional Arabic" w:cs="Traditional Arabic"/>
          <w:sz w:val="32"/>
          <w:szCs w:val="32"/>
        </w:rPr>
        <w:t>.</w:t>
      </w:r>
    </w:p>
    <w:p w14:paraId="728C3CE9"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ثالثًا: فجوة منهجية تتمثل في محدودية توظيف النماذج التحليلية التفسيرية التي تسمح بتقدير قوة التأثير النسبي لكل بعد من أبعاد التنمية المهنية في تحسين الكفاءة التدريسية</w:t>
      </w:r>
      <w:r w:rsidRPr="006504A0">
        <w:rPr>
          <w:rFonts w:ascii="Traditional Arabic" w:eastAsia="Calibri" w:hAnsi="Traditional Arabic" w:cs="Traditional Arabic"/>
          <w:sz w:val="32"/>
          <w:szCs w:val="32"/>
        </w:rPr>
        <w:t>.</w:t>
      </w:r>
    </w:p>
    <w:p w14:paraId="0261F8EF" w14:textId="5FC8F17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وعليه، تتميز الدراسة الحالية بأنها تسعى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بناء إطار تحليلي يقيس العلاقة المباشرة بين برامج التنمية المهنية وأبعاد الكفاءة التدريسية لدى معلمي المرحلة الابتدائية في مدينة الرياض، بما يسهم في تقديم فهم أكثر عمقًا ودقة لطبيعة هذه العلاقة في السياق التعليمي السعودي</w:t>
      </w:r>
      <w:r w:rsidRPr="006504A0">
        <w:rPr>
          <w:rFonts w:ascii="Traditional Arabic" w:eastAsia="Calibri" w:hAnsi="Traditional Arabic" w:cs="Traditional Arabic"/>
          <w:sz w:val="32"/>
          <w:szCs w:val="32"/>
        </w:rPr>
        <w:t>.</w:t>
      </w:r>
    </w:p>
    <w:p w14:paraId="03978CB8" w14:textId="77777777" w:rsidR="006504A0" w:rsidRPr="00AD101F" w:rsidRDefault="006504A0" w:rsidP="006504A0">
      <w:pPr>
        <w:ind w:left="360"/>
        <w:rPr>
          <w:rFonts w:ascii="Traditional Arabic" w:eastAsia="Times New Roman" w:hAnsi="Traditional Arabic" w:cs="Traditional Arabic"/>
          <w:sz w:val="28"/>
          <w:szCs w:val="28"/>
          <w:rtl/>
          <w:lang w:bidi="ar-JO"/>
        </w:rPr>
      </w:pPr>
    </w:p>
    <w:p w14:paraId="467833A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60C22E65" w14:textId="77777777" w:rsidR="006504A0" w:rsidRPr="006504A0" w:rsidRDefault="006504A0" w:rsidP="00F700E3">
      <w:pPr>
        <w:bidi/>
        <w:spacing w:after="200" w:line="360" w:lineRule="auto"/>
        <w:jc w:val="both"/>
        <w:rPr>
          <w:rFonts w:ascii="Traditional Arabic" w:eastAsia="Calibri" w:hAnsi="Traditional Arabic" w:cs="Traditional Arabic"/>
          <w:sz w:val="32"/>
          <w:szCs w:val="32"/>
          <w:rtl/>
        </w:rPr>
      </w:pPr>
    </w:p>
    <w:p w14:paraId="147AB7DA"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2EBF3E5"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70F87FE4"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84F36A8"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1F08300"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2DE8B2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E8CAC6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5BE104E"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41582E" w:rsidRDefault="008074A2" w:rsidP="0041582E">
      <w:pPr>
        <w:pageBreakBefore/>
        <w:bidi/>
        <w:spacing w:after="200" w:line="360" w:lineRule="auto"/>
        <w:jc w:val="both"/>
        <w:rPr>
          <w:rFonts w:ascii="Traditional Arabic" w:eastAsia="Calibri" w:hAnsi="Traditional Arabic" w:cs="Traditional Arabic"/>
          <w:sz w:val="36"/>
          <w:szCs w:val="36"/>
          <w:shd w:val="clear" w:color="auto" w:fill="FFFFFF"/>
          <w:rtl/>
        </w:rPr>
      </w:pPr>
      <w:proofErr w:type="gramStart"/>
      <w:r w:rsidRPr="0041582E">
        <w:rPr>
          <w:rFonts w:ascii="Traditional Arabic" w:eastAsia="Calibri" w:hAnsi="Traditional Arabic" w:cs="Traditional Arabic" w:hint="cs"/>
          <w:b/>
          <w:bCs/>
          <w:sz w:val="36"/>
          <w:szCs w:val="36"/>
          <w:rtl/>
        </w:rPr>
        <w:lastRenderedPageBreak/>
        <w:t>قائمة</w:t>
      </w:r>
      <w:proofErr w:type="gramEnd"/>
      <w:r w:rsidRPr="0041582E">
        <w:rPr>
          <w:rFonts w:ascii="Traditional Arabic" w:eastAsia="Calibri" w:hAnsi="Traditional Arabic" w:cs="Traditional Arabic" w:hint="cs"/>
          <w:b/>
          <w:bCs/>
          <w:sz w:val="36"/>
          <w:szCs w:val="36"/>
          <w:rtl/>
        </w:rPr>
        <w:t xml:space="preserve"> </w:t>
      </w:r>
      <w:r w:rsidRPr="0041582E">
        <w:rPr>
          <w:rFonts w:ascii="Traditional Arabic" w:eastAsia="Calibri" w:hAnsi="Traditional Arabic" w:cs="Traditional Arabic"/>
          <w:b/>
          <w:bCs/>
          <w:sz w:val="36"/>
          <w:szCs w:val="36"/>
          <w:rtl/>
        </w:rPr>
        <w:t>المراجع</w:t>
      </w:r>
      <w:bookmarkStart w:id="0" w:name="_GoBack"/>
      <w:bookmarkEnd w:id="0"/>
    </w:p>
    <w:p w14:paraId="34CB3BD3" w14:textId="77777777" w:rsidR="008074A2" w:rsidRPr="0041582E" w:rsidRDefault="008074A2" w:rsidP="008074A2">
      <w:pPr>
        <w:bidi/>
        <w:spacing w:after="200" w:line="360" w:lineRule="auto"/>
        <w:jc w:val="both"/>
        <w:rPr>
          <w:rFonts w:ascii="Traditional Arabic" w:eastAsia="Calibri" w:hAnsi="Traditional Arabic" w:cs="Traditional Arabic"/>
          <w:b/>
          <w:bCs/>
          <w:sz w:val="36"/>
          <w:szCs w:val="36"/>
          <w:shd w:val="clear" w:color="auto" w:fill="FFFFFF"/>
          <w:rtl/>
        </w:rPr>
      </w:pPr>
      <w:r w:rsidRPr="0041582E">
        <w:rPr>
          <w:rFonts w:ascii="Traditional Arabic" w:eastAsia="Calibri" w:hAnsi="Traditional Arabic" w:cs="Traditional Arabic"/>
          <w:b/>
          <w:bCs/>
          <w:sz w:val="36"/>
          <w:szCs w:val="36"/>
          <w:shd w:val="clear" w:color="auto" w:fill="FFFFFF"/>
          <w:rtl/>
        </w:rPr>
        <w:t>اولا: المراجع العربية</w:t>
      </w:r>
    </w:p>
    <w:p w14:paraId="5D2619C5" w14:textId="77777777" w:rsidR="0041582E" w:rsidRPr="0041582E" w:rsidRDefault="0041582E" w:rsidP="0041582E">
      <w:pPr>
        <w:pStyle w:val="a3"/>
        <w:numPr>
          <w:ilvl w:val="0"/>
          <w:numId w:val="15"/>
        </w:numPr>
        <w:bidi/>
        <w:rPr>
          <w:rFonts w:ascii="Traditional Arabic" w:hAnsi="Traditional Arabic" w:cs="Traditional Arabic"/>
          <w:sz w:val="32"/>
          <w:szCs w:val="32"/>
          <w:shd w:val="clear" w:color="auto" w:fill="FFFFFF"/>
        </w:rPr>
      </w:pPr>
      <w:proofErr w:type="gramStart"/>
      <w:r w:rsidRPr="0041582E">
        <w:rPr>
          <w:rFonts w:ascii="Traditional Arabic" w:hAnsi="Traditional Arabic" w:cs="Traditional Arabic"/>
          <w:sz w:val="32"/>
          <w:szCs w:val="32"/>
          <w:shd w:val="clear" w:color="auto" w:fill="FFFFFF"/>
          <w:rtl/>
        </w:rPr>
        <w:t>أبو</w:t>
      </w:r>
      <w:proofErr w:type="gramEnd"/>
      <w:r w:rsidRPr="0041582E">
        <w:rPr>
          <w:rFonts w:ascii="Traditional Arabic" w:hAnsi="Traditional Arabic" w:cs="Traditional Arabic"/>
          <w:sz w:val="32"/>
          <w:szCs w:val="32"/>
          <w:shd w:val="clear" w:color="auto" w:fill="FFFFFF"/>
          <w:rtl/>
        </w:rPr>
        <w:t xml:space="preserve"> كشك، ر. ف. م، &amp; مهدي، ح. ر. (2016). تطوير التنمية المهنية لمعلمي </w:t>
      </w:r>
      <w:proofErr w:type="gramStart"/>
      <w:r w:rsidRPr="0041582E">
        <w:rPr>
          <w:rFonts w:ascii="Traditional Arabic" w:hAnsi="Traditional Arabic" w:cs="Traditional Arabic"/>
          <w:sz w:val="32"/>
          <w:szCs w:val="32"/>
          <w:shd w:val="clear" w:color="auto" w:fill="FFFFFF"/>
          <w:rtl/>
        </w:rPr>
        <w:t>المرحلة</w:t>
      </w:r>
      <w:proofErr w:type="gramEnd"/>
      <w:r w:rsidRPr="0041582E">
        <w:rPr>
          <w:rFonts w:ascii="Traditional Arabic" w:hAnsi="Traditional Arabic" w:cs="Traditional Arabic"/>
          <w:sz w:val="32"/>
          <w:szCs w:val="32"/>
          <w:shd w:val="clear" w:color="auto" w:fill="FFFFFF"/>
          <w:rtl/>
        </w:rPr>
        <w:t xml:space="preserve"> المتوسطة بدولة الكويت في ضوء الاتجاهات الحديثة. </w:t>
      </w:r>
      <w:r w:rsidRPr="0041582E">
        <w:rPr>
          <w:rFonts w:ascii="Traditional Arabic" w:hAnsi="Traditional Arabic" w:cs="Traditional Arabic"/>
          <w:i/>
          <w:iCs/>
          <w:sz w:val="32"/>
          <w:szCs w:val="32"/>
          <w:shd w:val="clear" w:color="auto" w:fill="FFFFFF"/>
          <w:rtl/>
        </w:rPr>
        <w:t xml:space="preserve">مجلة كلية </w:t>
      </w:r>
      <w:proofErr w:type="gramStart"/>
      <w:r w:rsidRPr="0041582E">
        <w:rPr>
          <w:rFonts w:ascii="Traditional Arabic" w:hAnsi="Traditional Arabic" w:cs="Traditional Arabic"/>
          <w:i/>
          <w:iCs/>
          <w:sz w:val="32"/>
          <w:szCs w:val="32"/>
          <w:shd w:val="clear" w:color="auto" w:fill="FFFFFF"/>
          <w:rtl/>
        </w:rPr>
        <w:t>التربية</w:t>
      </w:r>
      <w:proofErr w:type="gramEnd"/>
      <w:r w:rsidRPr="0041582E">
        <w:rPr>
          <w:rFonts w:ascii="Traditional Arabic" w:hAnsi="Traditional Arabic" w:cs="Traditional Arabic"/>
          <w:i/>
          <w:iCs/>
          <w:sz w:val="32"/>
          <w:szCs w:val="32"/>
          <w:shd w:val="clear" w:color="auto" w:fill="FFFFFF"/>
          <w:rtl/>
        </w:rPr>
        <w:t>، جامعة الأزهر</w:t>
      </w:r>
      <w:r w:rsidRPr="0041582E">
        <w:rPr>
          <w:rFonts w:ascii="Traditional Arabic" w:hAnsi="Traditional Arabic" w:cs="Traditional Arabic"/>
          <w:sz w:val="32"/>
          <w:szCs w:val="32"/>
          <w:shd w:val="clear" w:color="auto" w:fill="FFFFFF"/>
          <w:rtl/>
        </w:rPr>
        <w:t>، (170، الجزء الثالث)، 757–795</w:t>
      </w:r>
      <w:r w:rsidRPr="0041582E">
        <w:rPr>
          <w:rFonts w:ascii="Traditional Arabic" w:hAnsi="Traditional Arabic" w:cs="Traditional Arabic"/>
          <w:sz w:val="32"/>
          <w:szCs w:val="32"/>
          <w:shd w:val="clear" w:color="auto" w:fill="FFFFFF"/>
        </w:rPr>
        <w:t>.</w:t>
      </w:r>
    </w:p>
    <w:p w14:paraId="36660C7F" w14:textId="626A2882"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أبو عاشور، </w:t>
      </w:r>
      <w:proofErr w:type="gramStart"/>
      <w:r w:rsidRPr="0049674D">
        <w:rPr>
          <w:rFonts w:ascii="Traditional Arabic" w:hAnsi="Traditional Arabic" w:cs="Traditional Arabic"/>
          <w:sz w:val="32"/>
          <w:szCs w:val="32"/>
          <w:shd w:val="clear" w:color="auto" w:fill="FFFFFF"/>
          <w:rtl/>
        </w:rPr>
        <w:t>خليفة</w:t>
      </w:r>
      <w:proofErr w:type="gramEnd"/>
      <w:r w:rsidRPr="0049674D">
        <w:rPr>
          <w:rFonts w:ascii="Traditional Arabic" w:hAnsi="Traditional Arabic" w:cs="Traditional Arabic"/>
          <w:sz w:val="32"/>
          <w:szCs w:val="32"/>
          <w:shd w:val="clear" w:color="auto" w:fill="FFFFFF"/>
          <w:rtl/>
        </w:rPr>
        <w:t>،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المجلة الدولية للدراسات التربوية </w:t>
      </w:r>
      <w:proofErr w:type="gramStart"/>
      <w:r w:rsidRPr="0049674D">
        <w:rPr>
          <w:rFonts w:ascii="Traditional Arabic" w:hAnsi="Traditional Arabic" w:cs="Traditional Arabic"/>
          <w:i/>
          <w:iCs/>
          <w:sz w:val="32"/>
          <w:szCs w:val="32"/>
          <w:shd w:val="clear" w:color="auto" w:fill="FFFFFF"/>
          <w:rtl/>
        </w:rPr>
        <w:t>والنفسية</w:t>
      </w:r>
      <w:proofErr w:type="gramEnd"/>
      <w:r w:rsidRPr="0049674D">
        <w:rPr>
          <w:rFonts w:ascii="Traditional Arabic" w:hAnsi="Traditional Arabic" w:cs="Traditional Arabic"/>
          <w:i/>
          <w:iCs/>
          <w:sz w:val="32"/>
          <w:szCs w:val="32"/>
          <w:shd w:val="clear" w:color="auto" w:fill="FFFFFF"/>
          <w:rtl/>
        </w:rPr>
        <w:t>، 9</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xml:space="preserve">، 424–445. </w:t>
      </w:r>
      <w:r w:rsidRPr="0049674D">
        <w:rPr>
          <w:rFonts w:ascii="Traditional Arabic" w:hAnsi="Traditional Arabic" w:cs="Traditional Arabic"/>
          <w:sz w:val="32"/>
          <w:szCs w:val="32"/>
          <w:shd w:val="clear" w:color="auto" w:fill="FFFFFF"/>
        </w:rPr>
        <w:t>https://doi.org/10.31559/EPS2021.9.2.6</w:t>
      </w:r>
    </w:p>
    <w:p w14:paraId="03FA45D9"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الحيكان</w:t>
      </w:r>
      <w:proofErr w:type="spellEnd"/>
      <w:r w:rsidRPr="0049674D">
        <w:rPr>
          <w:rFonts w:ascii="Traditional Arabic" w:hAnsi="Traditional Arabic" w:cs="Traditional Arabic"/>
          <w:sz w:val="32"/>
          <w:szCs w:val="32"/>
          <w:shd w:val="clear" w:color="auto" w:fill="FFFFFF"/>
          <w:rtl/>
        </w:rPr>
        <w:t>، عبدالرحمن. (2024). بيان التجديد التربوي للتنمية المهنية للمعلمين في ضوء كفايات الرخصة المهنية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المنتدى البحثي السادس للشباب 2024، مركز </w:t>
      </w:r>
      <w:proofErr w:type="gramStart"/>
      <w:r w:rsidRPr="0049674D">
        <w:rPr>
          <w:rFonts w:ascii="Traditional Arabic" w:hAnsi="Traditional Arabic" w:cs="Traditional Arabic"/>
          <w:i/>
          <w:iCs/>
          <w:sz w:val="32"/>
          <w:szCs w:val="32"/>
          <w:shd w:val="clear" w:color="auto" w:fill="FFFFFF"/>
          <w:rtl/>
        </w:rPr>
        <w:t>جامعة</w:t>
      </w:r>
      <w:proofErr w:type="gramEnd"/>
      <w:r w:rsidRPr="0049674D">
        <w:rPr>
          <w:rFonts w:ascii="Traditional Arabic" w:hAnsi="Traditional Arabic" w:cs="Traditional Arabic"/>
          <w:i/>
          <w:iCs/>
          <w:sz w:val="32"/>
          <w:szCs w:val="32"/>
          <w:shd w:val="clear" w:color="auto" w:fill="FFFFFF"/>
          <w:rtl/>
        </w:rPr>
        <w:t xml:space="preserve"> قطر للعلماء الشباب</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قطر</w:t>
      </w:r>
      <w:r w:rsidRPr="0049674D">
        <w:rPr>
          <w:rFonts w:ascii="Traditional Arabic" w:hAnsi="Traditional Arabic" w:cs="Traditional Arabic"/>
          <w:sz w:val="32"/>
          <w:szCs w:val="32"/>
          <w:shd w:val="clear" w:color="auto" w:fill="FFFFFF"/>
        </w:rPr>
        <w:t>.</w:t>
      </w:r>
    </w:p>
    <w:p w14:paraId="335643EA"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القطاوي، محمد نواف. (2022). الكفايات اللازمة لمعلمي المنصات الإلكترونية (من وجهة نظر الطلبة والمعلمين).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جامعة الشرق الأوسط، عمان، الأردن</w:t>
      </w:r>
      <w:r w:rsidRPr="0049674D">
        <w:rPr>
          <w:rFonts w:ascii="Traditional Arabic" w:hAnsi="Traditional Arabic" w:cs="Traditional Arabic"/>
          <w:sz w:val="32"/>
          <w:szCs w:val="32"/>
          <w:shd w:val="clear" w:color="auto" w:fill="FFFFFF"/>
        </w:rPr>
        <w:t>.</w:t>
      </w:r>
    </w:p>
    <w:p w14:paraId="0F7836B0"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القرني، </w:t>
      </w:r>
      <w:proofErr w:type="gramStart"/>
      <w:r w:rsidRPr="0049674D">
        <w:rPr>
          <w:rFonts w:ascii="Traditional Arabic" w:hAnsi="Traditional Arabic" w:cs="Traditional Arabic"/>
          <w:sz w:val="32"/>
          <w:szCs w:val="32"/>
          <w:shd w:val="clear" w:color="auto" w:fill="FFFFFF"/>
          <w:rtl/>
        </w:rPr>
        <w:t>محمد</w:t>
      </w:r>
      <w:proofErr w:type="gramEnd"/>
      <w:r w:rsidRPr="0049674D">
        <w:rPr>
          <w:rFonts w:ascii="Traditional Arabic" w:hAnsi="Traditional Arabic" w:cs="Traditional Arabic"/>
          <w:sz w:val="32"/>
          <w:szCs w:val="32"/>
          <w:shd w:val="clear" w:color="auto" w:fill="FFFFFF"/>
          <w:rtl/>
        </w:rPr>
        <w:t xml:space="preserve">. (2018). احتياجات التنمية المهنية الذاتية لمعلمي </w:t>
      </w:r>
      <w:proofErr w:type="gramStart"/>
      <w:r w:rsidRPr="0049674D">
        <w:rPr>
          <w:rFonts w:ascii="Traditional Arabic" w:hAnsi="Traditional Arabic" w:cs="Traditional Arabic"/>
          <w:sz w:val="32"/>
          <w:szCs w:val="32"/>
          <w:shd w:val="clear" w:color="auto" w:fill="FFFFFF"/>
          <w:rtl/>
        </w:rPr>
        <w:t>المرحلة</w:t>
      </w:r>
      <w:proofErr w:type="gramEnd"/>
      <w:r w:rsidRPr="0049674D">
        <w:rPr>
          <w:rFonts w:ascii="Traditional Arabic" w:hAnsi="Traditional Arabic" w:cs="Traditional Arabic"/>
          <w:sz w:val="32"/>
          <w:szCs w:val="32"/>
          <w:shd w:val="clear" w:color="auto" w:fill="FFFFFF"/>
          <w:rtl/>
        </w:rPr>
        <w:t xml:space="preserve"> الابتدائية.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w:t>
      </w:r>
      <w:proofErr w:type="gramStart"/>
      <w:r w:rsidRPr="0049674D">
        <w:rPr>
          <w:rFonts w:ascii="Traditional Arabic" w:hAnsi="Traditional Arabic" w:cs="Traditional Arabic"/>
          <w:sz w:val="32"/>
          <w:szCs w:val="32"/>
          <w:shd w:val="clear" w:color="auto" w:fill="FFFFFF"/>
          <w:rtl/>
        </w:rPr>
        <w:t>كلية</w:t>
      </w:r>
      <w:proofErr w:type="gramEnd"/>
      <w:r w:rsidRPr="0049674D">
        <w:rPr>
          <w:rFonts w:ascii="Traditional Arabic" w:hAnsi="Traditional Arabic" w:cs="Traditional Arabic"/>
          <w:sz w:val="32"/>
          <w:szCs w:val="32"/>
          <w:shd w:val="clear" w:color="auto" w:fill="FFFFFF"/>
          <w:rtl/>
        </w:rPr>
        <w:t xml:space="preserve"> التربية، جامعة الملك سعود، الرياض، السعودية</w:t>
      </w:r>
      <w:r w:rsidRPr="0049674D">
        <w:rPr>
          <w:rFonts w:ascii="Traditional Arabic" w:hAnsi="Traditional Arabic" w:cs="Traditional Arabic"/>
          <w:sz w:val="32"/>
          <w:szCs w:val="32"/>
          <w:shd w:val="clear" w:color="auto" w:fill="FFFFFF"/>
        </w:rPr>
        <w:t>.</w:t>
      </w:r>
    </w:p>
    <w:p w14:paraId="11D6A6C7" w14:textId="4517D68E"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دليل السعودية. (2024، مايو</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إحصائية جديدة </w:t>
      </w:r>
      <w:proofErr w:type="gramStart"/>
      <w:r w:rsidRPr="0049674D">
        <w:rPr>
          <w:rFonts w:ascii="Traditional Arabic" w:hAnsi="Traditional Arabic" w:cs="Traditional Arabic"/>
          <w:i/>
          <w:iCs/>
          <w:sz w:val="32"/>
          <w:szCs w:val="32"/>
          <w:shd w:val="clear" w:color="auto" w:fill="FFFFFF"/>
          <w:rtl/>
        </w:rPr>
        <w:t>عن</w:t>
      </w:r>
      <w:proofErr w:type="gramEnd"/>
      <w:r w:rsidRPr="0049674D">
        <w:rPr>
          <w:rFonts w:ascii="Traditional Arabic" w:hAnsi="Traditional Arabic" w:cs="Traditional Arabic"/>
          <w:i/>
          <w:iCs/>
          <w:sz w:val="32"/>
          <w:szCs w:val="32"/>
          <w:shd w:val="clear" w:color="auto" w:fill="FFFFFF"/>
          <w:rtl/>
        </w:rPr>
        <w:t xml:space="preserve"> عدد المعلمين والمعلمات في السعودية</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https://www.dlelsaudia.com/news439815.html</w:t>
      </w:r>
    </w:p>
    <w:p w14:paraId="72C8D38B" w14:textId="34C2552A"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سلام، غادة، و الزهيري، عماد. (2022). درجة توافر الكفايات التعليمية لدى معلمي الرياضيات في ليبيا وعلاقتها بالمؤهل التربوي</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مجلة</w:t>
      </w:r>
      <w:proofErr w:type="gramEnd"/>
      <w:r w:rsidRPr="0049674D">
        <w:rPr>
          <w:rFonts w:ascii="Traditional Arabic" w:hAnsi="Traditional Arabic" w:cs="Traditional Arabic"/>
          <w:i/>
          <w:iCs/>
          <w:sz w:val="32"/>
          <w:szCs w:val="32"/>
          <w:shd w:val="clear" w:color="auto" w:fill="FFFFFF"/>
          <w:rtl/>
        </w:rPr>
        <w:t xml:space="preserve"> الزرقاء للبحوث والدراسات الإنسانية، 16</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6102–6135.</w:t>
      </w:r>
    </w:p>
    <w:p w14:paraId="1D685EA1" w14:textId="4D11D194"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المجلة</w:t>
      </w:r>
      <w:proofErr w:type="gramEnd"/>
      <w:r w:rsidRPr="0049674D">
        <w:rPr>
          <w:rFonts w:ascii="Traditional Arabic" w:hAnsi="Traditional Arabic" w:cs="Traditional Arabic"/>
          <w:i/>
          <w:iCs/>
          <w:sz w:val="32"/>
          <w:szCs w:val="32"/>
          <w:shd w:val="clear" w:color="auto" w:fill="FFFFFF"/>
          <w:rtl/>
        </w:rPr>
        <w:t xml:space="preserve"> التربوية، 150</w:t>
      </w:r>
      <w:r w:rsidRPr="0049674D">
        <w:rPr>
          <w:rFonts w:ascii="Traditional Arabic" w:hAnsi="Traditional Arabic" w:cs="Traditional Arabic"/>
          <w:sz w:val="32"/>
          <w:szCs w:val="32"/>
          <w:shd w:val="clear" w:color="auto" w:fill="FFFFFF"/>
          <w:rtl/>
        </w:rPr>
        <w:t>(11).</w:t>
      </w:r>
    </w:p>
    <w:p w14:paraId="480305F4"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lastRenderedPageBreak/>
        <w:t xml:space="preserve">عموش، وفاء. (2020). </w:t>
      </w:r>
      <w:proofErr w:type="gramStart"/>
      <w:r w:rsidRPr="0049674D">
        <w:rPr>
          <w:rFonts w:ascii="Traditional Arabic" w:hAnsi="Traditional Arabic" w:cs="Traditional Arabic"/>
          <w:sz w:val="32"/>
          <w:szCs w:val="32"/>
          <w:shd w:val="clear" w:color="auto" w:fill="FFFFFF"/>
          <w:rtl/>
        </w:rPr>
        <w:t>التنمية</w:t>
      </w:r>
      <w:proofErr w:type="gramEnd"/>
      <w:r w:rsidRPr="0049674D">
        <w:rPr>
          <w:rFonts w:ascii="Traditional Arabic" w:hAnsi="Traditional Arabic" w:cs="Traditional Arabic"/>
          <w:sz w:val="32"/>
          <w:szCs w:val="32"/>
          <w:shd w:val="clear" w:color="auto" w:fill="FFFFFF"/>
          <w:rtl/>
        </w:rPr>
        <w:t xml:space="preserve"> المهنية وعلاقتها بالتكيف الوظيفي لمعلمي المدارس الحكومية في عمان من وجهة نظر مديري المدارس.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كلية علوم التربية، جامعة الشرق الأوسط، عمان، الأردن</w:t>
      </w:r>
      <w:r w:rsidRPr="0049674D">
        <w:rPr>
          <w:rFonts w:ascii="Traditional Arabic" w:hAnsi="Traditional Arabic" w:cs="Traditional Arabic"/>
          <w:sz w:val="32"/>
          <w:szCs w:val="32"/>
          <w:shd w:val="clear" w:color="auto" w:fill="FFFFFF"/>
        </w:rPr>
        <w:t>.</w:t>
      </w:r>
    </w:p>
    <w:p w14:paraId="370835B6"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في الإدارة التربوية).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القدس المفتوحة</w:t>
      </w:r>
      <w:r w:rsidRPr="0049674D">
        <w:rPr>
          <w:rFonts w:ascii="Traditional Arabic" w:hAnsi="Traditional Arabic" w:cs="Traditional Arabic"/>
          <w:sz w:val="32"/>
          <w:szCs w:val="32"/>
          <w:shd w:val="clear" w:color="auto" w:fill="FFFFFF"/>
        </w:rPr>
        <w:t>.</w:t>
      </w:r>
    </w:p>
    <w:p w14:paraId="51015950" w14:textId="27A604C8" w:rsidR="00F700E3" w:rsidRPr="0049674D" w:rsidRDefault="00F700E3" w:rsidP="00431498">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الفجام</w:t>
      </w:r>
      <w:proofErr w:type="spellEnd"/>
      <w:r w:rsidRPr="0049674D">
        <w:rPr>
          <w:rFonts w:ascii="Traditional Arabic" w:hAnsi="Traditional Arabic" w:cs="Traditional Arabic"/>
          <w:sz w:val="32"/>
          <w:szCs w:val="32"/>
          <w:shd w:val="clear" w:color="auto" w:fill="FFFFFF"/>
          <w:rtl/>
        </w:rPr>
        <w:t>، ح. م.، المنصوري، م. ب</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 xml:space="preserve">&amp; </w:t>
      </w:r>
      <w:r w:rsidRPr="0049674D">
        <w:rPr>
          <w:rFonts w:ascii="Traditional Arabic" w:hAnsi="Traditional Arabic" w:cs="Traditional Arabic"/>
          <w:sz w:val="32"/>
          <w:szCs w:val="32"/>
          <w:shd w:val="clear" w:color="auto" w:fill="FFFFFF"/>
          <w:rtl/>
        </w:rPr>
        <w:t xml:space="preserve">الدويلة، ع. ع. (2017). واقع النمو المهني لمعلمي </w:t>
      </w:r>
      <w:proofErr w:type="gramStart"/>
      <w:r w:rsidRPr="0049674D">
        <w:rPr>
          <w:rFonts w:ascii="Traditional Arabic" w:hAnsi="Traditional Arabic" w:cs="Traditional Arabic"/>
          <w:sz w:val="32"/>
          <w:szCs w:val="32"/>
          <w:shd w:val="clear" w:color="auto" w:fill="FFFFFF"/>
          <w:rtl/>
        </w:rPr>
        <w:t>العلوم</w:t>
      </w:r>
      <w:proofErr w:type="gramEnd"/>
      <w:r w:rsidRPr="0049674D">
        <w:rPr>
          <w:rFonts w:ascii="Traditional Arabic" w:hAnsi="Traditional Arabic" w:cs="Traditional Arabic"/>
          <w:sz w:val="32"/>
          <w:szCs w:val="32"/>
          <w:shd w:val="clear" w:color="auto" w:fill="FFFFFF"/>
          <w:rtl/>
        </w:rPr>
        <w:t xml:space="preserve"> والرياضيات بمدارس المرحلة الابتدائية بدولة الكويت</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مجلة كلية </w:t>
      </w:r>
      <w:proofErr w:type="gramStart"/>
      <w:r w:rsidRPr="0049674D">
        <w:rPr>
          <w:rFonts w:ascii="Traditional Arabic" w:hAnsi="Traditional Arabic" w:cs="Traditional Arabic"/>
          <w:i/>
          <w:iCs/>
          <w:sz w:val="32"/>
          <w:szCs w:val="32"/>
          <w:shd w:val="clear" w:color="auto" w:fill="FFFFFF"/>
          <w:rtl/>
        </w:rPr>
        <w:t>التربية</w:t>
      </w:r>
      <w:proofErr w:type="gramEnd"/>
      <w:r w:rsidRPr="0049674D">
        <w:rPr>
          <w:rFonts w:ascii="Traditional Arabic" w:hAnsi="Traditional Arabic" w:cs="Traditional Arabic"/>
          <w:i/>
          <w:iCs/>
          <w:sz w:val="32"/>
          <w:szCs w:val="32"/>
          <w:shd w:val="clear" w:color="auto" w:fill="FFFFFF"/>
          <w:rtl/>
        </w:rPr>
        <w:t>، جامعة الأزهر، (716، الجزء الأول</w:t>
      </w:r>
      <w:r w:rsidR="00431498" w:rsidRPr="0049674D">
        <w:rPr>
          <w:rFonts w:ascii="Traditional Arabic" w:hAnsi="Traditional Arabic" w:cs="Traditional Arabic" w:hint="cs"/>
          <w:i/>
          <w:iCs/>
          <w:sz w:val="32"/>
          <w:szCs w:val="32"/>
          <w:shd w:val="clear" w:color="auto" w:fill="FFFFFF"/>
          <w:rtl/>
        </w:rPr>
        <w:t>)،</w:t>
      </w:r>
      <w:r w:rsidRPr="0049674D">
        <w:rPr>
          <w:rFonts w:ascii="Traditional Arabic" w:hAnsi="Traditional Arabic" w:cs="Traditional Arabic"/>
          <w:sz w:val="32"/>
          <w:szCs w:val="32"/>
          <w:shd w:val="clear" w:color="auto" w:fill="FFFFFF"/>
          <w:rtl/>
        </w:rPr>
        <w:t xml:space="preserve"> 385–615.</w:t>
      </w:r>
    </w:p>
    <w:p w14:paraId="436F7767" w14:textId="54277DDD" w:rsidR="005E1A75" w:rsidRPr="006504A0" w:rsidRDefault="00F700E3" w:rsidP="006504A0">
      <w:pPr>
        <w:pStyle w:val="a3"/>
        <w:numPr>
          <w:ilvl w:val="0"/>
          <w:numId w:val="15"/>
        </w:numPr>
        <w:bidi/>
        <w:spacing w:after="200" w:line="240" w:lineRule="auto"/>
        <w:jc w:val="both"/>
        <w:rPr>
          <w:rFonts w:ascii="Traditional Arabic" w:hAnsi="Traditional Arabic" w:cs="Traditional Arabic"/>
          <w:sz w:val="32"/>
          <w:szCs w:val="32"/>
          <w:shd w:val="clear" w:color="auto" w:fill="FFFFFF"/>
          <w:rtl/>
        </w:rPr>
      </w:pPr>
      <w:r w:rsidRPr="0049674D">
        <w:rPr>
          <w:rFonts w:ascii="Traditional Arabic" w:hAnsi="Traditional Arabic" w:cs="Traditional Arabic"/>
          <w:sz w:val="32"/>
          <w:szCs w:val="32"/>
          <w:shd w:val="clear" w:color="auto" w:fill="FFFFFF"/>
          <w:rtl/>
        </w:rPr>
        <w:t>وزارة التعليم – المملكة العربية السعودية. (2025</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https://departments.moe.gov.sa/Statistics/Educationstatistics/Pages/gestats.aspx</w:t>
      </w:r>
    </w:p>
    <w:p w14:paraId="59FB8A91"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2F48D4AB"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1813677C"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15F508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0A1F45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70283DAB"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2D2B791" w14:textId="77777777" w:rsidR="0041582E" w:rsidRPr="006504A0"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Pr>
      </w:pPr>
    </w:p>
    <w:p w14:paraId="26447F2A" w14:textId="38B3DDF5" w:rsidR="005E1A75" w:rsidRPr="0041582E" w:rsidRDefault="006504A0" w:rsidP="006504A0">
      <w:pPr>
        <w:bidi/>
        <w:spacing w:after="200" w:line="360" w:lineRule="auto"/>
        <w:ind w:left="360"/>
        <w:jc w:val="both"/>
        <w:rPr>
          <w:rFonts w:ascii="Traditional Arabic" w:eastAsia="Calibri" w:hAnsi="Traditional Arabic" w:cs="Traditional Arabic"/>
          <w:b/>
          <w:bCs/>
          <w:sz w:val="36"/>
          <w:szCs w:val="36"/>
          <w:shd w:val="clear" w:color="auto" w:fill="FFFFFF"/>
        </w:rPr>
      </w:pPr>
      <w:r w:rsidRPr="0041582E">
        <w:rPr>
          <w:rFonts w:ascii="Traditional Arabic" w:eastAsia="Calibri" w:hAnsi="Traditional Arabic" w:cs="Traditional Arabic"/>
          <w:b/>
          <w:bCs/>
          <w:sz w:val="36"/>
          <w:szCs w:val="36"/>
          <w:shd w:val="clear" w:color="auto" w:fill="FFFFFF"/>
          <w:rtl/>
        </w:rPr>
        <w:lastRenderedPageBreak/>
        <w:t xml:space="preserve">ثانيا: </w:t>
      </w:r>
      <w:proofErr w:type="gramStart"/>
      <w:r w:rsidRPr="0041582E">
        <w:rPr>
          <w:rFonts w:ascii="Traditional Arabic" w:eastAsia="Calibri" w:hAnsi="Traditional Arabic" w:cs="Traditional Arabic"/>
          <w:b/>
          <w:bCs/>
          <w:sz w:val="36"/>
          <w:szCs w:val="36"/>
          <w:shd w:val="clear" w:color="auto" w:fill="FFFFFF"/>
          <w:rtl/>
        </w:rPr>
        <w:t>المراجع</w:t>
      </w:r>
      <w:proofErr w:type="gramEnd"/>
      <w:r w:rsidRPr="0041582E">
        <w:rPr>
          <w:rFonts w:ascii="Traditional Arabic" w:eastAsia="Calibri" w:hAnsi="Traditional Arabic" w:cs="Traditional Arabic"/>
          <w:b/>
          <w:bCs/>
          <w:sz w:val="36"/>
          <w:szCs w:val="36"/>
          <w:shd w:val="clear" w:color="auto" w:fill="FFFFFF"/>
          <w:rtl/>
        </w:rPr>
        <w:t xml:space="preserve"> </w:t>
      </w:r>
      <w:r w:rsidR="0041582E" w:rsidRPr="0041582E">
        <w:rPr>
          <w:rFonts w:ascii="Traditional Arabic" w:eastAsia="Calibri" w:hAnsi="Traditional Arabic" w:cs="Traditional Arabic" w:hint="cs"/>
          <w:b/>
          <w:bCs/>
          <w:sz w:val="36"/>
          <w:szCs w:val="36"/>
          <w:shd w:val="clear" w:color="auto" w:fill="FFFFFF"/>
          <w:rtl/>
        </w:rPr>
        <w:t>الأجنبية</w:t>
      </w:r>
    </w:p>
    <w:p w14:paraId="6E18A165"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 xml:space="preserve">Abbas, M., Tariq, S., &amp; </w:t>
      </w:r>
      <w:proofErr w:type="spellStart"/>
      <w:r w:rsidRPr="006504A0">
        <w:rPr>
          <w:rFonts w:ascii="Times New Roman" w:eastAsia="Times New Roman" w:hAnsi="Times New Roman" w:cs="Times New Roman"/>
          <w:sz w:val="24"/>
          <w:szCs w:val="24"/>
        </w:rPr>
        <w:t>Jamil</w:t>
      </w:r>
      <w:proofErr w:type="spellEnd"/>
      <w:r w:rsidRPr="006504A0">
        <w:rPr>
          <w:rFonts w:ascii="Times New Roman" w:eastAsia="Times New Roman" w:hAnsi="Times New Roman" w:cs="Times New Roman"/>
          <w:sz w:val="24"/>
          <w:szCs w:val="24"/>
        </w:rPr>
        <w:t>, M. (2021).</w:t>
      </w:r>
      <w:proofErr w:type="gramEnd"/>
      <w:r w:rsidRPr="006504A0">
        <w:rPr>
          <w:rFonts w:ascii="Times New Roman" w:eastAsia="Times New Roman" w:hAnsi="Times New Roman" w:cs="Times New Roman"/>
          <w:sz w:val="24"/>
          <w:szCs w:val="24"/>
        </w:rPr>
        <w:t xml:space="preserve"> Continuous professional development (</w:t>
      </w:r>
      <w:proofErr w:type="spellStart"/>
      <w:r w:rsidRPr="006504A0">
        <w:rPr>
          <w:rFonts w:ascii="Times New Roman" w:eastAsia="Times New Roman" w:hAnsi="Times New Roman" w:cs="Times New Roman"/>
          <w:sz w:val="24"/>
          <w:szCs w:val="24"/>
        </w:rPr>
        <w:t>CPD</w:t>
      </w:r>
      <w:proofErr w:type="spellEnd"/>
      <w:r w:rsidRPr="006504A0">
        <w:rPr>
          <w:rFonts w:ascii="Times New Roman" w:eastAsia="Times New Roman" w:hAnsi="Times New Roman" w:cs="Times New Roman"/>
          <w:sz w:val="24"/>
          <w:szCs w:val="24"/>
        </w:rPr>
        <w:t xml:space="preserve">) and quality education of primary school teachers: A quantitative study in Lahore, Punjab. </w:t>
      </w:r>
      <w:r w:rsidRPr="006504A0">
        <w:rPr>
          <w:rFonts w:ascii="Times New Roman" w:eastAsia="Times New Roman" w:hAnsi="Times New Roman" w:cs="Times New Roman"/>
          <w:i/>
          <w:iCs/>
          <w:sz w:val="24"/>
          <w:szCs w:val="24"/>
        </w:rPr>
        <w:t>Global Educational Studies Review, 6</w:t>
      </w:r>
      <w:r w:rsidRPr="006504A0">
        <w:rPr>
          <w:rFonts w:ascii="Times New Roman" w:eastAsia="Times New Roman" w:hAnsi="Times New Roman" w:cs="Times New Roman"/>
          <w:sz w:val="24"/>
          <w:szCs w:val="24"/>
        </w:rPr>
        <w:t xml:space="preserve">(4), 206–212. </w:t>
      </w:r>
      <w:hyperlink r:id="rId12" w:tgtFrame="_new" w:history="1">
        <w:r w:rsidRPr="006504A0">
          <w:rPr>
            <w:rFonts w:ascii="Times New Roman" w:eastAsia="Times New Roman" w:hAnsi="Times New Roman" w:cs="Times New Roman"/>
            <w:color w:val="0000FF"/>
            <w:sz w:val="24"/>
            <w:szCs w:val="24"/>
            <w:u w:val="single"/>
          </w:rPr>
          <w:t>https://doi.org/10.31703/gesr.2021(VI-IV).21</w:t>
        </w:r>
      </w:hyperlink>
    </w:p>
    <w:p w14:paraId="41F48E70"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Ahmed, H. N., Pasha, A. R., &amp; Malik, M. (2021).</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The role of teacher training programs in optimizing teacher motivation and professional development skills.</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Bulletin of Education and Research, 43</w:t>
      </w:r>
      <w:r w:rsidRPr="006504A0">
        <w:rPr>
          <w:rFonts w:ascii="Times New Roman" w:eastAsia="Times New Roman" w:hAnsi="Times New Roman" w:cs="Times New Roman"/>
          <w:sz w:val="24"/>
          <w:szCs w:val="24"/>
        </w:rPr>
        <w:t>(2), 17–37.</w:t>
      </w:r>
    </w:p>
    <w:p w14:paraId="5E0923F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Alamri</w:t>
      </w:r>
      <w:proofErr w:type="spellEnd"/>
      <w:r w:rsidRPr="006504A0">
        <w:rPr>
          <w:rFonts w:ascii="Times New Roman" w:eastAsia="Times New Roman" w:hAnsi="Times New Roman" w:cs="Times New Roman"/>
          <w:sz w:val="24"/>
          <w:szCs w:val="24"/>
        </w:rPr>
        <w:t xml:space="preserve">, B. M. (2022). </w:t>
      </w:r>
      <w:proofErr w:type="gramStart"/>
      <w:r w:rsidRPr="006504A0">
        <w:rPr>
          <w:rFonts w:ascii="Times New Roman" w:eastAsia="Times New Roman" w:hAnsi="Times New Roman" w:cs="Times New Roman"/>
          <w:sz w:val="24"/>
          <w:szCs w:val="24"/>
        </w:rPr>
        <w:t>The professional development of primary school teachers in Saudi Arabia.</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Journal of Reading and Knowledge, 22</w:t>
      </w:r>
      <w:r w:rsidRPr="006504A0">
        <w:rPr>
          <w:rFonts w:ascii="Times New Roman" w:eastAsia="Times New Roman" w:hAnsi="Times New Roman" w:cs="Times New Roman"/>
          <w:sz w:val="24"/>
          <w:szCs w:val="24"/>
        </w:rPr>
        <w:t xml:space="preserve">(249), 1–45. </w:t>
      </w:r>
      <w:hyperlink r:id="rId13" w:tgtFrame="_new" w:history="1">
        <w:r w:rsidRPr="006504A0">
          <w:rPr>
            <w:rFonts w:ascii="Times New Roman" w:eastAsia="Times New Roman" w:hAnsi="Times New Roman" w:cs="Times New Roman"/>
            <w:color w:val="0000FF"/>
            <w:sz w:val="24"/>
            <w:szCs w:val="24"/>
            <w:u w:val="single"/>
          </w:rPr>
          <w:t>https://doi.org/10.21608/mrk.2022.256812</w:t>
        </w:r>
      </w:hyperlink>
    </w:p>
    <w:p w14:paraId="1FB6C82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Alhazmi</w:t>
      </w:r>
      <w:proofErr w:type="spellEnd"/>
      <w:r w:rsidRPr="006504A0">
        <w:rPr>
          <w:rFonts w:ascii="Times New Roman" w:eastAsia="Times New Roman" w:hAnsi="Times New Roman" w:cs="Times New Roman"/>
          <w:sz w:val="24"/>
          <w:szCs w:val="24"/>
        </w:rPr>
        <w:t xml:space="preserve">, M. A., </w:t>
      </w:r>
      <w:proofErr w:type="spellStart"/>
      <w:r w:rsidRPr="006504A0">
        <w:rPr>
          <w:rFonts w:ascii="Times New Roman" w:eastAsia="Times New Roman" w:hAnsi="Times New Roman" w:cs="Times New Roman"/>
          <w:sz w:val="24"/>
          <w:szCs w:val="24"/>
        </w:rPr>
        <w:t>Alqarni</w:t>
      </w:r>
      <w:proofErr w:type="spellEnd"/>
      <w:r w:rsidRPr="006504A0">
        <w:rPr>
          <w:rFonts w:ascii="Times New Roman" w:eastAsia="Times New Roman" w:hAnsi="Times New Roman" w:cs="Times New Roman"/>
          <w:sz w:val="24"/>
          <w:szCs w:val="24"/>
        </w:rPr>
        <w:t xml:space="preserve">, T. M., &amp; Al-Assar, S. (2022). Reality of teacher professional development programs in light of professional license standards in Saudi Arabia. </w:t>
      </w:r>
      <w:r w:rsidRPr="006504A0">
        <w:rPr>
          <w:rFonts w:ascii="Times New Roman" w:eastAsia="Times New Roman" w:hAnsi="Times New Roman" w:cs="Times New Roman"/>
          <w:i/>
          <w:iCs/>
          <w:sz w:val="24"/>
          <w:szCs w:val="24"/>
        </w:rPr>
        <w:t>Journal of Positive School Psychology, 6</w:t>
      </w:r>
      <w:r w:rsidRPr="006504A0">
        <w:rPr>
          <w:rFonts w:ascii="Times New Roman" w:eastAsia="Times New Roman" w:hAnsi="Times New Roman" w:cs="Times New Roman"/>
          <w:sz w:val="24"/>
          <w:szCs w:val="24"/>
        </w:rPr>
        <w:t>(4), 1408–1425.</w:t>
      </w:r>
    </w:p>
    <w:p w14:paraId="422943D4"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Alruqi</w:t>
      </w:r>
      <w:proofErr w:type="spellEnd"/>
      <w:r w:rsidRPr="006504A0">
        <w:rPr>
          <w:rFonts w:ascii="Times New Roman" w:eastAsia="Times New Roman" w:hAnsi="Times New Roman" w:cs="Times New Roman"/>
          <w:sz w:val="24"/>
          <w:szCs w:val="24"/>
        </w:rPr>
        <w:t xml:space="preserve">, S. M., &amp; </w:t>
      </w:r>
      <w:proofErr w:type="spellStart"/>
      <w:r w:rsidRPr="006504A0">
        <w:rPr>
          <w:rFonts w:ascii="Times New Roman" w:eastAsia="Times New Roman" w:hAnsi="Times New Roman" w:cs="Times New Roman"/>
          <w:sz w:val="24"/>
          <w:szCs w:val="24"/>
        </w:rPr>
        <w:t>Alharbi</w:t>
      </w:r>
      <w:proofErr w:type="spellEnd"/>
      <w:r w:rsidRPr="006504A0">
        <w:rPr>
          <w:rFonts w:ascii="Times New Roman" w:eastAsia="Times New Roman" w:hAnsi="Times New Roman" w:cs="Times New Roman"/>
          <w:sz w:val="24"/>
          <w:szCs w:val="24"/>
        </w:rPr>
        <w:t xml:space="preserve">, M. S. (2022). Teachers' perceptions towards professional development training courses: Exploring the effects on teachers' performance in the Saudi context. </w:t>
      </w:r>
      <w:r w:rsidRPr="006504A0">
        <w:rPr>
          <w:rFonts w:ascii="Times New Roman" w:eastAsia="Times New Roman" w:hAnsi="Times New Roman" w:cs="Times New Roman"/>
          <w:i/>
          <w:iCs/>
          <w:sz w:val="24"/>
          <w:szCs w:val="24"/>
        </w:rPr>
        <w:t>Theory and Practice in Language Studies, 12</w:t>
      </w:r>
      <w:r w:rsidRPr="006504A0">
        <w:rPr>
          <w:rFonts w:ascii="Times New Roman" w:eastAsia="Times New Roman" w:hAnsi="Times New Roman" w:cs="Times New Roman"/>
          <w:sz w:val="24"/>
          <w:szCs w:val="24"/>
        </w:rPr>
        <w:t xml:space="preserve">(9), 1723–1735. </w:t>
      </w:r>
      <w:hyperlink r:id="rId14" w:tgtFrame="_new" w:history="1">
        <w:r w:rsidRPr="006504A0">
          <w:rPr>
            <w:rFonts w:ascii="Times New Roman" w:eastAsia="Times New Roman" w:hAnsi="Times New Roman" w:cs="Times New Roman"/>
            <w:color w:val="0000FF"/>
            <w:sz w:val="24"/>
            <w:szCs w:val="24"/>
            <w:u w:val="single"/>
          </w:rPr>
          <w:t>https://doi.org/10.17507/tpls.1209.04</w:t>
        </w:r>
      </w:hyperlink>
    </w:p>
    <w:p w14:paraId="441BF6A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Alsamiri</w:t>
      </w:r>
      <w:proofErr w:type="spellEnd"/>
      <w:r w:rsidRPr="006504A0">
        <w:rPr>
          <w:rFonts w:ascii="Times New Roman" w:eastAsia="Times New Roman" w:hAnsi="Times New Roman" w:cs="Times New Roman"/>
          <w:sz w:val="24"/>
          <w:szCs w:val="24"/>
        </w:rPr>
        <w:t xml:space="preserve">, Y. A. (2024). </w:t>
      </w:r>
      <w:proofErr w:type="gramStart"/>
      <w:r w:rsidRPr="006504A0">
        <w:rPr>
          <w:rFonts w:ascii="Times New Roman" w:eastAsia="Times New Roman" w:hAnsi="Times New Roman" w:cs="Times New Roman"/>
          <w:sz w:val="24"/>
          <w:szCs w:val="24"/>
        </w:rPr>
        <w:t>Enhancing elementary school teachers’ competence in recognizing and supporting gifted students with learning disabilities in Saudi Arabia.</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i/>
          <w:iCs/>
          <w:sz w:val="24"/>
          <w:szCs w:val="24"/>
        </w:rPr>
        <w:t>Frontiers in Education, 9</w:t>
      </w:r>
      <w:r w:rsidRPr="006504A0">
        <w:rPr>
          <w:rFonts w:ascii="Times New Roman" w:eastAsia="Times New Roman" w:hAnsi="Times New Roman" w:cs="Times New Roman"/>
          <w:sz w:val="24"/>
          <w:szCs w:val="24"/>
        </w:rPr>
        <w:t>.</w:t>
      </w:r>
      <w:proofErr w:type="gramEnd"/>
      <w:r w:rsidRPr="006504A0">
        <w:rPr>
          <w:rFonts w:ascii="Times New Roman" w:eastAsia="Times New Roman" w:hAnsi="Times New Roman" w:cs="Times New Roman"/>
          <w:sz w:val="24"/>
          <w:szCs w:val="24"/>
        </w:rPr>
        <w:t xml:space="preserve"> </w:t>
      </w:r>
      <w:hyperlink r:id="rId15" w:tgtFrame="_new" w:history="1">
        <w:r w:rsidRPr="006504A0">
          <w:rPr>
            <w:rFonts w:ascii="Times New Roman" w:eastAsia="Times New Roman" w:hAnsi="Times New Roman" w:cs="Times New Roman"/>
            <w:color w:val="0000FF"/>
            <w:sz w:val="24"/>
            <w:szCs w:val="24"/>
            <w:u w:val="single"/>
          </w:rPr>
          <w:t>https://doi.org/10.3389/feduc.2024.1363175</w:t>
        </w:r>
      </w:hyperlink>
    </w:p>
    <w:p w14:paraId="7FD342C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504A0">
        <w:rPr>
          <w:rFonts w:ascii="Times New Roman" w:eastAsia="Times New Roman" w:hAnsi="Times New Roman" w:cs="Times New Roman"/>
          <w:sz w:val="24"/>
          <w:szCs w:val="24"/>
        </w:rPr>
        <w:t>Alshahrani</w:t>
      </w:r>
      <w:proofErr w:type="spellEnd"/>
      <w:r w:rsidRPr="006504A0">
        <w:rPr>
          <w:rFonts w:ascii="Times New Roman" w:eastAsia="Times New Roman" w:hAnsi="Times New Roman" w:cs="Times New Roman"/>
          <w:sz w:val="24"/>
          <w:szCs w:val="24"/>
        </w:rPr>
        <w:t>, B., &amp; Abu-</w:t>
      </w:r>
      <w:proofErr w:type="spellStart"/>
      <w:r w:rsidRPr="006504A0">
        <w:rPr>
          <w:rFonts w:ascii="Times New Roman" w:eastAsia="Times New Roman" w:hAnsi="Times New Roman" w:cs="Times New Roman"/>
          <w:sz w:val="24"/>
          <w:szCs w:val="24"/>
        </w:rPr>
        <w:t>Alghayth</w:t>
      </w:r>
      <w:proofErr w:type="spellEnd"/>
      <w:r w:rsidRPr="006504A0">
        <w:rPr>
          <w:rFonts w:ascii="Times New Roman" w:eastAsia="Times New Roman" w:hAnsi="Times New Roman" w:cs="Times New Roman"/>
          <w:sz w:val="24"/>
          <w:szCs w:val="24"/>
        </w:rPr>
        <w:t>, K. (2023).</w:t>
      </w:r>
      <w:proofErr w:type="gramEnd"/>
      <w:r w:rsidRPr="006504A0">
        <w:rPr>
          <w:rFonts w:ascii="Times New Roman" w:eastAsia="Times New Roman" w:hAnsi="Times New Roman" w:cs="Times New Roman"/>
          <w:sz w:val="24"/>
          <w:szCs w:val="24"/>
        </w:rPr>
        <w:t xml:space="preserve"> Teachers’ professional development for inclusive education: A perspective from Saudi Arabia. </w:t>
      </w:r>
      <w:proofErr w:type="gramStart"/>
      <w:r w:rsidRPr="006504A0">
        <w:rPr>
          <w:rFonts w:ascii="Times New Roman" w:eastAsia="Times New Roman" w:hAnsi="Times New Roman" w:cs="Times New Roman"/>
          <w:i/>
          <w:iCs/>
          <w:sz w:val="24"/>
          <w:szCs w:val="24"/>
        </w:rPr>
        <w:t>Information Sciences Letters, 12</w:t>
      </w:r>
      <w:r w:rsidRPr="006504A0">
        <w:rPr>
          <w:rFonts w:ascii="Times New Roman" w:eastAsia="Times New Roman" w:hAnsi="Times New Roman" w:cs="Times New Roman"/>
          <w:sz w:val="24"/>
          <w:szCs w:val="24"/>
        </w:rPr>
        <w:t>(3).</w:t>
      </w:r>
      <w:proofErr w:type="gramEnd"/>
    </w:p>
    <w:p w14:paraId="66B6D19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Becker, G. S. (1993). </w:t>
      </w:r>
      <w:r w:rsidRPr="006504A0">
        <w:rPr>
          <w:rFonts w:ascii="Times New Roman" w:eastAsia="Times New Roman" w:hAnsi="Times New Roman" w:cs="Times New Roman"/>
          <w:i/>
          <w:iCs/>
          <w:sz w:val="24"/>
          <w:szCs w:val="24"/>
        </w:rPr>
        <w:t>Human capital: A theoretical and empirical analysis, with special reference to education</w:t>
      </w:r>
      <w:r w:rsidRPr="006504A0">
        <w:rPr>
          <w:rFonts w:ascii="Times New Roman" w:eastAsia="Times New Roman" w:hAnsi="Times New Roman" w:cs="Times New Roman"/>
          <w:sz w:val="24"/>
          <w:szCs w:val="24"/>
        </w:rPr>
        <w:t xml:space="preserve"> (3rd </w:t>
      </w:r>
      <w:proofErr w:type="gramStart"/>
      <w:r w:rsidRPr="006504A0">
        <w:rPr>
          <w:rFonts w:ascii="Times New Roman" w:eastAsia="Times New Roman" w:hAnsi="Times New Roman" w:cs="Times New Roman"/>
          <w:sz w:val="24"/>
          <w:szCs w:val="24"/>
        </w:rPr>
        <w:t>ed</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University of Chicago Press.</w:t>
      </w:r>
      <w:proofErr w:type="gramEnd"/>
    </w:p>
    <w:p w14:paraId="0E94931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 xml:space="preserve">Darling-Hammond, L., </w:t>
      </w:r>
      <w:proofErr w:type="spellStart"/>
      <w:r w:rsidRPr="006504A0">
        <w:rPr>
          <w:rFonts w:ascii="Times New Roman" w:eastAsia="Times New Roman" w:hAnsi="Times New Roman" w:cs="Times New Roman"/>
          <w:sz w:val="24"/>
          <w:szCs w:val="24"/>
        </w:rPr>
        <w:t>Hyler</w:t>
      </w:r>
      <w:proofErr w:type="spellEnd"/>
      <w:r w:rsidRPr="006504A0">
        <w:rPr>
          <w:rFonts w:ascii="Times New Roman" w:eastAsia="Times New Roman" w:hAnsi="Times New Roman" w:cs="Times New Roman"/>
          <w:sz w:val="24"/>
          <w:szCs w:val="24"/>
        </w:rPr>
        <w:t>, M. E., &amp; Gardner, M. (2017).</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i/>
          <w:iCs/>
          <w:sz w:val="24"/>
          <w:szCs w:val="24"/>
        </w:rPr>
        <w:t>Effective teacher professional development</w:t>
      </w:r>
      <w:r w:rsidRPr="006504A0">
        <w:rPr>
          <w:rFonts w:ascii="Times New Roman" w:eastAsia="Times New Roman" w:hAnsi="Times New Roman" w:cs="Times New Roman"/>
          <w:sz w:val="24"/>
          <w:szCs w:val="24"/>
        </w:rPr>
        <w:t>.</w:t>
      </w:r>
      <w:proofErr w:type="gramEnd"/>
      <w:r w:rsidRPr="006504A0">
        <w:rPr>
          <w:rFonts w:ascii="Times New Roman" w:eastAsia="Times New Roman" w:hAnsi="Times New Roman" w:cs="Times New Roman"/>
          <w:sz w:val="24"/>
          <w:szCs w:val="24"/>
        </w:rPr>
        <w:t xml:space="preserve"> Learning Policy Institute.</w:t>
      </w:r>
    </w:p>
    <w:p w14:paraId="74DC648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Desimone</w:t>
      </w:r>
      <w:proofErr w:type="spellEnd"/>
      <w:r w:rsidRPr="006504A0">
        <w:rPr>
          <w:rFonts w:ascii="Times New Roman" w:eastAsia="Times New Roman" w:hAnsi="Times New Roman" w:cs="Times New Roman"/>
          <w:sz w:val="24"/>
          <w:szCs w:val="24"/>
        </w:rPr>
        <w:t xml:space="preserve">, L. M. (2009). Improving impact studies of teachers’ professional development: Toward better conceptualizations and measures. </w:t>
      </w:r>
      <w:r w:rsidRPr="006504A0">
        <w:rPr>
          <w:rFonts w:ascii="Times New Roman" w:eastAsia="Times New Roman" w:hAnsi="Times New Roman" w:cs="Times New Roman"/>
          <w:i/>
          <w:iCs/>
          <w:sz w:val="24"/>
          <w:szCs w:val="24"/>
        </w:rPr>
        <w:t>Educational Researcher, 38</w:t>
      </w:r>
      <w:r w:rsidRPr="006504A0">
        <w:rPr>
          <w:rFonts w:ascii="Times New Roman" w:eastAsia="Times New Roman" w:hAnsi="Times New Roman" w:cs="Times New Roman"/>
          <w:sz w:val="24"/>
          <w:szCs w:val="24"/>
        </w:rPr>
        <w:t xml:space="preserve">(3), 181–199. </w:t>
      </w:r>
      <w:hyperlink r:id="rId16" w:tgtFrame="_new" w:history="1">
        <w:r w:rsidRPr="006504A0">
          <w:rPr>
            <w:rFonts w:ascii="Times New Roman" w:eastAsia="Times New Roman" w:hAnsi="Times New Roman" w:cs="Times New Roman"/>
            <w:color w:val="0000FF"/>
            <w:sz w:val="24"/>
            <w:szCs w:val="24"/>
            <w:u w:val="single"/>
          </w:rPr>
          <w:t>https://doi.org/10.3102/0013189X08331140</w:t>
        </w:r>
      </w:hyperlink>
    </w:p>
    <w:p w14:paraId="460A44B9"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Freeman, D. (2024). </w:t>
      </w:r>
      <w:r w:rsidRPr="006504A0">
        <w:rPr>
          <w:rFonts w:ascii="Times New Roman" w:eastAsia="Times New Roman" w:hAnsi="Times New Roman" w:cs="Times New Roman"/>
          <w:i/>
          <w:iCs/>
          <w:sz w:val="24"/>
          <w:szCs w:val="24"/>
        </w:rPr>
        <w:t>Rethinking teacher professional development: Designing and researching how teachers learn</w:t>
      </w:r>
      <w:r w:rsidRPr="006504A0">
        <w:rPr>
          <w:rFonts w:ascii="Times New Roman" w:eastAsia="Times New Roman" w:hAnsi="Times New Roman" w:cs="Times New Roman"/>
          <w:sz w:val="24"/>
          <w:szCs w:val="24"/>
        </w:rPr>
        <w:t xml:space="preserve">. </w:t>
      </w:r>
      <w:proofErr w:type="spellStart"/>
      <w:proofErr w:type="gramStart"/>
      <w:r w:rsidRPr="006504A0">
        <w:rPr>
          <w:rFonts w:ascii="Times New Roman" w:eastAsia="Times New Roman" w:hAnsi="Times New Roman" w:cs="Times New Roman"/>
          <w:sz w:val="24"/>
          <w:szCs w:val="24"/>
        </w:rPr>
        <w:t>Routledge</w:t>
      </w:r>
      <w:proofErr w:type="spellEnd"/>
      <w:r w:rsidRPr="006504A0">
        <w:rPr>
          <w:rFonts w:ascii="Times New Roman" w:eastAsia="Times New Roman" w:hAnsi="Times New Roman" w:cs="Times New Roman"/>
          <w:sz w:val="24"/>
          <w:szCs w:val="24"/>
        </w:rPr>
        <w:t>.</w:t>
      </w:r>
      <w:proofErr w:type="gramEnd"/>
    </w:p>
    <w:p w14:paraId="12FB3C69"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504A0">
        <w:rPr>
          <w:rFonts w:ascii="Times New Roman" w:eastAsia="Times New Roman" w:hAnsi="Times New Roman" w:cs="Times New Roman"/>
          <w:sz w:val="24"/>
          <w:szCs w:val="24"/>
        </w:rPr>
        <w:t>Garet</w:t>
      </w:r>
      <w:proofErr w:type="spellEnd"/>
      <w:r w:rsidRPr="006504A0">
        <w:rPr>
          <w:rFonts w:ascii="Times New Roman" w:eastAsia="Times New Roman" w:hAnsi="Times New Roman" w:cs="Times New Roman"/>
          <w:sz w:val="24"/>
          <w:szCs w:val="24"/>
        </w:rPr>
        <w:t xml:space="preserve">, M. S., Porter, A. C., </w:t>
      </w:r>
      <w:proofErr w:type="spellStart"/>
      <w:r w:rsidRPr="006504A0">
        <w:rPr>
          <w:rFonts w:ascii="Times New Roman" w:eastAsia="Times New Roman" w:hAnsi="Times New Roman" w:cs="Times New Roman"/>
          <w:sz w:val="24"/>
          <w:szCs w:val="24"/>
        </w:rPr>
        <w:t>Desimone</w:t>
      </w:r>
      <w:proofErr w:type="spellEnd"/>
      <w:r w:rsidRPr="006504A0">
        <w:rPr>
          <w:rFonts w:ascii="Times New Roman" w:eastAsia="Times New Roman" w:hAnsi="Times New Roman" w:cs="Times New Roman"/>
          <w:sz w:val="24"/>
          <w:szCs w:val="24"/>
        </w:rPr>
        <w:t xml:space="preserve">, L., </w:t>
      </w:r>
      <w:proofErr w:type="spellStart"/>
      <w:r w:rsidRPr="006504A0">
        <w:rPr>
          <w:rFonts w:ascii="Times New Roman" w:eastAsia="Times New Roman" w:hAnsi="Times New Roman" w:cs="Times New Roman"/>
          <w:sz w:val="24"/>
          <w:szCs w:val="24"/>
        </w:rPr>
        <w:t>Birman</w:t>
      </w:r>
      <w:proofErr w:type="spellEnd"/>
      <w:r w:rsidRPr="006504A0">
        <w:rPr>
          <w:rFonts w:ascii="Times New Roman" w:eastAsia="Times New Roman" w:hAnsi="Times New Roman" w:cs="Times New Roman"/>
          <w:sz w:val="24"/>
          <w:szCs w:val="24"/>
        </w:rPr>
        <w:t>, B. F., &amp; Yoon, K. S. (2001).</w:t>
      </w:r>
      <w:proofErr w:type="gramEnd"/>
      <w:r w:rsidRPr="006504A0">
        <w:rPr>
          <w:rFonts w:ascii="Times New Roman" w:eastAsia="Times New Roman" w:hAnsi="Times New Roman" w:cs="Times New Roman"/>
          <w:sz w:val="24"/>
          <w:szCs w:val="24"/>
        </w:rPr>
        <w:t xml:space="preserve"> What makes professional development effective? </w:t>
      </w:r>
      <w:proofErr w:type="gramStart"/>
      <w:r w:rsidRPr="006504A0">
        <w:rPr>
          <w:rFonts w:ascii="Times New Roman" w:eastAsia="Times New Roman" w:hAnsi="Times New Roman" w:cs="Times New Roman"/>
          <w:sz w:val="24"/>
          <w:szCs w:val="24"/>
        </w:rPr>
        <w:t xml:space="preserve">Results from a national sample of </w:t>
      </w:r>
      <w:r w:rsidRPr="006504A0">
        <w:rPr>
          <w:rFonts w:ascii="Times New Roman" w:eastAsia="Times New Roman" w:hAnsi="Times New Roman" w:cs="Times New Roman"/>
          <w:sz w:val="24"/>
          <w:szCs w:val="24"/>
        </w:rPr>
        <w:lastRenderedPageBreak/>
        <w:t>teachers.</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American Educational Research Journal, 38</w:t>
      </w:r>
      <w:r w:rsidRPr="006504A0">
        <w:rPr>
          <w:rFonts w:ascii="Times New Roman" w:eastAsia="Times New Roman" w:hAnsi="Times New Roman" w:cs="Times New Roman"/>
          <w:sz w:val="24"/>
          <w:szCs w:val="24"/>
        </w:rPr>
        <w:t xml:space="preserve">(4), 915–945. </w:t>
      </w:r>
      <w:hyperlink r:id="rId17" w:tgtFrame="_new" w:history="1">
        <w:r w:rsidRPr="006504A0">
          <w:rPr>
            <w:rFonts w:ascii="Times New Roman" w:eastAsia="Times New Roman" w:hAnsi="Times New Roman" w:cs="Times New Roman"/>
            <w:color w:val="0000FF"/>
            <w:sz w:val="24"/>
            <w:szCs w:val="24"/>
            <w:u w:val="single"/>
          </w:rPr>
          <w:t>https://doi.org/10.3102/00028312038004915</w:t>
        </w:r>
      </w:hyperlink>
    </w:p>
    <w:p w14:paraId="4B493B65"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504A0">
        <w:rPr>
          <w:rFonts w:ascii="Times New Roman" w:eastAsia="Times New Roman" w:hAnsi="Times New Roman" w:cs="Times New Roman"/>
          <w:sz w:val="24"/>
          <w:szCs w:val="24"/>
        </w:rPr>
        <w:t>Ghoneim</w:t>
      </w:r>
      <w:proofErr w:type="spellEnd"/>
      <w:r w:rsidRPr="006504A0">
        <w:rPr>
          <w:rFonts w:ascii="Times New Roman" w:eastAsia="Times New Roman" w:hAnsi="Times New Roman" w:cs="Times New Roman"/>
          <w:sz w:val="24"/>
          <w:szCs w:val="24"/>
        </w:rPr>
        <w:t xml:space="preserve"> </w:t>
      </w:r>
      <w:proofErr w:type="spellStart"/>
      <w:r w:rsidRPr="006504A0">
        <w:rPr>
          <w:rFonts w:ascii="Times New Roman" w:eastAsia="Times New Roman" w:hAnsi="Times New Roman" w:cs="Times New Roman"/>
          <w:sz w:val="24"/>
          <w:szCs w:val="24"/>
        </w:rPr>
        <w:t>Sywelem</w:t>
      </w:r>
      <w:proofErr w:type="spellEnd"/>
      <w:r w:rsidRPr="006504A0">
        <w:rPr>
          <w:rFonts w:ascii="Times New Roman" w:eastAsia="Times New Roman" w:hAnsi="Times New Roman" w:cs="Times New Roman"/>
          <w:sz w:val="24"/>
          <w:szCs w:val="24"/>
        </w:rPr>
        <w:t>, M. M., &amp; Witte, J. E. (2013).</w:t>
      </w:r>
      <w:proofErr w:type="gramEnd"/>
      <w:r w:rsidRPr="006504A0">
        <w:rPr>
          <w:rFonts w:ascii="Times New Roman" w:eastAsia="Times New Roman" w:hAnsi="Times New Roman" w:cs="Times New Roman"/>
          <w:sz w:val="24"/>
          <w:szCs w:val="24"/>
        </w:rPr>
        <w:t xml:space="preserve"> Continuing professional development: Perceptions of elementary school teachers in Saudi Arabia. </w:t>
      </w:r>
      <w:r w:rsidRPr="006504A0">
        <w:rPr>
          <w:rFonts w:ascii="Times New Roman" w:eastAsia="Times New Roman" w:hAnsi="Times New Roman" w:cs="Times New Roman"/>
          <w:i/>
          <w:iCs/>
          <w:sz w:val="24"/>
          <w:szCs w:val="24"/>
        </w:rPr>
        <w:t>Journal of Modern Education Review, 3</w:t>
      </w:r>
      <w:r w:rsidRPr="006504A0">
        <w:rPr>
          <w:rFonts w:ascii="Times New Roman" w:eastAsia="Times New Roman" w:hAnsi="Times New Roman" w:cs="Times New Roman"/>
          <w:sz w:val="24"/>
          <w:szCs w:val="24"/>
        </w:rPr>
        <w:t>(12), 881–898.</w:t>
      </w:r>
    </w:p>
    <w:p w14:paraId="537874D2"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Guskey</w:t>
      </w:r>
      <w:proofErr w:type="spellEnd"/>
      <w:r w:rsidRPr="006504A0">
        <w:rPr>
          <w:rFonts w:ascii="Times New Roman" w:eastAsia="Times New Roman" w:hAnsi="Times New Roman" w:cs="Times New Roman"/>
          <w:sz w:val="24"/>
          <w:szCs w:val="24"/>
        </w:rPr>
        <w:t xml:space="preserve">, T. R. (2002). Professional development and teacher change. </w:t>
      </w:r>
      <w:r w:rsidRPr="006504A0">
        <w:rPr>
          <w:rFonts w:ascii="Times New Roman" w:eastAsia="Times New Roman" w:hAnsi="Times New Roman" w:cs="Times New Roman"/>
          <w:i/>
          <w:iCs/>
          <w:sz w:val="24"/>
          <w:szCs w:val="24"/>
        </w:rPr>
        <w:t>Teachers and Teaching, 8</w:t>
      </w:r>
      <w:r w:rsidRPr="006504A0">
        <w:rPr>
          <w:rFonts w:ascii="Times New Roman" w:eastAsia="Times New Roman" w:hAnsi="Times New Roman" w:cs="Times New Roman"/>
          <w:sz w:val="24"/>
          <w:szCs w:val="24"/>
        </w:rPr>
        <w:t xml:space="preserve">(3), 381–391. </w:t>
      </w:r>
      <w:hyperlink r:id="rId18" w:tgtFrame="_new" w:history="1">
        <w:r w:rsidRPr="006504A0">
          <w:rPr>
            <w:rFonts w:ascii="Times New Roman" w:eastAsia="Times New Roman" w:hAnsi="Times New Roman" w:cs="Times New Roman"/>
            <w:color w:val="0000FF"/>
            <w:sz w:val="24"/>
            <w:szCs w:val="24"/>
            <w:u w:val="single"/>
          </w:rPr>
          <w:t>https://doi.org/10.1080/135406002100000512</w:t>
        </w:r>
      </w:hyperlink>
    </w:p>
    <w:p w14:paraId="4F26820B"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Jamal, B., Khan, S. R., &amp; Shah, S. A. (2023).</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Teachers' training impact on teachers' professional development at primary school level.</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Global Social Sciences Review, 8</w:t>
      </w:r>
      <w:r w:rsidRPr="006504A0">
        <w:rPr>
          <w:rFonts w:ascii="Times New Roman" w:eastAsia="Times New Roman" w:hAnsi="Times New Roman" w:cs="Times New Roman"/>
          <w:sz w:val="24"/>
          <w:szCs w:val="24"/>
        </w:rPr>
        <w:t xml:space="preserve">(2), 324–330. </w:t>
      </w:r>
      <w:hyperlink r:id="rId19" w:tgtFrame="_new" w:history="1">
        <w:r w:rsidRPr="006504A0">
          <w:rPr>
            <w:rFonts w:ascii="Times New Roman" w:eastAsia="Times New Roman" w:hAnsi="Times New Roman" w:cs="Times New Roman"/>
            <w:color w:val="0000FF"/>
            <w:sz w:val="24"/>
            <w:szCs w:val="24"/>
            <w:u w:val="single"/>
          </w:rPr>
          <w:t>https://doi.org/10.31703/gssr.2023(VIII-II).29</w:t>
        </w:r>
      </w:hyperlink>
    </w:p>
    <w:p w14:paraId="1357AD1A"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Joyce, B., &amp; Showers, B. (2002).</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Student achievement through staff development</w:t>
      </w:r>
      <w:r w:rsidRPr="006504A0">
        <w:rPr>
          <w:rFonts w:ascii="Times New Roman" w:eastAsia="Times New Roman" w:hAnsi="Times New Roman" w:cs="Times New Roman"/>
          <w:sz w:val="24"/>
          <w:szCs w:val="24"/>
        </w:rPr>
        <w:t xml:space="preserve"> (3rd </w:t>
      </w:r>
      <w:proofErr w:type="gramStart"/>
      <w:r w:rsidRPr="006504A0">
        <w:rPr>
          <w:rFonts w:ascii="Times New Roman" w:eastAsia="Times New Roman" w:hAnsi="Times New Roman" w:cs="Times New Roman"/>
          <w:sz w:val="24"/>
          <w:szCs w:val="24"/>
        </w:rPr>
        <w:t>ed</w:t>
      </w:r>
      <w:proofErr w:type="gramEnd"/>
      <w:r w:rsidRPr="006504A0">
        <w:rPr>
          <w:rFonts w:ascii="Times New Roman" w:eastAsia="Times New Roman" w:hAnsi="Times New Roman" w:cs="Times New Roman"/>
          <w:sz w:val="24"/>
          <w:szCs w:val="24"/>
        </w:rPr>
        <w:t xml:space="preserve">.). </w:t>
      </w:r>
      <w:proofErr w:type="spellStart"/>
      <w:proofErr w:type="gramStart"/>
      <w:r w:rsidRPr="006504A0">
        <w:rPr>
          <w:rFonts w:ascii="Times New Roman" w:eastAsia="Times New Roman" w:hAnsi="Times New Roman" w:cs="Times New Roman"/>
          <w:sz w:val="24"/>
          <w:szCs w:val="24"/>
        </w:rPr>
        <w:t>ASCD</w:t>
      </w:r>
      <w:proofErr w:type="spellEnd"/>
      <w:r w:rsidRPr="006504A0">
        <w:rPr>
          <w:rFonts w:ascii="Times New Roman" w:eastAsia="Times New Roman" w:hAnsi="Times New Roman" w:cs="Times New Roman"/>
          <w:sz w:val="24"/>
          <w:szCs w:val="24"/>
        </w:rPr>
        <w:t>.</w:t>
      </w:r>
      <w:proofErr w:type="gramEnd"/>
    </w:p>
    <w:p w14:paraId="25986E6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Khine</w:t>
      </w:r>
      <w:proofErr w:type="spellEnd"/>
      <w:r w:rsidRPr="006504A0">
        <w:rPr>
          <w:rFonts w:ascii="Times New Roman" w:eastAsia="Times New Roman" w:hAnsi="Times New Roman" w:cs="Times New Roman"/>
          <w:sz w:val="24"/>
          <w:szCs w:val="24"/>
        </w:rPr>
        <w:t xml:space="preserve">, M. S. (Ed.). (2022). </w:t>
      </w:r>
      <w:r w:rsidRPr="006504A0">
        <w:rPr>
          <w:rFonts w:ascii="Times New Roman" w:eastAsia="Times New Roman" w:hAnsi="Times New Roman" w:cs="Times New Roman"/>
          <w:i/>
          <w:iCs/>
          <w:sz w:val="24"/>
          <w:szCs w:val="24"/>
        </w:rPr>
        <w:t>Handbook of research on teacher education: Pedagogical innovations and practices in the Middle East</w:t>
      </w:r>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Springer Nature.</w:t>
      </w:r>
      <w:proofErr w:type="gramEnd"/>
    </w:p>
    <w:p w14:paraId="63D0227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Krejcie</w:t>
      </w:r>
      <w:proofErr w:type="spellEnd"/>
      <w:r w:rsidRPr="006504A0">
        <w:rPr>
          <w:rFonts w:ascii="Times New Roman" w:eastAsia="Times New Roman" w:hAnsi="Times New Roman" w:cs="Times New Roman"/>
          <w:sz w:val="24"/>
          <w:szCs w:val="24"/>
        </w:rPr>
        <w:t xml:space="preserve">, R. V., &amp; Morgan, D. W. (1970). </w:t>
      </w:r>
      <w:proofErr w:type="gramStart"/>
      <w:r w:rsidRPr="006504A0">
        <w:rPr>
          <w:rFonts w:ascii="Times New Roman" w:eastAsia="Times New Roman" w:hAnsi="Times New Roman" w:cs="Times New Roman"/>
          <w:sz w:val="24"/>
          <w:szCs w:val="24"/>
        </w:rPr>
        <w:t>Determining sample size for research activities.</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Educational and Psychological Measurement, 30</w:t>
      </w:r>
      <w:r w:rsidRPr="006504A0">
        <w:rPr>
          <w:rFonts w:ascii="Times New Roman" w:eastAsia="Times New Roman" w:hAnsi="Times New Roman" w:cs="Times New Roman"/>
          <w:sz w:val="24"/>
          <w:szCs w:val="24"/>
        </w:rPr>
        <w:t>(3), 607–610.</w:t>
      </w:r>
    </w:p>
    <w:p w14:paraId="42C7CA4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OECD.</w:t>
      </w:r>
      <w:proofErr w:type="gramEnd"/>
      <w:r w:rsidRPr="006504A0">
        <w:rPr>
          <w:rFonts w:ascii="Times New Roman" w:eastAsia="Times New Roman" w:hAnsi="Times New Roman" w:cs="Times New Roman"/>
          <w:sz w:val="24"/>
          <w:szCs w:val="24"/>
        </w:rPr>
        <w:t xml:space="preserve"> (2019). </w:t>
      </w:r>
      <w:proofErr w:type="spellStart"/>
      <w:r w:rsidRPr="006504A0">
        <w:rPr>
          <w:rFonts w:ascii="Times New Roman" w:eastAsia="Times New Roman" w:hAnsi="Times New Roman" w:cs="Times New Roman"/>
          <w:i/>
          <w:iCs/>
          <w:sz w:val="24"/>
          <w:szCs w:val="24"/>
        </w:rPr>
        <w:t>TALIS</w:t>
      </w:r>
      <w:proofErr w:type="spellEnd"/>
      <w:r w:rsidRPr="006504A0">
        <w:rPr>
          <w:rFonts w:ascii="Times New Roman" w:eastAsia="Times New Roman" w:hAnsi="Times New Roman" w:cs="Times New Roman"/>
          <w:i/>
          <w:iCs/>
          <w:sz w:val="24"/>
          <w:szCs w:val="24"/>
        </w:rPr>
        <w:t xml:space="preserve"> 2018 results (Volume I): Teachers and school leaders as lifelong learners</w:t>
      </w:r>
      <w:r w:rsidRPr="006504A0">
        <w:rPr>
          <w:rFonts w:ascii="Times New Roman" w:eastAsia="Times New Roman" w:hAnsi="Times New Roman" w:cs="Times New Roman"/>
          <w:sz w:val="24"/>
          <w:szCs w:val="24"/>
        </w:rPr>
        <w:t xml:space="preserve">. OECD Publishing. </w:t>
      </w:r>
      <w:hyperlink r:id="rId20" w:tgtFrame="_new" w:history="1">
        <w:r w:rsidRPr="006504A0">
          <w:rPr>
            <w:rFonts w:ascii="Times New Roman" w:eastAsia="Times New Roman" w:hAnsi="Times New Roman" w:cs="Times New Roman"/>
            <w:color w:val="0000FF"/>
            <w:sz w:val="24"/>
            <w:szCs w:val="24"/>
            <w:u w:val="single"/>
          </w:rPr>
          <w:t>https://doi.org/10.1787/1d0bc92a-en</w:t>
        </w:r>
      </w:hyperlink>
    </w:p>
    <w:p w14:paraId="05A91BA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Shulman, L. S. (1986). Those who understand: Knowledge growth in teaching. </w:t>
      </w:r>
      <w:r w:rsidRPr="006504A0">
        <w:rPr>
          <w:rFonts w:ascii="Times New Roman" w:eastAsia="Times New Roman" w:hAnsi="Times New Roman" w:cs="Times New Roman"/>
          <w:i/>
          <w:iCs/>
          <w:sz w:val="24"/>
          <w:szCs w:val="24"/>
        </w:rPr>
        <w:t>Educational Researcher, 15</w:t>
      </w:r>
      <w:r w:rsidRPr="006504A0">
        <w:rPr>
          <w:rFonts w:ascii="Times New Roman" w:eastAsia="Times New Roman" w:hAnsi="Times New Roman" w:cs="Times New Roman"/>
          <w:sz w:val="24"/>
          <w:szCs w:val="24"/>
        </w:rPr>
        <w:t xml:space="preserve">(2), 4–14. </w:t>
      </w:r>
      <w:hyperlink r:id="rId21" w:tgtFrame="_new" w:history="1">
        <w:r w:rsidRPr="006504A0">
          <w:rPr>
            <w:rFonts w:ascii="Times New Roman" w:eastAsia="Times New Roman" w:hAnsi="Times New Roman" w:cs="Times New Roman"/>
            <w:color w:val="0000FF"/>
            <w:sz w:val="24"/>
            <w:szCs w:val="24"/>
            <w:u w:val="single"/>
          </w:rPr>
          <w:t>https://doi.org/10.3102/0013189X015002004</w:t>
        </w:r>
      </w:hyperlink>
    </w:p>
    <w:p w14:paraId="4397BA0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Slovin</w:t>
      </w:r>
      <w:proofErr w:type="spellEnd"/>
      <w:r w:rsidRPr="006504A0">
        <w:rPr>
          <w:rFonts w:ascii="Times New Roman" w:eastAsia="Times New Roman" w:hAnsi="Times New Roman" w:cs="Times New Roman"/>
          <w:sz w:val="24"/>
          <w:szCs w:val="24"/>
        </w:rPr>
        <w:t xml:space="preserve">, E. (1960). </w:t>
      </w:r>
      <w:proofErr w:type="gramStart"/>
      <w:r w:rsidRPr="006504A0">
        <w:rPr>
          <w:rFonts w:ascii="Times New Roman" w:eastAsia="Times New Roman" w:hAnsi="Times New Roman" w:cs="Times New Roman"/>
          <w:i/>
          <w:iCs/>
          <w:sz w:val="24"/>
          <w:szCs w:val="24"/>
        </w:rPr>
        <w:t>Formula for calculating sample size</w:t>
      </w:r>
      <w:r w:rsidRPr="006504A0">
        <w:rPr>
          <w:rFonts w:ascii="Times New Roman" w:eastAsia="Times New Roman" w:hAnsi="Times New Roman" w:cs="Times New Roman"/>
          <w:sz w:val="24"/>
          <w:szCs w:val="24"/>
        </w:rPr>
        <w:t xml:space="preserve"> (Unpublished manuscript).</w:t>
      </w:r>
      <w:proofErr w:type="gramEnd"/>
    </w:p>
    <w:p w14:paraId="58C9F7A8" w14:textId="77777777" w:rsidR="006504A0" w:rsidRPr="006504A0" w:rsidRDefault="006504A0" w:rsidP="006504A0">
      <w:pPr>
        <w:spacing w:after="200" w:line="360" w:lineRule="auto"/>
        <w:jc w:val="both"/>
        <w:rPr>
          <w:rFonts w:ascii="Traditional Arabic" w:eastAsia="Calibri" w:hAnsi="Traditional Arabic" w:cs="Traditional Arabic"/>
          <w:b/>
          <w:bCs/>
          <w:sz w:val="40"/>
          <w:szCs w:val="40"/>
          <w:shd w:val="clear" w:color="auto" w:fill="FFFFFF"/>
          <w:rtl/>
        </w:rPr>
      </w:pPr>
    </w:p>
    <w:p w14:paraId="0739AFE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1CCC9C"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2AE26B45"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39ED7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sectPr w:rsidR="0049674D" w:rsidSect="00395E1F">
      <w:headerReference w:type="even" r:id="rId22"/>
      <w:headerReference w:type="default" r:id="rId23"/>
      <w:footerReference w:type="default" r:id="rId24"/>
      <w:headerReference w:type="first" r:id="rId25"/>
      <w:footerReference w:type="first" r:id="rId2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7C8861" w14:textId="77777777" w:rsidR="00337E05" w:rsidRDefault="00337E05" w:rsidP="00F628F0">
      <w:pPr>
        <w:spacing w:after="0" w:line="240" w:lineRule="auto"/>
      </w:pPr>
      <w:r>
        <w:separator/>
      </w:r>
    </w:p>
  </w:endnote>
  <w:endnote w:type="continuationSeparator" w:id="0">
    <w:p w14:paraId="77F7DA8A" w14:textId="77777777" w:rsidR="00337E05" w:rsidRDefault="00337E0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976DAD" w:rsidRDefault="00976DAD">
        <w:pPr>
          <w:pStyle w:val="a5"/>
          <w:jc w:val="center"/>
        </w:pPr>
        <w:r>
          <w:fldChar w:fldCharType="begin"/>
        </w:r>
        <w:r>
          <w:instrText xml:space="preserve"> PAGE   \* MERGEFORMAT </w:instrText>
        </w:r>
        <w:r>
          <w:fldChar w:fldCharType="separate"/>
        </w:r>
        <w:r w:rsidR="00DD6416">
          <w:rPr>
            <w:noProof/>
          </w:rPr>
          <w:t>2</w:t>
        </w:r>
        <w:r>
          <w:rPr>
            <w:noProof/>
          </w:rPr>
          <w:fldChar w:fldCharType="end"/>
        </w:r>
      </w:p>
    </w:sdtContent>
  </w:sdt>
  <w:p w14:paraId="3C32CE70" w14:textId="77777777" w:rsidR="00976DAD" w:rsidRDefault="00976DA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976DAD" w:rsidRDefault="00976DAD">
        <w:pPr>
          <w:pStyle w:val="a5"/>
          <w:jc w:val="center"/>
        </w:pPr>
        <w:r>
          <w:fldChar w:fldCharType="begin"/>
        </w:r>
        <w:r>
          <w:instrText xml:space="preserve"> PAGE   \* MERGEFORMAT </w:instrText>
        </w:r>
        <w:r>
          <w:fldChar w:fldCharType="separate"/>
        </w:r>
        <w:r w:rsidR="00DD6416">
          <w:rPr>
            <w:noProof/>
          </w:rPr>
          <w:t>1</w:t>
        </w:r>
        <w:r>
          <w:rPr>
            <w:noProof/>
          </w:rPr>
          <w:fldChar w:fldCharType="end"/>
        </w:r>
      </w:p>
    </w:sdtContent>
  </w:sdt>
  <w:p w14:paraId="5439C2AC" w14:textId="77777777" w:rsidR="00976DAD" w:rsidRDefault="00976DA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976DAD" w:rsidRDefault="00976DAD">
        <w:pPr>
          <w:pStyle w:val="a5"/>
          <w:jc w:val="center"/>
        </w:pPr>
        <w:r>
          <w:fldChar w:fldCharType="begin"/>
        </w:r>
        <w:r>
          <w:instrText xml:space="preserve"> PAGE   \* MERGEFORMAT </w:instrText>
        </w:r>
        <w:r>
          <w:fldChar w:fldCharType="separate"/>
        </w:r>
        <w:r w:rsidR="00DD6416">
          <w:rPr>
            <w:noProof/>
          </w:rPr>
          <w:t>53</w:t>
        </w:r>
        <w:r>
          <w:rPr>
            <w:noProof/>
          </w:rPr>
          <w:fldChar w:fldCharType="end"/>
        </w:r>
      </w:p>
    </w:sdtContent>
  </w:sdt>
  <w:p w14:paraId="3B85871D" w14:textId="77777777" w:rsidR="00976DAD" w:rsidRDefault="00976DAD">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976DAD" w:rsidRPr="00883E09" w:rsidRDefault="00976DAD"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B14323" w14:textId="77777777" w:rsidR="00337E05" w:rsidRDefault="00337E05" w:rsidP="00F628F0">
      <w:pPr>
        <w:spacing w:after="0" w:line="240" w:lineRule="auto"/>
      </w:pPr>
      <w:r>
        <w:separator/>
      </w:r>
    </w:p>
  </w:footnote>
  <w:footnote w:type="continuationSeparator" w:id="0">
    <w:p w14:paraId="55BE22B0" w14:textId="77777777" w:rsidR="00337E05" w:rsidRDefault="00337E05"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976DAD" w:rsidRDefault="00976DA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976DAD" w:rsidRDefault="00976DA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976DAD" w:rsidRDefault="00976DA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3E9"/>
    <w:multiLevelType w:val="hybridMultilevel"/>
    <w:tmpl w:val="046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F41CC"/>
    <w:multiLevelType w:val="hybridMultilevel"/>
    <w:tmpl w:val="CD5A8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21962"/>
    <w:multiLevelType w:val="multilevel"/>
    <w:tmpl w:val="F5AE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7C82ACB"/>
    <w:multiLevelType w:val="hybridMultilevel"/>
    <w:tmpl w:val="D1FE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B84B5B"/>
    <w:multiLevelType w:val="hybridMultilevel"/>
    <w:tmpl w:val="F8C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B77422"/>
    <w:multiLevelType w:val="hybridMultilevel"/>
    <w:tmpl w:val="A6EE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9A5392"/>
    <w:multiLevelType w:val="multilevel"/>
    <w:tmpl w:val="C046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17">
    <w:nsid w:val="5FF87A99"/>
    <w:multiLevelType w:val="hybridMultilevel"/>
    <w:tmpl w:val="4846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F9189B"/>
    <w:multiLevelType w:val="hybridMultilevel"/>
    <w:tmpl w:val="4DBE0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
  </w:num>
  <w:num w:numId="3">
    <w:abstractNumId w:val="3"/>
  </w:num>
  <w:num w:numId="4">
    <w:abstractNumId w:val="22"/>
  </w:num>
  <w:num w:numId="5">
    <w:abstractNumId w:val="13"/>
  </w:num>
  <w:num w:numId="6">
    <w:abstractNumId w:val="2"/>
  </w:num>
  <w:num w:numId="7">
    <w:abstractNumId w:val="5"/>
  </w:num>
  <w:num w:numId="8">
    <w:abstractNumId w:val="8"/>
  </w:num>
  <w:num w:numId="9">
    <w:abstractNumId w:val="21"/>
  </w:num>
  <w:num w:numId="10">
    <w:abstractNumId w:val="16"/>
  </w:num>
  <w:num w:numId="11">
    <w:abstractNumId w:val="1"/>
  </w:num>
  <w:num w:numId="12">
    <w:abstractNumId w:val="15"/>
  </w:num>
  <w:num w:numId="13">
    <w:abstractNumId w:val="19"/>
  </w:num>
  <w:num w:numId="14">
    <w:abstractNumId w:val="11"/>
  </w:num>
  <w:num w:numId="15">
    <w:abstractNumId w:val="20"/>
  </w:num>
  <w:num w:numId="16">
    <w:abstractNumId w:val="9"/>
  </w:num>
  <w:num w:numId="17">
    <w:abstractNumId w:val="0"/>
  </w:num>
  <w:num w:numId="18">
    <w:abstractNumId w:val="4"/>
  </w:num>
  <w:num w:numId="19">
    <w:abstractNumId w:val="14"/>
  </w:num>
  <w:num w:numId="20">
    <w:abstractNumId w:val="12"/>
  </w:num>
  <w:num w:numId="21">
    <w:abstractNumId w:val="17"/>
  </w:num>
  <w:num w:numId="22">
    <w:abstractNumId w:val="18"/>
  </w:num>
  <w:num w:numId="2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4BA5"/>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5F39"/>
    <w:rsid w:val="002267E3"/>
    <w:rsid w:val="00231AB1"/>
    <w:rsid w:val="00232A16"/>
    <w:rsid w:val="0024045F"/>
    <w:rsid w:val="00250CC6"/>
    <w:rsid w:val="00251580"/>
    <w:rsid w:val="002517C5"/>
    <w:rsid w:val="00257F01"/>
    <w:rsid w:val="002610EF"/>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BD6"/>
    <w:rsid w:val="00322CDE"/>
    <w:rsid w:val="003235C8"/>
    <w:rsid w:val="003317DE"/>
    <w:rsid w:val="00333FF1"/>
    <w:rsid w:val="00334002"/>
    <w:rsid w:val="00337E05"/>
    <w:rsid w:val="00343773"/>
    <w:rsid w:val="00356156"/>
    <w:rsid w:val="00360A3F"/>
    <w:rsid w:val="00364C07"/>
    <w:rsid w:val="003656EC"/>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582E"/>
    <w:rsid w:val="00416CC9"/>
    <w:rsid w:val="0042549A"/>
    <w:rsid w:val="00426D93"/>
    <w:rsid w:val="00430A78"/>
    <w:rsid w:val="00431498"/>
    <w:rsid w:val="0043449E"/>
    <w:rsid w:val="00436873"/>
    <w:rsid w:val="00436B59"/>
    <w:rsid w:val="004413CD"/>
    <w:rsid w:val="0044258D"/>
    <w:rsid w:val="00443A60"/>
    <w:rsid w:val="00444B1D"/>
    <w:rsid w:val="00444B3C"/>
    <w:rsid w:val="0044788D"/>
    <w:rsid w:val="00447A5B"/>
    <w:rsid w:val="00447BBB"/>
    <w:rsid w:val="0045129A"/>
    <w:rsid w:val="00454375"/>
    <w:rsid w:val="00456C07"/>
    <w:rsid w:val="00466097"/>
    <w:rsid w:val="004664EA"/>
    <w:rsid w:val="00473518"/>
    <w:rsid w:val="00473F99"/>
    <w:rsid w:val="00475BBF"/>
    <w:rsid w:val="00476433"/>
    <w:rsid w:val="00485BD0"/>
    <w:rsid w:val="00486B51"/>
    <w:rsid w:val="00487152"/>
    <w:rsid w:val="00487F47"/>
    <w:rsid w:val="00492E40"/>
    <w:rsid w:val="0049674D"/>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D4EED"/>
    <w:rsid w:val="005D60BE"/>
    <w:rsid w:val="005E1A75"/>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04A0"/>
    <w:rsid w:val="0065187E"/>
    <w:rsid w:val="00655684"/>
    <w:rsid w:val="0065664D"/>
    <w:rsid w:val="00661A1D"/>
    <w:rsid w:val="00662D5A"/>
    <w:rsid w:val="00667BBF"/>
    <w:rsid w:val="006731F3"/>
    <w:rsid w:val="00676B85"/>
    <w:rsid w:val="006849A3"/>
    <w:rsid w:val="00685EA7"/>
    <w:rsid w:val="00687F77"/>
    <w:rsid w:val="006907A8"/>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043AB"/>
    <w:rsid w:val="00911D75"/>
    <w:rsid w:val="0091315E"/>
    <w:rsid w:val="009139AE"/>
    <w:rsid w:val="0091579E"/>
    <w:rsid w:val="00916122"/>
    <w:rsid w:val="00917C97"/>
    <w:rsid w:val="00920354"/>
    <w:rsid w:val="00922314"/>
    <w:rsid w:val="00930A75"/>
    <w:rsid w:val="0093756B"/>
    <w:rsid w:val="00937A35"/>
    <w:rsid w:val="009400C2"/>
    <w:rsid w:val="00940D4F"/>
    <w:rsid w:val="009462FA"/>
    <w:rsid w:val="009474D8"/>
    <w:rsid w:val="009505DD"/>
    <w:rsid w:val="00954973"/>
    <w:rsid w:val="00955905"/>
    <w:rsid w:val="00955CE1"/>
    <w:rsid w:val="00955E14"/>
    <w:rsid w:val="00956806"/>
    <w:rsid w:val="00962E14"/>
    <w:rsid w:val="00964790"/>
    <w:rsid w:val="0096761A"/>
    <w:rsid w:val="009705B3"/>
    <w:rsid w:val="00971016"/>
    <w:rsid w:val="00976DAD"/>
    <w:rsid w:val="0098132D"/>
    <w:rsid w:val="009813A6"/>
    <w:rsid w:val="009827CE"/>
    <w:rsid w:val="00983AC0"/>
    <w:rsid w:val="00986693"/>
    <w:rsid w:val="009A1384"/>
    <w:rsid w:val="009B595E"/>
    <w:rsid w:val="009B7B1F"/>
    <w:rsid w:val="009B7DC9"/>
    <w:rsid w:val="009C2244"/>
    <w:rsid w:val="009C3C7B"/>
    <w:rsid w:val="009C3CD5"/>
    <w:rsid w:val="009D1D31"/>
    <w:rsid w:val="009D30C0"/>
    <w:rsid w:val="009D3949"/>
    <w:rsid w:val="009D5B9E"/>
    <w:rsid w:val="009E023E"/>
    <w:rsid w:val="009E0862"/>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3BD3"/>
    <w:rsid w:val="00A73F98"/>
    <w:rsid w:val="00A74A2B"/>
    <w:rsid w:val="00A7525C"/>
    <w:rsid w:val="00A75511"/>
    <w:rsid w:val="00A77B25"/>
    <w:rsid w:val="00A83153"/>
    <w:rsid w:val="00A86BA9"/>
    <w:rsid w:val="00A8785A"/>
    <w:rsid w:val="00A90432"/>
    <w:rsid w:val="00A92BD3"/>
    <w:rsid w:val="00A92C71"/>
    <w:rsid w:val="00AA29C0"/>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13ACD"/>
    <w:rsid w:val="00B146C0"/>
    <w:rsid w:val="00B220D0"/>
    <w:rsid w:val="00B32E4E"/>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26EC1"/>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7903"/>
    <w:rsid w:val="00DD4E9D"/>
    <w:rsid w:val="00DD6416"/>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72401"/>
    <w:rsid w:val="00E9009E"/>
    <w:rsid w:val="00E96185"/>
    <w:rsid w:val="00EA0044"/>
    <w:rsid w:val="00EA25DE"/>
    <w:rsid w:val="00EA2C08"/>
    <w:rsid w:val="00EA4081"/>
    <w:rsid w:val="00EA69AC"/>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41960"/>
    <w:rsid w:val="00F43BA7"/>
    <w:rsid w:val="00F4536C"/>
    <w:rsid w:val="00F55531"/>
    <w:rsid w:val="00F55B8F"/>
    <w:rsid w:val="00F55E7B"/>
    <w:rsid w:val="00F5781A"/>
    <w:rsid w:val="00F601F6"/>
    <w:rsid w:val="00F628F0"/>
    <w:rsid w:val="00F65912"/>
    <w:rsid w:val="00F700E3"/>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E6D4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517287">
      <w:bodyDiv w:val="1"/>
      <w:marLeft w:val="0"/>
      <w:marRight w:val="0"/>
      <w:marTop w:val="0"/>
      <w:marBottom w:val="0"/>
      <w:divBdr>
        <w:top w:val="none" w:sz="0" w:space="0" w:color="auto"/>
        <w:left w:val="none" w:sz="0" w:space="0" w:color="auto"/>
        <w:bottom w:val="none" w:sz="0" w:space="0" w:color="auto"/>
        <w:right w:val="none" w:sz="0" w:space="0" w:color="auto"/>
      </w:divBdr>
    </w:div>
    <w:div w:id="218281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8555078">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728615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4428899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676958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6501011">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4859">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584668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75292476">
      <w:bodyDiv w:val="1"/>
      <w:marLeft w:val="0"/>
      <w:marRight w:val="0"/>
      <w:marTop w:val="0"/>
      <w:marBottom w:val="0"/>
      <w:divBdr>
        <w:top w:val="none" w:sz="0" w:space="0" w:color="auto"/>
        <w:left w:val="none" w:sz="0" w:space="0" w:color="auto"/>
        <w:bottom w:val="none" w:sz="0" w:space="0" w:color="auto"/>
        <w:right w:val="none" w:sz="0" w:space="0" w:color="auto"/>
      </w:divBdr>
      <w:divsChild>
        <w:div w:id="132914276">
          <w:marLeft w:val="0"/>
          <w:marRight w:val="0"/>
          <w:marTop w:val="0"/>
          <w:marBottom w:val="0"/>
          <w:divBdr>
            <w:top w:val="none" w:sz="0" w:space="0" w:color="auto"/>
            <w:left w:val="none" w:sz="0" w:space="0" w:color="auto"/>
            <w:bottom w:val="none" w:sz="0" w:space="0" w:color="auto"/>
            <w:right w:val="none" w:sz="0" w:space="0" w:color="auto"/>
          </w:divBdr>
          <w:divsChild>
            <w:div w:id="508065951">
              <w:marLeft w:val="0"/>
              <w:marRight w:val="0"/>
              <w:marTop w:val="0"/>
              <w:marBottom w:val="0"/>
              <w:divBdr>
                <w:top w:val="none" w:sz="0" w:space="0" w:color="auto"/>
                <w:left w:val="none" w:sz="0" w:space="0" w:color="auto"/>
                <w:bottom w:val="none" w:sz="0" w:space="0" w:color="auto"/>
                <w:right w:val="none" w:sz="0" w:space="0" w:color="auto"/>
              </w:divBdr>
              <w:divsChild>
                <w:div w:id="1875803549">
                  <w:marLeft w:val="0"/>
                  <w:marRight w:val="0"/>
                  <w:marTop w:val="0"/>
                  <w:marBottom w:val="0"/>
                  <w:divBdr>
                    <w:top w:val="none" w:sz="0" w:space="0" w:color="auto"/>
                    <w:left w:val="none" w:sz="0" w:space="0" w:color="auto"/>
                    <w:bottom w:val="none" w:sz="0" w:space="0" w:color="auto"/>
                    <w:right w:val="none" w:sz="0" w:space="0" w:color="auto"/>
                  </w:divBdr>
                  <w:divsChild>
                    <w:div w:id="1612275812">
                      <w:marLeft w:val="0"/>
                      <w:marRight w:val="0"/>
                      <w:marTop w:val="0"/>
                      <w:marBottom w:val="0"/>
                      <w:divBdr>
                        <w:top w:val="none" w:sz="0" w:space="0" w:color="auto"/>
                        <w:left w:val="none" w:sz="0" w:space="0" w:color="auto"/>
                        <w:bottom w:val="none" w:sz="0" w:space="0" w:color="auto"/>
                        <w:right w:val="none" w:sz="0" w:space="0" w:color="auto"/>
                      </w:divBdr>
                      <w:divsChild>
                        <w:div w:id="489292329">
                          <w:marLeft w:val="0"/>
                          <w:marRight w:val="0"/>
                          <w:marTop w:val="0"/>
                          <w:marBottom w:val="0"/>
                          <w:divBdr>
                            <w:top w:val="none" w:sz="0" w:space="0" w:color="auto"/>
                            <w:left w:val="none" w:sz="0" w:space="0" w:color="auto"/>
                            <w:bottom w:val="none" w:sz="0" w:space="0" w:color="auto"/>
                            <w:right w:val="none" w:sz="0" w:space="0" w:color="auto"/>
                          </w:divBdr>
                          <w:divsChild>
                            <w:div w:id="442459944">
                              <w:marLeft w:val="0"/>
                              <w:marRight w:val="0"/>
                              <w:marTop w:val="0"/>
                              <w:marBottom w:val="0"/>
                              <w:divBdr>
                                <w:top w:val="none" w:sz="0" w:space="0" w:color="auto"/>
                                <w:left w:val="none" w:sz="0" w:space="0" w:color="auto"/>
                                <w:bottom w:val="none" w:sz="0" w:space="0" w:color="auto"/>
                                <w:right w:val="none" w:sz="0" w:space="0" w:color="auto"/>
                              </w:divBdr>
                              <w:divsChild>
                                <w:div w:id="1023365615">
                                  <w:marLeft w:val="0"/>
                                  <w:marRight w:val="0"/>
                                  <w:marTop w:val="0"/>
                                  <w:marBottom w:val="0"/>
                                  <w:divBdr>
                                    <w:top w:val="none" w:sz="0" w:space="0" w:color="auto"/>
                                    <w:left w:val="none" w:sz="0" w:space="0" w:color="auto"/>
                                    <w:bottom w:val="none" w:sz="0" w:space="0" w:color="auto"/>
                                    <w:right w:val="none" w:sz="0" w:space="0" w:color="auto"/>
                                  </w:divBdr>
                                  <w:divsChild>
                                    <w:div w:id="1208034218">
                                      <w:marLeft w:val="0"/>
                                      <w:marRight w:val="0"/>
                                      <w:marTop w:val="0"/>
                                      <w:marBottom w:val="0"/>
                                      <w:divBdr>
                                        <w:top w:val="none" w:sz="0" w:space="0" w:color="auto"/>
                                        <w:left w:val="none" w:sz="0" w:space="0" w:color="auto"/>
                                        <w:bottom w:val="none" w:sz="0" w:space="0" w:color="auto"/>
                                        <w:right w:val="none" w:sz="0" w:space="0" w:color="auto"/>
                                      </w:divBdr>
                                      <w:divsChild>
                                        <w:div w:id="567695565">
                                          <w:marLeft w:val="0"/>
                                          <w:marRight w:val="0"/>
                                          <w:marTop w:val="0"/>
                                          <w:marBottom w:val="0"/>
                                          <w:divBdr>
                                            <w:top w:val="none" w:sz="0" w:space="0" w:color="auto"/>
                                            <w:left w:val="none" w:sz="0" w:space="0" w:color="auto"/>
                                            <w:bottom w:val="none" w:sz="0" w:space="0" w:color="auto"/>
                                            <w:right w:val="none" w:sz="0" w:space="0" w:color="auto"/>
                                          </w:divBdr>
                                          <w:divsChild>
                                            <w:div w:id="2108841831">
                                              <w:marLeft w:val="0"/>
                                              <w:marRight w:val="0"/>
                                              <w:marTop w:val="0"/>
                                              <w:marBottom w:val="0"/>
                                              <w:divBdr>
                                                <w:top w:val="none" w:sz="0" w:space="0" w:color="auto"/>
                                                <w:left w:val="none" w:sz="0" w:space="0" w:color="auto"/>
                                                <w:bottom w:val="none" w:sz="0" w:space="0" w:color="auto"/>
                                                <w:right w:val="none" w:sz="0" w:space="0" w:color="auto"/>
                                              </w:divBdr>
                                              <w:divsChild>
                                                <w:div w:id="798183403">
                                                  <w:marLeft w:val="0"/>
                                                  <w:marRight w:val="0"/>
                                                  <w:marTop w:val="0"/>
                                                  <w:marBottom w:val="0"/>
                                                  <w:divBdr>
                                                    <w:top w:val="none" w:sz="0" w:space="0" w:color="auto"/>
                                                    <w:left w:val="none" w:sz="0" w:space="0" w:color="auto"/>
                                                    <w:bottom w:val="none" w:sz="0" w:space="0" w:color="auto"/>
                                                    <w:right w:val="none" w:sz="0" w:space="0" w:color="auto"/>
                                                  </w:divBdr>
                                                  <w:divsChild>
                                                    <w:div w:id="1987200216">
                                                      <w:marLeft w:val="0"/>
                                                      <w:marRight w:val="0"/>
                                                      <w:marTop w:val="0"/>
                                                      <w:marBottom w:val="0"/>
                                                      <w:divBdr>
                                                        <w:top w:val="none" w:sz="0" w:space="0" w:color="auto"/>
                                                        <w:left w:val="none" w:sz="0" w:space="0" w:color="auto"/>
                                                        <w:bottom w:val="none" w:sz="0" w:space="0" w:color="auto"/>
                                                        <w:right w:val="none" w:sz="0" w:space="0" w:color="auto"/>
                                                      </w:divBdr>
                                                      <w:divsChild>
                                                        <w:div w:id="147553852">
                                                          <w:marLeft w:val="0"/>
                                                          <w:marRight w:val="0"/>
                                                          <w:marTop w:val="0"/>
                                                          <w:marBottom w:val="0"/>
                                                          <w:divBdr>
                                                            <w:top w:val="none" w:sz="0" w:space="0" w:color="auto"/>
                                                            <w:left w:val="none" w:sz="0" w:space="0" w:color="auto"/>
                                                            <w:bottom w:val="none" w:sz="0" w:space="0" w:color="auto"/>
                                                            <w:right w:val="none" w:sz="0" w:space="0" w:color="auto"/>
                                                          </w:divBdr>
                                                          <w:divsChild>
                                                            <w:div w:id="807286207">
                                                              <w:marLeft w:val="0"/>
                                                              <w:marRight w:val="0"/>
                                                              <w:marTop w:val="0"/>
                                                              <w:marBottom w:val="0"/>
                                                              <w:divBdr>
                                                                <w:top w:val="none" w:sz="0" w:space="0" w:color="auto"/>
                                                                <w:left w:val="none" w:sz="0" w:space="0" w:color="auto"/>
                                                                <w:bottom w:val="none" w:sz="0" w:space="0" w:color="auto"/>
                                                                <w:right w:val="none" w:sz="0" w:space="0" w:color="auto"/>
                                                              </w:divBdr>
                                                              <w:divsChild>
                                                                <w:div w:id="1364793480">
                                                                  <w:marLeft w:val="0"/>
                                                                  <w:marRight w:val="0"/>
                                                                  <w:marTop w:val="0"/>
                                                                  <w:marBottom w:val="0"/>
                                                                  <w:divBdr>
                                                                    <w:top w:val="none" w:sz="0" w:space="0" w:color="auto"/>
                                                                    <w:left w:val="none" w:sz="0" w:space="0" w:color="auto"/>
                                                                    <w:bottom w:val="none" w:sz="0" w:space="0" w:color="auto"/>
                                                                    <w:right w:val="none" w:sz="0" w:space="0" w:color="auto"/>
                                                                  </w:divBdr>
                                                                  <w:divsChild>
                                                                    <w:div w:id="5118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22419">
                                  <w:marLeft w:val="0"/>
                                  <w:marRight w:val="0"/>
                                  <w:marTop w:val="0"/>
                                  <w:marBottom w:val="0"/>
                                  <w:divBdr>
                                    <w:top w:val="none" w:sz="0" w:space="0" w:color="auto"/>
                                    <w:left w:val="none" w:sz="0" w:space="0" w:color="auto"/>
                                    <w:bottom w:val="none" w:sz="0" w:space="0" w:color="auto"/>
                                    <w:right w:val="none" w:sz="0" w:space="0" w:color="auto"/>
                                  </w:divBdr>
                                  <w:divsChild>
                                    <w:div w:id="1307591921">
                                      <w:marLeft w:val="0"/>
                                      <w:marRight w:val="0"/>
                                      <w:marTop w:val="0"/>
                                      <w:marBottom w:val="0"/>
                                      <w:divBdr>
                                        <w:top w:val="none" w:sz="0" w:space="0" w:color="auto"/>
                                        <w:left w:val="none" w:sz="0" w:space="0" w:color="auto"/>
                                        <w:bottom w:val="none" w:sz="0" w:space="0" w:color="auto"/>
                                        <w:right w:val="none" w:sz="0" w:space="0" w:color="auto"/>
                                      </w:divBdr>
                                      <w:divsChild>
                                        <w:div w:id="1018193842">
                                          <w:marLeft w:val="0"/>
                                          <w:marRight w:val="0"/>
                                          <w:marTop w:val="0"/>
                                          <w:marBottom w:val="0"/>
                                          <w:divBdr>
                                            <w:top w:val="none" w:sz="0" w:space="0" w:color="auto"/>
                                            <w:left w:val="none" w:sz="0" w:space="0" w:color="auto"/>
                                            <w:bottom w:val="none" w:sz="0" w:space="0" w:color="auto"/>
                                            <w:right w:val="none" w:sz="0" w:space="0" w:color="auto"/>
                                          </w:divBdr>
                                          <w:divsChild>
                                            <w:div w:id="515314150">
                                              <w:marLeft w:val="0"/>
                                              <w:marRight w:val="0"/>
                                              <w:marTop w:val="0"/>
                                              <w:marBottom w:val="0"/>
                                              <w:divBdr>
                                                <w:top w:val="none" w:sz="0" w:space="0" w:color="auto"/>
                                                <w:left w:val="none" w:sz="0" w:space="0" w:color="auto"/>
                                                <w:bottom w:val="none" w:sz="0" w:space="0" w:color="auto"/>
                                                <w:right w:val="none" w:sz="0" w:space="0" w:color="auto"/>
                                              </w:divBdr>
                                              <w:divsChild>
                                                <w:div w:id="706881032">
                                                  <w:marLeft w:val="0"/>
                                                  <w:marRight w:val="0"/>
                                                  <w:marTop w:val="0"/>
                                                  <w:marBottom w:val="0"/>
                                                  <w:divBdr>
                                                    <w:top w:val="none" w:sz="0" w:space="0" w:color="auto"/>
                                                    <w:left w:val="none" w:sz="0" w:space="0" w:color="auto"/>
                                                    <w:bottom w:val="none" w:sz="0" w:space="0" w:color="auto"/>
                                                    <w:right w:val="none" w:sz="0" w:space="0" w:color="auto"/>
                                                  </w:divBdr>
                                                  <w:divsChild>
                                                    <w:div w:id="735322155">
                                                      <w:marLeft w:val="0"/>
                                                      <w:marRight w:val="0"/>
                                                      <w:marTop w:val="0"/>
                                                      <w:marBottom w:val="0"/>
                                                      <w:divBdr>
                                                        <w:top w:val="none" w:sz="0" w:space="0" w:color="auto"/>
                                                        <w:left w:val="none" w:sz="0" w:space="0" w:color="auto"/>
                                                        <w:bottom w:val="none" w:sz="0" w:space="0" w:color="auto"/>
                                                        <w:right w:val="none" w:sz="0" w:space="0" w:color="auto"/>
                                                      </w:divBdr>
                                                      <w:divsChild>
                                                        <w:div w:id="1886139877">
                                                          <w:marLeft w:val="0"/>
                                                          <w:marRight w:val="0"/>
                                                          <w:marTop w:val="0"/>
                                                          <w:marBottom w:val="0"/>
                                                          <w:divBdr>
                                                            <w:top w:val="none" w:sz="0" w:space="0" w:color="auto"/>
                                                            <w:left w:val="none" w:sz="0" w:space="0" w:color="auto"/>
                                                            <w:bottom w:val="none" w:sz="0" w:space="0" w:color="auto"/>
                                                            <w:right w:val="none" w:sz="0" w:space="0" w:color="auto"/>
                                                          </w:divBdr>
                                                          <w:divsChild>
                                                            <w:div w:id="1048453339">
                                                              <w:marLeft w:val="0"/>
                                                              <w:marRight w:val="0"/>
                                                              <w:marTop w:val="0"/>
                                                              <w:marBottom w:val="0"/>
                                                              <w:divBdr>
                                                                <w:top w:val="none" w:sz="0" w:space="0" w:color="auto"/>
                                                                <w:left w:val="none" w:sz="0" w:space="0" w:color="auto"/>
                                                                <w:bottom w:val="none" w:sz="0" w:space="0" w:color="auto"/>
                                                                <w:right w:val="none" w:sz="0" w:space="0" w:color="auto"/>
                                                              </w:divBdr>
                                                              <w:divsChild>
                                                                <w:div w:id="1289315957">
                                                                  <w:marLeft w:val="0"/>
                                                                  <w:marRight w:val="0"/>
                                                                  <w:marTop w:val="0"/>
                                                                  <w:marBottom w:val="0"/>
                                                                  <w:divBdr>
                                                                    <w:top w:val="none" w:sz="0" w:space="0" w:color="auto"/>
                                                                    <w:left w:val="none" w:sz="0" w:space="0" w:color="auto"/>
                                                                    <w:bottom w:val="none" w:sz="0" w:space="0" w:color="auto"/>
                                                                    <w:right w:val="none" w:sz="0" w:space="0" w:color="auto"/>
                                                                  </w:divBdr>
                                                                  <w:divsChild>
                                                                    <w:div w:id="1804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637">
                                      <w:marLeft w:val="0"/>
                                      <w:marRight w:val="0"/>
                                      <w:marTop w:val="0"/>
                                      <w:marBottom w:val="0"/>
                                      <w:divBdr>
                                        <w:top w:val="none" w:sz="0" w:space="0" w:color="auto"/>
                                        <w:left w:val="none" w:sz="0" w:space="0" w:color="auto"/>
                                        <w:bottom w:val="none" w:sz="0" w:space="0" w:color="auto"/>
                                        <w:right w:val="none" w:sz="0" w:space="0" w:color="auto"/>
                                      </w:divBdr>
                                      <w:divsChild>
                                        <w:div w:id="15358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3762462">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3907154">
      <w:bodyDiv w:val="1"/>
      <w:marLeft w:val="0"/>
      <w:marRight w:val="0"/>
      <w:marTop w:val="0"/>
      <w:marBottom w:val="0"/>
      <w:divBdr>
        <w:top w:val="none" w:sz="0" w:space="0" w:color="auto"/>
        <w:left w:val="none" w:sz="0" w:space="0" w:color="auto"/>
        <w:bottom w:val="none" w:sz="0" w:space="0" w:color="auto"/>
        <w:right w:val="none" w:sz="0" w:space="0" w:color="auto"/>
      </w:divBdr>
    </w:div>
    <w:div w:id="1154417908">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376214">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413135">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4318577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6716353">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796868980">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288285">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608/mrk.2022.256812" TargetMode="External"/><Relationship Id="rId18" Type="http://schemas.openxmlformats.org/officeDocument/2006/relationships/hyperlink" Target="https://doi.org/10.1080/135406002100000512"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doi.org/10.3102/0013189X015002004" TargetMode="External"/><Relationship Id="rId7" Type="http://schemas.openxmlformats.org/officeDocument/2006/relationships/footnotes" Target="footnotes.xml"/><Relationship Id="rId12" Type="http://schemas.openxmlformats.org/officeDocument/2006/relationships/hyperlink" Target="https://doi.org/10.31703/gesr.2021(VI-IV).21" TargetMode="External"/><Relationship Id="rId17" Type="http://schemas.openxmlformats.org/officeDocument/2006/relationships/hyperlink" Target="https://doi.org/10.3102/00028312038004915"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i.org/10.3102/0013189X08331140" TargetMode="External"/><Relationship Id="rId20" Type="http://schemas.openxmlformats.org/officeDocument/2006/relationships/hyperlink" Target="https://doi.org/10.1787/1d0bc92a-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doi.org/10.3389/feduc.2024.1363175"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31703/gssr.2023(VIII-II).29"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7507/tpls.1209.04"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561D6-0E86-4C45-A302-E396513E1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2499</TotalTime>
  <Pages>1</Pages>
  <Words>10594</Words>
  <Characters>60390</Characters>
  <Application>Microsoft Office Word</Application>
  <DocSecurity>0</DocSecurity>
  <Lines>503</Lines>
  <Paragraphs>141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33</cp:revision>
  <cp:lastPrinted>2025-11-09T14:40:00Z</cp:lastPrinted>
  <dcterms:created xsi:type="dcterms:W3CDTF">2025-04-12T01:25:00Z</dcterms:created>
  <dcterms:modified xsi:type="dcterms:W3CDTF">2026-03-23T17:07:00Z</dcterms:modified>
</cp:coreProperties>
</file>