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7B931F4A" w:rsidR="003F3EF0" w:rsidRPr="00177D84" w:rsidRDefault="007C44B0"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3F29EA07">
                <wp:simplePos x="0" y="0"/>
                <wp:positionH relativeFrom="column">
                  <wp:posOffset>3847465</wp:posOffset>
                </wp:positionH>
                <wp:positionV relativeFrom="paragraph">
                  <wp:posOffset>131445</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02.9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592315"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5CB7F857">
            <wp:simplePos x="0" y="0"/>
            <wp:positionH relativeFrom="margin">
              <wp:align>left</wp:align>
            </wp:positionH>
            <wp:positionV relativeFrom="paragraph">
              <wp:posOffset>9525</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6605390E"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1A498E30" w14:textId="77777777" w:rsidR="003F3EF0" w:rsidRDefault="003F3EF0" w:rsidP="00434237">
      <w:pPr>
        <w:tabs>
          <w:tab w:val="left" w:pos="5505"/>
        </w:tabs>
        <w:rPr>
          <w:rFonts w:ascii="Simplified Arabic" w:hAnsi="Simplified Arabic" w:cs="Simplified Arabic"/>
        </w:rPr>
      </w:pPr>
    </w:p>
    <w:p w14:paraId="33EE46D6" w14:textId="77777777" w:rsidR="00275055" w:rsidRDefault="00275055" w:rsidP="00275055">
      <w:pPr>
        <w:tabs>
          <w:tab w:val="left" w:pos="5505"/>
        </w:tabs>
        <w:bidi/>
        <w:jc w:val="center"/>
        <w:rPr>
          <w:rFonts w:ascii="Traditional Arabic" w:hAnsi="Traditional Arabic" w:cs="Traditional Arabic"/>
          <w:b/>
          <w:bCs/>
          <w:sz w:val="36"/>
          <w:szCs w:val="36"/>
          <w:rtl/>
          <w:lang w:bidi="ar-EG"/>
        </w:rPr>
      </w:pPr>
    </w:p>
    <w:p w14:paraId="5A213522" w14:textId="77777777" w:rsidR="00275055" w:rsidRDefault="00275055" w:rsidP="00275055">
      <w:pPr>
        <w:tabs>
          <w:tab w:val="left" w:pos="5505"/>
        </w:tabs>
        <w:bidi/>
        <w:jc w:val="center"/>
        <w:rPr>
          <w:rFonts w:ascii="Traditional Arabic" w:hAnsi="Traditional Arabic" w:cs="Traditional Arabic"/>
          <w:sz w:val="12"/>
          <w:szCs w:val="12"/>
          <w:rtl/>
          <w:lang w:bidi="ar-EG"/>
        </w:rPr>
      </w:pPr>
      <w:r w:rsidRPr="00AD574A">
        <w:rPr>
          <w:rFonts w:ascii="Traditional Arabic" w:hAnsi="Traditional Arabic" w:cs="Traditional Arabic" w:hint="cs"/>
          <w:b/>
          <w:bCs/>
          <w:sz w:val="36"/>
          <w:szCs w:val="36"/>
          <w:rtl/>
          <w:lang w:bidi="ar-EG"/>
        </w:rPr>
        <w:t>دمج</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تقنيات</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الميتافيرس</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والبلوكشين</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في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تطوير</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الأنظمة</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في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القطاع</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الصحي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بالمملكة</w:t>
      </w:r>
    </w:p>
    <w:p w14:paraId="47003118" w14:textId="77777777" w:rsidR="00275055" w:rsidRDefault="00275055" w:rsidP="00275055">
      <w:pPr>
        <w:tabs>
          <w:tab w:val="left" w:pos="5505"/>
        </w:tabs>
        <w:bidi/>
        <w:jc w:val="center"/>
        <w:rPr>
          <w:rFonts w:ascii="Traditional Arabic" w:hAnsi="Traditional Arabic" w:cs="Traditional Arabic"/>
          <w:b/>
          <w:bCs/>
          <w:sz w:val="36"/>
          <w:szCs w:val="36"/>
          <w:rtl/>
          <w:lang w:bidi="ar-EG"/>
        </w:rPr>
      </w:pPr>
    </w:p>
    <w:p w14:paraId="6D683417" w14:textId="77777777" w:rsidR="00275055" w:rsidRDefault="00275055" w:rsidP="00275055">
      <w:pPr>
        <w:tabs>
          <w:tab w:val="left" w:pos="5505"/>
        </w:tabs>
        <w:jc w:val="center"/>
        <w:rPr>
          <w:rFonts w:ascii="Times New Roman" w:hAnsi="Times New Roman" w:cs="Times New Roman"/>
          <w:sz w:val="36"/>
          <w:szCs w:val="36"/>
          <w:rtl/>
          <w:lang w:bidi="ar-EG"/>
        </w:rPr>
      </w:pPr>
      <w:r w:rsidRPr="00AD574A">
        <w:rPr>
          <w:rFonts w:ascii="Times New Roman" w:hAnsi="Times New Roman" w:cs="Times New Roman"/>
          <w:sz w:val="36"/>
          <w:szCs w:val="36"/>
          <w:lang w:bidi="ar-EG"/>
        </w:rPr>
        <w:t>Integrating Metaverse and Blockchain Technologies in Developing Systems in the Healthcare Sector in the Kingdom</w:t>
      </w:r>
    </w:p>
    <w:p w14:paraId="51A35668" w14:textId="77777777" w:rsidR="00275055" w:rsidRDefault="00275055" w:rsidP="00275055">
      <w:pPr>
        <w:tabs>
          <w:tab w:val="left" w:pos="5505"/>
        </w:tabs>
        <w:jc w:val="center"/>
        <w:rPr>
          <w:rFonts w:ascii="Times New Roman" w:hAnsi="Times New Roman" w:cs="Times New Roman"/>
          <w:sz w:val="36"/>
          <w:szCs w:val="36"/>
          <w:lang w:bidi="ar-EG"/>
        </w:rPr>
      </w:pPr>
    </w:p>
    <w:p w14:paraId="0236BDF5" w14:textId="77777777" w:rsidR="00275055" w:rsidRDefault="00275055" w:rsidP="00275055">
      <w:pPr>
        <w:tabs>
          <w:tab w:val="left" w:pos="5505"/>
        </w:tabs>
        <w:bidi/>
        <w:jc w:val="center"/>
        <w:rPr>
          <w:rFonts w:ascii="Traditional Arabic" w:hAnsi="Traditional Arabic" w:cs="Traditional Arabic"/>
          <w:b/>
          <w:bCs/>
          <w:sz w:val="32"/>
          <w:szCs w:val="32"/>
          <w:lang w:bidi="ar-EG"/>
        </w:rPr>
      </w:pPr>
      <w:r>
        <w:rPr>
          <w:rFonts w:ascii="Traditional Arabic" w:hAnsi="Traditional Arabic" w:cs="Traditional Arabic"/>
          <w:b/>
          <w:bCs/>
          <w:sz w:val="32"/>
          <w:szCs w:val="32"/>
          <w:rtl/>
          <w:lang w:bidi="ar-EG"/>
        </w:rPr>
        <w:t xml:space="preserve">رسالة مقدمة لجامعة ميدأوشن لاستكمال متطلبات نيل درجة </w:t>
      </w:r>
      <w:r>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275055" w14:paraId="75EC3AE6" w14:textId="77777777" w:rsidTr="0011754A">
        <w:tc>
          <w:tcPr>
            <w:tcW w:w="4675" w:type="dxa"/>
          </w:tcPr>
          <w:p w14:paraId="0922223F"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اسم الباحث</w:t>
            </w:r>
          </w:p>
        </w:tc>
        <w:tc>
          <w:tcPr>
            <w:tcW w:w="4675" w:type="dxa"/>
          </w:tcPr>
          <w:p w14:paraId="7D886DE1" w14:textId="74D78853" w:rsidR="00275055" w:rsidRDefault="00275055" w:rsidP="001175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hint="cs"/>
                <w:b/>
                <w:bCs/>
                <w:sz w:val="32"/>
                <w:szCs w:val="32"/>
                <w:rtl/>
                <w:lang w:bidi="ar-EG"/>
              </w:rPr>
              <w:t>منصور</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عبده</w:t>
            </w:r>
            <w:r w:rsidRPr="00AD574A">
              <w:rPr>
                <w:rFonts w:ascii="Traditional Arabic" w:hAnsi="Traditional Arabic" w:cs="Traditional Arabic"/>
                <w:b/>
                <w:bCs/>
                <w:sz w:val="32"/>
                <w:szCs w:val="32"/>
                <w:rtl/>
                <w:lang w:bidi="ar-EG"/>
              </w:rPr>
              <w:t xml:space="preserve"> </w:t>
            </w:r>
            <w:r w:rsidR="00EF4B5B">
              <w:rPr>
                <w:rFonts w:ascii="Traditional Arabic" w:hAnsi="Traditional Arabic" w:cs="Traditional Arabic" w:hint="cs"/>
                <w:b/>
                <w:bCs/>
                <w:sz w:val="32"/>
                <w:szCs w:val="32"/>
                <w:rtl/>
                <w:lang w:bidi="ar-EG"/>
              </w:rPr>
              <w:t>أ</w:t>
            </w:r>
            <w:r w:rsidRPr="00AD574A">
              <w:rPr>
                <w:rFonts w:ascii="Traditional Arabic" w:hAnsi="Traditional Arabic" w:cs="Traditional Arabic" w:hint="cs"/>
                <w:b/>
                <w:bCs/>
                <w:sz w:val="32"/>
                <w:szCs w:val="32"/>
                <w:rtl/>
                <w:lang w:bidi="ar-EG"/>
              </w:rPr>
              <w:t>حمد</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الصعدي</w:t>
            </w:r>
          </w:p>
        </w:tc>
      </w:tr>
      <w:tr w:rsidR="00275055" w14:paraId="708B54B8" w14:textId="77777777" w:rsidTr="0011754A">
        <w:tc>
          <w:tcPr>
            <w:tcW w:w="4675" w:type="dxa"/>
          </w:tcPr>
          <w:p w14:paraId="029C8950"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الرقم الأكاديمي</w:t>
            </w:r>
          </w:p>
        </w:tc>
        <w:tc>
          <w:tcPr>
            <w:tcW w:w="4675" w:type="dxa"/>
          </w:tcPr>
          <w:p w14:paraId="4A4C6A00"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b/>
                <w:bCs/>
                <w:sz w:val="32"/>
                <w:szCs w:val="32"/>
                <w:rtl/>
                <w:lang w:bidi="ar-EG"/>
              </w:rPr>
              <w:t>233001650</w:t>
            </w:r>
          </w:p>
        </w:tc>
      </w:tr>
      <w:tr w:rsidR="00275055" w14:paraId="33FFF7B6" w14:textId="77777777" w:rsidTr="0011754A">
        <w:tc>
          <w:tcPr>
            <w:tcW w:w="4675" w:type="dxa"/>
          </w:tcPr>
          <w:p w14:paraId="2C3E1C11"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الكلية</w:t>
            </w:r>
          </w:p>
        </w:tc>
        <w:tc>
          <w:tcPr>
            <w:tcW w:w="4675" w:type="dxa"/>
          </w:tcPr>
          <w:p w14:paraId="65C79084"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hint="cs"/>
                <w:b/>
                <w:bCs/>
                <w:sz w:val="32"/>
                <w:szCs w:val="32"/>
                <w:rtl/>
                <w:lang w:bidi="ar-EG"/>
              </w:rPr>
              <w:t>الكلية</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المعلوماتية</w:t>
            </w:r>
          </w:p>
        </w:tc>
      </w:tr>
    </w:tbl>
    <w:p w14:paraId="7DCEE033" w14:textId="77777777" w:rsidR="00275055" w:rsidRDefault="00275055" w:rsidP="00275055">
      <w:pPr>
        <w:tabs>
          <w:tab w:val="left" w:pos="5505"/>
        </w:tabs>
        <w:bidi/>
        <w:jc w:val="center"/>
        <w:rPr>
          <w:rFonts w:ascii="Simplified Arabic" w:hAnsi="Simplified Arabic" w:cs="Simplified Arabic"/>
          <w:rtl/>
          <w:lang w:bidi="ar-EG"/>
        </w:rPr>
      </w:pPr>
    </w:p>
    <w:p w14:paraId="047BF1A0" w14:textId="77777777" w:rsidR="00275055" w:rsidRDefault="00275055" w:rsidP="00275055">
      <w:pPr>
        <w:tabs>
          <w:tab w:val="left" w:pos="5505"/>
        </w:tabs>
        <w:bidi/>
        <w:jc w:val="center"/>
        <w:rPr>
          <w:rFonts w:ascii="Simplified Arabic" w:hAnsi="Simplified Arabic" w:cs="Simplified Arabic"/>
          <w:rtl/>
          <w:lang w:bidi="ar-EG"/>
        </w:rPr>
      </w:pPr>
    </w:p>
    <w:p w14:paraId="21F14C96" w14:textId="77777777" w:rsidR="00275055" w:rsidRDefault="00275055" w:rsidP="00275055">
      <w:pPr>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202</w:t>
      </w:r>
      <w:r>
        <w:rPr>
          <w:rFonts w:ascii="Simplified Arabic" w:hAnsi="Simplified Arabic" w:cs="Simplified Arabic" w:hint="cs"/>
          <w:sz w:val="28"/>
          <w:szCs w:val="28"/>
          <w:rtl/>
          <w:lang w:bidi="ar-EG"/>
        </w:rPr>
        <w:t>6م</w:t>
      </w:r>
    </w:p>
    <w:p w14:paraId="730FEB6F" w14:textId="77777777" w:rsidR="00275055" w:rsidRDefault="00275055" w:rsidP="00275055">
      <w:pPr>
        <w:jc w:val="center"/>
        <w:rPr>
          <w:rFonts w:ascii="Simplified Arabic" w:hAnsi="Simplified Arabic" w:cs="Simplified Arabic"/>
          <w:sz w:val="28"/>
          <w:szCs w:val="28"/>
          <w:rtl/>
          <w:lang w:bidi="ar-EG"/>
        </w:rPr>
      </w:pPr>
    </w:p>
    <w:p w14:paraId="46151F34" w14:textId="77777777" w:rsidR="00275055" w:rsidRDefault="00275055" w:rsidP="00275055">
      <w:pPr>
        <w:jc w:val="center"/>
        <w:rPr>
          <w:rFonts w:ascii="Simplified Arabic" w:hAnsi="Simplified Arabic" w:cs="Simplified Arabic"/>
          <w:sz w:val="28"/>
          <w:szCs w:val="28"/>
          <w:rtl/>
          <w:lang w:bidi="ar-EG"/>
        </w:rPr>
      </w:pP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4"/>
          <w:szCs w:val="24"/>
          <w:rtl/>
          <w14:ligatures w14:val="standardContextual"/>
        </w:rPr>
        <w:id w:val="-1294132779"/>
        <w:docPartObj>
          <w:docPartGallery w:val="Table of Contents"/>
          <w:docPartUnique/>
        </w:docPartObj>
      </w:sdtPr>
      <w:sdtEndPr>
        <w:rPr>
          <w:b/>
          <w:bCs/>
          <w:noProof/>
        </w:rPr>
      </w:sdtEndPr>
      <w:sdtContent>
        <w:p w14:paraId="6CEE7069" w14:textId="2E4D3868" w:rsidR="00771608" w:rsidRPr="00A117CD" w:rsidRDefault="00771608" w:rsidP="00A117CD">
          <w:pPr>
            <w:pStyle w:val="TOCHeading"/>
            <w:bidi/>
            <w:spacing w:before="0"/>
            <w:jc w:val="both"/>
            <w:rPr>
              <w:rFonts w:ascii="Traditional Arabic" w:hAnsi="Traditional Arabic" w:cs="Traditional Arabic"/>
              <w:sz w:val="4"/>
              <w:szCs w:val="4"/>
            </w:rPr>
          </w:pPr>
          <w:r w:rsidRPr="00A117CD">
            <w:rPr>
              <w:rFonts w:ascii="Traditional Arabic" w:hAnsi="Traditional Arabic" w:cs="Traditional Arabic"/>
            </w:rPr>
            <w:t xml:space="preserve"> </w:t>
          </w:r>
        </w:p>
        <w:p w14:paraId="1D15B5C9" w14:textId="79F753BA" w:rsidR="00A117CD" w:rsidRPr="00A117CD" w:rsidRDefault="00771608" w:rsidP="00A117CD">
          <w:pPr>
            <w:pStyle w:val="TOC1"/>
            <w:rPr>
              <w:rFonts w:ascii="Traditional Arabic" w:eastAsiaTheme="minorEastAsia" w:hAnsi="Traditional Arabic" w:cs="Traditional Arabic"/>
              <w:noProof/>
              <w:sz w:val="28"/>
              <w:szCs w:val="28"/>
            </w:rPr>
          </w:pPr>
          <w:r w:rsidRPr="00A117CD">
            <w:rPr>
              <w:rFonts w:ascii="Traditional Arabic" w:hAnsi="Traditional Arabic" w:cs="Traditional Arabic"/>
              <w:sz w:val="32"/>
              <w:szCs w:val="32"/>
            </w:rPr>
            <w:fldChar w:fldCharType="begin"/>
          </w:r>
          <w:r w:rsidRPr="00A117CD">
            <w:rPr>
              <w:rFonts w:ascii="Traditional Arabic" w:hAnsi="Traditional Arabic" w:cs="Traditional Arabic"/>
              <w:sz w:val="32"/>
              <w:szCs w:val="32"/>
            </w:rPr>
            <w:instrText xml:space="preserve"> TOC \o "1-3" \h \z \u </w:instrText>
          </w:r>
          <w:r w:rsidRPr="00A117CD">
            <w:rPr>
              <w:rFonts w:ascii="Traditional Arabic" w:hAnsi="Traditional Arabic" w:cs="Traditional Arabic"/>
              <w:sz w:val="32"/>
              <w:szCs w:val="32"/>
            </w:rPr>
            <w:fldChar w:fldCharType="separate"/>
          </w:r>
          <w:hyperlink w:anchor="_Toc234906706" w:history="1">
            <w:r w:rsidR="00A117CD" w:rsidRPr="00A117CD">
              <w:rPr>
                <w:rStyle w:val="Hyperlink"/>
                <w:rFonts w:ascii="Traditional Arabic" w:hAnsi="Traditional Arabic" w:cs="Traditional Arabic"/>
                <w:b/>
                <w:bCs/>
                <w:noProof/>
                <w:sz w:val="28"/>
                <w:szCs w:val="28"/>
                <w:rtl/>
                <w:lang w:bidi="ar-EG"/>
              </w:rPr>
              <w:t>الفصل الثاني:</w:t>
            </w:r>
            <w:r w:rsidR="00A117CD" w:rsidRPr="00A117CD">
              <w:rPr>
                <w:rFonts w:ascii="Traditional Arabic" w:hAnsi="Traditional Arabic" w:cs="Traditional Arabic"/>
                <w:noProof/>
                <w:webHidden/>
                <w:sz w:val="28"/>
                <w:szCs w:val="28"/>
              </w:rPr>
              <w:tab/>
            </w:r>
            <w:r w:rsidR="00A117CD" w:rsidRPr="00A117CD">
              <w:rPr>
                <w:rFonts w:ascii="Traditional Arabic" w:hAnsi="Traditional Arabic" w:cs="Traditional Arabic"/>
                <w:noProof/>
                <w:webHidden/>
                <w:sz w:val="28"/>
                <w:szCs w:val="28"/>
              </w:rPr>
              <w:fldChar w:fldCharType="begin"/>
            </w:r>
            <w:r w:rsidR="00A117CD" w:rsidRPr="00A117CD">
              <w:rPr>
                <w:rFonts w:ascii="Traditional Arabic" w:hAnsi="Traditional Arabic" w:cs="Traditional Arabic"/>
                <w:noProof/>
                <w:webHidden/>
                <w:sz w:val="28"/>
                <w:szCs w:val="28"/>
              </w:rPr>
              <w:instrText xml:space="preserve"> PAGEREF _Toc234906706 \h </w:instrText>
            </w:r>
            <w:r w:rsidR="00A117CD" w:rsidRPr="00A117CD">
              <w:rPr>
                <w:rFonts w:ascii="Traditional Arabic" w:hAnsi="Traditional Arabic" w:cs="Traditional Arabic"/>
                <w:noProof/>
                <w:webHidden/>
                <w:sz w:val="28"/>
                <w:szCs w:val="28"/>
              </w:rPr>
            </w:r>
            <w:r w:rsidR="00A117CD" w:rsidRPr="00A117CD">
              <w:rPr>
                <w:rFonts w:ascii="Traditional Arabic" w:hAnsi="Traditional Arabic" w:cs="Traditional Arabic"/>
                <w:noProof/>
                <w:webHidden/>
                <w:sz w:val="28"/>
                <w:szCs w:val="28"/>
              </w:rPr>
              <w:fldChar w:fldCharType="separate"/>
            </w:r>
            <w:r w:rsidR="00447CE5">
              <w:rPr>
                <w:rFonts w:ascii="Traditional Arabic" w:hAnsi="Traditional Arabic" w:cs="Traditional Arabic"/>
                <w:noProof/>
                <w:webHidden/>
                <w:sz w:val="28"/>
                <w:szCs w:val="28"/>
                <w:rtl/>
              </w:rPr>
              <w:t>3</w:t>
            </w:r>
            <w:r w:rsidR="00A117CD" w:rsidRPr="00A117CD">
              <w:rPr>
                <w:rFonts w:ascii="Traditional Arabic" w:hAnsi="Traditional Arabic" w:cs="Traditional Arabic"/>
                <w:noProof/>
                <w:webHidden/>
                <w:sz w:val="28"/>
                <w:szCs w:val="28"/>
              </w:rPr>
              <w:fldChar w:fldCharType="end"/>
            </w:r>
          </w:hyperlink>
        </w:p>
        <w:p w14:paraId="64EBA9BF" w14:textId="2BF663E5" w:rsidR="00A117CD" w:rsidRPr="00A117CD" w:rsidRDefault="00A117CD" w:rsidP="00A117CD">
          <w:pPr>
            <w:pStyle w:val="TOC1"/>
            <w:rPr>
              <w:rFonts w:ascii="Traditional Arabic" w:eastAsiaTheme="minorEastAsia" w:hAnsi="Traditional Arabic" w:cs="Traditional Arabic"/>
              <w:noProof/>
              <w:sz w:val="28"/>
              <w:szCs w:val="28"/>
            </w:rPr>
          </w:pPr>
          <w:hyperlink w:anchor="_Toc234906707" w:history="1">
            <w:r w:rsidRPr="00A117CD">
              <w:rPr>
                <w:rStyle w:val="Hyperlink"/>
                <w:rFonts w:ascii="Traditional Arabic" w:hAnsi="Traditional Arabic" w:cs="Traditional Arabic"/>
                <w:b/>
                <w:bCs/>
                <w:noProof/>
                <w:sz w:val="28"/>
                <w:szCs w:val="28"/>
                <w:rtl/>
                <w:lang w:bidi="ar-EG"/>
              </w:rPr>
              <w:t>الإطار النظري للدراسة</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_Toc234906707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sidR="00447CE5">
              <w:rPr>
                <w:rFonts w:ascii="Traditional Arabic" w:hAnsi="Traditional Arabic" w:cs="Traditional Arabic"/>
                <w:noProof/>
                <w:webHidden/>
                <w:sz w:val="28"/>
                <w:szCs w:val="28"/>
                <w:rtl/>
              </w:rPr>
              <w:t>3</w:t>
            </w:r>
            <w:r w:rsidRPr="00A117CD">
              <w:rPr>
                <w:rFonts w:ascii="Traditional Arabic" w:hAnsi="Traditional Arabic" w:cs="Traditional Arabic"/>
                <w:noProof/>
                <w:webHidden/>
                <w:sz w:val="28"/>
                <w:szCs w:val="28"/>
              </w:rPr>
              <w:fldChar w:fldCharType="end"/>
            </w:r>
          </w:hyperlink>
        </w:p>
        <w:p w14:paraId="3FDBFA66" w14:textId="5D1FBD2F" w:rsidR="00A117CD" w:rsidRPr="00A117CD" w:rsidRDefault="00A117CD" w:rsidP="00A117CD">
          <w:pPr>
            <w:pStyle w:val="TOC2"/>
            <w:tabs>
              <w:tab w:val="right" w:leader="dot" w:pos="9350"/>
            </w:tabs>
            <w:bidi/>
            <w:rPr>
              <w:rFonts w:ascii="Traditional Arabic" w:eastAsiaTheme="minorEastAsia" w:hAnsi="Traditional Arabic" w:cs="Traditional Arabic"/>
              <w:noProof/>
              <w:sz w:val="28"/>
              <w:szCs w:val="28"/>
            </w:rPr>
          </w:pPr>
          <w:hyperlink w:anchor="_Toc234906708" w:history="1">
            <w:r w:rsidRPr="00A117CD">
              <w:rPr>
                <w:rStyle w:val="Hyperlink"/>
                <w:rFonts w:ascii="Traditional Arabic" w:hAnsi="Traditional Arabic" w:cs="Traditional Arabic"/>
                <w:b/>
                <w:bCs/>
                <w:noProof/>
                <w:sz w:val="28"/>
                <w:szCs w:val="28"/>
                <w:rtl/>
                <w:lang w:bidi="ar-EG"/>
              </w:rPr>
              <w:t>متغيرات الدراسة:</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_Toc234906708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sidR="00447CE5">
              <w:rPr>
                <w:rFonts w:ascii="Traditional Arabic" w:hAnsi="Traditional Arabic" w:cs="Traditional Arabic"/>
                <w:noProof/>
                <w:webHidden/>
                <w:sz w:val="28"/>
                <w:szCs w:val="28"/>
                <w:rtl/>
              </w:rPr>
              <w:t>4</w:t>
            </w:r>
            <w:r w:rsidRPr="00A117CD">
              <w:rPr>
                <w:rFonts w:ascii="Traditional Arabic" w:hAnsi="Traditional Arabic" w:cs="Traditional Arabic"/>
                <w:noProof/>
                <w:webHidden/>
                <w:sz w:val="28"/>
                <w:szCs w:val="28"/>
              </w:rPr>
              <w:fldChar w:fldCharType="end"/>
            </w:r>
          </w:hyperlink>
        </w:p>
        <w:p w14:paraId="7521F81D" w14:textId="157CFAAB" w:rsidR="00A117CD" w:rsidRPr="00A117CD" w:rsidRDefault="00A117CD" w:rsidP="00A117CD">
          <w:pPr>
            <w:pStyle w:val="TOC1"/>
            <w:rPr>
              <w:rFonts w:ascii="Traditional Arabic" w:eastAsiaTheme="minorEastAsia" w:hAnsi="Traditional Arabic" w:cs="Traditional Arabic"/>
              <w:noProof/>
              <w:sz w:val="28"/>
              <w:szCs w:val="28"/>
            </w:rPr>
          </w:pPr>
          <w:r w:rsidRPr="00A117CD">
            <w:rPr>
              <w:rStyle w:val="Hyperlink"/>
              <w:rFonts w:ascii="Traditional Arabic" w:hAnsi="Traditional Arabic" w:cs="Traditional Arabic" w:hint="cs"/>
              <w:noProof/>
              <w:sz w:val="28"/>
              <w:szCs w:val="28"/>
              <w:u w:val="none"/>
              <w:rtl/>
            </w:rPr>
            <w:t xml:space="preserve">    </w:t>
          </w:r>
          <w:hyperlink w:anchor="_Toc234906709" w:history="1">
            <w:r w:rsidRPr="00A117CD">
              <w:rPr>
                <w:rStyle w:val="Hyperlink"/>
                <w:rFonts w:ascii="Traditional Arabic" w:hAnsi="Traditional Arabic" w:cs="Traditional Arabic"/>
                <w:b/>
                <w:bCs/>
                <w:noProof/>
                <w:sz w:val="28"/>
                <w:szCs w:val="28"/>
                <w:rtl/>
                <w:lang w:bidi="ar-EG"/>
              </w:rPr>
              <w:t>الإطار النظري للدراسة</w:t>
            </w:r>
            <w:r w:rsidRPr="00A117CD">
              <w:rPr>
                <w:rStyle w:val="Hyperlink"/>
                <w:rFonts w:ascii="Traditional Arabic" w:hAnsi="Traditional Arabic" w:cs="Traditional Arabic"/>
                <w:b/>
                <w:bCs/>
                <w:noProof/>
                <w:sz w:val="28"/>
                <w:szCs w:val="28"/>
                <w:lang w:bidi="ar-EG"/>
              </w:rPr>
              <w:t>:</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_Toc234906709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sidR="00447CE5">
              <w:rPr>
                <w:rFonts w:ascii="Traditional Arabic" w:hAnsi="Traditional Arabic" w:cs="Traditional Arabic"/>
                <w:noProof/>
                <w:webHidden/>
                <w:sz w:val="28"/>
                <w:szCs w:val="28"/>
                <w:rtl/>
              </w:rPr>
              <w:t>7</w:t>
            </w:r>
            <w:r w:rsidRPr="00A117CD">
              <w:rPr>
                <w:rFonts w:ascii="Traditional Arabic" w:hAnsi="Traditional Arabic" w:cs="Traditional Arabic"/>
                <w:noProof/>
                <w:webHidden/>
                <w:sz w:val="28"/>
                <w:szCs w:val="28"/>
              </w:rPr>
              <w:fldChar w:fldCharType="end"/>
            </w:r>
          </w:hyperlink>
        </w:p>
        <w:p w14:paraId="3338614E" w14:textId="66900598" w:rsidR="00A117CD" w:rsidRPr="00A117CD" w:rsidRDefault="00A117CD" w:rsidP="00A117CD">
          <w:pPr>
            <w:pStyle w:val="TOC2"/>
            <w:tabs>
              <w:tab w:val="right" w:leader="dot" w:pos="9350"/>
            </w:tabs>
            <w:bidi/>
            <w:rPr>
              <w:rFonts w:ascii="Traditional Arabic" w:eastAsiaTheme="minorEastAsia" w:hAnsi="Traditional Arabic" w:cs="Traditional Arabic"/>
              <w:noProof/>
              <w:sz w:val="28"/>
              <w:szCs w:val="28"/>
            </w:rPr>
          </w:pPr>
          <w:hyperlink w:anchor="_Toc234906710" w:history="1">
            <w:r w:rsidRPr="00A117CD">
              <w:rPr>
                <w:rStyle w:val="Hyperlink"/>
                <w:rFonts w:ascii="Traditional Arabic" w:hAnsi="Traditional Arabic" w:cs="Traditional Arabic"/>
                <w:b/>
                <w:bCs/>
                <w:noProof/>
                <w:sz w:val="28"/>
                <w:szCs w:val="28"/>
                <w:rtl/>
              </w:rPr>
              <w:t>الإسهام النظري للدراسة:</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_Toc234906710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sidR="00447CE5">
              <w:rPr>
                <w:rFonts w:ascii="Traditional Arabic" w:hAnsi="Traditional Arabic" w:cs="Traditional Arabic"/>
                <w:noProof/>
                <w:webHidden/>
                <w:sz w:val="28"/>
                <w:szCs w:val="28"/>
                <w:rtl/>
              </w:rPr>
              <w:t>10</w:t>
            </w:r>
            <w:r w:rsidRPr="00A117CD">
              <w:rPr>
                <w:rFonts w:ascii="Traditional Arabic" w:hAnsi="Traditional Arabic" w:cs="Traditional Arabic"/>
                <w:noProof/>
                <w:webHidden/>
                <w:sz w:val="28"/>
                <w:szCs w:val="28"/>
              </w:rPr>
              <w:fldChar w:fldCharType="end"/>
            </w:r>
          </w:hyperlink>
        </w:p>
        <w:p w14:paraId="14F9AF0D" w14:textId="27AA1755" w:rsidR="00A117CD" w:rsidRPr="00A117CD" w:rsidRDefault="00A117CD" w:rsidP="00A117CD">
          <w:pPr>
            <w:pStyle w:val="TOC2"/>
            <w:tabs>
              <w:tab w:val="right" w:leader="dot" w:pos="9350"/>
            </w:tabs>
            <w:bidi/>
            <w:rPr>
              <w:rFonts w:ascii="Traditional Arabic" w:eastAsiaTheme="minorEastAsia" w:hAnsi="Traditional Arabic" w:cs="Traditional Arabic"/>
              <w:noProof/>
              <w:sz w:val="28"/>
              <w:szCs w:val="28"/>
            </w:rPr>
          </w:pPr>
          <w:hyperlink w:anchor="_Toc234906711" w:history="1">
            <w:r w:rsidRPr="00A117CD">
              <w:rPr>
                <w:rStyle w:val="Hyperlink"/>
                <w:rFonts w:ascii="Traditional Arabic" w:hAnsi="Traditional Arabic" w:cs="Traditional Arabic"/>
                <w:b/>
                <w:bCs/>
                <w:noProof/>
                <w:sz w:val="28"/>
                <w:szCs w:val="28"/>
                <w:rtl/>
              </w:rPr>
              <w:t>الإسهام التطبيقي (التنفيذ العملي) للدراسة:</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_Toc234906711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sidR="00447CE5">
              <w:rPr>
                <w:rFonts w:ascii="Traditional Arabic" w:hAnsi="Traditional Arabic" w:cs="Traditional Arabic"/>
                <w:noProof/>
                <w:webHidden/>
                <w:sz w:val="28"/>
                <w:szCs w:val="28"/>
                <w:rtl/>
              </w:rPr>
              <w:t>11</w:t>
            </w:r>
            <w:r w:rsidRPr="00A117CD">
              <w:rPr>
                <w:rFonts w:ascii="Traditional Arabic" w:hAnsi="Traditional Arabic" w:cs="Traditional Arabic"/>
                <w:noProof/>
                <w:webHidden/>
                <w:sz w:val="28"/>
                <w:szCs w:val="28"/>
              </w:rPr>
              <w:fldChar w:fldCharType="end"/>
            </w:r>
          </w:hyperlink>
        </w:p>
        <w:p w14:paraId="49BD44AA" w14:textId="3AB269A7" w:rsidR="00A117CD" w:rsidRPr="00A117CD" w:rsidRDefault="00A117CD" w:rsidP="00A117CD">
          <w:pPr>
            <w:pStyle w:val="TOC2"/>
            <w:tabs>
              <w:tab w:val="right" w:leader="dot" w:pos="9350"/>
            </w:tabs>
            <w:bidi/>
            <w:rPr>
              <w:rFonts w:ascii="Traditional Arabic" w:eastAsiaTheme="minorEastAsia" w:hAnsi="Traditional Arabic" w:cs="Traditional Arabic"/>
              <w:noProof/>
              <w:sz w:val="28"/>
              <w:szCs w:val="28"/>
            </w:rPr>
          </w:pPr>
          <w:hyperlink w:anchor="_Toc234906712" w:history="1">
            <w:r w:rsidRPr="00A117CD">
              <w:rPr>
                <w:rStyle w:val="Hyperlink"/>
                <w:rFonts w:ascii="Traditional Arabic" w:hAnsi="Traditional Arabic" w:cs="Traditional Arabic"/>
                <w:b/>
                <w:bCs/>
                <w:noProof/>
                <w:sz w:val="28"/>
                <w:szCs w:val="28"/>
                <w:rtl/>
                <w:lang w:bidi="ar-EG"/>
              </w:rPr>
              <w:t>الدراسات السابقة:</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_Toc234906712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sidR="00447CE5">
              <w:rPr>
                <w:rFonts w:ascii="Traditional Arabic" w:hAnsi="Traditional Arabic" w:cs="Traditional Arabic"/>
                <w:noProof/>
                <w:webHidden/>
                <w:sz w:val="28"/>
                <w:szCs w:val="28"/>
                <w:rtl/>
              </w:rPr>
              <w:t>14</w:t>
            </w:r>
            <w:r w:rsidRPr="00A117CD">
              <w:rPr>
                <w:rFonts w:ascii="Traditional Arabic" w:hAnsi="Traditional Arabic" w:cs="Traditional Arabic"/>
                <w:noProof/>
                <w:webHidden/>
                <w:sz w:val="28"/>
                <w:szCs w:val="28"/>
              </w:rPr>
              <w:fldChar w:fldCharType="end"/>
            </w:r>
          </w:hyperlink>
        </w:p>
        <w:p w14:paraId="7CFFF769" w14:textId="01BDA981" w:rsidR="00A117CD" w:rsidRPr="00A117CD" w:rsidRDefault="00A117CD" w:rsidP="00A117CD">
          <w:pPr>
            <w:pStyle w:val="TOC2"/>
            <w:tabs>
              <w:tab w:val="right" w:leader="dot" w:pos="9350"/>
            </w:tabs>
            <w:bidi/>
            <w:rPr>
              <w:rFonts w:ascii="Traditional Arabic" w:eastAsiaTheme="minorEastAsia" w:hAnsi="Traditional Arabic" w:cs="Traditional Arabic"/>
              <w:noProof/>
              <w:sz w:val="28"/>
              <w:szCs w:val="28"/>
            </w:rPr>
          </w:pPr>
          <w:hyperlink w:anchor="_Toc234906713" w:history="1">
            <w:r w:rsidRPr="00A117CD">
              <w:rPr>
                <w:rStyle w:val="Hyperlink"/>
                <w:rFonts w:ascii="Traditional Arabic" w:hAnsi="Traditional Arabic" w:cs="Traditional Arabic"/>
                <w:b/>
                <w:bCs/>
                <w:noProof/>
                <w:sz w:val="28"/>
                <w:szCs w:val="28"/>
                <w:rtl/>
                <w:lang w:bidi="ar-EG"/>
              </w:rPr>
              <w:t>المراجع</w:t>
            </w:r>
            <w:r w:rsidRPr="00A117CD">
              <w:rPr>
                <w:rStyle w:val="Hyperlink"/>
                <w:rFonts w:ascii="Traditional Arabic" w:hAnsi="Traditional Arabic" w:cs="Traditional Arabic"/>
                <w:b/>
                <w:bCs/>
                <w:noProof/>
                <w:sz w:val="28"/>
                <w:szCs w:val="28"/>
                <w:lang w:bidi="ar-EG"/>
              </w:rPr>
              <w:t>:</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_Toc234906713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sidR="00447CE5">
              <w:rPr>
                <w:rFonts w:ascii="Traditional Arabic" w:hAnsi="Traditional Arabic" w:cs="Traditional Arabic"/>
                <w:noProof/>
                <w:webHidden/>
                <w:sz w:val="28"/>
                <w:szCs w:val="28"/>
                <w:rtl/>
              </w:rPr>
              <w:t>39</w:t>
            </w:r>
            <w:r w:rsidRPr="00A117CD">
              <w:rPr>
                <w:rFonts w:ascii="Traditional Arabic" w:hAnsi="Traditional Arabic" w:cs="Traditional Arabic"/>
                <w:noProof/>
                <w:webHidden/>
                <w:sz w:val="28"/>
                <w:szCs w:val="28"/>
              </w:rPr>
              <w:fldChar w:fldCharType="end"/>
            </w:r>
          </w:hyperlink>
        </w:p>
        <w:p w14:paraId="125B4DA1" w14:textId="02C36631" w:rsidR="00771608" w:rsidRDefault="00771608" w:rsidP="00A117CD">
          <w:pPr>
            <w:bidi/>
            <w:jc w:val="both"/>
          </w:pPr>
          <w:r w:rsidRPr="00A117CD">
            <w:rPr>
              <w:rFonts w:ascii="Traditional Arabic" w:hAnsi="Traditional Arabic" w:cs="Traditional Arabic"/>
              <w:b/>
              <w:bCs/>
              <w:noProof/>
              <w:sz w:val="32"/>
              <w:szCs w:val="32"/>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F93AA16" w14:textId="77777777" w:rsidR="00FB52A7" w:rsidRDefault="00FB52A7" w:rsidP="00FB52A7">
      <w:pPr>
        <w:tabs>
          <w:tab w:val="left" w:pos="5505"/>
        </w:tabs>
        <w:bidi/>
        <w:rPr>
          <w:rFonts w:ascii="Traditional Arabic" w:hAnsi="Traditional Arabic" w:cs="Traditional Arabic"/>
          <w:b/>
          <w:bCs/>
          <w:sz w:val="32"/>
          <w:szCs w:val="32"/>
          <w:rtl/>
          <w:lang w:bidi="ar-EG"/>
        </w:rPr>
      </w:pPr>
    </w:p>
    <w:p w14:paraId="4723A62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45196E8E" w14:textId="77777777" w:rsidR="00A117CD" w:rsidRDefault="00A117CD" w:rsidP="00A117CD">
      <w:pPr>
        <w:tabs>
          <w:tab w:val="left" w:pos="5505"/>
        </w:tabs>
        <w:bidi/>
        <w:rPr>
          <w:rFonts w:ascii="Traditional Arabic" w:hAnsi="Traditional Arabic" w:cs="Traditional Arabic"/>
          <w:b/>
          <w:bCs/>
          <w:sz w:val="32"/>
          <w:szCs w:val="32"/>
          <w:rtl/>
          <w:lang w:bidi="ar-EG"/>
        </w:rPr>
      </w:pPr>
    </w:p>
    <w:p w14:paraId="22D56868" w14:textId="77777777" w:rsidR="00A117CD" w:rsidRDefault="00A117CD" w:rsidP="00A117CD">
      <w:pPr>
        <w:tabs>
          <w:tab w:val="left" w:pos="5505"/>
        </w:tabs>
        <w:bidi/>
        <w:rPr>
          <w:rFonts w:ascii="Traditional Arabic" w:hAnsi="Traditional Arabic" w:cs="Traditional Arabic"/>
          <w:b/>
          <w:bCs/>
          <w:sz w:val="32"/>
          <w:szCs w:val="32"/>
          <w:lang w:bidi="ar-EG"/>
        </w:rPr>
      </w:pPr>
    </w:p>
    <w:p w14:paraId="3B94279C" w14:textId="77777777" w:rsidR="004447F4" w:rsidRDefault="004447F4" w:rsidP="004447F4">
      <w:pPr>
        <w:tabs>
          <w:tab w:val="left" w:pos="5505"/>
        </w:tabs>
        <w:bidi/>
        <w:rPr>
          <w:rFonts w:ascii="Traditional Arabic" w:hAnsi="Traditional Arabic" w:cs="Traditional Arabic"/>
          <w:b/>
          <w:bCs/>
          <w:sz w:val="32"/>
          <w:szCs w:val="32"/>
          <w:lang w:bidi="ar-EG"/>
        </w:rPr>
      </w:pPr>
    </w:p>
    <w:p w14:paraId="4D1E70EE" w14:textId="77777777" w:rsidR="00F821D1" w:rsidRDefault="00F821D1" w:rsidP="00F821D1">
      <w:pPr>
        <w:tabs>
          <w:tab w:val="left" w:pos="5505"/>
        </w:tabs>
        <w:bidi/>
        <w:rPr>
          <w:rFonts w:ascii="Traditional Arabic" w:hAnsi="Traditional Arabic" w:cs="Traditional Arabic"/>
          <w:b/>
          <w:bCs/>
          <w:sz w:val="32"/>
          <w:szCs w:val="32"/>
          <w:lang w:bidi="ar-EG"/>
        </w:rPr>
      </w:pPr>
    </w:p>
    <w:p w14:paraId="250F3668" w14:textId="77777777" w:rsidR="004447F4" w:rsidRPr="003F3EF0" w:rsidRDefault="004447F4" w:rsidP="004447F4">
      <w:pPr>
        <w:tabs>
          <w:tab w:val="left" w:pos="5505"/>
        </w:tabs>
        <w:bidi/>
        <w:rPr>
          <w:rFonts w:ascii="Traditional Arabic" w:hAnsi="Traditional Arabic" w:cs="Traditional Arabic"/>
          <w:b/>
          <w:bCs/>
          <w:sz w:val="32"/>
          <w:szCs w:val="32"/>
          <w:rtl/>
          <w:lang w:bidi="ar-EG"/>
        </w:rPr>
      </w:pPr>
    </w:p>
    <w:p w14:paraId="10687919" w14:textId="3E93AEF3" w:rsidR="00381527" w:rsidRPr="004447F4" w:rsidRDefault="003F3EF0" w:rsidP="00381527">
      <w:pPr>
        <w:pStyle w:val="Heading1"/>
        <w:bidi/>
        <w:jc w:val="center"/>
        <w:rPr>
          <w:rFonts w:ascii="Andalus" w:hAnsi="Andalus" w:cs="Andalus"/>
          <w:b/>
          <w:bCs/>
          <w:color w:val="auto"/>
          <w:sz w:val="96"/>
          <w:szCs w:val="96"/>
          <w:rtl/>
          <w:lang w:bidi="ar-EG"/>
        </w:rPr>
      </w:pPr>
      <w:bookmarkStart w:id="0" w:name="_Toc234906706"/>
      <w:r w:rsidRPr="004447F4">
        <w:rPr>
          <w:rFonts w:ascii="Andalus" w:hAnsi="Andalus" w:cs="Andalus"/>
          <w:b/>
          <w:bCs/>
          <w:color w:val="auto"/>
          <w:sz w:val="96"/>
          <w:szCs w:val="96"/>
          <w:rtl/>
          <w:lang w:bidi="ar-EG"/>
        </w:rPr>
        <w:t xml:space="preserve">الفصل </w:t>
      </w:r>
      <w:r w:rsidR="00381527" w:rsidRPr="004447F4">
        <w:rPr>
          <w:rFonts w:ascii="Andalus" w:hAnsi="Andalus" w:cs="Andalus"/>
          <w:b/>
          <w:bCs/>
          <w:color w:val="auto"/>
          <w:sz w:val="96"/>
          <w:szCs w:val="96"/>
          <w:rtl/>
          <w:lang w:bidi="ar-EG"/>
        </w:rPr>
        <w:t>الثاني</w:t>
      </w:r>
      <w:r w:rsidRPr="004447F4">
        <w:rPr>
          <w:rFonts w:ascii="Andalus" w:hAnsi="Andalus" w:cs="Andalus"/>
          <w:b/>
          <w:bCs/>
          <w:color w:val="auto"/>
          <w:sz w:val="96"/>
          <w:szCs w:val="96"/>
          <w:rtl/>
          <w:lang w:bidi="ar-EG"/>
        </w:rPr>
        <w:t>:</w:t>
      </w:r>
      <w:bookmarkEnd w:id="0"/>
    </w:p>
    <w:p w14:paraId="37013CCE" w14:textId="77777777" w:rsidR="00381527" w:rsidRPr="004447F4" w:rsidRDefault="00381527" w:rsidP="00381527">
      <w:pPr>
        <w:pStyle w:val="Heading1"/>
        <w:bidi/>
        <w:jc w:val="center"/>
        <w:rPr>
          <w:rFonts w:ascii="Andalus" w:hAnsi="Andalus" w:cs="Andalus"/>
          <w:b/>
          <w:bCs/>
          <w:color w:val="auto"/>
          <w:sz w:val="96"/>
          <w:szCs w:val="96"/>
          <w:rtl/>
          <w:lang w:bidi="ar-EG"/>
        </w:rPr>
      </w:pPr>
      <w:bookmarkStart w:id="1" w:name="_Toc234906707"/>
      <w:r w:rsidRPr="004447F4">
        <w:rPr>
          <w:rFonts w:ascii="Andalus" w:hAnsi="Andalus" w:cs="Andalus"/>
          <w:b/>
          <w:bCs/>
          <w:color w:val="auto"/>
          <w:sz w:val="96"/>
          <w:szCs w:val="96"/>
          <w:rtl/>
          <w:lang w:bidi="ar-EG"/>
        </w:rPr>
        <w:t>الإطار النظري للدراسة</w:t>
      </w:r>
      <w:bookmarkEnd w:id="1"/>
      <w:r w:rsidRPr="004447F4">
        <w:rPr>
          <w:rFonts w:ascii="Andalus" w:hAnsi="Andalus" w:cs="Andalus"/>
          <w:b/>
          <w:bCs/>
          <w:color w:val="auto"/>
          <w:sz w:val="96"/>
          <w:szCs w:val="96"/>
          <w:rtl/>
          <w:lang w:bidi="ar-EG"/>
        </w:rPr>
        <w:t xml:space="preserve"> </w:t>
      </w:r>
    </w:p>
    <w:p w14:paraId="05730F3A" w14:textId="3524269A" w:rsidR="003F3EF0" w:rsidRPr="00381527" w:rsidRDefault="003F3EF0" w:rsidP="003F3EF0">
      <w:pPr>
        <w:pStyle w:val="Heading1"/>
        <w:bidi/>
        <w:jc w:val="center"/>
        <w:rPr>
          <w:rFonts w:ascii="Microsoft Uighur" w:hAnsi="Microsoft Uighur" w:cs="Microsoft Uighur"/>
          <w:b/>
          <w:bCs/>
          <w:color w:val="auto"/>
          <w:sz w:val="96"/>
          <w:szCs w:val="96"/>
          <w:rtl/>
          <w:lang w:bidi="ar-EG"/>
        </w:rPr>
      </w:pP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37E2DB61" w14:textId="77777777" w:rsidR="00E036BB" w:rsidRDefault="00E036BB" w:rsidP="00E036BB">
      <w:pPr>
        <w:tabs>
          <w:tab w:val="left" w:pos="5505"/>
        </w:tabs>
        <w:bidi/>
        <w:rPr>
          <w:rFonts w:ascii="Traditional Arabic" w:hAnsi="Traditional Arabic" w:cs="Traditional Arabic"/>
          <w:b/>
          <w:bCs/>
          <w:sz w:val="32"/>
          <w:szCs w:val="32"/>
          <w:lang w:bidi="ar-EG"/>
        </w:rPr>
      </w:pPr>
    </w:p>
    <w:p w14:paraId="1B0CBE41" w14:textId="77777777" w:rsidR="00E16542" w:rsidRDefault="00E16542" w:rsidP="00E16542">
      <w:pPr>
        <w:tabs>
          <w:tab w:val="left" w:pos="5505"/>
        </w:tabs>
        <w:bidi/>
        <w:rPr>
          <w:rFonts w:ascii="Traditional Arabic" w:hAnsi="Traditional Arabic" w:cs="Traditional Arabic"/>
          <w:b/>
          <w:bCs/>
          <w:sz w:val="32"/>
          <w:szCs w:val="32"/>
          <w:lang w:bidi="ar-EG"/>
        </w:rPr>
      </w:pPr>
    </w:p>
    <w:p w14:paraId="2986D680" w14:textId="3F609E39" w:rsidR="00E16542" w:rsidRPr="000C6D1E" w:rsidRDefault="00E16542" w:rsidP="000C6D1E">
      <w:pPr>
        <w:pStyle w:val="Heading2"/>
        <w:bidi/>
        <w:spacing w:line="360" w:lineRule="auto"/>
        <w:rPr>
          <w:rFonts w:ascii="Traditional Arabic" w:hAnsi="Traditional Arabic" w:cs="Traditional Arabic"/>
          <w:b/>
          <w:bCs/>
          <w:lang w:bidi="ar-EG"/>
        </w:rPr>
      </w:pPr>
      <w:bookmarkStart w:id="2" w:name="_Toc234906708"/>
      <w:r w:rsidRPr="000C6D1E">
        <w:rPr>
          <w:rFonts w:ascii="Traditional Arabic" w:hAnsi="Traditional Arabic" w:cs="Traditional Arabic"/>
          <w:b/>
          <w:bCs/>
          <w:color w:val="auto"/>
          <w:rtl/>
          <w:lang w:bidi="ar-EG"/>
        </w:rPr>
        <w:lastRenderedPageBreak/>
        <w:t>متغيرات الدراسة:</w:t>
      </w:r>
      <w:bookmarkEnd w:id="2"/>
    </w:p>
    <w:p w14:paraId="64D29301"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يعتمد نموذج هذه الدراسة على تحليل العلاقة بين متغير تابع وهو تطوير الأنظمة الصحية في القطاع الصحي بالمملكة، وثلاثة متغيرات مستقلة تمثل جوانب دمج التقنيات الحديثة في هذا القطاع. يهدف النموذج إلى توضيح أثر دمج تقنيات الميتافيرس والبلوكشين على تحسين جودة الخدمات الصحية، وكفاءة إدارة البيانات الطبية، وتعزيز التدريب الطبي للكوادر الصحية، بما يسهم في تحقيق التحول الرقمي المستدام في النظام الصحي</w:t>
      </w:r>
      <w:r w:rsidRPr="006132DB">
        <w:rPr>
          <w:rFonts w:ascii="Traditional Arabic" w:hAnsi="Traditional Arabic" w:cs="Traditional Arabic"/>
          <w:sz w:val="28"/>
          <w:szCs w:val="28"/>
          <w:lang w:bidi="ar-EG"/>
        </w:rPr>
        <w:t>.</w:t>
      </w:r>
    </w:p>
    <w:p w14:paraId="7D5E6ED7" w14:textId="77777777" w:rsidR="00275055" w:rsidRPr="006132DB" w:rsidRDefault="00275055" w:rsidP="00275055">
      <w:pPr>
        <w:pStyle w:val="ListParagraph"/>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التابع: تطوير الأنظمة الصحية</w:t>
      </w:r>
    </w:p>
    <w:p w14:paraId="2ACF3A5F"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 xml:space="preserve">يعد تطوير الأنظمة الصحية المتغير التابع في هذه الدراسة، حيث يعكس التطورات التي يمكن تحقيقها في الأداء المؤسسي للقطاع الصحي نتيجة تطبيق التقنيات الحديثة. يتجلى هذا المتغير في عدة جوانب مترابطة، تشمل جودة الخدمات الصحية المقدمة للمرضى، وكفاءة إدارة البيانات والمعلومات الطبية، وفاعلية التدريب الطبي للكوادر الصحية. ويعكس المتغير التابع النتيجة النهائية التي يمكن قياسها من خلال مؤشرات كمية ونوعية تعكس مدى التحسين في الأداء والخدمات، بما يضمن تقديم رعاية صحية متكاملة وآمنة وفعالة </w:t>
      </w:r>
      <w:sdt>
        <w:sdtPr>
          <w:rPr>
            <w:rFonts w:ascii="Traditional Arabic" w:hAnsi="Traditional Arabic" w:cs="Traditional Arabic"/>
            <w:sz w:val="28"/>
            <w:szCs w:val="28"/>
            <w:rtl/>
          </w:rPr>
          <w:id w:val="417222284"/>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Jav242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Javaid</w:t>
          </w:r>
          <w:r w:rsidRPr="006132DB">
            <w:rPr>
              <w:rFonts w:ascii="Traditional Arabic" w:hAnsi="Traditional Arabic" w:cs="Traditional Arabic"/>
              <w:noProof/>
              <w:sz w:val="28"/>
              <w:szCs w:val="28"/>
              <w:rtl/>
              <w:lang w:bidi="ar-EG"/>
            </w:rPr>
            <w:t>، 2024)</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6AFF298C" w14:textId="77777777" w:rsidR="00275055" w:rsidRPr="006132DB" w:rsidRDefault="00275055" w:rsidP="00275055">
      <w:pPr>
        <w:pStyle w:val="ListParagraph"/>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المستقل الأول: دمج تقنية الميتافيرس</w:t>
      </w:r>
    </w:p>
    <w:p w14:paraId="59E9D44C" w14:textId="77777777" w:rsidR="00275055" w:rsidRDefault="00275055" w:rsidP="00275055">
      <w:pPr>
        <w:bidi/>
        <w:spacing w:line="360" w:lineRule="auto"/>
        <w:jc w:val="both"/>
        <w:rPr>
          <w:rFonts w:ascii="Traditional Arabic" w:hAnsi="Traditional Arabic" w:cs="Traditional Arabic"/>
          <w:sz w:val="28"/>
          <w:szCs w:val="28"/>
          <w:rtl/>
          <w:lang w:bidi="ar-EG"/>
        </w:rPr>
      </w:pPr>
      <w:r w:rsidRPr="006132DB">
        <w:rPr>
          <w:rFonts w:ascii="Traditional Arabic" w:hAnsi="Traditional Arabic" w:cs="Traditional Arabic"/>
          <w:sz w:val="28"/>
          <w:szCs w:val="28"/>
          <w:rtl/>
        </w:rPr>
        <w:t xml:space="preserve">يركز هذا المتغير على استخدام تقنيات الواقع الافتراضي والتفاعلي في تطوير الخدمات الصحية والتدريب الطبي. ويشمل قدرة النظام الصحي على تقديم محاكاة عملية للكوادر الطبية، مما يمكنهم من التدريب على حالات مرضية متنوعة في بيئة افتراضية آمنة، بالإضافة إلى تحسين تجربة المرضى من خلال تقديم خدمات تفاعلية مبتكرة. كما يسهم دمج الميتافيرس في رفع كفاءة التعلم الطبي لدى الأطباء والممرضين، حيث يمكنهم اكتساب مهارات عملية وتطبيقية متقدمة دون التعرض للمخاطر التقليدية المرتبطة بالتدريب الميداني </w:t>
      </w:r>
      <w:sdt>
        <w:sdtPr>
          <w:rPr>
            <w:rFonts w:ascii="Traditional Arabic" w:hAnsi="Traditional Arabic" w:cs="Traditional Arabic"/>
            <w:sz w:val="28"/>
            <w:szCs w:val="28"/>
            <w:rtl/>
          </w:rPr>
          <w:id w:val="-1688601595"/>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Pop24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Popov</w:t>
          </w:r>
          <w:r w:rsidRPr="006132DB">
            <w:rPr>
              <w:rFonts w:ascii="Traditional Arabic" w:hAnsi="Traditional Arabic" w:cs="Traditional Arabic"/>
              <w:noProof/>
              <w:sz w:val="28"/>
              <w:szCs w:val="28"/>
              <w:rtl/>
              <w:lang w:bidi="ar-EG"/>
            </w:rPr>
            <w:t>، 2024)</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p>
    <w:p w14:paraId="70DE0AF0" w14:textId="77777777" w:rsidR="00275055" w:rsidRDefault="00275055" w:rsidP="00275055">
      <w:pPr>
        <w:bidi/>
        <w:spacing w:line="360" w:lineRule="auto"/>
        <w:jc w:val="both"/>
        <w:rPr>
          <w:rFonts w:ascii="Traditional Arabic" w:hAnsi="Traditional Arabic" w:cs="Traditional Arabic"/>
          <w:sz w:val="28"/>
          <w:szCs w:val="28"/>
          <w:rtl/>
          <w:lang w:bidi="ar-EG"/>
        </w:rPr>
      </w:pPr>
    </w:p>
    <w:p w14:paraId="420DE5A9"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p>
    <w:p w14:paraId="7A824BEF" w14:textId="77777777" w:rsidR="00275055" w:rsidRPr="006132DB" w:rsidRDefault="00275055" w:rsidP="00275055">
      <w:pPr>
        <w:pStyle w:val="ListParagraph"/>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lastRenderedPageBreak/>
        <w:t>المتغير المستقل الثاني: دمج تقنية البلوكشين</w:t>
      </w:r>
    </w:p>
    <w:p w14:paraId="73A81857"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 xml:space="preserve">يمثل دمج البلوكشين جانبًا أساسيًا في تطوير الأنظمة الصحية، إذ يركز على ضمان أمان وشفافية إدارة البيانات الصحية. يساهم هذا المتغير في حماية المعلومات الحساسة للمرضى ومنع التلاعب بها، كما يسهل تبادل البيانات بين المستشفيات والعيادات المختلفة بشكل آمن وشفاف. إضافة إلى ذلك، فإن استخدام البلوكشين يحد من الأخطاء الطبية المرتبطة بسوء إدارة البيانات، ويتيح التحقق الدائم من صحة المعلومات وسلامة سجلات المرضى، مما يعزز مستوى الثقة في النظام الصحي ككل </w:t>
      </w:r>
      <w:sdt>
        <w:sdtPr>
          <w:rPr>
            <w:rFonts w:ascii="Traditional Arabic" w:hAnsi="Traditional Arabic" w:cs="Traditional Arabic"/>
            <w:sz w:val="28"/>
            <w:szCs w:val="28"/>
            <w:rtl/>
          </w:rPr>
          <w:id w:val="986672208"/>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Pok25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Pokharel</w:t>
          </w:r>
          <w:r w:rsidRPr="006132DB">
            <w:rPr>
              <w:rFonts w:ascii="Traditional Arabic" w:hAnsi="Traditional Arabic" w:cs="Traditional Arabic"/>
              <w:noProof/>
              <w:sz w:val="28"/>
              <w:szCs w:val="28"/>
              <w:rtl/>
              <w:lang w:bidi="ar-EG"/>
            </w:rPr>
            <w:t>، 2025)</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12BAC003" w14:textId="77777777" w:rsidR="00275055" w:rsidRPr="006132DB" w:rsidRDefault="00275055" w:rsidP="00275055">
      <w:pPr>
        <w:pStyle w:val="ListParagraph"/>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المستقل الثالث: الاستراتيجيات التنظيمية والتقنية</w:t>
      </w:r>
    </w:p>
    <w:p w14:paraId="2164F70D" w14:textId="77777777" w:rsidR="00275055" w:rsidRDefault="00275055" w:rsidP="00275055">
      <w:pPr>
        <w:bidi/>
        <w:spacing w:line="360" w:lineRule="auto"/>
        <w:jc w:val="both"/>
        <w:rPr>
          <w:rFonts w:ascii="Simplified Arabic" w:hAnsi="Simplified Arabic" w:cs="Simplified Arabic"/>
          <w:rtl/>
          <w:lang w:bidi="ar-EG"/>
        </w:rPr>
      </w:pPr>
      <w:r w:rsidRPr="006132DB">
        <w:rPr>
          <w:rFonts w:ascii="Traditional Arabic" w:hAnsi="Traditional Arabic" w:cs="Traditional Arabic"/>
          <w:sz w:val="28"/>
          <w:szCs w:val="28"/>
          <w:rtl/>
        </w:rPr>
        <w:t xml:space="preserve">يشير هذا المتغير إلى الأطر التنظيمية والتقنية التي تدعم تطبيق الميتافيرس والبلوكشين في القطاع الصحي، حيث يشمل تصميم السياسات والإجراءات اللازمة لضمان تكامل التقنيات الحديثة مع العمليات اليومية. كما يشمل تدريب الكوادر الصحية على استخدام هذه التقنيات بفاعلية، ووضع استراتيجيات طويلة المدى تضمن الاستدامة والفعالية في تطبيق التقنيات الحديثة. هذا المتغير يعكس الدور المحوري للحوكمة والإدارة في تحقيق النجاح المرجو من دمج هذه التقنيات ضمن النظام الصحي </w:t>
      </w:r>
      <w:sdt>
        <w:sdtPr>
          <w:rPr>
            <w:rFonts w:ascii="Traditional Arabic" w:hAnsi="Traditional Arabic" w:cs="Traditional Arabic"/>
            <w:sz w:val="28"/>
            <w:szCs w:val="28"/>
            <w:rtl/>
          </w:rPr>
          <w:id w:val="97840188"/>
          <w:citation/>
        </w:sdtPr>
        <w:sdtEndPr>
          <w:rPr>
            <w:rFonts w:ascii="Simplified Arabic" w:hAnsi="Simplified Arabic" w:cs="Simplified Arabic" w:hint="cs"/>
            <w:sz w:val="24"/>
            <w:szCs w:val="24"/>
          </w:rPr>
        </w:sdtEnd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Isr23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Isravel</w:t>
          </w:r>
          <w:r w:rsidRPr="006132DB">
            <w:rPr>
              <w:rFonts w:ascii="Traditional Arabic" w:hAnsi="Traditional Arabic" w:cs="Traditional Arabic"/>
              <w:noProof/>
              <w:sz w:val="28"/>
              <w:szCs w:val="28"/>
              <w:rtl/>
              <w:lang w:bidi="ar-EG"/>
            </w:rPr>
            <w:t>، 2023)</w:t>
          </w:r>
          <w:r w:rsidRPr="006132DB">
            <w:rPr>
              <w:rFonts w:ascii="Traditional Arabic" w:hAnsi="Traditional Arabic" w:cs="Traditional Arabic"/>
              <w:sz w:val="28"/>
              <w:szCs w:val="28"/>
              <w:rtl/>
            </w:rPr>
            <w:fldChar w:fldCharType="end"/>
          </w:r>
        </w:sdtContent>
      </w:sdt>
      <w:r w:rsidRPr="00A03F75">
        <w:rPr>
          <w:rFonts w:ascii="Simplified Arabic" w:hAnsi="Simplified Arabic" w:cs="Simplified Arabic"/>
          <w:lang w:bidi="ar-EG"/>
        </w:rPr>
        <w:t>.</w:t>
      </w:r>
    </w:p>
    <w:p w14:paraId="39667DE6" w14:textId="1E708064" w:rsidR="00275055" w:rsidRDefault="00275055" w:rsidP="00275055">
      <w:pPr>
        <w:bidi/>
        <w:spacing w:line="360" w:lineRule="auto"/>
        <w:jc w:val="center"/>
      </w:pPr>
      <w:r>
        <w:object w:dxaOrig="7020" w:dyaOrig="5304" w14:anchorId="228F0C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pt;height:248.5pt" o:ole="">
            <v:imagedata r:id="rId9" o:title=""/>
          </v:shape>
          <o:OLEObject Type="Embed" ProgID="Visio.Drawing.15" ShapeID="_x0000_i1025" DrawAspect="Content" ObjectID="_1846896371" r:id="rId10"/>
        </w:object>
      </w:r>
    </w:p>
    <w:p w14:paraId="2BF8A1AB" w14:textId="77777777" w:rsidR="00275055" w:rsidRPr="006132DB" w:rsidRDefault="00275055" w:rsidP="00275055">
      <w:pPr>
        <w:bidi/>
        <w:rPr>
          <w:rFonts w:ascii="Traditional Arabic" w:hAnsi="Traditional Arabic" w:cs="Traditional Arabic"/>
          <w:sz w:val="28"/>
          <w:szCs w:val="28"/>
          <w:u w:val="single"/>
          <w:rtl/>
          <w:lang w:bidi="ar-EG"/>
        </w:rPr>
      </w:pPr>
      <w:r w:rsidRPr="006132DB">
        <w:rPr>
          <w:rFonts w:ascii="Traditional Arabic" w:hAnsi="Traditional Arabic" w:cs="Traditional Arabic"/>
          <w:b/>
          <w:bCs/>
          <w:sz w:val="28"/>
          <w:szCs w:val="28"/>
          <w:rtl/>
          <w:lang w:bidi="ar-EG"/>
        </w:rPr>
        <w:t>المصدر:</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u w:val="single"/>
          <w:rtl/>
          <w:lang w:bidi="ar-EG"/>
        </w:rPr>
        <w:t>إعداد الباحث بالاعتماد على الدراسات السابقة</w:t>
      </w:r>
    </w:p>
    <w:p w14:paraId="7C5EF10A" w14:textId="77777777" w:rsidR="00275055" w:rsidRPr="006132DB" w:rsidRDefault="00275055" w:rsidP="005723AC">
      <w:pPr>
        <w:bidi/>
        <w:spacing w:after="0"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lastRenderedPageBreak/>
        <w:t>يعتمد النموذج على توضيح الدور التفاعلي والتكاملي بين دمج تقنيتي الميتافيرس والبلوكشين في تطوير الأنظمة الصحية بالمملكة العربية السعودية، مع إبراز الدور التيسيري للسياسات والاستراتيجيات التنظيمية والتقنية في تعزيز هذا التكامل</w:t>
      </w:r>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ويفترض النموذج أن العلاقة بين الميتافيرس والبلوكشين ليست علاقة خطية أو منفصلة، بل هي علاقة تآزر ثنائية الاتجاه، حيث تُنتِج تطبيقات الميتافيرس كميات كبيرة من البيانات التفاعلية التي تتطلب أنظمة تخزين آمنة وشفافة يوفرها البلوكشين، في حين يسهم البلوكشين في تعزيز الثقة والموثوقية في البيئات الافتراضية الطبية، مما يدعم انتشار تقنيات الميتافيرس واستخدامها في التدريب التشخيصي والسريري</w:t>
      </w:r>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كما يفترض النموذج أن الاستراتيجيات التنظيمية والتقنية تمثل متغيرًا وسيطًا أو معدِّلًا للعلاقة بين التقنيتين، إذ تُسهم في رفع الجاهزية المؤسسية، وتسهيل التطبيق، وتقليل المخاطر التقنية والتنظيمية، وبالتالي تزيد من فعالية الدمج بين الميتافيرس والبلوكشين</w:t>
      </w:r>
      <w:r w:rsidRPr="006132DB">
        <w:rPr>
          <w:rFonts w:ascii="Traditional Arabic" w:hAnsi="Traditional Arabic" w:cs="Traditional Arabic"/>
          <w:sz w:val="28"/>
          <w:szCs w:val="28"/>
          <w:lang w:bidi="ar-EG"/>
        </w:rPr>
        <w:t>.</w:t>
      </w:r>
    </w:p>
    <w:p w14:paraId="3975A652" w14:textId="77777777" w:rsidR="00002C18" w:rsidRDefault="00002C18" w:rsidP="00002C18">
      <w:pPr>
        <w:rPr>
          <w:rtl/>
          <w:lang w:bidi="ar-EG"/>
        </w:rPr>
      </w:pPr>
      <w:bookmarkStart w:id="3" w:name="_Toc221326643"/>
    </w:p>
    <w:p w14:paraId="0040E031" w14:textId="35813908" w:rsidR="00002C18" w:rsidRDefault="00002C18" w:rsidP="00002C18">
      <w:pPr>
        <w:pStyle w:val="Heading2"/>
        <w:bidi/>
        <w:rPr>
          <w:rFonts w:ascii="Traditional Arabic" w:hAnsi="Traditional Arabic" w:cs="Traditional Arabic"/>
          <w:b/>
          <w:bCs/>
          <w:color w:val="auto"/>
          <w:rtl/>
          <w:lang w:bidi="ar-EG"/>
        </w:rPr>
      </w:pPr>
      <w:r>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3"/>
    </w:p>
    <w:p w14:paraId="53E56D73" w14:textId="77777777" w:rsidR="00002C18" w:rsidRPr="006132DB" w:rsidRDefault="00002C18" w:rsidP="00002C18">
      <w:pPr>
        <w:bidi/>
        <w:spacing w:after="0" w:line="360" w:lineRule="auto"/>
        <w:jc w:val="both"/>
        <w:rPr>
          <w:rFonts w:ascii="Traditional Arabic" w:hAnsi="Traditional Arabic" w:cs="Traditional Arabic"/>
          <w:b/>
          <w:bCs/>
          <w:sz w:val="28"/>
          <w:szCs w:val="28"/>
        </w:rPr>
      </w:pPr>
      <w:r w:rsidRPr="006132DB">
        <w:rPr>
          <w:rFonts w:ascii="Traditional Arabic" w:hAnsi="Traditional Arabic" w:cs="Traditional Arabic"/>
          <w:b/>
          <w:bCs/>
          <w:sz w:val="28"/>
          <w:szCs w:val="28"/>
          <w:rtl/>
        </w:rPr>
        <w:t>الفرضية الرئيسية للدراسة</w:t>
      </w:r>
    </w:p>
    <w:p w14:paraId="23A4B0B8" w14:textId="77777777" w:rsidR="00002C18" w:rsidRPr="006132DB" w:rsidRDefault="00002C18" w:rsidP="00002C18">
      <w:pPr>
        <w:pStyle w:val="ListParagraph"/>
        <w:numPr>
          <w:ilvl w:val="0"/>
          <w:numId w:val="7"/>
        </w:numPr>
        <w:tabs>
          <w:tab w:val="clear" w:pos="720"/>
        </w:tabs>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تفترض الدراسة أن دمج تقنيات الميتافيرس والبلوكشين في تطوير الأنظمة الصحية بالمملكة العربية السعودية يسهم بشكل إيجابي وملموس في تحسين جودة الخدمات الصحية وتعزيز كفاءة إدارة البيانات الطبية والتدريب الطبي للكوادر الصحية</w:t>
      </w:r>
      <w:r w:rsidRPr="006132DB">
        <w:rPr>
          <w:rFonts w:ascii="Traditional Arabic" w:hAnsi="Traditional Arabic" w:cs="Traditional Arabic"/>
          <w:sz w:val="28"/>
          <w:szCs w:val="28"/>
        </w:rPr>
        <w:t>.</w:t>
      </w:r>
    </w:p>
    <w:p w14:paraId="001C3FD7" w14:textId="77777777" w:rsidR="00002C18" w:rsidRPr="006132DB" w:rsidRDefault="00002C18" w:rsidP="00002C18">
      <w:pPr>
        <w:bidi/>
        <w:spacing w:after="0" w:line="360" w:lineRule="auto"/>
        <w:jc w:val="both"/>
        <w:rPr>
          <w:rFonts w:ascii="Traditional Arabic" w:hAnsi="Traditional Arabic" w:cs="Traditional Arabic"/>
          <w:b/>
          <w:bCs/>
          <w:sz w:val="28"/>
          <w:szCs w:val="28"/>
          <w:rtl/>
        </w:rPr>
      </w:pPr>
      <w:r w:rsidRPr="006132DB">
        <w:rPr>
          <w:rFonts w:ascii="Traditional Arabic" w:hAnsi="Traditional Arabic" w:cs="Traditional Arabic"/>
          <w:b/>
          <w:bCs/>
          <w:sz w:val="28"/>
          <w:szCs w:val="28"/>
          <w:rtl/>
        </w:rPr>
        <w:t>الفرضيات الفرعية للدراسة</w:t>
      </w:r>
    </w:p>
    <w:p w14:paraId="56C9C909" w14:textId="77777777" w:rsidR="00002C18" w:rsidRPr="006132DB" w:rsidRDefault="00002C18" w:rsidP="00002C18">
      <w:pPr>
        <w:pStyle w:val="ListParagraph"/>
        <w:numPr>
          <w:ilvl w:val="0"/>
          <w:numId w:val="14"/>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تساهم تقنية الميتافيرس في رفع مستوى كفاءة التدريب الطبي والمحاكاة العملية للكوادر الصحية بشكل ملحوظ</w:t>
      </w:r>
      <w:r w:rsidRPr="006132DB">
        <w:rPr>
          <w:rFonts w:ascii="Traditional Arabic" w:hAnsi="Traditional Arabic" w:cs="Traditional Arabic"/>
          <w:sz w:val="28"/>
          <w:szCs w:val="28"/>
        </w:rPr>
        <w:t>.</w:t>
      </w:r>
    </w:p>
    <w:p w14:paraId="16324560" w14:textId="77777777" w:rsidR="00002C18" w:rsidRPr="006132DB" w:rsidRDefault="00002C18" w:rsidP="00002C18">
      <w:pPr>
        <w:pStyle w:val="ListParagraph"/>
        <w:numPr>
          <w:ilvl w:val="0"/>
          <w:numId w:val="14"/>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يسهم تطبيق تقنية البلوكشين في تعزيز أمان البيانات الصحية وضمان الشفافية في تبادل المعلومات بين الجهات الصحية</w:t>
      </w:r>
      <w:r w:rsidRPr="006132DB">
        <w:rPr>
          <w:rFonts w:ascii="Traditional Arabic" w:hAnsi="Traditional Arabic" w:cs="Traditional Arabic"/>
          <w:sz w:val="28"/>
          <w:szCs w:val="28"/>
        </w:rPr>
        <w:t>.</w:t>
      </w:r>
    </w:p>
    <w:p w14:paraId="219C3357" w14:textId="77777777" w:rsidR="00002C18" w:rsidRPr="006132DB" w:rsidRDefault="00002C18" w:rsidP="00002C18">
      <w:pPr>
        <w:pStyle w:val="ListParagraph"/>
        <w:numPr>
          <w:ilvl w:val="0"/>
          <w:numId w:val="14"/>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يساعد دمج تقنيات الميتافيرس والبلوكشين على تحسين جودة الخدمات الصحية المقدمة للمرضى</w:t>
      </w:r>
      <w:r w:rsidRPr="006132DB">
        <w:rPr>
          <w:rFonts w:ascii="Traditional Arabic" w:hAnsi="Traditional Arabic" w:cs="Traditional Arabic"/>
          <w:sz w:val="28"/>
          <w:szCs w:val="28"/>
        </w:rPr>
        <w:t>.</w:t>
      </w:r>
    </w:p>
    <w:p w14:paraId="006A64AE" w14:textId="77777777" w:rsidR="00002C18" w:rsidRPr="006132DB" w:rsidRDefault="00002C18" w:rsidP="00002C18">
      <w:pPr>
        <w:pStyle w:val="ListParagraph"/>
        <w:numPr>
          <w:ilvl w:val="0"/>
          <w:numId w:val="14"/>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تواجه المؤسسات الصحية تحديات تقنية وتنظيمية تؤثر على فعالية دمج هذه التقنيات في الأنظمة الصحية</w:t>
      </w:r>
      <w:r w:rsidRPr="006132DB">
        <w:rPr>
          <w:rFonts w:ascii="Traditional Arabic" w:hAnsi="Traditional Arabic" w:cs="Traditional Arabic"/>
          <w:sz w:val="28"/>
          <w:szCs w:val="28"/>
        </w:rPr>
        <w:t>.</w:t>
      </w:r>
    </w:p>
    <w:p w14:paraId="0CA5130C" w14:textId="77777777" w:rsidR="00002C18" w:rsidRPr="006132DB" w:rsidRDefault="00002C18" w:rsidP="00002C18">
      <w:pPr>
        <w:pStyle w:val="ListParagraph"/>
        <w:numPr>
          <w:ilvl w:val="0"/>
          <w:numId w:val="14"/>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يمكن تطوير استراتيجيات فعّالة لتطبيق دمج تقنيات الميتافيرس والبلوكشين بما يحقق الاستدامة والكفاءة في النظام الصحي</w:t>
      </w:r>
      <w:r w:rsidRPr="006132DB">
        <w:rPr>
          <w:rFonts w:ascii="Traditional Arabic" w:hAnsi="Traditional Arabic" w:cs="Traditional Arabic"/>
          <w:sz w:val="28"/>
          <w:szCs w:val="28"/>
        </w:rPr>
        <w:t>.</w:t>
      </w:r>
    </w:p>
    <w:p w14:paraId="2819C900" w14:textId="77777777" w:rsidR="00002C18" w:rsidRDefault="00002C18" w:rsidP="00002C18">
      <w:pPr>
        <w:tabs>
          <w:tab w:val="left" w:pos="5505"/>
        </w:tabs>
        <w:bidi/>
        <w:spacing w:after="0"/>
        <w:rPr>
          <w:rFonts w:ascii="Traditional Arabic" w:hAnsi="Traditional Arabic" w:cs="Traditional Arabic"/>
          <w:b/>
          <w:bCs/>
          <w:sz w:val="32"/>
          <w:szCs w:val="32"/>
          <w:rtl/>
          <w:lang w:bidi="ar-EG"/>
        </w:rPr>
      </w:pPr>
    </w:p>
    <w:p w14:paraId="2BCCBB63" w14:textId="77777777" w:rsidR="00002C18" w:rsidRPr="00002C18" w:rsidRDefault="00002C18" w:rsidP="00002C18">
      <w:pPr>
        <w:tabs>
          <w:tab w:val="left" w:pos="5505"/>
        </w:tabs>
        <w:bidi/>
        <w:spacing w:after="0"/>
        <w:rPr>
          <w:rFonts w:ascii="Traditional Arabic" w:hAnsi="Traditional Arabic" w:cs="Traditional Arabic"/>
          <w:b/>
          <w:bCs/>
          <w:sz w:val="32"/>
          <w:szCs w:val="32"/>
          <w:lang w:bidi="ar-EG"/>
        </w:rPr>
      </w:pPr>
    </w:p>
    <w:p w14:paraId="283D0C48" w14:textId="3B1028ED" w:rsidR="002B71ED" w:rsidRPr="005B1B61" w:rsidRDefault="002B71ED" w:rsidP="005723AC">
      <w:pPr>
        <w:pStyle w:val="Heading1"/>
        <w:bidi/>
        <w:spacing w:before="0" w:after="0" w:line="360" w:lineRule="auto"/>
        <w:rPr>
          <w:rFonts w:ascii="Traditional Arabic" w:hAnsi="Traditional Arabic" w:cs="Traditional Arabic"/>
          <w:b/>
          <w:bCs/>
          <w:color w:val="auto"/>
          <w:sz w:val="32"/>
          <w:szCs w:val="32"/>
          <w:lang w:bidi="ar-EG"/>
        </w:rPr>
      </w:pPr>
      <w:bookmarkStart w:id="4" w:name="_Toc234906709"/>
      <w:r w:rsidRPr="005B1B61">
        <w:rPr>
          <w:rFonts w:ascii="Traditional Arabic" w:hAnsi="Traditional Arabic" w:cs="Traditional Arabic" w:hint="cs"/>
          <w:b/>
          <w:bCs/>
          <w:color w:val="auto"/>
          <w:sz w:val="32"/>
          <w:szCs w:val="32"/>
          <w:rtl/>
          <w:lang w:bidi="ar-EG"/>
        </w:rPr>
        <w:lastRenderedPageBreak/>
        <w:t>الإطار النظري للدراسة</w:t>
      </w:r>
      <w:r w:rsidRPr="005B1B61">
        <w:rPr>
          <w:rFonts w:ascii="Traditional Arabic" w:hAnsi="Traditional Arabic" w:cs="Traditional Arabic"/>
          <w:b/>
          <w:bCs/>
          <w:color w:val="auto"/>
          <w:sz w:val="32"/>
          <w:szCs w:val="32"/>
          <w:lang w:bidi="ar-EG"/>
        </w:rPr>
        <w:t>:</w:t>
      </w:r>
      <w:bookmarkEnd w:id="4"/>
    </w:p>
    <w:p w14:paraId="405C5843" w14:textId="62909B27" w:rsidR="009055DA" w:rsidRPr="004768A3" w:rsidRDefault="009055DA" w:rsidP="004768A3">
      <w:pPr>
        <w:pStyle w:val="ListParagraph"/>
        <w:numPr>
          <w:ilvl w:val="0"/>
          <w:numId w:val="8"/>
        </w:numPr>
        <w:tabs>
          <w:tab w:val="left" w:pos="5505"/>
        </w:tabs>
        <w:bidi/>
        <w:spacing w:after="0" w:line="360" w:lineRule="auto"/>
        <w:jc w:val="both"/>
        <w:rPr>
          <w:rFonts w:ascii="Traditional Arabic" w:hAnsi="Traditional Arabic" w:cs="Traditional Arabic"/>
          <w:b/>
          <w:bCs/>
          <w:sz w:val="28"/>
          <w:szCs w:val="28"/>
          <w:rtl/>
          <w:lang w:bidi="ar-EG"/>
        </w:rPr>
      </w:pPr>
      <w:r w:rsidRPr="004768A3">
        <w:rPr>
          <w:rFonts w:ascii="Traditional Arabic" w:hAnsi="Traditional Arabic" w:cs="Traditional Arabic"/>
          <w:b/>
          <w:bCs/>
          <w:sz w:val="28"/>
          <w:szCs w:val="28"/>
          <w:rtl/>
        </w:rPr>
        <w:t>تأثير دمج تقنية الميتافيرس على تطوير الأنظمة الصحية في القطاع الصحي بالمملكة</w:t>
      </w:r>
      <w:r w:rsidRPr="004768A3">
        <w:rPr>
          <w:rFonts w:ascii="Traditional Arabic" w:hAnsi="Traditional Arabic" w:cs="Traditional Arabic"/>
          <w:b/>
          <w:bCs/>
          <w:sz w:val="28"/>
          <w:szCs w:val="28"/>
          <w:lang w:bidi="ar-EG"/>
        </w:rPr>
        <w:t>.</w:t>
      </w:r>
    </w:p>
    <w:p w14:paraId="0A46BDC0" w14:textId="087F8F1A"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تشكل تقنية الميتافيرس من أبرز التقنيات الرقمية الحديثة التي أحدثت تحولًا جوهريًا في العديد من القطاعات، ومن بينها القطاع الصحي الذي يشهد تطورًا متسارعًا نحو التحول الرقمي. ويُقصد بالميتافيرس بيئة افتراضية ثلاثية الأبعاد تتيح للمستخدمين التفاعل في فضاء رقمي متكامل من خلال تقنيات الواقع الافتراضي والواقع المعزز والذكاء الاصطناعي، بما يوفر تجربة أكثر واقعية وتفاعلية مقارنة بالأنظمة الرقمية التقليدية. وفي سياق القطاع الصحي بالمملكة العربية السعودية، تتوافق تطبيقات الميتافيرس مع مستهدفات التحول الرقمي ورؤية المملكة 2030 التي تسعى إلى تحسين جودة الخدمات الصحية ورفع كفاءة الأداء المؤسسي</w:t>
      </w:r>
      <w:r w:rsidRPr="004768A3">
        <w:rPr>
          <w:rFonts w:ascii="Traditional Arabic" w:hAnsi="Traditional Arabic" w:cs="Traditional Arabic"/>
          <w:sz w:val="28"/>
          <w:szCs w:val="28"/>
          <w:lang w:bidi="ar-EG"/>
        </w:rPr>
        <w:t>.</w:t>
      </w:r>
    </w:p>
    <w:p w14:paraId="56EA17CF" w14:textId="20A19AFC"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يساهم دمج تقنية الميتافيرس في تطوير الأنظمة الصحية من خلال توفير بيئات افتراضية متقدمة للتدريب الطبي والتعليم المستمر، حيث يمكن للأطباء والممارسين الصحيين محاكاة العمليات الجراحية والحالات السريرية المعقدة في بيئة آمنة دون تعريض المرضى لأي مخاطر. كما يتيح الميتافيرس تطوير أساليب التشخيص والعلاج عن بُعد عبر إنشاء عيادات ومستشفيات افتراضية تسمح بالتفاعل المباشر بين المرضى والأطباء بغض النظر عن الموقع الجغرافي. ويساعد ذلك في توسيع نطاق الوصول إلى الخدمات الصحية، خصوصًا في المناطق النائية التي قد تعاني من نقص في الكوادر الطبية المتخصصة</w:t>
      </w:r>
      <w:r w:rsidRPr="004768A3">
        <w:rPr>
          <w:rFonts w:ascii="Traditional Arabic" w:hAnsi="Traditional Arabic" w:cs="Traditional Arabic"/>
          <w:sz w:val="28"/>
          <w:szCs w:val="28"/>
          <w:lang w:bidi="ar-EG"/>
        </w:rPr>
        <w:t>.</w:t>
      </w:r>
    </w:p>
    <w:p w14:paraId="41AA7CCA" w14:textId="1BDE9507" w:rsidR="009055DA"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يساهم الميتافيرس في تحسين تجربة المريض من خلال توفير بيئات علاجية افتراضية تستخدم في التأهيل النفسي والعلاج السلوكي وإعادة التأهيل الحركي، حيث يمكن للمرضى التفاعل مع برامج علاجية مخصصة تعزز من استجابتهم للعلاج. كما تدعم هذه التقنية عمليات إدارة المستشفيات من خلال إنشاء نماذج رقمية تحاكي العمليات التشغيلية وتساعد صناع القرار على اختبار السيناريوهات المختلفة وتحسين استغلال الموارد الصحية. وبالتالي، فإن دمج تقنية الميتافيرس يمثل أداة استراتيجية لتطوير الأنظمة الصحية وتحقيق مستويات أعلى من الكفاءة والجودة والاستدامة في تقديم الرعاية الصحية بالمملكة</w:t>
      </w:r>
      <w:r w:rsidR="004536F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46535946"/>
          <w:citation/>
        </w:sdtPr>
        <w:sdtContent>
          <w:r w:rsidR="004536FA">
            <w:rPr>
              <w:rFonts w:ascii="Traditional Arabic" w:hAnsi="Traditional Arabic" w:cs="Traditional Arabic"/>
              <w:sz w:val="28"/>
              <w:szCs w:val="28"/>
              <w:rtl/>
            </w:rPr>
            <w:fldChar w:fldCharType="begin"/>
          </w:r>
          <w:r w:rsidR="004536FA">
            <w:rPr>
              <w:rFonts w:ascii="Traditional Arabic" w:hAnsi="Traditional Arabic" w:cs="Traditional Arabic"/>
              <w:sz w:val="28"/>
              <w:szCs w:val="28"/>
              <w:lang w:bidi="ar-EG"/>
            </w:rPr>
            <w:instrText xml:space="preserve">CITATION HeJ242 \l 3073 </w:instrText>
          </w:r>
          <w:r w:rsidR="004536FA">
            <w:rPr>
              <w:rFonts w:ascii="Traditional Arabic" w:hAnsi="Traditional Arabic" w:cs="Traditional Arabic"/>
              <w:sz w:val="28"/>
              <w:szCs w:val="28"/>
              <w:rtl/>
            </w:rPr>
            <w:fldChar w:fldCharType="separate"/>
          </w:r>
          <w:r w:rsidR="004536FA" w:rsidRPr="004536FA">
            <w:rPr>
              <w:rFonts w:ascii="Traditional Arabic" w:hAnsi="Traditional Arabic" w:cs="Traditional Arabic" w:hint="cs"/>
              <w:noProof/>
              <w:sz w:val="28"/>
              <w:szCs w:val="28"/>
              <w:rtl/>
            </w:rPr>
            <w:t>(</w:t>
          </w:r>
          <w:r w:rsidR="004536FA" w:rsidRPr="004536FA">
            <w:rPr>
              <w:rFonts w:ascii="Traditional Arabic" w:hAnsi="Traditional Arabic" w:cs="Traditional Arabic" w:hint="cs"/>
              <w:noProof/>
              <w:sz w:val="28"/>
              <w:szCs w:val="28"/>
            </w:rPr>
            <w:t>Ahmad</w:t>
          </w:r>
          <w:r w:rsidR="004536FA" w:rsidRPr="004536FA">
            <w:rPr>
              <w:rFonts w:ascii="Traditional Arabic" w:hAnsi="Traditional Arabic" w:cs="Traditional Arabic" w:hint="cs"/>
              <w:noProof/>
              <w:sz w:val="28"/>
              <w:szCs w:val="28"/>
              <w:rtl/>
            </w:rPr>
            <w:t>، 2024)</w:t>
          </w:r>
          <w:r w:rsidR="004536FA">
            <w:rPr>
              <w:rFonts w:ascii="Traditional Arabic" w:hAnsi="Traditional Arabic" w:cs="Traditional Arabic"/>
              <w:sz w:val="28"/>
              <w:szCs w:val="28"/>
              <w:rtl/>
            </w:rPr>
            <w:fldChar w:fldCharType="end"/>
          </w:r>
        </w:sdtContent>
      </w:sdt>
      <w:r w:rsidRPr="004768A3">
        <w:rPr>
          <w:rFonts w:ascii="Traditional Arabic" w:hAnsi="Traditional Arabic" w:cs="Traditional Arabic"/>
          <w:sz w:val="28"/>
          <w:szCs w:val="28"/>
          <w:lang w:bidi="ar-EG"/>
        </w:rPr>
        <w:t>.</w:t>
      </w:r>
      <w:r w:rsidR="004536FA">
        <w:rPr>
          <w:rFonts w:ascii="Traditional Arabic" w:hAnsi="Traditional Arabic" w:cs="Traditional Arabic" w:hint="cs"/>
          <w:sz w:val="28"/>
          <w:szCs w:val="28"/>
          <w:rtl/>
          <w:lang w:bidi="ar-EG"/>
        </w:rPr>
        <w:t xml:space="preserve"> </w:t>
      </w:r>
    </w:p>
    <w:p w14:paraId="4EE99096" w14:textId="04F7A127" w:rsidR="009055DA" w:rsidRPr="004768A3" w:rsidRDefault="009055DA" w:rsidP="004768A3">
      <w:pPr>
        <w:pStyle w:val="ListParagraph"/>
        <w:numPr>
          <w:ilvl w:val="0"/>
          <w:numId w:val="8"/>
        </w:numPr>
        <w:tabs>
          <w:tab w:val="left" w:pos="5505"/>
        </w:tabs>
        <w:bidi/>
        <w:spacing w:after="0" w:line="360" w:lineRule="auto"/>
        <w:jc w:val="both"/>
        <w:rPr>
          <w:rFonts w:ascii="Traditional Arabic" w:hAnsi="Traditional Arabic" w:cs="Traditional Arabic"/>
          <w:b/>
          <w:bCs/>
          <w:sz w:val="28"/>
          <w:szCs w:val="28"/>
          <w:rtl/>
          <w:lang w:bidi="ar-EG"/>
        </w:rPr>
      </w:pPr>
      <w:r w:rsidRPr="004768A3">
        <w:rPr>
          <w:rFonts w:ascii="Traditional Arabic" w:hAnsi="Traditional Arabic" w:cs="Traditional Arabic"/>
          <w:b/>
          <w:bCs/>
          <w:sz w:val="28"/>
          <w:szCs w:val="28"/>
          <w:lang w:bidi="ar-EG"/>
        </w:rPr>
        <w:t></w:t>
      </w:r>
      <w:r w:rsidRPr="004768A3">
        <w:rPr>
          <w:rFonts w:ascii="Traditional Arabic" w:hAnsi="Traditional Arabic" w:cs="Traditional Arabic"/>
          <w:b/>
          <w:bCs/>
          <w:sz w:val="28"/>
          <w:szCs w:val="28"/>
          <w:rtl/>
        </w:rPr>
        <w:t>تأثير دمج تقنية البلوكشين على تطوير الأنظمة الصحية في القطاع الصحي بالمملكة</w:t>
      </w:r>
      <w:r w:rsidRPr="004768A3">
        <w:rPr>
          <w:rFonts w:ascii="Traditional Arabic" w:hAnsi="Traditional Arabic" w:cs="Traditional Arabic"/>
          <w:b/>
          <w:bCs/>
          <w:sz w:val="28"/>
          <w:szCs w:val="28"/>
          <w:lang w:bidi="ar-EG"/>
        </w:rPr>
        <w:t>.</w:t>
      </w:r>
    </w:p>
    <w:p w14:paraId="5E510CF0" w14:textId="1A688A25"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تشكل تقنية البلوكشين من التقنيات الثورية التي أحدثت تغييرًا ملحوظًا في آليات إدارة البيانات وتبادل المعلومات، وذلك بفضل قدرتها على توفير بيئة آمنة وشفافة وغير قابلة للتلاعب. وتعتمد هذه التقنية على سجل رقمي موزع يتم فيه تخزين المعاملات والبيانات في كتل </w:t>
      </w:r>
      <w:r w:rsidRPr="004768A3">
        <w:rPr>
          <w:rFonts w:ascii="Traditional Arabic" w:hAnsi="Traditional Arabic" w:cs="Traditional Arabic"/>
          <w:sz w:val="28"/>
          <w:szCs w:val="28"/>
          <w:rtl/>
        </w:rPr>
        <w:lastRenderedPageBreak/>
        <w:t>مترابطة ومشفرة، مما يضمن سلامة المعلومات ويعزز الثقة بين الأطراف المختلفة. وفي القطاع الصحي بالمملكة العربية السعودية، تبرز أهمية البلوكشين في ظل الحاجة المتزايدة إلى حماية البيانات الصحية الحساسة وتحسين كفاءة تبادل المعلومات بين الجهات الصحية المختلفة</w:t>
      </w:r>
      <w:r w:rsidRPr="004768A3">
        <w:rPr>
          <w:rFonts w:ascii="Traditional Arabic" w:hAnsi="Traditional Arabic" w:cs="Traditional Arabic"/>
          <w:sz w:val="28"/>
          <w:szCs w:val="28"/>
          <w:lang w:bidi="ar-EG"/>
        </w:rPr>
        <w:t>.</w:t>
      </w:r>
    </w:p>
    <w:p w14:paraId="666A4800" w14:textId="37886CFB"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يساهم دمج تقنية البلوكشين في تطوير الأنظمة الصحية من خلال تعزيز أمن وسرية السجلات الطبية الإلكترونية، حيث توفر آليات متقدمة للتحقق من هوية المستخدمين وتحديد صلاحيات الوصول إلى البيانات. ويؤدي ذلك إلى الحد من مخاطر الاختراقات الإلكترونية والتلاعب بالمعلومات الصحية، الأمر الذي يرفع مستوى الثقة لدى المرضى ومقدمي الخدمات الصحية. كما تساهم التقنية في تحسين قابلية التشغيل البيني بين الأنظمة الصحية المختلفة، من خلال تمكين تبادل البيانات الطبية بين المستشفيات والمراكز الصحية بطريقة آمنة وموثوقة دون الحاجة إلى وسطاء</w:t>
      </w:r>
      <w:r w:rsidRPr="004768A3">
        <w:rPr>
          <w:rFonts w:ascii="Traditional Arabic" w:hAnsi="Traditional Arabic" w:cs="Traditional Arabic"/>
          <w:sz w:val="28"/>
          <w:szCs w:val="28"/>
          <w:lang w:bidi="ar-EG"/>
        </w:rPr>
        <w:t>.</w:t>
      </w:r>
    </w:p>
    <w:p w14:paraId="0D67ED18" w14:textId="207C0368" w:rsidR="009055DA"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ومن الجوانب المهمة أيضًا أن البلوكشين تساعد في تحسين كفاءة العمليات الإدارية والمالية داخل المؤسسات الصحية، مثل إدارة المطالبات التأمينية وتتبع الأدوية وسلاسل الإمداد الطبية. إذ تتيح التقنية إمكانية تتبع حركة المنتجات الطبية منذ تصنيعها وحتى وصولها إلى المستفيد النهائي، مما يقلل من مخاطر التزوير ويعزز جودة الخدمات الصحية. كما يمكن الاستفادة من العقود الذكية في أتمتة العديد من الإجراءات الإدارية، الأمر الذي يسهم في تقليل التكاليف التشغيلية وتسريع إنجاز المعاملات. وعليه، فإن دمج تقنية البلوكشين يمثل عنصرًا أساسيًا في تطوير الأنظمة الصحية بالمملكة من خلال تعزيز الأمن الرقمي والشفافية والكفاءة التشغيلية</w:t>
      </w:r>
      <w:r w:rsidR="004536F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69900400"/>
          <w:citation/>
        </w:sdtPr>
        <w:sdtContent>
          <w:r w:rsidR="004536FA">
            <w:rPr>
              <w:rFonts w:ascii="Traditional Arabic" w:hAnsi="Traditional Arabic" w:cs="Traditional Arabic"/>
              <w:sz w:val="28"/>
              <w:szCs w:val="28"/>
              <w:rtl/>
            </w:rPr>
            <w:fldChar w:fldCharType="begin"/>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hint="cs"/>
              <w:sz w:val="28"/>
              <w:szCs w:val="28"/>
              <w:lang w:bidi="ar-EG"/>
            </w:rPr>
            <w:instrText>CITATION</w:instrText>
          </w:r>
          <w:r w:rsidR="004536FA">
            <w:rPr>
              <w:rFonts w:ascii="Traditional Arabic" w:hAnsi="Traditional Arabic" w:cs="Traditional Arabic" w:hint="cs"/>
              <w:sz w:val="28"/>
              <w:szCs w:val="28"/>
              <w:rtl/>
              <w:lang w:bidi="ar-EG"/>
            </w:rPr>
            <w:instrText xml:space="preserve"> </w:instrText>
          </w:r>
          <w:r w:rsidR="004536FA">
            <w:rPr>
              <w:rFonts w:ascii="Traditional Arabic" w:hAnsi="Traditional Arabic" w:cs="Traditional Arabic" w:hint="cs"/>
              <w:sz w:val="28"/>
              <w:szCs w:val="28"/>
              <w:lang w:bidi="ar-EG"/>
            </w:rPr>
            <w:instrText>Sae22 \l 3073</w:instrText>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sz w:val="28"/>
              <w:szCs w:val="28"/>
              <w:rtl/>
            </w:rPr>
            <w:fldChar w:fldCharType="separate"/>
          </w:r>
          <w:r w:rsidR="004536FA" w:rsidRPr="004536FA">
            <w:rPr>
              <w:rFonts w:ascii="Traditional Arabic" w:hAnsi="Traditional Arabic" w:cs="Traditional Arabic" w:hint="cs"/>
              <w:noProof/>
              <w:sz w:val="28"/>
              <w:szCs w:val="28"/>
              <w:rtl/>
              <w:lang w:bidi="ar-EG"/>
            </w:rPr>
            <w:t>(</w:t>
          </w:r>
          <w:r w:rsidR="004536FA" w:rsidRPr="004536FA">
            <w:rPr>
              <w:rFonts w:ascii="Traditional Arabic" w:hAnsi="Traditional Arabic" w:cs="Traditional Arabic" w:hint="cs"/>
              <w:noProof/>
              <w:sz w:val="28"/>
              <w:szCs w:val="28"/>
              <w:lang w:bidi="ar-EG"/>
            </w:rPr>
            <w:t>Saeed</w:t>
          </w:r>
          <w:r w:rsidR="004536FA" w:rsidRPr="004536FA">
            <w:rPr>
              <w:rFonts w:ascii="Traditional Arabic" w:hAnsi="Traditional Arabic" w:cs="Traditional Arabic" w:hint="cs"/>
              <w:noProof/>
              <w:sz w:val="28"/>
              <w:szCs w:val="28"/>
              <w:rtl/>
              <w:lang w:bidi="ar-EG"/>
            </w:rPr>
            <w:t>، 2022)</w:t>
          </w:r>
          <w:r w:rsidR="004536FA">
            <w:rPr>
              <w:rFonts w:ascii="Traditional Arabic" w:hAnsi="Traditional Arabic" w:cs="Traditional Arabic"/>
              <w:sz w:val="28"/>
              <w:szCs w:val="28"/>
              <w:rtl/>
            </w:rPr>
            <w:fldChar w:fldCharType="end"/>
          </w:r>
        </w:sdtContent>
      </w:sdt>
      <w:r w:rsidRPr="004768A3">
        <w:rPr>
          <w:rFonts w:ascii="Traditional Arabic" w:hAnsi="Traditional Arabic" w:cs="Traditional Arabic"/>
          <w:sz w:val="28"/>
          <w:szCs w:val="28"/>
          <w:lang w:bidi="ar-EG"/>
        </w:rPr>
        <w:t>.</w:t>
      </w:r>
    </w:p>
    <w:p w14:paraId="76D26380" w14:textId="12494EAE" w:rsidR="009055DA" w:rsidRPr="004768A3" w:rsidRDefault="009055DA" w:rsidP="004768A3">
      <w:pPr>
        <w:pStyle w:val="ListParagraph"/>
        <w:numPr>
          <w:ilvl w:val="0"/>
          <w:numId w:val="8"/>
        </w:numPr>
        <w:tabs>
          <w:tab w:val="left" w:pos="5505"/>
        </w:tabs>
        <w:bidi/>
        <w:rPr>
          <w:rFonts w:ascii="Traditional Arabic" w:hAnsi="Traditional Arabic" w:cs="Traditional Arabic"/>
          <w:b/>
          <w:bCs/>
          <w:sz w:val="28"/>
          <w:szCs w:val="28"/>
          <w:rtl/>
          <w:lang w:bidi="ar-EG"/>
        </w:rPr>
      </w:pPr>
      <w:r w:rsidRPr="009055DA">
        <w:rPr>
          <w:rFonts w:ascii="Traditional Arabic" w:hAnsi="Traditional Arabic" w:cs="Traditional Arabic"/>
          <w:b/>
          <w:bCs/>
          <w:sz w:val="28"/>
          <w:szCs w:val="28"/>
          <w:lang w:bidi="ar-EG"/>
        </w:rPr>
        <w:t></w:t>
      </w:r>
      <w:r w:rsidRPr="009055DA">
        <w:rPr>
          <w:rFonts w:ascii="Traditional Arabic" w:hAnsi="Traditional Arabic" w:cs="Traditional Arabic"/>
          <w:b/>
          <w:bCs/>
          <w:sz w:val="28"/>
          <w:szCs w:val="28"/>
          <w:rtl/>
        </w:rPr>
        <w:t>تأثير الاستراتيجيات التنظيمية والتقنية على تطوير الأنظمة الصحية في القطاع الصحي بالمملكة</w:t>
      </w:r>
    </w:p>
    <w:p w14:paraId="6A220522" w14:textId="77777777"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تمثل الاستراتيجيات التنظيمية والتقنية أحد الركائز الأساسية لنجاح عمليات التحول الرقمي وتبني التقنيات الحديثة في القطاع الصحي. وتشمل هذه الاستراتيجيات مجموعة من السياسات والأنظمة والإجراءات التنظيمية والبنية التحتية التقنية التي تهيئ البيئة المناسبة لتطبيق الابتكارات الرقمية وتحقيق أقصى استفادة منها. وفي المملكة العربية السعودية، حظي القطاع الصحي باهتمام كبير من خلال إطلاق العديد من المبادرات الوطنية التي تهدف إلى تعزيز التحول الرقمي وتحسين جودة الخدمات الصحية بما يتوافق مع رؤية المملكة 2030</w:t>
      </w:r>
      <w:r w:rsidRPr="004768A3">
        <w:rPr>
          <w:rFonts w:ascii="Traditional Arabic" w:hAnsi="Traditional Arabic" w:cs="Traditional Arabic"/>
          <w:sz w:val="28"/>
          <w:szCs w:val="28"/>
          <w:lang w:bidi="ar-EG"/>
        </w:rPr>
        <w:t>.</w:t>
      </w:r>
    </w:p>
    <w:p w14:paraId="362BE728" w14:textId="77777777"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تلعب الاستراتيجيات التنظيمية دورًا مهمًا في وضع الأطر القانونية والتشريعية التي تنظم استخدام التقنيات الحديثة مثل الميتافيرس والبلوكشين، بما يضمن حماية خصوصية المرضى وسرية البيانات الصحية وتحقيق الامتثال للمعايير الوطنية والدولية. كما تسهم هذه </w:t>
      </w:r>
      <w:r w:rsidRPr="004768A3">
        <w:rPr>
          <w:rFonts w:ascii="Traditional Arabic" w:hAnsi="Traditional Arabic" w:cs="Traditional Arabic"/>
          <w:sz w:val="28"/>
          <w:szCs w:val="28"/>
          <w:rtl/>
        </w:rPr>
        <w:lastRenderedPageBreak/>
        <w:t>الاستراتيجيات في تحديد الأدوار والمسؤوليات بين الجهات الصحية المختلفة، وتطوير سياسات الحوكمة الرقمية التي تعزز من كفاءة إدارة المعلومات الصحية وتدعم اتخاذ القرارات المبنية على البيانات</w:t>
      </w:r>
      <w:r w:rsidRPr="004768A3">
        <w:rPr>
          <w:rFonts w:ascii="Traditional Arabic" w:hAnsi="Traditional Arabic" w:cs="Traditional Arabic"/>
          <w:sz w:val="28"/>
          <w:szCs w:val="28"/>
          <w:lang w:bidi="ar-EG"/>
        </w:rPr>
        <w:t>.</w:t>
      </w:r>
    </w:p>
    <w:p w14:paraId="573EFC5E" w14:textId="683D9B35" w:rsidR="004768A3" w:rsidRPr="00002C18" w:rsidRDefault="004768A3" w:rsidP="00002C18">
      <w:pPr>
        <w:tabs>
          <w:tab w:val="left" w:pos="5505"/>
        </w:tabs>
        <w:bidi/>
        <w:spacing w:line="360" w:lineRule="auto"/>
        <w:jc w:val="both"/>
        <w:rPr>
          <w:rFonts w:ascii="Traditional Arabic" w:hAnsi="Traditional Arabic" w:cs="Traditional Arabic"/>
          <w:sz w:val="28"/>
          <w:szCs w:val="28"/>
          <w:rtl/>
          <w:lang w:bidi="ar-EG"/>
        </w:rPr>
      </w:pPr>
      <w:r w:rsidRPr="004768A3">
        <w:rPr>
          <w:rFonts w:ascii="Traditional Arabic" w:hAnsi="Traditional Arabic" w:cs="Traditional Arabic"/>
          <w:sz w:val="28"/>
          <w:szCs w:val="28"/>
          <w:rtl/>
        </w:rPr>
        <w:t>أما على المستوى التقني، فتشمل الاستراتيجيات تطوير البنية التحتية الرقمية، وتعزيز قدرات الأمن السيبراني، وتوفير الأنظمة والمنصات التقنية القادرة على استيعاب التقنيات الناشئة. كما تتضمن الاستثمار في تدريب وتأهيل الكوادر البشرية ورفع مستوى الوعي الرقمي لدى العاملين في القطاع الصحي، بما يضمن الاستخدام الفعال للتقنيات الحديثة وتحقيق التكامل بين الأنظمة المختلفة. وتسهم هذه الجهود في تقليل التحديات المرتبطة بتبني الابتكارات الرقمية وتحسين مستوى الجاهزية التقنية للمؤسسات الصحية</w:t>
      </w:r>
      <w:r w:rsidRPr="004768A3">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4768A3">
        <w:rPr>
          <w:rFonts w:ascii="Traditional Arabic" w:hAnsi="Traditional Arabic" w:cs="Traditional Arabic"/>
          <w:sz w:val="28"/>
          <w:szCs w:val="28"/>
          <w:rtl/>
        </w:rPr>
        <w:t>إن نجاح تطبيق تقنيات الميتافيرس والبلوكشين لا يعتمد فقط على خصائص هذه التقنيات، بل يرتبط بشكل وثيق بوجود استراتيجيات تنظيمية وتقنية فعالة تدعم عمليات التحول الرقمي وتوفر البيئة المناسبة لتحقيق أهداف التطوير والابتكار في القطاع الصحي بالمملكة</w:t>
      </w:r>
      <w:r w:rsidR="004536F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16536690"/>
          <w:citation/>
        </w:sdtPr>
        <w:sdtContent>
          <w:r w:rsidR="004536FA">
            <w:rPr>
              <w:rFonts w:ascii="Traditional Arabic" w:hAnsi="Traditional Arabic" w:cs="Traditional Arabic"/>
              <w:sz w:val="28"/>
              <w:szCs w:val="28"/>
              <w:rtl/>
            </w:rPr>
            <w:fldChar w:fldCharType="begin"/>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hint="cs"/>
              <w:sz w:val="28"/>
              <w:szCs w:val="28"/>
              <w:lang w:bidi="ar-EG"/>
            </w:rPr>
            <w:instrText>CITATION</w:instrText>
          </w:r>
          <w:r w:rsidR="004536FA">
            <w:rPr>
              <w:rFonts w:ascii="Traditional Arabic" w:hAnsi="Traditional Arabic" w:cs="Traditional Arabic" w:hint="cs"/>
              <w:sz w:val="28"/>
              <w:szCs w:val="28"/>
              <w:rtl/>
              <w:lang w:bidi="ar-EG"/>
            </w:rPr>
            <w:instrText xml:space="preserve"> </w:instrText>
          </w:r>
          <w:r w:rsidR="004536FA">
            <w:rPr>
              <w:rFonts w:ascii="Traditional Arabic" w:hAnsi="Traditional Arabic" w:cs="Traditional Arabic" w:hint="cs"/>
              <w:sz w:val="28"/>
              <w:szCs w:val="28"/>
              <w:lang w:bidi="ar-EG"/>
            </w:rPr>
            <w:instrText>Hun25 \l 3073</w:instrText>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sz w:val="28"/>
              <w:szCs w:val="28"/>
              <w:rtl/>
            </w:rPr>
            <w:fldChar w:fldCharType="separate"/>
          </w:r>
          <w:r w:rsidR="004536FA" w:rsidRPr="004536FA">
            <w:rPr>
              <w:rFonts w:ascii="Traditional Arabic" w:hAnsi="Traditional Arabic" w:cs="Traditional Arabic" w:hint="cs"/>
              <w:noProof/>
              <w:sz w:val="28"/>
              <w:szCs w:val="28"/>
              <w:rtl/>
              <w:lang w:bidi="ar-EG"/>
            </w:rPr>
            <w:t>(</w:t>
          </w:r>
          <w:r w:rsidR="004536FA" w:rsidRPr="004536FA">
            <w:rPr>
              <w:rFonts w:ascii="Traditional Arabic" w:hAnsi="Traditional Arabic" w:cs="Traditional Arabic" w:hint="cs"/>
              <w:noProof/>
              <w:sz w:val="28"/>
              <w:szCs w:val="28"/>
              <w:lang w:bidi="ar-EG"/>
            </w:rPr>
            <w:t>Hundal</w:t>
          </w:r>
          <w:r w:rsidR="004536FA" w:rsidRPr="004536FA">
            <w:rPr>
              <w:rFonts w:ascii="Traditional Arabic" w:hAnsi="Traditional Arabic" w:cs="Traditional Arabic" w:hint="cs"/>
              <w:noProof/>
              <w:sz w:val="28"/>
              <w:szCs w:val="28"/>
              <w:rtl/>
              <w:lang w:bidi="ar-EG"/>
            </w:rPr>
            <w:t>، 2025)</w:t>
          </w:r>
          <w:r w:rsidR="004536FA">
            <w:rPr>
              <w:rFonts w:ascii="Traditional Arabic" w:hAnsi="Traditional Arabic" w:cs="Traditional Arabic"/>
              <w:sz w:val="28"/>
              <w:szCs w:val="28"/>
              <w:rtl/>
            </w:rPr>
            <w:fldChar w:fldCharType="end"/>
          </w:r>
        </w:sdtContent>
      </w:sdt>
      <w:r w:rsidRPr="004768A3">
        <w:rPr>
          <w:rFonts w:ascii="Traditional Arabic" w:hAnsi="Traditional Arabic" w:cs="Traditional Arabic"/>
          <w:sz w:val="28"/>
          <w:szCs w:val="28"/>
          <w:lang w:bidi="ar-EG"/>
        </w:rPr>
        <w:t>.</w:t>
      </w:r>
    </w:p>
    <w:p w14:paraId="02A163B3" w14:textId="67206196" w:rsidR="009055DA" w:rsidRPr="004768A3" w:rsidRDefault="009055DA" w:rsidP="004768A3">
      <w:pPr>
        <w:pStyle w:val="ListParagraph"/>
        <w:numPr>
          <w:ilvl w:val="0"/>
          <w:numId w:val="9"/>
        </w:numPr>
        <w:tabs>
          <w:tab w:val="left" w:pos="5505"/>
        </w:tabs>
        <w:bidi/>
        <w:spacing w:line="360" w:lineRule="auto"/>
        <w:rPr>
          <w:rFonts w:ascii="Traditional Arabic" w:hAnsi="Traditional Arabic" w:cs="Traditional Arabic"/>
          <w:b/>
          <w:bCs/>
          <w:sz w:val="28"/>
          <w:szCs w:val="28"/>
          <w:rtl/>
          <w:lang w:bidi="ar-EG"/>
        </w:rPr>
      </w:pPr>
      <w:r w:rsidRPr="009055DA">
        <w:rPr>
          <w:rFonts w:ascii="Traditional Arabic" w:hAnsi="Traditional Arabic" w:cs="Traditional Arabic" w:hint="cs"/>
          <w:b/>
          <w:bCs/>
          <w:sz w:val="28"/>
          <w:szCs w:val="28"/>
          <w:rtl/>
          <w:lang w:bidi="ar-EG"/>
        </w:rPr>
        <w:t>العلاقة بين المتغير التابع والمتغيرات المستقلة</w:t>
      </w:r>
    </w:p>
    <w:p w14:paraId="07A60DA6" w14:textId="77777777"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تقوم هذه الدراسة على افتراض وجود علاقة تأثير بين المتغيرات المستقلة المتمثلة في دمج تقنية الميتافيرس، ودمج تقنية البلوكشين، والاستراتيجيات التنظيمية والتقنية، وبين المتغير التابع المتمثل في تطوير الأنظمة الصحية في القطاع الصحي بالمملكة العربية السعودية. ويُتوقع أن يسهم دمج تقنية الميتافيرس في تحسين كفاءة الخدمات الصحية وتطوير أساليب التدريب والتشخيص والعلاج، مما ينعكس إيجابيًا على مستوى تطور الأنظمة الصحية. كما يُتوقع أن يؤدي دمج تقنية البلوكشين إلى تعزيز أمن البيانات الصحية ورفع مستوى الشفافية والكفاءة التشغيلية، وهو ما يدعم عمليات التطوير والتحسين المستمر للأنظمة الصحية</w:t>
      </w:r>
      <w:r w:rsidRPr="004768A3">
        <w:rPr>
          <w:rFonts w:ascii="Traditional Arabic" w:hAnsi="Traditional Arabic" w:cs="Traditional Arabic"/>
          <w:sz w:val="28"/>
          <w:szCs w:val="28"/>
          <w:lang w:bidi="ar-EG"/>
        </w:rPr>
        <w:t>.</w:t>
      </w:r>
    </w:p>
    <w:p w14:paraId="08663E2C" w14:textId="38812C4E" w:rsidR="004768A3" w:rsidRDefault="004768A3" w:rsidP="00CC4F16">
      <w:pPr>
        <w:tabs>
          <w:tab w:val="left" w:pos="5505"/>
        </w:tabs>
        <w:bidi/>
        <w:spacing w:after="0" w:line="360" w:lineRule="auto"/>
        <w:jc w:val="both"/>
        <w:rPr>
          <w:rFonts w:ascii="Traditional Arabic" w:hAnsi="Traditional Arabic" w:cs="Traditional Arabic"/>
          <w:sz w:val="28"/>
          <w:szCs w:val="28"/>
          <w:rtl/>
          <w:lang w:bidi="ar-EG"/>
        </w:rPr>
      </w:pPr>
      <w:r w:rsidRPr="004768A3">
        <w:rPr>
          <w:rFonts w:ascii="Traditional Arabic" w:hAnsi="Traditional Arabic" w:cs="Traditional Arabic"/>
          <w:sz w:val="28"/>
          <w:szCs w:val="28"/>
          <w:rtl/>
        </w:rPr>
        <w:t xml:space="preserve">كذلك </w:t>
      </w:r>
      <w:r w:rsidR="00C600AF">
        <w:rPr>
          <w:rFonts w:ascii="Traditional Arabic" w:hAnsi="Traditional Arabic" w:cs="Traditional Arabic" w:hint="cs"/>
          <w:sz w:val="28"/>
          <w:szCs w:val="28"/>
          <w:rtl/>
        </w:rPr>
        <w:t>تعتبر</w:t>
      </w:r>
      <w:r w:rsidRPr="004768A3">
        <w:rPr>
          <w:rFonts w:ascii="Traditional Arabic" w:hAnsi="Traditional Arabic" w:cs="Traditional Arabic"/>
          <w:sz w:val="28"/>
          <w:szCs w:val="28"/>
          <w:rtl/>
        </w:rPr>
        <w:t xml:space="preserve"> الاستراتيجيات التنظيمية والتقنية عاملًا داعمًا ومحفزًا لتحقيق الاستفادة القصوى من التقنيات الرقمية الحديثة، حيث تؤثر في مدى نجاح تطبيق الميتافيرس والبلوكشين داخل المؤسسات الصحية. فكلما كانت السياسات التنظيمية أكثر وضوحًا والبنية التحتية التقنية أكثر تطورًا، ازدادت قدرة المؤسسات الصحية على توظيف هذه التقنيات وتحقيق نتائج إيجابية في تطوير الأنظمة الصحية. ومن هذا المنطلق، تفترض الدراسة وجود تأثير إيجابي مباشر لكل من الميتافيرس والبلوكشين والاستراتيجيات التنظيمية والتقنية على تطوير </w:t>
      </w:r>
      <w:r w:rsidRPr="004768A3">
        <w:rPr>
          <w:rFonts w:ascii="Traditional Arabic" w:hAnsi="Traditional Arabic" w:cs="Traditional Arabic"/>
          <w:sz w:val="28"/>
          <w:szCs w:val="28"/>
          <w:rtl/>
        </w:rPr>
        <w:lastRenderedPageBreak/>
        <w:t>الأنظمة الصحية، كما تفترض أن التكامل بين هذه العوامل يساهم في تعزيز فعالية التحول الرقمي وتحقيق مستويات أعلى من الجودة والكفاءة والاستدامة في الخدمات الصحية بالمملكة العربية السعودية</w:t>
      </w:r>
      <w:r w:rsidRPr="004768A3">
        <w:rPr>
          <w:rFonts w:ascii="Traditional Arabic" w:hAnsi="Traditional Arabic" w:cs="Traditional Arabic"/>
          <w:sz w:val="28"/>
          <w:szCs w:val="28"/>
          <w:lang w:bidi="ar-EG"/>
        </w:rPr>
        <w:t>.</w:t>
      </w:r>
    </w:p>
    <w:p w14:paraId="2016D131" w14:textId="77777777" w:rsidR="00CC4F16" w:rsidRPr="004768A3" w:rsidRDefault="00CC4F16" w:rsidP="00CC4F16">
      <w:pPr>
        <w:tabs>
          <w:tab w:val="left" w:pos="5505"/>
        </w:tabs>
        <w:bidi/>
        <w:spacing w:after="0" w:line="360" w:lineRule="auto"/>
        <w:jc w:val="both"/>
        <w:rPr>
          <w:rFonts w:ascii="Traditional Arabic" w:hAnsi="Traditional Arabic" w:cs="Traditional Arabic"/>
          <w:sz w:val="28"/>
          <w:szCs w:val="28"/>
          <w:lang w:bidi="ar-EG"/>
        </w:rPr>
      </w:pPr>
    </w:p>
    <w:p w14:paraId="283F7E81" w14:textId="3FAD17AE" w:rsidR="004465BC" w:rsidRPr="00CC4F16" w:rsidRDefault="004465BC" w:rsidP="00CC4F16">
      <w:pPr>
        <w:pStyle w:val="Heading2"/>
        <w:bidi/>
        <w:spacing w:after="0"/>
        <w:rPr>
          <w:rFonts w:ascii="Traditional Arabic" w:hAnsi="Traditional Arabic" w:cs="Traditional Arabic"/>
          <w:b/>
          <w:bCs/>
          <w:color w:val="auto"/>
          <w:rtl/>
          <w:lang w:bidi="ar-EG"/>
        </w:rPr>
      </w:pPr>
      <w:bookmarkStart w:id="5" w:name="_Toc234906710"/>
      <w:r w:rsidRPr="00CC4F16">
        <w:rPr>
          <w:rFonts w:ascii="Traditional Arabic" w:hAnsi="Traditional Arabic" w:cs="Traditional Arabic"/>
          <w:b/>
          <w:bCs/>
          <w:color w:val="auto"/>
          <w:rtl/>
        </w:rPr>
        <w:t>الإسهام النظري للدراسة</w:t>
      </w:r>
      <w:r w:rsidR="00CC4F16" w:rsidRPr="00CC4F16">
        <w:rPr>
          <w:rFonts w:ascii="Traditional Arabic" w:hAnsi="Traditional Arabic" w:cs="Traditional Arabic" w:hint="cs"/>
          <w:b/>
          <w:bCs/>
          <w:color w:val="auto"/>
          <w:rtl/>
        </w:rPr>
        <w:t>:</w:t>
      </w:r>
      <w:bookmarkEnd w:id="5"/>
    </w:p>
    <w:p w14:paraId="5FF68DD8" w14:textId="26641A39"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تتمثل الإضافة النظرية لهذه الدراسة في تقديم إطار علمي متكامل يربط بين تقنيتين ناشئتين هما الميتافيرس</w:t>
      </w:r>
      <w:r w:rsidRPr="00CC4F16">
        <w:rPr>
          <w:rFonts w:ascii="Traditional Arabic" w:hAnsi="Traditional Arabic" w:cs="Traditional Arabic"/>
          <w:sz w:val="28"/>
          <w:szCs w:val="28"/>
          <w:lang w:bidi="ar-EG"/>
        </w:rPr>
        <w:t xml:space="preserve"> (Metaverse) </w:t>
      </w:r>
      <w:r w:rsidRPr="00CC4F16">
        <w:rPr>
          <w:rFonts w:ascii="Traditional Arabic" w:hAnsi="Traditional Arabic" w:cs="Traditional Arabic"/>
          <w:sz w:val="28"/>
          <w:szCs w:val="28"/>
          <w:rtl/>
        </w:rPr>
        <w:t>والبلوكشين</w:t>
      </w:r>
      <w:r w:rsidRPr="00CC4F16">
        <w:rPr>
          <w:rFonts w:ascii="Traditional Arabic" w:hAnsi="Traditional Arabic" w:cs="Traditional Arabic"/>
          <w:sz w:val="28"/>
          <w:szCs w:val="28"/>
          <w:lang w:bidi="ar-EG"/>
        </w:rPr>
        <w:t xml:space="preserve"> (Blockchain) </w:t>
      </w:r>
      <w:r w:rsidR="00CC4F16">
        <w:rPr>
          <w:rFonts w:ascii="Traditional Arabic" w:hAnsi="Traditional Arabic" w:cs="Traditional Arabic" w:hint="cs"/>
          <w:sz w:val="28"/>
          <w:szCs w:val="28"/>
          <w:rtl/>
          <w:lang w:bidi="ar-EG"/>
        </w:rPr>
        <w:t xml:space="preserve"> </w:t>
      </w:r>
      <w:r w:rsidRPr="00CC4F16">
        <w:rPr>
          <w:rFonts w:ascii="Traditional Arabic" w:hAnsi="Traditional Arabic" w:cs="Traditional Arabic"/>
          <w:sz w:val="28"/>
          <w:szCs w:val="28"/>
          <w:rtl/>
        </w:rPr>
        <w:t>في سياق تطوير الأنظمة الصحية بالمملكة العربية السعودية، وهو مجال لا يزال محدودًا في الأدبيات العربية مقارنة بالدراسات الأجنبية التي غالبًا ما تناولت كل تقنية بصورة منفصلة. وتسهم الدراسة في سد هذه الفجوة من خلال بناء نموذج نظري يوضح كيفية التكامل بين البيئات الافتراضية التي يوفرها الميتافيرس وبين آليات الأمان والشفافية وإدارة البيانات التي توفرها تقنية البلوكشين، بما يفسر الأثر المشترك لهما في تطوير الأنظمة الصحية</w:t>
      </w:r>
      <w:r w:rsidRPr="00CC4F16">
        <w:rPr>
          <w:rFonts w:ascii="Traditional Arabic" w:hAnsi="Traditional Arabic" w:cs="Traditional Arabic"/>
          <w:sz w:val="28"/>
          <w:szCs w:val="28"/>
          <w:lang w:bidi="ar-EG"/>
        </w:rPr>
        <w:t>.</w:t>
      </w:r>
    </w:p>
    <w:p w14:paraId="10AC90B5" w14:textId="77777777"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كما تضيف الدراسة بعدًا نظريًا يتمثل في توضيح العلاقة بين المتغيرات المستقلة الثلاثة (دمج تقنية الميتافيرس، ودمج تقنية البلوكشين، والاستراتيجيات التنظيمية والتقنية) والمتغير التابع (تطوير الأنظمة الصحية)، مع بيان أن الاستراتيجيات التنظيمية والتقنية لا تقتصر على كونها عاملًا مساعدًا، وإنما تمثل عنصرًا أساسيًا لنجاح التكامل بين التقنيات الرقمية الحديثة وتحقيق الاستفادة القصوى منها. ويساعد هذا النموذج الباحثين مستقبلاً على اختبار العلاقات المباشرة وغير المباشرة بين هذه المتغيرات وتطوير نماذج بحثية أكثر شمولًا</w:t>
      </w:r>
      <w:r w:rsidRPr="00CC4F16">
        <w:rPr>
          <w:rFonts w:ascii="Traditional Arabic" w:hAnsi="Traditional Arabic" w:cs="Traditional Arabic"/>
          <w:sz w:val="28"/>
          <w:szCs w:val="28"/>
          <w:lang w:bidi="ar-EG"/>
        </w:rPr>
        <w:t>.</w:t>
      </w:r>
    </w:p>
    <w:p w14:paraId="47381F2F" w14:textId="694EB2E1"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وتس</w:t>
      </w:r>
      <w:r w:rsidR="00CC4F16">
        <w:rPr>
          <w:rFonts w:ascii="Traditional Arabic" w:hAnsi="Traditional Arabic" w:cs="Traditional Arabic" w:hint="cs"/>
          <w:sz w:val="28"/>
          <w:szCs w:val="28"/>
          <w:rtl/>
        </w:rPr>
        <w:t>ا</w:t>
      </w:r>
      <w:r w:rsidRPr="00CC4F16">
        <w:rPr>
          <w:rFonts w:ascii="Traditional Arabic" w:hAnsi="Traditional Arabic" w:cs="Traditional Arabic"/>
          <w:sz w:val="28"/>
          <w:szCs w:val="28"/>
          <w:rtl/>
        </w:rPr>
        <w:t>هم الدراسة كذلك في إثراء الأدبيات المتعلقة بالتحول الرقمي الصحي من خلال تقديم تفسير علمي للدور الذي تؤديه التقنيات الحديثة في تحسين جودة الخدمات الصحية، ورفع كفاءة التدريب الطبي، وتعزيز أمن المعلومات الصحية، وتحسين تجربة المرضى. كما تقدم تصورًا نظريًا ينسجم مع مستهدفات رؤية المملكة العربية السعودية 2030 في مجال التحول الرقمي والرعاية الصحية الذكية، مما يجعلها مرجعًا علميًا يمكن الاستفادة منه في الدراسات المستقبلية المتعلقة بالتقنيات الناشئة في القطاع الصحي</w:t>
      </w:r>
      <w:r w:rsidRPr="00CC4F16">
        <w:rPr>
          <w:rFonts w:ascii="Traditional Arabic" w:hAnsi="Traditional Arabic" w:cs="Traditional Arabic"/>
          <w:sz w:val="28"/>
          <w:szCs w:val="28"/>
          <w:lang w:bidi="ar-EG"/>
        </w:rPr>
        <w:t>.</w:t>
      </w:r>
    </w:p>
    <w:p w14:paraId="4F112717" w14:textId="0B314818"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p>
    <w:p w14:paraId="60156F1A" w14:textId="7CA778D6" w:rsidR="004465BC" w:rsidRPr="00CC4F16" w:rsidRDefault="004465BC" w:rsidP="00CC4F16">
      <w:pPr>
        <w:pStyle w:val="Heading2"/>
        <w:bidi/>
        <w:spacing w:line="360" w:lineRule="auto"/>
        <w:rPr>
          <w:rFonts w:ascii="Traditional Arabic" w:hAnsi="Traditional Arabic" w:cs="Traditional Arabic"/>
          <w:b/>
          <w:bCs/>
          <w:color w:val="auto"/>
          <w:lang w:bidi="ar-EG"/>
        </w:rPr>
      </w:pPr>
      <w:bookmarkStart w:id="6" w:name="_Toc234906711"/>
      <w:r w:rsidRPr="00CC4F16">
        <w:rPr>
          <w:rFonts w:ascii="Traditional Arabic" w:hAnsi="Traditional Arabic" w:cs="Traditional Arabic"/>
          <w:b/>
          <w:bCs/>
          <w:color w:val="auto"/>
          <w:rtl/>
        </w:rPr>
        <w:lastRenderedPageBreak/>
        <w:t>الإسهام التطبيقي (التنفيذ العملي) للدراسة</w:t>
      </w:r>
      <w:r w:rsidR="00CC4F16" w:rsidRPr="00CC4F16">
        <w:rPr>
          <w:rFonts w:ascii="Traditional Arabic" w:hAnsi="Traditional Arabic" w:cs="Traditional Arabic"/>
          <w:b/>
          <w:bCs/>
          <w:color w:val="auto"/>
          <w:rtl/>
        </w:rPr>
        <w:t>:</w:t>
      </w:r>
      <w:bookmarkEnd w:id="6"/>
    </w:p>
    <w:p w14:paraId="315418CE" w14:textId="77777777"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تقدم الدراسة إسهامًا عمليًا يتمثل في توفير مجموعة من التوصيات التنفيذية التي يمكن أن تستفيد منها وزارة الصحة السعودية، والمستشفيات الحكومية والخاصة، وهيئة الحكومة الرقمية، والجهات التنظيمية، عند التخطيط لتطبيق تقنيات الميتافيرس والبلوكشين داخل المؤسسات الصحية. حيث توفر الدراسة نموذجًا عمليًا يساعد متخذي القرار على تحديد أولويات الاستثمار في التقنيات الرقمية التي تحقق أعلى مستويات الجودة والكفاءة والأمان</w:t>
      </w:r>
      <w:r w:rsidRPr="00CC4F16">
        <w:rPr>
          <w:rFonts w:ascii="Traditional Arabic" w:hAnsi="Traditional Arabic" w:cs="Traditional Arabic"/>
          <w:sz w:val="28"/>
          <w:szCs w:val="28"/>
          <w:lang w:bidi="ar-EG"/>
        </w:rPr>
        <w:t>.</w:t>
      </w:r>
    </w:p>
    <w:p w14:paraId="024860F2" w14:textId="3FD3ABD1"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كما تس</w:t>
      </w:r>
      <w:r w:rsidR="00CC4F16">
        <w:rPr>
          <w:rFonts w:ascii="Traditional Arabic" w:hAnsi="Traditional Arabic" w:cs="Traditional Arabic" w:hint="cs"/>
          <w:sz w:val="28"/>
          <w:szCs w:val="28"/>
          <w:rtl/>
        </w:rPr>
        <w:t>ا</w:t>
      </w:r>
      <w:r w:rsidRPr="00CC4F16">
        <w:rPr>
          <w:rFonts w:ascii="Traditional Arabic" w:hAnsi="Traditional Arabic" w:cs="Traditional Arabic"/>
          <w:sz w:val="28"/>
          <w:szCs w:val="28"/>
          <w:rtl/>
        </w:rPr>
        <w:t>هم الدراسة في دعم تطوير برامج التدريب الطبي الافتراضي باستخدام الميتافيرس، من خلال تصميم بيئات محاكاة تفاعلية تساعد الأطباء والممرضين على اكتساب المهارات السريرية والجراحية دون تعريض المرضى لأي مخاطر، مما يسهم في رفع كفاءة الكوادر الصحية وتقليل تكاليف التدريب التقليدي</w:t>
      </w:r>
      <w:r w:rsidRPr="00CC4F16">
        <w:rPr>
          <w:rFonts w:ascii="Traditional Arabic" w:hAnsi="Traditional Arabic" w:cs="Traditional Arabic"/>
          <w:sz w:val="28"/>
          <w:szCs w:val="28"/>
          <w:lang w:bidi="ar-EG"/>
        </w:rPr>
        <w:t>.</w:t>
      </w:r>
    </w:p>
    <w:p w14:paraId="2DBBC9AE" w14:textId="77777777"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ومن الجانب التقني، تقدم الدراسة تصورًا عمليًا للاستفادة من تقنية البلوكشين في إنشاء سجلات صحية إلكترونية أكثر أمنًا وموثوقية، وتسهيل تبادل البيانات الطبية بين المنشآت الصحية بطريقة آمنة وشفافة، مع المحافظة على خصوصية المرضى وتقليل احتمالات التلاعب أو فقدان البيانات، الأمر الذي يعزز جودة الخدمات الصحية وسرعة اتخاذ القرار الطبي</w:t>
      </w:r>
      <w:r w:rsidRPr="00CC4F16">
        <w:rPr>
          <w:rFonts w:ascii="Traditional Arabic" w:hAnsi="Traditional Arabic" w:cs="Traditional Arabic"/>
          <w:sz w:val="28"/>
          <w:szCs w:val="28"/>
          <w:lang w:bidi="ar-EG"/>
        </w:rPr>
        <w:t>.</w:t>
      </w:r>
    </w:p>
    <w:p w14:paraId="1834E0AC" w14:textId="77777777"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وتساعد نتائج الدراسة أيضًا المؤسسات الصحية على وضع استراتيجيات تنظيمية وتقنية أكثر فاعلية لدعم التحول الرقمي، من خلال تطوير سياسات الحوكمة الرقمية، وتعزيز الأمن السيبراني، ورفع جاهزية البنية التحتية الرقمية، وتأهيل الموارد البشرية للتعامل مع التقنيات الحديثة. كما يمكن أن تستفيد الجهات التشريعية من نتائج الدراسة في تطوير الأطر القانونية المنظمة لاستخدام الميتافيرس والبلوكشين في القطاع الصحي بما يتوافق مع أفضل الممارسات العالمية</w:t>
      </w:r>
      <w:r w:rsidRPr="00CC4F16">
        <w:rPr>
          <w:rFonts w:ascii="Traditional Arabic" w:hAnsi="Traditional Arabic" w:cs="Traditional Arabic"/>
          <w:sz w:val="28"/>
          <w:szCs w:val="28"/>
          <w:lang w:bidi="ar-EG"/>
        </w:rPr>
        <w:t>.</w:t>
      </w:r>
    </w:p>
    <w:p w14:paraId="57D1E2C8" w14:textId="6F064E40" w:rsidR="004465BC" w:rsidRPr="004465BC" w:rsidRDefault="00CC4F16" w:rsidP="00CC4F16">
      <w:pPr>
        <w:tabs>
          <w:tab w:val="left" w:pos="5505"/>
        </w:tabs>
        <w:bidi/>
        <w:jc w:val="center"/>
        <w:rPr>
          <w:rFonts w:ascii="Traditional Arabic" w:hAnsi="Traditional Arabic" w:cs="Traditional Arabic"/>
          <w:b/>
          <w:bCs/>
          <w:rtl/>
          <w:lang w:bidi="ar-EG"/>
        </w:rPr>
      </w:pPr>
      <w:r>
        <w:rPr>
          <w:noProof/>
        </w:rPr>
        <w:lastRenderedPageBreak/>
        <w:drawing>
          <wp:inline distT="0" distB="0" distL="0" distR="0" wp14:anchorId="69613EDE" wp14:editId="52B5AEC0">
            <wp:extent cx="4200525" cy="2247900"/>
            <wp:effectExtent l="0" t="0" r="9525" b="0"/>
            <wp:docPr id="390224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24282" name=""/>
                    <pic:cNvPicPr/>
                  </pic:nvPicPr>
                  <pic:blipFill>
                    <a:blip r:embed="rId11"/>
                    <a:stretch>
                      <a:fillRect/>
                    </a:stretch>
                  </pic:blipFill>
                  <pic:spPr>
                    <a:xfrm>
                      <a:off x="0" y="0"/>
                      <a:ext cx="4200525" cy="2247900"/>
                    </a:xfrm>
                    <a:prstGeom prst="rect">
                      <a:avLst/>
                    </a:prstGeom>
                  </pic:spPr>
                </pic:pic>
              </a:graphicData>
            </a:graphic>
          </wp:inline>
        </w:drawing>
      </w:r>
    </w:p>
    <w:p w14:paraId="17E307E1" w14:textId="682B2CF9" w:rsidR="00CC4F16" w:rsidRDefault="00CC4F16" w:rsidP="00CC4F16">
      <w:pPr>
        <w:pStyle w:val="Caption"/>
        <w:bidi/>
        <w:jc w:val="center"/>
        <w:rPr>
          <w:rtl/>
          <w:lang w:bidi="ar-EG"/>
        </w:rPr>
      </w:pPr>
      <w:r>
        <w:rPr>
          <w:rFonts w:hint="cs"/>
          <w:rtl/>
        </w:rPr>
        <w:t>شكل</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دمج تقنية الميتافيرس في تطوير الخدمات الصحية والتدريب الطبي الافتراضي</w:t>
      </w:r>
    </w:p>
    <w:p w14:paraId="0675BB90" w14:textId="77777777" w:rsidR="00CC4F16" w:rsidRDefault="00CC4F16" w:rsidP="00CC4F16">
      <w:pPr>
        <w:bidi/>
        <w:jc w:val="center"/>
        <w:rPr>
          <w:rtl/>
          <w:lang w:bidi="ar-EG"/>
        </w:rPr>
      </w:pPr>
    </w:p>
    <w:p w14:paraId="04575121" w14:textId="2491BFBF" w:rsidR="00CC4F16" w:rsidRPr="00CC4F16" w:rsidRDefault="00CC4F16" w:rsidP="00CC4F16">
      <w:pPr>
        <w:jc w:val="center"/>
        <w:rPr>
          <w:rtl/>
          <w:lang w:bidi="ar-EG"/>
        </w:rPr>
      </w:pPr>
      <w:r>
        <w:rPr>
          <w:noProof/>
        </w:rPr>
        <w:drawing>
          <wp:inline distT="0" distB="0" distL="0" distR="0" wp14:anchorId="51B9D8E4" wp14:editId="61C28A9A">
            <wp:extent cx="4610100" cy="2200275"/>
            <wp:effectExtent l="0" t="0" r="0" b="9525"/>
            <wp:docPr id="41912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25409" name=""/>
                    <pic:cNvPicPr/>
                  </pic:nvPicPr>
                  <pic:blipFill>
                    <a:blip r:embed="rId12"/>
                    <a:stretch>
                      <a:fillRect/>
                    </a:stretch>
                  </pic:blipFill>
                  <pic:spPr>
                    <a:xfrm>
                      <a:off x="0" y="0"/>
                      <a:ext cx="4610100" cy="2200275"/>
                    </a:xfrm>
                    <a:prstGeom prst="rect">
                      <a:avLst/>
                    </a:prstGeom>
                  </pic:spPr>
                </pic:pic>
              </a:graphicData>
            </a:graphic>
          </wp:inline>
        </w:drawing>
      </w:r>
    </w:p>
    <w:p w14:paraId="0D4EF016" w14:textId="3A1ED7F4" w:rsidR="00CC4F16" w:rsidRDefault="00CC4F16" w:rsidP="00CC4F16">
      <w:pPr>
        <w:pStyle w:val="Caption"/>
        <w:bidi/>
        <w:jc w:val="center"/>
        <w:rPr>
          <w:rtl/>
          <w:lang w:bidi="ar-EG"/>
        </w:rPr>
      </w:pPr>
      <w:r>
        <w:rPr>
          <w:rFonts w:hint="cs"/>
          <w:rtl/>
        </w:rPr>
        <w:t>شكل</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دور تقنية البلوكشين في حماية السجلات الصحية وتعزيز أمن المعلومات</w:t>
      </w:r>
    </w:p>
    <w:p w14:paraId="02DFD637" w14:textId="77777777" w:rsidR="00CC4F16" w:rsidRDefault="00CC4F16" w:rsidP="00CC4F16">
      <w:pPr>
        <w:bidi/>
        <w:rPr>
          <w:rtl/>
          <w:lang w:bidi="ar-EG"/>
        </w:rPr>
      </w:pPr>
    </w:p>
    <w:p w14:paraId="37F8474D" w14:textId="77777777" w:rsidR="00CC4F16" w:rsidRDefault="00CC4F16" w:rsidP="00CC4F16">
      <w:pPr>
        <w:bidi/>
        <w:rPr>
          <w:rtl/>
          <w:lang w:bidi="ar-EG"/>
        </w:rPr>
      </w:pPr>
    </w:p>
    <w:p w14:paraId="4ABB4039" w14:textId="78A3A984" w:rsidR="00CC4F16" w:rsidRPr="00CC4F16" w:rsidRDefault="00CC4F16" w:rsidP="00CC4F16">
      <w:pPr>
        <w:bidi/>
        <w:jc w:val="center"/>
        <w:rPr>
          <w:rtl/>
          <w:lang w:bidi="ar-EG"/>
        </w:rPr>
      </w:pPr>
      <w:r>
        <w:rPr>
          <w:noProof/>
        </w:rPr>
        <w:lastRenderedPageBreak/>
        <w:drawing>
          <wp:inline distT="0" distB="0" distL="0" distR="0" wp14:anchorId="39AB1A20" wp14:editId="74160A20">
            <wp:extent cx="4648200" cy="2476500"/>
            <wp:effectExtent l="0" t="0" r="0" b="0"/>
            <wp:docPr id="159412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26692" name=""/>
                    <pic:cNvPicPr/>
                  </pic:nvPicPr>
                  <pic:blipFill>
                    <a:blip r:embed="rId13"/>
                    <a:stretch>
                      <a:fillRect/>
                    </a:stretch>
                  </pic:blipFill>
                  <pic:spPr>
                    <a:xfrm>
                      <a:off x="0" y="0"/>
                      <a:ext cx="4648200" cy="2476500"/>
                    </a:xfrm>
                    <a:prstGeom prst="rect">
                      <a:avLst/>
                    </a:prstGeom>
                  </pic:spPr>
                </pic:pic>
              </a:graphicData>
            </a:graphic>
          </wp:inline>
        </w:drawing>
      </w:r>
    </w:p>
    <w:p w14:paraId="4CCCCB86" w14:textId="4B00D84B" w:rsidR="00CC4F16" w:rsidRDefault="00CC4F16" w:rsidP="00CC4F16">
      <w:pPr>
        <w:pStyle w:val="Caption"/>
        <w:bidi/>
        <w:jc w:val="center"/>
        <w:rPr>
          <w:rtl/>
          <w:lang w:bidi="ar-EG"/>
        </w:rPr>
      </w:pPr>
      <w:r>
        <w:rPr>
          <w:rFonts w:hint="cs"/>
          <w:rtl/>
        </w:rPr>
        <w:t>شكل</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3</w:t>
      </w:r>
      <w:r>
        <w:rPr>
          <w:rtl/>
        </w:rPr>
        <w:fldChar w:fldCharType="end"/>
      </w:r>
      <w:r>
        <w:rPr>
          <w:rFonts w:hint="cs"/>
          <w:rtl/>
          <w:lang w:bidi="ar-EG"/>
        </w:rPr>
        <w:t>: التحول الرقمي في القطتع الصحي باستخدام التقنيات الذكية</w:t>
      </w:r>
    </w:p>
    <w:p w14:paraId="5217BD78" w14:textId="77777777" w:rsidR="00CC4F16" w:rsidRPr="00CC4F16" w:rsidRDefault="00CC4F16" w:rsidP="00CC4F16">
      <w:pPr>
        <w:bidi/>
        <w:rPr>
          <w:rtl/>
          <w:lang w:bidi="ar-EG"/>
        </w:rPr>
      </w:pPr>
    </w:p>
    <w:p w14:paraId="4DB925DA" w14:textId="35780CBC" w:rsidR="00CC4F16" w:rsidRDefault="00CC4F16" w:rsidP="00CC4F16">
      <w:pPr>
        <w:jc w:val="center"/>
        <w:rPr>
          <w:rtl/>
          <w:lang w:bidi="ar-EG"/>
        </w:rPr>
      </w:pPr>
      <w:r>
        <w:rPr>
          <w:noProof/>
        </w:rPr>
        <w:drawing>
          <wp:inline distT="0" distB="0" distL="0" distR="0" wp14:anchorId="598D51A7" wp14:editId="1D8246D7">
            <wp:extent cx="4438650" cy="2571750"/>
            <wp:effectExtent l="0" t="0" r="0" b="0"/>
            <wp:docPr id="509560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60418" name=""/>
                    <pic:cNvPicPr/>
                  </pic:nvPicPr>
                  <pic:blipFill>
                    <a:blip r:embed="rId14"/>
                    <a:stretch>
                      <a:fillRect/>
                    </a:stretch>
                  </pic:blipFill>
                  <pic:spPr>
                    <a:xfrm>
                      <a:off x="0" y="0"/>
                      <a:ext cx="4438650" cy="2571750"/>
                    </a:xfrm>
                    <a:prstGeom prst="rect">
                      <a:avLst/>
                    </a:prstGeom>
                  </pic:spPr>
                </pic:pic>
              </a:graphicData>
            </a:graphic>
          </wp:inline>
        </w:drawing>
      </w:r>
    </w:p>
    <w:p w14:paraId="5FC75A30" w14:textId="40512DDA" w:rsidR="00CC4F16" w:rsidRDefault="00CC4F16" w:rsidP="00CC4F16">
      <w:pPr>
        <w:pStyle w:val="Caption"/>
        <w:bidi/>
        <w:jc w:val="center"/>
        <w:rPr>
          <w:rtl/>
          <w:lang w:bidi="ar-EG"/>
        </w:rPr>
      </w:pPr>
      <w:r>
        <w:rPr>
          <w:rFonts w:hint="cs"/>
          <w:rtl/>
        </w:rPr>
        <w:t>شكل</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4</w:t>
      </w:r>
      <w:r>
        <w:rPr>
          <w:rtl/>
        </w:rPr>
        <w:fldChar w:fldCharType="end"/>
      </w:r>
      <w:r>
        <w:rPr>
          <w:rFonts w:hint="cs"/>
          <w:rtl/>
          <w:lang w:bidi="ar-EG"/>
        </w:rPr>
        <w:t>: نموذج تكامل الميتافيرس والبلوكشين والاستراتيجيات التنظيمية لتحقيق تطوير الأنظمة الصحية</w:t>
      </w:r>
    </w:p>
    <w:p w14:paraId="11190E7F" w14:textId="77777777" w:rsidR="00CC4F16" w:rsidRDefault="00CC4F16" w:rsidP="00CC4F16">
      <w:pPr>
        <w:rPr>
          <w:rtl/>
          <w:lang w:bidi="ar-EG"/>
        </w:rPr>
      </w:pPr>
    </w:p>
    <w:p w14:paraId="0A273D6F" w14:textId="77777777" w:rsidR="00CC4F16" w:rsidRDefault="00CC4F16" w:rsidP="00CC4F16">
      <w:pPr>
        <w:rPr>
          <w:rtl/>
          <w:lang w:bidi="ar-EG"/>
        </w:rPr>
      </w:pPr>
    </w:p>
    <w:p w14:paraId="3A2BB4E5" w14:textId="77777777" w:rsidR="00CC4F16" w:rsidRDefault="00CC4F16" w:rsidP="00CC4F16">
      <w:pPr>
        <w:rPr>
          <w:rtl/>
          <w:lang w:bidi="ar-EG"/>
        </w:rPr>
      </w:pPr>
    </w:p>
    <w:p w14:paraId="36EC8168" w14:textId="77777777" w:rsidR="00CC4F16" w:rsidRDefault="00CC4F16" w:rsidP="00CC4F16">
      <w:pPr>
        <w:rPr>
          <w:rtl/>
          <w:lang w:bidi="ar-EG"/>
        </w:rPr>
      </w:pPr>
    </w:p>
    <w:p w14:paraId="43F008A5" w14:textId="77777777" w:rsidR="00CC4F16" w:rsidRDefault="00CC4F16" w:rsidP="00CC4F16">
      <w:pPr>
        <w:rPr>
          <w:rtl/>
          <w:lang w:bidi="ar-EG"/>
        </w:rPr>
      </w:pPr>
    </w:p>
    <w:p w14:paraId="631B3ABF" w14:textId="5DCB6AA6" w:rsidR="00EC57FE" w:rsidRPr="000C6D1E" w:rsidRDefault="00E16542" w:rsidP="00CC4F16">
      <w:pPr>
        <w:pStyle w:val="Heading2"/>
        <w:bidi/>
        <w:spacing w:line="360" w:lineRule="auto"/>
        <w:rPr>
          <w:rFonts w:ascii="Traditional Arabic" w:hAnsi="Traditional Arabic" w:cs="Traditional Arabic"/>
          <w:b/>
          <w:bCs/>
          <w:color w:val="auto"/>
          <w:rtl/>
          <w:lang w:bidi="ar-EG"/>
        </w:rPr>
      </w:pPr>
      <w:bookmarkStart w:id="7" w:name="_Toc234906712"/>
      <w:r w:rsidRPr="000C6D1E">
        <w:rPr>
          <w:rFonts w:ascii="Traditional Arabic" w:hAnsi="Traditional Arabic" w:cs="Traditional Arabic"/>
          <w:b/>
          <w:bCs/>
          <w:color w:val="auto"/>
          <w:rtl/>
          <w:lang w:bidi="ar-EG"/>
        </w:rPr>
        <w:lastRenderedPageBreak/>
        <w:t>الدراسات السابقة:</w:t>
      </w:r>
      <w:bookmarkEnd w:id="7"/>
    </w:p>
    <w:p w14:paraId="41DF4491" w14:textId="690C99F8" w:rsidR="00E16542" w:rsidRPr="00BC61E5" w:rsidRDefault="00E16542" w:rsidP="00BC61E5">
      <w:pPr>
        <w:bidi/>
        <w:spacing w:after="0"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تطوير الأنظمة الصحية</w:t>
      </w:r>
      <w:r w:rsidRPr="00BC61E5">
        <w:rPr>
          <w:rFonts w:ascii="Traditional Arabic" w:hAnsi="Traditional Arabic" w:cs="Traditional Arabic" w:hint="cs"/>
          <w:b/>
          <w:bCs/>
          <w:sz w:val="28"/>
          <w:szCs w:val="28"/>
          <w:u w:val="single"/>
          <w:rtl/>
        </w:rPr>
        <w:t>)</w:t>
      </w:r>
      <w:r w:rsidRPr="00BC61E5">
        <w:rPr>
          <w:rFonts w:ascii="Traditional Arabic" w:hAnsi="Traditional Arabic" w:cs="Traditional Arabic"/>
          <w:b/>
          <w:bCs/>
          <w:sz w:val="28"/>
          <w:szCs w:val="28"/>
          <w:u w:val="single"/>
          <w:rtl/>
        </w:rPr>
        <w:t xml:space="preserve"> </w:t>
      </w:r>
    </w:p>
    <w:p w14:paraId="3735C57D" w14:textId="2D40386B" w:rsidR="00CF33E1" w:rsidRDefault="00326C3A" w:rsidP="00CF33E1">
      <w:pPr>
        <w:tabs>
          <w:tab w:val="left" w:pos="5505"/>
        </w:tabs>
        <w:bidi/>
        <w:spacing w:line="360" w:lineRule="auto"/>
        <w:ind w:firstLine="571"/>
        <w:jc w:val="both"/>
        <w:rPr>
          <w:rFonts w:ascii="Traditional Arabic" w:hAnsi="Traditional Arabic" w:cs="Traditional Arabic"/>
          <w:sz w:val="28"/>
          <w:szCs w:val="28"/>
          <w:rtl/>
        </w:rPr>
      </w:pPr>
      <w:r w:rsidRPr="00CF33E1">
        <w:rPr>
          <w:rFonts w:ascii="Traditional Arabic" w:hAnsi="Traditional Arabic" w:cs="Traditional Arabic"/>
          <w:sz w:val="28"/>
          <w:szCs w:val="28"/>
        </w:rPr>
        <w:t> </w:t>
      </w:r>
      <w:r w:rsidR="00CF33E1" w:rsidRPr="00CF33E1">
        <w:rPr>
          <w:rFonts w:ascii="Traditional Arabic" w:hAnsi="Traditional Arabic" w:cs="Traditional Arabic"/>
          <w:sz w:val="28"/>
          <w:szCs w:val="28"/>
          <w:rtl/>
        </w:rPr>
        <w:t xml:space="preserve">هدفت </w:t>
      </w:r>
      <w:r w:rsidR="00CF33E1">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04064574"/>
          <w:citation/>
        </w:sdtPr>
        <w:sdtContent>
          <w:r w:rsidR="00CF33E1">
            <w:rPr>
              <w:rFonts w:ascii="Traditional Arabic" w:hAnsi="Traditional Arabic" w:cs="Traditional Arabic"/>
              <w:sz w:val="28"/>
              <w:szCs w:val="28"/>
              <w:rtl/>
            </w:rPr>
            <w:fldChar w:fldCharType="begin"/>
          </w:r>
          <w:r w:rsidR="00CF33E1">
            <w:rPr>
              <w:rFonts w:ascii="Traditional Arabic" w:hAnsi="Traditional Arabic" w:cs="Traditional Arabic"/>
              <w:sz w:val="28"/>
              <w:szCs w:val="28"/>
              <w:rtl/>
              <w:lang w:bidi="ar-EG"/>
            </w:rPr>
            <w:instrText xml:space="preserve"> </w:instrText>
          </w:r>
          <w:r w:rsidR="00CF33E1">
            <w:rPr>
              <w:rFonts w:ascii="Traditional Arabic" w:hAnsi="Traditional Arabic" w:cs="Traditional Arabic" w:hint="cs"/>
              <w:sz w:val="28"/>
              <w:szCs w:val="28"/>
              <w:lang w:bidi="ar-EG"/>
            </w:rPr>
            <w:instrText>CITATION</w:instrText>
          </w:r>
          <w:r w:rsidR="00CF33E1">
            <w:rPr>
              <w:rFonts w:ascii="Traditional Arabic" w:hAnsi="Traditional Arabic" w:cs="Traditional Arabic" w:hint="cs"/>
              <w:sz w:val="28"/>
              <w:szCs w:val="28"/>
              <w:rtl/>
              <w:lang w:bidi="ar-EG"/>
            </w:rPr>
            <w:instrText xml:space="preserve"> </w:instrText>
          </w:r>
          <w:r w:rsidR="00CF33E1">
            <w:rPr>
              <w:rFonts w:ascii="Traditional Arabic" w:hAnsi="Traditional Arabic" w:cs="Traditional Arabic" w:hint="cs"/>
              <w:sz w:val="28"/>
              <w:szCs w:val="28"/>
              <w:lang w:bidi="ar-EG"/>
            </w:rPr>
            <w:instrText>Viv25 \l 3073</w:instrText>
          </w:r>
          <w:r w:rsidR="00CF33E1">
            <w:rPr>
              <w:rFonts w:ascii="Traditional Arabic" w:hAnsi="Traditional Arabic" w:cs="Traditional Arabic"/>
              <w:sz w:val="28"/>
              <w:szCs w:val="28"/>
              <w:rtl/>
              <w:lang w:bidi="ar-EG"/>
            </w:rPr>
            <w:instrText xml:space="preserve"> </w:instrText>
          </w:r>
          <w:r w:rsidR="00CF33E1">
            <w:rPr>
              <w:rFonts w:ascii="Traditional Arabic" w:hAnsi="Traditional Arabic" w:cs="Traditional Arabic"/>
              <w:sz w:val="28"/>
              <w:szCs w:val="28"/>
              <w:rtl/>
            </w:rPr>
            <w:fldChar w:fldCharType="separate"/>
          </w:r>
          <w:r w:rsidR="00CF33E1" w:rsidRPr="00CF33E1">
            <w:rPr>
              <w:rFonts w:ascii="Traditional Arabic" w:hAnsi="Traditional Arabic" w:cs="Traditional Arabic" w:hint="cs"/>
              <w:noProof/>
              <w:sz w:val="28"/>
              <w:szCs w:val="28"/>
              <w:rtl/>
              <w:lang w:bidi="ar-EG"/>
            </w:rPr>
            <w:t>(</w:t>
          </w:r>
          <w:r w:rsidR="00CF33E1" w:rsidRPr="00CF33E1">
            <w:rPr>
              <w:rFonts w:ascii="Traditional Arabic" w:hAnsi="Traditional Arabic" w:cs="Traditional Arabic" w:hint="cs"/>
              <w:noProof/>
              <w:sz w:val="28"/>
              <w:szCs w:val="28"/>
              <w:lang w:bidi="ar-EG"/>
            </w:rPr>
            <w:t>Vivian Nasrulddin</w:t>
          </w:r>
          <w:r w:rsidR="00CF33E1" w:rsidRPr="00CF33E1">
            <w:rPr>
              <w:rFonts w:ascii="Traditional Arabic" w:hAnsi="Traditional Arabic" w:cs="Traditional Arabic" w:hint="cs"/>
              <w:noProof/>
              <w:sz w:val="28"/>
              <w:szCs w:val="28"/>
              <w:rtl/>
              <w:lang w:bidi="ar-EG"/>
            </w:rPr>
            <w:t>، 2025)</w:t>
          </w:r>
          <w:r w:rsidR="00CF33E1">
            <w:rPr>
              <w:rFonts w:ascii="Traditional Arabic" w:hAnsi="Traditional Arabic" w:cs="Traditional Arabic"/>
              <w:sz w:val="28"/>
              <w:szCs w:val="28"/>
              <w:rtl/>
            </w:rPr>
            <w:fldChar w:fldCharType="end"/>
          </w:r>
        </w:sdtContent>
      </w:sdt>
      <w:r w:rsidR="00CF33E1" w:rsidRPr="00CF33E1">
        <w:rPr>
          <w:rFonts w:ascii="Traditional Arabic" w:hAnsi="Traditional Arabic" w:cs="Traditional Arabic"/>
          <w:sz w:val="28"/>
          <w:szCs w:val="28"/>
          <w:rtl/>
        </w:rPr>
        <w:t xml:space="preserve"> إلى قياس أثر رؤية السعودية 2030 على الموارد الصحية (كثافة الأطباء، كثافة الأسرة، وكثافة الممرضين) في المناطق الصحية السعودية البالغ عددها (20) منطقة، خلال الفترة الممتدة من عام 2013 إلى2023. تم استخدام نموذج الحدث (</w:t>
      </w:r>
      <w:r w:rsidR="00CF33E1" w:rsidRPr="00CF33E1">
        <w:rPr>
          <w:rFonts w:ascii="Traditional Arabic" w:hAnsi="Traditional Arabic" w:cs="Traditional Arabic"/>
          <w:sz w:val="28"/>
          <w:szCs w:val="28"/>
        </w:rPr>
        <w:t>Event Study</w:t>
      </w:r>
      <w:r w:rsidR="00CF33E1" w:rsidRPr="00CF33E1">
        <w:rPr>
          <w:rFonts w:ascii="Traditional Arabic" w:hAnsi="Traditional Arabic" w:cs="Traditional Arabic"/>
          <w:sz w:val="28"/>
          <w:szCs w:val="28"/>
          <w:rtl/>
        </w:rPr>
        <w:t>) لتقدير التغيرات قبل وبعد تطبيق الرؤية، مع اعتماد نموذج الانحدار الثابت (</w:t>
      </w:r>
      <w:r w:rsidR="00CF33E1" w:rsidRPr="00CF33E1">
        <w:rPr>
          <w:rFonts w:ascii="Traditional Arabic" w:hAnsi="Traditional Arabic" w:cs="Traditional Arabic"/>
          <w:sz w:val="28"/>
          <w:szCs w:val="28"/>
        </w:rPr>
        <w:t>Fixed Effects</w:t>
      </w:r>
      <w:r w:rsidR="00CF33E1" w:rsidRPr="00CF33E1">
        <w:rPr>
          <w:rFonts w:ascii="Traditional Arabic" w:hAnsi="Traditional Arabic" w:cs="Traditional Arabic"/>
          <w:sz w:val="28"/>
          <w:szCs w:val="28"/>
          <w:rtl/>
        </w:rPr>
        <w:t>) وتحليل الاتجاهات الزمنية. كما تم استخدام اختبار السببية لبيانات البانل وفق منهجية (</w:t>
      </w:r>
      <w:r w:rsidR="00CF33E1" w:rsidRPr="00CF33E1">
        <w:rPr>
          <w:rFonts w:ascii="Traditional Arabic" w:hAnsi="Traditional Arabic" w:cs="Traditional Arabic"/>
          <w:sz w:val="28"/>
          <w:szCs w:val="28"/>
        </w:rPr>
        <w:t>Dumitrescu</w:t>
      </w:r>
      <w:r w:rsidR="00CF33E1" w:rsidRPr="00CF33E1">
        <w:rPr>
          <w:rFonts w:ascii="Traditional Arabic" w:hAnsi="Traditional Arabic" w:cs="Traditional Arabic"/>
          <w:sz w:val="28"/>
          <w:szCs w:val="28"/>
          <w:rtl/>
        </w:rPr>
        <w:t xml:space="preserve"> &amp; </w:t>
      </w:r>
      <w:r w:rsidR="00CF33E1" w:rsidRPr="00CF33E1">
        <w:rPr>
          <w:rFonts w:ascii="Traditional Arabic" w:hAnsi="Traditional Arabic" w:cs="Traditional Arabic"/>
          <w:sz w:val="28"/>
          <w:szCs w:val="28"/>
        </w:rPr>
        <w:t>Hurlin</w:t>
      </w:r>
      <w:r w:rsidR="00CF33E1" w:rsidRPr="00CF33E1">
        <w:rPr>
          <w:rFonts w:ascii="Traditional Arabic" w:hAnsi="Traditional Arabic" w:cs="Traditional Arabic"/>
          <w:sz w:val="28"/>
          <w:szCs w:val="28"/>
          <w:rtl/>
        </w:rPr>
        <w:t xml:space="preserve"> (2012</w:t>
      </w:r>
      <w:r w:rsidR="00CF33E1" w:rsidRPr="00CF33E1">
        <w:rPr>
          <w:rFonts w:ascii="Traditional Arabic" w:hAnsi="Traditional Arabic" w:cs="Traditional Arabic" w:hint="cs"/>
          <w:sz w:val="28"/>
          <w:szCs w:val="28"/>
          <w:rtl/>
        </w:rPr>
        <w:t>)) لدراسة</w:t>
      </w:r>
      <w:r w:rsidR="00CF33E1" w:rsidRPr="00CF33E1">
        <w:rPr>
          <w:rFonts w:ascii="Traditional Arabic" w:hAnsi="Traditional Arabic" w:cs="Traditional Arabic"/>
          <w:sz w:val="28"/>
          <w:szCs w:val="28"/>
          <w:rtl/>
        </w:rPr>
        <w:t xml:space="preserve"> العلاقة السببية بين رؤية 2030والموارد الصحية. أظهرت النتائج أن الفترات السابقة لتطبيق الرؤية لم تسجل أي فروق معنوية في الموارد </w:t>
      </w:r>
      <w:r w:rsidR="00CF33E1" w:rsidRPr="00CF33E1">
        <w:rPr>
          <w:rFonts w:ascii="Traditional Arabic" w:hAnsi="Traditional Arabic" w:cs="Traditional Arabic" w:hint="cs"/>
          <w:sz w:val="28"/>
          <w:szCs w:val="28"/>
          <w:rtl/>
        </w:rPr>
        <w:t>الصحية،</w:t>
      </w:r>
      <w:r w:rsidR="00CF33E1" w:rsidRPr="00CF33E1">
        <w:rPr>
          <w:rFonts w:ascii="Traditional Arabic" w:hAnsi="Traditional Arabic" w:cs="Traditional Arabic"/>
          <w:sz w:val="28"/>
          <w:szCs w:val="28"/>
          <w:rtl/>
        </w:rPr>
        <w:t xml:space="preserve"> ما يؤكد غياب أي اتجاهات مسبقة (</w:t>
      </w:r>
      <w:r w:rsidR="00CF33E1" w:rsidRPr="00CF33E1">
        <w:rPr>
          <w:rFonts w:ascii="Traditional Arabic" w:hAnsi="Traditional Arabic" w:cs="Traditional Arabic"/>
          <w:sz w:val="28"/>
          <w:szCs w:val="28"/>
        </w:rPr>
        <w:t>pre-trends</w:t>
      </w:r>
      <w:r w:rsidR="00CF33E1" w:rsidRPr="00CF33E1">
        <w:rPr>
          <w:rFonts w:ascii="Traditional Arabic" w:hAnsi="Traditional Arabic" w:cs="Traditional Arabic"/>
          <w:sz w:val="28"/>
          <w:szCs w:val="28"/>
          <w:rtl/>
        </w:rPr>
        <w:t>)، وبالتالي صحة تقديرات الأثر السببي بعد تنفيذ رؤية2030. كما أظهرت النتائج وجود تأثير طردي معنوي لرؤية 2030 في كل الموارد الصحية الثلاثة (كثافة الأطباء، كثافة الأسرة، وكثافة الممرضين) وأن هذا التأثير يتزايد بمرور السنوات مما يدل على أن رؤية السعودية 2030 أحدثت أثرًا مستدامًا وقويًا على القطاع الصحي. أظهرت النتائج وجود علاقة سببية معنوية موجبة بين تطبيق الرؤية والموارد الصحية (كثافة الأطباء، كثافة الأسرة، وكثافة الممرضين)، مما يدل على أن برامج التحول الصحي أسهمت في رفع مستوى هذه الموارد وتحسين كفاءتها. وأوصت الدراسة بضرورة إجراء تقييمات دورية للأثر طويل الأجل، وإجراء دراسات مماثلة في قطاعات أخرى.</w:t>
      </w:r>
    </w:p>
    <w:p w14:paraId="1BCC4B65" w14:textId="3DCA9DAC" w:rsidR="003417D4"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752C17">
        <w:rPr>
          <w:rFonts w:ascii="Traditional Arabic" w:hAnsi="Traditional Arabic" w:cs="Traditional Arabic"/>
          <w:sz w:val="28"/>
          <w:szCs w:val="28"/>
          <w:rtl/>
        </w:rPr>
        <w:t xml:space="preserve">أدى التوسع السريع في البيانات الصحية إلى توافر معلومات غير مسبوقة ضمن أنظمة الرعاية الصحية. وتلعب أنظمة المعلومات الصحية دورًا محوريًا في إدارة هذه البيانات وتمكين تحسينات في تقديم الرعاية، وأداء النظام، ومراقبة صحة السكان. ومع ذلك، يتطلب تعظيم قيمة أنظمة المعلومات الصحية تبادلًا فعالًا للمعلومات بين الأنظمة، مما يجعل قابلية التشغيل البيني شرطًا أساسيًا بالغ الأهمية. وعلى الرغم من فوائدها المعروفة، لا تزال قابلية التشغيل البيني تشكل تحديًا كبيرًا ضمن شبكة الخدمات الصحية والاجتماعية في كيبيك، ويعود ذلك في الغالب إلى عدم تجانس أنظمة المعلومات الصحية وتشتتها بين مؤسسات الرعاية الصحية. قيّمت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6267764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Lan25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3417D4">
            <w:rPr>
              <w:rFonts w:ascii="Traditional Arabic" w:hAnsi="Traditional Arabic" w:cs="Traditional Arabic" w:hint="cs"/>
              <w:noProof/>
              <w:sz w:val="28"/>
              <w:szCs w:val="28"/>
              <w:rtl/>
              <w:lang w:bidi="ar-EG"/>
            </w:rPr>
            <w:t>(</w:t>
          </w:r>
          <w:r w:rsidRPr="003417D4">
            <w:rPr>
              <w:rFonts w:ascii="Traditional Arabic" w:hAnsi="Traditional Arabic" w:cs="Traditional Arabic" w:hint="cs"/>
              <w:noProof/>
              <w:sz w:val="28"/>
              <w:szCs w:val="28"/>
              <w:lang w:bidi="ar-EG"/>
            </w:rPr>
            <w:t>Langford-Avelar</w:t>
          </w:r>
          <w:r w:rsidRPr="003417D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752C17">
        <w:rPr>
          <w:rFonts w:ascii="Traditional Arabic" w:hAnsi="Traditional Arabic" w:cs="Traditional Arabic"/>
          <w:sz w:val="28"/>
          <w:szCs w:val="28"/>
          <w:rtl/>
        </w:rPr>
        <w:t xml:space="preserve"> كيفية تعامل خطة كيبيك الصحية مع تحديات قابلية التشغيل البيني، باستخدام أبعاد جمعية أنظمة إدارة معلومات الرعاية الصحية (</w:t>
      </w:r>
      <w:r w:rsidRPr="00752C17">
        <w:rPr>
          <w:rFonts w:ascii="Traditional Arabic" w:hAnsi="Traditional Arabic" w:cs="Traditional Arabic"/>
          <w:sz w:val="28"/>
          <w:szCs w:val="28"/>
        </w:rPr>
        <w:t>HIMSS</w:t>
      </w:r>
      <w:r w:rsidRPr="00752C17">
        <w:rPr>
          <w:rFonts w:ascii="Traditional Arabic" w:hAnsi="Traditional Arabic" w:cs="Traditional Arabic"/>
          <w:sz w:val="28"/>
          <w:szCs w:val="28"/>
          <w:rtl/>
        </w:rPr>
        <w:t xml:space="preserve">): قابلية التشغيل البيني الأساسية، والهيكلية، والدلالية، والتنظيمية. سلطت هذه الدراسة الضوء على </w:t>
      </w:r>
      <w:r w:rsidRPr="00752C17">
        <w:rPr>
          <w:rFonts w:ascii="Traditional Arabic" w:hAnsi="Traditional Arabic" w:cs="Traditional Arabic"/>
          <w:sz w:val="28"/>
          <w:szCs w:val="28"/>
          <w:rtl/>
        </w:rPr>
        <w:lastRenderedPageBreak/>
        <w:t>مبادرات تهدف إلى تعزيز البنية التحتية وهندسة نظام المعلومات لدعم قابلية التشغيل البيني الأساسية، وأظهرت تحديات مستمرة على المستويين الهيكلي والدلالي، لا سيما تلك المتعلقة باعتماد تنسيقات بيانات موحدة ومواءمة المصطلحات السريرية. وأخيرًا، تم تحديد تحديات تنفيذية كبيرة تتطلب إدارة تغيير منسقة فيما يتعلق بقابلية التشغيل البيني التنظيمية. عموماً، على الرغم من أن خطة الصحة العامة تُظهر التزاماً واضحاً بالتحديث التكنولوجي، إلا أنها لا تُعالج بشكل كامل الطبيعة متعددة الأبعاد للتوافقية. ويتطلب تحقيق توافقية فعّالة بذل جهود متواصلة في المجالات التقنية والمعيارية والتنظيمية، تتجاوز الاستراتيجيات المحددة حالياً. وتُضيف التطورات الأخيرة في مجال الحوكمة، بما في ذلك إنشاء هيئة الصحة في كيبيك، تعقيداً لهذا السياق المتطور، وتثير تساؤلات إضافية حول تنسيق حوكمة التوافقية.</w:t>
      </w:r>
    </w:p>
    <w:p w14:paraId="1393800A" w14:textId="60988EF1" w:rsidR="00CF33E1" w:rsidRDefault="00752C17" w:rsidP="00CF33E1">
      <w:pPr>
        <w:tabs>
          <w:tab w:val="left" w:pos="5505"/>
        </w:tabs>
        <w:bidi/>
        <w:spacing w:line="360" w:lineRule="auto"/>
        <w:ind w:firstLine="571"/>
        <w:jc w:val="both"/>
        <w:rPr>
          <w:rFonts w:ascii="Traditional Arabic" w:hAnsi="Traditional Arabic" w:cs="Traditional Arabic"/>
          <w:sz w:val="28"/>
          <w:szCs w:val="28"/>
          <w:rtl/>
        </w:rPr>
      </w:pPr>
      <w:r w:rsidRPr="00752C17">
        <w:rPr>
          <w:rFonts w:ascii="Traditional Arabic" w:hAnsi="Traditional Arabic" w:cs="Traditional Arabic"/>
          <w:sz w:val="28"/>
          <w:szCs w:val="28"/>
          <w:rtl/>
        </w:rPr>
        <w:t xml:space="preserve">يُعدّ ضمان الصحة الجيدة والرفاه أحد أهم أهداف التنمية المستدامة، التي تهدف إلى تعزيز حياة صحية ورفاهية لجميع الفئات العمرية. ويشمل ذلك توفير خدمات طبية ميسورة التكلفة وصديقة للبيئة للجمهور بشكل عادل ومنصف. تتضمن أهداف الصحة الجيدة والرفاه تحقيق نتائج صحية عادلة وأنظمة رعاية صحية قوية. كما يُبرز هذا أهمية دمج اعتبارات الصحة المستدامة في أطر السياسات في البلدان النامية، والتي وُضعت لمعالجة العوامل الاجتماعية المؤثرة على الصحة. وفيما يتعلق بإصلاح الرعاية الصحية، تلعب تكنولوجيا المعلومات والاتصالات دورًا محوريًا كعوامل تمكين رئيسية لتحسين وصول المرضى، وجودة العلاج، وكفاءة النظام. كما يُسلط هذا التحول في التركيز الضوء على أهمية تعزيز إمكانية الوصول الرقمي، والاستدامة، والابتكار، والأمن السيبراني، والريادة الرقمية. ومع ذلك، فإن دمج تكنولوجيا المعلومات والاتصالات المتطورة باستمرار في أنظمة الرعاية الصحية، والذي يُطلق عليه أحيانًا التحول الرقمي، ليس بالأمر السهل. إلا أن بعض التحديات تبرز في التكامل، وتصميم التطبيقات، والتدابير الأمنية. رغم وجود العديد من الدراسات المقترحة لمعالجة دمج تقنيات المعلومات والاتصالات في أنظمة الرعاية الصحية، إلا أن نطاق هذه الدراسات كان محدودًا، ولم تأخذ في الحسبان عدة عوامل. لذا، ثمة حاجة ملحة لدراسة بحثية شاملة تركز على تقنيات التكامل، وتحديات التصميم، وتحديات الأمن والخصوصية، ومجالات التطبيق، والآثار الإيجابية والسلبية المحتملة. وعليه، تُسهم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4228886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Ham241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752C17">
            <w:rPr>
              <w:rFonts w:ascii="Traditional Arabic" w:hAnsi="Traditional Arabic" w:cs="Traditional Arabic" w:hint="cs"/>
              <w:noProof/>
              <w:sz w:val="28"/>
              <w:szCs w:val="28"/>
              <w:rtl/>
              <w:lang w:bidi="ar-EG"/>
            </w:rPr>
            <w:t>(</w:t>
          </w:r>
          <w:r w:rsidRPr="00752C17">
            <w:rPr>
              <w:rFonts w:ascii="Traditional Arabic" w:hAnsi="Traditional Arabic" w:cs="Traditional Arabic" w:hint="cs"/>
              <w:noProof/>
              <w:sz w:val="28"/>
              <w:szCs w:val="28"/>
              <w:lang w:bidi="ar-EG"/>
            </w:rPr>
            <w:t>Hameed</w:t>
          </w:r>
          <w:r w:rsidRPr="00752C17">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752C17">
        <w:rPr>
          <w:rFonts w:ascii="Traditional Arabic" w:hAnsi="Traditional Arabic" w:cs="Traditional Arabic"/>
          <w:sz w:val="28"/>
          <w:szCs w:val="28"/>
          <w:rtl/>
        </w:rPr>
        <w:t xml:space="preserve"> في دراسة الأدبيات البحثية التي تغطي هدفًا هامًا من أهداف التنمية المستدامة، وهو "الصحة الجيدة والرفاه"، وتحوله الرقمي، إلى جانب تلخيص نتائج بحثنا بطريقة تفصيلية وتصنيفية. في البداية، نحلل تصنيفًا شاملًا للأبحاث السابقة حول الرعاية الصحية والرفاه، مع التركيز على دمج تقنيات المعلومات </w:t>
      </w:r>
      <w:r w:rsidRPr="00752C17">
        <w:rPr>
          <w:rFonts w:ascii="Traditional Arabic" w:hAnsi="Traditional Arabic" w:cs="Traditional Arabic"/>
          <w:sz w:val="28"/>
          <w:szCs w:val="28"/>
          <w:rtl/>
        </w:rPr>
        <w:lastRenderedPageBreak/>
        <w:t>والاتصالات في الرعاية الصحية، وتحديدًا فيما يتعلق بالاستدامة، وتحديات الأمن والخصوصية، وتحديات التصميم والتكامل، والتطبيقات المرتبطة بالصحة الإلكترونية، والآفاق المستقبلية المحتملة للاستكشاف. ثم نستكشف الحاجة إلى التحول الرقمي في الرعاية الصحية ومكوناته الرئيسية، ونسلط الضوء على أهمية الصحة الإلكترونية وفوائدها، ونستكشف تحديات تكاملها وتصميمها، ونصنف تحديات الأمن والخصوصية. بعد ذلك، نحدد دور تقنية سلسلة الكتل (</w:t>
      </w:r>
      <w:r w:rsidRPr="00752C17">
        <w:rPr>
          <w:rFonts w:ascii="Traditional Arabic" w:hAnsi="Traditional Arabic" w:cs="Traditional Arabic"/>
          <w:sz w:val="28"/>
          <w:szCs w:val="28"/>
        </w:rPr>
        <w:t>Blockchain</w:t>
      </w:r>
      <w:r w:rsidRPr="00752C17">
        <w:rPr>
          <w:rFonts w:ascii="Traditional Arabic" w:hAnsi="Traditional Arabic" w:cs="Traditional Arabic"/>
          <w:sz w:val="28"/>
          <w:szCs w:val="28"/>
          <w:rtl/>
        </w:rPr>
        <w:t>) باعتبارها التقنية الرائدة اليوم في مجال الصحة الإلكترونية. نناقش تقنية سلسلة الكتل وخصائصها، ونسلط الضوء على فوائدها، ونصف أنواع حالات الاستخدام المحتملة القائمة على سلسلة الكتل في مجال الصحة الإلكترونية. علاوة على ذلك، نقارن بين الآثار الإيجابية والسلبية لتكامل تكنولوجيا المعلومات والاتصالات، ونحدد القضايا والتحديات القائمة في دمج هذه التقنيات في أنظمة الرعاية الصحية. كما نناقش توجهات البحث المستقبلية، وندعم الباحثين في معالجة هذه القضايا في الحلول المستقبلية.</w:t>
      </w:r>
    </w:p>
    <w:p w14:paraId="1BDE612C" w14:textId="6D7C4B18" w:rsidR="00BC1D4F"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3417D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8632842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الب242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3417D4">
            <w:rPr>
              <w:rFonts w:ascii="Traditional Arabic" w:hAnsi="Traditional Arabic" w:cs="Traditional Arabic" w:hint="cs"/>
              <w:noProof/>
              <w:sz w:val="28"/>
              <w:szCs w:val="28"/>
              <w:rtl/>
              <w:lang w:bidi="ar-EG"/>
            </w:rPr>
            <w:t>(البدري، 2024)</w:t>
          </w:r>
          <w:r>
            <w:rPr>
              <w:rFonts w:ascii="Traditional Arabic" w:hAnsi="Traditional Arabic" w:cs="Traditional Arabic"/>
              <w:sz w:val="28"/>
              <w:szCs w:val="28"/>
              <w:rtl/>
            </w:rPr>
            <w:fldChar w:fldCharType="end"/>
          </w:r>
        </w:sdtContent>
      </w:sdt>
      <w:r w:rsidRPr="003417D4">
        <w:rPr>
          <w:rFonts w:ascii="Traditional Arabic" w:hAnsi="Traditional Arabic" w:cs="Traditional Arabic"/>
          <w:sz w:val="28"/>
          <w:szCs w:val="28"/>
          <w:rtl/>
        </w:rPr>
        <w:t xml:space="preserve"> إلى التعرّف على مستوى توافر متطلبات نظم المعلومات الإدارية بالمركز الصحي الأبيار من خلال الأبعاد الأتية: (المتطلبات المادية، المتطلبات البرمجية)، وكذلك التعرّف على مستوى جودة الخدمات الصحية بالمركز محل الدراسة، بالإضافة إلى التعرّف على طبيعة الأثر لنظم المعلومات الإدارية في تحسين جودة الخدمات الصحية، وتكون مُجتمع الدراسة من جميع العاملين بالمركز والبالغ قوامه بـــ (81) عاملاً، وتم اتباع المنهج الوصفي، واستخدام أداة الدراسة الاستبانة لجمع البيانات الأساسية وتحليلها بواسطة البرنامج</w:t>
      </w:r>
      <w:r w:rsidRPr="003417D4">
        <w:rPr>
          <w:rFonts w:ascii="Traditional Arabic" w:hAnsi="Traditional Arabic" w:cs="Traditional Arabic"/>
          <w:sz w:val="28"/>
          <w:szCs w:val="28"/>
        </w:rPr>
        <w:t xml:space="preserve"> (SPSS V.26) </w:t>
      </w:r>
      <w:r w:rsidRPr="003417D4">
        <w:rPr>
          <w:rFonts w:ascii="Traditional Arabic" w:hAnsi="Traditional Arabic" w:cs="Traditional Arabic"/>
          <w:sz w:val="28"/>
          <w:szCs w:val="28"/>
          <w:rtl/>
        </w:rPr>
        <w:t>، وتوصلت الدراسة إلى مجموعة من النتائج أهمّها: أن المستوى العام لنظم المعلومات الإدارية بالمركز محل الدراسة جاء متوسطَا، كما بينت الدراسة أنَ مستوى العام لجودة الخدمات الصحية محل الدراسة جاء متوسطاً، وأظهرت النتائج وجود أثر لنظم المعلومات الإدارية في تحسين مستوى جودة الخدمات الصحية، وأخيراً قدمت الدراسة مجموعة من التوصيات التي يُؤمل إتباعها لتعزيز من فاعلية نظم المعلومات الادارية  ورفع مستوى جودة الخدمات الصحية بالمركز الصحي</w:t>
      </w:r>
      <w:r w:rsidRPr="003417D4">
        <w:rPr>
          <w:rFonts w:ascii="Traditional Arabic" w:hAnsi="Traditional Arabic" w:cs="Traditional Arabic"/>
          <w:sz w:val="28"/>
          <w:szCs w:val="28"/>
        </w:rPr>
        <w:t>.</w:t>
      </w:r>
    </w:p>
    <w:p w14:paraId="73CC000E" w14:textId="77777777" w:rsidR="003417D4"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CF33E1">
        <w:rPr>
          <w:rFonts w:ascii="Traditional Arabic" w:hAnsi="Traditional Arabic" w:cs="Traditional Arabic" w:hint="cs"/>
          <w:sz w:val="28"/>
          <w:szCs w:val="28"/>
          <w:rtl/>
        </w:rPr>
        <w:t>يُعدّ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حاليًا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أكثر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التطورات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تأثيرًا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فهو</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يُغيّر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بشكل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جذري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توقعات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المستهلكين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وسلوكياتهم،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ويُشكّل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للشركات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التقليدية،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ويُحدث</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اضطرابًا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العديد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الأسواق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تميل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المناقشات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الحديثة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تأثير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التداعيات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التكنولوجية،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متجاهلةً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عوامل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أخرى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ضرورية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لرؤية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شاملة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وهذا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يستدعي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إعادة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الوضع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الراهن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وبالتالي،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ثمة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حاجة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رؤية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شاملة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للترابطات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المعقدة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هدفت</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دراسة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19127047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Kon23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F33E1">
            <w:rPr>
              <w:rFonts w:ascii="Traditional Arabic" w:hAnsi="Traditional Arabic" w:cs="Traditional Arabic" w:hint="cs"/>
              <w:noProof/>
              <w:sz w:val="28"/>
              <w:szCs w:val="28"/>
              <w:rtl/>
              <w:lang w:bidi="ar-EG"/>
            </w:rPr>
            <w:t>(</w:t>
          </w:r>
          <w:r w:rsidRPr="00CF33E1">
            <w:rPr>
              <w:rFonts w:ascii="Traditional Arabic" w:hAnsi="Traditional Arabic" w:cs="Traditional Arabic" w:hint="cs"/>
              <w:noProof/>
              <w:sz w:val="28"/>
              <w:szCs w:val="28"/>
              <w:lang w:bidi="ar-EG"/>
            </w:rPr>
            <w:t>Konopik</w:t>
          </w:r>
          <w:r w:rsidRPr="00CF33E1">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فحص</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آثار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ويتحقق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ذلك</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خلال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تقديم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مفاهيمي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ظل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أولًا،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المعنية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خلال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مراجعة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شاملة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ومنهجية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نظرية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الأساسية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ثانيًا،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آثار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البحث</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قواعد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sz w:val="28"/>
          <w:szCs w:val="28"/>
        </w:rPr>
        <w:t>PubMed</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w:t>
      </w:r>
      <w:r w:rsidRPr="00CF33E1">
        <w:rPr>
          <w:rFonts w:ascii="Traditional Arabic" w:hAnsi="Traditional Arabic" w:cs="Traditional Arabic"/>
          <w:sz w:val="28"/>
          <w:szCs w:val="28"/>
        </w:rPr>
        <w:t>Web of Science</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w:t>
      </w:r>
      <w:r w:rsidRPr="00CF33E1">
        <w:rPr>
          <w:rFonts w:ascii="Traditional Arabic" w:hAnsi="Traditional Arabic" w:cs="Traditional Arabic"/>
          <w:sz w:val="28"/>
          <w:szCs w:val="28"/>
        </w:rPr>
        <w:t>Dimensions</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الدراسات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ذات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استنادًا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مراجعة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تكاملية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ومنهجية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نظرية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المرتكزة،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جرى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تنظيم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الأدبيات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الأكاديمية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ذات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وتحليلها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كميًا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ونوعيًا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أثرها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القيمة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والعلاقات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أصحاب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المصلحة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ثالثًا،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جُمعت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النتائج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مفاهيمي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ظل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تحديد</w:t>
      </w:r>
      <w:r w:rsidRPr="00CF33E1">
        <w:rPr>
          <w:rFonts w:ascii="Traditional Arabic" w:hAnsi="Traditional Arabic" w:cs="Traditional Arabic"/>
          <w:sz w:val="28"/>
          <w:szCs w:val="28"/>
          <w:rtl/>
        </w:rPr>
        <w:t xml:space="preserve"> 2505 </w:t>
      </w:r>
      <w:r w:rsidRPr="00CF33E1">
        <w:rPr>
          <w:rFonts w:ascii="Traditional Arabic" w:hAnsi="Traditional Arabic" w:cs="Traditional Arabic" w:hint="cs"/>
          <w:sz w:val="28"/>
          <w:szCs w:val="28"/>
          <w:rtl/>
        </w:rPr>
        <w:t>سجلًا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خلال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البحث</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قواعد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منها</w:t>
      </w:r>
      <w:r w:rsidRPr="00CF33E1">
        <w:rPr>
          <w:rFonts w:ascii="Traditional Arabic" w:hAnsi="Traditional Arabic" w:cs="Traditional Arabic"/>
          <w:sz w:val="28"/>
          <w:szCs w:val="28"/>
          <w:rtl/>
        </w:rPr>
        <w:t xml:space="preserve"> 140 </w:t>
      </w:r>
      <w:r w:rsidRPr="00CF33E1">
        <w:rPr>
          <w:rFonts w:ascii="Traditional Arabic" w:hAnsi="Traditional Arabic" w:cs="Traditional Arabic" w:hint="cs"/>
          <w:sz w:val="28"/>
          <w:szCs w:val="28"/>
          <w:rtl/>
        </w:rPr>
        <w:t>سجلًا</w:t>
      </w:r>
      <w:r w:rsidRPr="00CF33E1">
        <w:rPr>
          <w:rFonts w:ascii="Traditional Arabic" w:hAnsi="Traditional Arabic" w:cs="Traditional Arabic"/>
          <w:sz w:val="28"/>
          <w:szCs w:val="28"/>
          <w:rtl/>
        </w:rPr>
        <w:t xml:space="preserve"> (5.59%) </w:t>
      </w:r>
      <w:r w:rsidRPr="00CF33E1">
        <w:rPr>
          <w:rFonts w:ascii="Traditional Arabic" w:hAnsi="Traditional Arabic" w:cs="Traditional Arabic" w:hint="cs"/>
          <w:sz w:val="28"/>
          <w:szCs w:val="28"/>
          <w:rtl/>
        </w:rPr>
        <w:t>أُدرجت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الدراسة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وحُللت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وكشفت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النتائج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مقدمي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العلاجات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الطبية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والمرضى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والمؤسسات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الإدارية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الممولة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أصحاب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المصلحة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بالنسبة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لأصحاب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المصلحة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الأفراد،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فيشهد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المرضى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نموًا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متزايدًا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نفوذهم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بفضل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التكنولوجيا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ويتزايد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اعتماد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مقدمي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الخدمات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الوسطاء</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جوانب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أساسية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القيمة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والتفاعل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المرضى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المتوقع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تسعى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الممولة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تعزيز</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نفوذها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الوسطاء</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للاستفادة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الكميات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الهائلة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تواجه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نماذج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أعمالها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التقنيات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الناشئة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تواجه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المؤسسات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الإدارية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المنظمة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متزايدة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الداخلين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الجدد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ويتزايد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ترابط</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الوسيطة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جميع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المعنية،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يُحفز</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بدوره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أساليب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جديدة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لخلق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القيمة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وقد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أدت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الجهود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التعاونية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إنشاء</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منظومة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متكاملة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يقدم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المفاهيمي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منظورًا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جديدًا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قائمًا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الأدلة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العلاقات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المتبادلة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الفاعلة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يُشير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ضرورة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إدراك</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جهة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معنية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لدورها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المنظومة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ويمكن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يُشكل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أساسًا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لمزيد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التقييمات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للإجراءات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الاستراتيجية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الفاعلة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وتأثيراتها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الأخرى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أو</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منظومة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نفسها</w:t>
      </w:r>
      <w:r w:rsidRPr="00CF33E1">
        <w:rPr>
          <w:rFonts w:ascii="Traditional Arabic" w:hAnsi="Traditional Arabic" w:cs="Traditional Arabic"/>
          <w:sz w:val="28"/>
          <w:szCs w:val="28"/>
          <w:rtl/>
        </w:rPr>
        <w:t>.</w:t>
      </w:r>
    </w:p>
    <w:p w14:paraId="583491D8" w14:textId="210FA6B4" w:rsidR="003417D4"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752C17">
        <w:rPr>
          <w:rFonts w:ascii="Traditional Arabic" w:hAnsi="Traditional Arabic" w:cs="Traditional Arabic"/>
          <w:sz w:val="28"/>
          <w:szCs w:val="28"/>
          <w:rtl/>
        </w:rPr>
        <w:t>يتزايد الاهتمام بتطبيق منهجية تصميم الخدمات (</w:t>
      </w:r>
      <w:r w:rsidRPr="00752C17">
        <w:rPr>
          <w:rFonts w:ascii="Traditional Arabic" w:hAnsi="Traditional Arabic" w:cs="Traditional Arabic"/>
          <w:sz w:val="28"/>
          <w:szCs w:val="28"/>
        </w:rPr>
        <w:t>SD</w:t>
      </w:r>
      <w:r w:rsidRPr="00752C17">
        <w:rPr>
          <w:rFonts w:ascii="Traditional Arabic" w:hAnsi="Traditional Arabic" w:cs="Traditional Arabic"/>
          <w:sz w:val="28"/>
          <w:szCs w:val="28"/>
          <w:rtl/>
        </w:rPr>
        <w:t xml:space="preserve">) لابتكار وتطوير أنظمة الرعاية الصحية. مع ذلك، لا تزال الدراسات الشاملة في هذا المجال قليلة. تستعرض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3144773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Vaz23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752C17">
            <w:rPr>
              <w:rFonts w:ascii="Traditional Arabic" w:hAnsi="Traditional Arabic" w:cs="Traditional Arabic" w:hint="cs"/>
              <w:noProof/>
              <w:sz w:val="28"/>
              <w:szCs w:val="28"/>
              <w:rtl/>
              <w:lang w:bidi="ar-EG"/>
            </w:rPr>
            <w:t>(</w:t>
          </w:r>
          <w:r w:rsidRPr="00752C17">
            <w:rPr>
              <w:rFonts w:ascii="Traditional Arabic" w:hAnsi="Traditional Arabic" w:cs="Traditional Arabic" w:hint="cs"/>
              <w:noProof/>
              <w:sz w:val="28"/>
              <w:szCs w:val="28"/>
              <w:lang w:bidi="ar-EG"/>
            </w:rPr>
            <w:t>Vaz</w:t>
          </w:r>
          <w:r w:rsidRPr="00752C17">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752C17">
        <w:rPr>
          <w:rFonts w:ascii="Traditional Arabic" w:hAnsi="Traditional Arabic" w:cs="Traditional Arabic"/>
          <w:sz w:val="28"/>
          <w:szCs w:val="28"/>
          <w:rtl/>
        </w:rPr>
        <w:t xml:space="preserve"> بشكل منهجي الأدبيات المتعلقة بمبادرات تصميم الخدمات في سبيل تطوير أنظمة الرعاية الصحية. وتتلخص أسئلة البحث فيما يلي: كيف طُبقت منهجية تصميم الخدمات في قطاع الرعاية الصحية؟ إلى أي مدى تُسهم مبادرات تصميم الخدمات في تطوير الأنظمة الصحية؟ ما هي أبرز التحديات التي تواجه مبادرات تصميم الخدمات في </w:t>
      </w:r>
      <w:r w:rsidRPr="00752C17">
        <w:rPr>
          <w:rFonts w:ascii="Traditional Arabic" w:hAnsi="Traditional Arabic" w:cs="Traditional Arabic"/>
          <w:sz w:val="28"/>
          <w:szCs w:val="28"/>
          <w:rtl/>
        </w:rPr>
        <w:lastRenderedPageBreak/>
        <w:t>تطوير النظام الصحي؟ من هم أصحاب المصلحة الرئيسيون المشاركون في هذه العملية، وكيف يمكن أن يتغيروا تبعًا لنوع المبادرة؟ أُجري البحث في مارس 2021 في ثماني قواعد بيانات، وأسفر عن 990 مقالة تم تقييمها وفقًا لبروتوكول بحثي، مما أسفر عن إدراج 47 دراسة في هذه المراجعة. تم تحليل هذه الدراسات من خلال التحليل الموضوعي، مع الأخذ في الاعتبار نموذجين مفاهيميين: منهجية تصميم الخدمات (باتريسيو وآخرون، 2020) ومنظور النظام البيئي (بيرو وآخرون، 2017). تُظهر النتائج أن مبادرات تصميم الخدمات قد نُفذت على جميع مستويات النظام البيئي، ولكن 49% فقط منها (47 من أصل 23 دراسة) تتسم بطابع تحويلي. تم تنظيم تحديات مبادرات التنمية المستدامة في أربعة محاور رئيسية: (1) تخطيط مبادرات التنمية المستدامة كأداة فعّالة في تحويل النظم الصحية؛ (2) استخدام أدوات التنمية المستدامة بشكل إبداعي؛ (3) النظر في استخدام التقنيات الحديثة لتحسين النظم الصحية؛ (4) مواجهة تحديات تطبيق منهجيات التصميم القائم على الخبرة والتصميم التشاركي القائم على الخبرة في تطوير المشاريع. تُعدّ هذه الدراسة ذات أهمية بالغة لمساعدة المديرين والباحثين في جهودهم الرامية إلى تصميم خدمات تحويلية حقيقية، مع التركيز على تحسين النظم الصحية والرفاه الاجتماعي.</w:t>
      </w:r>
    </w:p>
    <w:p w14:paraId="5C901B72" w14:textId="62E32585" w:rsidR="000612C1" w:rsidRPr="00BC1D4F" w:rsidRDefault="00BC1D4F" w:rsidP="00BC1D4F">
      <w:pPr>
        <w:pStyle w:val="ListParagraph"/>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t>التعليق على الدراسات السابقة:</w:t>
      </w:r>
    </w:p>
    <w:tbl>
      <w:tblPr>
        <w:tblStyle w:val="GridTable6Colorful"/>
        <w:bidiVisual/>
        <w:tblW w:w="9350" w:type="dxa"/>
        <w:tblLook w:val="04A0" w:firstRow="1" w:lastRow="0" w:firstColumn="1" w:lastColumn="0" w:noHBand="0" w:noVBand="1"/>
      </w:tblPr>
      <w:tblGrid>
        <w:gridCol w:w="1445"/>
        <w:gridCol w:w="734"/>
        <w:gridCol w:w="1560"/>
        <w:gridCol w:w="1378"/>
        <w:gridCol w:w="1445"/>
        <w:gridCol w:w="1334"/>
        <w:gridCol w:w="1454"/>
      </w:tblGrid>
      <w:tr w:rsidR="0036290D" w:rsidRPr="0036290D" w14:paraId="5CDD015E" w14:textId="77777777" w:rsidTr="000612C1">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613CC7DF" w14:textId="77777777" w:rsidR="000612C1" w:rsidRPr="0036290D" w:rsidRDefault="000612C1" w:rsidP="000612C1">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73CC8DFA"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096F931B"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186B19D9"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5FCB65A8" w14:textId="71D905E6"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2F325AED" w14:textId="1F30314D"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1907D758" w14:textId="39F1EBD9"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36290D" w:rsidRPr="0036290D" w14:paraId="14F992C3" w14:textId="77777777" w:rsidTr="000612C1">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258A480B" w14:textId="3F33D27C" w:rsidR="000612C1" w:rsidRPr="0036290D" w:rsidRDefault="004536FA" w:rsidP="000612C1">
            <w:pPr>
              <w:bidi/>
              <w:jc w:val="center"/>
              <w:rPr>
                <w:rFonts w:ascii="Traditional Arabic" w:eastAsia="Times New Roman" w:hAnsi="Traditional Arabic" w:cs="Traditional Arabic"/>
                <w:b w:val="0"/>
                <w:bCs w:val="0"/>
                <w:color w:val="000000"/>
                <w:kern w:val="0"/>
                <w:sz w:val="28"/>
                <w:szCs w:val="28"/>
                <w:rtl/>
                <w14:ligatures w14:val="none"/>
              </w:rPr>
            </w:pPr>
            <w:r w:rsidRPr="004536FA">
              <w:rPr>
                <w:rFonts w:ascii="Traditional Arabic" w:eastAsia="Times New Roman" w:hAnsi="Traditional Arabic" w:cs="Traditional Arabic"/>
                <w:b w:val="0"/>
                <w:bCs w:val="0"/>
                <w:color w:val="000000"/>
                <w:kern w:val="0"/>
                <w:sz w:val="28"/>
                <w:szCs w:val="28"/>
                <w14:ligatures w14:val="none"/>
              </w:rPr>
              <w:t>Vivian Nasrulddin</w:t>
            </w:r>
          </w:p>
        </w:tc>
        <w:tc>
          <w:tcPr>
            <w:tcW w:w="712" w:type="dxa"/>
          </w:tcPr>
          <w:p w14:paraId="44FAA01E" w14:textId="3DDF7388" w:rsidR="000612C1" w:rsidRPr="0036290D" w:rsidRDefault="004536FA" w:rsidP="004536F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14:ligatures w14:val="none"/>
              </w:rPr>
              <w:t>2025</w:t>
            </w:r>
          </w:p>
        </w:tc>
        <w:tc>
          <w:tcPr>
            <w:tcW w:w="1397" w:type="dxa"/>
          </w:tcPr>
          <w:p w14:paraId="5DDD7BBC" w14:textId="308C52AC"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تحليل كمي باستخدام</w:t>
            </w:r>
            <w:r w:rsidRPr="004536FA">
              <w:rPr>
                <w:rFonts w:ascii="Traditional Arabic" w:eastAsia="Times New Roman" w:hAnsi="Traditional Arabic" w:cs="Traditional Arabic"/>
                <w:color w:val="000000"/>
                <w:kern w:val="0"/>
                <w:sz w:val="28"/>
                <w:szCs w:val="28"/>
                <w14:ligatures w14:val="none"/>
              </w:rPr>
              <w:t xml:space="preserve"> Event Study </w:t>
            </w:r>
            <w:r w:rsidRPr="004536FA">
              <w:rPr>
                <w:rFonts w:ascii="Traditional Arabic" w:eastAsia="Times New Roman" w:hAnsi="Traditional Arabic" w:cs="Traditional Arabic"/>
                <w:color w:val="000000"/>
                <w:kern w:val="0"/>
                <w:sz w:val="28"/>
                <w:szCs w:val="28"/>
                <w:rtl/>
                <w14:ligatures w14:val="none"/>
              </w:rPr>
              <w:t>ونماذج</w:t>
            </w:r>
            <w:r w:rsidRPr="004536FA">
              <w:rPr>
                <w:rFonts w:ascii="Traditional Arabic" w:eastAsia="Times New Roman" w:hAnsi="Traditional Arabic" w:cs="Traditional Arabic"/>
                <w:color w:val="000000"/>
                <w:kern w:val="0"/>
                <w:sz w:val="28"/>
                <w:szCs w:val="28"/>
                <w14:ligatures w14:val="none"/>
              </w:rPr>
              <w:t xml:space="preserve"> Fixed Effects </w:t>
            </w:r>
            <w:r w:rsidRPr="004536FA">
              <w:rPr>
                <w:rFonts w:ascii="Traditional Arabic" w:eastAsia="Times New Roman" w:hAnsi="Traditional Arabic" w:cs="Traditional Arabic"/>
                <w:color w:val="000000"/>
                <w:kern w:val="0"/>
                <w:sz w:val="28"/>
                <w:szCs w:val="28"/>
                <w:rtl/>
                <w14:ligatures w14:val="none"/>
              </w:rPr>
              <w:t>واختبار السببية</w:t>
            </w:r>
            <w:r w:rsidRPr="004536FA">
              <w:rPr>
                <w:rFonts w:ascii="Traditional Arabic" w:eastAsia="Times New Roman" w:hAnsi="Traditional Arabic" w:cs="Traditional Arabic"/>
                <w:color w:val="000000"/>
                <w:kern w:val="0"/>
                <w:sz w:val="28"/>
                <w:szCs w:val="28"/>
                <w14:ligatures w14:val="none"/>
              </w:rPr>
              <w:t xml:space="preserve"> </w:t>
            </w:r>
            <w:r w:rsidRPr="004536FA">
              <w:rPr>
                <w:rFonts w:ascii="Traditional Arabic" w:eastAsia="Times New Roman" w:hAnsi="Traditional Arabic" w:cs="Traditional Arabic"/>
                <w:color w:val="000000"/>
                <w:kern w:val="0"/>
                <w:sz w:val="28"/>
                <w:szCs w:val="28"/>
                <w14:ligatures w14:val="none"/>
              </w:rPr>
              <w:lastRenderedPageBreak/>
              <w:t>Dumitrescu &amp; Hurlin</w:t>
            </w:r>
          </w:p>
        </w:tc>
        <w:tc>
          <w:tcPr>
            <w:tcW w:w="1480" w:type="dxa"/>
          </w:tcPr>
          <w:p w14:paraId="14E0B729" w14:textId="174A19B8"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lastRenderedPageBreak/>
              <w:t>رؤية 2030 أدت إلى تحسن معنوي ومستدام في كثافة الأطباء والأسرة والممرضين</w:t>
            </w:r>
          </w:p>
        </w:tc>
        <w:tc>
          <w:tcPr>
            <w:tcW w:w="1587" w:type="dxa"/>
          </w:tcPr>
          <w:p w14:paraId="0BDF6DE6" w14:textId="30541E77"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تركز على أثر السياسات الصحية الكلية (رؤية 2030) دون تناول تقنيات رقمية متقدمة مثل </w:t>
            </w:r>
            <w:r w:rsidRPr="004536FA">
              <w:rPr>
                <w:rFonts w:ascii="Traditional Arabic" w:eastAsia="Times New Roman" w:hAnsi="Traditional Arabic" w:cs="Traditional Arabic"/>
                <w:color w:val="000000"/>
                <w:kern w:val="0"/>
                <w:sz w:val="28"/>
                <w:szCs w:val="28"/>
                <w:rtl/>
                <w14:ligatures w14:val="none"/>
              </w:rPr>
              <w:lastRenderedPageBreak/>
              <w:t>الميتافيرس أو البلوكشين</w:t>
            </w:r>
          </w:p>
        </w:tc>
        <w:tc>
          <w:tcPr>
            <w:tcW w:w="1440" w:type="dxa"/>
          </w:tcPr>
          <w:p w14:paraId="078D2E54" w14:textId="73CEC986"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lastRenderedPageBreak/>
              <w:t>تشابه في دراسة تطوير القطاع الصحي وتحسين موارده البشرية والبنية الصحية</w:t>
            </w:r>
          </w:p>
        </w:tc>
        <w:tc>
          <w:tcPr>
            <w:tcW w:w="1599" w:type="dxa"/>
          </w:tcPr>
          <w:p w14:paraId="1587C768" w14:textId="04BB5944"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الحاجة لدراسة دور التقنيات الناشئة (الميتافيرس والبلوكشين) في تطوير الأنظمة الصحية بدل </w:t>
            </w:r>
            <w:r w:rsidRPr="004536FA">
              <w:rPr>
                <w:rFonts w:ascii="Traditional Arabic" w:eastAsia="Times New Roman" w:hAnsi="Traditional Arabic" w:cs="Traditional Arabic"/>
                <w:color w:val="000000"/>
                <w:kern w:val="0"/>
                <w:sz w:val="28"/>
                <w:szCs w:val="28"/>
                <w:rtl/>
                <w14:ligatures w14:val="none"/>
              </w:rPr>
              <w:lastRenderedPageBreak/>
              <w:t>التركيز على السياسات العامة</w:t>
            </w:r>
          </w:p>
        </w:tc>
      </w:tr>
      <w:tr w:rsidR="0036290D" w:rsidRPr="0036290D" w14:paraId="6CF5F22C" w14:textId="77777777" w:rsidTr="000612C1">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457FFC3C" w14:textId="1FB4A4F4" w:rsidR="000612C1" w:rsidRPr="0036290D" w:rsidRDefault="00F87B64" w:rsidP="000612C1">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lastRenderedPageBreak/>
              <w:t>Langford-Avelar</w:t>
            </w:r>
          </w:p>
        </w:tc>
        <w:tc>
          <w:tcPr>
            <w:tcW w:w="712" w:type="dxa"/>
          </w:tcPr>
          <w:p w14:paraId="59FC68E1" w14:textId="0918755F" w:rsidR="000612C1" w:rsidRPr="0036290D" w:rsidRDefault="00F87B64"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2025</w:t>
            </w:r>
          </w:p>
        </w:tc>
        <w:tc>
          <w:tcPr>
            <w:tcW w:w="1397" w:type="dxa"/>
          </w:tcPr>
          <w:p w14:paraId="43506CD6" w14:textId="4DCC3B74" w:rsidR="000612C1" w:rsidRPr="0036290D" w:rsidRDefault="004536FA" w:rsidP="000612C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 xml:space="preserve">دراسة تحليلية لأبعاد </w:t>
            </w:r>
            <w:r w:rsidRPr="004536FA">
              <w:rPr>
                <w:rFonts w:ascii="Traditional Arabic" w:eastAsia="Times New Roman" w:hAnsi="Traditional Arabic" w:cs="Traditional Arabic"/>
                <w:color w:val="000000"/>
                <w:kern w:val="0"/>
                <w:sz w:val="28"/>
                <w:szCs w:val="28"/>
                <w14:ligatures w14:val="none"/>
              </w:rPr>
              <w:t>HIMSS</w:t>
            </w:r>
            <w:r w:rsidRPr="004536FA">
              <w:rPr>
                <w:rFonts w:ascii="Traditional Arabic" w:eastAsia="Times New Roman" w:hAnsi="Traditional Arabic" w:cs="Traditional Arabic"/>
                <w:color w:val="000000"/>
                <w:kern w:val="0"/>
                <w:sz w:val="28"/>
                <w:szCs w:val="28"/>
                <w:rtl/>
                <w14:ligatures w14:val="none"/>
              </w:rPr>
              <w:t xml:space="preserve"> لقابلية التشغيل البيني</w:t>
            </w:r>
          </w:p>
        </w:tc>
        <w:tc>
          <w:tcPr>
            <w:tcW w:w="1480" w:type="dxa"/>
          </w:tcPr>
          <w:p w14:paraId="7F6C1332" w14:textId="2F8AAB6C"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وجود تحديات هيكلية ودلالية وتنظيمية في تكامل الأنظمة الصحية</w:t>
            </w:r>
          </w:p>
        </w:tc>
        <w:tc>
          <w:tcPr>
            <w:tcW w:w="1587" w:type="dxa"/>
          </w:tcPr>
          <w:p w14:paraId="702973FA" w14:textId="69B23F30"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تركز على التشغيل البيني للأنظمة التقليدية دون إدخال تقنيات مثل البلوكشين أو الميتافيرس</w:t>
            </w:r>
          </w:p>
        </w:tc>
        <w:tc>
          <w:tcPr>
            <w:tcW w:w="1440" w:type="dxa"/>
          </w:tcPr>
          <w:p w14:paraId="2FB11D51" w14:textId="6D38DEE5"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الاهتمام بتطوير البنية الرقمية للأنظمة الصحية</w:t>
            </w:r>
          </w:p>
        </w:tc>
        <w:tc>
          <w:tcPr>
            <w:tcW w:w="1599" w:type="dxa"/>
          </w:tcPr>
          <w:p w14:paraId="01531FC1" w14:textId="511C0C80"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إلى حلول تقنية متقدمة (مثل البلوكشين) لتعزيز التكامل والأمان في الأنظمة الصحية</w:t>
            </w:r>
          </w:p>
        </w:tc>
      </w:tr>
      <w:tr w:rsidR="0036290D" w:rsidRPr="0036290D" w14:paraId="2FC93365" w14:textId="77777777" w:rsidTr="000612C1">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325871A1" w14:textId="189529D5" w:rsidR="000612C1" w:rsidRPr="0036290D" w:rsidRDefault="00F87B64" w:rsidP="000612C1">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Hameed</w:t>
            </w:r>
          </w:p>
        </w:tc>
        <w:tc>
          <w:tcPr>
            <w:tcW w:w="712" w:type="dxa"/>
          </w:tcPr>
          <w:p w14:paraId="060C053C" w14:textId="1142307B" w:rsidR="000612C1" w:rsidRPr="0036290D" w:rsidRDefault="00F87B64"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7" w:type="dxa"/>
          </w:tcPr>
          <w:p w14:paraId="163176D0" w14:textId="3CFC6046" w:rsidR="000612C1" w:rsidRPr="0036290D" w:rsidRDefault="004536FA" w:rsidP="000612C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مراجعة أدبية شاملة للتحول الرقمي و</w:t>
            </w:r>
            <w:r w:rsidRPr="004536FA">
              <w:rPr>
                <w:rFonts w:ascii="Traditional Arabic" w:eastAsia="Times New Roman" w:hAnsi="Traditional Arabic" w:cs="Traditional Arabic"/>
                <w:color w:val="000000"/>
                <w:kern w:val="0"/>
                <w:sz w:val="28"/>
                <w:szCs w:val="28"/>
                <w14:ligatures w14:val="none"/>
              </w:rPr>
              <w:t>ICT</w:t>
            </w:r>
            <w:r w:rsidRPr="004536FA">
              <w:rPr>
                <w:rFonts w:ascii="Traditional Arabic" w:eastAsia="Times New Roman" w:hAnsi="Traditional Arabic" w:cs="Traditional Arabic"/>
                <w:color w:val="000000"/>
                <w:kern w:val="0"/>
                <w:sz w:val="28"/>
                <w:szCs w:val="28"/>
                <w:rtl/>
                <w14:ligatures w14:val="none"/>
              </w:rPr>
              <w:t xml:space="preserve"> والصحة الإلكترونية و</w:t>
            </w:r>
            <w:r w:rsidRPr="004536FA">
              <w:rPr>
                <w:rFonts w:ascii="Traditional Arabic" w:eastAsia="Times New Roman" w:hAnsi="Traditional Arabic" w:cs="Traditional Arabic"/>
                <w:color w:val="000000"/>
                <w:kern w:val="0"/>
                <w:sz w:val="28"/>
                <w:szCs w:val="28"/>
                <w14:ligatures w14:val="none"/>
              </w:rPr>
              <w:t>Blockchain</w:t>
            </w:r>
          </w:p>
        </w:tc>
        <w:tc>
          <w:tcPr>
            <w:tcW w:w="1480" w:type="dxa"/>
          </w:tcPr>
          <w:p w14:paraId="02A7BCE4" w14:textId="4DBE5DF4"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أهمية التحول الرقمي مع وجود تحديات كبيرة في التكامل والأمن والخصوصية، وإبراز دور البلوكشين</w:t>
            </w:r>
          </w:p>
        </w:tc>
        <w:tc>
          <w:tcPr>
            <w:tcW w:w="1587" w:type="dxa"/>
          </w:tcPr>
          <w:p w14:paraId="78063A8F" w14:textId="12060AFD"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تتناول تقنيات عامة (</w:t>
            </w:r>
            <w:r w:rsidRPr="004536FA">
              <w:rPr>
                <w:rFonts w:ascii="Traditional Arabic" w:eastAsia="Times New Roman" w:hAnsi="Traditional Arabic" w:cs="Traditional Arabic"/>
                <w:color w:val="000000"/>
                <w:kern w:val="0"/>
                <w:sz w:val="28"/>
                <w:szCs w:val="28"/>
                <w14:ligatures w14:val="none"/>
              </w:rPr>
              <w:t>ICT</w:t>
            </w:r>
            <w:r w:rsidRPr="004536FA">
              <w:rPr>
                <w:rFonts w:ascii="Traditional Arabic" w:eastAsia="Times New Roman" w:hAnsi="Traditional Arabic" w:cs="Traditional Arabic"/>
                <w:color w:val="000000"/>
                <w:kern w:val="0"/>
                <w:sz w:val="28"/>
                <w:szCs w:val="28"/>
                <w:rtl/>
                <w14:ligatures w14:val="none"/>
              </w:rPr>
              <w:t xml:space="preserve"> والبلوكشين) دون تطبيق على الميتافيرس أو السياق السعودي</w:t>
            </w:r>
          </w:p>
        </w:tc>
        <w:tc>
          <w:tcPr>
            <w:tcW w:w="1440" w:type="dxa"/>
          </w:tcPr>
          <w:p w14:paraId="7E2F2785" w14:textId="32B7E714"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محور التحول الرقمي وتوظيف التكنولوجيا في تطوير الصحة</w:t>
            </w:r>
          </w:p>
        </w:tc>
        <w:tc>
          <w:tcPr>
            <w:tcW w:w="1599" w:type="dxa"/>
          </w:tcPr>
          <w:p w14:paraId="220187F3" w14:textId="75896E33"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لدمج الميتافيرس مع البلوكشين في نموذج تطبيقي لتطوير الأنظمة الصحية</w:t>
            </w:r>
          </w:p>
        </w:tc>
      </w:tr>
      <w:tr w:rsidR="0036290D" w:rsidRPr="0036290D" w14:paraId="4535FF52" w14:textId="77777777" w:rsidTr="000612C1">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54C5736B" w14:textId="1F3A2D67" w:rsidR="000612C1" w:rsidRPr="0036290D" w:rsidRDefault="00F87B64" w:rsidP="000612C1">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rtl/>
                <w14:ligatures w14:val="none"/>
              </w:rPr>
              <w:t>البدري</w:t>
            </w:r>
          </w:p>
        </w:tc>
        <w:tc>
          <w:tcPr>
            <w:tcW w:w="712" w:type="dxa"/>
          </w:tcPr>
          <w:p w14:paraId="35E9C5E2" w14:textId="1065DCEA" w:rsidR="000612C1" w:rsidRPr="0036290D" w:rsidRDefault="00F87B64"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7" w:type="dxa"/>
          </w:tcPr>
          <w:p w14:paraId="64594C29" w14:textId="4F9C3435"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 xml:space="preserve">منهج وصفي باستخدام الاستبانة وتحليل </w:t>
            </w:r>
            <w:r w:rsidRPr="004536FA">
              <w:rPr>
                <w:rFonts w:ascii="Traditional Arabic" w:eastAsia="Times New Roman" w:hAnsi="Traditional Arabic" w:cs="Traditional Arabic"/>
                <w:color w:val="000000"/>
                <w:kern w:val="0"/>
                <w:sz w:val="28"/>
                <w:szCs w:val="28"/>
                <w14:ligatures w14:val="none"/>
              </w:rPr>
              <w:t>SPSS</w:t>
            </w:r>
          </w:p>
        </w:tc>
        <w:tc>
          <w:tcPr>
            <w:tcW w:w="1480" w:type="dxa"/>
          </w:tcPr>
          <w:p w14:paraId="50CBB1A9" w14:textId="62A695F6"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وجود أثر لنظم المعلومات الإدارية على تحسين جودة الخدمات الصحية</w:t>
            </w:r>
          </w:p>
        </w:tc>
        <w:tc>
          <w:tcPr>
            <w:tcW w:w="1587" w:type="dxa"/>
          </w:tcPr>
          <w:p w14:paraId="316B8865" w14:textId="041C24BA"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تركز على نظم معلومات تقليدية داخل مركز صحي محدود النطاق</w:t>
            </w:r>
          </w:p>
        </w:tc>
        <w:tc>
          <w:tcPr>
            <w:tcW w:w="1440" w:type="dxa"/>
          </w:tcPr>
          <w:p w14:paraId="567AE6C8" w14:textId="45C6AD96"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دراسة تحسين جودة وتطوير الخدمات الصحية</w:t>
            </w:r>
          </w:p>
        </w:tc>
        <w:tc>
          <w:tcPr>
            <w:tcW w:w="1599" w:type="dxa"/>
          </w:tcPr>
          <w:p w14:paraId="055C6908" w14:textId="0C6794ED" w:rsidR="000612C1" w:rsidRPr="0036290D" w:rsidRDefault="004536FA" w:rsidP="004536F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لتوسيع الدراسة لتشمل تقنيات حديثة (الميتافيرس والبلوكشين) على مستوى وطني</w:t>
            </w:r>
          </w:p>
        </w:tc>
      </w:tr>
      <w:tr w:rsidR="0036290D" w:rsidRPr="0036290D" w14:paraId="6306B0D4" w14:textId="77777777" w:rsidTr="000612C1">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390B518" w14:textId="25B67545" w:rsidR="000612C1" w:rsidRPr="0036290D" w:rsidRDefault="00F87B64" w:rsidP="000612C1">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F87B64">
              <w:rPr>
                <w:rFonts w:ascii="Traditional Arabic" w:eastAsia="Times New Roman" w:hAnsi="Traditional Arabic" w:cs="Traditional Arabic"/>
                <w:b w:val="0"/>
                <w:bCs w:val="0"/>
                <w:color w:val="000000"/>
                <w:kern w:val="0"/>
                <w:sz w:val="28"/>
                <w:szCs w:val="28"/>
                <w14:ligatures w14:val="none"/>
              </w:rPr>
              <w:t>Konopik</w:t>
            </w:r>
            <w:proofErr w:type="spellEnd"/>
          </w:p>
        </w:tc>
        <w:tc>
          <w:tcPr>
            <w:tcW w:w="712" w:type="dxa"/>
          </w:tcPr>
          <w:p w14:paraId="21803E6D" w14:textId="51CEA312" w:rsidR="000612C1" w:rsidRPr="0036290D" w:rsidRDefault="00F87B64" w:rsidP="00F87B6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2023</w:t>
            </w:r>
          </w:p>
        </w:tc>
        <w:tc>
          <w:tcPr>
            <w:tcW w:w="1397" w:type="dxa"/>
          </w:tcPr>
          <w:p w14:paraId="4FE793DE" w14:textId="3670B7B3"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تحليل مفاهيمي ومراجعة منهجية لآثار التحول الرقمي</w:t>
            </w:r>
          </w:p>
        </w:tc>
        <w:tc>
          <w:tcPr>
            <w:tcW w:w="1480" w:type="dxa"/>
          </w:tcPr>
          <w:p w14:paraId="0220954D" w14:textId="522C26E7"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التحول الرقمي يعيد تشكيل العلاقات بين أصحاب المصلحة في القطاع الصحي</w:t>
            </w:r>
          </w:p>
        </w:tc>
        <w:tc>
          <w:tcPr>
            <w:tcW w:w="1587" w:type="dxa"/>
          </w:tcPr>
          <w:p w14:paraId="370C62CC" w14:textId="6CDE3032"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دراسة نظرية شاملة دون التركيز على تقنيات محددة مثل الميتافيرس</w:t>
            </w:r>
          </w:p>
        </w:tc>
        <w:tc>
          <w:tcPr>
            <w:tcW w:w="1440" w:type="dxa"/>
          </w:tcPr>
          <w:p w14:paraId="139F1D5C" w14:textId="51CEA692"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تحليل التحول الرقمي وتأثيره على المنظومة الصحية</w:t>
            </w:r>
          </w:p>
        </w:tc>
        <w:tc>
          <w:tcPr>
            <w:tcW w:w="1599" w:type="dxa"/>
          </w:tcPr>
          <w:p w14:paraId="7136EBF3" w14:textId="3D028767"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إلى نماذج تقنية تطبيقية توضح أثر التقنيات الناشئة على تطوير الأنظمة الصحية</w:t>
            </w:r>
          </w:p>
        </w:tc>
      </w:tr>
      <w:tr w:rsidR="0036290D" w:rsidRPr="0036290D" w14:paraId="012FEE1C" w14:textId="77777777" w:rsidTr="004536FA">
        <w:trPr>
          <w:trHeight w:val="2634"/>
        </w:trPr>
        <w:tc>
          <w:tcPr>
            <w:cnfStyle w:val="001000000000" w:firstRow="0" w:lastRow="0" w:firstColumn="1" w:lastColumn="0" w:oddVBand="0" w:evenVBand="0" w:oddHBand="0" w:evenHBand="0" w:firstRowFirstColumn="0" w:firstRowLastColumn="0" w:lastRowFirstColumn="0" w:lastRowLastColumn="0"/>
            <w:tcW w:w="1135" w:type="dxa"/>
          </w:tcPr>
          <w:p w14:paraId="12BA900E" w14:textId="5C2BC35D" w:rsidR="000612C1" w:rsidRPr="0036290D" w:rsidRDefault="00F87B64" w:rsidP="000612C1">
            <w:pPr>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lastRenderedPageBreak/>
              <w:t>Vaz</w:t>
            </w:r>
          </w:p>
        </w:tc>
        <w:tc>
          <w:tcPr>
            <w:tcW w:w="712" w:type="dxa"/>
          </w:tcPr>
          <w:p w14:paraId="1A35372A" w14:textId="6E9EA180" w:rsidR="000612C1" w:rsidRPr="0036290D" w:rsidRDefault="00F87B64"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2023</w:t>
            </w:r>
          </w:p>
        </w:tc>
        <w:tc>
          <w:tcPr>
            <w:tcW w:w="1397" w:type="dxa"/>
          </w:tcPr>
          <w:p w14:paraId="06920414" w14:textId="0E70C136"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مراجعة منهجية لتطبيق تصميم الخدمات (</w:t>
            </w:r>
            <w:r w:rsidRPr="004536FA">
              <w:rPr>
                <w:rFonts w:ascii="Traditional Arabic" w:eastAsia="Times New Roman" w:hAnsi="Traditional Arabic" w:cs="Traditional Arabic"/>
                <w:color w:val="000000"/>
                <w:kern w:val="0"/>
                <w:sz w:val="28"/>
                <w:szCs w:val="28"/>
                <w14:ligatures w14:val="none"/>
              </w:rPr>
              <w:t>Service Design</w:t>
            </w:r>
            <w:r w:rsidRPr="004536FA">
              <w:rPr>
                <w:rFonts w:ascii="Traditional Arabic" w:eastAsia="Times New Roman" w:hAnsi="Traditional Arabic" w:cs="Traditional Arabic"/>
                <w:color w:val="000000"/>
                <w:kern w:val="0"/>
                <w:sz w:val="28"/>
                <w:szCs w:val="28"/>
                <w:rtl/>
                <w14:ligatures w14:val="none"/>
              </w:rPr>
              <w:t>)</w:t>
            </w:r>
          </w:p>
        </w:tc>
        <w:tc>
          <w:tcPr>
            <w:tcW w:w="1480" w:type="dxa"/>
          </w:tcPr>
          <w:p w14:paraId="2AB32120" w14:textId="25F951C2" w:rsidR="000612C1" w:rsidRPr="0036290D" w:rsidRDefault="004536FA" w:rsidP="004536F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مبادرات تصميم الخدمات تسهم في تطوير الأنظمة الصحية مع تحديات تطبيقية</w:t>
            </w:r>
          </w:p>
        </w:tc>
        <w:tc>
          <w:tcPr>
            <w:tcW w:w="1587" w:type="dxa"/>
          </w:tcPr>
          <w:p w14:paraId="350A8265" w14:textId="5D564A82"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يركز على منهجية التصميم وليس التقنيات الرقمية الحديثة</w:t>
            </w:r>
          </w:p>
        </w:tc>
        <w:tc>
          <w:tcPr>
            <w:tcW w:w="1440" w:type="dxa"/>
          </w:tcPr>
          <w:p w14:paraId="679842B0" w14:textId="0D6B605C"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هدف تطوير وتحسين الأنظمة الصحية</w:t>
            </w:r>
          </w:p>
        </w:tc>
        <w:tc>
          <w:tcPr>
            <w:tcW w:w="1599" w:type="dxa"/>
          </w:tcPr>
          <w:p w14:paraId="6F393840" w14:textId="778B6677"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لدمج التصميم الخدمي مع تقنيات رقمية متقدمة مثل البلوكشين والميتافيرس</w:t>
            </w:r>
          </w:p>
        </w:tc>
      </w:tr>
    </w:tbl>
    <w:p w14:paraId="16D3975D" w14:textId="5617F4E4" w:rsidR="004660C1" w:rsidRDefault="00E16542" w:rsidP="00E16542">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دمج تقنية الميتافيرس</w:t>
      </w:r>
      <w:r w:rsidRPr="000C6D1E">
        <w:rPr>
          <w:rFonts w:ascii="Traditional Arabic" w:hAnsi="Traditional Arabic" w:cs="Traditional Arabic" w:hint="cs"/>
          <w:b/>
          <w:bCs/>
          <w:sz w:val="28"/>
          <w:szCs w:val="28"/>
          <w:u w:val="single"/>
          <w:rtl/>
        </w:rPr>
        <w:t>)</w:t>
      </w:r>
    </w:p>
    <w:p w14:paraId="276757D3" w14:textId="468980D9" w:rsidR="00FA2670" w:rsidRDefault="00061412" w:rsidP="00061412">
      <w:pPr>
        <w:bidi/>
        <w:spacing w:after="0" w:line="360" w:lineRule="auto"/>
        <w:ind w:firstLine="571"/>
        <w:jc w:val="both"/>
        <w:rPr>
          <w:rFonts w:ascii="Traditional Arabic" w:hAnsi="Traditional Arabic" w:cs="Traditional Arabic"/>
          <w:sz w:val="28"/>
          <w:szCs w:val="28"/>
          <w:rtl/>
        </w:rPr>
      </w:pPr>
      <w:r w:rsidRPr="00061412">
        <w:rPr>
          <w:rFonts w:ascii="Traditional Arabic" w:hAnsi="Traditional Arabic" w:cs="Traditional Arabic"/>
          <w:sz w:val="28"/>
          <w:szCs w:val="28"/>
          <w:rtl/>
        </w:rPr>
        <w:t>رغم كثرة النقاشات حول الميتافيرس، إلا أن فهم تعقيداته لا يزال محصوراً في فئة قليلة مختارة. يُشبه الميتافيرس، من الناحية المفاهيمية، تجسيداً ثلاثي الأبعاد للإنترنت، إذ يُسهّل التواجد المتزامن في العالمين المادي والافتراضي. وهو في جوهره بيئة افتراضية غامرة بصرياً، تسعى إلى تحقيق الأصالة، حيث ينخرط الأفراد في أنشطة واقعية كالتجارة والألعاب والتفاعل الاجتماعي والأنشطة الترفيهية. وقد ساهمت الجائحة العالمية في تسريع الابتكارات الرقمية في مختلف القطاعات. فإلى جانب التقدم الملحوظ في مجال التطبيب عن بُعد وأنظمة الدفع والمراقبة عن بُعد وتبادل البيانات الآمن، تحققت إنجازات كبيرة في مجالات الذكاء الاصطناعي والواقع الافتراضي والواقع المعزز وتقنية سلسلة الكتل (البلوك تشين). ومع ذلك، لا يزال الميتافيرس، في مراحله الأولى، في طور التطور، ويحمل في طياته إمكانات هائلة لإحداث ثورة في مجال الرعاية الصحية. من خلال التكامل مع إنترنت الأجهزة الطبية والحوسبة الكمومية والروبوتات، فإن الميتافيرس على وشك إعادة تعريف أنظمة الرعاية الصحية، حيث يقدم تحسينات في دقة العمليات الجراحية والأساليب العلاجية، مما يعد بتحولات عميقة داخل الصناعة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06167711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Wan245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061412">
            <w:rPr>
              <w:rFonts w:ascii="Traditional Arabic" w:hAnsi="Traditional Arabic" w:cs="Traditional Arabic" w:hint="cs"/>
              <w:noProof/>
              <w:sz w:val="28"/>
              <w:szCs w:val="28"/>
              <w:rtl/>
              <w:lang w:bidi="ar-EG"/>
            </w:rPr>
            <w:t>(</w:t>
          </w:r>
          <w:r w:rsidRPr="00061412">
            <w:rPr>
              <w:rFonts w:ascii="Traditional Arabic" w:hAnsi="Traditional Arabic" w:cs="Traditional Arabic" w:hint="cs"/>
              <w:noProof/>
              <w:sz w:val="28"/>
              <w:szCs w:val="28"/>
              <w:lang w:bidi="ar-EG"/>
            </w:rPr>
            <w:t>Wang</w:t>
          </w:r>
          <w:r w:rsidRPr="0006141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061412">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1961FCCF" w14:textId="714E99F2" w:rsidR="00061412" w:rsidRDefault="00142255" w:rsidP="00061412">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sz w:val="28"/>
          <w:szCs w:val="28"/>
          <w:rtl/>
        </w:rPr>
        <w:t xml:space="preserve">أُجري تحليل ببليومتري لدراسة أبحاث الميتافيرس في مجال الرعاية الصحية، باستخدام 3721 منشورًا من قاعدة بيانات </w:t>
      </w:r>
      <w:r w:rsidRPr="00142255">
        <w:rPr>
          <w:rFonts w:ascii="Traditional Arabic" w:hAnsi="Traditional Arabic" w:cs="Traditional Arabic"/>
          <w:sz w:val="28"/>
          <w:szCs w:val="28"/>
        </w:rPr>
        <w:t>Web of Science</w:t>
      </w:r>
      <w:r w:rsidRPr="00142255">
        <w:rPr>
          <w:rFonts w:ascii="Traditional Arabic" w:hAnsi="Traditional Arabic" w:cs="Traditional Arabic"/>
          <w:sz w:val="28"/>
          <w:szCs w:val="28"/>
          <w:rtl/>
        </w:rPr>
        <w:t xml:space="preserve"> تغطي الفترة من 1994 إلى 2022. وباستخدام التحليل الببليومتري وتحليل شبكة الروابط الببليوغرافية، 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48713815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Dam24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Damar</w:t>
          </w:r>
          <w:r w:rsidRPr="0014225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 xml:space="preserve"> إلى الكشف عن الاتجاهات الناشئة، ومساهمات الدول والجامعات، والتعاون بين المؤلفين، والمواضيع المشتركة في الميتافيرس. وعلى عكس المتوقع، ظهرت علاقات غير متسقة بين حجم المنشورات وتأثير الاستشهادات. وقد قيّم هذا البحث الرائد القوانين الببليومترية التجريبية، وحدد الجهات المؤثرة، وقدم تصنيفًا موضوعيًا منظمًا لدراسات الميتافيرس. وباعتبارها أول دراسة شاملة للميتافيرس في مجال الرعاية الصحية، تضع هذه الدراسة أساسًا متينًا للجهود البحثية اللاحقة، وتوجه المزيد من البحوث العلمية.</w:t>
      </w:r>
    </w:p>
    <w:p w14:paraId="6E1983E8" w14:textId="17ED6B44" w:rsidR="00142255" w:rsidRDefault="00142255" w:rsidP="00142255">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hint="cs"/>
          <w:sz w:val="28"/>
          <w:szCs w:val="28"/>
          <w:rtl/>
        </w:rPr>
        <w:lastRenderedPageBreak/>
        <w:t>تُعدّ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ضرورية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لفهم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قيمة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النحو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الأمثل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انخفاض</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تكلفة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تقنيات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مصطلح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يشمل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والمعزز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والمختلط</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وتزايد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سهولة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الوصول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إليها،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يُرجّح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يزداد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مجال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هدفت</w:t>
      </w:r>
      <w:r w:rsidRPr="0014225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625505339"/>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Ber23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Bergin</w:t>
          </w:r>
          <w:r w:rsidRPr="00142255">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إجراء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للممارسات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الشائعة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ومناقشة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الأساليب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والجودة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المنهجية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لإثراء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المستقبلية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MEDLINE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Embase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NHSEED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PubMed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ومكتبة</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ACM</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الرقمية،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واستُرجعت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وفُحصت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استخلصنا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أوصافًا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للسكان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والتدخل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والمجموعة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الضابطة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والسياق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والتكاليف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استوفت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معاييرنا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شملنا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تناولت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مرضى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الذين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تلقوا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مقابل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القياسية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أنواع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أخرى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تطبيق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آخر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نفس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السياق،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حيث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شملت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أسفر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تحديد</w:t>
      </w:r>
      <w:r w:rsidRPr="00142255">
        <w:rPr>
          <w:rFonts w:ascii="Traditional Arabic" w:hAnsi="Traditional Arabic" w:cs="Traditional Arabic"/>
          <w:sz w:val="28"/>
          <w:szCs w:val="28"/>
          <w:rtl/>
        </w:rPr>
        <w:t xml:space="preserve"> 1693 </w:t>
      </w:r>
      <w:r w:rsidRPr="00142255">
        <w:rPr>
          <w:rFonts w:ascii="Traditional Arabic" w:hAnsi="Traditional Arabic" w:cs="Traditional Arabic" w:hint="cs"/>
          <w:sz w:val="28"/>
          <w:szCs w:val="28"/>
          <w:rtl/>
        </w:rPr>
        <w:t>سجلاً،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استُبعد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منها</w:t>
      </w:r>
      <w:r w:rsidRPr="00142255">
        <w:rPr>
          <w:rFonts w:ascii="Traditional Arabic" w:hAnsi="Traditional Arabic" w:cs="Traditional Arabic"/>
          <w:sz w:val="28"/>
          <w:szCs w:val="28"/>
          <w:rtl/>
        </w:rPr>
        <w:t xml:space="preserve"> 1271 </w:t>
      </w:r>
      <w:r w:rsidRPr="00142255">
        <w:rPr>
          <w:rFonts w:ascii="Traditional Arabic" w:hAnsi="Traditional Arabic" w:cs="Traditional Arabic" w:hint="cs"/>
          <w:sz w:val="28"/>
          <w:szCs w:val="28"/>
          <w:rtl/>
        </w:rPr>
        <w:t>سجلاً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العناوين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والملخصات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استرجاع</w:t>
      </w:r>
      <w:r w:rsidRPr="00142255">
        <w:rPr>
          <w:rFonts w:ascii="Traditional Arabic" w:hAnsi="Traditional Arabic" w:cs="Traditional Arabic"/>
          <w:sz w:val="28"/>
          <w:szCs w:val="28"/>
          <w:rtl/>
        </w:rPr>
        <w:t xml:space="preserve"> 422 </w:t>
      </w:r>
      <w:r w:rsidRPr="00142255">
        <w:rPr>
          <w:rFonts w:ascii="Traditional Arabic" w:hAnsi="Traditional Arabic" w:cs="Traditional Arabic" w:hint="cs"/>
          <w:sz w:val="28"/>
          <w:szCs w:val="28"/>
          <w:rtl/>
        </w:rPr>
        <w:t>مقالة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ومراجعتها،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واستُبعدت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غالبيتها</w:t>
      </w:r>
      <w:r w:rsidRPr="00142255">
        <w:rPr>
          <w:rFonts w:ascii="Traditional Arabic" w:hAnsi="Traditional Arabic" w:cs="Traditional Arabic"/>
          <w:sz w:val="28"/>
          <w:szCs w:val="28"/>
          <w:rtl/>
        </w:rPr>
        <w:t xml:space="preserve"> (233 </w:t>
      </w:r>
      <w:r w:rsidRPr="00142255">
        <w:rPr>
          <w:rFonts w:ascii="Traditional Arabic" w:hAnsi="Traditional Arabic" w:cs="Traditional Arabic" w:hint="cs"/>
          <w:sz w:val="28"/>
          <w:szCs w:val="28"/>
          <w:rtl/>
        </w:rPr>
        <w:t>مقالة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لعدم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احتوائها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تحليل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اقتصادي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تكلفة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شملت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المراجعة</w:t>
      </w:r>
      <w:r w:rsidRPr="00142255">
        <w:rPr>
          <w:rFonts w:ascii="Traditional Arabic" w:hAnsi="Traditional Arabic" w:cs="Traditional Arabic"/>
          <w:sz w:val="28"/>
          <w:szCs w:val="28"/>
          <w:rtl/>
        </w:rPr>
        <w:t xml:space="preserve"> 14 </w:t>
      </w:r>
      <w:r w:rsidRPr="00142255">
        <w:rPr>
          <w:rFonts w:ascii="Traditional Arabic" w:hAnsi="Traditional Arabic" w:cs="Traditional Arabic" w:hint="cs"/>
          <w:sz w:val="28"/>
          <w:szCs w:val="28"/>
          <w:rtl/>
        </w:rPr>
        <w:t>مقالة،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خلصت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جميعها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بتقنية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تُحقق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وفورات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التكاليف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أظهرت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نتائجنا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تباينًا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كبيرًا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ونقصًا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وصف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بشكل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واضح،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يحد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عمليات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الشراء</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يُمكن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يُقدم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فوائد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سريرية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كبيرة،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وقد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أظهرت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الأبحاث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تحقيق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وفورات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التكاليف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نُقدم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توصيات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بناءً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مراجعتنا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لإجراء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تحليلات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مستقبلية،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لضمان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دعم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التحليلات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لصناع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القرار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التقنيات</w:t>
      </w:r>
      <w:r w:rsidRPr="00142255">
        <w:rPr>
          <w:rFonts w:ascii="Traditional Arabic" w:hAnsi="Traditional Arabic" w:cs="Traditional Arabic"/>
          <w:sz w:val="28"/>
          <w:szCs w:val="28"/>
          <w:rtl/>
        </w:rPr>
        <w:t>.</w:t>
      </w:r>
    </w:p>
    <w:p w14:paraId="621BCFE0" w14:textId="6444FE8F" w:rsidR="00142255" w:rsidRDefault="00142255" w:rsidP="00142255">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hint="cs"/>
          <w:sz w:val="28"/>
          <w:szCs w:val="28"/>
          <w:rtl/>
        </w:rPr>
        <w:t>يُبشّر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الفعّال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للبيئات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التفاعلية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متعددة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المستخدمين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التطبيقات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الرقمية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عبر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تقنيات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والمعزز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والمختلط</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بمستقبل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لتقديم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العالم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هدفت</w:t>
      </w:r>
      <w:r w:rsidRPr="0014225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138515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Zar241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Zarei</w:t>
          </w:r>
          <w:r w:rsidRPr="0014225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جدوى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وفعالية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البيئات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المستخدمة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التطبيقات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تحديد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خصائص</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تصميمها</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أجرينا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بحثًا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MEDLINE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PsycINFO</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proofErr w:type="spellStart"/>
      <w:r w:rsidRPr="00142255">
        <w:rPr>
          <w:rFonts w:ascii="Traditional Arabic" w:hAnsi="Traditional Arabic" w:cs="Traditional Arabic"/>
          <w:sz w:val="28"/>
          <w:szCs w:val="28"/>
        </w:rPr>
        <w:t>Emcare</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التقارير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الأصلية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المُحكّمة،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المنشورة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باللغة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الإنجليزية،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دون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قيود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تاريخ</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النشر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حتى</w:t>
      </w:r>
      <w:r w:rsidRPr="00142255">
        <w:rPr>
          <w:rFonts w:ascii="Traditional Arabic" w:hAnsi="Traditional Arabic" w:cs="Traditional Arabic"/>
          <w:sz w:val="28"/>
          <w:szCs w:val="28"/>
          <w:rtl/>
        </w:rPr>
        <w:t xml:space="preserve"> 30 </w:t>
      </w:r>
      <w:r w:rsidRPr="00142255">
        <w:rPr>
          <w:rFonts w:ascii="Traditional Arabic" w:hAnsi="Traditional Arabic" w:cs="Traditional Arabic" w:hint="cs"/>
          <w:sz w:val="28"/>
          <w:szCs w:val="28"/>
          <w:rtl/>
        </w:rPr>
        <w:t>أغسطس</w:t>
      </w:r>
      <w:r w:rsidRPr="00142255">
        <w:rPr>
          <w:rFonts w:ascii="Traditional Arabic" w:hAnsi="Traditional Arabic" w:cs="Traditional Arabic"/>
          <w:sz w:val="28"/>
          <w:szCs w:val="28"/>
          <w:rtl/>
        </w:rPr>
        <w:t xml:space="preserve"> 2023</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وأجرينا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بحثًا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يدويًا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فبراير</w:t>
      </w:r>
      <w:r w:rsidRPr="00142255">
        <w:rPr>
          <w:rFonts w:ascii="Traditional Arabic" w:hAnsi="Traditional Arabic" w:cs="Traditional Arabic"/>
          <w:sz w:val="28"/>
          <w:szCs w:val="28"/>
          <w:rtl/>
        </w:rPr>
        <w:t xml:space="preserve"> 2024. </w:t>
      </w:r>
      <w:r w:rsidRPr="00142255">
        <w:rPr>
          <w:rFonts w:ascii="Traditional Arabic" w:hAnsi="Traditional Arabic" w:cs="Traditional Arabic" w:hint="cs"/>
          <w:sz w:val="28"/>
          <w:szCs w:val="28"/>
          <w:rtl/>
        </w:rPr>
        <w:t>شملت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جميع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استخدمت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تقنيات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التفاعلية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lastRenderedPageBreak/>
        <w:t>بالكامل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مثل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شاشات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العرض</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المثبتة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الرأس،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والنظارات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الذكية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تُشرك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أكثر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مشارك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واحد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ذي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فوائد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مباشرة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يُقدّم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ملخصًا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نوعيًا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جودة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قوائم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التحقق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النقدية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لمعهد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جوانا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بريغز</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JBI</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تسجيل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مسبقًا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PROSPERO (CRD42023479155)</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2862 </w:t>
      </w:r>
      <w:r w:rsidRPr="00142255">
        <w:rPr>
          <w:rFonts w:ascii="Traditional Arabic" w:hAnsi="Traditional Arabic" w:cs="Traditional Arabic" w:hint="cs"/>
          <w:sz w:val="28"/>
          <w:szCs w:val="28"/>
          <w:rtl/>
        </w:rPr>
        <w:t>سجلًا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تحديدها،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كانت</w:t>
      </w:r>
      <w:r w:rsidRPr="00142255">
        <w:rPr>
          <w:rFonts w:ascii="Traditional Arabic" w:hAnsi="Traditional Arabic" w:cs="Traditional Arabic"/>
          <w:sz w:val="28"/>
          <w:szCs w:val="28"/>
          <w:rtl/>
        </w:rPr>
        <w:t xml:space="preserve"> 10 </w:t>
      </w:r>
      <w:r w:rsidRPr="00142255">
        <w:rPr>
          <w:rFonts w:ascii="Traditional Arabic" w:hAnsi="Traditional Arabic" w:cs="Traditional Arabic" w:hint="cs"/>
          <w:sz w:val="28"/>
          <w:szCs w:val="28"/>
          <w:rtl/>
        </w:rPr>
        <w:t>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مؤهلة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أُجريت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معظم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المشمولة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شباب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أصحاء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خمس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وكبار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السن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أربع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ورغم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نماذج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مختلفة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نظارات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Oculus/Meta</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بيئاتها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كان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مميزًا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ومتوافقًا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أهدافها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أشارت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تفاوت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درجات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الإيجابية،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حيث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إعادة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التأهيل،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والتفاعلات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الهادفة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والمشاعر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الإيجابية،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والتجارب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التحويلية،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والعلاجات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النفسية،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وتعلم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المهارات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الحركية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وأفاد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المشاركون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بسهولة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والتحفيز،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والمتعة،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والشعور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بالحضور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والتواجد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المشترك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أعربوا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حاجتهم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مزيد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وقت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التدريب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التكنولوجيا</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يبدو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اعتماد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مدروس،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يأخذ</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الاعتبار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العوامل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المؤثرة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الشعور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بالحضور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والتواجد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المشترك،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بالإضافة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دمج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البرنامج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أمرٌ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أساسي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لتحقيق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إيجابية</w:t>
      </w:r>
      <w:r w:rsidRPr="00142255">
        <w:rPr>
          <w:rFonts w:ascii="Traditional Arabic" w:hAnsi="Traditional Arabic" w:cs="Traditional Arabic"/>
          <w:sz w:val="28"/>
          <w:szCs w:val="28"/>
          <w:rtl/>
        </w:rPr>
        <w:t>.</w:t>
      </w:r>
    </w:p>
    <w:p w14:paraId="3A27C10E" w14:textId="636B2880" w:rsidR="00142255" w:rsidRDefault="00142255" w:rsidP="00142255">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hint="cs"/>
          <w:sz w:val="28"/>
          <w:szCs w:val="28"/>
          <w:rtl/>
        </w:rPr>
        <w:t>أدى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التسارع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التحول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الرقمي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إعادة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تشكيل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مجال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سلط</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الضوء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مفهوم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الميتافيرس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باعتباره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بيئة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واعدة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للتعلم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التفاعلي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والتعاوني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ذلك،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يزال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مفهومه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غير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متسق،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حيث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تستخدم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المصطلح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بشكل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متفاوت،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وغالبًا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يُستخدم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بالتبادل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مصطلح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يخلق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نوعًا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الغموض</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تقديم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نظرة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شاملة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تعريفات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وتحديات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الميتافيرس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مجال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واستشراف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آثاره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المستقبلية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أُجريت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استطلاعية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وفقًا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لإرشادات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معهد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جوانا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بريغز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PubMed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CINAHL</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Embase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Scopus</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Cochrane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OVID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Web of Science</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منذ</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إنشائها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وحتى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أكتوبر</w:t>
      </w:r>
      <w:r w:rsidRPr="00142255">
        <w:rPr>
          <w:rFonts w:ascii="Traditional Arabic" w:hAnsi="Traditional Arabic" w:cs="Traditional Arabic"/>
          <w:sz w:val="28"/>
          <w:szCs w:val="28"/>
          <w:rtl/>
        </w:rPr>
        <w:t xml:space="preserve"> 2024. </w:t>
      </w:r>
      <w:r w:rsidRPr="00142255">
        <w:rPr>
          <w:rFonts w:ascii="Traditional Arabic" w:hAnsi="Traditional Arabic" w:cs="Traditional Arabic" w:hint="cs"/>
          <w:sz w:val="28"/>
          <w:szCs w:val="28"/>
          <w:rtl/>
        </w:rPr>
        <w:t>وتم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تجميع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سردي</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تمت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22 </w:t>
      </w:r>
      <w:r w:rsidRPr="00142255">
        <w:rPr>
          <w:rFonts w:ascii="Traditional Arabic" w:hAnsi="Traditional Arabic" w:cs="Traditional Arabic" w:hint="cs"/>
          <w:sz w:val="28"/>
          <w:szCs w:val="28"/>
          <w:rtl/>
        </w:rPr>
        <w:t>دراسة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نُشرت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عامي</w:t>
      </w:r>
      <w:r w:rsidRPr="00142255">
        <w:rPr>
          <w:rFonts w:ascii="Traditional Arabic" w:hAnsi="Traditional Arabic" w:cs="Traditional Arabic"/>
          <w:sz w:val="28"/>
          <w:szCs w:val="28"/>
          <w:rtl/>
        </w:rPr>
        <w:t xml:space="preserve"> 2022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tl/>
        </w:rPr>
        <w:t xml:space="preserve">2024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سياقات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عالمية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متنوعة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يُبنى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مفهوم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الميتافيرس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ثلاثة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محاور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رئيسية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البنية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التحتية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التكنولوجية،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والتكامل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العالم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المادي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والتعلم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التجريبي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التحديات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فتُصنف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أربعة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محاور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جاهزية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المستخدمين،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والفجوات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التكنولوجية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والإنصافية،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والمخاوف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الأخلاقية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المتعلقة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بخصوصية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والمراقبة،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ومحدودية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الأدلة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الأثر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طويل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الأمد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ورغم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إيجابية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قصيرة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الأجل،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المعوقات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النظامية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تعرقل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تبني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النهج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نطاق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lastRenderedPageBreak/>
        <w:t>الممارسة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يتزايد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الاهتمام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بالميتافيرس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تبنيه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يزال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محدودًا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بسبب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التحديات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المفاهيمية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والتكنولوجية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والمتعلقة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بالمستخدمين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والأخلاقية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تُبرز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الحاجة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أطر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تربوية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واضحة،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وبنية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تحتية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عادلة،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وتدريب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للمعلمين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ويُعد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الطولي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ضروريًا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الأثر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وتوجيه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عملية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الدمج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مناهج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1733661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ENG26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ENG</w:t>
          </w:r>
          <w:r w:rsidRPr="00142255">
            <w:rPr>
              <w:rFonts w:ascii="Traditional Arabic" w:hAnsi="Traditional Arabic" w:cs="Traditional Arabic" w:hint="cs"/>
              <w:noProof/>
              <w:sz w:val="28"/>
              <w:szCs w:val="28"/>
              <w:rtl/>
              <w:lang w:bidi="ar-EG"/>
            </w:rPr>
            <w:t>، 2026)</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w:t>
      </w:r>
    </w:p>
    <w:p w14:paraId="70F98B29" w14:textId="6D6E048E" w:rsidR="00CE6925" w:rsidRDefault="00CE6925" w:rsidP="00CE6925">
      <w:pPr>
        <w:bidi/>
        <w:spacing w:after="0" w:line="360" w:lineRule="auto"/>
        <w:ind w:firstLine="571"/>
        <w:jc w:val="both"/>
        <w:rPr>
          <w:rFonts w:ascii="Traditional Arabic" w:hAnsi="Traditional Arabic" w:cs="Traditional Arabic"/>
          <w:sz w:val="28"/>
          <w:szCs w:val="28"/>
          <w:rtl/>
        </w:rPr>
      </w:pPr>
      <w:r w:rsidRPr="00CE6925">
        <w:rPr>
          <w:rFonts w:ascii="Traditional Arabic" w:hAnsi="Traditional Arabic" w:cs="Traditional Arabic" w:hint="cs"/>
          <w:sz w:val="28"/>
          <w:szCs w:val="28"/>
          <w:rtl/>
        </w:rPr>
        <w:t>يبحث</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الخبراء</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حاليًا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التطبيقات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المحتملة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مجال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يُعد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مفهومًا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رائدًا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ظهر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أوائل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القرن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الحادي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والعشرين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خلال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دمج</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تقنيات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الواقع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الافتراضي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والواقع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المعزز،</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ويحمل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طياته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وعدًا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بتحويل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تقديم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جانب</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تطبيقه،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معالجة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مسألة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تشير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المعارف</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والمهارات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اللازمة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لمتخصصي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التقنيات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بفعالية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وأخلاقية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تهدف</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هذه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الدراسة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تحديد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الأساسية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E6925">
        <w:rPr>
          <w:rFonts w:ascii="Traditional Arabic" w:hAnsi="Traditional Arabic" w:cs="Traditional Arabic" w:hint="cs"/>
          <w:sz w:val="28"/>
          <w:szCs w:val="28"/>
          <w:rtl/>
        </w:rPr>
        <w:t>استخدمت</w:t>
      </w:r>
      <w:r w:rsidRPr="00CE692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77282688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Moh2411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E6925">
            <w:rPr>
              <w:rFonts w:ascii="Traditional Arabic" w:hAnsi="Traditional Arabic" w:cs="Traditional Arabic" w:hint="cs"/>
              <w:noProof/>
              <w:sz w:val="28"/>
              <w:szCs w:val="28"/>
              <w:rtl/>
              <w:lang w:bidi="ar-EG"/>
            </w:rPr>
            <w:t>(</w:t>
          </w:r>
          <w:r w:rsidRPr="00CE6925">
            <w:rPr>
              <w:rFonts w:ascii="Traditional Arabic" w:hAnsi="Traditional Arabic" w:cs="Traditional Arabic" w:hint="cs"/>
              <w:noProof/>
              <w:sz w:val="28"/>
              <w:szCs w:val="28"/>
              <w:lang w:bidi="ar-EG"/>
            </w:rPr>
            <w:t>Mohammadzadeh</w:t>
          </w:r>
          <w:r w:rsidRPr="00CE692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منهجًا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نوعيًا،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وجُمعت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البيانات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خلال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مقابلات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شبه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منظمة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عبر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الإنترنت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مع</w:t>
      </w:r>
      <w:r w:rsidRPr="00CE6925">
        <w:rPr>
          <w:rFonts w:ascii="Traditional Arabic" w:hAnsi="Traditional Arabic" w:cs="Traditional Arabic"/>
          <w:sz w:val="28"/>
          <w:szCs w:val="28"/>
          <w:rtl/>
        </w:rPr>
        <w:t xml:space="preserve"> 20 </w:t>
      </w:r>
      <w:r w:rsidRPr="00CE6925">
        <w:rPr>
          <w:rFonts w:ascii="Traditional Arabic" w:hAnsi="Traditional Arabic" w:cs="Traditional Arabic" w:hint="cs"/>
          <w:sz w:val="28"/>
          <w:szCs w:val="28"/>
          <w:rtl/>
        </w:rPr>
        <w:t>متخصصًا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المعلومات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الطبية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والمعلوماتية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دول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مختلفة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الولايات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المتحدة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الأمريكية،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المملكة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المتحدة،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السويد،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هولندا،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بولندا،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رومانيا،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إيطاليا،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إيران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أُجري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تحليل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البيانات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أسلوب</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الترميز</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المفتوح،</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حيث</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تخصيص</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مفاهيم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رموز</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متعلقة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بموضوعات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للبيانات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أُجري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التحليل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برنامج</w:t>
      </w:r>
      <w:r w:rsidRPr="00CE6925">
        <w:rPr>
          <w:rFonts w:ascii="Traditional Arabic" w:hAnsi="Traditional Arabic" w:cs="Traditional Arabic"/>
          <w:sz w:val="28"/>
          <w:szCs w:val="28"/>
          <w:rtl/>
        </w:rPr>
        <w:t xml:space="preserve"> </w:t>
      </w:r>
      <w:r w:rsidRPr="00CE6925">
        <w:rPr>
          <w:rFonts w:ascii="Traditional Arabic" w:hAnsi="Traditional Arabic" w:cs="Traditional Arabic"/>
          <w:sz w:val="28"/>
          <w:szCs w:val="28"/>
        </w:rPr>
        <w:t>MAXQDA</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شركة</w:t>
      </w:r>
      <w:r w:rsidRPr="00CE6925">
        <w:rPr>
          <w:rFonts w:ascii="Traditional Arabic" w:hAnsi="Traditional Arabic" w:cs="Traditional Arabic"/>
          <w:sz w:val="28"/>
          <w:szCs w:val="28"/>
          <w:rtl/>
        </w:rPr>
        <w:t xml:space="preserve"> </w:t>
      </w:r>
      <w:r w:rsidRPr="00CE6925">
        <w:rPr>
          <w:rFonts w:ascii="Traditional Arabic" w:hAnsi="Traditional Arabic" w:cs="Traditional Arabic"/>
          <w:sz w:val="28"/>
          <w:szCs w:val="28"/>
        </w:rPr>
        <w:t>VER BI GmbH</w:t>
      </w:r>
      <w:r w:rsidRPr="00CE6925">
        <w:rPr>
          <w:rFonts w:ascii="Traditional Arabic" w:hAnsi="Traditional Arabic" w:cs="Traditional Arabic" w:hint="cs"/>
          <w:sz w:val="28"/>
          <w:szCs w:val="28"/>
          <w:rtl/>
        </w:rPr>
        <w:t>،</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برلين،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ألمانيا</w:t>
      </w:r>
      <w:r w:rsidRPr="00CE692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E6925">
        <w:rPr>
          <w:rFonts w:ascii="Traditional Arabic" w:hAnsi="Traditional Arabic" w:cs="Traditional Arabic" w:hint="cs"/>
          <w:sz w:val="28"/>
          <w:szCs w:val="28"/>
          <w:rtl/>
        </w:rPr>
        <w:t>كشفت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الدراسة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عشرة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أساسية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بيئة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الخصوصية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والأمان،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والموافقة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المستنيرة،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والثقة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والنزاهة،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وسهولة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الوصول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والشمول،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والحدود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المهنية،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والممارسة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القائمة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الأدلة،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والتعليم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والتدريب</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المستمر،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والتعاون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والتوافق،</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والتغذية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الراجعة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والتحسين،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والامتثال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للوائح</w:t>
      </w:r>
      <w:r w:rsidRPr="00CE692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E6925">
        <w:rPr>
          <w:rFonts w:ascii="Traditional Arabic" w:hAnsi="Traditional Arabic" w:cs="Traditional Arabic" w:hint="cs"/>
          <w:sz w:val="28"/>
          <w:szCs w:val="28"/>
          <w:rtl/>
        </w:rPr>
        <w:t>مع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استمرار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توسع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وتكامله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مختلف</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القطاعات،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بما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فيها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يصبح</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الضروري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وضع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لضمان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ممارسات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أخلاقية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ومسؤولة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ويمكن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للعاملين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مجال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الالتزام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بهذه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للحفاظ</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المعايير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الأخلاقية،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وحماية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خصوصية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المرضى،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وتقديم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فعالة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داخل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الميتافيرس</w:t>
      </w:r>
      <w:r w:rsidRPr="00CE6925">
        <w:rPr>
          <w:rFonts w:ascii="Traditional Arabic" w:hAnsi="Traditional Arabic" w:cs="Traditional Arabic"/>
          <w:sz w:val="28"/>
          <w:szCs w:val="28"/>
          <w:rtl/>
        </w:rPr>
        <w:t>.</w:t>
      </w:r>
    </w:p>
    <w:p w14:paraId="553C08CA" w14:textId="77777777" w:rsidR="007D1D88" w:rsidRDefault="007D1D88" w:rsidP="007D1D88">
      <w:pPr>
        <w:bidi/>
        <w:spacing w:after="0" w:line="360" w:lineRule="auto"/>
        <w:ind w:firstLine="571"/>
        <w:jc w:val="both"/>
        <w:rPr>
          <w:rFonts w:ascii="Traditional Arabic" w:hAnsi="Traditional Arabic" w:cs="Traditional Arabic"/>
          <w:sz w:val="28"/>
          <w:szCs w:val="28"/>
          <w:rtl/>
        </w:rPr>
      </w:pPr>
    </w:p>
    <w:p w14:paraId="19A2A202" w14:textId="77777777" w:rsidR="007D1D88" w:rsidRDefault="007D1D88" w:rsidP="007D1D88">
      <w:pPr>
        <w:bidi/>
        <w:spacing w:after="0" w:line="360" w:lineRule="auto"/>
        <w:ind w:firstLine="571"/>
        <w:jc w:val="both"/>
        <w:rPr>
          <w:rFonts w:ascii="Traditional Arabic" w:hAnsi="Traditional Arabic" w:cs="Traditional Arabic"/>
          <w:sz w:val="28"/>
          <w:szCs w:val="28"/>
          <w:rtl/>
        </w:rPr>
      </w:pPr>
    </w:p>
    <w:p w14:paraId="7DF5ED10" w14:textId="77777777" w:rsidR="007D1D88" w:rsidRDefault="007D1D88" w:rsidP="007D1D88">
      <w:pPr>
        <w:bidi/>
        <w:spacing w:after="0" w:line="360" w:lineRule="auto"/>
        <w:ind w:firstLine="571"/>
        <w:jc w:val="both"/>
        <w:rPr>
          <w:rFonts w:ascii="Traditional Arabic" w:hAnsi="Traditional Arabic" w:cs="Traditional Arabic"/>
          <w:sz w:val="28"/>
          <w:szCs w:val="28"/>
          <w:rtl/>
        </w:rPr>
      </w:pPr>
    </w:p>
    <w:p w14:paraId="3E14B83F" w14:textId="4834600B" w:rsidR="00F87B64" w:rsidRPr="00F87B64" w:rsidRDefault="0036290D" w:rsidP="00F87B64">
      <w:pPr>
        <w:pStyle w:val="ListParagraph"/>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lastRenderedPageBreak/>
        <w:t>التعليق على الدراسات السابقة:</w:t>
      </w:r>
    </w:p>
    <w:tbl>
      <w:tblPr>
        <w:tblStyle w:val="GridTable6Colorful"/>
        <w:bidiVisual/>
        <w:tblW w:w="9350" w:type="dxa"/>
        <w:tblLook w:val="04A0" w:firstRow="1" w:lastRow="0" w:firstColumn="1" w:lastColumn="0" w:noHBand="0" w:noVBand="1"/>
      </w:tblPr>
      <w:tblGrid>
        <w:gridCol w:w="2203"/>
        <w:gridCol w:w="752"/>
        <w:gridCol w:w="1233"/>
        <w:gridCol w:w="1308"/>
        <w:gridCol w:w="1329"/>
        <w:gridCol w:w="1249"/>
        <w:gridCol w:w="1276"/>
      </w:tblGrid>
      <w:tr w:rsidR="00CE6925" w:rsidRPr="0036290D" w14:paraId="1EA50F50" w14:textId="77777777" w:rsidTr="00F87B64">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1" w:type="dxa"/>
            <w:hideMark/>
          </w:tcPr>
          <w:p w14:paraId="30601491" w14:textId="77777777" w:rsidR="00CE6925" w:rsidRPr="0036290D" w:rsidRDefault="00CE6925" w:rsidP="0011754A">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7101C22F"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1" w:type="dxa"/>
            <w:hideMark/>
          </w:tcPr>
          <w:p w14:paraId="6B837829"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67" w:type="dxa"/>
            <w:hideMark/>
          </w:tcPr>
          <w:p w14:paraId="2DA5BD19"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78" w:type="dxa"/>
          </w:tcPr>
          <w:p w14:paraId="4A5439D4"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33" w:type="dxa"/>
          </w:tcPr>
          <w:p w14:paraId="1C3B5A60"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84" w:type="dxa"/>
            <w:hideMark/>
          </w:tcPr>
          <w:p w14:paraId="2C06DEFB"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CE6925" w:rsidRPr="0036290D" w14:paraId="6B128FEF" w14:textId="77777777" w:rsidTr="00F87B64">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1" w:type="dxa"/>
          </w:tcPr>
          <w:p w14:paraId="3D493885" w14:textId="2888E79E"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Wang</w:t>
            </w:r>
          </w:p>
        </w:tc>
        <w:tc>
          <w:tcPr>
            <w:tcW w:w="766" w:type="dxa"/>
          </w:tcPr>
          <w:p w14:paraId="3D0A1298" w14:textId="2C08C751" w:rsidR="00CE6925" w:rsidRPr="0036290D" w:rsidRDefault="00F87B64"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4678279C" w14:textId="7D012277"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دراسة تحليلية مفاهيمية حول الميتافيرس في الرعاية الصحية</w:t>
            </w:r>
          </w:p>
        </w:tc>
        <w:tc>
          <w:tcPr>
            <w:tcW w:w="1467" w:type="dxa"/>
          </w:tcPr>
          <w:p w14:paraId="0A947613" w14:textId="1DD4A6B8"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الميتافيرس يمثل تحولًا جذريًا في الرعاية الصحية عبر دمجه مع تقنيات الذكاء الاصطناعي وإنترنت الأشياء والروبوتات</w:t>
            </w:r>
          </w:p>
        </w:tc>
        <w:tc>
          <w:tcPr>
            <w:tcW w:w="1578" w:type="dxa"/>
          </w:tcPr>
          <w:p w14:paraId="7C8267AD" w14:textId="14088E6B"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دراسة نظرية استشرافية تركز على الإمكانات المستقبلية دون تطبيق فعلي أو نموذج دمج داخل الأنظمة الصحية</w:t>
            </w:r>
          </w:p>
        </w:tc>
        <w:tc>
          <w:tcPr>
            <w:tcW w:w="1433" w:type="dxa"/>
          </w:tcPr>
          <w:p w14:paraId="31D06191" w14:textId="07F55A77"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اعتبار الميتافيرس تقنية تحويلية في القطاع الصحي</w:t>
            </w:r>
          </w:p>
        </w:tc>
        <w:tc>
          <w:tcPr>
            <w:tcW w:w="1584" w:type="dxa"/>
          </w:tcPr>
          <w:p w14:paraId="223BCC1F" w14:textId="66657B86"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إلى نماذج تطبيقية لدمج الميتافيرس في تطوير الأنظمة الصحية فعليًا</w:t>
            </w:r>
          </w:p>
        </w:tc>
      </w:tr>
      <w:tr w:rsidR="00CE6925" w:rsidRPr="0036290D" w14:paraId="333613FC" w14:textId="77777777" w:rsidTr="00F87B64">
        <w:trPr>
          <w:trHeight w:val="2167"/>
        </w:trPr>
        <w:tc>
          <w:tcPr>
            <w:cnfStyle w:val="001000000000" w:firstRow="0" w:lastRow="0" w:firstColumn="1" w:lastColumn="0" w:oddVBand="0" w:evenVBand="0" w:oddHBand="0" w:evenHBand="0" w:firstRowFirstColumn="0" w:firstRowLastColumn="0" w:lastRowFirstColumn="0" w:lastRowLastColumn="0"/>
            <w:tcW w:w="1131" w:type="dxa"/>
          </w:tcPr>
          <w:p w14:paraId="4228B963" w14:textId="630F21DE"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Damar</w:t>
            </w:r>
          </w:p>
        </w:tc>
        <w:tc>
          <w:tcPr>
            <w:tcW w:w="766" w:type="dxa"/>
          </w:tcPr>
          <w:p w14:paraId="2F5CE4A8" w14:textId="339B45A5" w:rsidR="00CE6925" w:rsidRPr="0036290D" w:rsidRDefault="00F87B64"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19BCC4C5" w14:textId="7F2D676C"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تحليل ببليومتري لأبحاث الميتافيرس في الرعاية الصحية</w:t>
            </w:r>
          </w:p>
        </w:tc>
        <w:tc>
          <w:tcPr>
            <w:tcW w:w="1467" w:type="dxa"/>
          </w:tcPr>
          <w:p w14:paraId="79D574D5" w14:textId="7D97BF25" w:rsidR="00CE6925" w:rsidRPr="0036290D" w:rsidRDefault="00F87B64" w:rsidP="00F87B64">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تحديد الاتجاهات البحثية العالمية وتطور النشر العلمي في المجال</w:t>
            </w:r>
          </w:p>
        </w:tc>
        <w:tc>
          <w:tcPr>
            <w:tcW w:w="1578" w:type="dxa"/>
          </w:tcPr>
          <w:p w14:paraId="0CF00339" w14:textId="3B7C54D8"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تحليل الإنتاج العلمي وليس على تطبيقات أو تطوير أنظمة صحية</w:t>
            </w:r>
          </w:p>
        </w:tc>
        <w:tc>
          <w:tcPr>
            <w:tcW w:w="1433" w:type="dxa"/>
          </w:tcPr>
          <w:p w14:paraId="6EB84E49" w14:textId="431EFC4D"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الاهتمام المتزايد بالميتافيرس في المجال الصحي</w:t>
            </w:r>
          </w:p>
        </w:tc>
        <w:tc>
          <w:tcPr>
            <w:tcW w:w="1584" w:type="dxa"/>
          </w:tcPr>
          <w:p w14:paraId="2FA049A5" w14:textId="77067209"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نقص الدراسات التطبيقية التي تربط الميتافيرس بتطوير الأنظمة الصحية</w:t>
            </w:r>
          </w:p>
        </w:tc>
      </w:tr>
      <w:tr w:rsidR="00CE6925" w:rsidRPr="0036290D" w14:paraId="0647A726" w14:textId="77777777" w:rsidTr="00F87B64">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1" w:type="dxa"/>
          </w:tcPr>
          <w:p w14:paraId="3CA98A9B" w14:textId="37B8A550"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Bergin</w:t>
            </w:r>
          </w:p>
        </w:tc>
        <w:tc>
          <w:tcPr>
            <w:tcW w:w="766" w:type="dxa"/>
          </w:tcPr>
          <w:p w14:paraId="4F3730E7" w14:textId="1D752200" w:rsidR="00CE6925" w:rsidRPr="0036290D" w:rsidRDefault="00F87B64"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2023</w:t>
            </w:r>
          </w:p>
        </w:tc>
        <w:tc>
          <w:tcPr>
            <w:tcW w:w="1391" w:type="dxa"/>
          </w:tcPr>
          <w:p w14:paraId="135BEA88" w14:textId="44B9D604"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مراجعة منهجية للتقييم الاقتصادي لتقنيات الواقع الممتد (</w:t>
            </w:r>
            <w:r w:rsidRPr="00F87B64">
              <w:rPr>
                <w:rFonts w:ascii="Traditional Arabic" w:eastAsia="Times New Roman" w:hAnsi="Traditional Arabic" w:cs="Traditional Arabic"/>
                <w:color w:val="000000"/>
                <w:kern w:val="0"/>
                <w:sz w:val="28"/>
                <w:szCs w:val="28"/>
                <w14:ligatures w14:val="none"/>
              </w:rPr>
              <w:t>XR</w:t>
            </w:r>
            <w:r w:rsidRPr="00F87B64">
              <w:rPr>
                <w:rFonts w:ascii="Traditional Arabic" w:eastAsia="Times New Roman" w:hAnsi="Traditional Arabic" w:cs="Traditional Arabic"/>
                <w:color w:val="000000"/>
                <w:kern w:val="0"/>
                <w:sz w:val="28"/>
                <w:szCs w:val="28"/>
                <w:rtl/>
                <w14:ligatures w14:val="none"/>
              </w:rPr>
              <w:t>)</w:t>
            </w:r>
          </w:p>
        </w:tc>
        <w:tc>
          <w:tcPr>
            <w:tcW w:w="1467" w:type="dxa"/>
          </w:tcPr>
          <w:p w14:paraId="48412A5D" w14:textId="1F94A4DF"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إمكانية تحقيق وفورات مالية وتحسين نتائج صحية مع تباين منهجي بين الدراسات</w:t>
            </w:r>
          </w:p>
        </w:tc>
        <w:tc>
          <w:tcPr>
            <w:tcW w:w="1578" w:type="dxa"/>
          </w:tcPr>
          <w:p w14:paraId="07030C27" w14:textId="4F7736AA"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الجدوى الاقتصادية فقط دون ربط مباشر بتطوير الأنظمة الصحية</w:t>
            </w:r>
          </w:p>
        </w:tc>
        <w:tc>
          <w:tcPr>
            <w:tcW w:w="1433" w:type="dxa"/>
          </w:tcPr>
          <w:p w14:paraId="1AF5E9E5" w14:textId="7EA82F5B"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استخدام تقنيات الواقع الافتراضي والمعزز كجزء من بيئة الميتافيرس</w:t>
            </w:r>
          </w:p>
        </w:tc>
        <w:tc>
          <w:tcPr>
            <w:tcW w:w="1584" w:type="dxa"/>
          </w:tcPr>
          <w:p w14:paraId="671AB2BB" w14:textId="55FB4981"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لدراسة شاملة تربط الميتافيرس بتطوير الأنظمة الصحية وليس فقط التكلفة</w:t>
            </w:r>
          </w:p>
        </w:tc>
      </w:tr>
      <w:tr w:rsidR="00CE6925" w:rsidRPr="0036290D" w14:paraId="6B603A91" w14:textId="77777777" w:rsidTr="00F87B64">
        <w:trPr>
          <w:trHeight w:val="1662"/>
        </w:trPr>
        <w:tc>
          <w:tcPr>
            <w:cnfStyle w:val="001000000000" w:firstRow="0" w:lastRow="0" w:firstColumn="1" w:lastColumn="0" w:oddVBand="0" w:evenVBand="0" w:oddHBand="0" w:evenHBand="0" w:firstRowFirstColumn="0" w:firstRowLastColumn="0" w:lastRowFirstColumn="0" w:lastRowLastColumn="0"/>
            <w:tcW w:w="1131" w:type="dxa"/>
          </w:tcPr>
          <w:p w14:paraId="05E40FE9" w14:textId="72BF4D42"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lastRenderedPageBreak/>
              <w:t>Zarei</w:t>
            </w:r>
          </w:p>
        </w:tc>
        <w:tc>
          <w:tcPr>
            <w:tcW w:w="766" w:type="dxa"/>
          </w:tcPr>
          <w:p w14:paraId="19430C7A" w14:textId="6C6E364B" w:rsidR="00CE6925" w:rsidRPr="0036290D" w:rsidRDefault="00F87B64"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3C426BF4" w14:textId="4437D0C2"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مراجعة منهجية لبيئات الواقع الممتد متعددة المستخدمين</w:t>
            </w:r>
          </w:p>
        </w:tc>
        <w:tc>
          <w:tcPr>
            <w:tcW w:w="1467" w:type="dxa"/>
          </w:tcPr>
          <w:p w14:paraId="5B343BFE" w14:textId="00DC0CEF"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تحسن في التفاعل والعلاج وإعادة التأهيل مع تفاوت في النتائج</w:t>
            </w:r>
          </w:p>
        </w:tc>
        <w:tc>
          <w:tcPr>
            <w:tcW w:w="1578" w:type="dxa"/>
          </w:tcPr>
          <w:p w14:paraId="7DEE5CA1" w14:textId="17FACB93"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تطبيقات علاجية جزئية وليس على نظام ميتافيرس متكامل</w:t>
            </w:r>
          </w:p>
        </w:tc>
        <w:tc>
          <w:tcPr>
            <w:tcW w:w="1433" w:type="dxa"/>
          </w:tcPr>
          <w:p w14:paraId="3C649921" w14:textId="6B8FAC56"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توظيف تقنيات الواقع الافتراضي والمعزز في الرعاية الصحية</w:t>
            </w:r>
          </w:p>
        </w:tc>
        <w:tc>
          <w:tcPr>
            <w:tcW w:w="1584" w:type="dxa"/>
          </w:tcPr>
          <w:p w14:paraId="7A535E94" w14:textId="6B4F9919"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إلى دمج هذه البيئات ضمن نظام صحي متكامل قائم على الميتافيرس</w:t>
            </w:r>
          </w:p>
        </w:tc>
      </w:tr>
      <w:tr w:rsidR="00CE6925" w:rsidRPr="0036290D" w14:paraId="2DC14616" w14:textId="77777777" w:rsidTr="00F87B64">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1" w:type="dxa"/>
          </w:tcPr>
          <w:p w14:paraId="65B3AE9B" w14:textId="60E250D3" w:rsidR="00CE6925" w:rsidRPr="0036290D" w:rsidRDefault="00F87B64" w:rsidP="0011754A">
            <w:pPr>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ENG</w:t>
            </w:r>
          </w:p>
        </w:tc>
        <w:tc>
          <w:tcPr>
            <w:tcW w:w="766" w:type="dxa"/>
          </w:tcPr>
          <w:p w14:paraId="393E59BC" w14:textId="5D1C7AB0" w:rsidR="00CE6925" w:rsidRPr="0036290D" w:rsidRDefault="00F87B64"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2026</w:t>
            </w:r>
          </w:p>
        </w:tc>
        <w:tc>
          <w:tcPr>
            <w:tcW w:w="1391" w:type="dxa"/>
          </w:tcPr>
          <w:p w14:paraId="28054A94" w14:textId="00F14BE2"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مراجعة استطلاعية حول الميتافيرس في التعليم الصحي</w:t>
            </w:r>
          </w:p>
        </w:tc>
        <w:tc>
          <w:tcPr>
            <w:tcW w:w="1467" w:type="dxa"/>
          </w:tcPr>
          <w:p w14:paraId="6E0ADBF7" w14:textId="3E721151"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تحديات تتعلق بالجاهزية، الأخلاقيات، الخصوصية، وضعف الأدلة طويلة المدى</w:t>
            </w:r>
          </w:p>
        </w:tc>
        <w:tc>
          <w:tcPr>
            <w:tcW w:w="1578" w:type="dxa"/>
          </w:tcPr>
          <w:p w14:paraId="31A58885" w14:textId="076AF9C5"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التعليم الصحي فقط وليس تطوير الأنظمة الصحية التشغيلية</w:t>
            </w:r>
          </w:p>
        </w:tc>
        <w:tc>
          <w:tcPr>
            <w:tcW w:w="1433" w:type="dxa"/>
          </w:tcPr>
          <w:p w14:paraId="36731E79" w14:textId="49E145B0"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دراسة التحديات المرتبطة بتطبيق الميتافيرس في الصحة</w:t>
            </w:r>
          </w:p>
        </w:tc>
        <w:tc>
          <w:tcPr>
            <w:tcW w:w="1584" w:type="dxa"/>
          </w:tcPr>
          <w:p w14:paraId="7964DEB9" w14:textId="3C9427DA"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إلى تقييم أثر الميتافيرس على تطوير الأنظمة الصحية وليس التعليم فقط</w:t>
            </w:r>
          </w:p>
        </w:tc>
      </w:tr>
      <w:tr w:rsidR="00CE6925" w:rsidRPr="0036290D" w14:paraId="66AA431F" w14:textId="77777777" w:rsidTr="00F87B64">
        <w:trPr>
          <w:trHeight w:val="3002"/>
        </w:trPr>
        <w:tc>
          <w:tcPr>
            <w:cnfStyle w:val="001000000000" w:firstRow="0" w:lastRow="0" w:firstColumn="1" w:lastColumn="0" w:oddVBand="0" w:evenVBand="0" w:oddHBand="0" w:evenHBand="0" w:firstRowFirstColumn="0" w:firstRowLastColumn="0" w:lastRowFirstColumn="0" w:lastRowLastColumn="0"/>
            <w:tcW w:w="1131" w:type="dxa"/>
          </w:tcPr>
          <w:p w14:paraId="6AAA7C9A" w14:textId="0B4A664B" w:rsidR="00CE6925" w:rsidRPr="0036290D" w:rsidRDefault="00F87B64" w:rsidP="0011754A">
            <w:pPr>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Mohammadzadeh</w:t>
            </w:r>
          </w:p>
        </w:tc>
        <w:tc>
          <w:tcPr>
            <w:tcW w:w="766" w:type="dxa"/>
          </w:tcPr>
          <w:p w14:paraId="297B0C25" w14:textId="6C6FAACC" w:rsidR="00CE6925" w:rsidRPr="0036290D" w:rsidRDefault="00F87B64"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708DA601" w14:textId="541E7A5A"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دراسة نوعية (مقابلات) حول الكفاءة الرقمية في الميتافيرس</w:t>
            </w:r>
          </w:p>
        </w:tc>
        <w:tc>
          <w:tcPr>
            <w:tcW w:w="1467" w:type="dxa"/>
          </w:tcPr>
          <w:p w14:paraId="052667E8" w14:textId="4C86AB64"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تحديد 10 مبادئ للكفاءة الرقمية (الأمان، الشمول، الخصوصية، التدريب...)</w:t>
            </w:r>
          </w:p>
        </w:tc>
        <w:tc>
          <w:tcPr>
            <w:tcW w:w="1578" w:type="dxa"/>
          </w:tcPr>
          <w:p w14:paraId="2D6CE65B" w14:textId="57C21614"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العنصر البشري (الكفاءة الرقمية) وليس على تطوير الأنظمة الصحية</w:t>
            </w:r>
          </w:p>
        </w:tc>
        <w:tc>
          <w:tcPr>
            <w:tcW w:w="1433" w:type="dxa"/>
          </w:tcPr>
          <w:p w14:paraId="45CDF7F1" w14:textId="768CFBC2"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أهمية البعد التنظيمي والأخلاقي لتطبيق الميتافيرس</w:t>
            </w:r>
          </w:p>
        </w:tc>
        <w:tc>
          <w:tcPr>
            <w:tcW w:w="1584" w:type="dxa"/>
          </w:tcPr>
          <w:p w14:paraId="09ADABF3" w14:textId="3D546C17"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إلى دمج الكفاءة الرقمية ضمن نموذج لتطوير الأنظمة الصحية</w:t>
            </w:r>
          </w:p>
        </w:tc>
      </w:tr>
    </w:tbl>
    <w:p w14:paraId="1BA0D9D0" w14:textId="77777777" w:rsidR="0036290D" w:rsidRDefault="0036290D" w:rsidP="00551401">
      <w:pPr>
        <w:bidi/>
        <w:spacing w:after="0" w:line="360" w:lineRule="auto"/>
        <w:jc w:val="both"/>
        <w:rPr>
          <w:rFonts w:ascii="Traditional Arabic" w:hAnsi="Traditional Arabic" w:cs="Traditional Arabic"/>
          <w:sz w:val="28"/>
          <w:szCs w:val="28"/>
          <w:rtl/>
        </w:rPr>
      </w:pPr>
    </w:p>
    <w:p w14:paraId="0C257513" w14:textId="1104D209" w:rsidR="00E16542" w:rsidRPr="000C6D1E" w:rsidRDefault="00E16542" w:rsidP="00E16542">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دمج تقنية البلوكشين</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080CF501" w14:textId="322DA853" w:rsidR="00CB56BA" w:rsidRDefault="003C7FF8" w:rsidP="003C7FF8">
      <w:pPr>
        <w:bidi/>
        <w:spacing w:after="0" w:line="360" w:lineRule="auto"/>
        <w:ind w:firstLine="571"/>
        <w:jc w:val="both"/>
        <w:rPr>
          <w:rFonts w:ascii="Traditional Arabic" w:hAnsi="Traditional Arabic" w:cs="Traditional Arabic"/>
          <w:sz w:val="28"/>
          <w:szCs w:val="28"/>
          <w:rtl/>
          <w:lang w:bidi="ar-EG"/>
        </w:rPr>
      </w:pPr>
      <w:r w:rsidRPr="003C7FF8">
        <w:rPr>
          <w:rFonts w:ascii="Traditional Arabic" w:hAnsi="Traditional Arabic" w:cs="Traditional Arabic"/>
          <w:sz w:val="28"/>
          <w:szCs w:val="28"/>
          <w:rtl/>
        </w:rPr>
        <w:t xml:space="preserve">تواجه أنظمة إدارة البيانات الضخمة للرعاية الصحية اليوم تحديات رئيسة من حيث شفافية البيانات وإمكانية التتبع والثبات والتدقيق ومصدر البيانات والوصول المرن، والثقة، والخصوصية، والأمان. يوجد أيضاً جزء كبير من أنظمة إدارة بيانات الرعاية الصحية الحالية التي يتم الاستفادة منها بشكل مركزي مما يشكل أخطار محتملة من الفشل في حالة الكوارث الطبيعية. البلوك تشين هي تقنية لامركزية ناشئة لديها القدرة على إحداث ثورة كبيرة في طريقة التعامل مع البيانات في صناعة الرعاية الصحية وإعادة تشكيلها وتحويلها. تناقش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537821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عبد23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3C7FF8">
            <w:rPr>
              <w:rFonts w:ascii="Traditional Arabic" w:hAnsi="Traditional Arabic" w:cs="Traditional Arabic" w:hint="cs"/>
              <w:noProof/>
              <w:sz w:val="28"/>
              <w:szCs w:val="28"/>
              <w:rtl/>
              <w:lang w:bidi="ar-EG"/>
            </w:rPr>
            <w:t>(عبدالعال، 2023)</w:t>
          </w:r>
          <w:r>
            <w:rPr>
              <w:rFonts w:ascii="Traditional Arabic" w:hAnsi="Traditional Arabic" w:cs="Traditional Arabic"/>
              <w:sz w:val="28"/>
              <w:szCs w:val="28"/>
              <w:rtl/>
            </w:rPr>
            <w:fldChar w:fldCharType="end"/>
          </w:r>
        </w:sdtContent>
      </w:sdt>
      <w:r w:rsidRPr="003C7FF8">
        <w:rPr>
          <w:rFonts w:ascii="Traditional Arabic" w:hAnsi="Traditional Arabic" w:cs="Traditional Arabic"/>
          <w:sz w:val="28"/>
          <w:szCs w:val="28"/>
          <w:rtl/>
        </w:rPr>
        <w:t xml:space="preserve"> كيف يمكن أن يؤدي الاستفادة من البلوك تشين لأنظمة إدارة البيانات الضخمة للرعاية الصحية إلى </w:t>
      </w:r>
      <w:r w:rsidRPr="003C7FF8">
        <w:rPr>
          <w:rFonts w:ascii="Traditional Arabic" w:hAnsi="Traditional Arabic" w:cs="Traditional Arabic"/>
          <w:sz w:val="28"/>
          <w:szCs w:val="28"/>
          <w:rtl/>
        </w:rPr>
        <w:lastRenderedPageBreak/>
        <w:t>تحفيز الابتكارات وإدخال تحسينات كبيرة، وذلك من خلال ما تقدمه البلوك تشين من ميزات وخصائص رئيسة يجعلها مثالية لإدارة البيانات الضخمة للرعاية الصحية. وكان من نتائج هذه الدراسة اقتراح فكرة إطار عمل للرعاية الصحية باستخدام تطبيق قائم على البلوك تشين، حيث يهدف هذا الإطار إلى تخزين سجلات المرضى في نظام البلوك تشين ومشاركتها بين كيانات الرعاية الصحية بطريقة أكثر كفاءة وموثوقية. بالإضافة إلى قدرة المريض على التحكم في الوصول إلى معلوماته وسجلاته في أي وقت، مع سجل كامل لجميع الأدوية أو العمليات التي أجراها المريض منذ بداية المرض، وكذلك تواريخ ومدة المرض، وبالتالي معرفة حالته وعلاجه بطريقة صحيحة. مع إضافة مكتبة رقمية طبية من أجل خلق بيئة بحثية متكاملة لكل المشاركين في نظام البوك تشين بشكل عام، وللباحثين في الرعاية الصحية والمجال الطبي بشكل خاص. وتوصلت الدراسة لمجموعة من التوصيات منها من الضروري وضع سياسات صارمة لتمكين التبني الواسع لتكنولوجيا البلوك تشين في صناعة الرعاية الصحية</w:t>
      </w:r>
      <w:r w:rsidRPr="003C7FF8">
        <w:rPr>
          <w:rFonts w:ascii="Traditional Arabic" w:hAnsi="Traditional Arabic" w:cs="Traditional Arabic"/>
          <w:sz w:val="28"/>
          <w:szCs w:val="28"/>
          <w:lang w:bidi="ar-EG"/>
        </w:rPr>
        <w:t>.</w:t>
      </w:r>
    </w:p>
    <w:p w14:paraId="264A5842" w14:textId="56838D0F" w:rsidR="003C7FF8" w:rsidRDefault="00BD5F09" w:rsidP="003C7FF8">
      <w:pPr>
        <w:bidi/>
        <w:spacing w:after="0" w:line="360" w:lineRule="auto"/>
        <w:ind w:firstLine="571"/>
        <w:jc w:val="both"/>
        <w:rPr>
          <w:rFonts w:ascii="Traditional Arabic" w:hAnsi="Traditional Arabic" w:cs="Traditional Arabic"/>
          <w:sz w:val="28"/>
          <w:szCs w:val="28"/>
          <w:rtl/>
          <w:lang w:bidi="ar-EG"/>
        </w:rPr>
      </w:pPr>
      <w:r w:rsidRPr="00BD5F09">
        <w:rPr>
          <w:rFonts w:ascii="Traditional Arabic" w:hAnsi="Traditional Arabic" w:cs="Traditional Arabic"/>
          <w:sz w:val="28"/>
          <w:szCs w:val="28"/>
          <w:rtl/>
          <w:lang w:bidi="ar-EG"/>
        </w:rPr>
        <w:t xml:space="preserve">يكمن مجال </w:t>
      </w:r>
      <w:r>
        <w:rPr>
          <w:rFonts w:ascii="Traditional Arabic" w:hAnsi="Traditional Arabic" w:cs="Traditional Arabic" w:hint="cs"/>
          <w:sz w:val="28"/>
          <w:szCs w:val="28"/>
          <w:rtl/>
          <w:lang w:bidi="ar-EG"/>
        </w:rPr>
        <w:t xml:space="preserve">خبرة </w:t>
      </w:r>
      <w:sdt>
        <w:sdtPr>
          <w:rPr>
            <w:rFonts w:ascii="Traditional Arabic" w:hAnsi="Traditional Arabic" w:cs="Traditional Arabic" w:hint="cs"/>
            <w:sz w:val="28"/>
            <w:szCs w:val="28"/>
            <w:rtl/>
            <w:lang w:bidi="ar-EG"/>
          </w:rPr>
          <w:id w:val="-242497659"/>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AlA25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BD5F09">
            <w:rPr>
              <w:rFonts w:ascii="Traditional Arabic" w:hAnsi="Traditional Arabic" w:cs="Traditional Arabic" w:hint="cs"/>
              <w:noProof/>
              <w:sz w:val="28"/>
              <w:szCs w:val="28"/>
              <w:rtl/>
              <w:lang w:bidi="ar-EG"/>
            </w:rPr>
            <w:t>(</w:t>
          </w:r>
          <w:r w:rsidRPr="00BD5F09">
            <w:rPr>
              <w:rFonts w:ascii="Traditional Arabic" w:hAnsi="Traditional Arabic" w:cs="Traditional Arabic" w:hint="cs"/>
              <w:noProof/>
              <w:sz w:val="28"/>
              <w:szCs w:val="28"/>
              <w:lang w:bidi="ar-EG"/>
            </w:rPr>
            <w:t>Al-Araji</w:t>
          </w:r>
          <w:r w:rsidRPr="00BD5F09">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BD5F09">
        <w:rPr>
          <w:rFonts w:ascii="Traditional Arabic" w:hAnsi="Traditional Arabic" w:cs="Traditional Arabic"/>
          <w:sz w:val="28"/>
          <w:szCs w:val="28"/>
          <w:rtl/>
          <w:lang w:bidi="ar-EG"/>
        </w:rPr>
        <w:t xml:space="preserve"> في أمن الرعاية الصحية، الذي يحمي المعلومات الحساسة للمرضى وسلامة خدمات الرعاية الصحية المقدمة لهم. ومع تزايد رقمنة السجلات الصحية، إلى جانب اعتماد التقنيات المتقدمة، أصبحت حماية البيانات أكثر تعقيدًا وأهمية. ويتطلب تحقيق الإمكانات التحويلية لتقنية سلسلة الكتل (</w:t>
      </w:r>
      <w:r w:rsidRPr="00BD5F09">
        <w:rPr>
          <w:rFonts w:ascii="Traditional Arabic" w:hAnsi="Traditional Arabic" w:cs="Traditional Arabic"/>
          <w:sz w:val="28"/>
          <w:szCs w:val="28"/>
          <w:lang w:bidi="ar-EG"/>
        </w:rPr>
        <w:t>Blockchain</w:t>
      </w:r>
      <w:r w:rsidRPr="00BD5F09">
        <w:rPr>
          <w:rFonts w:ascii="Traditional Arabic" w:hAnsi="Traditional Arabic" w:cs="Traditional Arabic"/>
          <w:sz w:val="28"/>
          <w:szCs w:val="28"/>
          <w:rtl/>
          <w:lang w:bidi="ar-EG"/>
        </w:rPr>
        <w:t xml:space="preserve">) في أمن الرعاية الصحية دراسة معمقة للمركزية السائدة لمعلومات المرضى الحساسة، والتخلي عن النماذج التقليدية، وتبني اللامركزية الرقمية التي يتيحها مجال سلسلة الكتل. الأهداف: هدفت هذه الدراسة إلى تحليل الأبحاث السابقة وتقديم نظرة عامة شاملة على الأدبيات المتعلقة بأمن الرعاية الصحية القائم على سلسلة الكتل في سيناريوهات الحوسبة الطرفية والضبابية والسحابية. كما هدفت إلى دراسة التحديات التي يواجهها الباحثون، وتقديم توصيات للمحللين لتعزيز هذا المجال الحيوي من الدراسة. المنهجية: فحصت التحليلات بشكل منهجي أمن الرعاية الصحية باستخدام سلسلة الكتل ضمن نطاق الحوسبة الطرفية والضبابية والسحابية في جميع الدراسات. بالإضافة إلى ذلك، استُخدمت أربع قواعد بيانات - </w:t>
      </w:r>
      <w:r w:rsidRPr="00BD5F09">
        <w:rPr>
          <w:rFonts w:ascii="Traditional Arabic" w:hAnsi="Traditional Arabic" w:cs="Traditional Arabic"/>
          <w:sz w:val="28"/>
          <w:szCs w:val="28"/>
          <w:lang w:bidi="ar-EG"/>
        </w:rPr>
        <w:t>Web of Science (</w:t>
      </w:r>
      <w:proofErr w:type="spellStart"/>
      <w:r w:rsidRPr="00BD5F09">
        <w:rPr>
          <w:rFonts w:ascii="Traditional Arabic" w:hAnsi="Traditional Arabic" w:cs="Traditional Arabic"/>
          <w:sz w:val="28"/>
          <w:szCs w:val="28"/>
          <w:lang w:bidi="ar-EG"/>
        </w:rPr>
        <w:t>WoS</w:t>
      </w:r>
      <w:proofErr w:type="spellEnd"/>
      <w:r w:rsidRPr="00BD5F09">
        <w:rPr>
          <w:rFonts w:ascii="Traditional Arabic" w:hAnsi="Traditional Arabic" w:cs="Traditional Arabic"/>
          <w:sz w:val="28"/>
          <w:szCs w:val="28"/>
          <w:lang w:bidi="ar-EG"/>
        </w:rPr>
        <w:t>)</w:t>
      </w:r>
      <w:r w:rsidRPr="00BD5F09">
        <w:rPr>
          <w:rFonts w:ascii="Traditional Arabic" w:hAnsi="Traditional Arabic" w:cs="Traditional Arabic"/>
          <w:sz w:val="28"/>
          <w:szCs w:val="28"/>
          <w:rtl/>
          <w:lang w:bidi="ar-EG"/>
        </w:rPr>
        <w:t xml:space="preserve"> و</w:t>
      </w:r>
      <w:r w:rsidRPr="00BD5F09">
        <w:rPr>
          <w:rFonts w:ascii="Traditional Arabic" w:hAnsi="Traditional Arabic" w:cs="Traditional Arabic"/>
          <w:sz w:val="28"/>
          <w:szCs w:val="28"/>
          <w:lang w:bidi="ar-EG"/>
        </w:rPr>
        <w:t>ScienceDirect</w:t>
      </w:r>
      <w:r w:rsidRPr="00BD5F09">
        <w:rPr>
          <w:rFonts w:ascii="Traditional Arabic" w:hAnsi="Traditional Arabic" w:cs="Traditional Arabic"/>
          <w:sz w:val="28"/>
          <w:szCs w:val="28"/>
          <w:rtl/>
          <w:lang w:bidi="ar-EG"/>
        </w:rPr>
        <w:t xml:space="preserve"> ومكتبة </w:t>
      </w:r>
      <w:r w:rsidRPr="00BD5F09">
        <w:rPr>
          <w:rFonts w:ascii="Traditional Arabic" w:hAnsi="Traditional Arabic" w:cs="Traditional Arabic"/>
          <w:sz w:val="28"/>
          <w:szCs w:val="28"/>
          <w:lang w:bidi="ar-EG"/>
        </w:rPr>
        <w:t>IEEE Xplore</w:t>
      </w:r>
      <w:r w:rsidRPr="00BD5F09">
        <w:rPr>
          <w:rFonts w:ascii="Traditional Arabic" w:hAnsi="Traditional Arabic" w:cs="Traditional Arabic"/>
          <w:sz w:val="28"/>
          <w:szCs w:val="28"/>
          <w:rtl/>
          <w:lang w:bidi="ar-EG"/>
        </w:rPr>
        <w:t xml:space="preserve"> الرقمية و</w:t>
      </w:r>
      <w:r w:rsidRPr="00BD5F09">
        <w:rPr>
          <w:rFonts w:ascii="Traditional Arabic" w:hAnsi="Traditional Arabic" w:cs="Traditional Arabic"/>
          <w:sz w:val="28"/>
          <w:szCs w:val="28"/>
          <w:lang w:bidi="ar-EG"/>
        </w:rPr>
        <w:t>Scopus</w:t>
      </w:r>
      <w:r w:rsidRPr="00BD5F09">
        <w:rPr>
          <w:rFonts w:ascii="Traditional Arabic" w:hAnsi="Traditional Arabic" w:cs="Traditional Arabic"/>
          <w:sz w:val="28"/>
          <w:szCs w:val="28"/>
          <w:rtl/>
          <w:lang w:bidi="ar-EG"/>
        </w:rPr>
        <w:t xml:space="preserve"> - خلال الفترة من 2019 إلى 2024 لتحليل بنيتها وتطبيقاتها وتقييم أدائها. النتائج: وفقًا لمعايير الإدراج والاستبعاد، تم اختيار 97 منشورًا تتناول أمن الرعاية 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في أنظمة الحافة والضباب والسحابة، مع اتباع مناهج واستراتيجيات متنوعة. تم تصنيف النتائج إلى أربع فئات بناءً على موقع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أمن الرعاية 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على الحافة، وأمن الرعاية </w:t>
      </w:r>
      <w:r w:rsidRPr="00BD5F09">
        <w:rPr>
          <w:rFonts w:ascii="Traditional Arabic" w:hAnsi="Traditional Arabic" w:cs="Traditional Arabic"/>
          <w:sz w:val="28"/>
          <w:szCs w:val="28"/>
          <w:rtl/>
          <w:lang w:bidi="ar-EG"/>
        </w:rPr>
        <w:lastRenderedPageBreak/>
        <w:t xml:space="preserve">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في الضباب، وأمن الرعاية 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في السحابة، والمقالات الاستعراضية. المناقشة: تُسهّل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مشاركة بيانات المرضى بشكل آمن وفعّال بين أنظمة الرعاية الصحية المختلفة، مما يُعزز قابلية التشغيل البيني السلس للسجلات الصحية الإلكترونية. كما يتم تخزين البيانات بطريقة لا مركزية، مما يُقلل من خطر الاختراقات لعدم وجود نقطة فشل واحدة. بالإضافة إلى ذلك، تضمن بروتوكولات التتبع الوطنية عبر نظام مراقبة سلسلة التوريد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مراقبة دورة حياة المنتجات الصيدلانية بالكامل، مما يضمن الشفافية ويقلل من الأدوية المقلدة. الخلاصة: على الرغم من اختلاف مجالات البحث في أمن الرعاية الصحية باستخدام نظام مراقبة سلسلة التوريد في مجال الرعاية الصحية، إلا أنها متساوية الأهمية بشكل عام. من خلال هذه المراجعة، تم تسليط الضوء على القدرات البحثية، وتوسيع نطاق مجالات بحثية جديدة.</w:t>
      </w:r>
    </w:p>
    <w:p w14:paraId="6C95B396" w14:textId="4A56C5F7" w:rsidR="00BD5F09" w:rsidRDefault="00BD5F09" w:rsidP="00BD5F09">
      <w:pPr>
        <w:bidi/>
        <w:spacing w:after="0" w:line="360" w:lineRule="auto"/>
        <w:ind w:firstLine="571"/>
        <w:jc w:val="both"/>
        <w:rPr>
          <w:rFonts w:ascii="Traditional Arabic" w:hAnsi="Traditional Arabic" w:cs="Traditional Arabic"/>
          <w:sz w:val="28"/>
          <w:szCs w:val="28"/>
          <w:rtl/>
          <w:lang w:bidi="ar-EG"/>
        </w:rPr>
      </w:pPr>
      <w:r w:rsidRPr="00BD5F09">
        <w:rPr>
          <w:rFonts w:ascii="Traditional Arabic" w:hAnsi="Traditional Arabic" w:cs="Traditional Arabic"/>
          <w:sz w:val="28"/>
          <w:szCs w:val="28"/>
          <w:rtl/>
        </w:rPr>
        <w:t xml:space="preserve">هدفت </w:t>
      </w:r>
      <w:r w:rsidR="00977730">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93706545"/>
          <w:citation/>
        </w:sdtPr>
        <w:sdtContent>
          <w:r w:rsidR="00977730">
            <w:rPr>
              <w:rFonts w:ascii="Traditional Arabic" w:hAnsi="Traditional Arabic" w:cs="Traditional Arabic"/>
              <w:sz w:val="28"/>
              <w:szCs w:val="28"/>
              <w:rtl/>
            </w:rPr>
            <w:fldChar w:fldCharType="begin"/>
          </w:r>
          <w:r w:rsidR="00977730">
            <w:rPr>
              <w:rFonts w:ascii="Traditional Arabic" w:hAnsi="Traditional Arabic" w:cs="Traditional Arabic"/>
              <w:sz w:val="28"/>
              <w:szCs w:val="28"/>
              <w:rtl/>
              <w:lang w:bidi="ar-EG"/>
            </w:rPr>
            <w:instrText xml:space="preserve"> </w:instrText>
          </w:r>
          <w:r w:rsidR="00977730">
            <w:rPr>
              <w:rFonts w:ascii="Traditional Arabic" w:hAnsi="Traditional Arabic" w:cs="Traditional Arabic" w:hint="cs"/>
              <w:sz w:val="28"/>
              <w:szCs w:val="28"/>
              <w:lang w:bidi="ar-EG"/>
            </w:rPr>
            <w:instrText>CITATION</w:instrText>
          </w:r>
          <w:r w:rsidR="00977730">
            <w:rPr>
              <w:rFonts w:ascii="Traditional Arabic" w:hAnsi="Traditional Arabic" w:cs="Traditional Arabic" w:hint="cs"/>
              <w:sz w:val="28"/>
              <w:szCs w:val="28"/>
              <w:rtl/>
              <w:lang w:bidi="ar-EG"/>
            </w:rPr>
            <w:instrText xml:space="preserve"> خال23 \</w:instrText>
          </w:r>
          <w:r w:rsidR="00977730">
            <w:rPr>
              <w:rFonts w:ascii="Traditional Arabic" w:hAnsi="Traditional Arabic" w:cs="Traditional Arabic" w:hint="cs"/>
              <w:sz w:val="28"/>
              <w:szCs w:val="28"/>
              <w:lang w:bidi="ar-EG"/>
            </w:rPr>
            <w:instrText>l 3073</w:instrText>
          </w:r>
          <w:r w:rsidR="00977730">
            <w:rPr>
              <w:rFonts w:ascii="Traditional Arabic" w:hAnsi="Traditional Arabic" w:cs="Traditional Arabic"/>
              <w:sz w:val="28"/>
              <w:szCs w:val="28"/>
              <w:rtl/>
              <w:lang w:bidi="ar-EG"/>
            </w:rPr>
            <w:instrText xml:space="preserve"> </w:instrText>
          </w:r>
          <w:r w:rsidR="00977730">
            <w:rPr>
              <w:rFonts w:ascii="Traditional Arabic" w:hAnsi="Traditional Arabic" w:cs="Traditional Arabic"/>
              <w:sz w:val="28"/>
              <w:szCs w:val="28"/>
              <w:rtl/>
            </w:rPr>
            <w:fldChar w:fldCharType="separate"/>
          </w:r>
          <w:r w:rsidR="00977730" w:rsidRPr="00977730">
            <w:rPr>
              <w:rFonts w:ascii="Traditional Arabic" w:hAnsi="Traditional Arabic" w:cs="Traditional Arabic" w:hint="cs"/>
              <w:noProof/>
              <w:sz w:val="28"/>
              <w:szCs w:val="28"/>
              <w:rtl/>
              <w:lang w:bidi="ar-EG"/>
            </w:rPr>
            <w:t>(خالد، 2023)</w:t>
          </w:r>
          <w:r w:rsidR="00977730">
            <w:rPr>
              <w:rFonts w:ascii="Traditional Arabic" w:hAnsi="Traditional Arabic" w:cs="Traditional Arabic"/>
              <w:sz w:val="28"/>
              <w:szCs w:val="28"/>
              <w:rtl/>
            </w:rPr>
            <w:fldChar w:fldCharType="end"/>
          </w:r>
        </w:sdtContent>
      </w:sdt>
      <w:r w:rsidRPr="00BD5F09">
        <w:rPr>
          <w:rFonts w:ascii="Traditional Arabic" w:hAnsi="Traditional Arabic" w:cs="Traditional Arabic"/>
          <w:sz w:val="28"/>
          <w:szCs w:val="28"/>
          <w:rtl/>
        </w:rPr>
        <w:t xml:space="preserve"> لتشخيص متطلبات اعتماد تكنولوجيا سلسلة الكتل</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في المنظومة الصحية. وتقييم مدى قابليتها للتطبيق في قطاع الرعاية الصحية لدولة الإمارات العربية المتحدة. وهذا استنادا على مراجعة الأدبيات التي بحثت في متطلبات التوجه نحو تبني هذه التكنولوجيا في تسويق خدمات الرعاية الصحية. بينت الدراسة أنه لتطوير أي إطار لتقييم الجاهزية الموجه نحو التكنولوجيا الجديدة، يجب تحديد أصحاب المصلحة المسؤولين عن تبني التكنولوجيا. يشمل ذلك الحكومات، الكيانات التجارية منصات</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والعملاء. وتشمل المتطلبات الرئيسية لتقييم الجاهزية لاعتماد تكنولوجيا سلسلة الكتل في الاستعداد التحفيزي، الاستعداد للمشاركة، والاستعداد التكنولوجي، والاستعداد الهيكلي. وعلى مستوى تجربة الإمارات أظهرت النتائج الأهمية متعددة الأوجه لاستعداد أصحاب المصلحة في قيادة مبادرات</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الرعاية الصحية. ويبقى التحدي الرئيسي الذي يواجه شركات الرعاية الصحية في تنفيذ</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مرتبط بنقص المعرفة والوعي. حيث 63% من الشركات غير مدركة لتقنيات الصناعة 4.0، بما في ذلك</w:t>
      </w:r>
      <w:r w:rsidRPr="00BD5F09">
        <w:rPr>
          <w:rFonts w:ascii="Traditional Arabic" w:hAnsi="Traditional Arabic" w:cs="Traditional Arabic"/>
          <w:sz w:val="28"/>
          <w:szCs w:val="28"/>
          <w:lang w:bidi="ar-EG"/>
        </w:rPr>
        <w:t xml:space="preserve"> Blockchain</w:t>
      </w:r>
      <w:r w:rsidRPr="00BD5F09">
        <w:rPr>
          <w:rFonts w:ascii="Traditional Arabic" w:hAnsi="Traditional Arabic" w:cs="Traditional Arabic"/>
          <w:sz w:val="28"/>
          <w:szCs w:val="28"/>
          <w:rtl/>
        </w:rPr>
        <w:t>، وعلاقتها بعملياتها التجارية</w:t>
      </w:r>
      <w:r w:rsidRPr="00BD5F09">
        <w:rPr>
          <w:rFonts w:ascii="Traditional Arabic" w:hAnsi="Traditional Arabic" w:cs="Traditional Arabic"/>
          <w:sz w:val="28"/>
          <w:szCs w:val="28"/>
          <w:lang w:bidi="ar-EG"/>
        </w:rPr>
        <w:t>.</w:t>
      </w:r>
    </w:p>
    <w:p w14:paraId="4A8BB520" w14:textId="164B0939" w:rsidR="00977730" w:rsidRDefault="00977730" w:rsidP="00977730">
      <w:pPr>
        <w:bidi/>
        <w:spacing w:after="0" w:line="360" w:lineRule="auto"/>
        <w:ind w:firstLine="571"/>
        <w:jc w:val="both"/>
        <w:rPr>
          <w:rFonts w:ascii="Traditional Arabic" w:hAnsi="Traditional Arabic" w:cs="Traditional Arabic"/>
          <w:sz w:val="28"/>
          <w:szCs w:val="28"/>
          <w:rtl/>
          <w:lang w:bidi="ar-EG"/>
        </w:rPr>
      </w:pPr>
      <w:r w:rsidRPr="00977730">
        <w:rPr>
          <w:rFonts w:ascii="Traditional Arabic" w:hAnsi="Traditional Arabic" w:cs="Traditional Arabic"/>
          <w:sz w:val="28"/>
          <w:szCs w:val="28"/>
          <w:rtl/>
          <w:lang w:bidi="ar-EG"/>
        </w:rPr>
        <w:t>تمثل السجلات الصحية الإلكترونية نهجًا مبتكرًا لبناء إطار عمل لتحليل البيانات الموزعة، بهدف إدارة البيانات الصحية في موقعها الأصلي. يوفر دمج تقنية سلسلة الكتل (البلوك تشين) في أنظمة السجلات الصحية الإلكترونية تحسينات جوهرية في الأمن والخصوصية والشفافية، مما يعزز كفاءة الإدارة بشكل عام. امتد بحثنا من يناير 2017 إلى ديسمبر 2022، حيث أجرينا مراجعة منهجية دقيقة للأدبيات في قواعد بيانات موثوقة مثل سكوبس، و</w:t>
      </w:r>
      <w:r w:rsidRPr="00977730">
        <w:rPr>
          <w:rFonts w:ascii="Traditional Arabic" w:hAnsi="Traditional Arabic" w:cs="Traditional Arabic"/>
          <w:sz w:val="28"/>
          <w:szCs w:val="28"/>
          <w:lang w:bidi="ar-EG"/>
        </w:rPr>
        <w:t>IEEE Xplore</w:t>
      </w:r>
      <w:r w:rsidRPr="00977730">
        <w:rPr>
          <w:rFonts w:ascii="Traditional Arabic" w:hAnsi="Traditional Arabic" w:cs="Traditional Arabic"/>
          <w:sz w:val="28"/>
          <w:szCs w:val="28"/>
          <w:rtl/>
          <w:lang w:bidi="ar-EG"/>
        </w:rPr>
        <w:t xml:space="preserve">، وسبرينغر، وباب ميد سنترال، وساينس دايركت. استخدم </w:t>
      </w:r>
      <w:r>
        <w:rPr>
          <w:rFonts w:ascii="Traditional Arabic" w:hAnsi="Traditional Arabic" w:cs="Traditional Arabic" w:hint="cs"/>
          <w:sz w:val="28"/>
          <w:szCs w:val="28"/>
          <w:rtl/>
          <w:lang w:bidi="ar-EG"/>
        </w:rPr>
        <w:lastRenderedPageBreak/>
        <w:t xml:space="preserve">بحث </w:t>
      </w:r>
      <w:sdt>
        <w:sdtPr>
          <w:rPr>
            <w:rFonts w:ascii="Traditional Arabic" w:hAnsi="Traditional Arabic" w:cs="Traditional Arabic" w:hint="cs"/>
            <w:sz w:val="28"/>
            <w:szCs w:val="28"/>
            <w:rtl/>
            <w:lang w:bidi="ar-EG"/>
          </w:rPr>
          <w:id w:val="-1211577032"/>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Ett24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977730">
            <w:rPr>
              <w:rFonts w:ascii="Traditional Arabic" w:hAnsi="Traditional Arabic" w:cs="Traditional Arabic" w:hint="cs"/>
              <w:noProof/>
              <w:sz w:val="28"/>
              <w:szCs w:val="28"/>
              <w:rtl/>
              <w:lang w:bidi="ar-EG"/>
            </w:rPr>
            <w:t>(</w:t>
          </w:r>
          <w:r w:rsidRPr="00977730">
            <w:rPr>
              <w:rFonts w:ascii="Traditional Arabic" w:hAnsi="Traditional Arabic" w:cs="Traditional Arabic" w:hint="cs"/>
              <w:noProof/>
              <w:sz w:val="28"/>
              <w:szCs w:val="28"/>
              <w:lang w:bidi="ar-EG"/>
            </w:rPr>
            <w:t>Ettaloui</w:t>
          </w:r>
          <w:r w:rsidRPr="00977730">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977730">
        <w:rPr>
          <w:rFonts w:ascii="Traditional Arabic" w:hAnsi="Traditional Arabic" w:cs="Traditional Arabic"/>
          <w:sz w:val="28"/>
          <w:szCs w:val="28"/>
          <w:rtl/>
          <w:lang w:bidi="ar-EG"/>
        </w:rPr>
        <w:t>، الذي اكتمل في ديسمبر 2022، معايير صارمة للإدراج والاستبعاد لضمان اختيار مقالات عالية الجودة، وبالتالي ضمان الشفافية والنتائج غير المتحيزة. من خلال هذه المراجعة المنهجية، كان هدفنا الرئيسي هو استكشاف وتقييم وتحليل البنى المتنوعة والنماذج المقترحة والقيود والمسارات المستقبلية لأنظمة السجلات الصحية الإلكترونية المدعومة بتقنية سلسلة الكتل. ركزنا على إبراز قابلية سلسلة الكتل للتكيف وقوتها في سياقات الرعاية الصحية، مع تحديد التحديات المحتملة ومجالات البحث الإضافية. بالالتزام بإرشادات بنود الإبلاغ المفضلة للمراجعات المنهجية والتحليلات التلوية، فحصنا أكثر من 600 دراسة علمية، وانتهى بنا المطاف باختيار 31 مقالة استوفت معاييرنا الصارمة للإدراج. تعمقت تقييماتنا التقنية والمعمارية في جوانب بالغة الأهمية كالخصوصية، والأمان، والمصادقة، والتوافر، والتحكم في البيانات، والتخزين، واستهلاك الموارد. تؤكد نتائج بحثنا فعالية دمج تقنية سلسلة الكتل (البلوك تشين) في معالجة مخاوف الأمان والخصوصية والتوافر في السجلات الصحية الإلكترونية. مع ذلك، لاحظنا بعض المفاضلات المحتملة، بما في ذلك التأثيرات على الأداء، واستخدام الموارد، والامتثال التنظيمي. ولمعالجة هذه التعقيدات، نقدم إطار عمل متكاملًا مصممًا للتخفيف من التحديات الرئيسية وتحقيق قيمة مضافة كبيرة في هذا المجال.</w:t>
      </w:r>
    </w:p>
    <w:p w14:paraId="36AB3274" w14:textId="25323383" w:rsidR="00977730" w:rsidRDefault="00977730" w:rsidP="00977730">
      <w:pPr>
        <w:bidi/>
        <w:spacing w:after="0" w:line="360" w:lineRule="auto"/>
        <w:ind w:firstLine="571"/>
        <w:jc w:val="both"/>
        <w:rPr>
          <w:rFonts w:ascii="Traditional Arabic" w:hAnsi="Traditional Arabic" w:cs="Traditional Arabic"/>
          <w:sz w:val="28"/>
          <w:szCs w:val="28"/>
          <w:rtl/>
          <w:lang w:bidi="ar-EG"/>
        </w:rPr>
      </w:pPr>
      <w:r w:rsidRPr="00977730">
        <w:rPr>
          <w:rFonts w:ascii="Traditional Arabic" w:hAnsi="Traditional Arabic" w:cs="Traditional Arabic"/>
          <w:sz w:val="28"/>
          <w:szCs w:val="28"/>
          <w:rtl/>
          <w:lang w:bidi="ar-EG"/>
        </w:rPr>
        <w:t>إطار التبادل الموثوق والاتفاقية المشتركة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هو إطار عمل يتألف من سبعة مبادئ مصممة لإنشاء نظام آمن وسلس لتبادل المعلومات الصحية عبر مختلف مرافق الرعاية الصحية. يتمثل الهدف الأساسي لـ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في تسهيل مراقبة الصحة العامة، وزيادة قابلية التشغيل البيني، وتعزيز مشاركة البيانات، وضمان إدارة بيانات الرعاية الصحية التي تركز على المريض. على الرغم من أن تطبيق هذه المبادئ يمثل تحديًا، إلا أن تقنية سلسلة الكتل (البلوك تشين)، بخصائصها الفريدة مثل الشفافية، وقابلية التدقيق، وعدم قابلية التغيير، وإخفاء الهوية، يمكن أن توفر حلاً واعدًا لتطوير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تتناول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57665083"/>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Zhu23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977730">
            <w:rPr>
              <w:rFonts w:ascii="Traditional Arabic" w:hAnsi="Traditional Arabic" w:cs="Traditional Arabic" w:hint="cs"/>
              <w:noProof/>
              <w:sz w:val="28"/>
              <w:szCs w:val="28"/>
              <w:rtl/>
              <w:lang w:bidi="ar-EG"/>
            </w:rPr>
            <w:t>(</w:t>
          </w:r>
          <w:r w:rsidRPr="00977730">
            <w:rPr>
              <w:rFonts w:ascii="Traditional Arabic" w:hAnsi="Traditional Arabic" w:cs="Traditional Arabic" w:hint="cs"/>
              <w:noProof/>
              <w:sz w:val="28"/>
              <w:szCs w:val="28"/>
              <w:lang w:bidi="ar-EG"/>
            </w:rPr>
            <w:t>Zhuang</w:t>
          </w:r>
          <w:r w:rsidRPr="00977730">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lang w:bidi="ar-EG"/>
            </w:rPr>
            <w:fldChar w:fldCharType="end"/>
          </w:r>
        </w:sdtContent>
      </w:sdt>
      <w:r w:rsidRPr="00977730">
        <w:rPr>
          <w:rFonts w:ascii="Traditional Arabic" w:hAnsi="Traditional Arabic" w:cs="Traditional Arabic"/>
          <w:sz w:val="28"/>
          <w:szCs w:val="28"/>
          <w:rtl/>
          <w:lang w:bidi="ar-EG"/>
        </w:rPr>
        <w:t xml:space="preserve"> إمكانات تقنية سلسلة الكتل في تعزيز تصميم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من خلال توفير سجل غير قابل للتغيير وشفاف، تضمن سلسلة الكتل سلامة البيانات، وانفتاحها، وخصوصية المريض. بشكل عام، يمكن أن يساعد استخدام تقنية سلسلة الكتل في مواجهة تحديات تطبيق مبادئ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وتعزيز تمكين المرضى والتحكم في بياناتهم الصحية، وتحسين قابلية التشغيل البيني للبيانات، وتعزيز جودة الرعاية الصحية.</w:t>
      </w:r>
    </w:p>
    <w:p w14:paraId="579FFE98" w14:textId="4D24FA8C" w:rsidR="00F87B64" w:rsidRPr="00F87B64" w:rsidRDefault="00977730" w:rsidP="00F87B64">
      <w:pPr>
        <w:bidi/>
        <w:spacing w:after="0" w:line="360" w:lineRule="auto"/>
        <w:ind w:firstLine="571"/>
        <w:jc w:val="both"/>
        <w:rPr>
          <w:rFonts w:ascii="Traditional Arabic" w:hAnsi="Traditional Arabic" w:cs="Traditional Arabic"/>
          <w:sz w:val="28"/>
          <w:szCs w:val="28"/>
          <w:lang w:bidi="ar-EG"/>
        </w:rPr>
      </w:pPr>
      <w:r w:rsidRPr="00977730">
        <w:rPr>
          <w:rFonts w:ascii="Traditional Arabic" w:hAnsi="Traditional Arabic" w:cs="Traditional Arabic"/>
          <w:sz w:val="28"/>
          <w:szCs w:val="28"/>
          <w:rtl/>
          <w:lang w:bidi="ar-EG"/>
        </w:rPr>
        <w:t xml:space="preserve">في ظل التطور السريع الذي يشهده قطاع الرعاية الصحية الإلكترونية في المملكة العربية السعودية، يُعدّ تعزيز أمن وسلامة السجلات الصحية الإلكترونية أمرًا بالغ الأهمية. تواجه الأنظمة الحالية تحدياتٍ نابعة من التخزين المركزي، وضعف سلامة البيانات، </w:t>
      </w:r>
      <w:r w:rsidRPr="00977730">
        <w:rPr>
          <w:rFonts w:ascii="Traditional Arabic" w:hAnsi="Traditional Arabic" w:cs="Traditional Arabic"/>
          <w:sz w:val="28"/>
          <w:szCs w:val="28"/>
          <w:rtl/>
          <w:lang w:bidi="ar-EG"/>
        </w:rPr>
        <w:lastRenderedPageBreak/>
        <w:t xml:space="preserve">وتأثرها بانقطاعات التيار الكهربائي، وقضايا ملكية البيانات من قِبل جهاتٍ أخرى غير المرضى أنفسهم. علاوةً على ذلك، يُفاقم تبادل معلومات المرضى الحساسة بين جهاتٍ مجهولة الهوية من هشاشة هذه السجلات. واستجابةً لهذه التحديات، تدعو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3004022"/>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Mas24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977730">
            <w:rPr>
              <w:rFonts w:ascii="Traditional Arabic" w:hAnsi="Traditional Arabic" w:cs="Traditional Arabic" w:hint="cs"/>
              <w:noProof/>
              <w:sz w:val="28"/>
              <w:szCs w:val="28"/>
              <w:rtl/>
              <w:lang w:bidi="ar-EG"/>
            </w:rPr>
            <w:t>(</w:t>
          </w:r>
          <w:r w:rsidRPr="00977730">
            <w:rPr>
              <w:rFonts w:ascii="Traditional Arabic" w:hAnsi="Traditional Arabic" w:cs="Traditional Arabic" w:hint="cs"/>
              <w:noProof/>
              <w:sz w:val="28"/>
              <w:szCs w:val="28"/>
              <w:lang w:bidi="ar-EG"/>
            </w:rPr>
            <w:t>Masmoudi</w:t>
          </w:r>
          <w:r w:rsidRPr="00977730">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977730">
        <w:rPr>
          <w:rFonts w:ascii="Traditional Arabic" w:hAnsi="Traditional Arabic" w:cs="Traditional Arabic"/>
          <w:sz w:val="28"/>
          <w:szCs w:val="28"/>
          <w:rtl/>
          <w:lang w:bidi="ar-EG"/>
        </w:rPr>
        <w:t xml:space="preserve"> إلى الاستفادة من الإمكانات التحويلية لتقنية سلسلة الكتل (البلوك تشين). تُقدّم سلسلة الكتل، ببنيتها اللامركزية والموزعة، نهجًا ثوريًا للتواصل بين عُقد الشبكة، مما يُلغي الحاجة إلى سلطة مركزية. تقترح هذه الورقة حلًا يضع المريض في صميم العملية، ويُمكّنه من أن يكون المتحكم الرئيسي في بياناته الطبية. يتعمق البحث في الوضع الراهن للرعاية الصحية الإلكترونية في المملكة العربية السعودية، ويدرس التحديات التي تواجه أنظمة السجلات الصحية الإلكترونية الحالية، ويُقدّم تقنية سلسلة الكتل، ولا سيما إيثيريوم، كحلٍّ عمليٍّ ومُغيّرٍ للحياة. تُفصّل هذه الورقة البحثية استخدام تقنية سلسلة الكتل (بلوك تشين) الخاصة بمنصة إيثيريوم لتأمين وإدارة السجلات الطبية، مع تطبيق بنية المفاتيح العامة (</w:t>
      </w:r>
      <w:r w:rsidRPr="00977730">
        <w:rPr>
          <w:rFonts w:ascii="Traditional Arabic" w:hAnsi="Traditional Arabic" w:cs="Traditional Arabic"/>
          <w:sz w:val="28"/>
          <w:szCs w:val="28"/>
          <w:lang w:bidi="ar-EG"/>
        </w:rPr>
        <w:t>PKI</w:t>
      </w:r>
      <w:r w:rsidRPr="00977730">
        <w:rPr>
          <w:rFonts w:ascii="Traditional Arabic" w:hAnsi="Traditional Arabic" w:cs="Traditional Arabic"/>
          <w:sz w:val="28"/>
          <w:szCs w:val="28"/>
          <w:rtl/>
          <w:lang w:bidi="ar-EG"/>
        </w:rPr>
        <w:t>) لحماية سرية معلومات المرضى. ويُستخدم نظام الملفات بين الكواكب اللامركزي (</w:t>
      </w:r>
      <w:r w:rsidRPr="00977730">
        <w:rPr>
          <w:rFonts w:ascii="Traditional Arabic" w:hAnsi="Traditional Arabic" w:cs="Traditional Arabic"/>
          <w:sz w:val="28"/>
          <w:szCs w:val="28"/>
          <w:lang w:bidi="ar-EG"/>
        </w:rPr>
        <w:t>IPFS</w:t>
      </w:r>
      <w:r w:rsidRPr="00977730">
        <w:rPr>
          <w:rFonts w:ascii="Traditional Arabic" w:hAnsi="Traditional Arabic" w:cs="Traditional Arabic"/>
          <w:sz w:val="28"/>
          <w:szCs w:val="28"/>
          <w:rtl/>
          <w:lang w:bidi="ar-EG"/>
        </w:rPr>
        <w:t>) لتخزين السجلات الطبية المشفرة بشكل آمن وموثوق. بالإضافة إلى ذلك، تلعب العقود الذكية، وهي جزء لا يتجزأ من سلسلة كتل إيثيريوم، دورًا محوريًا في أتمتة وتطبيق قواعد الوصول إلى السجلات الطبية. علاوة على ذلك، تم تطوير تطبيق لامركزي (</w:t>
      </w:r>
      <w:proofErr w:type="spellStart"/>
      <w:r w:rsidRPr="00977730">
        <w:rPr>
          <w:rFonts w:ascii="Traditional Arabic" w:hAnsi="Traditional Arabic" w:cs="Traditional Arabic"/>
          <w:sz w:val="28"/>
          <w:szCs w:val="28"/>
          <w:lang w:bidi="ar-EG"/>
        </w:rPr>
        <w:t>DApp</w:t>
      </w:r>
      <w:proofErr w:type="spellEnd"/>
      <w:r w:rsidRPr="00977730">
        <w:rPr>
          <w:rFonts w:ascii="Traditional Arabic" w:hAnsi="Traditional Arabic" w:cs="Traditional Arabic"/>
          <w:sz w:val="28"/>
          <w:szCs w:val="28"/>
          <w:rtl/>
          <w:lang w:bidi="ar-EG"/>
        </w:rPr>
        <w:t>) بتقنية ويب 3.0 لتوفير واجهة سهلة الاستخدام، مما يُمكّن المرضى من التفاعل بسلاسة مع بياناتهم الصحية والتحكم في الوصول إليها. في الختام، تُقدّم هذه الورقة إطارًا إرشاديًا للأطباء وصانعي السياسات والأكاديميين، مُوضّحةً الإمكانات التحويلية لتقنية سلسلة الكتل والتقنيات المرتبطة بها في إحداث ثورة في إدارة السجلات الصحية الإلكترونية في أنظمة الرعاية الصحية في المملكة العربية السعودية.</w:t>
      </w:r>
    </w:p>
    <w:tbl>
      <w:tblPr>
        <w:tblStyle w:val="GridTable6Colorful"/>
        <w:bidiVisual/>
        <w:tblW w:w="9350" w:type="dxa"/>
        <w:jc w:val="center"/>
        <w:tblLook w:val="04A0" w:firstRow="1" w:lastRow="0" w:firstColumn="1" w:lastColumn="0" w:noHBand="0" w:noVBand="1"/>
      </w:tblPr>
      <w:tblGrid>
        <w:gridCol w:w="1396"/>
        <w:gridCol w:w="734"/>
        <w:gridCol w:w="2217"/>
        <w:gridCol w:w="1273"/>
        <w:gridCol w:w="1384"/>
        <w:gridCol w:w="1172"/>
        <w:gridCol w:w="1174"/>
      </w:tblGrid>
      <w:tr w:rsidR="00F87B64" w:rsidRPr="0036290D" w14:paraId="2804BDBA" w14:textId="77777777" w:rsidTr="007D1D88">
        <w:trPr>
          <w:cnfStyle w:val="100000000000" w:firstRow="1" w:lastRow="0" w:firstColumn="0" w:lastColumn="0" w:oddVBand="0" w:evenVBand="0" w:oddHBand="0" w:evenHBand="0" w:firstRowFirstColumn="0" w:firstRowLastColumn="0" w:lastRowFirstColumn="0" w:lastRowLastColumn="0"/>
          <w:trHeight w:val="1439"/>
          <w:jc w:val="center"/>
        </w:trPr>
        <w:tc>
          <w:tcPr>
            <w:cnfStyle w:val="001000000000" w:firstRow="0" w:lastRow="0" w:firstColumn="1" w:lastColumn="0" w:oddVBand="0" w:evenVBand="0" w:oddHBand="0" w:evenHBand="0" w:firstRowFirstColumn="0" w:firstRowLastColumn="0" w:lastRowFirstColumn="0" w:lastRowLastColumn="0"/>
            <w:tcW w:w="1135" w:type="dxa"/>
            <w:hideMark/>
          </w:tcPr>
          <w:p w14:paraId="2FF7033B" w14:textId="77777777" w:rsidR="00F87B64" w:rsidRPr="0036290D" w:rsidRDefault="00F87B64" w:rsidP="0011754A">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3243CB7F"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6DE2918A"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27F64323"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2D7A4DB0"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480326B7"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3BF102C9"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F87B64" w:rsidRPr="0036290D" w14:paraId="35A3E0D7" w14:textId="77777777" w:rsidTr="007D1D88">
        <w:trPr>
          <w:cnfStyle w:val="000000100000" w:firstRow="0" w:lastRow="0" w:firstColumn="0" w:lastColumn="0" w:oddVBand="0" w:evenVBand="0" w:oddHBand="1" w:evenHBand="0" w:firstRowFirstColumn="0" w:firstRowLastColumn="0" w:lastRowFirstColumn="0" w:lastRowLastColumn="0"/>
          <w:trHeight w:val="1487"/>
          <w:jc w:val="center"/>
        </w:trPr>
        <w:tc>
          <w:tcPr>
            <w:cnfStyle w:val="001000000000" w:firstRow="0" w:lastRow="0" w:firstColumn="1" w:lastColumn="0" w:oddVBand="0" w:evenVBand="0" w:oddHBand="0" w:evenHBand="0" w:firstRowFirstColumn="0" w:firstRowLastColumn="0" w:lastRowFirstColumn="0" w:lastRowLastColumn="0"/>
            <w:tcW w:w="1135" w:type="dxa"/>
          </w:tcPr>
          <w:p w14:paraId="58EF40D7" w14:textId="7D3732E9"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rtl/>
                <w14:ligatures w14:val="none"/>
              </w:rPr>
              <w:t>عبدالعال</w:t>
            </w:r>
          </w:p>
        </w:tc>
        <w:tc>
          <w:tcPr>
            <w:tcW w:w="712" w:type="dxa"/>
          </w:tcPr>
          <w:p w14:paraId="6D9761C0" w14:textId="690F56D7" w:rsidR="00F87B64" w:rsidRPr="0036290D" w:rsidRDefault="00EB135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2023</w:t>
            </w:r>
          </w:p>
        </w:tc>
        <w:tc>
          <w:tcPr>
            <w:tcW w:w="1397" w:type="dxa"/>
          </w:tcPr>
          <w:p w14:paraId="638E074C" w14:textId="0DB0A72C"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دراسة تحليلية/تصميم إطار مفاهيمي لتطبيق البلوكشين في إدارة البيانات الصحية</w:t>
            </w:r>
          </w:p>
        </w:tc>
        <w:tc>
          <w:tcPr>
            <w:tcW w:w="1480" w:type="dxa"/>
          </w:tcPr>
          <w:p w14:paraId="5ABAD4E3" w14:textId="5FE55C9B"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اقتراح إطار لإدارة السجلات الصحية عبر </w:t>
            </w:r>
            <w:r w:rsidRPr="00EB135C">
              <w:rPr>
                <w:rFonts w:ascii="Traditional Arabic" w:eastAsia="Times New Roman" w:hAnsi="Traditional Arabic" w:cs="Traditional Arabic"/>
                <w:color w:val="000000"/>
                <w:kern w:val="0"/>
                <w:sz w:val="28"/>
                <w:szCs w:val="28"/>
                <w:rtl/>
                <w14:ligatures w14:val="none"/>
              </w:rPr>
              <w:lastRenderedPageBreak/>
              <w:t>البلوكشين وتمكين المريض من التحكم بالبيانات وتحسين مشاركة المعلومات</w:t>
            </w:r>
          </w:p>
        </w:tc>
        <w:tc>
          <w:tcPr>
            <w:tcW w:w="1587" w:type="dxa"/>
          </w:tcPr>
          <w:p w14:paraId="4C85DFFB" w14:textId="00793195"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lastRenderedPageBreak/>
              <w:t xml:space="preserve">تركز على تصميم إطار نظري لإدارة البيانات فقط دون دراسة </w:t>
            </w:r>
            <w:r w:rsidRPr="00EB135C">
              <w:rPr>
                <w:rFonts w:ascii="Traditional Arabic" w:eastAsia="Times New Roman" w:hAnsi="Traditional Arabic" w:cs="Traditional Arabic"/>
                <w:color w:val="000000"/>
                <w:kern w:val="0"/>
                <w:sz w:val="28"/>
                <w:szCs w:val="28"/>
                <w:rtl/>
                <w14:ligatures w14:val="none"/>
              </w:rPr>
              <w:lastRenderedPageBreak/>
              <w:t>تطبيق فعلي داخل أنظمة صحية وطنية</w:t>
            </w:r>
          </w:p>
        </w:tc>
        <w:tc>
          <w:tcPr>
            <w:tcW w:w="1440" w:type="dxa"/>
          </w:tcPr>
          <w:p w14:paraId="46EE8004" w14:textId="754FBE81"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lastRenderedPageBreak/>
              <w:t xml:space="preserve">تشابه في توظيف البلوكشين لتحسين إدارة </w:t>
            </w:r>
            <w:r w:rsidRPr="00EB135C">
              <w:rPr>
                <w:rFonts w:ascii="Traditional Arabic" w:eastAsia="Times New Roman" w:hAnsi="Traditional Arabic" w:cs="Traditional Arabic"/>
                <w:color w:val="000000"/>
                <w:kern w:val="0"/>
                <w:sz w:val="28"/>
                <w:szCs w:val="28"/>
                <w:rtl/>
                <w14:ligatures w14:val="none"/>
              </w:rPr>
              <w:lastRenderedPageBreak/>
              <w:t>البيانات الصحية والشفافية</w:t>
            </w:r>
          </w:p>
        </w:tc>
        <w:tc>
          <w:tcPr>
            <w:tcW w:w="1599" w:type="dxa"/>
          </w:tcPr>
          <w:p w14:paraId="46B1FF81" w14:textId="38F7983E"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lastRenderedPageBreak/>
              <w:t xml:space="preserve">الحاجة إلى نماذج تطبيقية فعلية لدمج البلوكشين </w:t>
            </w:r>
            <w:r w:rsidRPr="00EB135C">
              <w:rPr>
                <w:rFonts w:ascii="Traditional Arabic" w:eastAsia="Times New Roman" w:hAnsi="Traditional Arabic" w:cs="Traditional Arabic"/>
                <w:color w:val="000000"/>
                <w:kern w:val="0"/>
                <w:sz w:val="28"/>
                <w:szCs w:val="28"/>
                <w:rtl/>
                <w14:ligatures w14:val="none"/>
              </w:rPr>
              <w:lastRenderedPageBreak/>
              <w:t>داخل الأنظمة الصحية السعودية</w:t>
            </w:r>
          </w:p>
        </w:tc>
      </w:tr>
      <w:tr w:rsidR="00F87B64" w:rsidRPr="0036290D" w14:paraId="068F8697" w14:textId="77777777" w:rsidTr="007D1D88">
        <w:trPr>
          <w:trHeight w:val="2167"/>
          <w:jc w:val="center"/>
        </w:trPr>
        <w:tc>
          <w:tcPr>
            <w:cnfStyle w:val="001000000000" w:firstRow="0" w:lastRow="0" w:firstColumn="1" w:lastColumn="0" w:oddVBand="0" w:evenVBand="0" w:oddHBand="0" w:evenHBand="0" w:firstRowFirstColumn="0" w:firstRowLastColumn="0" w:lastRowFirstColumn="0" w:lastRowLastColumn="0"/>
            <w:tcW w:w="1135" w:type="dxa"/>
          </w:tcPr>
          <w:p w14:paraId="6AF55DF0" w14:textId="213BF21C"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14:ligatures w14:val="none"/>
              </w:rPr>
              <w:lastRenderedPageBreak/>
              <w:t>Al-Araji</w:t>
            </w:r>
          </w:p>
        </w:tc>
        <w:tc>
          <w:tcPr>
            <w:tcW w:w="712" w:type="dxa"/>
          </w:tcPr>
          <w:p w14:paraId="6221A51D" w14:textId="0797DDB5" w:rsidR="00F87B64" w:rsidRPr="0036290D" w:rsidRDefault="00EB135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2025</w:t>
            </w:r>
          </w:p>
        </w:tc>
        <w:tc>
          <w:tcPr>
            <w:tcW w:w="1397" w:type="dxa"/>
          </w:tcPr>
          <w:p w14:paraId="3FC83D26" w14:textId="05949E6E"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مراجعة منهجية وتحليل أبحاث أمن الرعاية الصحية باستخدام البلوكشين في بيئات الحوسبة (</w:t>
            </w:r>
            <w:r w:rsidRPr="00EB135C">
              <w:rPr>
                <w:rFonts w:ascii="Traditional Arabic" w:eastAsia="Times New Roman" w:hAnsi="Traditional Arabic" w:cs="Traditional Arabic"/>
                <w:color w:val="000000"/>
                <w:kern w:val="0"/>
                <w:sz w:val="28"/>
                <w:szCs w:val="28"/>
                <w14:ligatures w14:val="none"/>
              </w:rPr>
              <w:t>Edge/Fog/Cloud</w:t>
            </w:r>
            <w:r w:rsidRPr="00EB135C">
              <w:rPr>
                <w:rFonts w:ascii="Traditional Arabic" w:eastAsia="Times New Roman" w:hAnsi="Traditional Arabic" w:cs="Traditional Arabic"/>
                <w:color w:val="000000"/>
                <w:kern w:val="0"/>
                <w:sz w:val="28"/>
                <w:szCs w:val="28"/>
                <w:rtl/>
                <w14:ligatures w14:val="none"/>
              </w:rPr>
              <w:t>)</w:t>
            </w:r>
          </w:p>
        </w:tc>
        <w:tc>
          <w:tcPr>
            <w:tcW w:w="1480" w:type="dxa"/>
          </w:tcPr>
          <w:p w14:paraId="7FDEBF0E" w14:textId="1247977D"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تعزيز الأمان، منع الاختراقات، وتحسين قابلية التشغيل البيني عبر اللامركزية</w:t>
            </w:r>
          </w:p>
        </w:tc>
        <w:tc>
          <w:tcPr>
            <w:tcW w:w="1587" w:type="dxa"/>
          </w:tcPr>
          <w:p w14:paraId="1F547DA4" w14:textId="7FE50B01"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الأمان في بيئات الحوسبة دون ربط مباشر بتطوير الأنظمة الصحية التشغيلية</w:t>
            </w:r>
          </w:p>
        </w:tc>
        <w:tc>
          <w:tcPr>
            <w:tcW w:w="1440" w:type="dxa"/>
          </w:tcPr>
          <w:p w14:paraId="0764B24E" w14:textId="0BF0B52D"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تشابه في استخدام البلوكشين لتعزيز أمن وخصوصية البيانات الصحية</w:t>
            </w:r>
          </w:p>
        </w:tc>
        <w:tc>
          <w:tcPr>
            <w:tcW w:w="1599" w:type="dxa"/>
          </w:tcPr>
          <w:p w14:paraId="3D1916E1" w14:textId="284373CE"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نقص الدراسات التي تربط بين البلوكشين وتطوير الأنظمة الصحية بشكل شامل</w:t>
            </w:r>
          </w:p>
        </w:tc>
      </w:tr>
      <w:tr w:rsidR="00F87B64" w:rsidRPr="0036290D" w14:paraId="1A6138C4" w14:textId="77777777" w:rsidTr="007D1D88">
        <w:trPr>
          <w:cnfStyle w:val="000000100000" w:firstRow="0" w:lastRow="0" w:firstColumn="0" w:lastColumn="0" w:oddVBand="0" w:evenVBand="0" w:oddHBand="1" w:evenHBand="0" w:firstRowFirstColumn="0" w:firstRowLastColumn="0" w:lastRowFirstColumn="0" w:lastRowLastColumn="0"/>
          <w:trHeight w:val="2303"/>
          <w:jc w:val="center"/>
        </w:trPr>
        <w:tc>
          <w:tcPr>
            <w:cnfStyle w:val="001000000000" w:firstRow="0" w:lastRow="0" w:firstColumn="1" w:lastColumn="0" w:oddVBand="0" w:evenVBand="0" w:oddHBand="0" w:evenHBand="0" w:firstRowFirstColumn="0" w:firstRowLastColumn="0" w:lastRowFirstColumn="0" w:lastRowLastColumn="0"/>
            <w:tcW w:w="1135" w:type="dxa"/>
          </w:tcPr>
          <w:p w14:paraId="4B2B01F5" w14:textId="4A01DA19"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rtl/>
                <w14:ligatures w14:val="none"/>
              </w:rPr>
              <w:t>خالد</w:t>
            </w:r>
          </w:p>
        </w:tc>
        <w:tc>
          <w:tcPr>
            <w:tcW w:w="712" w:type="dxa"/>
          </w:tcPr>
          <w:p w14:paraId="4BF6E932" w14:textId="39132E2A" w:rsidR="00F87B64" w:rsidRPr="0036290D" w:rsidRDefault="00EB135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2023</w:t>
            </w:r>
          </w:p>
        </w:tc>
        <w:tc>
          <w:tcPr>
            <w:tcW w:w="1397" w:type="dxa"/>
          </w:tcPr>
          <w:p w14:paraId="5A5D1128" w14:textId="7347F8FD"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دراسة استكشافية لتقييم جاهزية تبني البلوكشين في القطاع الصحي</w:t>
            </w:r>
          </w:p>
        </w:tc>
        <w:tc>
          <w:tcPr>
            <w:tcW w:w="1480" w:type="dxa"/>
          </w:tcPr>
          <w:p w14:paraId="3F681E3F" w14:textId="5FFB188B"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تحديد متطلبات التبني (التكنولوجية، الهيكلية، التحفيزية، المشاركة) ووجود ضعف في الوعي</w:t>
            </w:r>
          </w:p>
        </w:tc>
        <w:tc>
          <w:tcPr>
            <w:tcW w:w="1587" w:type="dxa"/>
          </w:tcPr>
          <w:p w14:paraId="185D3440" w14:textId="03312EB8"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الجاهزية التنظيمية وليس على التطبيق أو تطوير الأنظمة الصحية</w:t>
            </w:r>
          </w:p>
        </w:tc>
        <w:tc>
          <w:tcPr>
            <w:tcW w:w="1440" w:type="dxa"/>
          </w:tcPr>
          <w:p w14:paraId="4AAA3B2A" w14:textId="41AD3677"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تشابه في أهمية البلوكشين كمحور تحول رقمي في الصحة</w:t>
            </w:r>
          </w:p>
        </w:tc>
        <w:tc>
          <w:tcPr>
            <w:tcW w:w="1599" w:type="dxa"/>
          </w:tcPr>
          <w:p w14:paraId="7FAC91C5" w14:textId="77B9B430"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الحاجة إلى دراسات تطبيقية تتجاوز مرحلة الجاهزية إلى مرحلة التنفيذ</w:t>
            </w:r>
          </w:p>
        </w:tc>
      </w:tr>
      <w:tr w:rsidR="00F87B64" w:rsidRPr="0036290D" w14:paraId="78373E6F" w14:textId="77777777" w:rsidTr="007D1D88">
        <w:trPr>
          <w:trHeight w:val="1662"/>
          <w:jc w:val="center"/>
        </w:trPr>
        <w:tc>
          <w:tcPr>
            <w:cnfStyle w:val="001000000000" w:firstRow="0" w:lastRow="0" w:firstColumn="1" w:lastColumn="0" w:oddVBand="0" w:evenVBand="0" w:oddHBand="0" w:evenHBand="0" w:firstRowFirstColumn="0" w:firstRowLastColumn="0" w:lastRowFirstColumn="0" w:lastRowLastColumn="0"/>
            <w:tcW w:w="1135" w:type="dxa"/>
          </w:tcPr>
          <w:p w14:paraId="1ECB76F8" w14:textId="45958B18"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EB135C">
              <w:rPr>
                <w:rFonts w:ascii="Traditional Arabic" w:eastAsia="Times New Roman" w:hAnsi="Traditional Arabic" w:cs="Traditional Arabic"/>
                <w:b w:val="0"/>
                <w:bCs w:val="0"/>
                <w:color w:val="000000"/>
                <w:kern w:val="0"/>
                <w:sz w:val="28"/>
                <w:szCs w:val="28"/>
                <w14:ligatures w14:val="none"/>
              </w:rPr>
              <w:t>Ettaloui</w:t>
            </w:r>
            <w:proofErr w:type="spellEnd"/>
          </w:p>
        </w:tc>
        <w:tc>
          <w:tcPr>
            <w:tcW w:w="712" w:type="dxa"/>
          </w:tcPr>
          <w:p w14:paraId="7E9FD1AB" w14:textId="66AD6CED" w:rsidR="00F87B64" w:rsidRPr="0036290D" w:rsidRDefault="00EB135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2024</w:t>
            </w:r>
          </w:p>
        </w:tc>
        <w:tc>
          <w:tcPr>
            <w:tcW w:w="1397" w:type="dxa"/>
          </w:tcPr>
          <w:p w14:paraId="543B9B8F" w14:textId="247537A0"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مراجعة منهجية لأنظمة السجلات الصحية الإلكترونية المدعومة بالبلوكشين</w:t>
            </w:r>
          </w:p>
        </w:tc>
        <w:tc>
          <w:tcPr>
            <w:tcW w:w="1480" w:type="dxa"/>
          </w:tcPr>
          <w:p w14:paraId="0DCBA255" w14:textId="442B899F"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تحسين الأمن والخصوصية والتوافر مع وجود تحديات في الأداء والموارد والامتثال</w:t>
            </w:r>
          </w:p>
        </w:tc>
        <w:tc>
          <w:tcPr>
            <w:tcW w:w="1587" w:type="dxa"/>
          </w:tcPr>
          <w:p w14:paraId="581F4123" w14:textId="0F1EE220"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تحليل تقني للسجلات الصحية دون ربط مباشر بتطوير الأنظمة الصحية بشكل شامل</w:t>
            </w:r>
          </w:p>
        </w:tc>
        <w:tc>
          <w:tcPr>
            <w:tcW w:w="1440" w:type="dxa"/>
          </w:tcPr>
          <w:p w14:paraId="4212C6A3" w14:textId="77E0B8E5"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تشابه في استخدام البلوكشين لتحسين إدارة السجلات الصحية الإلكترونية</w:t>
            </w:r>
          </w:p>
        </w:tc>
        <w:tc>
          <w:tcPr>
            <w:tcW w:w="1599" w:type="dxa"/>
          </w:tcPr>
          <w:p w14:paraId="655B3CC5" w14:textId="03952478"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الحاجة إلى تقييم أثر البلوكشين على تطوير الأداء المؤسسي </w:t>
            </w:r>
            <w:r w:rsidRPr="00EB135C">
              <w:rPr>
                <w:rFonts w:ascii="Traditional Arabic" w:eastAsia="Times New Roman" w:hAnsi="Traditional Arabic" w:cs="Traditional Arabic"/>
                <w:color w:val="000000"/>
                <w:kern w:val="0"/>
                <w:sz w:val="28"/>
                <w:szCs w:val="28"/>
                <w:rtl/>
                <w14:ligatures w14:val="none"/>
              </w:rPr>
              <w:lastRenderedPageBreak/>
              <w:t>للأنظمة الصحية</w:t>
            </w:r>
          </w:p>
        </w:tc>
      </w:tr>
      <w:tr w:rsidR="00F87B64" w:rsidRPr="0036290D" w14:paraId="275D7E47" w14:textId="77777777" w:rsidTr="007D1D88">
        <w:trPr>
          <w:cnfStyle w:val="000000100000" w:firstRow="0" w:lastRow="0" w:firstColumn="0" w:lastColumn="0" w:oddVBand="0" w:evenVBand="0" w:oddHBand="1" w:evenHBand="0" w:firstRowFirstColumn="0" w:firstRowLastColumn="0" w:lastRowFirstColumn="0" w:lastRowLastColumn="0"/>
          <w:trHeight w:val="2229"/>
          <w:jc w:val="center"/>
        </w:trPr>
        <w:tc>
          <w:tcPr>
            <w:cnfStyle w:val="001000000000" w:firstRow="0" w:lastRow="0" w:firstColumn="1" w:lastColumn="0" w:oddVBand="0" w:evenVBand="0" w:oddHBand="0" w:evenHBand="0" w:firstRowFirstColumn="0" w:firstRowLastColumn="0" w:lastRowFirstColumn="0" w:lastRowLastColumn="0"/>
            <w:tcW w:w="1135" w:type="dxa"/>
          </w:tcPr>
          <w:p w14:paraId="7A63259A" w14:textId="671DA923" w:rsidR="00F87B64" w:rsidRPr="0036290D" w:rsidRDefault="00EB135C" w:rsidP="0011754A">
            <w:pPr>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14:ligatures w14:val="none"/>
              </w:rPr>
              <w:lastRenderedPageBreak/>
              <w:t>Zhuang</w:t>
            </w:r>
          </w:p>
        </w:tc>
        <w:tc>
          <w:tcPr>
            <w:tcW w:w="712" w:type="dxa"/>
          </w:tcPr>
          <w:p w14:paraId="48A679C2" w14:textId="5331F4CA" w:rsidR="00F87B64" w:rsidRPr="0036290D" w:rsidRDefault="00EB135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14:ligatures w14:val="none"/>
              </w:rPr>
              <w:t>2023</w:t>
            </w:r>
          </w:p>
        </w:tc>
        <w:tc>
          <w:tcPr>
            <w:tcW w:w="1397" w:type="dxa"/>
          </w:tcPr>
          <w:p w14:paraId="3599E836" w14:textId="5157C791"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 xml:space="preserve">دراسة تحليلية حول استخدام البلوكشين في دعم إطار </w:t>
            </w:r>
            <w:r w:rsidRPr="00EB135C">
              <w:rPr>
                <w:rFonts w:ascii="Traditional Arabic" w:eastAsia="Times New Roman" w:hAnsi="Traditional Arabic" w:cs="Traditional Arabic"/>
                <w:color w:val="000000"/>
                <w:kern w:val="0"/>
                <w:sz w:val="28"/>
                <w:szCs w:val="28"/>
                <w14:ligatures w14:val="none"/>
              </w:rPr>
              <w:t>TEFCA</w:t>
            </w:r>
            <w:r w:rsidRPr="00EB135C">
              <w:rPr>
                <w:rFonts w:ascii="Traditional Arabic" w:eastAsia="Times New Roman" w:hAnsi="Traditional Arabic" w:cs="Traditional Arabic"/>
                <w:color w:val="000000"/>
                <w:kern w:val="0"/>
                <w:sz w:val="28"/>
                <w:szCs w:val="28"/>
                <w:rtl/>
                <w14:ligatures w14:val="none"/>
              </w:rPr>
              <w:t xml:space="preserve"> لتبادل المعلومات الصحية</w:t>
            </w:r>
          </w:p>
        </w:tc>
        <w:tc>
          <w:tcPr>
            <w:tcW w:w="1480" w:type="dxa"/>
          </w:tcPr>
          <w:p w14:paraId="6C6E2632" w14:textId="3B1BB5FD"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تحسين التبادل الآمن للبيانات، تعزيز قابلية التشغيل البيني، وتمكين المريض</w:t>
            </w:r>
          </w:p>
        </w:tc>
        <w:tc>
          <w:tcPr>
            <w:tcW w:w="1587" w:type="dxa"/>
          </w:tcPr>
          <w:p w14:paraId="58BC5069" w14:textId="559CBE4E"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إطار تنظيمي (</w:t>
            </w:r>
            <w:r w:rsidRPr="00EB135C">
              <w:rPr>
                <w:rFonts w:ascii="Traditional Arabic" w:eastAsia="Times New Roman" w:hAnsi="Traditional Arabic" w:cs="Traditional Arabic"/>
                <w:color w:val="000000"/>
                <w:kern w:val="0"/>
                <w:sz w:val="28"/>
                <w:szCs w:val="28"/>
                <w14:ligatures w14:val="none"/>
              </w:rPr>
              <w:t>TEFCA</w:t>
            </w:r>
            <w:r w:rsidRPr="00EB135C">
              <w:rPr>
                <w:rFonts w:ascii="Traditional Arabic" w:eastAsia="Times New Roman" w:hAnsi="Traditional Arabic" w:cs="Traditional Arabic"/>
                <w:color w:val="000000"/>
                <w:kern w:val="0"/>
                <w:sz w:val="28"/>
                <w:szCs w:val="28"/>
                <w:rtl/>
                <w14:ligatures w14:val="none"/>
              </w:rPr>
              <w:t>) وليس على الأنظمة الصحية الوطنية أو تطويرها</w:t>
            </w:r>
          </w:p>
        </w:tc>
        <w:tc>
          <w:tcPr>
            <w:tcW w:w="1440" w:type="dxa"/>
          </w:tcPr>
          <w:p w14:paraId="4B65BCE9" w14:textId="59CA8479"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تشابه في تعزيز تبادل البيانات الصحية وأمنها</w:t>
            </w:r>
          </w:p>
        </w:tc>
        <w:tc>
          <w:tcPr>
            <w:tcW w:w="1599" w:type="dxa"/>
          </w:tcPr>
          <w:p w14:paraId="190D1EA6" w14:textId="764C5E97"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نقص دراسات تربط البلوكشين بتطوير الأنظمة الصحية على مستوى الدولة</w:t>
            </w:r>
          </w:p>
        </w:tc>
      </w:tr>
      <w:tr w:rsidR="00F87B64" w:rsidRPr="0036290D" w14:paraId="52E5D705" w14:textId="77777777" w:rsidTr="007D1D88">
        <w:trPr>
          <w:trHeight w:val="3455"/>
          <w:jc w:val="center"/>
        </w:trPr>
        <w:tc>
          <w:tcPr>
            <w:cnfStyle w:val="001000000000" w:firstRow="0" w:lastRow="0" w:firstColumn="1" w:lastColumn="0" w:oddVBand="0" w:evenVBand="0" w:oddHBand="0" w:evenHBand="0" w:firstRowFirstColumn="0" w:firstRowLastColumn="0" w:lastRowFirstColumn="0" w:lastRowLastColumn="0"/>
            <w:tcW w:w="1135" w:type="dxa"/>
          </w:tcPr>
          <w:p w14:paraId="48C23791" w14:textId="2AED7A78" w:rsidR="00F87B64" w:rsidRPr="0036290D" w:rsidRDefault="00EB135C" w:rsidP="0011754A">
            <w:pPr>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14:ligatures w14:val="none"/>
              </w:rPr>
              <w:t>Masmoudi</w:t>
            </w:r>
          </w:p>
        </w:tc>
        <w:tc>
          <w:tcPr>
            <w:tcW w:w="712" w:type="dxa"/>
          </w:tcPr>
          <w:p w14:paraId="5DDAA458" w14:textId="56DF38B7" w:rsidR="00F87B64" w:rsidRPr="0036290D" w:rsidRDefault="00EB135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14:ligatures w14:val="none"/>
              </w:rPr>
              <w:t>2024</w:t>
            </w:r>
          </w:p>
        </w:tc>
        <w:tc>
          <w:tcPr>
            <w:tcW w:w="1397" w:type="dxa"/>
          </w:tcPr>
          <w:p w14:paraId="27DFA8AD" w14:textId="0120EE88"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دراسة تطبيقية مقترحة لتوظيف البلوكشين (</w:t>
            </w:r>
            <w:r w:rsidRPr="00EB135C">
              <w:rPr>
                <w:rFonts w:ascii="Traditional Arabic" w:eastAsia="Times New Roman" w:hAnsi="Traditional Arabic" w:cs="Traditional Arabic"/>
                <w:color w:val="000000"/>
                <w:kern w:val="0"/>
                <w:sz w:val="28"/>
                <w:szCs w:val="28"/>
                <w14:ligatures w14:val="none"/>
              </w:rPr>
              <w:t>Ethereum, IPFS, Smart Contracts</w:t>
            </w:r>
            <w:r w:rsidRPr="00EB135C">
              <w:rPr>
                <w:rFonts w:ascii="Traditional Arabic" w:eastAsia="Times New Roman" w:hAnsi="Traditional Arabic" w:cs="Traditional Arabic"/>
                <w:color w:val="000000"/>
                <w:kern w:val="0"/>
                <w:sz w:val="28"/>
                <w:szCs w:val="28"/>
                <w:rtl/>
                <w14:ligatures w14:val="none"/>
              </w:rPr>
              <w:t>) في السعودية</w:t>
            </w:r>
          </w:p>
        </w:tc>
        <w:tc>
          <w:tcPr>
            <w:tcW w:w="1480" w:type="dxa"/>
          </w:tcPr>
          <w:p w14:paraId="4A56AD1E" w14:textId="737E09C9"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تحسين أمن السجلات الصحية الإلكترونية وتمكين المريض من التحكم في بياناته</w:t>
            </w:r>
          </w:p>
        </w:tc>
        <w:tc>
          <w:tcPr>
            <w:tcW w:w="1587" w:type="dxa"/>
          </w:tcPr>
          <w:p w14:paraId="7A3C418B" w14:textId="0890CC5E"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دراسة تطبيقية أقرب للواقع لكنها تركز على نموذج تقني محدد وليس تطوير النظام الصحي ككل</w:t>
            </w:r>
          </w:p>
        </w:tc>
        <w:tc>
          <w:tcPr>
            <w:tcW w:w="1440" w:type="dxa"/>
          </w:tcPr>
          <w:p w14:paraId="74AB760B" w14:textId="69F5150B"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تشابه في السياق السعودي وتوظيف البلوكشين في الصحة الإلكترونية</w:t>
            </w:r>
          </w:p>
        </w:tc>
        <w:tc>
          <w:tcPr>
            <w:tcW w:w="1599" w:type="dxa"/>
          </w:tcPr>
          <w:p w14:paraId="70DC6A45" w14:textId="50EED1C5"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الحاجة إلى دمج البلوكشين في نموذج شامل لتطوير الأنظمة الصحية وليس فقط السجلات</w:t>
            </w:r>
          </w:p>
        </w:tc>
      </w:tr>
    </w:tbl>
    <w:p w14:paraId="07979C10" w14:textId="77777777" w:rsidR="00F21D10" w:rsidRDefault="00F21D10" w:rsidP="00F21D10">
      <w:pPr>
        <w:bidi/>
        <w:spacing w:after="0" w:line="360" w:lineRule="auto"/>
        <w:jc w:val="both"/>
        <w:rPr>
          <w:rFonts w:ascii="Traditional Arabic" w:hAnsi="Traditional Arabic" w:cs="Traditional Arabic"/>
          <w:sz w:val="28"/>
          <w:szCs w:val="28"/>
          <w:rtl/>
          <w:lang w:bidi="ar-EG"/>
        </w:rPr>
      </w:pPr>
    </w:p>
    <w:p w14:paraId="7BCE3BC7" w14:textId="7C4A0271" w:rsidR="008E60B4" w:rsidRPr="007A039C" w:rsidRDefault="00E16542" w:rsidP="007A039C">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الاستراتيجيات التنظيمية والتقنية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6E520497" w14:textId="49F0B33C" w:rsidR="00675776"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8951849"/>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سلم251</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Pr="00C34C41">
            <w:rPr>
              <w:rFonts w:ascii="Traditional Arabic" w:hAnsi="Traditional Arabic" w:cs="Traditional Arabic" w:hint="cs"/>
              <w:noProof/>
              <w:sz w:val="28"/>
              <w:szCs w:val="28"/>
              <w:rtl/>
            </w:rPr>
            <w:t>(سلمان، 2025)</w:t>
          </w:r>
          <w:r>
            <w:rPr>
              <w:rFonts w:ascii="Traditional Arabic" w:hAnsi="Traditional Arabic" w:cs="Traditional Arabic"/>
              <w:sz w:val="28"/>
              <w:szCs w:val="28"/>
              <w:rtl/>
            </w:rPr>
            <w:fldChar w:fldCharType="end"/>
          </w:r>
        </w:sdtContent>
      </w:sdt>
      <w:r w:rsidRPr="00C34C41">
        <w:rPr>
          <w:rFonts w:ascii="Traditional Arabic" w:hAnsi="Traditional Arabic" w:cs="Traditional Arabic"/>
          <w:sz w:val="28"/>
          <w:szCs w:val="28"/>
          <w:rtl/>
        </w:rPr>
        <w:t xml:space="preserve"> إلى تقييم أثر التخطيط الاستراتيجي للموارد البشرية على تحسين جودة الخدمات الصحية في المستشفيات الحكومية بالمملكة العربية السعودية، اعتمدت الدراسة على المنهج الوصفي التحليلي، حيث تم تصميم استبيانات لجمع البيانات من العاملين في المستشفيات الحكومية وتحليلها باستخدام أدوات إحصائية مناسبة. تكونت العينة من 30 فردا موزعين بالتساوي بين الأطباء والممرضين (50%) والإداريين وفنيي الصحة (50%). تم جمع البيانات خلال الفترة من يناير إلى مايو 2024 باستخدام </w:t>
      </w:r>
      <w:r w:rsidRPr="00C34C41">
        <w:rPr>
          <w:rFonts w:ascii="Traditional Arabic" w:hAnsi="Traditional Arabic" w:cs="Traditional Arabic"/>
          <w:sz w:val="28"/>
          <w:szCs w:val="28"/>
          <w:rtl/>
        </w:rPr>
        <w:lastRenderedPageBreak/>
        <w:t>استبيانات وتم تحليلها باستخدام برنامج التحليل الإحصائي</w:t>
      </w:r>
      <w:r w:rsidRPr="00C34C41">
        <w:rPr>
          <w:rFonts w:ascii="Traditional Arabic" w:hAnsi="Traditional Arabic" w:cs="Traditional Arabic"/>
          <w:sz w:val="28"/>
          <w:szCs w:val="28"/>
          <w:lang w:bidi="ar-EG"/>
        </w:rPr>
        <w:t xml:space="preserve">. (SPSS) </w:t>
      </w:r>
      <w:r w:rsidRPr="00C34C41">
        <w:rPr>
          <w:rFonts w:ascii="Traditional Arabic" w:hAnsi="Traditional Arabic" w:cs="Traditional Arabic"/>
          <w:sz w:val="28"/>
          <w:szCs w:val="28"/>
          <w:rtl/>
        </w:rPr>
        <w:t>أظهرت النتائج وجود علاقة طردية ذات دلالة إحصائية بين التخطيط الاستراتيجي للموارد البشرية وجودة الخدمات الصحية في المستشفيات الحكومية. حيث بلغت قيمة المتوسط الحسابي لأبعاد التخطيط الاستراتيجي مثل الرؤية الرسالة الأهداف، والتحليل البيئي مستويات مرتفعة، مما يعكس وعي القيادات الإدارية بأهمية هذه الأبعاد في تحسين الخدمات الصحية كما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 كما تدعو إلى زيادة الوعي بأهمية التحليل البيئي في صياغة وتنفيذ استراتيجيات فعّالة للموارد البشرية</w:t>
      </w:r>
      <w:r w:rsidRPr="00C34C41">
        <w:rPr>
          <w:rFonts w:ascii="Traditional Arabic" w:hAnsi="Traditional Arabic" w:cs="Traditional Arabic"/>
          <w:sz w:val="28"/>
          <w:szCs w:val="28"/>
          <w:lang w:bidi="ar-EG"/>
        </w:rPr>
        <w:t>.</w:t>
      </w:r>
    </w:p>
    <w:p w14:paraId="689E8DDA" w14:textId="724F92D4" w:rsidR="00675776"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29151057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عدن22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34C41">
            <w:rPr>
              <w:rFonts w:ascii="Traditional Arabic" w:hAnsi="Traditional Arabic" w:cs="Traditional Arabic" w:hint="cs"/>
              <w:noProof/>
              <w:sz w:val="28"/>
              <w:szCs w:val="28"/>
              <w:rtl/>
              <w:lang w:bidi="ar-EG"/>
            </w:rPr>
            <w:t>(عدنان، 2022)</w:t>
          </w:r>
          <w:r>
            <w:rPr>
              <w:rFonts w:ascii="Traditional Arabic" w:hAnsi="Traditional Arabic" w:cs="Traditional Arabic"/>
              <w:sz w:val="28"/>
              <w:szCs w:val="28"/>
              <w:rtl/>
            </w:rPr>
            <w:fldChar w:fldCharType="end"/>
          </w:r>
        </w:sdtContent>
      </w:sdt>
      <w:r w:rsidRPr="00C34C41">
        <w:rPr>
          <w:rFonts w:ascii="Traditional Arabic" w:hAnsi="Traditional Arabic" w:cs="Traditional Arabic"/>
          <w:sz w:val="28"/>
          <w:szCs w:val="28"/>
          <w:rtl/>
        </w:rPr>
        <w:t xml:space="preserve"> إلى معرفة مدى توافر متطلبات التحول الرقمي في المؤسسات الحكومية وفق رؤية 2030، وقد تم تطبيق الدراسة على مستشفى النور بمكة المكرمة كدراسة حالة. واعتمدت الدراسة على المنهج الوصفي التحليلي للوصول إلى نتائج علمية تكشف واقع التحول الرقمي بالمستشفى، وتم استخدام الاستبيان أداة مناسبة لهذا البحث، حيث تم توزيع الاستبيان على (52) مفردة باستخدام أسلوب الحصر الشامل لجميع مفردات المجتمع، وقد تلقى الباحثان (52) استمارة استبيان قاما بتحليلها علميا وتفسير نتائجها. توصل البحث إلى عدة النتائج ومن أهمها: توفر الإدارة العليا بمستشفى النور الدعم الكافي نحو التحول الرقمي والوقت المناسب نحو جهود التحول الرقمي في كافة معاملات المستشفى، كما يتوفر لدى مستشفى النور التوجهات الاستراتيجية المناسبة للتحول الرقمي لتحويل التهديدات إلى فرص يتم الاستفادة منها مستقبلا في عملية التحول الرقمي. وقد توصلت الدراسة إلى عدد من التوصيات أهمها: تعزيز دعم الإدارة العليا للمستشفى للتحول الرقمي من خلال توفير إدارة المستشفى موازنة خاصة لتطوير جودة خدماتها الإلكترونية كمدخل للتحول الرقمي، وتخصيص المستشفى لنظام حوافز فعال للموارد البشرية المتميزة مما يشجع على سرعة التحول لتطبيق الإدارة بالوسائل الإلكترونية</w:t>
      </w:r>
      <w:r w:rsidRPr="00C34C41">
        <w:rPr>
          <w:rFonts w:ascii="Traditional Arabic" w:hAnsi="Traditional Arabic" w:cs="Traditional Arabic"/>
          <w:sz w:val="28"/>
          <w:szCs w:val="28"/>
          <w:lang w:bidi="ar-EG"/>
        </w:rPr>
        <w:t>.</w:t>
      </w:r>
    </w:p>
    <w:p w14:paraId="0D44C43C" w14:textId="249BE108" w:rsidR="00C34C41"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hint="cs"/>
          <w:sz w:val="28"/>
          <w:szCs w:val="28"/>
          <w:rtl/>
          <w:lang w:bidi="ar-EG"/>
        </w:rPr>
        <w:t>يتطلب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التكامل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السريع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للتقنيات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يكون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العاملون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أهبة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وقادرين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عليه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تهدف</w:t>
      </w:r>
      <w:r w:rsidRPr="00C34C4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841223717"/>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Alo251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Alotaibi</w:t>
          </w:r>
          <w:r w:rsidRPr="00C34C4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تحديد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التدخلات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تُحسّن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والقدرة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lastRenderedPageBreak/>
        <w:t>الصحي،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وفهم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المعوقات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والمحفزات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يواجهونها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خلال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التحول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أُجريت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منهجية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متعددة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الأساليب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وفقًا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لإرشادات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جوانا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بريغز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JBI</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بحثنا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خمس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قواعد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بيانات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CINAHL Plus</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lang w:bidi="ar-EG"/>
        </w:rPr>
        <w:t>MEDLINE</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lang w:bidi="ar-EG"/>
        </w:rPr>
        <w:t>EMBASE</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proofErr w:type="spellStart"/>
      <w:r w:rsidRPr="00C34C41">
        <w:rPr>
          <w:rFonts w:ascii="Traditional Arabic" w:hAnsi="Traditional Arabic" w:cs="Traditional Arabic"/>
          <w:sz w:val="28"/>
          <w:szCs w:val="28"/>
          <w:lang w:bidi="ar-EG"/>
        </w:rPr>
        <w:t>PsychINFO</w:t>
      </w:r>
      <w:proofErr w:type="spellEnd"/>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lang w:bidi="ar-EG"/>
        </w:rPr>
        <w:t>Web of Science</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استخدمت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إطار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النظرية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الموحدة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لقبول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UTAUT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المؤثرة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تبني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اختيار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الدراسات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بناءً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معايير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إدراج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واستبعاد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محددة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مسبقًا،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التركيز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القدرة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بيئات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أُجري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تقييم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الجودة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قائمة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MMAT</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تحليل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البيانات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وتجميعها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لاستخلاص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المواضيع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والمواضيع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الفرعية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ذات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الصلة</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البداية،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تحديد</w:t>
      </w:r>
      <w:r w:rsidRPr="00C34C41">
        <w:rPr>
          <w:rFonts w:ascii="Traditional Arabic" w:hAnsi="Traditional Arabic" w:cs="Traditional Arabic"/>
          <w:sz w:val="28"/>
          <w:szCs w:val="28"/>
          <w:rtl/>
          <w:lang w:bidi="ar-EG"/>
        </w:rPr>
        <w:t xml:space="preserve"> 1140 </w:t>
      </w:r>
      <w:r w:rsidRPr="00C34C41">
        <w:rPr>
          <w:rFonts w:ascii="Traditional Arabic" w:hAnsi="Traditional Arabic" w:cs="Traditional Arabic" w:hint="cs"/>
          <w:sz w:val="28"/>
          <w:szCs w:val="28"/>
          <w:rtl/>
          <w:lang w:bidi="ar-EG"/>
        </w:rPr>
        <w:t>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استوفت</w:t>
      </w:r>
      <w:r w:rsidRPr="00C34C41">
        <w:rPr>
          <w:rFonts w:ascii="Traditional Arabic" w:hAnsi="Traditional Arabic" w:cs="Traditional Arabic"/>
          <w:sz w:val="28"/>
          <w:szCs w:val="28"/>
          <w:rtl/>
          <w:lang w:bidi="ar-EG"/>
        </w:rPr>
        <w:t xml:space="preserve"> 21 </w:t>
      </w:r>
      <w:r w:rsidRPr="00C34C41">
        <w:rPr>
          <w:rFonts w:ascii="Traditional Arabic" w:hAnsi="Traditional Arabic" w:cs="Traditional Arabic" w:hint="cs"/>
          <w:sz w:val="28"/>
          <w:szCs w:val="28"/>
          <w:rtl/>
          <w:lang w:bidi="ar-EG"/>
        </w:rPr>
        <w:t>منها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معايير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الإدراج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نُشرت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الدراسات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عامي</w:t>
      </w:r>
      <w:r w:rsidRPr="00C34C41">
        <w:rPr>
          <w:rFonts w:ascii="Traditional Arabic" w:hAnsi="Traditional Arabic" w:cs="Traditional Arabic"/>
          <w:sz w:val="28"/>
          <w:szCs w:val="28"/>
          <w:rtl/>
          <w:lang w:bidi="ar-EG"/>
        </w:rPr>
        <w:t xml:space="preserve"> 2017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rtl/>
          <w:lang w:bidi="ar-EG"/>
        </w:rPr>
        <w:t xml:space="preserve">2023. </w:t>
      </w:r>
      <w:r w:rsidRPr="00C34C41">
        <w:rPr>
          <w:rFonts w:ascii="Traditional Arabic" w:hAnsi="Traditional Arabic" w:cs="Traditional Arabic" w:hint="cs"/>
          <w:sz w:val="28"/>
          <w:szCs w:val="28"/>
          <w:rtl/>
          <w:lang w:bidi="ar-EG"/>
        </w:rPr>
        <w:t>صُنفت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نتائجها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أربعة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محاور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رئيسية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الأداء،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المُيسّرة،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الاجتماعي،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محورين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فرعيين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أشارت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الدراسات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تُؤثر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إيجابًا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الأداء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الوظيفي،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يُسهّل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قبولها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كانت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سهولة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عاملًا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حاسمًا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قبول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شكّلت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التعقيدات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وتعدد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عمليات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تسجيل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الدخول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عوائق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كبيرة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تسليط</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الضوء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أهمية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التدريب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الكافي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والدعم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المؤسسي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لتعزيز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الكفاءة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ومعالجة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المشكلات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التقنية،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حيث</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نقص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التدريب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والبنية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التحتية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العوائق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الرئيسية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لعب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الاجتماعي،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ذلك</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تحفيز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والمشاركة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اتخاذ</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القرارات،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دورًا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هامًا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قبول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تُبرز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الحاسمة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تُؤثر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والكفاءة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التدخلات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تُعزز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الأداء،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وتُعالج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وتُحسّن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المُيسّرة،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وتستفيد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الاجتماعي،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ضرورية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لنجاح</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تبني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ينبغي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تُطوّر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الأبحاث</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المستقبلية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أُطرًا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شاملة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للتغلب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العوائق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وتعزيز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دمج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التدريب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المُتخصص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البرامج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التعليمية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أمرًا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بالغ</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الأهمية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لإعداد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للتكيف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المشهد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المُتطور</w:t>
      </w:r>
      <w:r w:rsidRPr="00C34C41">
        <w:rPr>
          <w:rFonts w:ascii="Traditional Arabic" w:hAnsi="Traditional Arabic" w:cs="Traditional Arabic"/>
          <w:sz w:val="28"/>
          <w:szCs w:val="28"/>
          <w:rtl/>
          <w:lang w:bidi="ar-EG"/>
        </w:rPr>
        <w:t>.</w:t>
      </w:r>
    </w:p>
    <w:p w14:paraId="376CD77B" w14:textId="3307D072" w:rsidR="00C34C41"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hint="cs"/>
          <w:sz w:val="28"/>
          <w:szCs w:val="28"/>
          <w:rtl/>
          <w:lang w:bidi="ar-EG"/>
        </w:rPr>
        <w:t>تواجه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أنظمة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النامية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صعوبات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تطبيق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وتشير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التقارير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انخفاض</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مستوى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تهدف</w:t>
      </w:r>
      <w:r w:rsidRPr="00C34C4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338298277"/>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Ste252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Steenkamp</w:t>
          </w:r>
          <w:r w:rsidRPr="00C34C4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استقصاء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قادة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الإدارة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التشغيلية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لتطبيق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أدوات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استُخدمت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استقصائية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مقطعية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مقياس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E-Ready 2.0</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لقياس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w:t>
      </w:r>
      <w:r w:rsidRPr="00C34C41">
        <w:rPr>
          <w:rFonts w:ascii="Traditional Arabic" w:hAnsi="Traditional Arabic" w:cs="Traditional Arabic"/>
          <w:sz w:val="28"/>
          <w:szCs w:val="28"/>
          <w:rtl/>
          <w:lang w:bidi="ar-EG"/>
        </w:rPr>
        <w:t xml:space="preserve"> = 329)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11 </w:t>
      </w:r>
      <w:r w:rsidRPr="00C34C41">
        <w:rPr>
          <w:rFonts w:ascii="Traditional Arabic" w:hAnsi="Traditional Arabic" w:cs="Traditional Arabic" w:hint="cs"/>
          <w:sz w:val="28"/>
          <w:szCs w:val="28"/>
          <w:rtl/>
          <w:lang w:bidi="ar-EG"/>
        </w:rPr>
        <w:t>مستشفى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مقاطعة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الغربية،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جنوب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أفريقيا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سبتمبر</w:t>
      </w:r>
      <w:r w:rsidRPr="00C34C41">
        <w:rPr>
          <w:rFonts w:ascii="Traditional Arabic" w:hAnsi="Traditional Arabic" w:cs="Traditional Arabic"/>
          <w:sz w:val="28"/>
          <w:szCs w:val="28"/>
          <w:rtl/>
          <w:lang w:bidi="ar-EG"/>
        </w:rPr>
        <w:t xml:space="preserve"> 2023 - </w:t>
      </w:r>
      <w:r w:rsidRPr="00C34C41">
        <w:rPr>
          <w:rFonts w:ascii="Traditional Arabic" w:hAnsi="Traditional Arabic" w:cs="Traditional Arabic" w:hint="cs"/>
          <w:sz w:val="28"/>
          <w:szCs w:val="28"/>
          <w:rtl/>
          <w:lang w:bidi="ar-EG"/>
        </w:rPr>
        <w:t>مارس</w:t>
      </w:r>
      <w:r w:rsidRPr="00C34C41">
        <w:rPr>
          <w:rFonts w:ascii="Traditional Arabic" w:hAnsi="Traditional Arabic" w:cs="Traditional Arabic"/>
          <w:sz w:val="28"/>
          <w:szCs w:val="28"/>
          <w:rtl/>
          <w:lang w:bidi="ar-EG"/>
        </w:rPr>
        <w:t xml:space="preserve"> 2024). </w:t>
      </w:r>
      <w:r w:rsidRPr="00C34C41">
        <w:rPr>
          <w:rFonts w:ascii="Traditional Arabic" w:hAnsi="Traditional Arabic" w:cs="Traditional Arabic" w:hint="cs"/>
          <w:sz w:val="28"/>
          <w:szCs w:val="28"/>
          <w:rtl/>
          <w:lang w:bidi="ar-EG"/>
        </w:rPr>
        <w:lastRenderedPageBreak/>
        <w:t>لخصت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الإحصاءات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الوصفية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خصائص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المشاركين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والمقاييس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الفرعية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لمقياس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E-Ready 2.0</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التغيير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الأفراد،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ودعم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الإدارة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ومشاركتها،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الزملاء،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ذلك</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الوضع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الراهن،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ومواقف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واعتُبرت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العبارات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حصلت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60% </w:t>
      </w:r>
      <w:r w:rsidRPr="00C34C41">
        <w:rPr>
          <w:rFonts w:ascii="Traditional Arabic" w:hAnsi="Traditional Arabic" w:cs="Traditional Arabic" w:hint="cs"/>
          <w:sz w:val="28"/>
          <w:szCs w:val="28"/>
          <w:rtl/>
          <w:lang w:bidi="ar-EG"/>
        </w:rPr>
        <w:t>أو</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أكثر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مؤشرًا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واستُخدم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اختبار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مربع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كاي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واختبار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مان</w:t>
      </w:r>
      <w:r w:rsidRPr="00C34C41">
        <w:rPr>
          <w:rFonts w:ascii="Traditional Arabic" w:hAnsi="Traditional Arabic" w:cs="Traditional Arabic"/>
          <w:sz w:val="28"/>
          <w:szCs w:val="28"/>
          <w:rtl/>
          <w:lang w:bidi="ar-EG"/>
        </w:rPr>
        <w:t>-</w:t>
      </w:r>
      <w:r w:rsidRPr="00C34C41">
        <w:rPr>
          <w:rFonts w:ascii="Traditional Arabic" w:hAnsi="Traditional Arabic" w:cs="Traditional Arabic" w:hint="cs"/>
          <w:sz w:val="28"/>
          <w:szCs w:val="28"/>
          <w:rtl/>
          <w:lang w:bidi="ar-EG"/>
        </w:rPr>
        <w:t>ويتني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يو</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العلاقات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المتغيرات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الديموغرافية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وعبارات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المقاييس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الفرعية</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استجاب</w:t>
      </w:r>
      <w:r w:rsidRPr="00C34C41">
        <w:rPr>
          <w:rFonts w:ascii="Traditional Arabic" w:hAnsi="Traditional Arabic" w:cs="Traditional Arabic"/>
          <w:sz w:val="28"/>
          <w:szCs w:val="28"/>
          <w:rtl/>
          <w:lang w:bidi="ar-EG"/>
        </w:rPr>
        <w:t xml:space="preserve"> 143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قادة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بنسبة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استجابة</w:t>
      </w:r>
      <w:r w:rsidRPr="00C34C41">
        <w:rPr>
          <w:rFonts w:ascii="Traditional Arabic" w:hAnsi="Traditional Arabic" w:cs="Traditional Arabic"/>
          <w:sz w:val="28"/>
          <w:szCs w:val="28"/>
          <w:rtl/>
          <w:lang w:bidi="ar-EG"/>
        </w:rPr>
        <w:t xml:space="preserve"> 56.1%) (114 </w:t>
      </w:r>
      <w:r w:rsidRPr="00C34C41">
        <w:rPr>
          <w:rFonts w:ascii="Traditional Arabic" w:hAnsi="Traditional Arabic" w:cs="Traditional Arabic" w:hint="cs"/>
          <w:sz w:val="28"/>
          <w:szCs w:val="28"/>
          <w:rtl/>
          <w:lang w:bidi="ar-EG"/>
        </w:rPr>
        <w:t>ممرضًا</w:t>
      </w:r>
      <w:r w:rsidRPr="00C34C41">
        <w:rPr>
          <w:rFonts w:ascii="Traditional Arabic" w:hAnsi="Traditional Arabic" w:cs="Traditional Arabic"/>
          <w:sz w:val="28"/>
          <w:szCs w:val="28"/>
          <w:rtl/>
          <w:lang w:bidi="ar-EG"/>
        </w:rPr>
        <w:t xml:space="preserve"> [79.7%]</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rtl/>
          <w:lang w:bidi="ar-EG"/>
        </w:rPr>
        <w:t xml:space="preserve">29 </w:t>
      </w:r>
      <w:r w:rsidRPr="00C34C41">
        <w:rPr>
          <w:rFonts w:ascii="Traditional Arabic" w:hAnsi="Traditional Arabic" w:cs="Traditional Arabic" w:hint="cs"/>
          <w:sz w:val="28"/>
          <w:szCs w:val="28"/>
          <w:rtl/>
          <w:lang w:bidi="ar-EG"/>
        </w:rPr>
        <w:t>طبيبًا</w:t>
      </w:r>
      <w:r w:rsidRPr="00C34C41">
        <w:rPr>
          <w:rFonts w:ascii="Traditional Arabic" w:hAnsi="Traditional Arabic" w:cs="Traditional Arabic"/>
          <w:sz w:val="28"/>
          <w:szCs w:val="28"/>
          <w:rtl/>
          <w:lang w:bidi="ar-EG"/>
        </w:rPr>
        <w:t xml:space="preserve"> [20.3%]). </w:t>
      </w:r>
      <w:r w:rsidRPr="00C34C41">
        <w:rPr>
          <w:rFonts w:ascii="Traditional Arabic" w:hAnsi="Traditional Arabic" w:cs="Traditional Arabic" w:hint="cs"/>
          <w:sz w:val="28"/>
          <w:szCs w:val="28"/>
          <w:rtl/>
          <w:lang w:bidi="ar-EG"/>
        </w:rPr>
        <w:t>بلغ</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متوسط</w:t>
      </w:r>
      <w:r w:rsidRPr="00C34C41">
        <w:rPr>
          <w:rFonts w:ascii="Traditional Arabic" w:hAnsi="Traditional Arabic" w:cs="Traditional Arabic"/>
          <w:sz w:val="28"/>
          <w:szCs w:val="28"/>
          <w:rtl/>
          <w:lang w:bidi="ar-EG"/>
        </w:rPr>
        <w:t xml:space="preserve"> </w:t>
      </w:r>
      <w:r w:rsidRPr="00C34C41">
        <w:rPr>
          <w:rFonts w:ascii="Times New Roman" w:hAnsi="Times New Roman" w:cs="Times New Roman" w:hint="cs"/>
          <w:sz w:val="28"/>
          <w:szCs w:val="28"/>
          <w:rtl/>
          <w:lang w:bidi="ar-EG"/>
        </w:rPr>
        <w:t>​​</w:t>
      </w:r>
      <w:r w:rsidRPr="00C34C41">
        <w:rPr>
          <w:rFonts w:ascii="Traditional Arabic" w:hAnsi="Traditional Arabic" w:cs="Traditional Arabic" w:hint="cs"/>
          <w:sz w:val="28"/>
          <w:szCs w:val="28"/>
          <w:rtl/>
          <w:lang w:bidi="ar-EG"/>
        </w:rPr>
        <w:t>أعمارهم</w:t>
      </w:r>
      <w:r w:rsidRPr="00C34C41">
        <w:rPr>
          <w:rFonts w:ascii="Traditional Arabic" w:hAnsi="Traditional Arabic" w:cs="Traditional Arabic"/>
          <w:sz w:val="28"/>
          <w:szCs w:val="28"/>
          <w:rtl/>
          <w:lang w:bidi="ar-EG"/>
        </w:rPr>
        <w:t xml:space="preserve"> 46.4 ± 10.0 </w:t>
      </w:r>
      <w:r w:rsidRPr="00C34C41">
        <w:rPr>
          <w:rFonts w:ascii="Traditional Arabic" w:hAnsi="Traditional Arabic" w:cs="Traditional Arabic" w:hint="cs"/>
          <w:sz w:val="28"/>
          <w:szCs w:val="28"/>
          <w:rtl/>
          <w:lang w:bidi="ar-EG"/>
        </w:rPr>
        <w:t>عامًا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بشكل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لوحظت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مستويات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أكثر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70%) </w:t>
      </w:r>
      <w:r w:rsidRPr="00C34C41">
        <w:rPr>
          <w:rFonts w:ascii="Traditional Arabic" w:hAnsi="Traditional Arabic" w:cs="Traditional Arabic" w:hint="cs"/>
          <w:sz w:val="28"/>
          <w:szCs w:val="28"/>
          <w:rtl/>
          <w:lang w:bidi="ar-EG"/>
        </w:rPr>
        <w:t>فيما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يتعلق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بالمواقف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أظهرت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التغيير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الأفراد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استعدادًا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أقل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أقل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50%).</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الرغم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الاستثمار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الكبير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أدوات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يزال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هناك</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نقص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المسؤولين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قيادة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التطبيقات</w:t>
      </w:r>
      <w:r w:rsidRPr="00C34C41">
        <w:rPr>
          <w:rFonts w:ascii="Traditional Arabic" w:hAnsi="Traditional Arabic" w:cs="Traditional Arabic"/>
          <w:sz w:val="28"/>
          <w:szCs w:val="28"/>
          <w:rtl/>
          <w:lang w:bidi="ar-EG"/>
        </w:rPr>
        <w:t>.</w:t>
      </w:r>
    </w:p>
    <w:p w14:paraId="69990F83" w14:textId="67F1D2E7" w:rsidR="00C34C41"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sz w:val="28"/>
          <w:szCs w:val="28"/>
          <w:rtl/>
          <w:lang w:bidi="ar-EG"/>
        </w:rPr>
        <w:t>يُعدّ التحوّل الرقمي في قطاع الرعاية الصحية اتجاهًا رئيسيًا ومحور اهتمام عالمي، لما له من قدرة على تحسين جودة الرعاية، وخفض التكاليف، وزيادة إمكانية الوصول إليها. وتُشكّل رؤية الهند للرعاية الصحية 2030 دافعًا قويًا يُلزم مؤسسات الرعاية الصحية في الهند بتبنّي التحوّل الرقمي في عملياتها وخدماتها. أجرينا استطلاعًا شمل العاملين في قطاع الرعاية الصحية الهندي لفهم كيفية تأثير العوامل الخارجية على الموارد الداخلية للمؤسسات في سبيل تحقيق التبنّي الناجح للتحوّل الرقمي في الرعاية الصحية. يُتيح دمج ثلاثة منظورات نظرية - النظرية المؤسسية، ونظرية الموارد، ونظرية القدرة الاستيعابية - رؤيةً أكثر شمولية ودقة. تُؤكّد نتائجنا أن التحوّل الرقمي في الرعاية الصحية يتطلّب أكثر من مجرّد الاستثمار والوقت، إذ إنّ تجاهل الاستجابة للضغوط الخارجية قد يُؤدّي إلى نتائج محدودة في جهود التحوّل الرقمي. ويتطلّب ذلك وجود ثقافة تنظيمية مناسبة، إلى جانب إيمان ودعم قويين من الإدارة العليا</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55924616"/>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lang w:bidi="ar-EG"/>
            </w:rPr>
            <w:instrText xml:space="preserve">CITATION Pat24 \l 3073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Pattanaik</w:t>
          </w:r>
          <w:r w:rsidRPr="00C34C4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w:t>
      </w:r>
    </w:p>
    <w:p w14:paraId="2307E1C3" w14:textId="130798B0" w:rsidR="00F87B64" w:rsidRPr="00EB135C" w:rsidRDefault="00C34C41" w:rsidP="00EB135C">
      <w:pPr>
        <w:tabs>
          <w:tab w:val="left" w:pos="5505"/>
        </w:tabs>
        <w:bidi/>
        <w:spacing w:line="360" w:lineRule="auto"/>
        <w:ind w:firstLine="571"/>
        <w:jc w:val="both"/>
        <w:rPr>
          <w:rFonts w:ascii="Traditional Arabic" w:hAnsi="Traditional Arabic" w:cs="Traditional Arabic"/>
          <w:sz w:val="28"/>
          <w:szCs w:val="28"/>
          <w:lang w:bidi="ar-EG"/>
        </w:rPr>
      </w:pPr>
      <w:r w:rsidRPr="00C34C41">
        <w:rPr>
          <w:rFonts w:ascii="Traditional Arabic" w:hAnsi="Traditional Arabic" w:cs="Traditional Arabic"/>
          <w:sz w:val="28"/>
          <w:szCs w:val="28"/>
          <w:rtl/>
          <w:lang w:bidi="ar-EG"/>
        </w:rPr>
        <w:t xml:space="preserve">استخدمت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623000384"/>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Mau243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Mauro</w:t>
          </w:r>
          <w:r w:rsidRPr="00C34C4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 xml:space="preserve"> نموذج سلسلة القيمة لبورتر في مؤسسات الرعاية الصحية، وإطار عمل التكنولوجيا-المؤسسة-البيئة، لاستكشاف تأثير التقنيات الرقمية على عمليات الدعم الإداري والتنظيمي، وتحديد العوامل المؤثرة في تبنيها. واستخدمنا منهجية دلفي لدراسة ست فئات من التقنيات الرقمية (إنترنت الأشياء، والذكاء الاصطناعي والتعلم الآلي، والبيانات الضخمة وتحليلات الأعمال، والتخزين والحوسبة السحابية، ووسائل التواصل الاجتماعي، وتقنية سلسلة الكتل). واعتمدت الدراسة منهجًا استقرائيًا نوعيًا بمشاركة 11 خبيرًا لجمع آرائهم حول أكثر التقنيات الرقمية تأثيرًا، والعوامل التي تعيق أو تحد من التحول الرقمي. وخلصت الدراسة إلى أن إنترنت الأشياء والذكاء الاصطناعي والتعلم الآلي لهما التأثير الأكبر على عمليات الدعم الإداري في مؤسسات الرعاية الصحية، بينما </w:t>
      </w:r>
      <w:r w:rsidRPr="00C34C41">
        <w:rPr>
          <w:rFonts w:ascii="Traditional Arabic" w:hAnsi="Traditional Arabic" w:cs="Traditional Arabic"/>
          <w:sz w:val="28"/>
          <w:szCs w:val="28"/>
          <w:rtl/>
          <w:lang w:bidi="ar-EG"/>
        </w:rPr>
        <w:lastRenderedPageBreak/>
        <w:t>كانت تقنية سلسلة الكتل الأقل تأثيرًا. وحدد الخبراء مهارات وكفاءات الموظفين كأهم العوامل لضمان نجاح التحول الرقمي. تُسهم هذه النتائج في إثراء الأدبيات المتعلقة بالتحول الرقمي في الرعاية الصحية، والتي ركزت سابقًا بشكل أساسي على تأثير التقنيات على العمليات السريرية. وقد تكون هذه النتائج مفيدة أيضًا لواضعي السياسات والممارسين على حد سواء في تحديد أولويات الاستثمار في التقنيات الرقمية، وضمان تنفيذها بنجاح.</w:t>
      </w:r>
    </w:p>
    <w:tbl>
      <w:tblPr>
        <w:tblStyle w:val="GridTable6Colorful"/>
        <w:bidiVisual/>
        <w:tblW w:w="9350" w:type="dxa"/>
        <w:tblLook w:val="04A0" w:firstRow="1" w:lastRow="0" w:firstColumn="1" w:lastColumn="0" w:noHBand="0" w:noVBand="1"/>
      </w:tblPr>
      <w:tblGrid>
        <w:gridCol w:w="1439"/>
        <w:gridCol w:w="734"/>
        <w:gridCol w:w="1340"/>
        <w:gridCol w:w="1404"/>
        <w:gridCol w:w="1527"/>
        <w:gridCol w:w="1395"/>
        <w:gridCol w:w="1511"/>
      </w:tblGrid>
      <w:tr w:rsidR="00F87B64" w:rsidRPr="0036290D" w14:paraId="53A8D340" w14:textId="77777777" w:rsidTr="007D1D88">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439" w:type="dxa"/>
            <w:hideMark/>
          </w:tcPr>
          <w:p w14:paraId="006CBA07" w14:textId="77777777" w:rsidR="00F87B64" w:rsidRPr="0036290D" w:rsidRDefault="00F87B64" w:rsidP="0011754A">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05" w:type="dxa"/>
            <w:hideMark/>
          </w:tcPr>
          <w:p w14:paraId="66295D42"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42" w:type="dxa"/>
            <w:hideMark/>
          </w:tcPr>
          <w:p w14:paraId="5BEB8817"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08" w:type="dxa"/>
            <w:hideMark/>
          </w:tcPr>
          <w:p w14:paraId="75D0BADC"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35" w:type="dxa"/>
          </w:tcPr>
          <w:p w14:paraId="639D8853"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02" w:type="dxa"/>
          </w:tcPr>
          <w:p w14:paraId="2D83C27A"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19" w:type="dxa"/>
            <w:hideMark/>
          </w:tcPr>
          <w:p w14:paraId="32C8927F"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F87B64" w:rsidRPr="0036290D" w14:paraId="7A8BE35D" w14:textId="77777777" w:rsidTr="007D1D88">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439" w:type="dxa"/>
          </w:tcPr>
          <w:p w14:paraId="0EBD122C" w14:textId="037D8116"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rtl/>
                <w14:ligatures w14:val="none"/>
              </w:rPr>
              <w:t>سلمان</w:t>
            </w:r>
          </w:p>
        </w:tc>
        <w:tc>
          <w:tcPr>
            <w:tcW w:w="705" w:type="dxa"/>
          </w:tcPr>
          <w:p w14:paraId="066EE63F" w14:textId="5D222161" w:rsidR="00F87B64" w:rsidRPr="0036290D" w:rsidRDefault="002611A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2025</w:t>
            </w:r>
          </w:p>
        </w:tc>
        <w:tc>
          <w:tcPr>
            <w:tcW w:w="1342" w:type="dxa"/>
          </w:tcPr>
          <w:p w14:paraId="6783C491" w14:textId="11BE64E5"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 xml:space="preserve">دراسة وصفية تحليلية (استبيان – </w:t>
            </w:r>
            <w:r w:rsidRPr="002611AC">
              <w:rPr>
                <w:rFonts w:ascii="Traditional Arabic" w:eastAsia="Times New Roman" w:hAnsi="Traditional Arabic" w:cs="Traditional Arabic"/>
                <w:color w:val="000000"/>
                <w:kern w:val="0"/>
                <w:sz w:val="28"/>
                <w:szCs w:val="28"/>
                <w14:ligatures w14:val="none"/>
              </w:rPr>
              <w:t>SPSS</w:t>
            </w:r>
            <w:r w:rsidRPr="002611AC">
              <w:rPr>
                <w:rFonts w:ascii="Traditional Arabic" w:eastAsia="Times New Roman" w:hAnsi="Traditional Arabic" w:cs="Traditional Arabic"/>
                <w:color w:val="000000"/>
                <w:kern w:val="0"/>
                <w:sz w:val="28"/>
                <w:szCs w:val="28"/>
                <w:rtl/>
                <w14:ligatures w14:val="none"/>
              </w:rPr>
              <w:t>) لقياس أثر التخطيط الاستراتيجي للموارد البشرية على جودة الخدمات الصحية</w:t>
            </w:r>
          </w:p>
        </w:tc>
        <w:tc>
          <w:tcPr>
            <w:tcW w:w="1408" w:type="dxa"/>
          </w:tcPr>
          <w:p w14:paraId="4518EC08" w14:textId="79E0FB84"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وجود علاقة طردية بين التخطيط الاستراتيجي للموارد البشرية وتحسين جودة الخدمات الصحية والكفاءة التشغيلية</w:t>
            </w:r>
          </w:p>
        </w:tc>
        <w:tc>
          <w:tcPr>
            <w:tcW w:w="1535" w:type="dxa"/>
          </w:tcPr>
          <w:p w14:paraId="6823C453" w14:textId="016945B0"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الموارد البشرية فقط دون دمج التقنيات الرقمية أو التحول التقني المتقدم</w:t>
            </w:r>
          </w:p>
        </w:tc>
        <w:tc>
          <w:tcPr>
            <w:tcW w:w="1402" w:type="dxa"/>
          </w:tcPr>
          <w:p w14:paraId="3F2F80B0" w14:textId="38C9544F"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الاهتمام بتحسين جودة الخدمات الصحية ورفع كفاءة النظام الصحي</w:t>
            </w:r>
          </w:p>
        </w:tc>
        <w:tc>
          <w:tcPr>
            <w:tcW w:w="1519" w:type="dxa"/>
          </w:tcPr>
          <w:p w14:paraId="1C68C64B" w14:textId="13352D70" w:rsidR="00F87B64" w:rsidRPr="0036290D" w:rsidRDefault="00283421"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دمج التخطيط الاستراتيجي مع التقنيات الرقمية الحديثة (الميتافيرس والبلوكشين)</w:t>
            </w:r>
          </w:p>
        </w:tc>
      </w:tr>
      <w:tr w:rsidR="00F87B64" w:rsidRPr="0036290D" w14:paraId="3FC1761C" w14:textId="77777777" w:rsidTr="007D1D88">
        <w:trPr>
          <w:trHeight w:val="2167"/>
        </w:trPr>
        <w:tc>
          <w:tcPr>
            <w:cnfStyle w:val="001000000000" w:firstRow="0" w:lastRow="0" w:firstColumn="1" w:lastColumn="0" w:oddVBand="0" w:evenVBand="0" w:oddHBand="0" w:evenHBand="0" w:firstRowFirstColumn="0" w:firstRowLastColumn="0" w:lastRowFirstColumn="0" w:lastRowLastColumn="0"/>
            <w:tcW w:w="1439" w:type="dxa"/>
          </w:tcPr>
          <w:p w14:paraId="639E68DC" w14:textId="0569D072"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rtl/>
                <w14:ligatures w14:val="none"/>
              </w:rPr>
              <w:t>عدنان</w:t>
            </w:r>
          </w:p>
        </w:tc>
        <w:tc>
          <w:tcPr>
            <w:tcW w:w="705" w:type="dxa"/>
          </w:tcPr>
          <w:p w14:paraId="4F29A659" w14:textId="1775EC0F" w:rsidR="00F87B64" w:rsidRPr="0036290D" w:rsidRDefault="002611A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2022</w:t>
            </w:r>
          </w:p>
        </w:tc>
        <w:tc>
          <w:tcPr>
            <w:tcW w:w="1342" w:type="dxa"/>
          </w:tcPr>
          <w:p w14:paraId="0BDF89CA" w14:textId="6E9EAAE9"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دراسة حالة وصفية تحليلية حول التحول الرقمي في مستشفى النور بمكة</w:t>
            </w:r>
          </w:p>
        </w:tc>
        <w:tc>
          <w:tcPr>
            <w:tcW w:w="1408" w:type="dxa"/>
          </w:tcPr>
          <w:p w14:paraId="19B5BB9D" w14:textId="0B6FE189"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توفر دعم الإدارة العليا واستراتيجيات مناسبة للتحول الرقمي</w:t>
            </w:r>
          </w:p>
        </w:tc>
        <w:tc>
          <w:tcPr>
            <w:tcW w:w="1535" w:type="dxa"/>
          </w:tcPr>
          <w:p w14:paraId="6BEB3679" w14:textId="7217F922"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جاهزية التحول الرقمي دون تحليل تقنيات متقدمة أو نماذج تكامل تقنية</w:t>
            </w:r>
          </w:p>
        </w:tc>
        <w:tc>
          <w:tcPr>
            <w:tcW w:w="1402" w:type="dxa"/>
          </w:tcPr>
          <w:p w14:paraId="3995A1E4" w14:textId="4FF911D8"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تناول التحول الرقمي ودور الإدارة العليا في دعم التغيير</w:t>
            </w:r>
          </w:p>
        </w:tc>
        <w:tc>
          <w:tcPr>
            <w:tcW w:w="1519" w:type="dxa"/>
          </w:tcPr>
          <w:p w14:paraId="3C706AE4" w14:textId="6D024E63" w:rsidR="00F87B64" w:rsidRPr="0036290D" w:rsidRDefault="00283421"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نماذج استراتيجية متكاملة تربط بين الإدارة والتقنيات الناشئة</w:t>
            </w:r>
          </w:p>
        </w:tc>
      </w:tr>
      <w:tr w:rsidR="00F87B64" w:rsidRPr="0036290D" w14:paraId="553FBCCB" w14:textId="77777777" w:rsidTr="007D1D88">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439" w:type="dxa"/>
          </w:tcPr>
          <w:p w14:paraId="7BDCDC5F" w14:textId="0CE7D109"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14:ligatures w14:val="none"/>
              </w:rPr>
              <w:lastRenderedPageBreak/>
              <w:t>Alotaibi</w:t>
            </w:r>
          </w:p>
        </w:tc>
        <w:tc>
          <w:tcPr>
            <w:tcW w:w="705" w:type="dxa"/>
          </w:tcPr>
          <w:p w14:paraId="62FF1E4C" w14:textId="0F9833CE" w:rsidR="00F87B64" w:rsidRPr="0036290D" w:rsidRDefault="002611A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2025</w:t>
            </w:r>
          </w:p>
        </w:tc>
        <w:tc>
          <w:tcPr>
            <w:tcW w:w="1342" w:type="dxa"/>
          </w:tcPr>
          <w:p w14:paraId="703A3820" w14:textId="28241E15"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 xml:space="preserve">مراجعة منهجية متعددة الأساليب وفق نموذج </w:t>
            </w:r>
            <w:r w:rsidRPr="002611AC">
              <w:rPr>
                <w:rFonts w:ascii="Traditional Arabic" w:eastAsia="Times New Roman" w:hAnsi="Traditional Arabic" w:cs="Traditional Arabic"/>
                <w:color w:val="000000"/>
                <w:kern w:val="0"/>
                <w:sz w:val="28"/>
                <w:szCs w:val="28"/>
                <w14:ligatures w14:val="none"/>
              </w:rPr>
              <w:t>UTAUT</w:t>
            </w:r>
            <w:r w:rsidRPr="002611AC">
              <w:rPr>
                <w:rFonts w:ascii="Traditional Arabic" w:eastAsia="Times New Roman" w:hAnsi="Traditional Arabic" w:cs="Traditional Arabic"/>
                <w:color w:val="000000"/>
                <w:kern w:val="0"/>
                <w:sz w:val="28"/>
                <w:szCs w:val="28"/>
                <w:rtl/>
                <w14:ligatures w14:val="none"/>
              </w:rPr>
              <w:t xml:space="preserve"> حول الجاهزية الرقمية</w:t>
            </w:r>
          </w:p>
        </w:tc>
        <w:tc>
          <w:tcPr>
            <w:tcW w:w="1408" w:type="dxa"/>
          </w:tcPr>
          <w:p w14:paraId="048820C2" w14:textId="3925373F"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التدريب والدعم المؤسسي وسهولة الاستخدام عوامل حاسمة في تبني التكنولوجيا</w:t>
            </w:r>
          </w:p>
        </w:tc>
        <w:tc>
          <w:tcPr>
            <w:tcW w:w="1535" w:type="dxa"/>
          </w:tcPr>
          <w:p w14:paraId="755D7323" w14:textId="574D2B80"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الجاهزية الفردية للعاملين وليس على تطوير الأنظمة الصحية أو دمج التقنيات</w:t>
            </w:r>
          </w:p>
        </w:tc>
        <w:tc>
          <w:tcPr>
            <w:tcW w:w="1402" w:type="dxa"/>
          </w:tcPr>
          <w:p w14:paraId="1D16FC8E" w14:textId="79319520"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أهمية التحول الرقمي والكفاءة الرقمية للعاملين الصحيين</w:t>
            </w:r>
          </w:p>
        </w:tc>
        <w:tc>
          <w:tcPr>
            <w:tcW w:w="1519" w:type="dxa"/>
          </w:tcPr>
          <w:p w14:paraId="15E38A5D" w14:textId="12207611" w:rsidR="00F87B64" w:rsidRPr="0036290D" w:rsidRDefault="00283421"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دمج الجاهزية الرقمية ضمن استراتيجيات تنظيمية وتقنية شاملة</w:t>
            </w:r>
          </w:p>
        </w:tc>
      </w:tr>
      <w:tr w:rsidR="00F87B64" w:rsidRPr="0036290D" w14:paraId="49DFEC68" w14:textId="77777777" w:rsidTr="007D1D88">
        <w:trPr>
          <w:trHeight w:val="1662"/>
        </w:trPr>
        <w:tc>
          <w:tcPr>
            <w:cnfStyle w:val="001000000000" w:firstRow="0" w:lastRow="0" w:firstColumn="1" w:lastColumn="0" w:oddVBand="0" w:evenVBand="0" w:oddHBand="0" w:evenHBand="0" w:firstRowFirstColumn="0" w:firstRowLastColumn="0" w:lastRowFirstColumn="0" w:lastRowLastColumn="0"/>
            <w:tcW w:w="1439" w:type="dxa"/>
          </w:tcPr>
          <w:p w14:paraId="093A9BA1" w14:textId="7B0C42E9"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14:ligatures w14:val="none"/>
              </w:rPr>
              <w:t>Steenkamp</w:t>
            </w:r>
          </w:p>
        </w:tc>
        <w:tc>
          <w:tcPr>
            <w:tcW w:w="705" w:type="dxa"/>
          </w:tcPr>
          <w:p w14:paraId="287127D6" w14:textId="1F40D5CB" w:rsidR="00F87B64" w:rsidRPr="0036290D" w:rsidRDefault="002611A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2025</w:t>
            </w:r>
          </w:p>
        </w:tc>
        <w:tc>
          <w:tcPr>
            <w:tcW w:w="1342" w:type="dxa"/>
          </w:tcPr>
          <w:p w14:paraId="18120700" w14:textId="22D2C2FE"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 xml:space="preserve">دراسة مسحية باستخدام مقياس </w:t>
            </w:r>
            <w:r w:rsidRPr="002611AC">
              <w:rPr>
                <w:rFonts w:ascii="Traditional Arabic" w:eastAsia="Times New Roman" w:hAnsi="Traditional Arabic" w:cs="Traditional Arabic"/>
                <w:color w:val="000000"/>
                <w:kern w:val="0"/>
                <w:sz w:val="28"/>
                <w:szCs w:val="28"/>
                <w14:ligatures w14:val="none"/>
              </w:rPr>
              <w:t>E-Ready 2.0</w:t>
            </w:r>
            <w:r w:rsidRPr="002611AC">
              <w:rPr>
                <w:rFonts w:ascii="Traditional Arabic" w:eastAsia="Times New Roman" w:hAnsi="Traditional Arabic" w:cs="Traditional Arabic"/>
                <w:color w:val="000000"/>
                <w:kern w:val="0"/>
                <w:sz w:val="28"/>
                <w:szCs w:val="28"/>
                <w:rtl/>
                <w14:ligatures w14:val="none"/>
              </w:rPr>
              <w:t xml:space="preserve"> لقياس الجاهزية الرقمية للقادة الصحيين</w:t>
            </w:r>
          </w:p>
        </w:tc>
        <w:tc>
          <w:tcPr>
            <w:tcW w:w="1408" w:type="dxa"/>
          </w:tcPr>
          <w:p w14:paraId="06A33EB4" w14:textId="12C7E566"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وجود فجوة في الجاهزية الرقمية رغم توفر أدوات التحول الرقمي</w:t>
            </w:r>
          </w:p>
        </w:tc>
        <w:tc>
          <w:tcPr>
            <w:tcW w:w="1535" w:type="dxa"/>
          </w:tcPr>
          <w:p w14:paraId="3FA93F9B" w14:textId="5A15CE7C"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القيادات التشغيلية دون ربطها بتطوير الأنظمة أو تقنيات متقدمة</w:t>
            </w:r>
          </w:p>
        </w:tc>
        <w:tc>
          <w:tcPr>
            <w:tcW w:w="1402" w:type="dxa"/>
          </w:tcPr>
          <w:p w14:paraId="5AF9EA55" w14:textId="1BE4E2C6"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دراسة الجاهزية الرقمية كعنصر أساسي للتحول الصحي</w:t>
            </w:r>
          </w:p>
        </w:tc>
        <w:tc>
          <w:tcPr>
            <w:tcW w:w="1519" w:type="dxa"/>
          </w:tcPr>
          <w:p w14:paraId="409FB497" w14:textId="0B7A72C5" w:rsidR="00F87B64" w:rsidRPr="0036290D" w:rsidRDefault="00283421"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استراتيجيات تنظيمية تعالج فجوة الجاهزية وتربطها بالتقنيات الحديثة</w:t>
            </w:r>
          </w:p>
        </w:tc>
      </w:tr>
      <w:tr w:rsidR="00F87B64" w:rsidRPr="0036290D" w14:paraId="32A4A785" w14:textId="77777777" w:rsidTr="007D1D88">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439" w:type="dxa"/>
          </w:tcPr>
          <w:p w14:paraId="2E7D2CAC" w14:textId="7272D6C4" w:rsidR="00F87B64" w:rsidRPr="0036290D" w:rsidRDefault="002611AC" w:rsidP="0011754A">
            <w:pPr>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14:ligatures w14:val="none"/>
              </w:rPr>
              <w:t>Pattanaik</w:t>
            </w:r>
          </w:p>
        </w:tc>
        <w:tc>
          <w:tcPr>
            <w:tcW w:w="705" w:type="dxa"/>
          </w:tcPr>
          <w:p w14:paraId="132782A0" w14:textId="13793663" w:rsidR="00F87B64" w:rsidRPr="0036290D" w:rsidRDefault="002611A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14:ligatures w14:val="none"/>
              </w:rPr>
              <w:t>2024</w:t>
            </w:r>
          </w:p>
        </w:tc>
        <w:tc>
          <w:tcPr>
            <w:tcW w:w="1342" w:type="dxa"/>
          </w:tcPr>
          <w:p w14:paraId="6DCAFA2E" w14:textId="39EFC14A"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دراسة تحليلية متعددة النظريات (المؤسسية، الموارد، القدرة الاستيعابية)</w:t>
            </w:r>
          </w:p>
        </w:tc>
        <w:tc>
          <w:tcPr>
            <w:tcW w:w="1408" w:type="dxa"/>
          </w:tcPr>
          <w:p w14:paraId="1EECB08C" w14:textId="62AE67D3"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نجاح التحول الرقمي يتطلب ثقافة تنظيمية ودعم الإدارة العليا</w:t>
            </w:r>
          </w:p>
        </w:tc>
        <w:tc>
          <w:tcPr>
            <w:tcW w:w="1535" w:type="dxa"/>
          </w:tcPr>
          <w:p w14:paraId="793DABD2" w14:textId="7D28A076"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العوامل التنظيمية الكلية دون تحديد تقنيات محددة</w:t>
            </w:r>
          </w:p>
        </w:tc>
        <w:tc>
          <w:tcPr>
            <w:tcW w:w="1402" w:type="dxa"/>
          </w:tcPr>
          <w:p w14:paraId="4DF583A3" w14:textId="6A8146C1"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أهمية الإدارة العليا والثقافة التنظيمية في نجاح التحول الرقمي</w:t>
            </w:r>
          </w:p>
        </w:tc>
        <w:tc>
          <w:tcPr>
            <w:tcW w:w="1519" w:type="dxa"/>
          </w:tcPr>
          <w:p w14:paraId="5EC7D0DD" w14:textId="12E1683C" w:rsidR="00F87B64" w:rsidRPr="0036290D" w:rsidRDefault="00283421"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دمج العوامل التنظيمية مع التقنيات الناشئة في نموذج واحد متكامل</w:t>
            </w:r>
          </w:p>
        </w:tc>
      </w:tr>
      <w:tr w:rsidR="00F87B64" w:rsidRPr="0036290D" w14:paraId="34241E52" w14:textId="77777777" w:rsidTr="007D1D88">
        <w:trPr>
          <w:trHeight w:val="3455"/>
        </w:trPr>
        <w:tc>
          <w:tcPr>
            <w:cnfStyle w:val="001000000000" w:firstRow="0" w:lastRow="0" w:firstColumn="1" w:lastColumn="0" w:oddVBand="0" w:evenVBand="0" w:oddHBand="0" w:evenHBand="0" w:firstRowFirstColumn="0" w:firstRowLastColumn="0" w:lastRowFirstColumn="0" w:lastRowLastColumn="0"/>
            <w:tcW w:w="1439" w:type="dxa"/>
          </w:tcPr>
          <w:p w14:paraId="71BB6F1B" w14:textId="1CCAD87D" w:rsidR="00F87B64" w:rsidRPr="0036290D" w:rsidRDefault="002611AC" w:rsidP="0011754A">
            <w:pPr>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14:ligatures w14:val="none"/>
              </w:rPr>
              <w:t>Mauro</w:t>
            </w:r>
          </w:p>
        </w:tc>
        <w:tc>
          <w:tcPr>
            <w:tcW w:w="705" w:type="dxa"/>
          </w:tcPr>
          <w:p w14:paraId="3EA25E30" w14:textId="162ACBD1" w:rsidR="00F87B64" w:rsidRPr="0036290D" w:rsidRDefault="002611A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14:ligatures w14:val="none"/>
              </w:rPr>
              <w:t>2024</w:t>
            </w:r>
          </w:p>
        </w:tc>
        <w:tc>
          <w:tcPr>
            <w:tcW w:w="1342" w:type="dxa"/>
          </w:tcPr>
          <w:p w14:paraId="7604292E" w14:textId="57ACFBD8"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منهج دلفي + إطار سلسلة القيمة + التكنولوجيا-المؤسسة-البيئة</w:t>
            </w:r>
          </w:p>
        </w:tc>
        <w:tc>
          <w:tcPr>
            <w:tcW w:w="1408" w:type="dxa"/>
          </w:tcPr>
          <w:p w14:paraId="18ACD06F" w14:textId="6B8B592D"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الذكاء الاصطناعي وإنترنت الأشياء الأكثر تأثيرًا، والبلوكشين الأقل، والكفاءات البشرية عنصر حاسم</w:t>
            </w:r>
          </w:p>
        </w:tc>
        <w:tc>
          <w:tcPr>
            <w:tcW w:w="1535" w:type="dxa"/>
          </w:tcPr>
          <w:p w14:paraId="38C4FC94" w14:textId="1ABEFD53"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دراسة مقارنة للتقنيات دون التركيز على الدمج الاستراتيجي أو الميتافيرس</w:t>
            </w:r>
          </w:p>
        </w:tc>
        <w:tc>
          <w:tcPr>
            <w:tcW w:w="1402" w:type="dxa"/>
          </w:tcPr>
          <w:p w14:paraId="781A93D4" w14:textId="7816E3DB"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دراسة التقنيات الرقمية وتأثيرها على القطاع الصحي</w:t>
            </w:r>
          </w:p>
        </w:tc>
        <w:tc>
          <w:tcPr>
            <w:tcW w:w="1519" w:type="dxa"/>
          </w:tcPr>
          <w:p w14:paraId="2EA61298" w14:textId="0E26A0EB" w:rsidR="00F87B64" w:rsidRPr="0036290D" w:rsidRDefault="00283421"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تحديد استراتيجيات دمج فعالة للتقنيات وليس فقط تقييمها</w:t>
            </w:r>
          </w:p>
        </w:tc>
      </w:tr>
    </w:tbl>
    <w:p w14:paraId="623DBA12" w14:textId="77777777" w:rsidR="00C34C41" w:rsidRDefault="00C34C41" w:rsidP="00C34C41">
      <w:pPr>
        <w:tabs>
          <w:tab w:val="left" w:pos="5505"/>
        </w:tabs>
        <w:bidi/>
        <w:rPr>
          <w:rFonts w:ascii="Traditional Arabic" w:hAnsi="Traditional Arabic" w:cs="Traditional Arabic"/>
          <w:b/>
          <w:bCs/>
          <w:sz w:val="32"/>
          <w:szCs w:val="32"/>
          <w:rtl/>
          <w:lang w:bidi="ar-EG"/>
        </w:rPr>
      </w:pPr>
    </w:p>
    <w:p w14:paraId="23C2F369" w14:textId="14DEFACC" w:rsidR="00D32881" w:rsidRPr="00D32881" w:rsidRDefault="002376B7" w:rsidP="00D32881">
      <w:pPr>
        <w:tabs>
          <w:tab w:val="left" w:pos="5505"/>
        </w:tabs>
        <w:bidi/>
        <w:spacing w:after="0" w:line="360" w:lineRule="auto"/>
        <w:jc w:val="both"/>
        <w:rPr>
          <w:rFonts w:ascii="Traditional Arabic" w:hAnsi="Traditional Arabic" w:cs="Traditional Arabic"/>
          <w:b/>
          <w:bCs/>
          <w:sz w:val="28"/>
          <w:szCs w:val="28"/>
          <w:rtl/>
          <w:lang w:bidi="ar-EG"/>
        </w:rPr>
      </w:pPr>
      <w:r w:rsidRPr="002376B7">
        <w:rPr>
          <w:rFonts w:ascii="Traditional Arabic" w:hAnsi="Traditional Arabic" w:cs="Traditional Arabic"/>
          <w:b/>
          <w:bCs/>
          <w:sz w:val="28"/>
          <w:szCs w:val="28"/>
          <w:rtl/>
        </w:rPr>
        <w:lastRenderedPageBreak/>
        <w:t>النقد العام للدراسات السابقة</w:t>
      </w:r>
    </w:p>
    <w:p w14:paraId="4650CB2D" w14:textId="49481257" w:rsidR="002376B7" w:rsidRPr="00D32881" w:rsidRDefault="002376B7" w:rsidP="00D32881">
      <w:pPr>
        <w:tabs>
          <w:tab w:val="left" w:pos="5505"/>
        </w:tabs>
        <w:bidi/>
        <w:spacing w:after="0" w:line="360" w:lineRule="auto"/>
        <w:jc w:val="both"/>
        <w:rPr>
          <w:rFonts w:ascii="Traditional Arabic" w:hAnsi="Traditional Arabic" w:cs="Traditional Arabic"/>
          <w:b/>
          <w:bCs/>
          <w:sz w:val="28"/>
          <w:szCs w:val="28"/>
          <w:u w:val="single"/>
          <w:lang w:bidi="ar-EG"/>
        </w:rPr>
      </w:pPr>
      <w:r w:rsidRPr="00D32881">
        <w:rPr>
          <w:rFonts w:ascii="Traditional Arabic" w:hAnsi="Traditional Arabic" w:cs="Traditional Arabic"/>
          <w:b/>
          <w:bCs/>
          <w:sz w:val="28"/>
          <w:szCs w:val="28"/>
          <w:u w:val="single"/>
          <w:rtl/>
        </w:rPr>
        <w:t>أوجه التشابه بين الدراسة الحالية والدراسات السابقة</w:t>
      </w:r>
      <w:r w:rsidR="00D32881">
        <w:rPr>
          <w:rFonts w:ascii="Traditional Arabic" w:hAnsi="Traditional Arabic" w:cs="Traditional Arabic" w:hint="cs"/>
          <w:b/>
          <w:bCs/>
          <w:sz w:val="28"/>
          <w:szCs w:val="28"/>
          <w:u w:val="single"/>
          <w:rtl/>
        </w:rPr>
        <w:t>:</w:t>
      </w:r>
    </w:p>
    <w:p w14:paraId="248F6AD2" w14:textId="77777777" w:rsidR="002376B7" w:rsidRPr="002376B7" w:rsidRDefault="002376B7" w:rsidP="002376B7">
      <w:pPr>
        <w:numPr>
          <w:ilvl w:val="0"/>
          <w:numId w:val="11"/>
        </w:numPr>
        <w:tabs>
          <w:tab w:val="left" w:pos="5505"/>
        </w:tabs>
        <w:bidi/>
        <w:spacing w:after="0" w:line="360" w:lineRule="auto"/>
        <w:jc w:val="both"/>
        <w:rPr>
          <w:rFonts w:ascii="Traditional Arabic" w:hAnsi="Traditional Arabic" w:cs="Traditional Arabic"/>
          <w:sz w:val="28"/>
          <w:szCs w:val="28"/>
          <w:lang w:bidi="ar-EG"/>
        </w:rPr>
      </w:pPr>
      <w:r w:rsidRPr="002376B7">
        <w:rPr>
          <w:rFonts w:ascii="Traditional Arabic" w:hAnsi="Traditional Arabic" w:cs="Traditional Arabic"/>
          <w:sz w:val="28"/>
          <w:szCs w:val="28"/>
          <w:rtl/>
        </w:rPr>
        <w:t>تهتم جميع الدراسات بتوظيف التقنيات الرقمية الحديثة لتطوير القطاع الصحي وتحسين جودة الخدمات الصحية</w:t>
      </w:r>
      <w:r w:rsidRPr="002376B7">
        <w:rPr>
          <w:rFonts w:ascii="Traditional Arabic" w:hAnsi="Traditional Arabic" w:cs="Traditional Arabic"/>
          <w:sz w:val="28"/>
          <w:szCs w:val="28"/>
          <w:lang w:bidi="ar-EG"/>
        </w:rPr>
        <w:t>.</w:t>
      </w:r>
    </w:p>
    <w:p w14:paraId="2D01BC3A" w14:textId="77777777" w:rsidR="002376B7" w:rsidRPr="002376B7" w:rsidRDefault="002376B7" w:rsidP="002376B7">
      <w:pPr>
        <w:numPr>
          <w:ilvl w:val="0"/>
          <w:numId w:val="11"/>
        </w:numPr>
        <w:tabs>
          <w:tab w:val="left" w:pos="5505"/>
        </w:tabs>
        <w:bidi/>
        <w:spacing w:after="0" w:line="360" w:lineRule="auto"/>
        <w:jc w:val="both"/>
        <w:rPr>
          <w:rFonts w:ascii="Traditional Arabic" w:hAnsi="Traditional Arabic" w:cs="Traditional Arabic"/>
          <w:sz w:val="28"/>
          <w:szCs w:val="28"/>
          <w:lang w:bidi="ar-EG"/>
        </w:rPr>
      </w:pPr>
      <w:r w:rsidRPr="002376B7">
        <w:rPr>
          <w:rFonts w:ascii="Traditional Arabic" w:hAnsi="Traditional Arabic" w:cs="Traditional Arabic"/>
          <w:sz w:val="28"/>
          <w:szCs w:val="28"/>
          <w:rtl/>
        </w:rPr>
        <w:t>تتفق الدراسة الحالية مع الدراسات السابقة في التأكيد على أهمية التحول الرقمي في رفع كفاءة الأنظمة الصحية</w:t>
      </w:r>
      <w:r w:rsidRPr="002376B7">
        <w:rPr>
          <w:rFonts w:ascii="Traditional Arabic" w:hAnsi="Traditional Arabic" w:cs="Traditional Arabic"/>
          <w:sz w:val="28"/>
          <w:szCs w:val="28"/>
          <w:lang w:bidi="ar-EG"/>
        </w:rPr>
        <w:t>.</w:t>
      </w:r>
    </w:p>
    <w:p w14:paraId="369ED0EA" w14:textId="77777777" w:rsidR="002376B7" w:rsidRPr="002376B7" w:rsidRDefault="002376B7" w:rsidP="002376B7">
      <w:pPr>
        <w:numPr>
          <w:ilvl w:val="0"/>
          <w:numId w:val="11"/>
        </w:numPr>
        <w:tabs>
          <w:tab w:val="left" w:pos="5505"/>
        </w:tabs>
        <w:bidi/>
        <w:spacing w:after="0" w:line="360" w:lineRule="auto"/>
        <w:jc w:val="both"/>
        <w:rPr>
          <w:rFonts w:ascii="Traditional Arabic" w:hAnsi="Traditional Arabic" w:cs="Traditional Arabic"/>
          <w:sz w:val="28"/>
          <w:szCs w:val="28"/>
          <w:lang w:bidi="ar-EG"/>
        </w:rPr>
      </w:pPr>
      <w:r w:rsidRPr="002376B7">
        <w:rPr>
          <w:rFonts w:ascii="Traditional Arabic" w:hAnsi="Traditional Arabic" w:cs="Traditional Arabic"/>
          <w:sz w:val="28"/>
          <w:szCs w:val="28"/>
          <w:rtl/>
        </w:rPr>
        <w:t>تشترك الدراسة الحالية مع الدراسات السابقة في الاهتمام بأمن المعلومات الصحية وحماية البيانات الطبية</w:t>
      </w:r>
      <w:r w:rsidRPr="002376B7">
        <w:rPr>
          <w:rFonts w:ascii="Traditional Arabic" w:hAnsi="Traditional Arabic" w:cs="Traditional Arabic"/>
          <w:sz w:val="28"/>
          <w:szCs w:val="28"/>
          <w:lang w:bidi="ar-EG"/>
        </w:rPr>
        <w:t>.</w:t>
      </w:r>
    </w:p>
    <w:p w14:paraId="05C184AB" w14:textId="77777777" w:rsidR="002376B7" w:rsidRPr="002376B7" w:rsidRDefault="002376B7" w:rsidP="002376B7">
      <w:pPr>
        <w:numPr>
          <w:ilvl w:val="0"/>
          <w:numId w:val="11"/>
        </w:numPr>
        <w:tabs>
          <w:tab w:val="left" w:pos="5505"/>
        </w:tabs>
        <w:bidi/>
        <w:spacing w:after="0" w:line="360" w:lineRule="auto"/>
        <w:jc w:val="both"/>
        <w:rPr>
          <w:rFonts w:ascii="Traditional Arabic" w:hAnsi="Traditional Arabic" w:cs="Traditional Arabic"/>
          <w:sz w:val="28"/>
          <w:szCs w:val="28"/>
          <w:lang w:bidi="ar-EG"/>
        </w:rPr>
      </w:pPr>
      <w:r w:rsidRPr="002376B7">
        <w:rPr>
          <w:rFonts w:ascii="Traditional Arabic" w:hAnsi="Traditional Arabic" w:cs="Traditional Arabic"/>
          <w:sz w:val="28"/>
          <w:szCs w:val="28"/>
          <w:rtl/>
        </w:rPr>
        <w:t>تتفق مع العديد من الدراسات في إبراز أهمية الابتكار التقني في تحسين الأداء المؤسسي للمنشآت الصحية</w:t>
      </w:r>
      <w:r w:rsidRPr="002376B7">
        <w:rPr>
          <w:rFonts w:ascii="Traditional Arabic" w:hAnsi="Traditional Arabic" w:cs="Traditional Arabic"/>
          <w:sz w:val="28"/>
          <w:szCs w:val="28"/>
          <w:lang w:bidi="ar-EG"/>
        </w:rPr>
        <w:t>.</w:t>
      </w:r>
    </w:p>
    <w:p w14:paraId="6C0B378F" w14:textId="77777777" w:rsidR="002376B7" w:rsidRPr="002376B7" w:rsidRDefault="002376B7" w:rsidP="002376B7">
      <w:pPr>
        <w:numPr>
          <w:ilvl w:val="0"/>
          <w:numId w:val="11"/>
        </w:numPr>
        <w:tabs>
          <w:tab w:val="left" w:pos="5505"/>
        </w:tabs>
        <w:bidi/>
        <w:spacing w:after="0" w:line="360" w:lineRule="auto"/>
        <w:jc w:val="both"/>
        <w:rPr>
          <w:rFonts w:ascii="Traditional Arabic" w:hAnsi="Traditional Arabic" w:cs="Traditional Arabic"/>
          <w:sz w:val="28"/>
          <w:szCs w:val="28"/>
          <w:lang w:bidi="ar-EG"/>
        </w:rPr>
      </w:pPr>
      <w:r w:rsidRPr="002376B7">
        <w:rPr>
          <w:rFonts w:ascii="Traditional Arabic" w:hAnsi="Traditional Arabic" w:cs="Traditional Arabic"/>
          <w:sz w:val="28"/>
          <w:szCs w:val="28"/>
          <w:rtl/>
        </w:rPr>
        <w:t>تشترك مع الدراسات السابقة في تناول تطبيقات الميتافيرس والبلوكشين باعتبارهما من التقنيات الرقمية الناشئة</w:t>
      </w:r>
      <w:r w:rsidRPr="002376B7">
        <w:rPr>
          <w:rFonts w:ascii="Traditional Arabic" w:hAnsi="Traditional Arabic" w:cs="Traditional Arabic"/>
          <w:sz w:val="28"/>
          <w:szCs w:val="28"/>
          <w:lang w:bidi="ar-EG"/>
        </w:rPr>
        <w:t>.</w:t>
      </w:r>
    </w:p>
    <w:p w14:paraId="055F65EF" w14:textId="77777777" w:rsidR="002376B7" w:rsidRPr="002376B7" w:rsidRDefault="002376B7" w:rsidP="002376B7">
      <w:pPr>
        <w:numPr>
          <w:ilvl w:val="0"/>
          <w:numId w:val="11"/>
        </w:numPr>
        <w:tabs>
          <w:tab w:val="left" w:pos="5505"/>
        </w:tabs>
        <w:bidi/>
        <w:spacing w:after="0" w:line="360" w:lineRule="auto"/>
        <w:jc w:val="both"/>
        <w:rPr>
          <w:rFonts w:ascii="Traditional Arabic" w:hAnsi="Traditional Arabic" w:cs="Traditional Arabic"/>
          <w:sz w:val="28"/>
          <w:szCs w:val="28"/>
          <w:lang w:bidi="ar-EG"/>
        </w:rPr>
      </w:pPr>
      <w:r w:rsidRPr="002376B7">
        <w:rPr>
          <w:rFonts w:ascii="Traditional Arabic" w:hAnsi="Traditional Arabic" w:cs="Traditional Arabic"/>
          <w:sz w:val="28"/>
          <w:szCs w:val="28"/>
          <w:rtl/>
        </w:rPr>
        <w:t>تتفق مع الدراسات السابقة في الاستناد إلى الأدبيات الحديثة المتعلقة بالتحول الرقمي والرعاية الصحية الذكية</w:t>
      </w:r>
      <w:r w:rsidRPr="002376B7">
        <w:rPr>
          <w:rFonts w:ascii="Traditional Arabic" w:hAnsi="Traditional Arabic" w:cs="Traditional Arabic"/>
          <w:sz w:val="28"/>
          <w:szCs w:val="28"/>
          <w:lang w:bidi="ar-EG"/>
        </w:rPr>
        <w:t>.</w:t>
      </w:r>
    </w:p>
    <w:p w14:paraId="37D63467" w14:textId="77777777" w:rsidR="002376B7" w:rsidRPr="002376B7" w:rsidRDefault="002376B7" w:rsidP="002376B7">
      <w:pPr>
        <w:numPr>
          <w:ilvl w:val="0"/>
          <w:numId w:val="11"/>
        </w:numPr>
        <w:tabs>
          <w:tab w:val="left" w:pos="5505"/>
        </w:tabs>
        <w:bidi/>
        <w:spacing w:after="0" w:line="360" w:lineRule="auto"/>
        <w:jc w:val="both"/>
        <w:rPr>
          <w:rFonts w:ascii="Traditional Arabic" w:hAnsi="Traditional Arabic" w:cs="Traditional Arabic"/>
          <w:sz w:val="28"/>
          <w:szCs w:val="28"/>
          <w:lang w:bidi="ar-EG"/>
        </w:rPr>
      </w:pPr>
      <w:r w:rsidRPr="002376B7">
        <w:rPr>
          <w:rFonts w:ascii="Traditional Arabic" w:hAnsi="Traditional Arabic" w:cs="Traditional Arabic"/>
          <w:sz w:val="28"/>
          <w:szCs w:val="28"/>
          <w:rtl/>
        </w:rPr>
        <w:t>تشترك مع أغلب الدراسات في التركيز على دعم جودة الخدمات الصحية وتحسين تجربة المستفيد</w:t>
      </w:r>
      <w:r w:rsidRPr="002376B7">
        <w:rPr>
          <w:rFonts w:ascii="Traditional Arabic" w:hAnsi="Traditional Arabic" w:cs="Traditional Arabic"/>
          <w:sz w:val="28"/>
          <w:szCs w:val="28"/>
          <w:lang w:bidi="ar-EG"/>
        </w:rPr>
        <w:t>.</w:t>
      </w:r>
    </w:p>
    <w:p w14:paraId="2FA51E33" w14:textId="77777777" w:rsidR="002376B7" w:rsidRPr="002376B7" w:rsidRDefault="002376B7" w:rsidP="002376B7">
      <w:pPr>
        <w:numPr>
          <w:ilvl w:val="0"/>
          <w:numId w:val="11"/>
        </w:numPr>
        <w:tabs>
          <w:tab w:val="left" w:pos="5505"/>
        </w:tabs>
        <w:bidi/>
        <w:spacing w:after="0" w:line="360" w:lineRule="auto"/>
        <w:jc w:val="both"/>
        <w:rPr>
          <w:rFonts w:ascii="Traditional Arabic" w:hAnsi="Traditional Arabic" w:cs="Traditional Arabic"/>
          <w:sz w:val="28"/>
          <w:szCs w:val="28"/>
          <w:lang w:bidi="ar-EG"/>
        </w:rPr>
      </w:pPr>
      <w:r w:rsidRPr="002376B7">
        <w:rPr>
          <w:rFonts w:ascii="Traditional Arabic" w:hAnsi="Traditional Arabic" w:cs="Traditional Arabic"/>
          <w:sz w:val="28"/>
          <w:szCs w:val="28"/>
          <w:rtl/>
        </w:rPr>
        <w:t>تتفق مع الدراسات السابقة في السعي إلى دعم اتخاذ القرار المبني على البيانات داخل القطاع الصحي</w:t>
      </w:r>
      <w:r w:rsidRPr="002376B7">
        <w:rPr>
          <w:rFonts w:ascii="Traditional Arabic" w:hAnsi="Traditional Arabic" w:cs="Traditional Arabic"/>
          <w:sz w:val="28"/>
          <w:szCs w:val="28"/>
          <w:lang w:bidi="ar-EG"/>
        </w:rPr>
        <w:t>.</w:t>
      </w:r>
    </w:p>
    <w:p w14:paraId="6C8448A4" w14:textId="0900C755" w:rsidR="002376B7" w:rsidRPr="002376B7" w:rsidRDefault="002376B7" w:rsidP="002376B7">
      <w:pPr>
        <w:tabs>
          <w:tab w:val="left" w:pos="5505"/>
        </w:tabs>
        <w:bidi/>
        <w:spacing w:after="0" w:line="360" w:lineRule="auto"/>
        <w:jc w:val="both"/>
        <w:rPr>
          <w:rFonts w:ascii="Traditional Arabic" w:hAnsi="Traditional Arabic" w:cs="Traditional Arabic"/>
          <w:sz w:val="28"/>
          <w:szCs w:val="28"/>
          <w:lang w:bidi="ar-EG"/>
        </w:rPr>
      </w:pPr>
    </w:p>
    <w:p w14:paraId="29E3ABAC" w14:textId="6CF47037" w:rsidR="002376B7" w:rsidRPr="00D32881" w:rsidRDefault="002376B7" w:rsidP="002376B7">
      <w:pPr>
        <w:tabs>
          <w:tab w:val="left" w:pos="5505"/>
        </w:tabs>
        <w:bidi/>
        <w:spacing w:after="0" w:line="360" w:lineRule="auto"/>
        <w:jc w:val="both"/>
        <w:rPr>
          <w:rFonts w:ascii="Traditional Arabic" w:hAnsi="Traditional Arabic" w:cs="Traditional Arabic"/>
          <w:b/>
          <w:bCs/>
          <w:sz w:val="28"/>
          <w:szCs w:val="28"/>
          <w:u w:val="single"/>
          <w:lang w:bidi="ar-EG"/>
        </w:rPr>
      </w:pPr>
      <w:r w:rsidRPr="00D32881">
        <w:rPr>
          <w:rFonts w:ascii="Traditional Arabic" w:hAnsi="Traditional Arabic" w:cs="Traditional Arabic"/>
          <w:b/>
          <w:bCs/>
          <w:sz w:val="28"/>
          <w:szCs w:val="28"/>
          <w:u w:val="single"/>
          <w:rtl/>
        </w:rPr>
        <w:t>أوجه الاختلاف بين الدراسة الحالية والدراسات السابقة</w:t>
      </w:r>
      <w:r w:rsidR="00D32881">
        <w:rPr>
          <w:rFonts w:ascii="Traditional Arabic" w:hAnsi="Traditional Arabic" w:cs="Traditional Arabic" w:hint="cs"/>
          <w:b/>
          <w:bCs/>
          <w:sz w:val="28"/>
          <w:szCs w:val="28"/>
          <w:u w:val="single"/>
          <w:rtl/>
        </w:rPr>
        <w:t>:</w:t>
      </w:r>
    </w:p>
    <w:p w14:paraId="1E3DB523" w14:textId="77777777" w:rsidR="002376B7" w:rsidRPr="00D32881" w:rsidRDefault="002376B7" w:rsidP="002376B7">
      <w:pPr>
        <w:numPr>
          <w:ilvl w:val="0"/>
          <w:numId w:val="12"/>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تتميز الدراسة الحالية بدراسة التكامل بين تقنيتي الميتافيرس والبلوكشين، بينما تناولت معظم الدراسات السابقة كل تقنية بصورة مستقلة</w:t>
      </w:r>
      <w:r w:rsidRPr="00D32881">
        <w:rPr>
          <w:rFonts w:ascii="Traditional Arabic" w:hAnsi="Traditional Arabic" w:cs="Traditional Arabic"/>
          <w:sz w:val="28"/>
          <w:szCs w:val="28"/>
          <w:lang w:bidi="ar-EG"/>
        </w:rPr>
        <w:t>.</w:t>
      </w:r>
    </w:p>
    <w:p w14:paraId="405AB66A" w14:textId="77777777" w:rsidR="002376B7" w:rsidRPr="00D32881" w:rsidRDefault="002376B7" w:rsidP="002376B7">
      <w:pPr>
        <w:numPr>
          <w:ilvl w:val="0"/>
          <w:numId w:val="12"/>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تضيف الدراسة الحالية متغير الاستراتيجيات التنظيمية والتقنية بوصفه عنصرًا داعمًا لنجاح تطبيق التقنيات الحديثة، وهو ما لم تتناوله غالبية الدراسات السابقة</w:t>
      </w:r>
      <w:r w:rsidRPr="00D32881">
        <w:rPr>
          <w:rFonts w:ascii="Traditional Arabic" w:hAnsi="Traditional Arabic" w:cs="Traditional Arabic"/>
          <w:sz w:val="28"/>
          <w:szCs w:val="28"/>
          <w:lang w:bidi="ar-EG"/>
        </w:rPr>
        <w:t>.</w:t>
      </w:r>
    </w:p>
    <w:p w14:paraId="7314CAE9" w14:textId="77777777" w:rsidR="002376B7" w:rsidRPr="00D32881" w:rsidRDefault="002376B7" w:rsidP="002376B7">
      <w:pPr>
        <w:numPr>
          <w:ilvl w:val="0"/>
          <w:numId w:val="12"/>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تركز الدراسة الحالية على تطوير الأنظمة الصحية بوصفه المتغير التابع الرئيس، وليس على جانب محدد مثل التدريب أو أمن البيانات أو التعليم الطبي</w:t>
      </w:r>
      <w:r w:rsidRPr="00D32881">
        <w:rPr>
          <w:rFonts w:ascii="Traditional Arabic" w:hAnsi="Traditional Arabic" w:cs="Traditional Arabic"/>
          <w:sz w:val="28"/>
          <w:szCs w:val="28"/>
          <w:lang w:bidi="ar-EG"/>
        </w:rPr>
        <w:t>.</w:t>
      </w:r>
    </w:p>
    <w:p w14:paraId="7FB934A4" w14:textId="77777777" w:rsidR="002376B7" w:rsidRPr="00D32881" w:rsidRDefault="002376B7" w:rsidP="002376B7">
      <w:pPr>
        <w:numPr>
          <w:ilvl w:val="0"/>
          <w:numId w:val="12"/>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تُجرى الدراسة الحالية في القطاع الصحي بالمملكة العربية السعودية، بما ينسجم مع مستهدفات رؤية المملكة 2030، بينما أُجريت معظم الدراسات السابقة في بيئات دولية مختلفة</w:t>
      </w:r>
      <w:r w:rsidRPr="00D32881">
        <w:rPr>
          <w:rFonts w:ascii="Traditional Arabic" w:hAnsi="Traditional Arabic" w:cs="Traditional Arabic"/>
          <w:sz w:val="28"/>
          <w:szCs w:val="28"/>
          <w:lang w:bidi="ar-EG"/>
        </w:rPr>
        <w:t>.</w:t>
      </w:r>
    </w:p>
    <w:p w14:paraId="7F257C46" w14:textId="77777777" w:rsidR="002376B7" w:rsidRPr="00D32881" w:rsidRDefault="002376B7" w:rsidP="002376B7">
      <w:pPr>
        <w:numPr>
          <w:ilvl w:val="0"/>
          <w:numId w:val="12"/>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lastRenderedPageBreak/>
        <w:t>تعتمد الدراسة الحالية على نموذج مفاهيمي متكامل يربط بين المتغيرات المستقلة والمتغير التابع لاختبار العلاقات بينها ميدانيًا</w:t>
      </w:r>
      <w:r w:rsidRPr="00D32881">
        <w:rPr>
          <w:rFonts w:ascii="Traditional Arabic" w:hAnsi="Traditional Arabic" w:cs="Traditional Arabic"/>
          <w:sz w:val="28"/>
          <w:szCs w:val="28"/>
          <w:lang w:bidi="ar-EG"/>
        </w:rPr>
        <w:t>.</w:t>
      </w:r>
    </w:p>
    <w:p w14:paraId="5C1D7DA4" w14:textId="77777777" w:rsidR="002376B7" w:rsidRPr="00D32881" w:rsidRDefault="002376B7" w:rsidP="002376B7">
      <w:pPr>
        <w:numPr>
          <w:ilvl w:val="0"/>
          <w:numId w:val="12"/>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تجمع الدراسة الحالية بين الأبعاد التقنية والتنظيمية والإدارية في تفسير تطوير الأنظمة الصحية، بينما ركزت الدراسات السابقة غالبًا على أحد هذه الأبعاد دون غيره</w:t>
      </w:r>
      <w:r w:rsidRPr="00D32881">
        <w:rPr>
          <w:rFonts w:ascii="Traditional Arabic" w:hAnsi="Traditional Arabic" w:cs="Traditional Arabic"/>
          <w:sz w:val="28"/>
          <w:szCs w:val="28"/>
          <w:lang w:bidi="ar-EG"/>
        </w:rPr>
        <w:t>.</w:t>
      </w:r>
    </w:p>
    <w:p w14:paraId="7269F24A" w14:textId="77777777" w:rsidR="002376B7" w:rsidRPr="002376B7" w:rsidRDefault="002376B7" w:rsidP="002376B7">
      <w:pPr>
        <w:numPr>
          <w:ilvl w:val="0"/>
          <w:numId w:val="12"/>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تسعى الدراسة الحالية إلى تقديم</w:t>
      </w:r>
      <w:r w:rsidRPr="002376B7">
        <w:rPr>
          <w:rFonts w:ascii="Traditional Arabic" w:hAnsi="Traditional Arabic" w:cs="Traditional Arabic"/>
          <w:sz w:val="28"/>
          <w:szCs w:val="28"/>
          <w:rtl/>
        </w:rPr>
        <w:t xml:space="preserve"> نتائج تطبيقية يمكن الاستفادة منها في دعم متخذي القرار داخل القطاع الصحي السعودي</w:t>
      </w:r>
      <w:r w:rsidRPr="002376B7">
        <w:rPr>
          <w:rFonts w:ascii="Traditional Arabic" w:hAnsi="Traditional Arabic" w:cs="Traditional Arabic"/>
          <w:sz w:val="28"/>
          <w:szCs w:val="28"/>
          <w:lang w:bidi="ar-EG"/>
        </w:rPr>
        <w:t>.</w:t>
      </w:r>
    </w:p>
    <w:p w14:paraId="6580E86F" w14:textId="592E9055" w:rsidR="002376B7" w:rsidRPr="002376B7" w:rsidRDefault="002376B7" w:rsidP="002376B7">
      <w:pPr>
        <w:tabs>
          <w:tab w:val="left" w:pos="5505"/>
        </w:tabs>
        <w:bidi/>
        <w:spacing w:after="0" w:line="360" w:lineRule="auto"/>
        <w:jc w:val="both"/>
        <w:rPr>
          <w:rFonts w:ascii="Traditional Arabic" w:hAnsi="Traditional Arabic" w:cs="Traditional Arabic"/>
          <w:sz w:val="28"/>
          <w:szCs w:val="28"/>
          <w:lang w:bidi="ar-EG"/>
        </w:rPr>
      </w:pPr>
    </w:p>
    <w:p w14:paraId="1D61C55D" w14:textId="7881DB4C" w:rsidR="002376B7" w:rsidRPr="00D32881" w:rsidRDefault="002376B7" w:rsidP="002376B7">
      <w:pPr>
        <w:tabs>
          <w:tab w:val="left" w:pos="5505"/>
        </w:tabs>
        <w:bidi/>
        <w:spacing w:after="0" w:line="360" w:lineRule="auto"/>
        <w:jc w:val="both"/>
        <w:rPr>
          <w:rFonts w:ascii="Traditional Arabic" w:hAnsi="Traditional Arabic" w:cs="Traditional Arabic"/>
          <w:b/>
          <w:bCs/>
          <w:sz w:val="28"/>
          <w:szCs w:val="28"/>
          <w:u w:val="single"/>
          <w:lang w:bidi="ar-EG"/>
        </w:rPr>
      </w:pPr>
      <w:r w:rsidRPr="00D32881">
        <w:rPr>
          <w:rFonts w:ascii="Traditional Arabic" w:hAnsi="Traditional Arabic" w:cs="Traditional Arabic"/>
          <w:b/>
          <w:bCs/>
          <w:sz w:val="28"/>
          <w:szCs w:val="28"/>
          <w:u w:val="single"/>
          <w:rtl/>
        </w:rPr>
        <w:t>الفجوة البحثية</w:t>
      </w:r>
      <w:r w:rsidR="00D32881">
        <w:rPr>
          <w:rFonts w:ascii="Traditional Arabic" w:hAnsi="Traditional Arabic" w:cs="Traditional Arabic" w:hint="cs"/>
          <w:b/>
          <w:bCs/>
          <w:sz w:val="28"/>
          <w:szCs w:val="28"/>
          <w:u w:val="single"/>
          <w:rtl/>
        </w:rPr>
        <w:t>:</w:t>
      </w:r>
    </w:p>
    <w:p w14:paraId="4ADD4EDC" w14:textId="77777777" w:rsidR="002376B7" w:rsidRPr="00D32881" w:rsidRDefault="002376B7" w:rsidP="002376B7">
      <w:pPr>
        <w:numPr>
          <w:ilvl w:val="0"/>
          <w:numId w:val="13"/>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وجود ندرة في الدراسات التي تناولت دمج الميتافيرس والبلوكشين معًا داخل نموذج بحثي واحد في القطاع الصحي</w:t>
      </w:r>
      <w:r w:rsidRPr="00D32881">
        <w:rPr>
          <w:rFonts w:ascii="Traditional Arabic" w:hAnsi="Traditional Arabic" w:cs="Traditional Arabic"/>
          <w:sz w:val="28"/>
          <w:szCs w:val="28"/>
          <w:lang w:bidi="ar-EG"/>
        </w:rPr>
        <w:t>.</w:t>
      </w:r>
    </w:p>
    <w:p w14:paraId="2727321A" w14:textId="77777777" w:rsidR="002376B7" w:rsidRPr="00D32881" w:rsidRDefault="002376B7" w:rsidP="002376B7">
      <w:pPr>
        <w:numPr>
          <w:ilvl w:val="0"/>
          <w:numId w:val="13"/>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محدودية الدراسات التي بحثت أثر التكامل بين التقنيات الناشئة في تطوير الأنظمة الصحية بصورة شاملة</w:t>
      </w:r>
      <w:r w:rsidRPr="00D32881">
        <w:rPr>
          <w:rFonts w:ascii="Traditional Arabic" w:hAnsi="Traditional Arabic" w:cs="Traditional Arabic"/>
          <w:sz w:val="28"/>
          <w:szCs w:val="28"/>
          <w:lang w:bidi="ar-EG"/>
        </w:rPr>
        <w:t>.</w:t>
      </w:r>
    </w:p>
    <w:p w14:paraId="25B9E3AB" w14:textId="77777777" w:rsidR="002376B7" w:rsidRPr="00D32881" w:rsidRDefault="002376B7" w:rsidP="002376B7">
      <w:pPr>
        <w:numPr>
          <w:ilvl w:val="0"/>
          <w:numId w:val="13"/>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نقص الدراسات التطبيقية التي اختبرت هذه العلاقات ميدانيًا في القطاع الصحي السعودي</w:t>
      </w:r>
      <w:r w:rsidRPr="00D32881">
        <w:rPr>
          <w:rFonts w:ascii="Traditional Arabic" w:hAnsi="Traditional Arabic" w:cs="Traditional Arabic"/>
          <w:sz w:val="28"/>
          <w:szCs w:val="28"/>
          <w:lang w:bidi="ar-EG"/>
        </w:rPr>
        <w:t>.</w:t>
      </w:r>
    </w:p>
    <w:p w14:paraId="675FD0E4" w14:textId="77777777" w:rsidR="002376B7" w:rsidRPr="00D32881" w:rsidRDefault="002376B7" w:rsidP="002376B7">
      <w:pPr>
        <w:numPr>
          <w:ilvl w:val="0"/>
          <w:numId w:val="13"/>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قلة الدراسات التي دمجت بين الجوانب التقنية والتنظيمية والإدارية عند دراسة تطوير الأنظمة الصحية</w:t>
      </w:r>
      <w:r w:rsidRPr="00D32881">
        <w:rPr>
          <w:rFonts w:ascii="Traditional Arabic" w:hAnsi="Traditional Arabic" w:cs="Traditional Arabic"/>
          <w:sz w:val="28"/>
          <w:szCs w:val="28"/>
          <w:lang w:bidi="ar-EG"/>
        </w:rPr>
        <w:t>.</w:t>
      </w:r>
    </w:p>
    <w:p w14:paraId="61DD9664" w14:textId="77777777" w:rsidR="002376B7" w:rsidRPr="00D32881" w:rsidRDefault="002376B7" w:rsidP="002376B7">
      <w:pPr>
        <w:numPr>
          <w:ilvl w:val="0"/>
          <w:numId w:val="13"/>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ضعف الاهتمام بدور الاستراتيجيات التنظيمية والتقنية في تعزيز نجاح تطبيق الميتافيرس والبلوكشين</w:t>
      </w:r>
      <w:r w:rsidRPr="00D32881">
        <w:rPr>
          <w:rFonts w:ascii="Traditional Arabic" w:hAnsi="Traditional Arabic" w:cs="Traditional Arabic"/>
          <w:sz w:val="28"/>
          <w:szCs w:val="28"/>
          <w:lang w:bidi="ar-EG"/>
        </w:rPr>
        <w:t>.</w:t>
      </w:r>
    </w:p>
    <w:p w14:paraId="0CDF52D2" w14:textId="77777777" w:rsidR="002376B7" w:rsidRPr="00D32881" w:rsidRDefault="002376B7" w:rsidP="002376B7">
      <w:pPr>
        <w:numPr>
          <w:ilvl w:val="0"/>
          <w:numId w:val="13"/>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عدم وجود نموذج بحثي متكامل يوضح العلاقات بين دمج الميتافيرس، ودمج البلوكشين، والاستراتيجيات التنظيمية والتقنية، وأثرها في تطوير الأنظمة الصحية</w:t>
      </w:r>
      <w:r w:rsidRPr="00D32881">
        <w:rPr>
          <w:rFonts w:ascii="Traditional Arabic" w:hAnsi="Traditional Arabic" w:cs="Traditional Arabic"/>
          <w:sz w:val="28"/>
          <w:szCs w:val="28"/>
          <w:lang w:bidi="ar-EG"/>
        </w:rPr>
        <w:t>.</w:t>
      </w:r>
    </w:p>
    <w:p w14:paraId="6E79099E" w14:textId="77777777" w:rsidR="002376B7" w:rsidRPr="00D32881" w:rsidRDefault="002376B7" w:rsidP="002376B7">
      <w:pPr>
        <w:numPr>
          <w:ilvl w:val="0"/>
          <w:numId w:val="13"/>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الحاجة إلى تقديم أدلة ميدانية تدعم صناع القرار في تبني التقنيات الرقمية الحديثة بما يتوافق مع مستهدفات رؤية المملكة العربية السعودية 2030</w:t>
      </w:r>
      <w:r w:rsidRPr="00D32881">
        <w:rPr>
          <w:rFonts w:ascii="Traditional Arabic" w:hAnsi="Traditional Arabic" w:cs="Traditional Arabic"/>
          <w:sz w:val="28"/>
          <w:szCs w:val="28"/>
          <w:lang w:bidi="ar-EG"/>
        </w:rPr>
        <w:t>.</w:t>
      </w:r>
    </w:p>
    <w:p w14:paraId="3472EF9B" w14:textId="77777777" w:rsidR="002376B7" w:rsidRPr="00D32881" w:rsidRDefault="002376B7" w:rsidP="002376B7">
      <w:pPr>
        <w:numPr>
          <w:ilvl w:val="0"/>
          <w:numId w:val="13"/>
        </w:numPr>
        <w:tabs>
          <w:tab w:val="left" w:pos="5505"/>
        </w:tabs>
        <w:bidi/>
        <w:spacing w:after="0" w:line="360" w:lineRule="auto"/>
        <w:jc w:val="both"/>
        <w:rPr>
          <w:rFonts w:ascii="Traditional Arabic" w:hAnsi="Traditional Arabic" w:cs="Traditional Arabic"/>
          <w:sz w:val="28"/>
          <w:szCs w:val="28"/>
          <w:lang w:bidi="ar-EG"/>
        </w:rPr>
      </w:pPr>
      <w:r w:rsidRPr="00D32881">
        <w:rPr>
          <w:rFonts w:ascii="Traditional Arabic" w:hAnsi="Traditional Arabic" w:cs="Traditional Arabic"/>
          <w:sz w:val="28"/>
          <w:szCs w:val="28"/>
          <w:rtl/>
        </w:rPr>
        <w:t>الحاجة إلى إثراء الأدبيات العربية بدراسة حديثة تتناول هذا الموضوع في ضوء التطورات المتسارعة في التقنيات الرقمية والتحول الرقمي الصحي</w:t>
      </w:r>
      <w:r w:rsidRPr="00D32881">
        <w:rPr>
          <w:rFonts w:ascii="Traditional Arabic" w:hAnsi="Traditional Arabic" w:cs="Traditional Arabic"/>
          <w:sz w:val="28"/>
          <w:szCs w:val="28"/>
          <w:lang w:bidi="ar-EG"/>
        </w:rPr>
        <w:t>.</w:t>
      </w:r>
    </w:p>
    <w:p w14:paraId="50009A44" w14:textId="77777777" w:rsidR="002376B7" w:rsidRPr="002376B7" w:rsidRDefault="002376B7" w:rsidP="002376B7">
      <w:pPr>
        <w:tabs>
          <w:tab w:val="left" w:pos="5505"/>
        </w:tabs>
        <w:bidi/>
        <w:spacing w:after="0" w:line="360" w:lineRule="auto"/>
        <w:jc w:val="both"/>
        <w:rPr>
          <w:rFonts w:ascii="Traditional Arabic" w:hAnsi="Traditional Arabic" w:cs="Traditional Arabic"/>
          <w:sz w:val="28"/>
          <w:szCs w:val="28"/>
          <w:rtl/>
          <w:lang w:bidi="ar-EG"/>
        </w:rPr>
      </w:pPr>
    </w:p>
    <w:p w14:paraId="04416807" w14:textId="77777777" w:rsidR="002376B7" w:rsidRDefault="002376B7" w:rsidP="002376B7">
      <w:pPr>
        <w:tabs>
          <w:tab w:val="left" w:pos="5505"/>
        </w:tabs>
        <w:bidi/>
        <w:rPr>
          <w:rFonts w:ascii="Traditional Arabic" w:hAnsi="Traditional Arabic" w:cs="Traditional Arabic"/>
          <w:b/>
          <w:bCs/>
          <w:sz w:val="32"/>
          <w:szCs w:val="32"/>
          <w:rtl/>
          <w:lang w:bidi="ar-EG"/>
        </w:rPr>
      </w:pPr>
    </w:p>
    <w:p w14:paraId="4A3BE65B" w14:textId="77777777" w:rsidR="002376B7" w:rsidRDefault="002376B7" w:rsidP="002376B7">
      <w:pPr>
        <w:tabs>
          <w:tab w:val="left" w:pos="5505"/>
        </w:tabs>
        <w:bidi/>
        <w:rPr>
          <w:rFonts w:ascii="Traditional Arabic" w:hAnsi="Traditional Arabic" w:cs="Traditional Arabic"/>
          <w:b/>
          <w:bCs/>
          <w:sz w:val="32"/>
          <w:szCs w:val="32"/>
          <w:rtl/>
          <w:lang w:bidi="ar-EG"/>
        </w:rPr>
      </w:pPr>
    </w:p>
    <w:p w14:paraId="2E0C0B46" w14:textId="644C9A04" w:rsidR="00092A6E" w:rsidRDefault="009C35D0" w:rsidP="00931975">
      <w:pPr>
        <w:pStyle w:val="Heading2"/>
        <w:bidi/>
        <w:rPr>
          <w:rFonts w:ascii="Traditional Arabic" w:hAnsi="Traditional Arabic" w:cs="Traditional Arabic"/>
          <w:b/>
          <w:bCs/>
          <w:color w:val="auto"/>
          <w:rtl/>
          <w:lang w:bidi="ar-EG"/>
        </w:rPr>
      </w:pPr>
      <w:bookmarkStart w:id="8" w:name="_Toc234906713"/>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8"/>
    </w:p>
    <w:p w14:paraId="09B998C9" w14:textId="11ED4EDA" w:rsidR="00C67717" w:rsidRPr="007D1D88" w:rsidRDefault="00AA7533" w:rsidP="007D1D88">
      <w:pPr>
        <w:pStyle w:val="ListParagraph"/>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العربية:</w:t>
      </w:r>
    </w:p>
    <w:p w14:paraId="304C2216" w14:textId="77777777" w:rsidR="007D1D88" w:rsidRDefault="007D1D88" w:rsidP="007D1D88">
      <w:pPr>
        <w:pStyle w:val="Bibliography"/>
        <w:bidi/>
        <w:ind w:left="720" w:hanging="720"/>
        <w:rPr>
          <w:noProof/>
        </w:rPr>
      </w:pPr>
      <w:r>
        <w:rPr>
          <w:noProof/>
          <w:rtl/>
        </w:rPr>
        <w:t>البدري, ف. س</w:t>
      </w:r>
      <w:r>
        <w:rPr>
          <w:noProof/>
        </w:rPr>
        <w:t xml:space="preserve">. (2024). </w:t>
      </w:r>
      <w:r>
        <w:rPr>
          <w:noProof/>
          <w:rtl/>
        </w:rPr>
        <w:t>أثر نظم المعلومات الإدارية في تحسين جودة الخدمات الصحية: دراسة ميدانية على العاملين بالمركز الصحي الأبيار</w:t>
      </w:r>
      <w:r>
        <w:rPr>
          <w:noProof/>
        </w:rPr>
        <w:t xml:space="preserve">. </w:t>
      </w:r>
      <w:r>
        <w:rPr>
          <w:i/>
          <w:iCs/>
          <w:noProof/>
        </w:rPr>
        <w:t>21</w:t>
      </w:r>
      <w:r>
        <w:rPr>
          <w:noProof/>
        </w:rPr>
        <w:t>(2). Retrieved from https://journals.asmarya.edu.ly/econ/index.php/epj/article/view/296?articlesBySimilarityPage</w:t>
      </w:r>
    </w:p>
    <w:p w14:paraId="73C466F4" w14:textId="77777777" w:rsidR="007D1D88" w:rsidRDefault="007D1D88" w:rsidP="007D1D88">
      <w:pPr>
        <w:pStyle w:val="Bibliography"/>
        <w:bidi/>
        <w:ind w:left="720" w:hanging="720"/>
        <w:rPr>
          <w:noProof/>
        </w:rPr>
      </w:pPr>
      <w:r>
        <w:rPr>
          <w:noProof/>
          <w:rtl/>
        </w:rPr>
        <w:t>خالد, ل</w:t>
      </w:r>
      <w:r>
        <w:rPr>
          <w:noProof/>
        </w:rPr>
        <w:t xml:space="preserve">. (2023). </w:t>
      </w:r>
      <w:r>
        <w:rPr>
          <w:noProof/>
          <w:rtl/>
        </w:rPr>
        <w:t>متطلبات الجاهزية لاعتماد تكنولوجيا سلسلة الكتل</w:t>
      </w:r>
      <w:r>
        <w:rPr>
          <w:noProof/>
        </w:rPr>
        <w:t xml:space="preserve"> "Blockchain" </w:t>
      </w:r>
      <w:r>
        <w:rPr>
          <w:noProof/>
          <w:rtl/>
        </w:rPr>
        <w:t>في تسويق خدمات الرعاية الصحية: دراسة تجربة الإمارات العربية المتحدة</w:t>
      </w:r>
      <w:r>
        <w:rPr>
          <w:noProof/>
        </w:rPr>
        <w:t xml:space="preserve">. </w:t>
      </w:r>
      <w:r>
        <w:rPr>
          <w:i/>
          <w:iCs/>
          <w:noProof/>
        </w:rPr>
        <w:t>7</w:t>
      </w:r>
      <w:r>
        <w:rPr>
          <w:noProof/>
        </w:rPr>
        <w:t>(2). Retrieved from https://search.mandumah.com/Record/1398458</w:t>
      </w:r>
    </w:p>
    <w:p w14:paraId="50AE8AFC" w14:textId="77777777" w:rsidR="007D1D88" w:rsidRDefault="007D1D88" w:rsidP="007D1D88">
      <w:pPr>
        <w:pStyle w:val="Bibliography"/>
        <w:bidi/>
        <w:ind w:left="720" w:hanging="720"/>
        <w:rPr>
          <w:noProof/>
        </w:rPr>
      </w:pPr>
      <w:r>
        <w:rPr>
          <w:noProof/>
          <w:rtl/>
        </w:rPr>
        <w:t>سلمان, ا. ف</w:t>
      </w:r>
      <w:r>
        <w:rPr>
          <w:noProof/>
        </w:rPr>
        <w:t xml:space="preserve">. (2025). </w:t>
      </w:r>
      <w:r>
        <w:rPr>
          <w:noProof/>
          <w:rtl/>
        </w:rPr>
        <w:t>دور التخطيط الاستراتيجي للموارد البشرية في تحسين جودة الخدمات الصحية</w:t>
      </w:r>
      <w:r>
        <w:rPr>
          <w:noProof/>
        </w:rPr>
        <w:t xml:space="preserve">. </w:t>
      </w:r>
      <w:r>
        <w:rPr>
          <w:i/>
          <w:iCs/>
          <w:noProof/>
        </w:rPr>
        <w:t>39</w:t>
      </w:r>
      <w:r>
        <w:rPr>
          <w:noProof/>
        </w:rPr>
        <w:t>(3). Retrieved from https://search.mandumah.com/Record/1621746</w:t>
      </w:r>
    </w:p>
    <w:p w14:paraId="5316D890" w14:textId="77777777" w:rsidR="007D1D88" w:rsidRDefault="007D1D88" w:rsidP="007D1D88">
      <w:pPr>
        <w:pStyle w:val="Bibliography"/>
        <w:bidi/>
        <w:ind w:left="720" w:hanging="720"/>
        <w:rPr>
          <w:noProof/>
        </w:rPr>
      </w:pPr>
      <w:r>
        <w:rPr>
          <w:noProof/>
          <w:rtl/>
        </w:rPr>
        <w:t>عبدالعال, م. ع</w:t>
      </w:r>
      <w:r>
        <w:rPr>
          <w:noProof/>
        </w:rPr>
        <w:t xml:space="preserve">. (2023). </w:t>
      </w:r>
      <w:r>
        <w:rPr>
          <w:noProof/>
          <w:rtl/>
        </w:rPr>
        <w:t>سبل التكامل بين إدارة البيانات الضخمة وتقنية البلوك تشين مع وضع تصور مقترح للرعاية الصحية</w:t>
      </w:r>
      <w:r>
        <w:rPr>
          <w:noProof/>
        </w:rPr>
        <w:t>. Retrieved from https://search.mandumah.com/Record/1512515</w:t>
      </w:r>
    </w:p>
    <w:p w14:paraId="2E7EDF2F" w14:textId="77777777" w:rsidR="007D1D88" w:rsidRDefault="007D1D88" w:rsidP="007D1D88">
      <w:pPr>
        <w:pStyle w:val="Bibliography"/>
        <w:bidi/>
        <w:ind w:left="720" w:hanging="720"/>
        <w:rPr>
          <w:noProof/>
        </w:rPr>
      </w:pPr>
      <w:r>
        <w:rPr>
          <w:noProof/>
          <w:rtl/>
        </w:rPr>
        <w:t>عدنان, ع. ا</w:t>
      </w:r>
      <w:r>
        <w:rPr>
          <w:noProof/>
        </w:rPr>
        <w:t xml:space="preserve">. (2022). </w:t>
      </w:r>
      <w:r>
        <w:rPr>
          <w:noProof/>
          <w:rtl/>
        </w:rPr>
        <w:t>التحول الرقمي في المؤسسات الحكومية وفق رؤية 2030: دراسة حالة مستشفى النور بمكة المكرمة في الفترة من 2021-2022</w:t>
      </w:r>
      <w:r>
        <w:rPr>
          <w:noProof/>
        </w:rPr>
        <w:t xml:space="preserve">. </w:t>
      </w:r>
      <w:r>
        <w:rPr>
          <w:i/>
          <w:iCs/>
          <w:noProof/>
        </w:rPr>
        <w:t>6</w:t>
      </w:r>
      <w:r>
        <w:rPr>
          <w:noProof/>
        </w:rPr>
        <w:t>(25). Retrieved from https://search.mandumah.com/Record/1328870</w:t>
      </w:r>
    </w:p>
    <w:p w14:paraId="10E72E41" w14:textId="77777777" w:rsidR="007D1D88" w:rsidRDefault="007D1D88" w:rsidP="007D1D88">
      <w:pPr>
        <w:pStyle w:val="Bibliography"/>
        <w:bidi/>
        <w:ind w:left="720" w:hanging="720"/>
        <w:rPr>
          <w:noProof/>
        </w:rPr>
      </w:pPr>
      <w:r>
        <w:rPr>
          <w:noProof/>
        </w:rPr>
        <w:t xml:space="preserve">Vivian Nasrulddin, A. S. (2025). </w:t>
      </w:r>
      <w:r>
        <w:rPr>
          <w:noProof/>
          <w:rtl/>
        </w:rPr>
        <w:t>أثر رؤية السعودية 2030 في الموارد الصحية – دراسة قياسية باستخدام نافذة الحدث في المستشفيات التابعة لوزارة الصحة خلال الفترة</w:t>
      </w:r>
      <w:r>
        <w:rPr>
          <w:noProof/>
        </w:rPr>
        <w:t xml:space="preserve"> (2013-2023). </w:t>
      </w:r>
      <w:r>
        <w:rPr>
          <w:i/>
          <w:iCs/>
          <w:noProof/>
        </w:rPr>
        <w:t>33</w:t>
      </w:r>
      <w:r>
        <w:rPr>
          <w:noProof/>
        </w:rPr>
        <w:t>(2). Retrieved from https://journals.iugaza.edu.ps/index.php/IUGJEB/article/view/15272</w:t>
      </w:r>
    </w:p>
    <w:p w14:paraId="60EF5023" w14:textId="77777777" w:rsidR="007B1A67" w:rsidRPr="007D1D88" w:rsidRDefault="007B1A67" w:rsidP="007B1A67">
      <w:pPr>
        <w:bidi/>
        <w:rPr>
          <w:rtl/>
        </w:rPr>
      </w:pPr>
    </w:p>
    <w:p w14:paraId="657B065A" w14:textId="41C58EF6" w:rsidR="00C67717" w:rsidRPr="007D1D88" w:rsidRDefault="00AA7533" w:rsidP="007D1D88">
      <w:pPr>
        <w:pStyle w:val="ListParagraph"/>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color w:val="auto"/>
          <w:sz w:val="24"/>
          <w:szCs w:val="24"/>
        </w:rPr>
        <w:id w:val="1095521732"/>
        <w:docPartObj>
          <w:docPartGallery w:val="Bibliographies"/>
          <w:docPartUnique/>
        </w:docPartObj>
      </w:sdtPr>
      <w:sdtContent>
        <w:p w14:paraId="69681560" w14:textId="57F6AC6E" w:rsidR="007D1D88" w:rsidRPr="007D1D88" w:rsidRDefault="007D1D88" w:rsidP="007D1D88">
          <w:pPr>
            <w:pStyle w:val="Heading1"/>
            <w:spacing w:before="0"/>
            <w:rPr>
              <w:sz w:val="2"/>
              <w:szCs w:val="2"/>
            </w:rPr>
          </w:pPr>
        </w:p>
        <w:sdt>
          <w:sdtPr>
            <w:id w:val="-573587230"/>
            <w:bibliography/>
          </w:sdtPr>
          <w:sdtContent>
            <w:p w14:paraId="547733A6" w14:textId="77777777" w:rsidR="007D1D88" w:rsidRDefault="007D1D88" w:rsidP="007D1D88">
              <w:pPr>
                <w:pStyle w:val="Bibliography"/>
                <w:ind w:left="720" w:hanging="720"/>
                <w:rPr>
                  <w:noProof/>
                  <w:kern w:val="0"/>
                  <w14:ligatures w14:val="none"/>
                </w:rPr>
              </w:pPr>
              <w:r>
                <w:fldChar w:fldCharType="begin"/>
              </w:r>
              <w:r>
                <w:instrText xml:space="preserve"> BIBLIOGRAPHY </w:instrText>
              </w:r>
              <w:r>
                <w:fldChar w:fldCharType="separate"/>
              </w:r>
              <w:r>
                <w:rPr>
                  <w:noProof/>
                </w:rPr>
                <w:t>Ahmad, S. F. (2024). Factors affecting the adoption of metaverse in healthcare: The moderating role of digital division, and meta-culture. Retrieved from https://pmc.ncbi.nlm.nih.gov/articles/PMC11021906/</w:t>
              </w:r>
            </w:p>
            <w:p w14:paraId="7C055346" w14:textId="77777777" w:rsidR="007D1D88" w:rsidRDefault="007D1D88" w:rsidP="007D1D88">
              <w:pPr>
                <w:pStyle w:val="Bibliography"/>
                <w:ind w:left="720" w:hanging="720"/>
                <w:rPr>
                  <w:noProof/>
                </w:rPr>
              </w:pPr>
              <w:r>
                <w:rPr>
                  <w:noProof/>
                </w:rPr>
                <w:t xml:space="preserve">Al-Araji, Z. J. (2025). Healthcare Security in Edge-Fog-Cloud Environment using Blockchain: A Systematic Review. </w:t>
              </w:r>
              <w:r>
                <w:rPr>
                  <w:i/>
                  <w:iCs/>
                  <w:noProof/>
                </w:rPr>
                <w:t>5</w:t>
              </w:r>
              <w:r>
                <w:rPr>
                  <w:noProof/>
                </w:rPr>
                <w:t>(2). Retrieved from https://map.researchcommons.org/mjcs/vol5/iss2/18/</w:t>
              </w:r>
            </w:p>
            <w:p w14:paraId="73589AD0" w14:textId="77777777" w:rsidR="007D1D88" w:rsidRDefault="007D1D88" w:rsidP="007D1D88">
              <w:pPr>
                <w:pStyle w:val="Bibliography"/>
                <w:ind w:left="720" w:hanging="720"/>
                <w:rPr>
                  <w:noProof/>
                </w:rPr>
              </w:pPr>
              <w:r>
                <w:rPr>
                  <w:noProof/>
                </w:rPr>
                <w:t>Alotaibi, N. (2025). Enhancing digital readiness and capability in healthcare: a systematic review of interventions, barriers, and facilitators. Retrieved from https://link.springer.com/article/10.1186/s12913-025-12663-3</w:t>
              </w:r>
            </w:p>
            <w:p w14:paraId="29381D78" w14:textId="77777777" w:rsidR="007D1D88" w:rsidRDefault="007D1D88" w:rsidP="007D1D88">
              <w:pPr>
                <w:pStyle w:val="Bibliography"/>
                <w:ind w:left="720" w:hanging="720"/>
                <w:rPr>
                  <w:noProof/>
                </w:rPr>
              </w:pPr>
              <w:r>
                <w:rPr>
                  <w:noProof/>
                </w:rPr>
                <w:lastRenderedPageBreak/>
                <w:t xml:space="preserve">Bergin, A. D. (2023). Virtual, augmented, mixed, and extended reality interventions in healthcare: a systematic review of health economic evaluations and cost-effectiveness. </w:t>
              </w:r>
              <w:r>
                <w:rPr>
                  <w:i/>
                  <w:iCs/>
                  <w:noProof/>
                </w:rPr>
                <w:t>1</w:t>
              </w:r>
              <w:r>
                <w:rPr>
                  <w:noProof/>
                </w:rPr>
                <w:t>(53). Retrieved from https://link.springer.com/article/10.1186/s44247-023-00054-9</w:t>
              </w:r>
            </w:p>
            <w:p w14:paraId="68CF3A77" w14:textId="77777777" w:rsidR="007D1D88" w:rsidRDefault="007D1D88" w:rsidP="007D1D88">
              <w:pPr>
                <w:pStyle w:val="Bibliography"/>
                <w:ind w:left="720" w:hanging="720"/>
                <w:rPr>
                  <w:noProof/>
                </w:rPr>
              </w:pPr>
              <w:r>
                <w:rPr>
                  <w:noProof/>
                </w:rPr>
                <w:t xml:space="preserve">Damar, S. (2024). A bibliometric analysis of metaverse technologies in healthcare services. </w:t>
              </w:r>
              <w:r>
                <w:rPr>
                  <w:i/>
                  <w:iCs/>
                  <w:noProof/>
                </w:rPr>
                <w:t>18</w:t>
              </w:r>
              <w:r>
                <w:rPr>
                  <w:noProof/>
                </w:rPr>
                <w:t>. Retrieved from https://link.springer.com/article/10.1007/s11628-024-00553-3</w:t>
              </w:r>
            </w:p>
            <w:p w14:paraId="7102D812" w14:textId="77777777" w:rsidR="007D1D88" w:rsidRDefault="007D1D88" w:rsidP="007D1D88">
              <w:pPr>
                <w:pStyle w:val="Bibliography"/>
                <w:ind w:left="720" w:hanging="720"/>
                <w:rPr>
                  <w:noProof/>
                </w:rPr>
              </w:pPr>
              <w:r>
                <w:rPr>
                  <w:noProof/>
                </w:rPr>
                <w:t xml:space="preserve">ENG, E. S. (2026). Metaverse in healthcare education: A scoping review of definitions and challenges. </w:t>
              </w:r>
              <w:r>
                <w:rPr>
                  <w:i/>
                  <w:iCs/>
                  <w:noProof/>
                </w:rPr>
                <w:t>162</w:t>
              </w:r>
              <w:r>
                <w:rPr>
                  <w:noProof/>
                </w:rPr>
                <w:t>. Retrieved from https://www.sciencedirect.com/science/article/abs/pii/S0260691726000675</w:t>
              </w:r>
            </w:p>
            <w:p w14:paraId="15281983" w14:textId="77777777" w:rsidR="007D1D88" w:rsidRDefault="007D1D88" w:rsidP="007D1D88">
              <w:pPr>
                <w:pStyle w:val="Bibliography"/>
                <w:ind w:left="720" w:hanging="720"/>
                <w:rPr>
                  <w:noProof/>
                </w:rPr>
              </w:pPr>
              <w:r>
                <w:rPr>
                  <w:noProof/>
                </w:rPr>
                <w:t>Ettaloui, N. (2024). Human Behavior and Emerging Technologies. Retrieved from https://onlinelibrary.wiley.com/doi/full/10.1155/hbe2/4734288</w:t>
              </w:r>
            </w:p>
            <w:p w14:paraId="3E676A84" w14:textId="77777777" w:rsidR="007D1D88" w:rsidRDefault="007D1D88" w:rsidP="007D1D88">
              <w:pPr>
                <w:pStyle w:val="Bibliography"/>
                <w:ind w:left="720" w:hanging="720"/>
                <w:rPr>
                  <w:noProof/>
                </w:rPr>
              </w:pPr>
              <w:r>
                <w:rPr>
                  <w:noProof/>
                </w:rPr>
                <w:t>Hameed, K. (2024). Digital transformation for sustainable health and well-being: a review and future research directions. Retrieved from https://link.springer.com/article/10.1007/s43621-024-00273-8</w:t>
              </w:r>
            </w:p>
            <w:p w14:paraId="206E1F13" w14:textId="77777777" w:rsidR="007D1D88" w:rsidRDefault="007D1D88" w:rsidP="007D1D88">
              <w:pPr>
                <w:pStyle w:val="Bibliography"/>
                <w:ind w:left="720" w:hanging="720"/>
                <w:rPr>
                  <w:noProof/>
                </w:rPr>
              </w:pPr>
              <w:r>
                <w:rPr>
                  <w:noProof/>
                </w:rPr>
                <w:t>Hundal, G. S. (2025). Digital Transformation of Healthcare Enterprises in the Era of Disruptions—A Structured Literature Review. Retrieved from https://www.researchgate.net/publication/392886482_Digital_Transformation_of_Healthcare_Enterprises_in_the_Era_of_Disruptions-A_Structured_Literature_Review</w:t>
              </w:r>
            </w:p>
            <w:p w14:paraId="3BAADC91" w14:textId="77777777" w:rsidR="007D1D88" w:rsidRDefault="007D1D88" w:rsidP="007D1D88">
              <w:pPr>
                <w:pStyle w:val="Bibliography"/>
                <w:ind w:left="720" w:hanging="720"/>
                <w:rPr>
                  <w:noProof/>
                </w:rPr>
              </w:pPr>
              <w:r>
                <w:rPr>
                  <w:noProof/>
                </w:rPr>
                <w:t>Isravel, D. P. (2023). Blockchain for healthcare systems: Architecture, security challenges, trends and future directions. Retrieved from https://www.sciencedirect.com/science/article/pii/S1084804523000528</w:t>
              </w:r>
            </w:p>
            <w:p w14:paraId="24DC7727" w14:textId="77777777" w:rsidR="007D1D88" w:rsidRDefault="007D1D88" w:rsidP="007D1D88">
              <w:pPr>
                <w:pStyle w:val="Bibliography"/>
                <w:ind w:left="720" w:hanging="720"/>
                <w:rPr>
                  <w:noProof/>
                </w:rPr>
              </w:pPr>
              <w:r>
                <w:rPr>
                  <w:noProof/>
                </w:rPr>
                <w:t>Javaid, M. (2024). Health informatics to enhance the healthcare industry's culture: An extensive analysis of its features, contributions, applications and limitations. Retrieved from https://www.sciencedirect.com/science/article/pii/S2949953424000092</w:t>
              </w:r>
            </w:p>
            <w:p w14:paraId="38D3C9CB" w14:textId="77777777" w:rsidR="007D1D88" w:rsidRDefault="007D1D88" w:rsidP="007D1D88">
              <w:pPr>
                <w:pStyle w:val="Bibliography"/>
                <w:ind w:left="720" w:hanging="720"/>
                <w:rPr>
                  <w:noProof/>
                </w:rPr>
              </w:pPr>
              <w:r>
                <w:rPr>
                  <w:noProof/>
                </w:rPr>
                <w:t xml:space="preserve">Konopik, J. (2023). Development of an Evidence-Based Conceptual Model of the Health Care Sector Under Digital Transformation: Integrative Review. </w:t>
              </w:r>
              <w:r>
                <w:rPr>
                  <w:i/>
                  <w:iCs/>
                  <w:noProof/>
                </w:rPr>
                <w:t>25</w:t>
              </w:r>
              <w:r>
                <w:rPr>
                  <w:noProof/>
                </w:rPr>
                <w:t>. Retrieved from https://www.jmir.org/2023/1/e41512/</w:t>
              </w:r>
            </w:p>
            <w:p w14:paraId="2FF1342F" w14:textId="77777777" w:rsidR="007D1D88" w:rsidRDefault="007D1D88" w:rsidP="007D1D88">
              <w:pPr>
                <w:pStyle w:val="Bibliography"/>
                <w:ind w:left="720" w:hanging="720"/>
                <w:rPr>
                  <w:noProof/>
                </w:rPr>
              </w:pPr>
              <w:r>
                <w:rPr>
                  <w:noProof/>
                </w:rPr>
                <w:t>Langford-Avelar, A. (2025). Digital health transformation in Quebec: assessment of interoperability and governance strategies. Retrieved from https://arxiv.org/abs/2601.06051</w:t>
              </w:r>
            </w:p>
            <w:p w14:paraId="536BB4D5" w14:textId="77777777" w:rsidR="007D1D88" w:rsidRDefault="007D1D88" w:rsidP="007D1D88">
              <w:pPr>
                <w:pStyle w:val="Bibliography"/>
                <w:ind w:left="720" w:hanging="720"/>
                <w:rPr>
                  <w:noProof/>
                </w:rPr>
              </w:pPr>
              <w:r>
                <w:rPr>
                  <w:noProof/>
                </w:rPr>
                <w:t xml:space="preserve">Masmoudi, A. (2024). Blockchain-Driven Decentralization of Electronic Health Records in Saudi Arabia: An Ethereum-Based Framework for Enhanced Security and Patient </w:t>
              </w:r>
              <w:r>
                <w:rPr>
                  <w:noProof/>
                </w:rPr>
                <w:lastRenderedPageBreak/>
                <w:t xml:space="preserve">Control. </w:t>
              </w:r>
              <w:r>
                <w:rPr>
                  <w:i/>
                  <w:iCs/>
                  <w:noProof/>
                </w:rPr>
                <w:t>15</w:t>
              </w:r>
              <w:r>
                <w:rPr>
                  <w:noProof/>
                </w:rPr>
                <w:t>(4). Retrieved from https://openurl.ebsco.com/EPDB%3Agcd%3A1%3A21660817/detailv2?sid=ebsco%3Aplink%3Ascholar&amp;id=ebsco%3Agcd%3A177050353&amp;crl=c&amp;link_origin=scholar.google.com</w:t>
              </w:r>
            </w:p>
            <w:p w14:paraId="66052D56" w14:textId="77777777" w:rsidR="007D1D88" w:rsidRDefault="007D1D88" w:rsidP="007D1D88">
              <w:pPr>
                <w:pStyle w:val="Bibliography"/>
                <w:ind w:left="720" w:hanging="720"/>
                <w:rPr>
                  <w:noProof/>
                </w:rPr>
              </w:pPr>
              <w:r>
                <w:rPr>
                  <w:noProof/>
                </w:rPr>
                <w:t>Mauro, M. (2024). Digital transformation in healthcare: Assessing the role of digital technologies for managerial support processes. Retrieved from https://www.sciencedirect.com/science/article/pii/S0040162524005791?via%3Dihub</w:t>
              </w:r>
            </w:p>
            <w:p w14:paraId="6FA933E6" w14:textId="77777777" w:rsidR="007D1D88" w:rsidRDefault="007D1D88" w:rsidP="007D1D88">
              <w:pPr>
                <w:pStyle w:val="Bibliography"/>
                <w:ind w:left="720" w:hanging="720"/>
                <w:rPr>
                  <w:noProof/>
                </w:rPr>
              </w:pPr>
              <w:r>
                <w:rPr>
                  <w:noProof/>
                </w:rPr>
                <w:t xml:space="preserve">Mohammadzadeh, Z. (2024). Principles of digital professionalism for the metaverse in healthcare. </w:t>
              </w:r>
              <w:r>
                <w:rPr>
                  <w:i/>
                  <w:iCs/>
                  <w:noProof/>
                </w:rPr>
                <w:t>24</w:t>
              </w:r>
              <w:r>
                <w:rPr>
                  <w:noProof/>
                </w:rPr>
                <w:t>. Retrieved from https://link.springer.com/article/10.1186/s12911-024-02607-y</w:t>
              </w:r>
            </w:p>
            <w:p w14:paraId="493901D4" w14:textId="77777777" w:rsidR="007D1D88" w:rsidRDefault="007D1D88" w:rsidP="007D1D88">
              <w:pPr>
                <w:pStyle w:val="Bibliography"/>
                <w:ind w:left="720" w:hanging="720"/>
                <w:rPr>
                  <w:noProof/>
                </w:rPr>
              </w:pPr>
              <w:r>
                <w:rPr>
                  <w:noProof/>
                </w:rPr>
                <w:t xml:space="preserve">Pattanaik, P. K. (2024). Impact of Inter and Intra Organizational Factors in Healthcare Digitalization: a Conditional Mediation Analysis. </w:t>
              </w:r>
              <w:r>
                <w:rPr>
                  <w:i/>
                  <w:iCs/>
                  <w:noProof/>
                </w:rPr>
                <w:t>27</w:t>
              </w:r>
              <w:r>
                <w:rPr>
                  <w:noProof/>
                </w:rPr>
                <w:t>. Retrieved from https://link.springer.com/article/10.1007/s10796-024-10522-w</w:t>
              </w:r>
            </w:p>
            <w:p w14:paraId="2B0804D9" w14:textId="77777777" w:rsidR="007D1D88" w:rsidRDefault="007D1D88" w:rsidP="007D1D88">
              <w:pPr>
                <w:pStyle w:val="Bibliography"/>
                <w:ind w:left="720" w:hanging="720"/>
                <w:rPr>
                  <w:noProof/>
                </w:rPr>
              </w:pPr>
              <w:r>
                <w:rPr>
                  <w:noProof/>
                </w:rPr>
                <w:t>Pokharel, B. P. (2025). blockHealthSecure: Integrating Blockchain and Cybersecurity in Post-Pandemic Healthcare Systems. Retrieved from https://www.mdpi.com/2078-2489/16/2/133</w:t>
              </w:r>
            </w:p>
            <w:p w14:paraId="6DAEC2B5" w14:textId="77777777" w:rsidR="007D1D88" w:rsidRDefault="007D1D88" w:rsidP="007D1D88">
              <w:pPr>
                <w:pStyle w:val="Bibliography"/>
                <w:ind w:left="720" w:hanging="720"/>
                <w:rPr>
                  <w:noProof/>
                </w:rPr>
              </w:pPr>
              <w:r>
                <w:rPr>
                  <w:noProof/>
                </w:rPr>
                <w:t>Popov, V. (2024). Metaverse-based simulation: a scoping review of charting medical education over the last two decades in the lens of the ‘marvelous medical education machine’. Retrieved from https://pmc.ncbi.nlm.nih.gov/articles/PMC11562026/</w:t>
              </w:r>
            </w:p>
            <w:p w14:paraId="64709DB3" w14:textId="77777777" w:rsidR="007D1D88" w:rsidRDefault="007D1D88" w:rsidP="007D1D88">
              <w:pPr>
                <w:pStyle w:val="Bibliography"/>
                <w:ind w:left="720" w:hanging="720"/>
                <w:rPr>
                  <w:noProof/>
                </w:rPr>
              </w:pPr>
              <w:r>
                <w:rPr>
                  <w:noProof/>
                </w:rPr>
                <w:t>Saeed, H. (2022). Blockchain technology in healthcare: A systematic review. Retrieved from https://pmc.ncbi.nlm.nih.gov/articles/PMC9000089/</w:t>
              </w:r>
            </w:p>
            <w:p w14:paraId="4F5ED749" w14:textId="77777777" w:rsidR="007D1D88" w:rsidRDefault="007D1D88" w:rsidP="007D1D88">
              <w:pPr>
                <w:pStyle w:val="Bibliography"/>
                <w:ind w:left="720" w:hanging="720"/>
                <w:rPr>
                  <w:noProof/>
                </w:rPr>
              </w:pPr>
              <w:r>
                <w:rPr>
                  <w:noProof/>
                </w:rPr>
                <w:t xml:space="preserve">Steenkamp, I. (2025). Digital health readiness – insights from healthcare leaders in operational management: a cross-sectional survey. </w:t>
              </w:r>
              <w:r>
                <w:rPr>
                  <w:i/>
                  <w:iCs/>
                  <w:noProof/>
                </w:rPr>
                <w:t>25</w:t>
              </w:r>
              <w:r>
                <w:rPr>
                  <w:noProof/>
                </w:rPr>
                <w:t>. Retrieved from https://link.springer.com/article/10.1186/s12913-024-12129-y</w:t>
              </w:r>
            </w:p>
            <w:p w14:paraId="0475DDA5" w14:textId="77777777" w:rsidR="007D1D88" w:rsidRDefault="007D1D88" w:rsidP="007D1D88">
              <w:pPr>
                <w:pStyle w:val="Bibliography"/>
                <w:ind w:left="720" w:hanging="720"/>
                <w:rPr>
                  <w:noProof/>
                </w:rPr>
              </w:pPr>
              <w:r>
                <w:rPr>
                  <w:noProof/>
                </w:rPr>
                <w:t xml:space="preserve">Vaz, N. (2023). Service design for the transformation of healthcare systems: A systematic review of literature. </w:t>
              </w:r>
              <w:r>
                <w:rPr>
                  <w:i/>
                  <w:iCs/>
                  <w:noProof/>
                </w:rPr>
                <w:t>37</w:t>
              </w:r>
              <w:r>
                <w:rPr>
                  <w:noProof/>
                </w:rPr>
                <w:t>(3). Retrieved from https://journals.sagepub.com/doi/10.1177/09514848231194846</w:t>
              </w:r>
            </w:p>
            <w:p w14:paraId="6E09F35E" w14:textId="77777777" w:rsidR="007D1D88" w:rsidRDefault="007D1D88" w:rsidP="007D1D88">
              <w:pPr>
                <w:pStyle w:val="Bibliography"/>
                <w:ind w:left="720" w:hanging="720"/>
                <w:rPr>
                  <w:noProof/>
                </w:rPr>
              </w:pPr>
              <w:r>
                <w:rPr>
                  <w:noProof/>
                </w:rPr>
                <w:t xml:space="preserve">Wang, Y. (2024). The application of metaverse in healthcare. </w:t>
              </w:r>
              <w:r>
                <w:rPr>
                  <w:i/>
                  <w:iCs/>
                  <w:noProof/>
                </w:rPr>
                <w:t>12</w:t>
              </w:r>
              <w:r>
                <w:rPr>
                  <w:noProof/>
                </w:rPr>
                <w:t>. Retrieved from https://www.frontiersin.org/journals/public-health/articles/10.3389/fpubh.2024.1420367/full</w:t>
              </w:r>
            </w:p>
            <w:p w14:paraId="0ECA5184" w14:textId="77777777" w:rsidR="007D1D88" w:rsidRDefault="007D1D88" w:rsidP="007D1D88">
              <w:pPr>
                <w:pStyle w:val="Bibliography"/>
                <w:ind w:left="720" w:hanging="720"/>
                <w:rPr>
                  <w:noProof/>
                </w:rPr>
              </w:pPr>
              <w:r>
                <w:rPr>
                  <w:noProof/>
                </w:rPr>
                <w:lastRenderedPageBreak/>
                <w:t>Zarei, T. (2024). 'Being there together for health': A Systematic Review on the Feasibility, Effectiveness and Design Considerations of Immersive Collaborative Virtual Environments in Health Applications. Retrieved from https://arxiv.org/abs/2412.04760</w:t>
              </w:r>
            </w:p>
            <w:p w14:paraId="02A5EBE1" w14:textId="77777777" w:rsidR="007D1D88" w:rsidRDefault="007D1D88" w:rsidP="007D1D88">
              <w:pPr>
                <w:pStyle w:val="Bibliography"/>
                <w:ind w:left="720" w:hanging="720"/>
                <w:rPr>
                  <w:noProof/>
                </w:rPr>
              </w:pPr>
              <w:r>
                <w:rPr>
                  <w:noProof/>
                </w:rPr>
                <w:t>Zhuang, Y. (2023). Promoting TEFCA with Blockchain Technology: A Decentralized Approach to Patient-centered Healthcare Data Management. Retrieved from https://pubmed.ncbi.nlm.nih.gov/38222410/</w:t>
              </w:r>
            </w:p>
            <w:p w14:paraId="5908E428" w14:textId="68104894" w:rsidR="007D1D88" w:rsidRDefault="007D1D88" w:rsidP="007D1D88">
              <w:r>
                <w:rPr>
                  <w:b/>
                  <w:bCs/>
                  <w:noProof/>
                </w:rPr>
                <w:fldChar w:fldCharType="end"/>
              </w:r>
            </w:p>
          </w:sdtContent>
        </w:sdt>
      </w:sdtContent>
    </w:sdt>
    <w:p w14:paraId="0D164342" w14:textId="77777777" w:rsidR="007D1D88" w:rsidRDefault="007D1D88" w:rsidP="003157C2"/>
    <w:sectPr w:rsidR="007D1D88" w:rsidSect="00B518B8">
      <w:footerReference w:type="defaul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D7143" w14:textId="77777777" w:rsidR="002C41DE" w:rsidRDefault="002C41DE" w:rsidP="003F3EF0">
      <w:pPr>
        <w:spacing w:after="0" w:line="240" w:lineRule="auto"/>
      </w:pPr>
      <w:r>
        <w:separator/>
      </w:r>
    </w:p>
  </w:endnote>
  <w:endnote w:type="continuationSeparator" w:id="0">
    <w:p w14:paraId="56C850F2" w14:textId="77777777" w:rsidR="002C41DE" w:rsidRDefault="002C41DE"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Microsoft Uighur">
    <w:panose1 w:val="02000000000000000000"/>
    <w:charset w:val="00"/>
    <w:family w:val="auto"/>
    <w:pitch w:val="variable"/>
    <w:sig w:usb0="8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2673F" w14:textId="77777777" w:rsidR="002C41DE" w:rsidRDefault="002C41DE" w:rsidP="003F3EF0">
      <w:pPr>
        <w:spacing w:after="0" w:line="240" w:lineRule="auto"/>
      </w:pPr>
      <w:r>
        <w:separator/>
      </w:r>
    </w:p>
  </w:footnote>
  <w:footnote w:type="continuationSeparator" w:id="0">
    <w:p w14:paraId="279D5F82" w14:textId="77777777" w:rsidR="002C41DE" w:rsidRDefault="002C41DE"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5"/>
    <w:multiLevelType w:val="multilevel"/>
    <w:tmpl w:val="0000003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3A87CBE"/>
    <w:multiLevelType w:val="multilevel"/>
    <w:tmpl w:val="8FB6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F6A97"/>
    <w:multiLevelType w:val="hybridMultilevel"/>
    <w:tmpl w:val="C99CE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104DDE"/>
    <w:multiLevelType w:val="multilevel"/>
    <w:tmpl w:val="15E2C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12080"/>
    <w:multiLevelType w:val="multilevel"/>
    <w:tmpl w:val="01AA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3C24C0"/>
    <w:multiLevelType w:val="multilevel"/>
    <w:tmpl w:val="14485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62641A"/>
    <w:multiLevelType w:val="hybridMultilevel"/>
    <w:tmpl w:val="21229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C360B4"/>
    <w:multiLevelType w:val="hybridMultilevel"/>
    <w:tmpl w:val="2EC83D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4472E5"/>
    <w:multiLevelType w:val="multilevel"/>
    <w:tmpl w:val="042A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BC5BE5"/>
    <w:multiLevelType w:val="hybridMultilevel"/>
    <w:tmpl w:val="3B8E32C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4130977">
    <w:abstractNumId w:val="8"/>
  </w:num>
  <w:num w:numId="2" w16cid:durableId="1504735874">
    <w:abstractNumId w:val="7"/>
  </w:num>
  <w:num w:numId="3" w16cid:durableId="716588242">
    <w:abstractNumId w:val="6"/>
  </w:num>
  <w:num w:numId="4" w16cid:durableId="1343820802">
    <w:abstractNumId w:val="0"/>
  </w:num>
  <w:num w:numId="5" w16cid:durableId="1386685609">
    <w:abstractNumId w:val="3"/>
  </w:num>
  <w:num w:numId="6" w16cid:durableId="263924681">
    <w:abstractNumId w:val="9"/>
  </w:num>
  <w:num w:numId="7" w16cid:durableId="1719353386">
    <w:abstractNumId w:val="1"/>
  </w:num>
  <w:num w:numId="8" w16cid:durableId="499463107">
    <w:abstractNumId w:val="13"/>
  </w:num>
  <w:num w:numId="9" w16cid:durableId="382481650">
    <w:abstractNumId w:val="11"/>
  </w:num>
  <w:num w:numId="10" w16cid:durableId="1837189649">
    <w:abstractNumId w:val="2"/>
  </w:num>
  <w:num w:numId="11" w16cid:durableId="1299648763">
    <w:abstractNumId w:val="5"/>
  </w:num>
  <w:num w:numId="12" w16cid:durableId="1434322636">
    <w:abstractNumId w:val="4"/>
  </w:num>
  <w:num w:numId="13" w16cid:durableId="759955495">
    <w:abstractNumId w:val="12"/>
  </w:num>
  <w:num w:numId="14" w16cid:durableId="370804130">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0128"/>
    <w:rsid w:val="00002C18"/>
    <w:rsid w:val="000071AE"/>
    <w:rsid w:val="000612C1"/>
    <w:rsid w:val="00061412"/>
    <w:rsid w:val="000906A6"/>
    <w:rsid w:val="00090F87"/>
    <w:rsid w:val="00092A6E"/>
    <w:rsid w:val="000C25BE"/>
    <w:rsid w:val="000C6D1E"/>
    <w:rsid w:val="000F5F47"/>
    <w:rsid w:val="000F75B9"/>
    <w:rsid w:val="00133D29"/>
    <w:rsid w:val="00142255"/>
    <w:rsid w:val="001677B9"/>
    <w:rsid w:val="0018606C"/>
    <w:rsid w:val="001A3AD8"/>
    <w:rsid w:val="001B188A"/>
    <w:rsid w:val="001C1AC0"/>
    <w:rsid w:val="001C33C3"/>
    <w:rsid w:val="001D2D5C"/>
    <w:rsid w:val="002376B7"/>
    <w:rsid w:val="00237FC2"/>
    <w:rsid w:val="00242D53"/>
    <w:rsid w:val="00242D54"/>
    <w:rsid w:val="002611AC"/>
    <w:rsid w:val="00275055"/>
    <w:rsid w:val="00280743"/>
    <w:rsid w:val="00283372"/>
    <w:rsid w:val="00283421"/>
    <w:rsid w:val="002920C1"/>
    <w:rsid w:val="002925EB"/>
    <w:rsid w:val="002A23F6"/>
    <w:rsid w:val="002A5637"/>
    <w:rsid w:val="002B71ED"/>
    <w:rsid w:val="002C41DE"/>
    <w:rsid w:val="002F5EFA"/>
    <w:rsid w:val="00305E05"/>
    <w:rsid w:val="003157C2"/>
    <w:rsid w:val="00320D29"/>
    <w:rsid w:val="00324CEE"/>
    <w:rsid w:val="00326C3A"/>
    <w:rsid w:val="00340BDD"/>
    <w:rsid w:val="003417D4"/>
    <w:rsid w:val="0034330C"/>
    <w:rsid w:val="0036290D"/>
    <w:rsid w:val="00362FFF"/>
    <w:rsid w:val="00374D06"/>
    <w:rsid w:val="00377C71"/>
    <w:rsid w:val="00381527"/>
    <w:rsid w:val="00385077"/>
    <w:rsid w:val="003B7E02"/>
    <w:rsid w:val="003C1172"/>
    <w:rsid w:val="003C7FF8"/>
    <w:rsid w:val="003F3EF0"/>
    <w:rsid w:val="003F4866"/>
    <w:rsid w:val="0040175A"/>
    <w:rsid w:val="004072B1"/>
    <w:rsid w:val="00430685"/>
    <w:rsid w:val="00432A0E"/>
    <w:rsid w:val="00433305"/>
    <w:rsid w:val="00434237"/>
    <w:rsid w:val="00441B06"/>
    <w:rsid w:val="004447F4"/>
    <w:rsid w:val="004465BC"/>
    <w:rsid w:val="00446FFD"/>
    <w:rsid w:val="00447CE5"/>
    <w:rsid w:val="004536FA"/>
    <w:rsid w:val="004634BC"/>
    <w:rsid w:val="00463AAC"/>
    <w:rsid w:val="004660C1"/>
    <w:rsid w:val="004768A3"/>
    <w:rsid w:val="00476F38"/>
    <w:rsid w:val="00486E62"/>
    <w:rsid w:val="004D00CC"/>
    <w:rsid w:val="004D2A19"/>
    <w:rsid w:val="004F4834"/>
    <w:rsid w:val="005101CF"/>
    <w:rsid w:val="0054063A"/>
    <w:rsid w:val="00551401"/>
    <w:rsid w:val="0055327D"/>
    <w:rsid w:val="005723AC"/>
    <w:rsid w:val="0059133F"/>
    <w:rsid w:val="00592315"/>
    <w:rsid w:val="00597893"/>
    <w:rsid w:val="005B1B61"/>
    <w:rsid w:val="0063361C"/>
    <w:rsid w:val="006428A3"/>
    <w:rsid w:val="00675776"/>
    <w:rsid w:val="00693287"/>
    <w:rsid w:val="006C0116"/>
    <w:rsid w:val="006C398F"/>
    <w:rsid w:val="00702E7A"/>
    <w:rsid w:val="007053EF"/>
    <w:rsid w:val="00705B25"/>
    <w:rsid w:val="00732255"/>
    <w:rsid w:val="00746FA4"/>
    <w:rsid w:val="00752C17"/>
    <w:rsid w:val="00753C87"/>
    <w:rsid w:val="00754146"/>
    <w:rsid w:val="0075509F"/>
    <w:rsid w:val="00765AF2"/>
    <w:rsid w:val="00771608"/>
    <w:rsid w:val="007A039C"/>
    <w:rsid w:val="007A6F24"/>
    <w:rsid w:val="007B1A67"/>
    <w:rsid w:val="007C44B0"/>
    <w:rsid w:val="007C5B4D"/>
    <w:rsid w:val="007D1D88"/>
    <w:rsid w:val="007D2AA5"/>
    <w:rsid w:val="007E4C50"/>
    <w:rsid w:val="008062BF"/>
    <w:rsid w:val="00841069"/>
    <w:rsid w:val="008425E6"/>
    <w:rsid w:val="00867DF5"/>
    <w:rsid w:val="00877FA8"/>
    <w:rsid w:val="008C2C60"/>
    <w:rsid w:val="008E0A54"/>
    <w:rsid w:val="008E60B4"/>
    <w:rsid w:val="008E6D3F"/>
    <w:rsid w:val="008F738D"/>
    <w:rsid w:val="008F7B10"/>
    <w:rsid w:val="00903418"/>
    <w:rsid w:val="009055DA"/>
    <w:rsid w:val="00931975"/>
    <w:rsid w:val="009444AC"/>
    <w:rsid w:val="00977730"/>
    <w:rsid w:val="00980030"/>
    <w:rsid w:val="0099415E"/>
    <w:rsid w:val="009A4C69"/>
    <w:rsid w:val="009C35D0"/>
    <w:rsid w:val="009D3209"/>
    <w:rsid w:val="009E471A"/>
    <w:rsid w:val="00A117CD"/>
    <w:rsid w:val="00A20D7B"/>
    <w:rsid w:val="00A46ABD"/>
    <w:rsid w:val="00A54732"/>
    <w:rsid w:val="00A70CB5"/>
    <w:rsid w:val="00A73066"/>
    <w:rsid w:val="00A85D52"/>
    <w:rsid w:val="00AA7533"/>
    <w:rsid w:val="00AB0038"/>
    <w:rsid w:val="00AE2D87"/>
    <w:rsid w:val="00AF0BA6"/>
    <w:rsid w:val="00AF3CF5"/>
    <w:rsid w:val="00AF5F0D"/>
    <w:rsid w:val="00B518B8"/>
    <w:rsid w:val="00B606A0"/>
    <w:rsid w:val="00B93DC9"/>
    <w:rsid w:val="00BA644B"/>
    <w:rsid w:val="00BA73E5"/>
    <w:rsid w:val="00BC1D4F"/>
    <w:rsid w:val="00BC61E5"/>
    <w:rsid w:val="00BD5F09"/>
    <w:rsid w:val="00BD7763"/>
    <w:rsid w:val="00BE1297"/>
    <w:rsid w:val="00C06A25"/>
    <w:rsid w:val="00C079C7"/>
    <w:rsid w:val="00C32993"/>
    <w:rsid w:val="00C3409C"/>
    <w:rsid w:val="00C34C41"/>
    <w:rsid w:val="00C51A6C"/>
    <w:rsid w:val="00C537FB"/>
    <w:rsid w:val="00C554AA"/>
    <w:rsid w:val="00C57E40"/>
    <w:rsid w:val="00C600AF"/>
    <w:rsid w:val="00C67717"/>
    <w:rsid w:val="00C702AB"/>
    <w:rsid w:val="00C71871"/>
    <w:rsid w:val="00C74E96"/>
    <w:rsid w:val="00C76191"/>
    <w:rsid w:val="00C8395F"/>
    <w:rsid w:val="00CB0A1A"/>
    <w:rsid w:val="00CB56BA"/>
    <w:rsid w:val="00CC4F16"/>
    <w:rsid w:val="00CE6925"/>
    <w:rsid w:val="00CF33E1"/>
    <w:rsid w:val="00D16B7E"/>
    <w:rsid w:val="00D32881"/>
    <w:rsid w:val="00D42A90"/>
    <w:rsid w:val="00D57CEF"/>
    <w:rsid w:val="00D64A34"/>
    <w:rsid w:val="00D71C97"/>
    <w:rsid w:val="00D7268F"/>
    <w:rsid w:val="00D81092"/>
    <w:rsid w:val="00D81A03"/>
    <w:rsid w:val="00D9348C"/>
    <w:rsid w:val="00DA54FB"/>
    <w:rsid w:val="00DD7313"/>
    <w:rsid w:val="00E016EE"/>
    <w:rsid w:val="00E036BB"/>
    <w:rsid w:val="00E16542"/>
    <w:rsid w:val="00E209BB"/>
    <w:rsid w:val="00E21D98"/>
    <w:rsid w:val="00E46E32"/>
    <w:rsid w:val="00E517A6"/>
    <w:rsid w:val="00E72342"/>
    <w:rsid w:val="00EB135C"/>
    <w:rsid w:val="00EB55B3"/>
    <w:rsid w:val="00EC4BC9"/>
    <w:rsid w:val="00EC57FE"/>
    <w:rsid w:val="00ED3FDA"/>
    <w:rsid w:val="00EE29CC"/>
    <w:rsid w:val="00EF006C"/>
    <w:rsid w:val="00EF07A8"/>
    <w:rsid w:val="00EF2E3E"/>
    <w:rsid w:val="00EF374D"/>
    <w:rsid w:val="00EF4B5B"/>
    <w:rsid w:val="00F077AB"/>
    <w:rsid w:val="00F11235"/>
    <w:rsid w:val="00F21D10"/>
    <w:rsid w:val="00F3715C"/>
    <w:rsid w:val="00F54A8B"/>
    <w:rsid w:val="00F554F9"/>
    <w:rsid w:val="00F821D1"/>
    <w:rsid w:val="00F82CB0"/>
    <w:rsid w:val="00F87B64"/>
    <w:rsid w:val="00F94996"/>
    <w:rsid w:val="00F965D0"/>
    <w:rsid w:val="00FA2670"/>
    <w:rsid w:val="00FB010A"/>
    <w:rsid w:val="00FB52A7"/>
    <w:rsid w:val="00FD191B"/>
    <w:rsid w:val="00FE1396"/>
    <w:rsid w:val="00FE73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B64"/>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paragraph" w:styleId="NormalWeb">
    <w:name w:val="Normal (Web)"/>
    <w:basedOn w:val="Normal"/>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52A7"/>
    <w:rPr>
      <w:b/>
      <w:bCs/>
    </w:rPr>
  </w:style>
  <w:style w:type="paragraph" w:styleId="FootnoteText">
    <w:name w:val="footnote text"/>
    <w:basedOn w:val="Normal"/>
    <w:link w:val="FootnoteTextChar"/>
    <w:uiPriority w:val="99"/>
    <w:semiHidden/>
    <w:unhideWhenUsed/>
    <w:rsid w:val="004660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0C1"/>
    <w:rPr>
      <w:sz w:val="20"/>
      <w:szCs w:val="20"/>
    </w:rPr>
  </w:style>
  <w:style w:type="character" w:styleId="FootnoteReference">
    <w:name w:val="footnote reference"/>
    <w:basedOn w:val="DefaultParagraphFont"/>
    <w:uiPriority w:val="99"/>
    <w:semiHidden/>
    <w:unhideWhenUsed/>
    <w:rsid w:val="004660C1"/>
    <w:rPr>
      <w:vertAlign w:val="superscript"/>
    </w:rPr>
  </w:style>
  <w:style w:type="table" w:styleId="GridTable5Dark-Accent1">
    <w:name w:val="Grid Table 5 Dark Accent 1"/>
    <w:basedOn w:val="TableNormal"/>
    <w:uiPriority w:val="50"/>
    <w:rsid w:val="00F949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AF5F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
    <w:name w:val="Grid Table 6 Colorful"/>
    <w:basedOn w:val="TableNormal"/>
    <w:uiPriority w:val="51"/>
    <w:rsid w:val="000612C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FE73AC"/>
    <w:rPr>
      <w:sz w:val="16"/>
      <w:szCs w:val="16"/>
    </w:rPr>
  </w:style>
  <w:style w:type="paragraph" w:styleId="CommentText">
    <w:name w:val="annotation text"/>
    <w:basedOn w:val="Normal"/>
    <w:link w:val="CommentTextChar"/>
    <w:uiPriority w:val="99"/>
    <w:semiHidden/>
    <w:unhideWhenUsed/>
    <w:rsid w:val="00FE73AC"/>
    <w:pPr>
      <w:spacing w:line="240" w:lineRule="auto"/>
    </w:pPr>
    <w:rPr>
      <w:sz w:val="20"/>
      <w:szCs w:val="20"/>
    </w:rPr>
  </w:style>
  <w:style w:type="character" w:customStyle="1" w:styleId="CommentTextChar">
    <w:name w:val="Comment Text Char"/>
    <w:basedOn w:val="DefaultParagraphFont"/>
    <w:link w:val="CommentText"/>
    <w:uiPriority w:val="99"/>
    <w:semiHidden/>
    <w:rsid w:val="00FE73AC"/>
    <w:rPr>
      <w:sz w:val="20"/>
      <w:szCs w:val="20"/>
    </w:rPr>
  </w:style>
  <w:style w:type="paragraph" w:styleId="CommentSubject">
    <w:name w:val="annotation subject"/>
    <w:basedOn w:val="CommentText"/>
    <w:next w:val="CommentText"/>
    <w:link w:val="CommentSubjectChar"/>
    <w:uiPriority w:val="99"/>
    <w:semiHidden/>
    <w:unhideWhenUsed/>
    <w:rsid w:val="00FE73AC"/>
    <w:rPr>
      <w:b/>
      <w:bCs/>
    </w:rPr>
  </w:style>
  <w:style w:type="character" w:customStyle="1" w:styleId="CommentSubjectChar">
    <w:name w:val="Comment Subject Char"/>
    <w:basedOn w:val="CommentTextChar"/>
    <w:link w:val="CommentSubject"/>
    <w:uiPriority w:val="99"/>
    <w:semiHidden/>
    <w:rsid w:val="00FE73AC"/>
    <w:rPr>
      <w:b/>
      <w:bCs/>
      <w:sz w:val="20"/>
      <w:szCs w:val="20"/>
    </w:rPr>
  </w:style>
  <w:style w:type="table" w:styleId="GridTable1Light">
    <w:name w:val="Grid Table 1 Light"/>
    <w:basedOn w:val="TableNormal"/>
    <w:uiPriority w:val="46"/>
    <w:rsid w:val="007D1D8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3794">
      <w:bodyDiv w:val="1"/>
      <w:marLeft w:val="0"/>
      <w:marRight w:val="0"/>
      <w:marTop w:val="0"/>
      <w:marBottom w:val="0"/>
      <w:divBdr>
        <w:top w:val="none" w:sz="0" w:space="0" w:color="auto"/>
        <w:left w:val="none" w:sz="0" w:space="0" w:color="auto"/>
        <w:bottom w:val="none" w:sz="0" w:space="0" w:color="auto"/>
        <w:right w:val="none" w:sz="0" w:space="0" w:color="auto"/>
      </w:divBdr>
    </w:div>
    <w:div w:id="13698044">
      <w:bodyDiv w:val="1"/>
      <w:marLeft w:val="0"/>
      <w:marRight w:val="0"/>
      <w:marTop w:val="0"/>
      <w:marBottom w:val="0"/>
      <w:divBdr>
        <w:top w:val="none" w:sz="0" w:space="0" w:color="auto"/>
        <w:left w:val="none" w:sz="0" w:space="0" w:color="auto"/>
        <w:bottom w:val="none" w:sz="0" w:space="0" w:color="auto"/>
        <w:right w:val="none" w:sz="0" w:space="0" w:color="auto"/>
      </w:divBdr>
    </w:div>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26953487">
      <w:bodyDiv w:val="1"/>
      <w:marLeft w:val="0"/>
      <w:marRight w:val="0"/>
      <w:marTop w:val="0"/>
      <w:marBottom w:val="0"/>
      <w:divBdr>
        <w:top w:val="none" w:sz="0" w:space="0" w:color="auto"/>
        <w:left w:val="none" w:sz="0" w:space="0" w:color="auto"/>
        <w:bottom w:val="none" w:sz="0" w:space="0" w:color="auto"/>
        <w:right w:val="none" w:sz="0" w:space="0" w:color="auto"/>
      </w:divBdr>
    </w:div>
    <w:div w:id="32581283">
      <w:bodyDiv w:val="1"/>
      <w:marLeft w:val="0"/>
      <w:marRight w:val="0"/>
      <w:marTop w:val="0"/>
      <w:marBottom w:val="0"/>
      <w:divBdr>
        <w:top w:val="none" w:sz="0" w:space="0" w:color="auto"/>
        <w:left w:val="none" w:sz="0" w:space="0" w:color="auto"/>
        <w:bottom w:val="none" w:sz="0" w:space="0" w:color="auto"/>
        <w:right w:val="none" w:sz="0" w:space="0" w:color="auto"/>
      </w:divBdr>
    </w:div>
    <w:div w:id="60715721">
      <w:bodyDiv w:val="1"/>
      <w:marLeft w:val="0"/>
      <w:marRight w:val="0"/>
      <w:marTop w:val="0"/>
      <w:marBottom w:val="0"/>
      <w:divBdr>
        <w:top w:val="none" w:sz="0" w:space="0" w:color="auto"/>
        <w:left w:val="none" w:sz="0" w:space="0" w:color="auto"/>
        <w:bottom w:val="none" w:sz="0" w:space="0" w:color="auto"/>
        <w:right w:val="none" w:sz="0" w:space="0" w:color="auto"/>
      </w:divBdr>
    </w:div>
    <w:div w:id="82651589">
      <w:bodyDiv w:val="1"/>
      <w:marLeft w:val="0"/>
      <w:marRight w:val="0"/>
      <w:marTop w:val="0"/>
      <w:marBottom w:val="0"/>
      <w:divBdr>
        <w:top w:val="none" w:sz="0" w:space="0" w:color="auto"/>
        <w:left w:val="none" w:sz="0" w:space="0" w:color="auto"/>
        <w:bottom w:val="none" w:sz="0" w:space="0" w:color="auto"/>
        <w:right w:val="none" w:sz="0" w:space="0" w:color="auto"/>
      </w:divBdr>
    </w:div>
    <w:div w:id="87390715">
      <w:bodyDiv w:val="1"/>
      <w:marLeft w:val="0"/>
      <w:marRight w:val="0"/>
      <w:marTop w:val="0"/>
      <w:marBottom w:val="0"/>
      <w:divBdr>
        <w:top w:val="none" w:sz="0" w:space="0" w:color="auto"/>
        <w:left w:val="none" w:sz="0" w:space="0" w:color="auto"/>
        <w:bottom w:val="none" w:sz="0" w:space="0" w:color="auto"/>
        <w:right w:val="none" w:sz="0" w:space="0" w:color="auto"/>
      </w:divBdr>
    </w:div>
    <w:div w:id="90322933">
      <w:bodyDiv w:val="1"/>
      <w:marLeft w:val="0"/>
      <w:marRight w:val="0"/>
      <w:marTop w:val="0"/>
      <w:marBottom w:val="0"/>
      <w:divBdr>
        <w:top w:val="none" w:sz="0" w:space="0" w:color="auto"/>
        <w:left w:val="none" w:sz="0" w:space="0" w:color="auto"/>
        <w:bottom w:val="none" w:sz="0" w:space="0" w:color="auto"/>
        <w:right w:val="none" w:sz="0" w:space="0" w:color="auto"/>
      </w:divBdr>
    </w:div>
    <w:div w:id="131363005">
      <w:bodyDiv w:val="1"/>
      <w:marLeft w:val="0"/>
      <w:marRight w:val="0"/>
      <w:marTop w:val="0"/>
      <w:marBottom w:val="0"/>
      <w:divBdr>
        <w:top w:val="none" w:sz="0" w:space="0" w:color="auto"/>
        <w:left w:val="none" w:sz="0" w:space="0" w:color="auto"/>
        <w:bottom w:val="none" w:sz="0" w:space="0" w:color="auto"/>
        <w:right w:val="none" w:sz="0" w:space="0" w:color="auto"/>
      </w:divBdr>
    </w:div>
    <w:div w:id="142817721">
      <w:bodyDiv w:val="1"/>
      <w:marLeft w:val="0"/>
      <w:marRight w:val="0"/>
      <w:marTop w:val="0"/>
      <w:marBottom w:val="0"/>
      <w:divBdr>
        <w:top w:val="none" w:sz="0" w:space="0" w:color="auto"/>
        <w:left w:val="none" w:sz="0" w:space="0" w:color="auto"/>
        <w:bottom w:val="none" w:sz="0" w:space="0" w:color="auto"/>
        <w:right w:val="none" w:sz="0" w:space="0" w:color="auto"/>
      </w:divBdr>
    </w:div>
    <w:div w:id="146410304">
      <w:bodyDiv w:val="1"/>
      <w:marLeft w:val="0"/>
      <w:marRight w:val="0"/>
      <w:marTop w:val="0"/>
      <w:marBottom w:val="0"/>
      <w:divBdr>
        <w:top w:val="none" w:sz="0" w:space="0" w:color="auto"/>
        <w:left w:val="none" w:sz="0" w:space="0" w:color="auto"/>
        <w:bottom w:val="none" w:sz="0" w:space="0" w:color="auto"/>
        <w:right w:val="none" w:sz="0" w:space="0" w:color="auto"/>
      </w:divBdr>
    </w:div>
    <w:div w:id="174273651">
      <w:bodyDiv w:val="1"/>
      <w:marLeft w:val="0"/>
      <w:marRight w:val="0"/>
      <w:marTop w:val="0"/>
      <w:marBottom w:val="0"/>
      <w:divBdr>
        <w:top w:val="none" w:sz="0" w:space="0" w:color="auto"/>
        <w:left w:val="none" w:sz="0" w:space="0" w:color="auto"/>
        <w:bottom w:val="none" w:sz="0" w:space="0" w:color="auto"/>
        <w:right w:val="none" w:sz="0" w:space="0" w:color="auto"/>
      </w:divBdr>
    </w:div>
    <w:div w:id="180780382">
      <w:bodyDiv w:val="1"/>
      <w:marLeft w:val="0"/>
      <w:marRight w:val="0"/>
      <w:marTop w:val="0"/>
      <w:marBottom w:val="0"/>
      <w:divBdr>
        <w:top w:val="none" w:sz="0" w:space="0" w:color="auto"/>
        <w:left w:val="none" w:sz="0" w:space="0" w:color="auto"/>
        <w:bottom w:val="none" w:sz="0" w:space="0" w:color="auto"/>
        <w:right w:val="none" w:sz="0" w:space="0" w:color="auto"/>
      </w:divBdr>
    </w:div>
    <w:div w:id="203754308">
      <w:bodyDiv w:val="1"/>
      <w:marLeft w:val="0"/>
      <w:marRight w:val="0"/>
      <w:marTop w:val="0"/>
      <w:marBottom w:val="0"/>
      <w:divBdr>
        <w:top w:val="none" w:sz="0" w:space="0" w:color="auto"/>
        <w:left w:val="none" w:sz="0" w:space="0" w:color="auto"/>
        <w:bottom w:val="none" w:sz="0" w:space="0" w:color="auto"/>
        <w:right w:val="none" w:sz="0" w:space="0" w:color="auto"/>
      </w:divBdr>
    </w:div>
    <w:div w:id="215046764">
      <w:bodyDiv w:val="1"/>
      <w:marLeft w:val="0"/>
      <w:marRight w:val="0"/>
      <w:marTop w:val="0"/>
      <w:marBottom w:val="0"/>
      <w:divBdr>
        <w:top w:val="none" w:sz="0" w:space="0" w:color="auto"/>
        <w:left w:val="none" w:sz="0" w:space="0" w:color="auto"/>
        <w:bottom w:val="none" w:sz="0" w:space="0" w:color="auto"/>
        <w:right w:val="none" w:sz="0" w:space="0" w:color="auto"/>
      </w:divBdr>
    </w:div>
    <w:div w:id="228882942">
      <w:bodyDiv w:val="1"/>
      <w:marLeft w:val="0"/>
      <w:marRight w:val="0"/>
      <w:marTop w:val="0"/>
      <w:marBottom w:val="0"/>
      <w:divBdr>
        <w:top w:val="none" w:sz="0" w:space="0" w:color="auto"/>
        <w:left w:val="none" w:sz="0" w:space="0" w:color="auto"/>
        <w:bottom w:val="none" w:sz="0" w:space="0" w:color="auto"/>
        <w:right w:val="none" w:sz="0" w:space="0" w:color="auto"/>
      </w:divBdr>
    </w:div>
    <w:div w:id="254289644">
      <w:bodyDiv w:val="1"/>
      <w:marLeft w:val="0"/>
      <w:marRight w:val="0"/>
      <w:marTop w:val="0"/>
      <w:marBottom w:val="0"/>
      <w:divBdr>
        <w:top w:val="none" w:sz="0" w:space="0" w:color="auto"/>
        <w:left w:val="none" w:sz="0" w:space="0" w:color="auto"/>
        <w:bottom w:val="none" w:sz="0" w:space="0" w:color="auto"/>
        <w:right w:val="none" w:sz="0" w:space="0" w:color="auto"/>
      </w:divBdr>
    </w:div>
    <w:div w:id="264076271">
      <w:bodyDiv w:val="1"/>
      <w:marLeft w:val="0"/>
      <w:marRight w:val="0"/>
      <w:marTop w:val="0"/>
      <w:marBottom w:val="0"/>
      <w:divBdr>
        <w:top w:val="none" w:sz="0" w:space="0" w:color="auto"/>
        <w:left w:val="none" w:sz="0" w:space="0" w:color="auto"/>
        <w:bottom w:val="none" w:sz="0" w:space="0" w:color="auto"/>
        <w:right w:val="none" w:sz="0" w:space="0" w:color="auto"/>
      </w:divBdr>
    </w:div>
    <w:div w:id="267659157">
      <w:bodyDiv w:val="1"/>
      <w:marLeft w:val="0"/>
      <w:marRight w:val="0"/>
      <w:marTop w:val="0"/>
      <w:marBottom w:val="0"/>
      <w:divBdr>
        <w:top w:val="none" w:sz="0" w:space="0" w:color="auto"/>
        <w:left w:val="none" w:sz="0" w:space="0" w:color="auto"/>
        <w:bottom w:val="none" w:sz="0" w:space="0" w:color="auto"/>
        <w:right w:val="none" w:sz="0" w:space="0" w:color="auto"/>
      </w:divBdr>
    </w:div>
    <w:div w:id="284123038">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17853927">
      <w:bodyDiv w:val="1"/>
      <w:marLeft w:val="0"/>
      <w:marRight w:val="0"/>
      <w:marTop w:val="0"/>
      <w:marBottom w:val="0"/>
      <w:divBdr>
        <w:top w:val="none" w:sz="0" w:space="0" w:color="auto"/>
        <w:left w:val="none" w:sz="0" w:space="0" w:color="auto"/>
        <w:bottom w:val="none" w:sz="0" w:space="0" w:color="auto"/>
        <w:right w:val="none" w:sz="0" w:space="0" w:color="auto"/>
      </w:divBdr>
    </w:div>
    <w:div w:id="328488023">
      <w:bodyDiv w:val="1"/>
      <w:marLeft w:val="0"/>
      <w:marRight w:val="0"/>
      <w:marTop w:val="0"/>
      <w:marBottom w:val="0"/>
      <w:divBdr>
        <w:top w:val="none" w:sz="0" w:space="0" w:color="auto"/>
        <w:left w:val="none" w:sz="0" w:space="0" w:color="auto"/>
        <w:bottom w:val="none" w:sz="0" w:space="0" w:color="auto"/>
        <w:right w:val="none" w:sz="0" w:space="0" w:color="auto"/>
      </w:divBdr>
    </w:div>
    <w:div w:id="337318169">
      <w:bodyDiv w:val="1"/>
      <w:marLeft w:val="0"/>
      <w:marRight w:val="0"/>
      <w:marTop w:val="0"/>
      <w:marBottom w:val="0"/>
      <w:divBdr>
        <w:top w:val="none" w:sz="0" w:space="0" w:color="auto"/>
        <w:left w:val="none" w:sz="0" w:space="0" w:color="auto"/>
        <w:bottom w:val="none" w:sz="0" w:space="0" w:color="auto"/>
        <w:right w:val="none" w:sz="0" w:space="0" w:color="auto"/>
      </w:divBdr>
    </w:div>
    <w:div w:id="342165562">
      <w:bodyDiv w:val="1"/>
      <w:marLeft w:val="0"/>
      <w:marRight w:val="0"/>
      <w:marTop w:val="0"/>
      <w:marBottom w:val="0"/>
      <w:divBdr>
        <w:top w:val="none" w:sz="0" w:space="0" w:color="auto"/>
        <w:left w:val="none" w:sz="0" w:space="0" w:color="auto"/>
        <w:bottom w:val="none" w:sz="0" w:space="0" w:color="auto"/>
        <w:right w:val="none" w:sz="0" w:space="0" w:color="auto"/>
      </w:divBdr>
    </w:div>
    <w:div w:id="356319991">
      <w:bodyDiv w:val="1"/>
      <w:marLeft w:val="0"/>
      <w:marRight w:val="0"/>
      <w:marTop w:val="0"/>
      <w:marBottom w:val="0"/>
      <w:divBdr>
        <w:top w:val="none" w:sz="0" w:space="0" w:color="auto"/>
        <w:left w:val="none" w:sz="0" w:space="0" w:color="auto"/>
        <w:bottom w:val="none" w:sz="0" w:space="0" w:color="auto"/>
        <w:right w:val="none" w:sz="0" w:space="0" w:color="auto"/>
      </w:divBdr>
    </w:div>
    <w:div w:id="357972169">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64137970">
      <w:bodyDiv w:val="1"/>
      <w:marLeft w:val="0"/>
      <w:marRight w:val="0"/>
      <w:marTop w:val="0"/>
      <w:marBottom w:val="0"/>
      <w:divBdr>
        <w:top w:val="none" w:sz="0" w:space="0" w:color="auto"/>
        <w:left w:val="none" w:sz="0" w:space="0" w:color="auto"/>
        <w:bottom w:val="none" w:sz="0" w:space="0" w:color="auto"/>
        <w:right w:val="none" w:sz="0" w:space="0" w:color="auto"/>
      </w:divBdr>
    </w:div>
    <w:div w:id="366682067">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81057533">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02604570">
      <w:bodyDiv w:val="1"/>
      <w:marLeft w:val="0"/>
      <w:marRight w:val="0"/>
      <w:marTop w:val="0"/>
      <w:marBottom w:val="0"/>
      <w:divBdr>
        <w:top w:val="none" w:sz="0" w:space="0" w:color="auto"/>
        <w:left w:val="none" w:sz="0" w:space="0" w:color="auto"/>
        <w:bottom w:val="none" w:sz="0" w:space="0" w:color="auto"/>
        <w:right w:val="none" w:sz="0" w:space="0" w:color="auto"/>
      </w:divBdr>
    </w:div>
    <w:div w:id="412315447">
      <w:bodyDiv w:val="1"/>
      <w:marLeft w:val="0"/>
      <w:marRight w:val="0"/>
      <w:marTop w:val="0"/>
      <w:marBottom w:val="0"/>
      <w:divBdr>
        <w:top w:val="none" w:sz="0" w:space="0" w:color="auto"/>
        <w:left w:val="none" w:sz="0" w:space="0" w:color="auto"/>
        <w:bottom w:val="none" w:sz="0" w:space="0" w:color="auto"/>
        <w:right w:val="none" w:sz="0" w:space="0" w:color="auto"/>
      </w:divBdr>
    </w:div>
    <w:div w:id="417361867">
      <w:bodyDiv w:val="1"/>
      <w:marLeft w:val="0"/>
      <w:marRight w:val="0"/>
      <w:marTop w:val="0"/>
      <w:marBottom w:val="0"/>
      <w:divBdr>
        <w:top w:val="none" w:sz="0" w:space="0" w:color="auto"/>
        <w:left w:val="none" w:sz="0" w:space="0" w:color="auto"/>
        <w:bottom w:val="none" w:sz="0" w:space="0" w:color="auto"/>
        <w:right w:val="none" w:sz="0" w:space="0" w:color="auto"/>
      </w:divBdr>
    </w:div>
    <w:div w:id="431626088">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44428917">
      <w:bodyDiv w:val="1"/>
      <w:marLeft w:val="0"/>
      <w:marRight w:val="0"/>
      <w:marTop w:val="0"/>
      <w:marBottom w:val="0"/>
      <w:divBdr>
        <w:top w:val="none" w:sz="0" w:space="0" w:color="auto"/>
        <w:left w:val="none" w:sz="0" w:space="0" w:color="auto"/>
        <w:bottom w:val="none" w:sz="0" w:space="0" w:color="auto"/>
        <w:right w:val="none" w:sz="0" w:space="0" w:color="auto"/>
      </w:divBdr>
    </w:div>
    <w:div w:id="450058444">
      <w:bodyDiv w:val="1"/>
      <w:marLeft w:val="0"/>
      <w:marRight w:val="0"/>
      <w:marTop w:val="0"/>
      <w:marBottom w:val="0"/>
      <w:divBdr>
        <w:top w:val="none" w:sz="0" w:space="0" w:color="auto"/>
        <w:left w:val="none" w:sz="0" w:space="0" w:color="auto"/>
        <w:bottom w:val="none" w:sz="0" w:space="0" w:color="auto"/>
        <w:right w:val="none" w:sz="0" w:space="0" w:color="auto"/>
      </w:divBdr>
    </w:div>
    <w:div w:id="451436366">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67020217">
      <w:bodyDiv w:val="1"/>
      <w:marLeft w:val="0"/>
      <w:marRight w:val="0"/>
      <w:marTop w:val="0"/>
      <w:marBottom w:val="0"/>
      <w:divBdr>
        <w:top w:val="none" w:sz="0" w:space="0" w:color="auto"/>
        <w:left w:val="none" w:sz="0" w:space="0" w:color="auto"/>
        <w:bottom w:val="none" w:sz="0" w:space="0" w:color="auto"/>
        <w:right w:val="none" w:sz="0" w:space="0" w:color="auto"/>
      </w:divBdr>
    </w:div>
    <w:div w:id="467863117">
      <w:bodyDiv w:val="1"/>
      <w:marLeft w:val="0"/>
      <w:marRight w:val="0"/>
      <w:marTop w:val="0"/>
      <w:marBottom w:val="0"/>
      <w:divBdr>
        <w:top w:val="none" w:sz="0" w:space="0" w:color="auto"/>
        <w:left w:val="none" w:sz="0" w:space="0" w:color="auto"/>
        <w:bottom w:val="none" w:sz="0" w:space="0" w:color="auto"/>
        <w:right w:val="none" w:sz="0" w:space="0" w:color="auto"/>
      </w:divBdr>
    </w:div>
    <w:div w:id="485634943">
      <w:bodyDiv w:val="1"/>
      <w:marLeft w:val="0"/>
      <w:marRight w:val="0"/>
      <w:marTop w:val="0"/>
      <w:marBottom w:val="0"/>
      <w:divBdr>
        <w:top w:val="none" w:sz="0" w:space="0" w:color="auto"/>
        <w:left w:val="none" w:sz="0" w:space="0" w:color="auto"/>
        <w:bottom w:val="none" w:sz="0" w:space="0" w:color="auto"/>
        <w:right w:val="none" w:sz="0" w:space="0" w:color="auto"/>
      </w:divBdr>
    </w:div>
    <w:div w:id="496578147">
      <w:bodyDiv w:val="1"/>
      <w:marLeft w:val="0"/>
      <w:marRight w:val="0"/>
      <w:marTop w:val="0"/>
      <w:marBottom w:val="0"/>
      <w:divBdr>
        <w:top w:val="none" w:sz="0" w:space="0" w:color="auto"/>
        <w:left w:val="none" w:sz="0" w:space="0" w:color="auto"/>
        <w:bottom w:val="none" w:sz="0" w:space="0" w:color="auto"/>
        <w:right w:val="none" w:sz="0" w:space="0" w:color="auto"/>
      </w:divBdr>
    </w:div>
    <w:div w:id="499663519">
      <w:bodyDiv w:val="1"/>
      <w:marLeft w:val="0"/>
      <w:marRight w:val="0"/>
      <w:marTop w:val="0"/>
      <w:marBottom w:val="0"/>
      <w:divBdr>
        <w:top w:val="none" w:sz="0" w:space="0" w:color="auto"/>
        <w:left w:val="none" w:sz="0" w:space="0" w:color="auto"/>
        <w:bottom w:val="none" w:sz="0" w:space="0" w:color="auto"/>
        <w:right w:val="none" w:sz="0" w:space="0" w:color="auto"/>
      </w:divBdr>
    </w:div>
    <w:div w:id="503984015">
      <w:bodyDiv w:val="1"/>
      <w:marLeft w:val="0"/>
      <w:marRight w:val="0"/>
      <w:marTop w:val="0"/>
      <w:marBottom w:val="0"/>
      <w:divBdr>
        <w:top w:val="none" w:sz="0" w:space="0" w:color="auto"/>
        <w:left w:val="none" w:sz="0" w:space="0" w:color="auto"/>
        <w:bottom w:val="none" w:sz="0" w:space="0" w:color="auto"/>
        <w:right w:val="none" w:sz="0" w:space="0" w:color="auto"/>
      </w:divBdr>
    </w:div>
    <w:div w:id="510490152">
      <w:bodyDiv w:val="1"/>
      <w:marLeft w:val="0"/>
      <w:marRight w:val="0"/>
      <w:marTop w:val="0"/>
      <w:marBottom w:val="0"/>
      <w:divBdr>
        <w:top w:val="none" w:sz="0" w:space="0" w:color="auto"/>
        <w:left w:val="none" w:sz="0" w:space="0" w:color="auto"/>
        <w:bottom w:val="none" w:sz="0" w:space="0" w:color="auto"/>
        <w:right w:val="none" w:sz="0" w:space="0" w:color="auto"/>
      </w:divBdr>
    </w:div>
    <w:div w:id="550457879">
      <w:bodyDiv w:val="1"/>
      <w:marLeft w:val="0"/>
      <w:marRight w:val="0"/>
      <w:marTop w:val="0"/>
      <w:marBottom w:val="0"/>
      <w:divBdr>
        <w:top w:val="none" w:sz="0" w:space="0" w:color="auto"/>
        <w:left w:val="none" w:sz="0" w:space="0" w:color="auto"/>
        <w:bottom w:val="none" w:sz="0" w:space="0" w:color="auto"/>
        <w:right w:val="none" w:sz="0" w:space="0" w:color="auto"/>
      </w:divBdr>
    </w:div>
    <w:div w:id="586810587">
      <w:bodyDiv w:val="1"/>
      <w:marLeft w:val="0"/>
      <w:marRight w:val="0"/>
      <w:marTop w:val="0"/>
      <w:marBottom w:val="0"/>
      <w:divBdr>
        <w:top w:val="none" w:sz="0" w:space="0" w:color="auto"/>
        <w:left w:val="none" w:sz="0" w:space="0" w:color="auto"/>
        <w:bottom w:val="none" w:sz="0" w:space="0" w:color="auto"/>
        <w:right w:val="none" w:sz="0" w:space="0" w:color="auto"/>
      </w:divBdr>
    </w:div>
    <w:div w:id="595286161">
      <w:bodyDiv w:val="1"/>
      <w:marLeft w:val="0"/>
      <w:marRight w:val="0"/>
      <w:marTop w:val="0"/>
      <w:marBottom w:val="0"/>
      <w:divBdr>
        <w:top w:val="none" w:sz="0" w:space="0" w:color="auto"/>
        <w:left w:val="none" w:sz="0" w:space="0" w:color="auto"/>
        <w:bottom w:val="none" w:sz="0" w:space="0" w:color="auto"/>
        <w:right w:val="none" w:sz="0" w:space="0" w:color="auto"/>
      </w:divBdr>
    </w:div>
    <w:div w:id="600646043">
      <w:bodyDiv w:val="1"/>
      <w:marLeft w:val="0"/>
      <w:marRight w:val="0"/>
      <w:marTop w:val="0"/>
      <w:marBottom w:val="0"/>
      <w:divBdr>
        <w:top w:val="none" w:sz="0" w:space="0" w:color="auto"/>
        <w:left w:val="none" w:sz="0" w:space="0" w:color="auto"/>
        <w:bottom w:val="none" w:sz="0" w:space="0" w:color="auto"/>
        <w:right w:val="none" w:sz="0" w:space="0" w:color="auto"/>
      </w:divBdr>
    </w:div>
    <w:div w:id="609435837">
      <w:bodyDiv w:val="1"/>
      <w:marLeft w:val="0"/>
      <w:marRight w:val="0"/>
      <w:marTop w:val="0"/>
      <w:marBottom w:val="0"/>
      <w:divBdr>
        <w:top w:val="none" w:sz="0" w:space="0" w:color="auto"/>
        <w:left w:val="none" w:sz="0" w:space="0" w:color="auto"/>
        <w:bottom w:val="none" w:sz="0" w:space="0" w:color="auto"/>
        <w:right w:val="none" w:sz="0" w:space="0" w:color="auto"/>
      </w:divBdr>
    </w:div>
    <w:div w:id="611472715">
      <w:bodyDiv w:val="1"/>
      <w:marLeft w:val="0"/>
      <w:marRight w:val="0"/>
      <w:marTop w:val="0"/>
      <w:marBottom w:val="0"/>
      <w:divBdr>
        <w:top w:val="none" w:sz="0" w:space="0" w:color="auto"/>
        <w:left w:val="none" w:sz="0" w:space="0" w:color="auto"/>
        <w:bottom w:val="none" w:sz="0" w:space="0" w:color="auto"/>
        <w:right w:val="none" w:sz="0" w:space="0" w:color="auto"/>
      </w:divBdr>
    </w:div>
    <w:div w:id="615795492">
      <w:bodyDiv w:val="1"/>
      <w:marLeft w:val="0"/>
      <w:marRight w:val="0"/>
      <w:marTop w:val="0"/>
      <w:marBottom w:val="0"/>
      <w:divBdr>
        <w:top w:val="none" w:sz="0" w:space="0" w:color="auto"/>
        <w:left w:val="none" w:sz="0" w:space="0" w:color="auto"/>
        <w:bottom w:val="none" w:sz="0" w:space="0" w:color="auto"/>
        <w:right w:val="none" w:sz="0" w:space="0" w:color="auto"/>
      </w:divBdr>
    </w:div>
    <w:div w:id="641272957">
      <w:bodyDiv w:val="1"/>
      <w:marLeft w:val="0"/>
      <w:marRight w:val="0"/>
      <w:marTop w:val="0"/>
      <w:marBottom w:val="0"/>
      <w:divBdr>
        <w:top w:val="none" w:sz="0" w:space="0" w:color="auto"/>
        <w:left w:val="none" w:sz="0" w:space="0" w:color="auto"/>
        <w:bottom w:val="none" w:sz="0" w:space="0" w:color="auto"/>
        <w:right w:val="none" w:sz="0" w:space="0" w:color="auto"/>
      </w:divBdr>
    </w:div>
    <w:div w:id="642347074">
      <w:bodyDiv w:val="1"/>
      <w:marLeft w:val="0"/>
      <w:marRight w:val="0"/>
      <w:marTop w:val="0"/>
      <w:marBottom w:val="0"/>
      <w:divBdr>
        <w:top w:val="none" w:sz="0" w:space="0" w:color="auto"/>
        <w:left w:val="none" w:sz="0" w:space="0" w:color="auto"/>
        <w:bottom w:val="none" w:sz="0" w:space="0" w:color="auto"/>
        <w:right w:val="none" w:sz="0" w:space="0" w:color="auto"/>
      </w:divBdr>
    </w:div>
    <w:div w:id="652947761">
      <w:bodyDiv w:val="1"/>
      <w:marLeft w:val="0"/>
      <w:marRight w:val="0"/>
      <w:marTop w:val="0"/>
      <w:marBottom w:val="0"/>
      <w:divBdr>
        <w:top w:val="none" w:sz="0" w:space="0" w:color="auto"/>
        <w:left w:val="none" w:sz="0" w:space="0" w:color="auto"/>
        <w:bottom w:val="none" w:sz="0" w:space="0" w:color="auto"/>
        <w:right w:val="none" w:sz="0" w:space="0" w:color="auto"/>
      </w:divBdr>
    </w:div>
    <w:div w:id="674068645">
      <w:bodyDiv w:val="1"/>
      <w:marLeft w:val="0"/>
      <w:marRight w:val="0"/>
      <w:marTop w:val="0"/>
      <w:marBottom w:val="0"/>
      <w:divBdr>
        <w:top w:val="none" w:sz="0" w:space="0" w:color="auto"/>
        <w:left w:val="none" w:sz="0" w:space="0" w:color="auto"/>
        <w:bottom w:val="none" w:sz="0" w:space="0" w:color="auto"/>
        <w:right w:val="none" w:sz="0" w:space="0" w:color="auto"/>
      </w:divBdr>
    </w:div>
    <w:div w:id="687561261">
      <w:bodyDiv w:val="1"/>
      <w:marLeft w:val="0"/>
      <w:marRight w:val="0"/>
      <w:marTop w:val="0"/>
      <w:marBottom w:val="0"/>
      <w:divBdr>
        <w:top w:val="none" w:sz="0" w:space="0" w:color="auto"/>
        <w:left w:val="none" w:sz="0" w:space="0" w:color="auto"/>
        <w:bottom w:val="none" w:sz="0" w:space="0" w:color="auto"/>
        <w:right w:val="none" w:sz="0" w:space="0" w:color="auto"/>
      </w:divBdr>
    </w:div>
    <w:div w:id="697195792">
      <w:bodyDiv w:val="1"/>
      <w:marLeft w:val="0"/>
      <w:marRight w:val="0"/>
      <w:marTop w:val="0"/>
      <w:marBottom w:val="0"/>
      <w:divBdr>
        <w:top w:val="none" w:sz="0" w:space="0" w:color="auto"/>
        <w:left w:val="none" w:sz="0" w:space="0" w:color="auto"/>
        <w:bottom w:val="none" w:sz="0" w:space="0" w:color="auto"/>
        <w:right w:val="none" w:sz="0" w:space="0" w:color="auto"/>
      </w:divBdr>
    </w:div>
    <w:div w:id="697315975">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19279397">
      <w:bodyDiv w:val="1"/>
      <w:marLeft w:val="0"/>
      <w:marRight w:val="0"/>
      <w:marTop w:val="0"/>
      <w:marBottom w:val="0"/>
      <w:divBdr>
        <w:top w:val="none" w:sz="0" w:space="0" w:color="auto"/>
        <w:left w:val="none" w:sz="0" w:space="0" w:color="auto"/>
        <w:bottom w:val="none" w:sz="0" w:space="0" w:color="auto"/>
        <w:right w:val="none" w:sz="0" w:space="0" w:color="auto"/>
      </w:divBdr>
    </w:div>
    <w:div w:id="748423148">
      <w:bodyDiv w:val="1"/>
      <w:marLeft w:val="0"/>
      <w:marRight w:val="0"/>
      <w:marTop w:val="0"/>
      <w:marBottom w:val="0"/>
      <w:divBdr>
        <w:top w:val="none" w:sz="0" w:space="0" w:color="auto"/>
        <w:left w:val="none" w:sz="0" w:space="0" w:color="auto"/>
        <w:bottom w:val="none" w:sz="0" w:space="0" w:color="auto"/>
        <w:right w:val="none" w:sz="0" w:space="0" w:color="auto"/>
      </w:divBdr>
    </w:div>
    <w:div w:id="753627947">
      <w:bodyDiv w:val="1"/>
      <w:marLeft w:val="0"/>
      <w:marRight w:val="0"/>
      <w:marTop w:val="0"/>
      <w:marBottom w:val="0"/>
      <w:divBdr>
        <w:top w:val="none" w:sz="0" w:space="0" w:color="auto"/>
        <w:left w:val="none" w:sz="0" w:space="0" w:color="auto"/>
        <w:bottom w:val="none" w:sz="0" w:space="0" w:color="auto"/>
        <w:right w:val="none" w:sz="0" w:space="0" w:color="auto"/>
      </w:divBdr>
    </w:div>
    <w:div w:id="774252596">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02623329">
      <w:bodyDiv w:val="1"/>
      <w:marLeft w:val="0"/>
      <w:marRight w:val="0"/>
      <w:marTop w:val="0"/>
      <w:marBottom w:val="0"/>
      <w:divBdr>
        <w:top w:val="none" w:sz="0" w:space="0" w:color="auto"/>
        <w:left w:val="none" w:sz="0" w:space="0" w:color="auto"/>
        <w:bottom w:val="none" w:sz="0" w:space="0" w:color="auto"/>
        <w:right w:val="none" w:sz="0" w:space="0" w:color="auto"/>
      </w:divBdr>
    </w:div>
    <w:div w:id="805392429">
      <w:bodyDiv w:val="1"/>
      <w:marLeft w:val="0"/>
      <w:marRight w:val="0"/>
      <w:marTop w:val="0"/>
      <w:marBottom w:val="0"/>
      <w:divBdr>
        <w:top w:val="none" w:sz="0" w:space="0" w:color="auto"/>
        <w:left w:val="none" w:sz="0" w:space="0" w:color="auto"/>
        <w:bottom w:val="none" w:sz="0" w:space="0" w:color="auto"/>
        <w:right w:val="none" w:sz="0" w:space="0" w:color="auto"/>
      </w:divBdr>
    </w:div>
    <w:div w:id="814638987">
      <w:bodyDiv w:val="1"/>
      <w:marLeft w:val="0"/>
      <w:marRight w:val="0"/>
      <w:marTop w:val="0"/>
      <w:marBottom w:val="0"/>
      <w:divBdr>
        <w:top w:val="none" w:sz="0" w:space="0" w:color="auto"/>
        <w:left w:val="none" w:sz="0" w:space="0" w:color="auto"/>
        <w:bottom w:val="none" w:sz="0" w:space="0" w:color="auto"/>
        <w:right w:val="none" w:sz="0" w:space="0" w:color="auto"/>
      </w:divBdr>
    </w:div>
    <w:div w:id="820072988">
      <w:bodyDiv w:val="1"/>
      <w:marLeft w:val="0"/>
      <w:marRight w:val="0"/>
      <w:marTop w:val="0"/>
      <w:marBottom w:val="0"/>
      <w:divBdr>
        <w:top w:val="none" w:sz="0" w:space="0" w:color="auto"/>
        <w:left w:val="none" w:sz="0" w:space="0" w:color="auto"/>
        <w:bottom w:val="none" w:sz="0" w:space="0" w:color="auto"/>
        <w:right w:val="none" w:sz="0" w:space="0" w:color="auto"/>
      </w:divBdr>
    </w:div>
    <w:div w:id="821852358">
      <w:bodyDiv w:val="1"/>
      <w:marLeft w:val="0"/>
      <w:marRight w:val="0"/>
      <w:marTop w:val="0"/>
      <w:marBottom w:val="0"/>
      <w:divBdr>
        <w:top w:val="none" w:sz="0" w:space="0" w:color="auto"/>
        <w:left w:val="none" w:sz="0" w:space="0" w:color="auto"/>
        <w:bottom w:val="none" w:sz="0" w:space="0" w:color="auto"/>
        <w:right w:val="none" w:sz="0" w:space="0" w:color="auto"/>
      </w:divBdr>
    </w:div>
    <w:div w:id="833649864">
      <w:bodyDiv w:val="1"/>
      <w:marLeft w:val="0"/>
      <w:marRight w:val="0"/>
      <w:marTop w:val="0"/>
      <w:marBottom w:val="0"/>
      <w:divBdr>
        <w:top w:val="none" w:sz="0" w:space="0" w:color="auto"/>
        <w:left w:val="none" w:sz="0" w:space="0" w:color="auto"/>
        <w:bottom w:val="none" w:sz="0" w:space="0" w:color="auto"/>
        <w:right w:val="none" w:sz="0" w:space="0" w:color="auto"/>
      </w:divBdr>
    </w:div>
    <w:div w:id="838276518">
      <w:bodyDiv w:val="1"/>
      <w:marLeft w:val="0"/>
      <w:marRight w:val="0"/>
      <w:marTop w:val="0"/>
      <w:marBottom w:val="0"/>
      <w:divBdr>
        <w:top w:val="none" w:sz="0" w:space="0" w:color="auto"/>
        <w:left w:val="none" w:sz="0" w:space="0" w:color="auto"/>
        <w:bottom w:val="none" w:sz="0" w:space="0" w:color="auto"/>
        <w:right w:val="none" w:sz="0" w:space="0" w:color="auto"/>
      </w:divBdr>
    </w:div>
    <w:div w:id="856845056">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79585454">
      <w:bodyDiv w:val="1"/>
      <w:marLeft w:val="0"/>
      <w:marRight w:val="0"/>
      <w:marTop w:val="0"/>
      <w:marBottom w:val="0"/>
      <w:divBdr>
        <w:top w:val="none" w:sz="0" w:space="0" w:color="auto"/>
        <w:left w:val="none" w:sz="0" w:space="0" w:color="auto"/>
        <w:bottom w:val="none" w:sz="0" w:space="0" w:color="auto"/>
        <w:right w:val="none" w:sz="0" w:space="0" w:color="auto"/>
      </w:divBdr>
    </w:div>
    <w:div w:id="890464488">
      <w:bodyDiv w:val="1"/>
      <w:marLeft w:val="0"/>
      <w:marRight w:val="0"/>
      <w:marTop w:val="0"/>
      <w:marBottom w:val="0"/>
      <w:divBdr>
        <w:top w:val="none" w:sz="0" w:space="0" w:color="auto"/>
        <w:left w:val="none" w:sz="0" w:space="0" w:color="auto"/>
        <w:bottom w:val="none" w:sz="0" w:space="0" w:color="auto"/>
        <w:right w:val="none" w:sz="0" w:space="0" w:color="auto"/>
      </w:divBdr>
    </w:div>
    <w:div w:id="900866291">
      <w:bodyDiv w:val="1"/>
      <w:marLeft w:val="0"/>
      <w:marRight w:val="0"/>
      <w:marTop w:val="0"/>
      <w:marBottom w:val="0"/>
      <w:divBdr>
        <w:top w:val="none" w:sz="0" w:space="0" w:color="auto"/>
        <w:left w:val="none" w:sz="0" w:space="0" w:color="auto"/>
        <w:bottom w:val="none" w:sz="0" w:space="0" w:color="auto"/>
        <w:right w:val="none" w:sz="0" w:space="0" w:color="auto"/>
      </w:divBdr>
    </w:div>
    <w:div w:id="902982933">
      <w:bodyDiv w:val="1"/>
      <w:marLeft w:val="0"/>
      <w:marRight w:val="0"/>
      <w:marTop w:val="0"/>
      <w:marBottom w:val="0"/>
      <w:divBdr>
        <w:top w:val="none" w:sz="0" w:space="0" w:color="auto"/>
        <w:left w:val="none" w:sz="0" w:space="0" w:color="auto"/>
        <w:bottom w:val="none" w:sz="0" w:space="0" w:color="auto"/>
        <w:right w:val="none" w:sz="0" w:space="0" w:color="auto"/>
      </w:divBdr>
    </w:div>
    <w:div w:id="904070761">
      <w:bodyDiv w:val="1"/>
      <w:marLeft w:val="0"/>
      <w:marRight w:val="0"/>
      <w:marTop w:val="0"/>
      <w:marBottom w:val="0"/>
      <w:divBdr>
        <w:top w:val="none" w:sz="0" w:space="0" w:color="auto"/>
        <w:left w:val="none" w:sz="0" w:space="0" w:color="auto"/>
        <w:bottom w:val="none" w:sz="0" w:space="0" w:color="auto"/>
        <w:right w:val="none" w:sz="0" w:space="0" w:color="auto"/>
      </w:divBdr>
    </w:div>
    <w:div w:id="905841049">
      <w:bodyDiv w:val="1"/>
      <w:marLeft w:val="0"/>
      <w:marRight w:val="0"/>
      <w:marTop w:val="0"/>
      <w:marBottom w:val="0"/>
      <w:divBdr>
        <w:top w:val="none" w:sz="0" w:space="0" w:color="auto"/>
        <w:left w:val="none" w:sz="0" w:space="0" w:color="auto"/>
        <w:bottom w:val="none" w:sz="0" w:space="0" w:color="auto"/>
        <w:right w:val="none" w:sz="0" w:space="0" w:color="auto"/>
      </w:divBdr>
    </w:div>
    <w:div w:id="909344084">
      <w:bodyDiv w:val="1"/>
      <w:marLeft w:val="0"/>
      <w:marRight w:val="0"/>
      <w:marTop w:val="0"/>
      <w:marBottom w:val="0"/>
      <w:divBdr>
        <w:top w:val="none" w:sz="0" w:space="0" w:color="auto"/>
        <w:left w:val="none" w:sz="0" w:space="0" w:color="auto"/>
        <w:bottom w:val="none" w:sz="0" w:space="0" w:color="auto"/>
        <w:right w:val="none" w:sz="0" w:space="0" w:color="auto"/>
      </w:divBdr>
    </w:div>
    <w:div w:id="911350571">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39339327">
      <w:bodyDiv w:val="1"/>
      <w:marLeft w:val="0"/>
      <w:marRight w:val="0"/>
      <w:marTop w:val="0"/>
      <w:marBottom w:val="0"/>
      <w:divBdr>
        <w:top w:val="none" w:sz="0" w:space="0" w:color="auto"/>
        <w:left w:val="none" w:sz="0" w:space="0" w:color="auto"/>
        <w:bottom w:val="none" w:sz="0" w:space="0" w:color="auto"/>
        <w:right w:val="none" w:sz="0" w:space="0" w:color="auto"/>
      </w:divBdr>
    </w:div>
    <w:div w:id="944312460">
      <w:bodyDiv w:val="1"/>
      <w:marLeft w:val="0"/>
      <w:marRight w:val="0"/>
      <w:marTop w:val="0"/>
      <w:marBottom w:val="0"/>
      <w:divBdr>
        <w:top w:val="none" w:sz="0" w:space="0" w:color="auto"/>
        <w:left w:val="none" w:sz="0" w:space="0" w:color="auto"/>
        <w:bottom w:val="none" w:sz="0" w:space="0" w:color="auto"/>
        <w:right w:val="none" w:sz="0" w:space="0" w:color="auto"/>
      </w:divBdr>
    </w:div>
    <w:div w:id="947735400">
      <w:bodyDiv w:val="1"/>
      <w:marLeft w:val="0"/>
      <w:marRight w:val="0"/>
      <w:marTop w:val="0"/>
      <w:marBottom w:val="0"/>
      <w:divBdr>
        <w:top w:val="none" w:sz="0" w:space="0" w:color="auto"/>
        <w:left w:val="none" w:sz="0" w:space="0" w:color="auto"/>
        <w:bottom w:val="none" w:sz="0" w:space="0" w:color="auto"/>
        <w:right w:val="none" w:sz="0" w:space="0" w:color="auto"/>
      </w:divBdr>
    </w:div>
    <w:div w:id="950697642">
      <w:bodyDiv w:val="1"/>
      <w:marLeft w:val="0"/>
      <w:marRight w:val="0"/>
      <w:marTop w:val="0"/>
      <w:marBottom w:val="0"/>
      <w:divBdr>
        <w:top w:val="none" w:sz="0" w:space="0" w:color="auto"/>
        <w:left w:val="none" w:sz="0" w:space="0" w:color="auto"/>
        <w:bottom w:val="none" w:sz="0" w:space="0" w:color="auto"/>
        <w:right w:val="none" w:sz="0" w:space="0" w:color="auto"/>
      </w:divBdr>
    </w:div>
    <w:div w:id="953488821">
      <w:bodyDiv w:val="1"/>
      <w:marLeft w:val="0"/>
      <w:marRight w:val="0"/>
      <w:marTop w:val="0"/>
      <w:marBottom w:val="0"/>
      <w:divBdr>
        <w:top w:val="none" w:sz="0" w:space="0" w:color="auto"/>
        <w:left w:val="none" w:sz="0" w:space="0" w:color="auto"/>
        <w:bottom w:val="none" w:sz="0" w:space="0" w:color="auto"/>
        <w:right w:val="none" w:sz="0" w:space="0" w:color="auto"/>
      </w:divBdr>
    </w:div>
    <w:div w:id="962463756">
      <w:bodyDiv w:val="1"/>
      <w:marLeft w:val="0"/>
      <w:marRight w:val="0"/>
      <w:marTop w:val="0"/>
      <w:marBottom w:val="0"/>
      <w:divBdr>
        <w:top w:val="none" w:sz="0" w:space="0" w:color="auto"/>
        <w:left w:val="none" w:sz="0" w:space="0" w:color="auto"/>
        <w:bottom w:val="none" w:sz="0" w:space="0" w:color="auto"/>
        <w:right w:val="none" w:sz="0" w:space="0" w:color="auto"/>
      </w:divBdr>
    </w:div>
    <w:div w:id="965045234">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823447">
      <w:bodyDiv w:val="1"/>
      <w:marLeft w:val="0"/>
      <w:marRight w:val="0"/>
      <w:marTop w:val="0"/>
      <w:marBottom w:val="0"/>
      <w:divBdr>
        <w:top w:val="none" w:sz="0" w:space="0" w:color="auto"/>
        <w:left w:val="none" w:sz="0" w:space="0" w:color="auto"/>
        <w:bottom w:val="none" w:sz="0" w:space="0" w:color="auto"/>
        <w:right w:val="none" w:sz="0" w:space="0" w:color="auto"/>
      </w:divBdr>
    </w:div>
    <w:div w:id="1037393546">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54426875">
      <w:bodyDiv w:val="1"/>
      <w:marLeft w:val="0"/>
      <w:marRight w:val="0"/>
      <w:marTop w:val="0"/>
      <w:marBottom w:val="0"/>
      <w:divBdr>
        <w:top w:val="none" w:sz="0" w:space="0" w:color="auto"/>
        <w:left w:val="none" w:sz="0" w:space="0" w:color="auto"/>
        <w:bottom w:val="none" w:sz="0" w:space="0" w:color="auto"/>
        <w:right w:val="none" w:sz="0" w:space="0" w:color="auto"/>
      </w:divBdr>
    </w:div>
    <w:div w:id="1080953772">
      <w:bodyDiv w:val="1"/>
      <w:marLeft w:val="0"/>
      <w:marRight w:val="0"/>
      <w:marTop w:val="0"/>
      <w:marBottom w:val="0"/>
      <w:divBdr>
        <w:top w:val="none" w:sz="0" w:space="0" w:color="auto"/>
        <w:left w:val="none" w:sz="0" w:space="0" w:color="auto"/>
        <w:bottom w:val="none" w:sz="0" w:space="0" w:color="auto"/>
        <w:right w:val="none" w:sz="0" w:space="0" w:color="auto"/>
      </w:divBdr>
    </w:div>
    <w:div w:id="1083726801">
      <w:bodyDiv w:val="1"/>
      <w:marLeft w:val="0"/>
      <w:marRight w:val="0"/>
      <w:marTop w:val="0"/>
      <w:marBottom w:val="0"/>
      <w:divBdr>
        <w:top w:val="none" w:sz="0" w:space="0" w:color="auto"/>
        <w:left w:val="none" w:sz="0" w:space="0" w:color="auto"/>
        <w:bottom w:val="none" w:sz="0" w:space="0" w:color="auto"/>
        <w:right w:val="none" w:sz="0" w:space="0" w:color="auto"/>
      </w:divBdr>
    </w:div>
    <w:div w:id="1094663306">
      <w:bodyDiv w:val="1"/>
      <w:marLeft w:val="0"/>
      <w:marRight w:val="0"/>
      <w:marTop w:val="0"/>
      <w:marBottom w:val="0"/>
      <w:divBdr>
        <w:top w:val="none" w:sz="0" w:space="0" w:color="auto"/>
        <w:left w:val="none" w:sz="0" w:space="0" w:color="auto"/>
        <w:bottom w:val="none" w:sz="0" w:space="0" w:color="auto"/>
        <w:right w:val="none" w:sz="0" w:space="0" w:color="auto"/>
      </w:divBdr>
    </w:div>
    <w:div w:id="1108044628">
      <w:bodyDiv w:val="1"/>
      <w:marLeft w:val="0"/>
      <w:marRight w:val="0"/>
      <w:marTop w:val="0"/>
      <w:marBottom w:val="0"/>
      <w:divBdr>
        <w:top w:val="none" w:sz="0" w:space="0" w:color="auto"/>
        <w:left w:val="none" w:sz="0" w:space="0" w:color="auto"/>
        <w:bottom w:val="none" w:sz="0" w:space="0" w:color="auto"/>
        <w:right w:val="none" w:sz="0" w:space="0" w:color="auto"/>
      </w:divBdr>
    </w:div>
    <w:div w:id="1114516103">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187791238">
      <w:bodyDiv w:val="1"/>
      <w:marLeft w:val="0"/>
      <w:marRight w:val="0"/>
      <w:marTop w:val="0"/>
      <w:marBottom w:val="0"/>
      <w:divBdr>
        <w:top w:val="none" w:sz="0" w:space="0" w:color="auto"/>
        <w:left w:val="none" w:sz="0" w:space="0" w:color="auto"/>
        <w:bottom w:val="none" w:sz="0" w:space="0" w:color="auto"/>
        <w:right w:val="none" w:sz="0" w:space="0" w:color="auto"/>
      </w:divBdr>
    </w:div>
    <w:div w:id="1192039255">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36016711">
      <w:bodyDiv w:val="1"/>
      <w:marLeft w:val="0"/>
      <w:marRight w:val="0"/>
      <w:marTop w:val="0"/>
      <w:marBottom w:val="0"/>
      <w:divBdr>
        <w:top w:val="none" w:sz="0" w:space="0" w:color="auto"/>
        <w:left w:val="none" w:sz="0" w:space="0" w:color="auto"/>
        <w:bottom w:val="none" w:sz="0" w:space="0" w:color="auto"/>
        <w:right w:val="none" w:sz="0" w:space="0" w:color="auto"/>
      </w:divBdr>
    </w:div>
    <w:div w:id="1240021939">
      <w:bodyDiv w:val="1"/>
      <w:marLeft w:val="0"/>
      <w:marRight w:val="0"/>
      <w:marTop w:val="0"/>
      <w:marBottom w:val="0"/>
      <w:divBdr>
        <w:top w:val="none" w:sz="0" w:space="0" w:color="auto"/>
        <w:left w:val="none" w:sz="0" w:space="0" w:color="auto"/>
        <w:bottom w:val="none" w:sz="0" w:space="0" w:color="auto"/>
        <w:right w:val="none" w:sz="0" w:space="0" w:color="auto"/>
      </w:divBdr>
    </w:div>
    <w:div w:id="1242908449">
      <w:bodyDiv w:val="1"/>
      <w:marLeft w:val="0"/>
      <w:marRight w:val="0"/>
      <w:marTop w:val="0"/>
      <w:marBottom w:val="0"/>
      <w:divBdr>
        <w:top w:val="none" w:sz="0" w:space="0" w:color="auto"/>
        <w:left w:val="none" w:sz="0" w:space="0" w:color="auto"/>
        <w:bottom w:val="none" w:sz="0" w:space="0" w:color="auto"/>
        <w:right w:val="none" w:sz="0" w:space="0" w:color="auto"/>
      </w:divBdr>
    </w:div>
    <w:div w:id="1245994918">
      <w:bodyDiv w:val="1"/>
      <w:marLeft w:val="0"/>
      <w:marRight w:val="0"/>
      <w:marTop w:val="0"/>
      <w:marBottom w:val="0"/>
      <w:divBdr>
        <w:top w:val="none" w:sz="0" w:space="0" w:color="auto"/>
        <w:left w:val="none" w:sz="0" w:space="0" w:color="auto"/>
        <w:bottom w:val="none" w:sz="0" w:space="0" w:color="auto"/>
        <w:right w:val="none" w:sz="0" w:space="0" w:color="auto"/>
      </w:divBdr>
    </w:div>
    <w:div w:id="1251083589">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289162260">
      <w:bodyDiv w:val="1"/>
      <w:marLeft w:val="0"/>
      <w:marRight w:val="0"/>
      <w:marTop w:val="0"/>
      <w:marBottom w:val="0"/>
      <w:divBdr>
        <w:top w:val="none" w:sz="0" w:space="0" w:color="auto"/>
        <w:left w:val="none" w:sz="0" w:space="0" w:color="auto"/>
        <w:bottom w:val="none" w:sz="0" w:space="0" w:color="auto"/>
        <w:right w:val="none" w:sz="0" w:space="0" w:color="auto"/>
      </w:divBdr>
    </w:div>
    <w:div w:id="1301229939">
      <w:bodyDiv w:val="1"/>
      <w:marLeft w:val="0"/>
      <w:marRight w:val="0"/>
      <w:marTop w:val="0"/>
      <w:marBottom w:val="0"/>
      <w:divBdr>
        <w:top w:val="none" w:sz="0" w:space="0" w:color="auto"/>
        <w:left w:val="none" w:sz="0" w:space="0" w:color="auto"/>
        <w:bottom w:val="none" w:sz="0" w:space="0" w:color="auto"/>
        <w:right w:val="none" w:sz="0" w:space="0" w:color="auto"/>
      </w:divBdr>
    </w:div>
    <w:div w:id="1302074406">
      <w:bodyDiv w:val="1"/>
      <w:marLeft w:val="0"/>
      <w:marRight w:val="0"/>
      <w:marTop w:val="0"/>
      <w:marBottom w:val="0"/>
      <w:divBdr>
        <w:top w:val="none" w:sz="0" w:space="0" w:color="auto"/>
        <w:left w:val="none" w:sz="0" w:space="0" w:color="auto"/>
        <w:bottom w:val="none" w:sz="0" w:space="0" w:color="auto"/>
        <w:right w:val="none" w:sz="0" w:space="0" w:color="auto"/>
      </w:divBdr>
    </w:div>
    <w:div w:id="1309634062">
      <w:bodyDiv w:val="1"/>
      <w:marLeft w:val="0"/>
      <w:marRight w:val="0"/>
      <w:marTop w:val="0"/>
      <w:marBottom w:val="0"/>
      <w:divBdr>
        <w:top w:val="none" w:sz="0" w:space="0" w:color="auto"/>
        <w:left w:val="none" w:sz="0" w:space="0" w:color="auto"/>
        <w:bottom w:val="none" w:sz="0" w:space="0" w:color="auto"/>
        <w:right w:val="none" w:sz="0" w:space="0" w:color="auto"/>
      </w:divBdr>
    </w:div>
    <w:div w:id="1337539425">
      <w:bodyDiv w:val="1"/>
      <w:marLeft w:val="0"/>
      <w:marRight w:val="0"/>
      <w:marTop w:val="0"/>
      <w:marBottom w:val="0"/>
      <w:divBdr>
        <w:top w:val="none" w:sz="0" w:space="0" w:color="auto"/>
        <w:left w:val="none" w:sz="0" w:space="0" w:color="auto"/>
        <w:bottom w:val="none" w:sz="0" w:space="0" w:color="auto"/>
        <w:right w:val="none" w:sz="0" w:space="0" w:color="auto"/>
      </w:divBdr>
    </w:div>
    <w:div w:id="1339388856">
      <w:bodyDiv w:val="1"/>
      <w:marLeft w:val="0"/>
      <w:marRight w:val="0"/>
      <w:marTop w:val="0"/>
      <w:marBottom w:val="0"/>
      <w:divBdr>
        <w:top w:val="none" w:sz="0" w:space="0" w:color="auto"/>
        <w:left w:val="none" w:sz="0" w:space="0" w:color="auto"/>
        <w:bottom w:val="none" w:sz="0" w:space="0" w:color="auto"/>
        <w:right w:val="none" w:sz="0" w:space="0" w:color="auto"/>
      </w:divBdr>
    </w:div>
    <w:div w:id="1343509338">
      <w:bodyDiv w:val="1"/>
      <w:marLeft w:val="0"/>
      <w:marRight w:val="0"/>
      <w:marTop w:val="0"/>
      <w:marBottom w:val="0"/>
      <w:divBdr>
        <w:top w:val="none" w:sz="0" w:space="0" w:color="auto"/>
        <w:left w:val="none" w:sz="0" w:space="0" w:color="auto"/>
        <w:bottom w:val="none" w:sz="0" w:space="0" w:color="auto"/>
        <w:right w:val="none" w:sz="0" w:space="0" w:color="auto"/>
      </w:divBdr>
    </w:div>
    <w:div w:id="1346665836">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6826875">
      <w:bodyDiv w:val="1"/>
      <w:marLeft w:val="0"/>
      <w:marRight w:val="0"/>
      <w:marTop w:val="0"/>
      <w:marBottom w:val="0"/>
      <w:divBdr>
        <w:top w:val="none" w:sz="0" w:space="0" w:color="auto"/>
        <w:left w:val="none" w:sz="0" w:space="0" w:color="auto"/>
        <w:bottom w:val="none" w:sz="0" w:space="0" w:color="auto"/>
        <w:right w:val="none" w:sz="0" w:space="0" w:color="auto"/>
      </w:divBdr>
    </w:div>
    <w:div w:id="1370376332">
      <w:bodyDiv w:val="1"/>
      <w:marLeft w:val="0"/>
      <w:marRight w:val="0"/>
      <w:marTop w:val="0"/>
      <w:marBottom w:val="0"/>
      <w:divBdr>
        <w:top w:val="none" w:sz="0" w:space="0" w:color="auto"/>
        <w:left w:val="none" w:sz="0" w:space="0" w:color="auto"/>
        <w:bottom w:val="none" w:sz="0" w:space="0" w:color="auto"/>
        <w:right w:val="none" w:sz="0" w:space="0" w:color="auto"/>
      </w:divBdr>
    </w:div>
    <w:div w:id="1395472721">
      <w:bodyDiv w:val="1"/>
      <w:marLeft w:val="0"/>
      <w:marRight w:val="0"/>
      <w:marTop w:val="0"/>
      <w:marBottom w:val="0"/>
      <w:divBdr>
        <w:top w:val="none" w:sz="0" w:space="0" w:color="auto"/>
        <w:left w:val="none" w:sz="0" w:space="0" w:color="auto"/>
        <w:bottom w:val="none" w:sz="0" w:space="0" w:color="auto"/>
        <w:right w:val="none" w:sz="0" w:space="0" w:color="auto"/>
      </w:divBdr>
    </w:div>
    <w:div w:id="1408575426">
      <w:bodyDiv w:val="1"/>
      <w:marLeft w:val="0"/>
      <w:marRight w:val="0"/>
      <w:marTop w:val="0"/>
      <w:marBottom w:val="0"/>
      <w:divBdr>
        <w:top w:val="none" w:sz="0" w:space="0" w:color="auto"/>
        <w:left w:val="none" w:sz="0" w:space="0" w:color="auto"/>
        <w:bottom w:val="none" w:sz="0" w:space="0" w:color="auto"/>
        <w:right w:val="none" w:sz="0" w:space="0" w:color="auto"/>
      </w:divBdr>
    </w:div>
    <w:div w:id="1419980111">
      <w:bodyDiv w:val="1"/>
      <w:marLeft w:val="0"/>
      <w:marRight w:val="0"/>
      <w:marTop w:val="0"/>
      <w:marBottom w:val="0"/>
      <w:divBdr>
        <w:top w:val="none" w:sz="0" w:space="0" w:color="auto"/>
        <w:left w:val="none" w:sz="0" w:space="0" w:color="auto"/>
        <w:bottom w:val="none" w:sz="0" w:space="0" w:color="auto"/>
        <w:right w:val="none" w:sz="0" w:space="0" w:color="auto"/>
      </w:divBdr>
    </w:div>
    <w:div w:id="1421875967">
      <w:bodyDiv w:val="1"/>
      <w:marLeft w:val="0"/>
      <w:marRight w:val="0"/>
      <w:marTop w:val="0"/>
      <w:marBottom w:val="0"/>
      <w:divBdr>
        <w:top w:val="none" w:sz="0" w:space="0" w:color="auto"/>
        <w:left w:val="none" w:sz="0" w:space="0" w:color="auto"/>
        <w:bottom w:val="none" w:sz="0" w:space="0" w:color="auto"/>
        <w:right w:val="none" w:sz="0" w:space="0" w:color="auto"/>
      </w:divBdr>
    </w:div>
    <w:div w:id="1449550181">
      <w:bodyDiv w:val="1"/>
      <w:marLeft w:val="0"/>
      <w:marRight w:val="0"/>
      <w:marTop w:val="0"/>
      <w:marBottom w:val="0"/>
      <w:divBdr>
        <w:top w:val="none" w:sz="0" w:space="0" w:color="auto"/>
        <w:left w:val="none" w:sz="0" w:space="0" w:color="auto"/>
        <w:bottom w:val="none" w:sz="0" w:space="0" w:color="auto"/>
        <w:right w:val="none" w:sz="0" w:space="0" w:color="auto"/>
      </w:divBdr>
    </w:div>
    <w:div w:id="1452818299">
      <w:bodyDiv w:val="1"/>
      <w:marLeft w:val="0"/>
      <w:marRight w:val="0"/>
      <w:marTop w:val="0"/>
      <w:marBottom w:val="0"/>
      <w:divBdr>
        <w:top w:val="none" w:sz="0" w:space="0" w:color="auto"/>
        <w:left w:val="none" w:sz="0" w:space="0" w:color="auto"/>
        <w:bottom w:val="none" w:sz="0" w:space="0" w:color="auto"/>
        <w:right w:val="none" w:sz="0" w:space="0" w:color="auto"/>
      </w:divBdr>
    </w:div>
    <w:div w:id="1458914817">
      <w:bodyDiv w:val="1"/>
      <w:marLeft w:val="0"/>
      <w:marRight w:val="0"/>
      <w:marTop w:val="0"/>
      <w:marBottom w:val="0"/>
      <w:divBdr>
        <w:top w:val="none" w:sz="0" w:space="0" w:color="auto"/>
        <w:left w:val="none" w:sz="0" w:space="0" w:color="auto"/>
        <w:bottom w:val="none" w:sz="0" w:space="0" w:color="auto"/>
        <w:right w:val="none" w:sz="0" w:space="0" w:color="auto"/>
      </w:divBdr>
    </w:div>
    <w:div w:id="1463419759">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74177487">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03278512">
      <w:bodyDiv w:val="1"/>
      <w:marLeft w:val="0"/>
      <w:marRight w:val="0"/>
      <w:marTop w:val="0"/>
      <w:marBottom w:val="0"/>
      <w:divBdr>
        <w:top w:val="none" w:sz="0" w:space="0" w:color="auto"/>
        <w:left w:val="none" w:sz="0" w:space="0" w:color="auto"/>
        <w:bottom w:val="none" w:sz="0" w:space="0" w:color="auto"/>
        <w:right w:val="none" w:sz="0" w:space="0" w:color="auto"/>
      </w:divBdr>
    </w:div>
    <w:div w:id="1503742421">
      <w:bodyDiv w:val="1"/>
      <w:marLeft w:val="0"/>
      <w:marRight w:val="0"/>
      <w:marTop w:val="0"/>
      <w:marBottom w:val="0"/>
      <w:divBdr>
        <w:top w:val="none" w:sz="0" w:space="0" w:color="auto"/>
        <w:left w:val="none" w:sz="0" w:space="0" w:color="auto"/>
        <w:bottom w:val="none" w:sz="0" w:space="0" w:color="auto"/>
        <w:right w:val="none" w:sz="0" w:space="0" w:color="auto"/>
      </w:divBdr>
    </w:div>
    <w:div w:id="1507478070">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14762094">
      <w:bodyDiv w:val="1"/>
      <w:marLeft w:val="0"/>
      <w:marRight w:val="0"/>
      <w:marTop w:val="0"/>
      <w:marBottom w:val="0"/>
      <w:divBdr>
        <w:top w:val="none" w:sz="0" w:space="0" w:color="auto"/>
        <w:left w:val="none" w:sz="0" w:space="0" w:color="auto"/>
        <w:bottom w:val="none" w:sz="0" w:space="0" w:color="auto"/>
        <w:right w:val="none" w:sz="0" w:space="0" w:color="auto"/>
      </w:divBdr>
    </w:div>
    <w:div w:id="1519269936">
      <w:bodyDiv w:val="1"/>
      <w:marLeft w:val="0"/>
      <w:marRight w:val="0"/>
      <w:marTop w:val="0"/>
      <w:marBottom w:val="0"/>
      <w:divBdr>
        <w:top w:val="none" w:sz="0" w:space="0" w:color="auto"/>
        <w:left w:val="none" w:sz="0" w:space="0" w:color="auto"/>
        <w:bottom w:val="none" w:sz="0" w:space="0" w:color="auto"/>
        <w:right w:val="none" w:sz="0" w:space="0" w:color="auto"/>
      </w:divBdr>
    </w:div>
    <w:div w:id="1519854139">
      <w:bodyDiv w:val="1"/>
      <w:marLeft w:val="0"/>
      <w:marRight w:val="0"/>
      <w:marTop w:val="0"/>
      <w:marBottom w:val="0"/>
      <w:divBdr>
        <w:top w:val="none" w:sz="0" w:space="0" w:color="auto"/>
        <w:left w:val="none" w:sz="0" w:space="0" w:color="auto"/>
        <w:bottom w:val="none" w:sz="0" w:space="0" w:color="auto"/>
        <w:right w:val="none" w:sz="0" w:space="0" w:color="auto"/>
      </w:divBdr>
    </w:div>
    <w:div w:id="1519999529">
      <w:bodyDiv w:val="1"/>
      <w:marLeft w:val="0"/>
      <w:marRight w:val="0"/>
      <w:marTop w:val="0"/>
      <w:marBottom w:val="0"/>
      <w:divBdr>
        <w:top w:val="none" w:sz="0" w:space="0" w:color="auto"/>
        <w:left w:val="none" w:sz="0" w:space="0" w:color="auto"/>
        <w:bottom w:val="none" w:sz="0" w:space="0" w:color="auto"/>
        <w:right w:val="none" w:sz="0" w:space="0" w:color="auto"/>
      </w:divBdr>
    </w:div>
    <w:div w:id="1532456448">
      <w:bodyDiv w:val="1"/>
      <w:marLeft w:val="0"/>
      <w:marRight w:val="0"/>
      <w:marTop w:val="0"/>
      <w:marBottom w:val="0"/>
      <w:divBdr>
        <w:top w:val="none" w:sz="0" w:space="0" w:color="auto"/>
        <w:left w:val="none" w:sz="0" w:space="0" w:color="auto"/>
        <w:bottom w:val="none" w:sz="0" w:space="0" w:color="auto"/>
        <w:right w:val="none" w:sz="0" w:space="0" w:color="auto"/>
      </w:divBdr>
    </w:div>
    <w:div w:id="1537044407">
      <w:bodyDiv w:val="1"/>
      <w:marLeft w:val="0"/>
      <w:marRight w:val="0"/>
      <w:marTop w:val="0"/>
      <w:marBottom w:val="0"/>
      <w:divBdr>
        <w:top w:val="none" w:sz="0" w:space="0" w:color="auto"/>
        <w:left w:val="none" w:sz="0" w:space="0" w:color="auto"/>
        <w:bottom w:val="none" w:sz="0" w:space="0" w:color="auto"/>
        <w:right w:val="none" w:sz="0" w:space="0" w:color="auto"/>
      </w:divBdr>
    </w:div>
    <w:div w:id="1544705840">
      <w:bodyDiv w:val="1"/>
      <w:marLeft w:val="0"/>
      <w:marRight w:val="0"/>
      <w:marTop w:val="0"/>
      <w:marBottom w:val="0"/>
      <w:divBdr>
        <w:top w:val="none" w:sz="0" w:space="0" w:color="auto"/>
        <w:left w:val="none" w:sz="0" w:space="0" w:color="auto"/>
        <w:bottom w:val="none" w:sz="0" w:space="0" w:color="auto"/>
        <w:right w:val="none" w:sz="0" w:space="0" w:color="auto"/>
      </w:divBdr>
    </w:div>
    <w:div w:id="1545100417">
      <w:bodyDiv w:val="1"/>
      <w:marLeft w:val="0"/>
      <w:marRight w:val="0"/>
      <w:marTop w:val="0"/>
      <w:marBottom w:val="0"/>
      <w:divBdr>
        <w:top w:val="none" w:sz="0" w:space="0" w:color="auto"/>
        <w:left w:val="none" w:sz="0" w:space="0" w:color="auto"/>
        <w:bottom w:val="none" w:sz="0" w:space="0" w:color="auto"/>
        <w:right w:val="none" w:sz="0" w:space="0" w:color="auto"/>
      </w:divBdr>
    </w:div>
    <w:div w:id="1548567644">
      <w:bodyDiv w:val="1"/>
      <w:marLeft w:val="0"/>
      <w:marRight w:val="0"/>
      <w:marTop w:val="0"/>
      <w:marBottom w:val="0"/>
      <w:divBdr>
        <w:top w:val="none" w:sz="0" w:space="0" w:color="auto"/>
        <w:left w:val="none" w:sz="0" w:space="0" w:color="auto"/>
        <w:bottom w:val="none" w:sz="0" w:space="0" w:color="auto"/>
        <w:right w:val="none" w:sz="0" w:space="0" w:color="auto"/>
      </w:divBdr>
    </w:div>
    <w:div w:id="1559513045">
      <w:bodyDiv w:val="1"/>
      <w:marLeft w:val="0"/>
      <w:marRight w:val="0"/>
      <w:marTop w:val="0"/>
      <w:marBottom w:val="0"/>
      <w:divBdr>
        <w:top w:val="none" w:sz="0" w:space="0" w:color="auto"/>
        <w:left w:val="none" w:sz="0" w:space="0" w:color="auto"/>
        <w:bottom w:val="none" w:sz="0" w:space="0" w:color="auto"/>
        <w:right w:val="none" w:sz="0" w:space="0" w:color="auto"/>
      </w:divBdr>
    </w:div>
    <w:div w:id="1562520110">
      <w:bodyDiv w:val="1"/>
      <w:marLeft w:val="0"/>
      <w:marRight w:val="0"/>
      <w:marTop w:val="0"/>
      <w:marBottom w:val="0"/>
      <w:divBdr>
        <w:top w:val="none" w:sz="0" w:space="0" w:color="auto"/>
        <w:left w:val="none" w:sz="0" w:space="0" w:color="auto"/>
        <w:bottom w:val="none" w:sz="0" w:space="0" w:color="auto"/>
        <w:right w:val="none" w:sz="0" w:space="0" w:color="auto"/>
      </w:divBdr>
    </w:div>
    <w:div w:id="1564564039">
      <w:bodyDiv w:val="1"/>
      <w:marLeft w:val="0"/>
      <w:marRight w:val="0"/>
      <w:marTop w:val="0"/>
      <w:marBottom w:val="0"/>
      <w:divBdr>
        <w:top w:val="none" w:sz="0" w:space="0" w:color="auto"/>
        <w:left w:val="none" w:sz="0" w:space="0" w:color="auto"/>
        <w:bottom w:val="none" w:sz="0" w:space="0" w:color="auto"/>
        <w:right w:val="none" w:sz="0" w:space="0" w:color="auto"/>
      </w:divBdr>
    </w:div>
    <w:div w:id="1565482244">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605768072">
      <w:bodyDiv w:val="1"/>
      <w:marLeft w:val="0"/>
      <w:marRight w:val="0"/>
      <w:marTop w:val="0"/>
      <w:marBottom w:val="0"/>
      <w:divBdr>
        <w:top w:val="none" w:sz="0" w:space="0" w:color="auto"/>
        <w:left w:val="none" w:sz="0" w:space="0" w:color="auto"/>
        <w:bottom w:val="none" w:sz="0" w:space="0" w:color="auto"/>
        <w:right w:val="none" w:sz="0" w:space="0" w:color="auto"/>
      </w:divBdr>
    </w:div>
    <w:div w:id="1606570236">
      <w:bodyDiv w:val="1"/>
      <w:marLeft w:val="0"/>
      <w:marRight w:val="0"/>
      <w:marTop w:val="0"/>
      <w:marBottom w:val="0"/>
      <w:divBdr>
        <w:top w:val="none" w:sz="0" w:space="0" w:color="auto"/>
        <w:left w:val="none" w:sz="0" w:space="0" w:color="auto"/>
        <w:bottom w:val="none" w:sz="0" w:space="0" w:color="auto"/>
        <w:right w:val="none" w:sz="0" w:space="0" w:color="auto"/>
      </w:divBdr>
    </w:div>
    <w:div w:id="1619871951">
      <w:bodyDiv w:val="1"/>
      <w:marLeft w:val="0"/>
      <w:marRight w:val="0"/>
      <w:marTop w:val="0"/>
      <w:marBottom w:val="0"/>
      <w:divBdr>
        <w:top w:val="none" w:sz="0" w:space="0" w:color="auto"/>
        <w:left w:val="none" w:sz="0" w:space="0" w:color="auto"/>
        <w:bottom w:val="none" w:sz="0" w:space="0" w:color="auto"/>
        <w:right w:val="none" w:sz="0" w:space="0" w:color="auto"/>
      </w:divBdr>
    </w:div>
    <w:div w:id="1621959875">
      <w:bodyDiv w:val="1"/>
      <w:marLeft w:val="0"/>
      <w:marRight w:val="0"/>
      <w:marTop w:val="0"/>
      <w:marBottom w:val="0"/>
      <w:divBdr>
        <w:top w:val="none" w:sz="0" w:space="0" w:color="auto"/>
        <w:left w:val="none" w:sz="0" w:space="0" w:color="auto"/>
        <w:bottom w:val="none" w:sz="0" w:space="0" w:color="auto"/>
        <w:right w:val="none" w:sz="0" w:space="0" w:color="auto"/>
      </w:divBdr>
    </w:div>
    <w:div w:id="1650473139">
      <w:bodyDiv w:val="1"/>
      <w:marLeft w:val="0"/>
      <w:marRight w:val="0"/>
      <w:marTop w:val="0"/>
      <w:marBottom w:val="0"/>
      <w:divBdr>
        <w:top w:val="none" w:sz="0" w:space="0" w:color="auto"/>
        <w:left w:val="none" w:sz="0" w:space="0" w:color="auto"/>
        <w:bottom w:val="none" w:sz="0" w:space="0" w:color="auto"/>
        <w:right w:val="none" w:sz="0" w:space="0" w:color="auto"/>
      </w:divBdr>
    </w:div>
    <w:div w:id="1670325638">
      <w:bodyDiv w:val="1"/>
      <w:marLeft w:val="0"/>
      <w:marRight w:val="0"/>
      <w:marTop w:val="0"/>
      <w:marBottom w:val="0"/>
      <w:divBdr>
        <w:top w:val="none" w:sz="0" w:space="0" w:color="auto"/>
        <w:left w:val="none" w:sz="0" w:space="0" w:color="auto"/>
        <w:bottom w:val="none" w:sz="0" w:space="0" w:color="auto"/>
        <w:right w:val="none" w:sz="0" w:space="0" w:color="auto"/>
      </w:divBdr>
    </w:div>
    <w:div w:id="1706826858">
      <w:bodyDiv w:val="1"/>
      <w:marLeft w:val="0"/>
      <w:marRight w:val="0"/>
      <w:marTop w:val="0"/>
      <w:marBottom w:val="0"/>
      <w:divBdr>
        <w:top w:val="none" w:sz="0" w:space="0" w:color="auto"/>
        <w:left w:val="none" w:sz="0" w:space="0" w:color="auto"/>
        <w:bottom w:val="none" w:sz="0" w:space="0" w:color="auto"/>
        <w:right w:val="none" w:sz="0" w:space="0" w:color="auto"/>
      </w:divBdr>
    </w:div>
    <w:div w:id="1706907718">
      <w:bodyDiv w:val="1"/>
      <w:marLeft w:val="0"/>
      <w:marRight w:val="0"/>
      <w:marTop w:val="0"/>
      <w:marBottom w:val="0"/>
      <w:divBdr>
        <w:top w:val="none" w:sz="0" w:space="0" w:color="auto"/>
        <w:left w:val="none" w:sz="0" w:space="0" w:color="auto"/>
        <w:bottom w:val="none" w:sz="0" w:space="0" w:color="auto"/>
        <w:right w:val="none" w:sz="0" w:space="0" w:color="auto"/>
      </w:divBdr>
    </w:div>
    <w:div w:id="1709649371">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723598626">
      <w:bodyDiv w:val="1"/>
      <w:marLeft w:val="0"/>
      <w:marRight w:val="0"/>
      <w:marTop w:val="0"/>
      <w:marBottom w:val="0"/>
      <w:divBdr>
        <w:top w:val="none" w:sz="0" w:space="0" w:color="auto"/>
        <w:left w:val="none" w:sz="0" w:space="0" w:color="auto"/>
        <w:bottom w:val="none" w:sz="0" w:space="0" w:color="auto"/>
        <w:right w:val="none" w:sz="0" w:space="0" w:color="auto"/>
      </w:divBdr>
    </w:div>
    <w:div w:id="1730034514">
      <w:bodyDiv w:val="1"/>
      <w:marLeft w:val="0"/>
      <w:marRight w:val="0"/>
      <w:marTop w:val="0"/>
      <w:marBottom w:val="0"/>
      <w:divBdr>
        <w:top w:val="none" w:sz="0" w:space="0" w:color="auto"/>
        <w:left w:val="none" w:sz="0" w:space="0" w:color="auto"/>
        <w:bottom w:val="none" w:sz="0" w:space="0" w:color="auto"/>
        <w:right w:val="none" w:sz="0" w:space="0" w:color="auto"/>
      </w:divBdr>
    </w:div>
    <w:div w:id="1743213774">
      <w:bodyDiv w:val="1"/>
      <w:marLeft w:val="0"/>
      <w:marRight w:val="0"/>
      <w:marTop w:val="0"/>
      <w:marBottom w:val="0"/>
      <w:divBdr>
        <w:top w:val="none" w:sz="0" w:space="0" w:color="auto"/>
        <w:left w:val="none" w:sz="0" w:space="0" w:color="auto"/>
        <w:bottom w:val="none" w:sz="0" w:space="0" w:color="auto"/>
        <w:right w:val="none" w:sz="0" w:space="0" w:color="auto"/>
      </w:divBdr>
    </w:div>
    <w:div w:id="1753816528">
      <w:bodyDiv w:val="1"/>
      <w:marLeft w:val="0"/>
      <w:marRight w:val="0"/>
      <w:marTop w:val="0"/>
      <w:marBottom w:val="0"/>
      <w:divBdr>
        <w:top w:val="none" w:sz="0" w:space="0" w:color="auto"/>
        <w:left w:val="none" w:sz="0" w:space="0" w:color="auto"/>
        <w:bottom w:val="none" w:sz="0" w:space="0" w:color="auto"/>
        <w:right w:val="none" w:sz="0" w:space="0" w:color="auto"/>
      </w:divBdr>
    </w:div>
    <w:div w:id="1786004440">
      <w:bodyDiv w:val="1"/>
      <w:marLeft w:val="0"/>
      <w:marRight w:val="0"/>
      <w:marTop w:val="0"/>
      <w:marBottom w:val="0"/>
      <w:divBdr>
        <w:top w:val="none" w:sz="0" w:space="0" w:color="auto"/>
        <w:left w:val="none" w:sz="0" w:space="0" w:color="auto"/>
        <w:bottom w:val="none" w:sz="0" w:space="0" w:color="auto"/>
        <w:right w:val="none" w:sz="0" w:space="0" w:color="auto"/>
      </w:divBdr>
    </w:div>
    <w:div w:id="1801917826">
      <w:bodyDiv w:val="1"/>
      <w:marLeft w:val="0"/>
      <w:marRight w:val="0"/>
      <w:marTop w:val="0"/>
      <w:marBottom w:val="0"/>
      <w:divBdr>
        <w:top w:val="none" w:sz="0" w:space="0" w:color="auto"/>
        <w:left w:val="none" w:sz="0" w:space="0" w:color="auto"/>
        <w:bottom w:val="none" w:sz="0" w:space="0" w:color="auto"/>
        <w:right w:val="none" w:sz="0" w:space="0" w:color="auto"/>
      </w:divBdr>
    </w:div>
    <w:div w:id="1826118396">
      <w:bodyDiv w:val="1"/>
      <w:marLeft w:val="0"/>
      <w:marRight w:val="0"/>
      <w:marTop w:val="0"/>
      <w:marBottom w:val="0"/>
      <w:divBdr>
        <w:top w:val="none" w:sz="0" w:space="0" w:color="auto"/>
        <w:left w:val="none" w:sz="0" w:space="0" w:color="auto"/>
        <w:bottom w:val="none" w:sz="0" w:space="0" w:color="auto"/>
        <w:right w:val="none" w:sz="0" w:space="0" w:color="auto"/>
      </w:divBdr>
    </w:div>
    <w:div w:id="1829519153">
      <w:bodyDiv w:val="1"/>
      <w:marLeft w:val="0"/>
      <w:marRight w:val="0"/>
      <w:marTop w:val="0"/>
      <w:marBottom w:val="0"/>
      <w:divBdr>
        <w:top w:val="none" w:sz="0" w:space="0" w:color="auto"/>
        <w:left w:val="none" w:sz="0" w:space="0" w:color="auto"/>
        <w:bottom w:val="none" w:sz="0" w:space="0" w:color="auto"/>
        <w:right w:val="none" w:sz="0" w:space="0" w:color="auto"/>
      </w:divBdr>
    </w:div>
    <w:div w:id="1861966184">
      <w:bodyDiv w:val="1"/>
      <w:marLeft w:val="0"/>
      <w:marRight w:val="0"/>
      <w:marTop w:val="0"/>
      <w:marBottom w:val="0"/>
      <w:divBdr>
        <w:top w:val="none" w:sz="0" w:space="0" w:color="auto"/>
        <w:left w:val="none" w:sz="0" w:space="0" w:color="auto"/>
        <w:bottom w:val="none" w:sz="0" w:space="0" w:color="auto"/>
        <w:right w:val="none" w:sz="0" w:space="0" w:color="auto"/>
      </w:divBdr>
    </w:div>
    <w:div w:id="1882403375">
      <w:bodyDiv w:val="1"/>
      <w:marLeft w:val="0"/>
      <w:marRight w:val="0"/>
      <w:marTop w:val="0"/>
      <w:marBottom w:val="0"/>
      <w:divBdr>
        <w:top w:val="none" w:sz="0" w:space="0" w:color="auto"/>
        <w:left w:val="none" w:sz="0" w:space="0" w:color="auto"/>
        <w:bottom w:val="none" w:sz="0" w:space="0" w:color="auto"/>
        <w:right w:val="none" w:sz="0" w:space="0" w:color="auto"/>
      </w:divBdr>
    </w:div>
    <w:div w:id="1890801952">
      <w:bodyDiv w:val="1"/>
      <w:marLeft w:val="0"/>
      <w:marRight w:val="0"/>
      <w:marTop w:val="0"/>
      <w:marBottom w:val="0"/>
      <w:divBdr>
        <w:top w:val="none" w:sz="0" w:space="0" w:color="auto"/>
        <w:left w:val="none" w:sz="0" w:space="0" w:color="auto"/>
        <w:bottom w:val="none" w:sz="0" w:space="0" w:color="auto"/>
        <w:right w:val="none" w:sz="0" w:space="0" w:color="auto"/>
      </w:divBdr>
    </w:div>
    <w:div w:id="1897471296">
      <w:bodyDiv w:val="1"/>
      <w:marLeft w:val="0"/>
      <w:marRight w:val="0"/>
      <w:marTop w:val="0"/>
      <w:marBottom w:val="0"/>
      <w:divBdr>
        <w:top w:val="none" w:sz="0" w:space="0" w:color="auto"/>
        <w:left w:val="none" w:sz="0" w:space="0" w:color="auto"/>
        <w:bottom w:val="none" w:sz="0" w:space="0" w:color="auto"/>
        <w:right w:val="none" w:sz="0" w:space="0" w:color="auto"/>
      </w:divBdr>
    </w:div>
    <w:div w:id="1922564098">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6697846">
      <w:bodyDiv w:val="1"/>
      <w:marLeft w:val="0"/>
      <w:marRight w:val="0"/>
      <w:marTop w:val="0"/>
      <w:marBottom w:val="0"/>
      <w:divBdr>
        <w:top w:val="none" w:sz="0" w:space="0" w:color="auto"/>
        <w:left w:val="none" w:sz="0" w:space="0" w:color="auto"/>
        <w:bottom w:val="none" w:sz="0" w:space="0" w:color="auto"/>
        <w:right w:val="none" w:sz="0" w:space="0" w:color="auto"/>
      </w:divBdr>
    </w:div>
    <w:div w:id="2006395306">
      <w:bodyDiv w:val="1"/>
      <w:marLeft w:val="0"/>
      <w:marRight w:val="0"/>
      <w:marTop w:val="0"/>
      <w:marBottom w:val="0"/>
      <w:divBdr>
        <w:top w:val="none" w:sz="0" w:space="0" w:color="auto"/>
        <w:left w:val="none" w:sz="0" w:space="0" w:color="auto"/>
        <w:bottom w:val="none" w:sz="0" w:space="0" w:color="auto"/>
        <w:right w:val="none" w:sz="0" w:space="0" w:color="auto"/>
      </w:divBdr>
    </w:div>
    <w:div w:id="2023819313">
      <w:bodyDiv w:val="1"/>
      <w:marLeft w:val="0"/>
      <w:marRight w:val="0"/>
      <w:marTop w:val="0"/>
      <w:marBottom w:val="0"/>
      <w:divBdr>
        <w:top w:val="none" w:sz="0" w:space="0" w:color="auto"/>
        <w:left w:val="none" w:sz="0" w:space="0" w:color="auto"/>
        <w:bottom w:val="none" w:sz="0" w:space="0" w:color="auto"/>
        <w:right w:val="none" w:sz="0" w:space="0" w:color="auto"/>
      </w:divBdr>
    </w:div>
    <w:div w:id="2041082677">
      <w:bodyDiv w:val="1"/>
      <w:marLeft w:val="0"/>
      <w:marRight w:val="0"/>
      <w:marTop w:val="0"/>
      <w:marBottom w:val="0"/>
      <w:divBdr>
        <w:top w:val="none" w:sz="0" w:space="0" w:color="auto"/>
        <w:left w:val="none" w:sz="0" w:space="0" w:color="auto"/>
        <w:bottom w:val="none" w:sz="0" w:space="0" w:color="auto"/>
        <w:right w:val="none" w:sz="0" w:space="0" w:color="auto"/>
      </w:divBdr>
    </w:div>
    <w:div w:id="2041320514">
      <w:bodyDiv w:val="1"/>
      <w:marLeft w:val="0"/>
      <w:marRight w:val="0"/>
      <w:marTop w:val="0"/>
      <w:marBottom w:val="0"/>
      <w:divBdr>
        <w:top w:val="none" w:sz="0" w:space="0" w:color="auto"/>
        <w:left w:val="none" w:sz="0" w:space="0" w:color="auto"/>
        <w:bottom w:val="none" w:sz="0" w:space="0" w:color="auto"/>
        <w:right w:val="none" w:sz="0" w:space="0" w:color="auto"/>
      </w:divBdr>
    </w:div>
    <w:div w:id="2056469318">
      <w:bodyDiv w:val="1"/>
      <w:marLeft w:val="0"/>
      <w:marRight w:val="0"/>
      <w:marTop w:val="0"/>
      <w:marBottom w:val="0"/>
      <w:divBdr>
        <w:top w:val="none" w:sz="0" w:space="0" w:color="auto"/>
        <w:left w:val="none" w:sz="0" w:space="0" w:color="auto"/>
        <w:bottom w:val="none" w:sz="0" w:space="0" w:color="auto"/>
        <w:right w:val="none" w:sz="0" w:space="0" w:color="auto"/>
      </w:divBdr>
    </w:div>
    <w:div w:id="2057506915">
      <w:bodyDiv w:val="1"/>
      <w:marLeft w:val="0"/>
      <w:marRight w:val="0"/>
      <w:marTop w:val="0"/>
      <w:marBottom w:val="0"/>
      <w:divBdr>
        <w:top w:val="none" w:sz="0" w:space="0" w:color="auto"/>
        <w:left w:val="none" w:sz="0" w:space="0" w:color="auto"/>
        <w:bottom w:val="none" w:sz="0" w:space="0" w:color="auto"/>
        <w:right w:val="none" w:sz="0" w:space="0" w:color="auto"/>
      </w:divBdr>
    </w:div>
    <w:div w:id="2068607337">
      <w:bodyDiv w:val="1"/>
      <w:marLeft w:val="0"/>
      <w:marRight w:val="0"/>
      <w:marTop w:val="0"/>
      <w:marBottom w:val="0"/>
      <w:divBdr>
        <w:top w:val="none" w:sz="0" w:space="0" w:color="auto"/>
        <w:left w:val="none" w:sz="0" w:space="0" w:color="auto"/>
        <w:bottom w:val="none" w:sz="0" w:space="0" w:color="auto"/>
        <w:right w:val="none" w:sz="0" w:space="0" w:color="auto"/>
      </w:divBdr>
    </w:div>
    <w:div w:id="2073766882">
      <w:bodyDiv w:val="1"/>
      <w:marLeft w:val="0"/>
      <w:marRight w:val="0"/>
      <w:marTop w:val="0"/>
      <w:marBottom w:val="0"/>
      <w:divBdr>
        <w:top w:val="none" w:sz="0" w:space="0" w:color="auto"/>
        <w:left w:val="none" w:sz="0" w:space="0" w:color="auto"/>
        <w:bottom w:val="none" w:sz="0" w:space="0" w:color="auto"/>
        <w:right w:val="none" w:sz="0" w:space="0" w:color="auto"/>
      </w:divBdr>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 w:id="2093115992">
      <w:bodyDiv w:val="1"/>
      <w:marLeft w:val="0"/>
      <w:marRight w:val="0"/>
      <w:marTop w:val="0"/>
      <w:marBottom w:val="0"/>
      <w:divBdr>
        <w:top w:val="none" w:sz="0" w:space="0" w:color="auto"/>
        <w:left w:val="none" w:sz="0" w:space="0" w:color="auto"/>
        <w:bottom w:val="none" w:sz="0" w:space="0" w:color="auto"/>
        <w:right w:val="none" w:sz="0" w:space="0" w:color="auto"/>
      </w:divBdr>
    </w:div>
    <w:div w:id="2112697108">
      <w:bodyDiv w:val="1"/>
      <w:marLeft w:val="0"/>
      <w:marRight w:val="0"/>
      <w:marTop w:val="0"/>
      <w:marBottom w:val="0"/>
      <w:divBdr>
        <w:top w:val="none" w:sz="0" w:space="0" w:color="auto"/>
        <w:left w:val="none" w:sz="0" w:space="0" w:color="auto"/>
        <w:bottom w:val="none" w:sz="0" w:space="0" w:color="auto"/>
        <w:right w:val="none" w:sz="0" w:space="0" w:color="auto"/>
      </w:divBdr>
    </w:div>
    <w:div w:id="213308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Jav242</b:Tag>
    <b:SourceType>JournalArticle</b:SourceType>
    <b:Guid>{B42463E6-89AF-42AE-A6FF-409CBDBADA41}</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1</b:RefOrder>
  </b:Source>
  <b:Source>
    <b:Tag>Pop24</b:Tag>
    <b:SourceType>JournalArticle</b:SourceType>
    <b:Guid>{793DED5F-6364-4E51-95E1-4F4DFFF9B4EB}</b:Guid>
    <b:Author>
      <b:Author>
        <b:NameList>
          <b:Person>
            <b:Last>Popov</b:Last>
            <b:First>Vitaliy</b:First>
          </b:Person>
        </b:NameList>
      </b:Author>
    </b:Author>
    <b:Title>Metaverse-based simulation: a scoping review of charting medical education over the last two decades in the lens of the ‘marvelous medical education machine’</b:Title>
    <b:Year>2024</b:Year>
    <b:URL>https://pmc.ncbi.nlm.nih.gov/articles/PMC11562026/</b:URL>
    <b:RefOrder>2</b:RefOrder>
  </b:Source>
  <b:Source>
    <b:Tag>Pok25</b:Tag>
    <b:SourceType>JournalArticle</b:SourceType>
    <b:Guid>{D96B17B4-9BA6-47AE-91F7-4B618334FDD2}</b:Guid>
    <b:Author>
      <b:Author>
        <b:NameList>
          <b:Person>
            <b:Last>Pokharel</b:Last>
            <b:First>Bishwo</b:First>
            <b:Middle>Prakash</b:Middle>
          </b:Person>
        </b:NameList>
      </b:Author>
    </b:Author>
    <b:Title>blockHealthSecure: Integrating Blockchain and Cybersecurity in Post-Pandemic Healthcare Systems</b:Title>
    <b:Year>2025</b:Year>
    <b:URL>https://www.mdpi.com/2078-2489/16/2/133</b:URL>
    <b:RefOrder>3</b:RefOrder>
  </b:Source>
  <b:Source>
    <b:Tag>Isr23</b:Tag>
    <b:SourceType>JournalArticle</b:SourceType>
    <b:Guid>{7519954C-9CD6-4C61-956B-E61CDC91FDA9}</b:Guid>
    <b:Author>
      <b:Author>
        <b:NameList>
          <b:Person>
            <b:Last>Isravel</b:Last>
            <b:First>Deva</b:First>
            <b:Middle>Priya</b:Middle>
          </b:Person>
        </b:NameList>
      </b:Author>
    </b:Author>
    <b:Title>Blockchain for healthcare systems: Architecture, security challenges, trends and future directions</b:Title>
    <b:Year>2023</b:Year>
    <b:URL>https://www.sciencedirect.com/science/article/pii/S1084804523000528</b:URL>
    <b:RefOrder>4</b:RefOrder>
  </b:Source>
  <b:Source>
    <b:Tag>Viv25</b:Tag>
    <b:SourceType>JournalArticle</b:SourceType>
    <b:Guid>{D821A386-3F82-40E6-8512-50F5FFC2C907}</b:Guid>
    <b:Author>
      <b:Author>
        <b:NameList>
          <b:Person>
            <b:Last>Vivian Nasrulddin</b:Last>
            <b:First>Alanoud</b:First>
            <b:Middle>SHUBAYLA</b:Middle>
          </b:Person>
        </b:NameList>
      </b:Author>
    </b:Author>
    <b:Title>أثر رؤية السعودية 2030 في الموارد الصحية – دراسة قياسية باستخدام نافذة الحدث في المستشفيات التابعة لوزارة الصحة خلال الفترة (2013-2023).</b:Title>
    <b:Year>2025</b:Year>
    <b:Volume>33</b:Volume>
    <b:Issue>2</b:Issue>
    <b:URL>https://journals.iugaza.edu.ps/index.php/IUGJEB/article/view/15272</b:URL>
    <b:RefOrder>8</b:RefOrder>
  </b:Source>
  <b:Source>
    <b:Tag>Kon23</b:Tag>
    <b:SourceType>JournalArticle</b:SourceType>
    <b:Guid>{673D198A-775C-400D-84F5-94083666110B}</b:Guid>
    <b:Author>
      <b:Author>
        <b:NameList>
          <b:Person>
            <b:Last>Konopik</b:Last>
            <b:First>Jens</b:First>
          </b:Person>
        </b:NameList>
      </b:Author>
    </b:Author>
    <b:Title>Development of an Evidence-Based Conceptual Model of the Health Care Sector Under Digital Transformation: Integrative Review</b:Title>
    <b:Year>2023</b:Year>
    <b:Volume>25</b:Volume>
    <b:URL>https://www.jmir.org/2023/1/e41512/</b:URL>
    <b:RefOrder>12</b:RefOrder>
  </b:Source>
  <b:Source>
    <b:Tag>Ham241</b:Tag>
    <b:SourceType>JournalArticle</b:SourceType>
    <b:Guid>{75345755-D517-4634-A3B0-77CE4E4BE563}</b:Guid>
    <b:Author>
      <b:Author>
        <b:NameList>
          <b:Person>
            <b:Last>Hameed</b:Last>
            <b:First>Khizar</b:First>
          </b:Person>
        </b:NameList>
      </b:Author>
    </b:Author>
    <b:Title>Digital transformation for sustainable health and well-being: a review and future research directions</b:Title>
    <b:Year>2024</b:Year>
    <b:URL>https://link.springer.com/article/10.1007/s43621-024-00273-8</b:URL>
    <b:RefOrder>10</b:RefOrder>
  </b:Source>
  <b:Source>
    <b:Tag>Vaz23</b:Tag>
    <b:SourceType>JournalArticle</b:SourceType>
    <b:Guid>{921B03DD-18D0-4B89-858B-63A35F70EC2C}</b:Guid>
    <b:Author>
      <b:Author>
        <b:NameList>
          <b:Person>
            <b:Last>Vaz</b:Last>
            <b:First>Noe</b:First>
          </b:Person>
        </b:NameList>
      </b:Author>
    </b:Author>
    <b:Title>Service design for the transformation of healthcare systems: A systematic review of literature</b:Title>
    <b:Year>2023</b:Year>
    <b:Volume>37</b:Volume>
    <b:Issue>3</b:Issue>
    <b:URL>https://journals.sagepub.com/doi/10.1177/09514848231194846</b:URL>
    <b:RefOrder>13</b:RefOrder>
  </b:Source>
  <b:Source>
    <b:Tag>Lan25</b:Tag>
    <b:SourceType>JournalArticle</b:SourceType>
    <b:Guid>{4473BA46-07AD-4D05-B76A-CE66A97D4F1C}</b:Guid>
    <b:Author>
      <b:Author>
        <b:NameList>
          <b:Person>
            <b:Last>Langford-Avelar</b:Last>
            <b:First>Alexandra</b:First>
          </b:Person>
        </b:NameList>
      </b:Author>
    </b:Author>
    <b:Title>Digital health transformation in Quebec: assessment of interoperability and governance strategies</b:Title>
    <b:Year>2025</b:Year>
    <b:URL>https://arxiv.org/abs/2601.06051</b:URL>
    <b:RefOrder>9</b:RefOrder>
  </b:Source>
  <b:Source>
    <b:Tag>الب242</b:Tag>
    <b:SourceType>JournalArticle</b:SourceType>
    <b:Guid>{99D5B0AE-244E-4B06-AC32-E19290C1ACE3}</b:Guid>
    <b:Author>
      <b:Author>
        <b:NameList>
          <b:Person>
            <b:Last>البدري</b:Last>
            <b:First>فوزي</b:First>
            <b:Middle>سعد نجم عبد السلام</b:Middle>
          </b:Person>
        </b:NameList>
      </b:Author>
    </b:Author>
    <b:Title>أثر نظم المعلومات الإدارية في تحسين جودة الخدمات الصحية: دراسة ميدانية على العاملين بالمركز الصحي الأبيار</b:Title>
    <b:Year>2024</b:Year>
    <b:Volume>21</b:Volume>
    <b:Issue>2</b:Issue>
    <b:URL>https://journals.asmarya.edu.ly/econ/index.php/epj/article/view/296?articlesBySimilarityPage</b:URL>
    <b:RefOrder>11</b:RefOrder>
  </b:Source>
  <b:Source>
    <b:Tag>Wan245</b:Tag>
    <b:SourceType>JournalArticle</b:SourceType>
    <b:Guid>{0EDB4B16-4690-4265-9E7F-E0BAC3CAAB4A}</b:Guid>
    <b:Author>
      <b:Author>
        <b:NameList>
          <b:Person>
            <b:Last>Wang</b:Last>
            <b:First>Yue</b:First>
          </b:Person>
        </b:NameList>
      </b:Author>
    </b:Author>
    <b:Title>The application of metaverse in healthcare</b:Title>
    <b:Year>2024</b:Year>
    <b:Volume>12</b:Volume>
    <b:URL>https://www.frontiersin.org/journals/public-health/articles/10.3389/fpubh.2024.1420367/full</b:URL>
    <b:RefOrder>14</b:RefOrder>
  </b:Source>
  <b:Source>
    <b:Tag>Dam24</b:Tag>
    <b:SourceType>JournalArticle</b:SourceType>
    <b:Guid>{6CDE5B36-6CF7-44C3-B974-85C01751CD8A}</b:Guid>
    <b:Author>
      <b:Author>
        <b:NameList>
          <b:Person>
            <b:Last>Damar</b:Last>
            <b:First>Seckin</b:First>
          </b:Person>
        </b:NameList>
      </b:Author>
    </b:Author>
    <b:Title>A bibliometric analysis of metaverse technologies in healthcare services</b:Title>
    <b:Year>2024</b:Year>
    <b:Volume>18</b:Volume>
    <b:URL>https://link.springer.com/article/10.1007/s11628-024-00553-3</b:URL>
    <b:RefOrder>15</b:RefOrder>
  </b:Source>
  <b:Source>
    <b:Tag>Ber23</b:Tag>
    <b:SourceType>JournalArticle</b:SourceType>
    <b:Guid>{4AFF3412-05B4-4866-80B2-BEF54EE21C98}</b:Guid>
    <b:Author>
      <b:Author>
        <b:NameList>
          <b:Person>
            <b:Last>Bergin</b:Last>
            <b:First>Aislinn</b:First>
            <b:Middle>D. Gómez</b:Middle>
          </b:Person>
        </b:NameList>
      </b:Author>
    </b:Author>
    <b:Title>Virtual, augmented, mixed, and extended reality interventions in healthcare: a systematic review of health economic evaluations and cost-effectiveness</b:Title>
    <b:Year>2023</b:Year>
    <b:Volume>1</b:Volume>
    <b:Issue>53</b:Issue>
    <b:URL>https://link.springer.com/article/10.1186/s44247-023-00054-9</b:URL>
    <b:RefOrder>16</b:RefOrder>
  </b:Source>
  <b:Source>
    <b:Tag>Zar241</b:Tag>
    <b:SourceType>JournalArticle</b:SourceType>
    <b:Guid>{B52D5D59-627D-40C7-97A0-B92EC40470E0}</b:Guid>
    <b:Author>
      <b:Author>
        <b:NameList>
          <b:Person>
            <b:Last>Zarei</b:Last>
            <b:First>Tohid</b:First>
          </b:Person>
        </b:NameList>
      </b:Author>
    </b:Author>
    <b:Title>'Being there together for health': A Systematic Review on the Feasibility, Effectiveness and Design Considerations of Immersive Collaborative Virtual Environments in Health Applications</b:Title>
    <b:Year>2024</b:Year>
    <b:URL>https://arxiv.org/abs/2412.04760</b:URL>
    <b:RefOrder>17</b:RefOrder>
  </b:Source>
  <b:Source>
    <b:Tag>ENG26</b:Tag>
    <b:SourceType>JournalArticle</b:SourceType>
    <b:Guid>{D16AA25D-FAED-4057-A0C8-EFDF2CF7C065}</b:Guid>
    <b:Author>
      <b:Author>
        <b:NameList>
          <b:Person>
            <b:Last>ENG</b:Last>
            <b:First>Erica</b:First>
            <b:Middle>Sze Li</b:Middle>
          </b:Person>
        </b:NameList>
      </b:Author>
    </b:Author>
    <b:Title>Metaverse in healthcare education: A scoping review of definitions and challenges</b:Title>
    <b:Year>2026</b:Year>
    <b:Volume>162</b:Volume>
    <b:URL>https://www.sciencedirect.com/science/article/abs/pii/S0260691726000675</b:URL>
    <b:RefOrder>18</b:RefOrder>
  </b:Source>
  <b:Source>
    <b:Tag>Moh2411</b:Tag>
    <b:SourceType>JournalArticle</b:SourceType>
    <b:Guid>{89E217C5-5C5F-4646-91A9-BEE0AAD8C91E}</b:Guid>
    <b:Author>
      <b:Author>
        <b:NameList>
          <b:Person>
            <b:Last>Mohammadzadeh</b:Last>
            <b:First>Zahra</b:First>
          </b:Person>
        </b:NameList>
      </b:Author>
    </b:Author>
    <b:Title>Principles of digital professionalism for the metaverse in healthcare</b:Title>
    <b:Year>2024</b:Year>
    <b:Volume>24</b:Volume>
    <b:URL>https://link.springer.com/article/10.1186/s12911-024-02607-y</b:URL>
    <b:RefOrder>19</b:RefOrder>
  </b:Source>
  <b:Source>
    <b:Tag>عبد23</b:Tag>
    <b:SourceType>JournalArticle</b:SourceType>
    <b:Guid>{2DDB5718-7477-4DE3-8AF8-E0028522F3E1}</b:Guid>
    <b:Author>
      <b:Author>
        <b:NameList>
          <b:Person>
            <b:Last>عبدالعال</b:Last>
            <b:First>محمد،</b:First>
            <b:Middle>عبير هلال</b:Middle>
          </b:Person>
        </b:NameList>
      </b:Author>
    </b:Author>
    <b:Title>سبل التكامل بين إدارة البيانات الضخمة وتقنية البلوك تشين مع وضع تصور مقترح للرعاية الصحية</b:Title>
    <b:Year>2023</b:Year>
    <b:URL>https://search.mandumah.com/Record/1512515</b:URL>
    <b:RefOrder>20</b:RefOrder>
  </b:Source>
  <b:Source>
    <b:Tag>AlA25</b:Tag>
    <b:SourceType>JournalArticle</b:SourceType>
    <b:Guid>{A148E3BB-362E-4299-BAF2-000698682FF9}</b:Guid>
    <b:Author>
      <b:Author>
        <b:NameList>
          <b:Person>
            <b:Last>Al-Araji</b:Last>
            <b:First>Zaid</b:First>
            <b:Middle>J.</b:Middle>
          </b:Person>
        </b:NameList>
      </b:Author>
    </b:Author>
    <b:Title>Healthcare Security in Edge-Fog-Cloud Environment using Blockchain: A Systematic Review</b:Title>
    <b:Year>2025</b:Year>
    <b:Volume>5</b:Volume>
    <b:Issue>2</b:Issue>
    <b:URL>https://map.researchcommons.org/mjcs/vol5/iss2/18/</b:URL>
    <b:RefOrder>21</b:RefOrder>
  </b:Source>
  <b:Source>
    <b:Tag>خال23</b:Tag>
    <b:SourceType>JournalArticle</b:SourceType>
    <b:Guid>{6ECE1A96-73C2-48D1-A959-4C9B1FC347DC}</b:Guid>
    <b:Author>
      <b:Author>
        <b:NameList>
          <b:Person>
            <b:Last>خالد</b:Last>
            <b:First>ليتيم،</b:First>
          </b:Person>
        </b:NameList>
      </b:Author>
    </b:Author>
    <b:Title>متطلبات الجاهزية لاعتماد تكنولوجيا سلسلة الكتل "Blockchain" في تسويق خدمات الرعاية الصحية: دراسة تجربة الإمارات العربية المتحدة</b:Title>
    <b:Year>2023</b:Year>
    <b:Volume>7</b:Volume>
    <b:Issue>2</b:Issue>
    <b:URL>https://search.mandumah.com/Record/1398458</b:URL>
    <b:RefOrder>22</b:RefOrder>
  </b:Source>
  <b:Source>
    <b:Tag>Ett24</b:Tag>
    <b:SourceType>JournalArticle</b:SourceType>
    <b:Guid>{FBB05057-9844-413C-8C95-5E475AC0C6D2}</b:Guid>
    <b:Author>
      <b:Author>
        <b:NameList>
          <b:Person>
            <b:Last>Ettaloui</b:Last>
            <b:First>Nehal</b:First>
          </b:Person>
        </b:NameList>
      </b:Author>
    </b:Author>
    <b:Title>Human Behavior and Emerging Technologies</b:Title>
    <b:Year>2024</b:Year>
    <b:URL>https://onlinelibrary.wiley.com/doi/full/10.1155/hbe2/4734288</b:URL>
    <b:RefOrder>23</b:RefOrder>
  </b:Source>
  <b:Source>
    <b:Tag>Zhu23</b:Tag>
    <b:SourceType>JournalArticle</b:SourceType>
    <b:Guid>{2793990F-7990-4067-BD48-A75193E75F87}</b:Guid>
    <b:Author>
      <b:Author>
        <b:NameList>
          <b:Person>
            <b:Last>Zhuang</b:Last>
            <b:First>Yan</b:First>
          </b:Person>
        </b:NameList>
      </b:Author>
    </b:Author>
    <b:Title>Promoting TEFCA with Blockchain Technology: A Decentralized Approach to Patient-centered Healthcare Data Management</b:Title>
    <b:Year>2023</b:Year>
    <b:URL>https://pubmed.ncbi.nlm.nih.gov/38222410/</b:URL>
    <b:RefOrder>24</b:RefOrder>
  </b:Source>
  <b:Source>
    <b:Tag>Mas24</b:Tag>
    <b:SourceType>JournalArticle</b:SourceType>
    <b:Guid>{48D825D5-803C-414A-9900-4912F1197B7B}</b:Guid>
    <b:Author>
      <b:Author>
        <b:NameList>
          <b:Person>
            <b:Last>Masmoudi</b:Last>
            <b:First>Atef</b:First>
          </b:Person>
        </b:NameList>
      </b:Author>
    </b:Author>
    <b:Title>Blockchain-Driven Decentralization of Electronic Health Records in Saudi Arabia: An Ethereum-Based Framework for Enhanced Security and Patient Control.</b:Title>
    <b:Year>2024</b:Year>
    <b:Volume>15</b:Volume>
    <b:Issue>4</b:Issue>
    <b:URL>https://openurl.ebsco.com/EPDB%3Agcd%3A1%3A21660817/detailv2?sid=ebsco%3Aplink%3Ascholar&amp;id=ebsco%3Agcd%3A177050353&amp;crl=c&amp;link_origin=scholar.google.com</b:URL>
    <b:RefOrder>25</b:RefOrder>
  </b:Source>
  <b:Source>
    <b:Tag>سلم251</b:Tag>
    <b:SourceType>JournalArticle</b:SourceType>
    <b:Guid>{E58441F6-7CE5-4E27-AC89-74A33255299E}</b:Guid>
    <b:Author>
      <b:Author>
        <b:NameList>
          <b:Person>
            <b:Last>سلمان</b:Last>
            <b:First>الشراري،</b:First>
            <b:Middle>فواز</b:Middle>
          </b:Person>
        </b:NameList>
      </b:Author>
    </b:Author>
    <b:Title>دور التخطيط الاستراتيجي للموارد البشرية في تحسين جودة الخدمات الصحية</b:Title>
    <b:Year>2025</b:Year>
    <b:URL>https://search.mandumah.com/Record/1621746</b:URL>
    <b:Volume>39</b:Volume>
    <b:Issue>3</b:Issue>
    <b:RefOrder>26</b:RefOrder>
  </b:Source>
  <b:Source>
    <b:Tag>عدن22</b:Tag>
    <b:SourceType>JournalArticle</b:SourceType>
    <b:Guid>{E4E15E6B-449E-4173-AFA0-F1E8ED0346F7}</b:Guid>
    <b:Author>
      <b:Author>
        <b:NameList>
          <b:Person>
            <b:Last>عدنان</b:Last>
            <b:First>عزيز</b:First>
            <b:Middle>الرحمن، ريان</b:Middle>
          </b:Person>
        </b:NameList>
      </b:Author>
    </b:Author>
    <b:Title>التحول الرقمي في المؤسسات الحكومية وفق رؤية 2030: دراسة حالة مستشفى النور بمكة المكرمة في الفترة من 2021-2022</b:Title>
    <b:Year>2022</b:Year>
    <b:Volume>6</b:Volume>
    <b:Issue>25</b:Issue>
    <b:URL>https://search.mandumah.com/Record/1328870</b:URL>
    <b:RefOrder>27</b:RefOrder>
  </b:Source>
  <b:Source>
    <b:Tag>Alo251</b:Tag>
    <b:SourceType>JournalArticle</b:SourceType>
    <b:Guid>{39951040-7A1E-4C06-AA94-FF37C6D233E8}</b:Guid>
    <b:Author>
      <b:Author>
        <b:NameList>
          <b:Person>
            <b:Last>Alotaibi</b:Last>
            <b:First>Norah</b:First>
          </b:Person>
        </b:NameList>
      </b:Author>
    </b:Author>
    <b:Title>Enhancing digital readiness and capability in healthcare: a systematic review of interventions, barriers, and facilitators</b:Title>
    <b:Year>2025</b:Year>
    <b:URL>https://link.springer.com/article/10.1186/s12913-025-12663-3</b:URL>
    <b:RefOrder>28</b:RefOrder>
  </b:Source>
  <b:Source>
    <b:Tag>Ste252</b:Tag>
    <b:SourceType>JournalArticle</b:SourceType>
    <b:Guid>{34EB2780-ACA9-4F4F-8652-6E28E999F8FE}</b:Guid>
    <b:Author>
      <b:Author>
        <b:NameList>
          <b:Person>
            <b:Last>Steenkamp</b:Last>
            <b:First>Ilze</b:First>
          </b:Person>
        </b:NameList>
      </b:Author>
    </b:Author>
    <b:Title>Digital health readiness – insights from healthcare leaders in operational management: a cross-sectional survey</b:Title>
    <b:Year>2025</b:Year>
    <b:Volume>25</b:Volume>
    <b:URL>https://link.springer.com/article/10.1186/s12913-024-12129-y</b:URL>
    <b:RefOrder>29</b:RefOrder>
  </b:Source>
  <b:Source>
    <b:Tag>Pat24</b:Tag>
    <b:SourceType>JournalArticle</b:SourceType>
    <b:Guid>{74F22089-CA94-4237-AB38-21BCC23D61FA}</b:Guid>
    <b:Author>
      <b:Author>
        <b:NameList>
          <b:Person>
            <b:Last>Pattanaik</b:Last>
            <b:First>Prasanta</b:First>
            <b:Middle>Kumar</b:Middle>
          </b:Person>
        </b:NameList>
      </b:Author>
    </b:Author>
    <b:Title>Impact of Inter and Intra Organizational Factors in Healthcare Digitalization: a Conditional Mediation Analysis</b:Title>
    <b:Year>2024</b:Year>
    <b:URL>https://link.springer.com/article/10.1007/s10796-024-10522-w</b:URL>
    <b:Volume>27</b:Volume>
    <b:RefOrder>30</b:RefOrder>
  </b:Source>
  <b:Source>
    <b:Tag>Mau243</b:Tag>
    <b:SourceType>JournalArticle</b:SourceType>
    <b:Guid>{85E342D5-8252-484B-9933-E30C7A9E982C}</b:Guid>
    <b:Author>
      <b:Author>
        <b:NameList>
          <b:Person>
            <b:Last>Mauro</b:Last>
            <b:First>Marianna</b:First>
          </b:Person>
        </b:NameList>
      </b:Author>
    </b:Author>
    <b:Title>Digital transformation in healthcare: Assessing the role of digital technologies for managerial support processes</b:Title>
    <b:Year>2024</b:Year>
    <b:URL>https://www.sciencedirect.com/science/article/pii/S0040162524005791?via%3Dihub</b:URL>
    <b:RefOrder>31</b:RefOrder>
  </b:Source>
  <b:Source>
    <b:Tag>HeJ242</b:Tag>
    <b:SourceType>JournalArticle</b:SourceType>
    <b:Guid>{BA6F3B19-6D21-48C8-B3FF-1B525D00CE5B}</b:Guid>
    <b:Author>
      <b:Author>
        <b:NameList>
          <b:Person>
            <b:Last>Ahmad</b:Last>
            <b:First>Sayed</b:First>
            <b:Middle>Fayaz</b:Middle>
          </b:Person>
        </b:NameList>
      </b:Author>
    </b:Author>
    <b:Title>Factors affecting the adoption of metaverse in healthcare: The moderating role of digital division, and meta-culture</b:Title>
    <b:Year>2024</b:Year>
    <b:URL>https://pmc.ncbi.nlm.nih.gov/articles/PMC11021906/</b:URL>
    <b:RefOrder>5</b:RefOrder>
  </b:Source>
  <b:Source>
    <b:Tag>Sae22</b:Tag>
    <b:SourceType>JournalArticle</b:SourceType>
    <b:Guid>{4B09F2C3-5473-415B-9D28-46E444288BB3}</b:Guid>
    <b:Author>
      <b:Author>
        <b:NameList>
          <b:Person>
            <b:Last>Saeed</b:Last>
            <b:First>Huma</b:First>
          </b:Person>
        </b:NameList>
      </b:Author>
    </b:Author>
    <b:Title>Blockchain technology in healthcare: A systematic review</b:Title>
    <b:Year>2022</b:Year>
    <b:URL>https://pmc.ncbi.nlm.nih.gov/articles/PMC9000089/</b:URL>
    <b:RefOrder>6</b:RefOrder>
  </b:Source>
  <b:Source>
    <b:Tag>Hun25</b:Tag>
    <b:SourceType>JournalArticle</b:SourceType>
    <b:Guid>{26F24E58-74AC-414B-917C-0B9F11B50553}</b:Guid>
    <b:Author>
      <b:Author>
        <b:NameList>
          <b:Person>
            <b:Last>Hundal</b:Last>
            <b:First>Gaganpreet</b:First>
            <b:Middle>Singh</b:Middle>
          </b:Person>
        </b:NameList>
      </b:Author>
    </b:Author>
    <b:Title>Digital Transformation of Healthcare Enterprises in the Era of Disruptions—A Structured Literature Review</b:Title>
    <b:Year>2025</b:Year>
    <b:URL>https://www.researchgate.net/publication/392886482_Digital_Transformation_of_Healthcare_Enterprises_in_the_Era_of_Disruptions-A_Structured_Literature_Review</b:URL>
    <b:RefOrder>7</b:RefOrder>
  </b:Source>
</b:Sources>
</file>

<file path=customXml/itemProps1.xml><?xml version="1.0" encoding="utf-8"?>
<ds:datastoreItem xmlns:ds="http://schemas.openxmlformats.org/officeDocument/2006/customXml" ds:itemID="{F22A8593-FD37-473F-85BA-F0EDB747A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42</Pages>
  <Words>10583</Words>
  <Characters>60329</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cp:lastModifiedBy>
  <cp:revision>26</cp:revision>
  <cp:lastPrinted>2025-11-29T13:34:00Z</cp:lastPrinted>
  <dcterms:created xsi:type="dcterms:W3CDTF">2026-03-06T22:02:00Z</dcterms:created>
  <dcterms:modified xsi:type="dcterms:W3CDTF">2026-07-30T03:00:00Z</dcterms:modified>
</cp:coreProperties>
</file>