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9B2D822" w:rsidR="009125CE" w:rsidRPr="00645D6F" w:rsidRDefault="00D67CA2" w:rsidP="00D67CA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45D6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8BFECC8">
            <wp:simplePos x="0" y="0"/>
            <wp:positionH relativeFrom="margin">
              <wp:posOffset>133350</wp:posOffset>
            </wp:positionH>
            <wp:positionV relativeFrom="margin">
              <wp:posOffset>-163195</wp:posOffset>
            </wp:positionV>
            <wp:extent cx="1518285" cy="1409056"/>
            <wp:effectExtent l="0" t="0" r="571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8285" cy="1409056"/>
                    </a:xfrm>
                    <a:prstGeom prst="rect">
                      <a:avLst/>
                    </a:prstGeom>
                  </pic:spPr>
                </pic:pic>
              </a:graphicData>
            </a:graphic>
            <wp14:sizeRelH relativeFrom="margin">
              <wp14:pctWidth>0</wp14:pctWidth>
            </wp14:sizeRelH>
            <wp14:sizeRelV relativeFrom="margin">
              <wp14:pctHeight>0</wp14:pctHeight>
            </wp14:sizeRelV>
          </wp:anchor>
        </w:drawing>
      </w:r>
      <w:r w:rsidR="009125CE" w:rsidRPr="00645D6F">
        <w:rPr>
          <w:rFonts w:ascii="Simplified Arabic" w:hAnsi="Simplified Arabic" w:cs="Simplified Arabic"/>
          <w:b/>
          <w:bCs/>
          <w:color w:val="000000" w:themeColor="text1"/>
          <w:sz w:val="32"/>
          <w:szCs w:val="32"/>
          <w:rtl/>
          <w:lang w:bidi="ar-EG"/>
        </w:rPr>
        <w:t xml:space="preserve">جامعة ميدأوشن </w:t>
      </w:r>
    </w:p>
    <w:p w14:paraId="1E957002" w14:textId="4E0ED29E" w:rsidR="00F546CE" w:rsidRPr="00645D6F" w:rsidRDefault="009125CE" w:rsidP="00D67CA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45D6F">
        <w:rPr>
          <w:rFonts w:ascii="Simplified Arabic" w:hAnsi="Simplified Arabic" w:cs="Simplified Arabic"/>
          <w:b/>
          <w:bCs/>
          <w:color w:val="000000" w:themeColor="text1"/>
          <w:sz w:val="32"/>
          <w:szCs w:val="32"/>
          <w:rtl/>
          <w:lang w:bidi="ar-EG"/>
        </w:rPr>
        <w:t xml:space="preserve">كلية </w:t>
      </w:r>
      <w:r w:rsidR="008C42C1" w:rsidRPr="00645D6F">
        <w:rPr>
          <w:rFonts w:ascii="Simplified Arabic" w:hAnsi="Simplified Arabic" w:cs="Simplified Arabic"/>
          <w:b/>
          <w:bCs/>
          <w:color w:val="000000" w:themeColor="text1"/>
          <w:sz w:val="32"/>
          <w:szCs w:val="32"/>
          <w:rtl/>
          <w:lang w:bidi="ar-EG"/>
        </w:rPr>
        <w:t>الإدارة</w:t>
      </w:r>
      <w:r w:rsidRPr="00645D6F">
        <w:rPr>
          <w:rFonts w:ascii="Simplified Arabic" w:hAnsi="Simplified Arabic" w:cs="Simplified Arabic"/>
          <w:b/>
          <w:bCs/>
          <w:color w:val="000000" w:themeColor="text1"/>
          <w:sz w:val="32"/>
          <w:szCs w:val="32"/>
          <w:rtl/>
          <w:lang w:bidi="ar-EG"/>
        </w:rPr>
        <w:t xml:space="preserve"> </w:t>
      </w:r>
    </w:p>
    <w:p w14:paraId="0217C513" w14:textId="5EBB355D" w:rsidR="009125CE" w:rsidRPr="00645D6F" w:rsidRDefault="009125CE" w:rsidP="00D67CA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45D6F">
        <w:rPr>
          <w:rFonts w:ascii="Simplified Arabic" w:hAnsi="Simplified Arabic" w:cs="Simplified Arabic"/>
          <w:b/>
          <w:bCs/>
          <w:color w:val="000000" w:themeColor="text1"/>
          <w:sz w:val="32"/>
          <w:szCs w:val="32"/>
          <w:rtl/>
          <w:lang w:bidi="ar-EG"/>
        </w:rPr>
        <w:t>تخصص</w:t>
      </w:r>
      <w:r w:rsidR="00B15A9E" w:rsidRPr="00645D6F">
        <w:rPr>
          <w:rFonts w:ascii="Simplified Arabic" w:hAnsi="Simplified Arabic" w:cs="Simplified Arabic"/>
          <w:b/>
          <w:bCs/>
          <w:color w:val="000000" w:themeColor="text1"/>
          <w:sz w:val="32"/>
          <w:szCs w:val="32"/>
          <w:rtl/>
          <w:lang w:bidi="ar-EG"/>
        </w:rPr>
        <w:t xml:space="preserve"> </w:t>
      </w:r>
      <w:r w:rsidR="00854B0B" w:rsidRPr="00645D6F">
        <w:rPr>
          <w:rFonts w:ascii="Simplified Arabic" w:hAnsi="Simplified Arabic" w:cs="Simplified Arabic"/>
          <w:b/>
          <w:bCs/>
          <w:color w:val="000000" w:themeColor="text1"/>
          <w:sz w:val="32"/>
          <w:szCs w:val="32"/>
          <w:rtl/>
          <w:lang w:bidi="ar-EG"/>
        </w:rPr>
        <w:t>اداره اعمال</w:t>
      </w:r>
    </w:p>
    <w:p w14:paraId="0A25F43C" w14:textId="77777777" w:rsidR="008C7BB4" w:rsidRPr="00645D6F" w:rsidRDefault="008C7BB4" w:rsidP="00D67CA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DC81435" w14:textId="77777777" w:rsidR="006C173C" w:rsidRPr="00645D6F" w:rsidRDefault="006C173C" w:rsidP="00D67CA2">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645D6F">
        <w:rPr>
          <w:rFonts w:ascii="Simplified Arabic" w:hAnsi="Simplified Arabic" w:cs="Simplified Arabic"/>
          <w:b/>
          <w:bCs/>
          <w:color w:val="000000" w:themeColor="text1"/>
          <w:sz w:val="40"/>
          <w:szCs w:val="40"/>
          <w:rtl/>
        </w:rPr>
        <w:t>أثر التمكين الوظيفي لموظفي خدمة العملاء على سرعة حل المشكلات ورضا العملاء: دراسة ميدانية على موظفي خدمة العملاء في الرياض.</w:t>
      </w:r>
    </w:p>
    <w:p w14:paraId="751A7E65" w14:textId="4D11C137" w:rsidR="009125CE" w:rsidRPr="00645D6F" w:rsidRDefault="009125CE" w:rsidP="00D67C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5D6F">
        <w:rPr>
          <w:rFonts w:ascii="Simplified Arabic" w:hAnsi="Simplified Arabic" w:cs="Simplified Arabic"/>
          <w:b/>
          <w:bCs/>
          <w:color w:val="000000" w:themeColor="text1"/>
          <w:sz w:val="36"/>
          <w:szCs w:val="36"/>
          <w:rtl/>
          <w:lang w:bidi="ar-EG"/>
        </w:rPr>
        <w:t>إعداد الطالب/</w:t>
      </w:r>
    </w:p>
    <w:p w14:paraId="3D3A3111" w14:textId="3D3F5906" w:rsidR="0091713C" w:rsidRPr="00645D6F" w:rsidRDefault="0091713C" w:rsidP="00D67CA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45D6F">
        <w:rPr>
          <w:rFonts w:ascii="Simplified Arabic" w:hAnsi="Simplified Arabic" w:cs="Simplified Arabic"/>
          <w:color w:val="000000" w:themeColor="text1"/>
          <w:sz w:val="36"/>
          <w:szCs w:val="36"/>
          <w:rtl/>
          <w:lang w:bidi="ar-EG"/>
        </w:rPr>
        <w:t>محمد ناجي شاهي العنزي</w:t>
      </w:r>
    </w:p>
    <w:p w14:paraId="72AE4360" w14:textId="3C7DB2C1" w:rsidR="00854B0B" w:rsidRPr="00645D6F" w:rsidRDefault="0091713C" w:rsidP="00D67CA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45D6F">
        <w:rPr>
          <w:rFonts w:ascii="Simplified Arabic" w:hAnsi="Simplified Arabic" w:cs="Simplified Arabic"/>
          <w:color w:val="000000" w:themeColor="text1"/>
          <w:sz w:val="36"/>
          <w:szCs w:val="36"/>
          <w:rtl/>
          <w:lang w:bidi="ar-EG"/>
        </w:rPr>
        <w:t>253001644</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45D6F" w:rsidRPr="00645D6F" w14:paraId="5927B252" w14:textId="77777777" w:rsidTr="009277E2">
        <w:tc>
          <w:tcPr>
            <w:tcW w:w="4530" w:type="dxa"/>
          </w:tcPr>
          <w:p w14:paraId="7090942A" w14:textId="77777777" w:rsidR="00D67CA2" w:rsidRPr="00645D6F" w:rsidRDefault="00D67CA2"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5D6F">
              <w:rPr>
                <w:rFonts w:ascii="Simplified Arabic" w:hAnsi="Simplified Arabic" w:cs="Simplified Arabic" w:hint="cs"/>
                <w:b/>
                <w:bCs/>
                <w:color w:val="000000" w:themeColor="text1"/>
                <w:sz w:val="36"/>
                <w:szCs w:val="36"/>
                <w:rtl/>
                <w:lang w:bidi="ar-EG"/>
              </w:rPr>
              <w:t>المشرف الرئيسي/</w:t>
            </w:r>
          </w:p>
        </w:tc>
        <w:tc>
          <w:tcPr>
            <w:tcW w:w="4531" w:type="dxa"/>
          </w:tcPr>
          <w:p w14:paraId="75911035" w14:textId="77777777" w:rsidR="00D67CA2" w:rsidRPr="00645D6F" w:rsidRDefault="00D67CA2"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5D6F">
              <w:rPr>
                <w:rFonts w:ascii="Simplified Arabic" w:hAnsi="Simplified Arabic" w:cs="Simplified Arabic" w:hint="cs"/>
                <w:b/>
                <w:bCs/>
                <w:color w:val="000000" w:themeColor="text1"/>
                <w:sz w:val="36"/>
                <w:szCs w:val="36"/>
                <w:rtl/>
                <w:lang w:bidi="ar-EG"/>
              </w:rPr>
              <w:t>المشرف الثاني/</w:t>
            </w:r>
          </w:p>
        </w:tc>
      </w:tr>
      <w:tr w:rsidR="00645D6F" w:rsidRPr="00645D6F" w14:paraId="66958BD1" w14:textId="77777777" w:rsidTr="009277E2">
        <w:tc>
          <w:tcPr>
            <w:tcW w:w="4530" w:type="dxa"/>
          </w:tcPr>
          <w:p w14:paraId="62F0D15F" w14:textId="77777777" w:rsidR="00D67CA2" w:rsidRPr="00645D6F" w:rsidRDefault="00D67CA2"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5D6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B9D24B2" w14:textId="77777777" w:rsidR="00D67CA2" w:rsidRPr="00645D6F" w:rsidRDefault="00D67CA2" w:rsidP="009277E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45D6F">
              <w:rPr>
                <w:rFonts w:ascii="Simplified Arabic" w:eastAsia="Calibri" w:hAnsi="Simplified Arabic" w:cs="Simplified Arabic"/>
                <w:color w:val="000000" w:themeColor="text1"/>
                <w:kern w:val="0"/>
                <w:sz w:val="36"/>
                <w:szCs w:val="36"/>
                <w:rtl/>
                <w:lang w:bidi="ar-EG"/>
                <w14:ligatures w14:val="none"/>
              </w:rPr>
              <w:t>د.فايز جراد</w:t>
            </w:r>
          </w:p>
        </w:tc>
      </w:tr>
    </w:tbl>
    <w:p w14:paraId="1221B1E3" w14:textId="77777777" w:rsidR="00D67CA2" w:rsidRPr="00645D6F" w:rsidRDefault="00D67CA2" w:rsidP="00D67CA2">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645D6F">
        <w:rPr>
          <w:rFonts w:ascii="Simplified Arabic" w:hAnsi="Simplified Arabic" w:cs="Simplified Arabic"/>
          <w:b/>
          <w:bCs/>
          <w:color w:val="000000" w:themeColor="text1"/>
          <w:sz w:val="36"/>
          <w:szCs w:val="36"/>
          <w:rtl/>
          <w:lang w:bidi="ar-EG"/>
        </w:rPr>
        <w:t>العام الدراسي:</w:t>
      </w:r>
    </w:p>
    <w:p w14:paraId="31B20697" w14:textId="77777777" w:rsidR="00D67CA2" w:rsidRPr="00645D6F" w:rsidRDefault="00D67CA2" w:rsidP="00D67CA2">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D67CA2" w:rsidRPr="00645D6F" w:rsidSect="001B1BDB">
          <w:type w:val="continuous"/>
          <w:pgSz w:w="11906" w:h="16838" w:code="9"/>
          <w:pgMar w:top="1134" w:right="1701" w:bottom="1134" w:left="1134" w:header="720" w:footer="720" w:gutter="0"/>
          <w:pgNumType w:fmt="arabicAbjad" w:start="1"/>
          <w:cols w:space="708"/>
          <w:bidi/>
          <w:rtlGutter/>
          <w:docGrid w:linePitch="360"/>
        </w:sectPr>
      </w:pPr>
      <w:r w:rsidRPr="00645D6F">
        <w:rPr>
          <w:rFonts w:ascii="Simplified Arabic" w:hAnsi="Simplified Arabic" w:cs="Simplified Arabic"/>
          <w:color w:val="000000" w:themeColor="text1"/>
          <w:sz w:val="36"/>
          <w:szCs w:val="36"/>
          <w:lang w:bidi="ar-EG"/>
        </w:rPr>
        <w:t>1448 – 2026</w:t>
      </w:r>
    </w:p>
    <w:p w14:paraId="673ED57A" w14:textId="77777777" w:rsidR="00D67CA2" w:rsidRPr="00645D6F" w:rsidRDefault="00D67CA2" w:rsidP="00D67CA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4D97F267" w14:textId="77777777" w:rsidR="00F7243B" w:rsidRPr="00645D6F" w:rsidRDefault="00F7243B" w:rsidP="00D67CA2">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09BD94E" w14:textId="77777777" w:rsidR="00F7243B" w:rsidRPr="00645D6F" w:rsidRDefault="00F7243B" w:rsidP="00D67CA2">
      <w:pPr>
        <w:spacing w:before="100" w:beforeAutospacing="1" w:after="100" w:afterAutospacing="1" w:line="276" w:lineRule="auto"/>
        <w:jc w:val="both"/>
        <w:rPr>
          <w:rFonts w:ascii="Simplified Arabic" w:eastAsiaTheme="majorEastAsia" w:hAnsi="Simplified Arabic" w:cs="Simplified Arabic"/>
          <w:color w:val="000000" w:themeColor="text1"/>
          <w:sz w:val="28"/>
          <w:szCs w:val="28"/>
          <w:rtl/>
        </w:rPr>
      </w:pPr>
      <w:bookmarkStart w:id="0" w:name="_Toc169790487"/>
      <w:r w:rsidRPr="00645D6F">
        <w:rPr>
          <w:rFonts w:ascii="Simplified Arabic" w:hAnsi="Simplified Arabic" w:cs="Simplified Arabic"/>
          <w:color w:val="000000" w:themeColor="text1"/>
          <w:sz w:val="28"/>
          <w:szCs w:val="28"/>
          <w:rtl/>
        </w:rPr>
        <w:br w:type="page"/>
      </w:r>
    </w:p>
    <w:p w14:paraId="42594029" w14:textId="03F73F5F" w:rsidR="00D67CA2" w:rsidRPr="00645D6F" w:rsidRDefault="00036B7C" w:rsidP="00036B7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1" w:name="_Hlk172151144"/>
      <w:bookmarkStart w:id="2" w:name="_Toc169790489"/>
      <w:bookmarkStart w:id="3" w:name="_Toc233938072"/>
      <w:bookmarkEnd w:id="0"/>
      <w:r w:rsidRPr="00645D6F">
        <w:rPr>
          <w:rFonts w:ascii="Simplified Arabic" w:hAnsi="Simplified Arabic" w:cs="Simplified Arabic" w:hint="cs"/>
          <w:b/>
          <w:bCs/>
          <w:color w:val="000000" w:themeColor="text1"/>
          <w:sz w:val="40"/>
          <w:szCs w:val="40"/>
          <w:rtl/>
        </w:rPr>
        <w:lastRenderedPageBreak/>
        <w:t>الفصل الأول: الإطار العام للدراسة</w:t>
      </w:r>
      <w:bookmarkEnd w:id="3"/>
    </w:p>
    <w:p w14:paraId="1B106D94" w14:textId="39317E27" w:rsidR="00D67CA2" w:rsidRPr="00645D6F" w:rsidRDefault="00036B7C" w:rsidP="00036B7C">
      <w:pPr>
        <w:pStyle w:val="NormalWeb"/>
        <w:bidi/>
        <w:spacing w:line="276" w:lineRule="auto"/>
        <w:outlineLvl w:val="1"/>
        <w:rPr>
          <w:rFonts w:ascii="Simplified Arabic" w:hAnsi="Simplified Arabic" w:cs="Simplified Arabic"/>
          <w:b/>
          <w:bCs/>
          <w:color w:val="000000" w:themeColor="text1"/>
          <w:sz w:val="36"/>
          <w:szCs w:val="36"/>
          <w:rtl/>
        </w:rPr>
      </w:pPr>
      <w:bookmarkStart w:id="4" w:name="_Toc233938073"/>
      <w:r w:rsidRPr="00645D6F">
        <w:rPr>
          <w:rFonts w:ascii="Simplified Arabic" w:hAnsi="Simplified Arabic" w:cs="Simplified Arabic" w:hint="cs"/>
          <w:b/>
          <w:bCs/>
          <w:color w:val="000000" w:themeColor="text1"/>
          <w:sz w:val="36"/>
          <w:szCs w:val="36"/>
          <w:rtl/>
        </w:rPr>
        <w:t>1.1 المقدمة</w:t>
      </w:r>
      <w:bookmarkEnd w:id="4"/>
    </w:p>
    <w:p w14:paraId="6A3B731B"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تُعدّ الموارد البشرية الركيزة الأساسية التي تستند إليها المنظمات المعاصرة في تحقيق أهدافها الاستراتيجية وبناء ميزتها التنافسية، إذ لم يعد نجاح المنظمات مرهونًا بما تمتلكه من موارد مادية وتقنية فحسب، بل أصبح مرتبطًا بشكل جوهري بقدرتها على استثمار طاقات موظفيها وتطوير ممارساتها الإدارية بما يُمكّنهم من أداء أدوارهم بكفاءة واستقلالية، ولعل التمكين الوظيفي يُمثّل أحد أبرز المداخل الإدارية الحديثة التي تسعى المنظمات إلى تبنيها لتحقيق ذلك، حيث ينطوي على نقل السلطة والصلاحيات والمسؤولية من المستويات الإدارية العليا إلى الموظفين في الصفوف الأمامية لتمكينهم من اتخاذ القرارات والمبادرة في بيئات العمل الديناميكية (برير وآخرون، 2024)</w:t>
      </w:r>
      <w:r w:rsidRPr="00645D6F">
        <w:rPr>
          <w:rFonts w:ascii="Simplified Arabic" w:hAnsi="Simplified Arabic" w:cs="Simplified Arabic"/>
          <w:color w:val="000000" w:themeColor="text1"/>
          <w:sz w:val="28"/>
          <w:szCs w:val="28"/>
        </w:rPr>
        <w:t>.</w:t>
      </w:r>
    </w:p>
    <w:p w14:paraId="2694B42B"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tl/>
        </w:rPr>
      </w:pPr>
      <w:r w:rsidRPr="00645D6F">
        <w:rPr>
          <w:rFonts w:ascii="Simplified Arabic" w:hAnsi="Simplified Arabic" w:cs="Simplified Arabic"/>
          <w:color w:val="000000" w:themeColor="text1"/>
          <w:sz w:val="28"/>
          <w:szCs w:val="28"/>
          <w:rtl/>
        </w:rPr>
        <w:t>ويكتسب التمكين الوظيفي أهمية خاصة في بيئات خدمة العملاء التي يتعامل فيها الموظفون مباشرة مع العملاء ويُطلب منهم اتخاذ قرارات فورية لمعالجة مشكلاتهم وتلبية احتياجاتهم المتنوعة، إذ يتضمن هذا المفهوم أبعادًا متعددة تشمل تفويض الصلاحيات الذي يمنح الموظف حرية التصرف، والتدريب والتطوير الذي يُزوده بالمهارات اللازمة، والمشاركة في اتخاذ القرار التي تُعزز انتمائه التنظيمي، والتحفيز الذي يدفعه نحو التميز في الأداء. وقد أثبتت الدراسات أن تطبيق هذه الأبعاد مجتمعة يُسهم في تحسين الأداء التنظيمي ورفع مستوى جودة الخدمات المقدمة (العريقي، 2020)</w:t>
      </w:r>
    </w:p>
    <w:p w14:paraId="0E0BB4C3" w14:textId="2B82CBEE"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 يُشكّل رضا العملاء المحصلة النهائية التي تسعى إليها جميع المنظمات الخدمية، إذ يُعبّر عن مدى تطابق الخدمة المقدمة مع توقعات العميل أو تجاوزها، ويرتبط ارتباطًا وثيقًا بسرعة استجابة الموظفين لمشكلات العملاء وقدرتهم على حلها بفاعلية من أول اتصال، وهو ما يُعرف بمفهوم الحل من المرة الأولى</w:t>
      </w:r>
      <w:r w:rsidRPr="00645D6F">
        <w:rPr>
          <w:rFonts w:ascii="Simplified Arabic" w:hAnsi="Simplified Arabic" w:cs="Simplified Arabic"/>
          <w:color w:val="000000" w:themeColor="text1"/>
          <w:sz w:val="28"/>
          <w:szCs w:val="28"/>
        </w:rPr>
        <w:t xml:space="preserve"> (First Contact Resolution) </w:t>
      </w:r>
      <w:r w:rsidRPr="00645D6F">
        <w:rPr>
          <w:rFonts w:ascii="Simplified Arabic" w:hAnsi="Simplified Arabic" w:cs="Simplified Arabic"/>
          <w:color w:val="000000" w:themeColor="text1"/>
          <w:sz w:val="28"/>
          <w:szCs w:val="28"/>
          <w:rtl/>
        </w:rPr>
        <w:t>الذي أصبح أحد أهم مؤشرات الأداء في مراكز خدمة العملاء الحديثة (عثمان والوزير، 2024)</w:t>
      </w:r>
    </w:p>
    <w:p w14:paraId="722251E3" w14:textId="53D6306B"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وتتأثر سرعة حل المشكلات ورضا العملاء بعوامل متعددة، منها جودة معالجة الشكاوى واسترداد الخدمة وإدراك العميل للعدالة في التعامل مع مشكلته، فضلًا عن مستوى التفاعل البشري في عملية الاسترداد</w:t>
      </w:r>
      <w:r w:rsidRPr="00645D6F">
        <w:rPr>
          <w:rFonts w:ascii="Simplified Arabic" w:hAnsi="Simplified Arabic" w:cs="Simplified Arabic"/>
          <w:color w:val="000000" w:themeColor="text1"/>
          <w:sz w:val="28"/>
          <w:szCs w:val="28"/>
        </w:rPr>
        <w:t xml:space="preserve">. </w:t>
      </w:r>
      <w:r w:rsidRPr="00645D6F">
        <w:rPr>
          <w:rFonts w:ascii="Simplified Arabic" w:hAnsi="Simplified Arabic" w:cs="Simplified Arabic"/>
          <w:color w:val="000000" w:themeColor="text1"/>
          <w:sz w:val="28"/>
          <w:szCs w:val="28"/>
          <w:rtl/>
        </w:rPr>
        <w:t xml:space="preserve">وقد أكدت الأدبيات أن المنظمات التي تتبنى استراتيجيات فعّالة في الاستجابة السريعة لشكاوى </w:t>
      </w:r>
      <w:r w:rsidRPr="00645D6F">
        <w:rPr>
          <w:rFonts w:ascii="Simplified Arabic" w:hAnsi="Simplified Arabic" w:cs="Simplified Arabic"/>
          <w:color w:val="000000" w:themeColor="text1"/>
          <w:sz w:val="28"/>
          <w:szCs w:val="28"/>
          <w:rtl/>
        </w:rPr>
        <w:lastRenderedPageBreak/>
        <w:t>العملاء ومعالجتها بعدالة تتمكن من تحويل العملاء غير الراضين إلى عملاء أوفياء، مما ينعكس إيجابيًا على سمعتها المؤسسية وأدائها المالي</w:t>
      </w:r>
      <w:r w:rsidRPr="00645D6F">
        <w:rPr>
          <w:rFonts w:ascii="Simplified Arabic" w:hAnsi="Simplified Arabic" w:cs="Simplified Arabic"/>
          <w:color w:val="000000" w:themeColor="text1"/>
          <w:sz w:val="28"/>
          <w:szCs w:val="28"/>
        </w:rPr>
        <w:t xml:space="preserve"> (Jeanpert et al., 2021).</w:t>
      </w:r>
    </w:p>
    <w:p w14:paraId="29AC6262" w14:textId="20747C24"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ويتضح أن التمكين الوظيفي يُهيئ البيئة التنظيمية المناسبة التي تُمكّن موظفي خدمة العملاء من الاستجابة السريعة والفعّالة لمشكلات العملاء، فالموظف المُمكَّن الذي يمتلك الصلاحيات والمهارات والتحفيز الكافي يكون أكثر قدرة على اتخاذ قرارات فورية وتقديم حلول مبتكرة تُعزز رضا العملاء، وهو ما أشارت إليه عدة دراسات أكدت وجود علاقة إيجابية بين تمكين الموظفين وجودة الخدمة ورضا العملاء في سياقات خدمية متنوعة</w:t>
      </w:r>
      <w:r w:rsidRPr="00645D6F">
        <w:rPr>
          <w:rFonts w:ascii="Simplified Arabic" w:hAnsi="Simplified Arabic" w:cs="Simplified Arabic"/>
          <w:color w:val="000000" w:themeColor="text1"/>
          <w:sz w:val="28"/>
          <w:szCs w:val="28"/>
        </w:rPr>
        <w:t xml:space="preserve"> (Kanjanakan et al., 2023).</w:t>
      </w:r>
    </w:p>
    <w:p w14:paraId="55471940"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وفي ضوء ما سبق، تأتي هذه الدراسة لتستقصي أثر التمكين الوظيفي بأبعاده (تفويض الصلاحيات، التدريب والتطوير، المشاركة في اتخاذ القرار، التحفيز) على سرعة حل المشكلات ورضا العملاء لدى موظفي خدمة العملاء في مدينة الرياض، سعيًا إلى تقديم إطار علمي وعملي يُسهم في تعزيز ممارسات التمكين الوظيفي وتحسين مخرجات الخدمة في واحدة من أكثر بيئات الأعمال حيوية وتنافسية في المنطقة العربية</w:t>
      </w:r>
      <w:r w:rsidRPr="00645D6F">
        <w:rPr>
          <w:rFonts w:ascii="Simplified Arabic" w:hAnsi="Simplified Arabic" w:cs="Simplified Arabic"/>
          <w:color w:val="000000" w:themeColor="text1"/>
          <w:sz w:val="28"/>
          <w:szCs w:val="28"/>
        </w:rPr>
        <w:t>.</w:t>
      </w:r>
    </w:p>
    <w:p w14:paraId="15B31C9C" w14:textId="46E715D0" w:rsidR="00036B7C" w:rsidRPr="00645D6F" w:rsidRDefault="00036B7C" w:rsidP="00036B7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5" w:name="_Toc169790490"/>
      <w:bookmarkStart w:id="6" w:name="_Toc233938074"/>
      <w:bookmarkEnd w:id="1"/>
      <w:bookmarkEnd w:id="2"/>
      <w:r w:rsidRPr="00645D6F">
        <w:rPr>
          <w:rFonts w:ascii="Simplified Arabic" w:hAnsi="Simplified Arabic" w:cs="Simplified Arabic"/>
          <w:b/>
          <w:bCs/>
          <w:color w:val="000000" w:themeColor="text1"/>
          <w:sz w:val="36"/>
          <w:szCs w:val="36"/>
          <w:rtl/>
        </w:rPr>
        <w:t>2.1 مشكلة الدراسة</w:t>
      </w:r>
      <w:bookmarkEnd w:id="6"/>
    </w:p>
    <w:p w14:paraId="331CC17D"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يشهد قطاع الخدمات في المملكة العربية السعودية تحولات جوهرية متسارعة في ظل رؤية 2030 التي وضعت تحسين جودة الخدمات والارتقاء بتجربة العميل في صدارة أولوياتها الاستراتيجية، إذ أصبح رضا العملاء مؤشرًا محوريًا لقياس تنافسية المنظمات واستدامة أدائها في بيئة أعمال تتسم بالتعقيد والديناميكية المتزايدة. وتُمثّل وظيفة خدمة العملاء خط التماس الأول بين المنظمة وعملائها، حيث يتوقف نجاح المنظمة إلى حد بعيد على قدرة موظفيها في الصفوف الأمامية على التعامل مع استفسارات العملاء ومعالجة شكاواهم وحل مشكلاتهم بسرعة وكفاءة عالية، وهو ما يستوجب تمتّع هؤلاء الموظفين بصلاحيات كافية ومهارات متطورة وتحفيز مستمر يُمكّنهم من اتخاذ قرارات فورية دون الحاجة إلى المرور بسلاسل إدارية طويلة ومعقدة تُبطئ الاستجابة وتُفاقم استياء العملاء</w:t>
      </w:r>
      <w:r w:rsidRPr="00645D6F">
        <w:rPr>
          <w:rFonts w:ascii="Simplified Arabic" w:hAnsi="Simplified Arabic" w:cs="Simplified Arabic"/>
          <w:color w:val="000000" w:themeColor="text1"/>
          <w:sz w:val="28"/>
          <w:szCs w:val="28"/>
        </w:rPr>
        <w:t>.</w:t>
      </w:r>
    </w:p>
    <w:p w14:paraId="7137B38F"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وعلى الرغم من تزايد الاهتمام الأكاديمي والمهني بمفهوم التمكين الوظيفي بوصفه مدخلًا إداريًا حديثًا يُعزز أداء الموظفين ويُحسّن مخرجات الخدمة، إلا أن الواقع العملي في كثير من منظمات القطاع الخاص بمدينة الرياض يكشف عن فجوة واضحة بين الخطاب الإداري النظري حول التمكين وبين التطبيق الفعلي </w:t>
      </w:r>
      <w:r w:rsidRPr="00645D6F">
        <w:rPr>
          <w:rFonts w:ascii="Simplified Arabic" w:hAnsi="Simplified Arabic" w:cs="Simplified Arabic"/>
          <w:color w:val="000000" w:themeColor="text1"/>
          <w:sz w:val="28"/>
          <w:szCs w:val="28"/>
          <w:rtl/>
        </w:rPr>
        <w:lastRenderedPageBreak/>
        <w:t>له على أرض الواقع. فلا يزال عدد كبير من موظفي خدمة العملاء يعانون من محدودية الصلاحيات الممنوحة لهم في التعامل مع مشكلات العملاء، وضعف البرامج التدريبية المتخصصة في مهارات حل المشكلات واتخاذ القرار، فضلًا عن تدني مستوى مشاركتهم في صياغة سياسات الخدمة والإجراءات التشغيلية التي يُطبقونها يوميًا، وعدم كفاية الحوافز المادية والمعنوية التي تُشجعهم على المبادرة والابتكار في مواقف الخدمة الحرجة</w:t>
      </w:r>
      <w:r w:rsidRPr="00645D6F">
        <w:rPr>
          <w:rFonts w:ascii="Simplified Arabic" w:hAnsi="Simplified Arabic" w:cs="Simplified Arabic"/>
          <w:color w:val="000000" w:themeColor="text1"/>
          <w:sz w:val="28"/>
          <w:szCs w:val="28"/>
        </w:rPr>
        <w:t xml:space="preserve">. </w:t>
      </w:r>
      <w:r w:rsidRPr="00645D6F">
        <w:rPr>
          <w:rFonts w:ascii="Simplified Arabic" w:hAnsi="Simplified Arabic" w:cs="Simplified Arabic"/>
          <w:color w:val="000000" w:themeColor="text1"/>
          <w:sz w:val="28"/>
          <w:szCs w:val="28"/>
          <w:rtl/>
        </w:rPr>
        <w:t>وتتجلى هذه الفجوة بوضوح في المؤشرات التشغيلية لبعض مراكز خدمة العملاء التي تُشير إلى ارتفاع معدلات إعادة الاتصال بسبب عدم حل المشكلة من المرة الأولى، وطول متوسط وقت المعالجة، وتصاعد الشكاوى إلى المستويات الإدارية العليا، وهي جميعها مؤشرات تنعكس سلبًا على رضا العملاء وولائهم وتُلحق بالمنظمة خسائر مالية وتنافسية كبيرة</w:t>
      </w:r>
      <w:r w:rsidRPr="00645D6F">
        <w:rPr>
          <w:rFonts w:ascii="Simplified Arabic" w:hAnsi="Simplified Arabic" w:cs="Simplified Arabic"/>
          <w:color w:val="000000" w:themeColor="text1"/>
          <w:sz w:val="28"/>
          <w:szCs w:val="28"/>
        </w:rPr>
        <w:t>.</w:t>
      </w:r>
    </w:p>
    <w:p w14:paraId="00F060AA"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وبمراجعة الأدبيات السابقة يتبيّن أن غالبية الدراسات التي تناولت التمكين الوظيفي ركّزت على علاقته بالرضا الوظيفي أو الالتزام التنظيمي أو الأداء العام للموظفين (منصور، 2025؛ اشتيوي، 2023؛ </w:t>
      </w:r>
      <w:r w:rsidRPr="00645D6F">
        <w:rPr>
          <w:rFonts w:ascii="Simplified Arabic" w:hAnsi="Simplified Arabic" w:cs="Simplified Arabic"/>
          <w:color w:val="000000" w:themeColor="text1"/>
          <w:sz w:val="28"/>
          <w:szCs w:val="28"/>
        </w:rPr>
        <w:t>Hoang et al., 2021</w:t>
      </w:r>
      <w:proofErr w:type="gramStart"/>
      <w:r w:rsidRPr="00645D6F">
        <w:rPr>
          <w:rFonts w:ascii="Simplified Arabic" w:hAnsi="Simplified Arabic" w:cs="Simplified Arabic"/>
          <w:color w:val="000000" w:themeColor="text1"/>
          <w:sz w:val="28"/>
          <w:szCs w:val="28"/>
        </w:rPr>
        <w:t>)</w:t>
      </w:r>
      <w:r w:rsidRPr="00645D6F">
        <w:rPr>
          <w:rFonts w:ascii="Simplified Arabic" w:hAnsi="Simplified Arabic" w:cs="Simplified Arabic"/>
          <w:color w:val="000000" w:themeColor="text1"/>
          <w:sz w:val="28"/>
          <w:szCs w:val="28"/>
          <w:rtl/>
        </w:rPr>
        <w:t>،</w:t>
      </w:r>
      <w:proofErr w:type="gramEnd"/>
      <w:r w:rsidRPr="00645D6F">
        <w:rPr>
          <w:rFonts w:ascii="Simplified Arabic" w:hAnsi="Simplified Arabic" w:cs="Simplified Arabic"/>
          <w:color w:val="000000" w:themeColor="text1"/>
          <w:sz w:val="28"/>
          <w:szCs w:val="28"/>
          <w:rtl/>
        </w:rPr>
        <w:t xml:space="preserve"> بينما ظلّت العلاقة المباشرة بين التمكين الوظيفي وسرعة حل مشكلات العملاء ورضاهم مجالًا بحثيًا لم يحظَ بالاهتمام الكافي، لا سيما في السياق السعودي. كما أن الدراسات القليلة التي تطرقت إلى هذه العلاقة أُجريت في بيئات ثقافية وتنظيمية مختلفة كالفنادق في تايلاند </w:t>
      </w:r>
      <w:r w:rsidRPr="00645D6F">
        <w:rPr>
          <w:rFonts w:ascii="Simplified Arabic" w:hAnsi="Simplified Arabic" w:cs="Simplified Arabic"/>
          <w:color w:val="000000" w:themeColor="text1"/>
          <w:sz w:val="28"/>
          <w:szCs w:val="28"/>
        </w:rPr>
        <w:t xml:space="preserve">(Kanjanakan et al., 2023) </w:t>
      </w:r>
      <w:r w:rsidRPr="00645D6F">
        <w:rPr>
          <w:rFonts w:ascii="Simplified Arabic" w:hAnsi="Simplified Arabic" w:cs="Simplified Arabic"/>
          <w:color w:val="000000" w:themeColor="text1"/>
          <w:sz w:val="28"/>
          <w:szCs w:val="28"/>
          <w:rtl/>
        </w:rPr>
        <w:t>أو البنوك في الهند</w:t>
      </w:r>
      <w:r w:rsidRPr="00645D6F">
        <w:rPr>
          <w:rFonts w:ascii="Simplified Arabic" w:hAnsi="Simplified Arabic" w:cs="Simplified Arabic"/>
          <w:color w:val="000000" w:themeColor="text1"/>
          <w:sz w:val="28"/>
          <w:szCs w:val="28"/>
        </w:rPr>
        <w:t xml:space="preserve"> (Bhat, 2020</w:t>
      </w:r>
      <w:proofErr w:type="gramStart"/>
      <w:r w:rsidRPr="00645D6F">
        <w:rPr>
          <w:rFonts w:ascii="Simplified Arabic" w:hAnsi="Simplified Arabic" w:cs="Simplified Arabic"/>
          <w:color w:val="000000" w:themeColor="text1"/>
          <w:sz w:val="28"/>
          <w:szCs w:val="28"/>
        </w:rPr>
        <w:t>)</w:t>
      </w:r>
      <w:r w:rsidRPr="00645D6F">
        <w:rPr>
          <w:rFonts w:ascii="Simplified Arabic" w:hAnsi="Simplified Arabic" w:cs="Simplified Arabic"/>
          <w:color w:val="000000" w:themeColor="text1"/>
          <w:sz w:val="28"/>
          <w:szCs w:val="28"/>
          <w:rtl/>
        </w:rPr>
        <w:t>،</w:t>
      </w:r>
      <w:proofErr w:type="gramEnd"/>
      <w:r w:rsidRPr="00645D6F">
        <w:rPr>
          <w:rFonts w:ascii="Simplified Arabic" w:hAnsi="Simplified Arabic" w:cs="Simplified Arabic"/>
          <w:color w:val="000000" w:themeColor="text1"/>
          <w:sz w:val="28"/>
          <w:szCs w:val="28"/>
          <w:rtl/>
        </w:rPr>
        <w:t xml:space="preserve"> مما يُصعّب تعميم نتائجها على بيئة خدمة العملاء في المملكة العربية السعودية التي تتميز بخصائص ثقافية وتنظيمية وديموغرافية فريدة، تشمل تنوع القوى العاملة وتعدد جنسياتها وتسارع وتيرة التحول الرقمي وارتفاع توقعات العملاء المتأثرة بالانفتاح على التجارب العالمية</w:t>
      </w:r>
      <w:r w:rsidRPr="00645D6F">
        <w:rPr>
          <w:rFonts w:ascii="Simplified Arabic" w:hAnsi="Simplified Arabic" w:cs="Simplified Arabic"/>
          <w:color w:val="000000" w:themeColor="text1"/>
          <w:sz w:val="28"/>
          <w:szCs w:val="28"/>
        </w:rPr>
        <w:t>.</w:t>
      </w:r>
    </w:p>
    <w:p w14:paraId="20B8FE40" w14:textId="77777777" w:rsidR="00CA4A92" w:rsidRPr="00645D6F" w:rsidRDefault="00CA4A92" w:rsidP="00036B7C">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وانطلاقًا مما سبق، تتبلور مشكلة الدراسة الحالية في الحاجة الماسة إلى فهم معمّق وقائم على أدلة علمية للأثر الذي يُحدثه التمكين الوظيفي بأبعاده المختلفة (تفويض الصلاحيات، التدريب والتطوير، المشاركة في اتخاذ القرار، التحفيز) على سرعة حل المشكلات ورضا العملاء في بيئة خدمة العملاء بمدينة الرياض. وتسعى الدراسة إلى الإجابة عن التساؤل الرئيسي التالي</w:t>
      </w:r>
      <w:r w:rsidRPr="00645D6F">
        <w:rPr>
          <w:rFonts w:ascii="Simplified Arabic" w:hAnsi="Simplified Arabic" w:cs="Simplified Arabic"/>
          <w:color w:val="000000" w:themeColor="text1"/>
          <w:sz w:val="28"/>
          <w:szCs w:val="28"/>
        </w:rPr>
        <w:t xml:space="preserve">: </w:t>
      </w:r>
      <w:r w:rsidRPr="00645D6F">
        <w:rPr>
          <w:rStyle w:val="Strong"/>
          <w:rFonts w:ascii="Simplified Arabic" w:hAnsi="Simplified Arabic" w:cs="Simplified Arabic"/>
          <w:b w:val="0"/>
          <w:bCs w:val="0"/>
          <w:color w:val="000000" w:themeColor="text1"/>
          <w:sz w:val="28"/>
          <w:szCs w:val="28"/>
          <w:rtl/>
        </w:rPr>
        <w:t>ما أثر التمكين الوظيفي بأبعاده (تفويض الصلاحيات، التدريب والتطوير، المشاركة في اتخاذ القرار، التحفيز) على سرعة حل المشكلات ورضا العملاء لدى موظفي خدمة العملاء في مدينة الرياض؟</w:t>
      </w:r>
      <w:r w:rsidRPr="00645D6F">
        <w:rPr>
          <w:rFonts w:ascii="Simplified Arabic" w:hAnsi="Simplified Arabic" w:cs="Simplified Arabic"/>
          <w:color w:val="000000" w:themeColor="text1"/>
          <w:sz w:val="28"/>
          <w:szCs w:val="28"/>
          <w:rtl/>
        </w:rPr>
        <w:t xml:space="preserve"> </w:t>
      </w:r>
    </w:p>
    <w:p w14:paraId="1F310464" w14:textId="1E3E8069" w:rsidR="00036B7C" w:rsidRPr="00645D6F" w:rsidRDefault="00036B7C" w:rsidP="00036B7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169790500"/>
      <w:bookmarkStart w:id="8" w:name="_Toc233938075"/>
      <w:bookmarkEnd w:id="5"/>
      <w:r w:rsidRPr="00645D6F">
        <w:rPr>
          <w:rFonts w:ascii="Simplified Arabic" w:eastAsia="Times New Roman" w:hAnsi="Simplified Arabic" w:cs="Simplified Arabic"/>
          <w:b/>
          <w:bCs/>
          <w:color w:val="000000" w:themeColor="text1"/>
          <w:kern w:val="0"/>
          <w:sz w:val="36"/>
          <w:szCs w:val="36"/>
          <w:rtl/>
          <w14:ligatures w14:val="none"/>
        </w:rPr>
        <w:t>3.1 أهداف الدراسة:</w:t>
      </w:r>
      <w:bookmarkEnd w:id="8"/>
    </w:p>
    <w:p w14:paraId="54DE6B4D" w14:textId="77777777" w:rsidR="006C173C" w:rsidRPr="00645D6F" w:rsidRDefault="006C173C" w:rsidP="00036B7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التمكين الوظيفي بأبعاده (تفويض الصلاحيات، التدريب والتطوير، المشاركة في اتخاذ القرار، التحفيز)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40A27CFB" w14:textId="77777777" w:rsidR="006C173C" w:rsidRPr="00645D6F" w:rsidRDefault="006C173C" w:rsidP="00D67C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645D6F">
        <w:rPr>
          <w:rFonts w:ascii="Simplified Arabic" w:eastAsia="Times New Roman" w:hAnsi="Simplified Arabic" w:cs="Simplified Arabic"/>
          <w:b/>
          <w:bCs/>
          <w:color w:val="000000" w:themeColor="text1"/>
          <w:kern w:val="0"/>
          <w:sz w:val="28"/>
          <w:szCs w:val="28"/>
          <w14:ligatures w14:val="none"/>
        </w:rPr>
        <w:t>:</w:t>
      </w:r>
    </w:p>
    <w:p w14:paraId="34A18A11"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التعرف على مستوى تطبيق التمكين الوظيفي بأبعاده الأربعة (تفويض الصلاحيات، التدريب والتطوير، المشاركة في اتخاذ القرار، التحفيز)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343A82B2"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التعرف على مستوى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43B4BC4F"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قياس أثر تفويض الصلاحيات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07A8EDC8"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قياس أثر التدريب والتطوير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76B6C547"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قياس أثر المشاركة في اتخاذ القرار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5CBB3AC3"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قياس أثر التحفيز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075D9C33" w14:textId="77777777" w:rsidR="006C173C" w:rsidRPr="00645D6F" w:rsidRDefault="006C173C" w:rsidP="00036B7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تقديم توصيات علمية وعملية قابلة للتطبيق تسهم في تعزيز ممارسات التمكين الوظيفي لتحسين سرعة حل المشكلات ورفع مستوى رضا العملاء في بيئة خدمة العملاء بمدينة الرياض</w:t>
      </w:r>
      <w:r w:rsidRPr="00645D6F">
        <w:rPr>
          <w:rFonts w:ascii="Simplified Arabic" w:eastAsia="Times New Roman" w:hAnsi="Simplified Arabic" w:cs="Simplified Arabic"/>
          <w:color w:val="000000" w:themeColor="text1"/>
          <w:kern w:val="0"/>
          <w:sz w:val="28"/>
          <w:szCs w:val="28"/>
          <w14:ligatures w14:val="none"/>
        </w:rPr>
        <w:t>.</w:t>
      </w:r>
    </w:p>
    <w:p w14:paraId="1FDBFFBF" w14:textId="77777777" w:rsidR="00036B7C" w:rsidRPr="00645D6F" w:rsidRDefault="00036B7C" w:rsidP="00036B7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38076"/>
      <w:r w:rsidRPr="00645D6F">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78A69303" w14:textId="55EF1003" w:rsidR="00036B7C" w:rsidRPr="00645D6F" w:rsidRDefault="00036B7C" w:rsidP="00036B7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5D6F">
        <w:rPr>
          <w:rFonts w:ascii="Simplified Arabic" w:eastAsia="Times New Roman" w:hAnsi="Simplified Arabic" w:cs="Simplified Arabic"/>
          <w:b/>
          <w:bCs/>
          <w:color w:val="000000" w:themeColor="text1"/>
          <w:kern w:val="0"/>
          <w:sz w:val="32"/>
          <w:szCs w:val="32"/>
          <w:rtl/>
          <w14:ligatures w14:val="none"/>
        </w:rPr>
        <w:t>السؤال الرئيسي</w:t>
      </w:r>
    </w:p>
    <w:p w14:paraId="24DD3A68" w14:textId="6BE1DEA2" w:rsidR="006C173C" w:rsidRPr="00645D6F" w:rsidRDefault="006C173C" w:rsidP="00036B7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ما أثر التمكين الوظيفي بأبعاده </w:t>
      </w:r>
      <w:r w:rsidR="00036B7C" w:rsidRPr="00645D6F">
        <w:rPr>
          <w:rFonts w:ascii="Simplified Arabic" w:eastAsia="Times New Roman" w:hAnsi="Simplified Arabic" w:cs="Simplified Arabic" w:hint="cs"/>
          <w:color w:val="000000" w:themeColor="text1"/>
          <w:kern w:val="0"/>
          <w:sz w:val="28"/>
          <w:szCs w:val="28"/>
          <w:rtl/>
          <w14:ligatures w14:val="none"/>
        </w:rPr>
        <w:t>(</w:t>
      </w:r>
      <w:r w:rsidRPr="00645D6F">
        <w:rPr>
          <w:rFonts w:ascii="Simplified Arabic" w:eastAsia="Times New Roman" w:hAnsi="Simplified Arabic" w:cs="Simplified Arabic"/>
          <w:color w:val="000000" w:themeColor="text1"/>
          <w:kern w:val="0"/>
          <w:sz w:val="28"/>
          <w:szCs w:val="28"/>
          <w:rtl/>
          <w14:ligatures w14:val="none"/>
        </w:rPr>
        <w:t>تفويض الصلاحيات، التدريب والتطوير، المشاركة في اتخاذ القرار، التحفيز</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على سرعة حل المشكلات ورضا العملاء لدى موظفي خدمة العملاء في مدينة الرياض؟</w:t>
      </w:r>
    </w:p>
    <w:p w14:paraId="33501DCC" w14:textId="77777777" w:rsidR="006C173C" w:rsidRPr="00645D6F" w:rsidRDefault="006C173C" w:rsidP="00D67C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645D6F">
        <w:rPr>
          <w:rFonts w:ascii="Simplified Arabic" w:eastAsia="Times New Roman" w:hAnsi="Simplified Arabic" w:cs="Simplified Arabic"/>
          <w:b/>
          <w:bCs/>
          <w:color w:val="000000" w:themeColor="text1"/>
          <w:kern w:val="0"/>
          <w:sz w:val="28"/>
          <w:szCs w:val="28"/>
          <w14:ligatures w14:val="none"/>
        </w:rPr>
        <w:t>:</w:t>
      </w:r>
    </w:p>
    <w:p w14:paraId="2393D9E7" w14:textId="77777777" w:rsidR="006C173C" w:rsidRPr="00645D6F" w:rsidRDefault="006C173C" w:rsidP="00036B7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 xml:space="preserve">ما مستوى تطبيق التمكين الوظيفي بأبعاده </w:t>
      </w:r>
      <w:r w:rsidRPr="00645D6F">
        <w:rPr>
          <w:rFonts w:ascii="Simplified Arabic" w:eastAsia="Times New Roman" w:hAnsi="Simplified Arabic" w:cs="Simplified Arabic"/>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rtl/>
          <w14:ligatures w14:val="none"/>
        </w:rPr>
        <w:t>تفويض الصلاحيات، التدريب والتطوير، المشاركة في اتخاذ القرار، التحفيز</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لدى موظفي خدمة العملاء في مدينة الرياض؟</w:t>
      </w:r>
    </w:p>
    <w:p w14:paraId="7A1B2EA2" w14:textId="77777777" w:rsidR="006C173C" w:rsidRPr="00645D6F" w:rsidRDefault="006C173C" w:rsidP="00036B7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ما مستوى سرعة حل المشكلات ورضا العملاء من وجهة نظر موظفي خدمة العملاء في مدينة الرياض؟</w:t>
      </w:r>
    </w:p>
    <w:p w14:paraId="7FD8F422" w14:textId="77777777" w:rsidR="006C173C" w:rsidRPr="00645D6F" w:rsidRDefault="006C173C" w:rsidP="00036B7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ما أثر تفويض الصلاحيات على سرعة حل المشكلات ورضا العملاء لدى موظفي خدمة العملاء في مدينة الرياض؟</w:t>
      </w:r>
    </w:p>
    <w:p w14:paraId="411AC326" w14:textId="77777777" w:rsidR="006C173C" w:rsidRPr="00645D6F" w:rsidRDefault="006C173C" w:rsidP="00036B7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ما أثر التدريب والتطوير على سرعة حل المشكلات ورضا العملاء لدى موظفي خدمة العملاء في مدينة الرياض؟</w:t>
      </w:r>
    </w:p>
    <w:p w14:paraId="3ABD59F4" w14:textId="77777777" w:rsidR="006C173C" w:rsidRPr="00645D6F" w:rsidRDefault="006C173C" w:rsidP="00036B7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ما أثر المشاركة في اتخاذ القرار على سرعة حل المشكلات ورضا العملاء لدى موظفي خدمة العملاء في مدينة الرياض؟</w:t>
      </w:r>
    </w:p>
    <w:p w14:paraId="0D30B49E" w14:textId="77777777" w:rsidR="006C173C" w:rsidRPr="00645D6F" w:rsidRDefault="006C173C" w:rsidP="00036B7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ما أثر التحفيز على سرعة حل المشكلات ورضا العملاء لدى موظفي خدمة العملاء في مدينة الرياض؟</w:t>
      </w:r>
    </w:p>
    <w:p w14:paraId="6356A651" w14:textId="77777777" w:rsidR="00036B7C" w:rsidRPr="00645D6F" w:rsidRDefault="00036B7C" w:rsidP="00036B7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938077"/>
      <w:r w:rsidRPr="00645D6F">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62A6DC30" w14:textId="0E376618" w:rsidR="00036B7C" w:rsidRPr="00645D6F" w:rsidRDefault="00036B7C" w:rsidP="00036B7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5D6F">
        <w:rPr>
          <w:rFonts w:ascii="Simplified Arabic" w:eastAsia="Times New Roman" w:hAnsi="Simplified Arabic" w:cs="Simplified Arabic"/>
          <w:b/>
          <w:bCs/>
          <w:color w:val="000000" w:themeColor="text1"/>
          <w:kern w:val="0"/>
          <w:sz w:val="32"/>
          <w:szCs w:val="32"/>
          <w:rtl/>
          <w14:ligatures w14:val="none"/>
        </w:rPr>
        <w:t>الفرض الرئيسي</w:t>
      </w:r>
    </w:p>
    <w:p w14:paraId="47963EE7" w14:textId="498DD7F2" w:rsidR="006C173C" w:rsidRPr="00645D6F" w:rsidRDefault="006C173C" w:rsidP="00036B7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14:ligatures w14:val="none"/>
        </w:rPr>
        <w:t>H</w:t>
      </w:r>
      <w:r w:rsidRPr="00645D6F">
        <w:rPr>
          <w:rFonts w:ascii="Times New Roman" w:eastAsia="Times New Roman" w:hAnsi="Times New Roman" w:cs="Times New Roman"/>
          <w:color w:val="000000" w:themeColor="text1"/>
          <w:kern w:val="0"/>
          <w:sz w:val="28"/>
          <w:szCs w:val="28"/>
          <w14:ligatures w14:val="none"/>
        </w:rPr>
        <w:t>₁</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α</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Times New Roman" w:eastAsia="Times New Roman" w:hAnsi="Times New Roman" w:cs="Times New Roman"/>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14:ligatures w14:val="none"/>
        </w:rPr>
        <w:t xml:space="preserve"> 0.05) </w:t>
      </w:r>
      <w:r w:rsidRPr="00645D6F">
        <w:rPr>
          <w:rFonts w:ascii="Simplified Arabic" w:eastAsia="Times New Roman" w:hAnsi="Simplified Arabic" w:cs="Simplified Arabic"/>
          <w:color w:val="000000" w:themeColor="text1"/>
          <w:kern w:val="0"/>
          <w:sz w:val="28"/>
          <w:szCs w:val="28"/>
          <w:rtl/>
          <w14:ligatures w14:val="none"/>
        </w:rPr>
        <w:t xml:space="preserve">للتمكين الوظيفي بأبعاده مجتمعة </w:t>
      </w:r>
      <w:r w:rsidR="00CA4A92" w:rsidRPr="00645D6F">
        <w:rPr>
          <w:rFonts w:ascii="Simplified Arabic" w:eastAsia="Times New Roman" w:hAnsi="Simplified Arabic" w:cs="Simplified Arabic"/>
          <w:color w:val="000000" w:themeColor="text1"/>
          <w:kern w:val="0"/>
          <w:sz w:val="28"/>
          <w:szCs w:val="28"/>
          <w:rtl/>
          <w14:ligatures w14:val="none"/>
        </w:rPr>
        <w:t>(</w:t>
      </w:r>
      <w:r w:rsidRPr="00645D6F">
        <w:rPr>
          <w:rFonts w:ascii="Simplified Arabic" w:eastAsia="Times New Roman" w:hAnsi="Simplified Arabic" w:cs="Simplified Arabic"/>
          <w:color w:val="000000" w:themeColor="text1"/>
          <w:kern w:val="0"/>
          <w:sz w:val="28"/>
          <w:szCs w:val="28"/>
          <w:rtl/>
          <w14:ligatures w14:val="none"/>
        </w:rPr>
        <w:t>تفويض الصلاحيات، التدريب والتطوير، المشاركة في اتخاذ القرار، التحفيز</w:t>
      </w:r>
      <w:proofErr w:type="gramStart"/>
      <w:r w:rsidR="00CA4A92" w:rsidRPr="00645D6F">
        <w:rPr>
          <w:rFonts w:ascii="Simplified Arabic" w:eastAsia="Times New Roman" w:hAnsi="Simplified Arabic" w:cs="Simplified Arabic"/>
          <w:color w:val="000000" w:themeColor="text1"/>
          <w:kern w:val="0"/>
          <w:sz w:val="28"/>
          <w:szCs w:val="28"/>
          <w:rtl/>
          <w14:ligatures w14:val="none"/>
        </w:rPr>
        <w:t>)</w:t>
      </w:r>
      <w:r w:rsidRPr="00645D6F">
        <w:rPr>
          <w:rFonts w:ascii="Simplified Arabic" w:eastAsia="Times New Roman" w:hAnsi="Simplified Arabic" w:cs="Simplified Arabic"/>
          <w:color w:val="000000" w:themeColor="text1"/>
          <w:kern w:val="0"/>
          <w:sz w:val="28"/>
          <w:szCs w:val="28"/>
          <w:rtl/>
          <w14:ligatures w14:val="none"/>
        </w:rPr>
        <w:t>على</w:t>
      </w:r>
      <w:proofErr w:type="gramEnd"/>
      <w:r w:rsidRPr="00645D6F">
        <w:rPr>
          <w:rFonts w:ascii="Simplified Arabic" w:eastAsia="Times New Roman" w:hAnsi="Simplified Arabic" w:cs="Simplified Arabic"/>
          <w:color w:val="000000" w:themeColor="text1"/>
          <w:kern w:val="0"/>
          <w:sz w:val="28"/>
          <w:szCs w:val="28"/>
          <w:rtl/>
          <w14:ligatures w14:val="none"/>
        </w:rPr>
        <w:t xml:space="preserve">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69F7F596" w14:textId="77777777" w:rsidR="006C173C" w:rsidRPr="00645D6F" w:rsidRDefault="006C173C" w:rsidP="00036B7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608248"/>
      <w:r w:rsidRPr="00645D6F">
        <w:rPr>
          <w:rFonts w:ascii="Simplified Arabic" w:eastAsia="Times New Roman" w:hAnsi="Simplified Arabic" w:cs="Simplified Arabic"/>
          <w:b/>
          <w:bCs/>
          <w:color w:val="000000" w:themeColor="text1"/>
          <w:kern w:val="0"/>
          <w:sz w:val="32"/>
          <w:szCs w:val="32"/>
          <w:rtl/>
          <w14:ligatures w14:val="none"/>
        </w:rPr>
        <w:t>الفروض الفرعية</w:t>
      </w:r>
      <w:bookmarkEnd w:id="11"/>
    </w:p>
    <w:p w14:paraId="68957B3E" w14:textId="77777777" w:rsidR="006C173C" w:rsidRPr="00645D6F" w:rsidRDefault="006C173C" w:rsidP="00036B7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14:ligatures w14:val="none"/>
        </w:rPr>
        <w:t>H</w:t>
      </w:r>
      <w:r w:rsidRPr="00645D6F">
        <w:rPr>
          <w:rFonts w:ascii="Times New Roman" w:eastAsia="Times New Roman" w:hAnsi="Times New Roman" w:cs="Times New Roman"/>
          <w:color w:val="000000" w:themeColor="text1"/>
          <w:kern w:val="0"/>
          <w:sz w:val="28"/>
          <w:szCs w:val="28"/>
          <w14:ligatures w14:val="none"/>
        </w:rPr>
        <w:t>₁₋₁</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α</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Times New Roman" w:eastAsia="Times New Roman" w:hAnsi="Times New Roman" w:cs="Times New Roman"/>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14:ligatures w14:val="none"/>
        </w:rPr>
        <w:t xml:space="preserve"> 0.05) </w:t>
      </w:r>
      <w:r w:rsidRPr="00645D6F">
        <w:rPr>
          <w:rFonts w:ascii="Simplified Arabic" w:eastAsia="Times New Roman" w:hAnsi="Simplified Arabic" w:cs="Simplified Arabic"/>
          <w:color w:val="000000" w:themeColor="text1"/>
          <w:kern w:val="0"/>
          <w:sz w:val="28"/>
          <w:szCs w:val="28"/>
          <w:rtl/>
          <w14:ligatures w14:val="none"/>
        </w:rPr>
        <w:t>لتفويض الصلاحيات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49A5EE1D" w14:textId="77777777" w:rsidR="006C173C" w:rsidRPr="00645D6F" w:rsidRDefault="006C173C" w:rsidP="00036B7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14:ligatures w14:val="none"/>
        </w:rPr>
        <w:t>H</w:t>
      </w:r>
      <w:r w:rsidRPr="00645D6F">
        <w:rPr>
          <w:rFonts w:ascii="Times New Roman" w:eastAsia="Times New Roman" w:hAnsi="Times New Roman" w:cs="Times New Roman"/>
          <w:color w:val="000000" w:themeColor="text1"/>
          <w:kern w:val="0"/>
          <w:sz w:val="28"/>
          <w:szCs w:val="28"/>
          <w14:ligatures w14:val="none"/>
        </w:rPr>
        <w:t>₁₋₂</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α</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Times New Roman" w:eastAsia="Times New Roman" w:hAnsi="Times New Roman" w:cs="Times New Roman"/>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14:ligatures w14:val="none"/>
        </w:rPr>
        <w:t xml:space="preserve"> 0.05) </w:t>
      </w:r>
      <w:r w:rsidRPr="00645D6F">
        <w:rPr>
          <w:rFonts w:ascii="Simplified Arabic" w:eastAsia="Times New Roman" w:hAnsi="Simplified Arabic" w:cs="Simplified Arabic"/>
          <w:color w:val="000000" w:themeColor="text1"/>
          <w:kern w:val="0"/>
          <w:sz w:val="28"/>
          <w:szCs w:val="28"/>
          <w:rtl/>
          <w14:ligatures w14:val="none"/>
        </w:rPr>
        <w:t>للتدريب والتطوير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7DAC9A49" w14:textId="77777777" w:rsidR="006C173C" w:rsidRPr="00645D6F" w:rsidRDefault="006C173C" w:rsidP="00036B7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14:ligatures w14:val="none"/>
        </w:rPr>
        <w:t>H</w:t>
      </w:r>
      <w:r w:rsidRPr="00645D6F">
        <w:rPr>
          <w:rFonts w:ascii="Times New Roman" w:eastAsia="Times New Roman" w:hAnsi="Times New Roman" w:cs="Times New Roman"/>
          <w:color w:val="000000" w:themeColor="text1"/>
          <w:kern w:val="0"/>
          <w:sz w:val="28"/>
          <w:szCs w:val="28"/>
          <w14:ligatures w14:val="none"/>
        </w:rPr>
        <w:t>₁₋₃</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α</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Times New Roman" w:eastAsia="Times New Roman" w:hAnsi="Times New Roman" w:cs="Times New Roman"/>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14:ligatures w14:val="none"/>
        </w:rPr>
        <w:t xml:space="preserve"> 0.05) </w:t>
      </w:r>
      <w:r w:rsidRPr="00645D6F">
        <w:rPr>
          <w:rFonts w:ascii="Simplified Arabic" w:eastAsia="Times New Roman" w:hAnsi="Simplified Arabic" w:cs="Simplified Arabic"/>
          <w:color w:val="000000" w:themeColor="text1"/>
          <w:kern w:val="0"/>
          <w:sz w:val="28"/>
          <w:szCs w:val="28"/>
          <w:rtl/>
          <w14:ligatures w14:val="none"/>
        </w:rPr>
        <w:t>للمشاركة في اتخاذ القرار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61A7D4DC" w14:textId="77777777" w:rsidR="006C173C" w:rsidRPr="00645D6F" w:rsidRDefault="006C173C" w:rsidP="00036B7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14:ligatures w14:val="none"/>
        </w:rPr>
        <w:lastRenderedPageBreak/>
        <w:t>H</w:t>
      </w:r>
      <w:r w:rsidRPr="00645D6F">
        <w:rPr>
          <w:rFonts w:ascii="Times New Roman" w:eastAsia="Times New Roman" w:hAnsi="Times New Roman" w:cs="Times New Roman"/>
          <w:color w:val="000000" w:themeColor="text1"/>
          <w:kern w:val="0"/>
          <w:sz w:val="28"/>
          <w:szCs w:val="28"/>
          <w14:ligatures w14:val="none"/>
        </w:rPr>
        <w:t>₁₋₄</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α</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Times New Roman" w:eastAsia="Times New Roman" w:hAnsi="Times New Roman" w:cs="Times New Roman"/>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14:ligatures w14:val="none"/>
        </w:rPr>
        <w:t xml:space="preserve"> 0.05) </w:t>
      </w:r>
      <w:r w:rsidRPr="00645D6F">
        <w:rPr>
          <w:rFonts w:ascii="Simplified Arabic" w:eastAsia="Times New Roman" w:hAnsi="Simplified Arabic" w:cs="Simplified Arabic"/>
          <w:color w:val="000000" w:themeColor="text1"/>
          <w:kern w:val="0"/>
          <w:sz w:val="28"/>
          <w:szCs w:val="28"/>
          <w:rtl/>
          <w14:ligatures w14:val="none"/>
        </w:rPr>
        <w:t>للتحفيز على سرعة حل المشكلات ورضا العملاء لدى موظفي خدمة العملاء في مدينة الرياض</w:t>
      </w:r>
      <w:r w:rsidRPr="00645D6F">
        <w:rPr>
          <w:rFonts w:ascii="Simplified Arabic" w:eastAsia="Times New Roman" w:hAnsi="Simplified Arabic" w:cs="Simplified Arabic"/>
          <w:color w:val="000000" w:themeColor="text1"/>
          <w:kern w:val="0"/>
          <w:sz w:val="28"/>
          <w:szCs w:val="28"/>
          <w14:ligatures w14:val="none"/>
        </w:rPr>
        <w:t>.</w:t>
      </w:r>
    </w:p>
    <w:p w14:paraId="5524FC50" w14:textId="77777777" w:rsidR="00FF0A30" w:rsidRPr="00645D6F" w:rsidRDefault="00FF0A30" w:rsidP="00FF0A3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38078"/>
      <w:r w:rsidRPr="00645D6F">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748CD88C" w14:textId="06F06800" w:rsidR="00FF0A30" w:rsidRPr="00645D6F" w:rsidRDefault="00FF0A30" w:rsidP="00FF0A3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45D6F">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8F785B2" w14:textId="61A24244" w:rsidR="006C173C" w:rsidRPr="00645D6F" w:rsidRDefault="006C173C" w:rsidP="00E77DF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والإدارية بإطار نظري متكامل يربط بين التمكين الوظيفي بأبعاده الأربعة وسرعة حل المشكلات ورضا العملاء في سياق خدمة العملاء، وهو مجال لا يزال يفتقر إلى دراسات عربية كافية خصوصًا في البيئة السعودية</w:t>
      </w:r>
      <w:r w:rsidRPr="00645D6F">
        <w:rPr>
          <w:rFonts w:ascii="Simplified Arabic" w:eastAsia="Times New Roman" w:hAnsi="Simplified Arabic" w:cs="Simplified Arabic"/>
          <w:color w:val="000000" w:themeColor="text1"/>
          <w:kern w:val="0"/>
          <w:sz w:val="28"/>
          <w:szCs w:val="28"/>
          <w14:ligatures w14:val="none"/>
        </w:rPr>
        <w:t>.</w:t>
      </w:r>
    </w:p>
    <w:p w14:paraId="4AD0E9A3" w14:textId="28D5255D" w:rsidR="006C173C" w:rsidRPr="00645D6F" w:rsidRDefault="006C173C" w:rsidP="00E77DF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تُعالج الدراسة فجوة واضحة في الأدبيات السابقة التي ركّزت بشكل كبير على العلاقة بين التمكين والأداء الوظيفي أو الرضا الوظيفي، بينما أغفلت الربط المباشر بين التمكين الوظيفي وسرعة حل مشكلات العملاء كمتغير تابع محوري في بيئات خدمة العملاء</w:t>
      </w:r>
      <w:r w:rsidRPr="00645D6F">
        <w:rPr>
          <w:rFonts w:ascii="Simplified Arabic" w:eastAsia="Times New Roman" w:hAnsi="Simplified Arabic" w:cs="Simplified Arabic"/>
          <w:color w:val="000000" w:themeColor="text1"/>
          <w:kern w:val="0"/>
          <w:sz w:val="28"/>
          <w:szCs w:val="28"/>
          <w14:ligatures w14:val="none"/>
        </w:rPr>
        <w:t>.</w:t>
      </w:r>
    </w:p>
    <w:p w14:paraId="4B9FE250" w14:textId="5E31618F" w:rsidR="006C173C" w:rsidRPr="00645D6F" w:rsidRDefault="006C173C" w:rsidP="00E77DFA">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تقدم الدراسة نموذجًا بحثيًا يمكن أن يُشكّل أساسًا نظريًا للباحثين المستقبليين لاختبار العلاقة بين أبعاد التمكين الوظيفي ومخرجات الخدمة المختلفة في قطاعات وبيئات ثقافية متنوعة</w:t>
      </w:r>
      <w:r w:rsidRPr="00645D6F">
        <w:rPr>
          <w:rFonts w:ascii="Simplified Arabic" w:eastAsia="Times New Roman" w:hAnsi="Simplified Arabic" w:cs="Simplified Arabic"/>
          <w:color w:val="000000" w:themeColor="text1"/>
          <w:kern w:val="0"/>
          <w:sz w:val="28"/>
          <w:szCs w:val="28"/>
          <w14:ligatures w14:val="none"/>
        </w:rPr>
        <w:t>.</w:t>
      </w:r>
    </w:p>
    <w:p w14:paraId="30F04A29" w14:textId="77777777" w:rsidR="006C173C" w:rsidRPr="00645D6F" w:rsidRDefault="006C173C" w:rsidP="00E77D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608251"/>
      <w:r w:rsidRPr="00645D6F">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3"/>
    </w:p>
    <w:p w14:paraId="0D59CC22" w14:textId="7274C0C8" w:rsidR="006C173C" w:rsidRPr="00645D6F" w:rsidRDefault="006C173C" w:rsidP="00E77D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تزوّد هذه الدراسة مديري الموارد البشرية ومديري خدمة العملاء في المنظمات العاملة بمدينة الرياض بأدلة علمية حول أثر التمكين الوظيفي على أداء الخدمة، مما يساعدهم في صياغة سياسات تمكين فعّالة قائمة على بيانات واقعية</w:t>
      </w:r>
      <w:r w:rsidRPr="00645D6F">
        <w:rPr>
          <w:rFonts w:ascii="Simplified Arabic" w:eastAsia="Times New Roman" w:hAnsi="Simplified Arabic" w:cs="Simplified Arabic"/>
          <w:color w:val="000000" w:themeColor="text1"/>
          <w:kern w:val="0"/>
          <w:sz w:val="28"/>
          <w:szCs w:val="28"/>
          <w14:ligatures w14:val="none"/>
        </w:rPr>
        <w:t>.</w:t>
      </w:r>
    </w:p>
    <w:p w14:paraId="48F8E188" w14:textId="22E78BE8" w:rsidR="006C173C" w:rsidRPr="00645D6F" w:rsidRDefault="006C173C" w:rsidP="00E77D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تسهم نتائج الدراسة في توجيه المنظمات نحو الممارسات التمكينية الأكثر فاعلية في تسريع حل مشكلات العملاء، وهو ما يمثّل ميزة تنافسية حاسمة في سوق الخدمات المتنامي بالمملكة العربية السعودية في ظل رؤية 2030</w:t>
      </w:r>
      <w:r w:rsidRPr="00645D6F">
        <w:rPr>
          <w:rFonts w:ascii="Simplified Arabic" w:eastAsia="Times New Roman" w:hAnsi="Simplified Arabic" w:cs="Simplified Arabic"/>
          <w:color w:val="000000" w:themeColor="text1"/>
          <w:kern w:val="0"/>
          <w:sz w:val="28"/>
          <w:szCs w:val="28"/>
          <w14:ligatures w14:val="none"/>
        </w:rPr>
        <w:t>.</w:t>
      </w:r>
    </w:p>
    <w:p w14:paraId="0EF10C8E" w14:textId="341BC981" w:rsidR="006C173C" w:rsidRPr="00645D6F" w:rsidRDefault="006C173C" w:rsidP="00E77D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تقدم الدراسة توصيات عملية محددة لتعزيز رضا العملاء من خلال تمكين الموظفين، مما يسهم في تحسين السمعة المؤسسية وزيادة ولاء العملاء والاحتفاظ بهم وتقليل معدلات الشكاوى المتكررة</w:t>
      </w:r>
      <w:r w:rsidRPr="00645D6F">
        <w:rPr>
          <w:rFonts w:ascii="Simplified Arabic" w:eastAsia="Times New Roman" w:hAnsi="Simplified Arabic" w:cs="Simplified Arabic"/>
          <w:color w:val="000000" w:themeColor="text1"/>
          <w:kern w:val="0"/>
          <w:sz w:val="28"/>
          <w:szCs w:val="28"/>
          <w14:ligatures w14:val="none"/>
        </w:rPr>
        <w:t>.</w:t>
      </w:r>
    </w:p>
    <w:p w14:paraId="507B5783" w14:textId="178A49F6" w:rsidR="006C173C" w:rsidRPr="00645D6F" w:rsidRDefault="006C173C" w:rsidP="00E77D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يمكن أن تستفيد إدارات التدريب والتطوير من نتائج الدراسة في تصميم برامج تدريبية موجّهة تركّز على الأبعاد الأكثر تأثيرًا في التمكين الوظيفي، مما يُحسّن العائد على الاستثمار في رأس المال البشري</w:t>
      </w:r>
      <w:r w:rsidRPr="00645D6F">
        <w:rPr>
          <w:rFonts w:ascii="Simplified Arabic" w:eastAsia="Times New Roman" w:hAnsi="Simplified Arabic" w:cs="Simplified Arabic"/>
          <w:color w:val="000000" w:themeColor="text1"/>
          <w:kern w:val="0"/>
          <w:sz w:val="28"/>
          <w:szCs w:val="28"/>
          <w14:ligatures w14:val="none"/>
        </w:rPr>
        <w:t>.</w:t>
      </w:r>
    </w:p>
    <w:p w14:paraId="26D911B6" w14:textId="2F4424C2" w:rsidR="006C173C" w:rsidRPr="00645D6F" w:rsidRDefault="006C173C" w:rsidP="00E77D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تتوافق هذه الدراسة مع توجهات رؤية المملكة العربية السعودية 2030 التي تسعى إلى تطوير القطاع الخاص وتحسين جودة الخدمات والارتقاء بتجربة العميل، حيث يُعدّ تمكين الموظفين ركيزة أساسية لتحقيق هذه الأهداف الوطنية</w:t>
      </w:r>
      <w:r w:rsidRPr="00645D6F">
        <w:rPr>
          <w:rFonts w:ascii="Simplified Arabic" w:eastAsia="Times New Roman" w:hAnsi="Simplified Arabic" w:cs="Simplified Arabic"/>
          <w:color w:val="000000" w:themeColor="text1"/>
          <w:kern w:val="0"/>
          <w:sz w:val="28"/>
          <w:szCs w:val="28"/>
          <w14:ligatures w14:val="none"/>
        </w:rPr>
        <w:t>.</w:t>
      </w:r>
    </w:p>
    <w:p w14:paraId="685610C7" w14:textId="77777777" w:rsidR="00E77DFA" w:rsidRPr="00645D6F" w:rsidRDefault="00E77DFA" w:rsidP="00E77DF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33938079"/>
      <w:bookmarkEnd w:id="7"/>
      <w:r w:rsidRPr="00645D6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6C09966E" w14:textId="48CE86FF" w:rsidR="00E77DFA" w:rsidRPr="00645D6F" w:rsidRDefault="00E77DFA" w:rsidP="00E77D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5D6F">
        <w:rPr>
          <w:rFonts w:ascii="Simplified Arabic" w:eastAsia="Times New Roman" w:hAnsi="Simplified Arabic" w:cs="Simplified Arabic"/>
          <w:b/>
          <w:bCs/>
          <w:color w:val="000000" w:themeColor="text1"/>
          <w:kern w:val="0"/>
          <w:sz w:val="32"/>
          <w:szCs w:val="32"/>
          <w:rtl/>
          <w14:ligatures w14:val="none"/>
        </w:rPr>
        <w:t>المحور الأول: دراسات المتغير المستقل – التمكين الوظيفي وعلاقته بمتغيرات أخرى</w:t>
      </w:r>
    </w:p>
    <w:p w14:paraId="7B9F4054"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العريقي (2020): "التمكين الإداري وأثره على رضا العملاء: دراسة تطبيقية على موظفي خدمة العملاء في الشركات الخاصة بمنطقة عسير – المملكة العربية السعودية</w:t>
      </w:r>
      <w:r w:rsidRPr="00645D6F">
        <w:rPr>
          <w:rFonts w:ascii="Simplified Arabic" w:eastAsia="Times New Roman" w:hAnsi="Simplified Arabic" w:cs="Simplified Arabic"/>
          <w:b/>
          <w:bCs/>
          <w:color w:val="000000" w:themeColor="text1"/>
          <w:kern w:val="0"/>
          <w:sz w:val="28"/>
          <w:szCs w:val="28"/>
          <w14:ligatures w14:val="none"/>
        </w:rPr>
        <w:t>"</w:t>
      </w:r>
    </w:p>
    <w:p w14:paraId="2773D539"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مستوى التمكين الإداري لدى موظفي خدمة العملاء وأثره بأبعاده (تفويض الصلاحيات، المشاركة في اتخاذ القرار، فرق العمل، التدريب والتعليم، الاستقلالية، التحفيز) على رضا العملاء في الشركات الخاصة بمنطقة عسير. واستخدمت الدراسة المنهج الوصفي التحليلي،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(87) </w:t>
      </w:r>
      <w:r w:rsidRPr="00645D6F">
        <w:rPr>
          <w:rFonts w:ascii="Simplified Arabic" w:eastAsia="Times New Roman" w:hAnsi="Simplified Arabic" w:cs="Simplified Arabic"/>
          <w:color w:val="000000" w:themeColor="text1"/>
          <w:kern w:val="0"/>
          <w:sz w:val="28"/>
          <w:szCs w:val="28"/>
          <w:rtl/>
          <w14:ligatures w14:val="none"/>
        </w:rPr>
        <w:t>مفردة من العاملين في خدمة العملاء بالقطاع الخاص. وتوصلت نتائج الدراسة إلى أن مستوى تطبيق التمكين الإداري جاء مرتفعًا بمتوسط عام (4.135)، وأن مستوى رضا العملاء مرتفع بمتوسط (3.80)، وبلغت قيمة معامل ارتباط بيرسون</w:t>
      </w:r>
      <w:r w:rsidRPr="00645D6F">
        <w:rPr>
          <w:rFonts w:ascii="Simplified Arabic" w:eastAsia="Times New Roman" w:hAnsi="Simplified Arabic" w:cs="Simplified Arabic"/>
          <w:color w:val="000000" w:themeColor="text1"/>
          <w:kern w:val="0"/>
          <w:sz w:val="28"/>
          <w:szCs w:val="28"/>
          <w14:ligatures w14:val="none"/>
        </w:rPr>
        <w:t xml:space="preserve"> (0.77) </w:t>
      </w:r>
      <w:r w:rsidRPr="00645D6F">
        <w:rPr>
          <w:rFonts w:ascii="Simplified Arabic" w:eastAsia="Times New Roman" w:hAnsi="Simplified Arabic" w:cs="Simplified Arabic"/>
          <w:color w:val="000000" w:themeColor="text1"/>
          <w:kern w:val="0"/>
          <w:sz w:val="28"/>
          <w:szCs w:val="28"/>
          <w:rtl/>
          <w14:ligatures w14:val="none"/>
        </w:rPr>
        <w:t>عند مستوى دلالة (0.05)، وأن أبعاد التمكين مجتمعة تفسّر (60%) من التباين في رضا العملاء. وأوصت الدراسة بزيادة تفويض الصلاحيات وإشراك الموظفين في صنع القرار</w:t>
      </w:r>
      <w:r w:rsidRPr="00645D6F">
        <w:rPr>
          <w:rFonts w:ascii="Simplified Arabic" w:eastAsia="Times New Roman" w:hAnsi="Simplified Arabic" w:cs="Simplified Arabic"/>
          <w:color w:val="000000" w:themeColor="text1"/>
          <w:kern w:val="0"/>
          <w:sz w:val="28"/>
          <w:szCs w:val="28"/>
          <w14:ligatures w14:val="none"/>
        </w:rPr>
        <w:t>.</w:t>
      </w:r>
    </w:p>
    <w:p w14:paraId="08507243"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اشتيوي (2023): "أثر التمكين الإداري في التغيير التنظيمي في مستشفى العودة بقطاع غزة</w:t>
      </w:r>
      <w:r w:rsidRPr="00645D6F">
        <w:rPr>
          <w:rFonts w:ascii="Simplified Arabic" w:eastAsia="Times New Roman" w:hAnsi="Simplified Arabic" w:cs="Simplified Arabic"/>
          <w:b/>
          <w:bCs/>
          <w:color w:val="000000" w:themeColor="text1"/>
          <w:kern w:val="0"/>
          <w:sz w:val="28"/>
          <w:szCs w:val="28"/>
          <w14:ligatures w14:val="none"/>
        </w:rPr>
        <w:t>"</w:t>
      </w:r>
    </w:p>
    <w:p w14:paraId="113C3502" w14:textId="77777777"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بيان أثر التمكين الإداري بأبعاده (التفويض، التدريب والتعلم، الاتصالات الفعّالة، الاستقلالية، العمل الجماعي، التحفيز) في التغيير التنظيمي في مستشفى العودة. واتبعت الدراسة المنهج الوصفي التحليلي باستخدام أسلوب المسح الشامل،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(115) </w:t>
      </w:r>
      <w:r w:rsidRPr="00645D6F">
        <w:rPr>
          <w:rFonts w:ascii="Simplified Arabic" w:eastAsia="Times New Roman" w:hAnsi="Simplified Arabic" w:cs="Simplified Arabic"/>
          <w:color w:val="000000" w:themeColor="text1"/>
          <w:kern w:val="0"/>
          <w:sz w:val="28"/>
          <w:szCs w:val="28"/>
          <w:rtl/>
          <w14:ligatures w14:val="none"/>
        </w:rPr>
        <w:t xml:space="preserve">عاملًا من الفنيين والإداريين. وأثبتت النتائج أن جميع أبعاد التمكين الإداري تؤثر في التغيير التنظيمي بنسبة </w:t>
      </w:r>
      <w:r w:rsidRPr="00645D6F">
        <w:rPr>
          <w:rFonts w:ascii="Simplified Arabic" w:eastAsia="Times New Roman" w:hAnsi="Simplified Arabic" w:cs="Simplified Arabic"/>
          <w:color w:val="000000" w:themeColor="text1"/>
          <w:kern w:val="0"/>
          <w:sz w:val="28"/>
          <w:szCs w:val="28"/>
          <w14:ligatures w14:val="none"/>
        </w:rPr>
        <w:t>(86.6%)</w:t>
      </w:r>
      <w:r w:rsidRPr="00645D6F">
        <w:rPr>
          <w:rFonts w:ascii="Simplified Arabic" w:eastAsia="Times New Roman" w:hAnsi="Simplified Arabic" w:cs="Simplified Arabic"/>
          <w:color w:val="000000" w:themeColor="text1"/>
          <w:kern w:val="0"/>
          <w:sz w:val="28"/>
          <w:szCs w:val="28"/>
          <w:rtl/>
          <w14:ligatures w14:val="none"/>
        </w:rPr>
        <w:t xml:space="preserve">، ما عدا بُعد التفويض لم يثبت له تأثير، وأن المستشفى تمارس التمكين الإداري والتغيير التنظيمي بمستوى كبير. وأوصت </w:t>
      </w:r>
      <w:r w:rsidRPr="00645D6F">
        <w:rPr>
          <w:rFonts w:ascii="Simplified Arabic" w:eastAsia="Times New Roman" w:hAnsi="Simplified Arabic" w:cs="Simplified Arabic"/>
          <w:color w:val="000000" w:themeColor="text1"/>
          <w:kern w:val="0"/>
          <w:sz w:val="28"/>
          <w:szCs w:val="28"/>
          <w:rtl/>
          <w14:ligatures w14:val="none"/>
        </w:rPr>
        <w:lastRenderedPageBreak/>
        <w:t>الدراسة بتعزيز مشاركة العاملين عند وضع خطط التغيير وتوفير خطة تدريبية تعتمد على متطلبات التغيير التنظيمي</w:t>
      </w:r>
      <w:r w:rsidRPr="00645D6F">
        <w:rPr>
          <w:rFonts w:ascii="Simplified Arabic" w:eastAsia="Times New Roman" w:hAnsi="Simplified Arabic" w:cs="Simplified Arabic"/>
          <w:color w:val="000000" w:themeColor="text1"/>
          <w:kern w:val="0"/>
          <w:sz w:val="28"/>
          <w:szCs w:val="28"/>
          <w14:ligatures w14:val="none"/>
        </w:rPr>
        <w:t>.</w:t>
      </w:r>
    </w:p>
    <w:p w14:paraId="4DCA37D6"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برير وآخرون (2024): "دور التمكين الإداري في تعزيز الأداء التنظيمي بالكليات الأهلية في مدينة عنيزة</w:t>
      </w:r>
      <w:r w:rsidRPr="00645D6F">
        <w:rPr>
          <w:rFonts w:ascii="Simplified Arabic" w:eastAsia="Times New Roman" w:hAnsi="Simplified Arabic" w:cs="Simplified Arabic"/>
          <w:b/>
          <w:bCs/>
          <w:color w:val="000000" w:themeColor="text1"/>
          <w:kern w:val="0"/>
          <w:sz w:val="28"/>
          <w:szCs w:val="28"/>
          <w14:ligatures w14:val="none"/>
        </w:rPr>
        <w:t>"</w:t>
      </w:r>
    </w:p>
    <w:p w14:paraId="72AD9595" w14:textId="0D2F6E5F"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الكشف عن الدور الذي يؤديه التمكين الإداري بأبعاده (التمكين الذاتي، توسيع نطاق الصلاحيات، المشاركة، التدريب والتطوير، الاتصال المفتوح) في تعزيز الأداء التنظيمي بالكليات الأهلية بمدينة عنيزة. واتبعت الدراسة المنهج المسحي الكمي للدراسات الوصفية،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(151) </w:t>
      </w:r>
      <w:r w:rsidRPr="00645D6F">
        <w:rPr>
          <w:rFonts w:ascii="Simplified Arabic" w:eastAsia="Times New Roman" w:hAnsi="Simplified Arabic" w:cs="Simplified Arabic"/>
          <w:color w:val="000000" w:themeColor="text1"/>
          <w:kern w:val="0"/>
          <w:sz w:val="28"/>
          <w:szCs w:val="28"/>
          <w:rtl/>
          <w14:ligatures w14:val="none"/>
        </w:rPr>
        <w:t>مفردة من الكادر الإداري والتدريسي العامل في كليتين أهليتين. وبيّنت نتائج الدراسة أن للتمكين الإداري دورًا إيجابيًا ذا دلالة إحصائية عند مستوى</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α</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Times New Roman" w:eastAsia="Times New Roman" w:hAnsi="Times New Roman" w:cs="Times New Roman"/>
          <w:color w:val="000000" w:themeColor="text1"/>
          <w:kern w:val="0"/>
          <w:sz w:val="28"/>
          <w:szCs w:val="28"/>
          <w14:ligatures w14:val="none"/>
        </w:rPr>
        <w:t>≤</w:t>
      </w:r>
      <w:r w:rsidRPr="00645D6F">
        <w:rPr>
          <w:rFonts w:ascii="Simplified Arabic" w:eastAsia="Times New Roman" w:hAnsi="Simplified Arabic" w:cs="Simplified Arabic"/>
          <w:color w:val="000000" w:themeColor="text1"/>
          <w:kern w:val="0"/>
          <w:sz w:val="28"/>
          <w:szCs w:val="28"/>
          <w14:ligatures w14:val="none"/>
        </w:rPr>
        <w:t xml:space="preserve"> 0.01) </w:t>
      </w:r>
      <w:r w:rsidRPr="00645D6F">
        <w:rPr>
          <w:rFonts w:ascii="Simplified Arabic" w:eastAsia="Times New Roman" w:hAnsi="Simplified Arabic" w:cs="Simplified Arabic"/>
          <w:color w:val="000000" w:themeColor="text1"/>
          <w:kern w:val="0"/>
          <w:sz w:val="28"/>
          <w:szCs w:val="28"/>
          <w:rtl/>
          <w14:ligatures w14:val="none"/>
        </w:rPr>
        <w:t>في تعزيز الأداء التنظيمي. وأوصى الباحثون بالعمل على تجسيد مدخل التمكين الإداري بأبعاده المختلفة نظرًا لدوره الإيجابي والفعّال في تطوير أداء الكليات</w:t>
      </w:r>
      <w:r w:rsidRPr="00645D6F">
        <w:rPr>
          <w:rFonts w:ascii="Simplified Arabic" w:eastAsia="Times New Roman" w:hAnsi="Simplified Arabic" w:cs="Simplified Arabic"/>
          <w:color w:val="000000" w:themeColor="text1"/>
          <w:kern w:val="0"/>
          <w:sz w:val="28"/>
          <w:szCs w:val="28"/>
          <w14:ligatures w14:val="none"/>
        </w:rPr>
        <w:t>.</w:t>
      </w:r>
    </w:p>
    <w:p w14:paraId="21C7A52E"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فتحي (2024): "دور تمكين العاملين في تحسين رضا العملاء: دراسة تطبيقية على العاملين في الصندوق الوطني لرعاية وتنمية المشروعات الصغيرة والمتوسطة بدولة الكويت</w:t>
      </w:r>
      <w:r w:rsidRPr="00645D6F">
        <w:rPr>
          <w:rFonts w:ascii="Simplified Arabic" w:eastAsia="Times New Roman" w:hAnsi="Simplified Arabic" w:cs="Simplified Arabic"/>
          <w:b/>
          <w:bCs/>
          <w:color w:val="000000" w:themeColor="text1"/>
          <w:kern w:val="0"/>
          <w:sz w:val="28"/>
          <w:szCs w:val="28"/>
          <w14:ligatures w14:val="none"/>
        </w:rPr>
        <w:t>"</w:t>
      </w:r>
    </w:p>
    <w:p w14:paraId="03189567"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تمكين العاملين بأبعاده (مشاركة المعلومات، الاستقلالية، تنمية المهارات) في تحسين رضا العملاء لدى العاملين في الصندوق الوطني لرعاية وتنمية المشروعات الصغيرة والمتوسطة بالكويت. واستخدمت الدراسة المنهج الوصفي التحليلي،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(120) </w:t>
      </w:r>
      <w:r w:rsidRPr="00645D6F">
        <w:rPr>
          <w:rFonts w:ascii="Simplified Arabic" w:eastAsia="Times New Roman" w:hAnsi="Simplified Arabic" w:cs="Simplified Arabic"/>
          <w:color w:val="000000" w:themeColor="text1"/>
          <w:kern w:val="0"/>
          <w:sz w:val="28"/>
          <w:szCs w:val="28"/>
          <w:rtl/>
          <w14:ligatures w14:val="none"/>
        </w:rPr>
        <w:t>مفردة من العاملين بالصندوق</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ذات دلالة إحصائية بين أبعاد تمكين العاملين ورضا العملاء، وأن بُعد تنمية المهارات كان الأكثر تأثيرًا</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وأوصت الدراسة بتعزيز برامج التدريب والتطوير وتوسيع نطاق مشاركة المعلومات مع الموظفين</w:t>
      </w:r>
      <w:r w:rsidRPr="00645D6F">
        <w:rPr>
          <w:rFonts w:ascii="Simplified Arabic" w:eastAsia="Times New Roman" w:hAnsi="Simplified Arabic" w:cs="Simplified Arabic"/>
          <w:color w:val="000000" w:themeColor="text1"/>
          <w:kern w:val="0"/>
          <w:sz w:val="28"/>
          <w:szCs w:val="28"/>
          <w14:ligatures w14:val="none"/>
        </w:rPr>
        <w:t>.</w:t>
      </w:r>
    </w:p>
    <w:p w14:paraId="61285307"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منصور (2025): "أثر التمكين الإداري على الرضا الوظيفي: دراسة تطبيقية على المصرف التجاري الوطني – بني وليد – ليبيا</w:t>
      </w:r>
      <w:r w:rsidRPr="00645D6F">
        <w:rPr>
          <w:rFonts w:ascii="Simplified Arabic" w:eastAsia="Times New Roman" w:hAnsi="Simplified Arabic" w:cs="Simplified Arabic"/>
          <w:b/>
          <w:bCs/>
          <w:color w:val="000000" w:themeColor="text1"/>
          <w:kern w:val="0"/>
          <w:sz w:val="28"/>
          <w:szCs w:val="28"/>
          <w14:ligatures w14:val="none"/>
        </w:rPr>
        <w:t>"</w:t>
      </w:r>
    </w:p>
    <w:p w14:paraId="63061FBD"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التمكين الإداري بأبعاده (تفويض الصلاحية، التدريب، تحفيز العاملين، فرق العمل، الاتصال الفعّال) والرضا الوظيفي لدى العاملين في المصرف التجاري الوطني ببني وليد. واستخدمت الدراسة المنهج الوصفي التحليلي والاستبانة كأداة لجمع البيانات. وتوصلت نتائج الدراسة إلى وجود علاقة ارتباطية إيجابية تصاعدية بين جميع أبعاد التمكين الإداري والرضا الوظيفي، وأن </w:t>
      </w:r>
      <w:r w:rsidRPr="00645D6F">
        <w:rPr>
          <w:rFonts w:ascii="Simplified Arabic" w:eastAsia="Times New Roman" w:hAnsi="Simplified Arabic" w:cs="Simplified Arabic"/>
          <w:color w:val="000000" w:themeColor="text1"/>
          <w:kern w:val="0"/>
          <w:sz w:val="28"/>
          <w:szCs w:val="28"/>
          <w:rtl/>
          <w14:ligatures w14:val="none"/>
        </w:rPr>
        <w:lastRenderedPageBreak/>
        <w:t>بُعدَي التدريب والتحفيز كانا الأكثر تأثيرًا. وأوصت الدراسة بمنح الموظفين مزيدًا من الاستقلالية والمشاركة في القرار والعمل بروح الفريق</w:t>
      </w:r>
      <w:r w:rsidRPr="00645D6F">
        <w:rPr>
          <w:rFonts w:ascii="Simplified Arabic" w:eastAsia="Times New Roman" w:hAnsi="Simplified Arabic" w:cs="Simplified Arabic"/>
          <w:color w:val="000000" w:themeColor="text1"/>
          <w:kern w:val="0"/>
          <w:sz w:val="28"/>
          <w:szCs w:val="28"/>
          <w14:ligatures w14:val="none"/>
        </w:rPr>
        <w:t>.</w:t>
      </w:r>
    </w:p>
    <w:p w14:paraId="47D53389"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Bhat (2020): "Frontline Employees Empowerment, Job Satisfaction, Service Quality and Customer Satisfaction: An Empirical Examination"</w:t>
      </w:r>
    </w:p>
    <w:p w14:paraId="5926F412" w14:textId="77777777"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أثر تمكين الموظفين الأماميين بأبعاده (التدريب والتطوير، المشاركة في القرار، الاستقلالية) على الرضا الوظيفي وجودة الخدمة ورضا العملاء في القطاع المصرفي بكشمير – الهند. واستخدمت الدراسة المنهج الوصفي باستخدام استبانة مكونة من (20) فقرة، وأُجري التحليل العاملي الاستكشافي</w:t>
      </w:r>
      <w:r w:rsidRPr="00645D6F">
        <w:rPr>
          <w:rFonts w:ascii="Simplified Arabic" w:eastAsia="Times New Roman" w:hAnsi="Simplified Arabic" w:cs="Simplified Arabic"/>
          <w:color w:val="000000" w:themeColor="text1"/>
          <w:kern w:val="0"/>
          <w:sz w:val="28"/>
          <w:szCs w:val="28"/>
          <w14:ligatures w14:val="none"/>
        </w:rPr>
        <w:t xml:space="preserve"> (EFA) </w:t>
      </w:r>
      <w:r w:rsidRPr="00645D6F">
        <w:rPr>
          <w:rFonts w:ascii="Simplified Arabic" w:eastAsia="Times New Roman" w:hAnsi="Simplified Arabic" w:cs="Simplified Arabic"/>
          <w:color w:val="000000" w:themeColor="text1"/>
          <w:kern w:val="0"/>
          <w:sz w:val="28"/>
          <w:szCs w:val="28"/>
          <w:rtl/>
          <w14:ligatures w14:val="none"/>
        </w:rPr>
        <w:t xml:space="preserve">والتأكيدي </w:t>
      </w:r>
      <w:r w:rsidRPr="00645D6F">
        <w:rPr>
          <w:rFonts w:ascii="Simplified Arabic" w:eastAsia="Times New Roman" w:hAnsi="Simplified Arabic" w:cs="Simplified Arabic"/>
          <w:color w:val="000000" w:themeColor="text1"/>
          <w:kern w:val="0"/>
          <w:sz w:val="28"/>
          <w:szCs w:val="28"/>
          <w14:ligatures w14:val="none"/>
        </w:rPr>
        <w:t xml:space="preserve">(CFA) </w:t>
      </w:r>
      <w:r w:rsidRPr="00645D6F">
        <w:rPr>
          <w:rFonts w:ascii="Simplified Arabic" w:eastAsia="Times New Roman" w:hAnsi="Simplified Arabic" w:cs="Simplified Arabic"/>
          <w:color w:val="000000" w:themeColor="text1"/>
          <w:kern w:val="0"/>
          <w:sz w:val="28"/>
          <w:szCs w:val="28"/>
          <w:rtl/>
          <w14:ligatures w14:val="none"/>
        </w:rPr>
        <w:t>بواسطة</w:t>
      </w:r>
      <w:r w:rsidRPr="00645D6F">
        <w:rPr>
          <w:rFonts w:ascii="Simplified Arabic" w:eastAsia="Times New Roman" w:hAnsi="Simplified Arabic" w:cs="Simplified Arabic"/>
          <w:color w:val="000000" w:themeColor="text1"/>
          <w:kern w:val="0"/>
          <w:sz w:val="28"/>
          <w:szCs w:val="28"/>
          <w14:ligatures w14:val="none"/>
        </w:rPr>
        <w:t xml:space="preserve"> AMOS</w:t>
      </w:r>
      <w:r w:rsidRPr="00645D6F">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(50) </w:t>
      </w:r>
      <w:r w:rsidRPr="00645D6F">
        <w:rPr>
          <w:rFonts w:ascii="Simplified Arabic" w:eastAsia="Times New Roman" w:hAnsi="Simplified Arabic" w:cs="Simplified Arabic"/>
          <w:color w:val="000000" w:themeColor="text1"/>
          <w:kern w:val="0"/>
          <w:sz w:val="28"/>
          <w:szCs w:val="28"/>
          <w:rtl/>
          <w14:ligatures w14:val="none"/>
        </w:rPr>
        <w:t>مفردة من موظفي الصفوف الأمامية بالبنوك وعملائها. وتوصلت نتائج الدراسة إلى أن تمكين الموظفين يؤثر إيجابيًا على الرضا الوظيفي</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β</w:t>
      </w:r>
      <w:r w:rsidRPr="00645D6F">
        <w:rPr>
          <w:rFonts w:ascii="Simplified Arabic" w:eastAsia="Times New Roman" w:hAnsi="Simplified Arabic" w:cs="Simplified Arabic"/>
          <w:color w:val="000000" w:themeColor="text1"/>
          <w:kern w:val="0"/>
          <w:sz w:val="28"/>
          <w:szCs w:val="28"/>
          <w14:ligatures w14:val="none"/>
        </w:rPr>
        <w:t xml:space="preserve"> = 0.22)</w:t>
      </w:r>
      <w:r w:rsidRPr="00645D6F">
        <w:rPr>
          <w:rFonts w:ascii="Simplified Arabic" w:eastAsia="Times New Roman" w:hAnsi="Simplified Arabic" w:cs="Simplified Arabic"/>
          <w:color w:val="000000" w:themeColor="text1"/>
          <w:kern w:val="0"/>
          <w:sz w:val="28"/>
          <w:szCs w:val="28"/>
          <w:rtl/>
          <w14:ligatures w14:val="none"/>
        </w:rPr>
        <w:t>، وأن جودة الخدمة تؤثر بشكل قوي على رضا العملاء</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β</w:t>
      </w:r>
      <w:r w:rsidRPr="00645D6F">
        <w:rPr>
          <w:rFonts w:ascii="Simplified Arabic" w:eastAsia="Times New Roman" w:hAnsi="Simplified Arabic" w:cs="Simplified Arabic"/>
          <w:color w:val="000000" w:themeColor="text1"/>
          <w:kern w:val="0"/>
          <w:sz w:val="28"/>
          <w:szCs w:val="28"/>
          <w14:ligatures w14:val="none"/>
        </w:rPr>
        <w:t xml:space="preserve"> = 0.74)</w:t>
      </w:r>
      <w:r w:rsidRPr="00645D6F">
        <w:rPr>
          <w:rFonts w:ascii="Simplified Arabic" w:eastAsia="Times New Roman" w:hAnsi="Simplified Arabic" w:cs="Simplified Arabic"/>
          <w:color w:val="000000" w:themeColor="text1"/>
          <w:kern w:val="0"/>
          <w:sz w:val="28"/>
          <w:szCs w:val="28"/>
          <w:rtl/>
          <w14:ligatures w14:val="none"/>
        </w:rPr>
        <w:t>، وأن الرضا الوظيفي يؤثر إيجابيًا على جودة الخدمة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Cambria" w:eastAsia="Times New Roman" w:hAnsi="Cambria" w:cs="Cambria"/>
          <w:color w:val="000000" w:themeColor="text1"/>
          <w:kern w:val="0"/>
          <w:sz w:val="28"/>
          <w:szCs w:val="28"/>
          <w14:ligatures w14:val="none"/>
        </w:rPr>
        <w:t>β</w:t>
      </w:r>
      <w:r w:rsidRPr="00645D6F">
        <w:rPr>
          <w:rFonts w:ascii="Simplified Arabic" w:eastAsia="Times New Roman" w:hAnsi="Simplified Arabic" w:cs="Simplified Arabic"/>
          <w:color w:val="000000" w:themeColor="text1"/>
          <w:kern w:val="0"/>
          <w:sz w:val="28"/>
          <w:szCs w:val="28"/>
          <w14:ligatures w14:val="none"/>
        </w:rPr>
        <w:t xml:space="preserve"> = 0.08). </w:t>
      </w:r>
      <w:r w:rsidRPr="00645D6F">
        <w:rPr>
          <w:rFonts w:ascii="Simplified Arabic" w:eastAsia="Times New Roman" w:hAnsi="Simplified Arabic" w:cs="Simplified Arabic"/>
          <w:color w:val="000000" w:themeColor="text1"/>
          <w:kern w:val="0"/>
          <w:sz w:val="28"/>
          <w:szCs w:val="28"/>
          <w:rtl/>
          <w14:ligatures w14:val="none"/>
        </w:rPr>
        <w:t>وأوصت الدراسة بضرورة الاهتمام برضا الموظفين أولًا من خلال التدريب والتطوير لتحقيق رضا العملاء</w:t>
      </w:r>
      <w:r w:rsidRPr="00645D6F">
        <w:rPr>
          <w:rFonts w:ascii="Simplified Arabic" w:eastAsia="Times New Roman" w:hAnsi="Simplified Arabic" w:cs="Simplified Arabic"/>
          <w:color w:val="000000" w:themeColor="text1"/>
          <w:kern w:val="0"/>
          <w:sz w:val="28"/>
          <w:szCs w:val="28"/>
          <w14:ligatures w14:val="none"/>
        </w:rPr>
        <w:t>.</w:t>
      </w:r>
    </w:p>
    <w:p w14:paraId="466E468F"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Hoang et al. (2021): "Empowering Leadership in Hospitality and Tourism Management: A Systematic Literature Review"</w:t>
      </w:r>
    </w:p>
    <w:p w14:paraId="598B15EE" w14:textId="7AD995AB"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دور القيادة التمكينية بأبعادها (تعزيز الاستقلالية، المشاركة في القرار، تطوير المهارات، القدوة) في قطاع الضيافة والسياحة من خلال مراجعة منهجية شاملة للأدبيات. واستخدمت الدراسة منهج المراجعة المنهجية للأدبيات</w:t>
      </w:r>
      <w:r w:rsidRPr="00645D6F">
        <w:rPr>
          <w:rFonts w:ascii="Simplified Arabic" w:eastAsia="Times New Roman" w:hAnsi="Simplified Arabic" w:cs="Simplified Arabic"/>
          <w:color w:val="000000" w:themeColor="text1"/>
          <w:kern w:val="0"/>
          <w:sz w:val="28"/>
          <w:szCs w:val="28"/>
          <w14:ligatures w14:val="none"/>
        </w:rPr>
        <w:t xml:space="preserve"> (Systematic Literature Review)</w:t>
      </w:r>
      <w:r w:rsidRPr="00645D6F">
        <w:rPr>
          <w:rFonts w:ascii="Simplified Arabic" w:eastAsia="Times New Roman" w:hAnsi="Simplified Arabic" w:cs="Simplified Arabic"/>
          <w:color w:val="000000" w:themeColor="text1"/>
          <w:kern w:val="0"/>
          <w:sz w:val="28"/>
          <w:szCs w:val="28"/>
          <w:rtl/>
          <w14:ligatures w14:val="none"/>
        </w:rPr>
        <w:t xml:space="preserve">، وتكونت عينة التحليل من </w:t>
      </w:r>
      <w:r w:rsidRPr="00645D6F">
        <w:rPr>
          <w:rFonts w:ascii="Simplified Arabic" w:eastAsia="Times New Roman" w:hAnsi="Simplified Arabic" w:cs="Simplified Arabic"/>
          <w:color w:val="000000" w:themeColor="text1"/>
          <w:kern w:val="0"/>
          <w:sz w:val="28"/>
          <w:szCs w:val="28"/>
          <w14:ligatures w14:val="none"/>
        </w:rPr>
        <w:t xml:space="preserve">(31) </w:t>
      </w:r>
      <w:r w:rsidRPr="00645D6F">
        <w:rPr>
          <w:rFonts w:ascii="Simplified Arabic" w:eastAsia="Times New Roman" w:hAnsi="Simplified Arabic" w:cs="Simplified Arabic"/>
          <w:color w:val="000000" w:themeColor="text1"/>
          <w:kern w:val="0"/>
          <w:sz w:val="28"/>
          <w:szCs w:val="28"/>
          <w:rtl/>
          <w14:ligatures w14:val="none"/>
        </w:rPr>
        <w:t>دراسة منشورة في مجلات محكّمة بين عامي (2000–2021). وتوصلت نتائج الدراسة إلى أن القيادة التمكينية ترتبط إيجابيًا بالإبداع والأداء الوظيفي والرضا الوظيفي لدى الموظفين، وأنها تسهم في تحسين جودة الخدمة المقدمة للعملاء</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وأوصت الدراسة بتبني نماذج قيادية تمكينية وإجراء مزيد من الدراسات متعددة المستويات في بيئات ثقافية مختلفة</w:t>
      </w:r>
      <w:r w:rsidRPr="00645D6F">
        <w:rPr>
          <w:rFonts w:ascii="Simplified Arabic" w:eastAsia="Times New Roman" w:hAnsi="Simplified Arabic" w:cs="Simplified Arabic"/>
          <w:color w:val="000000" w:themeColor="text1"/>
          <w:kern w:val="0"/>
          <w:sz w:val="28"/>
          <w:szCs w:val="28"/>
          <w14:ligatures w14:val="none"/>
        </w:rPr>
        <w:t>.</w:t>
      </w:r>
    </w:p>
    <w:p w14:paraId="496946F3"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lastRenderedPageBreak/>
        <w:t>دراسة</w:t>
      </w:r>
      <w:r w:rsidRPr="00645D6F">
        <w:rPr>
          <w:rFonts w:ascii="Simplified Arabic" w:eastAsia="Times New Roman" w:hAnsi="Simplified Arabic" w:cs="Simplified Arabic"/>
          <w:b/>
          <w:bCs/>
          <w:color w:val="000000" w:themeColor="text1"/>
          <w:kern w:val="0"/>
          <w:sz w:val="28"/>
          <w:szCs w:val="28"/>
          <w14:ligatures w14:val="none"/>
        </w:rPr>
        <w:t xml:space="preserve"> Kanjanakan et al. (2023): "The Empowering, the Empowered, and the Empowerment Disparity: A Multilevel Analysis of the Integrated Model of Employee Empowerment"</w:t>
      </w:r>
    </w:p>
    <w:p w14:paraId="66D3C11A" w14:textId="57A29BA4"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نموذج متكامل لتمكين الموظفين من منظور المديرين (المُمكِّنين) والموظفين (المُمكَّنين) بأبعاده (سلوك التمكين الإداري، التمكين النفسي، العقد النفسي، تفاوت التمكين) وأثره على جودة التفاعل مع العملاء في قطاع المطاعم بتايلاند</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واستخدمت الدراسة المنهج الكمي متعدد المستويات</w:t>
      </w:r>
      <w:r w:rsidRPr="00645D6F">
        <w:rPr>
          <w:rFonts w:ascii="Simplified Arabic" w:eastAsia="Times New Roman" w:hAnsi="Simplified Arabic" w:cs="Simplified Arabic"/>
          <w:color w:val="000000" w:themeColor="text1"/>
          <w:kern w:val="0"/>
          <w:sz w:val="28"/>
          <w:szCs w:val="28"/>
          <w14:ligatures w14:val="none"/>
        </w:rPr>
        <w:t xml:space="preserve"> (Hierarchical Linear Modeling – HLM)</w:t>
      </w:r>
      <w:r w:rsidRPr="00645D6F">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(286) </w:t>
      </w:r>
      <w:r w:rsidRPr="00645D6F">
        <w:rPr>
          <w:rFonts w:ascii="Simplified Arabic" w:eastAsia="Times New Roman" w:hAnsi="Simplified Arabic" w:cs="Simplified Arabic"/>
          <w:color w:val="000000" w:themeColor="text1"/>
          <w:kern w:val="0"/>
          <w:sz w:val="28"/>
          <w:szCs w:val="28"/>
          <w:rtl/>
          <w14:ligatures w14:val="none"/>
        </w:rPr>
        <w:t xml:space="preserve">موظفًا في المطاعم مع </w:t>
      </w:r>
      <w:r w:rsidRPr="00645D6F">
        <w:rPr>
          <w:rFonts w:ascii="Simplified Arabic" w:eastAsia="Times New Roman" w:hAnsi="Simplified Arabic" w:cs="Simplified Arabic"/>
          <w:color w:val="000000" w:themeColor="text1"/>
          <w:kern w:val="0"/>
          <w:sz w:val="28"/>
          <w:szCs w:val="28"/>
          <w14:ligatures w14:val="none"/>
        </w:rPr>
        <w:t xml:space="preserve">(51) </w:t>
      </w:r>
      <w:r w:rsidRPr="00645D6F">
        <w:rPr>
          <w:rFonts w:ascii="Simplified Arabic" w:eastAsia="Times New Roman" w:hAnsi="Simplified Arabic" w:cs="Simplified Arabic"/>
          <w:color w:val="000000" w:themeColor="text1"/>
          <w:kern w:val="0"/>
          <w:sz w:val="28"/>
          <w:szCs w:val="28"/>
          <w:rtl/>
          <w14:ligatures w14:val="none"/>
        </w:rPr>
        <w:t>مديرًا و</w:t>
      </w:r>
      <w:r w:rsidR="00CA4A92" w:rsidRPr="00645D6F">
        <w:rPr>
          <w:rFonts w:ascii="Simplified Arabic" w:eastAsia="Times New Roman" w:hAnsi="Simplified Arabic" w:cs="Simplified Arabic"/>
          <w:color w:val="000000" w:themeColor="text1"/>
          <w:kern w:val="0"/>
          <w:sz w:val="28"/>
          <w:szCs w:val="28"/>
          <w:rtl/>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(2129) عميلًا من خمس مدن سياحية في تايلاند. وتوصلت نتائج الدراسة إلى أن التمكين النفسي والعقد النفسي يؤثران إيجابيًا على تقييم العملاء لجودة التفاعل، وأن تفاوت التمكين بين أعضاء الفريق يعدّل العلاقة بين سلوك المدير التمكيني والتمكين النفسي. وأوصت الدراسة بتقليل فجوة التمكين بين أعضاء فرق العمل لتحسين جودة الخدمة المقدمة للعملاء</w:t>
      </w:r>
      <w:r w:rsidRPr="00645D6F">
        <w:rPr>
          <w:rFonts w:ascii="Simplified Arabic" w:eastAsia="Times New Roman" w:hAnsi="Simplified Arabic" w:cs="Simplified Arabic"/>
          <w:color w:val="000000" w:themeColor="text1"/>
          <w:kern w:val="0"/>
          <w:sz w:val="28"/>
          <w:szCs w:val="28"/>
          <w14:ligatures w14:val="none"/>
        </w:rPr>
        <w:t>.</w:t>
      </w:r>
    </w:p>
    <w:p w14:paraId="64A3E0B4"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Anwar et al. (2025): "Employee Empowerment and Technology-Driven Customer Relationship Management: Enhancing Brand Management in the FMCG Sector"</w:t>
      </w:r>
    </w:p>
    <w:p w14:paraId="7DF0468F"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العلاقات بين تمكين الموظفين بأبعاده (المشاركة في القرار، الوصول إلى المعلومات، التدريب) وإدارة علاقات العملاء المدعومة بالتكنولوجيا وأثرهما على إدارة العلامة التجارية في قطاع السلع الاستهلاكية سريعة الدوران</w:t>
      </w:r>
      <w:r w:rsidRPr="00645D6F">
        <w:rPr>
          <w:rFonts w:ascii="Simplified Arabic" w:eastAsia="Times New Roman" w:hAnsi="Simplified Arabic" w:cs="Simplified Arabic"/>
          <w:color w:val="000000" w:themeColor="text1"/>
          <w:kern w:val="0"/>
          <w:sz w:val="28"/>
          <w:szCs w:val="28"/>
          <w14:ligatures w14:val="none"/>
        </w:rPr>
        <w:t xml:space="preserve"> (FMCG) </w:t>
      </w:r>
      <w:r w:rsidRPr="00645D6F">
        <w:rPr>
          <w:rFonts w:ascii="Simplified Arabic" w:eastAsia="Times New Roman" w:hAnsi="Simplified Arabic" w:cs="Simplified Arabic"/>
          <w:color w:val="000000" w:themeColor="text1"/>
          <w:kern w:val="0"/>
          <w:sz w:val="28"/>
          <w:szCs w:val="28"/>
          <w:rtl/>
          <w14:ligatures w14:val="none"/>
        </w:rPr>
        <w:t>في باكستان. واستخدمت الدراسة المنهج الكمي التحليلي</w:t>
      </w:r>
      <w:r w:rsidRPr="00645D6F">
        <w:rPr>
          <w:rFonts w:ascii="Simplified Arabic" w:eastAsia="Times New Roman" w:hAnsi="Simplified Arabic" w:cs="Simplified Arabic"/>
          <w:color w:val="000000" w:themeColor="text1"/>
          <w:kern w:val="0"/>
          <w:sz w:val="28"/>
          <w:szCs w:val="28"/>
          <w14:ligatures w14:val="none"/>
        </w:rPr>
        <w:t xml:space="preserve"> (SEM-SVM)</w:t>
      </w:r>
      <w:r w:rsidRPr="00645D6F">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(356) </w:t>
      </w:r>
      <w:r w:rsidRPr="00645D6F">
        <w:rPr>
          <w:rFonts w:ascii="Simplified Arabic" w:eastAsia="Times New Roman" w:hAnsi="Simplified Arabic" w:cs="Simplified Arabic"/>
          <w:color w:val="000000" w:themeColor="text1"/>
          <w:kern w:val="0"/>
          <w:sz w:val="28"/>
          <w:szCs w:val="28"/>
          <w:rtl/>
          <w14:ligatures w14:val="none"/>
        </w:rPr>
        <w:t>موظفًا. وتوصلت نتائج الدراسة إلى وجود علاقات إيجابية ذات دلالة إحصائية بين تمكين الموظفين وإدارة علاقات العملاء القائمة على التكنولوجيا وإدارة العلامة التجارية، بمعامل تحديد</w:t>
      </w:r>
      <w:r w:rsidRPr="00645D6F">
        <w:rPr>
          <w:rFonts w:ascii="Simplified Arabic" w:eastAsia="Times New Roman" w:hAnsi="Simplified Arabic" w:cs="Simplified Arabic"/>
          <w:color w:val="000000" w:themeColor="text1"/>
          <w:kern w:val="0"/>
          <w:sz w:val="28"/>
          <w:szCs w:val="28"/>
          <w14:ligatures w14:val="none"/>
        </w:rPr>
        <w:t xml:space="preserve"> (R² = 0.739). </w:t>
      </w:r>
      <w:r w:rsidRPr="00645D6F">
        <w:rPr>
          <w:rFonts w:ascii="Simplified Arabic" w:eastAsia="Times New Roman" w:hAnsi="Simplified Arabic" w:cs="Simplified Arabic"/>
          <w:color w:val="000000" w:themeColor="text1"/>
          <w:kern w:val="0"/>
          <w:sz w:val="28"/>
          <w:szCs w:val="28"/>
          <w:rtl/>
          <w14:ligatures w14:val="none"/>
        </w:rPr>
        <w:t>وأوصت الدراسة بالاستثمار في تدريب الموظفين وتعزيز تمكينهم لتحسين إدارة العلاقات مع العملاء</w:t>
      </w:r>
      <w:r w:rsidRPr="00645D6F">
        <w:rPr>
          <w:rFonts w:ascii="Simplified Arabic" w:eastAsia="Times New Roman" w:hAnsi="Simplified Arabic" w:cs="Simplified Arabic"/>
          <w:color w:val="000000" w:themeColor="text1"/>
          <w:kern w:val="0"/>
          <w:sz w:val="28"/>
          <w:szCs w:val="28"/>
          <w14:ligatures w14:val="none"/>
        </w:rPr>
        <w:t>.</w:t>
      </w:r>
    </w:p>
    <w:p w14:paraId="05CFCEBE"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Sharma &amp; Jain (2025): "How Employee Empowerment Influences Service Quality and Customer Satisfaction"</w:t>
      </w:r>
    </w:p>
    <w:p w14:paraId="103B0CFE"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تمكين الموظفين بأبعاده (التفويض، التدريب، المشاركة في القرار) على جودة الخدمة ورضا العملاء لدى موظفي مكاتب الاستقبال في الفنادق بمدينة جايبور – الهند</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والاستبانة وتحليل الانحدار المتعدد،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(150) </w:t>
      </w:r>
      <w:r w:rsidRPr="00645D6F">
        <w:rPr>
          <w:rFonts w:ascii="Simplified Arabic" w:eastAsia="Times New Roman" w:hAnsi="Simplified Arabic" w:cs="Simplified Arabic"/>
          <w:color w:val="000000" w:themeColor="text1"/>
          <w:kern w:val="0"/>
          <w:sz w:val="28"/>
          <w:szCs w:val="28"/>
          <w:rtl/>
          <w14:ligatures w14:val="none"/>
        </w:rPr>
        <w:t>موظفًا. وتوصلت نتائج الدراسة إلى عدم وجود علاقة ذات دلالة إحصائية مباشرة بين التمكين ورضا العملاء، لكن وُجدت علاقة إيجابية بين التمكين وجودة الخدمة، وبين جودة الخدمة ورضا العملاء. وأوصت الدراسة بإعادة هيكلة المنظمات لتعزيز الدافعية الذاتية للموظفين</w:t>
      </w:r>
      <w:r w:rsidRPr="00645D6F">
        <w:rPr>
          <w:rFonts w:ascii="Simplified Arabic" w:eastAsia="Times New Roman" w:hAnsi="Simplified Arabic" w:cs="Simplified Arabic"/>
          <w:color w:val="000000" w:themeColor="text1"/>
          <w:kern w:val="0"/>
          <w:sz w:val="28"/>
          <w:szCs w:val="28"/>
          <w14:ligatures w14:val="none"/>
        </w:rPr>
        <w:t>.</w:t>
      </w:r>
    </w:p>
    <w:p w14:paraId="4F775C5E" w14:textId="77777777" w:rsidR="006C173C" w:rsidRPr="00645D6F" w:rsidRDefault="006C173C" w:rsidP="00E77D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608254"/>
      <w:r w:rsidRPr="00645D6F">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 سرعة حل المشكلات ورضا العملاء وعلاقتهما بمتغيرات أخرى</w:t>
      </w:r>
      <w:bookmarkEnd w:id="16"/>
    </w:p>
    <w:p w14:paraId="67ADB704"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شماعوت وآخرون (2020): "أثر معالجة الشكاوى على رضا العملاء في شركات التأمين الأردنية</w:t>
      </w:r>
      <w:r w:rsidRPr="00645D6F">
        <w:rPr>
          <w:rFonts w:ascii="Simplified Arabic" w:eastAsia="Times New Roman" w:hAnsi="Simplified Arabic" w:cs="Simplified Arabic"/>
          <w:b/>
          <w:bCs/>
          <w:color w:val="000000" w:themeColor="text1"/>
          <w:kern w:val="0"/>
          <w:sz w:val="28"/>
          <w:szCs w:val="28"/>
          <w14:ligatures w14:val="none"/>
        </w:rPr>
        <w:t>"</w:t>
      </w:r>
    </w:p>
    <w:p w14:paraId="73B0FB83" w14:textId="204CF0BF"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أثر معالجة الشكاوى بأبعادها (سرعة الاستجابة، العدالة التوزيعية، العدالة الإجرائية، العدالة التفاعلية) على رضا العملاء في شركات التأمين الأردنية. واستخدمت الدراسة المنهج الوصفي التحليلي والاستبانة لجمع البيانات. وتوصلت نتائج الدراسة إلى أن سرعة الاستجابة في حل الشكاوى تُعدّ من أكثر الأبعاد تأثيرًا على رضا العملاء، وأن العدالة التفاعلية لها تأثير قوي أيضًا</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وأوصت الدراسة بتطوير أنظمة سريعة وفعّالة لمعالجة شكاوى العملاء وتدريب الموظفين على التعامل العادل مع الشكاوى</w:t>
      </w:r>
      <w:r w:rsidRPr="00645D6F">
        <w:rPr>
          <w:rFonts w:ascii="Simplified Arabic" w:eastAsia="Times New Roman" w:hAnsi="Simplified Arabic" w:cs="Simplified Arabic"/>
          <w:color w:val="000000" w:themeColor="text1"/>
          <w:kern w:val="0"/>
          <w:sz w:val="28"/>
          <w:szCs w:val="28"/>
          <w14:ligatures w14:val="none"/>
        </w:rPr>
        <w:t>.</w:t>
      </w:r>
    </w:p>
    <w:p w14:paraId="1E91029F"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عثمان والوزير (2024): "جودة الخدمة الداخلية وأثرها في رضا العملاء من خلال تحقيق رضا العاملين: دراسة حالة المركز الوطني لمختبرات الصحة العامة المركزية – اليمن</w:t>
      </w:r>
      <w:r w:rsidRPr="00645D6F">
        <w:rPr>
          <w:rFonts w:ascii="Simplified Arabic" w:eastAsia="Times New Roman" w:hAnsi="Simplified Arabic" w:cs="Simplified Arabic"/>
          <w:b/>
          <w:bCs/>
          <w:color w:val="000000" w:themeColor="text1"/>
          <w:kern w:val="0"/>
          <w:sz w:val="28"/>
          <w:szCs w:val="28"/>
          <w14:ligatures w14:val="none"/>
        </w:rPr>
        <w:t>"</w:t>
      </w:r>
    </w:p>
    <w:p w14:paraId="3C1E5FBC"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جودة الخدمة الداخلية بأبعادها (بيئة العمل، التدريب، الأنظمة الداخلية) وأثرها في رضا العملاء من خلال رضا العاملين كمتغير وسيط في المركز الوطني لمختبرات الصحة العامة بصنعاء. واستخدمت الدراسة المنهج الوصفي التحليلي وبرنامجي</w:t>
      </w:r>
      <w:r w:rsidRPr="00645D6F">
        <w:rPr>
          <w:rFonts w:ascii="Simplified Arabic" w:eastAsia="Times New Roman" w:hAnsi="Simplified Arabic" w:cs="Simplified Arabic"/>
          <w:color w:val="000000" w:themeColor="text1"/>
          <w:kern w:val="0"/>
          <w:sz w:val="28"/>
          <w:szCs w:val="28"/>
          <w14:ligatures w14:val="none"/>
        </w:rPr>
        <w:t xml:space="preserve"> SPSS </w:t>
      </w:r>
      <w:r w:rsidRPr="00645D6F">
        <w:rPr>
          <w:rFonts w:ascii="Simplified Arabic" w:eastAsia="Times New Roman" w:hAnsi="Simplified Arabic" w:cs="Simplified Arabic"/>
          <w:color w:val="000000" w:themeColor="text1"/>
          <w:kern w:val="0"/>
          <w:sz w:val="28"/>
          <w:szCs w:val="28"/>
          <w:rtl/>
          <w14:ligatures w14:val="none"/>
        </w:rPr>
        <w:t>و</w:t>
      </w:r>
      <w:r w:rsidRPr="00645D6F">
        <w:rPr>
          <w:rFonts w:ascii="Simplified Arabic" w:eastAsia="Times New Roman" w:hAnsi="Simplified Arabic" w:cs="Simplified Arabic"/>
          <w:color w:val="000000" w:themeColor="text1"/>
          <w:kern w:val="0"/>
          <w:sz w:val="28"/>
          <w:szCs w:val="28"/>
          <w14:ligatures w14:val="none"/>
        </w:rPr>
        <w:t>AMOS</w:t>
      </w:r>
      <w:r w:rsidRPr="00645D6F">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(112) </w:t>
      </w:r>
      <w:r w:rsidRPr="00645D6F">
        <w:rPr>
          <w:rFonts w:ascii="Simplified Arabic" w:eastAsia="Times New Roman" w:hAnsi="Simplified Arabic" w:cs="Simplified Arabic"/>
          <w:color w:val="000000" w:themeColor="text1"/>
          <w:kern w:val="0"/>
          <w:sz w:val="28"/>
          <w:szCs w:val="28"/>
          <w:rtl/>
          <w14:ligatures w14:val="none"/>
        </w:rPr>
        <w:t xml:space="preserve">عاملًا في المركز و**(203)** من العملاء. وتوصلت نتائج الدراسة إلى وجود أثر لجودة الخدمة الداخلية في رضا العملاء ورضا العاملين، ووجود أثر ذي دلالة إحصائية لرضا العاملين في رضا العملاء. </w:t>
      </w:r>
      <w:r w:rsidRPr="00645D6F">
        <w:rPr>
          <w:rFonts w:ascii="Simplified Arabic" w:eastAsia="Times New Roman" w:hAnsi="Simplified Arabic" w:cs="Simplified Arabic"/>
          <w:color w:val="000000" w:themeColor="text1"/>
          <w:kern w:val="0"/>
          <w:sz w:val="28"/>
          <w:szCs w:val="28"/>
          <w:rtl/>
          <w14:ligatures w14:val="none"/>
        </w:rPr>
        <w:lastRenderedPageBreak/>
        <w:t>وأوصت الدراسة بتحسين بيئة العمل الداخلية وتطوير برامج التدريب لتعزيز رضا العاملين الذي ينعكس على رضا العملاء</w:t>
      </w:r>
      <w:r w:rsidRPr="00645D6F">
        <w:rPr>
          <w:rFonts w:ascii="Simplified Arabic" w:eastAsia="Times New Roman" w:hAnsi="Simplified Arabic" w:cs="Simplified Arabic"/>
          <w:color w:val="000000" w:themeColor="text1"/>
          <w:kern w:val="0"/>
          <w:sz w:val="28"/>
          <w:szCs w:val="28"/>
          <w14:ligatures w14:val="none"/>
        </w:rPr>
        <w:t>.</w:t>
      </w:r>
    </w:p>
    <w:p w14:paraId="0673F886"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الغول (2024): "أثر تمكين العاملين في جودة الخدمات: الدور المعدّل لنظام تخطيط موارد المؤسسة في شركات التأمين الأردنية</w:t>
      </w:r>
      <w:r w:rsidRPr="00645D6F">
        <w:rPr>
          <w:rFonts w:ascii="Simplified Arabic" w:eastAsia="Times New Roman" w:hAnsi="Simplified Arabic" w:cs="Simplified Arabic"/>
          <w:b/>
          <w:bCs/>
          <w:color w:val="000000" w:themeColor="text1"/>
          <w:kern w:val="0"/>
          <w:sz w:val="28"/>
          <w:szCs w:val="28"/>
          <w14:ligatures w14:val="none"/>
        </w:rPr>
        <w:t>"</w:t>
      </w:r>
    </w:p>
    <w:p w14:paraId="2A11EBB2" w14:textId="77777777"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أثر تمكين العاملين بأبعاده (التفويض، التدريب، المشاركة، الحوافز) في جودة الخدمات المقدمة للعملاء مع بحث الدور المعدّل لنظام تخطيط موارد المؤسسة</w:t>
      </w:r>
      <w:r w:rsidRPr="00645D6F">
        <w:rPr>
          <w:rFonts w:ascii="Simplified Arabic" w:eastAsia="Times New Roman" w:hAnsi="Simplified Arabic" w:cs="Simplified Arabic"/>
          <w:color w:val="000000" w:themeColor="text1"/>
          <w:kern w:val="0"/>
          <w:sz w:val="28"/>
          <w:szCs w:val="28"/>
          <w14:ligatures w14:val="none"/>
        </w:rPr>
        <w:t xml:space="preserve"> (ERP) </w:t>
      </w:r>
      <w:r w:rsidRPr="00645D6F">
        <w:rPr>
          <w:rFonts w:ascii="Simplified Arabic" w:eastAsia="Times New Roman" w:hAnsi="Simplified Arabic" w:cs="Simplified Arabic"/>
          <w:color w:val="000000" w:themeColor="text1"/>
          <w:kern w:val="0"/>
          <w:sz w:val="28"/>
          <w:szCs w:val="28"/>
          <w:rtl/>
          <w14:ligatures w14:val="none"/>
        </w:rPr>
        <w:t>في شركات التأمين الأردنية. واستخدمت الدراسة المنهج الوصفي التحليلي والاستبانة. وتوصلت نتائج الدراسة إلى وجود أثر ذي دلالة إحصائية لتمكين العاملين في جودة الخدمات، وأن نظام</w:t>
      </w:r>
      <w:r w:rsidRPr="00645D6F">
        <w:rPr>
          <w:rFonts w:ascii="Simplified Arabic" w:eastAsia="Times New Roman" w:hAnsi="Simplified Arabic" w:cs="Simplified Arabic"/>
          <w:color w:val="000000" w:themeColor="text1"/>
          <w:kern w:val="0"/>
          <w:sz w:val="28"/>
          <w:szCs w:val="28"/>
          <w14:ligatures w14:val="none"/>
        </w:rPr>
        <w:t xml:space="preserve"> ERP </w:t>
      </w:r>
      <w:r w:rsidRPr="00645D6F">
        <w:rPr>
          <w:rFonts w:ascii="Simplified Arabic" w:eastAsia="Times New Roman" w:hAnsi="Simplified Arabic" w:cs="Simplified Arabic"/>
          <w:color w:val="000000" w:themeColor="text1"/>
          <w:kern w:val="0"/>
          <w:sz w:val="28"/>
          <w:szCs w:val="28"/>
          <w:rtl/>
          <w14:ligatures w14:val="none"/>
        </w:rPr>
        <w:t>يعدّل هذه العلاقة إيجابيًا، وأن سرعة حل مشكلات العملاء تتحسن مع ارتفاع مستوى التمكين. وأوصت الدراسة بتعزيز التمكين الوظيفي إلى جانب تطبيق الأنظمة التقنية الحديثة</w:t>
      </w:r>
      <w:r w:rsidRPr="00645D6F">
        <w:rPr>
          <w:rFonts w:ascii="Simplified Arabic" w:eastAsia="Times New Roman" w:hAnsi="Simplified Arabic" w:cs="Simplified Arabic"/>
          <w:color w:val="000000" w:themeColor="text1"/>
          <w:kern w:val="0"/>
          <w:sz w:val="28"/>
          <w:szCs w:val="28"/>
          <w14:ligatures w14:val="none"/>
        </w:rPr>
        <w:t>.</w:t>
      </w:r>
    </w:p>
    <w:p w14:paraId="0C8BDC4A" w14:textId="77777777" w:rsidR="00E77DFA" w:rsidRPr="00645D6F" w:rsidRDefault="00E77DFA"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التقي (2024): "واقع تبني استراتيجية التحول الرقمي وأثرها في تطوير الأداء المؤسسي</w:t>
      </w:r>
      <w:r w:rsidRPr="00645D6F">
        <w:rPr>
          <w:rFonts w:ascii="Simplified Arabic" w:eastAsia="Times New Roman" w:hAnsi="Simplified Arabic" w:cs="Simplified Arabic"/>
          <w:b/>
          <w:bCs/>
          <w:color w:val="000000" w:themeColor="text1"/>
          <w:kern w:val="0"/>
          <w:sz w:val="28"/>
          <w:szCs w:val="28"/>
          <w14:ligatures w14:val="none"/>
        </w:rPr>
        <w:t>"</w:t>
      </w:r>
    </w:p>
    <w:p w14:paraId="6C8EC771" w14:textId="77777777" w:rsidR="00E77DFA" w:rsidRPr="00645D6F" w:rsidRDefault="00E77DFA"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واقع تبني استراتيجية التحول الرقمي بأبعادها (البنية التحتية الرقمية، تطوير الموارد البشرية، الخدمات الإلكترونية) وأثرها في تطوير الأداء المؤسسي وسرعة حل مشكلات المستفيدين في المؤسسات الخدمية. واستخدمت الدراسة المنهج الوصفي التحليلي. وتوصلت نتائج الدراسة إلى أن التحول الرقمي يسهم في تسريع الاستجابة لمتطلبات العملاء وتحسين جودة الخدمات وسرعة حل المشكلات. وأوصت الدراسة بتوفير بنية تحتية رقمية متقدمة وتدريب الموظفين على استخدام التقنيات الحديثة لتحسين سرعة الخدمة</w:t>
      </w:r>
      <w:r w:rsidRPr="00645D6F">
        <w:rPr>
          <w:rFonts w:ascii="Simplified Arabic" w:eastAsia="Times New Roman" w:hAnsi="Simplified Arabic" w:cs="Simplified Arabic"/>
          <w:color w:val="000000" w:themeColor="text1"/>
          <w:kern w:val="0"/>
          <w:sz w:val="28"/>
          <w:szCs w:val="28"/>
          <w14:ligatures w14:val="none"/>
        </w:rPr>
        <w:t>.</w:t>
      </w:r>
    </w:p>
    <w:p w14:paraId="744B7E32"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 عبد المجيد (2025): "الرشاقة التسويقية وأثرها على ولاء العملاء: الدور الوسيط لرضا العملاء</w:t>
      </w:r>
      <w:r w:rsidRPr="00645D6F">
        <w:rPr>
          <w:rFonts w:ascii="Simplified Arabic" w:eastAsia="Times New Roman" w:hAnsi="Simplified Arabic" w:cs="Simplified Arabic"/>
          <w:b/>
          <w:bCs/>
          <w:color w:val="000000" w:themeColor="text1"/>
          <w:kern w:val="0"/>
          <w:sz w:val="28"/>
          <w:szCs w:val="28"/>
          <w14:ligatures w14:val="none"/>
        </w:rPr>
        <w:t>"</w:t>
      </w:r>
    </w:p>
    <w:p w14:paraId="0F352846"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الرشاقة التسويقية بأبعادها (سرعة الاستجابة، المرونة، التكيف مع المتغيرات) على ولاء العملاء من خلال رضا العملاء كمتغير وسيط. واستخدمت الدراسة المنهج الوصفي التحليلي والاستبانة كأداة لجمع البيانات. وتوصلت نتائج الدراسة إلى أن سرعة الاستجابة وتلبية احتياجات العملاء تؤثر إيجابيًا وبدلالة إحصائية على رضا العملاء وولائهم، وأن رضا العملاء يلعب دورًا وسيطًا </w:t>
      </w:r>
      <w:r w:rsidRPr="00645D6F">
        <w:rPr>
          <w:rFonts w:ascii="Simplified Arabic" w:eastAsia="Times New Roman" w:hAnsi="Simplified Arabic" w:cs="Simplified Arabic"/>
          <w:color w:val="000000" w:themeColor="text1"/>
          <w:kern w:val="0"/>
          <w:sz w:val="28"/>
          <w:szCs w:val="28"/>
          <w:rtl/>
          <w14:ligatures w14:val="none"/>
        </w:rPr>
        <w:lastRenderedPageBreak/>
        <w:t>جزئيًا في العلاقة. وأوصت الدراسة بتبني استراتيجيات تسويقية رشيقة قائمة على سرعة الاستجابة لتحسين رضا العملاء</w:t>
      </w:r>
      <w:r w:rsidRPr="00645D6F">
        <w:rPr>
          <w:rFonts w:ascii="Simplified Arabic" w:eastAsia="Times New Roman" w:hAnsi="Simplified Arabic" w:cs="Simplified Arabic"/>
          <w:color w:val="000000" w:themeColor="text1"/>
          <w:kern w:val="0"/>
          <w:sz w:val="28"/>
          <w:szCs w:val="28"/>
          <w14:ligatures w14:val="none"/>
        </w:rPr>
        <w:t>.</w:t>
      </w:r>
    </w:p>
    <w:p w14:paraId="37FDE3AD" w14:textId="77777777" w:rsidR="00E77DFA" w:rsidRPr="00645D6F" w:rsidRDefault="00E77DFA"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Cheng et al. (2019): "Service Recovery, Customer Satisfaction and Customer Loyalty: Evidence from Malaysia's Hotel Industry"</w:t>
      </w:r>
    </w:p>
    <w:p w14:paraId="221440B0" w14:textId="77777777" w:rsidR="00E77DFA" w:rsidRPr="00645D6F" w:rsidRDefault="00E77DFA"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أبعاد استرداد الخدمة (التعويض، سرعة الاستجابة، الاعتذار، عدالة التعامل) على رضا العملاء وولائهم في صناعة الفنادق بماليزيا. واستخدمت الدراسة المنهج الكمي التحليلي والاستبانة الذاتية،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(500) </w:t>
      </w:r>
      <w:r w:rsidRPr="00645D6F">
        <w:rPr>
          <w:rFonts w:ascii="Simplified Arabic" w:eastAsia="Times New Roman" w:hAnsi="Simplified Arabic" w:cs="Simplified Arabic"/>
          <w:color w:val="000000" w:themeColor="text1"/>
          <w:kern w:val="0"/>
          <w:sz w:val="28"/>
          <w:szCs w:val="28"/>
          <w:rtl/>
          <w14:ligatures w14:val="none"/>
        </w:rPr>
        <w:t>مستجيب من عملاء الفنادق الذين مروا بتجارب فشل خدمي في ماليزيا. وتوصلت نتائج الدراسة إلى أن سرعة الاستجابة والتعويض العادل يؤثران بشكل إيجابي ومباشر على رضا العملاء، وأن رضا العملاء يؤثر إيجابيًا على ولائهم. وأوصت الدراسة بتدريب الموظفين على سرعة الاستجابة وتطوير سياسات استرداد الخدمة العادلة</w:t>
      </w:r>
      <w:r w:rsidRPr="00645D6F">
        <w:rPr>
          <w:rFonts w:ascii="Simplified Arabic" w:eastAsia="Times New Roman" w:hAnsi="Simplified Arabic" w:cs="Simplified Arabic"/>
          <w:color w:val="000000" w:themeColor="text1"/>
          <w:kern w:val="0"/>
          <w:sz w:val="28"/>
          <w:szCs w:val="28"/>
          <w14:ligatures w14:val="none"/>
        </w:rPr>
        <w:t>.</w:t>
      </w:r>
    </w:p>
    <w:p w14:paraId="23472F18" w14:textId="77777777" w:rsidR="00E77DFA" w:rsidRPr="00645D6F" w:rsidRDefault="00E77DFA"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Morgeson et al. (2020): "Turning Complaining Customers into Loyal Customers: Moderators of the Complaint Handling–Customer Loyalty Relationship"</w:t>
      </w:r>
    </w:p>
    <w:p w14:paraId="7CE664D0" w14:textId="77777777" w:rsidR="00E77DFA" w:rsidRPr="00645D6F" w:rsidRDefault="00E77DFA"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المعدّلات التي تؤثر في العلاقة بين معالجة الشكاوى وولاء العملاء، باستخدام بيانات مؤشر رضا العملاء الأمريكي</w:t>
      </w:r>
      <w:r w:rsidRPr="00645D6F">
        <w:rPr>
          <w:rFonts w:ascii="Simplified Arabic" w:eastAsia="Times New Roman" w:hAnsi="Simplified Arabic" w:cs="Simplified Arabic"/>
          <w:color w:val="000000" w:themeColor="text1"/>
          <w:kern w:val="0"/>
          <w:sz w:val="28"/>
          <w:szCs w:val="28"/>
          <w14:ligatures w14:val="none"/>
        </w:rPr>
        <w:t xml:space="preserve"> (ACSI). </w:t>
      </w:r>
      <w:r w:rsidRPr="00645D6F">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الطولي، وتكونت العينة من بيانات أكثر من</w:t>
      </w:r>
      <w:r w:rsidRPr="00645D6F">
        <w:rPr>
          <w:rFonts w:ascii="Simplified Arabic" w:eastAsia="Times New Roman" w:hAnsi="Simplified Arabic" w:cs="Simplified Arabic"/>
          <w:color w:val="000000" w:themeColor="text1"/>
          <w:kern w:val="0"/>
          <w:sz w:val="28"/>
          <w:szCs w:val="28"/>
          <w14:ligatures w14:val="none"/>
        </w:rPr>
        <w:t xml:space="preserve"> (35000) </w:t>
      </w:r>
      <w:r w:rsidRPr="00645D6F">
        <w:rPr>
          <w:rFonts w:ascii="Simplified Arabic" w:eastAsia="Times New Roman" w:hAnsi="Simplified Arabic" w:cs="Simplified Arabic"/>
          <w:color w:val="000000" w:themeColor="text1"/>
          <w:kern w:val="0"/>
          <w:sz w:val="28"/>
          <w:szCs w:val="28"/>
          <w:rtl/>
          <w14:ligatures w14:val="none"/>
        </w:rPr>
        <w:t>عميل على مستوى أكثر من (150) شركة عبر فترة زمنية ممتدة. وتوصلت نتائج الدراسة إلى أن المعالجة الفعّالة للشكاوى وسرعة الاستجابة تحوّل العملاء الشاكين إلى عملاء أوفياء، وأن هذه العلاقة تتأثر بعوامل معدّلة كنوع الصناعة ومستوى المنافسة. وأوصت الدراسة بالاستثمار في أنظمة معالجة الشكاوى السريعة كأداة استراتيجية لبناء ولاء العملاء</w:t>
      </w:r>
      <w:r w:rsidRPr="00645D6F">
        <w:rPr>
          <w:rFonts w:ascii="Simplified Arabic" w:eastAsia="Times New Roman" w:hAnsi="Simplified Arabic" w:cs="Simplified Arabic"/>
          <w:color w:val="000000" w:themeColor="text1"/>
          <w:kern w:val="0"/>
          <w:sz w:val="28"/>
          <w:szCs w:val="28"/>
          <w14:ligatures w14:val="none"/>
        </w:rPr>
        <w:t>.</w:t>
      </w:r>
    </w:p>
    <w:p w14:paraId="2DB66923" w14:textId="77777777" w:rsidR="00E77DFA" w:rsidRPr="00645D6F" w:rsidRDefault="00E77DFA"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Jeanpert et al. (2021): "The Role of Human Interaction in Complaint Handling"</w:t>
      </w:r>
    </w:p>
    <w:p w14:paraId="46AB62E6" w14:textId="06A086A9" w:rsidR="00E77DFA" w:rsidRPr="00645D6F" w:rsidRDefault="00E77DFA"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التفاعل البشري في معالجة شكاوى العملاء وأثره على إدراك العدالة بأبعادها (العدالة التوزيعية، العدالة الإجرائية، العدالة التفاعلية) ورضا العملاء عن استرداد الخدمة. واستخدمت الدراسة المنهج التجريبي القائم على أربعة سيناريوهات شكاوى تغطي قنوات الاتصال المباشرة </w:t>
      </w:r>
      <w:r w:rsidRPr="00645D6F">
        <w:rPr>
          <w:rFonts w:ascii="Simplified Arabic" w:eastAsia="Times New Roman" w:hAnsi="Simplified Arabic" w:cs="Simplified Arabic"/>
          <w:color w:val="000000" w:themeColor="text1"/>
          <w:kern w:val="0"/>
          <w:sz w:val="28"/>
          <w:szCs w:val="28"/>
          <w:rtl/>
          <w14:ligatures w14:val="none"/>
        </w:rPr>
        <w:lastRenderedPageBreak/>
        <w:t xml:space="preserve">والرقمية، وتكونت العينة من </w:t>
      </w:r>
      <w:r w:rsidRPr="00645D6F">
        <w:rPr>
          <w:rFonts w:ascii="Simplified Arabic" w:eastAsia="Times New Roman" w:hAnsi="Simplified Arabic" w:cs="Simplified Arabic"/>
          <w:color w:val="000000" w:themeColor="text1"/>
          <w:kern w:val="0"/>
          <w:sz w:val="28"/>
          <w:szCs w:val="28"/>
          <w14:ligatures w14:val="none"/>
        </w:rPr>
        <w:t xml:space="preserve">(427) </w:t>
      </w:r>
      <w:r w:rsidRPr="00645D6F">
        <w:rPr>
          <w:rFonts w:ascii="Simplified Arabic" w:eastAsia="Times New Roman" w:hAnsi="Simplified Arabic" w:cs="Simplified Arabic"/>
          <w:color w:val="000000" w:themeColor="text1"/>
          <w:kern w:val="0"/>
          <w:sz w:val="28"/>
          <w:szCs w:val="28"/>
          <w:rtl/>
          <w14:ligatures w14:val="none"/>
        </w:rPr>
        <w:t>مستجيبًا. وتوصلت نتائج الدراسة إلى أنه عندما يتضمن استرداد الخدمة تفاعلًا بشريًا، يكون لدى العملاء إدراك أفضل للعدالة ورضا أعلى عن عملية الاسترداد. وأوصت الدراسة بالحفاظ على التفاعل البشري المباشر في إدارة شكاوى العملاء حتى في ظل الرقمنة</w:t>
      </w:r>
      <w:r w:rsidRPr="00645D6F">
        <w:rPr>
          <w:rFonts w:ascii="Simplified Arabic" w:eastAsia="Times New Roman" w:hAnsi="Simplified Arabic" w:cs="Simplified Arabic"/>
          <w:color w:val="000000" w:themeColor="text1"/>
          <w:kern w:val="0"/>
          <w:sz w:val="28"/>
          <w:szCs w:val="28"/>
          <w14:ligatures w14:val="none"/>
        </w:rPr>
        <w:t>.</w:t>
      </w:r>
    </w:p>
    <w:p w14:paraId="594A004B" w14:textId="77777777" w:rsidR="006C173C" w:rsidRPr="00645D6F" w:rsidRDefault="006C173C" w:rsidP="00E77D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Adzhigalieva et al. (2022): "The Influence of Complaint Handling and Service Recovery on Customer Satisfaction, Customer Loyalty and Customer Retention"</w:t>
      </w:r>
    </w:p>
    <w:p w14:paraId="06FA2E18" w14:textId="77777777" w:rsidR="006C173C" w:rsidRPr="00645D6F" w:rsidRDefault="006C173C" w:rsidP="00E77D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أثر معالجة الشكاوى واسترداد الخدمة بأبعادهما (التعويض، سرعة الاستجابة، الاعتذار، المبادرة بالاسترداد) على رضا العملاء وولائهم والاحتفاظ بهم. واستخدمت الدراسة منهج المراجعة المنهجية للأدبيات</w:t>
      </w:r>
      <w:r w:rsidRPr="00645D6F">
        <w:rPr>
          <w:rFonts w:ascii="Simplified Arabic" w:eastAsia="Times New Roman" w:hAnsi="Simplified Arabic" w:cs="Simplified Arabic"/>
          <w:color w:val="000000" w:themeColor="text1"/>
          <w:kern w:val="0"/>
          <w:sz w:val="28"/>
          <w:szCs w:val="28"/>
          <w14:ligatures w14:val="none"/>
        </w:rPr>
        <w:t xml:space="preserve"> (Systematic Literature Review) </w:t>
      </w:r>
      <w:r w:rsidRPr="00645D6F">
        <w:rPr>
          <w:rFonts w:ascii="Simplified Arabic" w:eastAsia="Times New Roman" w:hAnsi="Simplified Arabic" w:cs="Simplified Arabic"/>
          <w:color w:val="000000" w:themeColor="text1"/>
          <w:kern w:val="0"/>
          <w:sz w:val="28"/>
          <w:szCs w:val="28"/>
          <w:rtl/>
          <w14:ligatures w14:val="none"/>
        </w:rPr>
        <w:t>لتحليل الدراسات السابقة المنشورة في قطاعات متعددة (البنوك، الفنادق، الخدمات). وتوصلت نتائج الدراسة إلى أن رضا العملاء يتأثر بشكل كبير بمعالجة الشكاوى واسترداد الخدمة، وأن ولاء العملاء والاحتفاظ بهم لا يرتبطان مباشرة بمعالجة الشكاوى بل يتوسط رضا العملاء هذه العلاقة، وأن إدراك العدالة (التوزيعية والإجرائية والتفاعلية) يشكّل نتائج الاسترداد</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وأوصت الدراسة بأن تأخذ المنظمات إدراك العدالة في الاعتبار عند تصميم استراتيجيات استرداد الخدمة</w:t>
      </w:r>
      <w:r w:rsidRPr="00645D6F">
        <w:rPr>
          <w:rFonts w:ascii="Simplified Arabic" w:eastAsia="Times New Roman" w:hAnsi="Simplified Arabic" w:cs="Simplified Arabic"/>
          <w:color w:val="000000" w:themeColor="text1"/>
          <w:kern w:val="0"/>
          <w:sz w:val="28"/>
          <w:szCs w:val="28"/>
          <w14:ligatures w14:val="none"/>
        </w:rPr>
        <w:t>.</w:t>
      </w:r>
    </w:p>
    <w:p w14:paraId="2E603B9B" w14:textId="77777777" w:rsidR="006C173C" w:rsidRPr="00645D6F" w:rsidRDefault="006C173C"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دراسة</w:t>
      </w:r>
      <w:r w:rsidRPr="00645D6F">
        <w:rPr>
          <w:rFonts w:ascii="Simplified Arabic" w:eastAsia="Times New Roman" w:hAnsi="Simplified Arabic" w:cs="Simplified Arabic"/>
          <w:b/>
          <w:bCs/>
          <w:color w:val="000000" w:themeColor="text1"/>
          <w:kern w:val="0"/>
          <w:sz w:val="28"/>
          <w:szCs w:val="28"/>
          <w14:ligatures w14:val="none"/>
        </w:rPr>
        <w:t xml:space="preserve"> Ozkan-Tektas &amp; Basgoze (2023): "Why Do Consumers Forgive? A Multi-Study Investigation of Online Travel Agencies"</w:t>
      </w:r>
    </w:p>
    <w:p w14:paraId="3CDB6D32" w14:textId="77777777" w:rsidR="006C173C" w:rsidRPr="00645D6F" w:rsidRDefault="006C173C"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هدفت الدراسة إلى التعرف على كيفية استجابة العملاء لاستراتيجيات استرداد الخدمة الإلكترونية بأبعادها (الاعتذار، التعويض، سرعة الاستجابة، التواصل الفعّال) بعد فشل الخدمة في وكالات السفر عبر الإنترنت</w:t>
      </w:r>
      <w:r w:rsidRPr="00645D6F">
        <w:rPr>
          <w:rFonts w:ascii="Simplified Arabic" w:eastAsia="Times New Roman" w:hAnsi="Simplified Arabic" w:cs="Simplified Arabic"/>
          <w:color w:val="000000" w:themeColor="text1"/>
          <w:kern w:val="0"/>
          <w:sz w:val="28"/>
          <w:szCs w:val="28"/>
          <w14:ligatures w14:val="none"/>
        </w:rPr>
        <w:t xml:space="preserve"> (OTA). </w:t>
      </w:r>
      <w:r w:rsidRPr="00645D6F">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التجريبي متعدد الدراسات، وتكونت عينة الدراسات المتعددة من </w:t>
      </w:r>
      <w:r w:rsidRPr="00645D6F">
        <w:rPr>
          <w:rFonts w:ascii="Simplified Arabic" w:eastAsia="Times New Roman" w:hAnsi="Simplified Arabic" w:cs="Simplified Arabic"/>
          <w:color w:val="000000" w:themeColor="text1"/>
          <w:kern w:val="0"/>
          <w:sz w:val="28"/>
          <w:szCs w:val="28"/>
          <w14:ligatures w14:val="none"/>
        </w:rPr>
        <w:t xml:space="preserve">(547) </w:t>
      </w:r>
      <w:r w:rsidRPr="00645D6F">
        <w:rPr>
          <w:rFonts w:ascii="Simplified Arabic" w:eastAsia="Times New Roman" w:hAnsi="Simplified Arabic" w:cs="Simplified Arabic"/>
          <w:color w:val="000000" w:themeColor="text1"/>
          <w:kern w:val="0"/>
          <w:sz w:val="28"/>
          <w:szCs w:val="28"/>
          <w:rtl/>
          <w14:ligatures w14:val="none"/>
        </w:rPr>
        <w:t>مستجيبًا عبر عدة تجارب. وتوصلت نتائج الدراسة إلى أن سرعة الاستجابة والتعويض المناسب يسهمان بشكل جوهري في تعزيز تسامح العملاء ورضاهم بعد فشل الخدمة، وأن المصداقية المُدركة في الاعتذار تعدّل هذه العلاقة. وأوصت الدراسة بتصميم استراتيجيات استرداد خدمة رقمية تركّز على السرعة والمصداقية لتعزيز رضا العملاء وتسامحهم</w:t>
      </w:r>
      <w:r w:rsidRPr="00645D6F">
        <w:rPr>
          <w:rFonts w:ascii="Simplified Arabic" w:eastAsia="Times New Roman" w:hAnsi="Simplified Arabic" w:cs="Simplified Arabic"/>
          <w:color w:val="000000" w:themeColor="text1"/>
          <w:kern w:val="0"/>
          <w:sz w:val="28"/>
          <w:szCs w:val="28"/>
          <w14:ligatures w14:val="none"/>
        </w:rPr>
        <w:t>.</w:t>
      </w:r>
    </w:p>
    <w:p w14:paraId="21357109" w14:textId="58B25EB6" w:rsidR="004A41F9" w:rsidRPr="00645D6F" w:rsidRDefault="004A41F9" w:rsidP="004A41F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7" w:name="_Toc169790501"/>
      <w:bookmarkStart w:id="18" w:name="_Toc223603160"/>
      <w:bookmarkStart w:id="19" w:name="_Toc233938080"/>
      <w:bookmarkEnd w:id="14"/>
      <w:r w:rsidRPr="00645D6F">
        <w:rPr>
          <w:rFonts w:ascii="Simplified Arabic" w:hAnsi="Simplified Arabic" w:cs="Simplified Arabic"/>
          <w:b/>
          <w:bCs/>
          <w:color w:val="000000" w:themeColor="text1"/>
          <w:sz w:val="36"/>
          <w:szCs w:val="36"/>
          <w:rtl/>
        </w:rPr>
        <w:t>8.1 الفجوة البحثية:</w:t>
      </w:r>
      <w:bookmarkEnd w:id="19"/>
    </w:p>
    <w:p w14:paraId="1E8AB203" w14:textId="77777777" w:rsidR="00CA4A92" w:rsidRPr="00645D6F" w:rsidRDefault="00CA4A92" w:rsidP="004A41F9">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lastRenderedPageBreak/>
        <w:t>بمراجعة الأدبيات والدراسات السابقة المتعلقة بموضوع الدراسة الحالية، يتبيّن أن الباحثين قد أولوا اهتمامًا ملحوظًا بدراسة التمكين الوظيفي وعلاقته بمتغيرات تنظيمية متنوعة، غير أن هذا الاهتمام اتجه في معظمه نحو دراسة أثر التمكين على الرضا الوظيفي كما في دراسة منصور (2025)، أو على التغيير التنظيمي كما في دراسة اشتيوي</w:t>
      </w:r>
      <w:r w:rsidRPr="00645D6F">
        <w:rPr>
          <w:rFonts w:ascii="Simplified Arabic" w:hAnsi="Simplified Arabic" w:cs="Simplified Arabic"/>
          <w:color w:val="000000" w:themeColor="text1"/>
          <w:sz w:val="28"/>
          <w:szCs w:val="28"/>
        </w:rPr>
        <w:t xml:space="preserve"> (2023)</w:t>
      </w:r>
      <w:r w:rsidRPr="00645D6F">
        <w:rPr>
          <w:rFonts w:ascii="Simplified Arabic" w:hAnsi="Simplified Arabic" w:cs="Simplified Arabic"/>
          <w:color w:val="000000" w:themeColor="text1"/>
          <w:sz w:val="28"/>
          <w:szCs w:val="28"/>
          <w:rtl/>
        </w:rPr>
        <w:t>، أو على الأداء التنظيمي العام كما في دراسة برير وآخرون (2024)، أو على إدارة العلامة التجارية كما في دراسة</w:t>
      </w:r>
      <w:r w:rsidRPr="00645D6F">
        <w:rPr>
          <w:rFonts w:ascii="Simplified Arabic" w:hAnsi="Simplified Arabic" w:cs="Simplified Arabic"/>
          <w:color w:val="000000" w:themeColor="text1"/>
          <w:sz w:val="28"/>
          <w:szCs w:val="28"/>
        </w:rPr>
        <w:t xml:space="preserve"> Anwar et al. (2025). </w:t>
      </w:r>
      <w:r w:rsidRPr="00645D6F">
        <w:rPr>
          <w:rFonts w:ascii="Simplified Arabic" w:hAnsi="Simplified Arabic" w:cs="Simplified Arabic"/>
          <w:color w:val="000000" w:themeColor="text1"/>
          <w:sz w:val="28"/>
          <w:szCs w:val="28"/>
          <w:rtl/>
        </w:rPr>
        <w:t>كما أن الدراسات التي تناولت المتغير التابع ركّزت بشكل كبير على العلاقة بين معالجة الشكاوى واسترداد الخدمة ورضا العملاء وولائهم كما في دراسة</w:t>
      </w:r>
      <w:r w:rsidRPr="00645D6F">
        <w:rPr>
          <w:rFonts w:ascii="Simplified Arabic" w:hAnsi="Simplified Arabic" w:cs="Simplified Arabic"/>
          <w:color w:val="000000" w:themeColor="text1"/>
          <w:sz w:val="28"/>
          <w:szCs w:val="28"/>
        </w:rPr>
        <w:t xml:space="preserve"> Adzhigalieva et al. (2022) </w:t>
      </w:r>
      <w:r w:rsidRPr="00645D6F">
        <w:rPr>
          <w:rFonts w:ascii="Simplified Arabic" w:hAnsi="Simplified Arabic" w:cs="Simplified Arabic"/>
          <w:color w:val="000000" w:themeColor="text1"/>
          <w:sz w:val="28"/>
          <w:szCs w:val="28"/>
          <w:rtl/>
        </w:rPr>
        <w:t>ودراسة</w:t>
      </w:r>
      <w:r w:rsidRPr="00645D6F">
        <w:rPr>
          <w:rFonts w:ascii="Simplified Arabic" w:hAnsi="Simplified Arabic" w:cs="Simplified Arabic"/>
          <w:color w:val="000000" w:themeColor="text1"/>
          <w:sz w:val="28"/>
          <w:szCs w:val="28"/>
        </w:rPr>
        <w:t xml:space="preserve"> Morgeson et al. (2020</w:t>
      </w:r>
      <w:proofErr w:type="gramStart"/>
      <w:r w:rsidRPr="00645D6F">
        <w:rPr>
          <w:rFonts w:ascii="Simplified Arabic" w:hAnsi="Simplified Arabic" w:cs="Simplified Arabic"/>
          <w:color w:val="000000" w:themeColor="text1"/>
          <w:sz w:val="28"/>
          <w:szCs w:val="28"/>
        </w:rPr>
        <w:t>)</w:t>
      </w:r>
      <w:r w:rsidRPr="00645D6F">
        <w:rPr>
          <w:rFonts w:ascii="Simplified Arabic" w:hAnsi="Simplified Arabic" w:cs="Simplified Arabic"/>
          <w:color w:val="000000" w:themeColor="text1"/>
          <w:sz w:val="28"/>
          <w:szCs w:val="28"/>
          <w:rtl/>
        </w:rPr>
        <w:t>،</w:t>
      </w:r>
      <w:proofErr w:type="gramEnd"/>
      <w:r w:rsidRPr="00645D6F">
        <w:rPr>
          <w:rFonts w:ascii="Simplified Arabic" w:hAnsi="Simplified Arabic" w:cs="Simplified Arabic"/>
          <w:color w:val="000000" w:themeColor="text1"/>
          <w:sz w:val="28"/>
          <w:szCs w:val="28"/>
          <w:rtl/>
        </w:rPr>
        <w:t xml:space="preserve"> أو على دور التفاعل البشري في معالجة الشكاوى كما في دراسة</w:t>
      </w:r>
      <w:r w:rsidRPr="00645D6F">
        <w:rPr>
          <w:rFonts w:ascii="Simplified Arabic" w:hAnsi="Simplified Arabic" w:cs="Simplified Arabic"/>
          <w:color w:val="000000" w:themeColor="text1"/>
          <w:sz w:val="28"/>
          <w:szCs w:val="28"/>
        </w:rPr>
        <w:t xml:space="preserve"> Jeanpert et al. (2021)</w:t>
      </w:r>
      <w:r w:rsidRPr="00645D6F">
        <w:rPr>
          <w:rFonts w:ascii="Simplified Arabic" w:hAnsi="Simplified Arabic" w:cs="Simplified Arabic"/>
          <w:color w:val="000000" w:themeColor="text1"/>
          <w:sz w:val="28"/>
          <w:szCs w:val="28"/>
          <w:rtl/>
        </w:rPr>
        <w:t>، دون أن تربط هذه الدراسات بشكل مباشر وصريح بين التمكين الوظيفي بأبعاده المتكاملة وبين سرعة حل المشكلات ورضا العملاء كمتغير تابع مركّب في نموذج بحثي واحد</w:t>
      </w:r>
      <w:r w:rsidRPr="00645D6F">
        <w:rPr>
          <w:rFonts w:ascii="Simplified Arabic" w:hAnsi="Simplified Arabic" w:cs="Simplified Arabic"/>
          <w:color w:val="000000" w:themeColor="text1"/>
          <w:sz w:val="28"/>
          <w:szCs w:val="28"/>
        </w:rPr>
        <w:t xml:space="preserve">. </w:t>
      </w:r>
      <w:r w:rsidRPr="00645D6F">
        <w:rPr>
          <w:rFonts w:ascii="Simplified Arabic" w:hAnsi="Simplified Arabic" w:cs="Simplified Arabic"/>
          <w:color w:val="000000" w:themeColor="text1"/>
          <w:sz w:val="28"/>
          <w:szCs w:val="28"/>
          <w:rtl/>
        </w:rPr>
        <w:t>وتكشف هذه المراجعة عن ندرة واضحة في الدراسات التي جمعت بين هذين المتغيرين في إطار تحليلي متكامل، لا سيما في البيئة العربية عمومًا والسعودية على وجه الخصوص</w:t>
      </w:r>
      <w:r w:rsidRPr="00645D6F">
        <w:rPr>
          <w:rFonts w:ascii="Simplified Arabic" w:hAnsi="Simplified Arabic" w:cs="Simplified Arabic"/>
          <w:color w:val="000000" w:themeColor="text1"/>
          <w:sz w:val="28"/>
          <w:szCs w:val="28"/>
        </w:rPr>
        <w:t>.</w:t>
      </w:r>
    </w:p>
    <w:p w14:paraId="49DBE625" w14:textId="6C557FB0" w:rsidR="00CA4A92" w:rsidRPr="00645D6F" w:rsidRDefault="00CA4A92" w:rsidP="004A41F9">
      <w:pPr>
        <w:pStyle w:val="NormalWeb"/>
        <w:bidi/>
        <w:spacing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إن الدراسات القليلة التي اقتربت من معالجة هذه العلاقة أُجريت في سياقات ثقافية وتنظيمية مختلفة تمامًا عن البيئة السعودية، فدراسة</w:t>
      </w:r>
      <w:r w:rsidRPr="00645D6F">
        <w:rPr>
          <w:rFonts w:ascii="Simplified Arabic" w:hAnsi="Simplified Arabic" w:cs="Simplified Arabic"/>
          <w:color w:val="000000" w:themeColor="text1"/>
          <w:sz w:val="28"/>
          <w:szCs w:val="28"/>
        </w:rPr>
        <w:t xml:space="preserve"> Kanjanakan et al. (2023) </w:t>
      </w:r>
      <w:r w:rsidRPr="00645D6F">
        <w:rPr>
          <w:rFonts w:ascii="Simplified Arabic" w:hAnsi="Simplified Arabic" w:cs="Simplified Arabic"/>
          <w:color w:val="000000" w:themeColor="text1"/>
          <w:sz w:val="28"/>
          <w:szCs w:val="28"/>
          <w:rtl/>
        </w:rPr>
        <w:t>طُبقت على قطاع المطاعم في تايلاند، ودراسة</w:t>
      </w:r>
      <w:r w:rsidRPr="00645D6F">
        <w:rPr>
          <w:rFonts w:ascii="Simplified Arabic" w:hAnsi="Simplified Arabic" w:cs="Simplified Arabic"/>
          <w:color w:val="000000" w:themeColor="text1"/>
          <w:sz w:val="28"/>
          <w:szCs w:val="28"/>
        </w:rPr>
        <w:t xml:space="preserve"> Bhat (2020) </w:t>
      </w:r>
      <w:r w:rsidRPr="00645D6F">
        <w:rPr>
          <w:rFonts w:ascii="Simplified Arabic" w:hAnsi="Simplified Arabic" w:cs="Simplified Arabic"/>
          <w:color w:val="000000" w:themeColor="text1"/>
          <w:sz w:val="28"/>
          <w:szCs w:val="28"/>
          <w:rtl/>
        </w:rPr>
        <w:t xml:space="preserve">أُجريت في القطاع المصرفي بكشمير، ودراسة </w:t>
      </w:r>
      <w:r w:rsidRPr="00645D6F">
        <w:rPr>
          <w:rFonts w:ascii="Simplified Arabic" w:hAnsi="Simplified Arabic" w:cs="Simplified Arabic"/>
          <w:color w:val="000000" w:themeColor="text1"/>
          <w:sz w:val="28"/>
          <w:szCs w:val="28"/>
        </w:rPr>
        <w:t xml:space="preserve">Sharma &amp; Jain (2025) </w:t>
      </w:r>
      <w:r w:rsidRPr="00645D6F">
        <w:rPr>
          <w:rFonts w:ascii="Simplified Arabic" w:hAnsi="Simplified Arabic" w:cs="Simplified Arabic"/>
          <w:color w:val="000000" w:themeColor="text1"/>
          <w:sz w:val="28"/>
          <w:szCs w:val="28"/>
          <w:rtl/>
        </w:rPr>
        <w:t>طُبقت على الفنادق في الهند، ودراسة</w:t>
      </w:r>
      <w:r w:rsidRPr="00645D6F">
        <w:rPr>
          <w:rFonts w:ascii="Simplified Arabic" w:hAnsi="Simplified Arabic" w:cs="Simplified Arabic"/>
          <w:color w:val="000000" w:themeColor="text1"/>
          <w:sz w:val="28"/>
          <w:szCs w:val="28"/>
        </w:rPr>
        <w:t xml:space="preserve"> Cheng et al. (2019) </w:t>
      </w:r>
      <w:r w:rsidRPr="00645D6F">
        <w:rPr>
          <w:rFonts w:ascii="Simplified Arabic" w:hAnsi="Simplified Arabic" w:cs="Simplified Arabic"/>
          <w:color w:val="000000" w:themeColor="text1"/>
          <w:sz w:val="28"/>
          <w:szCs w:val="28"/>
          <w:rtl/>
        </w:rPr>
        <w:t>أُجريت في صناعة الفنادق بماليزيا، مما يُصعّب تعميم نتائجها على بيئة خدمة العملاء في مدينة الرياض التي تتميز بخصائص فريدة تشمل التنوع الكبير في جنسيات القوى العاملة وتسارع وتيرة التحول الرقمي وارتفاع سقف توقعات العملاء في ظل رؤية 2030 والانفتاح المتنامي على التجارب العالمية</w:t>
      </w:r>
      <w:r w:rsidRPr="00645D6F">
        <w:rPr>
          <w:rFonts w:ascii="Simplified Arabic" w:hAnsi="Simplified Arabic" w:cs="Simplified Arabic"/>
          <w:color w:val="000000" w:themeColor="text1"/>
          <w:sz w:val="28"/>
          <w:szCs w:val="28"/>
        </w:rPr>
        <w:t xml:space="preserve">. </w:t>
      </w:r>
      <w:r w:rsidRPr="00645D6F">
        <w:rPr>
          <w:rFonts w:ascii="Simplified Arabic" w:hAnsi="Simplified Arabic" w:cs="Simplified Arabic"/>
          <w:color w:val="000000" w:themeColor="text1"/>
          <w:sz w:val="28"/>
          <w:szCs w:val="28"/>
          <w:rtl/>
        </w:rPr>
        <w:t>وعليه، تأتي الدراسة الحالية لسدّ هذه الفجوة البحثية من خلال تقديم نموذج تحليلي متكامل يربط بين التمكين الوظيفي بأبعاده الأربعة (تفويض الصلاحيات، التدريب والتطوير، المشاركة في اتخاذ القرار، التحفيز) وبين سرعة حل المشكلات ورضا العملاء في سياق خدمة العملاء بالقطاع الخاص في مدينة الرياض، مما يُثري الأدب الإداري العربي بدراسة ميدانية تستجيب لخصوصية البيئة السعودية وتُقدّم إسهامًا نظريًا وعمليًا في آن واحد</w:t>
      </w:r>
      <w:r w:rsidRPr="00645D6F">
        <w:rPr>
          <w:rFonts w:ascii="Simplified Arabic" w:hAnsi="Simplified Arabic" w:cs="Simplified Arabic"/>
          <w:color w:val="000000" w:themeColor="text1"/>
          <w:sz w:val="28"/>
          <w:szCs w:val="28"/>
        </w:rPr>
        <w:t>.</w:t>
      </w:r>
    </w:p>
    <w:p w14:paraId="4DB658AE" w14:textId="77777777" w:rsidR="004A41F9" w:rsidRPr="00645D6F" w:rsidRDefault="004A41F9" w:rsidP="004A41F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3938081"/>
      <w:bookmarkEnd w:id="17"/>
      <w:bookmarkEnd w:id="18"/>
      <w:r w:rsidRPr="00645D6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0DE990E4" w14:textId="6774E978" w:rsidR="004A41F9" w:rsidRPr="00645D6F" w:rsidRDefault="004A41F9"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45D6F">
        <w:rPr>
          <w:rFonts w:ascii="Simplified Arabic" w:eastAsia="Times New Roman" w:hAnsi="Simplified Arabic" w:cs="Simplified Arabic"/>
          <w:b/>
          <w:bCs/>
          <w:color w:val="000000" w:themeColor="text1"/>
          <w:kern w:val="0"/>
          <w:sz w:val="32"/>
          <w:szCs w:val="32"/>
          <w:rtl/>
          <w14:ligatures w14:val="none"/>
        </w:rPr>
        <w:t>مفهوم التمكين الوظيفي</w:t>
      </w:r>
    </w:p>
    <w:p w14:paraId="6E39C340"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 xml:space="preserve">يُعدّ التمكين الوظيفي من المفاهيم الإدارية الحديثة التي حظيت باهتمام متزايد في الأدبيات الإدارية والتنظيمية منذ أواخر القرن العشرين، وقد تعددت التعريفات التي قُدمت لهذا المفهوم وفقًا لتعدد المنظورات النظرية التي تناولته. فمن المنظور الهيكلي يُشير التمكين الوظيفي إلى مجموعة الممارسات التنظيمية التي تتضمن نقل السلطة والصلاحيات من المستويات الإدارية العليا إلى المستويات الأدنى في الهيكل التنظيمي، بما يمنح الموظفين القدرة على اتخاذ القرارات والتصرف باستقلالية في إطار مسؤولياتهم الوظيفية (العريقي، 2020). أما من المنظور النفسي فقد عرّفه </w:t>
      </w:r>
      <w:r w:rsidRPr="00645D6F">
        <w:rPr>
          <w:rFonts w:ascii="Simplified Arabic" w:eastAsia="Times New Roman" w:hAnsi="Simplified Arabic" w:cs="Simplified Arabic"/>
          <w:color w:val="000000" w:themeColor="text1"/>
          <w:kern w:val="0"/>
          <w:sz w:val="28"/>
          <w:szCs w:val="28"/>
          <w14:ligatures w14:val="none"/>
        </w:rPr>
        <w:t xml:space="preserve">Spreitzer (1995) </w:t>
      </w:r>
      <w:r w:rsidRPr="00645D6F">
        <w:rPr>
          <w:rFonts w:ascii="Simplified Arabic" w:eastAsia="Times New Roman" w:hAnsi="Simplified Arabic" w:cs="Simplified Arabic"/>
          <w:color w:val="000000" w:themeColor="text1"/>
          <w:kern w:val="0"/>
          <w:sz w:val="28"/>
          <w:szCs w:val="28"/>
          <w:rtl/>
          <w14:ligatures w14:val="none"/>
        </w:rPr>
        <w:t>بأنه حالة دافعية جوهرية تتجلى في أربعة أبعاد إدراكية هي: المعنى، والكفاءة، والاستقلالية، والتأثير، حيث يشعر الموظف بأن عمله ذو قيمة وأنه يمتلك المهارات اللازمة لأدائه وأن لديه حرية في اختيار أسلوب تنفيذه وأنه قادر على التأثير في نتائج العمل. وفي سياق خدمة العملاء تحديدًا، يُعرّف التمكين الوظيفي بأنه منح موظفي الصفوف الأمامية الصلاحيات والموارد والمعرفة والتحفيز اللازم لاتخاذ قرارات فورية تتعلق بخدمة العملاء ومعالجة مشكلاتهم دون الحاجة إلى الرجوع المستمر إلى المستويات الإدارية الأعلى</w:t>
      </w:r>
      <w:r w:rsidRPr="00645D6F">
        <w:rPr>
          <w:rFonts w:ascii="Simplified Arabic" w:eastAsia="Times New Roman" w:hAnsi="Simplified Arabic" w:cs="Simplified Arabic"/>
          <w:color w:val="000000" w:themeColor="text1"/>
          <w:kern w:val="0"/>
          <w:sz w:val="28"/>
          <w:szCs w:val="28"/>
          <w14:ligatures w14:val="none"/>
        </w:rPr>
        <w:t xml:space="preserve"> (Kanjanakan et al., 2023).</w:t>
      </w:r>
    </w:p>
    <w:p w14:paraId="39046F0D" w14:textId="77777777" w:rsidR="00CA4A92" w:rsidRPr="00645D6F" w:rsidRDefault="00CA4A92"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608257"/>
      <w:r w:rsidRPr="00645D6F">
        <w:rPr>
          <w:rFonts w:ascii="Simplified Arabic" w:eastAsia="Times New Roman" w:hAnsi="Simplified Arabic" w:cs="Simplified Arabic"/>
          <w:b/>
          <w:bCs/>
          <w:color w:val="000000" w:themeColor="text1"/>
          <w:kern w:val="0"/>
          <w:sz w:val="32"/>
          <w:szCs w:val="32"/>
          <w:rtl/>
          <w14:ligatures w14:val="none"/>
        </w:rPr>
        <w:t>النظريات المفسرة للتمكين الوظيفي</w:t>
      </w:r>
      <w:bookmarkEnd w:id="22"/>
    </w:p>
    <w:p w14:paraId="7A2528D9"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يستند مفهوم التمكين الوظيفي إلى عدة نظريات إدارية وسلوكية تُشكّل الأساس النظري لفهم آلياته وتأثيراته. فنظرية التبادل الاجتماعي</w:t>
      </w:r>
      <w:r w:rsidRPr="00645D6F">
        <w:rPr>
          <w:rFonts w:ascii="Simplified Arabic" w:eastAsia="Times New Roman" w:hAnsi="Simplified Arabic" w:cs="Simplified Arabic"/>
          <w:color w:val="000000" w:themeColor="text1"/>
          <w:kern w:val="0"/>
          <w:sz w:val="28"/>
          <w:szCs w:val="28"/>
          <w14:ligatures w14:val="none"/>
        </w:rPr>
        <w:t xml:space="preserve"> (Social Exchange Theory) </w:t>
      </w:r>
      <w:r w:rsidRPr="00645D6F">
        <w:rPr>
          <w:rFonts w:ascii="Simplified Arabic" w:eastAsia="Times New Roman" w:hAnsi="Simplified Arabic" w:cs="Simplified Arabic"/>
          <w:color w:val="000000" w:themeColor="text1"/>
          <w:kern w:val="0"/>
          <w:sz w:val="28"/>
          <w:szCs w:val="28"/>
          <w:rtl/>
          <w14:ligatures w14:val="none"/>
        </w:rPr>
        <w:t>التي طرحها</w:t>
      </w:r>
      <w:r w:rsidRPr="00645D6F">
        <w:rPr>
          <w:rFonts w:ascii="Simplified Arabic" w:eastAsia="Times New Roman" w:hAnsi="Simplified Arabic" w:cs="Simplified Arabic"/>
          <w:color w:val="000000" w:themeColor="text1"/>
          <w:kern w:val="0"/>
          <w:sz w:val="28"/>
          <w:szCs w:val="28"/>
          <w14:ligatures w14:val="none"/>
        </w:rPr>
        <w:t xml:space="preserve"> Blau (1964) </w:t>
      </w:r>
      <w:r w:rsidRPr="00645D6F">
        <w:rPr>
          <w:rFonts w:ascii="Simplified Arabic" w:eastAsia="Times New Roman" w:hAnsi="Simplified Arabic" w:cs="Simplified Arabic"/>
          <w:color w:val="000000" w:themeColor="text1"/>
          <w:kern w:val="0"/>
          <w:sz w:val="28"/>
          <w:szCs w:val="28"/>
          <w:rtl/>
          <w14:ligatures w14:val="none"/>
        </w:rPr>
        <w:t>تُفسّر العلاقة التبادلية بين المنظمة والموظف، حيث أن منح المنظمة للموظف صلاحيات وفرص تدريب وحوافز يُولّد لديه شعورًا بالالتزام والمسؤولية تجاه المنظمة وعملائها، فيسعى إلى رد هذا الدعم من خلال تقديم أداء متميز وخدمة عالية الجودة. كما تُسهم نظرية التمكين النفسي</w:t>
      </w:r>
      <w:r w:rsidRPr="00645D6F">
        <w:rPr>
          <w:rFonts w:ascii="Simplified Arabic" w:eastAsia="Times New Roman" w:hAnsi="Simplified Arabic" w:cs="Simplified Arabic"/>
          <w:color w:val="000000" w:themeColor="text1"/>
          <w:kern w:val="0"/>
          <w:sz w:val="28"/>
          <w:szCs w:val="28"/>
          <w14:ligatures w14:val="none"/>
        </w:rPr>
        <w:t xml:space="preserve"> (Psychological Empowerment Theory) </w:t>
      </w:r>
      <w:r w:rsidRPr="00645D6F">
        <w:rPr>
          <w:rFonts w:ascii="Simplified Arabic" w:eastAsia="Times New Roman" w:hAnsi="Simplified Arabic" w:cs="Simplified Arabic"/>
          <w:color w:val="000000" w:themeColor="text1"/>
          <w:kern w:val="0"/>
          <w:sz w:val="28"/>
          <w:szCs w:val="28"/>
          <w:rtl/>
          <w14:ligatures w14:val="none"/>
        </w:rPr>
        <w:t>لـ</w:t>
      </w:r>
      <w:r w:rsidRPr="00645D6F">
        <w:rPr>
          <w:rFonts w:ascii="Simplified Arabic" w:eastAsia="Times New Roman" w:hAnsi="Simplified Arabic" w:cs="Simplified Arabic"/>
          <w:color w:val="000000" w:themeColor="text1"/>
          <w:kern w:val="0"/>
          <w:sz w:val="28"/>
          <w:szCs w:val="28"/>
          <w14:ligatures w14:val="none"/>
        </w:rPr>
        <w:t xml:space="preserve"> Spreitzer (1995) </w:t>
      </w:r>
      <w:r w:rsidRPr="00645D6F">
        <w:rPr>
          <w:rFonts w:ascii="Simplified Arabic" w:eastAsia="Times New Roman" w:hAnsi="Simplified Arabic" w:cs="Simplified Arabic"/>
          <w:color w:val="000000" w:themeColor="text1"/>
          <w:kern w:val="0"/>
          <w:sz w:val="28"/>
          <w:szCs w:val="28"/>
          <w:rtl/>
          <w14:ligatures w14:val="none"/>
        </w:rPr>
        <w:t>في تفسير الآليات النفسية الداخلية التي يتحول من خلالها التمكين الهيكلي إلى حالة دافعية تنعكس على سلوك الموظف وأدائه</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إضافة إلى ذلك، تُقدّم نظرية تقرير المصير</w:t>
      </w:r>
      <w:r w:rsidRPr="00645D6F">
        <w:rPr>
          <w:rFonts w:ascii="Simplified Arabic" w:eastAsia="Times New Roman" w:hAnsi="Simplified Arabic" w:cs="Simplified Arabic"/>
          <w:color w:val="000000" w:themeColor="text1"/>
          <w:kern w:val="0"/>
          <w:sz w:val="28"/>
          <w:szCs w:val="28"/>
          <w14:ligatures w14:val="none"/>
        </w:rPr>
        <w:t xml:space="preserve"> (Self-Determination Theory) </w:t>
      </w:r>
      <w:r w:rsidRPr="00645D6F">
        <w:rPr>
          <w:rFonts w:ascii="Simplified Arabic" w:eastAsia="Times New Roman" w:hAnsi="Simplified Arabic" w:cs="Simplified Arabic"/>
          <w:color w:val="000000" w:themeColor="text1"/>
          <w:kern w:val="0"/>
          <w:sz w:val="28"/>
          <w:szCs w:val="28"/>
          <w:rtl/>
          <w14:ligatures w14:val="none"/>
        </w:rPr>
        <w:t xml:space="preserve">لـ </w:t>
      </w:r>
      <w:r w:rsidRPr="00645D6F">
        <w:rPr>
          <w:rFonts w:ascii="Simplified Arabic" w:eastAsia="Times New Roman" w:hAnsi="Simplified Arabic" w:cs="Simplified Arabic"/>
          <w:color w:val="000000" w:themeColor="text1"/>
          <w:kern w:val="0"/>
          <w:sz w:val="28"/>
          <w:szCs w:val="28"/>
          <w14:ligatures w14:val="none"/>
        </w:rPr>
        <w:t xml:space="preserve">Deci &amp; Ryan </w:t>
      </w:r>
      <w:r w:rsidRPr="00645D6F">
        <w:rPr>
          <w:rFonts w:ascii="Simplified Arabic" w:eastAsia="Times New Roman" w:hAnsi="Simplified Arabic" w:cs="Simplified Arabic"/>
          <w:color w:val="000000" w:themeColor="text1"/>
          <w:kern w:val="0"/>
          <w:sz w:val="28"/>
          <w:szCs w:val="28"/>
          <w:rtl/>
          <w14:ligatures w14:val="none"/>
        </w:rPr>
        <w:t>إطارًا تفسيريًا لفهم كيفية تأثير إشباع الحاجات النفسية الأساسية للموظف (الاستقلالية، الكفاءة، الانتماء) على دافعيته الذاتية وجودة أدائه في خدمة العملاء</w:t>
      </w:r>
      <w:r w:rsidRPr="00645D6F">
        <w:rPr>
          <w:rFonts w:ascii="Simplified Arabic" w:eastAsia="Times New Roman" w:hAnsi="Simplified Arabic" w:cs="Simplified Arabic"/>
          <w:color w:val="000000" w:themeColor="text1"/>
          <w:kern w:val="0"/>
          <w:sz w:val="28"/>
          <w:szCs w:val="28"/>
          <w14:ligatures w14:val="none"/>
        </w:rPr>
        <w:t xml:space="preserve"> (Hoang et al., 2021).</w:t>
      </w:r>
    </w:p>
    <w:p w14:paraId="7E9D18F2" w14:textId="77777777" w:rsidR="00CA4A92" w:rsidRPr="00645D6F" w:rsidRDefault="00CA4A92"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608258"/>
      <w:r w:rsidRPr="00645D6F">
        <w:rPr>
          <w:rFonts w:ascii="Simplified Arabic" w:eastAsia="Times New Roman" w:hAnsi="Simplified Arabic" w:cs="Simplified Arabic"/>
          <w:b/>
          <w:bCs/>
          <w:color w:val="000000" w:themeColor="text1"/>
          <w:kern w:val="0"/>
          <w:sz w:val="32"/>
          <w:szCs w:val="32"/>
          <w:rtl/>
          <w14:ligatures w14:val="none"/>
        </w:rPr>
        <w:t>أبعاد التمكين الوظيفي في الدراسة الحالية</w:t>
      </w:r>
      <w:bookmarkEnd w:id="23"/>
    </w:p>
    <w:p w14:paraId="6BD2EF87"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تتبنى الدراسة الحالية أربعة أبعاد للتمكين الوظيفي تم اختيارها بناءً على مراجعة شاملة للأدبيات السابقة وملاءمتها لبيئة خدمة العملاء</w:t>
      </w:r>
      <w:r w:rsidRPr="00645D6F">
        <w:rPr>
          <w:rFonts w:ascii="Simplified Arabic" w:eastAsia="Times New Roman" w:hAnsi="Simplified Arabic" w:cs="Simplified Arabic"/>
          <w:color w:val="000000" w:themeColor="text1"/>
          <w:kern w:val="0"/>
          <w:sz w:val="28"/>
          <w:szCs w:val="28"/>
          <w14:ligatures w14:val="none"/>
        </w:rPr>
        <w:t>:</w:t>
      </w:r>
    </w:p>
    <w:p w14:paraId="163BF260"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تفويض الصلاحيات</w:t>
      </w:r>
      <w:r w:rsidRPr="00645D6F">
        <w:rPr>
          <w:rFonts w:ascii="Simplified Arabic" w:eastAsia="Times New Roman" w:hAnsi="Simplified Arabic" w:cs="Simplified Arabic"/>
          <w:color w:val="000000" w:themeColor="text1"/>
          <w:kern w:val="0"/>
          <w:sz w:val="28"/>
          <w:szCs w:val="28"/>
          <w14:ligatures w14:val="none"/>
        </w:rPr>
        <w:t xml:space="preserve"> (Delegation of Authority): </w:t>
      </w:r>
      <w:r w:rsidRPr="00645D6F">
        <w:rPr>
          <w:rFonts w:ascii="Simplified Arabic" w:eastAsia="Times New Roman" w:hAnsi="Simplified Arabic" w:cs="Simplified Arabic"/>
          <w:color w:val="000000" w:themeColor="text1"/>
          <w:kern w:val="0"/>
          <w:sz w:val="28"/>
          <w:szCs w:val="28"/>
          <w:rtl/>
          <w14:ligatures w14:val="none"/>
        </w:rPr>
        <w:t>ويُقصد به إجرائيًا في هذه الدراسة مدى منح موظفي خدمة العملاء في القطاع الخاص بمدينة الرياض صلاحيات كافية لاتخاذ القرارات المتعلقة بحل مشكلات العملاء ومعالجة شكاواهم وتقديم تعويضات أو حلول بديلة دون الحاجة إلى الحصول على موافقة مسبقة من المستويات الإدارية الأعلى في كل حالة، وهو ما أكدت الدراسات أنه يُسهم في تسريع عملية الاستجابة وتقليل الوقت المستغرق في حل المشكلات (اشتيوي، 2023)</w:t>
      </w:r>
      <w:r w:rsidRPr="00645D6F">
        <w:rPr>
          <w:rFonts w:ascii="Simplified Arabic" w:eastAsia="Times New Roman" w:hAnsi="Simplified Arabic" w:cs="Simplified Arabic"/>
          <w:color w:val="000000" w:themeColor="text1"/>
          <w:kern w:val="0"/>
          <w:sz w:val="28"/>
          <w:szCs w:val="28"/>
          <w14:ligatures w14:val="none"/>
        </w:rPr>
        <w:t>.</w:t>
      </w:r>
    </w:p>
    <w:p w14:paraId="14CE08BF"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التدريب والتطوير</w:t>
      </w:r>
      <w:r w:rsidRPr="00645D6F">
        <w:rPr>
          <w:rFonts w:ascii="Simplified Arabic" w:eastAsia="Times New Roman" w:hAnsi="Simplified Arabic" w:cs="Simplified Arabic"/>
          <w:color w:val="000000" w:themeColor="text1"/>
          <w:kern w:val="0"/>
          <w:sz w:val="28"/>
          <w:szCs w:val="28"/>
          <w14:ligatures w14:val="none"/>
        </w:rPr>
        <w:t xml:space="preserve"> (Training and Development): </w:t>
      </w:r>
      <w:r w:rsidRPr="00645D6F">
        <w:rPr>
          <w:rFonts w:ascii="Simplified Arabic" w:eastAsia="Times New Roman" w:hAnsi="Simplified Arabic" w:cs="Simplified Arabic"/>
          <w:color w:val="000000" w:themeColor="text1"/>
          <w:kern w:val="0"/>
          <w:sz w:val="28"/>
          <w:szCs w:val="28"/>
          <w:rtl/>
          <w14:ligatures w14:val="none"/>
        </w:rPr>
        <w:t xml:space="preserve">ويُقصد به إجرائيًا مدى توفير المنظمة لبرامج تدريبية منتظمة ومتخصصة لموظفي خدمة العملاء تُنمّي مهاراتهم في التواصل الفعّال وحل المشكلات واستخدام الأنظمة التقنية والتعامل مع المواقف الصعبة، بما يُعزز ثقتهم بقدراتهم ويرفع مستوى كفاءتهم في تقديم الخدمة. وقد أشارت دراسة منصور </w:t>
      </w:r>
      <w:r w:rsidRPr="00645D6F">
        <w:rPr>
          <w:rFonts w:ascii="Simplified Arabic" w:eastAsia="Times New Roman" w:hAnsi="Simplified Arabic" w:cs="Simplified Arabic"/>
          <w:color w:val="000000" w:themeColor="text1"/>
          <w:kern w:val="0"/>
          <w:sz w:val="28"/>
          <w:szCs w:val="28"/>
          <w14:ligatures w14:val="none"/>
        </w:rPr>
        <w:t xml:space="preserve">(2025) </w:t>
      </w:r>
      <w:r w:rsidRPr="00645D6F">
        <w:rPr>
          <w:rFonts w:ascii="Simplified Arabic" w:eastAsia="Times New Roman" w:hAnsi="Simplified Arabic" w:cs="Simplified Arabic"/>
          <w:color w:val="000000" w:themeColor="text1"/>
          <w:kern w:val="0"/>
          <w:sz w:val="28"/>
          <w:szCs w:val="28"/>
          <w:rtl/>
          <w14:ligatures w14:val="none"/>
        </w:rPr>
        <w:t>إلى أن التدريب يُعدّ من أكثر أبعاد التمكين تأثيرًا في تحسين أداء الموظفين</w:t>
      </w:r>
      <w:r w:rsidRPr="00645D6F">
        <w:rPr>
          <w:rFonts w:ascii="Simplified Arabic" w:eastAsia="Times New Roman" w:hAnsi="Simplified Arabic" w:cs="Simplified Arabic"/>
          <w:color w:val="000000" w:themeColor="text1"/>
          <w:kern w:val="0"/>
          <w:sz w:val="28"/>
          <w:szCs w:val="28"/>
          <w14:ligatures w14:val="none"/>
        </w:rPr>
        <w:t>.</w:t>
      </w:r>
    </w:p>
    <w:p w14:paraId="3F323FE2"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المشاركة في اتخاذ القرار</w:t>
      </w:r>
      <w:r w:rsidRPr="00645D6F">
        <w:rPr>
          <w:rFonts w:ascii="Simplified Arabic" w:eastAsia="Times New Roman" w:hAnsi="Simplified Arabic" w:cs="Simplified Arabic"/>
          <w:color w:val="000000" w:themeColor="text1"/>
          <w:kern w:val="0"/>
          <w:sz w:val="28"/>
          <w:szCs w:val="28"/>
          <w14:ligatures w14:val="none"/>
        </w:rPr>
        <w:t xml:space="preserve"> (Participation in Decision Making): </w:t>
      </w:r>
      <w:r w:rsidRPr="00645D6F">
        <w:rPr>
          <w:rFonts w:ascii="Simplified Arabic" w:eastAsia="Times New Roman" w:hAnsi="Simplified Arabic" w:cs="Simplified Arabic"/>
          <w:color w:val="000000" w:themeColor="text1"/>
          <w:kern w:val="0"/>
          <w:sz w:val="28"/>
          <w:szCs w:val="28"/>
          <w:rtl/>
          <w14:ligatures w14:val="none"/>
        </w:rPr>
        <w:t>ويُقصد بها إجرائيًا مدى إشراك موظفي خدمة العملاء في صياغة سياسات الخدمة وتطوير إجراءات العمل وطرح الأفكار والمقترحات المتعلقة بتحسين تجربة العميل، بحيث يشعر الموظف بأنه شريك فاعل في المنظمة وليس مجرد منفذ لتعليمات لا يُسهم في وضعها، وهو ما يُعزز الالتزام التنظيمي والمبادرة في حل المشكلات (برير وآخرون، 2024)</w:t>
      </w:r>
      <w:r w:rsidRPr="00645D6F">
        <w:rPr>
          <w:rFonts w:ascii="Simplified Arabic" w:eastAsia="Times New Roman" w:hAnsi="Simplified Arabic" w:cs="Simplified Arabic"/>
          <w:color w:val="000000" w:themeColor="text1"/>
          <w:kern w:val="0"/>
          <w:sz w:val="28"/>
          <w:szCs w:val="28"/>
          <w14:ligatures w14:val="none"/>
        </w:rPr>
        <w:t>.</w:t>
      </w:r>
    </w:p>
    <w:p w14:paraId="220AA412" w14:textId="3F97ECFF"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التحفيز</w:t>
      </w:r>
      <w:r w:rsidRPr="00645D6F">
        <w:rPr>
          <w:rFonts w:ascii="Simplified Arabic" w:eastAsia="Times New Roman" w:hAnsi="Simplified Arabic" w:cs="Simplified Arabic"/>
          <w:color w:val="000000" w:themeColor="text1"/>
          <w:kern w:val="0"/>
          <w:sz w:val="28"/>
          <w:szCs w:val="28"/>
          <w14:ligatures w14:val="none"/>
        </w:rPr>
        <w:t xml:space="preserve"> (Motivation): </w:t>
      </w:r>
      <w:r w:rsidRPr="00645D6F">
        <w:rPr>
          <w:rFonts w:ascii="Simplified Arabic" w:eastAsia="Times New Roman" w:hAnsi="Simplified Arabic" w:cs="Simplified Arabic"/>
          <w:color w:val="000000" w:themeColor="text1"/>
          <w:kern w:val="0"/>
          <w:sz w:val="28"/>
          <w:szCs w:val="28"/>
          <w:rtl/>
          <w14:ligatures w14:val="none"/>
        </w:rPr>
        <w:t xml:space="preserve">ويُقصد به إجرائيًا مدى توفير المنظمة لمنظومة متكاملة من الحوافز المادية والمعنوية التي تُشجّع موظفي خدمة العملاء على تقديم خدمة متميزة والمبادرة في حل مشكلات العملاء بسرعة وإبداع، وتشمل المكافآت المالية والتقدير المعنوي وفرص الترقي الوظيفي والتغذية الراجعة الإيجابية، وقد بيّن العريقي </w:t>
      </w:r>
      <w:r w:rsidRPr="00645D6F">
        <w:rPr>
          <w:rFonts w:ascii="Simplified Arabic" w:eastAsia="Times New Roman" w:hAnsi="Simplified Arabic" w:cs="Simplified Arabic"/>
          <w:color w:val="000000" w:themeColor="text1"/>
          <w:kern w:val="0"/>
          <w:sz w:val="28"/>
          <w:szCs w:val="28"/>
          <w14:ligatures w14:val="none"/>
        </w:rPr>
        <w:t xml:space="preserve">(2020) </w:t>
      </w:r>
      <w:r w:rsidRPr="00645D6F">
        <w:rPr>
          <w:rFonts w:ascii="Simplified Arabic" w:eastAsia="Times New Roman" w:hAnsi="Simplified Arabic" w:cs="Simplified Arabic"/>
          <w:color w:val="000000" w:themeColor="text1"/>
          <w:kern w:val="0"/>
          <w:sz w:val="28"/>
          <w:szCs w:val="28"/>
          <w:rtl/>
          <w14:ligatures w14:val="none"/>
        </w:rPr>
        <w:t>أن التحفيز يُعدّ محركًا أساسيًا لدافعية الموظف نحو تحقيق رضا العملاء</w:t>
      </w:r>
      <w:r w:rsidRPr="00645D6F">
        <w:rPr>
          <w:rFonts w:ascii="Simplified Arabic" w:eastAsia="Times New Roman" w:hAnsi="Simplified Arabic" w:cs="Simplified Arabic"/>
          <w:color w:val="000000" w:themeColor="text1"/>
          <w:kern w:val="0"/>
          <w:sz w:val="28"/>
          <w:szCs w:val="28"/>
          <w14:ligatures w14:val="none"/>
        </w:rPr>
        <w:t>.</w:t>
      </w:r>
    </w:p>
    <w:p w14:paraId="0D450781" w14:textId="77777777" w:rsidR="00CA4A92" w:rsidRPr="00645D6F" w:rsidRDefault="00CA4A92"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608259"/>
      <w:r w:rsidRPr="00645D6F">
        <w:rPr>
          <w:rFonts w:ascii="Simplified Arabic" w:eastAsia="Times New Roman" w:hAnsi="Simplified Arabic" w:cs="Simplified Arabic"/>
          <w:b/>
          <w:bCs/>
          <w:color w:val="000000" w:themeColor="text1"/>
          <w:kern w:val="0"/>
          <w:sz w:val="32"/>
          <w:szCs w:val="32"/>
          <w:rtl/>
          <w14:ligatures w14:val="none"/>
        </w:rPr>
        <w:t>ثانيًا: سرعة حل المشكلات ورضا العملاء</w:t>
      </w:r>
      <w:r w:rsidRPr="00645D6F">
        <w:rPr>
          <w:rFonts w:ascii="Simplified Arabic" w:eastAsia="Times New Roman" w:hAnsi="Simplified Arabic" w:cs="Simplified Arabic"/>
          <w:b/>
          <w:bCs/>
          <w:color w:val="000000" w:themeColor="text1"/>
          <w:kern w:val="0"/>
          <w:sz w:val="32"/>
          <w:szCs w:val="32"/>
          <w14:ligatures w14:val="none"/>
        </w:rPr>
        <w:t xml:space="preserve"> (Problem Resolution Speed and Customer Satisfaction)</w:t>
      </w:r>
      <w:bookmarkEnd w:id="24"/>
    </w:p>
    <w:p w14:paraId="2C3DA5D9" w14:textId="77777777" w:rsidR="00CA4A92" w:rsidRPr="00645D6F" w:rsidRDefault="00CA4A92"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3608260"/>
      <w:r w:rsidRPr="00645D6F">
        <w:rPr>
          <w:rFonts w:ascii="Simplified Arabic" w:eastAsia="Times New Roman" w:hAnsi="Simplified Arabic" w:cs="Simplified Arabic"/>
          <w:b/>
          <w:bCs/>
          <w:color w:val="000000" w:themeColor="text1"/>
          <w:kern w:val="0"/>
          <w:sz w:val="28"/>
          <w:szCs w:val="28"/>
          <w:rtl/>
          <w14:ligatures w14:val="none"/>
        </w:rPr>
        <w:t>مفهوم سرعة حل المشكلات</w:t>
      </w:r>
      <w:bookmarkEnd w:id="25"/>
    </w:p>
    <w:p w14:paraId="54104255"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تُشير سرعة حل المشكلات في سياق خدمة العملاء إلى قدرة المنظمة ممثلة بموظفيها على التعامل مع شكاوى العملاء ومشكلاتهم ومعالجتها في أقصر وقت ممكن وبأقل عدد من نقاط الاتصال، ويرتبط هذا المفهوم ارتباطًا وثيقًا بمؤشر الحل من أول اتصال</w:t>
      </w:r>
      <w:r w:rsidRPr="00645D6F">
        <w:rPr>
          <w:rFonts w:ascii="Simplified Arabic" w:eastAsia="Times New Roman" w:hAnsi="Simplified Arabic" w:cs="Simplified Arabic"/>
          <w:color w:val="000000" w:themeColor="text1"/>
          <w:kern w:val="0"/>
          <w:sz w:val="28"/>
          <w:szCs w:val="28"/>
          <w14:ligatures w14:val="none"/>
        </w:rPr>
        <w:t xml:space="preserve"> (First Contact Resolution - FCR) </w:t>
      </w:r>
      <w:r w:rsidRPr="00645D6F">
        <w:rPr>
          <w:rFonts w:ascii="Simplified Arabic" w:eastAsia="Times New Roman" w:hAnsi="Simplified Arabic" w:cs="Simplified Arabic"/>
          <w:color w:val="000000" w:themeColor="text1"/>
          <w:kern w:val="0"/>
          <w:sz w:val="28"/>
          <w:szCs w:val="28"/>
          <w:rtl/>
          <w14:ligatures w14:val="none"/>
        </w:rPr>
        <w:t>الذي يُعدّ من أهم مقاييس الأداء في مراكز خدمة العملاء الحديثة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ويتطلب تحقيق السرعة في حل المشكلات توافر عدة عوامل أبرزها تمتع الموظف بالصلاحيات والمعرفة والمهارات اللازمة، وهو ما يُبرز العلاقة العضوية بين التمكين الوظيفي وسرعة حل المشكلات</w:t>
      </w:r>
      <w:r w:rsidRPr="00645D6F">
        <w:rPr>
          <w:rFonts w:ascii="Simplified Arabic" w:eastAsia="Times New Roman" w:hAnsi="Simplified Arabic" w:cs="Simplified Arabic"/>
          <w:color w:val="000000" w:themeColor="text1"/>
          <w:kern w:val="0"/>
          <w:sz w:val="28"/>
          <w:szCs w:val="28"/>
          <w14:ligatures w14:val="none"/>
        </w:rPr>
        <w:t xml:space="preserve"> (Cheng et al., 2019).</w:t>
      </w:r>
    </w:p>
    <w:p w14:paraId="0ECDA22E" w14:textId="77777777" w:rsidR="00CA4A92" w:rsidRPr="00645D6F" w:rsidRDefault="00CA4A92"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6" w:name="_Toc223608261"/>
      <w:r w:rsidRPr="00645D6F">
        <w:rPr>
          <w:rFonts w:ascii="Simplified Arabic" w:eastAsia="Times New Roman" w:hAnsi="Simplified Arabic" w:cs="Simplified Arabic"/>
          <w:b/>
          <w:bCs/>
          <w:color w:val="000000" w:themeColor="text1"/>
          <w:kern w:val="0"/>
          <w:sz w:val="28"/>
          <w:szCs w:val="28"/>
          <w:rtl/>
          <w14:ligatures w14:val="none"/>
        </w:rPr>
        <w:t>مفهوم رضا العملاء</w:t>
      </w:r>
      <w:bookmarkEnd w:id="26"/>
    </w:p>
    <w:p w14:paraId="01D37663"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يُعرّف رضا العملاء بأنه الحالة الشعورية الناتجة عن مقارنة العميل بين توقعاته المسبقة عن الخدمة وبين إدراكه الفعلي لمستوى الخدمة المقدمة له، فإذا تطابق الأداء مع التوقعات أو تجاوزها تحقق الرضا، وإذا قصّر الأداء عن التوقعات نشأ الاستياء (عثمان والوزير، 2024). ويُقصد برضا العملاء إجرائيًا في هذه الدراسة تقييم عملاء شركات القطاع الخاص بمدينة الرياض لمستوى جودة الخدمة المقدمة لهم من حيث سرعة الاستجابة لمشكلاتهم وفاعلية الحلول المقدمة وعدالة المعاملة وجودة التفاعل البشري مع موظفي خدمة العملاء</w:t>
      </w:r>
      <w:r w:rsidRPr="00645D6F">
        <w:rPr>
          <w:rFonts w:ascii="Simplified Arabic" w:eastAsia="Times New Roman" w:hAnsi="Simplified Arabic" w:cs="Simplified Arabic"/>
          <w:color w:val="000000" w:themeColor="text1"/>
          <w:kern w:val="0"/>
          <w:sz w:val="28"/>
          <w:szCs w:val="28"/>
          <w14:ligatures w14:val="none"/>
        </w:rPr>
        <w:t>.</w:t>
      </w:r>
    </w:p>
    <w:p w14:paraId="287165DE" w14:textId="77777777" w:rsidR="00CA4A92" w:rsidRPr="00645D6F" w:rsidRDefault="00CA4A92" w:rsidP="004A41F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7" w:name="_Toc223608262"/>
      <w:r w:rsidRPr="00645D6F">
        <w:rPr>
          <w:rFonts w:ascii="Simplified Arabic" w:eastAsia="Times New Roman" w:hAnsi="Simplified Arabic" w:cs="Simplified Arabic"/>
          <w:b/>
          <w:bCs/>
          <w:color w:val="000000" w:themeColor="text1"/>
          <w:kern w:val="0"/>
          <w:sz w:val="28"/>
          <w:szCs w:val="28"/>
          <w:rtl/>
          <w14:ligatures w14:val="none"/>
        </w:rPr>
        <w:t>العلاقة بين معالجة الشكاوى واسترداد الخدمة ورضا العملاء</w:t>
      </w:r>
      <w:bookmarkEnd w:id="27"/>
    </w:p>
    <w:p w14:paraId="215DCE71"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تُشكّل معالجة الشكاوى واسترداد الخدمة </w:t>
      </w:r>
      <w:r w:rsidRPr="00645D6F">
        <w:rPr>
          <w:rFonts w:ascii="Simplified Arabic" w:eastAsia="Times New Roman" w:hAnsi="Simplified Arabic" w:cs="Simplified Arabic"/>
          <w:color w:val="000000" w:themeColor="text1"/>
          <w:kern w:val="0"/>
          <w:sz w:val="28"/>
          <w:szCs w:val="28"/>
          <w14:ligatures w14:val="none"/>
        </w:rPr>
        <w:t xml:space="preserve">(Service Recovery) </w:t>
      </w:r>
      <w:r w:rsidRPr="00645D6F">
        <w:rPr>
          <w:rFonts w:ascii="Simplified Arabic" w:eastAsia="Times New Roman" w:hAnsi="Simplified Arabic" w:cs="Simplified Arabic"/>
          <w:color w:val="000000" w:themeColor="text1"/>
          <w:kern w:val="0"/>
          <w:sz w:val="28"/>
          <w:szCs w:val="28"/>
          <w:rtl/>
          <w14:ligatures w14:val="none"/>
        </w:rPr>
        <w:t>محورًا جوهريًا في تحقيق رضا العملاء والحفاظ على ولائهم، إذ تُتيح للمنظمة فرصة تحويل تجربة الفشل الخدمي إلى تجربة إيجابية تُعزز ثقة العميل. وقد أكدت الأدبيات أن إدراك العميل للعدالة في معالجة شكواه بأبعادها الثلاثة (التوزيعية والإجرائية والتفاعلية) يُعدّ المحدد الأساسي لرضاه عن عملية الاسترداد</w:t>
      </w:r>
      <w:r w:rsidRPr="00645D6F">
        <w:rPr>
          <w:rFonts w:ascii="Simplified Arabic" w:eastAsia="Times New Roman" w:hAnsi="Simplified Arabic" w:cs="Simplified Arabic"/>
          <w:color w:val="000000" w:themeColor="text1"/>
          <w:kern w:val="0"/>
          <w:sz w:val="28"/>
          <w:szCs w:val="28"/>
          <w14:ligatures w14:val="none"/>
        </w:rPr>
        <w:t xml:space="preserve"> (Adzhigalieva et al., 2022). </w:t>
      </w:r>
      <w:r w:rsidRPr="00645D6F">
        <w:rPr>
          <w:rFonts w:ascii="Simplified Arabic" w:eastAsia="Times New Roman" w:hAnsi="Simplified Arabic" w:cs="Simplified Arabic"/>
          <w:color w:val="000000" w:themeColor="text1"/>
          <w:kern w:val="0"/>
          <w:sz w:val="28"/>
          <w:szCs w:val="28"/>
          <w:rtl/>
          <w14:ligatures w14:val="none"/>
        </w:rPr>
        <w:t>كما أن سرعة الاستجابة في حل المشكلة تُمثّل أحد أهم عوامل استرداد الخدمة التي تؤثر في إدراك العميل للعدالة الإجرائية ورضاه الإجمالي</w:t>
      </w:r>
      <w:r w:rsidRPr="00645D6F">
        <w:rPr>
          <w:rFonts w:ascii="Simplified Arabic" w:eastAsia="Times New Roman" w:hAnsi="Simplified Arabic" w:cs="Simplified Arabic"/>
          <w:color w:val="000000" w:themeColor="text1"/>
          <w:kern w:val="0"/>
          <w:sz w:val="28"/>
          <w:szCs w:val="28"/>
          <w14:ligatures w14:val="none"/>
        </w:rPr>
        <w:t xml:space="preserve"> (Morgeson et al., 2020). </w:t>
      </w:r>
      <w:r w:rsidRPr="00645D6F">
        <w:rPr>
          <w:rFonts w:ascii="Simplified Arabic" w:eastAsia="Times New Roman" w:hAnsi="Simplified Arabic" w:cs="Simplified Arabic"/>
          <w:color w:val="000000" w:themeColor="text1"/>
          <w:kern w:val="0"/>
          <w:sz w:val="28"/>
          <w:szCs w:val="28"/>
          <w:rtl/>
          <w14:ligatures w14:val="none"/>
        </w:rPr>
        <w:t>وقد بيّنت دراسة</w:t>
      </w:r>
      <w:r w:rsidRPr="00645D6F">
        <w:rPr>
          <w:rFonts w:ascii="Simplified Arabic" w:eastAsia="Times New Roman" w:hAnsi="Simplified Arabic" w:cs="Simplified Arabic"/>
          <w:color w:val="000000" w:themeColor="text1"/>
          <w:kern w:val="0"/>
          <w:sz w:val="28"/>
          <w:szCs w:val="28"/>
          <w14:ligatures w14:val="none"/>
        </w:rPr>
        <w:t xml:space="preserve"> Jeanpert et al. (2021) </w:t>
      </w:r>
      <w:r w:rsidRPr="00645D6F">
        <w:rPr>
          <w:rFonts w:ascii="Simplified Arabic" w:eastAsia="Times New Roman" w:hAnsi="Simplified Arabic" w:cs="Simplified Arabic"/>
          <w:color w:val="000000" w:themeColor="text1"/>
          <w:kern w:val="0"/>
          <w:sz w:val="28"/>
          <w:szCs w:val="28"/>
          <w:rtl/>
          <w14:ligatures w14:val="none"/>
        </w:rPr>
        <w:t>أن التفاعل البشري المباشر بين الموظف والعميل في أثناء معالجة الشكوى يُعزز إدراك العميل للعدالة ويُحسّن مستوى رضاه عن الاسترداد، وهو ما يُبرز الدور المحوري لموظف خدمة العملاء المُمكَّن في تحقيق رضا العملاء. كما أشارت دراسة</w:t>
      </w:r>
      <w:r w:rsidRPr="00645D6F">
        <w:rPr>
          <w:rFonts w:ascii="Simplified Arabic" w:eastAsia="Times New Roman" w:hAnsi="Simplified Arabic" w:cs="Simplified Arabic"/>
          <w:color w:val="000000" w:themeColor="text1"/>
          <w:kern w:val="0"/>
          <w:sz w:val="28"/>
          <w:szCs w:val="28"/>
          <w14:ligatures w14:val="none"/>
        </w:rPr>
        <w:t xml:space="preserve"> Ozkan-Tektas &amp; Basgoze (2023) </w:t>
      </w:r>
      <w:r w:rsidRPr="00645D6F">
        <w:rPr>
          <w:rFonts w:ascii="Simplified Arabic" w:eastAsia="Times New Roman" w:hAnsi="Simplified Arabic" w:cs="Simplified Arabic"/>
          <w:color w:val="000000" w:themeColor="text1"/>
          <w:kern w:val="0"/>
          <w:sz w:val="28"/>
          <w:szCs w:val="28"/>
          <w:rtl/>
          <w14:ligatures w14:val="none"/>
        </w:rPr>
        <w:t>إلى أن سرعة الاستجابة والتعويض المناسب يُسهمان في تعزيز تسامح العملاء ورضاهم بعد فشل الخدمة، وأن مصداقية الاعتذار تُعدّل هذه العلاقة</w:t>
      </w:r>
      <w:r w:rsidRPr="00645D6F">
        <w:rPr>
          <w:rFonts w:ascii="Simplified Arabic" w:eastAsia="Times New Roman" w:hAnsi="Simplified Arabic" w:cs="Simplified Arabic"/>
          <w:color w:val="000000" w:themeColor="text1"/>
          <w:kern w:val="0"/>
          <w:sz w:val="28"/>
          <w:szCs w:val="28"/>
          <w14:ligatures w14:val="none"/>
        </w:rPr>
        <w:t>.</w:t>
      </w:r>
    </w:p>
    <w:p w14:paraId="32657EA6" w14:textId="1087669D" w:rsidR="004A41F9" w:rsidRPr="00645D6F" w:rsidRDefault="004A41F9" w:rsidP="004A41F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169790506"/>
      <w:bookmarkStart w:id="29" w:name="_Toc233938082"/>
      <w:bookmarkEnd w:id="20"/>
      <w:r w:rsidRPr="00645D6F">
        <w:rPr>
          <w:rFonts w:ascii="Simplified Arabic" w:eastAsia="Times New Roman" w:hAnsi="Simplified Arabic" w:cs="Simplified Arabic"/>
          <w:b/>
          <w:bCs/>
          <w:color w:val="000000" w:themeColor="text1"/>
          <w:kern w:val="0"/>
          <w:sz w:val="36"/>
          <w:szCs w:val="36"/>
          <w:rtl/>
          <w14:ligatures w14:val="none"/>
        </w:rPr>
        <w:lastRenderedPageBreak/>
        <w:t>10.1 المنهجية وطرق البحث:</w:t>
      </w:r>
      <w:bookmarkEnd w:id="29"/>
    </w:p>
    <w:p w14:paraId="46AC992C"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الأنسب لتحقيق أهداف الدراسة الحالية، إذ يُتيح وصف الظاهرة موضع الدراسة كما هي في الواقع وتحليل العلاقات والأثر بين متغيراتها بصورة كمية دقيقة. ويتلاءم هذا المنهج مع طبيعة الدراسة التي تسعى إلى قياس أثر التمكين الوظيفي بأبعاده الأربعة (تفويض الصلاحيات، التدريب والتطوير، المشاركة في اتخاذ القرار، التحفيز) على سرعة حل المشكلات ورضا العملاء، حيث سيتم جمع البيانات من خلال أداة الاستبانة المصممة خصيصًا لهذا الغرض وتحليلها إحصائيًا لاختبار فرضيات الدراسة</w:t>
      </w:r>
      <w:r w:rsidRPr="00645D6F">
        <w:rPr>
          <w:rFonts w:ascii="Simplified Arabic" w:eastAsia="Times New Roman" w:hAnsi="Simplified Arabic" w:cs="Simplified Arabic"/>
          <w:color w:val="000000" w:themeColor="text1"/>
          <w:kern w:val="0"/>
          <w:sz w:val="28"/>
          <w:szCs w:val="28"/>
          <w14:ligatures w14:val="none"/>
        </w:rPr>
        <w:t>.</w:t>
      </w:r>
    </w:p>
    <w:p w14:paraId="667CFFEE"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وسوف تمر الدراسة بمرحلتين أساسيتين: المرحلة الأولى نظرية تتضمن مراجعة شاملة للأدبيات والدراسات السابقة ذات الصلة بالتمكين الوظيفي وسرعة حل المشكلات ورضا العملاء بهدف بناء الإطار النظري وصياغة الفرضيات، والمرحلة الثانية ميدانية تتضمن تصميم أداة الدراسة وتوزيعها على عينة الدراسة وجمع البيانات الأولية وتحليلها باستخدام الأساليب الإحصائية المناسبة للوصول إلى النتائج والتوصيات</w:t>
      </w:r>
      <w:r w:rsidRPr="00645D6F">
        <w:rPr>
          <w:rFonts w:ascii="Simplified Arabic" w:eastAsia="Times New Roman" w:hAnsi="Simplified Arabic" w:cs="Simplified Arabic"/>
          <w:color w:val="000000" w:themeColor="text1"/>
          <w:kern w:val="0"/>
          <w:sz w:val="28"/>
          <w:szCs w:val="28"/>
          <w14:ligatures w14:val="none"/>
        </w:rPr>
        <w:t>.</w:t>
      </w:r>
    </w:p>
    <w:p w14:paraId="3127A19A" w14:textId="0A0BA071" w:rsidR="00CA4A92" w:rsidRPr="00645D6F" w:rsidRDefault="004A41F9" w:rsidP="004A41F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3608264"/>
      <w:bookmarkStart w:id="31" w:name="_Toc233938083"/>
      <w:r w:rsidRPr="00645D6F">
        <w:rPr>
          <w:rFonts w:ascii="Simplified Arabic" w:eastAsia="Times New Roman" w:hAnsi="Simplified Arabic" w:cs="Simplified Arabic" w:hint="cs"/>
          <w:b/>
          <w:bCs/>
          <w:color w:val="000000" w:themeColor="text1"/>
          <w:kern w:val="36"/>
          <w:sz w:val="36"/>
          <w:szCs w:val="36"/>
          <w:rtl/>
          <w14:ligatures w14:val="none"/>
        </w:rPr>
        <w:t xml:space="preserve">11.1 </w:t>
      </w:r>
      <w:r w:rsidR="00CA4A92" w:rsidRPr="00645D6F">
        <w:rPr>
          <w:rFonts w:ascii="Simplified Arabic" w:eastAsia="Times New Roman" w:hAnsi="Simplified Arabic" w:cs="Simplified Arabic"/>
          <w:b/>
          <w:bCs/>
          <w:color w:val="000000" w:themeColor="text1"/>
          <w:kern w:val="36"/>
          <w:sz w:val="36"/>
          <w:szCs w:val="36"/>
          <w:rtl/>
          <w14:ligatures w14:val="none"/>
        </w:rPr>
        <w:t>مجتمع الدراسة وعينتها</w:t>
      </w:r>
      <w:bookmarkEnd w:id="30"/>
      <w:bookmarkEnd w:id="31"/>
    </w:p>
    <w:p w14:paraId="586F6311"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موظفي خدمة العملاء العاملين في القطاع الخاص بمدينة الرياض، والذين يمارسون مهام التواصل المباشر مع العملاء ومعالجة شكاواهم وحل مشكلاتهم في قطاعات متعددة تشمل الاتصالات والبنوك والتأمين والتجزئة. ونظرًا لصعوبة حصر مجتمع الدراسة بدقة كاملة بسبب تعدد الشركات والقطاعات وتوزعها الجغرافي الواسع في مدينة الرياض، فإن مجتمع الدراسة يُصنّف على أنه مجتمع غير محدود </w:t>
      </w:r>
      <w:r w:rsidRPr="00645D6F">
        <w:rPr>
          <w:rFonts w:ascii="Simplified Arabic" w:eastAsia="Times New Roman" w:hAnsi="Simplified Arabic" w:cs="Simplified Arabic"/>
          <w:color w:val="000000" w:themeColor="text1"/>
          <w:kern w:val="0"/>
          <w:sz w:val="28"/>
          <w:szCs w:val="28"/>
          <w14:ligatures w14:val="none"/>
        </w:rPr>
        <w:t>(Infinite Population)</w:t>
      </w:r>
      <w:r w:rsidRPr="00645D6F">
        <w:rPr>
          <w:rFonts w:ascii="Simplified Arabic" w:eastAsia="Times New Roman" w:hAnsi="Simplified Arabic" w:cs="Simplified Arabic"/>
          <w:color w:val="000000" w:themeColor="text1"/>
          <w:kern w:val="0"/>
          <w:sz w:val="28"/>
          <w:szCs w:val="28"/>
          <w:rtl/>
          <w14:ligatures w14:val="none"/>
        </w:rPr>
        <w:t>، ويُقدّر بعدة آلاف من الموظفين الذين يعملون في وظائف خدمة العملاء بمختلف مستوياتها التنظيمية</w:t>
      </w:r>
      <w:r w:rsidRPr="00645D6F">
        <w:rPr>
          <w:rFonts w:ascii="Simplified Arabic" w:eastAsia="Times New Roman" w:hAnsi="Simplified Arabic" w:cs="Simplified Arabic"/>
          <w:color w:val="000000" w:themeColor="text1"/>
          <w:kern w:val="0"/>
          <w:sz w:val="28"/>
          <w:szCs w:val="28"/>
          <w14:ligatures w14:val="none"/>
        </w:rPr>
        <w:t>.</w:t>
      </w:r>
    </w:p>
    <w:p w14:paraId="44386003"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w:t>
      </w:r>
      <w:r w:rsidRPr="00645D6F">
        <w:rPr>
          <w:rFonts w:ascii="Simplified Arabic" w:eastAsia="Times New Roman" w:hAnsi="Simplified Arabic" w:cs="Simplified Arabic"/>
          <w:color w:val="000000" w:themeColor="text1"/>
          <w:kern w:val="0"/>
          <w:sz w:val="28"/>
          <w:szCs w:val="28"/>
          <w14:ligatures w14:val="none"/>
        </w:rPr>
        <w:t xml:space="preserve"> (Stratified Random Sampling) </w:t>
      </w:r>
      <w:r w:rsidRPr="00645D6F">
        <w:rPr>
          <w:rFonts w:ascii="Simplified Arabic" w:eastAsia="Times New Roman" w:hAnsi="Simplified Arabic" w:cs="Simplified Arabic"/>
          <w:color w:val="000000" w:themeColor="text1"/>
          <w:kern w:val="0"/>
          <w:sz w:val="28"/>
          <w:szCs w:val="28"/>
          <w:rtl/>
          <w14:ligatures w14:val="none"/>
        </w:rPr>
        <w:t>لضمان تمثيل القطاعات المختلفة، حيث سيتم تقسيم مجتمع الدراسة إلى طبقات وفقًا لنوع القطاع (اتصالات، بنوك، تأمين، تجزئة) ثم سحب عينة عشوائية من كل طبقة بما يتناسب مع حجمها النسبي</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وبناءً على معادلة كوكران</w:t>
      </w:r>
      <w:r w:rsidRPr="00645D6F">
        <w:rPr>
          <w:rFonts w:ascii="Simplified Arabic" w:eastAsia="Times New Roman" w:hAnsi="Simplified Arabic" w:cs="Simplified Arabic"/>
          <w:color w:val="000000" w:themeColor="text1"/>
          <w:kern w:val="0"/>
          <w:sz w:val="28"/>
          <w:szCs w:val="28"/>
          <w14:ligatures w14:val="none"/>
        </w:rPr>
        <w:t xml:space="preserve"> (Cochran) </w:t>
      </w:r>
      <w:r w:rsidRPr="00645D6F">
        <w:rPr>
          <w:rFonts w:ascii="Simplified Arabic" w:eastAsia="Times New Roman" w:hAnsi="Simplified Arabic" w:cs="Simplified Arabic"/>
          <w:color w:val="000000" w:themeColor="text1"/>
          <w:kern w:val="0"/>
          <w:sz w:val="28"/>
          <w:szCs w:val="28"/>
          <w:rtl/>
          <w14:ligatures w14:val="none"/>
        </w:rPr>
        <w:t xml:space="preserve">للمجتمعات غير المحدودة عند مستوى ثقة </w:t>
      </w:r>
      <w:r w:rsidRPr="00645D6F">
        <w:rPr>
          <w:rFonts w:ascii="Simplified Arabic" w:eastAsia="Times New Roman" w:hAnsi="Simplified Arabic" w:cs="Simplified Arabic"/>
          <w:color w:val="000000" w:themeColor="text1"/>
          <w:kern w:val="0"/>
          <w:sz w:val="28"/>
          <w:szCs w:val="28"/>
          <w14:ligatures w14:val="none"/>
        </w:rPr>
        <w:t xml:space="preserve">(95%) </w:t>
      </w:r>
      <w:r w:rsidRPr="00645D6F">
        <w:rPr>
          <w:rFonts w:ascii="Simplified Arabic" w:eastAsia="Times New Roman" w:hAnsi="Simplified Arabic" w:cs="Simplified Arabic"/>
          <w:color w:val="000000" w:themeColor="text1"/>
          <w:kern w:val="0"/>
          <w:sz w:val="28"/>
          <w:szCs w:val="28"/>
          <w:rtl/>
          <w14:ligatures w14:val="none"/>
        </w:rPr>
        <w:t xml:space="preserve">وهامش خطأ (5%)، فإن الحد الأدنى المطلوب للعينة هو (384) مفردة، وسيتم توزيع (450) استبانة لتعويض الفاقد المتوقع في </w:t>
      </w:r>
      <w:r w:rsidRPr="00645D6F">
        <w:rPr>
          <w:rFonts w:ascii="Simplified Arabic" w:eastAsia="Times New Roman" w:hAnsi="Simplified Arabic" w:cs="Simplified Arabic"/>
          <w:color w:val="000000" w:themeColor="text1"/>
          <w:kern w:val="0"/>
          <w:sz w:val="28"/>
          <w:szCs w:val="28"/>
          <w:rtl/>
          <w14:ligatures w14:val="none"/>
        </w:rPr>
        <w:lastRenderedPageBreak/>
        <w:t>الاستجابات غير المكتملة أو المفقودة، بما يضمن الحصول على عدد كافٍ من الاستبانات الصالحة للتحليل الإحصائي</w:t>
      </w:r>
      <w:r w:rsidRPr="00645D6F">
        <w:rPr>
          <w:rFonts w:ascii="Simplified Arabic" w:eastAsia="Times New Roman" w:hAnsi="Simplified Arabic" w:cs="Simplified Arabic"/>
          <w:color w:val="000000" w:themeColor="text1"/>
          <w:kern w:val="0"/>
          <w:sz w:val="28"/>
          <w:szCs w:val="28"/>
          <w14:ligatures w14:val="none"/>
        </w:rPr>
        <w:t>.</w:t>
      </w:r>
    </w:p>
    <w:p w14:paraId="37BE14A4" w14:textId="0AC16ABF" w:rsidR="00CA4A92" w:rsidRPr="00645D6F" w:rsidRDefault="004A41F9" w:rsidP="004A41F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608265"/>
      <w:bookmarkStart w:id="33" w:name="_Toc233938084"/>
      <w:r w:rsidRPr="00645D6F">
        <w:rPr>
          <w:rFonts w:ascii="Simplified Arabic" w:eastAsia="Times New Roman" w:hAnsi="Simplified Arabic" w:cs="Simplified Arabic" w:hint="cs"/>
          <w:b/>
          <w:bCs/>
          <w:color w:val="000000" w:themeColor="text1"/>
          <w:kern w:val="36"/>
          <w:sz w:val="36"/>
          <w:szCs w:val="36"/>
          <w:rtl/>
          <w14:ligatures w14:val="none"/>
        </w:rPr>
        <w:t xml:space="preserve">12.1 </w:t>
      </w:r>
      <w:r w:rsidR="00CA4A92" w:rsidRPr="00645D6F">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2"/>
      <w:bookmarkEnd w:id="33"/>
    </w:p>
    <w:p w14:paraId="122AB4CB"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ستعتمد الدراسة على نوعين من مصادر البيانات</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المصادر الثانوية والتي تشمل الكتب والمراجع العلمية والدوريات والمجلات المحكّمة والرسائل الجامعية وقواعد البيانات الإلكترونية العربية والأجنبية ذات الصلة بموضوع التمكين الوظيفي وسرعة حل المشكلات ورضا العملاء، وذلك لبناء الإطار النظري ومراجعة الدراسات السابقة. والمصادر الأولية والتي تتمثل في البيانات التي سيتم جمعها ميدانيًا من خلال أداة الاستبانة المصممة خصيصًا لأغراض هذه الدراسة والموجّهة إلى موظفي خدمة العملاء في القطاع الخاص بمدينة الرياض</w:t>
      </w:r>
      <w:r w:rsidRPr="00645D6F">
        <w:rPr>
          <w:rFonts w:ascii="Simplified Arabic" w:eastAsia="Times New Roman" w:hAnsi="Simplified Arabic" w:cs="Simplified Arabic"/>
          <w:color w:val="000000" w:themeColor="text1"/>
          <w:kern w:val="0"/>
          <w:sz w:val="28"/>
          <w:szCs w:val="28"/>
          <w14:ligatures w14:val="none"/>
        </w:rPr>
        <w:t>.</w:t>
      </w:r>
    </w:p>
    <w:p w14:paraId="768B75F6" w14:textId="26C7C197" w:rsidR="00CA4A92" w:rsidRPr="00645D6F" w:rsidRDefault="004A41F9" w:rsidP="004A41F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608266"/>
      <w:bookmarkStart w:id="35" w:name="_Toc233938085"/>
      <w:r w:rsidRPr="00645D6F">
        <w:rPr>
          <w:rFonts w:ascii="Simplified Arabic" w:eastAsia="Times New Roman" w:hAnsi="Simplified Arabic" w:cs="Simplified Arabic" w:hint="cs"/>
          <w:b/>
          <w:bCs/>
          <w:color w:val="000000" w:themeColor="text1"/>
          <w:kern w:val="36"/>
          <w:sz w:val="36"/>
          <w:szCs w:val="36"/>
          <w:rtl/>
          <w14:ligatures w14:val="none"/>
        </w:rPr>
        <w:t xml:space="preserve">13.1 </w:t>
      </w:r>
      <w:r w:rsidR="00CA4A92" w:rsidRPr="00645D6F">
        <w:rPr>
          <w:rFonts w:ascii="Simplified Arabic" w:eastAsia="Times New Roman" w:hAnsi="Simplified Arabic" w:cs="Simplified Arabic"/>
          <w:b/>
          <w:bCs/>
          <w:color w:val="000000" w:themeColor="text1"/>
          <w:kern w:val="36"/>
          <w:sz w:val="36"/>
          <w:szCs w:val="36"/>
          <w:rtl/>
          <w14:ligatures w14:val="none"/>
        </w:rPr>
        <w:t>أداة الدراسة</w:t>
      </w:r>
      <w:bookmarkEnd w:id="34"/>
      <w:bookmarkEnd w:id="35"/>
    </w:p>
    <w:p w14:paraId="5F3963D0" w14:textId="77777777" w:rsidR="00CA4A92" w:rsidRPr="00645D6F" w:rsidRDefault="00CA4A92" w:rsidP="00D67C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45D6F">
        <w:rPr>
          <w:rFonts w:ascii="Simplified Arabic" w:eastAsia="Times New Roman" w:hAnsi="Simplified Arabic" w:cs="Simplified Arabic"/>
          <w:b/>
          <w:bCs/>
          <w:color w:val="000000" w:themeColor="text1"/>
          <w:kern w:val="0"/>
          <w:sz w:val="28"/>
          <w:szCs w:val="28"/>
          <w:rtl/>
          <w14:ligatures w14:val="none"/>
        </w:rPr>
        <w:t>سيتم تصميم استبانة مُحكّمة كأداة رئيسية لجمع البيانات الأولية، وستتكون من ثلاثة أقسام رئيسية</w:t>
      </w:r>
      <w:r w:rsidRPr="00645D6F">
        <w:rPr>
          <w:rFonts w:ascii="Simplified Arabic" w:eastAsia="Times New Roman" w:hAnsi="Simplified Arabic" w:cs="Simplified Arabic"/>
          <w:b/>
          <w:bCs/>
          <w:color w:val="000000" w:themeColor="text1"/>
          <w:kern w:val="0"/>
          <w:sz w:val="28"/>
          <w:szCs w:val="28"/>
          <w14:ligatures w14:val="none"/>
        </w:rPr>
        <w:t>:</w:t>
      </w:r>
    </w:p>
    <w:p w14:paraId="37B70FBC"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ويتضمن معلومات عن (الجنس، العمر، المؤهل العلمي، سنوات الخبرة، المستوى الوظيفي، القطاع)، وذلك لوصف خصائص عينة الدراسة والكشف عن الفروق في الاستجابات</w:t>
      </w:r>
      <w:r w:rsidRPr="00645D6F">
        <w:rPr>
          <w:rFonts w:ascii="Simplified Arabic" w:eastAsia="Times New Roman" w:hAnsi="Simplified Arabic" w:cs="Simplified Arabic"/>
          <w:color w:val="000000" w:themeColor="text1"/>
          <w:kern w:val="0"/>
          <w:sz w:val="28"/>
          <w:szCs w:val="28"/>
          <w14:ligatures w14:val="none"/>
        </w:rPr>
        <w:t>.</w:t>
      </w:r>
    </w:p>
    <w:p w14:paraId="04E36BBA"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القسم الثاني: المتغير المستقل – التمكين الوظيفي، ويتكون من </w:t>
      </w:r>
      <w:r w:rsidRPr="00645D6F">
        <w:rPr>
          <w:rFonts w:ascii="Simplified Arabic" w:eastAsia="Times New Roman" w:hAnsi="Simplified Arabic" w:cs="Simplified Arabic"/>
          <w:color w:val="000000" w:themeColor="text1"/>
          <w:kern w:val="0"/>
          <w:sz w:val="28"/>
          <w:szCs w:val="28"/>
          <w14:ligatures w14:val="none"/>
        </w:rPr>
        <w:t xml:space="preserve">(16) </w:t>
      </w:r>
      <w:r w:rsidRPr="00645D6F">
        <w:rPr>
          <w:rFonts w:ascii="Simplified Arabic" w:eastAsia="Times New Roman" w:hAnsi="Simplified Arabic" w:cs="Simplified Arabic"/>
          <w:color w:val="000000" w:themeColor="text1"/>
          <w:kern w:val="0"/>
          <w:sz w:val="28"/>
          <w:szCs w:val="28"/>
          <w:rtl/>
          <w14:ligatures w14:val="none"/>
        </w:rPr>
        <w:t xml:space="preserve">فقرة موزعة على أربعة أبعاد بواقع </w:t>
      </w:r>
      <w:r w:rsidRPr="00645D6F">
        <w:rPr>
          <w:rFonts w:ascii="Simplified Arabic" w:eastAsia="Times New Roman" w:hAnsi="Simplified Arabic" w:cs="Simplified Arabic"/>
          <w:color w:val="000000" w:themeColor="text1"/>
          <w:kern w:val="0"/>
          <w:sz w:val="28"/>
          <w:szCs w:val="28"/>
          <w14:ligatures w14:val="none"/>
        </w:rPr>
        <w:t xml:space="preserve">(4) </w:t>
      </w:r>
      <w:r w:rsidRPr="00645D6F">
        <w:rPr>
          <w:rFonts w:ascii="Simplified Arabic" w:eastAsia="Times New Roman" w:hAnsi="Simplified Arabic" w:cs="Simplified Arabic"/>
          <w:color w:val="000000" w:themeColor="text1"/>
          <w:kern w:val="0"/>
          <w:sz w:val="28"/>
          <w:szCs w:val="28"/>
          <w:rtl/>
          <w14:ligatures w14:val="none"/>
        </w:rPr>
        <w:t>فقرات لكل بُعد على النحو التالي</w:t>
      </w:r>
      <w:r w:rsidRPr="00645D6F">
        <w:rPr>
          <w:rFonts w:ascii="Simplified Arabic" w:eastAsia="Times New Roman" w:hAnsi="Simplified Arabic" w:cs="Simplified Arabic"/>
          <w:color w:val="000000" w:themeColor="text1"/>
          <w:kern w:val="0"/>
          <w:sz w:val="28"/>
          <w:szCs w:val="28"/>
          <w14:ligatures w14:val="none"/>
        </w:rPr>
        <w:t>:</w:t>
      </w:r>
    </w:p>
    <w:p w14:paraId="23A87C8A" w14:textId="77777777" w:rsidR="00CA4A92" w:rsidRPr="00645D6F" w:rsidRDefault="00CA4A92"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البُعد الأول – تفويض الصلاحيات</w:t>
      </w:r>
      <w:r w:rsidRPr="00645D6F">
        <w:rPr>
          <w:rFonts w:ascii="Simplified Arabic" w:eastAsia="Times New Roman" w:hAnsi="Simplified Arabic" w:cs="Simplified Arabic"/>
          <w:color w:val="000000" w:themeColor="text1"/>
          <w:kern w:val="0"/>
          <w:sz w:val="28"/>
          <w:szCs w:val="28"/>
          <w14:ligatures w14:val="none"/>
        </w:rPr>
        <w:t xml:space="preserve">: (4) </w:t>
      </w:r>
      <w:r w:rsidRPr="00645D6F">
        <w:rPr>
          <w:rFonts w:ascii="Simplified Arabic" w:eastAsia="Times New Roman" w:hAnsi="Simplified Arabic" w:cs="Simplified Arabic"/>
          <w:color w:val="000000" w:themeColor="text1"/>
          <w:kern w:val="0"/>
          <w:sz w:val="28"/>
          <w:szCs w:val="28"/>
          <w:rtl/>
          <w14:ligatures w14:val="none"/>
        </w:rPr>
        <w:t>فقرات تقيس مدى منح الموظفين صلاحيات كافية لاتخاذ القرارات المتعلقة بخدمة العملاء وحل مشكلاتهم دون الرجوع المستمر إلى المستويات الإدارية الأعلى</w:t>
      </w:r>
      <w:r w:rsidRPr="00645D6F">
        <w:rPr>
          <w:rFonts w:ascii="Simplified Arabic" w:eastAsia="Times New Roman" w:hAnsi="Simplified Arabic" w:cs="Simplified Arabic"/>
          <w:color w:val="000000" w:themeColor="text1"/>
          <w:kern w:val="0"/>
          <w:sz w:val="28"/>
          <w:szCs w:val="28"/>
          <w14:ligatures w14:val="none"/>
        </w:rPr>
        <w:t>.</w:t>
      </w:r>
    </w:p>
    <w:p w14:paraId="11BE75EE" w14:textId="77777777" w:rsidR="00CA4A92" w:rsidRPr="00645D6F" w:rsidRDefault="00CA4A92"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البُعد الثاني – التدريب والتطوير</w:t>
      </w:r>
      <w:r w:rsidRPr="00645D6F">
        <w:rPr>
          <w:rFonts w:ascii="Simplified Arabic" w:eastAsia="Times New Roman" w:hAnsi="Simplified Arabic" w:cs="Simplified Arabic"/>
          <w:color w:val="000000" w:themeColor="text1"/>
          <w:kern w:val="0"/>
          <w:sz w:val="28"/>
          <w:szCs w:val="28"/>
          <w14:ligatures w14:val="none"/>
        </w:rPr>
        <w:t xml:space="preserve">: (4) </w:t>
      </w:r>
      <w:r w:rsidRPr="00645D6F">
        <w:rPr>
          <w:rFonts w:ascii="Simplified Arabic" w:eastAsia="Times New Roman" w:hAnsi="Simplified Arabic" w:cs="Simplified Arabic"/>
          <w:color w:val="000000" w:themeColor="text1"/>
          <w:kern w:val="0"/>
          <w:sz w:val="28"/>
          <w:szCs w:val="28"/>
          <w:rtl/>
          <w14:ligatures w14:val="none"/>
        </w:rPr>
        <w:t>فقرات تقيس مدى توفير برامج تدريبية متخصصة تُنمّي مهارات الموظفين في التعامل مع العملاء وحل المشكلات واستخدام الأنظمة والتقنيات الحديثة</w:t>
      </w:r>
      <w:r w:rsidRPr="00645D6F">
        <w:rPr>
          <w:rFonts w:ascii="Simplified Arabic" w:eastAsia="Times New Roman" w:hAnsi="Simplified Arabic" w:cs="Simplified Arabic"/>
          <w:color w:val="000000" w:themeColor="text1"/>
          <w:kern w:val="0"/>
          <w:sz w:val="28"/>
          <w:szCs w:val="28"/>
          <w14:ligatures w14:val="none"/>
        </w:rPr>
        <w:t>.</w:t>
      </w:r>
    </w:p>
    <w:p w14:paraId="52BEDCFD" w14:textId="77777777" w:rsidR="00CA4A92" w:rsidRPr="00645D6F" w:rsidRDefault="00CA4A92"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البُعد الثالث – المشاركة في اتخاذ القرار</w:t>
      </w:r>
      <w:r w:rsidRPr="00645D6F">
        <w:rPr>
          <w:rFonts w:ascii="Simplified Arabic" w:eastAsia="Times New Roman" w:hAnsi="Simplified Arabic" w:cs="Simplified Arabic"/>
          <w:color w:val="000000" w:themeColor="text1"/>
          <w:kern w:val="0"/>
          <w:sz w:val="28"/>
          <w:szCs w:val="28"/>
          <w14:ligatures w14:val="none"/>
        </w:rPr>
        <w:t xml:space="preserve">: (4) </w:t>
      </w:r>
      <w:r w:rsidRPr="00645D6F">
        <w:rPr>
          <w:rFonts w:ascii="Simplified Arabic" w:eastAsia="Times New Roman" w:hAnsi="Simplified Arabic" w:cs="Simplified Arabic"/>
          <w:color w:val="000000" w:themeColor="text1"/>
          <w:kern w:val="0"/>
          <w:sz w:val="28"/>
          <w:szCs w:val="28"/>
          <w:rtl/>
          <w14:ligatures w14:val="none"/>
        </w:rPr>
        <w:t>فقرات تقيس مدى إشراك الموظفين في صنع القرارات المتعلقة بسياسات الخدمة وإجراءات العمل وتطوير حلول مبتكرة لمشكلات العملاء</w:t>
      </w:r>
      <w:r w:rsidRPr="00645D6F">
        <w:rPr>
          <w:rFonts w:ascii="Simplified Arabic" w:eastAsia="Times New Roman" w:hAnsi="Simplified Arabic" w:cs="Simplified Arabic"/>
          <w:color w:val="000000" w:themeColor="text1"/>
          <w:kern w:val="0"/>
          <w:sz w:val="28"/>
          <w:szCs w:val="28"/>
          <w14:ligatures w14:val="none"/>
        </w:rPr>
        <w:t>.</w:t>
      </w:r>
    </w:p>
    <w:p w14:paraId="7F30B238" w14:textId="77777777" w:rsidR="00CA4A92" w:rsidRPr="00645D6F" w:rsidRDefault="00CA4A92" w:rsidP="004A41F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lastRenderedPageBreak/>
        <w:t>البُعد الرابع – التحفيز</w:t>
      </w:r>
      <w:r w:rsidRPr="00645D6F">
        <w:rPr>
          <w:rFonts w:ascii="Simplified Arabic" w:eastAsia="Times New Roman" w:hAnsi="Simplified Arabic" w:cs="Simplified Arabic"/>
          <w:color w:val="000000" w:themeColor="text1"/>
          <w:kern w:val="0"/>
          <w:sz w:val="28"/>
          <w:szCs w:val="28"/>
          <w14:ligatures w14:val="none"/>
        </w:rPr>
        <w:t xml:space="preserve">: (4) </w:t>
      </w:r>
      <w:r w:rsidRPr="00645D6F">
        <w:rPr>
          <w:rFonts w:ascii="Simplified Arabic" w:eastAsia="Times New Roman" w:hAnsi="Simplified Arabic" w:cs="Simplified Arabic"/>
          <w:color w:val="000000" w:themeColor="text1"/>
          <w:kern w:val="0"/>
          <w:sz w:val="28"/>
          <w:szCs w:val="28"/>
          <w:rtl/>
          <w14:ligatures w14:val="none"/>
        </w:rPr>
        <w:t>فقرات تقيس مدى توفير حوافز مادية ومعنوية تُشجّع الموظفين على المبادرة في حل المشكلات وتقديم خدمة متميزة للعملاء</w:t>
      </w:r>
      <w:r w:rsidRPr="00645D6F">
        <w:rPr>
          <w:rFonts w:ascii="Simplified Arabic" w:eastAsia="Times New Roman" w:hAnsi="Simplified Arabic" w:cs="Simplified Arabic"/>
          <w:color w:val="000000" w:themeColor="text1"/>
          <w:kern w:val="0"/>
          <w:sz w:val="28"/>
          <w:szCs w:val="28"/>
          <w14:ligatures w14:val="none"/>
        </w:rPr>
        <w:t>.</w:t>
      </w:r>
    </w:p>
    <w:p w14:paraId="0A320628"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 سرعة حل المشكلات ورضا العملاء، ويتكون من </w:t>
      </w:r>
      <w:r w:rsidRPr="00645D6F">
        <w:rPr>
          <w:rFonts w:ascii="Simplified Arabic" w:eastAsia="Times New Roman" w:hAnsi="Simplified Arabic" w:cs="Simplified Arabic"/>
          <w:color w:val="000000" w:themeColor="text1"/>
          <w:kern w:val="0"/>
          <w:sz w:val="28"/>
          <w:szCs w:val="28"/>
          <w14:ligatures w14:val="none"/>
        </w:rPr>
        <w:t xml:space="preserve">(10) </w:t>
      </w:r>
      <w:r w:rsidRPr="00645D6F">
        <w:rPr>
          <w:rFonts w:ascii="Simplified Arabic" w:eastAsia="Times New Roman" w:hAnsi="Simplified Arabic" w:cs="Simplified Arabic"/>
          <w:color w:val="000000" w:themeColor="text1"/>
          <w:kern w:val="0"/>
          <w:sz w:val="28"/>
          <w:szCs w:val="28"/>
          <w:rtl/>
          <w14:ligatures w14:val="none"/>
        </w:rPr>
        <w:t>فقرات في محور واحد تقيس سرعة استجابة الموظفين لمشكلات العملاء وقدرتهم على حلها من أول اتصال ومستوى رضا العملاء عن جودة الحلول المقدمة وتجربة الخدمة الإجمالية</w:t>
      </w:r>
      <w:r w:rsidRPr="00645D6F">
        <w:rPr>
          <w:rFonts w:ascii="Simplified Arabic" w:eastAsia="Times New Roman" w:hAnsi="Simplified Arabic" w:cs="Simplified Arabic"/>
          <w:color w:val="000000" w:themeColor="text1"/>
          <w:kern w:val="0"/>
          <w:sz w:val="28"/>
          <w:szCs w:val="28"/>
          <w14:ligatures w14:val="none"/>
        </w:rPr>
        <w:t>.</w:t>
      </w:r>
    </w:p>
    <w:p w14:paraId="3C22F117"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 xml:space="preserve">وبذلك يكون إجمالي فقرات أداة الدراسة </w:t>
      </w:r>
      <w:r w:rsidRPr="00645D6F">
        <w:rPr>
          <w:rFonts w:ascii="Simplified Arabic" w:eastAsia="Times New Roman" w:hAnsi="Simplified Arabic" w:cs="Simplified Arabic"/>
          <w:color w:val="000000" w:themeColor="text1"/>
          <w:kern w:val="0"/>
          <w:sz w:val="28"/>
          <w:szCs w:val="28"/>
          <w14:ligatures w14:val="none"/>
        </w:rPr>
        <w:t xml:space="preserve">(26) </w:t>
      </w:r>
      <w:r w:rsidRPr="00645D6F">
        <w:rPr>
          <w:rFonts w:ascii="Simplified Arabic" w:eastAsia="Times New Roman" w:hAnsi="Simplified Arabic" w:cs="Simplified Arabic"/>
          <w:color w:val="000000" w:themeColor="text1"/>
          <w:kern w:val="0"/>
          <w:sz w:val="28"/>
          <w:szCs w:val="28"/>
          <w:rtl/>
          <w14:ligatures w14:val="none"/>
        </w:rPr>
        <w:t>فقرة، وستُقاس جميع الفقرات باستخدام مقياس ليكرت الخماسي</w:t>
      </w:r>
      <w:r w:rsidRPr="00645D6F">
        <w:rPr>
          <w:rFonts w:ascii="Simplified Arabic" w:eastAsia="Times New Roman" w:hAnsi="Simplified Arabic" w:cs="Simplified Arabic"/>
          <w:color w:val="000000" w:themeColor="text1"/>
          <w:kern w:val="0"/>
          <w:sz w:val="28"/>
          <w:szCs w:val="28"/>
          <w14:ligatures w14:val="none"/>
        </w:rPr>
        <w:t xml:space="preserve"> (Likert Scale) </w:t>
      </w:r>
      <w:r w:rsidRPr="00645D6F">
        <w:rPr>
          <w:rFonts w:ascii="Simplified Arabic" w:eastAsia="Times New Roman" w:hAnsi="Simplified Arabic" w:cs="Simplified Arabic"/>
          <w:color w:val="000000" w:themeColor="text1"/>
          <w:kern w:val="0"/>
          <w:sz w:val="28"/>
          <w:szCs w:val="28"/>
          <w:rtl/>
          <w14:ligatures w14:val="none"/>
        </w:rPr>
        <w:t>المتدرج من (1 = غير موافق بشدة) إلى (5 = موافق بشدة). وسيتم التحقق من الصدق الظاهري للأداة من خلال عرضها على مجموعة من المحكّمين المتخصصين، فضلًا عن التحقق من الثبات باستخدام معامل ألفا كرونباخ</w:t>
      </w:r>
      <w:r w:rsidRPr="00645D6F">
        <w:rPr>
          <w:rFonts w:ascii="Simplified Arabic" w:eastAsia="Times New Roman" w:hAnsi="Simplified Arabic" w:cs="Simplified Arabic"/>
          <w:color w:val="000000" w:themeColor="text1"/>
          <w:kern w:val="0"/>
          <w:sz w:val="28"/>
          <w:szCs w:val="28"/>
          <w14:ligatures w14:val="none"/>
        </w:rPr>
        <w:t xml:space="preserve"> (Cronbach's Alpha) </w:t>
      </w:r>
      <w:r w:rsidRPr="00645D6F">
        <w:rPr>
          <w:rFonts w:ascii="Simplified Arabic" w:eastAsia="Times New Roman" w:hAnsi="Simplified Arabic" w:cs="Simplified Arabic"/>
          <w:color w:val="000000" w:themeColor="text1"/>
          <w:kern w:val="0"/>
          <w:sz w:val="28"/>
          <w:szCs w:val="28"/>
          <w:rtl/>
          <w14:ligatures w14:val="none"/>
        </w:rPr>
        <w:t>بحيث لا تقل قيمته عن (0.70) لكل محور من محاور الاستبانة</w:t>
      </w:r>
      <w:r w:rsidRPr="00645D6F">
        <w:rPr>
          <w:rFonts w:ascii="Simplified Arabic" w:eastAsia="Times New Roman" w:hAnsi="Simplified Arabic" w:cs="Simplified Arabic"/>
          <w:color w:val="000000" w:themeColor="text1"/>
          <w:kern w:val="0"/>
          <w:sz w:val="28"/>
          <w:szCs w:val="28"/>
          <w14:ligatures w14:val="none"/>
        </w:rPr>
        <w:t>.</w:t>
      </w:r>
    </w:p>
    <w:p w14:paraId="2ECC3784" w14:textId="11EC06D8" w:rsidR="00CA4A92" w:rsidRPr="00645D6F" w:rsidRDefault="004A41F9" w:rsidP="004A41F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3608267"/>
      <w:bookmarkStart w:id="37" w:name="_Toc233938086"/>
      <w:r w:rsidRPr="00645D6F">
        <w:rPr>
          <w:rFonts w:ascii="Simplified Arabic" w:eastAsia="Times New Roman" w:hAnsi="Simplified Arabic" w:cs="Simplified Arabic" w:hint="cs"/>
          <w:b/>
          <w:bCs/>
          <w:color w:val="000000" w:themeColor="text1"/>
          <w:kern w:val="36"/>
          <w:sz w:val="36"/>
          <w:szCs w:val="36"/>
          <w:rtl/>
          <w14:ligatures w14:val="none"/>
        </w:rPr>
        <w:t xml:space="preserve">14.1 </w:t>
      </w:r>
      <w:r w:rsidR="00CA4A92" w:rsidRPr="00645D6F">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6"/>
      <w:bookmarkEnd w:id="37"/>
    </w:p>
    <w:p w14:paraId="6B7A99DE" w14:textId="77777777" w:rsidR="00CA4A92" w:rsidRPr="00645D6F" w:rsidRDefault="00CA4A92" w:rsidP="004A41F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الحزمة الإحصائية للعلوم الاجتماعية</w:t>
      </w:r>
      <w:r w:rsidRPr="00645D6F">
        <w:rPr>
          <w:rFonts w:ascii="Simplified Arabic" w:eastAsia="Times New Roman" w:hAnsi="Simplified Arabic" w:cs="Simplified Arabic"/>
          <w:color w:val="000000" w:themeColor="text1"/>
          <w:kern w:val="0"/>
          <w:sz w:val="28"/>
          <w:szCs w:val="28"/>
          <w14:ligatures w14:val="none"/>
        </w:rPr>
        <w:t xml:space="preserve"> (SPSS)</w:t>
      </w:r>
      <w:r w:rsidRPr="00645D6F">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645D6F">
        <w:rPr>
          <w:rFonts w:ascii="Simplified Arabic" w:eastAsia="Times New Roman" w:hAnsi="Simplified Arabic" w:cs="Simplified Arabic"/>
          <w:color w:val="000000" w:themeColor="text1"/>
          <w:kern w:val="0"/>
          <w:sz w:val="28"/>
          <w:szCs w:val="28"/>
          <w14:ligatures w14:val="none"/>
        </w:rPr>
        <w:t>:</w:t>
      </w:r>
    </w:p>
    <w:p w14:paraId="596DCE76" w14:textId="77777777" w:rsidR="00CA4A92" w:rsidRPr="00645D6F" w:rsidRDefault="00CA4A92" w:rsidP="004A41F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645D6F">
        <w:rPr>
          <w:rFonts w:ascii="Simplified Arabic" w:eastAsia="Times New Roman" w:hAnsi="Simplified Arabic" w:cs="Simplified Arabic"/>
          <w:color w:val="000000" w:themeColor="text1"/>
          <w:kern w:val="0"/>
          <w:sz w:val="28"/>
          <w:szCs w:val="28"/>
          <w14:ligatures w14:val="none"/>
        </w:rPr>
        <w:t>.</w:t>
      </w:r>
    </w:p>
    <w:p w14:paraId="64966599" w14:textId="77777777" w:rsidR="00CA4A92" w:rsidRPr="00645D6F" w:rsidRDefault="00CA4A92" w:rsidP="004A41F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الأبعاد حسب أهميتها النسبية</w:t>
      </w:r>
      <w:r w:rsidRPr="00645D6F">
        <w:rPr>
          <w:rFonts w:ascii="Simplified Arabic" w:eastAsia="Times New Roman" w:hAnsi="Simplified Arabic" w:cs="Simplified Arabic"/>
          <w:color w:val="000000" w:themeColor="text1"/>
          <w:kern w:val="0"/>
          <w:sz w:val="28"/>
          <w:szCs w:val="28"/>
          <w14:ligatures w14:val="none"/>
        </w:rPr>
        <w:t>.</w:t>
      </w:r>
    </w:p>
    <w:p w14:paraId="78C48B86" w14:textId="77777777" w:rsidR="00CA4A92" w:rsidRPr="00645D6F" w:rsidRDefault="00CA4A92" w:rsidP="004A41F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معامل ألفا كرونباخ</w:t>
      </w:r>
      <w:r w:rsidRPr="00645D6F">
        <w:rPr>
          <w:rFonts w:ascii="Simplified Arabic" w:eastAsia="Times New Roman" w:hAnsi="Simplified Arabic" w:cs="Simplified Arabic"/>
          <w:color w:val="000000" w:themeColor="text1"/>
          <w:kern w:val="0"/>
          <w:sz w:val="28"/>
          <w:szCs w:val="28"/>
          <w14:ligatures w14:val="none"/>
        </w:rPr>
        <w:t xml:space="preserve"> (Cronbach's Alpha): </w:t>
      </w:r>
      <w:r w:rsidRPr="00645D6F">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645D6F">
        <w:rPr>
          <w:rFonts w:ascii="Simplified Arabic" w:eastAsia="Times New Roman" w:hAnsi="Simplified Arabic" w:cs="Simplified Arabic"/>
          <w:color w:val="000000" w:themeColor="text1"/>
          <w:kern w:val="0"/>
          <w:sz w:val="28"/>
          <w:szCs w:val="28"/>
          <w14:ligatures w14:val="none"/>
        </w:rPr>
        <w:t>.</w:t>
      </w:r>
    </w:p>
    <w:p w14:paraId="272997EE" w14:textId="77777777" w:rsidR="00CA4A92" w:rsidRPr="00645D6F" w:rsidRDefault="00CA4A92" w:rsidP="004A41F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معامل ارتباط بيرسون</w:t>
      </w:r>
      <w:r w:rsidRPr="00645D6F">
        <w:rPr>
          <w:rFonts w:ascii="Simplified Arabic" w:eastAsia="Times New Roman" w:hAnsi="Simplified Arabic" w:cs="Simplified Arabic"/>
          <w:color w:val="000000" w:themeColor="text1"/>
          <w:kern w:val="0"/>
          <w:sz w:val="28"/>
          <w:szCs w:val="28"/>
          <w14:ligatures w14:val="none"/>
        </w:rPr>
        <w:t xml:space="preserve"> (Pearson Correlation): </w:t>
      </w:r>
      <w:r w:rsidRPr="00645D6F">
        <w:rPr>
          <w:rFonts w:ascii="Simplified Arabic" w:eastAsia="Times New Roman" w:hAnsi="Simplified Arabic" w:cs="Simplified Arabic"/>
          <w:color w:val="000000" w:themeColor="text1"/>
          <w:kern w:val="0"/>
          <w:sz w:val="28"/>
          <w:szCs w:val="28"/>
          <w:rtl/>
          <w14:ligatures w14:val="none"/>
        </w:rPr>
        <w:t>لقياس قوة واتجاه العلاقة الارتباطية بين أبعاد التمكين الوظيفي وسرعة حل المشكلات ورضا العملاء</w:t>
      </w:r>
      <w:r w:rsidRPr="00645D6F">
        <w:rPr>
          <w:rFonts w:ascii="Simplified Arabic" w:eastAsia="Times New Roman" w:hAnsi="Simplified Arabic" w:cs="Simplified Arabic"/>
          <w:color w:val="000000" w:themeColor="text1"/>
          <w:kern w:val="0"/>
          <w:sz w:val="28"/>
          <w:szCs w:val="28"/>
          <w14:ligatures w14:val="none"/>
        </w:rPr>
        <w:t>.</w:t>
      </w:r>
    </w:p>
    <w:p w14:paraId="01B64FDE" w14:textId="77777777" w:rsidR="00CA4A92" w:rsidRPr="00645D6F" w:rsidRDefault="00CA4A92" w:rsidP="004A41F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645D6F">
        <w:rPr>
          <w:rFonts w:ascii="Simplified Arabic" w:eastAsia="Times New Roman" w:hAnsi="Simplified Arabic" w:cs="Simplified Arabic"/>
          <w:color w:val="000000" w:themeColor="text1"/>
          <w:kern w:val="0"/>
          <w:sz w:val="28"/>
          <w:szCs w:val="28"/>
          <w14:ligatures w14:val="none"/>
        </w:rPr>
        <w:t xml:space="preserve"> (Simple Linear Regression): </w:t>
      </w:r>
      <w:r w:rsidRPr="00645D6F">
        <w:rPr>
          <w:rFonts w:ascii="Simplified Arabic" w:eastAsia="Times New Roman" w:hAnsi="Simplified Arabic" w:cs="Simplified Arabic"/>
          <w:color w:val="000000" w:themeColor="text1"/>
          <w:kern w:val="0"/>
          <w:sz w:val="28"/>
          <w:szCs w:val="28"/>
          <w:rtl/>
          <w14:ligatures w14:val="none"/>
        </w:rPr>
        <w:t>لقياس أثر كل بُعد من أبعاد التمكين الوظيفي على حدة على سرعة حل المشكلات ورضا العملاء</w:t>
      </w:r>
      <w:r w:rsidRPr="00645D6F">
        <w:rPr>
          <w:rFonts w:ascii="Simplified Arabic" w:eastAsia="Times New Roman" w:hAnsi="Simplified Arabic" w:cs="Simplified Arabic"/>
          <w:color w:val="000000" w:themeColor="text1"/>
          <w:kern w:val="0"/>
          <w:sz w:val="28"/>
          <w:szCs w:val="28"/>
          <w14:ligatures w14:val="none"/>
        </w:rPr>
        <w:t>.</w:t>
      </w:r>
    </w:p>
    <w:p w14:paraId="4A22B949" w14:textId="77777777" w:rsidR="00CA4A92" w:rsidRPr="00645D6F" w:rsidRDefault="00CA4A92" w:rsidP="004A41F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645D6F">
        <w:rPr>
          <w:rFonts w:ascii="Simplified Arabic" w:eastAsia="Times New Roman" w:hAnsi="Simplified Arabic" w:cs="Simplified Arabic"/>
          <w:color w:val="000000" w:themeColor="text1"/>
          <w:kern w:val="0"/>
          <w:sz w:val="28"/>
          <w:szCs w:val="28"/>
          <w14:ligatures w14:val="none"/>
        </w:rPr>
        <w:t xml:space="preserve"> (Multiple Linear Regression): </w:t>
      </w:r>
      <w:r w:rsidRPr="00645D6F">
        <w:rPr>
          <w:rFonts w:ascii="Simplified Arabic" w:eastAsia="Times New Roman" w:hAnsi="Simplified Arabic" w:cs="Simplified Arabic"/>
          <w:color w:val="000000" w:themeColor="text1"/>
          <w:kern w:val="0"/>
          <w:sz w:val="28"/>
          <w:szCs w:val="28"/>
          <w:rtl/>
          <w14:ligatures w14:val="none"/>
        </w:rPr>
        <w:t>لقياس الأثر المشترك لأبعاد التمكين الوظيفي مجتمعة على سرعة حل المشكلات ورضا العملاء وتحديد الأهمية النسبية لكل بُعد</w:t>
      </w:r>
      <w:r w:rsidRPr="00645D6F">
        <w:rPr>
          <w:rFonts w:ascii="Simplified Arabic" w:eastAsia="Times New Roman" w:hAnsi="Simplified Arabic" w:cs="Simplified Arabic"/>
          <w:color w:val="000000" w:themeColor="text1"/>
          <w:kern w:val="0"/>
          <w:sz w:val="28"/>
          <w:szCs w:val="28"/>
          <w14:ligatures w14:val="none"/>
        </w:rPr>
        <w:t>.</w:t>
      </w:r>
    </w:p>
    <w:p w14:paraId="4CE37532" w14:textId="7F42A013" w:rsidR="00CA4A92" w:rsidRPr="00645D6F" w:rsidRDefault="004A41F9" w:rsidP="004A41F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3608268"/>
      <w:bookmarkStart w:id="39" w:name="_Toc233938087"/>
      <w:r w:rsidRPr="00645D6F">
        <w:rPr>
          <w:rFonts w:ascii="Simplified Arabic" w:eastAsia="Times New Roman" w:hAnsi="Simplified Arabic" w:cs="Simplified Arabic" w:hint="cs"/>
          <w:b/>
          <w:bCs/>
          <w:color w:val="000000" w:themeColor="text1"/>
          <w:kern w:val="36"/>
          <w:sz w:val="36"/>
          <w:szCs w:val="36"/>
          <w:rtl/>
          <w14:ligatures w14:val="none"/>
        </w:rPr>
        <w:lastRenderedPageBreak/>
        <w:t xml:space="preserve">15.1 </w:t>
      </w:r>
      <w:r w:rsidR="00CA4A92" w:rsidRPr="00645D6F">
        <w:rPr>
          <w:rFonts w:ascii="Simplified Arabic" w:eastAsia="Times New Roman" w:hAnsi="Simplified Arabic" w:cs="Simplified Arabic"/>
          <w:b/>
          <w:bCs/>
          <w:color w:val="000000" w:themeColor="text1"/>
          <w:kern w:val="36"/>
          <w:sz w:val="36"/>
          <w:szCs w:val="36"/>
          <w:rtl/>
          <w14:ligatures w14:val="none"/>
        </w:rPr>
        <w:t>حدود الدراسة</w:t>
      </w:r>
      <w:bookmarkEnd w:id="38"/>
      <w:bookmarkEnd w:id="39"/>
    </w:p>
    <w:p w14:paraId="4D13E1D8" w14:textId="77777777" w:rsidR="00CA4A92" w:rsidRPr="00645D6F" w:rsidRDefault="00CA4A92" w:rsidP="004A41F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الحدود الموضوعية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ستقتصر الدراسة على دراسة أثر التمكين الوظيفي بأبعاده الأربعة (تفويض الصلاحيات، التدريب والتطوير، المشاركة في اتخاذ القرار، التحفيز) على سرعة حل المشكلات ورضا العملاء</w:t>
      </w:r>
      <w:r w:rsidRPr="00645D6F">
        <w:rPr>
          <w:rFonts w:ascii="Simplified Arabic" w:eastAsia="Times New Roman" w:hAnsi="Simplified Arabic" w:cs="Simplified Arabic"/>
          <w:color w:val="000000" w:themeColor="text1"/>
          <w:kern w:val="0"/>
          <w:sz w:val="28"/>
          <w:szCs w:val="28"/>
          <w14:ligatures w14:val="none"/>
        </w:rPr>
        <w:t>.</w:t>
      </w:r>
    </w:p>
    <w:p w14:paraId="0ECBFDC7" w14:textId="77777777" w:rsidR="00CA4A92" w:rsidRPr="00645D6F" w:rsidRDefault="00CA4A92" w:rsidP="004A41F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الحدود البشرية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ستُطبّق الدراسة على موظفي خدمة العملاء العاملين في القطاع الخاص بمختلف مستوياتهم الوظيفية (موظف خدمة عملاء، مشرف، مدير فريق)</w:t>
      </w:r>
      <w:r w:rsidRPr="00645D6F">
        <w:rPr>
          <w:rFonts w:ascii="Simplified Arabic" w:eastAsia="Times New Roman" w:hAnsi="Simplified Arabic" w:cs="Simplified Arabic"/>
          <w:color w:val="000000" w:themeColor="text1"/>
          <w:kern w:val="0"/>
          <w:sz w:val="28"/>
          <w:szCs w:val="28"/>
          <w14:ligatures w14:val="none"/>
        </w:rPr>
        <w:t>.</w:t>
      </w:r>
    </w:p>
    <w:p w14:paraId="42D37AC2" w14:textId="005A4649" w:rsidR="00CA4A92" w:rsidRPr="00645D6F" w:rsidRDefault="00CA4A92" w:rsidP="004A41F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الحدود المكانية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ستُجرى الدراسة في مدينة الرياض بالمملكة العربية السعودية.</w:t>
      </w:r>
    </w:p>
    <w:p w14:paraId="4619388C" w14:textId="454E74B2" w:rsidR="00CA4A92" w:rsidRPr="00645D6F" w:rsidRDefault="00CA4A92" w:rsidP="004A41F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45D6F">
        <w:rPr>
          <w:rFonts w:ascii="Simplified Arabic" w:eastAsia="Times New Roman" w:hAnsi="Simplified Arabic" w:cs="Simplified Arabic"/>
          <w:color w:val="000000" w:themeColor="text1"/>
          <w:kern w:val="0"/>
          <w:sz w:val="28"/>
          <w:szCs w:val="28"/>
          <w:rtl/>
          <w14:ligatures w14:val="none"/>
        </w:rPr>
        <w:t>الحدود الزمانية</w:t>
      </w:r>
      <w:r w:rsidRPr="00645D6F">
        <w:rPr>
          <w:rFonts w:ascii="Simplified Arabic" w:eastAsia="Times New Roman" w:hAnsi="Simplified Arabic" w:cs="Simplified Arabic"/>
          <w:color w:val="000000" w:themeColor="text1"/>
          <w:kern w:val="0"/>
          <w:sz w:val="28"/>
          <w:szCs w:val="28"/>
          <w14:ligatures w14:val="none"/>
        </w:rPr>
        <w:t xml:space="preserve">: </w:t>
      </w:r>
      <w:r w:rsidRPr="00645D6F">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2026/2027م</w:t>
      </w:r>
      <w:r w:rsidRPr="00645D6F">
        <w:rPr>
          <w:rFonts w:ascii="Simplified Arabic" w:eastAsia="Times New Roman" w:hAnsi="Simplified Arabic" w:cs="Simplified Arabic"/>
          <w:color w:val="000000" w:themeColor="text1"/>
          <w:kern w:val="0"/>
          <w:sz w:val="28"/>
          <w:szCs w:val="28"/>
          <w14:ligatures w14:val="none"/>
        </w:rPr>
        <w:t>.</w:t>
      </w:r>
    </w:p>
    <w:p w14:paraId="70704A01" w14:textId="18C72D4B" w:rsidR="001D05C6" w:rsidRPr="00645D6F" w:rsidRDefault="00D67CA2" w:rsidP="004A41F9">
      <w:pPr>
        <w:jc w:val="center"/>
        <w:outlineLvl w:val="0"/>
        <w:rPr>
          <w:rFonts w:ascii="Simplified Arabic" w:hAnsi="Simplified Arabic" w:cs="Simplified Arabic"/>
          <w:b/>
          <w:bCs/>
          <w:color w:val="000000" w:themeColor="text1"/>
          <w:sz w:val="40"/>
          <w:szCs w:val="40"/>
        </w:rPr>
      </w:pPr>
      <w:r w:rsidRPr="00645D6F">
        <w:rPr>
          <w:rFonts w:ascii="Simplified Arabic" w:hAnsi="Simplified Arabic" w:cs="Simplified Arabic"/>
          <w:b/>
          <w:bCs/>
          <w:color w:val="000000" w:themeColor="text1"/>
          <w:sz w:val="40"/>
          <w:szCs w:val="40"/>
          <w:rtl/>
        </w:rPr>
        <w:br w:type="page"/>
      </w:r>
      <w:bookmarkStart w:id="40" w:name="_Toc233938088"/>
      <w:r w:rsidR="004A41F9" w:rsidRPr="00645D6F">
        <w:rPr>
          <w:rFonts w:ascii="Simplified Arabic" w:hAnsi="Simplified Arabic" w:cs="Simplified Arabic" w:hint="cs"/>
          <w:b/>
          <w:bCs/>
          <w:color w:val="000000" w:themeColor="text1"/>
          <w:sz w:val="40"/>
          <w:szCs w:val="40"/>
          <w:rtl/>
        </w:rPr>
        <w:lastRenderedPageBreak/>
        <w:t xml:space="preserve">الفصل الثاني: </w:t>
      </w:r>
      <w:r w:rsidR="001D05C6" w:rsidRPr="00645D6F">
        <w:rPr>
          <w:rFonts w:ascii="Simplified Arabic" w:hAnsi="Simplified Arabic" w:cs="Simplified Arabic"/>
          <w:b/>
          <w:bCs/>
          <w:color w:val="000000" w:themeColor="text1"/>
          <w:sz w:val="40"/>
          <w:szCs w:val="40"/>
          <w:rtl/>
        </w:rPr>
        <w:t>الإطار النظري للدراسة</w:t>
      </w:r>
      <w:bookmarkEnd w:id="40"/>
    </w:p>
    <w:p w14:paraId="1ED3FBFB" w14:textId="77777777" w:rsidR="001D05C6" w:rsidRPr="00645D6F" w:rsidRDefault="001D05C6" w:rsidP="004A41F9">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1" w:name="_Toc233938089"/>
      <w:r w:rsidRPr="00645D6F">
        <w:rPr>
          <w:rFonts w:ascii="Simplified Arabic" w:hAnsi="Simplified Arabic" w:cs="Simplified Arabic"/>
          <w:b/>
          <w:bCs/>
          <w:color w:val="000000" w:themeColor="text1"/>
          <w:sz w:val="36"/>
          <w:szCs w:val="36"/>
          <w:rtl/>
        </w:rPr>
        <w:t>المبحث الأول: التمكين الوظيفي</w:t>
      </w:r>
      <w:bookmarkEnd w:id="41"/>
    </w:p>
    <w:p w14:paraId="45768A26" w14:textId="074ED0D5"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938090"/>
      <w:r w:rsidRPr="00645D6F">
        <w:rPr>
          <w:rFonts w:ascii="Simplified Arabic" w:hAnsi="Simplified Arabic" w:cs="Simplified Arabic" w:hint="cs"/>
          <w:b/>
          <w:bCs/>
          <w:color w:val="000000" w:themeColor="text1"/>
          <w:sz w:val="32"/>
          <w:szCs w:val="32"/>
          <w:rtl/>
        </w:rPr>
        <w:t xml:space="preserve">1.1.2 </w:t>
      </w:r>
      <w:r w:rsidR="001D05C6" w:rsidRPr="00645D6F">
        <w:rPr>
          <w:rFonts w:ascii="Simplified Arabic" w:hAnsi="Simplified Arabic" w:cs="Simplified Arabic"/>
          <w:b/>
          <w:bCs/>
          <w:color w:val="000000" w:themeColor="text1"/>
          <w:sz w:val="32"/>
          <w:szCs w:val="32"/>
          <w:rtl/>
        </w:rPr>
        <w:t>تمهيد</w:t>
      </w:r>
      <w:bookmarkEnd w:id="42"/>
    </w:p>
    <w:p w14:paraId="6F9EB5F5"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تشهد بيئة الأعمال المعاصرة تحولات متسارعة فرضتها موجات العولمة والانفتاح الاقتصادي والثورة الرقمية، وهو ما جعل المنظمات على اختلاف قطاعاتها في مواجهة مستمرة مع ضغوط تنافسية متصاعدة تستوجب إعادة النظر في أنماطها الإدارية التقليدية القائمة على المركزية والرقابة الصارمة. وفي خضم هذه التحولات، برز التمكين الوظيفي بوصفه أحد المداخل الإدارية الحديثة التي تُعيد تعريف العلاقة بين الإدارة والعاملين على أساس الثقة المتبادلة وإطلاق الطاقات الكامنة لدى الموارد البشرية، بدلًا من إخضاعها لأنماط رقابية جامدة تُحدّ من قدراتها الإبداعية. ولم يعد يُنظر إلى الموظف بوصفه عنصرًا تنفيذيًا مجردًا، بل أصبح شريكًا فاعلًا في صناعة القرار، ومصدرًا استراتيجيًا للميزة التنافسية التي تسعى المنظمات إلى بلوغها</w:t>
      </w:r>
      <w:r w:rsidRPr="00645D6F">
        <w:rPr>
          <w:rFonts w:ascii="Simplified Arabic" w:hAnsi="Simplified Arabic" w:cs="Simplified Arabic"/>
          <w:color w:val="000000" w:themeColor="text1"/>
          <w:sz w:val="28"/>
          <w:szCs w:val="28"/>
        </w:rPr>
        <w:t>.</w:t>
      </w:r>
    </w:p>
    <w:p w14:paraId="36B77642"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ويكتسب التمكين الوظيفي أهمية مضاعفة في المنظمات الخدمية بصفة خاصة، حيث يتعامل موظفو الصف الأمامي مع العملاء بشكل مباشر، ويواجهون مواقف تتطلب استجابات فورية وقرارات مرنة يصعب معها الالتزام الحرفي بالتسلسل الهرمي. ومن هنا فإن تزويد هؤلاء العاملين بالصلاحيات الكافية والمهارات اللازمة والتحفيز الملائم يُعدّ ضرورة استراتيجية لا خيارًا تكميليًا، إذ يعكس مدى نضج المنظمة في إدارة رأس مالها البشري (الشراري والعفيشات، 2025). ويأتي هذا المبحث ليُقدّم معالجة نظرية معمقة لمفهوم التمكين الوظيفي، تبدأ باستعراض التعريفات وتحليل مضامينها، ثم تنتقل إلى إبراز أهميته وأهدافه وأبعاده، وصولًا إلى الاستراتيجيات المرتبطة بتطبيقه، مع الاستئناس بعناوين نظرية جديدة تُعمّق فهم الظاهرة في السياق التنظيمي المعاصر</w:t>
      </w:r>
      <w:r w:rsidRPr="00645D6F">
        <w:rPr>
          <w:rFonts w:ascii="Simplified Arabic" w:hAnsi="Simplified Arabic" w:cs="Simplified Arabic"/>
          <w:color w:val="000000" w:themeColor="text1"/>
          <w:sz w:val="28"/>
          <w:szCs w:val="28"/>
        </w:rPr>
        <w:t>.</w:t>
      </w:r>
    </w:p>
    <w:p w14:paraId="37409E5D" w14:textId="50550170"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938091"/>
      <w:r w:rsidRPr="00645D6F">
        <w:rPr>
          <w:rFonts w:ascii="Simplified Arabic" w:hAnsi="Simplified Arabic" w:cs="Simplified Arabic" w:hint="cs"/>
          <w:b/>
          <w:bCs/>
          <w:color w:val="000000" w:themeColor="text1"/>
          <w:sz w:val="32"/>
          <w:szCs w:val="32"/>
          <w:rtl/>
        </w:rPr>
        <w:t xml:space="preserve">2.1.2 </w:t>
      </w:r>
      <w:r w:rsidR="001D05C6" w:rsidRPr="00645D6F">
        <w:rPr>
          <w:rFonts w:ascii="Simplified Arabic" w:hAnsi="Simplified Arabic" w:cs="Simplified Arabic"/>
          <w:b/>
          <w:bCs/>
          <w:color w:val="000000" w:themeColor="text1"/>
          <w:sz w:val="32"/>
          <w:szCs w:val="32"/>
          <w:rtl/>
        </w:rPr>
        <w:t>مفهوم التمكين الوظيفي</w:t>
      </w:r>
      <w:bookmarkEnd w:id="43"/>
    </w:p>
    <w:p w14:paraId="45082E33"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يُعدّ مفهوم التمكين الوظيفي من المفاهيم الإدارية التي أثارت جدلًا واسعًا بين الباحثين على مستوى التأصيل النظري، نظرًا لتشعّب دلالاته وتقاطعه مع مفاهيم مجاورة كالمشاركة والتفويض وإثراء الوظيفة. وقد تباينت المدارس الفكرية في مقارباتها لهذا المفهوم؛ فمنها من نظر إليه من زاوية هيكلية تتصل بإعادة </w:t>
      </w:r>
      <w:r w:rsidRPr="00645D6F">
        <w:rPr>
          <w:rFonts w:ascii="Simplified Arabic" w:hAnsi="Simplified Arabic" w:cs="Simplified Arabic"/>
          <w:color w:val="000000" w:themeColor="text1"/>
          <w:sz w:val="28"/>
          <w:szCs w:val="28"/>
          <w:rtl/>
        </w:rPr>
        <w:lastRenderedPageBreak/>
        <w:t>توزيع السلطة داخل التنظيم، ومنها من ركّز على البُعد النفسي المرتبط بإدراك الموظف لذاته وقدراته، فيما جمع اتجاه ثالث بين البُعدين في مقاربة تكاملية</w:t>
      </w:r>
      <w:r w:rsidRPr="00645D6F">
        <w:rPr>
          <w:rFonts w:ascii="Simplified Arabic" w:hAnsi="Simplified Arabic" w:cs="Simplified Arabic"/>
          <w:color w:val="000000" w:themeColor="text1"/>
          <w:sz w:val="28"/>
          <w:szCs w:val="28"/>
        </w:rPr>
        <w:t>.</w:t>
      </w:r>
    </w:p>
    <w:p w14:paraId="65E1414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ويُشير قويدري وزاوش (2022) إلى أن التمكين الوظيفي يُمثّل عملية إدارية تنطوي على منح العاملين قدرًا من الحرية والاستقلالية في أداء أعمالهم، مع تزويدهم بالمعلومات والموارد اللازمة لاتخاذ القرارات المتعلقة بمجال عملهم، بما يُحوّلهم من مجرد منفذين للأوامر إلى شركاء فاعلين في العملية الإدارية. ويتّسق هذا الطرح مع ما ذهب إليه العريقي (2020) من أن التمكين ممارسة إدارية متكاملة تستهدف بناء بيئة عمل تُطلق قدرات العاملين وتُوسّع نطاق مسؤولياتهم، بحيث يتحوّل الإشراف من نمط توجيهي مباشر إلى نمط داعم ومُسانِد</w:t>
      </w:r>
      <w:r w:rsidRPr="00645D6F">
        <w:rPr>
          <w:rFonts w:ascii="Simplified Arabic" w:hAnsi="Simplified Arabic" w:cs="Simplified Arabic"/>
          <w:color w:val="000000" w:themeColor="text1"/>
          <w:sz w:val="28"/>
          <w:szCs w:val="28"/>
        </w:rPr>
        <w:t>.</w:t>
      </w:r>
    </w:p>
    <w:p w14:paraId="0D91359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وفي مقاربة أكثر تركيزًا على البعد التطبيقي، يذهب إسماعيل (2022) إلى أن التمكين يُجسّد فلسفة إدارية تُعيد صياغة علاقة الموظف بعمله من خلال ثلاثة محاور مترابطة تتمثل في توسيع نطاق الصلاحيات، وتنمية القدرات المعرفية والمهارية، وترسيخ الشعور بالمسؤولية تجاه النتائج. ويُضيف عبد الواحد والمسدي (2023) بُعدًا نوعيًا لهذا التعريف حين يعتبران التمكين استثمارًا في العنصر البشري يتجاوز الأبعاد الشكلية للتفويض ليصل إلى تغيير جوهري في منظومة القيم التنظيمية التي تحكم العلاقة بين المستويات الإدارية</w:t>
      </w:r>
      <w:r w:rsidRPr="00645D6F">
        <w:rPr>
          <w:rFonts w:ascii="Simplified Arabic" w:hAnsi="Simplified Arabic" w:cs="Simplified Arabic"/>
          <w:color w:val="000000" w:themeColor="text1"/>
          <w:sz w:val="28"/>
          <w:szCs w:val="28"/>
        </w:rPr>
        <w:t>.</w:t>
      </w:r>
    </w:p>
    <w:p w14:paraId="16C135E0"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ومن منظور نفسي معرفي، يرى</w:t>
      </w:r>
      <w:r w:rsidRPr="00645D6F">
        <w:rPr>
          <w:rFonts w:ascii="Simplified Arabic" w:hAnsi="Simplified Arabic" w:cs="Simplified Arabic"/>
          <w:color w:val="000000" w:themeColor="text1"/>
          <w:sz w:val="28"/>
          <w:szCs w:val="28"/>
        </w:rPr>
        <w:t xml:space="preserve"> Kanjanakan et al. (2023) </w:t>
      </w:r>
      <w:r w:rsidRPr="00645D6F">
        <w:rPr>
          <w:rFonts w:ascii="Simplified Arabic" w:hAnsi="Simplified Arabic" w:cs="Simplified Arabic"/>
          <w:color w:val="000000" w:themeColor="text1"/>
          <w:sz w:val="28"/>
          <w:szCs w:val="28"/>
          <w:rtl/>
        </w:rPr>
        <w:t>أن التمكين لا يكتمل بمجرد إحداث تغييرات هيكلية في توزيع السلطة، وإنما يستلزم توليد إدراك داخلي لدى الموظف بأنه يمتلك القدرة والتأثير والمعنى والاختيار في عمله؛ وهي عناصر إدراكية تُشكّل جوهر ما يُسمى بالتمكين النفسي، والذي يُعدّ محركًا فعليًا للسلوكيات الإيجابية في بيئة العمل. ويتقاطع هذا الطرح مع ما قدّمه</w:t>
      </w:r>
      <w:r w:rsidRPr="00645D6F">
        <w:rPr>
          <w:rFonts w:ascii="Simplified Arabic" w:hAnsi="Simplified Arabic" w:cs="Simplified Arabic"/>
          <w:color w:val="000000" w:themeColor="text1"/>
          <w:sz w:val="28"/>
          <w:szCs w:val="28"/>
        </w:rPr>
        <w:t xml:space="preserve"> Hoang et al. (2021) </w:t>
      </w:r>
      <w:r w:rsidRPr="00645D6F">
        <w:rPr>
          <w:rFonts w:ascii="Simplified Arabic" w:hAnsi="Simplified Arabic" w:cs="Simplified Arabic"/>
          <w:color w:val="000000" w:themeColor="text1"/>
          <w:sz w:val="28"/>
          <w:szCs w:val="28"/>
          <w:rtl/>
        </w:rPr>
        <w:t>في مراجعتهم المنهجية للأدبيات، إذ اعتبرا أن التمكين ظاهرة متعددة المستويات تتشابك فيها الممارسات القيادية مع الإدراكات الفردية والسياقات التنظيمية، بحيث لا يمكن اختزاله في بُعد واحد</w:t>
      </w:r>
      <w:r w:rsidRPr="00645D6F">
        <w:rPr>
          <w:rFonts w:ascii="Simplified Arabic" w:hAnsi="Simplified Arabic" w:cs="Simplified Arabic"/>
          <w:color w:val="000000" w:themeColor="text1"/>
          <w:sz w:val="28"/>
          <w:szCs w:val="28"/>
        </w:rPr>
        <w:t>.</w:t>
      </w:r>
    </w:p>
    <w:p w14:paraId="0D3C945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يُقدّم</w:t>
      </w:r>
      <w:r w:rsidRPr="00645D6F">
        <w:rPr>
          <w:rFonts w:ascii="Simplified Arabic" w:hAnsi="Simplified Arabic" w:cs="Simplified Arabic"/>
          <w:color w:val="000000" w:themeColor="text1"/>
          <w:sz w:val="28"/>
          <w:szCs w:val="28"/>
        </w:rPr>
        <w:t xml:space="preserve"> Salahat (2021) </w:t>
      </w:r>
      <w:r w:rsidRPr="00645D6F">
        <w:rPr>
          <w:rFonts w:ascii="Simplified Arabic" w:hAnsi="Simplified Arabic" w:cs="Simplified Arabic"/>
          <w:color w:val="000000" w:themeColor="text1"/>
          <w:sz w:val="28"/>
          <w:szCs w:val="28"/>
          <w:rtl/>
        </w:rPr>
        <w:t>تعريفًا يُبرز البعد الاستراتيجي للتمكين حين يعتبره ممارسة إدارية تستهدف تعزيز رشاقة اتخاذ القرار عبر تفويض الصلاحيات إلى المستويات الأقرب من مواقع الحدث، وهو ما يُتيح للمنظمة استجابة أسرع لمتغيرات البيئة الخارجية. وفي السياق ذاته، يذهب</w:t>
      </w:r>
      <w:r w:rsidRPr="00645D6F">
        <w:rPr>
          <w:rFonts w:ascii="Simplified Arabic" w:hAnsi="Simplified Arabic" w:cs="Simplified Arabic"/>
          <w:color w:val="000000" w:themeColor="text1"/>
          <w:sz w:val="28"/>
          <w:szCs w:val="28"/>
        </w:rPr>
        <w:t xml:space="preserve"> Anwar et al. (2025) </w:t>
      </w:r>
      <w:r w:rsidRPr="00645D6F">
        <w:rPr>
          <w:rFonts w:ascii="Simplified Arabic" w:hAnsi="Simplified Arabic" w:cs="Simplified Arabic"/>
          <w:color w:val="000000" w:themeColor="text1"/>
          <w:sz w:val="28"/>
          <w:szCs w:val="28"/>
          <w:rtl/>
        </w:rPr>
        <w:t>إلى أن التمكين آلية استراتيجية لتفعيل رأس المال البشري بحيث تنعكس آثاره على جودة العلاقات مع العملاء وقوة العلامة التجارية للمنظمة</w:t>
      </w:r>
      <w:r w:rsidRPr="00645D6F">
        <w:rPr>
          <w:rFonts w:ascii="Simplified Arabic" w:hAnsi="Simplified Arabic" w:cs="Simplified Arabic"/>
          <w:color w:val="000000" w:themeColor="text1"/>
          <w:sz w:val="28"/>
          <w:szCs w:val="28"/>
        </w:rPr>
        <w:t>.</w:t>
      </w:r>
    </w:p>
    <w:p w14:paraId="681294E8"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lastRenderedPageBreak/>
        <w:t>ويستخلص الباحث من مجمل هذه المقاربات أن التمكين الوظيفي يُمثّل فلسفة إدارية شاملة تتجاوز حدود التفويض الشكلي للسلطة، لتؤسس منظومة متكاملة تقوم على منح الموظف الصلاحيات الحقيقية اللازمة لأداء عمله، وتزويده بالمعرفة والمهارات التي تُمكّنه من استثمار هذه الصلاحيات، وإشراكه في القرارات التي تمسّ مجال عمله، وتحفيزه ماديًا ومعنويًا على المبادرة والابتكار، بما يُحوّله إلى عنصر فاعل يُساهم في تحقيق أهداف المنظمة وتعزيز قدرتها التنافسية، لا سيما في المنظمات الخدمية التي تتوقف جودة مخرجاتها على مدى استجابة العاملين لحاجات العملاء</w:t>
      </w:r>
      <w:r w:rsidRPr="00645D6F">
        <w:rPr>
          <w:rFonts w:ascii="Simplified Arabic" w:hAnsi="Simplified Arabic" w:cs="Simplified Arabic"/>
          <w:color w:val="000000" w:themeColor="text1"/>
          <w:sz w:val="28"/>
          <w:szCs w:val="28"/>
        </w:rPr>
        <w:t>.</w:t>
      </w:r>
    </w:p>
    <w:p w14:paraId="2BE76BF0" w14:textId="0AFE8D11"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938092"/>
      <w:r w:rsidRPr="00645D6F">
        <w:rPr>
          <w:rFonts w:ascii="Simplified Arabic" w:hAnsi="Simplified Arabic" w:cs="Simplified Arabic" w:hint="cs"/>
          <w:b/>
          <w:bCs/>
          <w:color w:val="000000" w:themeColor="text1"/>
          <w:sz w:val="32"/>
          <w:szCs w:val="32"/>
          <w:rtl/>
        </w:rPr>
        <w:t xml:space="preserve">3.1.2 </w:t>
      </w:r>
      <w:r w:rsidR="001D05C6" w:rsidRPr="00645D6F">
        <w:rPr>
          <w:rFonts w:ascii="Simplified Arabic" w:hAnsi="Simplified Arabic" w:cs="Simplified Arabic"/>
          <w:b/>
          <w:bCs/>
          <w:color w:val="000000" w:themeColor="text1"/>
          <w:sz w:val="32"/>
          <w:szCs w:val="32"/>
          <w:rtl/>
        </w:rPr>
        <w:t>أهمية التمكين الوظيفي</w:t>
      </w:r>
      <w:bookmarkEnd w:id="44"/>
    </w:p>
    <w:p w14:paraId="68249FFD"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تنبع أهمية التمكين الوظيفي من كونه أحد أهم المداخل الإدارية التي تُسهم في تحقيق التوازن بين مصلحة المنظمة ومصلحة الموارد البشرية العاملة فيها. فهو من جهة يُوفّر للإدارة أداة فاعلة لتحسين الأداء ورفع الكفاءة، ومن جهة أخرى يمنح العاملين شعورًا بالتقدير والانتماء يدفعهم إلى بذل مزيد من الجهد والالتزام. وتتضاعف هذه الأهمية في ظل ما تشهده بيئة الأعمال من متغيرات متلاحقة تجعل من القدرة على الاستجابة السريعة والمرنة عاملًا حاسمًا في بقاء المنظمة واستمرارها</w:t>
      </w:r>
      <w:r w:rsidRPr="00645D6F">
        <w:rPr>
          <w:rFonts w:ascii="Simplified Arabic" w:hAnsi="Simplified Arabic" w:cs="Simplified Arabic"/>
          <w:color w:val="000000" w:themeColor="text1"/>
          <w:sz w:val="28"/>
          <w:szCs w:val="28"/>
        </w:rPr>
        <w:t>.</w:t>
      </w:r>
    </w:p>
    <w:p w14:paraId="601AA9E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ويُشير الدهيمي (2021) إلى أن أهمية التمكين الوظيفي تتجلى في أنه: أولًا، يُسهم في تحقيق التميز التنظيمي من خلال إتاحة الفرصة أمام العاملين للمشاركة في صياغة الرؤية والأهداف؛ ثانيًا، يُعزّز قدرة المنظمة على الاستجابة للمتغيرات البيئية عبر تقصير خطوط اتخاذ القرار؛ ثالثًا، يُحسّن جودة الخدمات المقدمة نتيجة توسيع نطاق مسؤولية الموظف عن العمل الذي يؤديه؛ رابعًا، يُخفّض معدلات دوران العمل من خلال بناء علاقة نفسية عميقة بين الموظف ومنظمته</w:t>
      </w:r>
      <w:r w:rsidRPr="00645D6F">
        <w:rPr>
          <w:rFonts w:ascii="Simplified Arabic" w:hAnsi="Simplified Arabic" w:cs="Simplified Arabic"/>
          <w:color w:val="000000" w:themeColor="text1"/>
          <w:sz w:val="28"/>
          <w:szCs w:val="28"/>
        </w:rPr>
        <w:t>.</w:t>
      </w:r>
    </w:p>
    <w:p w14:paraId="79F468C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ويرى منصور (2025) أن أهمية التمكين الوظيفي يمكن استقراؤها من خلال مجموعة من الاعتبارات المترابطة تتمثل في: أنه يُعمّق شعور الموظف بالرضا الوظيفي نتيجة الإحساس بالثقة الممنوحة له من إدارته؛ ويُسهم في تنمية قدراته المعرفية والمهارية عبر التعرض المباشر لمواقف اتخاذ القرار؛ ويُنمّي روح المبادرة والقدرة على تحمّل المسؤولية؛ ويُخفّف من الأعباء الإدارية الملقاة على عاتق المستويات الإدارية العليا؛ ويُعزّز مناخ العمل الإيجابي القائم على الاحترام المتبادل</w:t>
      </w:r>
      <w:r w:rsidRPr="00645D6F">
        <w:rPr>
          <w:rFonts w:ascii="Simplified Arabic" w:hAnsi="Simplified Arabic" w:cs="Simplified Arabic"/>
          <w:color w:val="000000" w:themeColor="text1"/>
          <w:sz w:val="28"/>
          <w:szCs w:val="28"/>
        </w:rPr>
        <w:t>.</w:t>
      </w:r>
    </w:p>
    <w:p w14:paraId="30641859"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ويُضيف</w:t>
      </w:r>
      <w:r w:rsidRPr="00645D6F">
        <w:rPr>
          <w:rFonts w:ascii="Simplified Arabic" w:hAnsi="Simplified Arabic" w:cs="Simplified Arabic"/>
          <w:color w:val="000000" w:themeColor="text1"/>
          <w:sz w:val="28"/>
          <w:szCs w:val="28"/>
        </w:rPr>
        <w:t xml:space="preserve"> Raub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Robert (2020) </w:t>
      </w:r>
      <w:r w:rsidRPr="00645D6F">
        <w:rPr>
          <w:rFonts w:ascii="Simplified Arabic" w:hAnsi="Simplified Arabic" w:cs="Simplified Arabic"/>
          <w:color w:val="000000" w:themeColor="text1"/>
          <w:sz w:val="28"/>
          <w:szCs w:val="28"/>
          <w:rtl/>
        </w:rPr>
        <w:t xml:space="preserve">بُعدًا آخر لأهمية التمكين حين يعتبران أنه يُمثّل رافعة أساسية لتحسين تجربة العميل في المنظمات الخدمية، إذ إن الموظف الممكّن يمتلك القدرة على تخصيص الخدمة </w:t>
      </w:r>
      <w:r w:rsidRPr="00645D6F">
        <w:rPr>
          <w:rFonts w:ascii="Simplified Arabic" w:hAnsi="Simplified Arabic" w:cs="Simplified Arabic"/>
          <w:color w:val="000000" w:themeColor="text1"/>
          <w:sz w:val="28"/>
          <w:szCs w:val="28"/>
          <w:rtl/>
        </w:rPr>
        <w:lastRenderedPageBreak/>
        <w:t>وفق حاجات العميل الفردية، ويستطيع تجاوز القيود الروتينية التي كثيرًا ما تحول دون إشباع توقعاته. وفي السياق ذاته، يذهب</w:t>
      </w:r>
      <w:r w:rsidRPr="00645D6F">
        <w:rPr>
          <w:rFonts w:ascii="Simplified Arabic" w:hAnsi="Simplified Arabic" w:cs="Simplified Arabic"/>
          <w:color w:val="000000" w:themeColor="text1"/>
          <w:sz w:val="28"/>
          <w:szCs w:val="28"/>
        </w:rPr>
        <w:t xml:space="preserve"> Arhin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Cobblah (2024) </w:t>
      </w:r>
      <w:r w:rsidRPr="00645D6F">
        <w:rPr>
          <w:rFonts w:ascii="Simplified Arabic" w:hAnsi="Simplified Arabic" w:cs="Simplified Arabic"/>
          <w:color w:val="000000" w:themeColor="text1"/>
          <w:sz w:val="28"/>
          <w:szCs w:val="28"/>
          <w:rtl/>
        </w:rPr>
        <w:t>إلى أن أهمية التمكين تتجاوز الأثر المباشر على أداء الفرد لتشمل ترسيخ ثقافة الجودة الشاملة داخل المنظمة، حيث يُصبح كل موظف مسؤولًا عن مراقبة جودة أدائه وتحسينه بشكل مستمر، وهو ما يُخفّف الحاجة إلى منظومات رقابية معقدة ومكلفة</w:t>
      </w:r>
      <w:r w:rsidRPr="00645D6F">
        <w:rPr>
          <w:rFonts w:ascii="Simplified Arabic" w:hAnsi="Simplified Arabic" w:cs="Simplified Arabic"/>
          <w:color w:val="000000" w:themeColor="text1"/>
          <w:sz w:val="28"/>
          <w:szCs w:val="28"/>
        </w:rPr>
        <w:t>.</w:t>
      </w:r>
    </w:p>
    <w:p w14:paraId="0B06CC9A"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يُبيّن</w:t>
      </w:r>
      <w:r w:rsidRPr="00645D6F">
        <w:rPr>
          <w:rFonts w:ascii="Simplified Arabic" w:hAnsi="Simplified Arabic" w:cs="Simplified Arabic"/>
          <w:color w:val="000000" w:themeColor="text1"/>
          <w:sz w:val="28"/>
          <w:szCs w:val="28"/>
        </w:rPr>
        <w:t xml:space="preserve"> Makhamreh et al. (2022) </w:t>
      </w:r>
      <w:r w:rsidRPr="00645D6F">
        <w:rPr>
          <w:rFonts w:ascii="Simplified Arabic" w:hAnsi="Simplified Arabic" w:cs="Simplified Arabic"/>
          <w:color w:val="000000" w:themeColor="text1"/>
          <w:sz w:val="28"/>
          <w:szCs w:val="28"/>
          <w:rtl/>
        </w:rPr>
        <w:t>أن أهمية التمكين الوظيفي تتضح من خلال دوره التكاملي مع باقي الممارسات الإدارية، إذ إنه لا يعمل في فراغ وإنما يتفاعل مع نظم التحفيز والرضا الوظيفي بحيث يُضخّم أثر كل منها في تحسين الأداء المؤسسي. وفي المقابل، يُبرز الغول (2023) أهمية التمكين من زاوية تعزيز قدرة المنظمة على تقديم خدمات ذات جودة عالية تُلبي توقعات العملاء وتفوقها، وذلك عبر تمكين موظفي الصف الأمامي من التصرف بمرونة وسرعة في مواقف الخدمة</w:t>
      </w:r>
      <w:r w:rsidRPr="00645D6F">
        <w:rPr>
          <w:rFonts w:ascii="Simplified Arabic" w:hAnsi="Simplified Arabic" w:cs="Simplified Arabic"/>
          <w:color w:val="000000" w:themeColor="text1"/>
          <w:sz w:val="28"/>
          <w:szCs w:val="28"/>
        </w:rPr>
        <w:t>.</w:t>
      </w:r>
    </w:p>
    <w:p w14:paraId="1EE3E140"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ويرى الرشايدة وعريقات (2025) أن أهمية التمكين الوظيفي تكمن في كونه أداة استراتيجية لتحقيق الأداء المنظمي المتفوق، إذ يُسهم في تفعيل الطاقات البشرية الكامنة، وترسيخ ثقافة الابتكار، وتعزيز قدرة المنظمة على التكيف مع المستجدات، وبناء بيئة عمل جاذبة تحتفظ بالكفاءات وتستقطب المواهب. وبهذا يمكن القول إن التمكين الوظيفي يُشكّل استثمارًا استراتيجيًا في العنصر البشري تنعكس عوائده على مختلف مستويات الأداء الفردي والجماعي والتنظيمي</w:t>
      </w:r>
      <w:r w:rsidRPr="00645D6F">
        <w:rPr>
          <w:rFonts w:ascii="Simplified Arabic" w:hAnsi="Simplified Arabic" w:cs="Simplified Arabic"/>
          <w:color w:val="000000" w:themeColor="text1"/>
          <w:sz w:val="28"/>
          <w:szCs w:val="28"/>
        </w:rPr>
        <w:t>.</w:t>
      </w:r>
    </w:p>
    <w:p w14:paraId="27451BA9" w14:textId="5ECDC25C"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938093"/>
      <w:r w:rsidRPr="00645D6F">
        <w:rPr>
          <w:rFonts w:ascii="Simplified Arabic" w:hAnsi="Simplified Arabic" w:cs="Simplified Arabic" w:hint="cs"/>
          <w:b/>
          <w:bCs/>
          <w:color w:val="000000" w:themeColor="text1"/>
          <w:sz w:val="32"/>
          <w:szCs w:val="32"/>
          <w:rtl/>
        </w:rPr>
        <w:t xml:space="preserve">4.1.2 </w:t>
      </w:r>
      <w:r w:rsidR="001D05C6" w:rsidRPr="00645D6F">
        <w:rPr>
          <w:rFonts w:ascii="Simplified Arabic" w:hAnsi="Simplified Arabic" w:cs="Simplified Arabic"/>
          <w:b/>
          <w:bCs/>
          <w:color w:val="000000" w:themeColor="text1"/>
          <w:sz w:val="32"/>
          <w:szCs w:val="32"/>
          <w:rtl/>
        </w:rPr>
        <w:t>أهداف التمكين الوظيفي</w:t>
      </w:r>
      <w:bookmarkEnd w:id="45"/>
    </w:p>
    <w:p w14:paraId="2142D9D8"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يسعى التمكين الوظيفي إلى تحقيق جملة من الأهداف المتشابكة التي تتجاوز البُعد الفردي لتصل إلى المستوى التنظيمي الشامل، وقد تناول الباحثون هذه الأهداف من زوايا متعددة تعكس تباين مقارباتهم النظرية وتنوع سياقات دراستهم التطبيقية</w:t>
      </w:r>
      <w:r w:rsidRPr="00645D6F">
        <w:rPr>
          <w:rFonts w:ascii="Simplified Arabic" w:hAnsi="Simplified Arabic" w:cs="Simplified Arabic"/>
          <w:color w:val="000000" w:themeColor="text1"/>
          <w:sz w:val="28"/>
          <w:szCs w:val="28"/>
        </w:rPr>
        <w:t>.</w:t>
      </w:r>
    </w:p>
    <w:p w14:paraId="1CABF6D5"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ويُلخّص سالم (2023) الأهداف الجوهرية للتمكين الوظيفي في ما يلي: تنمية قدرات العاملين المعرفية والسلوكية بما يُمكّنهم من الاضطلاع بمسؤوليات أوسع نطاقًا؛ وتعزيز الشعور بالانتماء والالتزام التنظيمي عبر إشراك الموظفين في صياغة القرارات؛ وتحسين مستوى الأداء الفردي والجماعي؛ وترسيخ ثقافة العمل الجماعي والتعاون بين مختلف الوحدات التنظيمية؛ وتنمية القدرة على الإبداع والابتكار في مواجهة تحديات العمل</w:t>
      </w:r>
      <w:r w:rsidRPr="00645D6F">
        <w:rPr>
          <w:rFonts w:ascii="Simplified Arabic" w:hAnsi="Simplified Arabic" w:cs="Simplified Arabic"/>
          <w:color w:val="000000" w:themeColor="text1"/>
          <w:sz w:val="28"/>
          <w:szCs w:val="28"/>
        </w:rPr>
        <w:t>.</w:t>
      </w:r>
    </w:p>
    <w:p w14:paraId="0C29082C"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lastRenderedPageBreak/>
        <w:t>ويستعرض حمدان وأبو بريدعة (2023) أهدافًا أخرى للتمكين الوظيفي تتمحور حول: إحداث تغيير تنظيمي إيجابي عبر إعادة صياغة العلاقة بين المستويات الإدارية؛ وكسر الحواجز البيروقراطية التي تُبطئ من عمليات اتخاذ القرار؛ وتفعيل قنوات الاتصال الرأسي والأفقي داخل التنظيم؛ وبناء قدرات قيادية جديدة على المستويات التنفيذية؛ وتحقيق الاستجابة السريعة لمتطلبات التغيير في البيئة الخارجية</w:t>
      </w:r>
      <w:r w:rsidRPr="00645D6F">
        <w:rPr>
          <w:rFonts w:ascii="Simplified Arabic" w:hAnsi="Simplified Arabic" w:cs="Simplified Arabic"/>
          <w:color w:val="000000" w:themeColor="text1"/>
          <w:sz w:val="28"/>
          <w:szCs w:val="28"/>
        </w:rPr>
        <w:t>.</w:t>
      </w:r>
    </w:p>
    <w:p w14:paraId="1D2B3BB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ومن منظور مختلف، تُشير الزهراني والمالكي (2024) إلى أن التمكين الوظيفي يستهدف تحقيق مجموعة من الغايات تشمل: تعزيز الأداء التنظيمي في مختلف مراحله ومستوياته؛ وتحفيز روح المبادرة والإبداع لدى العاملين؛ وتوسيع نطاق مشاركتهم في العملية الإدارية؛ ورفع درجة الجاهزية التنظيمية للتعامل مع المستجدات؛ وبناء نموذج إداري متكامل يُوازن بين الرقابة والحرية</w:t>
      </w:r>
      <w:r w:rsidRPr="00645D6F">
        <w:rPr>
          <w:rFonts w:ascii="Simplified Arabic" w:hAnsi="Simplified Arabic" w:cs="Simplified Arabic"/>
          <w:color w:val="000000" w:themeColor="text1"/>
          <w:sz w:val="28"/>
          <w:szCs w:val="28"/>
        </w:rPr>
        <w:t>.</w:t>
      </w:r>
    </w:p>
    <w:p w14:paraId="1E9E395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ويُضيف</w:t>
      </w:r>
      <w:r w:rsidRPr="00645D6F">
        <w:rPr>
          <w:rFonts w:ascii="Simplified Arabic" w:hAnsi="Simplified Arabic" w:cs="Simplified Arabic"/>
          <w:color w:val="000000" w:themeColor="text1"/>
          <w:sz w:val="28"/>
          <w:szCs w:val="28"/>
        </w:rPr>
        <w:t xml:space="preserve"> Sunita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Jain (2025) </w:t>
      </w:r>
      <w:r w:rsidRPr="00645D6F">
        <w:rPr>
          <w:rFonts w:ascii="Simplified Arabic" w:hAnsi="Simplified Arabic" w:cs="Simplified Arabic"/>
          <w:color w:val="000000" w:themeColor="text1"/>
          <w:sz w:val="28"/>
          <w:szCs w:val="28"/>
          <w:rtl/>
        </w:rPr>
        <w:t>أهدافًا مرتبطة بالبُعد الخدمي، إذ يُوضّحان أن التمكين يستهدف: تحسين جودة الخدمات المقدمة للعملاء؛ ورفع مستوى رضا العملاء بشكل مستدام؛ وبناء علاقات طويلة الأمد مع المستفيدين من خدمات المنظمة؛ وتعزيز صورة المنظمة الذهنية في أذهان جمهورها؛ وتحقيق تمايز تنافسي يصعب على المنافسين محاكاته</w:t>
      </w:r>
      <w:r w:rsidRPr="00645D6F">
        <w:rPr>
          <w:rFonts w:ascii="Simplified Arabic" w:hAnsi="Simplified Arabic" w:cs="Simplified Arabic"/>
          <w:color w:val="000000" w:themeColor="text1"/>
          <w:sz w:val="28"/>
          <w:szCs w:val="28"/>
        </w:rPr>
        <w:t>.</w:t>
      </w:r>
    </w:p>
    <w:p w14:paraId="3709927F"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وتنسجم هذه الأهداف مع ما طرحه اصبيح والعفيشات (2024) من أن التمكين يهدف إلى تحقيق التوازن بين متطلبات الأداء الوظيفي وحاجات الموظف الشخصية، عبر توفير بيئة عمل تُحفّز الولاء التنظيمي وتُعزّز الاستقرار الوظيفي، وتُشجّع على البقاء في المنظمة والاستثمار في تطوير القدرات الذاتية. ومن ثم يمكن القول إن أهداف التمكين الوظيفي تتوزع على ثلاثة مستويات مترابطة: مستوى الفرد الذي يستهدف تنمية قدراته وتعزيز رضاه، ومستوى الجماعة الذي يستهدف بناء ثقافة تعاونية، ومستوى المنظمة الذي يستهدف تحقيق التميز والاستدامة</w:t>
      </w:r>
      <w:r w:rsidRPr="00645D6F">
        <w:rPr>
          <w:rFonts w:ascii="Simplified Arabic" w:hAnsi="Simplified Arabic" w:cs="Simplified Arabic"/>
          <w:color w:val="000000" w:themeColor="text1"/>
          <w:sz w:val="28"/>
          <w:szCs w:val="28"/>
        </w:rPr>
        <w:t>.</w:t>
      </w:r>
    </w:p>
    <w:p w14:paraId="0545E337" w14:textId="3506C373"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938094"/>
      <w:r w:rsidRPr="00645D6F">
        <w:rPr>
          <w:rFonts w:ascii="Simplified Arabic" w:hAnsi="Simplified Arabic" w:cs="Simplified Arabic" w:hint="cs"/>
          <w:b/>
          <w:bCs/>
          <w:color w:val="000000" w:themeColor="text1"/>
          <w:sz w:val="32"/>
          <w:szCs w:val="32"/>
          <w:rtl/>
        </w:rPr>
        <w:t xml:space="preserve">5.1.2 </w:t>
      </w:r>
      <w:r w:rsidR="001D05C6" w:rsidRPr="00645D6F">
        <w:rPr>
          <w:rFonts w:ascii="Simplified Arabic" w:hAnsi="Simplified Arabic" w:cs="Simplified Arabic"/>
          <w:b/>
          <w:bCs/>
          <w:color w:val="000000" w:themeColor="text1"/>
          <w:sz w:val="32"/>
          <w:szCs w:val="32"/>
          <w:rtl/>
        </w:rPr>
        <w:t>أبعاد التمكين الوظيفي</w:t>
      </w:r>
      <w:bookmarkEnd w:id="46"/>
    </w:p>
    <w:p w14:paraId="652A569F"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تم تحديد أبعاد التمكين الوظيفي في هذه الدراسة بناءً على مراجعة معمقة لعدد من الدراسات ذات الصلة، وفي مقدمتها دراسة العريقي (2020) ودراسة إسماعيل (2022) ودراسة قويدري وزاوش (2022)، إذ استقرّت هذه الدراسات على أربعة أبعاد رئيسية تُشكّل البنية التحليلية للمتغير المستقل في الدراسة الحالية، وهي: تفويض الصلاحيات، والتدريب والتطوير، والمشاركة في اتخاذ القرار، والتحفيز. وقد جاء اختيار هذه </w:t>
      </w:r>
      <w:r w:rsidRPr="00645D6F">
        <w:rPr>
          <w:rFonts w:ascii="Simplified Arabic" w:hAnsi="Simplified Arabic" w:cs="Simplified Arabic"/>
          <w:color w:val="000000" w:themeColor="text1"/>
          <w:sz w:val="28"/>
          <w:szCs w:val="28"/>
          <w:rtl/>
        </w:rPr>
        <w:lastRenderedPageBreak/>
        <w:t>الأبعاد استنادًا إلى ملاءمتها لطبيعة العمل في مجال خدمة العملاء، الذي يستوجب توافر منظومة متكاملة من الممارسات الإدارية تُتيح للموظفين الاستجابة الفورية والفعّالة لمشكلات العملاء</w:t>
      </w:r>
      <w:r w:rsidRPr="00645D6F">
        <w:rPr>
          <w:rFonts w:ascii="Simplified Arabic" w:hAnsi="Simplified Arabic" w:cs="Simplified Arabic"/>
          <w:color w:val="000000" w:themeColor="text1"/>
          <w:sz w:val="28"/>
          <w:szCs w:val="28"/>
        </w:rPr>
        <w:t>.</w:t>
      </w:r>
    </w:p>
    <w:p w14:paraId="244A00F5"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البُعد الأول: تفويض الصلاحيات، ويُعدّ الركيزة الهيكلية للتمكين الوظيفي، إذ ينطوي على نقل جزء من السلطة الرسمية من المستويات الإدارية العليا إلى المستويات التنفيذية بحيث تُصبح لدى الموظف صلاحية اتخاذ القرارات المتعلقة بنطاق عمله دون الرجوع المستمر إلى رؤسائه. ويُشير الشراري والعفيشات (2025) إلى أن التفويض الفاعل لا يقتصر على منح الصلاحية الشكلية، وإنما يتطلب توفير الغطاء التنظيمي والدعم المعنوي الذي يُتيح للموظف ممارسة هذه الصلاحية بثقة، مع تحديد نطاقها ومعايير المساءلة عنها. ولا يتحقق التفويض بمجرد إصدار قرار إداري بمنح صلاحيات، بل يستلزم منظومة متكاملة من الثقة المؤسسية والاستعداد النفسي لدى الرؤساء لقبول قرارات المرؤوسين وتحمّل بعض المخاطر المرتبطة بها</w:t>
      </w:r>
      <w:r w:rsidRPr="00645D6F">
        <w:rPr>
          <w:rFonts w:ascii="Simplified Arabic" w:hAnsi="Simplified Arabic" w:cs="Simplified Arabic"/>
          <w:color w:val="000000" w:themeColor="text1"/>
          <w:sz w:val="28"/>
          <w:szCs w:val="28"/>
        </w:rPr>
        <w:t>.</w:t>
      </w:r>
    </w:p>
    <w:p w14:paraId="46137FC2"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ويُضيف الدهيمي (2021) بُعدًا نوعيًا حين يُوضّح أن تفويض الصلاحيات يُسهم في تقصير دورة اتخاذ القرار داخل المنظمة، مما يُتيح استجابة أسرع لمتطلبات العملاء ولمستجدات البيئة الخارجية. وفي المنظمات الخدمية على وجه الخصوص، يُصبح التفويض ضرورة تشغيلية لا رفاهية إدارية، إذ إن كل دقيقة تُهدر في انتظار موافقة إدارية على قرار بسيط تعني تدهورًا في تجربة العميل. كما أن التفويض يُتيح للإدارة العليا التفرغ لممارسة الأدوار الاستراتيجية، بدلًا من الانشغال بتفاصيل تشغيلية يمكن أن يتولاها المستوى الأدنى بكفاءة</w:t>
      </w:r>
      <w:r w:rsidRPr="00645D6F">
        <w:rPr>
          <w:rFonts w:ascii="Simplified Arabic" w:hAnsi="Simplified Arabic" w:cs="Simplified Arabic"/>
          <w:color w:val="000000" w:themeColor="text1"/>
          <w:sz w:val="28"/>
          <w:szCs w:val="28"/>
        </w:rPr>
        <w:t>.</w:t>
      </w:r>
    </w:p>
    <w:p w14:paraId="75191DA0"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البُعد الثاني: التدريب والتطوير، ويُمثّل الرافعة المعرفية للتمكين الوظيفي، حيث إن منح الصلاحيات دون تزويد الموظف بالمعارف والمهارات اللازمة لممارستها بكفاءة يُفرغ التمكين من مضمونه ويُحوّله إلى ممارسة شكلية. ويرى</w:t>
      </w:r>
      <w:r w:rsidRPr="00645D6F">
        <w:rPr>
          <w:rFonts w:ascii="Simplified Arabic" w:hAnsi="Simplified Arabic" w:cs="Simplified Arabic"/>
          <w:color w:val="000000" w:themeColor="text1"/>
          <w:sz w:val="28"/>
          <w:szCs w:val="28"/>
        </w:rPr>
        <w:t xml:space="preserve"> Anwar et al. (2025) </w:t>
      </w:r>
      <w:r w:rsidRPr="00645D6F">
        <w:rPr>
          <w:rFonts w:ascii="Simplified Arabic" w:hAnsi="Simplified Arabic" w:cs="Simplified Arabic"/>
          <w:color w:val="000000" w:themeColor="text1"/>
          <w:sz w:val="28"/>
          <w:szCs w:val="28"/>
          <w:rtl/>
        </w:rPr>
        <w:t>أن الاستثمار في برامج التدريب المستمر يُمثّل شرطًا مسبقًا لنجاح مبادرات التمكين، إذ يُوفّر للعاملين الأدوات المعرفية اللازمة لفهم متطلبات العمل، والتعامل مع الأنظمة والتقنيات الحديثة، وحل المشكلات التي يواجهونها في تعاملهم مع العملاء. ولا يقتصر التدريب على الجانب الفني، بل يمتد ليشمل تنمية المهارات السلوكية والاتصالية التي تُحدّد جودة التفاعل مع العملاء</w:t>
      </w:r>
      <w:r w:rsidRPr="00645D6F">
        <w:rPr>
          <w:rFonts w:ascii="Simplified Arabic" w:hAnsi="Simplified Arabic" w:cs="Simplified Arabic"/>
          <w:color w:val="000000" w:themeColor="text1"/>
          <w:sz w:val="28"/>
          <w:szCs w:val="28"/>
        </w:rPr>
        <w:t>.</w:t>
      </w:r>
    </w:p>
    <w:p w14:paraId="5F926F65"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ويُوسّع</w:t>
      </w:r>
      <w:r w:rsidRPr="00645D6F">
        <w:rPr>
          <w:rFonts w:ascii="Simplified Arabic" w:hAnsi="Simplified Arabic" w:cs="Simplified Arabic"/>
          <w:color w:val="000000" w:themeColor="text1"/>
          <w:sz w:val="28"/>
          <w:szCs w:val="28"/>
        </w:rPr>
        <w:t xml:space="preserve"> Hoang et al. (2021) </w:t>
      </w:r>
      <w:r w:rsidRPr="00645D6F">
        <w:rPr>
          <w:rFonts w:ascii="Simplified Arabic" w:hAnsi="Simplified Arabic" w:cs="Simplified Arabic"/>
          <w:color w:val="000000" w:themeColor="text1"/>
          <w:sz w:val="28"/>
          <w:szCs w:val="28"/>
          <w:rtl/>
        </w:rPr>
        <w:t xml:space="preserve">نطاق هذا البُعد ليشمل ما يُسمّى بالتطوير المهني المستمر، والذي يتجاوز الدورات التدريبية التقليدية إلى مفهوم أشمل يتضمن التعلم من خلال العمل، والتوجيه من قِبل الزملاء </w:t>
      </w:r>
      <w:r w:rsidRPr="00645D6F">
        <w:rPr>
          <w:rFonts w:ascii="Simplified Arabic" w:hAnsi="Simplified Arabic" w:cs="Simplified Arabic"/>
          <w:color w:val="000000" w:themeColor="text1"/>
          <w:sz w:val="28"/>
          <w:szCs w:val="28"/>
          <w:rtl/>
        </w:rPr>
        <w:lastRenderedPageBreak/>
        <w:t>الأكثر خبرة، والتعلم الذاتي عبر المنصات الرقمية. وفي هذا السياق، يُصبح التدريب استثمارًا استراتيجيًا في رأس المال البشري، تتحدد قيمته بمدى قدرته على مواكبة المتغيرات المتسارعة في مجال الخدمة، وعلى تجهيز الموظف للتعامل مع مواقف غير روتينية تستوجب اجتهادًا شخصيًا واستحضارًا لمعارف متعددة في آنٍ واحد</w:t>
      </w:r>
      <w:r w:rsidRPr="00645D6F">
        <w:rPr>
          <w:rFonts w:ascii="Simplified Arabic" w:hAnsi="Simplified Arabic" w:cs="Simplified Arabic"/>
          <w:color w:val="000000" w:themeColor="text1"/>
          <w:sz w:val="28"/>
          <w:szCs w:val="28"/>
        </w:rPr>
        <w:t>.</w:t>
      </w:r>
    </w:p>
    <w:p w14:paraId="0FC861AB"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البُعد الثالث: المشاركة في اتخاذ القرار، ويُجسّد البُعد التشاركي للتمكين الوظيفي، إذ ينطوي على إشراك العاملين في القرارات المتعلقة بسياسات الخدمة وإجراءات العمل وحلول المشكلات. ويُبرز عبد الواحد والمسدي (2023) أهمية هذا البُعد من زاوية أن الموظفين الذين يتعاملون مباشرة مع العملاء يمتلكون رؤية ميدانية دقيقة لطبيعة المشكلات المتكررة ولمقترحات التحسين، وأن استثمار هذه المعرفة الضمنية يستوجب إتاحة قنوات فاعلة لإيصال آرائهم إلى دوائر صناعة القرار. ولا تقتصر المشاركة في اتخاذ القرار على الاستشارة الشكلية، بل تتطلب بناء آليات مؤسسية تضمن أخذ آراء العاملين بعين الاعتبار وتحويلها إلى قرارات فعلية</w:t>
      </w:r>
      <w:r w:rsidRPr="00645D6F">
        <w:rPr>
          <w:rFonts w:ascii="Simplified Arabic" w:hAnsi="Simplified Arabic" w:cs="Simplified Arabic"/>
          <w:color w:val="000000" w:themeColor="text1"/>
          <w:sz w:val="28"/>
          <w:szCs w:val="28"/>
        </w:rPr>
        <w:t>.</w:t>
      </w:r>
    </w:p>
    <w:p w14:paraId="155786C9"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ويُضيف</w:t>
      </w:r>
      <w:r w:rsidRPr="00645D6F">
        <w:rPr>
          <w:rFonts w:ascii="Simplified Arabic" w:hAnsi="Simplified Arabic" w:cs="Simplified Arabic"/>
          <w:color w:val="000000" w:themeColor="text1"/>
          <w:sz w:val="28"/>
          <w:szCs w:val="28"/>
        </w:rPr>
        <w:t xml:space="preserve"> Kanjanakan et al. (2023) </w:t>
      </w:r>
      <w:r w:rsidRPr="00645D6F">
        <w:rPr>
          <w:rFonts w:ascii="Simplified Arabic" w:hAnsi="Simplified Arabic" w:cs="Simplified Arabic"/>
          <w:color w:val="000000" w:themeColor="text1"/>
          <w:sz w:val="28"/>
          <w:szCs w:val="28"/>
          <w:rtl/>
        </w:rPr>
        <w:t>أن المشاركة في اتخاذ القرار تُنمّي لدى الموظف إحساسًا بالمعنى والتأثير، وهما بُعدان أساسيان من أبعاد التمكين النفسي. فالموظف الذي يشعر بأن رأيه مسموع وأن مساهماته تُترجم إلى تغييرات ملموسة يمتلك دافعية داخلية أعلى للأداء والالتزام، مقارنة بالموظف الذي يُنفّذ قرارات صيغت في مستويات إدارية بعيدة عن ميدان العمل. كما أن المشاركة في القرار تُسهم في تحسين جودة القرارات ذاتها، إذ إنها تعتمد على تعدد وجهات النظر وتنوع المعارف والخبرات، بدلًا من الاعتماد على منظور فردي محدود</w:t>
      </w:r>
      <w:r w:rsidRPr="00645D6F">
        <w:rPr>
          <w:rFonts w:ascii="Simplified Arabic" w:hAnsi="Simplified Arabic" w:cs="Simplified Arabic"/>
          <w:color w:val="000000" w:themeColor="text1"/>
          <w:sz w:val="28"/>
          <w:szCs w:val="28"/>
        </w:rPr>
        <w:t>.</w:t>
      </w:r>
    </w:p>
    <w:p w14:paraId="59DA8032"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البُعد الرابع: التحفيز، ويُشكّل البُعد الدافعي للتمكين الوظيفي، إذ يستهدف تعزيز الاستعداد النفسي للموظف لممارسة الصلاحيات الممنوحة له والإفادة من التدريب المقدَّم إليه والمساهمة في اتخاذ القرار. ويُوضّح</w:t>
      </w:r>
      <w:r w:rsidRPr="00645D6F">
        <w:rPr>
          <w:rFonts w:ascii="Simplified Arabic" w:hAnsi="Simplified Arabic" w:cs="Simplified Arabic"/>
          <w:color w:val="000000" w:themeColor="text1"/>
          <w:sz w:val="28"/>
          <w:szCs w:val="28"/>
        </w:rPr>
        <w:t xml:space="preserve"> Salahat (2021) </w:t>
      </w:r>
      <w:r w:rsidRPr="00645D6F">
        <w:rPr>
          <w:rFonts w:ascii="Simplified Arabic" w:hAnsi="Simplified Arabic" w:cs="Simplified Arabic"/>
          <w:color w:val="000000" w:themeColor="text1"/>
          <w:sz w:val="28"/>
          <w:szCs w:val="28"/>
          <w:rtl/>
        </w:rPr>
        <w:t>أن منظومة التحفيز الفاعلة تجمع بين الحوافز المادية كالمكافآت والعلاوات، والحوافز المعنوية كالتقدير والاعتراف بالإنجاز، بحيث تُلبي احتياجات الموظف على مختلف مستوياتها. ومن دون منظومة تحفيز عادلة وشفافة، تفقد ممارسات التمكين قدرتها على إحداث التغيير المنشود في السلوك التنظيمي</w:t>
      </w:r>
      <w:r w:rsidRPr="00645D6F">
        <w:rPr>
          <w:rFonts w:ascii="Simplified Arabic" w:hAnsi="Simplified Arabic" w:cs="Simplified Arabic"/>
          <w:color w:val="000000" w:themeColor="text1"/>
          <w:sz w:val="28"/>
          <w:szCs w:val="28"/>
        </w:rPr>
        <w:t>.</w:t>
      </w:r>
    </w:p>
    <w:p w14:paraId="2E74DA5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ويرى</w:t>
      </w:r>
      <w:r w:rsidRPr="00645D6F">
        <w:rPr>
          <w:rFonts w:ascii="Simplified Arabic" w:hAnsi="Simplified Arabic" w:cs="Simplified Arabic"/>
          <w:color w:val="000000" w:themeColor="text1"/>
          <w:sz w:val="28"/>
          <w:szCs w:val="28"/>
        </w:rPr>
        <w:t xml:space="preserve"> Makhamreh et al. (2022) </w:t>
      </w:r>
      <w:r w:rsidRPr="00645D6F">
        <w:rPr>
          <w:rFonts w:ascii="Simplified Arabic" w:hAnsi="Simplified Arabic" w:cs="Simplified Arabic"/>
          <w:color w:val="000000" w:themeColor="text1"/>
          <w:sz w:val="28"/>
          <w:szCs w:val="28"/>
          <w:rtl/>
        </w:rPr>
        <w:t xml:space="preserve">أن التحفيز يُمثّل الحلقة التي تربط بين الممارسات الإدارية والنتائج التنظيمية المرغوبة، إذ إنه يعمل بوصفه متغيرًا محوريًا يُحوّل الطاقات الكامنة إلى سلوكيات فعلية </w:t>
      </w:r>
      <w:r w:rsidRPr="00645D6F">
        <w:rPr>
          <w:rFonts w:ascii="Simplified Arabic" w:hAnsi="Simplified Arabic" w:cs="Simplified Arabic"/>
          <w:color w:val="000000" w:themeColor="text1"/>
          <w:sz w:val="28"/>
          <w:szCs w:val="28"/>
          <w:rtl/>
        </w:rPr>
        <w:lastRenderedPageBreak/>
        <w:t>تنعكس على الأداء ورضا العملاء. ويستوجب التحفيز الفاعل مراعاة الفروق الفردية بين العاملين، إذ إن ما يُحفّز موظفًا قد لا يُحفّز آخر، مما يستدعي منظومة تحفيز مرنة تُتيح خيارات متعددة تُلبي تنوع الاحتياجات. ويُضاف إلى ذلك ضرورة الربط الواضح بين الأداء والحوافز، بحيث يُدرك الموظف العلاقة السببية بين جهده وما يحصل عليه من مقابل، مما يُعزّز شعوره بالعدالة التنظيمية ويُقوّي دافعيته للاستمرار في الأداء المتميز</w:t>
      </w:r>
      <w:r w:rsidRPr="00645D6F">
        <w:rPr>
          <w:rFonts w:ascii="Simplified Arabic" w:hAnsi="Simplified Arabic" w:cs="Simplified Arabic"/>
          <w:color w:val="000000" w:themeColor="text1"/>
          <w:sz w:val="28"/>
          <w:szCs w:val="28"/>
        </w:rPr>
        <w:t>.</w:t>
      </w:r>
    </w:p>
    <w:p w14:paraId="53E88C06" w14:textId="7E8AEF55"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938095"/>
      <w:r w:rsidRPr="00645D6F">
        <w:rPr>
          <w:rFonts w:ascii="Simplified Arabic" w:hAnsi="Simplified Arabic" w:cs="Simplified Arabic" w:hint="cs"/>
          <w:b/>
          <w:bCs/>
          <w:color w:val="000000" w:themeColor="text1"/>
          <w:sz w:val="32"/>
          <w:szCs w:val="32"/>
          <w:rtl/>
        </w:rPr>
        <w:t xml:space="preserve">6.1.2 </w:t>
      </w:r>
      <w:r w:rsidR="001D05C6" w:rsidRPr="00645D6F">
        <w:rPr>
          <w:rFonts w:ascii="Simplified Arabic" w:hAnsi="Simplified Arabic" w:cs="Simplified Arabic"/>
          <w:b/>
          <w:bCs/>
          <w:color w:val="000000" w:themeColor="text1"/>
          <w:sz w:val="32"/>
          <w:szCs w:val="32"/>
          <w:rtl/>
        </w:rPr>
        <w:t>استراتيجيات التمكين الوظيفي</w:t>
      </w:r>
      <w:bookmarkEnd w:id="47"/>
    </w:p>
    <w:p w14:paraId="1B50B54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يستلزم تطبيق التمكين الوظيفي انتهاج جملة من الاستراتيجيات المتكاملة التي تنقله من كونه شعارًا إداريًا إلى ممارسة فعلية تنعكس على الأداء المؤسسي. ومن أبرز هذه الاستراتيجيات ما يُشير إليه</w:t>
      </w:r>
      <w:r w:rsidRPr="00645D6F">
        <w:rPr>
          <w:rFonts w:ascii="Simplified Arabic" w:hAnsi="Simplified Arabic" w:cs="Simplified Arabic"/>
          <w:color w:val="000000" w:themeColor="text1"/>
          <w:sz w:val="28"/>
          <w:szCs w:val="28"/>
        </w:rPr>
        <w:t xml:space="preserve"> Hoang et al. (2021) </w:t>
      </w:r>
      <w:r w:rsidRPr="00645D6F">
        <w:rPr>
          <w:rFonts w:ascii="Simplified Arabic" w:hAnsi="Simplified Arabic" w:cs="Simplified Arabic"/>
          <w:color w:val="000000" w:themeColor="text1"/>
          <w:sz w:val="28"/>
          <w:szCs w:val="28"/>
          <w:rtl/>
        </w:rPr>
        <w:t>من ضرورة تبنّي القيادة الممكِّنة بوصفها استراتيجية جوهرية، إذ يقع على عاتق القادة عبء إيجاد المناخ التنظيمي الملائم للتمكين، عبر إظهار الثقة في العاملين وتفويض الصلاحيات وتقديم الدعم اللازم لممارستها، والتخلي عن الأنماط القيادية التقليدية القائمة على التوجيه والمراقبة اللصيقة</w:t>
      </w:r>
      <w:r w:rsidRPr="00645D6F">
        <w:rPr>
          <w:rFonts w:ascii="Simplified Arabic" w:hAnsi="Simplified Arabic" w:cs="Simplified Arabic"/>
          <w:color w:val="000000" w:themeColor="text1"/>
          <w:sz w:val="28"/>
          <w:szCs w:val="28"/>
        </w:rPr>
        <w:t>.</w:t>
      </w:r>
    </w:p>
    <w:p w14:paraId="0246F1E9"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تتضمن استراتيجيات التمكين إعادة تصميم الهياكل التنظيمية بما يجعلها أكثر انبساطًا وأقل اعتمادًا على التسلسل الهرمي، وذلك من خلال تقليل عدد المستويات الإدارية وتوسيع نطاق الإشراف، وهو ما يُتيح تدفقًا أسرع للمعلومات والقرارات. ويُبرز الدهيمي (2021) أهمية هذه الاستراتيجية باعتبارها البنية التحتية التي تُيسّر ممارسات التمكين وتُزيل العوائق البيروقراطية التي تعترض تفعيلها. ويُضاف إلى ذلك بناء نظم معلومات فاعلة تُتيح للموظفين الوصول السريع إلى البيانات اللازمة لاتخاذ قراراتهم، إذ إن التمكين دون معلومات كافية يُصبح ممارسة عشوائية تفتقر إلى الأساس الموضوعي</w:t>
      </w:r>
      <w:r w:rsidRPr="00645D6F">
        <w:rPr>
          <w:rFonts w:ascii="Simplified Arabic" w:hAnsi="Simplified Arabic" w:cs="Simplified Arabic"/>
          <w:color w:val="000000" w:themeColor="text1"/>
          <w:sz w:val="28"/>
          <w:szCs w:val="28"/>
        </w:rPr>
        <w:t>.</w:t>
      </w:r>
    </w:p>
    <w:p w14:paraId="76BB22F3"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وتشمل استراتيجيات التمكين كذلك بناء ثقافة تنظيمية داعمة تحتفي بالمبادرة وتتسامح مع الأخطاء غير المتعمدة، بوصف الخطأ فرصة للتعلم لا مبرّرًا للعقوبة. ويُوضّح</w:t>
      </w:r>
      <w:r w:rsidRPr="00645D6F">
        <w:rPr>
          <w:rFonts w:ascii="Simplified Arabic" w:hAnsi="Simplified Arabic" w:cs="Simplified Arabic"/>
          <w:color w:val="000000" w:themeColor="text1"/>
          <w:sz w:val="28"/>
          <w:szCs w:val="28"/>
        </w:rPr>
        <w:t xml:space="preserve"> Anwar et al. (2025) </w:t>
      </w:r>
      <w:r w:rsidRPr="00645D6F">
        <w:rPr>
          <w:rFonts w:ascii="Simplified Arabic" w:hAnsi="Simplified Arabic" w:cs="Simplified Arabic"/>
          <w:color w:val="000000" w:themeColor="text1"/>
          <w:sz w:val="28"/>
          <w:szCs w:val="28"/>
          <w:rtl/>
        </w:rPr>
        <w:t>أن الثقافة التنظيمية تُشكّل الوعاء الذي تنمو فيه ممارسات التمكين أو تذبل، وأن السعي إلى تطبيق التمكين في بيئة ثقافية معادية له يُفضي إلى نتائج عكسية تتمثل في ارتباك الموظفين وتردّدهم في ممارسة صلاحياتهم خشية العقوبة</w:t>
      </w:r>
      <w:r w:rsidRPr="00645D6F">
        <w:rPr>
          <w:rFonts w:ascii="Simplified Arabic" w:hAnsi="Simplified Arabic" w:cs="Simplified Arabic"/>
          <w:color w:val="000000" w:themeColor="text1"/>
          <w:sz w:val="28"/>
          <w:szCs w:val="28"/>
        </w:rPr>
        <w:t>.</w:t>
      </w:r>
    </w:p>
    <w:p w14:paraId="0438C409"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كما تندرج ضمن استراتيجيات التمكين تصميم نظم أداء تعتمد على النتائج بدلًا من الرقابة على الإجراءات، بحيث يُقاس الموظف بمدى تحقيقه للأهداف لا بمدى التزامه بالخطوات التفصيلية، وهو ما </w:t>
      </w:r>
      <w:r w:rsidRPr="00645D6F">
        <w:rPr>
          <w:rFonts w:ascii="Simplified Arabic" w:hAnsi="Simplified Arabic" w:cs="Simplified Arabic"/>
          <w:color w:val="000000" w:themeColor="text1"/>
          <w:sz w:val="28"/>
          <w:szCs w:val="28"/>
          <w:rtl/>
        </w:rPr>
        <w:lastRenderedPageBreak/>
        <w:t>يُتيح له مساحة من الحرية في اختيار الأساليب الأنسب لإنجاز عمله. ويُكمل هذه المنظومة بناء نظم تحفيز مرنة تربط المكافآت بالأداء المتميز والابتكار في حل المشكلات، مع ضمان العدالة في توزيعها وشفافية معاييرها</w:t>
      </w:r>
      <w:r w:rsidRPr="00645D6F">
        <w:rPr>
          <w:rFonts w:ascii="Simplified Arabic" w:hAnsi="Simplified Arabic" w:cs="Simplified Arabic"/>
          <w:color w:val="000000" w:themeColor="text1"/>
          <w:sz w:val="28"/>
          <w:szCs w:val="28"/>
        </w:rPr>
        <w:t>.</w:t>
      </w:r>
    </w:p>
    <w:p w14:paraId="10C54C23" w14:textId="511CBC17"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938096"/>
      <w:r w:rsidRPr="00645D6F">
        <w:rPr>
          <w:rFonts w:ascii="Simplified Arabic" w:hAnsi="Simplified Arabic" w:cs="Simplified Arabic" w:hint="cs"/>
          <w:b/>
          <w:bCs/>
          <w:color w:val="000000" w:themeColor="text1"/>
          <w:sz w:val="32"/>
          <w:szCs w:val="32"/>
          <w:rtl/>
        </w:rPr>
        <w:t xml:space="preserve">7.1.2 </w:t>
      </w:r>
      <w:r w:rsidR="001D05C6" w:rsidRPr="00645D6F">
        <w:rPr>
          <w:rFonts w:ascii="Simplified Arabic" w:hAnsi="Simplified Arabic" w:cs="Simplified Arabic"/>
          <w:b/>
          <w:bCs/>
          <w:color w:val="000000" w:themeColor="text1"/>
          <w:sz w:val="32"/>
          <w:szCs w:val="32"/>
          <w:rtl/>
        </w:rPr>
        <w:t>مداخل معاصرة لفهم التمكين الوظيفي</w:t>
      </w:r>
      <w:bookmarkEnd w:id="48"/>
    </w:p>
    <w:p w14:paraId="7C069D6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في ظل تطور الأدبيات الإدارية، ظهرت مداخل معاصرة لفهم التمكين الوظيفي تتجاوز المقاربات التقليدية. ومن أبرزها المدخل التكاملي متعدد المستويات الذي يطرحه</w:t>
      </w:r>
      <w:r w:rsidRPr="00645D6F">
        <w:rPr>
          <w:rFonts w:ascii="Simplified Arabic" w:hAnsi="Simplified Arabic" w:cs="Simplified Arabic"/>
          <w:color w:val="000000" w:themeColor="text1"/>
          <w:sz w:val="28"/>
          <w:szCs w:val="28"/>
        </w:rPr>
        <w:t xml:space="preserve"> Kanjanakan et al. (2023)</w:t>
      </w:r>
      <w:r w:rsidRPr="00645D6F">
        <w:rPr>
          <w:rFonts w:ascii="Simplified Arabic" w:hAnsi="Simplified Arabic" w:cs="Simplified Arabic"/>
          <w:color w:val="000000" w:themeColor="text1"/>
          <w:sz w:val="28"/>
          <w:szCs w:val="28"/>
          <w:rtl/>
        </w:rPr>
        <w:t>، والذي يعتبر أن التمكين ظاهرة تتفاعل فيها العوامل الفردية مع العوامل الجماعية والتنظيمية، وأن دراستها من زاوية واحدة تُفضي إلى فهم قاصر. ويستدعي هذا المدخل النظر إلى التمكين بوصفه منظومة متشابكة تشمل ممارسات القادة، وإدراكات الأفراد، وديناميكيات الفرق، وسياقات المنظمة</w:t>
      </w:r>
      <w:r w:rsidRPr="00645D6F">
        <w:rPr>
          <w:rFonts w:ascii="Simplified Arabic" w:hAnsi="Simplified Arabic" w:cs="Simplified Arabic"/>
          <w:color w:val="000000" w:themeColor="text1"/>
          <w:sz w:val="28"/>
          <w:szCs w:val="28"/>
        </w:rPr>
        <w:t>.</w:t>
      </w:r>
    </w:p>
    <w:p w14:paraId="24D14539"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ويُقدّم</w:t>
      </w:r>
      <w:r w:rsidRPr="00645D6F">
        <w:rPr>
          <w:rFonts w:ascii="Simplified Arabic" w:hAnsi="Simplified Arabic" w:cs="Simplified Arabic"/>
          <w:color w:val="000000" w:themeColor="text1"/>
          <w:sz w:val="28"/>
          <w:szCs w:val="28"/>
        </w:rPr>
        <w:t xml:space="preserve"> Anwar et al. (2025) </w:t>
      </w:r>
      <w:r w:rsidRPr="00645D6F">
        <w:rPr>
          <w:rFonts w:ascii="Simplified Arabic" w:hAnsi="Simplified Arabic" w:cs="Simplified Arabic"/>
          <w:color w:val="000000" w:themeColor="text1"/>
          <w:sz w:val="28"/>
          <w:szCs w:val="28"/>
          <w:rtl/>
        </w:rPr>
        <w:t>مدخلًا تكنولوجيًا للتمكين يربطه بالتحوّل الرقمي في المنظمات، إذ يُوضّحان أن التقنيات الحديثة كنظم إدارة علاقات العملاء أصبحت أداة رئيسية لتمكين موظفي الصف الأمامي، من خلال إتاحة بيانات فورية عن العملاء تُمكّنهم من اتخاذ قرارات مخصصة تُلبي الاحتياجات الفردية. وقد نقلت هذه التقنيات مفهوم التمكين من مجرد تفويض شكلي إلى قدرة فعلية على التخصيص وسرعة الاستجابة</w:t>
      </w:r>
      <w:r w:rsidRPr="00645D6F">
        <w:rPr>
          <w:rFonts w:ascii="Simplified Arabic" w:hAnsi="Simplified Arabic" w:cs="Simplified Arabic"/>
          <w:color w:val="000000" w:themeColor="text1"/>
          <w:sz w:val="28"/>
          <w:szCs w:val="28"/>
        </w:rPr>
        <w:t>.</w:t>
      </w:r>
    </w:p>
    <w:p w14:paraId="0B59563B"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يبرز المدخل السلوكي للتمكين الذي يركّز على السلوكيات المطلوبة من العاملين الممكّنين، من قبيل المبادرة والإبداع وتحمّل المسؤولية والتعاون. ويُشير</w:t>
      </w:r>
      <w:r w:rsidRPr="00645D6F">
        <w:rPr>
          <w:rFonts w:ascii="Simplified Arabic" w:hAnsi="Simplified Arabic" w:cs="Simplified Arabic"/>
          <w:color w:val="000000" w:themeColor="text1"/>
          <w:sz w:val="28"/>
          <w:szCs w:val="28"/>
        </w:rPr>
        <w:t xml:space="preserve"> Arhin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Cobblah (2024) </w:t>
      </w:r>
      <w:r w:rsidRPr="00645D6F">
        <w:rPr>
          <w:rFonts w:ascii="Simplified Arabic" w:hAnsi="Simplified Arabic" w:cs="Simplified Arabic"/>
          <w:color w:val="000000" w:themeColor="text1"/>
          <w:sz w:val="28"/>
          <w:szCs w:val="28"/>
          <w:rtl/>
        </w:rPr>
        <w:t>إلى أن هذه السلوكيات لا تنشأ تلقائيًا من مجرد منح الصلاحيات، وإنما تحتاج إلى تنمية مقصودة عبر برامج تطويرية وممارسات قيادية مستدامة، وإلى بيئة تنظيمية تُكافئ إظهارها</w:t>
      </w:r>
      <w:r w:rsidRPr="00645D6F">
        <w:rPr>
          <w:rFonts w:ascii="Simplified Arabic" w:hAnsi="Simplified Arabic" w:cs="Simplified Arabic"/>
          <w:color w:val="000000" w:themeColor="text1"/>
          <w:sz w:val="28"/>
          <w:szCs w:val="28"/>
        </w:rPr>
        <w:t>.</w:t>
      </w:r>
    </w:p>
    <w:p w14:paraId="2437E990" w14:textId="6557FFBE" w:rsidR="001D05C6" w:rsidRPr="00645D6F" w:rsidRDefault="004A41F9" w:rsidP="004A41F9">
      <w:pPr>
        <w:jc w:val="center"/>
        <w:outlineLvl w:val="1"/>
        <w:rPr>
          <w:rFonts w:ascii="Simplified Arabic" w:hAnsi="Simplified Arabic" w:cs="Simplified Arabic"/>
          <w:b/>
          <w:bCs/>
          <w:color w:val="000000" w:themeColor="text1"/>
          <w:sz w:val="36"/>
          <w:szCs w:val="36"/>
        </w:rPr>
      </w:pPr>
      <w:r w:rsidRPr="00645D6F">
        <w:rPr>
          <w:rFonts w:ascii="Simplified Arabic" w:hAnsi="Simplified Arabic" w:cs="Simplified Arabic"/>
          <w:b/>
          <w:bCs/>
          <w:color w:val="000000" w:themeColor="text1"/>
          <w:sz w:val="36"/>
          <w:szCs w:val="36"/>
        </w:rPr>
        <w:br w:type="page"/>
      </w:r>
      <w:bookmarkStart w:id="49" w:name="_Toc233938097"/>
      <w:r w:rsidR="001D05C6" w:rsidRPr="00645D6F">
        <w:rPr>
          <w:rFonts w:ascii="Simplified Arabic" w:hAnsi="Simplified Arabic" w:cs="Simplified Arabic"/>
          <w:b/>
          <w:bCs/>
          <w:color w:val="000000" w:themeColor="text1"/>
          <w:sz w:val="36"/>
          <w:szCs w:val="36"/>
          <w:rtl/>
        </w:rPr>
        <w:lastRenderedPageBreak/>
        <w:t>المبحث الثاني: سرعة حل المشكلات ورضا العملاء</w:t>
      </w:r>
      <w:bookmarkEnd w:id="49"/>
    </w:p>
    <w:p w14:paraId="1007FBB4" w14:textId="30BF074D"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938098"/>
      <w:r w:rsidRPr="00645D6F">
        <w:rPr>
          <w:rFonts w:ascii="Simplified Arabic" w:hAnsi="Simplified Arabic" w:cs="Simplified Arabic" w:hint="cs"/>
          <w:b/>
          <w:bCs/>
          <w:color w:val="000000" w:themeColor="text1"/>
          <w:sz w:val="32"/>
          <w:szCs w:val="32"/>
          <w:rtl/>
        </w:rPr>
        <w:t xml:space="preserve">1.2.2 </w:t>
      </w:r>
      <w:r w:rsidR="001D05C6" w:rsidRPr="00645D6F">
        <w:rPr>
          <w:rFonts w:ascii="Simplified Arabic" w:hAnsi="Simplified Arabic" w:cs="Simplified Arabic"/>
          <w:b/>
          <w:bCs/>
          <w:color w:val="000000" w:themeColor="text1"/>
          <w:sz w:val="32"/>
          <w:szCs w:val="32"/>
          <w:rtl/>
        </w:rPr>
        <w:t>تمهيد</w:t>
      </w:r>
      <w:bookmarkEnd w:id="50"/>
    </w:p>
    <w:p w14:paraId="1D4FD952"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يُشكّل رضا العملاء في الفكر الإداري المعاصر المحور الذي تتقاطع عنده معظم الممارسات التسويقية والخدمية، إذ تحوّل من كونه هدفًا فرعيًا ضمن أهداف المنظمة إلى غاية استراتيجية تُوجّه مسار العمليات وتُحدّد معايير الأداء. وقد أفرزت التحولات المتلاحقة في بيئة الأعمال وعيًا متزايدًا بأن قدرة المنظمة على استقطاب العملاء لا تكفي وحدها لضمان الاستدامة، وأن الاحتفاظ بهم وبناء علاقات طويلة الأمد معهم يتوقف على مدى إشباع توقعاتهم وتجاوز هذه التوقعات إلى مستويات أعلى من التميز في الخدمة</w:t>
      </w:r>
      <w:r w:rsidRPr="00645D6F">
        <w:rPr>
          <w:rFonts w:ascii="Simplified Arabic" w:hAnsi="Simplified Arabic" w:cs="Simplified Arabic"/>
          <w:color w:val="000000" w:themeColor="text1"/>
          <w:sz w:val="28"/>
          <w:szCs w:val="28"/>
        </w:rPr>
        <w:t>.</w:t>
      </w:r>
    </w:p>
    <w:p w14:paraId="1B50E9B8"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ولم يعد العميل في العصر الرقمي كيانًا سلبيًا يتلقى ما تُقدّمه المنظمة، بل أصبح كيانًا نشطًا يمتلك خيارات متعددة، ويستطيع أن ينتقل بين مقدمي الخدمة بضغطة زر، ويُشارك تجربته الإيجابية أو السلبية على منصات التواصل الاجتماعي فيؤثر في قرارات آلاف العملاء المحتملين. وفي ظل هذا التحول الجذري في طبيعة العلاقة بين المنظمة والعميل، برزت سرعة حل المشكلات بوصفها مكوّنًا جوهريًا في منظومة رضا العملاء، إذ إن كيفية تعامل المنظمة مع مشكلات العملاء ومدى سرعتها في تقديم الحلول تُشكّل لحظة حقيقة تُحدّد مصير العلاقة بأكملها (شماعوت وحداد، 2020)</w:t>
      </w:r>
      <w:r w:rsidRPr="00645D6F">
        <w:rPr>
          <w:rFonts w:ascii="Simplified Arabic" w:hAnsi="Simplified Arabic" w:cs="Simplified Arabic"/>
          <w:color w:val="000000" w:themeColor="text1"/>
          <w:sz w:val="28"/>
          <w:szCs w:val="28"/>
        </w:rPr>
        <w:t>.</w:t>
      </w:r>
    </w:p>
    <w:p w14:paraId="0A2303E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ويأتي هذا المبحث ليُقدّم معالجة نظرية متكاملة لهذا المتغير المُركّب، تبدأ باستعراض التعريفات المتعددة للمفهوم وتحليل مضامينها، ثم تنتقل إلى إبراز أهميته وأهدافه، ثم تعرض الأبعاد التي تشكّل بنيته، وصولًا إلى الاستراتيجيات المرتبطة بتحسينه، مع الاستئناس بعناوين نظرية جديدة تُعمّق فهم الظاهرة في السياق الخدمي المعاصر</w:t>
      </w:r>
      <w:r w:rsidRPr="00645D6F">
        <w:rPr>
          <w:rFonts w:ascii="Simplified Arabic" w:hAnsi="Simplified Arabic" w:cs="Simplified Arabic"/>
          <w:color w:val="000000" w:themeColor="text1"/>
          <w:sz w:val="28"/>
          <w:szCs w:val="28"/>
        </w:rPr>
        <w:t>.</w:t>
      </w:r>
    </w:p>
    <w:p w14:paraId="7C59500A" w14:textId="75626471"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938099"/>
      <w:r w:rsidRPr="00645D6F">
        <w:rPr>
          <w:rFonts w:ascii="Simplified Arabic" w:hAnsi="Simplified Arabic" w:cs="Simplified Arabic" w:hint="cs"/>
          <w:b/>
          <w:bCs/>
          <w:color w:val="000000" w:themeColor="text1"/>
          <w:sz w:val="32"/>
          <w:szCs w:val="32"/>
          <w:rtl/>
        </w:rPr>
        <w:t xml:space="preserve">2.2.2 </w:t>
      </w:r>
      <w:r w:rsidR="001D05C6" w:rsidRPr="00645D6F">
        <w:rPr>
          <w:rFonts w:ascii="Simplified Arabic" w:hAnsi="Simplified Arabic" w:cs="Simplified Arabic"/>
          <w:b/>
          <w:bCs/>
          <w:color w:val="000000" w:themeColor="text1"/>
          <w:sz w:val="32"/>
          <w:szCs w:val="32"/>
          <w:rtl/>
        </w:rPr>
        <w:t>مفهوم سرعة حل المشكلات ورضا العملاء</w:t>
      </w:r>
      <w:bookmarkEnd w:id="51"/>
    </w:p>
    <w:p w14:paraId="0960866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يُعدّ مفهوم رضا العملاء من المفاهيم التي حظيت باهتمام واسع في الأدبيات التسويقية والإدارية، وتشعّبت مقارباته النظرية بحسب المدرسة الفكرية التي تناولته. فقد نظرت إليه المدرسة المعرفية بوصفه ناتجًا عن مقارنة إدراكية يُجريها العميل بين توقعاته المسبقة والأداء الفعلي الذي يتلقاه، فيما ركّزت المدرسة الانفعالية على البُعد الشعوري للرضا بوصفه استجابة عاطفية للتجربة الخدمية، في حين جمعت المدرسة السلوكية بين البُعدين في مقاربة تكاملية تنظر إلى الرضا بوصفه محصلة معرفية وانفعالية معًا</w:t>
      </w:r>
      <w:r w:rsidRPr="00645D6F">
        <w:rPr>
          <w:rFonts w:ascii="Simplified Arabic" w:hAnsi="Simplified Arabic" w:cs="Simplified Arabic"/>
          <w:color w:val="000000" w:themeColor="text1"/>
          <w:sz w:val="28"/>
          <w:szCs w:val="28"/>
        </w:rPr>
        <w:t>.</w:t>
      </w:r>
    </w:p>
    <w:p w14:paraId="5710A6C8"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lastRenderedPageBreak/>
        <w:t>ويُوضّح مختارية (2022) أن رضا العملاء يُمثّل حالة إدراكية شعورية تنتج عن المقارنة بين ما توقعه العميل من الخدمة وما تلقاه فعلًا، فإن جاء الأداء موافقًا للتوقعات تحقّق الرضا، وإن تجاوزها تحقّقت درجة أعلى من الرضا يُطلق عليها الإبهاج، وإن قصر عنها ظهرت حالة عدم الرضا. وتتّسق هذه الرؤية مع ما يذهب إليه خالد (2024) من أن رضا العملاء يُعدّ محصلة تراكمية لسلسلة من التفاعلات بين العميل والمنظمة، لا لحظة معزولة، وأن الحكم عليه ينبغي أن يستند إلى تجربة الخدمة الشاملة لا إلى موقف فردي</w:t>
      </w:r>
      <w:r w:rsidRPr="00645D6F">
        <w:rPr>
          <w:rFonts w:ascii="Simplified Arabic" w:hAnsi="Simplified Arabic" w:cs="Simplified Arabic"/>
          <w:color w:val="000000" w:themeColor="text1"/>
          <w:sz w:val="28"/>
          <w:szCs w:val="28"/>
        </w:rPr>
        <w:t>.</w:t>
      </w:r>
    </w:p>
    <w:p w14:paraId="34DB3B8C"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ومن منظور أكثر تكاملًا، يرى نايلي ولبادي (2023) أن رضا العملاء يُجسّد استجابة تقييمية شاملة تعكس مدى ملاءمة الخدمة المقدمة لاحتياجات العميل وتوقعاته، وأن هذه الاستجابة تتشكّل من خلال تفاعل عدد من العناصر تشمل جودة الخدمة، وسرعة التسليم، وسلوك مقدم الخدمة، والقيمة المدركة مقارنة بالتكلفة. ويُضيف بخيت ومهدي (2022) أن رضا العملاء يمتد ليشمل الأبعاد النفسية والاجتماعية المرتبطة بتجربة الخدمة، بحيث لا يقتصر على البُعد الوظيفي للخدمة، بل يتجاوزه إلى البُعد الشعوري الذي يُشكّل جوهر التجربة الكلية</w:t>
      </w:r>
      <w:r w:rsidRPr="00645D6F">
        <w:rPr>
          <w:rFonts w:ascii="Simplified Arabic" w:hAnsi="Simplified Arabic" w:cs="Simplified Arabic"/>
          <w:color w:val="000000" w:themeColor="text1"/>
          <w:sz w:val="28"/>
          <w:szCs w:val="28"/>
        </w:rPr>
        <w:t>.</w:t>
      </w:r>
    </w:p>
    <w:p w14:paraId="59882B1F"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أما فيما يتعلق بسرعة حل المشكلات، فيرى</w:t>
      </w:r>
      <w:r w:rsidRPr="00645D6F">
        <w:rPr>
          <w:rFonts w:ascii="Simplified Arabic" w:hAnsi="Simplified Arabic" w:cs="Simplified Arabic"/>
          <w:color w:val="000000" w:themeColor="text1"/>
          <w:sz w:val="28"/>
          <w:szCs w:val="28"/>
        </w:rPr>
        <w:t xml:space="preserve"> Cheng et al. (2021) </w:t>
      </w:r>
      <w:r w:rsidRPr="00645D6F">
        <w:rPr>
          <w:rFonts w:ascii="Simplified Arabic" w:hAnsi="Simplified Arabic" w:cs="Simplified Arabic"/>
          <w:color w:val="000000" w:themeColor="text1"/>
          <w:sz w:val="28"/>
          <w:szCs w:val="28"/>
          <w:rtl/>
        </w:rPr>
        <w:t>أنها تُمثّل المدة الزمنية التي تنقضي بين ورود الشكوى أو المشكلة إلى المنظمة وتقديم الحل النهائي للعميل، مع الأخذ في الاعتبار جودة الحل ومدى ملاءمته لطبيعة المشكلة. وتتجاوز سرعة حل المشكلات المعنى الحرفي للسرعة الزمنية لتشمل ما يُسمى بمفهوم الحل من أول اتصال، والذي يعكس قدرة المنظمة على تقديم حل نهائي دون الحاجة إلى تدخلات متكررة أو إحالات متعددة</w:t>
      </w:r>
      <w:r w:rsidRPr="00645D6F">
        <w:rPr>
          <w:rFonts w:ascii="Simplified Arabic" w:hAnsi="Simplified Arabic" w:cs="Simplified Arabic"/>
          <w:color w:val="000000" w:themeColor="text1"/>
          <w:sz w:val="28"/>
          <w:szCs w:val="28"/>
        </w:rPr>
        <w:t>.</w:t>
      </w:r>
    </w:p>
    <w:p w14:paraId="57EB261E"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ويُقدّم</w:t>
      </w:r>
      <w:r w:rsidRPr="00645D6F">
        <w:rPr>
          <w:rFonts w:ascii="Simplified Arabic" w:hAnsi="Simplified Arabic" w:cs="Simplified Arabic"/>
          <w:color w:val="000000" w:themeColor="text1"/>
          <w:sz w:val="28"/>
          <w:szCs w:val="28"/>
        </w:rPr>
        <w:t xml:space="preserve"> Morgeson et al. (2020) </w:t>
      </w:r>
      <w:r w:rsidRPr="00645D6F">
        <w:rPr>
          <w:rFonts w:ascii="Simplified Arabic" w:hAnsi="Simplified Arabic" w:cs="Simplified Arabic"/>
          <w:color w:val="000000" w:themeColor="text1"/>
          <w:sz w:val="28"/>
          <w:szCs w:val="28"/>
          <w:rtl/>
        </w:rPr>
        <w:t>تعريفًا يجمع بين البُعدين حين يعتبران أن العلاقة بين سرعة حل المشكلات ورضا العملاء علاقة عضوية، إذ إن سرعة معالجة الشكوى تُشكّل أحد أهم محددات رضا العميل بعد وقوع الخلل في الخدمة، وأن التأخر في الاستجابة قد يُحوّل مشكلة بسيطة إلى أزمة تُفضي إلى فقدان العميل. وفي السياق ذاته، يُبرز</w:t>
      </w:r>
      <w:r w:rsidRPr="00645D6F">
        <w:rPr>
          <w:rFonts w:ascii="Simplified Arabic" w:hAnsi="Simplified Arabic" w:cs="Simplified Arabic"/>
          <w:color w:val="000000" w:themeColor="text1"/>
          <w:sz w:val="28"/>
          <w:szCs w:val="28"/>
        </w:rPr>
        <w:t xml:space="preserve"> Koc (2021) </w:t>
      </w:r>
      <w:r w:rsidRPr="00645D6F">
        <w:rPr>
          <w:rFonts w:ascii="Simplified Arabic" w:hAnsi="Simplified Arabic" w:cs="Simplified Arabic"/>
          <w:color w:val="000000" w:themeColor="text1"/>
          <w:sz w:val="28"/>
          <w:szCs w:val="28"/>
          <w:rtl/>
        </w:rPr>
        <w:t>البُعد الإنساني في التعامل مع الشكاوى، إذ يُوضّح أن سرعة الحل وحدها لا تكفي، وأنها تحتاج إلى مصاحبة تفاعل إنساني راقٍ يُشعر العميل بالتقدير والاهتمام</w:t>
      </w:r>
      <w:r w:rsidRPr="00645D6F">
        <w:rPr>
          <w:rFonts w:ascii="Simplified Arabic" w:hAnsi="Simplified Arabic" w:cs="Simplified Arabic"/>
          <w:color w:val="000000" w:themeColor="text1"/>
          <w:sz w:val="28"/>
          <w:szCs w:val="28"/>
        </w:rPr>
        <w:t>.</w:t>
      </w:r>
    </w:p>
    <w:p w14:paraId="73222F47"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ويُضيف أبو عيسى (2023) بُعدًا استراتيجيًا حين يعتبر رضا العملاء متغيرًا محوريًا في تحديد اتجاه العلاقة طويلة الأمد بين العميل والمنظمة، وأن استمرارية هذا الرضا تعتمد على قدرة المنظمة على إدارة التفاعلات مع العملاء بكفاءة، بما في ذلك التعامل مع الشكاوى والمشكلات بسرعة وفعالية. كما يُقدّم</w:t>
      </w:r>
      <w:r w:rsidRPr="00645D6F">
        <w:rPr>
          <w:rFonts w:ascii="Simplified Arabic" w:hAnsi="Simplified Arabic" w:cs="Simplified Arabic"/>
          <w:color w:val="000000" w:themeColor="text1"/>
          <w:sz w:val="28"/>
          <w:szCs w:val="28"/>
        </w:rPr>
        <w:t xml:space="preserve"> </w:t>
      </w:r>
      <w:r w:rsidRPr="00645D6F">
        <w:rPr>
          <w:rFonts w:ascii="Simplified Arabic" w:hAnsi="Simplified Arabic" w:cs="Simplified Arabic"/>
          <w:color w:val="000000" w:themeColor="text1"/>
          <w:sz w:val="28"/>
          <w:szCs w:val="28"/>
        </w:rPr>
        <w:lastRenderedPageBreak/>
        <w:t xml:space="preserve">Adzhigalieva et al. (2022) </w:t>
      </w:r>
      <w:r w:rsidRPr="00645D6F">
        <w:rPr>
          <w:rFonts w:ascii="Simplified Arabic" w:hAnsi="Simplified Arabic" w:cs="Simplified Arabic"/>
          <w:color w:val="000000" w:themeColor="text1"/>
          <w:sz w:val="28"/>
          <w:szCs w:val="28"/>
          <w:rtl/>
        </w:rPr>
        <w:t>رؤية تكاملية ترى في معالجة الشكاوى واستعادة الخدمة ركيزتين أساسيتين لبناء الرضا والولاء، إذ إن قدرة المنظمة على تعويض العميل عن خلل في الخدمة قد تُعزّز رضاه أكثر مما لو كانت الخدمة قد قُدّمت بشكل صحيح من المرة الأولى، وهو ما يُعرف بمفارقة استعادة الخدمة</w:t>
      </w:r>
      <w:r w:rsidRPr="00645D6F">
        <w:rPr>
          <w:rFonts w:ascii="Simplified Arabic" w:hAnsi="Simplified Arabic" w:cs="Simplified Arabic"/>
          <w:color w:val="000000" w:themeColor="text1"/>
          <w:sz w:val="28"/>
          <w:szCs w:val="28"/>
        </w:rPr>
        <w:t>.</w:t>
      </w:r>
    </w:p>
    <w:p w14:paraId="017CA398"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ويستخلص الباحث من مجمل هذه المقاربات أن سرعة حل المشكلات ورضا العملاء بوصفهما متغيرًا مركبًا يُمثّلان الاستجابة التقييمية الشاملة للعميل تجاه تجربته مع المنظمة، والتي تتشكّل بشكل جوهري من قدرة المنظمة على الاستجابة السريعة لمشكلاته وتقديم حلول فاعلة من أول تواصل، وترجمة هذه الاستجابة إلى شعور إيجابي بالتقدير والاهتمام يُؤسس لعلاقة طويلة الأمد. وينبثق هذا التعريف من فهم مفاده أن العميل لا يحكم على المنظمة بجودة الخدمة في ظروف الأداء الطبيعية فحسب، بل يزن قدرتها الحقيقية بكيفية تعاملها معه حين يُواجه إشكالًا يستوجب التدخل والحل</w:t>
      </w:r>
      <w:r w:rsidRPr="00645D6F">
        <w:rPr>
          <w:rFonts w:ascii="Simplified Arabic" w:hAnsi="Simplified Arabic" w:cs="Simplified Arabic"/>
          <w:color w:val="000000" w:themeColor="text1"/>
          <w:sz w:val="28"/>
          <w:szCs w:val="28"/>
        </w:rPr>
        <w:t>.</w:t>
      </w:r>
    </w:p>
    <w:p w14:paraId="259CA7CE" w14:textId="4C4122E2"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938100"/>
      <w:r w:rsidRPr="00645D6F">
        <w:rPr>
          <w:rFonts w:ascii="Simplified Arabic" w:hAnsi="Simplified Arabic" w:cs="Simplified Arabic" w:hint="cs"/>
          <w:b/>
          <w:bCs/>
          <w:color w:val="000000" w:themeColor="text1"/>
          <w:sz w:val="32"/>
          <w:szCs w:val="32"/>
          <w:rtl/>
        </w:rPr>
        <w:t xml:space="preserve">3.2.2 </w:t>
      </w:r>
      <w:r w:rsidR="001D05C6" w:rsidRPr="00645D6F">
        <w:rPr>
          <w:rFonts w:ascii="Simplified Arabic" w:hAnsi="Simplified Arabic" w:cs="Simplified Arabic"/>
          <w:b/>
          <w:bCs/>
          <w:color w:val="000000" w:themeColor="text1"/>
          <w:sz w:val="32"/>
          <w:szCs w:val="32"/>
          <w:rtl/>
        </w:rPr>
        <w:t>أهمية سرعة حل المشكلات ورضا العملاء</w:t>
      </w:r>
      <w:bookmarkEnd w:id="52"/>
    </w:p>
    <w:p w14:paraId="05DE5C69"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تكتسب سرعة حل المشكلات ورضا العملاء أهمية استراتيجية بالغة في بيئة الأعمال المعاصرة، إذ لم تعد مجرد مؤشرات تشغيلية تُقاس بشكل دوري، بل أصبحت من المتغيرات الحاكمة لبقاء المنظمة واستمراريتها في السوق. ويعود ذلك إلى التحولات الجذرية التي شهدتها العلاقة بين المنظمات وعملائها في ظل الانفتاح التنافسي والتطور التقني، حيث أصبح العميل يمتلك بدائل واسعة وقدرة على التأثير في السمعة التجارية للمنظمة عبر منصات التواصل الرقمي</w:t>
      </w:r>
      <w:r w:rsidRPr="00645D6F">
        <w:rPr>
          <w:rFonts w:ascii="Simplified Arabic" w:hAnsi="Simplified Arabic" w:cs="Simplified Arabic"/>
          <w:color w:val="000000" w:themeColor="text1"/>
          <w:sz w:val="28"/>
          <w:szCs w:val="28"/>
        </w:rPr>
        <w:t>.</w:t>
      </w:r>
    </w:p>
    <w:p w14:paraId="3E8BED9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ويُشير عبد الوهاب ورضوان (2024) إلى أن أهمية رضا العملاء تتجلى في: أولًا، أنه يُمثّل مؤشرًا استباقيًا لسلوك العميل المستقبلي، إذ إن العميل الراضي أميل إلى تكرار الشراء والانتماء للعلامة التجارية؛ ثانيًا، أنه يُشكّل قناة تسويقية غير مباشرة عبر التوصيات الشفهية التي يُقدّمها العميل الراضي لمحيطه؛ ثالثًا، أنه يُخفّض التكاليف التسويقية المرتبطة باستقطاب عملاء جدد لتعويض المفقودين؛ رابعًا، أنه يُعزّز قدرة المنظمة على تقديم منتجات وخدمات جديدة نتيجة تراكم الثقة مع قاعدة العملاء الحاليين؛ خامسًا، أنه يُساهم في تحسين مركز المنظمة السوقي وقدرتها التفاوضية أمام الموردين والمنافسين</w:t>
      </w:r>
      <w:r w:rsidRPr="00645D6F">
        <w:rPr>
          <w:rFonts w:ascii="Simplified Arabic" w:hAnsi="Simplified Arabic" w:cs="Simplified Arabic"/>
          <w:color w:val="000000" w:themeColor="text1"/>
          <w:sz w:val="28"/>
          <w:szCs w:val="28"/>
        </w:rPr>
        <w:t>.</w:t>
      </w:r>
    </w:p>
    <w:p w14:paraId="1925A57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ويرى عبد المجيد (2025) أن أهمية رضا العملاء يمكن استقراؤها من زاوية دوره في بناء ولاء العميل، الذي يُعدّ الأصل الأكثر قيمة للمنظمة في الأمد الطويل. فالعميل الراضي يتحوّل تدريجيًا إلى عميل موالٍ </w:t>
      </w:r>
      <w:r w:rsidRPr="00645D6F">
        <w:rPr>
          <w:rFonts w:ascii="Simplified Arabic" w:hAnsi="Simplified Arabic" w:cs="Simplified Arabic"/>
          <w:color w:val="000000" w:themeColor="text1"/>
          <w:sz w:val="28"/>
          <w:szCs w:val="28"/>
          <w:rtl/>
        </w:rPr>
        <w:lastRenderedPageBreak/>
        <w:t>يُقاوم إغراءات المنافسين ويتحمّل بعض أوجه القصور المؤقتة في الخدمة، ويُشارك المنظمة في اقتراح التحسينات، مما يُفعّل دور العميل بوصفه شريكًا حقيقيًا في تطوير الخدمة، لا مجرد متلقٍ لها</w:t>
      </w:r>
      <w:r w:rsidRPr="00645D6F">
        <w:rPr>
          <w:rFonts w:ascii="Simplified Arabic" w:hAnsi="Simplified Arabic" w:cs="Simplified Arabic"/>
          <w:color w:val="000000" w:themeColor="text1"/>
          <w:sz w:val="28"/>
          <w:szCs w:val="28"/>
        </w:rPr>
        <w:t>.</w:t>
      </w:r>
    </w:p>
    <w:p w14:paraId="5449707D"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ويُضيف</w:t>
      </w:r>
      <w:r w:rsidRPr="00645D6F">
        <w:rPr>
          <w:rFonts w:ascii="Simplified Arabic" w:hAnsi="Simplified Arabic" w:cs="Simplified Arabic"/>
          <w:color w:val="000000" w:themeColor="text1"/>
          <w:sz w:val="28"/>
          <w:szCs w:val="28"/>
        </w:rPr>
        <w:t xml:space="preserve"> Ozkan-Tektas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Basgoze (2023) </w:t>
      </w:r>
      <w:r w:rsidRPr="00645D6F">
        <w:rPr>
          <w:rFonts w:ascii="Simplified Arabic" w:hAnsi="Simplified Arabic" w:cs="Simplified Arabic"/>
          <w:color w:val="000000" w:themeColor="text1"/>
          <w:sz w:val="28"/>
          <w:szCs w:val="28"/>
          <w:rtl/>
        </w:rPr>
        <w:t>أهمية سرعة الاستجابة في المواقف الحرجة، إذ يُوضّحان أن سرعة الرد على الشكاوى تعمل بوصفها استراتيجية لاستعادة ثقة العميل بعد وقوع خلل في الخدمة، وأن كل تأخير في الاستجابة يُؤدي إلى تصاعد المشاعر السلبية لدى العميل ويُقلّل من احتمالية العفو والتسامح. كما يُبرز التقي (2024) أهمية سرعة الاستجابة في سياق التحوّل الرقمي، حيث تصاعدت توقعات العملاء بشأن الفورية في الخدمة، وأصبح التأخير الذي كان مقبولًا في السابق يُعدّ اليوم عيبًا خدميًا لا يُغتفر</w:t>
      </w:r>
      <w:r w:rsidRPr="00645D6F">
        <w:rPr>
          <w:rFonts w:ascii="Simplified Arabic" w:hAnsi="Simplified Arabic" w:cs="Simplified Arabic"/>
          <w:color w:val="000000" w:themeColor="text1"/>
          <w:sz w:val="28"/>
          <w:szCs w:val="28"/>
        </w:rPr>
        <w:t>.</w:t>
      </w:r>
    </w:p>
    <w:p w14:paraId="206D565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يُبيّن</w:t>
      </w:r>
      <w:r w:rsidRPr="00645D6F">
        <w:rPr>
          <w:rFonts w:ascii="Simplified Arabic" w:hAnsi="Simplified Arabic" w:cs="Simplified Arabic"/>
          <w:color w:val="000000" w:themeColor="text1"/>
          <w:sz w:val="28"/>
          <w:szCs w:val="28"/>
        </w:rPr>
        <w:t xml:space="preserve"> Amerta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Madhavi (2023) </w:t>
      </w:r>
      <w:r w:rsidRPr="00645D6F">
        <w:rPr>
          <w:rFonts w:ascii="Simplified Arabic" w:hAnsi="Simplified Arabic" w:cs="Simplified Arabic"/>
          <w:color w:val="000000" w:themeColor="text1"/>
          <w:sz w:val="28"/>
          <w:szCs w:val="28"/>
          <w:rtl/>
        </w:rPr>
        <w:t>أن أهمية رضا العملاء تظهر في كونه معيارًا شاملًا لأداء المنظمة الخدمية، إذ إنه يعكس محصلة كل ما تُقدّمه المنظمة من عناصر جودة وسرعة وتفاعل، ويُلخّص هذه المكونات في تقييم واحد يعبّر عن التجربة الكلية. وفي السياق ذاته، يُشير</w:t>
      </w:r>
      <w:r w:rsidRPr="00645D6F">
        <w:rPr>
          <w:rFonts w:ascii="Simplified Arabic" w:hAnsi="Simplified Arabic" w:cs="Simplified Arabic"/>
          <w:color w:val="000000" w:themeColor="text1"/>
          <w:sz w:val="28"/>
          <w:szCs w:val="28"/>
        </w:rPr>
        <w:t xml:space="preserve"> Afroz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Moury (2024) </w:t>
      </w:r>
      <w:r w:rsidRPr="00645D6F">
        <w:rPr>
          <w:rFonts w:ascii="Simplified Arabic" w:hAnsi="Simplified Arabic" w:cs="Simplified Arabic"/>
          <w:color w:val="000000" w:themeColor="text1"/>
          <w:sz w:val="28"/>
          <w:szCs w:val="28"/>
          <w:rtl/>
        </w:rPr>
        <w:t>إلى أن رضا العملاء ارتبط ارتباطًا وثيقًا بالاحتفاظ بهم، وأن المنظمات التي تُولي رضا العملاء اهتمامًا خاصًا تُحقّق معدلات احتفاظ أعلى وتُخفّض تكاليف الاستقطاب البديل، مما ينعكس مباشرة على الربحية والاستدامة</w:t>
      </w:r>
      <w:r w:rsidRPr="00645D6F">
        <w:rPr>
          <w:rFonts w:ascii="Simplified Arabic" w:hAnsi="Simplified Arabic" w:cs="Simplified Arabic"/>
          <w:color w:val="000000" w:themeColor="text1"/>
          <w:sz w:val="28"/>
          <w:szCs w:val="28"/>
        </w:rPr>
        <w:t>.</w:t>
      </w:r>
    </w:p>
    <w:p w14:paraId="1D95DC70"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ويرى الغول (2023) أن أهمية هذا المتغير تتضاعف في القطاعات الخدمية بشكل خاص، إذ تتّسم الخدمة بأنها منتَج غير ملموس يُنتَج ويُستهلَك في اللحظة ذاتها، مما يجعل من تجربة العميل هي الخدمة ذاتها، لا شيئًا يأتي بعدها. وبناء على ذلك، يُصبح الاستثمار في تحسين تجربة العميل وحل مشكلاته بسرعة استثمارًا في جوهر المنتج الخدمي، لا في عناصر ثانوية مرتبطة به</w:t>
      </w:r>
      <w:r w:rsidRPr="00645D6F">
        <w:rPr>
          <w:rFonts w:ascii="Simplified Arabic" w:hAnsi="Simplified Arabic" w:cs="Simplified Arabic"/>
          <w:color w:val="000000" w:themeColor="text1"/>
          <w:sz w:val="28"/>
          <w:szCs w:val="28"/>
        </w:rPr>
        <w:t>.</w:t>
      </w:r>
    </w:p>
    <w:p w14:paraId="19367B33" w14:textId="5D17207B"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3938101"/>
      <w:r w:rsidRPr="00645D6F">
        <w:rPr>
          <w:rFonts w:ascii="Simplified Arabic" w:hAnsi="Simplified Arabic" w:cs="Simplified Arabic" w:hint="cs"/>
          <w:b/>
          <w:bCs/>
          <w:color w:val="000000" w:themeColor="text1"/>
          <w:sz w:val="32"/>
          <w:szCs w:val="32"/>
          <w:rtl/>
        </w:rPr>
        <w:t xml:space="preserve">4.2.2 </w:t>
      </w:r>
      <w:r w:rsidR="001D05C6" w:rsidRPr="00645D6F">
        <w:rPr>
          <w:rFonts w:ascii="Simplified Arabic" w:hAnsi="Simplified Arabic" w:cs="Simplified Arabic"/>
          <w:b/>
          <w:bCs/>
          <w:color w:val="000000" w:themeColor="text1"/>
          <w:sz w:val="32"/>
          <w:szCs w:val="32"/>
          <w:rtl/>
        </w:rPr>
        <w:t>أهداف تحسين سرعة حل المشكلات ورضا العملاء</w:t>
      </w:r>
      <w:bookmarkEnd w:id="53"/>
    </w:p>
    <w:p w14:paraId="5A21041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تسعى المنظمات من خلال تحسين سرعة حل المشكلات ورفع مستوى رضا العملاء إلى تحقيق جملة من الأهداف المتشابكة، تتوزع بين أهداف تشغيلية آنية وأهداف استراتيجية بعيدة المدى</w:t>
      </w:r>
      <w:r w:rsidRPr="00645D6F">
        <w:rPr>
          <w:rFonts w:ascii="Simplified Arabic" w:hAnsi="Simplified Arabic" w:cs="Simplified Arabic"/>
          <w:color w:val="000000" w:themeColor="text1"/>
          <w:sz w:val="28"/>
          <w:szCs w:val="28"/>
        </w:rPr>
        <w:t>.</w:t>
      </w:r>
    </w:p>
    <w:p w14:paraId="3FA6681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 xml:space="preserve">ويستعرض شماعوت وحداد (2020) الأهداف الرئيسية لتحسين معالجة الشكاوى ورضا العملاء في ما يلي: تحويل التجربة السلبية التي مر بها العميل إلى تجربة إيجابية تُعزّز ارتباطه بالمنظمة؛ وتقليل معدل التسرّب في قاعدة العملاء عبر معالجة أسباب عدم الرضا في وقت مبكر؛ واستكشاف نقاط الضعف في </w:t>
      </w:r>
      <w:r w:rsidRPr="00645D6F">
        <w:rPr>
          <w:rFonts w:ascii="Simplified Arabic" w:hAnsi="Simplified Arabic" w:cs="Simplified Arabic"/>
          <w:color w:val="000000" w:themeColor="text1"/>
          <w:sz w:val="28"/>
          <w:szCs w:val="28"/>
          <w:rtl/>
        </w:rPr>
        <w:lastRenderedPageBreak/>
        <w:t>العمليات الداخلية من خلال تحليل أنماط الشكاوى؛ وبناء قاعدة معرفية عن الأخطاء الشائعة تُوظَّف في تطوير الخدمة وتدريب العاملين؛ وتحسين صورة المنظمة الذهنية لدى الرأي العام باعتبارها منظمة مستجيبة تُقدّر عملاءها</w:t>
      </w:r>
      <w:r w:rsidRPr="00645D6F">
        <w:rPr>
          <w:rFonts w:ascii="Simplified Arabic" w:hAnsi="Simplified Arabic" w:cs="Simplified Arabic"/>
          <w:color w:val="000000" w:themeColor="text1"/>
          <w:sz w:val="28"/>
          <w:szCs w:val="28"/>
        </w:rPr>
        <w:t>.</w:t>
      </w:r>
    </w:p>
    <w:p w14:paraId="6DF3A7EC"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ويُوضّح</w:t>
      </w:r>
      <w:r w:rsidRPr="00645D6F">
        <w:rPr>
          <w:rFonts w:ascii="Simplified Arabic" w:hAnsi="Simplified Arabic" w:cs="Simplified Arabic"/>
          <w:color w:val="000000" w:themeColor="text1"/>
          <w:sz w:val="28"/>
          <w:szCs w:val="28"/>
        </w:rPr>
        <w:t xml:space="preserve"> Morgeson et al. (2020) </w:t>
      </w:r>
      <w:r w:rsidRPr="00645D6F">
        <w:rPr>
          <w:rFonts w:ascii="Simplified Arabic" w:hAnsi="Simplified Arabic" w:cs="Simplified Arabic"/>
          <w:color w:val="000000" w:themeColor="text1"/>
          <w:sz w:val="28"/>
          <w:szCs w:val="28"/>
          <w:rtl/>
        </w:rPr>
        <w:t>جملة من الأهداف تتمحور حول: تحويل العملاء الذين يشتكون إلى عملاء موالين من خلال إدارة الشكوى بكفاءة عالية؛ وتقصير المسافة النفسية بين العميل والمنظمة عبر إظهار الاهتمام الحقيقي بمشكلاته؛ وبناء منظومة تعلّم تنظيمي تستفيد من الشكاوى بوصفها معلومات ذات قيمة استراتيجية؛ وتعزيز التمييز التنافسي عبر تقديم تجربة تعافٍ من الخدمة تفوق ما يُقدّمه المنافسون</w:t>
      </w:r>
      <w:r w:rsidRPr="00645D6F">
        <w:rPr>
          <w:rFonts w:ascii="Simplified Arabic" w:hAnsi="Simplified Arabic" w:cs="Simplified Arabic"/>
          <w:color w:val="000000" w:themeColor="text1"/>
          <w:sz w:val="28"/>
          <w:szCs w:val="28"/>
        </w:rPr>
        <w:t>.</w:t>
      </w:r>
    </w:p>
    <w:p w14:paraId="377DEEB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ومن منظور مختلف، يُشير التقي (2024) إلى أن أهداف تحسين سرعة الاستجابة في السياق الرقمي تشمل: توظيف التقنيات الحديثة لتقصير الفجوة الزمنية بين ورود المشكلة والاستجابة لها؛ وأتمتة العمليات الروتينية لتحرير طاقات العاملين للتعامل مع المشكلات المعقدة؛ وبناء منظومة قنوات متكاملة تُتيح للعميل التواصل بالطريقة التي يفضّلها؛ وتخصيص الخدمة وفق البيانات المتاحة عن كل عميل بحيث يشعر بأنه يتلقى معاملة فردية لا نمطية</w:t>
      </w:r>
      <w:r w:rsidRPr="00645D6F">
        <w:rPr>
          <w:rFonts w:ascii="Simplified Arabic" w:hAnsi="Simplified Arabic" w:cs="Simplified Arabic"/>
          <w:color w:val="000000" w:themeColor="text1"/>
          <w:sz w:val="28"/>
          <w:szCs w:val="28"/>
        </w:rPr>
        <w:t>.</w:t>
      </w:r>
    </w:p>
    <w:p w14:paraId="753B9E32"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وتُضيف الزهراني والمالكي (2024) أهدافًا مرتبطة بالبُعد التنظيمي الداخلي، إذ يُوضّحان أن تحسين رضا العملاء يستهدف: بناء ثقافة تنظيمية تدور حول العميل بحيث يُصبح رضاه هدفًا مشتركًا لكل الوحدات؛ وتعزيز التواصل بين الإدارات المختلفة لضمان تجربة سلسة للعميل؛ ورفع مستوى مساءلة العاملين عن جودة الخدمة عبر ربط الأداء الوظيفي بمؤشرات رضا العميل؛ وتطوير قدرات المنظمة على التنبؤ باحتياجات العملاء المستقبلية بدلًا من الاكتفاء بالاستجابة للحاضر منها</w:t>
      </w:r>
      <w:r w:rsidRPr="00645D6F">
        <w:rPr>
          <w:rFonts w:ascii="Simplified Arabic" w:hAnsi="Simplified Arabic" w:cs="Simplified Arabic"/>
          <w:color w:val="000000" w:themeColor="text1"/>
          <w:sz w:val="28"/>
          <w:szCs w:val="28"/>
        </w:rPr>
        <w:t>.</w:t>
      </w:r>
    </w:p>
    <w:p w14:paraId="0B30DB74"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يذهب</w:t>
      </w:r>
      <w:r w:rsidRPr="00645D6F">
        <w:rPr>
          <w:rFonts w:ascii="Simplified Arabic" w:hAnsi="Simplified Arabic" w:cs="Simplified Arabic"/>
          <w:color w:val="000000" w:themeColor="text1"/>
          <w:sz w:val="28"/>
          <w:szCs w:val="28"/>
        </w:rPr>
        <w:t xml:space="preserve"> Koc (2021) </w:t>
      </w:r>
      <w:r w:rsidRPr="00645D6F">
        <w:rPr>
          <w:rFonts w:ascii="Simplified Arabic" w:hAnsi="Simplified Arabic" w:cs="Simplified Arabic"/>
          <w:color w:val="000000" w:themeColor="text1"/>
          <w:sz w:val="28"/>
          <w:szCs w:val="28"/>
          <w:rtl/>
        </w:rPr>
        <w:t>إلى أن أهداف معالجة الشكاوى تشمل استعادة توازن العلاقة بين العميل والمنظمة عبر البُعد الإنساني في التفاعل، إذ إن الشكوى لا تُعالج بالحلول التقنية وحدها، بل تحتاج إلى تفاعل إنساني يُشعر العميل بأنه مسموع ومُقدَّر، وأن مشكلته تُؤخذ على محمل الجد لا بوصفها مجرد إشعار روتيني في نظام إلكتروني. ومن ثم فإن أهداف تحسين سرعة حل المشكلات ورضا العملاء تتوزع على أبعاد متعددة تشمل البُعد التشغيلي والاستراتيجي والإنساني، وتتشابك بحيث لا يمكن تحقيق أحدها دون الاهتمام بالأخرى</w:t>
      </w:r>
      <w:r w:rsidRPr="00645D6F">
        <w:rPr>
          <w:rFonts w:ascii="Simplified Arabic" w:hAnsi="Simplified Arabic" w:cs="Simplified Arabic"/>
          <w:color w:val="000000" w:themeColor="text1"/>
          <w:sz w:val="28"/>
          <w:szCs w:val="28"/>
        </w:rPr>
        <w:t>.</w:t>
      </w:r>
    </w:p>
    <w:p w14:paraId="6C5FAB35" w14:textId="698FCFB2"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4" w:name="_Toc233938102"/>
      <w:r w:rsidRPr="00645D6F">
        <w:rPr>
          <w:rFonts w:ascii="Simplified Arabic" w:hAnsi="Simplified Arabic" w:cs="Simplified Arabic" w:hint="cs"/>
          <w:b/>
          <w:bCs/>
          <w:color w:val="000000" w:themeColor="text1"/>
          <w:sz w:val="32"/>
          <w:szCs w:val="32"/>
          <w:rtl/>
        </w:rPr>
        <w:lastRenderedPageBreak/>
        <w:t xml:space="preserve">5.2.2 </w:t>
      </w:r>
      <w:r w:rsidR="001D05C6" w:rsidRPr="00645D6F">
        <w:rPr>
          <w:rFonts w:ascii="Simplified Arabic" w:hAnsi="Simplified Arabic" w:cs="Simplified Arabic"/>
          <w:b/>
          <w:bCs/>
          <w:color w:val="000000" w:themeColor="text1"/>
          <w:sz w:val="32"/>
          <w:szCs w:val="32"/>
          <w:rtl/>
        </w:rPr>
        <w:t>أبعاد سرعة حل المشكلات ورضا العملاء</w:t>
      </w:r>
      <w:bookmarkEnd w:id="54"/>
    </w:p>
    <w:p w14:paraId="2D3807B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تم تحديد أبعاد سرعة حل المشكلات ورضا العملاء في هذه الدراسة بناءً على مراجعة معمقة لعدد من الدراسات ذات الصلة، وفي مقدمتها دراسة شماعوت وحداد (2020) ودراسة</w:t>
      </w:r>
      <w:r w:rsidRPr="00645D6F">
        <w:rPr>
          <w:rFonts w:ascii="Simplified Arabic" w:hAnsi="Simplified Arabic" w:cs="Simplified Arabic"/>
          <w:color w:val="000000" w:themeColor="text1"/>
          <w:sz w:val="28"/>
          <w:szCs w:val="28"/>
        </w:rPr>
        <w:t xml:space="preserve"> Cheng et al. (2021) </w:t>
      </w:r>
      <w:r w:rsidRPr="00645D6F">
        <w:rPr>
          <w:rFonts w:ascii="Simplified Arabic" w:hAnsi="Simplified Arabic" w:cs="Simplified Arabic"/>
          <w:color w:val="000000" w:themeColor="text1"/>
          <w:sz w:val="28"/>
          <w:szCs w:val="28"/>
          <w:rtl/>
        </w:rPr>
        <w:t>ودراسة</w:t>
      </w:r>
      <w:r w:rsidRPr="00645D6F">
        <w:rPr>
          <w:rFonts w:ascii="Simplified Arabic" w:hAnsi="Simplified Arabic" w:cs="Simplified Arabic"/>
          <w:color w:val="000000" w:themeColor="text1"/>
          <w:sz w:val="28"/>
          <w:szCs w:val="28"/>
        </w:rPr>
        <w:t xml:space="preserve"> Morgeson et al. (2020) </w:t>
      </w:r>
      <w:r w:rsidRPr="00645D6F">
        <w:rPr>
          <w:rFonts w:ascii="Simplified Arabic" w:hAnsi="Simplified Arabic" w:cs="Simplified Arabic"/>
          <w:color w:val="000000" w:themeColor="text1"/>
          <w:sz w:val="28"/>
          <w:szCs w:val="28"/>
          <w:rtl/>
        </w:rPr>
        <w:t>ودراسة عبد المجيد (2025). وقد اقتضت طبيعة المتغير التابع في هذه الدراسة تناوله في محور واحد متكامل يضم مجموعة من العناصر المترابطة التي تعكس البنية الشاملة لهذا المفهوم المُركّب، وذلك على النحو التالي</w:t>
      </w:r>
      <w:r w:rsidRPr="00645D6F">
        <w:rPr>
          <w:rFonts w:ascii="Simplified Arabic" w:hAnsi="Simplified Arabic" w:cs="Simplified Arabic"/>
          <w:color w:val="000000" w:themeColor="text1"/>
          <w:sz w:val="28"/>
          <w:szCs w:val="28"/>
        </w:rPr>
        <w:t>:</w:t>
      </w:r>
    </w:p>
    <w:p w14:paraId="598BD975"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أولًا: سرعة الاستجابة الأولية، وتُشير إلى المدة الزمنية التي تنقضي بين تواصل العميل مع المنظمة لعرض مشكلته وتلقّيه الاستجابة الأولية. ويُبرز التقي (2024) أن سرعة الاستجابة الأولية تُشكّل انطباعًا حاسمًا لدى العميل عن مدى اهتمام المنظمة بمشكلته، وأن التأخير في هذه المرحلة يُنشئ حالة من القلق والإحباط تُصعّب لاحقًا معالجة المشكلة، حتى وإن قُدّم لها حل جيد. وتتشكّل سرعة الاستجابة الأولية من عدة عناصر تشمل توافر قنوات تواصل متعددة، وسهولة الوصول إلى المسؤول المختص، وتلقّي إشعار فوري بأن المشكلة قد استُلمت وسيتم العمل عليها. ولا يقتصر أثر سرعة الاستجابة على الجانب النفسي، بل يمتد إلى الجانب العملي، إذ إن كثيرًا من المشكلات تكون قابلة للتفاقم مع مرور الوقت، مما يجعل من الاستجابة السريعة عاملًا حاسمًا في الحدّ من نطاق المشكلة قبل أن تتّسع</w:t>
      </w:r>
      <w:r w:rsidRPr="00645D6F">
        <w:rPr>
          <w:rFonts w:ascii="Simplified Arabic" w:hAnsi="Simplified Arabic" w:cs="Simplified Arabic"/>
          <w:color w:val="000000" w:themeColor="text1"/>
          <w:sz w:val="28"/>
          <w:szCs w:val="28"/>
        </w:rPr>
        <w:t>.</w:t>
      </w:r>
    </w:p>
    <w:p w14:paraId="65223445"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ثانيًا: القدرة على الحل من أول اتصال، ويُمثّل هذا العنصر مؤشرًا نوعيًا على كفاءة نظام معالجة المشكلات في المنظمة، إذ يعكس قدرة الموظف الذي يتلقى الاتصال على تقديم حل نهائي دون الحاجة إلى تحويل العميل إلى موظف آخر أو إلى قسم مختلف أو إلى موعد لاحق. ويُوضّح</w:t>
      </w:r>
      <w:r w:rsidRPr="00645D6F">
        <w:rPr>
          <w:rFonts w:ascii="Simplified Arabic" w:hAnsi="Simplified Arabic" w:cs="Simplified Arabic"/>
          <w:color w:val="000000" w:themeColor="text1"/>
          <w:sz w:val="28"/>
          <w:szCs w:val="28"/>
        </w:rPr>
        <w:t xml:space="preserve"> Adzhigalieva et al. (2022) </w:t>
      </w:r>
      <w:r w:rsidRPr="00645D6F">
        <w:rPr>
          <w:rFonts w:ascii="Simplified Arabic" w:hAnsi="Simplified Arabic" w:cs="Simplified Arabic"/>
          <w:color w:val="000000" w:themeColor="text1"/>
          <w:sz w:val="28"/>
          <w:szCs w:val="28"/>
          <w:rtl/>
        </w:rPr>
        <w:t>أن الحل من أول اتصال يُشكّل معيارًا محوريًا لتقييم كفاءة منظومة خدمة العملاء، إذ إنه يعكس مدى استعداد المنظمة في تدريب موظفيها وتزويدهم بالصلاحيات والمعلومات اللازمة للتصرف الفوري. ويرتبط هذا البُعد ارتباطًا وثيقًا بالتمكين الوظيفي المُتناوَل في المبحث الأول، إذ لا يمكن تحقيق الحل من أول اتصال دون منح الموظف الصلاحيات الكافية والمهارات المطلوبة للتصرف باستقلالية</w:t>
      </w:r>
      <w:r w:rsidRPr="00645D6F">
        <w:rPr>
          <w:rFonts w:ascii="Simplified Arabic" w:hAnsi="Simplified Arabic" w:cs="Simplified Arabic"/>
          <w:color w:val="000000" w:themeColor="text1"/>
          <w:sz w:val="28"/>
          <w:szCs w:val="28"/>
        </w:rPr>
        <w:t>.</w:t>
      </w:r>
    </w:p>
    <w:p w14:paraId="6C3C21F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ثالثًا: جودة الحل المُقدَّم، ويُشير إلى مدى فاعلية الحل في معالجة جوهر المشكلة بشكل نهائي بحيث لا تتكرر مرة أخرى. ويرى</w:t>
      </w:r>
      <w:r w:rsidRPr="00645D6F">
        <w:rPr>
          <w:rFonts w:ascii="Simplified Arabic" w:hAnsi="Simplified Arabic" w:cs="Simplified Arabic"/>
          <w:color w:val="000000" w:themeColor="text1"/>
          <w:sz w:val="28"/>
          <w:szCs w:val="28"/>
        </w:rPr>
        <w:t xml:space="preserve"> Ozkan-Tektas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Basgoze (2023) </w:t>
      </w:r>
      <w:r w:rsidRPr="00645D6F">
        <w:rPr>
          <w:rFonts w:ascii="Simplified Arabic" w:hAnsi="Simplified Arabic" w:cs="Simplified Arabic"/>
          <w:color w:val="000000" w:themeColor="text1"/>
          <w:sz w:val="28"/>
          <w:szCs w:val="28"/>
          <w:rtl/>
        </w:rPr>
        <w:t xml:space="preserve">أن جودة الحل تُقاس بمدى تناسبها مع طبيعة المشكلة وحجمها، وأن الحلول العامة النمطية التي تُطبَّق على جميع المشكلات دون تمييز تُفضي إلى تراجع الرضا حتى وإن قُدّمت بسرعة. ومن هنا يبرز مبدأ التخصيص في الحلول بحيث يشعر </w:t>
      </w:r>
      <w:r w:rsidRPr="00645D6F">
        <w:rPr>
          <w:rFonts w:ascii="Simplified Arabic" w:hAnsi="Simplified Arabic" w:cs="Simplified Arabic"/>
          <w:color w:val="000000" w:themeColor="text1"/>
          <w:sz w:val="28"/>
          <w:szCs w:val="28"/>
          <w:rtl/>
        </w:rPr>
        <w:lastRenderedPageBreak/>
        <w:t>العميل بأن مشكلته أُخذت على محمل الجد وأن الحل صُمّم خصيصًا لها. كما تتضمن جودة الحل بُعدًا تعويضيًا يتصل بمدى ملاءمة التعويض المُقدَّم للعميل في حال ترتّبت خسائر مادية أو معنوية على المشكلة، وهو ما يعكس الاعتراف الرسمي للمنظمة بالخلل واستعدادها لتحمّل مسؤوليته</w:t>
      </w:r>
      <w:r w:rsidRPr="00645D6F">
        <w:rPr>
          <w:rFonts w:ascii="Simplified Arabic" w:hAnsi="Simplified Arabic" w:cs="Simplified Arabic"/>
          <w:color w:val="000000" w:themeColor="text1"/>
          <w:sz w:val="28"/>
          <w:szCs w:val="28"/>
        </w:rPr>
        <w:t>.</w:t>
      </w:r>
    </w:p>
    <w:p w14:paraId="59EF0373"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رابعًا: البُعد الإنساني في التفاعل، ويُمثّل الجانب الوجداني في تجربة معالجة المشكلة، والذي يتصل بأسلوب الموظف في التواصل مع العميل ومدى إظهاره التعاطف والاحترام والاهتمام. ويُبرز</w:t>
      </w:r>
      <w:r w:rsidRPr="00645D6F">
        <w:rPr>
          <w:rFonts w:ascii="Simplified Arabic" w:hAnsi="Simplified Arabic" w:cs="Simplified Arabic"/>
          <w:color w:val="000000" w:themeColor="text1"/>
          <w:sz w:val="28"/>
          <w:szCs w:val="28"/>
        </w:rPr>
        <w:t xml:space="preserve"> Koc (2021) </w:t>
      </w:r>
      <w:r w:rsidRPr="00645D6F">
        <w:rPr>
          <w:rFonts w:ascii="Simplified Arabic" w:hAnsi="Simplified Arabic" w:cs="Simplified Arabic"/>
          <w:color w:val="000000" w:themeColor="text1"/>
          <w:sz w:val="28"/>
          <w:szCs w:val="28"/>
          <w:rtl/>
        </w:rPr>
        <w:t>أن البُعد الإنساني يُشكّل الحلقة التي تربط بين الجوانب التشغيلية للحل والجوانب الشعورية لتجربة العميل، وأن غيابه يُفرغ الحل من محتواه العاطفي حتى وإن كان صحيحًا من الناحية الموضوعية. ويشمل هذا البُعد الاعتذار الرسمي حين تكون المنظمة مسؤولة عن الخلل، والاستماع الفعّال لشرح العميل دون مقاطعته، وإظهار التقدير لصبره وتفهّمه، والتحقّق منه بعد إتمام الحل للتأكد من رضاه عنه</w:t>
      </w:r>
      <w:r w:rsidRPr="00645D6F">
        <w:rPr>
          <w:rFonts w:ascii="Simplified Arabic" w:hAnsi="Simplified Arabic" w:cs="Simplified Arabic"/>
          <w:color w:val="000000" w:themeColor="text1"/>
          <w:sz w:val="28"/>
          <w:szCs w:val="28"/>
        </w:rPr>
        <w:t>.</w:t>
      </w:r>
    </w:p>
    <w:p w14:paraId="41643801"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خامسًا: التقييم الشامل للتجربة، ويُشير إلى المحصلة النهائية التي يخرج بها العميل بعد التفاعل مع المنظمة، والتي تتشكّل من تراكم الانطباعات المرتبطة بكل مرحلة من مراحل التفاعل. ويُوضّح عبد المجيد (2025) أن التقييم الشامل يتجاوز مجرد جمع تقييمات المراحل الفردية ليُشكّل تركيبة أعقد تعكس الشعور الكلي للعميل، وأن هذا التقييم هو المحدد الرئيسي لسلوك العميل المستقبلي، سواء من حيث تكرار التعامل، أو التوصية بالمنظمة لمحيطه الاجتماعي، أو تقبّل عروضها الجديدة. ويرتبط هذا البُعد بجودة الخدمة الإجمالية بوصفها إطارًا شاملًا تندرج تحته سرعة الحل والاستجابة والتفاعل الإنساني، وهو ما يُبرزه أيضًا</w:t>
      </w:r>
      <w:r w:rsidRPr="00645D6F">
        <w:rPr>
          <w:rFonts w:ascii="Simplified Arabic" w:hAnsi="Simplified Arabic" w:cs="Simplified Arabic"/>
          <w:color w:val="000000" w:themeColor="text1"/>
          <w:sz w:val="28"/>
          <w:szCs w:val="28"/>
        </w:rPr>
        <w:t xml:space="preserve"> Sunita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Jain (2025) </w:t>
      </w:r>
      <w:r w:rsidRPr="00645D6F">
        <w:rPr>
          <w:rFonts w:ascii="Simplified Arabic" w:hAnsi="Simplified Arabic" w:cs="Simplified Arabic"/>
          <w:color w:val="000000" w:themeColor="text1"/>
          <w:sz w:val="28"/>
          <w:szCs w:val="28"/>
          <w:rtl/>
        </w:rPr>
        <w:t>حين يُشيران إلى التداخل بين رضا العملاء وجودة الخدمة، بحيث لا يمكن تحقيق الرضا دون توافر الحد الأدنى من الجودة، ولا يمكن تحقيق الجودة دون الاستماع لصوت العميل</w:t>
      </w:r>
      <w:r w:rsidRPr="00645D6F">
        <w:rPr>
          <w:rFonts w:ascii="Simplified Arabic" w:hAnsi="Simplified Arabic" w:cs="Simplified Arabic"/>
          <w:color w:val="000000" w:themeColor="text1"/>
          <w:sz w:val="28"/>
          <w:szCs w:val="28"/>
        </w:rPr>
        <w:t>.</w:t>
      </w:r>
    </w:p>
    <w:p w14:paraId="3CC5676A" w14:textId="5E472E43" w:rsidR="001D05C6" w:rsidRPr="00645D6F" w:rsidRDefault="004A41F9" w:rsidP="004A41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5" w:name="_Toc233938103"/>
      <w:r w:rsidRPr="00645D6F">
        <w:rPr>
          <w:rFonts w:ascii="Simplified Arabic" w:hAnsi="Simplified Arabic" w:cs="Simplified Arabic" w:hint="cs"/>
          <w:b/>
          <w:bCs/>
          <w:color w:val="000000" w:themeColor="text1"/>
          <w:sz w:val="32"/>
          <w:szCs w:val="32"/>
          <w:rtl/>
        </w:rPr>
        <w:t xml:space="preserve">6.2.2 </w:t>
      </w:r>
      <w:r w:rsidR="001D05C6" w:rsidRPr="00645D6F">
        <w:rPr>
          <w:rFonts w:ascii="Simplified Arabic" w:hAnsi="Simplified Arabic" w:cs="Simplified Arabic"/>
          <w:b/>
          <w:bCs/>
          <w:color w:val="000000" w:themeColor="text1"/>
          <w:sz w:val="32"/>
          <w:szCs w:val="32"/>
          <w:rtl/>
        </w:rPr>
        <w:t>استراتيجيات تحسين سرعة حل المشكلات ورضا العملاء</w:t>
      </w:r>
      <w:bookmarkEnd w:id="55"/>
    </w:p>
    <w:p w14:paraId="7C1D1A4E"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يستلزم تحقيق مستويات مرتفعة من سرعة حل المشكلات ورضا العملاء انتهاج جملة من الاستراتيجيات المتكاملة التي تتوزع على المستويات التنظيمية والتشغيلية والتقنية. ومن أبرز هذه الاستراتيجيات ما يُشير إليه أبو عيسى (2023) من ضرورة تبنّي منظومة متكاملة لإدارة علاقات العملاء تُتيح تتبّع تاريخ العميل مع المنظمة وتفاعلاته السابقة، بحيث يستطيع أي موظف يتلقى مكالمته الوصول الفوري إلى صورة شاملة عن ملفه، مما يُقصّر زمن الاستجابة ويُتيح تخصيص الحلول وفق سياق كل عميل</w:t>
      </w:r>
      <w:r w:rsidRPr="00645D6F">
        <w:rPr>
          <w:rFonts w:ascii="Simplified Arabic" w:hAnsi="Simplified Arabic" w:cs="Simplified Arabic"/>
          <w:color w:val="000000" w:themeColor="text1"/>
          <w:sz w:val="28"/>
          <w:szCs w:val="28"/>
        </w:rPr>
        <w:t>.</w:t>
      </w:r>
    </w:p>
    <w:p w14:paraId="03872983"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lastRenderedPageBreak/>
        <w:t>كما تشمل الاستراتيجيات إعادة تصميم عمليات معالجة الشكاوى بحيث تتّسم بالبساطة والوضوح وتقليل عدد الحلقات التي تمرّ بها الشكوى قبل أن تصل إلى الحل. ويُبرز</w:t>
      </w:r>
      <w:r w:rsidRPr="00645D6F">
        <w:rPr>
          <w:rFonts w:ascii="Simplified Arabic" w:hAnsi="Simplified Arabic" w:cs="Simplified Arabic"/>
          <w:color w:val="000000" w:themeColor="text1"/>
          <w:sz w:val="28"/>
          <w:szCs w:val="28"/>
        </w:rPr>
        <w:t xml:space="preserve"> Morgeson et al. (2020) </w:t>
      </w:r>
      <w:r w:rsidRPr="00645D6F">
        <w:rPr>
          <w:rFonts w:ascii="Simplified Arabic" w:hAnsi="Simplified Arabic" w:cs="Simplified Arabic"/>
          <w:color w:val="000000" w:themeColor="text1"/>
          <w:sz w:val="28"/>
          <w:szCs w:val="28"/>
          <w:rtl/>
        </w:rPr>
        <w:t>أهمية هذه الاستراتيجية بوصفها الأساس التشغيلي لنجاح معالجة الشكاوى، إذ إن التعقيد الإجرائي يُفضي حتمًا إلى تأخير الاستجابة وإحباط العميل، مهما بلغت كفاءة الموظفين الأفراد. ويرتبط بذلك ضرورة تحديد صلاحيات واضحة لكل مستوى وظيفي بشأن الحلول التي يمكن تقديمها، بحيث لا يُضطر الموظف إلى تصعيد كل حالة إلى مستويات أعلى</w:t>
      </w:r>
      <w:r w:rsidRPr="00645D6F">
        <w:rPr>
          <w:rFonts w:ascii="Simplified Arabic" w:hAnsi="Simplified Arabic" w:cs="Simplified Arabic"/>
          <w:color w:val="000000" w:themeColor="text1"/>
          <w:sz w:val="28"/>
          <w:szCs w:val="28"/>
        </w:rPr>
        <w:t>.</w:t>
      </w:r>
    </w:p>
    <w:p w14:paraId="73502DC6"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وتتضمن الاستراتيجيات كذلك الاستثمار في التقنيات الحديثة، ولا سيما نظم إدارة علاقات العملاء الذكية، ونظم التحليلات المتقدمة، والذكاء الاصطناعي في خدمة العملاء. ويُوضّح</w:t>
      </w:r>
      <w:r w:rsidRPr="00645D6F">
        <w:rPr>
          <w:rFonts w:ascii="Simplified Arabic" w:hAnsi="Simplified Arabic" w:cs="Simplified Arabic"/>
          <w:color w:val="000000" w:themeColor="text1"/>
          <w:sz w:val="28"/>
          <w:szCs w:val="28"/>
        </w:rPr>
        <w:t xml:space="preserve"> Afroz </w:t>
      </w:r>
      <w:r w:rsidRPr="00645D6F">
        <w:rPr>
          <w:rFonts w:ascii="Simplified Arabic" w:hAnsi="Simplified Arabic" w:cs="Simplified Arabic"/>
          <w:color w:val="000000" w:themeColor="text1"/>
          <w:sz w:val="28"/>
          <w:szCs w:val="28"/>
          <w:rtl/>
        </w:rPr>
        <w:t>و</w:t>
      </w:r>
      <w:r w:rsidRPr="00645D6F">
        <w:rPr>
          <w:rFonts w:ascii="Simplified Arabic" w:hAnsi="Simplified Arabic" w:cs="Simplified Arabic"/>
          <w:color w:val="000000" w:themeColor="text1"/>
          <w:sz w:val="28"/>
          <w:szCs w:val="28"/>
        </w:rPr>
        <w:t xml:space="preserve">Moury (2024) </w:t>
      </w:r>
      <w:r w:rsidRPr="00645D6F">
        <w:rPr>
          <w:rFonts w:ascii="Simplified Arabic" w:hAnsi="Simplified Arabic" w:cs="Simplified Arabic"/>
          <w:color w:val="000000" w:themeColor="text1"/>
          <w:sz w:val="28"/>
          <w:szCs w:val="28"/>
          <w:rtl/>
        </w:rPr>
        <w:t>أن هذه التقنيات لم تعد رفاهية تقنية، وإنما أصبحت ضرورة تنافسية تُتيح للمنظمة التعامل مع أحجام كبيرة من الشكاوى بكفاءة، والتنبؤ بالمشكلات المحتملة قبل وقوعها، وتخصيص التجربة الخدمية لكل عميل. كما تعمل هذه التقنيات على تفعيل الاستفادة من بيانات العملاء بحيث تتحوّل الشكاوى المتكررة إلى مؤشرات لتحسين العمليات والمنتجات</w:t>
      </w:r>
      <w:r w:rsidRPr="00645D6F">
        <w:rPr>
          <w:rFonts w:ascii="Simplified Arabic" w:hAnsi="Simplified Arabic" w:cs="Simplified Arabic"/>
          <w:color w:val="000000" w:themeColor="text1"/>
          <w:sz w:val="28"/>
          <w:szCs w:val="28"/>
        </w:rPr>
        <w:t>.</w:t>
      </w:r>
    </w:p>
    <w:p w14:paraId="65F9050E" w14:textId="77777777"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وتشمل الاستراتيجيات أيضًا بناء نظم تعلم تنظيمي تستفيد من كل شكوى بوصفها فرصة لتحسين الأداء. ويُبرز خالد (2024) أن جودة الخدمة الداخلية تُشكّل الأساس لجودة الخدمة الخارجية، وأن المنظمات التي تُحسّن عملياتها الداخلية وتتعلم من أخطائها تُحقّق مستويات أعلى من رضا العملاء بشكل مستدام. ويرتبط بذلك بناء منظومة قياس مستمر لمؤشرات رضا العملاء عبر الاستبانات الدورية والمقابلات المعمقة وتحليل بيانات التواصل الاجتماعي، بحيث تمتلك المنظمة قراءة دقيقة ومحدّثة لمستوى رضا عملائها ولمصادر عدم الرضا</w:t>
      </w:r>
      <w:r w:rsidRPr="00645D6F">
        <w:rPr>
          <w:rFonts w:ascii="Simplified Arabic" w:hAnsi="Simplified Arabic" w:cs="Simplified Arabic"/>
          <w:color w:val="000000" w:themeColor="text1"/>
          <w:sz w:val="28"/>
          <w:szCs w:val="28"/>
        </w:rPr>
        <w:t>.</w:t>
      </w:r>
    </w:p>
    <w:p w14:paraId="1D43DB4E" w14:textId="34EBC210" w:rsidR="001D05C6" w:rsidRPr="00645D6F" w:rsidRDefault="001D05C6" w:rsidP="00D67C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45D6F">
        <w:rPr>
          <w:rFonts w:ascii="Simplified Arabic" w:hAnsi="Simplified Arabic" w:cs="Simplified Arabic"/>
          <w:color w:val="000000" w:themeColor="text1"/>
          <w:sz w:val="28"/>
          <w:szCs w:val="28"/>
          <w:rtl/>
        </w:rPr>
        <w:t>كما تندرج ضمن الاستراتيجيات إعادة تصميم بيئة العمل بحيث تُيسّر التعاون بين الوحدات المختلفة في خدمة العميل، إذ إن كثيرًا من المشكلات لا يمكن حلها من قِبل وحدة واحدة، وإنما تستوجب تكاتف عدة وحدات. ويُشير</w:t>
      </w:r>
      <w:r w:rsidRPr="00645D6F">
        <w:rPr>
          <w:rFonts w:ascii="Simplified Arabic" w:hAnsi="Simplified Arabic" w:cs="Simplified Arabic"/>
          <w:color w:val="000000" w:themeColor="text1"/>
          <w:sz w:val="28"/>
          <w:szCs w:val="28"/>
        </w:rPr>
        <w:t xml:space="preserve"> Arhin &amp;Cobblah (2024) </w:t>
      </w:r>
      <w:r w:rsidRPr="00645D6F">
        <w:rPr>
          <w:rFonts w:ascii="Simplified Arabic" w:hAnsi="Simplified Arabic" w:cs="Simplified Arabic"/>
          <w:color w:val="000000" w:themeColor="text1"/>
          <w:sz w:val="28"/>
          <w:szCs w:val="28"/>
          <w:rtl/>
        </w:rPr>
        <w:t>إلى أن كسر الحواجز بين الوحدات التنظيمية يُشكّل مدخلًا رئيسيًا لتحسين تجربة العميل، إذ إن العميل ينظر إلى المنظمة بوصفها كيانًا واحدًا ولا يعنيه التقسيم الداخلي بين وحداتها، فيما تعمل هذه الوحدات في كثير من الأحيان بشكل جزيرة معزولة</w:t>
      </w:r>
      <w:r w:rsidRPr="00645D6F">
        <w:rPr>
          <w:rFonts w:ascii="Simplified Arabic" w:hAnsi="Simplified Arabic" w:cs="Simplified Arabic"/>
          <w:color w:val="000000" w:themeColor="text1"/>
          <w:sz w:val="28"/>
          <w:szCs w:val="28"/>
        </w:rPr>
        <w:t>.</w:t>
      </w:r>
    </w:p>
    <w:p w14:paraId="0D20993D" w14:textId="343FBC62" w:rsidR="00645D6F" w:rsidRPr="00645D6F" w:rsidRDefault="004A41F9" w:rsidP="000245F4">
      <w:pPr>
        <w:jc w:val="center"/>
        <w:outlineLvl w:val="0"/>
        <w:rPr>
          <w:rFonts w:ascii="Simplified Arabic" w:hAnsi="Simplified Arabic" w:cs="Simplified Arabic"/>
          <w:b/>
          <w:bCs/>
          <w:color w:val="000000" w:themeColor="text1"/>
          <w:szCs w:val="28"/>
          <w:rtl/>
        </w:rPr>
        <w:sectPr w:rsidR="00645D6F" w:rsidRPr="00645D6F" w:rsidSect="00D67CA2">
          <w:footerReference w:type="default" r:id="rId9"/>
          <w:pgSz w:w="11906" w:h="16838" w:code="9"/>
          <w:pgMar w:top="1134" w:right="1701" w:bottom="1134" w:left="1134" w:header="720" w:footer="720" w:gutter="0"/>
          <w:pgNumType w:start="1"/>
          <w:cols w:space="708"/>
          <w:bidi/>
          <w:rtlGutter/>
          <w:docGrid w:linePitch="360"/>
        </w:sectPr>
      </w:pPr>
      <w:r w:rsidRPr="00645D6F">
        <w:rPr>
          <w:rFonts w:ascii="Simplified Arabic" w:hAnsi="Simplified Arabic" w:cs="Simplified Arabic"/>
          <w:b/>
          <w:bCs/>
          <w:color w:val="000000" w:themeColor="text1"/>
          <w:sz w:val="40"/>
          <w:szCs w:val="40"/>
          <w:rtl/>
        </w:rPr>
        <w:br w:type="page"/>
      </w:r>
      <w:bookmarkStart w:id="56" w:name="_GoBack"/>
      <w:bookmarkEnd w:id="28"/>
      <w:bookmarkEnd w:id="56"/>
    </w:p>
    <w:p w14:paraId="29D4231B" w14:textId="25311639" w:rsidR="0081623B" w:rsidRPr="00645D6F" w:rsidRDefault="00E27D3B" w:rsidP="00D67CA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645D6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7B71790">
            <wp:simplePos x="0" y="0"/>
            <wp:positionH relativeFrom="column">
              <wp:posOffset>4202430</wp:posOffset>
            </wp:positionH>
            <wp:positionV relativeFrom="paragraph">
              <wp:posOffset>0</wp:posOffset>
            </wp:positionV>
            <wp:extent cx="1438275" cy="1332230"/>
            <wp:effectExtent l="0" t="0" r="9525" b="1270"/>
            <wp:wrapTight wrapText="bothSides">
              <wp:wrapPolygon edited="0">
                <wp:start x="0" y="0"/>
                <wp:lineTo x="0" y="21312"/>
                <wp:lineTo x="21457" y="21312"/>
                <wp:lineTo x="2145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8275" cy="13322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5D6F">
        <w:rPr>
          <w:rFonts w:asciiTheme="majorBidi" w:eastAsia="Calibri" w:hAnsiTheme="majorBidi" w:cstheme="majorBidi"/>
          <w:b/>
          <w:bCs/>
          <w:color w:val="000000" w:themeColor="text1"/>
          <w:kern w:val="0"/>
          <w:sz w:val="32"/>
          <w:szCs w:val="32"/>
          <w:lang w:bidi="ar-EG"/>
          <w14:ligatures w14:val="none"/>
        </w:rPr>
        <w:t>Mid</w:t>
      </w:r>
      <w:r w:rsidR="000D353F" w:rsidRPr="00645D6F">
        <w:rPr>
          <w:rFonts w:asciiTheme="majorBidi" w:eastAsia="Calibri" w:hAnsiTheme="majorBidi" w:cstheme="majorBidi"/>
          <w:b/>
          <w:bCs/>
          <w:color w:val="000000" w:themeColor="text1"/>
          <w:kern w:val="0"/>
          <w:sz w:val="32"/>
          <w:szCs w:val="32"/>
          <w:lang w:bidi="ar-EG"/>
          <w14:ligatures w14:val="none"/>
        </w:rPr>
        <w:t xml:space="preserve"> </w:t>
      </w:r>
      <w:r w:rsidR="0081623B" w:rsidRPr="00645D6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45D6F" w:rsidRDefault="0081623B" w:rsidP="00D67CA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45D6F">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645D6F" w:rsidRDefault="00857739" w:rsidP="00D67CA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45D6F">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645D6F">
        <w:rPr>
          <w:rFonts w:asciiTheme="majorBidi" w:eastAsia="Calibri" w:hAnsiTheme="majorBidi" w:cstheme="majorBidi"/>
          <w:b/>
          <w:bCs/>
          <w:color w:val="000000" w:themeColor="text1"/>
          <w:kern w:val="0"/>
          <w:sz w:val="32"/>
          <w:szCs w:val="32"/>
          <w14:ligatures w14:val="none"/>
        </w:rPr>
        <w:t>Business Administration</w:t>
      </w:r>
    </w:p>
    <w:p w14:paraId="0343AD5E" w14:textId="77777777" w:rsidR="00A65828" w:rsidRPr="00645D6F" w:rsidRDefault="00A65828" w:rsidP="00D67CA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583212B" w14:textId="226EDF56" w:rsidR="00CA4A92" w:rsidRPr="00645D6F" w:rsidRDefault="00CA4A92" w:rsidP="00645D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645D6F">
        <w:rPr>
          <w:rFonts w:asciiTheme="majorBidi" w:eastAsia="Calibri" w:hAnsiTheme="majorBidi" w:cstheme="majorBidi"/>
          <w:b/>
          <w:bCs/>
          <w:color w:val="000000" w:themeColor="text1"/>
          <w:kern w:val="0"/>
          <w:sz w:val="40"/>
          <w:szCs w:val="40"/>
          <w:lang w:bidi="ar-EG"/>
          <w14:ligatures w14:val="none"/>
        </w:rPr>
        <w:t>The Impact of Employee Empowerment on Problem Resolution Speed and Customer Satisfaction: A Field Study on Customer Service Employees in Riyadh</w:t>
      </w:r>
    </w:p>
    <w:p w14:paraId="1CCD2540" w14:textId="77777777" w:rsidR="00645D6F" w:rsidRPr="00645D6F" w:rsidRDefault="00645D6F" w:rsidP="00645D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EF12E1F" w:rsidR="000D353F" w:rsidRPr="00645D6F" w:rsidRDefault="000D353F" w:rsidP="00645D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5D6F">
        <w:rPr>
          <w:rFonts w:asciiTheme="majorBidi" w:eastAsia="Calibri" w:hAnsiTheme="majorBidi" w:cstheme="majorBidi"/>
          <w:b/>
          <w:bCs/>
          <w:color w:val="000000" w:themeColor="text1"/>
          <w:kern w:val="0"/>
          <w:sz w:val="36"/>
          <w:szCs w:val="36"/>
          <w:lang w:bidi="ar-EG"/>
          <w14:ligatures w14:val="none"/>
        </w:rPr>
        <w:t>Prepared by:</w:t>
      </w:r>
    </w:p>
    <w:p w14:paraId="001EABED" w14:textId="77777777" w:rsidR="0091713C" w:rsidRPr="00645D6F" w:rsidRDefault="0091713C" w:rsidP="00645D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645D6F">
        <w:rPr>
          <w:rFonts w:asciiTheme="majorBidi" w:eastAsia="Calibri" w:hAnsiTheme="majorBidi" w:cstheme="majorBidi"/>
          <w:color w:val="000000" w:themeColor="text1"/>
          <w:kern w:val="0"/>
          <w:sz w:val="36"/>
          <w:szCs w:val="36"/>
          <w:lang w:bidi="ar-EG"/>
          <w14:ligatures w14:val="none"/>
        </w:rPr>
        <w:t>Mohammed Naji Shahi AlAnzi</w:t>
      </w:r>
    </w:p>
    <w:p w14:paraId="506162A6" w14:textId="5318045F" w:rsidR="00EA15E2" w:rsidRPr="00645D6F" w:rsidRDefault="0091713C" w:rsidP="00645D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645D6F">
        <w:rPr>
          <w:rFonts w:asciiTheme="majorBidi" w:eastAsia="Calibri" w:hAnsiTheme="majorBidi" w:cstheme="majorBidi"/>
          <w:color w:val="000000" w:themeColor="text1"/>
          <w:kern w:val="0"/>
          <w:sz w:val="36"/>
          <w:szCs w:val="36"/>
          <w:lang w:bidi="ar-EG"/>
          <w14:ligatures w14:val="none"/>
        </w:rPr>
        <w:t>253001644</w:t>
      </w:r>
    </w:p>
    <w:p w14:paraId="68079325" w14:textId="77777777" w:rsidR="00645D6F" w:rsidRPr="00645D6F" w:rsidRDefault="00645D6F" w:rsidP="00645D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45D6F" w:rsidRPr="00645D6F" w14:paraId="37820BC1" w14:textId="77777777" w:rsidTr="009277E2">
        <w:tc>
          <w:tcPr>
            <w:tcW w:w="4530" w:type="dxa"/>
          </w:tcPr>
          <w:p w14:paraId="23B598D9" w14:textId="77777777" w:rsidR="00645D6F" w:rsidRPr="00645D6F" w:rsidRDefault="00645D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5D6F">
              <w:rPr>
                <w:rFonts w:asciiTheme="majorBidi" w:eastAsia="Calibri" w:hAnsiTheme="majorBidi" w:cstheme="majorBidi"/>
                <w:b/>
                <w:bCs/>
                <w:color w:val="000000" w:themeColor="text1"/>
                <w:kern w:val="0"/>
                <w:sz w:val="36"/>
                <w:szCs w:val="36"/>
                <w:lang w:bidi="ar-EG"/>
                <w14:ligatures w14:val="none"/>
              </w:rPr>
              <w:t>Main supervisor</w:t>
            </w:r>
            <w:r w:rsidRPr="00645D6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8B58A29" w14:textId="77777777" w:rsidR="00645D6F" w:rsidRPr="00645D6F" w:rsidRDefault="00645D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5D6F">
              <w:rPr>
                <w:rFonts w:asciiTheme="majorBidi" w:eastAsia="Calibri" w:hAnsiTheme="majorBidi" w:cstheme="majorBidi"/>
                <w:b/>
                <w:bCs/>
                <w:color w:val="000000" w:themeColor="text1"/>
                <w:kern w:val="0"/>
                <w:sz w:val="36"/>
                <w:szCs w:val="36"/>
                <w:lang w:bidi="ar-EG"/>
                <w14:ligatures w14:val="none"/>
              </w:rPr>
              <w:t>Second supervisor</w:t>
            </w:r>
            <w:r w:rsidRPr="00645D6F">
              <w:rPr>
                <w:rFonts w:asciiTheme="majorBidi" w:eastAsia="Calibri" w:hAnsiTheme="majorBidi" w:cstheme="majorBidi"/>
                <w:b/>
                <w:bCs/>
                <w:color w:val="000000" w:themeColor="text1"/>
                <w:kern w:val="0"/>
                <w:sz w:val="36"/>
                <w:szCs w:val="36"/>
                <w:rtl/>
                <w:lang w:bidi="ar-EG"/>
                <w14:ligatures w14:val="none"/>
              </w:rPr>
              <w:t>/</w:t>
            </w:r>
          </w:p>
        </w:tc>
      </w:tr>
      <w:tr w:rsidR="00645D6F" w:rsidRPr="00645D6F" w14:paraId="44C7067F" w14:textId="77777777" w:rsidTr="009277E2">
        <w:tc>
          <w:tcPr>
            <w:tcW w:w="4530" w:type="dxa"/>
          </w:tcPr>
          <w:p w14:paraId="1309C22F" w14:textId="77777777" w:rsidR="00645D6F" w:rsidRPr="00645D6F" w:rsidRDefault="00645D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5D6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86B3B18" w14:textId="77777777" w:rsidR="00645D6F" w:rsidRPr="00645D6F" w:rsidRDefault="00645D6F"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45D6F">
              <w:rPr>
                <w:rFonts w:asciiTheme="majorBidi" w:eastAsia="Calibri" w:hAnsiTheme="majorBidi" w:cstheme="majorBidi"/>
                <w:color w:val="000000" w:themeColor="text1"/>
                <w:kern w:val="0"/>
                <w:sz w:val="36"/>
                <w:szCs w:val="36"/>
                <w:lang w:bidi="ar-EG"/>
                <w14:ligatures w14:val="none"/>
              </w:rPr>
              <w:t>Dr. Fayez Jarad</w:t>
            </w:r>
          </w:p>
        </w:tc>
      </w:tr>
    </w:tbl>
    <w:p w14:paraId="22511CDE" w14:textId="77777777" w:rsidR="00645D6F" w:rsidRPr="00645D6F" w:rsidRDefault="00645D6F" w:rsidP="00645D6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45D6F">
        <w:rPr>
          <w:rFonts w:asciiTheme="majorBidi" w:eastAsia="Calibri" w:hAnsiTheme="majorBidi" w:cstheme="majorBidi"/>
          <w:color w:val="000000" w:themeColor="text1"/>
          <w:kern w:val="0"/>
          <w:sz w:val="36"/>
          <w:szCs w:val="36"/>
          <w:rtl/>
          <w:lang w:bidi="ar-EG"/>
          <w14:ligatures w14:val="none"/>
        </w:rPr>
        <w:t>1448 – 2026</w:t>
      </w:r>
    </w:p>
    <w:p w14:paraId="05A4F0C6" w14:textId="77777777" w:rsidR="00645D6F" w:rsidRPr="00645D6F" w:rsidRDefault="00645D6F" w:rsidP="00645D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758C511A" w14:textId="77777777" w:rsidR="00F7243B" w:rsidRPr="00645D6F" w:rsidRDefault="00F7243B" w:rsidP="00D67CA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645D6F" w:rsidRDefault="00EA15E2" w:rsidP="00D67CA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A508D09" w:rsidR="009125CE" w:rsidRPr="00645D6F" w:rsidRDefault="009125CE" w:rsidP="00D67CA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45D6F" w:rsidSect="00D67CA2">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A4040" w14:textId="77777777" w:rsidR="004C5CD8" w:rsidRDefault="004C5CD8" w:rsidP="009125CE">
      <w:pPr>
        <w:spacing w:after="0" w:line="240" w:lineRule="auto"/>
      </w:pPr>
      <w:r>
        <w:separator/>
      </w:r>
    </w:p>
  </w:endnote>
  <w:endnote w:type="continuationSeparator" w:id="0">
    <w:p w14:paraId="7A9DE608" w14:textId="77777777" w:rsidR="004C5CD8" w:rsidRDefault="004C5C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839378600"/>
      <w:docPartObj>
        <w:docPartGallery w:val="Page Numbers (Bottom of Page)"/>
        <w:docPartUnique/>
      </w:docPartObj>
    </w:sdtPr>
    <w:sdtEndPr>
      <w:rPr>
        <w:noProof/>
      </w:rPr>
    </w:sdtEndPr>
    <w:sdtContent>
      <w:p w14:paraId="7D98A128" w14:textId="77777777" w:rsidR="00D67CA2" w:rsidRPr="00D67CA2" w:rsidRDefault="00D67CA2" w:rsidP="00D67CA2">
        <w:pPr>
          <w:pStyle w:val="Footer"/>
          <w:jc w:val="center"/>
          <w:rPr>
            <w:rFonts w:ascii="Simplified Arabic" w:hAnsi="Simplified Arabic" w:cs="Simplified Arabic"/>
            <w:b/>
            <w:bCs/>
            <w:sz w:val="24"/>
            <w:szCs w:val="24"/>
          </w:rPr>
        </w:pPr>
        <w:r w:rsidRPr="00D67CA2">
          <w:rPr>
            <w:rFonts w:ascii="Simplified Arabic" w:hAnsi="Simplified Arabic" w:cs="Simplified Arabic"/>
            <w:b/>
            <w:bCs/>
            <w:sz w:val="24"/>
            <w:szCs w:val="24"/>
          </w:rPr>
          <w:fldChar w:fldCharType="begin"/>
        </w:r>
        <w:r w:rsidRPr="00D67CA2">
          <w:rPr>
            <w:rFonts w:ascii="Simplified Arabic" w:hAnsi="Simplified Arabic" w:cs="Simplified Arabic"/>
            <w:b/>
            <w:bCs/>
            <w:sz w:val="24"/>
            <w:szCs w:val="24"/>
          </w:rPr>
          <w:instrText xml:space="preserve"> PAGE   \* MERGEFORMAT </w:instrText>
        </w:r>
        <w:r w:rsidRPr="00D67CA2">
          <w:rPr>
            <w:rFonts w:ascii="Simplified Arabic" w:hAnsi="Simplified Arabic" w:cs="Simplified Arabic"/>
            <w:b/>
            <w:bCs/>
            <w:sz w:val="24"/>
            <w:szCs w:val="24"/>
          </w:rPr>
          <w:fldChar w:fldCharType="separate"/>
        </w:r>
        <w:r w:rsidR="000245F4">
          <w:rPr>
            <w:rFonts w:ascii="Simplified Arabic" w:hAnsi="Simplified Arabic" w:cs="Simplified Arabic"/>
            <w:b/>
            <w:bCs/>
            <w:noProof/>
            <w:sz w:val="24"/>
            <w:szCs w:val="24"/>
            <w:rtl/>
          </w:rPr>
          <w:t>39</w:t>
        </w:r>
        <w:r w:rsidRPr="00D67CA2">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57C04" w14:textId="4259F6F8" w:rsidR="00645D6F" w:rsidRPr="00D67CA2" w:rsidRDefault="00645D6F" w:rsidP="00645D6F">
    <w:pPr>
      <w:pStyle w:val="Footer"/>
      <w:tabs>
        <w:tab w:val="clear" w:pos="4153"/>
        <w:tab w:val="left" w:pos="4139"/>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098CF" w14:textId="77777777" w:rsidR="004C5CD8" w:rsidRDefault="004C5CD8" w:rsidP="009125CE">
      <w:pPr>
        <w:spacing w:after="0" w:line="240" w:lineRule="auto"/>
      </w:pPr>
      <w:r>
        <w:separator/>
      </w:r>
    </w:p>
  </w:footnote>
  <w:footnote w:type="continuationSeparator" w:id="0">
    <w:p w14:paraId="2532E739" w14:textId="77777777" w:rsidR="004C5CD8" w:rsidRDefault="004C5CD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E7497"/>
    <w:multiLevelType w:val="hybridMultilevel"/>
    <w:tmpl w:val="0ECA9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025C6"/>
    <w:multiLevelType w:val="hybridMultilevel"/>
    <w:tmpl w:val="86A6F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7545CF"/>
    <w:multiLevelType w:val="hybridMultilevel"/>
    <w:tmpl w:val="AC06E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B54C1"/>
    <w:multiLevelType w:val="hybridMultilevel"/>
    <w:tmpl w:val="86D8A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8A4EA9"/>
    <w:multiLevelType w:val="hybridMultilevel"/>
    <w:tmpl w:val="DD28D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54E7D62"/>
    <w:multiLevelType w:val="multilevel"/>
    <w:tmpl w:val="B860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9D5F45"/>
    <w:multiLevelType w:val="multilevel"/>
    <w:tmpl w:val="5A8A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836ACC"/>
    <w:multiLevelType w:val="multilevel"/>
    <w:tmpl w:val="B578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437343"/>
    <w:multiLevelType w:val="multilevel"/>
    <w:tmpl w:val="587AC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714354"/>
    <w:multiLevelType w:val="hybridMultilevel"/>
    <w:tmpl w:val="83F48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335276"/>
    <w:multiLevelType w:val="hybridMultilevel"/>
    <w:tmpl w:val="A1C45E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313189A"/>
    <w:multiLevelType w:val="hybridMultilevel"/>
    <w:tmpl w:val="F2D686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4344E9"/>
    <w:multiLevelType w:val="hybridMultilevel"/>
    <w:tmpl w:val="BFB071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2CC4ABB"/>
    <w:multiLevelType w:val="hybridMultilevel"/>
    <w:tmpl w:val="397A7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33460B"/>
    <w:multiLevelType w:val="multilevel"/>
    <w:tmpl w:val="C2EA0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855559"/>
    <w:multiLevelType w:val="multilevel"/>
    <w:tmpl w:val="5F56F0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2104AF"/>
    <w:multiLevelType w:val="multilevel"/>
    <w:tmpl w:val="D526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5B1C3E"/>
    <w:multiLevelType w:val="hybridMultilevel"/>
    <w:tmpl w:val="3782BDC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D506E5"/>
    <w:multiLevelType w:val="multilevel"/>
    <w:tmpl w:val="839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nsid w:val="68E86B03"/>
    <w:multiLevelType w:val="hybridMultilevel"/>
    <w:tmpl w:val="7C66C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0A6001"/>
    <w:multiLevelType w:val="multilevel"/>
    <w:tmpl w:val="8C14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E87BA4"/>
    <w:multiLevelType w:val="hybridMultilevel"/>
    <w:tmpl w:val="32D8DC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CEE3337"/>
    <w:multiLevelType w:val="hybridMultilevel"/>
    <w:tmpl w:val="1E9A3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2370097"/>
    <w:multiLevelType w:val="hybridMultilevel"/>
    <w:tmpl w:val="94F2B0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15"/>
  </w:num>
  <w:num w:numId="3">
    <w:abstractNumId w:val="16"/>
  </w:num>
  <w:num w:numId="4">
    <w:abstractNumId w:val="6"/>
  </w:num>
  <w:num w:numId="5">
    <w:abstractNumId w:val="5"/>
  </w:num>
  <w:num w:numId="6">
    <w:abstractNumId w:val="7"/>
  </w:num>
  <w:num w:numId="7">
    <w:abstractNumId w:val="0"/>
  </w:num>
  <w:num w:numId="8">
    <w:abstractNumId w:val="23"/>
  </w:num>
  <w:num w:numId="9">
    <w:abstractNumId w:val="19"/>
  </w:num>
  <w:num w:numId="10">
    <w:abstractNumId w:val="17"/>
  </w:num>
  <w:num w:numId="11">
    <w:abstractNumId w:val="22"/>
  </w:num>
  <w:num w:numId="12">
    <w:abstractNumId w:val="14"/>
  </w:num>
  <w:num w:numId="13">
    <w:abstractNumId w:val="24"/>
  </w:num>
  <w:num w:numId="14">
    <w:abstractNumId w:val="4"/>
  </w:num>
  <w:num w:numId="15">
    <w:abstractNumId w:val="1"/>
  </w:num>
  <w:num w:numId="16">
    <w:abstractNumId w:val="2"/>
  </w:num>
  <w:num w:numId="17">
    <w:abstractNumId w:val="11"/>
  </w:num>
  <w:num w:numId="18">
    <w:abstractNumId w:val="13"/>
  </w:num>
  <w:num w:numId="19">
    <w:abstractNumId w:val="21"/>
  </w:num>
  <w:num w:numId="20">
    <w:abstractNumId w:val="25"/>
  </w:num>
  <w:num w:numId="21">
    <w:abstractNumId w:val="10"/>
  </w:num>
  <w:num w:numId="22">
    <w:abstractNumId w:val="3"/>
  </w:num>
  <w:num w:numId="23">
    <w:abstractNumId w:val="12"/>
  </w:num>
  <w:num w:numId="24">
    <w:abstractNumId w:val="18"/>
  </w:num>
  <w:num w:numId="25">
    <w:abstractNumId w:val="9"/>
  </w:num>
  <w:num w:numId="26">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245F4"/>
    <w:rsid w:val="00036B7C"/>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05C6"/>
    <w:rsid w:val="001D4406"/>
    <w:rsid w:val="001E7B16"/>
    <w:rsid w:val="001F0034"/>
    <w:rsid w:val="001F159D"/>
    <w:rsid w:val="001F46A5"/>
    <w:rsid w:val="0021718D"/>
    <w:rsid w:val="00217ADA"/>
    <w:rsid w:val="00223AE0"/>
    <w:rsid w:val="002304C2"/>
    <w:rsid w:val="00234450"/>
    <w:rsid w:val="00242CF7"/>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301731"/>
    <w:rsid w:val="0030295F"/>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A41F9"/>
    <w:rsid w:val="004B118D"/>
    <w:rsid w:val="004B1EF3"/>
    <w:rsid w:val="004B352F"/>
    <w:rsid w:val="004C0303"/>
    <w:rsid w:val="004C3BAD"/>
    <w:rsid w:val="004C4331"/>
    <w:rsid w:val="004C5CD8"/>
    <w:rsid w:val="004D23E7"/>
    <w:rsid w:val="004D6581"/>
    <w:rsid w:val="004D6B08"/>
    <w:rsid w:val="004E439C"/>
    <w:rsid w:val="004E4F78"/>
    <w:rsid w:val="004F1444"/>
    <w:rsid w:val="004F2475"/>
    <w:rsid w:val="004F3AF6"/>
    <w:rsid w:val="00502CC5"/>
    <w:rsid w:val="00504FE3"/>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1593"/>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5D6F"/>
    <w:rsid w:val="00647482"/>
    <w:rsid w:val="006558D1"/>
    <w:rsid w:val="0066191A"/>
    <w:rsid w:val="00663FD3"/>
    <w:rsid w:val="00666183"/>
    <w:rsid w:val="00667140"/>
    <w:rsid w:val="006716C2"/>
    <w:rsid w:val="0068067A"/>
    <w:rsid w:val="00680F37"/>
    <w:rsid w:val="00681671"/>
    <w:rsid w:val="00681F47"/>
    <w:rsid w:val="00684029"/>
    <w:rsid w:val="00686D49"/>
    <w:rsid w:val="006904F6"/>
    <w:rsid w:val="006910C9"/>
    <w:rsid w:val="00691B4C"/>
    <w:rsid w:val="006948DE"/>
    <w:rsid w:val="006A0FCA"/>
    <w:rsid w:val="006A2677"/>
    <w:rsid w:val="006A3B5F"/>
    <w:rsid w:val="006A6C3D"/>
    <w:rsid w:val="006B07CD"/>
    <w:rsid w:val="006B3A4B"/>
    <w:rsid w:val="006B40EF"/>
    <w:rsid w:val="006B4F02"/>
    <w:rsid w:val="006C173C"/>
    <w:rsid w:val="006D0A16"/>
    <w:rsid w:val="006D4C88"/>
    <w:rsid w:val="006E4126"/>
    <w:rsid w:val="006E41F3"/>
    <w:rsid w:val="006E65A3"/>
    <w:rsid w:val="006F162C"/>
    <w:rsid w:val="006F29F1"/>
    <w:rsid w:val="006F48CA"/>
    <w:rsid w:val="0070333D"/>
    <w:rsid w:val="00705AF7"/>
    <w:rsid w:val="00706E7F"/>
    <w:rsid w:val="00714D8B"/>
    <w:rsid w:val="0071504C"/>
    <w:rsid w:val="007178EE"/>
    <w:rsid w:val="007301E5"/>
    <w:rsid w:val="00731C8B"/>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1713C"/>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748C"/>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2218"/>
    <w:rsid w:val="00A55EF3"/>
    <w:rsid w:val="00A57461"/>
    <w:rsid w:val="00A65828"/>
    <w:rsid w:val="00A71BCE"/>
    <w:rsid w:val="00A74F76"/>
    <w:rsid w:val="00A75340"/>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87615"/>
    <w:rsid w:val="00C9427A"/>
    <w:rsid w:val="00C9690C"/>
    <w:rsid w:val="00C96BB5"/>
    <w:rsid w:val="00CA0736"/>
    <w:rsid w:val="00CA24A2"/>
    <w:rsid w:val="00CA49E9"/>
    <w:rsid w:val="00CA4A92"/>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653F"/>
    <w:rsid w:val="00D60743"/>
    <w:rsid w:val="00D67CA2"/>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2ABC"/>
    <w:rsid w:val="00E24460"/>
    <w:rsid w:val="00E2784D"/>
    <w:rsid w:val="00E27D3B"/>
    <w:rsid w:val="00E30EB7"/>
    <w:rsid w:val="00E3112D"/>
    <w:rsid w:val="00E373EB"/>
    <w:rsid w:val="00E43E1B"/>
    <w:rsid w:val="00E43E62"/>
    <w:rsid w:val="00E452A2"/>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77DFA"/>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0B85"/>
    <w:rsid w:val="00F30BD7"/>
    <w:rsid w:val="00F310F2"/>
    <w:rsid w:val="00F33937"/>
    <w:rsid w:val="00F3442D"/>
    <w:rsid w:val="00F40DB2"/>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0A3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1Light-Accent6">
    <w:name w:val="Grid Table 1 Light Accent 6"/>
    <w:basedOn w:val="TableNormal"/>
    <w:uiPriority w:val="46"/>
    <w:rsid w:val="00D67CA2"/>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645D6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2BCAF7-120A-4789-BC7D-851DA85D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10872</Words>
  <Characters>61971</Characters>
  <Application>Microsoft Office Word</Application>
  <DocSecurity>0</DocSecurity>
  <Lines>516</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2026-07-02T23:34:00Z</cp:lastPrinted>
  <dcterms:created xsi:type="dcterms:W3CDTF">2026-07-02T23:33:00Z</dcterms:created>
  <dcterms:modified xsi:type="dcterms:W3CDTF">2026-07-02T23:34:00Z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