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6EA2A" w14:textId="5E5424F3" w:rsidR="0060144A" w:rsidRPr="004D60DD" w:rsidRDefault="00E72D49" w:rsidP="00DA1916">
      <w:pPr>
        <w:pStyle w:val="Heading1"/>
        <w:rPr>
          <w:sz w:val="36"/>
          <w:szCs w:val="36"/>
        </w:rPr>
      </w:pPr>
      <w:bookmarkStart w:id="0" w:name="hrm-611-final-exam-focused-revision-guid"/>
      <w:bookmarkEnd w:id="0"/>
      <w:r w:rsidRPr="004D60DD">
        <w:rPr>
          <w:sz w:val="36"/>
          <w:szCs w:val="36"/>
        </w:rPr>
        <w:t>HRM 611: Final-Exam</w:t>
      </w:r>
      <w:r w:rsidR="00DA1916" w:rsidRPr="004D60DD">
        <w:rPr>
          <w:sz w:val="36"/>
          <w:szCs w:val="36"/>
        </w:rPr>
        <w:t xml:space="preserve"> Mind map</w:t>
      </w:r>
    </w:p>
    <w:p w14:paraId="09FAF1B1" w14:textId="77777777" w:rsidR="0060144A" w:rsidRPr="004D60DD" w:rsidRDefault="00E72D49">
      <w:pPr>
        <w:pStyle w:val="Heading1"/>
        <w:rPr>
          <w:sz w:val="36"/>
          <w:szCs w:val="36"/>
        </w:rPr>
      </w:pPr>
      <w:bookmarkStart w:id="1" w:name="lecture-1-introducing-human-resource-man"/>
      <w:bookmarkEnd w:id="1"/>
      <w:r w:rsidRPr="004D60DD">
        <w:rPr>
          <w:sz w:val="36"/>
          <w:szCs w:val="36"/>
        </w:rPr>
        <w:t>Lecture 1: Introducing Human Resource Management</w:t>
      </w:r>
    </w:p>
    <w:p w14:paraId="7B16D935" w14:textId="77777777" w:rsidR="0060144A" w:rsidRDefault="00E72D49">
      <w:pPr>
        <w:pStyle w:val="Heading2"/>
      </w:pPr>
      <w:bookmarkStart w:id="2" w:name="core-concepts"/>
      <w:bookmarkEnd w:id="2"/>
      <w:r>
        <w:t>Core concepts</w:t>
      </w:r>
    </w:p>
    <w:p w14:paraId="3697B227" w14:textId="77777777" w:rsidR="0060144A" w:rsidRDefault="00E72D49">
      <w:pPr>
        <w:pStyle w:val="BodyText"/>
      </w:pPr>
      <w:r>
        <w:rPr>
          <w:rStyle w:val="Strong"/>
        </w:rPr>
        <w:t>Human resource management (HRM)</w:t>
      </w:r>
      <w:r>
        <w:t xml:space="preserve"> is the process of acquiring, training, appraising, compensating, and supporting employees, including attention to labor relations, health and safety, and fairness. HRM supports the broader management process because staffing, employee development, performance, compensation, and employee relations affect planning, organizing, leading, and controlling.</w:t>
      </w:r>
    </w:p>
    <w:p w14:paraId="749A4B38" w14:textId="77777777" w:rsidR="0060144A" w:rsidRDefault="00E72D49">
      <w:pPr>
        <w:pStyle w:val="BodyText"/>
      </w:pPr>
      <w:r>
        <w:t xml:space="preserve">Line managers have direct authority over their employees and perform important HR duties, including placing the right person in the right job, orienting and training employees, managing performance, controlling labor costs, and protecting employee health and safety. HR managers perform </w:t>
      </w:r>
      <w:r>
        <w:rPr>
          <w:rStyle w:val="Strong"/>
        </w:rPr>
        <w:t>line, coordinative, and staff/advisory</w:t>
      </w:r>
      <w:r>
        <w:t xml:space="preserve"> functions. In small businesses, entrepreneurs and general managers often need HR knowledge because a dedicated HR department may not exist.</w:t>
      </w:r>
    </w:p>
    <w:p w14:paraId="5E44A75E" w14:textId="77777777" w:rsidR="0060144A" w:rsidRDefault="00E72D49">
      <w:pPr>
        <w:pStyle w:val="BodyText"/>
      </w:pPr>
      <w:r>
        <w:rPr>
          <w:rStyle w:val="Strong"/>
        </w:rPr>
        <w:t>Employee engagement</w:t>
      </w:r>
      <w:r>
        <w:t xml:space="preserve"> refers to employees’ sense of involvement, commitment, belonging, and connection to their work and organization. Recognition programs, open communication, opportunities for growth, meaningful work, and employee input can strengthen engagement. Engaged employees are generally associated in the course material with greater productivity, innovation, and commitment.</w:t>
      </w:r>
    </w:p>
    <w:p w14:paraId="0AD59D17" w14:textId="77777777" w:rsidR="0060144A" w:rsidRDefault="00E72D49">
      <w:pPr>
        <w:pStyle w:val="BodyText"/>
      </w:pPr>
      <w:r>
        <w:rPr>
          <w:rStyle w:val="Strong"/>
        </w:rPr>
        <w:t>Ethical HR practices</w:t>
      </w:r>
      <w:r>
        <w:t xml:space="preserve"> affect organizational reputation. Fair treatment, consistent procedures, respect for employees, legal compliance, and responsible handling of employee information can strengthen trust and reputation; unethical treatment can damage both.</w:t>
      </w:r>
    </w:p>
    <w:p w14:paraId="3FF829F6" w14:textId="77777777" w:rsidR="0060144A" w:rsidRDefault="00E72D49">
      <w:pPr>
        <w:pStyle w:val="BodyText"/>
      </w:pPr>
      <w:r>
        <w:t xml:space="preserve">The course also identifies changing ways of organizing HR work. </w:t>
      </w:r>
      <w:r>
        <w:rPr>
          <w:rStyle w:val="Strong"/>
        </w:rPr>
        <w:t>Transactional HR</w:t>
      </w:r>
      <w:r>
        <w:t xml:space="preserve"> handles routine services such as payroll and basic benefits questions. </w:t>
      </w:r>
      <w:r>
        <w:rPr>
          <w:rStyle w:val="Strong"/>
        </w:rPr>
        <w:t>Corporate HR</w:t>
      </w:r>
      <w:r>
        <w:t xml:space="preserve"> focuses on strategic, organization-wide workforce issues. </w:t>
      </w:r>
      <w:r>
        <w:rPr>
          <w:rStyle w:val="Strong"/>
        </w:rPr>
        <w:t>Embedded HR</w:t>
      </w:r>
      <w:r>
        <w:t xml:space="preserve"> places HR representatives within business units so they understand local needs. </w:t>
      </w:r>
      <w:r>
        <w:rPr>
          <w:rStyle w:val="Strong"/>
        </w:rPr>
        <w:t>Centers of expertise</w:t>
      </w:r>
      <w:r>
        <w:t xml:space="preserve"> provide specialist advice for areas such as organizational change, compensation, or talent management.</w:t>
      </w:r>
    </w:p>
    <w:p w14:paraId="2E6E9B75" w14:textId="77777777" w:rsidR="0060144A" w:rsidRDefault="00E72D49">
      <w:pPr>
        <w:pStyle w:val="Heading2"/>
      </w:pPr>
      <w:bookmarkStart w:id="3" w:name="recruitment-technology-and-orientation"/>
      <w:bookmarkEnd w:id="3"/>
      <w:r>
        <w:t>Recruitment technology and orientation</w:t>
      </w:r>
    </w:p>
    <w:p w14:paraId="644EB038" w14:textId="77777777" w:rsidR="0060144A" w:rsidRDefault="00E72D49">
      <w:pPr>
        <w:pStyle w:val="BodyText"/>
      </w:pPr>
      <w:r>
        <w:rPr>
          <w:rStyle w:val="Strong"/>
        </w:rPr>
        <w:t>Orientation</w:t>
      </w:r>
      <w:r>
        <w:t xml:space="preserve"> introduces new employees to the organization, its culture, policies, people, and work expectations. It is part of onboarding and begins the employee’s socialization process. Technological advancement has supported online recruitment, applicant tracking, digital communication, and the growing use of social media in recruitment.</w:t>
      </w:r>
    </w:p>
    <w:p w14:paraId="584410BD" w14:textId="77777777" w:rsidR="0060144A" w:rsidRDefault="0060144A">
      <w:pPr>
        <w:pStyle w:val="HorizontalLine"/>
      </w:pPr>
      <w:bookmarkStart w:id="4" w:name="exam-checkpoints-questions-16"/>
      <w:bookmarkEnd w:id="4"/>
    </w:p>
    <w:p w14:paraId="086BCDDE" w14:textId="77777777" w:rsidR="00EE060A" w:rsidRDefault="00EE060A">
      <w:pPr>
        <w:pStyle w:val="Heading1"/>
      </w:pPr>
      <w:bookmarkStart w:id="5" w:name="lecture-2-strategic-human-resource-manag"/>
      <w:bookmarkEnd w:id="5"/>
    </w:p>
    <w:p w14:paraId="464309FC" w14:textId="5FFD0313" w:rsidR="0060144A" w:rsidRPr="002C57F0" w:rsidRDefault="00E72D49">
      <w:pPr>
        <w:pStyle w:val="Heading1"/>
        <w:rPr>
          <w:sz w:val="36"/>
          <w:szCs w:val="36"/>
        </w:rPr>
      </w:pPr>
      <w:r w:rsidRPr="002C57F0">
        <w:rPr>
          <w:sz w:val="36"/>
          <w:szCs w:val="36"/>
        </w:rPr>
        <w:t>Lecture 2: Strategic Human Resource Management</w:t>
      </w:r>
    </w:p>
    <w:p w14:paraId="14E2F4E5" w14:textId="77777777" w:rsidR="0060144A" w:rsidRDefault="00E72D49">
      <w:pPr>
        <w:pStyle w:val="Heading2"/>
      </w:pPr>
      <w:bookmarkStart w:id="6" w:name="strategic-management-and-planning"/>
      <w:bookmarkEnd w:id="6"/>
      <w:r>
        <w:t>Strategic management and planning</w:t>
      </w:r>
    </w:p>
    <w:p w14:paraId="61D9C1B1" w14:textId="77777777" w:rsidR="0060144A" w:rsidRDefault="00E72D49">
      <w:pPr>
        <w:pStyle w:val="BodyText"/>
      </w:pPr>
      <w:r>
        <w:t xml:space="preserve">Strategic plans are generally </w:t>
      </w:r>
      <w:r>
        <w:rPr>
          <w:rStyle w:val="Strong"/>
        </w:rPr>
        <w:t>long-term</w:t>
      </w:r>
      <w:r>
        <w:t xml:space="preserve"> plans that establish the organization’s direction, priorities, and competitive approach. </w:t>
      </w:r>
      <w:r w:rsidRPr="00AA0765">
        <w:rPr>
          <w:b/>
          <w:bCs/>
        </w:rPr>
        <w:t>Strategic HRM aligns people, capabilities, and HR practices with organizational strategy</w:t>
      </w:r>
      <w:r>
        <w:t>. The central question is whether the organization has, and can develop, the people needed to execute its strategy.</w:t>
      </w:r>
    </w:p>
    <w:p w14:paraId="79E88E98" w14:textId="4249205F" w:rsidR="0060144A" w:rsidRDefault="00E72D49">
      <w:pPr>
        <w:pStyle w:val="BodyText"/>
      </w:pPr>
      <w:r>
        <w:t xml:space="preserve">Organizations may use </w:t>
      </w:r>
      <w:r w:rsidRPr="00150195">
        <w:rPr>
          <w:b/>
          <w:bCs/>
        </w:rPr>
        <w:t>corporate-level strategies</w:t>
      </w:r>
      <w:r>
        <w:t xml:space="preserve">, </w:t>
      </w:r>
      <w:r w:rsidRPr="00150195">
        <w:rPr>
          <w:b/>
          <w:bCs/>
        </w:rPr>
        <w:t xml:space="preserve">business-level </w:t>
      </w:r>
      <w:r w:rsidR="007C33F0">
        <w:rPr>
          <w:b/>
          <w:bCs/>
        </w:rPr>
        <w:t>(</w:t>
      </w:r>
      <w:r w:rsidRPr="00150195">
        <w:rPr>
          <w:b/>
          <w:bCs/>
        </w:rPr>
        <w:t>competitive</w:t>
      </w:r>
      <w:r w:rsidR="007C33F0">
        <w:rPr>
          <w:b/>
          <w:bCs/>
        </w:rPr>
        <w:t>)</w:t>
      </w:r>
      <w:r w:rsidRPr="00150195">
        <w:rPr>
          <w:b/>
          <w:bCs/>
        </w:rPr>
        <w:t xml:space="preserve"> strategies</w:t>
      </w:r>
      <w:r>
        <w:t xml:space="preserve">, and </w:t>
      </w:r>
      <w:r w:rsidRPr="00150195">
        <w:rPr>
          <w:b/>
          <w:bCs/>
        </w:rPr>
        <w:t>functional strategies.</w:t>
      </w:r>
      <w:r>
        <w:t xml:space="preserve"> A company may adopt a </w:t>
      </w:r>
      <w:r>
        <w:rPr>
          <w:rStyle w:val="Strong"/>
        </w:rPr>
        <w:t>hybrid strategy</w:t>
      </w:r>
      <w:r>
        <w:t xml:space="preserve"> by combining elements of different competitive strategies when its market position requires more than one approach.</w:t>
      </w:r>
    </w:p>
    <w:p w14:paraId="69B3619D" w14:textId="60493F3E" w:rsidR="0060144A" w:rsidRDefault="00E72D49" w:rsidP="00042C7D">
      <w:pPr>
        <w:pStyle w:val="BodyText"/>
      </w:pPr>
      <w:r>
        <w:t xml:space="preserve">Managers contribute to strategic planning in several ways. </w:t>
      </w:r>
      <w:r>
        <w:rPr>
          <w:rStyle w:val="Strong"/>
        </w:rPr>
        <w:t>Competitive intelligence</w:t>
      </w:r>
      <w:r>
        <w:t xml:space="preserve"> supplies information about industry trends, competitors, customers, and external conditions. This information helps the organization anticipate workforce and capability requirements. </w:t>
      </w:r>
    </w:p>
    <w:p w14:paraId="21B4C2BE" w14:textId="77777777" w:rsidR="0060144A" w:rsidRDefault="00E72D49">
      <w:pPr>
        <w:pStyle w:val="Heading2"/>
      </w:pPr>
      <w:bookmarkStart w:id="7" w:name="strategic-hr-tools"/>
      <w:bookmarkEnd w:id="7"/>
      <w:r>
        <w:t>Strategic HR tools</w:t>
      </w:r>
    </w:p>
    <w:p w14:paraId="2E9FAC6B" w14:textId="77777777" w:rsidR="0060144A" w:rsidRDefault="00E72D49">
      <w:pPr>
        <w:pStyle w:val="BodyText"/>
      </w:pPr>
      <w:r>
        <w:t xml:space="preserve">A </w:t>
      </w:r>
      <w:r>
        <w:rPr>
          <w:rStyle w:val="Strong"/>
        </w:rPr>
        <w:t>strategy map</w:t>
      </w:r>
      <w:r>
        <w:t xml:space="preserve"> visually links strategic objectives and shows how capabilities and activities support organizational results. An </w:t>
      </w:r>
      <w:r>
        <w:rPr>
          <w:rStyle w:val="Strong"/>
        </w:rPr>
        <w:t>HR scorecard</w:t>
      </w:r>
      <w:r>
        <w:t xml:space="preserve"> translates HR objectives into measures and indicators that help assess the contribution of HR to strategy. A </w:t>
      </w:r>
      <w:r>
        <w:rPr>
          <w:rStyle w:val="Strong"/>
        </w:rPr>
        <w:t>digital dashboard</w:t>
      </w:r>
      <w:r>
        <w:t xml:space="preserve"> presents current or real-time key performance indicator (KPI) information visually. It supports monitoring and decision-making; it does not replace performance evaluation processes.</w:t>
      </w:r>
    </w:p>
    <w:p w14:paraId="3EA663F5" w14:textId="135F4F0F" w:rsidR="0060144A" w:rsidRDefault="00E72D49">
      <w:pPr>
        <w:pStyle w:val="BodyText"/>
      </w:pPr>
      <w:r>
        <w:rPr>
          <w:rStyle w:val="Strong"/>
        </w:rPr>
        <w:t>Evidence-based HR (EBHRM)</w:t>
      </w:r>
      <w:r>
        <w:t xml:space="preserve"> uses relevant evidence, such as organizational data, research findings, professional expertise, and stakeholder perspectives, to improve HR decisions. Its benefit is greater credibility of HR decision-making.</w:t>
      </w:r>
    </w:p>
    <w:p w14:paraId="0003A4E9" w14:textId="77777777" w:rsidR="0060144A" w:rsidRDefault="0060144A">
      <w:pPr>
        <w:pStyle w:val="HorizontalLine"/>
      </w:pPr>
      <w:bookmarkStart w:id="8" w:name="exam-checkpoints-questions-712"/>
      <w:bookmarkEnd w:id="8"/>
    </w:p>
    <w:p w14:paraId="26DA22FD" w14:textId="77777777" w:rsidR="0060144A" w:rsidRPr="002C57F0" w:rsidRDefault="00E72D49">
      <w:pPr>
        <w:pStyle w:val="Heading1"/>
        <w:rPr>
          <w:sz w:val="36"/>
          <w:szCs w:val="36"/>
        </w:rPr>
      </w:pPr>
      <w:bookmarkStart w:id="9" w:name="lecture-3-job-analysis-interviews-compet"/>
      <w:bookmarkEnd w:id="9"/>
      <w:r w:rsidRPr="002C57F0">
        <w:rPr>
          <w:sz w:val="36"/>
          <w:szCs w:val="36"/>
        </w:rPr>
        <w:t>Lecture 3: Job Analysis, Interviews, Competencies, and Job Redesign</w:t>
      </w:r>
    </w:p>
    <w:p w14:paraId="197CFB10" w14:textId="77777777" w:rsidR="0060144A" w:rsidRDefault="00E72D49">
      <w:pPr>
        <w:pStyle w:val="Heading2"/>
      </w:pPr>
      <w:bookmarkStart w:id="10" w:name="job-analysis"/>
      <w:bookmarkEnd w:id="10"/>
      <w:r>
        <w:t>Job analysis</w:t>
      </w:r>
    </w:p>
    <w:p w14:paraId="6AB84A1F" w14:textId="77777777" w:rsidR="0060144A" w:rsidRDefault="00E72D49">
      <w:pPr>
        <w:pStyle w:val="BodyText"/>
      </w:pPr>
      <w:r>
        <w:rPr>
          <w:rStyle w:val="Strong"/>
        </w:rPr>
        <w:t>Job analysis</w:t>
      </w:r>
      <w:r>
        <w:t xml:space="preserve"> is the systematic process of determining the tasks, duties, responsibilities, and capabilities required for a job. Its information supports recruitment, selection, training, performance management, and compensation decisions.</w:t>
      </w:r>
    </w:p>
    <w:p w14:paraId="3B007D63" w14:textId="77777777" w:rsidR="0060144A" w:rsidRDefault="00E72D49">
      <w:pPr>
        <w:pStyle w:val="BodyText"/>
      </w:pPr>
      <w:r>
        <w:lastRenderedPageBreak/>
        <w:t>The two main outputs are:</w:t>
      </w:r>
    </w:p>
    <w:tbl>
      <w:tblPr>
        <w:tblW w:w="9978" w:type="dxa"/>
        <w:tblLayout w:type="fixed"/>
        <w:tblCellMar>
          <w:top w:w="28" w:type="dxa"/>
          <w:left w:w="28" w:type="dxa"/>
          <w:bottom w:w="28" w:type="dxa"/>
          <w:right w:w="28" w:type="dxa"/>
        </w:tblCellMar>
        <w:tblLook w:val="04A0" w:firstRow="1" w:lastRow="0" w:firstColumn="1" w:lastColumn="0" w:noHBand="0" w:noVBand="1"/>
      </w:tblPr>
      <w:tblGrid>
        <w:gridCol w:w="1690"/>
        <w:gridCol w:w="2682"/>
        <w:gridCol w:w="5606"/>
      </w:tblGrid>
      <w:tr w:rsidR="0060144A" w14:paraId="1AC8C8D4" w14:textId="77777777">
        <w:trPr>
          <w:tblHeader/>
        </w:trPr>
        <w:tc>
          <w:tcPr>
            <w:tcW w:w="1690" w:type="dxa"/>
            <w:vAlign w:val="center"/>
          </w:tcPr>
          <w:p w14:paraId="1CD71356" w14:textId="77777777" w:rsidR="0060144A" w:rsidRDefault="00E72D49">
            <w:pPr>
              <w:pStyle w:val="TableHeading"/>
            </w:pPr>
            <w:r>
              <w:t>Document</w:t>
            </w:r>
          </w:p>
        </w:tc>
        <w:tc>
          <w:tcPr>
            <w:tcW w:w="2682" w:type="dxa"/>
            <w:vAlign w:val="center"/>
          </w:tcPr>
          <w:p w14:paraId="020D91F4" w14:textId="77777777" w:rsidR="0060144A" w:rsidRDefault="00E72D49">
            <w:pPr>
              <w:pStyle w:val="TableHeading"/>
            </w:pPr>
            <w:r>
              <w:t>Main question answered</w:t>
            </w:r>
          </w:p>
        </w:tc>
        <w:tc>
          <w:tcPr>
            <w:tcW w:w="5606" w:type="dxa"/>
            <w:vAlign w:val="center"/>
          </w:tcPr>
          <w:p w14:paraId="5DA4EA99" w14:textId="77777777" w:rsidR="0060144A" w:rsidRDefault="00E72D49">
            <w:pPr>
              <w:pStyle w:val="TableHeading"/>
            </w:pPr>
            <w:r>
              <w:t>Contents</w:t>
            </w:r>
          </w:p>
        </w:tc>
      </w:tr>
      <w:tr w:rsidR="0060144A" w14:paraId="0A48A72C" w14:textId="77777777">
        <w:tc>
          <w:tcPr>
            <w:tcW w:w="1690" w:type="dxa"/>
            <w:vAlign w:val="center"/>
          </w:tcPr>
          <w:p w14:paraId="23CD1DF2" w14:textId="77777777" w:rsidR="0060144A" w:rsidRDefault="00E72D49">
            <w:pPr>
              <w:pStyle w:val="TableContents"/>
            </w:pPr>
            <w:r>
              <w:rPr>
                <w:rStyle w:val="Strong"/>
              </w:rPr>
              <w:t>Job description</w:t>
            </w:r>
          </w:p>
        </w:tc>
        <w:tc>
          <w:tcPr>
            <w:tcW w:w="2682" w:type="dxa"/>
            <w:vAlign w:val="center"/>
          </w:tcPr>
          <w:p w14:paraId="0F0297D8" w14:textId="77777777" w:rsidR="0060144A" w:rsidRDefault="00E72D49">
            <w:pPr>
              <w:pStyle w:val="TableContents"/>
            </w:pPr>
            <w:r>
              <w:t>What does the job involve?</w:t>
            </w:r>
          </w:p>
        </w:tc>
        <w:tc>
          <w:tcPr>
            <w:tcW w:w="5606" w:type="dxa"/>
            <w:vAlign w:val="center"/>
          </w:tcPr>
          <w:p w14:paraId="71880585" w14:textId="77777777" w:rsidR="0060144A" w:rsidRDefault="00E72D49">
            <w:pPr>
              <w:pStyle w:val="TableContents"/>
            </w:pPr>
            <w:r>
              <w:t>Duties, responsibilities, tasks, reporting relationships, and working context</w:t>
            </w:r>
          </w:p>
        </w:tc>
      </w:tr>
      <w:tr w:rsidR="0060144A" w14:paraId="124E62C4" w14:textId="77777777">
        <w:tc>
          <w:tcPr>
            <w:tcW w:w="1690" w:type="dxa"/>
            <w:vAlign w:val="center"/>
          </w:tcPr>
          <w:p w14:paraId="2041ED2C" w14:textId="77777777" w:rsidR="0060144A" w:rsidRDefault="00E72D49">
            <w:pPr>
              <w:pStyle w:val="TableContents"/>
            </w:pPr>
            <w:r>
              <w:rPr>
                <w:rStyle w:val="Strong"/>
              </w:rPr>
              <w:t>Job specification</w:t>
            </w:r>
          </w:p>
        </w:tc>
        <w:tc>
          <w:tcPr>
            <w:tcW w:w="2682" w:type="dxa"/>
            <w:vAlign w:val="center"/>
          </w:tcPr>
          <w:p w14:paraId="1C346E94" w14:textId="77777777" w:rsidR="0060144A" w:rsidRDefault="00E72D49">
            <w:pPr>
              <w:pStyle w:val="TableContents"/>
            </w:pPr>
            <w:r>
              <w:t>What kind of person can perform it?</w:t>
            </w:r>
          </w:p>
        </w:tc>
        <w:tc>
          <w:tcPr>
            <w:tcW w:w="5606" w:type="dxa"/>
            <w:vAlign w:val="center"/>
          </w:tcPr>
          <w:p w14:paraId="2282E315" w14:textId="77777777" w:rsidR="0060144A" w:rsidRDefault="00E72D49">
            <w:pPr>
              <w:pStyle w:val="TableContents"/>
            </w:pPr>
            <w:r>
              <w:t>Knowledge, skills, abilities, qualifications, experience, and other requirements</w:t>
            </w:r>
          </w:p>
        </w:tc>
      </w:tr>
    </w:tbl>
    <w:p w14:paraId="642FAD47" w14:textId="77777777" w:rsidR="0060144A" w:rsidRDefault="00E72D49">
      <w:pPr>
        <w:pStyle w:val="BodyText"/>
      </w:pPr>
      <w:r>
        <w:t>The basic process is to identify the purpose of the analysis, review background information, select representative positions, collect information through methods such as interviews, observation, questionnaires, and diaries/logs, verify the information, and develop or update job descriptions and specifications.</w:t>
      </w:r>
    </w:p>
    <w:p w14:paraId="14175FDA" w14:textId="525B97E7" w:rsidR="0060144A" w:rsidRDefault="00DF0B28">
      <w:pPr>
        <w:pStyle w:val="BodyText"/>
        <w:rPr>
          <w:rStyle w:val="Strong"/>
        </w:rPr>
      </w:pPr>
      <w:r>
        <w:rPr>
          <w:rStyle w:val="Strong"/>
        </w:rPr>
        <w:t xml:space="preserve">Job analysis </w:t>
      </w:r>
      <w:r w:rsidR="00692199">
        <w:rPr>
          <w:rStyle w:val="Strong"/>
        </w:rPr>
        <w:t>Information collection methods:</w:t>
      </w:r>
    </w:p>
    <w:p w14:paraId="54294607" w14:textId="1970ED7B" w:rsidR="00692199" w:rsidRPr="00692199" w:rsidRDefault="00692199" w:rsidP="00692199">
      <w:pPr>
        <w:pStyle w:val="BodyText"/>
        <w:numPr>
          <w:ilvl w:val="0"/>
          <w:numId w:val="1"/>
        </w:numPr>
      </w:pPr>
      <w:r w:rsidRPr="00692199">
        <w:rPr>
          <w:b/>
          <w:bCs/>
        </w:rPr>
        <w:t>Interview</w:t>
      </w:r>
      <w:r w:rsidRPr="00692199">
        <w:t>: Direct discussions with employees/supervisors; quick insights but risk of distorted info.</w:t>
      </w:r>
    </w:p>
    <w:p w14:paraId="4E707054" w14:textId="1C53535D" w:rsidR="00692199" w:rsidRPr="00692199" w:rsidRDefault="00692199" w:rsidP="00692199">
      <w:pPr>
        <w:pStyle w:val="BodyText"/>
        <w:numPr>
          <w:ilvl w:val="0"/>
          <w:numId w:val="1"/>
        </w:numPr>
      </w:pPr>
      <w:r w:rsidRPr="00692199">
        <w:rPr>
          <w:b/>
          <w:bCs/>
        </w:rPr>
        <w:t>Questionnaires</w:t>
      </w:r>
      <w:r w:rsidRPr="00692199">
        <w:t>: Employees fill structured or open-ended forms; efficient for large groups but costly to design/test.</w:t>
      </w:r>
    </w:p>
    <w:p w14:paraId="4A923509" w14:textId="43B1DBCB" w:rsidR="00692199" w:rsidRPr="00692199" w:rsidRDefault="00692199" w:rsidP="00692199">
      <w:pPr>
        <w:pStyle w:val="BodyText"/>
        <w:numPr>
          <w:ilvl w:val="0"/>
          <w:numId w:val="1"/>
        </w:numPr>
      </w:pPr>
      <w:r w:rsidRPr="00692199">
        <w:rPr>
          <w:b/>
          <w:bCs/>
        </w:rPr>
        <w:t>Observation</w:t>
      </w:r>
      <w:r w:rsidRPr="00692199">
        <w:t>: Managers watch employees’ physical tasks; gives firsthand data but time-consuming and limited for mental work.</w:t>
      </w:r>
    </w:p>
    <w:p w14:paraId="66097109" w14:textId="1949DFC1" w:rsidR="00692199" w:rsidRPr="00692199" w:rsidRDefault="00692199" w:rsidP="00692199">
      <w:pPr>
        <w:pStyle w:val="BodyText"/>
        <w:numPr>
          <w:ilvl w:val="0"/>
          <w:numId w:val="1"/>
        </w:numPr>
      </w:pPr>
      <w:r w:rsidRPr="00692199">
        <w:rPr>
          <w:b/>
          <w:bCs/>
        </w:rPr>
        <w:t>Diaries/Logs</w:t>
      </w:r>
      <w:r w:rsidRPr="00692199">
        <w:t>: Workers record activities and time; offers a fuller picture but relies on accurate recall.</w:t>
      </w:r>
    </w:p>
    <w:p w14:paraId="78570F91" w14:textId="3988D5A4" w:rsidR="00692199" w:rsidRDefault="00692199" w:rsidP="00692199">
      <w:pPr>
        <w:pStyle w:val="BodyText"/>
        <w:numPr>
          <w:ilvl w:val="0"/>
          <w:numId w:val="1"/>
        </w:numPr>
      </w:pPr>
      <w:r w:rsidRPr="00692199">
        <w:rPr>
          <w:b/>
          <w:bCs/>
        </w:rPr>
        <w:t>Interviewing Guidelines</w:t>
      </w:r>
      <w:r w:rsidRPr="00692199">
        <w:t>: Select knowledgeable workers, build rapport, use structured questions, rank duties, and verify data.</w:t>
      </w:r>
    </w:p>
    <w:p w14:paraId="5FC4E69D" w14:textId="77777777" w:rsidR="0060144A" w:rsidRDefault="00E72D49">
      <w:pPr>
        <w:pStyle w:val="Heading2"/>
      </w:pPr>
      <w:bookmarkStart w:id="11" w:name="interviews-and-competency-models"/>
      <w:bookmarkEnd w:id="11"/>
      <w:r>
        <w:t>Interviews and competency models</w:t>
      </w:r>
    </w:p>
    <w:p w14:paraId="1FD00C9F" w14:textId="77777777" w:rsidR="0060144A" w:rsidRDefault="00E72D49">
      <w:pPr>
        <w:pStyle w:val="BodyText"/>
      </w:pPr>
      <w:r>
        <w:t xml:space="preserve">A </w:t>
      </w:r>
      <w:r>
        <w:rPr>
          <w:rStyle w:val="Strong"/>
        </w:rPr>
        <w:t>structured interview</w:t>
      </w:r>
      <w:r>
        <w:t xml:space="preserve"> follows a predetermined guide, with consistent questions and procedures across applicants. This improves comparability and can support fairness. An unstructured interview is more spontaneous and has no fixed question sequence. Situational questions ask what a candidate would do in a hypothetical situation; behavioral questions ask what the candidate did in a past situation; knowledge and background questions assess job-related expertise and experience.</w:t>
      </w:r>
    </w:p>
    <w:p w14:paraId="0B8105B5" w14:textId="77777777" w:rsidR="0060144A" w:rsidRDefault="00E72D49">
      <w:pPr>
        <w:pStyle w:val="BodyText"/>
      </w:pPr>
      <w:r>
        <w:t xml:space="preserve">A </w:t>
      </w:r>
      <w:r>
        <w:rPr>
          <w:rStyle w:val="Strong"/>
        </w:rPr>
        <w:t>competency model</w:t>
      </w:r>
      <w:r>
        <w:t xml:space="preserve"> identifies the knowledge, skills, abilities, and behaviors associated with effective performance. </w:t>
      </w:r>
      <w:proofErr w:type="gramStart"/>
      <w:r>
        <w:t>Competencies do</w:t>
      </w:r>
      <w:proofErr w:type="gramEnd"/>
      <w:r>
        <w:t xml:space="preserve"> not exclude workplace behavior, and competency models can support employee development, career planning, selection, training, and performance management.</w:t>
      </w:r>
    </w:p>
    <w:p w14:paraId="6FC4B157" w14:textId="77777777" w:rsidR="0060144A" w:rsidRDefault="00E72D49">
      <w:pPr>
        <w:pStyle w:val="Heading2"/>
      </w:pPr>
      <w:bookmarkStart w:id="12" w:name="job-redesign"/>
      <w:bookmarkEnd w:id="12"/>
      <w:r>
        <w:t>Job redesign</w:t>
      </w:r>
    </w:p>
    <w:p w14:paraId="67D44679" w14:textId="77777777" w:rsidR="0060144A" w:rsidRDefault="00E72D49">
      <w:pPr>
        <w:pStyle w:val="BodyText"/>
      </w:pPr>
      <w:r>
        <w:rPr>
          <w:rStyle w:val="Strong"/>
        </w:rPr>
        <w:t>Job enlargement</w:t>
      </w:r>
      <w:r>
        <w:t xml:space="preserve"> adds more tasks at the same general level of responsibility; it increases horizontal breadth. </w:t>
      </w:r>
      <w:r>
        <w:rPr>
          <w:rStyle w:val="Strong"/>
        </w:rPr>
        <w:t>Job enrichment</w:t>
      </w:r>
      <w:r>
        <w:t xml:space="preserve"> adds greater responsibility, autonomy, authority, or depth. </w:t>
      </w:r>
      <w:r>
        <w:rPr>
          <w:rStyle w:val="Strong"/>
        </w:rPr>
        <w:t>Job rotation</w:t>
      </w:r>
      <w:r>
        <w:t xml:space="preserve"> moves employees among jobs or assignments to broaden experience and skills. Job descriptions should be </w:t>
      </w:r>
      <w:r>
        <w:lastRenderedPageBreak/>
        <w:t>updated when work, technology, responsibilities, or organizational needs change.</w:t>
      </w:r>
    </w:p>
    <w:p w14:paraId="7D4BEC3D" w14:textId="77777777" w:rsidR="0060144A" w:rsidRDefault="0060144A">
      <w:pPr>
        <w:pStyle w:val="HorizontalLine"/>
      </w:pPr>
      <w:bookmarkStart w:id="13" w:name="exam-checkpoints-questions-1318"/>
      <w:bookmarkEnd w:id="13"/>
    </w:p>
    <w:p w14:paraId="64B2D712" w14:textId="77777777" w:rsidR="0060144A" w:rsidRPr="002C57F0" w:rsidRDefault="00E72D49">
      <w:pPr>
        <w:pStyle w:val="Heading1"/>
        <w:rPr>
          <w:sz w:val="36"/>
          <w:szCs w:val="36"/>
        </w:rPr>
      </w:pPr>
      <w:bookmarkStart w:id="14" w:name="lecture-4-recruitment-selection-and-work"/>
      <w:bookmarkEnd w:id="14"/>
      <w:r w:rsidRPr="002C57F0">
        <w:rPr>
          <w:sz w:val="36"/>
          <w:szCs w:val="36"/>
        </w:rPr>
        <w:t>Lecture 4: Recruitment, Selection, and Workforce Forecasting</w:t>
      </w:r>
    </w:p>
    <w:p w14:paraId="3BF1B192" w14:textId="77777777" w:rsidR="0060144A" w:rsidRDefault="00E72D49">
      <w:pPr>
        <w:pStyle w:val="Heading2"/>
      </w:pPr>
      <w:bookmarkStart w:id="15" w:name="recruitment-and-selection-sequence"/>
      <w:bookmarkEnd w:id="15"/>
      <w:r>
        <w:t>Recruitment and selection sequence</w:t>
      </w:r>
    </w:p>
    <w:p w14:paraId="4235F452" w14:textId="77777777" w:rsidR="0060144A" w:rsidRDefault="00E72D49">
      <w:pPr>
        <w:pStyle w:val="BodyText"/>
      </w:pPr>
      <w:r>
        <w:t xml:space="preserve">The recruitment and selection process </w:t>
      </w:r>
      <w:r w:rsidRPr="00692199">
        <w:rPr>
          <w:b/>
          <w:bCs/>
        </w:rPr>
        <w:t>begins</w:t>
      </w:r>
      <w:r>
        <w:t xml:space="preserve"> </w:t>
      </w:r>
      <w:r>
        <w:rPr>
          <w:rStyle w:val="Strong"/>
        </w:rPr>
        <w:t>before interviews</w:t>
      </w:r>
      <w:r>
        <w:t>. A typical sequence is to determine positions to fill through personnel planning and forecasting, build an internal or external candidate pool, collect applications and conduct initial screening, apply selection tools, and then interview candidates and decide whom to offer the job.</w:t>
      </w:r>
    </w:p>
    <w:p w14:paraId="2AEAD62A" w14:textId="77777777" w:rsidR="0060144A" w:rsidRDefault="00E72D49">
      <w:pPr>
        <w:pStyle w:val="BodyText"/>
      </w:pPr>
      <w:r>
        <w:rPr>
          <w:rStyle w:val="Strong"/>
        </w:rPr>
        <w:t>Personnel planning</w:t>
      </w:r>
      <w:r>
        <w:t xml:space="preserve"> determines what positions the organization needs and how those positions should be filled. Forecasting addresses both labor demand and labor supply:</w:t>
      </w:r>
    </w:p>
    <w:tbl>
      <w:tblPr>
        <w:tblW w:w="9978" w:type="dxa"/>
        <w:tblLayout w:type="fixed"/>
        <w:tblCellMar>
          <w:top w:w="28" w:type="dxa"/>
          <w:left w:w="28" w:type="dxa"/>
          <w:bottom w:w="28" w:type="dxa"/>
          <w:right w:w="28" w:type="dxa"/>
        </w:tblCellMar>
        <w:tblLook w:val="04A0" w:firstRow="1" w:lastRow="0" w:firstColumn="1" w:lastColumn="0" w:noHBand="0" w:noVBand="1"/>
      </w:tblPr>
      <w:tblGrid>
        <w:gridCol w:w="1908"/>
        <w:gridCol w:w="8070"/>
      </w:tblGrid>
      <w:tr w:rsidR="0060144A" w14:paraId="2E40B115" w14:textId="77777777">
        <w:trPr>
          <w:tblHeader/>
        </w:trPr>
        <w:tc>
          <w:tcPr>
            <w:tcW w:w="1908" w:type="dxa"/>
            <w:vAlign w:val="center"/>
          </w:tcPr>
          <w:p w14:paraId="0E26E413" w14:textId="77777777" w:rsidR="0060144A" w:rsidRDefault="00E72D49">
            <w:pPr>
              <w:pStyle w:val="TableHeading"/>
            </w:pPr>
            <w:r>
              <w:t>Forecast</w:t>
            </w:r>
          </w:p>
        </w:tc>
        <w:tc>
          <w:tcPr>
            <w:tcW w:w="8070" w:type="dxa"/>
            <w:vAlign w:val="center"/>
          </w:tcPr>
          <w:p w14:paraId="05086614" w14:textId="77777777" w:rsidR="0060144A" w:rsidRDefault="00E72D49">
            <w:pPr>
              <w:pStyle w:val="TableHeading"/>
            </w:pPr>
            <w:r>
              <w:t>Meaning</w:t>
            </w:r>
          </w:p>
        </w:tc>
      </w:tr>
      <w:tr w:rsidR="0060144A" w14:paraId="6751F4EF" w14:textId="77777777">
        <w:tc>
          <w:tcPr>
            <w:tcW w:w="1908" w:type="dxa"/>
            <w:vAlign w:val="center"/>
          </w:tcPr>
          <w:p w14:paraId="02D645BA" w14:textId="77777777" w:rsidR="0060144A" w:rsidRDefault="00E72D49">
            <w:pPr>
              <w:pStyle w:val="TableContents"/>
            </w:pPr>
            <w:r>
              <w:rPr>
                <w:rStyle w:val="Strong"/>
              </w:rPr>
              <w:t>Demand forecast</w:t>
            </w:r>
          </w:p>
        </w:tc>
        <w:tc>
          <w:tcPr>
            <w:tcW w:w="8070" w:type="dxa"/>
            <w:vAlign w:val="center"/>
          </w:tcPr>
          <w:p w14:paraId="713DB4E7" w14:textId="77777777" w:rsidR="0060144A" w:rsidRDefault="00E72D49">
            <w:pPr>
              <w:pStyle w:val="TableContents"/>
            </w:pPr>
            <w:r>
              <w:t>The number and types of employees the organization will need</w:t>
            </w:r>
          </w:p>
        </w:tc>
      </w:tr>
      <w:tr w:rsidR="0060144A" w14:paraId="19F656F4" w14:textId="77777777">
        <w:tc>
          <w:tcPr>
            <w:tcW w:w="1908" w:type="dxa"/>
            <w:vAlign w:val="center"/>
          </w:tcPr>
          <w:p w14:paraId="4E2E5EB3" w14:textId="77777777" w:rsidR="0060144A" w:rsidRDefault="00E72D49">
            <w:pPr>
              <w:pStyle w:val="TableContents"/>
            </w:pPr>
            <w:r>
              <w:rPr>
                <w:rStyle w:val="Strong"/>
              </w:rPr>
              <w:t>Internal supply forecast</w:t>
            </w:r>
          </w:p>
        </w:tc>
        <w:tc>
          <w:tcPr>
            <w:tcW w:w="8070" w:type="dxa"/>
            <w:vAlign w:val="center"/>
          </w:tcPr>
          <w:p w14:paraId="63F3C5C1" w14:textId="77777777" w:rsidR="0060144A" w:rsidRDefault="00E72D49">
            <w:pPr>
              <w:pStyle w:val="TableContents"/>
            </w:pPr>
            <w:r>
              <w:t>The employees, skills, promotions, transfers, and succession possibilities available inside the organization</w:t>
            </w:r>
          </w:p>
        </w:tc>
      </w:tr>
      <w:tr w:rsidR="0060144A" w14:paraId="67078E5D" w14:textId="77777777">
        <w:tc>
          <w:tcPr>
            <w:tcW w:w="1908" w:type="dxa"/>
            <w:vAlign w:val="center"/>
          </w:tcPr>
          <w:p w14:paraId="1A72A051" w14:textId="77777777" w:rsidR="0060144A" w:rsidRDefault="00E72D49">
            <w:pPr>
              <w:pStyle w:val="TableContents"/>
            </w:pPr>
            <w:r>
              <w:rPr>
                <w:rStyle w:val="Strong"/>
              </w:rPr>
              <w:t>External supply forecast</w:t>
            </w:r>
          </w:p>
        </w:tc>
        <w:tc>
          <w:tcPr>
            <w:tcW w:w="8070" w:type="dxa"/>
            <w:vAlign w:val="center"/>
          </w:tcPr>
          <w:p w14:paraId="3A7CF674" w14:textId="77777777" w:rsidR="0060144A" w:rsidRDefault="00E72D49">
            <w:pPr>
              <w:pStyle w:val="TableContents"/>
            </w:pPr>
            <w:r>
              <w:t>The candidates available outside the organization, considering labor-market conditions, skills availability, demographics, and competition</w:t>
            </w:r>
          </w:p>
        </w:tc>
      </w:tr>
    </w:tbl>
    <w:p w14:paraId="27ED77E7" w14:textId="77777777" w:rsidR="0060144A" w:rsidRDefault="00E72D49">
      <w:pPr>
        <w:pStyle w:val="BodyText"/>
      </w:pPr>
      <w:r>
        <w:rPr>
          <w:rStyle w:val="Strong"/>
        </w:rPr>
        <w:t>Trend analysis</w:t>
      </w:r>
      <w:r>
        <w:t xml:space="preserve"> identifies patterns in employment levels over time. </w:t>
      </w:r>
      <w:r>
        <w:rPr>
          <w:rStyle w:val="Strong"/>
        </w:rPr>
        <w:t>Ratio analysis</w:t>
      </w:r>
      <w:r>
        <w:t xml:space="preserve"> uses historical relationships between a business indicator and the number of employees needed. </w:t>
      </w:r>
      <w:r>
        <w:rPr>
          <w:rStyle w:val="Strong"/>
        </w:rPr>
        <w:t>Scatter plotting</w:t>
      </w:r>
      <w:r>
        <w:t xml:space="preserve"> examines the relationship between variables graphically and can support staffing forecasts.</w:t>
      </w:r>
    </w:p>
    <w:p w14:paraId="5C1DA4E5" w14:textId="77777777" w:rsidR="0060144A" w:rsidRDefault="00E72D49">
      <w:pPr>
        <w:pStyle w:val="Heading2"/>
      </w:pPr>
      <w:bookmarkStart w:id="16" w:name="internal-and-external-recruitment"/>
      <w:bookmarkEnd w:id="16"/>
      <w:r>
        <w:t>Internal and external recruitment</w:t>
      </w:r>
    </w:p>
    <w:p w14:paraId="784BC612" w14:textId="77777777" w:rsidR="0060144A" w:rsidRDefault="00E72D49">
      <w:pPr>
        <w:pStyle w:val="BodyText"/>
      </w:pPr>
      <w:r>
        <w:t>Internal recruitment may involve posting open positions, rehiring former employees, and succession planning supported by HR information systems. Hiring from within can improve organizational knowledge, career opportunities, and continuity, but it usually does not introduce entirely new perspectives to the same extent as external recruitment.</w:t>
      </w:r>
    </w:p>
    <w:p w14:paraId="0DFA9B6D" w14:textId="77777777" w:rsidR="0060144A" w:rsidRDefault="00E72D49">
      <w:pPr>
        <w:pStyle w:val="BodyText"/>
      </w:pPr>
      <w:r>
        <w:t>External sources include internet recruiting, advertising, employment agencies, temporary and alternative staffing, outsourcing or offshoring, executive recruiters, on-demand recruiting services, college recruiting, referrals, and walk-ins.</w:t>
      </w:r>
    </w:p>
    <w:p w14:paraId="622953E0" w14:textId="77777777" w:rsidR="0060144A" w:rsidRDefault="00E72D49">
      <w:pPr>
        <w:pStyle w:val="BodyText"/>
      </w:pPr>
      <w:r>
        <w:t xml:space="preserve">Recruiting success depends on strategic alignment, not merely on the number of available candidates. Centralizing recruiting activities can improve consistency and compliance with equal employment </w:t>
      </w:r>
      <w:r>
        <w:lastRenderedPageBreak/>
        <w:t>opportunity (EEO) requirements by standardizing processes and oversight. It does not eliminate workforce planning or guarantee lower turnover.</w:t>
      </w:r>
    </w:p>
    <w:p w14:paraId="31729152" w14:textId="77777777" w:rsidR="0060144A" w:rsidRDefault="0060144A">
      <w:pPr>
        <w:pStyle w:val="HorizontalLine"/>
      </w:pPr>
      <w:bookmarkStart w:id="17" w:name="exam-checkpoints-questions-1924"/>
      <w:bookmarkEnd w:id="17"/>
    </w:p>
    <w:p w14:paraId="133DD0C8" w14:textId="77777777" w:rsidR="0060144A" w:rsidRPr="002C57F0" w:rsidRDefault="00E72D49">
      <w:pPr>
        <w:pStyle w:val="Heading1"/>
        <w:rPr>
          <w:sz w:val="36"/>
          <w:szCs w:val="36"/>
        </w:rPr>
      </w:pPr>
      <w:bookmarkStart w:id="18" w:name="lecture-5-selection-tests-background-che"/>
      <w:bookmarkEnd w:id="18"/>
      <w:r w:rsidRPr="002C57F0">
        <w:rPr>
          <w:sz w:val="36"/>
          <w:szCs w:val="36"/>
        </w:rPr>
        <w:t>Lecture 5: Selection Tests, Background Checks, and Interviews</w:t>
      </w:r>
    </w:p>
    <w:p w14:paraId="457F41E7" w14:textId="77777777" w:rsidR="0060144A" w:rsidRDefault="00E72D49">
      <w:pPr>
        <w:pStyle w:val="Heading2"/>
      </w:pPr>
      <w:bookmarkStart w:id="19" w:name="reliability-and-validity"/>
      <w:bookmarkEnd w:id="19"/>
      <w:r>
        <w:t>Reliability and validity</w:t>
      </w:r>
    </w:p>
    <w:p w14:paraId="3E100C11" w14:textId="77777777" w:rsidR="0060144A" w:rsidRDefault="00E72D49">
      <w:pPr>
        <w:pStyle w:val="BodyText"/>
      </w:pPr>
      <w:r>
        <w:rPr>
          <w:rStyle w:val="Strong"/>
        </w:rPr>
        <w:t>Reliability</w:t>
      </w:r>
      <w:r>
        <w:t xml:space="preserve"> means consistency: a reliable test tends to produce similar results under consistent conditions. </w:t>
      </w:r>
      <w:r>
        <w:rPr>
          <w:rStyle w:val="Strong"/>
        </w:rPr>
        <w:t>Validity</w:t>
      </w:r>
      <w:r>
        <w:t xml:space="preserve"> means that the test measures what it is intended to measure and is meaningfully related to job performance. A test may be reliable but invalid. For example, it may consistently measure an irrelevant characteristic.</w:t>
      </w:r>
    </w:p>
    <w:p w14:paraId="08ABB727" w14:textId="77777777" w:rsidR="0060144A" w:rsidRDefault="00E72D49">
      <w:pPr>
        <w:pStyle w:val="BodyText"/>
      </w:pPr>
      <w:r>
        <w:t>A sound validation process begins with job analysis to identify critical requirements and competencies. The organization can pilot the assessment, compare test results with objective performance measures, and monitor reliability and validity over time.</w:t>
      </w:r>
    </w:p>
    <w:p w14:paraId="3E9E17E1" w14:textId="77777777" w:rsidR="0060144A" w:rsidRDefault="00E72D49">
      <w:pPr>
        <w:pStyle w:val="Heading2"/>
      </w:pPr>
      <w:bookmarkStart w:id="20" w:name="selection-methods"/>
      <w:bookmarkEnd w:id="20"/>
      <w:r>
        <w:t>Selection methods</w:t>
      </w:r>
    </w:p>
    <w:tbl>
      <w:tblPr>
        <w:tblW w:w="9872" w:type="dxa"/>
        <w:tblLayout w:type="fixed"/>
        <w:tblCellMar>
          <w:top w:w="28" w:type="dxa"/>
          <w:left w:w="28" w:type="dxa"/>
          <w:bottom w:w="28" w:type="dxa"/>
          <w:right w:w="28" w:type="dxa"/>
        </w:tblCellMar>
        <w:tblLook w:val="04A0" w:firstRow="1" w:lastRow="0" w:firstColumn="1" w:lastColumn="0" w:noHBand="0" w:noVBand="1"/>
      </w:tblPr>
      <w:tblGrid>
        <w:gridCol w:w="3586"/>
        <w:gridCol w:w="6286"/>
      </w:tblGrid>
      <w:tr w:rsidR="0060144A" w14:paraId="31035376" w14:textId="77777777">
        <w:trPr>
          <w:tblHeader/>
        </w:trPr>
        <w:tc>
          <w:tcPr>
            <w:tcW w:w="3586" w:type="dxa"/>
            <w:vAlign w:val="center"/>
          </w:tcPr>
          <w:p w14:paraId="5206DBDE" w14:textId="77777777" w:rsidR="0060144A" w:rsidRDefault="00E72D49">
            <w:pPr>
              <w:pStyle w:val="TableHeading"/>
            </w:pPr>
            <w:r>
              <w:t>Method</w:t>
            </w:r>
          </w:p>
        </w:tc>
        <w:tc>
          <w:tcPr>
            <w:tcW w:w="6286" w:type="dxa"/>
            <w:vAlign w:val="center"/>
          </w:tcPr>
          <w:p w14:paraId="6C2DB846" w14:textId="77777777" w:rsidR="0060144A" w:rsidRDefault="00E72D49">
            <w:pPr>
              <w:pStyle w:val="TableHeading"/>
            </w:pPr>
            <w:r>
              <w:t>What it assesses</w:t>
            </w:r>
          </w:p>
        </w:tc>
      </w:tr>
      <w:tr w:rsidR="0060144A" w14:paraId="0F9235AB" w14:textId="77777777">
        <w:tc>
          <w:tcPr>
            <w:tcW w:w="3586" w:type="dxa"/>
            <w:vAlign w:val="center"/>
          </w:tcPr>
          <w:p w14:paraId="67A59D6C" w14:textId="77777777" w:rsidR="0060144A" w:rsidRDefault="00E72D49">
            <w:pPr>
              <w:pStyle w:val="TableContents"/>
            </w:pPr>
            <w:r>
              <w:rPr>
                <w:rStyle w:val="Strong"/>
              </w:rPr>
              <w:t>Knowledge or skills test</w:t>
            </w:r>
          </w:p>
        </w:tc>
        <w:tc>
          <w:tcPr>
            <w:tcW w:w="6286" w:type="dxa"/>
            <w:vAlign w:val="center"/>
          </w:tcPr>
          <w:p w14:paraId="579523FB" w14:textId="77777777" w:rsidR="0060144A" w:rsidRDefault="00E72D49">
            <w:pPr>
              <w:pStyle w:val="TableContents"/>
            </w:pPr>
            <w:r>
              <w:t>Technical or functional expertise</w:t>
            </w:r>
          </w:p>
        </w:tc>
      </w:tr>
      <w:tr w:rsidR="0060144A" w14:paraId="5F56C679" w14:textId="77777777">
        <w:tc>
          <w:tcPr>
            <w:tcW w:w="3586" w:type="dxa"/>
            <w:vAlign w:val="center"/>
          </w:tcPr>
          <w:p w14:paraId="7721A0A8" w14:textId="77777777" w:rsidR="0060144A" w:rsidRDefault="00E72D49">
            <w:pPr>
              <w:pStyle w:val="TableContents"/>
            </w:pPr>
            <w:r>
              <w:rPr>
                <w:rStyle w:val="Strong"/>
              </w:rPr>
              <w:t>Ability test</w:t>
            </w:r>
          </w:p>
        </w:tc>
        <w:tc>
          <w:tcPr>
            <w:tcW w:w="6286" w:type="dxa"/>
            <w:vAlign w:val="center"/>
          </w:tcPr>
          <w:p w14:paraId="601D4E6E" w14:textId="77777777" w:rsidR="0060144A" w:rsidRDefault="00E72D49">
            <w:pPr>
              <w:pStyle w:val="TableContents"/>
            </w:pPr>
            <w:r>
              <w:t>Cognitive ability, problem solving, or other capabilities</w:t>
            </w:r>
          </w:p>
        </w:tc>
      </w:tr>
      <w:tr w:rsidR="0060144A" w14:paraId="352D46CA" w14:textId="77777777">
        <w:tc>
          <w:tcPr>
            <w:tcW w:w="3586" w:type="dxa"/>
            <w:vAlign w:val="center"/>
          </w:tcPr>
          <w:p w14:paraId="1F08FB1B" w14:textId="77777777" w:rsidR="0060144A" w:rsidRDefault="00E72D49">
            <w:pPr>
              <w:pStyle w:val="TableContents"/>
            </w:pPr>
            <w:r>
              <w:rPr>
                <w:rStyle w:val="Strong"/>
              </w:rPr>
              <w:t>Personality/behavioral assessment</w:t>
            </w:r>
          </w:p>
        </w:tc>
        <w:tc>
          <w:tcPr>
            <w:tcW w:w="6286" w:type="dxa"/>
            <w:vAlign w:val="center"/>
          </w:tcPr>
          <w:p w14:paraId="36960AE8" w14:textId="77777777" w:rsidR="0060144A" w:rsidRDefault="00E72D49">
            <w:pPr>
              <w:pStyle w:val="TableContents"/>
            </w:pPr>
            <w:r>
              <w:t>Work style, interpersonal tendencies, and behavioral characteristics</w:t>
            </w:r>
          </w:p>
        </w:tc>
      </w:tr>
      <w:tr w:rsidR="0060144A" w14:paraId="2D3C9641" w14:textId="77777777">
        <w:tc>
          <w:tcPr>
            <w:tcW w:w="3586" w:type="dxa"/>
            <w:vAlign w:val="center"/>
          </w:tcPr>
          <w:p w14:paraId="25018B6D" w14:textId="77777777" w:rsidR="0060144A" w:rsidRDefault="00E72D49">
            <w:pPr>
              <w:pStyle w:val="TableContents"/>
            </w:pPr>
            <w:r>
              <w:rPr>
                <w:rStyle w:val="Strong"/>
              </w:rPr>
              <w:t>Work sample/job tryout</w:t>
            </w:r>
          </w:p>
        </w:tc>
        <w:tc>
          <w:tcPr>
            <w:tcW w:w="6286" w:type="dxa"/>
            <w:vAlign w:val="center"/>
          </w:tcPr>
          <w:p w14:paraId="474E987C" w14:textId="77777777" w:rsidR="0060144A" w:rsidRDefault="00E72D49">
            <w:pPr>
              <w:pStyle w:val="TableContents"/>
            </w:pPr>
            <w:r>
              <w:t>Performance on simulated or actual job tasks</w:t>
            </w:r>
          </w:p>
        </w:tc>
      </w:tr>
      <w:tr w:rsidR="0060144A" w14:paraId="6FA94904" w14:textId="77777777">
        <w:tc>
          <w:tcPr>
            <w:tcW w:w="3586" w:type="dxa"/>
            <w:vAlign w:val="center"/>
          </w:tcPr>
          <w:p w14:paraId="085D00DA" w14:textId="77777777" w:rsidR="0060144A" w:rsidRDefault="00E72D49">
            <w:pPr>
              <w:pStyle w:val="TableContents"/>
            </w:pPr>
            <w:r>
              <w:rPr>
                <w:rStyle w:val="Strong"/>
              </w:rPr>
              <w:t>Achievement test</w:t>
            </w:r>
          </w:p>
        </w:tc>
        <w:tc>
          <w:tcPr>
            <w:tcW w:w="6286" w:type="dxa"/>
            <w:vAlign w:val="center"/>
          </w:tcPr>
          <w:p w14:paraId="72F65860" w14:textId="77777777" w:rsidR="0060144A" w:rsidRDefault="00E72D49">
            <w:pPr>
              <w:pStyle w:val="TableContents"/>
            </w:pPr>
            <w:r>
              <w:t>Existing or acquired job knowledge and competence</w:t>
            </w:r>
          </w:p>
        </w:tc>
      </w:tr>
      <w:tr w:rsidR="0060144A" w14:paraId="16D7D5C7" w14:textId="77777777">
        <w:tc>
          <w:tcPr>
            <w:tcW w:w="3586" w:type="dxa"/>
            <w:vAlign w:val="center"/>
          </w:tcPr>
          <w:p w14:paraId="4C631F41" w14:textId="77777777" w:rsidR="0060144A" w:rsidRDefault="00E72D49">
            <w:pPr>
              <w:pStyle w:val="TableContents"/>
            </w:pPr>
            <w:r>
              <w:rPr>
                <w:rStyle w:val="Strong"/>
              </w:rPr>
              <w:t>Motor ability test</w:t>
            </w:r>
          </w:p>
        </w:tc>
        <w:tc>
          <w:tcPr>
            <w:tcW w:w="6286" w:type="dxa"/>
            <w:vAlign w:val="center"/>
          </w:tcPr>
          <w:p w14:paraId="11B2E3BF" w14:textId="77777777" w:rsidR="0060144A" w:rsidRDefault="00E72D49">
            <w:pPr>
              <w:pStyle w:val="TableContents"/>
            </w:pPr>
            <w:r>
              <w:t>Physical or motor capabilities relevant to the job</w:t>
            </w:r>
          </w:p>
        </w:tc>
      </w:tr>
    </w:tbl>
    <w:p w14:paraId="71310064" w14:textId="77777777" w:rsidR="0060144A" w:rsidRDefault="00E72D49">
      <w:pPr>
        <w:pStyle w:val="BodyText"/>
      </w:pPr>
      <w:r>
        <w:t>Personality tests should not normally be used as the sole selection method in every situation. Selection decisions should use job-related, validated, and appropriately combined evidence.</w:t>
      </w:r>
    </w:p>
    <w:p w14:paraId="7FE8F901" w14:textId="77777777" w:rsidR="0060144A" w:rsidRDefault="00E72D49">
      <w:pPr>
        <w:pStyle w:val="Heading2"/>
      </w:pPr>
      <w:bookmarkStart w:id="21" w:name="background-investigations-and-fairness"/>
      <w:bookmarkEnd w:id="21"/>
      <w:r>
        <w:t>Background investigations and fairness</w:t>
      </w:r>
    </w:p>
    <w:p w14:paraId="27A5A529" w14:textId="77777777" w:rsidR="0060144A" w:rsidRDefault="00E72D49">
      <w:pPr>
        <w:pStyle w:val="BodyText"/>
      </w:pPr>
      <w:r>
        <w:t>Background investigations verify information such as employment history, education, credentials, references, criminal records, credit history, and other relevant public records, subject to applicable law and consistent procedures. Their purpose includes checking applicant claims rather than relying only on self-</w:t>
      </w:r>
      <w:r>
        <w:lastRenderedPageBreak/>
        <w:t>reported information.</w:t>
      </w:r>
    </w:p>
    <w:p w14:paraId="18BDCADF" w14:textId="77777777" w:rsidR="0060144A" w:rsidRDefault="00E72D49">
      <w:pPr>
        <w:pStyle w:val="BodyText"/>
      </w:pPr>
      <w:r>
        <w:t xml:space="preserve">To improve fairness, qualified individuals should interpret test results. Organizations should apply consistent conditions and criteria to all applicants, use job-related measures, protect confidentiality, and communicate appropriately about the selection process. Giving some applicants </w:t>
      </w:r>
      <w:proofErr w:type="gramStart"/>
      <w:r>
        <w:t>advance</w:t>
      </w:r>
      <w:proofErr w:type="gramEnd"/>
      <w:r>
        <w:t xml:space="preserve"> access to test questions would create unfair advantage rather than fairness.</w:t>
      </w:r>
    </w:p>
    <w:p w14:paraId="441C9099" w14:textId="77777777" w:rsidR="0060144A" w:rsidRDefault="00E72D49">
      <w:pPr>
        <w:pStyle w:val="Heading2"/>
      </w:pPr>
      <w:bookmarkStart w:id="22" w:name="applicant-tracking-systems"/>
      <w:bookmarkEnd w:id="22"/>
      <w:r>
        <w:t>Applicant Tracking Systems</w:t>
      </w:r>
    </w:p>
    <w:p w14:paraId="16E41148" w14:textId="77777777" w:rsidR="0060144A" w:rsidRDefault="00E72D49">
      <w:pPr>
        <w:pStyle w:val="BodyText"/>
      </w:pPr>
      <w:r>
        <w:t xml:space="preserve">An </w:t>
      </w:r>
      <w:r>
        <w:rPr>
          <w:rStyle w:val="Strong"/>
        </w:rPr>
        <w:t>Applicant Tracking System (ATS)</w:t>
      </w:r>
      <w:r>
        <w:t xml:space="preserve"> can improve recruitment efficiency by organizing applications and screening out applicants who do not meet stated minimum requirements. ATS screening should be based on accurate, job-related criteria and should be monitored for unintended bias.</w:t>
      </w:r>
    </w:p>
    <w:p w14:paraId="3922A5F9" w14:textId="77777777" w:rsidR="0060144A" w:rsidRPr="002C57F0" w:rsidRDefault="00E72D49">
      <w:pPr>
        <w:pStyle w:val="Heading1"/>
        <w:rPr>
          <w:sz w:val="36"/>
          <w:szCs w:val="36"/>
        </w:rPr>
      </w:pPr>
      <w:bookmarkStart w:id="23" w:name="exam-checkpoints-questions-2530"/>
      <w:bookmarkStart w:id="24" w:name="lecture-6-training-development-and-organ"/>
      <w:bookmarkEnd w:id="23"/>
      <w:bookmarkEnd w:id="24"/>
      <w:r w:rsidRPr="002C57F0">
        <w:rPr>
          <w:sz w:val="36"/>
          <w:szCs w:val="36"/>
        </w:rPr>
        <w:t>Lecture 6: Training, Development, and Organizational Development</w:t>
      </w:r>
    </w:p>
    <w:p w14:paraId="014624BE" w14:textId="77777777" w:rsidR="0060144A" w:rsidRDefault="00E72D49">
      <w:pPr>
        <w:pStyle w:val="Heading2"/>
      </w:pPr>
      <w:bookmarkStart w:id="25" w:name="orientation-and-onboarding"/>
      <w:bookmarkEnd w:id="25"/>
      <w:r>
        <w:t>Orientation and onboarding</w:t>
      </w:r>
    </w:p>
    <w:p w14:paraId="7AFC33FC" w14:textId="77777777" w:rsidR="0060144A" w:rsidRDefault="00E72D49">
      <w:pPr>
        <w:pStyle w:val="BodyText"/>
      </w:pPr>
      <w:r>
        <w:t>Employee orientation begins the socialization process by helping new employees understand the organization, culture, policies, role expectations, and essential skills. Onboarding should immerse new hires in the organization and equip them to contribute effectively from the beginning.</w:t>
      </w:r>
    </w:p>
    <w:p w14:paraId="386335C5" w14:textId="77777777" w:rsidR="0060144A" w:rsidRDefault="00E72D49">
      <w:pPr>
        <w:pStyle w:val="Heading2"/>
      </w:pPr>
      <w:bookmarkStart w:id="26" w:name="training-process"/>
      <w:bookmarkEnd w:id="26"/>
      <w:r>
        <w:t>Training process</w:t>
      </w:r>
    </w:p>
    <w:p w14:paraId="5112A93F" w14:textId="77777777" w:rsidR="0060144A" w:rsidRDefault="00E72D49">
      <w:pPr>
        <w:pStyle w:val="BodyText"/>
      </w:pPr>
      <w:r>
        <w:t>The course presents four main stages:</w:t>
      </w:r>
    </w:p>
    <w:tbl>
      <w:tblPr>
        <w:tblW w:w="10068" w:type="dxa"/>
        <w:tblInd w:w="-90" w:type="dxa"/>
        <w:tblLayout w:type="fixed"/>
        <w:tblCellMar>
          <w:top w:w="28" w:type="dxa"/>
          <w:left w:w="28" w:type="dxa"/>
          <w:bottom w:w="28" w:type="dxa"/>
          <w:right w:w="28" w:type="dxa"/>
        </w:tblCellMar>
        <w:tblLook w:val="04A0" w:firstRow="1" w:lastRow="0" w:firstColumn="1" w:lastColumn="0" w:noHBand="0" w:noVBand="1"/>
      </w:tblPr>
      <w:tblGrid>
        <w:gridCol w:w="2643"/>
        <w:gridCol w:w="7425"/>
      </w:tblGrid>
      <w:tr w:rsidR="0060144A" w14:paraId="13C09590" w14:textId="77777777" w:rsidTr="00EB51AD">
        <w:trPr>
          <w:tblHeader/>
        </w:trPr>
        <w:tc>
          <w:tcPr>
            <w:tcW w:w="2643" w:type="dxa"/>
            <w:vAlign w:val="center"/>
          </w:tcPr>
          <w:p w14:paraId="53F3B831" w14:textId="77777777" w:rsidR="0060144A" w:rsidRDefault="00E72D49">
            <w:pPr>
              <w:pStyle w:val="TableHeading"/>
            </w:pPr>
            <w:r>
              <w:t>Stage</w:t>
            </w:r>
          </w:p>
        </w:tc>
        <w:tc>
          <w:tcPr>
            <w:tcW w:w="7425" w:type="dxa"/>
            <w:vAlign w:val="center"/>
          </w:tcPr>
          <w:p w14:paraId="47EE15A1" w14:textId="77777777" w:rsidR="0060144A" w:rsidRDefault="00E72D49">
            <w:pPr>
              <w:pStyle w:val="TableHeading"/>
            </w:pPr>
            <w:r>
              <w:t>Main purpose</w:t>
            </w:r>
          </w:p>
        </w:tc>
      </w:tr>
      <w:tr w:rsidR="0060144A" w14:paraId="2A91C4A1" w14:textId="77777777" w:rsidTr="00EB51AD">
        <w:tc>
          <w:tcPr>
            <w:tcW w:w="2643" w:type="dxa"/>
            <w:vAlign w:val="center"/>
          </w:tcPr>
          <w:p w14:paraId="5E366125" w14:textId="77777777" w:rsidR="0060144A" w:rsidRDefault="00E72D49">
            <w:pPr>
              <w:pStyle w:val="TableContents"/>
            </w:pPr>
            <w:r>
              <w:rPr>
                <w:rStyle w:val="Strong"/>
              </w:rPr>
              <w:t>Needs assessment</w:t>
            </w:r>
          </w:p>
        </w:tc>
        <w:tc>
          <w:tcPr>
            <w:tcW w:w="7425" w:type="dxa"/>
            <w:vAlign w:val="center"/>
          </w:tcPr>
          <w:p w14:paraId="6739AC3E" w14:textId="77777777" w:rsidR="0060144A" w:rsidRDefault="00E72D49">
            <w:pPr>
              <w:pStyle w:val="TableContents"/>
            </w:pPr>
            <w:r>
              <w:t xml:space="preserve">Identify the training </w:t>
            </w:r>
            <w:proofErr w:type="gramStart"/>
            <w:r>
              <w:t>need</w:t>
            </w:r>
            <w:proofErr w:type="gramEnd"/>
            <w:r>
              <w:t xml:space="preserve"> and determine whether training fits the organizational context</w:t>
            </w:r>
          </w:p>
        </w:tc>
      </w:tr>
      <w:tr w:rsidR="0060144A" w14:paraId="353CA78E" w14:textId="77777777" w:rsidTr="00EB51AD">
        <w:tc>
          <w:tcPr>
            <w:tcW w:w="2643" w:type="dxa"/>
            <w:vAlign w:val="center"/>
          </w:tcPr>
          <w:p w14:paraId="353122DD" w14:textId="77777777" w:rsidR="0060144A" w:rsidRDefault="00E72D49">
            <w:pPr>
              <w:pStyle w:val="TableContents"/>
            </w:pPr>
            <w:r>
              <w:rPr>
                <w:rStyle w:val="Strong"/>
              </w:rPr>
              <w:t>Set objectives and measures</w:t>
            </w:r>
          </w:p>
        </w:tc>
        <w:tc>
          <w:tcPr>
            <w:tcW w:w="7425" w:type="dxa"/>
            <w:vAlign w:val="center"/>
          </w:tcPr>
          <w:p w14:paraId="391351FA" w14:textId="77777777" w:rsidR="0060144A" w:rsidRDefault="00E72D49">
            <w:pPr>
              <w:pStyle w:val="TableContents"/>
            </w:pPr>
            <w:r>
              <w:t>Specify what trainees should achieve, the expected behaviors, and the results used to judge success</w:t>
            </w:r>
          </w:p>
        </w:tc>
      </w:tr>
      <w:tr w:rsidR="0060144A" w14:paraId="45E38C3C" w14:textId="77777777" w:rsidTr="00EB51AD">
        <w:tc>
          <w:tcPr>
            <w:tcW w:w="2643" w:type="dxa"/>
            <w:vAlign w:val="center"/>
          </w:tcPr>
          <w:p w14:paraId="72F4D437" w14:textId="77777777" w:rsidR="0060144A" w:rsidRDefault="00E72D49">
            <w:pPr>
              <w:pStyle w:val="TableContents"/>
            </w:pPr>
            <w:r>
              <w:rPr>
                <w:rStyle w:val="Strong"/>
              </w:rPr>
              <w:t>Deliver the training</w:t>
            </w:r>
          </w:p>
        </w:tc>
        <w:tc>
          <w:tcPr>
            <w:tcW w:w="7425" w:type="dxa"/>
            <w:vAlign w:val="center"/>
          </w:tcPr>
          <w:p w14:paraId="357E35D2" w14:textId="77777777" w:rsidR="0060144A" w:rsidRDefault="00E72D49">
            <w:pPr>
              <w:pStyle w:val="TableContents"/>
            </w:pPr>
            <w:r>
              <w:t>Implement the planned learning activities</w:t>
            </w:r>
          </w:p>
        </w:tc>
      </w:tr>
      <w:tr w:rsidR="0060144A" w14:paraId="1F571098" w14:textId="77777777" w:rsidTr="00EB51AD">
        <w:tc>
          <w:tcPr>
            <w:tcW w:w="2643" w:type="dxa"/>
            <w:vAlign w:val="center"/>
          </w:tcPr>
          <w:p w14:paraId="4587B68F" w14:textId="77777777" w:rsidR="0060144A" w:rsidRDefault="00E72D49">
            <w:pPr>
              <w:pStyle w:val="TableContents"/>
            </w:pPr>
            <w:r>
              <w:rPr>
                <w:rStyle w:val="Strong"/>
              </w:rPr>
              <w:t>Evaluate</w:t>
            </w:r>
          </w:p>
        </w:tc>
        <w:tc>
          <w:tcPr>
            <w:tcW w:w="7425" w:type="dxa"/>
            <w:vAlign w:val="center"/>
          </w:tcPr>
          <w:p w14:paraId="027360D9" w14:textId="77777777" w:rsidR="0060144A" w:rsidRDefault="00E72D49">
            <w:pPr>
              <w:pStyle w:val="TableContents"/>
            </w:pPr>
            <w:r>
              <w:t>Assess the effectiveness and results of the training</w:t>
            </w:r>
          </w:p>
        </w:tc>
      </w:tr>
    </w:tbl>
    <w:p w14:paraId="6A244DB1" w14:textId="77777777" w:rsidR="0060144A" w:rsidRDefault="00E72D49">
      <w:pPr>
        <w:pStyle w:val="BodyText"/>
      </w:pPr>
      <w:r>
        <w:t>Training objectives should identify both the expected employee behavior and the results of that behavior. Training may be customized for departments and roles, aligned with organizational goals, delivered through technology, and linked with performance management and development planning.</w:t>
      </w:r>
    </w:p>
    <w:p w14:paraId="292F93DA" w14:textId="77777777" w:rsidR="00B80D8B" w:rsidRDefault="00B80D8B">
      <w:pPr>
        <w:pStyle w:val="BodyText"/>
      </w:pPr>
    </w:p>
    <w:p w14:paraId="2FCB2BAC" w14:textId="77777777" w:rsidR="00B80D8B" w:rsidRPr="00B80D8B" w:rsidRDefault="00E72D49" w:rsidP="00656161">
      <w:pPr>
        <w:pStyle w:val="BodyText"/>
        <w:rPr>
          <w:b/>
          <w:bCs/>
        </w:rPr>
      </w:pPr>
      <w:r w:rsidRPr="00B80D8B">
        <w:rPr>
          <w:b/>
          <w:bCs/>
        </w:rPr>
        <w:lastRenderedPageBreak/>
        <w:t xml:space="preserve">Training </w:t>
      </w:r>
      <w:proofErr w:type="gramStart"/>
      <w:r w:rsidRPr="00B80D8B">
        <w:rPr>
          <w:b/>
          <w:bCs/>
        </w:rPr>
        <w:t>evaluation</w:t>
      </w:r>
      <w:proofErr w:type="gramEnd"/>
      <w:r w:rsidRPr="00B80D8B">
        <w:rPr>
          <w:b/>
          <w:bCs/>
        </w:rPr>
        <w:t xml:space="preserve"> can examine different levels. </w:t>
      </w:r>
      <w:bookmarkStart w:id="27" w:name="development-and-organizational-developme"/>
      <w:bookmarkEnd w:id="27"/>
    </w:p>
    <w:p w14:paraId="61B1F499" w14:textId="01B04E96" w:rsidR="00656161" w:rsidRPr="00B80D8B" w:rsidRDefault="00656161" w:rsidP="00B80D8B">
      <w:pPr>
        <w:pStyle w:val="BodyText"/>
        <w:numPr>
          <w:ilvl w:val="0"/>
          <w:numId w:val="2"/>
        </w:numPr>
      </w:pPr>
      <w:r w:rsidRPr="00B80D8B">
        <w:t>Reaction: Gauges trainee satisfaction with the training experience; high satisfaction shows engagement but doesn’t prove effectiveness.</w:t>
      </w:r>
    </w:p>
    <w:p w14:paraId="03017252" w14:textId="63C376B4" w:rsidR="00656161" w:rsidRPr="00B80D8B" w:rsidRDefault="00656161" w:rsidP="00B80D8B">
      <w:pPr>
        <w:pStyle w:val="BodyText"/>
        <w:numPr>
          <w:ilvl w:val="0"/>
          <w:numId w:val="2"/>
        </w:numPr>
      </w:pPr>
      <w:r w:rsidRPr="00B80D8B">
        <w:t>Learning: Assesses knowledge or skill gained through tests or demonstrations; essential for enabling behavior change.</w:t>
      </w:r>
    </w:p>
    <w:p w14:paraId="698B5402" w14:textId="5CADC9A8" w:rsidR="00656161" w:rsidRPr="00B80D8B" w:rsidRDefault="00656161" w:rsidP="00B80D8B">
      <w:pPr>
        <w:pStyle w:val="BodyText"/>
        <w:numPr>
          <w:ilvl w:val="0"/>
          <w:numId w:val="2"/>
        </w:numPr>
      </w:pPr>
      <w:r w:rsidRPr="00B80D8B">
        <w:t xml:space="preserve">Behavior: </w:t>
      </w:r>
      <w:proofErr w:type="gramStart"/>
      <w:r w:rsidRPr="00B80D8B">
        <w:t>Measures</w:t>
      </w:r>
      <w:proofErr w:type="gramEnd"/>
      <w:r w:rsidRPr="00B80D8B">
        <w:t xml:space="preserve"> whether trainees apply new skills </w:t>
      </w:r>
      <w:proofErr w:type="gramStart"/>
      <w:r w:rsidRPr="00B80D8B">
        <w:t>on</w:t>
      </w:r>
      <w:proofErr w:type="gramEnd"/>
      <w:r w:rsidRPr="00B80D8B">
        <w:t xml:space="preserve"> the job; true impact is seen in changed workplace performance.</w:t>
      </w:r>
    </w:p>
    <w:p w14:paraId="2122AE9E" w14:textId="089024F5" w:rsidR="00656161" w:rsidRPr="00B80D8B" w:rsidRDefault="00656161" w:rsidP="00B80D8B">
      <w:pPr>
        <w:pStyle w:val="BodyText"/>
        <w:numPr>
          <w:ilvl w:val="0"/>
          <w:numId w:val="2"/>
        </w:numPr>
      </w:pPr>
      <w:r w:rsidRPr="00B80D8B">
        <w:t>Results: Evaluates organizational outcomes like productivity or customer service; benefits may take time to appear.</w:t>
      </w:r>
    </w:p>
    <w:p w14:paraId="6AB9A08E" w14:textId="4A919E5E" w:rsidR="0060144A" w:rsidRPr="00B80D8B" w:rsidRDefault="00E72D49" w:rsidP="00656161">
      <w:pPr>
        <w:pStyle w:val="BodyText"/>
        <w:rPr>
          <w:rStyle w:val="Strong"/>
        </w:rPr>
      </w:pPr>
      <w:r w:rsidRPr="00B80D8B">
        <w:rPr>
          <w:rStyle w:val="Strong"/>
        </w:rPr>
        <w:t>Development and organizational development</w:t>
      </w:r>
    </w:p>
    <w:p w14:paraId="6E51459E" w14:textId="77777777" w:rsidR="0060144A" w:rsidRDefault="00E72D49">
      <w:pPr>
        <w:pStyle w:val="BodyText"/>
      </w:pPr>
      <w:r>
        <w:rPr>
          <w:rStyle w:val="Strong"/>
        </w:rPr>
        <w:t>Management development programs</w:t>
      </w:r>
      <w:r>
        <w:t xml:space="preserve"> build managers’ capabilities over the long term, including leadership, decision-making, communication, and strategic skills. They differ from immediate performance correction, which may require performance analysis, coaching, or targeted training.</w:t>
      </w:r>
    </w:p>
    <w:p w14:paraId="3EE8BD07" w14:textId="77777777" w:rsidR="0060144A" w:rsidRDefault="00E72D49">
      <w:pPr>
        <w:pStyle w:val="BodyText"/>
      </w:pPr>
      <w:r>
        <w:rPr>
          <w:rStyle w:val="Strong"/>
        </w:rPr>
        <w:t>Organizational development (OD)</w:t>
      </w:r>
      <w:r>
        <w:t xml:space="preserve"> is broader than individual skill improvement. It focuses on planned efforts to improve organizational effectiveness, systems, culture, processes, teamwork, and the organization’s ability to adapt. It may include individual development, but it is not exclusively individual.</w:t>
      </w:r>
    </w:p>
    <w:p w14:paraId="114FED4D" w14:textId="77777777" w:rsidR="0060144A" w:rsidRDefault="0060144A">
      <w:pPr>
        <w:pStyle w:val="HorizontalLine"/>
      </w:pPr>
      <w:bookmarkStart w:id="28" w:name="exam-checkpoints-questions-3136"/>
      <w:bookmarkEnd w:id="28"/>
    </w:p>
    <w:p w14:paraId="424F6F8D" w14:textId="77777777" w:rsidR="0060144A" w:rsidRPr="002C57F0" w:rsidRDefault="00E72D49">
      <w:pPr>
        <w:pStyle w:val="Heading1"/>
        <w:rPr>
          <w:sz w:val="36"/>
          <w:szCs w:val="36"/>
        </w:rPr>
      </w:pPr>
      <w:bookmarkStart w:id="29" w:name="lecture-7-performance-management-and-app"/>
      <w:bookmarkEnd w:id="29"/>
      <w:r w:rsidRPr="002C57F0">
        <w:rPr>
          <w:sz w:val="36"/>
          <w:szCs w:val="36"/>
        </w:rPr>
        <w:t>Lecture 7: Performance Management and Appraisal</w:t>
      </w:r>
    </w:p>
    <w:p w14:paraId="7C77401F" w14:textId="77777777" w:rsidR="0060144A" w:rsidRDefault="00E72D49">
      <w:pPr>
        <w:pStyle w:val="Heading2"/>
      </w:pPr>
      <w:bookmarkStart w:id="30" w:name="performance-management-versus-appraisal"/>
      <w:bookmarkEnd w:id="30"/>
      <w:r>
        <w:t>Performance management versus appraisal</w:t>
      </w:r>
    </w:p>
    <w:p w14:paraId="05E3E58B" w14:textId="77777777" w:rsidR="0060144A" w:rsidRDefault="00E72D49">
      <w:pPr>
        <w:pStyle w:val="BodyText"/>
      </w:pPr>
      <w:r>
        <w:rPr>
          <w:rStyle w:val="Strong"/>
        </w:rPr>
        <w:t>Performance management</w:t>
      </w:r>
      <w:r>
        <w:t xml:space="preserve"> is an ongoing cycle of setting expectations, monitoring performance, providing feedback and coaching, evaluating results, and using the information for development. Traditional performance appraisal is more narrowly associated with a periodic evaluation. Performance management places stronger emphasis on continuous improvement and employee development.</w:t>
      </w:r>
    </w:p>
    <w:p w14:paraId="12E9B7C7" w14:textId="77777777" w:rsidR="0060144A" w:rsidRDefault="00E72D49">
      <w:pPr>
        <w:pStyle w:val="BodyText"/>
      </w:pPr>
      <w:r>
        <w:t xml:space="preserve">Performance appraisal serves administrative and developmental purposes. It can support decisions about compensation, promotion, training, feedback, and </w:t>
      </w:r>
      <w:r>
        <w:rPr>
          <w:rStyle w:val="Strong"/>
        </w:rPr>
        <w:t>career planning</w:t>
      </w:r>
      <w:r>
        <w:t xml:space="preserve">. Employees should receive clear </w:t>
      </w:r>
      <w:proofErr w:type="gramStart"/>
      <w:r>
        <w:t>expectations</w:t>
      </w:r>
      <w:proofErr w:type="gramEnd"/>
      <w:r>
        <w:t xml:space="preserve"> and, before an appraisal interview, advance notice can improve preparation and the quality of the discussion.</w:t>
      </w:r>
    </w:p>
    <w:p w14:paraId="2B3BFC33" w14:textId="77777777" w:rsidR="0060144A" w:rsidRDefault="00E72D49">
      <w:pPr>
        <w:pStyle w:val="Heading2"/>
      </w:pPr>
      <w:bookmarkStart w:id="31" w:name="competencies-and-appraisal-methods"/>
      <w:bookmarkEnd w:id="31"/>
      <w:r>
        <w:t>Competencies and appraisal methods</w:t>
      </w:r>
    </w:p>
    <w:p w14:paraId="3746FF21" w14:textId="77777777" w:rsidR="0060144A" w:rsidRDefault="00E72D49">
      <w:pPr>
        <w:pStyle w:val="BodyText"/>
      </w:pPr>
      <w:r>
        <w:t>Competencies include both technical knowledge and workplace behaviors. They may involve communication, teamwork, customer orientation, leadership, judgment, reliability, and job-specific expertise.</w:t>
      </w:r>
    </w:p>
    <w:tbl>
      <w:tblPr>
        <w:tblW w:w="9978" w:type="dxa"/>
        <w:tblLayout w:type="fixed"/>
        <w:tblCellMar>
          <w:top w:w="28" w:type="dxa"/>
          <w:left w:w="28" w:type="dxa"/>
          <w:bottom w:w="28" w:type="dxa"/>
          <w:right w:w="28" w:type="dxa"/>
        </w:tblCellMar>
        <w:tblLook w:val="04A0" w:firstRow="1" w:lastRow="0" w:firstColumn="1" w:lastColumn="0" w:noHBand="0" w:noVBand="1"/>
      </w:tblPr>
      <w:tblGrid>
        <w:gridCol w:w="2156"/>
        <w:gridCol w:w="3641"/>
        <w:gridCol w:w="4181"/>
      </w:tblGrid>
      <w:tr w:rsidR="0060144A" w14:paraId="3F016617" w14:textId="77777777">
        <w:trPr>
          <w:tblHeader/>
        </w:trPr>
        <w:tc>
          <w:tcPr>
            <w:tcW w:w="2156" w:type="dxa"/>
            <w:vAlign w:val="center"/>
          </w:tcPr>
          <w:p w14:paraId="39B65D38" w14:textId="77777777" w:rsidR="0060144A" w:rsidRDefault="00E72D49">
            <w:pPr>
              <w:pStyle w:val="TableHeading"/>
            </w:pPr>
            <w:r>
              <w:lastRenderedPageBreak/>
              <w:t>Method</w:t>
            </w:r>
          </w:p>
        </w:tc>
        <w:tc>
          <w:tcPr>
            <w:tcW w:w="3641" w:type="dxa"/>
            <w:vAlign w:val="center"/>
          </w:tcPr>
          <w:p w14:paraId="24230B15" w14:textId="77777777" w:rsidR="0060144A" w:rsidRDefault="00E72D49">
            <w:pPr>
              <w:pStyle w:val="TableHeading"/>
            </w:pPr>
            <w:r>
              <w:t>Main feature</w:t>
            </w:r>
          </w:p>
        </w:tc>
        <w:tc>
          <w:tcPr>
            <w:tcW w:w="4181" w:type="dxa"/>
            <w:vAlign w:val="center"/>
          </w:tcPr>
          <w:p w14:paraId="6F6CE105" w14:textId="6503F1B8" w:rsidR="0060144A" w:rsidRDefault="00E72D49">
            <w:pPr>
              <w:pStyle w:val="TableHeading"/>
            </w:pPr>
            <w:r>
              <w:t>Key point</w:t>
            </w:r>
          </w:p>
        </w:tc>
      </w:tr>
      <w:tr w:rsidR="0060144A" w14:paraId="5C034425" w14:textId="77777777">
        <w:tc>
          <w:tcPr>
            <w:tcW w:w="2156" w:type="dxa"/>
            <w:vAlign w:val="center"/>
          </w:tcPr>
          <w:p w14:paraId="33B66223" w14:textId="77777777" w:rsidR="0060144A" w:rsidRDefault="00E72D49">
            <w:pPr>
              <w:pStyle w:val="TableContents"/>
            </w:pPr>
            <w:r>
              <w:rPr>
                <w:rStyle w:val="Strong"/>
              </w:rPr>
              <w:t>Simple ranking</w:t>
            </w:r>
          </w:p>
        </w:tc>
        <w:tc>
          <w:tcPr>
            <w:tcW w:w="3641" w:type="dxa"/>
            <w:vAlign w:val="center"/>
          </w:tcPr>
          <w:p w14:paraId="76DFB420" w14:textId="77777777" w:rsidR="0060144A" w:rsidRDefault="00E72D49">
            <w:pPr>
              <w:pStyle w:val="TableContents"/>
            </w:pPr>
            <w:r>
              <w:t>Orders employees from highest to lowest</w:t>
            </w:r>
          </w:p>
        </w:tc>
        <w:tc>
          <w:tcPr>
            <w:tcW w:w="4181" w:type="dxa"/>
            <w:vAlign w:val="center"/>
          </w:tcPr>
          <w:p w14:paraId="7F0E208A" w14:textId="77777777" w:rsidR="0060144A" w:rsidRDefault="00E72D49">
            <w:pPr>
              <w:pStyle w:val="TableContents"/>
            </w:pPr>
            <w:r>
              <w:t>Gives relative comparisons</w:t>
            </w:r>
          </w:p>
        </w:tc>
      </w:tr>
      <w:tr w:rsidR="0060144A" w14:paraId="1725C2EE" w14:textId="77777777">
        <w:tc>
          <w:tcPr>
            <w:tcW w:w="2156" w:type="dxa"/>
            <w:vAlign w:val="center"/>
          </w:tcPr>
          <w:p w14:paraId="045A1C95" w14:textId="77777777" w:rsidR="0060144A" w:rsidRDefault="00E72D49">
            <w:pPr>
              <w:pStyle w:val="TableContents"/>
            </w:pPr>
            <w:r>
              <w:rPr>
                <w:rStyle w:val="Strong"/>
              </w:rPr>
              <w:t>Paired comparison</w:t>
            </w:r>
          </w:p>
        </w:tc>
        <w:tc>
          <w:tcPr>
            <w:tcW w:w="3641" w:type="dxa"/>
            <w:vAlign w:val="center"/>
          </w:tcPr>
          <w:p w14:paraId="10072B24" w14:textId="77777777" w:rsidR="0060144A" w:rsidRDefault="00E72D49">
            <w:pPr>
              <w:pStyle w:val="TableContents"/>
            </w:pPr>
            <w:r>
              <w:t>Compares each employee with every other employee</w:t>
            </w:r>
          </w:p>
        </w:tc>
        <w:tc>
          <w:tcPr>
            <w:tcW w:w="4181" w:type="dxa"/>
            <w:vAlign w:val="center"/>
          </w:tcPr>
          <w:p w14:paraId="7E0EC197" w14:textId="77777777" w:rsidR="0060144A" w:rsidRDefault="00E72D49">
            <w:pPr>
              <w:pStyle w:val="TableContents"/>
            </w:pPr>
            <w:r>
              <w:t>Becomes difficult as the number of employees increases</w:t>
            </w:r>
          </w:p>
        </w:tc>
      </w:tr>
      <w:tr w:rsidR="0060144A" w14:paraId="15D33102" w14:textId="77777777">
        <w:tc>
          <w:tcPr>
            <w:tcW w:w="2156" w:type="dxa"/>
            <w:vAlign w:val="center"/>
          </w:tcPr>
          <w:p w14:paraId="1EB3EEB8" w14:textId="77777777" w:rsidR="0060144A" w:rsidRDefault="00E72D49">
            <w:pPr>
              <w:pStyle w:val="TableContents"/>
            </w:pPr>
            <w:r>
              <w:rPr>
                <w:rStyle w:val="Strong"/>
              </w:rPr>
              <w:t>Forced distribution</w:t>
            </w:r>
          </w:p>
        </w:tc>
        <w:tc>
          <w:tcPr>
            <w:tcW w:w="3641" w:type="dxa"/>
            <w:vAlign w:val="center"/>
          </w:tcPr>
          <w:p w14:paraId="77D9BC8B" w14:textId="77777777" w:rsidR="0060144A" w:rsidRDefault="00E72D49">
            <w:pPr>
              <w:pStyle w:val="TableContents"/>
            </w:pPr>
            <w:r>
              <w:t>Places employees into predetermined performance categories</w:t>
            </w:r>
          </w:p>
        </w:tc>
        <w:tc>
          <w:tcPr>
            <w:tcW w:w="4181" w:type="dxa"/>
            <w:vAlign w:val="center"/>
          </w:tcPr>
          <w:p w14:paraId="77230712" w14:textId="77777777" w:rsidR="0060144A" w:rsidRDefault="00E72D49">
            <w:pPr>
              <w:pStyle w:val="TableContents"/>
            </w:pPr>
            <w:r>
              <w:t>Can create fairness and morale concerns if categories are imposed rigidly</w:t>
            </w:r>
          </w:p>
        </w:tc>
      </w:tr>
      <w:tr w:rsidR="0060144A" w14:paraId="72DE745C" w14:textId="77777777">
        <w:tc>
          <w:tcPr>
            <w:tcW w:w="2156" w:type="dxa"/>
            <w:vAlign w:val="center"/>
          </w:tcPr>
          <w:p w14:paraId="620BC9C1" w14:textId="77777777" w:rsidR="0060144A" w:rsidRDefault="00E72D49">
            <w:pPr>
              <w:pStyle w:val="TableContents"/>
            </w:pPr>
            <w:r>
              <w:rPr>
                <w:rStyle w:val="Strong"/>
              </w:rPr>
              <w:t>Graphic rating scale</w:t>
            </w:r>
          </w:p>
        </w:tc>
        <w:tc>
          <w:tcPr>
            <w:tcW w:w="3641" w:type="dxa"/>
            <w:vAlign w:val="center"/>
          </w:tcPr>
          <w:p w14:paraId="7947DB82" w14:textId="77777777" w:rsidR="0060144A" w:rsidRDefault="00E72D49">
            <w:pPr>
              <w:pStyle w:val="TableContents"/>
            </w:pPr>
            <w:r>
              <w:t>Rates traits or performance dimensions numerically</w:t>
            </w:r>
          </w:p>
        </w:tc>
        <w:tc>
          <w:tcPr>
            <w:tcW w:w="4181" w:type="dxa"/>
            <w:vAlign w:val="center"/>
          </w:tcPr>
          <w:p w14:paraId="54BD07BB" w14:textId="77777777" w:rsidR="0060144A" w:rsidRDefault="00E72D49">
            <w:pPr>
              <w:pStyle w:val="TableContents"/>
            </w:pPr>
            <w:r>
              <w:t>Simple to use and produces numerical ratings</w:t>
            </w:r>
          </w:p>
        </w:tc>
      </w:tr>
      <w:tr w:rsidR="0060144A" w14:paraId="5D97A75C" w14:textId="77777777">
        <w:tc>
          <w:tcPr>
            <w:tcW w:w="2156" w:type="dxa"/>
            <w:vAlign w:val="center"/>
          </w:tcPr>
          <w:p w14:paraId="5B22EF0C" w14:textId="77777777" w:rsidR="0060144A" w:rsidRDefault="00E72D49">
            <w:pPr>
              <w:pStyle w:val="TableContents"/>
            </w:pPr>
            <w:r>
              <w:rPr>
                <w:rStyle w:val="Strong"/>
              </w:rPr>
              <w:t>BARS</w:t>
            </w:r>
          </w:p>
        </w:tc>
        <w:tc>
          <w:tcPr>
            <w:tcW w:w="3641" w:type="dxa"/>
            <w:vAlign w:val="center"/>
          </w:tcPr>
          <w:p w14:paraId="6639827D" w14:textId="77777777" w:rsidR="0060144A" w:rsidRDefault="00E72D49">
            <w:pPr>
              <w:pStyle w:val="TableContents"/>
            </w:pPr>
            <w:r>
              <w:t>Uses behaviorally anchored performance scales</w:t>
            </w:r>
          </w:p>
        </w:tc>
        <w:tc>
          <w:tcPr>
            <w:tcW w:w="4181" w:type="dxa"/>
            <w:vAlign w:val="center"/>
          </w:tcPr>
          <w:p w14:paraId="474FDB2A" w14:textId="77777777" w:rsidR="0060144A" w:rsidRDefault="00E72D49">
            <w:pPr>
              <w:pStyle w:val="TableContents"/>
            </w:pPr>
            <w:proofErr w:type="gramStart"/>
            <w:r>
              <w:t>Connects</w:t>
            </w:r>
            <w:proofErr w:type="gramEnd"/>
            <w:r>
              <w:t xml:space="preserve"> ratings to behavioral examples</w:t>
            </w:r>
          </w:p>
        </w:tc>
      </w:tr>
      <w:tr w:rsidR="0060144A" w14:paraId="13756188" w14:textId="77777777">
        <w:tc>
          <w:tcPr>
            <w:tcW w:w="2156" w:type="dxa"/>
            <w:vAlign w:val="center"/>
          </w:tcPr>
          <w:p w14:paraId="1DFC4ABE" w14:textId="77777777" w:rsidR="0060144A" w:rsidRDefault="00E72D49">
            <w:pPr>
              <w:pStyle w:val="TableContents"/>
            </w:pPr>
            <w:r>
              <w:rPr>
                <w:rStyle w:val="Strong"/>
              </w:rPr>
              <w:t>Behavioral observation scale</w:t>
            </w:r>
          </w:p>
        </w:tc>
        <w:tc>
          <w:tcPr>
            <w:tcW w:w="3641" w:type="dxa"/>
            <w:vAlign w:val="center"/>
          </w:tcPr>
          <w:p w14:paraId="72CC1816" w14:textId="77777777" w:rsidR="0060144A" w:rsidRDefault="00E72D49">
            <w:pPr>
              <w:pStyle w:val="TableContents"/>
            </w:pPr>
            <w:r>
              <w:t>Rates the frequency of observed behaviors</w:t>
            </w:r>
          </w:p>
        </w:tc>
        <w:tc>
          <w:tcPr>
            <w:tcW w:w="4181" w:type="dxa"/>
            <w:vAlign w:val="center"/>
          </w:tcPr>
          <w:p w14:paraId="1AC5059F" w14:textId="77777777" w:rsidR="0060144A" w:rsidRDefault="00E72D49">
            <w:pPr>
              <w:pStyle w:val="TableContents"/>
            </w:pPr>
            <w:r>
              <w:t>Focuses on behavior occurrence</w:t>
            </w:r>
          </w:p>
        </w:tc>
      </w:tr>
      <w:tr w:rsidR="0060144A" w14:paraId="4DAA3541" w14:textId="77777777">
        <w:tc>
          <w:tcPr>
            <w:tcW w:w="2156" w:type="dxa"/>
            <w:vAlign w:val="center"/>
          </w:tcPr>
          <w:p w14:paraId="192B5DCC" w14:textId="77777777" w:rsidR="0060144A" w:rsidRDefault="00E72D49">
            <w:pPr>
              <w:pStyle w:val="TableContents"/>
            </w:pPr>
            <w:r>
              <w:rPr>
                <w:rStyle w:val="Strong"/>
              </w:rPr>
              <w:t>Critical incidents</w:t>
            </w:r>
          </w:p>
        </w:tc>
        <w:tc>
          <w:tcPr>
            <w:tcW w:w="3641" w:type="dxa"/>
            <w:vAlign w:val="center"/>
          </w:tcPr>
          <w:p w14:paraId="2FBA2836" w14:textId="77777777" w:rsidR="0060144A" w:rsidRDefault="00E72D49">
            <w:pPr>
              <w:pStyle w:val="TableContents"/>
            </w:pPr>
            <w:r>
              <w:t>Records especially effective or ineffective behavior</w:t>
            </w:r>
          </w:p>
        </w:tc>
        <w:tc>
          <w:tcPr>
            <w:tcW w:w="4181" w:type="dxa"/>
            <w:vAlign w:val="center"/>
          </w:tcPr>
          <w:p w14:paraId="13A575F0" w14:textId="77777777" w:rsidR="0060144A" w:rsidRDefault="00E72D49">
            <w:pPr>
              <w:pStyle w:val="TableContents"/>
            </w:pPr>
            <w:r>
              <w:t>Requires timely, specific documentation</w:t>
            </w:r>
          </w:p>
        </w:tc>
      </w:tr>
      <w:tr w:rsidR="0060144A" w14:paraId="0A7F09B9" w14:textId="77777777">
        <w:tc>
          <w:tcPr>
            <w:tcW w:w="2156" w:type="dxa"/>
            <w:vAlign w:val="center"/>
          </w:tcPr>
          <w:p w14:paraId="15C9D9E1" w14:textId="77777777" w:rsidR="0060144A" w:rsidRDefault="00E72D49">
            <w:pPr>
              <w:pStyle w:val="TableContents"/>
            </w:pPr>
            <w:r>
              <w:rPr>
                <w:rStyle w:val="Strong"/>
              </w:rPr>
              <w:t>MBO</w:t>
            </w:r>
          </w:p>
        </w:tc>
        <w:tc>
          <w:tcPr>
            <w:tcW w:w="3641" w:type="dxa"/>
            <w:vAlign w:val="center"/>
          </w:tcPr>
          <w:p w14:paraId="7BB8495A" w14:textId="77777777" w:rsidR="0060144A" w:rsidRDefault="00E72D49">
            <w:pPr>
              <w:pStyle w:val="TableContents"/>
            </w:pPr>
            <w:r>
              <w:t>Evaluates achievement of agreed objectives</w:t>
            </w:r>
          </w:p>
        </w:tc>
        <w:tc>
          <w:tcPr>
            <w:tcW w:w="4181" w:type="dxa"/>
            <w:vAlign w:val="center"/>
          </w:tcPr>
          <w:p w14:paraId="67E2FFDF" w14:textId="77777777" w:rsidR="0060144A" w:rsidRDefault="00E72D49">
            <w:pPr>
              <w:pStyle w:val="TableContents"/>
            </w:pPr>
            <w:r>
              <w:t>Emphasizes results and goal attainment</w:t>
            </w:r>
          </w:p>
        </w:tc>
      </w:tr>
      <w:tr w:rsidR="0060144A" w14:paraId="4D749076" w14:textId="77777777">
        <w:tc>
          <w:tcPr>
            <w:tcW w:w="2156" w:type="dxa"/>
            <w:vAlign w:val="center"/>
          </w:tcPr>
          <w:p w14:paraId="46A4AD69" w14:textId="77777777" w:rsidR="0060144A" w:rsidRDefault="00E72D49">
            <w:pPr>
              <w:pStyle w:val="TableContents"/>
            </w:pPr>
            <w:r>
              <w:rPr>
                <w:rStyle w:val="Strong"/>
              </w:rPr>
              <w:t>Merged methods</w:t>
            </w:r>
          </w:p>
        </w:tc>
        <w:tc>
          <w:tcPr>
            <w:tcW w:w="3641" w:type="dxa"/>
            <w:vAlign w:val="center"/>
          </w:tcPr>
          <w:p w14:paraId="369D7F9E" w14:textId="77777777" w:rsidR="0060144A" w:rsidRDefault="00E72D49">
            <w:pPr>
              <w:pStyle w:val="TableContents"/>
            </w:pPr>
            <w:r>
              <w:t>Combines features of multiple methods</w:t>
            </w:r>
          </w:p>
        </w:tc>
        <w:tc>
          <w:tcPr>
            <w:tcW w:w="4181" w:type="dxa"/>
            <w:vAlign w:val="center"/>
          </w:tcPr>
          <w:p w14:paraId="5335AE82" w14:textId="77777777" w:rsidR="0060144A" w:rsidRDefault="00E72D49">
            <w:pPr>
              <w:pStyle w:val="TableContents"/>
            </w:pPr>
            <w:r>
              <w:t>Can provide a broader assessment</w:t>
            </w:r>
          </w:p>
        </w:tc>
      </w:tr>
    </w:tbl>
    <w:p w14:paraId="0BD6D38A" w14:textId="77777777" w:rsidR="0060144A" w:rsidRDefault="00E72D49">
      <w:pPr>
        <w:pStyle w:val="BodyText"/>
      </w:pPr>
      <w:r>
        <w:t>Common appraisal problems include subjectivity and bias, leniency, strictness, central tendency, halo effect, and legal risk. Clear standards, job-related criteria, documented examples, trained evaluators, and constructive feedback can reduce these problems.</w:t>
      </w:r>
    </w:p>
    <w:p w14:paraId="51F001FC" w14:textId="77777777" w:rsidR="0060144A" w:rsidRDefault="0060144A">
      <w:pPr>
        <w:pStyle w:val="HorizontalLine"/>
      </w:pPr>
      <w:bookmarkStart w:id="32" w:name="exam-checkpoints-questions-3742"/>
      <w:bookmarkEnd w:id="32"/>
    </w:p>
    <w:p w14:paraId="7F8912F5" w14:textId="77777777" w:rsidR="0060144A" w:rsidRPr="002C57F0" w:rsidRDefault="00E72D49">
      <w:pPr>
        <w:pStyle w:val="Heading1"/>
        <w:rPr>
          <w:sz w:val="36"/>
          <w:szCs w:val="36"/>
        </w:rPr>
      </w:pPr>
      <w:bookmarkStart w:id="33" w:name="lecture-8-strategic-pay-and-compensation"/>
      <w:bookmarkEnd w:id="33"/>
      <w:r w:rsidRPr="002C57F0">
        <w:rPr>
          <w:sz w:val="36"/>
          <w:szCs w:val="36"/>
        </w:rPr>
        <w:t>Lecture 8: Strategic Pay and Compensation</w:t>
      </w:r>
    </w:p>
    <w:p w14:paraId="48A94F38" w14:textId="77777777" w:rsidR="0060144A" w:rsidRDefault="00E72D49">
      <w:pPr>
        <w:pStyle w:val="Heading2"/>
      </w:pPr>
      <w:bookmarkStart w:id="34" w:name="pay-concepts-and-equity"/>
      <w:bookmarkEnd w:id="34"/>
      <w:r>
        <w:t>Pay concepts and equity</w:t>
      </w:r>
    </w:p>
    <w:p w14:paraId="2250E7E5" w14:textId="77777777" w:rsidR="0060144A" w:rsidRDefault="00E72D49">
      <w:pPr>
        <w:pStyle w:val="BodyText"/>
      </w:pPr>
      <w:r>
        <w:rPr>
          <w:rStyle w:val="Strong"/>
        </w:rPr>
        <w:t>Direct compensation</w:t>
      </w:r>
      <w:r>
        <w:t xml:space="preserve"> is monetary pay received for work. It includes base pay and variable incentives such as bonuses, commissions, profit-sharing, and stock options. </w:t>
      </w:r>
      <w:r>
        <w:rPr>
          <w:rStyle w:val="Strong"/>
        </w:rPr>
        <w:t>Indirect compensation</w:t>
      </w:r>
      <w:r>
        <w:t xml:space="preserve"> consists of benefits, including legally required benefits and optional benefits such as paid time off, health insurance, retirement plans, disability and life insurance, tuition reimbursement, dependent-care assistance, and flexible work arrangements.</w:t>
      </w:r>
    </w:p>
    <w:p w14:paraId="14DCF9C9" w14:textId="77777777" w:rsidR="0060144A" w:rsidRDefault="00E72D49">
      <w:pPr>
        <w:pStyle w:val="BodyText"/>
      </w:pPr>
      <w:r>
        <w:lastRenderedPageBreak/>
        <w:t>Equity theory states that employees compare their inputs, such as effort, skills, and experience, with outputs, such as pay and benefits. The course distinguishes:</w:t>
      </w:r>
    </w:p>
    <w:p w14:paraId="0D35201A" w14:textId="77777777" w:rsidR="00DA1916" w:rsidRDefault="00DA1916">
      <w:pPr>
        <w:pStyle w:val="BodyText"/>
      </w:pPr>
    </w:p>
    <w:tbl>
      <w:tblPr>
        <w:tblW w:w="9347" w:type="dxa"/>
        <w:tblLayout w:type="fixed"/>
        <w:tblCellMar>
          <w:top w:w="28" w:type="dxa"/>
          <w:left w:w="28" w:type="dxa"/>
          <w:bottom w:w="28" w:type="dxa"/>
          <w:right w:w="28" w:type="dxa"/>
        </w:tblCellMar>
        <w:tblLook w:val="04A0" w:firstRow="1" w:lastRow="0" w:firstColumn="1" w:lastColumn="0" w:noHBand="0" w:noVBand="1"/>
      </w:tblPr>
      <w:tblGrid>
        <w:gridCol w:w="1876"/>
        <w:gridCol w:w="7471"/>
      </w:tblGrid>
      <w:tr w:rsidR="0060144A" w14:paraId="24EACD51" w14:textId="77777777">
        <w:trPr>
          <w:tblHeader/>
        </w:trPr>
        <w:tc>
          <w:tcPr>
            <w:tcW w:w="1876" w:type="dxa"/>
            <w:vAlign w:val="center"/>
          </w:tcPr>
          <w:p w14:paraId="7C675355" w14:textId="77777777" w:rsidR="0060144A" w:rsidRDefault="00E72D49">
            <w:pPr>
              <w:pStyle w:val="TableHeading"/>
            </w:pPr>
            <w:r>
              <w:t>Equity type</w:t>
            </w:r>
          </w:p>
        </w:tc>
        <w:tc>
          <w:tcPr>
            <w:tcW w:w="7471" w:type="dxa"/>
            <w:vAlign w:val="center"/>
          </w:tcPr>
          <w:p w14:paraId="22F4D061" w14:textId="77777777" w:rsidR="0060144A" w:rsidRDefault="00E72D49">
            <w:pPr>
              <w:pStyle w:val="TableHeading"/>
            </w:pPr>
            <w:r>
              <w:t>Meaning</w:t>
            </w:r>
          </w:p>
        </w:tc>
      </w:tr>
      <w:tr w:rsidR="0060144A" w14:paraId="67E9B4CB" w14:textId="77777777">
        <w:tc>
          <w:tcPr>
            <w:tcW w:w="1876" w:type="dxa"/>
            <w:vAlign w:val="center"/>
          </w:tcPr>
          <w:p w14:paraId="5ED3591E" w14:textId="77777777" w:rsidR="0060144A" w:rsidRDefault="00E72D49">
            <w:pPr>
              <w:pStyle w:val="TableContents"/>
            </w:pPr>
            <w:r>
              <w:rPr>
                <w:rStyle w:val="Strong"/>
              </w:rPr>
              <w:t>External equity</w:t>
            </w:r>
          </w:p>
        </w:tc>
        <w:tc>
          <w:tcPr>
            <w:tcW w:w="7471" w:type="dxa"/>
            <w:vAlign w:val="center"/>
          </w:tcPr>
          <w:p w14:paraId="6D0EB2AE" w14:textId="77777777" w:rsidR="0060144A" w:rsidRDefault="00E72D49">
            <w:pPr>
              <w:pStyle w:val="TableContents"/>
            </w:pPr>
            <w:r>
              <w:t>How the organization’s pay compares with market pay for similar jobs</w:t>
            </w:r>
          </w:p>
        </w:tc>
      </w:tr>
      <w:tr w:rsidR="0060144A" w14:paraId="14CEB75B" w14:textId="77777777">
        <w:tc>
          <w:tcPr>
            <w:tcW w:w="1876" w:type="dxa"/>
            <w:vAlign w:val="center"/>
          </w:tcPr>
          <w:p w14:paraId="0BC9CC0E" w14:textId="77777777" w:rsidR="0060144A" w:rsidRDefault="00E72D49">
            <w:pPr>
              <w:pStyle w:val="TableContents"/>
            </w:pPr>
            <w:r>
              <w:rPr>
                <w:rStyle w:val="Strong"/>
              </w:rPr>
              <w:t>Internal equity</w:t>
            </w:r>
          </w:p>
        </w:tc>
        <w:tc>
          <w:tcPr>
            <w:tcW w:w="7471" w:type="dxa"/>
            <w:vAlign w:val="center"/>
          </w:tcPr>
          <w:p w14:paraId="57A5F5AC" w14:textId="77777777" w:rsidR="0060144A" w:rsidRDefault="00E72D49">
            <w:pPr>
              <w:pStyle w:val="TableContents"/>
            </w:pPr>
            <w:r>
              <w:t>Fairness of pay relationships among jobs within the organization</w:t>
            </w:r>
          </w:p>
        </w:tc>
      </w:tr>
      <w:tr w:rsidR="0060144A" w14:paraId="514C55D5" w14:textId="77777777">
        <w:tc>
          <w:tcPr>
            <w:tcW w:w="1876" w:type="dxa"/>
            <w:vAlign w:val="center"/>
          </w:tcPr>
          <w:p w14:paraId="595CD8CD" w14:textId="77777777" w:rsidR="0060144A" w:rsidRDefault="00E72D49">
            <w:pPr>
              <w:pStyle w:val="TableContents"/>
            </w:pPr>
            <w:r>
              <w:rPr>
                <w:rStyle w:val="Strong"/>
              </w:rPr>
              <w:t>Individual equity</w:t>
            </w:r>
          </w:p>
        </w:tc>
        <w:tc>
          <w:tcPr>
            <w:tcW w:w="7471" w:type="dxa"/>
            <w:vAlign w:val="center"/>
          </w:tcPr>
          <w:p w14:paraId="59F619E5" w14:textId="77777777" w:rsidR="0060144A" w:rsidRDefault="00E72D49">
            <w:pPr>
              <w:pStyle w:val="TableContents"/>
            </w:pPr>
            <w:r>
              <w:t>Fairness of an individual employee’s pay relative to contribution and performance</w:t>
            </w:r>
          </w:p>
        </w:tc>
      </w:tr>
      <w:tr w:rsidR="0060144A" w14:paraId="6507E6C2" w14:textId="77777777">
        <w:tc>
          <w:tcPr>
            <w:tcW w:w="1876" w:type="dxa"/>
            <w:vAlign w:val="center"/>
          </w:tcPr>
          <w:p w14:paraId="7885BEF1" w14:textId="77777777" w:rsidR="0060144A" w:rsidRDefault="00E72D49">
            <w:pPr>
              <w:pStyle w:val="TableContents"/>
            </w:pPr>
            <w:r>
              <w:rPr>
                <w:rStyle w:val="Strong"/>
              </w:rPr>
              <w:t>Procedural equity</w:t>
            </w:r>
          </w:p>
        </w:tc>
        <w:tc>
          <w:tcPr>
            <w:tcW w:w="7471" w:type="dxa"/>
            <w:vAlign w:val="center"/>
          </w:tcPr>
          <w:p w14:paraId="3DFB1957" w14:textId="77777777" w:rsidR="0060144A" w:rsidRDefault="00E72D49">
            <w:pPr>
              <w:pStyle w:val="TableContents"/>
            </w:pPr>
            <w:r>
              <w:t>Fairness and consistency of the processes used to determine pay</w:t>
            </w:r>
          </w:p>
        </w:tc>
      </w:tr>
    </w:tbl>
    <w:p w14:paraId="7B2C9D9B" w14:textId="77777777" w:rsidR="0060144A" w:rsidRDefault="00E72D49">
      <w:pPr>
        <w:pStyle w:val="BodyText"/>
      </w:pPr>
      <w:r>
        <w:rPr>
          <w:rStyle w:val="Strong"/>
        </w:rPr>
        <w:t>Salary surveys</w:t>
      </w:r>
      <w:r>
        <w:t xml:space="preserve"> provide market information and primarily support external equity when setting pay rates.</w:t>
      </w:r>
    </w:p>
    <w:p w14:paraId="79A72A2F" w14:textId="77777777" w:rsidR="0060144A" w:rsidRDefault="00E72D49">
      <w:pPr>
        <w:pStyle w:val="Heading2"/>
      </w:pPr>
      <w:bookmarkStart w:id="35" w:name="job-evaluation-and-pay-grades"/>
      <w:bookmarkEnd w:id="35"/>
      <w:r>
        <w:t>Job evaluation and pay grades</w:t>
      </w:r>
    </w:p>
    <w:p w14:paraId="1D0A360D" w14:textId="77777777" w:rsidR="0060144A" w:rsidRDefault="00E72D49">
      <w:pPr>
        <w:pStyle w:val="BodyText"/>
      </w:pPr>
      <w:r>
        <w:rPr>
          <w:rStyle w:val="Strong"/>
        </w:rPr>
        <w:t>Job evaluation</w:t>
      </w:r>
      <w:r>
        <w:t xml:space="preserve"> systematically determines the relative worth of jobs by comparing factors such as skill, effort, responsibility, and working conditions. Common methods include job ranking, job classification, and the point-factor method.</w:t>
      </w:r>
    </w:p>
    <w:p w14:paraId="2BC856A2" w14:textId="77777777" w:rsidR="0060144A" w:rsidRDefault="00E72D49">
      <w:pPr>
        <w:pStyle w:val="BodyText"/>
      </w:pPr>
      <w:r>
        <w:t xml:space="preserve">The </w:t>
      </w:r>
      <w:r>
        <w:rPr>
          <w:rStyle w:val="Strong"/>
        </w:rPr>
        <w:t>point method</w:t>
      </w:r>
      <w:r>
        <w:t xml:space="preserve"> generally provides more precise differentiation among jobs because it assigns points to compensable factors. Job classification places jobs into predefined classes or grades and is simpler but generally less precise. A pay grade may contain a </w:t>
      </w:r>
      <w:r>
        <w:rPr>
          <w:rStyle w:val="Strong"/>
        </w:rPr>
        <w:t>minimum, midpoint, and maximum</w:t>
      </w:r>
      <w:r>
        <w:t xml:space="preserve"> salary range.</w:t>
      </w:r>
    </w:p>
    <w:p w14:paraId="3FB04A63" w14:textId="77777777" w:rsidR="0060144A" w:rsidRDefault="00E72D49">
      <w:pPr>
        <w:pStyle w:val="BodyText"/>
      </w:pPr>
      <w:r>
        <w:t xml:space="preserve">Grouping similar jobs into pay grades simplifies compensation administration by reducing the number of separate salary levels. It does not eliminate the need for workforce planning, and adding benchmark jobs does not </w:t>
      </w:r>
      <w:proofErr w:type="gramStart"/>
      <w:r>
        <w:t>itself simplify administration</w:t>
      </w:r>
      <w:proofErr w:type="gramEnd"/>
      <w:r>
        <w:t>.</w:t>
      </w:r>
    </w:p>
    <w:p w14:paraId="69228105" w14:textId="77777777" w:rsidR="0060144A" w:rsidRDefault="00E72D49">
      <w:pPr>
        <w:pStyle w:val="Heading2"/>
      </w:pPr>
      <w:bookmarkStart w:id="36" w:name="broadbanding-and-competency-based-pay"/>
      <w:bookmarkEnd w:id="36"/>
      <w:proofErr w:type="spellStart"/>
      <w:r>
        <w:t>Broadbanding</w:t>
      </w:r>
      <w:proofErr w:type="spellEnd"/>
      <w:r>
        <w:t xml:space="preserve"> and competency-based pay</w:t>
      </w:r>
    </w:p>
    <w:p w14:paraId="6BBC7A79" w14:textId="77777777" w:rsidR="0060144A" w:rsidRDefault="00E72D49">
      <w:pPr>
        <w:pStyle w:val="BodyText"/>
      </w:pPr>
      <w:proofErr w:type="spellStart"/>
      <w:r>
        <w:rPr>
          <w:rStyle w:val="Strong"/>
        </w:rPr>
        <w:t>Broadbanding</w:t>
      </w:r>
      <w:proofErr w:type="spellEnd"/>
      <w:r>
        <w:t xml:space="preserve"> consolidates many narrow pay grades into a smaller number of wide salary bands. It increases flexibility and reduces the number of grades; it does not create more narrow grades.</w:t>
      </w:r>
    </w:p>
    <w:p w14:paraId="38B3761C" w14:textId="77777777" w:rsidR="0060144A" w:rsidRDefault="00E72D49">
      <w:pPr>
        <w:pStyle w:val="BodyText"/>
      </w:pPr>
      <w:r>
        <w:t xml:space="preserve">A traditional pay plan bases pay mainly on the position, job title, responsibilities, and job grade. </w:t>
      </w:r>
      <w:r>
        <w:rPr>
          <w:rStyle w:val="Strong"/>
        </w:rPr>
        <w:t>Competency-based pay</w:t>
      </w:r>
      <w:r>
        <w:t xml:space="preserve"> rewards the range and depth of skills, knowledge, or competencies an employee possesses, rather than only the position occupied. It encourages skill development and workforce flexibility.</w:t>
      </w:r>
    </w:p>
    <w:p w14:paraId="1253A575" w14:textId="77777777" w:rsidR="0060144A" w:rsidRDefault="0060144A">
      <w:pPr>
        <w:pStyle w:val="HorizontalLine"/>
      </w:pPr>
      <w:bookmarkStart w:id="37" w:name="exam-checkpoints-questions-4348"/>
      <w:bookmarkEnd w:id="37"/>
    </w:p>
    <w:p w14:paraId="6C20334D" w14:textId="77777777" w:rsidR="00B80D8B" w:rsidRDefault="00B80D8B" w:rsidP="00B80D8B">
      <w:pPr>
        <w:pStyle w:val="BodyText"/>
      </w:pPr>
    </w:p>
    <w:p w14:paraId="4B46ECB0" w14:textId="77777777" w:rsidR="00B80D8B" w:rsidRPr="00B80D8B" w:rsidRDefault="00B80D8B" w:rsidP="00B80D8B">
      <w:pPr>
        <w:pStyle w:val="BodyText"/>
      </w:pPr>
    </w:p>
    <w:p w14:paraId="2DFF47CE" w14:textId="1A9748E9" w:rsidR="0060144A" w:rsidRPr="002C57F0" w:rsidRDefault="00E72D49">
      <w:pPr>
        <w:pStyle w:val="Heading1"/>
        <w:rPr>
          <w:sz w:val="36"/>
          <w:szCs w:val="36"/>
        </w:rPr>
      </w:pPr>
      <w:bookmarkStart w:id="38" w:name="lecture-9-career-development-coaching-tr"/>
      <w:bookmarkEnd w:id="38"/>
      <w:r w:rsidRPr="002C57F0">
        <w:rPr>
          <w:sz w:val="36"/>
          <w:szCs w:val="36"/>
        </w:rPr>
        <w:lastRenderedPageBreak/>
        <w:t>Lecture 9: Career Development, Coaching, Transfers, and Dismissal</w:t>
      </w:r>
    </w:p>
    <w:p w14:paraId="35727C8F" w14:textId="77777777" w:rsidR="0060144A" w:rsidRDefault="00E72D49">
      <w:pPr>
        <w:pStyle w:val="Heading2"/>
      </w:pPr>
      <w:bookmarkStart w:id="39" w:name="career-development-and-retention"/>
      <w:bookmarkEnd w:id="39"/>
      <w:r>
        <w:t>Career development and retention</w:t>
      </w:r>
    </w:p>
    <w:p w14:paraId="042141CF" w14:textId="0B8E0041" w:rsidR="0060144A" w:rsidRDefault="00E72D49">
      <w:pPr>
        <w:pStyle w:val="BodyText"/>
      </w:pPr>
      <w:r>
        <w:t>Career development is an important retention tool and is nearly as important as compensation. Organizations can support retention through competitive compensation, flexible work arrangements, career paths, development opportunities, mentoring, recognition, open communication, and a positive work environment.</w:t>
      </w:r>
    </w:p>
    <w:p w14:paraId="0AE65D19" w14:textId="77777777" w:rsidR="0060144A" w:rsidRDefault="00E72D49">
      <w:pPr>
        <w:pStyle w:val="BodyText"/>
      </w:pPr>
      <w:r>
        <w:t>Performance appraisals should not be restricted to judging past performance. Their information can identify strengths, development needs, career interests, readiness, and possible future opportunities. Thus, performance management can be linked to career development.</w:t>
      </w:r>
    </w:p>
    <w:p w14:paraId="428E32B7" w14:textId="77777777" w:rsidR="0060144A" w:rsidRDefault="00E72D49">
      <w:pPr>
        <w:pStyle w:val="Heading2"/>
      </w:pPr>
      <w:bookmarkStart w:id="40" w:name="mentoring-and-coaching"/>
      <w:bookmarkEnd w:id="40"/>
      <w:r>
        <w:t>Mentoring and coaching</w:t>
      </w:r>
    </w:p>
    <w:p w14:paraId="643C7DE1" w14:textId="77777777" w:rsidR="0060144A" w:rsidRDefault="00E72D49">
      <w:pPr>
        <w:pStyle w:val="BodyText"/>
      </w:pPr>
      <w:r>
        <w:t xml:space="preserve">Both </w:t>
      </w:r>
      <w:r>
        <w:rPr>
          <w:rStyle w:val="Strong"/>
        </w:rPr>
        <w:t>formal and informal mentoring</w:t>
      </w:r>
      <w:r>
        <w:t xml:space="preserve"> programs may exist. Formal mentoring is structured and organization-sponsored; informal mentoring develops naturally through workplace relationships.</w:t>
      </w:r>
    </w:p>
    <w:p w14:paraId="7FB6140D" w14:textId="2E7C5AB3" w:rsidR="0060144A" w:rsidRDefault="00E72D49" w:rsidP="00FC7F80">
      <w:pPr>
        <w:pStyle w:val="BodyText"/>
      </w:pPr>
      <w:r>
        <w:rPr>
          <w:rStyle w:val="Strong"/>
        </w:rPr>
        <w:t>Coaching</w:t>
      </w:r>
      <w:r>
        <w:t xml:space="preserve"> is an ongoing process that supports employee performance and development. Effective coaching includes establishing rapport, defining goals, providing constructive feedback and positive reinforcement, and following up on employee progress. </w:t>
      </w:r>
    </w:p>
    <w:p w14:paraId="072C2578" w14:textId="77777777" w:rsidR="0060144A" w:rsidRDefault="00E72D49">
      <w:pPr>
        <w:pStyle w:val="Heading2"/>
      </w:pPr>
      <w:bookmarkStart w:id="41" w:name="transfers-promotion-and-dismissal"/>
      <w:bookmarkEnd w:id="41"/>
      <w:r>
        <w:t>Transfers, promotion, and dismissal</w:t>
      </w:r>
    </w:p>
    <w:p w14:paraId="43A6320D" w14:textId="77777777" w:rsidR="0060144A" w:rsidRDefault="00E72D49">
      <w:pPr>
        <w:pStyle w:val="BodyText"/>
      </w:pPr>
      <w:r>
        <w:t>A job transfer moves an employee to another job or location and does not always involve a salary or grade increase. Promotion decisions may consider performance, potential, seniority, and job requirements. Fairness requires transparent, equitable, and consistently applied criteria.</w:t>
      </w:r>
    </w:p>
    <w:p w14:paraId="59DB052C" w14:textId="77777777" w:rsidR="0060144A" w:rsidRDefault="00E72D49">
      <w:pPr>
        <w:pStyle w:val="BodyText"/>
      </w:pPr>
      <w:r>
        <w:t>Dismissal may result from unsatisfactory performance, misconduct, or redundancy. Organizations should follow applicable employment laws, treat employees fairly and respectfully, and maintain thorough documentation of performance problems and disciplinary actions. Clear documentation helps reduce the risk of wrongful-discharge lawsuits; ignoring documentation and reducing communication do not.</w:t>
      </w:r>
    </w:p>
    <w:p w14:paraId="5A346271" w14:textId="77777777" w:rsidR="0060144A" w:rsidRDefault="0060144A">
      <w:pPr>
        <w:pStyle w:val="HorizontalLine"/>
      </w:pPr>
      <w:bookmarkStart w:id="42" w:name="exam-checkpoints-questions-4954"/>
      <w:bookmarkEnd w:id="42"/>
    </w:p>
    <w:p w14:paraId="26B17FE4" w14:textId="77777777" w:rsidR="0060144A" w:rsidRPr="002C57F0" w:rsidRDefault="00E72D49">
      <w:pPr>
        <w:pStyle w:val="Heading1"/>
        <w:rPr>
          <w:sz w:val="36"/>
          <w:szCs w:val="36"/>
        </w:rPr>
      </w:pPr>
      <w:bookmarkStart w:id="43" w:name="lecture-10-workplace-safety-health-and-s"/>
      <w:bookmarkEnd w:id="43"/>
      <w:r w:rsidRPr="002C57F0">
        <w:rPr>
          <w:sz w:val="36"/>
          <w:szCs w:val="36"/>
        </w:rPr>
        <w:t>Lecture 10: Workplace Safety, Health, and Stress</w:t>
      </w:r>
    </w:p>
    <w:p w14:paraId="02840474" w14:textId="77777777" w:rsidR="0060144A" w:rsidRDefault="00E72D49">
      <w:pPr>
        <w:pStyle w:val="Heading2"/>
      </w:pPr>
      <w:bookmarkStart w:id="44" w:name="safety-culture-and-behavior-based-safety"/>
      <w:bookmarkEnd w:id="44"/>
      <w:r>
        <w:t>Safety culture and behavior-based safety</w:t>
      </w:r>
    </w:p>
    <w:p w14:paraId="1DAB9994" w14:textId="77777777" w:rsidR="0060144A" w:rsidRDefault="00E72D49">
      <w:pPr>
        <w:pStyle w:val="BodyText"/>
      </w:pPr>
      <w:r>
        <w:rPr>
          <w:rStyle w:val="Strong"/>
        </w:rPr>
        <w:t>Behavior-based safety</w:t>
      </w:r>
      <w:r>
        <w:t xml:space="preserve"> emphasizes observing workplace behaviors, identifying safe and unsafe practices, and providing constructive feedback to improve safety performance. It is part of a broader safety culture that depends on management commitment, leadership, employee involvement, communication, training, </w:t>
      </w:r>
      <w:r>
        <w:lastRenderedPageBreak/>
        <w:t>recognition, and supportive working conditions.</w:t>
      </w:r>
    </w:p>
    <w:p w14:paraId="5B2F8886" w14:textId="77777777" w:rsidR="0060144A" w:rsidRDefault="00E72D49">
      <w:pPr>
        <w:pStyle w:val="BodyText"/>
      </w:pPr>
      <w:r>
        <w:t>Leadership training for supervisors can strengthen a supportive safety environment because supervisors influence daily expectations, reporting, feedback, and compliance with safe work procedures. Employee participation is also important: suggestion-box rewards encourage employees to offer ideas for improving safety.</w:t>
      </w:r>
    </w:p>
    <w:p w14:paraId="499571A4" w14:textId="77777777" w:rsidR="0060144A" w:rsidRDefault="00E72D49">
      <w:pPr>
        <w:pStyle w:val="Heading2"/>
      </w:pPr>
      <w:bookmarkStart w:id="45" w:name="accident-prevention-and-retraining"/>
      <w:bookmarkEnd w:id="45"/>
      <w:r>
        <w:t>Accident prevention and retraining</w:t>
      </w:r>
    </w:p>
    <w:p w14:paraId="05358F2D" w14:textId="77777777" w:rsidR="0060144A" w:rsidRDefault="00E72D49">
      <w:pPr>
        <w:pStyle w:val="BodyText"/>
      </w:pPr>
      <w:r>
        <w:t xml:space="preserve">Accident prevention addresses </w:t>
      </w:r>
      <w:r w:rsidRPr="00692199">
        <w:rPr>
          <w:b/>
          <w:bCs/>
        </w:rPr>
        <w:t>unsafe conditions</w:t>
      </w:r>
      <w:r>
        <w:t xml:space="preserve"> and </w:t>
      </w:r>
      <w:r w:rsidRPr="00692199">
        <w:rPr>
          <w:b/>
          <w:bCs/>
        </w:rPr>
        <w:t>unsafe acts.</w:t>
      </w:r>
      <w:r>
        <w:t xml:space="preserve"> The course emphasizes hazard analysis, safety reviews, engineering controls, training, screening, personal protective equipment, and the hierarchy of controls. After an accident, retraining employees on safe procedures can reinforce correct work methods and reduce recurrence. Reducing inspections or limiting supervisor involvement would weaken safety management.</w:t>
      </w:r>
    </w:p>
    <w:p w14:paraId="72C268B8" w14:textId="77777777" w:rsidR="0060144A" w:rsidRDefault="00E72D49">
      <w:pPr>
        <w:pStyle w:val="Heading2"/>
      </w:pPr>
      <w:bookmarkStart w:id="46" w:name="stress-burnout-and-workaholism"/>
      <w:bookmarkEnd w:id="46"/>
      <w:r>
        <w:t>Stress, burnout, and workaholism</w:t>
      </w:r>
    </w:p>
    <w:p w14:paraId="27383D9A" w14:textId="77777777" w:rsidR="0060144A" w:rsidRDefault="00E72D49">
      <w:pPr>
        <w:pStyle w:val="BodyText"/>
      </w:pPr>
      <w:r>
        <w:t xml:space="preserve">Workplace health includes physical hazards and psychological risks such as stress, burnout, and depression. Employees should not be encouraged to ignore early signs of stress merely because productivity remains high. </w:t>
      </w:r>
      <w:r>
        <w:rPr>
          <w:rStyle w:val="Strong"/>
        </w:rPr>
        <w:t>Workaholism</w:t>
      </w:r>
      <w:r>
        <w:t xml:space="preserve"> is identified as a possible internal contributor to job stress. Employers should provide supportive policies, accessible resources, communication, and a healthy work environment.</w:t>
      </w:r>
    </w:p>
    <w:p w14:paraId="2603B430" w14:textId="77777777" w:rsidR="0060144A" w:rsidRDefault="0060144A">
      <w:pPr>
        <w:pStyle w:val="HorizontalLine"/>
      </w:pPr>
      <w:bookmarkStart w:id="47" w:name="exam-checkpoints-questions-5560"/>
      <w:bookmarkEnd w:id="47"/>
    </w:p>
    <w:p w14:paraId="77245593" w14:textId="77777777" w:rsidR="0060144A" w:rsidRDefault="00E72D49">
      <w:pPr>
        <w:pStyle w:val="Heading1"/>
      </w:pPr>
      <w:bookmarkStart w:id="48" w:name="high-yield-distinctions"/>
      <w:bookmarkEnd w:id="48"/>
      <w:r>
        <w:t>High-Yield Distinctions</w:t>
      </w:r>
    </w:p>
    <w:tbl>
      <w:tblPr>
        <w:tblW w:w="9978" w:type="dxa"/>
        <w:tblLayout w:type="fixed"/>
        <w:tblCellMar>
          <w:top w:w="28" w:type="dxa"/>
          <w:left w:w="28" w:type="dxa"/>
          <w:bottom w:w="28" w:type="dxa"/>
          <w:right w:w="28" w:type="dxa"/>
        </w:tblCellMar>
        <w:tblLook w:val="04A0" w:firstRow="1" w:lastRow="0" w:firstColumn="1" w:lastColumn="0" w:noHBand="0" w:noVBand="1"/>
      </w:tblPr>
      <w:tblGrid>
        <w:gridCol w:w="3166"/>
        <w:gridCol w:w="6812"/>
      </w:tblGrid>
      <w:tr w:rsidR="0060144A" w14:paraId="411B4A4F" w14:textId="77777777">
        <w:trPr>
          <w:tblHeader/>
        </w:trPr>
        <w:tc>
          <w:tcPr>
            <w:tcW w:w="3166" w:type="dxa"/>
            <w:vAlign w:val="center"/>
          </w:tcPr>
          <w:p w14:paraId="47F3D4D3" w14:textId="77777777" w:rsidR="0060144A" w:rsidRDefault="00E72D49">
            <w:pPr>
              <w:pStyle w:val="TableHeading"/>
            </w:pPr>
            <w:r>
              <w:t>Do not confuse</w:t>
            </w:r>
          </w:p>
        </w:tc>
        <w:tc>
          <w:tcPr>
            <w:tcW w:w="6812" w:type="dxa"/>
            <w:vAlign w:val="center"/>
          </w:tcPr>
          <w:p w14:paraId="70387632" w14:textId="77777777" w:rsidR="0060144A" w:rsidRDefault="00E72D49">
            <w:pPr>
              <w:pStyle w:val="TableHeading"/>
            </w:pPr>
            <w:r>
              <w:t>Correct distinction</w:t>
            </w:r>
          </w:p>
        </w:tc>
      </w:tr>
      <w:tr w:rsidR="0060144A" w14:paraId="470ECC5A" w14:textId="77777777">
        <w:tc>
          <w:tcPr>
            <w:tcW w:w="3166" w:type="dxa"/>
            <w:vAlign w:val="center"/>
          </w:tcPr>
          <w:p w14:paraId="4EFE9323" w14:textId="77777777" w:rsidR="0060144A" w:rsidRDefault="00E72D49">
            <w:pPr>
              <w:pStyle w:val="TableContents"/>
            </w:pPr>
            <w:r>
              <w:t>Orientation vs. job analysis</w:t>
            </w:r>
          </w:p>
        </w:tc>
        <w:tc>
          <w:tcPr>
            <w:tcW w:w="6812" w:type="dxa"/>
            <w:vAlign w:val="center"/>
          </w:tcPr>
          <w:p w14:paraId="175F88C6" w14:textId="77777777" w:rsidR="0060144A" w:rsidRDefault="00E72D49">
            <w:pPr>
              <w:pStyle w:val="TableContents"/>
            </w:pPr>
            <w:r>
              <w:t>Orientation socializes new employees; job analysis identifies job duties and requirements.</w:t>
            </w:r>
          </w:p>
        </w:tc>
      </w:tr>
      <w:tr w:rsidR="0060144A" w14:paraId="59A50E03" w14:textId="77777777">
        <w:tc>
          <w:tcPr>
            <w:tcW w:w="3166" w:type="dxa"/>
            <w:vAlign w:val="center"/>
          </w:tcPr>
          <w:p w14:paraId="1DC269EC" w14:textId="77777777" w:rsidR="0060144A" w:rsidRDefault="00E72D49">
            <w:pPr>
              <w:pStyle w:val="TableContents"/>
            </w:pPr>
            <w:r>
              <w:t>Reliability vs. validity</w:t>
            </w:r>
          </w:p>
        </w:tc>
        <w:tc>
          <w:tcPr>
            <w:tcW w:w="6812" w:type="dxa"/>
            <w:vAlign w:val="center"/>
          </w:tcPr>
          <w:p w14:paraId="46663250" w14:textId="77777777" w:rsidR="0060144A" w:rsidRDefault="00E72D49">
            <w:pPr>
              <w:pStyle w:val="TableContents"/>
            </w:pPr>
            <w:r>
              <w:t>Reliability is consistency; validity is measuring the intended construct and relating it to performance.</w:t>
            </w:r>
          </w:p>
        </w:tc>
      </w:tr>
      <w:tr w:rsidR="0060144A" w14:paraId="52AA8B98" w14:textId="77777777">
        <w:tc>
          <w:tcPr>
            <w:tcW w:w="3166" w:type="dxa"/>
            <w:vAlign w:val="center"/>
          </w:tcPr>
          <w:p w14:paraId="2C1778F6" w14:textId="77777777" w:rsidR="0060144A" w:rsidRDefault="00E72D49">
            <w:pPr>
              <w:pStyle w:val="TableContents"/>
            </w:pPr>
            <w:r>
              <w:t>Job description vs. job specification</w:t>
            </w:r>
          </w:p>
        </w:tc>
        <w:tc>
          <w:tcPr>
            <w:tcW w:w="6812" w:type="dxa"/>
            <w:vAlign w:val="center"/>
          </w:tcPr>
          <w:p w14:paraId="1B88301D" w14:textId="77777777" w:rsidR="0060144A" w:rsidRDefault="00E72D49">
            <w:pPr>
              <w:pStyle w:val="TableContents"/>
            </w:pPr>
            <w:r>
              <w:t>Description covers duties; specification covers employee qualifications and capabilities.</w:t>
            </w:r>
          </w:p>
        </w:tc>
      </w:tr>
      <w:tr w:rsidR="0060144A" w14:paraId="2CDE29E9" w14:textId="77777777">
        <w:tc>
          <w:tcPr>
            <w:tcW w:w="3166" w:type="dxa"/>
            <w:vAlign w:val="center"/>
          </w:tcPr>
          <w:p w14:paraId="73BA35DC" w14:textId="77777777" w:rsidR="0060144A" w:rsidRDefault="00E72D49">
            <w:pPr>
              <w:pStyle w:val="TableContents"/>
            </w:pPr>
            <w:r>
              <w:t>Job enlargement vs. job enrichment</w:t>
            </w:r>
          </w:p>
        </w:tc>
        <w:tc>
          <w:tcPr>
            <w:tcW w:w="6812" w:type="dxa"/>
            <w:vAlign w:val="center"/>
          </w:tcPr>
          <w:p w14:paraId="49B12B7D" w14:textId="77777777" w:rsidR="0060144A" w:rsidRDefault="00E72D49">
            <w:pPr>
              <w:pStyle w:val="TableContents"/>
            </w:pPr>
            <w:r>
              <w:t>Enlargement adds tasks at the same level; enrichment adds depth, autonomy, or responsibility.</w:t>
            </w:r>
          </w:p>
        </w:tc>
      </w:tr>
      <w:tr w:rsidR="0060144A" w14:paraId="18F304DF" w14:textId="77777777">
        <w:tc>
          <w:tcPr>
            <w:tcW w:w="3166" w:type="dxa"/>
            <w:vAlign w:val="center"/>
          </w:tcPr>
          <w:p w14:paraId="61FA9EC4" w14:textId="77777777" w:rsidR="0060144A" w:rsidRDefault="00E72D49">
            <w:pPr>
              <w:pStyle w:val="TableContents"/>
            </w:pPr>
            <w:r>
              <w:t>HR scorecard vs. digital dashboard</w:t>
            </w:r>
          </w:p>
        </w:tc>
        <w:tc>
          <w:tcPr>
            <w:tcW w:w="6812" w:type="dxa"/>
            <w:vAlign w:val="center"/>
          </w:tcPr>
          <w:p w14:paraId="66A9BE36" w14:textId="77777777" w:rsidR="0060144A" w:rsidRDefault="00E72D49">
            <w:pPr>
              <w:pStyle w:val="TableContents"/>
            </w:pPr>
            <w:r>
              <w:t>Scorecard organizes HR performance measures; dashboard displays current KPI information visually.</w:t>
            </w:r>
          </w:p>
        </w:tc>
      </w:tr>
      <w:tr w:rsidR="0060144A" w14:paraId="640A8D2E" w14:textId="77777777" w:rsidTr="00B80D8B">
        <w:trPr>
          <w:trHeight w:val="925"/>
        </w:trPr>
        <w:tc>
          <w:tcPr>
            <w:tcW w:w="3166" w:type="dxa"/>
            <w:vAlign w:val="center"/>
          </w:tcPr>
          <w:p w14:paraId="3E0E9E07" w14:textId="77777777" w:rsidR="0060144A" w:rsidRDefault="00E72D49">
            <w:pPr>
              <w:pStyle w:val="TableContents"/>
            </w:pPr>
            <w:r>
              <w:lastRenderedPageBreak/>
              <w:t>Internal vs. external recruitment</w:t>
            </w:r>
          </w:p>
        </w:tc>
        <w:tc>
          <w:tcPr>
            <w:tcW w:w="6812" w:type="dxa"/>
            <w:vAlign w:val="center"/>
          </w:tcPr>
          <w:p w14:paraId="51D1432A" w14:textId="77777777" w:rsidR="0060144A" w:rsidRDefault="00E72D49">
            <w:pPr>
              <w:pStyle w:val="TableContents"/>
            </w:pPr>
            <w:r>
              <w:t>Internal recruitment uses current/former organizational talent; external recruitment accesses outside sources and perspectives.</w:t>
            </w:r>
          </w:p>
        </w:tc>
      </w:tr>
      <w:tr w:rsidR="0060144A" w14:paraId="5FE79E51" w14:textId="77777777">
        <w:tc>
          <w:tcPr>
            <w:tcW w:w="3166" w:type="dxa"/>
            <w:vAlign w:val="center"/>
          </w:tcPr>
          <w:p w14:paraId="03D6FF46" w14:textId="77777777" w:rsidR="0060144A" w:rsidRDefault="00E72D49">
            <w:pPr>
              <w:pStyle w:val="TableContents"/>
            </w:pPr>
            <w:r>
              <w:t>Training vs. management development</w:t>
            </w:r>
          </w:p>
        </w:tc>
        <w:tc>
          <w:tcPr>
            <w:tcW w:w="6812" w:type="dxa"/>
            <w:vAlign w:val="center"/>
          </w:tcPr>
          <w:p w14:paraId="6A0BC092" w14:textId="77777777" w:rsidR="0060144A" w:rsidRDefault="00E72D49">
            <w:pPr>
              <w:pStyle w:val="TableContents"/>
            </w:pPr>
            <w:r>
              <w:t>Training commonly addresses job-related capability; management development builds longer-term leadership capability.</w:t>
            </w:r>
          </w:p>
        </w:tc>
      </w:tr>
      <w:tr w:rsidR="0060144A" w14:paraId="792599E6" w14:textId="77777777">
        <w:tc>
          <w:tcPr>
            <w:tcW w:w="3166" w:type="dxa"/>
            <w:vAlign w:val="center"/>
          </w:tcPr>
          <w:p w14:paraId="53B17E3D" w14:textId="77777777" w:rsidR="0060144A" w:rsidRDefault="00E72D49">
            <w:pPr>
              <w:pStyle w:val="TableContents"/>
            </w:pPr>
            <w:r>
              <w:t>Performance appraisal vs. performance management</w:t>
            </w:r>
          </w:p>
        </w:tc>
        <w:tc>
          <w:tcPr>
            <w:tcW w:w="6812" w:type="dxa"/>
            <w:vAlign w:val="center"/>
          </w:tcPr>
          <w:p w14:paraId="5B44CAD1" w14:textId="77777777" w:rsidR="0060144A" w:rsidRDefault="00E72D49">
            <w:pPr>
              <w:pStyle w:val="TableContents"/>
            </w:pPr>
            <w:r>
              <w:t>Appraisal is usually periodic evaluation; performance management is an ongoing development and feedback cycle.</w:t>
            </w:r>
          </w:p>
        </w:tc>
      </w:tr>
      <w:tr w:rsidR="0060144A" w14:paraId="2980E147" w14:textId="77777777">
        <w:tc>
          <w:tcPr>
            <w:tcW w:w="3166" w:type="dxa"/>
            <w:vAlign w:val="center"/>
          </w:tcPr>
          <w:p w14:paraId="328E14ED" w14:textId="77777777" w:rsidR="0060144A" w:rsidRDefault="00E72D49">
            <w:pPr>
              <w:pStyle w:val="TableContents"/>
            </w:pPr>
            <w:r>
              <w:t>Graphic rating vs. paired comparison</w:t>
            </w:r>
          </w:p>
        </w:tc>
        <w:tc>
          <w:tcPr>
            <w:tcW w:w="6812" w:type="dxa"/>
            <w:vAlign w:val="center"/>
          </w:tcPr>
          <w:p w14:paraId="0FC5920E" w14:textId="77777777" w:rsidR="0060144A" w:rsidRDefault="00E72D49">
            <w:pPr>
              <w:pStyle w:val="TableContents"/>
            </w:pPr>
            <w:r>
              <w:t>Graphic rating gives numerical ratings; paired comparison compares each employee with others and becomes difficult in large groups.</w:t>
            </w:r>
          </w:p>
        </w:tc>
      </w:tr>
      <w:tr w:rsidR="0060144A" w14:paraId="3DA2B969" w14:textId="77777777">
        <w:tc>
          <w:tcPr>
            <w:tcW w:w="3166" w:type="dxa"/>
            <w:vAlign w:val="center"/>
          </w:tcPr>
          <w:p w14:paraId="504F317D" w14:textId="77777777" w:rsidR="0060144A" w:rsidRDefault="00E72D49">
            <w:pPr>
              <w:pStyle w:val="TableContents"/>
            </w:pPr>
            <w:r>
              <w:t>External vs. internal equity</w:t>
            </w:r>
          </w:p>
        </w:tc>
        <w:tc>
          <w:tcPr>
            <w:tcW w:w="6812" w:type="dxa"/>
            <w:vAlign w:val="center"/>
          </w:tcPr>
          <w:p w14:paraId="092A7A4E" w14:textId="77777777" w:rsidR="0060144A" w:rsidRDefault="00E72D49">
            <w:pPr>
              <w:pStyle w:val="TableContents"/>
            </w:pPr>
            <w:r>
              <w:t>External equity compares market pay; internal equity compares pay relationships among jobs inside the organization.</w:t>
            </w:r>
          </w:p>
        </w:tc>
      </w:tr>
      <w:tr w:rsidR="0060144A" w14:paraId="61245265" w14:textId="77777777">
        <w:tc>
          <w:tcPr>
            <w:tcW w:w="3166" w:type="dxa"/>
            <w:vAlign w:val="center"/>
          </w:tcPr>
          <w:p w14:paraId="26AFB807" w14:textId="77777777" w:rsidR="0060144A" w:rsidRDefault="00E72D49">
            <w:pPr>
              <w:pStyle w:val="TableContents"/>
            </w:pPr>
            <w:r>
              <w:t>Classification vs. point method</w:t>
            </w:r>
          </w:p>
        </w:tc>
        <w:tc>
          <w:tcPr>
            <w:tcW w:w="6812" w:type="dxa"/>
            <w:vAlign w:val="center"/>
          </w:tcPr>
          <w:p w14:paraId="3E33B7F0" w14:textId="77777777" w:rsidR="0060144A" w:rsidRDefault="00E72D49">
            <w:pPr>
              <w:pStyle w:val="TableContents"/>
            </w:pPr>
            <w:r>
              <w:t>Classification places jobs into grades; point method assigns factor points and is generally more precise.</w:t>
            </w:r>
          </w:p>
        </w:tc>
      </w:tr>
      <w:tr w:rsidR="0060144A" w14:paraId="2D63D0F9" w14:textId="77777777">
        <w:tc>
          <w:tcPr>
            <w:tcW w:w="3166" w:type="dxa"/>
            <w:vAlign w:val="center"/>
          </w:tcPr>
          <w:p w14:paraId="4979CF39" w14:textId="77777777" w:rsidR="0060144A" w:rsidRDefault="00E72D49">
            <w:pPr>
              <w:pStyle w:val="TableContents"/>
            </w:pPr>
            <w:proofErr w:type="spellStart"/>
            <w:r>
              <w:t>Broadbanding</w:t>
            </w:r>
            <w:proofErr w:type="spellEnd"/>
            <w:r>
              <w:t xml:space="preserve"> vs. traditional pay grades</w:t>
            </w:r>
          </w:p>
        </w:tc>
        <w:tc>
          <w:tcPr>
            <w:tcW w:w="6812" w:type="dxa"/>
            <w:vAlign w:val="center"/>
          </w:tcPr>
          <w:p w14:paraId="610F9213" w14:textId="77777777" w:rsidR="0060144A" w:rsidRDefault="00E72D49">
            <w:pPr>
              <w:pStyle w:val="TableContents"/>
            </w:pPr>
            <w:proofErr w:type="spellStart"/>
            <w:r>
              <w:t>Broadbanding</w:t>
            </w:r>
            <w:proofErr w:type="spellEnd"/>
            <w:r>
              <w:t xml:space="preserve"> uses fewer, wider bands; traditional systems use more defined grades and ranges.</w:t>
            </w:r>
          </w:p>
        </w:tc>
      </w:tr>
      <w:tr w:rsidR="0060144A" w14:paraId="17AAF210" w14:textId="77777777">
        <w:tc>
          <w:tcPr>
            <w:tcW w:w="3166" w:type="dxa"/>
            <w:vAlign w:val="center"/>
          </w:tcPr>
          <w:p w14:paraId="6954B3C6" w14:textId="77777777" w:rsidR="0060144A" w:rsidRDefault="00E72D49">
            <w:pPr>
              <w:pStyle w:val="TableContents"/>
            </w:pPr>
            <w:r>
              <w:t>Mentoring vs. coaching</w:t>
            </w:r>
          </w:p>
        </w:tc>
        <w:tc>
          <w:tcPr>
            <w:tcW w:w="6812" w:type="dxa"/>
            <w:vAlign w:val="center"/>
          </w:tcPr>
          <w:p w14:paraId="7181B288" w14:textId="77777777" w:rsidR="0060144A" w:rsidRDefault="00E72D49">
            <w:pPr>
              <w:pStyle w:val="TableContents"/>
            </w:pPr>
            <w:r>
              <w:t>Mentoring supports broader career development; coaching focuses on goals, feedback, progress, and performance/development.</w:t>
            </w:r>
          </w:p>
        </w:tc>
      </w:tr>
      <w:tr w:rsidR="0060144A" w14:paraId="47105449" w14:textId="77777777">
        <w:tc>
          <w:tcPr>
            <w:tcW w:w="3166" w:type="dxa"/>
            <w:vAlign w:val="center"/>
          </w:tcPr>
          <w:p w14:paraId="1414FD99" w14:textId="77777777" w:rsidR="0060144A" w:rsidRDefault="00E72D49">
            <w:pPr>
              <w:pStyle w:val="TableContents"/>
            </w:pPr>
            <w:r>
              <w:t>Transfer vs. promotion</w:t>
            </w:r>
          </w:p>
        </w:tc>
        <w:tc>
          <w:tcPr>
            <w:tcW w:w="6812" w:type="dxa"/>
            <w:vAlign w:val="center"/>
          </w:tcPr>
          <w:p w14:paraId="04518963" w14:textId="77777777" w:rsidR="0060144A" w:rsidRDefault="00E72D49">
            <w:pPr>
              <w:pStyle w:val="TableContents"/>
            </w:pPr>
            <w:r>
              <w:t>A transfer changes job or location without necessarily increasing grade or pay; promotion generally involves advancement.</w:t>
            </w:r>
          </w:p>
        </w:tc>
      </w:tr>
      <w:tr w:rsidR="0060144A" w14:paraId="6B2A7B9F" w14:textId="77777777">
        <w:tc>
          <w:tcPr>
            <w:tcW w:w="3166" w:type="dxa"/>
            <w:vAlign w:val="center"/>
          </w:tcPr>
          <w:p w14:paraId="587E4CA2" w14:textId="77777777" w:rsidR="0060144A" w:rsidRDefault="00E72D49">
            <w:pPr>
              <w:pStyle w:val="TableContents"/>
            </w:pPr>
            <w:r>
              <w:t>Safe behavior feedback vs. retraining</w:t>
            </w:r>
          </w:p>
        </w:tc>
        <w:tc>
          <w:tcPr>
            <w:tcW w:w="6812" w:type="dxa"/>
            <w:vAlign w:val="center"/>
          </w:tcPr>
          <w:p w14:paraId="004ED413" w14:textId="77777777" w:rsidR="0060144A" w:rsidRDefault="00E72D49">
            <w:pPr>
              <w:pStyle w:val="TableContents"/>
            </w:pPr>
            <w:r>
              <w:t>Behavior-based safety observes and reinforces behavior; retraining reinforces procedures, especially after an incident.</w:t>
            </w:r>
          </w:p>
        </w:tc>
      </w:tr>
    </w:tbl>
    <w:p w14:paraId="026F06A3" w14:textId="4A1D3A58" w:rsidR="0060144A" w:rsidRDefault="0060144A">
      <w:pPr>
        <w:pStyle w:val="BodyText"/>
      </w:pPr>
      <w:bookmarkStart w:id="49" w:name="complete-answer-key"/>
      <w:bookmarkStart w:id="50" w:name="final-revision-strategy"/>
      <w:bookmarkEnd w:id="49"/>
      <w:bookmarkEnd w:id="50"/>
    </w:p>
    <w:sectPr w:rsidR="0060144A">
      <w:pgSz w:w="11906" w:h="16838"/>
      <w:pgMar w:top="964" w:right="964" w:bottom="964" w:left="964" w:header="0" w:footer="0" w:gutter="0"/>
      <w:cols w:space="720"/>
      <w:formProt w:val="0"/>
      <w:docGrid w:linePitch="600" w:charSpace="3891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Lohit Devanagari">
    <w:panose1 w:val="00000000000000000000"/>
    <w:charset w:val="00"/>
    <w:family w:val="roman"/>
    <w:notTrueType/>
    <w:pitch w:val="default"/>
  </w:font>
  <w:font w:name="Arial;sans-serif">
    <w:altName w:val="Arial"/>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Liberation Sans">
    <w:altName w:val="Arial"/>
    <w:charset w:val="01"/>
    <w:family w:val="swiss"/>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jaVu San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992686"/>
    <w:multiLevelType w:val="hybridMultilevel"/>
    <w:tmpl w:val="5E1A7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EA5354"/>
    <w:multiLevelType w:val="hybridMultilevel"/>
    <w:tmpl w:val="08784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5185436">
    <w:abstractNumId w:val="0"/>
  </w:num>
  <w:num w:numId="2" w16cid:durableId="20903493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134"/>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44A"/>
    <w:rsid w:val="00042C7D"/>
    <w:rsid w:val="000F5BE8"/>
    <w:rsid w:val="00150195"/>
    <w:rsid w:val="002C57F0"/>
    <w:rsid w:val="00433EB9"/>
    <w:rsid w:val="004D60DD"/>
    <w:rsid w:val="0060144A"/>
    <w:rsid w:val="00656161"/>
    <w:rsid w:val="00692199"/>
    <w:rsid w:val="007C33F0"/>
    <w:rsid w:val="00AA0765"/>
    <w:rsid w:val="00B80D8B"/>
    <w:rsid w:val="00BF6AAB"/>
    <w:rsid w:val="00C13D0A"/>
    <w:rsid w:val="00D30305"/>
    <w:rsid w:val="00DA1916"/>
    <w:rsid w:val="00DE764F"/>
    <w:rsid w:val="00DF0B28"/>
    <w:rsid w:val="00E10200"/>
    <w:rsid w:val="00E72D49"/>
    <w:rsid w:val="00EB51AD"/>
    <w:rsid w:val="00EE060A"/>
    <w:rsid w:val="00FC7F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EB5BE"/>
  <w15:docId w15:val="{02042B6D-3AE9-419C-A486-903303414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pacing w:line="324" w:lineRule="auto"/>
    </w:pPr>
    <w:rPr>
      <w:rFonts w:ascii="Arial;sans-serif" w:eastAsia="Arial;sans-serif" w:hAnsi="Arial;sans-serif" w:cs="Arial;sans-serif"/>
      <w:color w:val="222222"/>
      <w:sz w:val="21"/>
      <w:szCs w:val="21"/>
    </w:rPr>
  </w:style>
  <w:style w:type="paragraph" w:styleId="Heading1">
    <w:name w:val="heading 1"/>
    <w:basedOn w:val="Heading"/>
    <w:next w:val="BodyText"/>
    <w:uiPriority w:val="9"/>
    <w:qFormat/>
    <w:pPr>
      <w:pBdr>
        <w:bottom w:val="single" w:sz="12" w:space="5" w:color="17365D"/>
      </w:pBdr>
      <w:outlineLvl w:val="0"/>
    </w:pPr>
    <w:rPr>
      <w:rFonts w:ascii="Noto Sans" w:hAnsi="Noto Sans"/>
      <w:b/>
      <w:bCs/>
      <w:color w:val="17365D"/>
      <w:sz w:val="44"/>
      <w:szCs w:val="44"/>
    </w:rPr>
  </w:style>
  <w:style w:type="paragraph" w:styleId="Heading2">
    <w:name w:val="heading 2"/>
    <w:basedOn w:val="Heading"/>
    <w:next w:val="BodyText"/>
    <w:uiPriority w:val="9"/>
    <w:unhideWhenUsed/>
    <w:qFormat/>
    <w:pPr>
      <w:spacing w:before="300" w:after="120"/>
      <w:outlineLvl w:val="1"/>
    </w:pPr>
    <w:rPr>
      <w:rFonts w:ascii="Liberation Serif" w:eastAsia="Noto Serif CJK SC" w:hAnsi="Liberation Serif" w:cs="Lohit Devanagari"/>
      <w:b/>
      <w:bCs/>
      <w:color w:val="1F4E79"/>
      <w:sz w:val="32"/>
      <w:szCs w:val="32"/>
    </w:rPr>
  </w:style>
  <w:style w:type="paragraph" w:styleId="Heading3">
    <w:name w:val="heading 3"/>
    <w:basedOn w:val="Heading"/>
    <w:next w:val="BodyText"/>
    <w:uiPriority w:val="9"/>
    <w:semiHidden/>
    <w:unhideWhenUsed/>
    <w:qFormat/>
    <w:pPr>
      <w:spacing w:before="140" w:after="120"/>
      <w:outlineLvl w:val="2"/>
    </w:pPr>
    <w:rPr>
      <w:rFonts w:ascii="Liberation Serif" w:eastAsia="Noto Serif CJK SC" w:hAnsi="Liberation Serif" w:cs="Lohit Devanagari"/>
      <w:b/>
      <w:bCs/>
      <w:color w:val="2F5597"/>
      <w:sz w:val="25"/>
      <w:szCs w:val="2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dnoteCharacters">
    <w:name w:val="Endnote Characters"/>
    <w:qFormat/>
  </w:style>
  <w:style w:type="character" w:customStyle="1" w:styleId="FootnoteCharacters">
    <w:name w:val="Footnote Characters"/>
    <w:qFormat/>
  </w:style>
  <w:style w:type="character" w:styleId="Hyperlink">
    <w:name w:val="Hyperlink"/>
    <w:rPr>
      <w:color w:val="000080"/>
      <w:u w:val="single"/>
    </w:rPr>
  </w:style>
  <w:style w:type="character" w:styleId="Strong">
    <w:name w:val="Strong"/>
    <w:qFormat/>
    <w:rPr>
      <w:b/>
      <w:bCs/>
      <w:color w:val="17365D"/>
    </w:rPr>
  </w:style>
  <w:style w:type="character" w:styleId="Emphasis">
    <w:name w:val="Emphasis"/>
    <w:qFormat/>
    <w:rPr>
      <w:i/>
      <w:iCs/>
    </w:rPr>
  </w:style>
  <w:style w:type="paragraph" w:customStyle="1" w:styleId="HorizontalLine">
    <w:name w:val="Horizontal Line"/>
    <w:basedOn w:val="Normal"/>
    <w:next w:val="BodyText"/>
    <w:qFormat/>
    <w:pPr>
      <w:pBdr>
        <w:bottom w:val="double" w:sz="2" w:space="0" w:color="808080"/>
      </w:pBdr>
      <w:spacing w:after="283"/>
    </w:pPr>
    <w:rPr>
      <w:sz w:val="12"/>
    </w:rPr>
  </w:style>
  <w:style w:type="paragraph" w:styleId="BodyText">
    <w:name w:val="Body Text"/>
    <w:basedOn w:val="Normal"/>
    <w:pPr>
      <w:spacing w:after="283"/>
    </w:pPr>
  </w:style>
  <w:style w:type="paragraph" w:styleId="EnvelopeReturn">
    <w:name w:val="envelope return"/>
    <w:basedOn w:val="Normal"/>
    <w:rPr>
      <w:i/>
    </w:rPr>
  </w:style>
  <w:style w:type="paragraph" w:customStyle="1" w:styleId="TableContents">
    <w:name w:val="Table Contents"/>
    <w:basedOn w:val="BodyText"/>
    <w:qFormat/>
  </w:style>
  <w:style w:type="paragraph" w:customStyle="1" w:styleId="HeaderandFooter">
    <w:name w:val="Header and Footer"/>
    <w:basedOn w:val="Normal"/>
    <w:qFormat/>
    <w:pPr>
      <w:suppressLineNumbers/>
      <w:tabs>
        <w:tab w:val="center" w:pos="4819"/>
        <w:tab w:val="right" w:pos="9638"/>
      </w:tabs>
    </w:pPr>
  </w:style>
  <w:style w:type="paragraph" w:styleId="Footer">
    <w:name w:val="footer"/>
    <w:basedOn w:val="Normal"/>
    <w:pPr>
      <w:suppressLineNumbers/>
      <w:tabs>
        <w:tab w:val="center" w:pos="4818"/>
        <w:tab w:val="right" w:pos="9637"/>
      </w:tabs>
    </w:pPr>
  </w:style>
  <w:style w:type="paragraph" w:styleId="Header">
    <w:name w:val="header"/>
    <w:basedOn w:val="Normal"/>
    <w:pPr>
      <w:suppressLineNumbers/>
      <w:tabs>
        <w:tab w:val="center" w:pos="4818"/>
        <w:tab w:val="right" w:pos="9637"/>
      </w:tabs>
    </w:pPr>
  </w:style>
  <w:style w:type="paragraph" w:customStyle="1" w:styleId="Heading">
    <w:name w:val="Heading"/>
    <w:basedOn w:val="Normal"/>
    <w:next w:val="BodyText"/>
    <w:qFormat/>
    <w:pPr>
      <w:keepNext/>
      <w:spacing w:before="240" w:after="283"/>
    </w:pPr>
    <w:rPr>
      <w:rFonts w:ascii="Liberation Sans" w:hAnsi="Liberation Sans"/>
      <w:sz w:val="28"/>
      <w:szCs w:val="28"/>
    </w:rPr>
  </w:style>
  <w:style w:type="paragraph" w:customStyle="1" w:styleId="Index">
    <w:name w:val="Index"/>
    <w:basedOn w:val="Normal"/>
    <w:qFormat/>
    <w:pPr>
      <w:suppressLineNumbers/>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List">
    <w:name w:val="List"/>
    <w:basedOn w:val="BodyText"/>
    <w:rPr>
      <w:rFonts w:cs="Lohit Devanagari"/>
    </w:rPr>
  </w:style>
  <w:style w:type="paragraph" w:customStyle="1" w:styleId="BlockQuotation">
    <w:name w:val="Block Quotation"/>
    <w:basedOn w:val="Normal"/>
    <w:qFormat/>
    <w:pPr>
      <w:pBdr>
        <w:left w:val="single" w:sz="24" w:space="9" w:color="5B9BD5"/>
      </w:pBdr>
      <w:spacing w:before="150" w:after="150"/>
      <w:ind w:left="150" w:right="150"/>
    </w:pPr>
  </w:style>
  <w:style w:type="paragraph" w:customStyle="1" w:styleId="TableHeading">
    <w:name w:val="Table Heading"/>
    <w:basedOn w:val="TableContents"/>
    <w:qFormat/>
    <w:pPr>
      <w:suppressLineNumbers/>
      <w:jc w:val="center"/>
    </w:pPr>
    <w:rPr>
      <w:b/>
      <w:bCs/>
      <w:color w:val="17365D"/>
    </w:rPr>
  </w:style>
  <w:style w:type="paragraph" w:styleId="NormalWeb">
    <w:name w:val="Normal (Web)"/>
    <w:basedOn w:val="Normal"/>
    <w:uiPriority w:val="99"/>
    <w:semiHidden/>
    <w:unhideWhenUsed/>
    <w:rsid w:val="00656161"/>
    <w:rPr>
      <w:rFonts w:ascii="Times New Roman" w:hAnsi="Times New Roman" w:cs="Mang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12</Pages>
  <Words>3626</Words>
  <Characters>20671</Characters>
  <Application>Microsoft Office Word</Application>
  <DocSecurity>0</DocSecurity>
  <Lines>172</Lines>
  <Paragraphs>48</Paragraphs>
  <ScaleCrop>false</ScaleCrop>
  <Company/>
  <LinksUpToDate>false</LinksUpToDate>
  <CharactersWithSpaces>24249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Sahar Ahmed</dc:creator>
  <dc:description/>
  <cp:lastModifiedBy>Sahar Ahmed</cp:lastModifiedBy>
  <cp:revision>18</cp:revision>
  <dcterms:created xsi:type="dcterms:W3CDTF">2026-08-18T20:24:00Z</dcterms:created>
  <dcterms:modified xsi:type="dcterms:W3CDTF">2026-08-19T19:53:00Z</dcterms:modified>
  <dc:language>en-US</dc:language>
</cp:coreProperties>
</file>