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E3252" w:rsidRDefault="009125CE" w:rsidP="007E3252">
      <w:pPr>
        <w:spacing w:line="360" w:lineRule="auto"/>
        <w:rPr>
          <w:rFonts w:ascii="Simplified Arabic" w:hAnsi="Simplified Arabic" w:cs="Simplified Arabic"/>
          <w:b/>
          <w:bCs/>
          <w:sz w:val="32"/>
          <w:szCs w:val="32"/>
          <w:lang w:bidi="ar-EG"/>
        </w:rPr>
      </w:pPr>
      <w:r w:rsidRPr="007E3252">
        <w:rPr>
          <w:rFonts w:ascii="Simplified Arabic" w:hAnsi="Simplified Arabic" w:cs="Simplified Arabic" w:hint="cs"/>
          <w:b/>
          <w:bCs/>
          <w:sz w:val="32"/>
          <w:szCs w:val="32"/>
          <w:rtl/>
          <w:lang w:bidi="ar-EG"/>
        </w:rPr>
        <w:t xml:space="preserve">جامعة </w:t>
      </w:r>
      <w:proofErr w:type="spellStart"/>
      <w:r w:rsidRPr="007E3252">
        <w:rPr>
          <w:rFonts w:ascii="Simplified Arabic" w:hAnsi="Simplified Arabic" w:cs="Simplified Arabic" w:hint="cs"/>
          <w:b/>
          <w:bCs/>
          <w:sz w:val="32"/>
          <w:szCs w:val="32"/>
          <w:rtl/>
          <w:lang w:bidi="ar-EG"/>
        </w:rPr>
        <w:t>ميدأوشن</w:t>
      </w:r>
      <w:proofErr w:type="spellEnd"/>
      <w:r w:rsidRPr="007E3252">
        <w:rPr>
          <w:rFonts w:ascii="Simplified Arabic" w:hAnsi="Simplified Arabic" w:cs="Simplified Arabic" w:hint="cs"/>
          <w:b/>
          <w:bCs/>
          <w:sz w:val="32"/>
          <w:szCs w:val="32"/>
          <w:rtl/>
          <w:lang w:bidi="ar-EG"/>
        </w:rPr>
        <w:t xml:space="preserve"> </w:t>
      </w:r>
    </w:p>
    <w:p w14:paraId="15DB0F8E" w14:textId="1E7A5220" w:rsidR="00162056" w:rsidRPr="007E3252" w:rsidRDefault="009125CE" w:rsidP="007E3252">
      <w:pPr>
        <w:spacing w:line="360" w:lineRule="auto"/>
        <w:rPr>
          <w:rFonts w:ascii="Simplified Arabic" w:hAnsi="Simplified Arabic" w:cs="Simplified Arabic"/>
          <w:b/>
          <w:bCs/>
          <w:sz w:val="32"/>
          <w:szCs w:val="32"/>
          <w:rtl/>
          <w:lang w:bidi="ar-EG"/>
        </w:rPr>
      </w:pPr>
      <w:r w:rsidRPr="007E3252">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3252">
        <w:rPr>
          <w:rFonts w:ascii="Simplified Arabic" w:hAnsi="Simplified Arabic" w:cs="Simplified Arabic" w:hint="cs"/>
          <w:b/>
          <w:bCs/>
          <w:sz w:val="32"/>
          <w:szCs w:val="32"/>
          <w:rtl/>
          <w:lang w:bidi="ar-EG"/>
        </w:rPr>
        <w:t xml:space="preserve">كلية </w:t>
      </w:r>
      <w:r w:rsidR="00162056" w:rsidRPr="007E3252">
        <w:rPr>
          <w:rFonts w:ascii="Simplified Arabic" w:hAnsi="Simplified Arabic" w:cs="Simplified Arabic" w:hint="cs"/>
          <w:b/>
          <w:bCs/>
          <w:sz w:val="32"/>
          <w:szCs w:val="32"/>
          <w:rtl/>
          <w:lang w:bidi="ar-EG"/>
        </w:rPr>
        <w:t xml:space="preserve">الإدارة </w:t>
      </w:r>
    </w:p>
    <w:p w14:paraId="3A7BF367" w14:textId="47557585" w:rsidR="009125CE" w:rsidRPr="007E3252" w:rsidRDefault="009125CE" w:rsidP="007E3252">
      <w:pPr>
        <w:spacing w:line="360" w:lineRule="auto"/>
        <w:rPr>
          <w:rFonts w:ascii="Simplified Arabic" w:hAnsi="Simplified Arabic" w:cs="Simplified Arabic"/>
          <w:b/>
          <w:bCs/>
          <w:sz w:val="32"/>
          <w:szCs w:val="32"/>
          <w:rtl/>
          <w:lang w:bidi="ar-EG"/>
        </w:rPr>
      </w:pPr>
      <w:r w:rsidRPr="007E3252">
        <w:rPr>
          <w:rFonts w:ascii="Simplified Arabic" w:hAnsi="Simplified Arabic" w:cs="Simplified Arabic" w:hint="cs"/>
          <w:b/>
          <w:bCs/>
          <w:sz w:val="32"/>
          <w:szCs w:val="32"/>
          <w:rtl/>
          <w:lang w:bidi="ar-EG"/>
        </w:rPr>
        <w:t>قسم / تخصص.</w:t>
      </w:r>
      <w:r w:rsidR="007723BC" w:rsidRPr="007E3252">
        <w:rPr>
          <w:rFonts w:ascii="Simplified Arabic" w:hAnsi="Simplified Arabic" w:cs="Simplified Arabic" w:hint="cs"/>
          <w:b/>
          <w:bCs/>
          <w:sz w:val="32"/>
          <w:szCs w:val="32"/>
          <w:rtl/>
          <w:lang w:bidi="ar-EG"/>
        </w:rPr>
        <w:t xml:space="preserve"> </w:t>
      </w:r>
      <w:r w:rsidR="005A2EFA" w:rsidRPr="007E3252">
        <w:rPr>
          <w:rFonts w:ascii="Simplified Arabic" w:hAnsi="Simplified Arabic" w:cs="Simplified Arabic" w:hint="cs"/>
          <w:b/>
          <w:bCs/>
          <w:sz w:val="32"/>
          <w:szCs w:val="32"/>
          <w:rtl/>
          <w:lang w:bidi="ar-EG"/>
        </w:rPr>
        <w:t xml:space="preserve">ماجستير </w:t>
      </w:r>
      <w:r w:rsidR="00162056" w:rsidRPr="007E3252">
        <w:rPr>
          <w:rFonts w:ascii="Simplified Arabic" w:hAnsi="Simplified Arabic" w:cs="Simplified Arabic" w:hint="cs"/>
          <w:b/>
          <w:bCs/>
          <w:sz w:val="32"/>
          <w:szCs w:val="32"/>
          <w:rtl/>
          <w:lang w:bidi="ar-EG"/>
        </w:rPr>
        <w:t xml:space="preserve">إدارة </w:t>
      </w:r>
      <w:r w:rsidR="007E5923" w:rsidRPr="007E3252">
        <w:rPr>
          <w:rFonts w:ascii="Simplified Arabic" w:hAnsi="Simplified Arabic" w:cs="Simplified Arabic" w:hint="cs"/>
          <w:b/>
          <w:bCs/>
          <w:sz w:val="32"/>
          <w:szCs w:val="32"/>
          <w:rtl/>
          <w:lang w:bidi="ar-EG"/>
        </w:rPr>
        <w:t xml:space="preserve">المخاطر </w:t>
      </w:r>
    </w:p>
    <w:p w14:paraId="5F6542BF" w14:textId="77777777" w:rsidR="009125CE" w:rsidRPr="007E3252" w:rsidRDefault="009125CE" w:rsidP="007E3252">
      <w:pPr>
        <w:spacing w:line="360" w:lineRule="auto"/>
        <w:rPr>
          <w:rFonts w:ascii="Simplified Arabic" w:hAnsi="Simplified Arabic" w:cs="Simplified Arabic"/>
          <w:sz w:val="32"/>
          <w:szCs w:val="32"/>
          <w:rtl/>
          <w:lang w:bidi="ar-EG"/>
        </w:rPr>
      </w:pPr>
    </w:p>
    <w:p w14:paraId="08401F45" w14:textId="6BD02D4E" w:rsidR="009125CE" w:rsidRPr="007E3252" w:rsidRDefault="00A74F76" w:rsidP="009E5998">
      <w:pPr>
        <w:spacing w:line="360" w:lineRule="auto"/>
        <w:jc w:val="center"/>
        <w:rPr>
          <w:rFonts w:ascii="Simplified Arabic" w:hAnsi="Simplified Arabic" w:cs="Simplified Arabic"/>
          <w:b/>
          <w:bCs/>
          <w:sz w:val="32"/>
          <w:szCs w:val="32"/>
          <w:rtl/>
          <w:lang w:bidi="ar-EG"/>
        </w:rPr>
      </w:pPr>
      <w:r w:rsidRPr="007E3252">
        <w:rPr>
          <w:rFonts w:ascii="Simplified Arabic" w:hAnsi="Simplified Arabic" w:cs="Simplified Arabic" w:hint="cs"/>
          <w:b/>
          <w:bCs/>
          <w:sz w:val="32"/>
          <w:szCs w:val="32"/>
          <w:rtl/>
          <w:lang w:bidi="ar-EG"/>
        </w:rPr>
        <w:t>عنوان البحث</w:t>
      </w:r>
    </w:p>
    <w:p w14:paraId="12740327" w14:textId="72306766" w:rsidR="0048205B" w:rsidRPr="007E3252" w:rsidRDefault="00711101" w:rsidP="007E3252">
      <w:pPr>
        <w:spacing w:line="360" w:lineRule="auto"/>
        <w:jc w:val="center"/>
        <w:rPr>
          <w:rFonts w:ascii="Simplified Arabic" w:hAnsi="Simplified Arabic" w:cs="Simplified Arabic"/>
          <w:sz w:val="32"/>
          <w:szCs w:val="32"/>
          <w:rtl/>
          <w:lang w:bidi="ar-EG"/>
        </w:rPr>
      </w:pPr>
      <w:r w:rsidRPr="007E3252">
        <w:rPr>
          <w:rFonts w:ascii="Simplified Arabic" w:hAnsi="Simplified Arabic" w:cs="Simplified Arabic" w:hint="cs"/>
          <w:sz w:val="32"/>
          <w:szCs w:val="32"/>
          <w:rtl/>
          <w:lang w:bidi="ar-EG"/>
        </w:rPr>
        <w:t>تحليل إدارة مخاطر أسعار الطاقة وتقلباتها على الميزانية العامة للدولة في المملكة العربية السعودية.</w:t>
      </w:r>
    </w:p>
    <w:p w14:paraId="0D2460F1" w14:textId="31788BDC" w:rsidR="00B95AAE" w:rsidRPr="007E3252" w:rsidRDefault="000D7719" w:rsidP="007E3252">
      <w:pPr>
        <w:spacing w:line="360" w:lineRule="auto"/>
        <w:jc w:val="center"/>
        <w:rPr>
          <w:rFonts w:ascii="Simplified Arabic" w:hAnsi="Simplified Arabic" w:cs="Simplified Arabic"/>
          <w:b/>
          <w:bCs/>
          <w:sz w:val="32"/>
          <w:szCs w:val="32"/>
          <w:rtl/>
          <w:lang w:bidi="ar-EG"/>
        </w:rPr>
      </w:pPr>
      <w:r w:rsidRPr="007E3252">
        <w:rPr>
          <w:rFonts w:ascii="Simplified Arabic" w:hAnsi="Simplified Arabic" w:cs="Simplified Arabic" w:hint="cs"/>
          <w:sz w:val="32"/>
          <w:szCs w:val="32"/>
          <w:rtl/>
          <w:lang w:bidi="ar-EG"/>
        </w:rPr>
        <w:t xml:space="preserve">إعداد </w:t>
      </w:r>
      <w:r w:rsidR="00DD0CFC" w:rsidRPr="007E3252">
        <w:rPr>
          <w:rFonts w:ascii="Simplified Arabic" w:hAnsi="Simplified Arabic" w:cs="Simplified Arabic" w:hint="cs"/>
          <w:sz w:val="32"/>
          <w:szCs w:val="32"/>
          <w:rtl/>
          <w:lang w:bidi="ar-EG"/>
        </w:rPr>
        <w:t xml:space="preserve">الطالب </w:t>
      </w:r>
      <w:r w:rsidRPr="007E3252">
        <w:rPr>
          <w:rFonts w:ascii="Simplified Arabic" w:hAnsi="Simplified Arabic" w:cs="Simplified Arabic" w:hint="cs"/>
          <w:sz w:val="32"/>
          <w:szCs w:val="32"/>
          <w:rtl/>
          <w:lang w:bidi="ar-EG"/>
        </w:rPr>
        <w:t xml:space="preserve">/ </w:t>
      </w:r>
      <w:r w:rsidR="00711101" w:rsidRPr="007E3252">
        <w:rPr>
          <w:rFonts w:ascii="Simplified Arabic" w:hAnsi="Simplified Arabic" w:cs="Simplified Arabic" w:hint="cs"/>
          <w:b/>
          <w:bCs/>
          <w:sz w:val="32"/>
          <w:szCs w:val="32"/>
          <w:rtl/>
          <w:lang w:bidi="ar-EG"/>
        </w:rPr>
        <w:t xml:space="preserve">محمد عبدالله الفوزان </w:t>
      </w:r>
    </w:p>
    <w:p w14:paraId="5F4EE2DE" w14:textId="0EFCA3CB" w:rsidR="009125CE" w:rsidRPr="007E3252" w:rsidRDefault="009125CE" w:rsidP="007E3252">
      <w:pPr>
        <w:spacing w:line="360" w:lineRule="auto"/>
        <w:jc w:val="center"/>
        <w:rPr>
          <w:rFonts w:ascii="Simplified Arabic" w:hAnsi="Simplified Arabic" w:cs="Simplified Arabic"/>
          <w:b/>
          <w:bCs/>
          <w:sz w:val="32"/>
          <w:szCs w:val="32"/>
          <w:rtl/>
          <w:lang w:bidi="ar-EG"/>
        </w:rPr>
      </w:pPr>
      <w:r w:rsidRPr="007E3252">
        <w:rPr>
          <w:rFonts w:ascii="Simplified Arabic" w:hAnsi="Simplified Arabic" w:cs="Simplified Arabic" w:hint="cs"/>
          <w:b/>
          <w:bCs/>
          <w:sz w:val="32"/>
          <w:szCs w:val="32"/>
          <w:rtl/>
          <w:lang w:bidi="ar-EG"/>
        </w:rPr>
        <w:t>إشراف/</w:t>
      </w:r>
    </w:p>
    <w:p w14:paraId="1E855BCD" w14:textId="77777777" w:rsidR="0094033A" w:rsidRPr="007E3252" w:rsidRDefault="0094033A" w:rsidP="007E3252">
      <w:pPr>
        <w:spacing w:line="360" w:lineRule="auto"/>
        <w:jc w:val="center"/>
        <w:rPr>
          <w:rFonts w:ascii="Simplified Arabic" w:hAnsi="Simplified Arabic" w:cs="Simplified Arabic"/>
          <w:b/>
          <w:bCs/>
          <w:sz w:val="32"/>
          <w:szCs w:val="32"/>
          <w:rtl/>
          <w:lang w:bidi="ar-EG"/>
        </w:rPr>
      </w:pPr>
      <w:r w:rsidRPr="007E3252">
        <w:rPr>
          <w:rFonts w:ascii="Simplified Arabic" w:hAnsi="Simplified Arabic" w:cs="Simplified Arabic" w:hint="cs"/>
          <w:b/>
          <w:bCs/>
          <w:sz w:val="32"/>
          <w:szCs w:val="32"/>
          <w:rtl/>
          <w:lang w:bidi="ar-EG"/>
        </w:rPr>
        <w:t>د.الفيصل  عبدالحميد محمد</w:t>
      </w:r>
    </w:p>
    <w:p w14:paraId="03F71B06" w14:textId="7D1F89EE" w:rsidR="0072453C" w:rsidRPr="007E3252" w:rsidRDefault="0094033A" w:rsidP="007E3252">
      <w:pPr>
        <w:spacing w:line="360" w:lineRule="auto"/>
        <w:jc w:val="center"/>
        <w:rPr>
          <w:rFonts w:ascii="Simplified Arabic" w:hAnsi="Simplified Arabic" w:cs="Simplified Arabic"/>
          <w:b/>
          <w:bCs/>
          <w:sz w:val="32"/>
          <w:szCs w:val="32"/>
          <w:rtl/>
          <w:lang w:bidi="ar-EG"/>
        </w:rPr>
      </w:pPr>
      <w:proofErr w:type="spellStart"/>
      <w:r w:rsidRPr="007E3252">
        <w:rPr>
          <w:rFonts w:ascii="Simplified Arabic" w:hAnsi="Simplified Arabic" w:cs="Simplified Arabic" w:hint="cs"/>
          <w:b/>
          <w:bCs/>
          <w:sz w:val="32"/>
          <w:szCs w:val="32"/>
          <w:rtl/>
          <w:lang w:bidi="ar-EG"/>
        </w:rPr>
        <w:t>دفايز</w:t>
      </w:r>
      <w:proofErr w:type="spellEnd"/>
      <w:r w:rsidRPr="007E3252">
        <w:rPr>
          <w:rFonts w:ascii="Simplified Arabic" w:hAnsi="Simplified Arabic" w:cs="Simplified Arabic" w:hint="cs"/>
          <w:b/>
          <w:bCs/>
          <w:sz w:val="32"/>
          <w:szCs w:val="32"/>
          <w:rtl/>
          <w:lang w:bidi="ar-EG"/>
        </w:rPr>
        <w:t xml:space="preserve"> علي الجراد</w:t>
      </w:r>
    </w:p>
    <w:p w14:paraId="020595DB" w14:textId="77777777" w:rsidR="00975E4C" w:rsidRPr="007E3252" w:rsidRDefault="00975E4C" w:rsidP="007E3252">
      <w:pPr>
        <w:spacing w:line="360" w:lineRule="auto"/>
        <w:rPr>
          <w:rFonts w:ascii="Simplified Arabic" w:hAnsi="Simplified Arabic" w:cs="Simplified Arabic"/>
          <w:b/>
          <w:bCs/>
          <w:sz w:val="32"/>
          <w:szCs w:val="32"/>
          <w:rtl/>
          <w:lang w:bidi="ar-EG"/>
        </w:rPr>
      </w:pPr>
    </w:p>
    <w:p w14:paraId="4ABCF5F5" w14:textId="7456C4C6" w:rsidR="00A74F76" w:rsidRPr="007E3252" w:rsidRDefault="009125CE" w:rsidP="007E3252">
      <w:pPr>
        <w:spacing w:line="360" w:lineRule="auto"/>
        <w:jc w:val="center"/>
        <w:rPr>
          <w:rFonts w:ascii="Simplified Arabic" w:hAnsi="Simplified Arabic" w:cs="Simplified Arabic"/>
          <w:b/>
          <w:bCs/>
          <w:sz w:val="32"/>
          <w:szCs w:val="32"/>
          <w:rtl/>
          <w:lang w:bidi="ar-EG"/>
        </w:rPr>
      </w:pPr>
      <w:r w:rsidRPr="007E3252">
        <w:rPr>
          <w:rFonts w:ascii="Simplified Arabic" w:hAnsi="Simplified Arabic" w:cs="Simplified Arabic" w:hint="cs"/>
          <w:b/>
          <w:bCs/>
          <w:sz w:val="32"/>
          <w:szCs w:val="32"/>
          <w:rtl/>
          <w:lang w:bidi="ar-EG"/>
        </w:rPr>
        <w:t>العام الدراسي:</w:t>
      </w:r>
    </w:p>
    <w:p w14:paraId="7EABF6F0" w14:textId="30DAF83B" w:rsidR="004D3548" w:rsidRDefault="009E5998" w:rsidP="004D3548">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5BED2605" w14:textId="77777777" w:rsidR="004D3548" w:rsidRPr="004D3548" w:rsidRDefault="004D3548" w:rsidP="004D3548">
      <w:pPr>
        <w:spacing w:line="360" w:lineRule="auto"/>
        <w:jc w:val="center"/>
        <w:rPr>
          <w:rFonts w:ascii="Simplified Arabic" w:hAnsi="Simplified Arabic" w:cs="Simplified Arabic"/>
          <w:b/>
          <w:bCs/>
          <w:sz w:val="32"/>
          <w:szCs w:val="32"/>
          <w:rtl/>
          <w:lang w:bidi="ar-EG"/>
        </w:rPr>
      </w:pPr>
    </w:p>
    <w:p w14:paraId="22ED04E2" w14:textId="77777777" w:rsidR="004D3548" w:rsidRPr="004D3548" w:rsidRDefault="004D3548" w:rsidP="004D3548">
      <w:pPr>
        <w:rPr>
          <w:rtl/>
        </w:rPr>
      </w:pPr>
    </w:p>
    <w:p w14:paraId="4D3205C4" w14:textId="1BF2301F" w:rsidR="008D5845" w:rsidRPr="007E3252" w:rsidRDefault="008D5845"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 xml:space="preserve"> مقدمة الدراسة</w:t>
      </w:r>
    </w:p>
    <w:p w14:paraId="0E55386B" w14:textId="17F8AC3F" w:rsidR="008D5845" w:rsidRPr="007E3252" w:rsidRDefault="008D5845"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 xml:space="preserve">تُعد المملكة العربية السعودية أكبر مُصدر للنفط الخام في العالم، ويُشكل قطاع الطاقة العمود الفقري للاقتصاد الوطني، حيث تُمثل إيراداته النسبة الأكبر من الإيرادات العامة للدولة. وعليه، فإن الميزانية العامة للمملكة، بما تتضمنه من خطط إنفاق رأسمالي وتشغيلي وبرامج تنموية، تظل عرضة للتأثر المباشر والمكثف بتقلبات أسعار النفط العالمية. لقد شهدت أسواق الطاقة الدولية، تاريخياً وحديثاً، مستويات غير مسبوقة من التذبذب نتيجة للعوامل الجيوسياسية، والتغيرات الاقتصادية العالمية، والتحولات في سياسات الطاقة، مما يفرض تحديات جمة على صانعي القرار في المملكة لتحقيق الاستقرار المالي وكفاءة التخطيط الاقتصادي. </w:t>
      </w:r>
    </w:p>
    <w:p w14:paraId="76621ADD" w14:textId="77777777" w:rsidR="008D5845" w:rsidRPr="007E3252" w:rsidRDefault="008D5845"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 xml:space="preserve">وفي ظل رؤية المملكة 2030 الطموحة، التي تستهدف تنويع مصادر الدخل والحد من الاعتماد على النفط، تبرز الحاجة المُلحة لتبني أطر متقدمة لإدارة المخاطر المالية المرتبطة بأسعار الطاقة. إن كفاءة إدارة هذه المخاطر تُعد عنصراً حيوياً لضمان استدامة الإنفاق العام، والقدرة على تنفيذ المشاريع الكبرى، والحفاظ على مستويات الدين العام عند الحدود الآمنة، بعيداً عن الصدمات السعرية المفاجئة التي قد تُحدث عجزاً أو فائضاً كبيراً غير مخطط له في الميزانية. لذا، تسعى هذه الدراسة إلى تحليل وتقييم آليات إدارة مخاطر </w:t>
      </w:r>
      <w:r w:rsidRPr="007E3252">
        <w:rPr>
          <w:rFonts w:ascii="Simplified Arabic" w:hAnsi="Simplified Arabic" w:cs="Simplified Arabic" w:hint="cs"/>
          <w:color w:val="1B1C1D"/>
          <w:sz w:val="32"/>
          <w:szCs w:val="32"/>
          <w:rtl/>
        </w:rPr>
        <w:lastRenderedPageBreak/>
        <w:t>أسعار الطاقة المتبعة وتحديد الاستراتيجيات المثلى لتعزيز المرونة المالية للميزانية العامة في المملكة العربية السعودية.</w:t>
      </w:r>
    </w:p>
    <w:p w14:paraId="2CAD97C2" w14:textId="77777777" w:rsidR="008D5845" w:rsidRPr="007E3252" w:rsidRDefault="008D5845"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2. مشكلة الدراسة</w:t>
      </w:r>
    </w:p>
    <w:p w14:paraId="1AA3B08A" w14:textId="77777777" w:rsidR="008D5845" w:rsidRPr="007E3252" w:rsidRDefault="008D5845"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تنبع مشكلة الدراسة من التناقض الجوهري بين الحاجة إلى استقرار مالي مستدام لتنفيذ رؤية 2030 من جهة، والطبيعة المتقلبة وغير المستقرة لإيرادات النفط التي تشكل المصدر الرئيسي للميزانية من جهة أخرى. هذا التذبذب يُعيق القدرة على التنبؤ الدقيق بالإيرادات العامة ويُضعف كفاءة التخطيط المالي طويل الأجل، مما يؤدي إلى دورات إنفاق غير مستقرة ترتبط بأسعار النفط بدلاً من الاحتياجات الاقتصادية الحقيقية.</w:t>
      </w:r>
    </w:p>
    <w:p w14:paraId="14B8676A" w14:textId="77777777" w:rsidR="008D5845" w:rsidRPr="007E3252" w:rsidRDefault="008D5845"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المشكلة الرئيسية:</w:t>
      </w:r>
    </w:p>
    <w:p w14:paraId="016419B7" w14:textId="77777777" w:rsidR="008D5845" w:rsidRPr="007E3252" w:rsidRDefault="008D5845"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هو مستوى تأثير تقلبات أسعار الطاقة على كفاءة إدارة الميزانية العامة للدولة في المملكة العربية السعودية، وما هي فاعلية الأدوات الحالية المتبعة لإدارة هذه المخاطر في تحقيق الاستقرار المالي المنشود؟</w:t>
      </w:r>
    </w:p>
    <w:p w14:paraId="783B2A8A" w14:textId="77777777" w:rsidR="008D5845" w:rsidRPr="007E3252" w:rsidRDefault="008D5845"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الأسئلة الفرعية المنبثقة:</w:t>
      </w:r>
    </w:p>
    <w:p w14:paraId="10DBDEA8" w14:textId="77777777" w:rsidR="008D5845" w:rsidRPr="007E3252" w:rsidRDefault="008D5845" w:rsidP="007E3252">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هي طبيعة وحجم الأثر المباشر لتقلبات أسعار النفط على كل من الإيرادات والنفقات والعجز/الفائض في الميزانية العامة السعودية خلال الفترة الزمنية المحددة للدراسة؟</w:t>
      </w:r>
    </w:p>
    <w:p w14:paraId="5DF98EE6" w14:textId="77777777" w:rsidR="008D5845" w:rsidRPr="007E3252" w:rsidRDefault="008D5845" w:rsidP="007E3252">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lastRenderedPageBreak/>
        <w:t>ما هي الأدوات والآليات المالية الحالية (إن وجدت) التي تتبناها المملكة لإدارة مخاطر أسعار الطاقة على الإيرادات (مثل صناديق الثروة السيادية، أو سياسات الموازنة التقديرية، أو أدوات التحوط)؟</w:t>
      </w:r>
    </w:p>
    <w:p w14:paraId="49EBEC6A" w14:textId="77777777" w:rsidR="008D5845" w:rsidRPr="007E3252" w:rsidRDefault="008D5845" w:rsidP="007E3252">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مدى فعالية هذه الأدوات والآليات في عزل الميزانية عن صدمات أسعار النفط وتحقيق استقرار في الإنفاق العام؟</w:t>
      </w:r>
    </w:p>
    <w:p w14:paraId="7AD976B2" w14:textId="77777777" w:rsidR="008D5845" w:rsidRPr="007E3252" w:rsidRDefault="008D5845" w:rsidP="007E3252">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هي الاستراتيجيات والسياسات المُقترحة (التحوط المالي، التنويع الاقتصادي، الأطر التنظيمية) التي يُمكن للمملكة تبنيها لتعزيز قدرتها على إدارة مخاطر أسعار الطاقة وتحقيق مرونة مالية أكبر؟</w:t>
      </w:r>
    </w:p>
    <w:p w14:paraId="03AB82DA" w14:textId="77777777" w:rsidR="008D5845" w:rsidRPr="007E3252" w:rsidRDefault="008D5845"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3. أهمية الدراسة</w:t>
      </w:r>
    </w:p>
    <w:p w14:paraId="65C7A628" w14:textId="77777777" w:rsidR="008D5845" w:rsidRPr="007E3252" w:rsidRDefault="008D5845"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الأهمية العلمية للدراسة:</w:t>
      </w:r>
    </w:p>
    <w:p w14:paraId="373E38E1" w14:textId="77777777" w:rsidR="008D5845" w:rsidRPr="007E3252" w:rsidRDefault="008D5845" w:rsidP="007E3252">
      <w:pPr>
        <w:pStyle w:val="a5"/>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تُسهم هذه الدراسة في إثراء المكتبة العربية والأجنبية من خلال:</w:t>
      </w:r>
    </w:p>
    <w:p w14:paraId="6918DC3D" w14:textId="77777777" w:rsidR="008D5845" w:rsidRPr="007E3252" w:rsidRDefault="008D5845" w:rsidP="007E3252">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تقديم إطار تحليلي متعمق يربط بين تقلبات أسواق الطاقة الدولية ومؤشرات الأداء المالي للدول الريعية الكبرى، مع التركيز على الحالة السعودية الفريدة.</w:t>
      </w:r>
    </w:p>
    <w:p w14:paraId="79C5FB74" w14:textId="77777777" w:rsidR="008D5845" w:rsidRPr="007E3252" w:rsidRDefault="008D5845" w:rsidP="007E3252">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تطوير أو تطبيق نموذج قياسي (</w:t>
      </w:r>
      <w:r w:rsidRPr="007E3252">
        <w:rPr>
          <w:rFonts w:ascii="Simplified Arabic" w:hAnsi="Simplified Arabic" w:cs="Simplified Arabic" w:hint="cs"/>
          <w:color w:val="1B1C1D"/>
          <w:sz w:val="32"/>
          <w:szCs w:val="32"/>
        </w:rPr>
        <w:t>Econometric Model</w:t>
      </w:r>
      <w:r w:rsidRPr="007E3252">
        <w:rPr>
          <w:rFonts w:ascii="Simplified Arabic" w:hAnsi="Simplified Arabic" w:cs="Simplified Arabic" w:hint="cs"/>
          <w:color w:val="1B1C1D"/>
          <w:sz w:val="32"/>
          <w:szCs w:val="32"/>
          <w:rtl/>
        </w:rPr>
        <w:t>) لقياس الأثر التمويلي المباشر وغير المباشر لمخاطر أسعار الطاقة على مكونات الميزانية، مما يوفر أداة تحليلية يُمكن استخدامها في دراسات لاحقة.</w:t>
      </w:r>
    </w:p>
    <w:p w14:paraId="3B4C958A" w14:textId="77777777" w:rsidR="008D5845" w:rsidRPr="007E3252" w:rsidRDefault="008D5845" w:rsidP="007E3252">
      <w:pPr>
        <w:pStyle w:val="a5"/>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lastRenderedPageBreak/>
        <w:t>توفير تحليل نقدي لأدوات إدارة المخاطر التقليدية والمبتكرة في سياق المالية العامة، مثل استخدام المشتقات المالية أو استراتيجيات الميزانية الدورية، وهو ما يُعد إضافة نوعية في هذا المجال.</w:t>
      </w:r>
    </w:p>
    <w:p w14:paraId="0411A77A" w14:textId="77777777" w:rsidR="008D5845" w:rsidRPr="007E3252" w:rsidRDefault="008D5845"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الأهمية العملية للدراسة:</w:t>
      </w:r>
    </w:p>
    <w:p w14:paraId="3452ACB7" w14:textId="77777777" w:rsidR="008D5845" w:rsidRPr="007E3252" w:rsidRDefault="008D5845" w:rsidP="007E3252">
      <w:pPr>
        <w:pStyle w:val="a5"/>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تُقدم هذه الدراسة نتائج وتوصيات ذات قيمة مباشرة لصانعي القرار والجهات الحكومية في المملكة، وتشمل:</w:t>
      </w:r>
    </w:p>
    <w:p w14:paraId="62B8C790" w14:textId="77777777" w:rsidR="008D5845" w:rsidRPr="007E3252" w:rsidRDefault="008D5845" w:rsidP="007E3252">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دعم القرار المالي:</w:t>
      </w:r>
      <w:r w:rsidRPr="007E3252">
        <w:rPr>
          <w:rFonts w:ascii="Simplified Arabic" w:hAnsi="Simplified Arabic" w:cs="Simplified Arabic" w:hint="cs"/>
          <w:color w:val="1B1C1D"/>
          <w:sz w:val="32"/>
          <w:szCs w:val="32"/>
          <w:rtl/>
        </w:rPr>
        <w:t xml:space="preserve"> تزويد وزارة المالية والجهات الاقتصادية العليا بنتائج مبنية على أسس علمية لتطوير سياسات مالية أكثر مرونة واستجابةً لتقلبات الأسعار.</w:t>
      </w:r>
    </w:p>
    <w:p w14:paraId="65CCCC68" w14:textId="77777777" w:rsidR="008D5845" w:rsidRPr="007E3252" w:rsidRDefault="008D5845" w:rsidP="007E3252">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تعزيز الاستقرار:</w:t>
      </w:r>
      <w:r w:rsidRPr="007E3252">
        <w:rPr>
          <w:rFonts w:ascii="Simplified Arabic" w:hAnsi="Simplified Arabic" w:cs="Simplified Arabic" w:hint="cs"/>
          <w:color w:val="1B1C1D"/>
          <w:sz w:val="32"/>
          <w:szCs w:val="32"/>
          <w:rtl/>
        </w:rPr>
        <w:t xml:space="preserve"> المساعدة في تصميم إطار مالي يُمكنه فصل الإنفاق الحكومي عن التذبذب اللحظي لأسعار النفط، مما يدعم استدامة النمو الاقتصادي ويقلل من تأثير الصدمات على دورة الأعمال المحلية.</w:t>
      </w:r>
    </w:p>
    <w:p w14:paraId="7CCA9D9A" w14:textId="77777777" w:rsidR="008D5845" w:rsidRPr="007E3252" w:rsidRDefault="008D5845" w:rsidP="007E3252">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كفاءة التخطيط:</w:t>
      </w:r>
      <w:r w:rsidRPr="007E3252">
        <w:rPr>
          <w:rFonts w:ascii="Simplified Arabic" w:hAnsi="Simplified Arabic" w:cs="Simplified Arabic" w:hint="cs"/>
          <w:color w:val="1B1C1D"/>
          <w:sz w:val="32"/>
          <w:szCs w:val="32"/>
          <w:rtl/>
        </w:rPr>
        <w:t xml:space="preserve"> تقديم إرشادات عملية حول أفضل ممارسات التحوط المالي التي يُمكن للمملكة اعتمادها لحماية إيراداتها المستقبلية، بما يضمن كفاءة أكبر في تنفيذ برامج رؤية 2030.</w:t>
      </w:r>
    </w:p>
    <w:p w14:paraId="040D0566" w14:textId="77777777" w:rsidR="008D5845" w:rsidRPr="007E3252" w:rsidRDefault="008D5845" w:rsidP="007E3252">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تطوير الإدارة:</w:t>
      </w:r>
      <w:r w:rsidRPr="007E3252">
        <w:rPr>
          <w:rFonts w:ascii="Simplified Arabic" w:hAnsi="Simplified Arabic" w:cs="Simplified Arabic" w:hint="cs"/>
          <w:color w:val="1B1C1D"/>
          <w:sz w:val="32"/>
          <w:szCs w:val="32"/>
          <w:rtl/>
        </w:rPr>
        <w:t xml:space="preserve"> المساهمة في بناء قاعدة معرفية داخل المؤسسات الحكومية لتقييم وتطبيق أدوات إدارة المخاطر المتقدمة في سياق إيرادات الطاقة.</w:t>
      </w:r>
    </w:p>
    <w:p w14:paraId="34849A36" w14:textId="2AA52248" w:rsidR="00832114" w:rsidRPr="007E3252" w:rsidRDefault="00832114" w:rsidP="007E3252">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5E1CE21B" w14:textId="4F3E7897" w:rsidR="00832114" w:rsidRPr="007E3252" w:rsidRDefault="00832114"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lastRenderedPageBreak/>
        <w:t xml:space="preserve"> أهداف الدراسة</w:t>
      </w:r>
    </w:p>
    <w:p w14:paraId="151B1382" w14:textId="77777777" w:rsidR="00832114" w:rsidRPr="007E3252" w:rsidRDefault="00832114"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تهدف هذه الدراسة بشكل رئيسي إلى تحليل الأثر المترتب على تقلبات أسعار الطاقة على الميزانية العامة في المملكة العربية السعودية، وتقييم فاعلية آليات إدارة المخاطر المتبعة حالياً، واقتراح استراتيجيات متقدمة لتعزيز المرونة المالية.</w:t>
      </w:r>
    </w:p>
    <w:p w14:paraId="4AC812B4"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الهدف الرئيسي:</w:t>
      </w:r>
    </w:p>
    <w:p w14:paraId="7882713B" w14:textId="77777777" w:rsidR="00832114" w:rsidRPr="007E3252" w:rsidRDefault="00832114"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تحليل وقياس مستوى تأثير تقلبات أسعار الطاقة على كفاءة إدارة الميزانية العامة للدولة في المملكة العربية السعودية، وتقييم فاعلية الأدوات الحالية المتبعة لإدارة هذه المخاطر.</w:t>
      </w:r>
    </w:p>
    <w:p w14:paraId="3F3EEF93"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الأهداف الفرعية:</w:t>
      </w:r>
    </w:p>
    <w:p w14:paraId="6C79C014" w14:textId="77777777" w:rsidR="00832114" w:rsidRPr="007E3252" w:rsidRDefault="00832114" w:rsidP="007E3252">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قياس الأثر الكمي والمباشر لتقلبات أسعار النفط على الإيرادات والنفقات والعجز/الفائض في الميزانية العامة السعودية.</w:t>
      </w:r>
    </w:p>
    <w:p w14:paraId="15CAABC4" w14:textId="77777777" w:rsidR="00832114" w:rsidRPr="007E3252" w:rsidRDefault="00832114" w:rsidP="007E3252">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تحديد الأدوات والآليات المالية الحالية التي تتبناها المملكة لإدارة مخاطر أسعار الطاقة على مستوى الإيرادات.</w:t>
      </w:r>
    </w:p>
    <w:p w14:paraId="1B2C3248" w14:textId="77777777" w:rsidR="00832114" w:rsidRPr="007E3252" w:rsidRDefault="00832114" w:rsidP="007E3252">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تقييم مدى فاعلية الأدوات المطبقة حالياً في عزل الميزانية عن صدمات الأسعار وتحقيق استقرار في مستوى الإنفاق العام.</w:t>
      </w:r>
    </w:p>
    <w:p w14:paraId="0991B0DA" w14:textId="77777777" w:rsidR="00832114" w:rsidRPr="007E3252" w:rsidRDefault="00832114" w:rsidP="007E3252">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اقتراح مجموعة من الاستراتيجيات والسياسات المتقدمة لإدارة مخاطر أسعار الطاقة (مثل أدوات التحوط المالي والتنويع) لتعزيز المرونة المالية للميزانية.</w:t>
      </w:r>
    </w:p>
    <w:p w14:paraId="353A539E" w14:textId="36B926B1" w:rsidR="00832114" w:rsidRPr="007E3252" w:rsidRDefault="00832114"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lastRenderedPageBreak/>
        <w:t xml:space="preserve"> تساؤلات الدراسة</w:t>
      </w:r>
    </w:p>
    <w:p w14:paraId="292C9AB5"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التساؤل الرئيسي:</w:t>
      </w:r>
    </w:p>
    <w:p w14:paraId="2F37D258" w14:textId="77777777" w:rsidR="00832114" w:rsidRPr="007E3252" w:rsidRDefault="00832114"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مدى فاعلية السياسات والأدوات المعتمدة في المملكة العربية السعودية في إدارة المخاطر المالية الناجمة عن تقلبات أسعار الطاقة على استقرار الميزانية العامة؟</w:t>
      </w:r>
    </w:p>
    <w:p w14:paraId="0B8D437A"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التساؤلات الفرعية:</w:t>
      </w:r>
    </w:p>
    <w:p w14:paraId="45625A10" w14:textId="77777777" w:rsidR="00832114" w:rsidRPr="007E3252" w:rsidRDefault="00832114" w:rsidP="007E3252">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هو حجم الأثر المباشر لتقلبات أسعار النفط على كل من الإيرادات الكلية والنفقات والعجز/الفائض في الميزانية العامة خلال فترة الدراسة؟</w:t>
      </w:r>
    </w:p>
    <w:p w14:paraId="6926013C" w14:textId="77777777" w:rsidR="00832114" w:rsidRPr="007E3252" w:rsidRDefault="00832114" w:rsidP="007E3252">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هي أبرز الأدوات والآليات المالية المطبقة حالياً في المملكة للتعامل مع مخاطر تذبذب أسعار الطاقة (مثل استخدام الأصول الاحتياطية أو صناديق الثروة السيادية)؟</w:t>
      </w:r>
    </w:p>
    <w:p w14:paraId="720A4A70" w14:textId="77777777" w:rsidR="00832114" w:rsidRPr="007E3252" w:rsidRDefault="00832114" w:rsidP="007E3252">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هل تتمتع الأدوات الحالية بالقدرة الكافية على تحقيق استقرار في مستويات الإنفاق العام وفصلها عن الصدمات السعرية للنفط؟</w:t>
      </w:r>
    </w:p>
    <w:p w14:paraId="0FD69D42" w14:textId="77777777" w:rsidR="00832114" w:rsidRPr="007E3252" w:rsidRDefault="00832114" w:rsidP="007E3252">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ما هي الاستراتيجيات الأكثر ملاءمة (تحوط، تنويع، أطر موازنة دورية) التي يُمكن للمملكة اعتمادها لرفع قدرتها على إدارة المخاطر وتحقيق مرونة مالية؟</w:t>
      </w:r>
    </w:p>
    <w:p w14:paraId="375B961D" w14:textId="0506EA6B" w:rsidR="00832114" w:rsidRPr="007E3252" w:rsidRDefault="00832114"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lastRenderedPageBreak/>
        <w:t xml:space="preserve"> فرضيات الدراسة</w:t>
      </w:r>
    </w:p>
    <w:p w14:paraId="7AD2170A"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الفرضية الرئيسية:</w:t>
      </w:r>
    </w:p>
    <w:p w14:paraId="68CAC1E2" w14:textId="77777777" w:rsidR="00832114" w:rsidRPr="007E3252" w:rsidRDefault="00832114"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توجد علاقة ذات دلالة إحصائية بين تقلبات أسعار الطاقة (المتغير المستقل) وعدم استقرار مكونات الميزانية العامة للدولة في المملكة العربية السعودية (المتغير التابع).</w:t>
      </w:r>
    </w:p>
    <w:p w14:paraId="457CE07B"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الفرضيات الفرعية:</w:t>
      </w:r>
    </w:p>
    <w:p w14:paraId="62BC9F4E" w14:textId="77777777" w:rsidR="00832114" w:rsidRPr="007E3252" w:rsidRDefault="00832114" w:rsidP="007E3252">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يؤدي الارتفاع أو الانخفاض غير المتوقع في أسعار النفط إلى تأثير مباشر وكبير على حجم العجز أو الفائض في الميزانية العامة السعودية.</w:t>
      </w:r>
    </w:p>
    <w:p w14:paraId="79385E41" w14:textId="77777777" w:rsidR="00832114" w:rsidRPr="007E3252" w:rsidRDefault="00832114" w:rsidP="007E3252">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لا تكفي أدوات إدارة المخاطر الحالية (غير المتمثلة في أدوات التحوط المباشر) في حماية الإنفاق العام من التقلبات الحادة لأسعار النفط بشكل فعال وكامل.</w:t>
      </w:r>
    </w:p>
    <w:p w14:paraId="0284EB8A" w14:textId="77777777" w:rsidR="00832114" w:rsidRPr="007E3252" w:rsidRDefault="00832114" w:rsidP="007E3252">
      <w:pPr>
        <w:pStyle w:val="a5"/>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يُساهم تبني المملكة لاستراتيجيات التحوط المالي المتقدمة (</w:t>
      </w:r>
      <w:r w:rsidRPr="007E3252">
        <w:rPr>
          <w:rFonts w:ascii="Simplified Arabic" w:hAnsi="Simplified Arabic" w:cs="Simplified Arabic" w:hint="cs"/>
          <w:color w:val="1B1C1D"/>
          <w:sz w:val="32"/>
          <w:szCs w:val="32"/>
        </w:rPr>
        <w:t>Hedging</w:t>
      </w:r>
      <w:r w:rsidRPr="007E3252">
        <w:rPr>
          <w:rFonts w:ascii="Simplified Arabic" w:hAnsi="Simplified Arabic" w:cs="Simplified Arabic" w:hint="cs"/>
          <w:color w:val="1B1C1D"/>
          <w:sz w:val="32"/>
          <w:szCs w:val="32"/>
          <w:rtl/>
        </w:rPr>
        <w:t>) في تعزيز قدرة الميزانية العامة على امتصاص صدمات الأسعار السلبية.</w:t>
      </w:r>
    </w:p>
    <w:p w14:paraId="58A053B6" w14:textId="3AE40ACA" w:rsidR="00832114" w:rsidRPr="007E3252" w:rsidRDefault="00832114"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 xml:space="preserve"> مصطلحات الدراسة</w:t>
      </w:r>
    </w:p>
    <w:tbl>
      <w:tblPr>
        <w:tblStyle w:val="a8"/>
        <w:bidiVisual/>
        <w:tblW w:w="0" w:type="auto"/>
        <w:tblLook w:val="04A0" w:firstRow="1" w:lastRow="0" w:firstColumn="1" w:lastColumn="0" w:noHBand="0" w:noVBand="1"/>
      </w:tblPr>
      <w:tblGrid>
        <w:gridCol w:w="2712"/>
        <w:gridCol w:w="6110"/>
      </w:tblGrid>
      <w:tr w:rsidR="00832114" w:rsidRPr="007E3252" w14:paraId="1254414B" w14:textId="77777777" w:rsidTr="00832114">
        <w:tc>
          <w:tcPr>
            <w:tcW w:w="0" w:type="auto"/>
            <w:hideMark/>
          </w:tcPr>
          <w:p w14:paraId="19B85293" w14:textId="77777777" w:rsidR="00832114" w:rsidRPr="007E3252" w:rsidRDefault="00832114" w:rsidP="007E3252">
            <w:pPr>
              <w:spacing w:line="360" w:lineRule="auto"/>
              <w:rPr>
                <w:rFonts w:ascii="Simplified Arabic" w:eastAsia="Times New Roman" w:hAnsi="Simplified Arabic" w:cs="Simplified Arabic"/>
                <w:color w:val="1B1C1D"/>
                <w:sz w:val="32"/>
                <w:szCs w:val="32"/>
                <w:rtl/>
              </w:rPr>
            </w:pPr>
            <w:r w:rsidRPr="007E3252">
              <w:rPr>
                <w:rStyle w:val="a6"/>
                <w:rFonts w:ascii="Simplified Arabic" w:eastAsia="Times New Roman" w:hAnsi="Simplified Arabic" w:cs="Simplified Arabic" w:hint="cs"/>
                <w:color w:val="1B1C1D"/>
                <w:sz w:val="32"/>
                <w:szCs w:val="32"/>
                <w:bdr w:val="none" w:sz="0" w:space="0" w:color="auto" w:frame="1"/>
                <w:rtl/>
              </w:rPr>
              <w:t>المصطلح</w:t>
            </w:r>
          </w:p>
        </w:tc>
        <w:tc>
          <w:tcPr>
            <w:tcW w:w="0" w:type="auto"/>
            <w:hideMark/>
          </w:tcPr>
          <w:p w14:paraId="4F4482A1" w14:textId="77777777" w:rsidR="00832114" w:rsidRPr="007E3252" w:rsidRDefault="00832114" w:rsidP="007E3252">
            <w:pPr>
              <w:spacing w:line="360" w:lineRule="auto"/>
              <w:rPr>
                <w:rFonts w:ascii="Simplified Arabic" w:eastAsia="Times New Roman" w:hAnsi="Simplified Arabic" w:cs="Simplified Arabic"/>
                <w:color w:val="1B1C1D"/>
                <w:sz w:val="32"/>
                <w:szCs w:val="32"/>
                <w:rtl/>
              </w:rPr>
            </w:pPr>
            <w:r w:rsidRPr="007E3252">
              <w:rPr>
                <w:rStyle w:val="a6"/>
                <w:rFonts w:ascii="Simplified Arabic" w:eastAsia="Times New Roman" w:hAnsi="Simplified Arabic" w:cs="Simplified Arabic" w:hint="cs"/>
                <w:color w:val="1B1C1D"/>
                <w:sz w:val="32"/>
                <w:szCs w:val="32"/>
                <w:bdr w:val="none" w:sz="0" w:space="0" w:color="auto" w:frame="1"/>
                <w:rtl/>
              </w:rPr>
              <w:t>التعريف الإجرائي</w:t>
            </w:r>
          </w:p>
        </w:tc>
      </w:tr>
      <w:tr w:rsidR="00832114" w:rsidRPr="007E3252" w14:paraId="46821452" w14:textId="77777777" w:rsidTr="00832114">
        <w:tc>
          <w:tcPr>
            <w:tcW w:w="0" w:type="auto"/>
            <w:hideMark/>
          </w:tcPr>
          <w:p w14:paraId="455995D0"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أسعار الطاقة (</w:t>
            </w:r>
            <w:r w:rsidRPr="007E3252">
              <w:rPr>
                <w:rStyle w:val="a6"/>
                <w:rFonts w:ascii="Simplified Arabic" w:hAnsi="Simplified Arabic" w:cs="Simplified Arabic" w:hint="cs"/>
                <w:color w:val="1B1C1D"/>
                <w:sz w:val="32"/>
                <w:szCs w:val="32"/>
                <w:bdr w:val="none" w:sz="0" w:space="0" w:color="auto" w:frame="1"/>
              </w:rPr>
              <w:t>Energy Prices</w:t>
            </w:r>
            <w:r w:rsidRPr="007E3252">
              <w:rPr>
                <w:rStyle w:val="a6"/>
                <w:rFonts w:ascii="Simplified Arabic" w:hAnsi="Simplified Arabic" w:cs="Simplified Arabic" w:hint="cs"/>
                <w:color w:val="1B1C1D"/>
                <w:sz w:val="32"/>
                <w:szCs w:val="32"/>
                <w:bdr w:val="none" w:sz="0" w:space="0" w:color="auto" w:frame="1"/>
                <w:rtl/>
              </w:rPr>
              <w:t>)</w:t>
            </w:r>
          </w:p>
        </w:tc>
        <w:tc>
          <w:tcPr>
            <w:tcW w:w="0" w:type="auto"/>
            <w:hideMark/>
          </w:tcPr>
          <w:p w14:paraId="18D535EA"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يُقصد بها في هذه الدراسة سعر برميل النفط الخام (عادةً خام برنت أو خام غرب تكساس الوسيط)، بصفته المؤشر الرئيسي للإيرادات الحكومية في المملكة.</w:t>
            </w:r>
          </w:p>
        </w:tc>
      </w:tr>
      <w:tr w:rsidR="00832114" w:rsidRPr="007E3252" w14:paraId="2D3A3F2C" w14:textId="77777777" w:rsidTr="00832114">
        <w:tc>
          <w:tcPr>
            <w:tcW w:w="0" w:type="auto"/>
            <w:hideMark/>
          </w:tcPr>
          <w:p w14:paraId="07525E1E"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lastRenderedPageBreak/>
              <w:t>تقلبات الأسعار (</w:t>
            </w:r>
            <w:r w:rsidRPr="007E3252">
              <w:rPr>
                <w:rStyle w:val="a6"/>
                <w:rFonts w:ascii="Simplified Arabic" w:hAnsi="Simplified Arabic" w:cs="Simplified Arabic" w:hint="cs"/>
                <w:color w:val="1B1C1D"/>
                <w:sz w:val="32"/>
                <w:szCs w:val="32"/>
                <w:bdr w:val="none" w:sz="0" w:space="0" w:color="auto" w:frame="1"/>
              </w:rPr>
              <w:t>Price Volatility</w:t>
            </w:r>
            <w:r w:rsidRPr="007E3252">
              <w:rPr>
                <w:rStyle w:val="a6"/>
                <w:rFonts w:ascii="Simplified Arabic" w:hAnsi="Simplified Arabic" w:cs="Simplified Arabic" w:hint="cs"/>
                <w:color w:val="1B1C1D"/>
                <w:sz w:val="32"/>
                <w:szCs w:val="32"/>
                <w:bdr w:val="none" w:sz="0" w:space="0" w:color="auto" w:frame="1"/>
                <w:rtl/>
              </w:rPr>
              <w:t>)</w:t>
            </w:r>
          </w:p>
        </w:tc>
        <w:tc>
          <w:tcPr>
            <w:tcW w:w="0" w:type="auto"/>
            <w:hideMark/>
          </w:tcPr>
          <w:p w14:paraId="7DF14D95"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هي التغيرات الحادة وغير المتوقعة في أسعار النفط، وتُقاس إحصائياً بدرجة التشتت أو الانحراف المعياري للأسعار خلال فترة زمنية محددة.</w:t>
            </w:r>
          </w:p>
        </w:tc>
      </w:tr>
      <w:tr w:rsidR="00832114" w:rsidRPr="007E3252" w14:paraId="0E72EFF1" w14:textId="77777777" w:rsidTr="00832114">
        <w:tc>
          <w:tcPr>
            <w:tcW w:w="0" w:type="auto"/>
            <w:hideMark/>
          </w:tcPr>
          <w:p w14:paraId="2E963FFF"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الميزانية العامة للدولة (</w:t>
            </w:r>
            <w:r w:rsidRPr="007E3252">
              <w:rPr>
                <w:rStyle w:val="a6"/>
                <w:rFonts w:ascii="Simplified Arabic" w:hAnsi="Simplified Arabic" w:cs="Simplified Arabic" w:hint="cs"/>
                <w:color w:val="1B1C1D"/>
                <w:sz w:val="32"/>
                <w:szCs w:val="32"/>
                <w:bdr w:val="none" w:sz="0" w:space="0" w:color="auto" w:frame="1"/>
              </w:rPr>
              <w:t>Public Budget</w:t>
            </w:r>
            <w:r w:rsidRPr="007E3252">
              <w:rPr>
                <w:rStyle w:val="a6"/>
                <w:rFonts w:ascii="Simplified Arabic" w:hAnsi="Simplified Arabic" w:cs="Simplified Arabic" w:hint="cs"/>
                <w:color w:val="1B1C1D"/>
                <w:sz w:val="32"/>
                <w:szCs w:val="32"/>
                <w:bdr w:val="none" w:sz="0" w:space="0" w:color="auto" w:frame="1"/>
                <w:rtl/>
              </w:rPr>
              <w:t>)</w:t>
            </w:r>
          </w:p>
        </w:tc>
        <w:tc>
          <w:tcPr>
            <w:tcW w:w="0" w:type="auto"/>
            <w:hideMark/>
          </w:tcPr>
          <w:p w14:paraId="5521D847"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هي الخطة المالية السنوية للمملكة العربية السعودية، والتي تتضمن التقديرات التفصيلية للإيرادات والنفقات العامة، ويتم تحليل مكوناتها (الإيرادات، النفقات، العجز/الفائض).</w:t>
            </w:r>
          </w:p>
        </w:tc>
      </w:tr>
      <w:tr w:rsidR="00832114" w:rsidRPr="007E3252" w14:paraId="0030C85C" w14:textId="77777777" w:rsidTr="00832114">
        <w:tc>
          <w:tcPr>
            <w:tcW w:w="0" w:type="auto"/>
            <w:hideMark/>
          </w:tcPr>
          <w:p w14:paraId="6A6BA35A"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إدارة المخاطر (</w:t>
            </w:r>
            <w:r w:rsidRPr="007E3252">
              <w:rPr>
                <w:rStyle w:val="a6"/>
                <w:rFonts w:ascii="Simplified Arabic" w:hAnsi="Simplified Arabic" w:cs="Simplified Arabic" w:hint="cs"/>
                <w:color w:val="1B1C1D"/>
                <w:sz w:val="32"/>
                <w:szCs w:val="32"/>
                <w:bdr w:val="none" w:sz="0" w:space="0" w:color="auto" w:frame="1"/>
              </w:rPr>
              <w:t>Risk Management</w:t>
            </w:r>
            <w:r w:rsidRPr="007E3252">
              <w:rPr>
                <w:rStyle w:val="a6"/>
                <w:rFonts w:ascii="Simplified Arabic" w:hAnsi="Simplified Arabic" w:cs="Simplified Arabic" w:hint="cs"/>
                <w:color w:val="1B1C1D"/>
                <w:sz w:val="32"/>
                <w:szCs w:val="32"/>
                <w:bdr w:val="none" w:sz="0" w:space="0" w:color="auto" w:frame="1"/>
                <w:rtl/>
              </w:rPr>
              <w:t>)</w:t>
            </w:r>
          </w:p>
        </w:tc>
        <w:tc>
          <w:tcPr>
            <w:tcW w:w="0" w:type="auto"/>
            <w:hideMark/>
          </w:tcPr>
          <w:p w14:paraId="3E669361"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هي مجموع العمليات والسياسات والإجراءات التي تتخذها الجهات الحكومية لتقليل أو تحويل أو تجنب الأثر السلبي لتقلبات أسعار النفط على الإيرادات والنفقات الحكومية.</w:t>
            </w:r>
          </w:p>
        </w:tc>
      </w:tr>
      <w:tr w:rsidR="00832114" w:rsidRPr="007E3252" w14:paraId="27A1A7B7" w14:textId="77777777" w:rsidTr="00832114">
        <w:tc>
          <w:tcPr>
            <w:tcW w:w="0" w:type="auto"/>
            <w:hideMark/>
          </w:tcPr>
          <w:p w14:paraId="6A8315E9"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المرونة المالية (</w:t>
            </w:r>
            <w:r w:rsidRPr="007E3252">
              <w:rPr>
                <w:rStyle w:val="a6"/>
                <w:rFonts w:ascii="Simplified Arabic" w:hAnsi="Simplified Arabic" w:cs="Simplified Arabic" w:hint="cs"/>
                <w:color w:val="1B1C1D"/>
                <w:sz w:val="32"/>
                <w:szCs w:val="32"/>
                <w:bdr w:val="none" w:sz="0" w:space="0" w:color="auto" w:frame="1"/>
              </w:rPr>
              <w:t>Fiscal Resilience</w:t>
            </w:r>
            <w:r w:rsidRPr="007E3252">
              <w:rPr>
                <w:rStyle w:val="a6"/>
                <w:rFonts w:ascii="Simplified Arabic" w:hAnsi="Simplified Arabic" w:cs="Simplified Arabic" w:hint="cs"/>
                <w:color w:val="1B1C1D"/>
                <w:sz w:val="32"/>
                <w:szCs w:val="32"/>
                <w:bdr w:val="none" w:sz="0" w:space="0" w:color="auto" w:frame="1"/>
                <w:rtl/>
              </w:rPr>
              <w:t>)</w:t>
            </w:r>
          </w:p>
        </w:tc>
        <w:tc>
          <w:tcPr>
            <w:tcW w:w="0" w:type="auto"/>
            <w:hideMark/>
          </w:tcPr>
          <w:p w14:paraId="41EC7718" w14:textId="77777777" w:rsidR="00832114" w:rsidRPr="007E3252" w:rsidRDefault="00832114" w:rsidP="007E3252">
            <w:pPr>
              <w:pStyle w:val="a5"/>
              <w:bidi/>
              <w:spacing w:before="0" w:beforeAutospacing="0" w:after="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هي قدرة الميزانية العامة للدولة على تحمل الصدمات المالية الخارجية (مثل انهيار أسعار النفط) والاستمرار في تمويل الإنفاق العام الأساسي وبرامج التنمية دون الحاجة إلى تغييرات جذرية فورية.</w:t>
            </w:r>
          </w:p>
        </w:tc>
      </w:tr>
    </w:tbl>
    <w:p w14:paraId="7FABE2B4" w14:textId="2DB59581" w:rsidR="00832114" w:rsidRPr="007E3252" w:rsidRDefault="00832114"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 xml:space="preserve"> متغيرات الدراسة</w:t>
      </w:r>
    </w:p>
    <w:p w14:paraId="002521AF" w14:textId="77777777" w:rsidR="00832114" w:rsidRPr="007E3252" w:rsidRDefault="00832114" w:rsidP="007E3252">
      <w:pPr>
        <w:pStyle w:val="a5"/>
        <w:bidi/>
        <w:spacing w:before="0" w:beforeAutospacing="0" w:after="24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تعتمد الدراسة على تحليل العلاقة بين متغير مستقل ومتغير تابع:</w:t>
      </w:r>
    </w:p>
    <w:p w14:paraId="2B89E7A7"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lastRenderedPageBreak/>
        <w:t>المتغير المستقل (</w:t>
      </w:r>
      <w:r w:rsidRPr="007E3252">
        <w:rPr>
          <w:rFonts w:ascii="Simplified Arabic" w:eastAsia="Times New Roman" w:hAnsi="Simplified Arabic" w:cs="Simplified Arabic" w:hint="cs"/>
          <w:color w:val="1B1C1D"/>
          <w:sz w:val="32"/>
          <w:szCs w:val="32"/>
        </w:rPr>
        <w:t>Independent Variable</w:t>
      </w:r>
      <w:r w:rsidRPr="007E3252">
        <w:rPr>
          <w:rFonts w:ascii="Simplified Arabic" w:eastAsia="Times New Roman" w:hAnsi="Simplified Arabic" w:cs="Simplified Arabic" w:hint="cs"/>
          <w:color w:val="1B1C1D"/>
          <w:sz w:val="32"/>
          <w:szCs w:val="32"/>
          <w:rtl/>
        </w:rPr>
        <w:t>):</w:t>
      </w:r>
    </w:p>
    <w:p w14:paraId="6488CA88" w14:textId="77777777" w:rsidR="00832114" w:rsidRPr="007E3252" w:rsidRDefault="00832114" w:rsidP="007E3252">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تقلبات أسعار الطاقة (</w:t>
      </w:r>
      <w:r w:rsidRPr="007E3252">
        <w:rPr>
          <w:rStyle w:val="a6"/>
          <w:rFonts w:ascii="Simplified Arabic" w:hAnsi="Simplified Arabic" w:cs="Simplified Arabic" w:hint="cs"/>
          <w:color w:val="1B1C1D"/>
          <w:sz w:val="32"/>
          <w:szCs w:val="32"/>
          <w:bdr w:val="none" w:sz="0" w:space="0" w:color="auto" w:frame="1"/>
        </w:rPr>
        <w:t>Energy Price Volatility</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ويتم قياسه من خلال مؤشرات التذبذب في أسعار النفط الخام، مثل الانحراف المعياري للسعر الشهري أو السنوي للنفط.</w:t>
      </w:r>
    </w:p>
    <w:p w14:paraId="6ECEBBF7" w14:textId="77777777" w:rsidR="00832114" w:rsidRPr="007E3252" w:rsidRDefault="00832114"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المتغير التابع (</w:t>
      </w:r>
      <w:r w:rsidRPr="007E3252">
        <w:rPr>
          <w:rFonts w:ascii="Simplified Arabic" w:eastAsia="Times New Roman" w:hAnsi="Simplified Arabic" w:cs="Simplified Arabic" w:hint="cs"/>
          <w:color w:val="1B1C1D"/>
          <w:sz w:val="32"/>
          <w:szCs w:val="32"/>
        </w:rPr>
        <w:t>Dependent Variable</w:t>
      </w:r>
      <w:r w:rsidRPr="007E3252">
        <w:rPr>
          <w:rFonts w:ascii="Simplified Arabic" w:eastAsia="Times New Roman" w:hAnsi="Simplified Arabic" w:cs="Simplified Arabic" w:hint="cs"/>
          <w:color w:val="1B1C1D"/>
          <w:sz w:val="32"/>
          <w:szCs w:val="32"/>
          <w:rtl/>
        </w:rPr>
        <w:t>):</w:t>
      </w:r>
    </w:p>
    <w:p w14:paraId="0C0DD68A" w14:textId="77777777" w:rsidR="00832114" w:rsidRPr="007E3252" w:rsidRDefault="00832114" w:rsidP="007E3252">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استقرار مكونات الميزانية العامة للدولة (</w:t>
      </w:r>
      <w:r w:rsidRPr="007E3252">
        <w:rPr>
          <w:rStyle w:val="a6"/>
          <w:rFonts w:ascii="Simplified Arabic" w:hAnsi="Simplified Arabic" w:cs="Simplified Arabic" w:hint="cs"/>
          <w:color w:val="1B1C1D"/>
          <w:sz w:val="32"/>
          <w:szCs w:val="32"/>
          <w:bdr w:val="none" w:sz="0" w:space="0" w:color="auto" w:frame="1"/>
        </w:rPr>
        <w:t>Stability of Public Budget Components</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ويتم قياسه من خلال:</w:t>
      </w:r>
    </w:p>
    <w:p w14:paraId="09EC1D84" w14:textId="77777777" w:rsidR="00832114" w:rsidRPr="007E3252" w:rsidRDefault="00832114" w:rsidP="007E3252">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إجمالي الإيرادات الحكومية.</w:t>
      </w:r>
    </w:p>
    <w:p w14:paraId="4234F8F7" w14:textId="77777777" w:rsidR="00832114" w:rsidRPr="007E3252" w:rsidRDefault="00832114" w:rsidP="007E3252">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إجمالي النفقات الحكومية (كمقياس لاستقرار الإنفاق).</w:t>
      </w:r>
    </w:p>
    <w:p w14:paraId="053FF56C" w14:textId="77777777" w:rsidR="00832114" w:rsidRPr="007E3252" w:rsidRDefault="00832114" w:rsidP="007E3252">
      <w:pPr>
        <w:pStyle w:val="a5"/>
        <w:numPr>
          <w:ilvl w:val="1"/>
          <w:numId w:val="8"/>
        </w:numPr>
        <w:bidi/>
        <w:spacing w:before="0" w:beforeAutospacing="0" w:after="120" w:after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حجم العجز أو الفائض في الميزانية (كنتيجة نهائية للتأثير).</w:t>
      </w:r>
    </w:p>
    <w:p w14:paraId="7907569D" w14:textId="137A117D" w:rsidR="00B90F56" w:rsidRPr="007E3252" w:rsidRDefault="00B90F56" w:rsidP="007E325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FE1D257" w14:textId="77777777" w:rsidR="00717A7E" w:rsidRDefault="00717A7E" w:rsidP="007E325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BAD6CDA"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F44C11B"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DB18F28"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070C1B0"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45A3A22"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79EE3F1"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337EE6C"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319C10D"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B75692"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E813012" w14:textId="0026A0DB" w:rsidR="00572FC4" w:rsidRDefault="00572FC4" w:rsidP="00572FC4">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5F5A0A16"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2FB715"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2DEDBD9"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2AF2323"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68B3C7"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F7F93E"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F4CDC34"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4F3946C" w14:textId="77777777" w:rsidR="00572FC4"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3CCBA58" w14:textId="77777777" w:rsidR="00572FC4" w:rsidRPr="007E3252" w:rsidRDefault="00572FC4" w:rsidP="00572FC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BA28B1B" w14:textId="77777777" w:rsidR="00717A7E" w:rsidRPr="007E3252" w:rsidRDefault="00717A7E" w:rsidP="007E3252">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7E3252">
        <w:rPr>
          <w:rFonts w:ascii="Simplified Arabic" w:eastAsia="Times New Roman" w:hAnsi="Simplified Arabic" w:cs="Simplified Arabic" w:hint="cs"/>
          <w:color w:val="1B1C1D"/>
          <w:sz w:val="32"/>
          <w:szCs w:val="32"/>
          <w:rtl/>
        </w:rPr>
        <w:lastRenderedPageBreak/>
        <w:t>الدراسات السابقة</w:t>
      </w:r>
    </w:p>
    <w:p w14:paraId="0B98F991" w14:textId="77777777" w:rsidR="00717A7E" w:rsidRPr="007E3252" w:rsidRDefault="00717A7E"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أولاً: دراسة مشدن وهيبة (2005)</w:t>
      </w:r>
    </w:p>
    <w:p w14:paraId="06AAD6B8"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العنوان: "أثر تغيرات أسعار البترول على الاقتصاد العربي خلال الفترة (1973-2003)".</w:t>
      </w:r>
    </w:p>
    <w:p w14:paraId="62FBF64E"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النوع: مذكرة ماجستير في تخصص النقود والمالية، جامعة الجزائر.</w:t>
      </w:r>
    </w:p>
    <w:p w14:paraId="772507A4"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المحور الرئيسي: ركزت الباحثة على تحليل الأزمات النفطية التي مرت بها الأسواق العالمية في الفترة الممتدة من 1973 إلى 2003، وكيف انعكست هذه الأزمات على أداء الاقتصادات العربية. كما أشارت الدراسة إلى إشكالية تقلب العوائد النفطية الناجمة عن تقلبات الأسعار، والرهان المطروح حول حسن توظيف هذه العوائد لدعم التنمية وتحقيق التكامل الاقتصادي بين الدول العربية.</w:t>
      </w:r>
    </w:p>
    <w:p w14:paraId="62A321B3" w14:textId="77777777" w:rsidR="00717A7E" w:rsidRPr="007E3252" w:rsidRDefault="00717A7E"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 xml:space="preserve">ثانياً: دراسة </w:t>
      </w:r>
      <w:proofErr w:type="spellStart"/>
      <w:r w:rsidRPr="007E3252">
        <w:rPr>
          <w:rFonts w:ascii="Simplified Arabic" w:eastAsia="Times New Roman" w:hAnsi="Simplified Arabic" w:cs="Simplified Arabic" w:hint="cs"/>
          <w:color w:val="1B1C1D"/>
          <w:rtl/>
        </w:rPr>
        <w:t>طاوش</w:t>
      </w:r>
      <w:proofErr w:type="spellEnd"/>
      <w:r w:rsidRPr="007E3252">
        <w:rPr>
          <w:rFonts w:ascii="Simplified Arabic" w:eastAsia="Times New Roman" w:hAnsi="Simplified Arabic" w:cs="Simplified Arabic" w:hint="cs"/>
          <w:color w:val="1B1C1D"/>
          <w:rtl/>
        </w:rPr>
        <w:t xml:space="preserve"> قندوسي (2014)</w:t>
      </w:r>
    </w:p>
    <w:p w14:paraId="2750CB49"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العنوان: "تأثير النفقات العمومية على النمو الاقتصادي: دراسة حالة الجزائر (1970-2012)".</w:t>
      </w:r>
    </w:p>
    <w:p w14:paraId="619381A4"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 xml:space="preserve">النوع: أطروحة دكتوراه في علوم التسيير، جامعة أبي بكر </w:t>
      </w:r>
      <w:proofErr w:type="spellStart"/>
      <w:r w:rsidRPr="007E3252">
        <w:rPr>
          <w:rFonts w:ascii="Simplified Arabic" w:hAnsi="Simplified Arabic" w:cs="Simplified Arabic" w:hint="cs"/>
          <w:color w:val="1B1C1D"/>
          <w:sz w:val="32"/>
          <w:szCs w:val="32"/>
          <w:rtl/>
        </w:rPr>
        <w:t>بلقايد</w:t>
      </w:r>
      <w:proofErr w:type="spellEnd"/>
      <w:r w:rsidRPr="007E3252">
        <w:rPr>
          <w:rFonts w:ascii="Simplified Arabic" w:hAnsi="Simplified Arabic" w:cs="Simplified Arabic" w:hint="cs"/>
          <w:color w:val="1B1C1D"/>
          <w:sz w:val="32"/>
          <w:szCs w:val="32"/>
          <w:rtl/>
        </w:rPr>
        <w:t xml:space="preserve"> - تلمسان.</w:t>
      </w:r>
    </w:p>
    <w:p w14:paraId="72E14D69"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lastRenderedPageBreak/>
        <w:t xml:space="preserve">المحور الرئيسي: هدفت هذه الأطروحة إلى دراسة العلاقة بين النفقات العمومية والنمو الاقتصادي في الجزائر، حيث قدم الباحث مدخلاً </w:t>
      </w:r>
      <w:proofErr w:type="spellStart"/>
      <w:r w:rsidRPr="007E3252">
        <w:rPr>
          <w:rFonts w:ascii="Simplified Arabic" w:hAnsi="Simplified Arabic" w:cs="Simplified Arabic" w:hint="cs"/>
          <w:color w:val="1B1C1D"/>
          <w:sz w:val="32"/>
          <w:szCs w:val="32"/>
          <w:rtl/>
        </w:rPr>
        <w:t>مفاهيمياً</w:t>
      </w:r>
      <w:proofErr w:type="spellEnd"/>
      <w:r w:rsidRPr="007E3252">
        <w:rPr>
          <w:rFonts w:ascii="Simplified Arabic" w:hAnsi="Simplified Arabic" w:cs="Simplified Arabic" w:hint="cs"/>
          <w:color w:val="1B1C1D"/>
          <w:sz w:val="32"/>
          <w:szCs w:val="32"/>
          <w:rtl/>
        </w:rPr>
        <w:t xml:space="preserve"> للنفقات العمومية والنمو الاقتصادي، ثم تناول بالتحليل طبيعة العلاقة السببية والارتباطية بينهما خلال الفترة المحددة.</w:t>
      </w:r>
    </w:p>
    <w:p w14:paraId="4863B75F" w14:textId="77777777" w:rsidR="00717A7E" w:rsidRPr="007E3252" w:rsidRDefault="00717A7E"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ثالثاً: دراسة داود سعد الله (2012)</w:t>
      </w:r>
    </w:p>
    <w:p w14:paraId="347E8583"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العنوان: "أثر تقلبات أسعار النفط على السياسة المالية في الجزائر (2000-2010)".</w:t>
      </w:r>
    </w:p>
    <w:p w14:paraId="74D4CFCC"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النوع: مذكرة ماجستير في التحليل الاقتصادي، جامعة الجزائر 3.</w:t>
      </w:r>
    </w:p>
    <w:p w14:paraId="2334C3D1"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المحور الرئيسي: تناولت هذه الدراسة تطور الصناعة النفطية في ظل تقلبات الأسعار والعوامل التي تؤدي إلى اختلال سوق النفط، مع التركيز على انعكاسات ذلك على السياسة الحكومية. وقدم الطالب تحليلاً مفصلاً لاضطراب سوق النفط وتأثيره المباشر على الأداء ومكونات السياسة المالية الجزائرية في الفترة الممتدة من 2000 إلى 2010.</w:t>
      </w:r>
    </w:p>
    <w:p w14:paraId="3A48E265" w14:textId="77777777" w:rsidR="00717A7E" w:rsidRPr="007E3252" w:rsidRDefault="00717A7E"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color w:val="1B1C1D"/>
          <w:rtl/>
        </w:rPr>
        <w:t>رابعاً: دراسة أمينة مخلفي (غير محددة السنة)</w:t>
      </w:r>
    </w:p>
    <w:p w14:paraId="192222BF"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العنوان: "أثر تطور أنظمة استغلال النفط على الصادرات (دراسة حالة الجزائر بالرجوع إلى بعض التجارب العالمية)".</w:t>
      </w:r>
    </w:p>
    <w:p w14:paraId="4D9BBBFF"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t>النوع: أطروحة دكتوراه في العلوم الاقتصادية، جامعة قاصدي مرباح - ورقلة.</w:t>
      </w:r>
    </w:p>
    <w:p w14:paraId="6A8811D5" w14:textId="77777777" w:rsidR="00717A7E" w:rsidRPr="007E3252" w:rsidRDefault="00717A7E" w:rsidP="007E3252">
      <w:pPr>
        <w:pStyle w:val="a5"/>
        <w:bidi/>
        <w:spacing w:before="0" w:beforeAutospacing="0" w:line="360" w:lineRule="auto"/>
        <w:rPr>
          <w:rFonts w:ascii="Simplified Arabic" w:hAnsi="Simplified Arabic" w:cs="Simplified Arabic"/>
          <w:color w:val="1B1C1D"/>
          <w:sz w:val="32"/>
          <w:szCs w:val="32"/>
          <w:rtl/>
        </w:rPr>
      </w:pPr>
      <w:r w:rsidRPr="007E3252">
        <w:rPr>
          <w:rFonts w:ascii="Simplified Arabic" w:hAnsi="Simplified Arabic" w:cs="Simplified Arabic" w:hint="cs"/>
          <w:color w:val="1B1C1D"/>
          <w:sz w:val="32"/>
          <w:szCs w:val="32"/>
          <w:rtl/>
        </w:rPr>
        <w:lastRenderedPageBreak/>
        <w:t>المحور الرئيسي: بحثت هذه الدراسة في دورة استغلال الصناعة النفطية العالمية، وتحديد موقع أنظمة استغلال النفط ضمن سياق الطاقة العالمي. كما تناولت بالتفصيل الأطراف الفاعلة في السوق النفطية العالمية، مع التركيز على أنظمة الاستغلال والصادرات النفطية في الجزائر ومقارنتها ببعض التجارب العالمية الرائدة.</w:t>
      </w:r>
    </w:p>
    <w:p w14:paraId="706B0CAB" w14:textId="77777777" w:rsidR="00E272BA" w:rsidRPr="007E3252" w:rsidRDefault="00E272BA" w:rsidP="007E3252">
      <w:pPr>
        <w:pStyle w:val="2"/>
        <w:spacing w:before="0" w:after="120" w:line="360" w:lineRule="auto"/>
        <w:rPr>
          <w:rFonts w:ascii="Simplified Arabic" w:eastAsia="Times New Roman" w:hAnsi="Simplified Arabic" w:cs="Simplified Arabic"/>
          <w:b/>
          <w:bCs/>
          <w:color w:val="1B1C1D"/>
          <w:kern w:val="36"/>
          <w:rtl/>
          <w14:ligatures w14:val="none"/>
        </w:rPr>
      </w:pPr>
    </w:p>
    <w:p w14:paraId="717F6847" w14:textId="77777777" w:rsidR="00E272BA" w:rsidRPr="007E3252" w:rsidRDefault="00E272BA" w:rsidP="007E3252">
      <w:pPr>
        <w:pStyle w:val="2"/>
        <w:spacing w:before="0" w:after="120" w:line="360" w:lineRule="auto"/>
        <w:rPr>
          <w:rFonts w:ascii="Simplified Arabic" w:eastAsia="Times New Roman" w:hAnsi="Simplified Arabic" w:cs="Simplified Arabic"/>
          <w:b/>
          <w:bCs/>
          <w:color w:val="1B1C1D"/>
          <w:kern w:val="36"/>
          <w:rtl/>
          <w14:ligatures w14:val="none"/>
        </w:rPr>
      </w:pPr>
    </w:p>
    <w:p w14:paraId="501E710E" w14:textId="77777777" w:rsidR="00E272BA" w:rsidRPr="007E3252" w:rsidRDefault="00E272BA" w:rsidP="007E3252">
      <w:pPr>
        <w:pStyle w:val="2"/>
        <w:spacing w:before="0" w:after="120" w:line="360" w:lineRule="auto"/>
        <w:rPr>
          <w:rFonts w:ascii="Simplified Arabic" w:eastAsia="Times New Roman" w:hAnsi="Simplified Arabic" w:cs="Simplified Arabic"/>
          <w:b/>
          <w:bCs/>
          <w:color w:val="1B1C1D"/>
          <w:kern w:val="36"/>
          <w:rtl/>
          <w14:ligatures w14:val="none"/>
        </w:rPr>
      </w:pPr>
    </w:p>
    <w:p w14:paraId="1DDD6243" w14:textId="19543FC0" w:rsidR="00843CFA" w:rsidRPr="007E3252" w:rsidRDefault="00843CFA" w:rsidP="007E3252">
      <w:pPr>
        <w:pStyle w:val="2"/>
        <w:spacing w:before="0" w:after="120" w:line="360" w:lineRule="auto"/>
        <w:rPr>
          <w:rFonts w:ascii="Simplified Arabic" w:eastAsia="Times New Roman" w:hAnsi="Simplified Arabic" w:cs="Simplified Arabic"/>
          <w:color w:val="1B1C1D"/>
          <w:rtl/>
        </w:rPr>
      </w:pPr>
      <w:r w:rsidRPr="007E3252">
        <w:rPr>
          <w:rFonts w:ascii="Simplified Arabic" w:eastAsia="Times New Roman" w:hAnsi="Simplified Arabic" w:cs="Simplified Arabic" w:hint="cs"/>
          <w:b/>
          <w:bCs/>
          <w:color w:val="1B1C1D"/>
          <w:kern w:val="36"/>
          <w:rtl/>
          <w14:ligatures w14:val="none"/>
        </w:rPr>
        <w:t xml:space="preserve">الإطار النظري </w:t>
      </w:r>
    </w:p>
    <w:p w14:paraId="510F7988"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 xml:space="preserve">المحور الأول: الإطار </w:t>
      </w:r>
      <w:proofErr w:type="spellStart"/>
      <w:r w:rsidRPr="007E3252">
        <w:rPr>
          <w:rFonts w:ascii="Simplified Arabic" w:eastAsia="Times New Roman" w:hAnsi="Simplified Arabic" w:cs="Simplified Arabic" w:hint="cs"/>
          <w:color w:val="1B1C1D"/>
          <w:sz w:val="32"/>
          <w:szCs w:val="32"/>
          <w:rtl/>
        </w:rPr>
        <w:t>المفاهيمي</w:t>
      </w:r>
      <w:proofErr w:type="spellEnd"/>
      <w:r w:rsidRPr="007E3252">
        <w:rPr>
          <w:rFonts w:ascii="Simplified Arabic" w:eastAsia="Times New Roman" w:hAnsi="Simplified Arabic" w:cs="Simplified Arabic" w:hint="cs"/>
          <w:color w:val="1B1C1D"/>
          <w:sz w:val="32"/>
          <w:szCs w:val="32"/>
          <w:rtl/>
        </w:rPr>
        <w:t xml:space="preserve"> لتقلبات أسعار الطاقة</w:t>
      </w:r>
    </w:p>
    <w:p w14:paraId="59B64466" w14:textId="77777777" w:rsidR="00843CFA" w:rsidRPr="007E3252" w:rsidRDefault="00843CFA" w:rsidP="007E3252">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تعريف أسعار الطاقة وأهميتها للاقتصاد السعودي:</w:t>
      </w:r>
      <w:r w:rsidRPr="007E3252">
        <w:rPr>
          <w:rFonts w:ascii="Simplified Arabic" w:hAnsi="Simplified Arabic" w:cs="Simplified Arabic" w:hint="cs"/>
          <w:color w:val="1B1C1D"/>
          <w:sz w:val="32"/>
          <w:szCs w:val="32"/>
          <w:rtl/>
        </w:rPr>
        <w:t xml:space="preserve"> تحديد موقع النفط والغاز كأصول استراتيجية ومصدر رئيسي للإيرادات العامة.</w:t>
      </w:r>
    </w:p>
    <w:p w14:paraId="406AEFC5" w14:textId="77777777" w:rsidR="00843CFA" w:rsidRPr="007E3252" w:rsidRDefault="00843CFA" w:rsidP="007E3252">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مصادر وأنواع تقلبات أسعار النفط:</w:t>
      </w:r>
      <w:r w:rsidRPr="007E3252">
        <w:rPr>
          <w:rFonts w:ascii="Simplified Arabic" w:hAnsi="Simplified Arabic" w:cs="Simplified Arabic" w:hint="cs"/>
          <w:color w:val="1B1C1D"/>
          <w:sz w:val="32"/>
          <w:szCs w:val="32"/>
          <w:rtl/>
        </w:rPr>
        <w:t xml:space="preserve"> تحليل الأسباب الكامنة وراء التذبذب (الصدمات الجيوسياسية، صدمات العرض والطلب، دور المخزونات).</w:t>
      </w:r>
    </w:p>
    <w:p w14:paraId="617D35ED" w14:textId="77777777" w:rsidR="00843CFA" w:rsidRPr="007E3252" w:rsidRDefault="00843CFA" w:rsidP="007E3252">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قياس مؤشرات تقلبات الأسعار (</w:t>
      </w:r>
      <w:r w:rsidRPr="007E3252">
        <w:rPr>
          <w:rStyle w:val="a6"/>
          <w:rFonts w:ascii="Simplified Arabic" w:hAnsi="Simplified Arabic" w:cs="Simplified Arabic" w:hint="cs"/>
          <w:color w:val="1B1C1D"/>
          <w:sz w:val="32"/>
          <w:szCs w:val="32"/>
          <w:bdr w:val="none" w:sz="0" w:space="0" w:color="auto" w:frame="1"/>
        </w:rPr>
        <w:t>Volatility Indices</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النماذج الإحصائية والاقتصادية المستخدمة لتقدير المخاطر المستقبلية لأسعار النفط.</w:t>
      </w:r>
    </w:p>
    <w:p w14:paraId="1B8AAB61"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lastRenderedPageBreak/>
        <w:t>المحور الثاني: النظرية الاقتصادية للدول الريعية (</w:t>
      </w:r>
      <w:r w:rsidRPr="007E3252">
        <w:rPr>
          <w:rFonts w:ascii="Simplified Arabic" w:eastAsia="Times New Roman" w:hAnsi="Simplified Arabic" w:cs="Simplified Arabic" w:hint="cs"/>
          <w:color w:val="1B1C1D"/>
          <w:sz w:val="32"/>
          <w:szCs w:val="32"/>
        </w:rPr>
        <w:t>Rentier State Theory</w:t>
      </w:r>
      <w:r w:rsidRPr="007E3252">
        <w:rPr>
          <w:rFonts w:ascii="Simplified Arabic" w:eastAsia="Times New Roman" w:hAnsi="Simplified Arabic" w:cs="Simplified Arabic" w:hint="cs"/>
          <w:color w:val="1B1C1D"/>
          <w:sz w:val="32"/>
          <w:szCs w:val="32"/>
          <w:rtl/>
        </w:rPr>
        <w:t>)</w:t>
      </w:r>
    </w:p>
    <w:p w14:paraId="31DD5964" w14:textId="77777777" w:rsidR="00843CFA" w:rsidRPr="007E3252" w:rsidRDefault="00843CFA" w:rsidP="007E3252">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مفهوم الدولة الريعية وتطبيقه على الحالة السعودية:</w:t>
      </w:r>
      <w:r w:rsidRPr="007E3252">
        <w:rPr>
          <w:rFonts w:ascii="Simplified Arabic" w:hAnsi="Simplified Arabic" w:cs="Simplified Arabic" w:hint="cs"/>
          <w:color w:val="1B1C1D"/>
          <w:sz w:val="32"/>
          <w:szCs w:val="32"/>
          <w:rtl/>
        </w:rPr>
        <w:t xml:space="preserve"> تحليل الهيكل الاقتصادي والمالي للدولة في ضوء الإيرادات النفطية.</w:t>
      </w:r>
    </w:p>
    <w:p w14:paraId="13BB312A" w14:textId="77777777" w:rsidR="00843CFA" w:rsidRPr="007E3252" w:rsidRDefault="00843CFA" w:rsidP="007E3252">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ظاهرة "المرض الهولندي" (</w:t>
      </w:r>
      <w:r w:rsidRPr="007E3252">
        <w:rPr>
          <w:rStyle w:val="a6"/>
          <w:rFonts w:ascii="Simplified Arabic" w:hAnsi="Simplified Arabic" w:cs="Simplified Arabic" w:hint="cs"/>
          <w:color w:val="1B1C1D"/>
          <w:sz w:val="32"/>
          <w:szCs w:val="32"/>
          <w:bdr w:val="none" w:sz="0" w:space="0" w:color="auto" w:frame="1"/>
        </w:rPr>
        <w:t>Dutch Disease</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استعراض آليات تأثير تدفقات الريع على تنافسية القطاعات غير النفطية وسعر الصرف.</w:t>
      </w:r>
    </w:p>
    <w:p w14:paraId="0F59D7F3" w14:textId="77777777" w:rsidR="00843CFA" w:rsidRPr="007E3252" w:rsidRDefault="00843CFA" w:rsidP="007E3252">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تحديات التنويع الاقتصادي في ظل الاعتماد على النفط:</w:t>
      </w:r>
      <w:r w:rsidRPr="007E3252">
        <w:rPr>
          <w:rFonts w:ascii="Simplified Arabic" w:hAnsi="Simplified Arabic" w:cs="Simplified Arabic" w:hint="cs"/>
          <w:color w:val="1B1C1D"/>
          <w:sz w:val="32"/>
          <w:szCs w:val="32"/>
          <w:rtl/>
        </w:rPr>
        <w:t xml:space="preserve"> دور رؤية المملكة 2030 كإطار نظري لكسر حلقة الاعتماد الأحادي.</w:t>
      </w:r>
    </w:p>
    <w:p w14:paraId="04BE47E4"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المحور الثالث: الهيكل المالي والميزانية العامة للدولة في السعودية</w:t>
      </w:r>
    </w:p>
    <w:p w14:paraId="12D8BBAA" w14:textId="77777777" w:rsidR="00843CFA" w:rsidRPr="007E3252" w:rsidRDefault="00843CFA" w:rsidP="007E3252">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دور الإيرادات النفطية في تمويل الميزانية العامة:</w:t>
      </w:r>
      <w:r w:rsidRPr="007E3252">
        <w:rPr>
          <w:rFonts w:ascii="Simplified Arabic" w:hAnsi="Simplified Arabic" w:cs="Simplified Arabic" w:hint="cs"/>
          <w:color w:val="1B1C1D"/>
          <w:sz w:val="32"/>
          <w:szCs w:val="32"/>
          <w:rtl/>
        </w:rPr>
        <w:t xml:space="preserve"> تحليل النسبة المئوية واعتماد الميزانية على النفط لتغطية الإنفاق العام.</w:t>
      </w:r>
    </w:p>
    <w:p w14:paraId="1FA42753" w14:textId="77777777" w:rsidR="00843CFA" w:rsidRPr="007E3252" w:rsidRDefault="00843CFA" w:rsidP="007E3252">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آليات تحديد "نقطة التعادل" (</w:t>
      </w:r>
      <w:r w:rsidRPr="007E3252">
        <w:rPr>
          <w:rStyle w:val="a6"/>
          <w:rFonts w:ascii="Simplified Arabic" w:hAnsi="Simplified Arabic" w:cs="Simplified Arabic" w:hint="cs"/>
          <w:color w:val="1B1C1D"/>
          <w:sz w:val="32"/>
          <w:szCs w:val="32"/>
          <w:bdr w:val="none" w:sz="0" w:space="0" w:color="auto" w:frame="1"/>
        </w:rPr>
        <w:t>Break-Even Price</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المفهوم النظري والمنهجيات المستخدمة لتحديد سعر النفط اللازم لتحقيق التوازن المالي.</w:t>
      </w:r>
    </w:p>
    <w:p w14:paraId="77856853" w14:textId="77777777" w:rsidR="00843CFA" w:rsidRPr="007E3252" w:rsidRDefault="00843CFA" w:rsidP="007E3252">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مبادرات رفع كفاءة الإيرادات غير النفطية:</w:t>
      </w:r>
      <w:r w:rsidRPr="007E3252">
        <w:rPr>
          <w:rFonts w:ascii="Simplified Arabic" w:hAnsi="Simplified Arabic" w:cs="Simplified Arabic" w:hint="cs"/>
          <w:color w:val="1B1C1D"/>
          <w:sz w:val="32"/>
          <w:szCs w:val="32"/>
          <w:rtl/>
        </w:rPr>
        <w:t xml:space="preserve"> تحليل تأثير الرسوم والضرائب والاستثمارات الحكومية على استقرار الميزانية.</w:t>
      </w:r>
    </w:p>
    <w:p w14:paraId="54003BCD"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المحور الرابع: أدوات واستراتيجيات إدارة مخاطر أسعار الطاقة (التحوط)</w:t>
      </w:r>
    </w:p>
    <w:p w14:paraId="280306DC" w14:textId="77777777" w:rsidR="00843CFA" w:rsidRPr="007E3252" w:rsidRDefault="00843CFA" w:rsidP="007E3252">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المفاهيم الأساسية للتحوط المالي (</w:t>
      </w:r>
      <w:r w:rsidRPr="007E3252">
        <w:rPr>
          <w:rStyle w:val="a6"/>
          <w:rFonts w:ascii="Simplified Arabic" w:hAnsi="Simplified Arabic" w:cs="Simplified Arabic" w:hint="cs"/>
          <w:color w:val="1B1C1D"/>
          <w:sz w:val="32"/>
          <w:szCs w:val="32"/>
          <w:bdr w:val="none" w:sz="0" w:space="0" w:color="auto" w:frame="1"/>
        </w:rPr>
        <w:t>Hedging</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شرح العقود الآجلة، عقود الخيارات، وعقود المقايضات كأدوات للحماية من المخاطر السعرية.</w:t>
      </w:r>
    </w:p>
    <w:p w14:paraId="172AE22B" w14:textId="77777777" w:rsidR="00843CFA" w:rsidRPr="007E3252" w:rsidRDefault="00843CFA" w:rsidP="007E3252">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lastRenderedPageBreak/>
        <w:t>التطبيقات النظرية للتحوط الحكومي:</w:t>
      </w:r>
      <w:r w:rsidRPr="007E3252">
        <w:rPr>
          <w:rFonts w:ascii="Simplified Arabic" w:hAnsi="Simplified Arabic" w:cs="Simplified Arabic" w:hint="cs"/>
          <w:color w:val="1B1C1D"/>
          <w:sz w:val="32"/>
          <w:szCs w:val="32"/>
          <w:rtl/>
        </w:rPr>
        <w:t xml:space="preserve"> دراسة الجدوى الاقتصادية والمالية للتحوط على التدفقات المالية العامة (مزاياه </w:t>
      </w:r>
      <w:proofErr w:type="spellStart"/>
      <w:r w:rsidRPr="007E3252">
        <w:rPr>
          <w:rFonts w:ascii="Simplified Arabic" w:hAnsi="Simplified Arabic" w:cs="Simplified Arabic" w:hint="cs"/>
          <w:color w:val="1B1C1D"/>
          <w:sz w:val="32"/>
          <w:szCs w:val="32"/>
          <w:rtl/>
        </w:rPr>
        <w:t>ومخاطره</w:t>
      </w:r>
      <w:proofErr w:type="spellEnd"/>
      <w:r w:rsidRPr="007E3252">
        <w:rPr>
          <w:rFonts w:ascii="Simplified Arabic" w:hAnsi="Simplified Arabic" w:cs="Simplified Arabic" w:hint="cs"/>
          <w:color w:val="1B1C1D"/>
          <w:sz w:val="32"/>
          <w:szCs w:val="32"/>
          <w:rtl/>
        </w:rPr>
        <w:t>).</w:t>
      </w:r>
    </w:p>
    <w:p w14:paraId="63334098" w14:textId="77777777" w:rsidR="00843CFA" w:rsidRPr="007E3252" w:rsidRDefault="00843CFA" w:rsidP="007E3252">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نماذج التحوط الأمثل للتدفقات المالية:</w:t>
      </w:r>
      <w:r w:rsidRPr="007E3252">
        <w:rPr>
          <w:rFonts w:ascii="Simplified Arabic" w:hAnsi="Simplified Arabic" w:cs="Simplified Arabic" w:hint="cs"/>
          <w:color w:val="1B1C1D"/>
          <w:sz w:val="32"/>
          <w:szCs w:val="32"/>
          <w:rtl/>
        </w:rPr>
        <w:t xml:space="preserve"> النماذج الرياضية التي تحدد النسبة المثلى للتحوط لتخفيف تقلبات الميزانية.</w:t>
      </w:r>
    </w:p>
    <w:p w14:paraId="4041F12B"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المحور الخامس: دور صناديق الثروة السيادية كصمام أمان مالي</w:t>
      </w:r>
    </w:p>
    <w:p w14:paraId="3CCDD251" w14:textId="77777777" w:rsidR="00843CFA" w:rsidRPr="007E3252" w:rsidRDefault="00843CFA" w:rsidP="007E3252">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الأسس النظرية لتكوين ووظيفة صناديق التثبيت (</w:t>
      </w:r>
      <w:r w:rsidRPr="007E3252">
        <w:rPr>
          <w:rStyle w:val="a6"/>
          <w:rFonts w:ascii="Simplified Arabic" w:hAnsi="Simplified Arabic" w:cs="Simplified Arabic" w:hint="cs"/>
          <w:color w:val="1B1C1D"/>
          <w:sz w:val="32"/>
          <w:szCs w:val="32"/>
          <w:bdr w:val="none" w:sz="0" w:space="0" w:color="auto" w:frame="1"/>
        </w:rPr>
        <w:t>Stabilization Funds</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استخدام الصناديق السيادية كآلية عازلة لامتصاص صدمات أسعار النفط.</w:t>
      </w:r>
    </w:p>
    <w:p w14:paraId="3F0A4325" w14:textId="77777777" w:rsidR="00843CFA" w:rsidRPr="007E3252" w:rsidRDefault="00843CFA" w:rsidP="007E3252">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صندوق الاستثمارات العامة (</w:t>
      </w:r>
      <w:r w:rsidRPr="007E3252">
        <w:rPr>
          <w:rStyle w:val="a6"/>
          <w:rFonts w:ascii="Simplified Arabic" w:hAnsi="Simplified Arabic" w:cs="Simplified Arabic" w:hint="cs"/>
          <w:color w:val="1B1C1D"/>
          <w:sz w:val="32"/>
          <w:szCs w:val="32"/>
          <w:bdr w:val="none" w:sz="0" w:space="0" w:color="auto" w:frame="1"/>
        </w:rPr>
        <w:t>PIF</w:t>
      </w:r>
      <w:r w:rsidRPr="007E3252">
        <w:rPr>
          <w:rStyle w:val="a6"/>
          <w:rFonts w:ascii="Simplified Arabic" w:hAnsi="Simplified Arabic" w:cs="Simplified Arabic" w:hint="cs"/>
          <w:color w:val="1B1C1D"/>
          <w:sz w:val="32"/>
          <w:szCs w:val="32"/>
          <w:bdr w:val="none" w:sz="0" w:space="0" w:color="auto" w:frame="1"/>
          <w:rtl/>
        </w:rPr>
        <w:t>) ومقاربة الإيرادات المستدامة:</w:t>
      </w:r>
      <w:r w:rsidRPr="007E3252">
        <w:rPr>
          <w:rFonts w:ascii="Simplified Arabic" w:hAnsi="Simplified Arabic" w:cs="Simplified Arabic" w:hint="cs"/>
          <w:color w:val="1B1C1D"/>
          <w:sz w:val="32"/>
          <w:szCs w:val="32"/>
          <w:rtl/>
        </w:rPr>
        <w:t xml:space="preserve"> تحليل دور الصندوق في تحويل الأصول النفطية إلى استثمارات ذات عوائد طويلة الأجل.</w:t>
      </w:r>
    </w:p>
    <w:p w14:paraId="07BEB47E" w14:textId="77777777" w:rsidR="00843CFA" w:rsidRPr="007E3252" w:rsidRDefault="00843CFA" w:rsidP="007E3252">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سياسات سحب الأموال والاستثمار:</w:t>
      </w:r>
      <w:r w:rsidRPr="007E3252">
        <w:rPr>
          <w:rFonts w:ascii="Simplified Arabic" w:hAnsi="Simplified Arabic" w:cs="Simplified Arabic" w:hint="cs"/>
          <w:color w:val="1B1C1D"/>
          <w:sz w:val="32"/>
          <w:szCs w:val="32"/>
          <w:rtl/>
        </w:rPr>
        <w:t xml:space="preserve"> النماذج الاقتصادية التي تحكم العلاقة بين الصندوق والميزانية العامة في أوقات الشدة والرخاء.</w:t>
      </w:r>
    </w:p>
    <w:p w14:paraId="3A1EF547"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المحور السادس: الآثار الاقتصادية الكلية لتقلبات الأسعار على الاقتصاد</w:t>
      </w:r>
    </w:p>
    <w:p w14:paraId="50B484C7" w14:textId="77777777" w:rsidR="00843CFA" w:rsidRPr="007E3252" w:rsidRDefault="00843CFA" w:rsidP="007E3252">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قنوات انتقال أثر صدمات الأسعار إلى الناتج المحلي الإجمالي:</w:t>
      </w:r>
      <w:r w:rsidRPr="007E3252">
        <w:rPr>
          <w:rFonts w:ascii="Simplified Arabic" w:hAnsi="Simplified Arabic" w:cs="Simplified Arabic" w:hint="cs"/>
          <w:color w:val="1B1C1D"/>
          <w:sz w:val="32"/>
          <w:szCs w:val="32"/>
          <w:rtl/>
        </w:rPr>
        <w:t xml:space="preserve"> تحليل العلاقة بين تغيرات أسعار النفط والنمو الاقتصادي العام.</w:t>
      </w:r>
    </w:p>
    <w:p w14:paraId="385693EB" w14:textId="77777777" w:rsidR="00843CFA" w:rsidRPr="007E3252" w:rsidRDefault="00843CFA" w:rsidP="007E3252">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تأثير تقلبات النفط على الاستثمار العام والخاص:</w:t>
      </w:r>
      <w:r w:rsidRPr="007E3252">
        <w:rPr>
          <w:rFonts w:ascii="Simplified Arabic" w:hAnsi="Simplified Arabic" w:cs="Simplified Arabic" w:hint="cs"/>
          <w:color w:val="1B1C1D"/>
          <w:sz w:val="32"/>
          <w:szCs w:val="32"/>
          <w:rtl/>
        </w:rPr>
        <w:t xml:space="preserve"> استعراض الكيفية التي يؤثر بها عدم اليقين السعري على قرارات الإنفاق والاستثمار.</w:t>
      </w:r>
    </w:p>
    <w:p w14:paraId="6C757F1A" w14:textId="77777777" w:rsidR="00843CFA" w:rsidRPr="007E3252" w:rsidRDefault="00843CFA" w:rsidP="007E3252">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lastRenderedPageBreak/>
        <w:t>العلاقة بين أسعار النفط والمؤشرات الاجتماعية:</w:t>
      </w:r>
      <w:r w:rsidRPr="007E3252">
        <w:rPr>
          <w:rFonts w:ascii="Simplified Arabic" w:hAnsi="Simplified Arabic" w:cs="Simplified Arabic" w:hint="cs"/>
          <w:color w:val="1B1C1D"/>
          <w:sz w:val="32"/>
          <w:szCs w:val="32"/>
          <w:rtl/>
        </w:rPr>
        <w:t xml:space="preserve"> تأثير تقلبات الإيرادات على الإنفاق على الرعاية الاجتماعية والبطالة والدخل.</w:t>
      </w:r>
    </w:p>
    <w:p w14:paraId="7299F563"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المحور السابع: الإصلاحات الهيكلية لقطاع الطاقة والميزانية</w:t>
      </w:r>
    </w:p>
    <w:p w14:paraId="1767DB37" w14:textId="77777777" w:rsidR="00843CFA" w:rsidRPr="007E3252" w:rsidRDefault="00843CFA" w:rsidP="007E3252">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نظرية تحرير أسعار الطاقة المحلية وإزالة الدعم:</w:t>
      </w:r>
      <w:r w:rsidRPr="007E3252">
        <w:rPr>
          <w:rFonts w:ascii="Simplified Arabic" w:hAnsi="Simplified Arabic" w:cs="Simplified Arabic" w:hint="cs"/>
          <w:color w:val="1B1C1D"/>
          <w:sz w:val="32"/>
          <w:szCs w:val="32"/>
          <w:rtl/>
        </w:rPr>
        <w:t xml:space="preserve"> الآثار المتوقعة لإعادة هيكلة الأسعار المحلية على ترشيد الاستهلاك وضبط الإنفاق الحكومي.</w:t>
      </w:r>
    </w:p>
    <w:p w14:paraId="06519763" w14:textId="77777777" w:rsidR="00843CFA" w:rsidRPr="007E3252" w:rsidRDefault="00843CFA" w:rsidP="007E3252">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التنويع ضمن قطاع الطاقة:</w:t>
      </w:r>
      <w:r w:rsidRPr="007E3252">
        <w:rPr>
          <w:rFonts w:ascii="Simplified Arabic" w:hAnsi="Simplified Arabic" w:cs="Simplified Arabic" w:hint="cs"/>
          <w:color w:val="1B1C1D"/>
          <w:sz w:val="32"/>
          <w:szCs w:val="32"/>
          <w:rtl/>
        </w:rPr>
        <w:t xml:space="preserve"> التحول نحو مصادر جديدة للطاقة (الغاز، الطاقة المتجددة) لتخفيف المخاطر المرتبطة بالنفط الخام.</w:t>
      </w:r>
    </w:p>
    <w:p w14:paraId="0329729B" w14:textId="77777777" w:rsidR="00843CFA" w:rsidRPr="007E3252" w:rsidRDefault="00843CFA" w:rsidP="007E3252">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تأثير خصخصة الأصول النفطية (مثال أرامكو) على الإيرادات:</w:t>
      </w:r>
      <w:r w:rsidRPr="007E3252">
        <w:rPr>
          <w:rFonts w:ascii="Simplified Arabic" w:hAnsi="Simplified Arabic" w:cs="Simplified Arabic" w:hint="cs"/>
          <w:color w:val="1B1C1D"/>
          <w:sz w:val="32"/>
          <w:szCs w:val="32"/>
          <w:rtl/>
        </w:rPr>
        <w:t xml:space="preserve"> تحليل التحول من الإيراد المباشر إلى عائدات الضرائب والتوزيعات.</w:t>
      </w:r>
    </w:p>
    <w:p w14:paraId="681E5C47"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المحور الثامن: القواعد والضوابط المالية لضمان الاستدامة</w:t>
      </w:r>
    </w:p>
    <w:p w14:paraId="6FC703EE" w14:textId="77777777" w:rsidR="00843CFA" w:rsidRPr="007E3252" w:rsidRDefault="00843CFA" w:rsidP="007E3252">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المفاهيم النظرية للقواعد المالية (</w:t>
      </w:r>
      <w:r w:rsidRPr="007E3252">
        <w:rPr>
          <w:rStyle w:val="a6"/>
          <w:rFonts w:ascii="Simplified Arabic" w:hAnsi="Simplified Arabic" w:cs="Simplified Arabic" w:hint="cs"/>
          <w:color w:val="1B1C1D"/>
          <w:sz w:val="32"/>
          <w:szCs w:val="32"/>
          <w:bdr w:val="none" w:sz="0" w:space="0" w:color="auto" w:frame="1"/>
        </w:rPr>
        <w:t>Fiscal Rules</w:t>
      </w:r>
      <w:r w:rsidRPr="007E3252">
        <w:rPr>
          <w:rStyle w:val="a6"/>
          <w:rFonts w:ascii="Simplified Arabic" w:hAnsi="Simplified Arabic" w:cs="Simplified Arabic" w:hint="cs"/>
          <w:color w:val="1B1C1D"/>
          <w:sz w:val="32"/>
          <w:szCs w:val="32"/>
          <w:bdr w:val="none" w:sz="0" w:space="0" w:color="auto" w:frame="1"/>
          <w:rtl/>
        </w:rPr>
        <w:t>):</w:t>
      </w:r>
      <w:r w:rsidRPr="007E3252">
        <w:rPr>
          <w:rFonts w:ascii="Simplified Arabic" w:hAnsi="Simplified Arabic" w:cs="Simplified Arabic" w:hint="cs"/>
          <w:color w:val="1B1C1D"/>
          <w:sz w:val="32"/>
          <w:szCs w:val="32"/>
          <w:rtl/>
        </w:rPr>
        <w:t xml:space="preserve"> دراسة أنواع القواعد (كقاعدة الإنفاق الدورية، وقاعدة الدين) وكيفية استخدامها لإدارة التقلبات.</w:t>
      </w:r>
    </w:p>
    <w:p w14:paraId="40EEC722" w14:textId="77777777" w:rsidR="00843CFA" w:rsidRPr="007E3252" w:rsidRDefault="00843CFA" w:rsidP="007E3252">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تطبيق القواعد المالية في الميزانية السعودية:</w:t>
      </w:r>
      <w:r w:rsidRPr="007E3252">
        <w:rPr>
          <w:rFonts w:ascii="Simplified Arabic" w:hAnsi="Simplified Arabic" w:cs="Simplified Arabic" w:hint="cs"/>
          <w:color w:val="1B1C1D"/>
          <w:sz w:val="32"/>
          <w:szCs w:val="32"/>
          <w:rtl/>
        </w:rPr>
        <w:t xml:space="preserve"> تحليل الأطر الحالية والمستقبلية لضبط الإنفاق الحكومي بغض النظر عن أسعار النفط.</w:t>
      </w:r>
    </w:p>
    <w:p w14:paraId="235A3EFE" w14:textId="77777777" w:rsidR="00843CFA" w:rsidRPr="007E3252" w:rsidRDefault="00843CFA" w:rsidP="007E3252">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 xml:space="preserve">أهمية الشفافية </w:t>
      </w:r>
      <w:proofErr w:type="spellStart"/>
      <w:r w:rsidRPr="007E3252">
        <w:rPr>
          <w:rStyle w:val="a6"/>
          <w:rFonts w:ascii="Simplified Arabic" w:hAnsi="Simplified Arabic" w:cs="Simplified Arabic" w:hint="cs"/>
          <w:color w:val="1B1C1D"/>
          <w:sz w:val="32"/>
          <w:szCs w:val="32"/>
          <w:bdr w:val="none" w:sz="0" w:space="0" w:color="auto" w:frame="1"/>
          <w:rtl/>
        </w:rPr>
        <w:t>والحوكمة</w:t>
      </w:r>
      <w:proofErr w:type="spellEnd"/>
      <w:r w:rsidRPr="007E3252">
        <w:rPr>
          <w:rStyle w:val="a6"/>
          <w:rFonts w:ascii="Simplified Arabic" w:hAnsi="Simplified Arabic" w:cs="Simplified Arabic" w:hint="cs"/>
          <w:color w:val="1B1C1D"/>
          <w:sz w:val="32"/>
          <w:szCs w:val="32"/>
          <w:bdr w:val="none" w:sz="0" w:space="0" w:color="auto" w:frame="1"/>
          <w:rtl/>
        </w:rPr>
        <w:t xml:space="preserve"> في تنفيذ السياسات المالية:</w:t>
      </w:r>
      <w:r w:rsidRPr="007E3252">
        <w:rPr>
          <w:rFonts w:ascii="Simplified Arabic" w:hAnsi="Simplified Arabic" w:cs="Simplified Arabic" w:hint="cs"/>
          <w:color w:val="1B1C1D"/>
          <w:sz w:val="32"/>
          <w:szCs w:val="32"/>
          <w:rtl/>
        </w:rPr>
        <w:t xml:space="preserve"> دور المؤسسات الرقابية في تعزيز انضباط الميزانية وتقليل المخاطر.</w:t>
      </w:r>
    </w:p>
    <w:p w14:paraId="582F4F5E"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lastRenderedPageBreak/>
        <w:t xml:space="preserve">المحور التاسع: </w:t>
      </w:r>
      <w:proofErr w:type="spellStart"/>
      <w:r w:rsidRPr="007E3252">
        <w:rPr>
          <w:rFonts w:ascii="Simplified Arabic" w:eastAsia="Times New Roman" w:hAnsi="Simplified Arabic" w:cs="Simplified Arabic" w:hint="cs"/>
          <w:color w:val="1B1C1D"/>
          <w:sz w:val="32"/>
          <w:szCs w:val="32"/>
          <w:rtl/>
        </w:rPr>
        <w:t>نمذجة</w:t>
      </w:r>
      <w:proofErr w:type="spellEnd"/>
      <w:r w:rsidRPr="007E3252">
        <w:rPr>
          <w:rFonts w:ascii="Simplified Arabic" w:eastAsia="Times New Roman" w:hAnsi="Simplified Arabic" w:cs="Simplified Arabic" w:hint="cs"/>
          <w:color w:val="1B1C1D"/>
          <w:sz w:val="32"/>
          <w:szCs w:val="32"/>
          <w:rtl/>
        </w:rPr>
        <w:t xml:space="preserve"> وتحليل سيناريوهات أسعار الطاقة المستقبلية</w:t>
      </w:r>
    </w:p>
    <w:p w14:paraId="2A04B2B9" w14:textId="77777777" w:rsidR="00843CFA" w:rsidRPr="007E3252" w:rsidRDefault="00843CFA" w:rsidP="007E3252">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نماذج التنبؤ بأسعار النفط:</w:t>
      </w:r>
      <w:r w:rsidRPr="007E3252">
        <w:rPr>
          <w:rFonts w:ascii="Simplified Arabic" w:hAnsi="Simplified Arabic" w:cs="Simplified Arabic" w:hint="cs"/>
          <w:color w:val="1B1C1D"/>
          <w:sz w:val="32"/>
          <w:szCs w:val="32"/>
          <w:rtl/>
        </w:rPr>
        <w:t xml:space="preserve"> استعراض النماذج الاقتصادية القياسية (</w:t>
      </w:r>
      <w:r w:rsidRPr="007E3252">
        <w:rPr>
          <w:rFonts w:ascii="Simplified Arabic" w:hAnsi="Simplified Arabic" w:cs="Simplified Arabic" w:hint="cs"/>
          <w:color w:val="1B1C1D"/>
          <w:sz w:val="32"/>
          <w:szCs w:val="32"/>
        </w:rPr>
        <w:t>Econometric Models</w:t>
      </w:r>
      <w:r w:rsidRPr="007E3252">
        <w:rPr>
          <w:rFonts w:ascii="Simplified Arabic" w:hAnsi="Simplified Arabic" w:cs="Simplified Arabic" w:hint="cs"/>
          <w:color w:val="1B1C1D"/>
          <w:sz w:val="32"/>
          <w:szCs w:val="32"/>
          <w:rtl/>
        </w:rPr>
        <w:t>) المستخدمة لتقدير الاتجاهات السعرية المستقبلية.</w:t>
      </w:r>
    </w:p>
    <w:p w14:paraId="11493A6D" w14:textId="77777777" w:rsidR="00843CFA" w:rsidRPr="007E3252" w:rsidRDefault="00843CFA" w:rsidP="007E3252">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تحليل حساسية الميزانية العامة لسيناريوهات الأسعار:</w:t>
      </w:r>
      <w:r w:rsidRPr="007E3252">
        <w:rPr>
          <w:rFonts w:ascii="Simplified Arabic" w:hAnsi="Simplified Arabic" w:cs="Simplified Arabic" w:hint="cs"/>
          <w:color w:val="1B1C1D"/>
          <w:sz w:val="32"/>
          <w:szCs w:val="32"/>
          <w:rtl/>
        </w:rPr>
        <w:t xml:space="preserve"> تقييم أثر السيناريوهات السعرية المختلفة (مرتفع، متوسط، منخفض) على العجز والفائض.</w:t>
      </w:r>
    </w:p>
    <w:p w14:paraId="41532B8F" w14:textId="77777777" w:rsidR="00843CFA" w:rsidRPr="007E3252" w:rsidRDefault="00843CFA" w:rsidP="007E3252">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استراتيجيات التخطيط المالي طويل الأجل:</w:t>
      </w:r>
      <w:r w:rsidRPr="007E3252">
        <w:rPr>
          <w:rFonts w:ascii="Simplified Arabic" w:hAnsi="Simplified Arabic" w:cs="Simplified Arabic" w:hint="cs"/>
          <w:color w:val="1B1C1D"/>
          <w:sz w:val="32"/>
          <w:szCs w:val="32"/>
          <w:rtl/>
        </w:rPr>
        <w:t xml:space="preserve"> دمج توقعات الأسعار في الأفق الزمني للميزانية لضمان الاستدامة المالية للأجيال القادمة.</w:t>
      </w:r>
    </w:p>
    <w:p w14:paraId="2EBADD20" w14:textId="77777777" w:rsidR="00843CFA" w:rsidRPr="007E3252" w:rsidRDefault="00843CFA" w:rsidP="007E3252">
      <w:pPr>
        <w:pStyle w:val="3"/>
        <w:spacing w:before="0" w:after="120" w:line="360" w:lineRule="auto"/>
        <w:rPr>
          <w:rFonts w:ascii="Simplified Arabic" w:eastAsia="Times New Roman" w:hAnsi="Simplified Arabic" w:cs="Simplified Arabic"/>
          <w:color w:val="1B1C1D"/>
          <w:sz w:val="32"/>
          <w:szCs w:val="32"/>
          <w:rtl/>
        </w:rPr>
      </w:pPr>
      <w:r w:rsidRPr="007E3252">
        <w:rPr>
          <w:rFonts w:ascii="Simplified Arabic" w:eastAsia="Times New Roman" w:hAnsi="Simplified Arabic" w:cs="Simplified Arabic" w:hint="cs"/>
          <w:color w:val="1B1C1D"/>
          <w:sz w:val="32"/>
          <w:szCs w:val="32"/>
          <w:rtl/>
        </w:rPr>
        <w:t xml:space="preserve">المحور العاشر: </w:t>
      </w:r>
      <w:proofErr w:type="spellStart"/>
      <w:r w:rsidRPr="007E3252">
        <w:rPr>
          <w:rFonts w:ascii="Simplified Arabic" w:eastAsia="Times New Roman" w:hAnsi="Simplified Arabic" w:cs="Simplified Arabic" w:hint="cs"/>
          <w:color w:val="1B1C1D"/>
          <w:sz w:val="32"/>
          <w:szCs w:val="32"/>
          <w:rtl/>
        </w:rPr>
        <w:t>الحوكمة</w:t>
      </w:r>
      <w:proofErr w:type="spellEnd"/>
      <w:r w:rsidRPr="007E3252">
        <w:rPr>
          <w:rFonts w:ascii="Simplified Arabic" w:eastAsia="Times New Roman" w:hAnsi="Simplified Arabic" w:cs="Simplified Arabic" w:hint="cs"/>
          <w:color w:val="1B1C1D"/>
          <w:sz w:val="32"/>
          <w:szCs w:val="32"/>
          <w:rtl/>
        </w:rPr>
        <w:t xml:space="preserve"> الدولية وأثرها على استقرار الأسعار</w:t>
      </w:r>
    </w:p>
    <w:p w14:paraId="51C1D5BD" w14:textId="77777777" w:rsidR="00843CFA" w:rsidRPr="007E3252" w:rsidRDefault="00843CFA" w:rsidP="007E3252">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دور منظمة أوبك وتحالف أوبك+:</w:t>
      </w:r>
      <w:r w:rsidRPr="007E3252">
        <w:rPr>
          <w:rFonts w:ascii="Simplified Arabic" w:hAnsi="Simplified Arabic" w:cs="Simplified Arabic" w:hint="cs"/>
          <w:color w:val="1B1C1D"/>
          <w:sz w:val="32"/>
          <w:szCs w:val="32"/>
          <w:rtl/>
        </w:rPr>
        <w:t xml:space="preserve"> التحليل النظري لوظيفة هذه التجمعات كلاعبين رئيسيين في تحقيق التوازن بين العرض والطلب العالمي.</w:t>
      </w:r>
    </w:p>
    <w:p w14:paraId="14318795" w14:textId="77777777" w:rsidR="00843CFA" w:rsidRPr="007E3252" w:rsidRDefault="00843CFA" w:rsidP="007E3252">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آليات التنسيق بين الدول المنتجة والمستهلكة:</w:t>
      </w:r>
      <w:r w:rsidRPr="007E3252">
        <w:rPr>
          <w:rFonts w:ascii="Simplified Arabic" w:hAnsi="Simplified Arabic" w:cs="Simplified Arabic" w:hint="cs"/>
          <w:color w:val="1B1C1D"/>
          <w:sz w:val="32"/>
          <w:szCs w:val="32"/>
          <w:rtl/>
        </w:rPr>
        <w:t xml:space="preserve"> دور الاتفاقيات الدولية في تخفيف حدة التقلبات السعرية في الأسواق العالمية.</w:t>
      </w:r>
    </w:p>
    <w:p w14:paraId="4B2B2363" w14:textId="77777777" w:rsidR="00843CFA" w:rsidRPr="007E3252" w:rsidRDefault="00843CFA" w:rsidP="007E3252">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7E3252">
        <w:rPr>
          <w:rStyle w:val="a6"/>
          <w:rFonts w:ascii="Simplified Arabic" w:hAnsi="Simplified Arabic" w:cs="Simplified Arabic" w:hint="cs"/>
          <w:color w:val="1B1C1D"/>
          <w:sz w:val="32"/>
          <w:szCs w:val="32"/>
          <w:bdr w:val="none" w:sz="0" w:space="0" w:color="auto" w:frame="1"/>
          <w:rtl/>
        </w:rPr>
        <w:t>أثر التوجهات العالمية نحو الطاقة النظيفة:</w:t>
      </w:r>
      <w:r w:rsidRPr="007E3252">
        <w:rPr>
          <w:rFonts w:ascii="Simplified Arabic" w:hAnsi="Simplified Arabic" w:cs="Simplified Arabic" w:hint="cs"/>
          <w:color w:val="1B1C1D"/>
          <w:sz w:val="32"/>
          <w:szCs w:val="32"/>
          <w:rtl/>
        </w:rPr>
        <w:t xml:space="preserve"> دراسة التحديات المستقبلية والجيوسياسية لانتقال الطاقة على استدامة الإيرادات النفطية.</w:t>
      </w:r>
    </w:p>
    <w:p w14:paraId="75345F96" w14:textId="77777777" w:rsidR="00843CFA" w:rsidRPr="007E3252" w:rsidRDefault="00843CFA" w:rsidP="007E325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9186D7D" w14:textId="77777777" w:rsidR="00843CFA" w:rsidRPr="007E3252" w:rsidRDefault="00843CFA" w:rsidP="007E3252">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378118" w14:textId="5A050093" w:rsidR="00B25637" w:rsidRPr="007E3252" w:rsidRDefault="00B25637" w:rsidP="007E3252">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F603A33" w14:textId="1B2DE32A" w:rsidR="00B25637" w:rsidRPr="007E3252" w:rsidRDefault="00B25637"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lastRenderedPageBreak/>
        <w:t xml:space="preserve"> الإطار </w:t>
      </w:r>
      <w:proofErr w:type="spellStart"/>
      <w:r w:rsidRPr="007E3252">
        <w:rPr>
          <w:rFonts w:ascii="Simplified Arabic" w:eastAsia="Times New Roman" w:hAnsi="Simplified Arabic" w:cs="Simplified Arabic" w:hint="cs"/>
          <w:color w:val="1F1F1F"/>
          <w:rtl/>
        </w:rPr>
        <w:t>المفاهيمي</w:t>
      </w:r>
      <w:proofErr w:type="spellEnd"/>
      <w:r w:rsidRPr="007E3252">
        <w:rPr>
          <w:rFonts w:ascii="Simplified Arabic" w:eastAsia="Times New Roman" w:hAnsi="Simplified Arabic" w:cs="Simplified Arabic" w:hint="cs"/>
          <w:color w:val="1F1F1F"/>
          <w:rtl/>
        </w:rPr>
        <w:t xml:space="preserve"> لتقلبات أسعار الطاقة</w:t>
      </w:r>
    </w:p>
    <w:p w14:paraId="29A5B77B" w14:textId="77777777" w:rsidR="00B25637" w:rsidRPr="007E3252" w:rsidRDefault="00B25637"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تعريف أسعار الطاقة وأهميتها للاقتصاد السعودي</w:t>
      </w:r>
    </w:p>
    <w:p w14:paraId="557CB463" w14:textId="77777777" w:rsidR="00B25637" w:rsidRPr="007E3252" w:rsidRDefault="00B25637"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تُعد أسعار الطاقة، وبشكل خاص أسعار النفط الخام، المتغير الأكثر تأثيراً في الميزان التجاري والموازنة العامة للمملكة العربية السعودية.</w:t>
      </w:r>
    </w:p>
    <w:p w14:paraId="2C21177A" w14:textId="77777777" w:rsidR="00B25637" w:rsidRPr="007E3252" w:rsidRDefault="00B25637" w:rsidP="007E3252">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أصول استراتيجية:</w:t>
      </w:r>
      <w:r w:rsidRPr="007E3252">
        <w:rPr>
          <w:rFonts w:ascii="Simplified Arabic" w:hAnsi="Simplified Arabic" w:cs="Simplified Arabic" w:hint="cs"/>
          <w:color w:val="1F1F1F"/>
          <w:sz w:val="32"/>
          <w:szCs w:val="32"/>
          <w:rtl/>
        </w:rPr>
        <w:t xml:space="preserve"> يمثل النفط والغاز "العمود الفقري" للأصول الاستراتيجية؛ حيث تمتلك المملكة واحداً من أكبر الاحتياطيات المؤكدة عالمياً.</w:t>
      </w:r>
    </w:p>
    <w:p w14:paraId="0C8E712D" w14:textId="77777777" w:rsidR="00B25637" w:rsidRPr="007E3252" w:rsidRDefault="00B25637" w:rsidP="007E3252">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المصدر الرئيسي للإيرادات:</w:t>
      </w:r>
      <w:r w:rsidRPr="007E3252">
        <w:rPr>
          <w:rFonts w:ascii="Simplified Arabic" w:hAnsi="Simplified Arabic" w:cs="Simplified Arabic" w:hint="cs"/>
          <w:color w:val="1F1F1F"/>
          <w:sz w:val="32"/>
          <w:szCs w:val="32"/>
          <w:rtl/>
        </w:rPr>
        <w:t xml:space="preserve"> تاريخياً، اعتمدت الإيرادات العامة بنسبة تتراوح بين 60% إلى 90% على عوائد الصادرات النفطية، مما يجعل الإنفاق الحكومي (الاستثماري والاستهلاكي) مرتبطاً بشكل عضوي بحركة الأسعار العالمية.</w:t>
      </w:r>
    </w:p>
    <w:p w14:paraId="4F987442" w14:textId="77777777" w:rsidR="00B25637" w:rsidRPr="007E3252" w:rsidRDefault="00B25637"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مصادر وأنواع تقلبات أسعار النفط</w:t>
      </w:r>
    </w:p>
    <w:p w14:paraId="26B0E890" w14:textId="77777777" w:rsidR="00B25637" w:rsidRPr="007E3252" w:rsidRDefault="00B25637"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تتميز أسعار النفط بـ "التقلب العالي" (</w:t>
      </w:r>
      <w:r w:rsidRPr="007E3252">
        <w:rPr>
          <w:rFonts w:ascii="Simplified Arabic" w:hAnsi="Simplified Arabic" w:cs="Simplified Arabic" w:hint="cs"/>
          <w:color w:val="1F1F1F"/>
          <w:sz w:val="32"/>
          <w:szCs w:val="32"/>
        </w:rPr>
        <w:t>High Volatility</w:t>
      </w:r>
      <w:r w:rsidRPr="007E3252">
        <w:rPr>
          <w:rFonts w:ascii="Simplified Arabic" w:hAnsi="Simplified Arabic" w:cs="Simplified Arabic" w:hint="cs"/>
          <w:color w:val="1F1F1F"/>
          <w:sz w:val="32"/>
          <w:szCs w:val="32"/>
          <w:rtl/>
        </w:rPr>
        <w:t>) نتيجة تداخل عوامل معقدة:</w:t>
      </w:r>
    </w:p>
    <w:p w14:paraId="6BD694F5" w14:textId="77777777" w:rsidR="00B25637" w:rsidRPr="007E3252" w:rsidRDefault="00B25637" w:rsidP="007E3252">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الصدمات الجيوسياسية:</w:t>
      </w:r>
      <w:r w:rsidRPr="007E3252">
        <w:rPr>
          <w:rFonts w:ascii="Simplified Arabic" w:hAnsi="Simplified Arabic" w:cs="Simplified Arabic" w:hint="cs"/>
          <w:color w:val="1F1F1F"/>
          <w:sz w:val="32"/>
          <w:szCs w:val="32"/>
          <w:rtl/>
        </w:rPr>
        <w:t xml:space="preserve"> نظراً لتركز الإنتاج في مناطق تشهد توترات سياسية، تؤدي الأزمات (مثل النزاعات الإقليمية) إلى "علاوة مخاطر" ترفع الأسعار بشكل مفاجئ.</w:t>
      </w:r>
    </w:p>
    <w:p w14:paraId="221D6122" w14:textId="77777777" w:rsidR="00B25637" w:rsidRPr="007E3252" w:rsidRDefault="00B25637" w:rsidP="007E3252">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صدمات العرض والطلب:</w:t>
      </w:r>
      <w:r w:rsidRPr="007E3252">
        <w:rPr>
          <w:rFonts w:ascii="Simplified Arabic" w:hAnsi="Simplified Arabic" w:cs="Simplified Arabic" w:hint="cs"/>
          <w:color w:val="1F1F1F"/>
          <w:sz w:val="32"/>
          <w:szCs w:val="32"/>
          <w:rtl/>
        </w:rPr>
        <w:t xml:space="preserve"> * </w:t>
      </w:r>
      <w:r w:rsidRPr="007E3252">
        <w:rPr>
          <w:rStyle w:val="a6"/>
          <w:rFonts w:ascii="Simplified Arabic" w:hAnsi="Simplified Arabic" w:cs="Simplified Arabic" w:hint="cs"/>
          <w:color w:val="1F1F1F"/>
          <w:sz w:val="32"/>
          <w:szCs w:val="32"/>
          <w:bdr w:val="none" w:sz="0" w:space="0" w:color="auto" w:frame="1"/>
          <w:rtl/>
        </w:rPr>
        <w:t>الطلب:</w:t>
      </w:r>
      <w:r w:rsidRPr="007E3252">
        <w:rPr>
          <w:rFonts w:ascii="Simplified Arabic" w:hAnsi="Simplified Arabic" w:cs="Simplified Arabic" w:hint="cs"/>
          <w:color w:val="1F1F1F"/>
          <w:sz w:val="32"/>
          <w:szCs w:val="32"/>
          <w:rtl/>
        </w:rPr>
        <w:t xml:space="preserve"> يتأثر بالنمو الاقتصادي العالمي، خاصة في الصين والهند.</w:t>
      </w:r>
    </w:p>
    <w:p w14:paraId="5C241F01" w14:textId="77777777" w:rsidR="00B25637" w:rsidRPr="007E3252" w:rsidRDefault="00B25637" w:rsidP="007E3252">
      <w:pPr>
        <w:pStyle w:val="a5"/>
        <w:numPr>
          <w:ilvl w:val="1"/>
          <w:numId w:val="2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العرض:</w:t>
      </w:r>
      <w:r w:rsidRPr="007E3252">
        <w:rPr>
          <w:rFonts w:ascii="Simplified Arabic" w:hAnsi="Simplified Arabic" w:cs="Simplified Arabic" w:hint="cs"/>
          <w:color w:val="1F1F1F"/>
          <w:sz w:val="32"/>
          <w:szCs w:val="32"/>
          <w:rtl/>
        </w:rPr>
        <w:t xml:space="preserve"> يتأثر بقرارات تحالف "أوبك+"، وإنتاج النفط الصخري الأمريكي، والقدرات الإنتاجية الفائضة.</w:t>
      </w:r>
    </w:p>
    <w:p w14:paraId="70C65868" w14:textId="77777777" w:rsidR="00B25637" w:rsidRPr="007E3252" w:rsidRDefault="00B25637" w:rsidP="007E3252">
      <w:pPr>
        <w:pStyle w:val="a5"/>
        <w:numPr>
          <w:ilvl w:val="0"/>
          <w:numId w:val="2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دور المخزونات:</w:t>
      </w:r>
      <w:r w:rsidRPr="007E3252">
        <w:rPr>
          <w:rFonts w:ascii="Simplified Arabic" w:hAnsi="Simplified Arabic" w:cs="Simplified Arabic" w:hint="cs"/>
          <w:color w:val="1F1F1F"/>
          <w:sz w:val="32"/>
          <w:szCs w:val="32"/>
          <w:rtl/>
        </w:rPr>
        <w:t xml:space="preserve"> تعمل المخزونات التجارية والاستراتيجية كصمام أمان؛ حيث يؤدي انخفاضها إلى زيادة الحساسية السعرية لأي انقطاع في الإمدادات.</w:t>
      </w:r>
    </w:p>
    <w:p w14:paraId="043A6EF8" w14:textId="77777777" w:rsidR="00B25637" w:rsidRPr="007E3252" w:rsidRDefault="00B25637"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قياس مؤشرات تقلبات الأسعار (</w:t>
      </w:r>
      <w:r w:rsidRPr="007E3252">
        <w:rPr>
          <w:rFonts w:ascii="Simplified Arabic" w:eastAsia="Times New Roman" w:hAnsi="Simplified Arabic" w:cs="Simplified Arabic" w:hint="cs"/>
          <w:color w:val="1F1F1F"/>
          <w:sz w:val="32"/>
          <w:szCs w:val="32"/>
        </w:rPr>
        <w:t>Volatility Indices</w:t>
      </w:r>
      <w:r w:rsidRPr="007E3252">
        <w:rPr>
          <w:rFonts w:ascii="Simplified Arabic" w:eastAsia="Times New Roman" w:hAnsi="Simplified Arabic" w:cs="Simplified Arabic" w:hint="cs"/>
          <w:color w:val="1F1F1F"/>
          <w:sz w:val="32"/>
          <w:szCs w:val="32"/>
          <w:rtl/>
        </w:rPr>
        <w:t>)</w:t>
      </w:r>
    </w:p>
    <w:p w14:paraId="50BFC3D5" w14:textId="77777777" w:rsidR="00B25637" w:rsidRPr="007E3252" w:rsidRDefault="00B25637"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تستخدم الجهات التخطيطية في المملكة نماذج متقدمة لتقدير المخاطر:</w:t>
      </w:r>
    </w:p>
    <w:p w14:paraId="67C8B4DE" w14:textId="77777777" w:rsidR="00B25637" w:rsidRPr="007E3252" w:rsidRDefault="00B25637" w:rsidP="007E325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 xml:space="preserve">نماذج </w:t>
      </w:r>
      <w:r w:rsidRPr="007E3252">
        <w:rPr>
          <w:rStyle w:val="a6"/>
          <w:rFonts w:ascii="Simplified Arabic" w:hAnsi="Simplified Arabic" w:cs="Simplified Arabic" w:hint="cs"/>
          <w:color w:val="1F1F1F"/>
          <w:sz w:val="32"/>
          <w:szCs w:val="32"/>
          <w:bdr w:val="none" w:sz="0" w:space="0" w:color="auto" w:frame="1"/>
        </w:rPr>
        <w:t>GARCH</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w:t>
      </w:r>
      <w:r w:rsidRPr="007E3252">
        <w:rPr>
          <w:rFonts w:ascii="Simplified Arabic" w:hAnsi="Simplified Arabic" w:cs="Simplified Arabic" w:hint="cs"/>
          <w:color w:val="1F1F1F"/>
          <w:sz w:val="32"/>
          <w:szCs w:val="32"/>
        </w:rPr>
        <w:t xml:space="preserve">Generalized Autoregressive Conditional </w:t>
      </w:r>
      <w:proofErr w:type="spellStart"/>
      <w:r w:rsidRPr="007E3252">
        <w:rPr>
          <w:rFonts w:ascii="Simplified Arabic" w:hAnsi="Simplified Arabic" w:cs="Simplified Arabic" w:hint="cs"/>
          <w:color w:val="1F1F1F"/>
          <w:sz w:val="32"/>
          <w:szCs w:val="32"/>
        </w:rPr>
        <w:t>Heteroskedasticity</w:t>
      </w:r>
      <w:proofErr w:type="spellEnd"/>
      <w:r w:rsidRPr="007E3252">
        <w:rPr>
          <w:rFonts w:ascii="Simplified Arabic" w:hAnsi="Simplified Arabic" w:cs="Simplified Arabic" w:hint="cs"/>
          <w:color w:val="1F1F1F"/>
          <w:sz w:val="32"/>
          <w:szCs w:val="32"/>
          <w:rtl/>
        </w:rPr>
        <w:t xml:space="preserve">) وتستخدم </w:t>
      </w:r>
      <w:proofErr w:type="spellStart"/>
      <w:r w:rsidRPr="007E3252">
        <w:rPr>
          <w:rFonts w:ascii="Simplified Arabic" w:hAnsi="Simplified Arabic" w:cs="Simplified Arabic" w:hint="cs"/>
          <w:color w:val="1F1F1F"/>
          <w:sz w:val="32"/>
          <w:szCs w:val="32"/>
          <w:rtl/>
        </w:rPr>
        <w:t>لنمذجة</w:t>
      </w:r>
      <w:proofErr w:type="spellEnd"/>
      <w:r w:rsidRPr="007E3252">
        <w:rPr>
          <w:rFonts w:ascii="Simplified Arabic" w:hAnsi="Simplified Arabic" w:cs="Simplified Arabic" w:hint="cs"/>
          <w:color w:val="1F1F1F"/>
          <w:sz w:val="32"/>
          <w:szCs w:val="32"/>
          <w:rtl/>
        </w:rPr>
        <w:t xml:space="preserve"> التباين في الأسعار وتقدير مدى استمرارية الصدمات السعرية.</w:t>
      </w:r>
    </w:p>
    <w:p w14:paraId="19CF9778" w14:textId="77777777" w:rsidR="00B25637" w:rsidRPr="007E3252" w:rsidRDefault="00B25637" w:rsidP="007E325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 xml:space="preserve">مؤشر </w:t>
      </w:r>
      <w:r w:rsidRPr="007E3252">
        <w:rPr>
          <w:rStyle w:val="a6"/>
          <w:rFonts w:ascii="Simplified Arabic" w:hAnsi="Simplified Arabic" w:cs="Simplified Arabic" w:hint="cs"/>
          <w:color w:val="1F1F1F"/>
          <w:sz w:val="32"/>
          <w:szCs w:val="32"/>
          <w:bdr w:val="none" w:sz="0" w:space="0" w:color="auto" w:frame="1"/>
        </w:rPr>
        <w:t>OVX</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وهو مؤشر يقيس توقعات السوق للتقلبات المستقبلية لأسعار النفط خلال 30 يوماً القادمة (على غرار مؤشر </w:t>
      </w:r>
      <w:r w:rsidRPr="007E3252">
        <w:rPr>
          <w:rFonts w:ascii="Simplified Arabic" w:hAnsi="Simplified Arabic" w:cs="Simplified Arabic" w:hint="cs"/>
          <w:color w:val="1F1F1F"/>
          <w:sz w:val="32"/>
          <w:szCs w:val="32"/>
        </w:rPr>
        <w:t>VIX</w:t>
      </w:r>
      <w:r w:rsidRPr="007E3252">
        <w:rPr>
          <w:rFonts w:ascii="Simplified Arabic" w:hAnsi="Simplified Arabic" w:cs="Simplified Arabic" w:hint="cs"/>
          <w:color w:val="1F1F1F"/>
          <w:sz w:val="32"/>
          <w:szCs w:val="32"/>
          <w:rtl/>
        </w:rPr>
        <w:t xml:space="preserve"> للأسهم).</w:t>
      </w:r>
    </w:p>
    <w:p w14:paraId="4BF2A2DF" w14:textId="77777777" w:rsidR="00B25637" w:rsidRPr="007E3252" w:rsidRDefault="00B25637" w:rsidP="007E3252">
      <w:pPr>
        <w:pStyle w:val="a5"/>
        <w:numPr>
          <w:ilvl w:val="0"/>
          <w:numId w:val="2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محاكاة مونت كارلو:</w:t>
      </w:r>
      <w:r w:rsidRPr="007E3252">
        <w:rPr>
          <w:rFonts w:ascii="Simplified Arabic" w:hAnsi="Simplified Arabic" w:cs="Simplified Arabic" w:hint="cs"/>
          <w:color w:val="1F1F1F"/>
          <w:sz w:val="32"/>
          <w:szCs w:val="32"/>
          <w:rtl/>
        </w:rPr>
        <w:t xml:space="preserve"> لاستشراف سيناريوهات الميزانية بناءً على احتمالات سعرية متعددة.</w:t>
      </w:r>
    </w:p>
    <w:p w14:paraId="365F1B68" w14:textId="4A708757" w:rsidR="00B25637" w:rsidRPr="007E3252" w:rsidRDefault="00B25637"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 xml:space="preserve"> النظرية الاقتصادية للدول الريعية (</w:t>
      </w:r>
      <w:r w:rsidRPr="007E3252">
        <w:rPr>
          <w:rFonts w:ascii="Simplified Arabic" w:eastAsia="Times New Roman" w:hAnsi="Simplified Arabic" w:cs="Simplified Arabic" w:hint="cs"/>
          <w:color w:val="1F1F1F"/>
        </w:rPr>
        <w:t>Rentier State Theory</w:t>
      </w:r>
      <w:r w:rsidRPr="007E3252">
        <w:rPr>
          <w:rFonts w:ascii="Simplified Arabic" w:eastAsia="Times New Roman" w:hAnsi="Simplified Arabic" w:cs="Simplified Arabic" w:hint="cs"/>
          <w:color w:val="1F1F1F"/>
          <w:rtl/>
        </w:rPr>
        <w:t>)</w:t>
      </w:r>
    </w:p>
    <w:p w14:paraId="79AB28D0" w14:textId="77777777" w:rsidR="00B25637" w:rsidRPr="007E3252" w:rsidRDefault="00B25637"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مفهوم الدولة الريعية وتطبيقه على الحالة السعودية</w:t>
      </w:r>
    </w:p>
    <w:p w14:paraId="3649B111" w14:textId="77777777" w:rsidR="00B25637" w:rsidRPr="007E3252" w:rsidRDefault="00B25637"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تقوم نظرية الدولة الريعية على أن الدولة تعتمد في دخلها على "ريع" خارجي (عائدات تصدير الموارد) بدلاً من الضرائب المحلية.</w:t>
      </w:r>
    </w:p>
    <w:p w14:paraId="441ABC9B" w14:textId="77777777" w:rsidR="00B25637" w:rsidRPr="007E3252" w:rsidRDefault="00B25637" w:rsidP="007E325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الهيكل المالي:</w:t>
      </w:r>
      <w:r w:rsidRPr="007E3252">
        <w:rPr>
          <w:rFonts w:ascii="Simplified Arabic" w:hAnsi="Simplified Arabic" w:cs="Simplified Arabic" w:hint="cs"/>
          <w:color w:val="1F1F1F"/>
          <w:sz w:val="32"/>
          <w:szCs w:val="32"/>
          <w:rtl/>
        </w:rPr>
        <w:t xml:space="preserve"> في الحالة السعودية التقليدية، كانت الدولة هي المتلقي الأول للريع، مما جعلها المحرك الأساسي للدورة الاقتصادية عبر الإنفاق العام.</w:t>
      </w:r>
    </w:p>
    <w:p w14:paraId="50C26192" w14:textId="77777777" w:rsidR="00B25637" w:rsidRPr="007E3252" w:rsidRDefault="00B25637" w:rsidP="007E3252">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العقد الاجتماعي:</w:t>
      </w:r>
      <w:r w:rsidRPr="007E3252">
        <w:rPr>
          <w:rFonts w:ascii="Simplified Arabic" w:hAnsi="Simplified Arabic" w:cs="Simplified Arabic" w:hint="cs"/>
          <w:color w:val="1F1F1F"/>
          <w:sz w:val="32"/>
          <w:szCs w:val="32"/>
          <w:rtl/>
        </w:rPr>
        <w:t xml:space="preserve"> غالباً ما يرتبط الريع بنموذج يوفر الرفاهية والخدمات مقابل مشاركة ضريبية محدودة، وهو ما تعمل "رؤية 2030" حالياً على إعادة صياغته ليكون أكثر استدامة.</w:t>
      </w:r>
    </w:p>
    <w:p w14:paraId="4C260105" w14:textId="77777777" w:rsidR="00B25637" w:rsidRPr="007E3252" w:rsidRDefault="00B25637"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ظاهرة "المرض الهولندي" (</w:t>
      </w:r>
      <w:r w:rsidRPr="007E3252">
        <w:rPr>
          <w:rFonts w:ascii="Simplified Arabic" w:eastAsia="Times New Roman" w:hAnsi="Simplified Arabic" w:cs="Simplified Arabic" w:hint="cs"/>
          <w:color w:val="1F1F1F"/>
          <w:sz w:val="32"/>
          <w:szCs w:val="32"/>
        </w:rPr>
        <w:t>Dutch Disease</w:t>
      </w:r>
      <w:r w:rsidRPr="007E3252">
        <w:rPr>
          <w:rFonts w:ascii="Simplified Arabic" w:eastAsia="Times New Roman" w:hAnsi="Simplified Arabic" w:cs="Simplified Arabic" w:hint="cs"/>
          <w:color w:val="1F1F1F"/>
          <w:sz w:val="32"/>
          <w:szCs w:val="32"/>
          <w:rtl/>
        </w:rPr>
        <w:t>)</w:t>
      </w:r>
    </w:p>
    <w:p w14:paraId="6901F4A1" w14:textId="77777777" w:rsidR="00B25637" w:rsidRPr="007E3252" w:rsidRDefault="00B25637"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تشير هذه الظاهرة إلى الرابط بين اكتشاف الموارد الطبيعية وتراجع قطاع التصنيع أو الزراعة:</w:t>
      </w:r>
    </w:p>
    <w:p w14:paraId="0B12C033" w14:textId="77777777" w:rsidR="00B25637" w:rsidRPr="007E3252" w:rsidRDefault="00B25637" w:rsidP="007E3252">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آلية التأثير:</w:t>
      </w:r>
      <w:r w:rsidRPr="007E3252">
        <w:rPr>
          <w:rFonts w:ascii="Simplified Arabic" w:hAnsi="Simplified Arabic" w:cs="Simplified Arabic" w:hint="cs"/>
          <w:color w:val="1F1F1F"/>
          <w:sz w:val="32"/>
          <w:szCs w:val="32"/>
          <w:rtl/>
        </w:rPr>
        <w:t xml:space="preserve"> يؤدي تدفق العملات الأجنبية (الريعية) إلى ارتفاع سعر الصرف الحقيقي للدولة.</w:t>
      </w:r>
    </w:p>
    <w:p w14:paraId="696413BB" w14:textId="77777777" w:rsidR="00B25637" w:rsidRPr="007E3252" w:rsidRDefault="00B25637" w:rsidP="007E3252">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فقدان التنافسية:</w:t>
      </w:r>
      <w:r w:rsidRPr="007E3252">
        <w:rPr>
          <w:rFonts w:ascii="Simplified Arabic" w:hAnsi="Simplified Arabic" w:cs="Simplified Arabic" w:hint="cs"/>
          <w:color w:val="1F1F1F"/>
          <w:sz w:val="32"/>
          <w:szCs w:val="32"/>
          <w:rtl/>
        </w:rPr>
        <w:t xml:space="preserve"> تصبح المنتجات المحلية غير النفطية أغلى ثمناً مقارنة بالسلع المستوردة، مما يؤدي إلى انكماش القطاعات الإنتاجية غير النفطية وزيادة الاعتماد على الاستيراد.</w:t>
      </w:r>
    </w:p>
    <w:p w14:paraId="3F55D768" w14:textId="77777777" w:rsidR="00B25637" w:rsidRPr="007E3252" w:rsidRDefault="00B25637"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تحديات التنويع الاقتصادي ورؤية المملكة 2030</w:t>
      </w:r>
    </w:p>
    <w:p w14:paraId="5B358EE4" w14:textId="77777777" w:rsidR="00B25637" w:rsidRPr="007E3252" w:rsidRDefault="00B25637"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تعتبر الرؤية "الرد الاستراتيجي" لكسر حلقة الاعتماد على النفط من خلال:</w:t>
      </w:r>
    </w:p>
    <w:p w14:paraId="30B7A010" w14:textId="77777777" w:rsidR="00B25637" w:rsidRPr="007E3252" w:rsidRDefault="00B25637" w:rsidP="007E3252">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صندوق الاستثمارات العامة:</w:t>
      </w:r>
      <w:r w:rsidRPr="007E3252">
        <w:rPr>
          <w:rFonts w:ascii="Simplified Arabic" w:hAnsi="Simplified Arabic" w:cs="Simplified Arabic" w:hint="cs"/>
          <w:color w:val="1F1F1F"/>
          <w:sz w:val="32"/>
          <w:szCs w:val="32"/>
          <w:rtl/>
        </w:rPr>
        <w:t xml:space="preserve"> تحويل الثروة النفطية من ناضبة إلى أصول استثمارية منتجة للدخل.</w:t>
      </w:r>
    </w:p>
    <w:p w14:paraId="0F845A7C" w14:textId="77777777" w:rsidR="00B25637" w:rsidRPr="007E3252" w:rsidRDefault="00B25637" w:rsidP="007E3252">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تطوير القطاعات الواعدة:</w:t>
      </w:r>
      <w:r w:rsidRPr="007E3252">
        <w:rPr>
          <w:rFonts w:ascii="Simplified Arabic" w:hAnsi="Simplified Arabic" w:cs="Simplified Arabic" w:hint="cs"/>
          <w:color w:val="1F1F1F"/>
          <w:sz w:val="32"/>
          <w:szCs w:val="32"/>
          <w:rtl/>
        </w:rPr>
        <w:t xml:space="preserve"> مثل السياحة، التعدين، والصناعات العسكرية، لتقليل الحساسية تجاه تقلبات أسعار الطاقة.</w:t>
      </w:r>
    </w:p>
    <w:p w14:paraId="63900443" w14:textId="77777777" w:rsidR="00B25637" w:rsidRPr="007E3252" w:rsidRDefault="00B25637" w:rsidP="007E3252">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الإصلاحات الهيكلية:</w:t>
      </w:r>
      <w:r w:rsidRPr="007E3252">
        <w:rPr>
          <w:rFonts w:ascii="Simplified Arabic" w:hAnsi="Simplified Arabic" w:cs="Simplified Arabic" w:hint="cs"/>
          <w:color w:val="1F1F1F"/>
          <w:sz w:val="32"/>
          <w:szCs w:val="32"/>
          <w:rtl/>
        </w:rPr>
        <w:t xml:space="preserve"> تحفيز القطاع الخاص ليكون القائد للنمو بدلاً من الإنفاق الحكومي المباشر، ورفع كفاءة تحصيل الإيرادات غير النفطية.</w:t>
      </w:r>
    </w:p>
    <w:p w14:paraId="5AE5DE70" w14:textId="64F5A7BB" w:rsidR="003057DB" w:rsidRPr="00572FC4" w:rsidRDefault="00B25637" w:rsidP="00572FC4">
      <w:pPr>
        <w:pStyle w:val="a5"/>
        <w:bidi/>
        <w:spacing w:before="0" w:beforeAutospacing="0" w:after="0" w:afterAutospacing="0" w:line="360" w:lineRule="auto"/>
        <w:rPr>
          <w:rFonts w:ascii="Simplified Arabic" w:hAnsi="Simplified Arabic" w:cs="Simplified Arabic"/>
          <w:color w:val="1F1F1F"/>
          <w:sz w:val="32"/>
          <w:szCs w:val="32"/>
        </w:rPr>
      </w:pPr>
      <w:r w:rsidRPr="007E3252">
        <w:rPr>
          <w:rFonts w:ascii="Simplified Arabic" w:hAnsi="Simplified Arabic" w:cs="Simplified Arabic" w:hint="cs"/>
          <w:color w:val="1F1F1F"/>
          <w:sz w:val="32"/>
          <w:szCs w:val="32"/>
          <w:rtl/>
        </w:rPr>
        <w:t xml:space="preserve">إن فهم الإطار </w:t>
      </w:r>
      <w:proofErr w:type="spellStart"/>
      <w:r w:rsidRPr="007E3252">
        <w:rPr>
          <w:rFonts w:ascii="Simplified Arabic" w:hAnsi="Simplified Arabic" w:cs="Simplified Arabic" w:hint="cs"/>
          <w:color w:val="1F1F1F"/>
          <w:sz w:val="32"/>
          <w:szCs w:val="32"/>
          <w:rtl/>
        </w:rPr>
        <w:t>المفاهيمي</w:t>
      </w:r>
      <w:proofErr w:type="spellEnd"/>
      <w:r w:rsidRPr="007E3252">
        <w:rPr>
          <w:rFonts w:ascii="Simplified Arabic" w:hAnsi="Simplified Arabic" w:cs="Simplified Arabic" w:hint="cs"/>
          <w:color w:val="1F1F1F"/>
          <w:sz w:val="32"/>
          <w:szCs w:val="32"/>
          <w:rtl/>
        </w:rPr>
        <w:t xml:space="preserve"> للتقلبات السعرية ضروري لبناء </w:t>
      </w:r>
      <w:proofErr w:type="spellStart"/>
      <w:r w:rsidRPr="007E3252">
        <w:rPr>
          <w:rFonts w:ascii="Simplified Arabic" w:hAnsi="Simplified Arabic" w:cs="Simplified Arabic" w:hint="cs"/>
          <w:color w:val="1F1F1F"/>
          <w:sz w:val="32"/>
          <w:szCs w:val="32"/>
          <w:rtl/>
        </w:rPr>
        <w:t>مصدات</w:t>
      </w:r>
      <w:proofErr w:type="spellEnd"/>
      <w:r w:rsidRPr="007E3252">
        <w:rPr>
          <w:rFonts w:ascii="Simplified Arabic" w:hAnsi="Simplified Arabic" w:cs="Simplified Arabic" w:hint="cs"/>
          <w:color w:val="1F1F1F"/>
          <w:sz w:val="32"/>
          <w:szCs w:val="32"/>
          <w:rtl/>
        </w:rPr>
        <w:t xml:space="preserve"> مالية (</w:t>
      </w:r>
      <w:r w:rsidRPr="007E3252">
        <w:rPr>
          <w:rFonts w:ascii="Simplified Arabic" w:hAnsi="Simplified Arabic" w:cs="Simplified Arabic" w:hint="cs"/>
          <w:color w:val="1F1F1F"/>
          <w:sz w:val="32"/>
          <w:szCs w:val="32"/>
        </w:rPr>
        <w:t>Financial Buffers</w:t>
      </w:r>
      <w:r w:rsidRPr="007E3252">
        <w:rPr>
          <w:rFonts w:ascii="Simplified Arabic" w:hAnsi="Simplified Arabic" w:cs="Simplified Arabic" w:hint="cs"/>
          <w:color w:val="1F1F1F"/>
          <w:sz w:val="32"/>
          <w:szCs w:val="32"/>
          <w:rtl/>
        </w:rPr>
        <w:t>)، بينما يوفر فهم النظرية الريعية خارطة طريق لتحويل الاقتصاد من "اقتصاد ريعي" إلى "اقتصاد إنتاجي" متنوع.</w:t>
      </w:r>
    </w:p>
    <w:p w14:paraId="3F936620" w14:textId="1B67BFD6" w:rsidR="003057DB" w:rsidRPr="007E3252" w:rsidRDefault="003057DB"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 xml:space="preserve"> الهيكل المالي والميزانية العامة للدولة في السعودية</w:t>
      </w:r>
    </w:p>
    <w:p w14:paraId="14C1A1A2" w14:textId="77777777" w:rsidR="003057DB" w:rsidRPr="007E3252" w:rsidRDefault="003057D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دور الإيرادات النفطية في تمويل الميزانية العامة</w:t>
      </w:r>
    </w:p>
    <w:p w14:paraId="63628CAE" w14:textId="77777777" w:rsidR="003057DB" w:rsidRPr="007E3252" w:rsidRDefault="003057D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تُعد الإيرادات النفطية المحرك التاريخي والأساسي للسياسة المالية في المملكة، ولها تأثير مباشر على:</w:t>
      </w:r>
    </w:p>
    <w:p w14:paraId="56BBDE54" w14:textId="77777777" w:rsidR="003057DB" w:rsidRPr="007E3252" w:rsidRDefault="003057DB" w:rsidP="007E3252">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تغطية الإنفاق العام:</w:t>
      </w:r>
      <w:r w:rsidRPr="007E3252">
        <w:rPr>
          <w:rFonts w:ascii="Simplified Arabic" w:hAnsi="Simplified Arabic" w:cs="Simplified Arabic" w:hint="cs"/>
          <w:color w:val="1F1F1F"/>
          <w:sz w:val="32"/>
          <w:szCs w:val="32"/>
          <w:rtl/>
        </w:rPr>
        <w:t xml:space="preserve"> تُستخدم هذه الإيرادات لتمويل الرواتب (الباب الأول) والمشاريع الرأسمالية الضخمة.</w:t>
      </w:r>
    </w:p>
    <w:p w14:paraId="004D24AC" w14:textId="77777777" w:rsidR="003057DB" w:rsidRPr="007E3252" w:rsidRDefault="003057DB" w:rsidP="007E3252">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الارتباط الطردي:</w:t>
      </w:r>
      <w:r w:rsidRPr="007E3252">
        <w:rPr>
          <w:rFonts w:ascii="Simplified Arabic" w:hAnsi="Simplified Arabic" w:cs="Simplified Arabic" w:hint="cs"/>
          <w:color w:val="1F1F1F"/>
          <w:sz w:val="32"/>
          <w:szCs w:val="32"/>
          <w:rtl/>
        </w:rPr>
        <w:t xml:space="preserve"> تظهر البيانات التاريخية وجود علاقة طردية قوية بين تقلب سعر برميل النفط ومستوى الإنفاق التوسعي أو الانكماشي للدولة، مما خلق الحاجة لسياسات "الادخار في أوقات الوفرة".</w:t>
      </w:r>
    </w:p>
    <w:p w14:paraId="2A847A08" w14:textId="77777777" w:rsidR="003057DB" w:rsidRPr="007E3252" w:rsidRDefault="003057DB" w:rsidP="007E3252">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تحول الهيكل:</w:t>
      </w:r>
      <w:r w:rsidRPr="007E3252">
        <w:rPr>
          <w:rFonts w:ascii="Simplified Arabic" w:hAnsi="Simplified Arabic" w:cs="Simplified Arabic" w:hint="cs"/>
          <w:color w:val="1F1F1F"/>
          <w:sz w:val="32"/>
          <w:szCs w:val="32"/>
          <w:rtl/>
        </w:rPr>
        <w:t xml:space="preserve"> بدأت النسبة المئوية للمساهمة النفطية في الانخفاض التدريجي نتيجة نمو القطاعات غير النفطية، مما يعزز من مرونة الميزانية ضد الصدمات الخارجية.</w:t>
      </w:r>
    </w:p>
    <w:p w14:paraId="374A4A71" w14:textId="77777777" w:rsidR="003057DB" w:rsidRPr="007E3252" w:rsidRDefault="003057D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آليات تحديد "نقطة التعادل" (</w:t>
      </w:r>
      <w:r w:rsidRPr="007E3252">
        <w:rPr>
          <w:rFonts w:ascii="Simplified Arabic" w:eastAsia="Times New Roman" w:hAnsi="Simplified Arabic" w:cs="Simplified Arabic" w:hint="cs"/>
          <w:color w:val="1F1F1F"/>
          <w:sz w:val="32"/>
          <w:szCs w:val="32"/>
        </w:rPr>
        <w:t>Break-Even Price</w:t>
      </w:r>
      <w:r w:rsidRPr="007E3252">
        <w:rPr>
          <w:rFonts w:ascii="Simplified Arabic" w:eastAsia="Times New Roman" w:hAnsi="Simplified Arabic" w:cs="Simplified Arabic" w:hint="cs"/>
          <w:color w:val="1F1F1F"/>
          <w:sz w:val="32"/>
          <w:szCs w:val="32"/>
          <w:rtl/>
        </w:rPr>
        <w:t>)</w:t>
      </w:r>
    </w:p>
    <w:p w14:paraId="3816A87E" w14:textId="77777777" w:rsidR="003057DB" w:rsidRPr="007E3252" w:rsidRDefault="003057D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يُعرف سعر تعادل النفط بأنه السعر الذي تتساوى عنده الإيرادات الإجمالية مع النفقات الإجمالية في الميزانية.</w:t>
      </w:r>
    </w:p>
    <w:p w14:paraId="584AC2A3" w14:textId="77777777" w:rsidR="003057DB" w:rsidRPr="007E3252" w:rsidRDefault="003057DB" w:rsidP="007E3252">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المنهجية:</w:t>
      </w:r>
      <w:r w:rsidRPr="007E3252">
        <w:rPr>
          <w:rFonts w:ascii="Simplified Arabic" w:hAnsi="Simplified Arabic" w:cs="Simplified Arabic" w:hint="cs"/>
          <w:color w:val="1F1F1F"/>
          <w:sz w:val="32"/>
          <w:szCs w:val="32"/>
          <w:rtl/>
        </w:rPr>
        <w:t xml:space="preserve"> يتم احتساب هذا السعر عبر قسمة إجمالي النفقات المتوقعة على حجم الإنتاج النفطي المخطط له، مع استبعاد الإيرادات غير النفطية.</w:t>
      </w:r>
    </w:p>
    <w:p w14:paraId="4719D163" w14:textId="77777777" w:rsidR="003057DB" w:rsidRPr="007E3252" w:rsidRDefault="003057DB" w:rsidP="007E3252">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تحديات السعر:</w:t>
      </w:r>
      <w:r w:rsidRPr="007E3252">
        <w:rPr>
          <w:rFonts w:ascii="Simplified Arabic" w:hAnsi="Simplified Arabic" w:cs="Simplified Arabic" w:hint="cs"/>
          <w:color w:val="1F1F1F"/>
          <w:sz w:val="32"/>
          <w:szCs w:val="32"/>
          <w:rtl/>
        </w:rPr>
        <w:t xml:space="preserve"> يتأثر هذا السعر بمستوى الطموح في الإنفاق التنموي؛ فكلما زادت الاستثمارات في مشاريع الرؤية، قد يرتفع سعر التعادل المالي نظرياً، ما لم توازِ ذلك زيادة في الإيرادات غير النفطية.</w:t>
      </w:r>
    </w:p>
    <w:p w14:paraId="4482AB91" w14:textId="77777777" w:rsidR="003057DB" w:rsidRPr="007E3252" w:rsidRDefault="003057D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مبادرات رفع كفاءة الإيرادات غير النفطية</w:t>
      </w:r>
    </w:p>
    <w:p w14:paraId="63FCA307" w14:textId="77777777" w:rsidR="003057DB" w:rsidRPr="007E3252" w:rsidRDefault="003057D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لتحقيق استقرار الميزانية، اعتمدت المملكة استراتيجية تنويع الإيرادات:</w:t>
      </w:r>
    </w:p>
    <w:p w14:paraId="6E073D13" w14:textId="77777777" w:rsidR="003057DB" w:rsidRPr="007E3252" w:rsidRDefault="003057DB" w:rsidP="007E3252">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الضرائب والرسوم:</w:t>
      </w:r>
      <w:r w:rsidRPr="007E3252">
        <w:rPr>
          <w:rFonts w:ascii="Simplified Arabic" w:hAnsi="Simplified Arabic" w:cs="Simplified Arabic" w:hint="cs"/>
          <w:color w:val="1F1F1F"/>
          <w:sz w:val="32"/>
          <w:szCs w:val="32"/>
          <w:rtl/>
        </w:rPr>
        <w:t xml:space="preserve"> تطبيق ضريبة القيمة المضافة (</w:t>
      </w:r>
      <w:r w:rsidRPr="007E3252">
        <w:rPr>
          <w:rFonts w:ascii="Simplified Arabic" w:hAnsi="Simplified Arabic" w:cs="Simplified Arabic" w:hint="cs"/>
          <w:color w:val="1F1F1F"/>
          <w:sz w:val="32"/>
          <w:szCs w:val="32"/>
        </w:rPr>
        <w:t>VAT</w:t>
      </w:r>
      <w:r w:rsidRPr="007E3252">
        <w:rPr>
          <w:rFonts w:ascii="Simplified Arabic" w:hAnsi="Simplified Arabic" w:cs="Simplified Arabic" w:hint="cs"/>
          <w:color w:val="1F1F1F"/>
          <w:sz w:val="32"/>
          <w:szCs w:val="32"/>
          <w:rtl/>
        </w:rPr>
        <w:t>) والضريبة الانتقائية كأدوات لتقليل الاعتماد على الريع النفطي.</w:t>
      </w:r>
    </w:p>
    <w:p w14:paraId="26BEF392" w14:textId="77777777" w:rsidR="003057DB" w:rsidRPr="007E3252" w:rsidRDefault="003057DB" w:rsidP="007E3252">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الاستثمارات الحكومية:</w:t>
      </w:r>
      <w:r w:rsidRPr="007E3252">
        <w:rPr>
          <w:rFonts w:ascii="Simplified Arabic" w:hAnsi="Simplified Arabic" w:cs="Simplified Arabic" w:hint="cs"/>
          <w:color w:val="1F1F1F"/>
          <w:sz w:val="32"/>
          <w:szCs w:val="32"/>
          <w:rtl/>
        </w:rPr>
        <w:t xml:space="preserve"> دور عوائد صندوق الاستثمارات العامة كمصدر دخل بديل ومستدام.</w:t>
      </w:r>
    </w:p>
    <w:p w14:paraId="0692F0A6" w14:textId="77777777" w:rsidR="003057DB" w:rsidRPr="007E3252" w:rsidRDefault="003057DB" w:rsidP="007E3252">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كفاءة الإنفاق:</w:t>
      </w:r>
      <w:r w:rsidRPr="007E3252">
        <w:rPr>
          <w:rFonts w:ascii="Simplified Arabic" w:hAnsi="Simplified Arabic" w:cs="Simplified Arabic" w:hint="cs"/>
          <w:color w:val="1F1F1F"/>
          <w:sz w:val="32"/>
          <w:szCs w:val="32"/>
          <w:rtl/>
        </w:rPr>
        <w:t xml:space="preserve"> استحداث مركز كفاءة الإنفاق والمشاريع الحكومية لضمان تحقيق أعلى قيمة مقابل كل ريال يتم إنفاقه.</w:t>
      </w:r>
    </w:p>
    <w:p w14:paraId="4E26C428" w14:textId="31C2FA3A" w:rsidR="003057DB" w:rsidRPr="007E3252" w:rsidRDefault="003057DB"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 xml:space="preserve"> أدوات واستراتيجيات إدارة مخاطر أسعار الطاقة (التحوط)</w:t>
      </w:r>
    </w:p>
    <w:p w14:paraId="404000AF" w14:textId="77777777" w:rsidR="003057DB" w:rsidRPr="007E3252" w:rsidRDefault="003057D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المفاهيم الأساسية للتحوط المالي (</w:t>
      </w:r>
      <w:r w:rsidRPr="007E3252">
        <w:rPr>
          <w:rFonts w:ascii="Simplified Arabic" w:eastAsia="Times New Roman" w:hAnsi="Simplified Arabic" w:cs="Simplified Arabic" w:hint="cs"/>
          <w:color w:val="1F1F1F"/>
          <w:sz w:val="32"/>
          <w:szCs w:val="32"/>
        </w:rPr>
        <w:t>Hedging</w:t>
      </w:r>
      <w:r w:rsidRPr="007E3252">
        <w:rPr>
          <w:rFonts w:ascii="Simplified Arabic" w:eastAsia="Times New Roman" w:hAnsi="Simplified Arabic" w:cs="Simplified Arabic" w:hint="cs"/>
          <w:color w:val="1F1F1F"/>
          <w:sz w:val="32"/>
          <w:szCs w:val="32"/>
          <w:rtl/>
        </w:rPr>
        <w:t>)</w:t>
      </w:r>
    </w:p>
    <w:p w14:paraId="7266FE5B" w14:textId="77777777" w:rsidR="003057DB" w:rsidRPr="007E3252" w:rsidRDefault="003057D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التحوط هو استراتيجية مالية تهدف إلى تقليل أو إلغاء المخاطر الناجمة عن تقلبات الأسعار باستخدام المشتقات المالية:</w:t>
      </w:r>
    </w:p>
    <w:p w14:paraId="7438DF84" w14:textId="77777777" w:rsidR="003057DB" w:rsidRPr="007E3252" w:rsidRDefault="003057DB" w:rsidP="007E3252">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العقود الآجلة (</w:t>
      </w:r>
      <w:r w:rsidRPr="007E3252">
        <w:rPr>
          <w:rStyle w:val="a6"/>
          <w:rFonts w:ascii="Simplified Arabic" w:hAnsi="Simplified Arabic" w:cs="Simplified Arabic" w:hint="cs"/>
          <w:color w:val="1F1F1F"/>
          <w:sz w:val="32"/>
          <w:szCs w:val="32"/>
          <w:bdr w:val="none" w:sz="0" w:space="0" w:color="auto" w:frame="1"/>
        </w:rPr>
        <w:t>Futures</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الالتزام ببيع كميات محددة من النفط بسعر محدد وتاريخ مستقبلي.</w:t>
      </w:r>
    </w:p>
    <w:p w14:paraId="44E3D1E6" w14:textId="77777777" w:rsidR="003057DB" w:rsidRPr="007E3252" w:rsidRDefault="003057DB" w:rsidP="007E3252">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عقود الخيارات (</w:t>
      </w:r>
      <w:r w:rsidRPr="007E3252">
        <w:rPr>
          <w:rStyle w:val="a6"/>
          <w:rFonts w:ascii="Simplified Arabic" w:hAnsi="Simplified Arabic" w:cs="Simplified Arabic" w:hint="cs"/>
          <w:color w:val="1F1F1F"/>
          <w:sz w:val="32"/>
          <w:szCs w:val="32"/>
          <w:bdr w:val="none" w:sz="0" w:space="0" w:color="auto" w:frame="1"/>
        </w:rPr>
        <w:t>Options</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تمنح الدولة "الحق" وليس الالتزام لبيع النفط بسعر معين (</w:t>
      </w:r>
      <w:r w:rsidRPr="007E3252">
        <w:rPr>
          <w:rFonts w:ascii="Simplified Arabic" w:hAnsi="Simplified Arabic" w:cs="Simplified Arabic" w:hint="cs"/>
          <w:color w:val="1F1F1F"/>
          <w:sz w:val="32"/>
          <w:szCs w:val="32"/>
        </w:rPr>
        <w:t>Put Options</w:t>
      </w:r>
      <w:r w:rsidRPr="007E3252">
        <w:rPr>
          <w:rFonts w:ascii="Simplified Arabic" w:hAnsi="Simplified Arabic" w:cs="Simplified Arabic" w:hint="cs"/>
          <w:color w:val="1F1F1F"/>
          <w:sz w:val="32"/>
          <w:szCs w:val="32"/>
          <w:rtl/>
        </w:rPr>
        <w:t>) لحماية الميزانية من هبوط الأسعار تحت مستوى معين.</w:t>
      </w:r>
    </w:p>
    <w:p w14:paraId="72F843A3" w14:textId="77777777" w:rsidR="003057DB" w:rsidRPr="007E3252" w:rsidRDefault="003057DB" w:rsidP="007E3252">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عقود المقايضة (</w:t>
      </w:r>
      <w:r w:rsidRPr="007E3252">
        <w:rPr>
          <w:rStyle w:val="a6"/>
          <w:rFonts w:ascii="Simplified Arabic" w:hAnsi="Simplified Arabic" w:cs="Simplified Arabic" w:hint="cs"/>
          <w:color w:val="1F1F1F"/>
          <w:sz w:val="32"/>
          <w:szCs w:val="32"/>
          <w:bdr w:val="none" w:sz="0" w:space="0" w:color="auto" w:frame="1"/>
        </w:rPr>
        <w:t>Swaps</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تبادل تدفقات نقدية متغيرة (سعر السوق) بتدفقات نقدية ثابتة لضمان دخل مستقر.</w:t>
      </w:r>
    </w:p>
    <w:p w14:paraId="3947B150" w14:textId="77777777" w:rsidR="003057DB" w:rsidRPr="007E3252" w:rsidRDefault="003057D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التطبيقات النظرية للتحوط الحكومي</w:t>
      </w:r>
    </w:p>
    <w:p w14:paraId="0E6A0F86" w14:textId="77777777" w:rsidR="003057DB" w:rsidRPr="007E3252" w:rsidRDefault="003057D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تعد جدوى التحوط للدول المنتجة موضوعاً استراتيجياً:</w:t>
      </w:r>
    </w:p>
    <w:p w14:paraId="15E249C5" w14:textId="77777777" w:rsidR="003057DB" w:rsidRPr="007E3252" w:rsidRDefault="003057DB" w:rsidP="007E3252">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المزايا:</w:t>
      </w:r>
      <w:r w:rsidRPr="007E3252">
        <w:rPr>
          <w:rFonts w:ascii="Simplified Arabic" w:hAnsi="Simplified Arabic" w:cs="Simplified Arabic" w:hint="cs"/>
          <w:color w:val="1F1F1F"/>
          <w:sz w:val="32"/>
          <w:szCs w:val="32"/>
          <w:rtl/>
        </w:rPr>
        <w:t xml:space="preserve"> توفير اليقين المالي (</w:t>
      </w:r>
      <w:r w:rsidRPr="007E3252">
        <w:rPr>
          <w:rFonts w:ascii="Simplified Arabic" w:hAnsi="Simplified Arabic" w:cs="Simplified Arabic" w:hint="cs"/>
          <w:color w:val="1F1F1F"/>
          <w:sz w:val="32"/>
          <w:szCs w:val="32"/>
        </w:rPr>
        <w:t>Fiscal Certainty</w:t>
      </w:r>
      <w:r w:rsidRPr="007E3252">
        <w:rPr>
          <w:rFonts w:ascii="Simplified Arabic" w:hAnsi="Simplified Arabic" w:cs="Simplified Arabic" w:hint="cs"/>
          <w:color w:val="1F1F1F"/>
          <w:sz w:val="32"/>
          <w:szCs w:val="32"/>
          <w:rtl/>
        </w:rPr>
        <w:t>)، وحماية الخطط التنموية من التوقف المفاجئ في حال انهيار الأسعار.</w:t>
      </w:r>
    </w:p>
    <w:p w14:paraId="2534C5FD" w14:textId="77777777" w:rsidR="003057DB" w:rsidRPr="007E3252" w:rsidRDefault="003057DB" w:rsidP="007E3252">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المخاطر:</w:t>
      </w:r>
      <w:r w:rsidRPr="007E3252">
        <w:rPr>
          <w:rFonts w:ascii="Simplified Arabic" w:hAnsi="Simplified Arabic" w:cs="Simplified Arabic" w:hint="cs"/>
          <w:color w:val="1F1F1F"/>
          <w:sz w:val="32"/>
          <w:szCs w:val="32"/>
          <w:rtl/>
        </w:rPr>
        <w:t xml:space="preserve"> "تكلفة الفرصة الضائعة" في حال ارتفعت الأسعار بشكل كبير فوق السعر المحمي، بالإضافة إلى تكلفة أقساط التأمين (</w:t>
      </w:r>
      <w:r w:rsidRPr="007E3252">
        <w:rPr>
          <w:rFonts w:ascii="Simplified Arabic" w:hAnsi="Simplified Arabic" w:cs="Simplified Arabic" w:hint="cs"/>
          <w:color w:val="1F1F1F"/>
          <w:sz w:val="32"/>
          <w:szCs w:val="32"/>
        </w:rPr>
        <w:t>Premiums</w:t>
      </w:r>
      <w:r w:rsidRPr="007E3252">
        <w:rPr>
          <w:rFonts w:ascii="Simplified Arabic" w:hAnsi="Simplified Arabic" w:cs="Simplified Arabic" w:hint="cs"/>
          <w:color w:val="1F1F1F"/>
          <w:sz w:val="32"/>
          <w:szCs w:val="32"/>
          <w:rtl/>
        </w:rPr>
        <w:t>) في عقود الخيارات.</w:t>
      </w:r>
    </w:p>
    <w:p w14:paraId="749C2FF5" w14:textId="77777777" w:rsidR="003057DB" w:rsidRPr="007E3252" w:rsidRDefault="003057D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نماذج التحوط الأمثل للتدفقات المالية</w:t>
      </w:r>
    </w:p>
    <w:p w14:paraId="26E8BAEC" w14:textId="77777777" w:rsidR="003057DB" w:rsidRPr="007E3252" w:rsidRDefault="003057D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يتم تحديد النسبة المثلى للتحوط باستخدام نماذج رياضية معقدة:</w:t>
      </w:r>
    </w:p>
    <w:p w14:paraId="4957BF62" w14:textId="77777777" w:rsidR="003057DB" w:rsidRPr="007E3252" w:rsidRDefault="003057DB" w:rsidP="007E3252">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نموذج الحد الأدنى للتباين (</w:t>
      </w:r>
      <w:r w:rsidRPr="007E3252">
        <w:rPr>
          <w:rStyle w:val="a6"/>
          <w:rFonts w:ascii="Simplified Arabic" w:hAnsi="Simplified Arabic" w:cs="Simplified Arabic" w:hint="cs"/>
          <w:color w:val="1F1F1F"/>
          <w:sz w:val="32"/>
          <w:szCs w:val="32"/>
          <w:bdr w:val="none" w:sz="0" w:space="0" w:color="auto" w:frame="1"/>
        </w:rPr>
        <w:t>Minimum Variance Model</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يهدف لتحديد حجم العقد الذي يقلل من تذبذب إجمالي الإيرادات.</w:t>
      </w:r>
    </w:p>
    <w:p w14:paraId="4655EFAA" w14:textId="77777777" w:rsidR="003057DB" w:rsidRPr="007E3252" w:rsidRDefault="003057DB" w:rsidP="007E3252">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القيمة المعرضة للخطر (</w:t>
      </w:r>
      <w:r w:rsidRPr="007E3252">
        <w:rPr>
          <w:rStyle w:val="a6"/>
          <w:rFonts w:ascii="Simplified Arabic" w:hAnsi="Simplified Arabic" w:cs="Simplified Arabic" w:hint="cs"/>
          <w:color w:val="1F1F1F"/>
          <w:sz w:val="32"/>
          <w:szCs w:val="32"/>
          <w:bdr w:val="none" w:sz="0" w:space="0" w:color="auto" w:frame="1"/>
        </w:rPr>
        <w:t xml:space="preserve">Value at Risk - </w:t>
      </w:r>
      <w:proofErr w:type="spellStart"/>
      <w:r w:rsidRPr="007E3252">
        <w:rPr>
          <w:rStyle w:val="a6"/>
          <w:rFonts w:ascii="Simplified Arabic" w:hAnsi="Simplified Arabic" w:cs="Simplified Arabic" w:hint="cs"/>
          <w:color w:val="1F1F1F"/>
          <w:sz w:val="32"/>
          <w:szCs w:val="32"/>
          <w:bdr w:val="none" w:sz="0" w:space="0" w:color="auto" w:frame="1"/>
        </w:rPr>
        <w:t>VaR</w:t>
      </w:r>
      <w:proofErr w:type="spellEnd"/>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نموذج يقيس أقصى خسارة محتملة في الميزانية خلال فترة زمنية معينة وبمستوى ثقة محدد.</w:t>
      </w:r>
    </w:p>
    <w:p w14:paraId="69D81729" w14:textId="77777777" w:rsidR="003057DB" w:rsidRPr="007E3252" w:rsidRDefault="003057DB" w:rsidP="007E3252">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التحوط الديناميكي:</w:t>
      </w:r>
      <w:r w:rsidRPr="007E3252">
        <w:rPr>
          <w:rFonts w:ascii="Simplified Arabic" w:hAnsi="Simplified Arabic" w:cs="Simplified Arabic" w:hint="cs"/>
          <w:color w:val="1F1F1F"/>
          <w:sz w:val="32"/>
          <w:szCs w:val="32"/>
          <w:rtl/>
        </w:rPr>
        <w:t xml:space="preserve"> تعديل نسب التحوط بناءً على مؤشرات السوق وتوقعات الإنتاج العالمية لضمان التوازن بين التكلفة والحماية.</w:t>
      </w:r>
    </w:p>
    <w:p w14:paraId="21FD67E6" w14:textId="21247903" w:rsidR="003057DB" w:rsidRPr="007E3252" w:rsidRDefault="003057DB" w:rsidP="007E3252">
      <w:pPr>
        <w:pStyle w:val="a5"/>
        <w:bidi/>
        <w:spacing w:before="0" w:beforeAutospacing="0" w:after="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إن التحول من ميزانية "تستجيب" لأسعار النفط إلى ميزانية "تُدار" عبر كفاءة الإنفاق وأدوات التحوط المالي، يمثل جوهر الاستدامة المالية التي تنشدها المملكة في ظل التغيرات المتسارعة في أسواق الطاقة العالمية.</w:t>
      </w:r>
    </w:p>
    <w:p w14:paraId="6F8E33C3" w14:textId="24E08892" w:rsidR="00121C3B" w:rsidRPr="007E3252" w:rsidRDefault="00121C3B" w:rsidP="007E3252">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D64B301" w14:textId="2FC83CBC" w:rsidR="00121C3B" w:rsidRPr="007E3252" w:rsidRDefault="00121C3B"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lastRenderedPageBreak/>
        <w:t>دور صناديق الثروة السيادية كصمام أمان مالي</w:t>
      </w:r>
    </w:p>
    <w:p w14:paraId="5B340E3F" w14:textId="77777777" w:rsidR="00121C3B" w:rsidRPr="007E3252" w:rsidRDefault="00121C3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الأسس النظرية لصناديق التثبيت (</w:t>
      </w:r>
      <w:r w:rsidRPr="007E3252">
        <w:rPr>
          <w:rFonts w:ascii="Simplified Arabic" w:eastAsia="Times New Roman" w:hAnsi="Simplified Arabic" w:cs="Simplified Arabic" w:hint="cs"/>
          <w:color w:val="1F1F1F"/>
          <w:sz w:val="32"/>
          <w:szCs w:val="32"/>
        </w:rPr>
        <w:t>Stabilization Funds</w:t>
      </w:r>
      <w:r w:rsidRPr="007E3252">
        <w:rPr>
          <w:rFonts w:ascii="Simplified Arabic" w:eastAsia="Times New Roman" w:hAnsi="Simplified Arabic" w:cs="Simplified Arabic" w:hint="cs"/>
          <w:color w:val="1F1F1F"/>
          <w:sz w:val="32"/>
          <w:szCs w:val="32"/>
          <w:rtl/>
        </w:rPr>
        <w:t>)</w:t>
      </w:r>
    </w:p>
    <w:p w14:paraId="77135B67" w14:textId="77777777" w:rsidR="00121C3B" w:rsidRPr="007E3252" w:rsidRDefault="00121C3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تعمل صناديق التثبيت كآلية عازلة (</w:t>
      </w:r>
      <w:r w:rsidRPr="007E3252">
        <w:rPr>
          <w:rFonts w:ascii="Simplified Arabic" w:hAnsi="Simplified Arabic" w:cs="Simplified Arabic" w:hint="cs"/>
          <w:color w:val="1F1F1F"/>
          <w:sz w:val="32"/>
          <w:szCs w:val="32"/>
        </w:rPr>
        <w:t>Buffer Mechanism</w:t>
      </w:r>
      <w:r w:rsidRPr="007E3252">
        <w:rPr>
          <w:rFonts w:ascii="Simplified Arabic" w:hAnsi="Simplified Arabic" w:cs="Simplified Arabic" w:hint="cs"/>
          <w:color w:val="1F1F1F"/>
          <w:sz w:val="32"/>
          <w:szCs w:val="32"/>
          <w:rtl/>
        </w:rPr>
        <w:t>) تهدف إلى فصل الميزانية العامة عن تقلبات السوق:</w:t>
      </w:r>
    </w:p>
    <w:p w14:paraId="3CA67A6D" w14:textId="77777777" w:rsidR="00121C3B" w:rsidRPr="007E3252" w:rsidRDefault="00121C3B" w:rsidP="007E3252">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آلية الامتصاص:</w:t>
      </w:r>
      <w:r w:rsidRPr="007E3252">
        <w:rPr>
          <w:rFonts w:ascii="Simplified Arabic" w:hAnsi="Simplified Arabic" w:cs="Simplified Arabic" w:hint="cs"/>
          <w:color w:val="1F1F1F"/>
          <w:sz w:val="32"/>
          <w:szCs w:val="32"/>
          <w:rtl/>
        </w:rPr>
        <w:t xml:space="preserve"> في أوقات ارتفاع الأسعار (الطفرة)، يتم توجيه الفوائض المالية إلى الصندوق بدلاً من ضخها بالكامل في الاقتصاد (مما يمنع التضخم).</w:t>
      </w:r>
    </w:p>
    <w:p w14:paraId="59B372C0" w14:textId="77777777" w:rsidR="00121C3B" w:rsidRPr="007E3252" w:rsidRDefault="00121C3B" w:rsidP="007E3252">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آلية التعويض:</w:t>
      </w:r>
      <w:r w:rsidRPr="007E3252">
        <w:rPr>
          <w:rFonts w:ascii="Simplified Arabic" w:hAnsi="Simplified Arabic" w:cs="Simplified Arabic" w:hint="cs"/>
          <w:color w:val="1F1F1F"/>
          <w:sz w:val="32"/>
          <w:szCs w:val="32"/>
          <w:rtl/>
        </w:rPr>
        <w:t xml:space="preserve"> في أوقات انخفاض الأسعار (الركود)، يتم السحب من هذه الاحتياطيات لتمويل العجز، مما يضمن استمرارية الإنفاق الحكومي دون الحاجة لتقليص حاد في الخدمات أو المشاريع.</w:t>
      </w:r>
    </w:p>
    <w:p w14:paraId="544610B5" w14:textId="77777777" w:rsidR="00121C3B" w:rsidRPr="007E3252" w:rsidRDefault="00121C3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صندوق الاستثمارات العامة (</w:t>
      </w:r>
      <w:r w:rsidRPr="007E3252">
        <w:rPr>
          <w:rFonts w:ascii="Simplified Arabic" w:eastAsia="Times New Roman" w:hAnsi="Simplified Arabic" w:cs="Simplified Arabic" w:hint="cs"/>
          <w:color w:val="1F1F1F"/>
          <w:sz w:val="32"/>
          <w:szCs w:val="32"/>
        </w:rPr>
        <w:t>PIF</w:t>
      </w:r>
      <w:r w:rsidRPr="007E3252">
        <w:rPr>
          <w:rFonts w:ascii="Simplified Arabic" w:eastAsia="Times New Roman" w:hAnsi="Simplified Arabic" w:cs="Simplified Arabic" w:hint="cs"/>
          <w:color w:val="1F1F1F"/>
          <w:sz w:val="32"/>
          <w:szCs w:val="32"/>
          <w:rtl/>
        </w:rPr>
        <w:t>) ومقاربة الإيرادات المستدامة</w:t>
      </w:r>
    </w:p>
    <w:p w14:paraId="1EFBCB3E" w14:textId="77777777" w:rsidR="00121C3B" w:rsidRPr="007E3252" w:rsidRDefault="00121C3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يمثل صندوق الاستثمارات العامة تحولاً من نموذج "صندوق التثبيت" التقليدي إلى "صندوق الادخار والتنمية":</w:t>
      </w:r>
    </w:p>
    <w:p w14:paraId="3CB0DB0C" w14:textId="77777777" w:rsidR="00121C3B" w:rsidRPr="007E3252" w:rsidRDefault="00121C3B" w:rsidP="007E3252">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تحويل الأصول:</w:t>
      </w:r>
      <w:r w:rsidRPr="007E3252">
        <w:rPr>
          <w:rFonts w:ascii="Simplified Arabic" w:hAnsi="Simplified Arabic" w:cs="Simplified Arabic" w:hint="cs"/>
          <w:color w:val="1F1F1F"/>
          <w:sz w:val="32"/>
          <w:szCs w:val="32"/>
          <w:rtl/>
        </w:rPr>
        <w:t xml:space="preserve"> يعمل الصندوق على تحويل الثروة النفطية "الناضبة" إلى محفظة استثمارية "متجددة" ومتنوعة جغرافياً وقطاعياً.</w:t>
      </w:r>
    </w:p>
    <w:p w14:paraId="67D026CF" w14:textId="77777777" w:rsidR="00121C3B" w:rsidRPr="007E3252" w:rsidRDefault="00121C3B" w:rsidP="007E3252">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الإيرادات المستدامة:</w:t>
      </w:r>
      <w:r w:rsidRPr="007E3252">
        <w:rPr>
          <w:rFonts w:ascii="Simplified Arabic" w:hAnsi="Simplified Arabic" w:cs="Simplified Arabic" w:hint="cs"/>
          <w:color w:val="1F1F1F"/>
          <w:sz w:val="32"/>
          <w:szCs w:val="32"/>
          <w:rtl/>
        </w:rPr>
        <w:t xml:space="preserve"> يهدف الصندوق إلى خلق مصادر دخل لا ترتبط ببرميل النفط، مثل عوائد الاستثمارات الدولية، وصناعة السياحة، والتكنولوجيا، مما يقلل الحساسية تجاه صدمات أسعار الطاقة.</w:t>
      </w:r>
    </w:p>
    <w:p w14:paraId="376DD008" w14:textId="77777777" w:rsidR="00121C3B" w:rsidRPr="007E3252" w:rsidRDefault="00121C3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lastRenderedPageBreak/>
        <w:t>3. سياسات سحب الأموال والاستثمار</w:t>
      </w:r>
    </w:p>
    <w:p w14:paraId="0AD28DEA" w14:textId="77777777" w:rsidR="00121C3B" w:rsidRPr="007E3252" w:rsidRDefault="00121C3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تخضع العلاقة بين الصندوق والميزانية لقواعد مالية دقيقة:</w:t>
      </w:r>
    </w:p>
    <w:p w14:paraId="4A9AF6AA" w14:textId="77777777" w:rsidR="00121C3B" w:rsidRPr="007E3252" w:rsidRDefault="00121C3B" w:rsidP="007E3252">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قاعدة الإنفاق المستدام:</w:t>
      </w:r>
      <w:r w:rsidRPr="007E3252">
        <w:rPr>
          <w:rFonts w:ascii="Simplified Arabic" w:hAnsi="Simplified Arabic" w:cs="Simplified Arabic" w:hint="cs"/>
          <w:color w:val="1F1F1F"/>
          <w:sz w:val="32"/>
          <w:szCs w:val="32"/>
          <w:rtl/>
        </w:rPr>
        <w:t xml:space="preserve"> تعتمد بعض النماذج على سحب نسبة ثابتة من العوائد السنوية فقط، مع الحفاظ على أصل رأس المال.</w:t>
      </w:r>
    </w:p>
    <w:p w14:paraId="35F5BB7D" w14:textId="77777777" w:rsidR="00121C3B" w:rsidRPr="007E3252" w:rsidRDefault="00121C3B" w:rsidP="007E3252">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التدخل وقت الأزمات:</w:t>
      </w:r>
      <w:r w:rsidRPr="007E3252">
        <w:rPr>
          <w:rFonts w:ascii="Simplified Arabic" w:hAnsi="Simplified Arabic" w:cs="Simplified Arabic" w:hint="cs"/>
          <w:color w:val="1F1F1F"/>
          <w:sz w:val="32"/>
          <w:szCs w:val="32"/>
          <w:rtl/>
        </w:rPr>
        <w:t xml:space="preserve"> في حالات الصدمات الحادة، يعمل الصندوق كداعم للسيولة العامة، مما يحمي التصنيف الائتماني للدولة ويقلل الحاجة للاقتراض الخارجي بفوائد مرتفعة.</w:t>
      </w:r>
    </w:p>
    <w:p w14:paraId="2F267B2F" w14:textId="1D3D3DA4" w:rsidR="00121C3B" w:rsidRPr="007E3252" w:rsidRDefault="00121C3B"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الآثار الاقتصادية الكلية لتقلبات الأسعار على الاقتصاد</w:t>
      </w:r>
    </w:p>
    <w:p w14:paraId="72508C91" w14:textId="77777777" w:rsidR="00121C3B" w:rsidRPr="007E3252" w:rsidRDefault="00121C3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قنوات انتقال أثر صدمات الأسعار إلى الناتج المحلي الإجمالي</w:t>
      </w:r>
    </w:p>
    <w:p w14:paraId="172D965B" w14:textId="77777777" w:rsidR="00121C3B" w:rsidRPr="007E3252" w:rsidRDefault="00121C3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تنتقل صدمة سعر النفط إلى الاقتصاد عبر عدة قنوات:</w:t>
      </w:r>
    </w:p>
    <w:p w14:paraId="4AEDE851" w14:textId="77777777" w:rsidR="00121C3B" w:rsidRPr="007E3252" w:rsidRDefault="00121C3B" w:rsidP="007E3252">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القناة المالية:</w:t>
      </w:r>
      <w:r w:rsidRPr="007E3252">
        <w:rPr>
          <w:rFonts w:ascii="Simplified Arabic" w:hAnsi="Simplified Arabic" w:cs="Simplified Arabic" w:hint="cs"/>
          <w:color w:val="1F1F1F"/>
          <w:sz w:val="32"/>
          <w:szCs w:val="32"/>
          <w:rtl/>
        </w:rPr>
        <w:t xml:space="preserve"> انخفاض الأسعار يؤدي لتقلص الإيرادات -&gt; انخفاض الإنفاق الحكومي -&gt; تباطؤ نمو الناتج المحلي غير النفطي.</w:t>
      </w:r>
    </w:p>
    <w:p w14:paraId="23F63B4D" w14:textId="77777777" w:rsidR="00121C3B" w:rsidRPr="007E3252" w:rsidRDefault="00121C3B" w:rsidP="007E3252">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قناة الثقة:</w:t>
      </w:r>
      <w:r w:rsidRPr="007E3252">
        <w:rPr>
          <w:rFonts w:ascii="Simplified Arabic" w:hAnsi="Simplified Arabic" w:cs="Simplified Arabic" w:hint="cs"/>
          <w:color w:val="1F1F1F"/>
          <w:sz w:val="32"/>
          <w:szCs w:val="32"/>
          <w:rtl/>
        </w:rPr>
        <w:t xml:space="preserve"> تؤدي التقلبات الحادة إلى حالة من عدم اليقين لدى المستهلكين، مما يقلل من الاستهلاك الكلي.</w:t>
      </w:r>
    </w:p>
    <w:p w14:paraId="384DC493" w14:textId="77777777" w:rsidR="00121C3B" w:rsidRPr="007E3252" w:rsidRDefault="00121C3B" w:rsidP="007E3252">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قناة الصرف:</w:t>
      </w:r>
      <w:r w:rsidRPr="007E3252">
        <w:rPr>
          <w:rFonts w:ascii="Simplified Arabic" w:hAnsi="Simplified Arabic" w:cs="Simplified Arabic" w:hint="cs"/>
          <w:color w:val="1F1F1F"/>
          <w:sz w:val="32"/>
          <w:szCs w:val="32"/>
          <w:rtl/>
        </w:rPr>
        <w:t xml:space="preserve"> تؤثر التدفقات النقدية على الاحتياطيات الأجنبية، وبالتالي على استقرار سعر صرف الريال (المرتبط بالدولار).</w:t>
      </w:r>
    </w:p>
    <w:p w14:paraId="1A7B1FCF" w14:textId="77777777" w:rsidR="00121C3B" w:rsidRPr="007E3252" w:rsidRDefault="00121C3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lastRenderedPageBreak/>
        <w:t>2. تأثير التقلبات على الاستثمار العام والخاص</w:t>
      </w:r>
    </w:p>
    <w:p w14:paraId="00800AF7" w14:textId="77777777" w:rsidR="00121C3B" w:rsidRPr="007E3252" w:rsidRDefault="00121C3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يعد "عدم اليقين" (</w:t>
      </w:r>
      <w:r w:rsidRPr="007E3252">
        <w:rPr>
          <w:rFonts w:ascii="Simplified Arabic" w:hAnsi="Simplified Arabic" w:cs="Simplified Arabic" w:hint="cs"/>
          <w:color w:val="1F1F1F"/>
          <w:sz w:val="32"/>
          <w:szCs w:val="32"/>
        </w:rPr>
        <w:t>Uncertainty</w:t>
      </w:r>
      <w:r w:rsidRPr="007E3252">
        <w:rPr>
          <w:rFonts w:ascii="Simplified Arabic" w:hAnsi="Simplified Arabic" w:cs="Simplified Arabic" w:hint="cs"/>
          <w:color w:val="1F1F1F"/>
          <w:sz w:val="32"/>
          <w:szCs w:val="32"/>
          <w:rtl/>
        </w:rPr>
        <w:t>) العدو الأول للاستثمار:</w:t>
      </w:r>
    </w:p>
    <w:p w14:paraId="4B315323" w14:textId="77777777" w:rsidR="00121C3B" w:rsidRPr="007E3252" w:rsidRDefault="00121C3B" w:rsidP="007E3252">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الاستثمار العام:</w:t>
      </w:r>
      <w:r w:rsidRPr="007E3252">
        <w:rPr>
          <w:rFonts w:ascii="Simplified Arabic" w:hAnsi="Simplified Arabic" w:cs="Simplified Arabic" w:hint="cs"/>
          <w:color w:val="1F1F1F"/>
          <w:sz w:val="32"/>
          <w:szCs w:val="32"/>
          <w:rtl/>
        </w:rPr>
        <w:t xml:space="preserve"> قد تضطر الحكومة لتأجيل مشاريع البنية التحتية الكبرى إذا كانت التقلبات توحي بانخفاض طويل الأمد في الموارد.</w:t>
      </w:r>
    </w:p>
    <w:p w14:paraId="3E4F4267" w14:textId="77777777" w:rsidR="00121C3B" w:rsidRPr="007E3252" w:rsidRDefault="00121C3B" w:rsidP="007E3252">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الاستثمار الخاص:</w:t>
      </w:r>
      <w:r w:rsidRPr="007E3252">
        <w:rPr>
          <w:rFonts w:ascii="Simplified Arabic" w:hAnsi="Simplified Arabic" w:cs="Simplified Arabic" w:hint="cs"/>
          <w:color w:val="1F1F1F"/>
          <w:sz w:val="32"/>
          <w:szCs w:val="32"/>
          <w:rtl/>
        </w:rPr>
        <w:t xml:space="preserve"> يحجم القطاع الخاص عن التوسع إذا كانت التوقعات تشير إلى إمكانية فرض ضرائب جديدة أو تقليص الدعم الحكومي نتيجة انخفاض أسعار النفط.</w:t>
      </w:r>
    </w:p>
    <w:p w14:paraId="01B342D0" w14:textId="77777777" w:rsidR="00121C3B" w:rsidRPr="007E3252" w:rsidRDefault="00121C3B"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العلاقة بين أسعار النفط والمؤشرات الاجتماعية</w:t>
      </w:r>
    </w:p>
    <w:p w14:paraId="5516CD6C" w14:textId="77777777" w:rsidR="00121C3B" w:rsidRPr="007E3252" w:rsidRDefault="00121C3B"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لا تقتصر آثار التقلبات على الأرقام الصماء، بل تمتد للمجتمع:</w:t>
      </w:r>
    </w:p>
    <w:p w14:paraId="66D39A5A" w14:textId="77777777" w:rsidR="00121C3B" w:rsidRPr="007E3252" w:rsidRDefault="00121C3B" w:rsidP="007E3252">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الرعاية الاجتماعية:</w:t>
      </w:r>
      <w:r w:rsidRPr="007E3252">
        <w:rPr>
          <w:rFonts w:ascii="Simplified Arabic" w:hAnsi="Simplified Arabic" w:cs="Simplified Arabic" w:hint="cs"/>
          <w:color w:val="1F1F1F"/>
          <w:sz w:val="32"/>
          <w:szCs w:val="32"/>
          <w:rtl/>
        </w:rPr>
        <w:t xml:space="preserve"> يعتمد استمرار برامج الدعم (مثل حساب المواطن) على استدامة التدفقات المالية.</w:t>
      </w:r>
    </w:p>
    <w:p w14:paraId="5ED551AD" w14:textId="77777777" w:rsidR="00121C3B" w:rsidRPr="007E3252" w:rsidRDefault="00121C3B" w:rsidP="007E3252">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البطالة:</w:t>
      </w:r>
      <w:r w:rsidRPr="007E3252">
        <w:rPr>
          <w:rFonts w:ascii="Simplified Arabic" w:hAnsi="Simplified Arabic" w:cs="Simplified Arabic" w:hint="cs"/>
          <w:color w:val="1F1F1F"/>
          <w:sz w:val="32"/>
          <w:szCs w:val="32"/>
          <w:rtl/>
        </w:rPr>
        <w:t xml:space="preserve"> بما أن الإنفاق الحكومي هو المحرك الرئيسي لفرص العمل في القطاعين العام والخاص، فإن التقلبات السلبية قد تضغط على معدلات التوظيف.</w:t>
      </w:r>
    </w:p>
    <w:p w14:paraId="38AB31AA" w14:textId="77777777" w:rsidR="00121C3B" w:rsidRPr="007E3252" w:rsidRDefault="00121C3B" w:rsidP="007E3252">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الدخل الحقيقي:</w:t>
      </w:r>
      <w:r w:rsidRPr="007E3252">
        <w:rPr>
          <w:rFonts w:ascii="Simplified Arabic" w:hAnsi="Simplified Arabic" w:cs="Simplified Arabic" w:hint="cs"/>
          <w:color w:val="1F1F1F"/>
          <w:sz w:val="32"/>
          <w:szCs w:val="32"/>
          <w:rtl/>
        </w:rPr>
        <w:t xml:space="preserve"> تؤثر تقلبات أسعار الطاقة العالمية على تكاليف النقل والإنتاج محلياً، مما ينعكس على القوة الشرائية للمواطن.</w:t>
      </w:r>
    </w:p>
    <w:p w14:paraId="184BE704" w14:textId="77777777" w:rsidR="00121C3B" w:rsidRPr="007E3252" w:rsidRDefault="00121C3B" w:rsidP="007E3252">
      <w:pPr>
        <w:pStyle w:val="a5"/>
        <w:bidi/>
        <w:spacing w:before="0" w:before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 xml:space="preserve">إن نجاح المملكة في مواجهة هذه التقلبات يكمن في "التحول الهيكلي"؛ حيث لم تعد الميزانية مجرد رد فعل لسعر النفط، بل أصبحت محصنة بسلسلة من </w:t>
      </w:r>
      <w:proofErr w:type="spellStart"/>
      <w:r w:rsidRPr="007E3252">
        <w:rPr>
          <w:rFonts w:ascii="Simplified Arabic" w:hAnsi="Simplified Arabic" w:cs="Simplified Arabic" w:hint="cs"/>
          <w:color w:val="1F1F1F"/>
          <w:sz w:val="32"/>
          <w:szCs w:val="32"/>
          <w:rtl/>
        </w:rPr>
        <w:t>المصدات</w:t>
      </w:r>
      <w:proofErr w:type="spellEnd"/>
      <w:r w:rsidRPr="007E3252">
        <w:rPr>
          <w:rFonts w:ascii="Simplified Arabic" w:hAnsi="Simplified Arabic" w:cs="Simplified Arabic" w:hint="cs"/>
          <w:color w:val="1F1F1F"/>
          <w:sz w:val="32"/>
          <w:szCs w:val="32"/>
          <w:rtl/>
        </w:rPr>
        <w:t xml:space="preserve">: (إيرادات </w:t>
      </w:r>
      <w:r w:rsidRPr="007E3252">
        <w:rPr>
          <w:rFonts w:ascii="Simplified Arabic" w:hAnsi="Simplified Arabic" w:cs="Simplified Arabic" w:hint="cs"/>
          <w:color w:val="1F1F1F"/>
          <w:sz w:val="32"/>
          <w:szCs w:val="32"/>
          <w:rtl/>
        </w:rPr>
        <w:lastRenderedPageBreak/>
        <w:t>غير نفطية متنامية، صندوق سيادي جبار، وكفاءة إنفاق عالية). هذا التكامل هو الذي يضمن عبور الاقتصاد السعودي لموجات التقلب العالمي بأمان.</w:t>
      </w:r>
    </w:p>
    <w:p w14:paraId="61331770" w14:textId="31013871" w:rsidR="00273264" w:rsidRPr="007E3252" w:rsidRDefault="00273264" w:rsidP="007E3252">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0170639" w14:textId="37703022" w:rsidR="00273264" w:rsidRPr="007E3252" w:rsidRDefault="00273264"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الإصلاحات الهيكلية لقطاع الطاقة والميزانية</w:t>
      </w:r>
    </w:p>
    <w:p w14:paraId="0E5666B7" w14:textId="77777777" w:rsidR="00273264" w:rsidRPr="007E3252" w:rsidRDefault="00273264"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نظرية تحرير أسعار الطاقة المحلية وإزالة الدعم</w:t>
      </w:r>
    </w:p>
    <w:p w14:paraId="23AF4231" w14:textId="77777777" w:rsidR="00273264" w:rsidRPr="007E3252" w:rsidRDefault="00273264"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تمثل عملية إصلاح أسعار الطاقة (الوقود والكهرباء) تحولاً جوهرياً في الفكر الاقتصادي السعودي:</w:t>
      </w:r>
    </w:p>
    <w:p w14:paraId="158B0C6B" w14:textId="77777777" w:rsidR="00273264" w:rsidRPr="007E3252" w:rsidRDefault="00273264" w:rsidP="007E3252">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ترشيد الاستهلاك:</w:t>
      </w:r>
      <w:r w:rsidRPr="007E3252">
        <w:rPr>
          <w:rFonts w:ascii="Simplified Arabic" w:hAnsi="Simplified Arabic" w:cs="Simplified Arabic" w:hint="cs"/>
          <w:color w:val="1F1F1F"/>
          <w:sz w:val="32"/>
          <w:szCs w:val="32"/>
          <w:rtl/>
        </w:rPr>
        <w:t xml:space="preserve"> إزالة الدعم تعيد توجيه السلوك الاستهلاكي نحو الكفاءة، مما يقلل الهدر المحلي ويوفر كميات أكبر من النفط للتصدير بالأسعار العالمية.</w:t>
      </w:r>
    </w:p>
    <w:p w14:paraId="1268122B" w14:textId="77777777" w:rsidR="00273264" w:rsidRPr="007E3252" w:rsidRDefault="00273264" w:rsidP="007E3252">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ضبط الإنفاق الحكومي:</w:t>
      </w:r>
      <w:r w:rsidRPr="007E3252">
        <w:rPr>
          <w:rFonts w:ascii="Simplified Arabic" w:hAnsi="Simplified Arabic" w:cs="Simplified Arabic" w:hint="cs"/>
          <w:color w:val="1F1F1F"/>
          <w:sz w:val="32"/>
          <w:szCs w:val="32"/>
          <w:rtl/>
        </w:rPr>
        <w:t xml:space="preserve"> تخفيف العبء عن الميزانية العامة من خلال تحويل الدعم من "دعم للسلعة" (يستفيد منه الجميع) إلى "دعم نقدي موجه" (عبر حساب المواطن) للفئات المستحقة فقط.</w:t>
      </w:r>
    </w:p>
    <w:p w14:paraId="3D8DBAAC" w14:textId="77777777" w:rsidR="00273264" w:rsidRPr="007E3252" w:rsidRDefault="00273264"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التنويع ضمن قطاع الطاقة</w:t>
      </w:r>
    </w:p>
    <w:p w14:paraId="013F3FC7" w14:textId="77777777" w:rsidR="00273264" w:rsidRPr="007E3252" w:rsidRDefault="00273264"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لا يقتصر التنويع على القطاعات غير النفطية فحسب، بل يشمل تنويع مزيج الطاقة نفسه:</w:t>
      </w:r>
    </w:p>
    <w:p w14:paraId="727E64A5" w14:textId="77777777" w:rsidR="00273264" w:rsidRPr="007E3252" w:rsidRDefault="00273264" w:rsidP="007E3252">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التحول للغاز والطاقة المتجددة:</w:t>
      </w:r>
      <w:r w:rsidRPr="007E3252">
        <w:rPr>
          <w:rFonts w:ascii="Simplified Arabic" w:hAnsi="Simplified Arabic" w:cs="Simplified Arabic" w:hint="cs"/>
          <w:color w:val="1F1F1F"/>
          <w:sz w:val="32"/>
          <w:szCs w:val="32"/>
          <w:rtl/>
        </w:rPr>
        <w:t xml:space="preserve"> يهدف البرنامج الوطني للطاقة المتجددة إلى جعل حصة الغاز والطاقة المتجددة في مزيج الطاقة لإنتاج الكهرباء حوالي 50% لكل منهما بحلول 2030.</w:t>
      </w:r>
    </w:p>
    <w:p w14:paraId="75E80659" w14:textId="77777777" w:rsidR="00273264" w:rsidRPr="007E3252" w:rsidRDefault="00273264" w:rsidP="007E3252">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تخفيف المخاطر:</w:t>
      </w:r>
      <w:r w:rsidRPr="007E3252">
        <w:rPr>
          <w:rFonts w:ascii="Simplified Arabic" w:hAnsi="Simplified Arabic" w:cs="Simplified Arabic" w:hint="cs"/>
          <w:color w:val="1F1F1F"/>
          <w:sz w:val="32"/>
          <w:szCs w:val="32"/>
          <w:rtl/>
        </w:rPr>
        <w:t xml:space="preserve"> هذا التحول يحمي الاقتصاد من "تكلفة الفرصة البديلة" لاستخدام النفط الخام محلياً، ويعزز مكانة المملكة كمنتج للطاقة بكافة أشكالها (بما في ذلك الهيدروجين الأخضر والأزرق).</w:t>
      </w:r>
    </w:p>
    <w:p w14:paraId="61488C07" w14:textId="77777777" w:rsidR="00273264" w:rsidRPr="007E3252" w:rsidRDefault="00273264"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تأثير خصخصة الأصول النفطية (مثال أرامكو)</w:t>
      </w:r>
    </w:p>
    <w:p w14:paraId="3730C096" w14:textId="77777777" w:rsidR="00273264" w:rsidRPr="007E3252" w:rsidRDefault="00273264"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يمثل إدراج شركة أرامكو السعودية تحولاً في العلاقة المالية بين الدولة والقطاع النفطي:</w:t>
      </w:r>
    </w:p>
    <w:p w14:paraId="6458FE60" w14:textId="77777777" w:rsidR="00273264" w:rsidRPr="007E3252" w:rsidRDefault="00273264" w:rsidP="007E3252">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من الإيراد إلى الاستدامة:</w:t>
      </w:r>
      <w:r w:rsidRPr="007E3252">
        <w:rPr>
          <w:rFonts w:ascii="Simplified Arabic" w:hAnsi="Simplified Arabic" w:cs="Simplified Arabic" w:hint="cs"/>
          <w:color w:val="1F1F1F"/>
          <w:sz w:val="32"/>
          <w:szCs w:val="32"/>
          <w:rtl/>
        </w:rPr>
        <w:t xml:space="preserve"> تحول الدخل من "إيراد مباشر" (سحب نقدي) إلى هيكل مؤسسي يقوم على (الضرائب، الإتاوات، وتوزيعات الأرباح).</w:t>
      </w:r>
    </w:p>
    <w:p w14:paraId="45239871" w14:textId="77777777" w:rsidR="00273264" w:rsidRPr="007E3252" w:rsidRDefault="00273264" w:rsidP="007E3252">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7E3252">
        <w:rPr>
          <w:rStyle w:val="a6"/>
          <w:rFonts w:ascii="Simplified Arabic" w:hAnsi="Simplified Arabic" w:cs="Simplified Arabic" w:hint="cs"/>
          <w:color w:val="1F1F1F"/>
          <w:sz w:val="32"/>
          <w:szCs w:val="32"/>
          <w:bdr w:val="none" w:sz="0" w:space="0" w:color="auto" w:frame="1"/>
          <w:rtl/>
        </w:rPr>
        <w:t>الحوكمة</w:t>
      </w:r>
      <w:proofErr w:type="spellEnd"/>
      <w:r w:rsidRPr="007E3252">
        <w:rPr>
          <w:rStyle w:val="a6"/>
          <w:rFonts w:ascii="Simplified Arabic" w:hAnsi="Simplified Arabic" w:cs="Simplified Arabic" w:hint="cs"/>
          <w:color w:val="1F1F1F"/>
          <w:sz w:val="32"/>
          <w:szCs w:val="32"/>
          <w:bdr w:val="none" w:sz="0" w:space="0" w:color="auto" w:frame="1"/>
          <w:rtl/>
        </w:rPr>
        <w:t xml:space="preserve"> العالمية:</w:t>
      </w:r>
      <w:r w:rsidRPr="007E3252">
        <w:rPr>
          <w:rFonts w:ascii="Simplified Arabic" w:hAnsi="Simplified Arabic" w:cs="Simplified Arabic" w:hint="cs"/>
          <w:color w:val="1F1F1F"/>
          <w:sz w:val="32"/>
          <w:szCs w:val="32"/>
          <w:rtl/>
        </w:rPr>
        <w:t xml:space="preserve"> الخصخصة تفرض معايير شفافة وإفصاحاً مالياً صارماً، مما يرفع من كفاءة إدارة الأصول النفطية ويجذب الاستثمارات الأجنبية.</w:t>
      </w:r>
    </w:p>
    <w:p w14:paraId="019C12A7" w14:textId="5639A9A2" w:rsidR="00273264" w:rsidRPr="007E3252" w:rsidRDefault="00273264"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القواعد والضوابط المالية لضمان الاستدامة</w:t>
      </w:r>
    </w:p>
    <w:p w14:paraId="5B843DD9" w14:textId="77777777" w:rsidR="00273264" w:rsidRPr="007E3252" w:rsidRDefault="00273264"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المفاهيم النظرية للقواعد المالية (</w:t>
      </w:r>
      <w:r w:rsidRPr="007E3252">
        <w:rPr>
          <w:rFonts w:ascii="Simplified Arabic" w:eastAsia="Times New Roman" w:hAnsi="Simplified Arabic" w:cs="Simplified Arabic" w:hint="cs"/>
          <w:color w:val="1F1F1F"/>
          <w:sz w:val="32"/>
          <w:szCs w:val="32"/>
        </w:rPr>
        <w:t>Fiscal Rules</w:t>
      </w:r>
      <w:r w:rsidRPr="007E3252">
        <w:rPr>
          <w:rFonts w:ascii="Simplified Arabic" w:eastAsia="Times New Roman" w:hAnsi="Simplified Arabic" w:cs="Simplified Arabic" w:hint="cs"/>
          <w:color w:val="1F1F1F"/>
          <w:sz w:val="32"/>
          <w:szCs w:val="32"/>
          <w:rtl/>
        </w:rPr>
        <w:t>)</w:t>
      </w:r>
    </w:p>
    <w:p w14:paraId="7B459BF9" w14:textId="77777777" w:rsidR="00273264" w:rsidRPr="007E3252" w:rsidRDefault="00273264"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القواعد المالية هي قيود قانونية أو دائمة على السياسة المالية لضمان الانضباط:</w:t>
      </w:r>
    </w:p>
    <w:p w14:paraId="387DAB93" w14:textId="77777777" w:rsidR="00273264" w:rsidRPr="007E3252" w:rsidRDefault="00273264" w:rsidP="007E3252">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قاعدة الإنفاق الدورية:</w:t>
      </w:r>
      <w:r w:rsidRPr="007E3252">
        <w:rPr>
          <w:rFonts w:ascii="Simplified Arabic" w:hAnsi="Simplified Arabic" w:cs="Simplified Arabic" w:hint="cs"/>
          <w:color w:val="1F1F1F"/>
          <w:sz w:val="32"/>
          <w:szCs w:val="32"/>
          <w:rtl/>
        </w:rPr>
        <w:t xml:space="preserve"> تحديد سقف للإنفاق لا يتأثر بالزيادات المفاجئة في أسعار النفط، مما يمنع "الدورية المفرطة" (</w:t>
      </w:r>
      <w:r w:rsidRPr="007E3252">
        <w:rPr>
          <w:rFonts w:ascii="Simplified Arabic" w:hAnsi="Simplified Arabic" w:cs="Simplified Arabic" w:hint="cs"/>
          <w:color w:val="1F1F1F"/>
          <w:sz w:val="32"/>
          <w:szCs w:val="32"/>
        </w:rPr>
        <w:t>Pro-cyclicality</w:t>
      </w:r>
      <w:r w:rsidRPr="007E3252">
        <w:rPr>
          <w:rFonts w:ascii="Simplified Arabic" w:hAnsi="Simplified Arabic" w:cs="Simplified Arabic" w:hint="cs"/>
          <w:color w:val="1F1F1F"/>
          <w:sz w:val="32"/>
          <w:szCs w:val="32"/>
          <w:rtl/>
        </w:rPr>
        <w:t>).</w:t>
      </w:r>
    </w:p>
    <w:p w14:paraId="482BF381" w14:textId="77777777" w:rsidR="00273264" w:rsidRPr="007E3252" w:rsidRDefault="00273264" w:rsidP="007E3252">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lastRenderedPageBreak/>
        <w:t>قاعدة الدين:</w:t>
      </w:r>
      <w:r w:rsidRPr="007E3252">
        <w:rPr>
          <w:rFonts w:ascii="Simplified Arabic" w:hAnsi="Simplified Arabic" w:cs="Simplified Arabic" w:hint="cs"/>
          <w:color w:val="1F1F1F"/>
          <w:sz w:val="32"/>
          <w:szCs w:val="32"/>
          <w:rtl/>
        </w:rPr>
        <w:t xml:space="preserve"> وضع سقف لنسبة الدين العام إلى الناتج المحلي الإجمالي لضمان عدم استنزاف موارد الدولة في خدمة الديون مستقبلاً.</w:t>
      </w:r>
    </w:p>
    <w:p w14:paraId="5929722E" w14:textId="77777777" w:rsidR="00273264" w:rsidRPr="007E3252" w:rsidRDefault="00273264"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تطبيق القواعد المالية في الميزانية السعودية</w:t>
      </w:r>
    </w:p>
    <w:p w14:paraId="260E3225" w14:textId="77777777" w:rsidR="00273264" w:rsidRPr="007E3252" w:rsidRDefault="00273264"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تبنت المملكة إطاراً مالياً متوسط المدى يهدف إلى:</w:t>
      </w:r>
    </w:p>
    <w:p w14:paraId="09A66A58" w14:textId="77777777" w:rsidR="00273264" w:rsidRPr="007E3252" w:rsidRDefault="00273264" w:rsidP="007E3252">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فصل الإنفاق عن تقلبات السعر:</w:t>
      </w:r>
      <w:r w:rsidRPr="007E3252">
        <w:rPr>
          <w:rFonts w:ascii="Simplified Arabic" w:hAnsi="Simplified Arabic" w:cs="Simplified Arabic" w:hint="cs"/>
          <w:color w:val="1F1F1F"/>
          <w:sz w:val="32"/>
          <w:szCs w:val="32"/>
          <w:rtl/>
        </w:rPr>
        <w:t xml:space="preserve"> اعتماد ميزانية مبنية على تقديرات محافظة لأسعار النفط، وتوجيه الفوائض نحو الاحتياطيات أو الصناديق السيادية.</w:t>
      </w:r>
    </w:p>
    <w:p w14:paraId="504A6E96" w14:textId="77777777" w:rsidR="00273264" w:rsidRPr="007E3252" w:rsidRDefault="00273264" w:rsidP="007E3252">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الاستدامة المالية:</w:t>
      </w:r>
      <w:r w:rsidRPr="007E3252">
        <w:rPr>
          <w:rFonts w:ascii="Simplified Arabic" w:hAnsi="Simplified Arabic" w:cs="Simplified Arabic" w:hint="cs"/>
          <w:color w:val="1F1F1F"/>
          <w:sz w:val="32"/>
          <w:szCs w:val="32"/>
          <w:rtl/>
        </w:rPr>
        <w:t xml:space="preserve"> ضمان قدرة الدولة على الوفاء بالتزاماتها المالية على المدى الطويل حتى في ظل سيناريوهات أسعار نفط منخفضة.</w:t>
      </w:r>
    </w:p>
    <w:p w14:paraId="5281484F" w14:textId="77777777" w:rsidR="00273264" w:rsidRPr="007E3252" w:rsidRDefault="00273264"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 xml:space="preserve">3. أهمية الشفافية </w:t>
      </w:r>
      <w:proofErr w:type="spellStart"/>
      <w:r w:rsidRPr="007E3252">
        <w:rPr>
          <w:rFonts w:ascii="Simplified Arabic" w:eastAsia="Times New Roman" w:hAnsi="Simplified Arabic" w:cs="Simplified Arabic" w:hint="cs"/>
          <w:color w:val="1F1F1F"/>
          <w:sz w:val="32"/>
          <w:szCs w:val="32"/>
          <w:rtl/>
        </w:rPr>
        <w:t>والحوكمة</w:t>
      </w:r>
      <w:proofErr w:type="spellEnd"/>
      <w:r w:rsidRPr="007E3252">
        <w:rPr>
          <w:rFonts w:ascii="Simplified Arabic" w:eastAsia="Times New Roman" w:hAnsi="Simplified Arabic" w:cs="Simplified Arabic" w:hint="cs"/>
          <w:color w:val="1F1F1F"/>
          <w:sz w:val="32"/>
          <w:szCs w:val="32"/>
          <w:rtl/>
        </w:rPr>
        <w:t xml:space="preserve"> في تنفيذ السياسات المالية</w:t>
      </w:r>
    </w:p>
    <w:p w14:paraId="44BFD40B" w14:textId="77777777" w:rsidR="00273264" w:rsidRPr="007E3252" w:rsidRDefault="00273264"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تعزيز الثقة في الاقتصاد يتطلب مؤسسات رقابية قوية:</w:t>
      </w:r>
    </w:p>
    <w:p w14:paraId="0E367F91" w14:textId="77777777" w:rsidR="00273264" w:rsidRPr="007E3252" w:rsidRDefault="00273264" w:rsidP="007E3252">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دور المؤسسات:</w:t>
      </w:r>
      <w:r w:rsidRPr="007E3252">
        <w:rPr>
          <w:rFonts w:ascii="Simplified Arabic" w:hAnsi="Simplified Arabic" w:cs="Simplified Arabic" w:hint="cs"/>
          <w:color w:val="1F1F1F"/>
          <w:sz w:val="32"/>
          <w:szCs w:val="32"/>
          <w:rtl/>
        </w:rPr>
        <w:t xml:space="preserve"> جهات مثل "الديوان العام للمحاسبة" و"مركز كفاءة الإنفاق" تضمن توجيه الموارد نحو الأهداف الاستراتيجية للرؤية.</w:t>
      </w:r>
    </w:p>
    <w:p w14:paraId="5BC8A1C9" w14:textId="77777777" w:rsidR="00273264" w:rsidRPr="007E3252" w:rsidRDefault="00273264" w:rsidP="007E3252">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التقارير الرباعية:</w:t>
      </w:r>
      <w:r w:rsidRPr="007E3252">
        <w:rPr>
          <w:rFonts w:ascii="Simplified Arabic" w:hAnsi="Simplified Arabic" w:cs="Simplified Arabic" w:hint="cs"/>
          <w:color w:val="1F1F1F"/>
          <w:sz w:val="32"/>
          <w:szCs w:val="32"/>
          <w:rtl/>
        </w:rPr>
        <w:t xml:space="preserve"> إصدار تقارير أداء الميزانية ربع السنوية يعزز من شفافية الدولة أمام المواطنين والمستثمرين الدوليين، ويقلل من مخاطر الفساد المالي أو الهدر الإداري.</w:t>
      </w:r>
    </w:p>
    <w:p w14:paraId="3AF37A21" w14:textId="7D2D9C64" w:rsidR="00273264" w:rsidRPr="007E3252" w:rsidRDefault="00273264" w:rsidP="007E3252">
      <w:pPr>
        <w:pStyle w:val="a5"/>
        <w:bidi/>
        <w:spacing w:before="0" w:beforeAutospacing="0" w:line="360" w:lineRule="auto"/>
        <w:rPr>
          <w:rFonts w:ascii="Simplified Arabic" w:hAnsi="Simplified Arabic" w:cs="Simplified Arabic"/>
          <w:color w:val="1F1F1F"/>
          <w:sz w:val="32"/>
          <w:szCs w:val="32"/>
          <w:rtl/>
        </w:rPr>
      </w:pPr>
    </w:p>
    <w:p w14:paraId="29A12339" w14:textId="77777777" w:rsidR="00273264" w:rsidRPr="007E3252" w:rsidRDefault="00273264" w:rsidP="007E3252">
      <w:pPr>
        <w:pStyle w:val="a5"/>
        <w:bidi/>
        <w:spacing w:before="0" w:before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lastRenderedPageBreak/>
        <w:t>إن التكامل بين الإصلاحات الهيكلية (المحور السابع) والقواعد المالية الصارمة (المحور الثامن) يمثل "صمام الأمان الحقيقي". فبينما تحمي الصناديق السيادية الدولة من التقلبات، تضمن هذه الإصلاحات والقواعد أن الاقتصاد الداخلي يعمل بكفاءة ذاتية، بعيداً عن الاعتماد الأحادي على الريع النفطي، مما يرسم معالم "السعودية ما بعد النفط".</w:t>
      </w:r>
    </w:p>
    <w:p w14:paraId="1E5A29B3" w14:textId="4D2A4D0A" w:rsidR="00C96E5F" w:rsidRPr="007E3252" w:rsidRDefault="00C96E5F" w:rsidP="007E3252">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3FE7CD1" w14:textId="6ADA5BC3" w:rsidR="00C96E5F" w:rsidRPr="007E3252" w:rsidRDefault="00C96E5F" w:rsidP="007E3252">
      <w:pPr>
        <w:pStyle w:val="2"/>
        <w:spacing w:before="0" w:after="120" w:line="360" w:lineRule="auto"/>
        <w:rPr>
          <w:rFonts w:ascii="Simplified Arabic" w:eastAsia="Times New Roman" w:hAnsi="Simplified Arabic" w:cs="Simplified Arabic"/>
          <w:color w:val="1F1F1F"/>
          <w:rtl/>
        </w:rPr>
      </w:pPr>
      <w:r w:rsidRPr="007E3252">
        <w:rPr>
          <w:rFonts w:ascii="Simplified Arabic" w:eastAsia="Times New Roman" w:hAnsi="Simplified Arabic" w:cs="Simplified Arabic" w:hint="cs"/>
          <w:color w:val="1F1F1F"/>
          <w:rtl/>
        </w:rPr>
        <w:t xml:space="preserve"> </w:t>
      </w:r>
      <w:proofErr w:type="spellStart"/>
      <w:r w:rsidRPr="007E3252">
        <w:rPr>
          <w:rFonts w:ascii="Simplified Arabic" w:eastAsia="Times New Roman" w:hAnsi="Simplified Arabic" w:cs="Simplified Arabic" w:hint="cs"/>
          <w:color w:val="1F1F1F"/>
          <w:rtl/>
        </w:rPr>
        <w:t>نمذجة</w:t>
      </w:r>
      <w:proofErr w:type="spellEnd"/>
      <w:r w:rsidRPr="007E3252">
        <w:rPr>
          <w:rFonts w:ascii="Simplified Arabic" w:eastAsia="Times New Roman" w:hAnsi="Simplified Arabic" w:cs="Simplified Arabic" w:hint="cs"/>
          <w:color w:val="1F1F1F"/>
          <w:rtl/>
        </w:rPr>
        <w:t xml:space="preserve"> وتحليل سيناريوهات أسعار الطاقة المستقبلية</w:t>
      </w:r>
    </w:p>
    <w:p w14:paraId="550707A9" w14:textId="77777777" w:rsidR="00C96E5F" w:rsidRPr="007E3252" w:rsidRDefault="00C96E5F"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نماذج التنبؤ بأسعار النفط</w:t>
      </w:r>
    </w:p>
    <w:p w14:paraId="09BDBEE8" w14:textId="77777777" w:rsidR="00C96E5F" w:rsidRPr="007E3252" w:rsidRDefault="00C96E5F"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تعتمد المؤسسات المالية والتخطيطية في المملكة على نماذج اقتصادية قياسية متطورة لاستشراف المستقبل:</w:t>
      </w:r>
    </w:p>
    <w:p w14:paraId="4F517BF5" w14:textId="77777777" w:rsidR="00C96E5F" w:rsidRPr="007E3252" w:rsidRDefault="00C96E5F" w:rsidP="007E3252">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نماذج السلاسل الزمنية (</w:t>
      </w:r>
      <w:r w:rsidRPr="007E3252">
        <w:rPr>
          <w:rStyle w:val="a6"/>
          <w:rFonts w:ascii="Simplified Arabic" w:hAnsi="Simplified Arabic" w:cs="Simplified Arabic" w:hint="cs"/>
          <w:color w:val="1F1F1F"/>
          <w:sz w:val="32"/>
          <w:szCs w:val="32"/>
          <w:bdr w:val="none" w:sz="0" w:space="0" w:color="auto" w:frame="1"/>
        </w:rPr>
        <w:t>Time Series</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مثل نموذج (</w:t>
      </w:r>
      <w:r w:rsidRPr="007E3252">
        <w:rPr>
          <w:rFonts w:ascii="Simplified Arabic" w:hAnsi="Simplified Arabic" w:cs="Simplified Arabic" w:hint="cs"/>
          <w:color w:val="1F1F1F"/>
          <w:sz w:val="32"/>
          <w:szCs w:val="32"/>
        </w:rPr>
        <w:t>ARIMA</w:t>
      </w:r>
      <w:r w:rsidRPr="007E3252">
        <w:rPr>
          <w:rFonts w:ascii="Simplified Arabic" w:hAnsi="Simplified Arabic" w:cs="Simplified Arabic" w:hint="cs"/>
          <w:color w:val="1F1F1F"/>
          <w:sz w:val="32"/>
          <w:szCs w:val="32"/>
          <w:rtl/>
        </w:rPr>
        <w:t>) للتنبؤ بناءً على البيانات التاريخية، ونماذج (</w:t>
      </w:r>
      <w:r w:rsidRPr="007E3252">
        <w:rPr>
          <w:rFonts w:ascii="Simplified Arabic" w:hAnsi="Simplified Arabic" w:cs="Simplified Arabic" w:hint="cs"/>
          <w:color w:val="1F1F1F"/>
          <w:sz w:val="32"/>
          <w:szCs w:val="32"/>
        </w:rPr>
        <w:t>VECM</w:t>
      </w:r>
      <w:r w:rsidRPr="007E3252">
        <w:rPr>
          <w:rFonts w:ascii="Simplified Arabic" w:hAnsi="Simplified Arabic" w:cs="Simplified Arabic" w:hint="cs"/>
          <w:color w:val="1F1F1F"/>
          <w:sz w:val="32"/>
          <w:szCs w:val="32"/>
          <w:rtl/>
        </w:rPr>
        <w:t>) التي تدرس العلاقات التبادلية بين سعر النفط، سعر الصرف، والنمو العالمي.</w:t>
      </w:r>
    </w:p>
    <w:p w14:paraId="040D5042" w14:textId="77777777" w:rsidR="00C96E5F" w:rsidRPr="007E3252" w:rsidRDefault="00C96E5F" w:rsidP="007E3252">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النماذج الهيكلية (</w:t>
      </w:r>
      <w:r w:rsidRPr="007E3252">
        <w:rPr>
          <w:rStyle w:val="a6"/>
          <w:rFonts w:ascii="Simplified Arabic" w:hAnsi="Simplified Arabic" w:cs="Simplified Arabic" w:hint="cs"/>
          <w:color w:val="1F1F1F"/>
          <w:sz w:val="32"/>
          <w:szCs w:val="32"/>
          <w:bdr w:val="none" w:sz="0" w:space="0" w:color="auto" w:frame="1"/>
        </w:rPr>
        <w:t>Structural Models</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التي تحلل العوامل الأساسية (</w:t>
      </w:r>
      <w:r w:rsidRPr="007E3252">
        <w:rPr>
          <w:rFonts w:ascii="Simplified Arabic" w:hAnsi="Simplified Arabic" w:cs="Simplified Arabic" w:hint="cs"/>
          <w:color w:val="1F1F1F"/>
          <w:sz w:val="32"/>
          <w:szCs w:val="32"/>
        </w:rPr>
        <w:t>Fundamentals</w:t>
      </w:r>
      <w:r w:rsidRPr="007E3252">
        <w:rPr>
          <w:rFonts w:ascii="Simplified Arabic" w:hAnsi="Simplified Arabic" w:cs="Simplified Arabic" w:hint="cs"/>
          <w:color w:val="1F1F1F"/>
          <w:sz w:val="32"/>
          <w:szCs w:val="32"/>
          <w:rtl/>
        </w:rPr>
        <w:t>) مثل مرونة الطلب في الدول الناشئة ومعادلة العرض من المنتجين خارج أوبك.</w:t>
      </w:r>
    </w:p>
    <w:p w14:paraId="0DCC96D2" w14:textId="77777777" w:rsidR="00C96E5F" w:rsidRPr="007E3252" w:rsidRDefault="00C96E5F"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lastRenderedPageBreak/>
        <w:t>2. تحليل حساسية الميزانية العامة لسيناريوهات الأسعار</w:t>
      </w:r>
    </w:p>
    <w:p w14:paraId="7CC2BB85" w14:textId="77777777" w:rsidR="00C96E5F" w:rsidRPr="007E3252" w:rsidRDefault="00C96E5F"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يعد تحليل الحساسية (</w:t>
      </w:r>
      <w:r w:rsidRPr="007E3252">
        <w:rPr>
          <w:rFonts w:ascii="Simplified Arabic" w:hAnsi="Simplified Arabic" w:cs="Simplified Arabic" w:hint="cs"/>
          <w:color w:val="1F1F1F"/>
          <w:sz w:val="32"/>
          <w:szCs w:val="32"/>
        </w:rPr>
        <w:t>Sensitivity Analysis</w:t>
      </w:r>
      <w:r w:rsidRPr="007E3252">
        <w:rPr>
          <w:rFonts w:ascii="Simplified Arabic" w:hAnsi="Simplified Arabic" w:cs="Simplified Arabic" w:hint="cs"/>
          <w:color w:val="1F1F1F"/>
          <w:sz w:val="32"/>
          <w:szCs w:val="32"/>
          <w:rtl/>
        </w:rPr>
        <w:t>) أداة حيوية لإدارة المخاطر المالية:</w:t>
      </w:r>
    </w:p>
    <w:p w14:paraId="55A0D739" w14:textId="77777777" w:rsidR="00C96E5F" w:rsidRPr="007E3252" w:rsidRDefault="00C96E5F" w:rsidP="007E3252">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سيناريو السعر المنخفض (</w:t>
      </w:r>
      <w:r w:rsidRPr="007E3252">
        <w:rPr>
          <w:rStyle w:val="a6"/>
          <w:rFonts w:ascii="Simplified Arabic" w:hAnsi="Simplified Arabic" w:cs="Simplified Arabic" w:hint="cs"/>
          <w:color w:val="1F1F1F"/>
          <w:sz w:val="32"/>
          <w:szCs w:val="32"/>
          <w:bdr w:val="none" w:sz="0" w:space="0" w:color="auto" w:frame="1"/>
        </w:rPr>
        <w:t>Stress Test</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اختبار قدرة الميزانية على الصمود في حال انخفاض الأسعار دون 50 دولاراً لفترة طويلة، وتقييم كفاية الاحتياطيات لتغطية العجز.</w:t>
      </w:r>
    </w:p>
    <w:p w14:paraId="166D93EE" w14:textId="77777777" w:rsidR="00C96E5F" w:rsidRPr="007E3252" w:rsidRDefault="00C96E5F" w:rsidP="007E3252">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سيناريو السعر المرتفع:</w:t>
      </w:r>
      <w:r w:rsidRPr="007E3252">
        <w:rPr>
          <w:rFonts w:ascii="Simplified Arabic" w:hAnsi="Simplified Arabic" w:cs="Simplified Arabic" w:hint="cs"/>
          <w:color w:val="1F1F1F"/>
          <w:sz w:val="32"/>
          <w:szCs w:val="32"/>
          <w:rtl/>
        </w:rPr>
        <w:t xml:space="preserve"> التخطيط لكيفية استغلال الفوائض في سداد الدين العام أو زيادة ضخ الاستثمارات في صندوق الاستثمارات العامة بدلاً من زيادة الإنفاق الاستهلاكي.</w:t>
      </w:r>
    </w:p>
    <w:p w14:paraId="04D0CC5C" w14:textId="77777777" w:rsidR="00C96E5F" w:rsidRPr="007E3252" w:rsidRDefault="00C96E5F"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3. استراتيجيات التخطيط المالي طويل الأجل</w:t>
      </w:r>
    </w:p>
    <w:p w14:paraId="593C900E" w14:textId="77777777" w:rsidR="00C96E5F" w:rsidRPr="007E3252" w:rsidRDefault="00C96E5F"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الانتقال من الميزانية السنوية إلى "الإطار المالي متوسط المدى":</w:t>
      </w:r>
    </w:p>
    <w:p w14:paraId="036F507E" w14:textId="77777777" w:rsidR="00C96E5F" w:rsidRPr="007E3252" w:rsidRDefault="00C96E5F" w:rsidP="007E3252">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الاستدامة عبر الأجيال:</w:t>
      </w:r>
      <w:r w:rsidRPr="007E3252">
        <w:rPr>
          <w:rFonts w:ascii="Simplified Arabic" w:hAnsi="Simplified Arabic" w:cs="Simplified Arabic" w:hint="cs"/>
          <w:color w:val="1F1F1F"/>
          <w:sz w:val="32"/>
          <w:szCs w:val="32"/>
          <w:rtl/>
        </w:rPr>
        <w:t xml:space="preserve"> دمج "قاعدة ثروة الأحفاد" في الخطط المالية، بحيث يتم استثمار جزء من عوائد اليوم لضمان دخل مستقر للأجيال القادمة بمعزل عن نضوب الموارد.</w:t>
      </w:r>
    </w:p>
    <w:p w14:paraId="606F985C" w14:textId="77777777" w:rsidR="00C96E5F" w:rsidRPr="007E3252" w:rsidRDefault="00C96E5F" w:rsidP="007E3252">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إدارة الأصول والخصوم (</w:t>
      </w:r>
      <w:r w:rsidRPr="007E3252">
        <w:rPr>
          <w:rStyle w:val="a6"/>
          <w:rFonts w:ascii="Simplified Arabic" w:hAnsi="Simplified Arabic" w:cs="Simplified Arabic" w:hint="cs"/>
          <w:color w:val="1F1F1F"/>
          <w:sz w:val="32"/>
          <w:szCs w:val="32"/>
          <w:bdr w:val="none" w:sz="0" w:space="0" w:color="auto" w:frame="1"/>
        </w:rPr>
        <w:t>ALM</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التنسيق بين حجم الدين العام وحجم الأصول السيادية لضمان توازن المركز المالي للدولة.</w:t>
      </w:r>
    </w:p>
    <w:p w14:paraId="3434F02B" w14:textId="3984ED52" w:rsidR="00C96E5F" w:rsidRPr="007E3252" w:rsidRDefault="00C96E5F" w:rsidP="007E3252">
      <w:pPr>
        <w:pStyle w:val="2"/>
        <w:spacing w:before="0" w:after="120" w:line="360" w:lineRule="auto"/>
        <w:rPr>
          <w:rFonts w:ascii="Simplified Arabic" w:eastAsia="Times New Roman" w:hAnsi="Simplified Arabic" w:cs="Simplified Arabic"/>
          <w:color w:val="1F1F1F"/>
          <w:rtl/>
        </w:rPr>
      </w:pPr>
      <w:proofErr w:type="spellStart"/>
      <w:r w:rsidRPr="007E3252">
        <w:rPr>
          <w:rFonts w:ascii="Simplified Arabic" w:eastAsia="Times New Roman" w:hAnsi="Simplified Arabic" w:cs="Simplified Arabic" w:hint="cs"/>
          <w:color w:val="1F1F1F"/>
          <w:rtl/>
        </w:rPr>
        <w:lastRenderedPageBreak/>
        <w:t>الحوكمة</w:t>
      </w:r>
      <w:proofErr w:type="spellEnd"/>
      <w:r w:rsidRPr="007E3252">
        <w:rPr>
          <w:rFonts w:ascii="Simplified Arabic" w:eastAsia="Times New Roman" w:hAnsi="Simplified Arabic" w:cs="Simplified Arabic" w:hint="cs"/>
          <w:color w:val="1F1F1F"/>
          <w:rtl/>
        </w:rPr>
        <w:t xml:space="preserve"> الدولية وأثرها على استقرار الأسعار</w:t>
      </w:r>
    </w:p>
    <w:p w14:paraId="6DEE66ED" w14:textId="77777777" w:rsidR="00C96E5F" w:rsidRPr="007E3252" w:rsidRDefault="00C96E5F"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1. دور منظمة أوبك وتحالف أوبك+</w:t>
      </w:r>
    </w:p>
    <w:p w14:paraId="6DEF92F9" w14:textId="77777777" w:rsidR="00C96E5F" w:rsidRPr="007E3252" w:rsidRDefault="00C96E5F"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 xml:space="preserve">تؤدي المملكة دور "المنتج </w:t>
      </w:r>
      <w:proofErr w:type="spellStart"/>
      <w:r w:rsidRPr="007E3252">
        <w:rPr>
          <w:rFonts w:ascii="Simplified Arabic" w:hAnsi="Simplified Arabic" w:cs="Simplified Arabic" w:hint="cs"/>
          <w:color w:val="1F1F1F"/>
          <w:sz w:val="32"/>
          <w:szCs w:val="32"/>
          <w:rtl/>
        </w:rPr>
        <w:t>المرجحي</w:t>
      </w:r>
      <w:proofErr w:type="spellEnd"/>
      <w:r w:rsidRPr="007E3252">
        <w:rPr>
          <w:rFonts w:ascii="Simplified Arabic" w:hAnsi="Simplified Arabic" w:cs="Simplified Arabic" w:hint="cs"/>
          <w:color w:val="1F1F1F"/>
          <w:sz w:val="32"/>
          <w:szCs w:val="32"/>
          <w:rtl/>
        </w:rPr>
        <w:t>" (</w:t>
      </w:r>
      <w:r w:rsidRPr="007E3252">
        <w:rPr>
          <w:rFonts w:ascii="Simplified Arabic" w:hAnsi="Simplified Arabic" w:cs="Simplified Arabic" w:hint="cs"/>
          <w:color w:val="1F1F1F"/>
          <w:sz w:val="32"/>
          <w:szCs w:val="32"/>
        </w:rPr>
        <w:t>Swing Producer</w:t>
      </w:r>
      <w:r w:rsidRPr="007E3252">
        <w:rPr>
          <w:rFonts w:ascii="Simplified Arabic" w:hAnsi="Simplified Arabic" w:cs="Simplified Arabic" w:hint="cs"/>
          <w:color w:val="1F1F1F"/>
          <w:sz w:val="32"/>
          <w:szCs w:val="32"/>
          <w:rtl/>
        </w:rPr>
        <w:t>) والقائد الفعلي للتحالف:</w:t>
      </w:r>
    </w:p>
    <w:p w14:paraId="1AE6447C" w14:textId="77777777" w:rsidR="00C96E5F" w:rsidRPr="007E3252" w:rsidRDefault="00C96E5F" w:rsidP="007E3252">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إدارة المعروض:</w:t>
      </w:r>
      <w:r w:rsidRPr="007E3252">
        <w:rPr>
          <w:rFonts w:ascii="Simplified Arabic" w:hAnsi="Simplified Arabic" w:cs="Simplified Arabic" w:hint="cs"/>
          <w:color w:val="1F1F1F"/>
          <w:sz w:val="32"/>
          <w:szCs w:val="32"/>
          <w:rtl/>
        </w:rPr>
        <w:t xml:space="preserve"> التحليل النظري يثبت أن تحالف "أوبك+" يعمل كصمام أمان لمنع انهيار الأسعار في الأزمات (كما حدث في جائحة كورونا) ومنع الارتفاعات الحادة التي قد تضر بالاقتصاد العالمي.</w:t>
      </w:r>
    </w:p>
    <w:p w14:paraId="0EDDFD6D" w14:textId="77777777" w:rsidR="00C96E5F" w:rsidRPr="007E3252" w:rsidRDefault="00C96E5F" w:rsidP="007E3252">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توازن السوق:</w:t>
      </w:r>
      <w:r w:rsidRPr="007E3252">
        <w:rPr>
          <w:rFonts w:ascii="Simplified Arabic" w:hAnsi="Simplified Arabic" w:cs="Simplified Arabic" w:hint="cs"/>
          <w:color w:val="1F1F1F"/>
          <w:sz w:val="32"/>
          <w:szCs w:val="32"/>
          <w:rtl/>
        </w:rPr>
        <w:t xml:space="preserve"> الهدف ليس السعر المرتفع فحسب، بل السعر "العادل" الذي يضمن استمرار الاستثمار في قطاع الطاقة لتجنب أزمات نقص إمدادات مستقبلية.</w:t>
      </w:r>
    </w:p>
    <w:p w14:paraId="754FF0CC" w14:textId="77777777" w:rsidR="00C96E5F" w:rsidRPr="007E3252" w:rsidRDefault="00C96E5F"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t>2. آليات التنسيق بين الدول المنتجة والمستهلكة</w:t>
      </w:r>
    </w:p>
    <w:p w14:paraId="16D5B6C7" w14:textId="77777777" w:rsidR="00C96E5F" w:rsidRPr="007E3252" w:rsidRDefault="00C96E5F"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تعمل المملكة من خلال منصات دولية مثل (</w:t>
      </w:r>
      <w:r w:rsidRPr="007E3252">
        <w:rPr>
          <w:rFonts w:ascii="Simplified Arabic" w:hAnsi="Simplified Arabic" w:cs="Simplified Arabic" w:hint="cs"/>
          <w:color w:val="1F1F1F"/>
          <w:sz w:val="32"/>
          <w:szCs w:val="32"/>
        </w:rPr>
        <w:t>IEF</w:t>
      </w:r>
      <w:r w:rsidRPr="007E3252">
        <w:rPr>
          <w:rFonts w:ascii="Simplified Arabic" w:hAnsi="Simplified Arabic" w:cs="Simplified Arabic" w:hint="cs"/>
          <w:color w:val="1F1F1F"/>
          <w:sz w:val="32"/>
          <w:szCs w:val="32"/>
          <w:rtl/>
        </w:rPr>
        <w:t>) ومنتدى الطاقة العالمي لتعزيز الحوار:</w:t>
      </w:r>
    </w:p>
    <w:p w14:paraId="1FD19CBA" w14:textId="77777777" w:rsidR="00C96E5F" w:rsidRPr="007E3252" w:rsidRDefault="00C96E5F" w:rsidP="007E3252">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الشفافية البيانات (</w:t>
      </w:r>
      <w:r w:rsidRPr="007E3252">
        <w:rPr>
          <w:rStyle w:val="a6"/>
          <w:rFonts w:ascii="Simplified Arabic" w:hAnsi="Simplified Arabic" w:cs="Simplified Arabic" w:hint="cs"/>
          <w:color w:val="1F1F1F"/>
          <w:sz w:val="32"/>
          <w:szCs w:val="32"/>
          <w:bdr w:val="none" w:sz="0" w:space="0" w:color="auto" w:frame="1"/>
        </w:rPr>
        <w:t>JODI</w:t>
      </w:r>
      <w:r w:rsidRPr="007E3252">
        <w:rPr>
          <w:rStyle w:val="a6"/>
          <w:rFonts w:ascii="Simplified Arabic" w:hAnsi="Simplified Arabic" w:cs="Simplified Arabic" w:hint="cs"/>
          <w:color w:val="1F1F1F"/>
          <w:sz w:val="32"/>
          <w:szCs w:val="32"/>
          <w:bdr w:val="none" w:sz="0" w:space="0" w:color="auto" w:frame="1"/>
          <w:rtl/>
        </w:rPr>
        <w:t>):</w:t>
      </w:r>
      <w:r w:rsidRPr="007E3252">
        <w:rPr>
          <w:rFonts w:ascii="Simplified Arabic" w:hAnsi="Simplified Arabic" w:cs="Simplified Arabic" w:hint="cs"/>
          <w:color w:val="1F1F1F"/>
          <w:sz w:val="32"/>
          <w:szCs w:val="32"/>
          <w:rtl/>
        </w:rPr>
        <w:t xml:space="preserve"> تبادل بيانات الإنتاج والمخزونات لتقليل حالة "عدم اليقين" التي تؤدي لتقلبات </w:t>
      </w:r>
      <w:proofErr w:type="spellStart"/>
      <w:r w:rsidRPr="007E3252">
        <w:rPr>
          <w:rFonts w:ascii="Simplified Arabic" w:hAnsi="Simplified Arabic" w:cs="Simplified Arabic" w:hint="cs"/>
          <w:color w:val="1F1F1F"/>
          <w:sz w:val="32"/>
          <w:szCs w:val="32"/>
          <w:rtl/>
        </w:rPr>
        <w:t>مضاربية</w:t>
      </w:r>
      <w:proofErr w:type="spellEnd"/>
      <w:r w:rsidRPr="007E3252">
        <w:rPr>
          <w:rFonts w:ascii="Simplified Arabic" w:hAnsi="Simplified Arabic" w:cs="Simplified Arabic" w:hint="cs"/>
          <w:color w:val="1F1F1F"/>
          <w:sz w:val="32"/>
          <w:szCs w:val="32"/>
          <w:rtl/>
        </w:rPr>
        <w:t xml:space="preserve"> في الأسواق.</w:t>
      </w:r>
    </w:p>
    <w:p w14:paraId="47765A65" w14:textId="77777777" w:rsidR="00C96E5F" w:rsidRPr="007E3252" w:rsidRDefault="00C96E5F" w:rsidP="007E3252">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استقرار سلاسل الإمداد:</w:t>
      </w:r>
      <w:r w:rsidRPr="007E3252">
        <w:rPr>
          <w:rFonts w:ascii="Simplified Arabic" w:hAnsi="Simplified Arabic" w:cs="Simplified Arabic" w:hint="cs"/>
          <w:color w:val="1F1F1F"/>
          <w:sz w:val="32"/>
          <w:szCs w:val="32"/>
          <w:rtl/>
        </w:rPr>
        <w:t xml:space="preserve"> التأكيد على دور أمن الطاقة كجزء لا يتجزأ من الأمن القومي العالمي.</w:t>
      </w:r>
    </w:p>
    <w:p w14:paraId="2276B1D4" w14:textId="77777777" w:rsidR="00C96E5F" w:rsidRPr="007E3252" w:rsidRDefault="00C96E5F" w:rsidP="007E3252">
      <w:pPr>
        <w:pStyle w:val="3"/>
        <w:spacing w:before="0" w:after="120" w:line="360" w:lineRule="auto"/>
        <w:rPr>
          <w:rFonts w:ascii="Simplified Arabic" w:eastAsia="Times New Roman" w:hAnsi="Simplified Arabic" w:cs="Simplified Arabic"/>
          <w:color w:val="1F1F1F"/>
          <w:sz w:val="32"/>
          <w:szCs w:val="32"/>
          <w:rtl/>
        </w:rPr>
      </w:pPr>
      <w:r w:rsidRPr="007E3252">
        <w:rPr>
          <w:rFonts w:ascii="Simplified Arabic" w:eastAsia="Times New Roman" w:hAnsi="Simplified Arabic" w:cs="Simplified Arabic" w:hint="cs"/>
          <w:color w:val="1F1F1F"/>
          <w:sz w:val="32"/>
          <w:szCs w:val="32"/>
          <w:rtl/>
        </w:rPr>
        <w:lastRenderedPageBreak/>
        <w:t>3. أثر التوجهات العالمية نحو الطاقة النظيفة (</w:t>
      </w:r>
      <w:r w:rsidRPr="007E3252">
        <w:rPr>
          <w:rFonts w:ascii="Simplified Arabic" w:eastAsia="Times New Roman" w:hAnsi="Simplified Arabic" w:cs="Simplified Arabic" w:hint="cs"/>
          <w:color w:val="1F1F1F"/>
          <w:sz w:val="32"/>
          <w:szCs w:val="32"/>
        </w:rPr>
        <w:t>Energy Transition</w:t>
      </w:r>
      <w:r w:rsidRPr="007E3252">
        <w:rPr>
          <w:rFonts w:ascii="Simplified Arabic" w:eastAsia="Times New Roman" w:hAnsi="Simplified Arabic" w:cs="Simplified Arabic" w:hint="cs"/>
          <w:color w:val="1F1F1F"/>
          <w:sz w:val="32"/>
          <w:szCs w:val="32"/>
          <w:rtl/>
        </w:rPr>
        <w:t>)</w:t>
      </w:r>
    </w:p>
    <w:p w14:paraId="3E90E363" w14:textId="77777777" w:rsidR="00C96E5F" w:rsidRPr="007E3252" w:rsidRDefault="00C96E5F" w:rsidP="007E3252">
      <w:pPr>
        <w:pStyle w:val="a5"/>
        <w:bidi/>
        <w:spacing w:before="0" w:beforeAutospacing="0" w:after="12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 xml:space="preserve">يمثل التحول </w:t>
      </w:r>
      <w:proofErr w:type="spellStart"/>
      <w:r w:rsidRPr="007E3252">
        <w:rPr>
          <w:rFonts w:ascii="Simplified Arabic" w:hAnsi="Simplified Arabic" w:cs="Simplified Arabic" w:hint="cs"/>
          <w:color w:val="1F1F1F"/>
          <w:sz w:val="32"/>
          <w:szCs w:val="32"/>
          <w:rtl/>
        </w:rPr>
        <w:t>الطاقي</w:t>
      </w:r>
      <w:proofErr w:type="spellEnd"/>
      <w:r w:rsidRPr="007E3252">
        <w:rPr>
          <w:rFonts w:ascii="Simplified Arabic" w:hAnsi="Simplified Arabic" w:cs="Simplified Arabic" w:hint="cs"/>
          <w:color w:val="1F1F1F"/>
          <w:sz w:val="32"/>
          <w:szCs w:val="32"/>
          <w:rtl/>
        </w:rPr>
        <w:t xml:space="preserve"> تحدياً وفرصة جيوسياسية في آن واحد:</w:t>
      </w:r>
    </w:p>
    <w:p w14:paraId="577030D8" w14:textId="77777777" w:rsidR="00C96E5F" w:rsidRPr="007E3252" w:rsidRDefault="00C96E5F" w:rsidP="007E3252">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مخاطر الأصول العالقة:</w:t>
      </w:r>
      <w:r w:rsidRPr="007E3252">
        <w:rPr>
          <w:rFonts w:ascii="Simplified Arabic" w:hAnsi="Simplified Arabic" w:cs="Simplified Arabic" w:hint="cs"/>
          <w:color w:val="1F1F1F"/>
          <w:sz w:val="32"/>
          <w:szCs w:val="32"/>
          <w:rtl/>
        </w:rPr>
        <w:t xml:space="preserve"> دراسة احتمالية انخفاض الطلب </w:t>
      </w:r>
      <w:proofErr w:type="spellStart"/>
      <w:r w:rsidRPr="007E3252">
        <w:rPr>
          <w:rFonts w:ascii="Simplified Arabic" w:hAnsi="Simplified Arabic" w:cs="Simplified Arabic" w:hint="cs"/>
          <w:color w:val="1F1F1F"/>
          <w:sz w:val="32"/>
          <w:szCs w:val="32"/>
          <w:rtl/>
        </w:rPr>
        <w:t>الطاقي</w:t>
      </w:r>
      <w:proofErr w:type="spellEnd"/>
      <w:r w:rsidRPr="007E3252">
        <w:rPr>
          <w:rFonts w:ascii="Simplified Arabic" w:hAnsi="Simplified Arabic" w:cs="Simplified Arabic" w:hint="cs"/>
          <w:color w:val="1F1F1F"/>
          <w:sz w:val="32"/>
          <w:szCs w:val="32"/>
          <w:rtl/>
        </w:rPr>
        <w:t xml:space="preserve"> التقليدي وتأثيره على قيمة الاحتياطيات النفطية.</w:t>
      </w:r>
    </w:p>
    <w:p w14:paraId="060EAD2F" w14:textId="77777777" w:rsidR="00C96E5F" w:rsidRPr="007E3252" w:rsidRDefault="00C96E5F" w:rsidP="007E3252">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E3252">
        <w:rPr>
          <w:rStyle w:val="a6"/>
          <w:rFonts w:ascii="Simplified Arabic" w:hAnsi="Simplified Arabic" w:cs="Simplified Arabic" w:hint="cs"/>
          <w:color w:val="1F1F1F"/>
          <w:sz w:val="32"/>
          <w:szCs w:val="32"/>
          <w:bdr w:val="none" w:sz="0" w:space="0" w:color="auto" w:frame="1"/>
          <w:rtl/>
        </w:rPr>
        <w:t>الريادة في الطاقة الخضراء:</w:t>
      </w:r>
      <w:r w:rsidRPr="007E3252">
        <w:rPr>
          <w:rFonts w:ascii="Simplified Arabic" w:hAnsi="Simplified Arabic" w:cs="Simplified Arabic" w:hint="cs"/>
          <w:color w:val="1F1F1F"/>
          <w:sz w:val="32"/>
          <w:szCs w:val="32"/>
          <w:rtl/>
        </w:rPr>
        <w:t xml:space="preserve"> استراتيجية المملكة لتصبح المصدر الأول للهيدروجين والكهرباء النظيفة، مما يضمن استمرار تدفقات الإيرادات حتى في عالم "صفر انبعاثات".</w:t>
      </w:r>
    </w:p>
    <w:p w14:paraId="06464F9B" w14:textId="1ED37A39" w:rsidR="00644C12" w:rsidRPr="007E3252" w:rsidRDefault="00644C12" w:rsidP="007E3252">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E3252">
        <w:rPr>
          <w:rFonts w:ascii="Simplified Arabic" w:eastAsia="Times New Roman" w:hAnsi="Simplified Arabic" w:cs="Simplified Arabic" w:hint="cs"/>
          <w:color w:val="1F1F1F"/>
          <w:sz w:val="32"/>
          <w:szCs w:val="32"/>
          <w:rtl/>
        </w:rPr>
        <w:t xml:space="preserve">الخاتمة: </w:t>
      </w:r>
    </w:p>
    <w:p w14:paraId="526897B8" w14:textId="77777777" w:rsidR="00644C12" w:rsidRPr="007E3252" w:rsidRDefault="00644C12" w:rsidP="007E3252">
      <w:pPr>
        <w:pStyle w:val="a5"/>
        <w:bidi/>
        <w:spacing w:before="0" w:beforeAutospacing="0" w:after="24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 xml:space="preserve">في الختام، يتضح أن العلاقة بين تقلبات أسعار الطاقة والاقتصاد السعودي قد انتقلت من مرحلة "التأثر المباشر" إلى مرحلة "الإدارة الاستراتيجية الواعية". لم تعد أسعار النفط هي القدر المحتوم الذي يحدد مصير التنمية، بل أصبحت مورداً يتم إدارته ضمن منظومة متكاملة من التحوط المالي، </w:t>
      </w:r>
      <w:proofErr w:type="spellStart"/>
      <w:r w:rsidRPr="007E3252">
        <w:rPr>
          <w:rFonts w:ascii="Simplified Arabic" w:hAnsi="Simplified Arabic" w:cs="Simplified Arabic" w:hint="cs"/>
          <w:color w:val="1F1F1F"/>
          <w:sz w:val="32"/>
          <w:szCs w:val="32"/>
          <w:rtl/>
        </w:rPr>
        <w:t>والحوكمة</w:t>
      </w:r>
      <w:proofErr w:type="spellEnd"/>
      <w:r w:rsidRPr="007E3252">
        <w:rPr>
          <w:rFonts w:ascii="Simplified Arabic" w:hAnsi="Simplified Arabic" w:cs="Simplified Arabic" w:hint="cs"/>
          <w:color w:val="1F1F1F"/>
          <w:sz w:val="32"/>
          <w:szCs w:val="32"/>
          <w:rtl/>
        </w:rPr>
        <w:t xml:space="preserve"> المؤسسية، والإصلاح الهيكلي الجريء.</w:t>
      </w:r>
    </w:p>
    <w:p w14:paraId="11914058" w14:textId="77777777" w:rsidR="00644C12" w:rsidRPr="007E3252" w:rsidRDefault="00644C12" w:rsidP="007E3252">
      <w:pPr>
        <w:pStyle w:val="a5"/>
        <w:bidi/>
        <w:spacing w:before="0" w:beforeAutospacing="0" w:after="24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t>لقد أثبتت التجربة السعودية، من خلال "رؤية المملكة 2030"، أن مواجهة تحديات "الدولة الريعية" و"المرض الهولندي" تتطلب ما هو أكثر من مجرد ادخار الفوائض؛ فهي تتطلب إعادة بناء القاعدة الإنتاجية، وتنويع مصادر الدخل، وتحويل الأصول النفطية إلى استثمارات سيادية مستدامة عبر "صندوق الاستثمارات العامة".</w:t>
      </w:r>
    </w:p>
    <w:p w14:paraId="0C5E22EC" w14:textId="77777777" w:rsidR="00644C12" w:rsidRPr="007E3252" w:rsidRDefault="00644C12" w:rsidP="007E3252">
      <w:pPr>
        <w:pStyle w:val="a5"/>
        <w:bidi/>
        <w:spacing w:before="0" w:beforeAutospacing="0" w:after="240" w:afterAutospacing="0" w:line="360" w:lineRule="auto"/>
        <w:rPr>
          <w:rFonts w:ascii="Simplified Arabic" w:hAnsi="Simplified Arabic" w:cs="Simplified Arabic"/>
          <w:color w:val="1F1F1F"/>
          <w:sz w:val="32"/>
          <w:szCs w:val="32"/>
          <w:rtl/>
        </w:rPr>
      </w:pPr>
      <w:r w:rsidRPr="007E3252">
        <w:rPr>
          <w:rFonts w:ascii="Simplified Arabic" w:hAnsi="Simplified Arabic" w:cs="Simplified Arabic" w:hint="cs"/>
          <w:color w:val="1F1F1F"/>
          <w:sz w:val="32"/>
          <w:szCs w:val="32"/>
          <w:rtl/>
        </w:rPr>
        <w:lastRenderedPageBreak/>
        <w:t xml:space="preserve">إن تكامل القواعد المالية الصارمة مع أدوات التحوط </w:t>
      </w:r>
      <w:proofErr w:type="spellStart"/>
      <w:r w:rsidRPr="007E3252">
        <w:rPr>
          <w:rFonts w:ascii="Simplified Arabic" w:hAnsi="Simplified Arabic" w:cs="Simplified Arabic" w:hint="cs"/>
          <w:color w:val="1F1F1F"/>
          <w:sz w:val="32"/>
          <w:szCs w:val="32"/>
          <w:rtl/>
        </w:rPr>
        <w:t>والنمذجة</w:t>
      </w:r>
      <w:proofErr w:type="spellEnd"/>
      <w:r w:rsidRPr="007E3252">
        <w:rPr>
          <w:rFonts w:ascii="Simplified Arabic" w:hAnsi="Simplified Arabic" w:cs="Simplified Arabic" w:hint="cs"/>
          <w:color w:val="1F1F1F"/>
          <w:sz w:val="32"/>
          <w:szCs w:val="32"/>
          <w:rtl/>
        </w:rPr>
        <w:t xml:space="preserve"> المستقبلية، بالتوازي مع الدور القيادي للمملكة في استقرار أسواق الطاقة العالمية عبر "أوبك+"، يرسم ملامح اقتصاد وطني قادر على امتصاص أعنف الصدمات الجيوسياسية والاقتصادية. وبذلك، تضع المملكة نموذجاً عالمياً فريداً في كيفية تحويل وفرة الموارد الطبيعية من عائق أمام التنويع إلى محرك جبار للتحول نحو اقتصاد المعرفة والطاقة النظيفة، بما يضمن استدامة الرخاء للأجيال القادمة.</w:t>
      </w:r>
    </w:p>
    <w:p w14:paraId="5B38F47E" w14:textId="77777777" w:rsidR="003057DB" w:rsidRPr="007E3252" w:rsidRDefault="003057DB" w:rsidP="007E3252">
      <w:pPr>
        <w:pStyle w:val="a5"/>
        <w:bidi/>
        <w:spacing w:before="0" w:beforeAutospacing="0" w:after="0" w:afterAutospacing="0" w:line="360" w:lineRule="auto"/>
        <w:rPr>
          <w:rFonts w:ascii="Simplified Arabic" w:hAnsi="Simplified Arabic" w:cs="Simplified Arabic"/>
          <w:color w:val="1F1F1F"/>
          <w:sz w:val="32"/>
          <w:szCs w:val="32"/>
          <w:rtl/>
        </w:rPr>
      </w:pPr>
    </w:p>
    <w:p w14:paraId="6786DD31" w14:textId="77777777" w:rsidR="00B25637" w:rsidRPr="007E3252" w:rsidRDefault="00B25637" w:rsidP="007E3252">
      <w:pPr>
        <w:pStyle w:val="2"/>
        <w:spacing w:before="0" w:after="120" w:line="360" w:lineRule="auto"/>
        <w:rPr>
          <w:rFonts w:ascii="Simplified Arabic" w:eastAsia="Times New Roman" w:hAnsi="Simplified Arabic" w:cs="Simplified Arabic"/>
          <w:color w:val="1B1C1D"/>
          <w:rtl/>
        </w:rPr>
      </w:pPr>
    </w:p>
    <w:p w14:paraId="2F5D4546" w14:textId="77777777" w:rsidR="00B25637" w:rsidRPr="007E3252" w:rsidRDefault="00B25637" w:rsidP="007E3252">
      <w:pPr>
        <w:pStyle w:val="2"/>
        <w:spacing w:before="0" w:after="120" w:line="360" w:lineRule="auto"/>
        <w:rPr>
          <w:rFonts w:ascii="Simplified Arabic" w:eastAsia="Times New Roman" w:hAnsi="Simplified Arabic" w:cs="Simplified Arabic"/>
          <w:color w:val="1B1C1D"/>
          <w:rtl/>
        </w:rPr>
      </w:pPr>
    </w:p>
    <w:p w14:paraId="70FB4CFC" w14:textId="77777777" w:rsidR="00B25637" w:rsidRPr="007E3252" w:rsidRDefault="00B25637" w:rsidP="007E3252">
      <w:pPr>
        <w:pStyle w:val="2"/>
        <w:spacing w:before="0" w:after="120" w:line="360" w:lineRule="auto"/>
        <w:rPr>
          <w:rFonts w:ascii="Simplified Arabic" w:eastAsia="Times New Roman" w:hAnsi="Simplified Arabic" w:cs="Simplified Arabic"/>
          <w:color w:val="1B1C1D"/>
          <w:rtl/>
        </w:rPr>
      </w:pPr>
    </w:p>
    <w:p w14:paraId="753C42D3" w14:textId="77777777" w:rsidR="00B25637" w:rsidRPr="007E3252" w:rsidRDefault="00B25637" w:rsidP="007E3252">
      <w:pPr>
        <w:pStyle w:val="2"/>
        <w:spacing w:before="0" w:after="120" w:line="360" w:lineRule="auto"/>
        <w:rPr>
          <w:rFonts w:ascii="Simplified Arabic" w:eastAsia="Times New Roman" w:hAnsi="Simplified Arabic" w:cs="Simplified Arabic"/>
          <w:color w:val="1B1C1D"/>
          <w:rtl/>
        </w:rPr>
      </w:pPr>
    </w:p>
    <w:p w14:paraId="60B89D1D" w14:textId="77777777" w:rsidR="00B25637" w:rsidRPr="007E3252" w:rsidRDefault="00B25637" w:rsidP="007E3252">
      <w:pPr>
        <w:pStyle w:val="2"/>
        <w:spacing w:before="0" w:after="120" w:line="360" w:lineRule="auto"/>
        <w:rPr>
          <w:rFonts w:ascii="Simplified Arabic" w:eastAsia="Times New Roman" w:hAnsi="Simplified Arabic" w:cs="Simplified Arabic"/>
          <w:color w:val="1B1C1D"/>
          <w:rtl/>
        </w:rPr>
      </w:pPr>
    </w:p>
    <w:sectPr w:rsidR="00B25637" w:rsidRPr="007E3252"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342D2" w14:textId="77777777" w:rsidR="00822DA4" w:rsidRDefault="00822DA4" w:rsidP="009125CE">
      <w:pPr>
        <w:spacing w:after="0" w:line="240" w:lineRule="auto"/>
      </w:pPr>
      <w:r>
        <w:separator/>
      </w:r>
    </w:p>
  </w:endnote>
  <w:endnote w:type="continuationSeparator" w:id="0">
    <w:p w14:paraId="32B1EFC1" w14:textId="77777777" w:rsidR="00822DA4" w:rsidRDefault="00822D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387C7" w14:textId="77777777" w:rsidR="00822DA4" w:rsidRDefault="00822DA4" w:rsidP="009125CE">
      <w:pPr>
        <w:spacing w:after="0" w:line="240" w:lineRule="auto"/>
      </w:pPr>
      <w:r>
        <w:separator/>
      </w:r>
    </w:p>
  </w:footnote>
  <w:footnote w:type="continuationSeparator" w:id="0">
    <w:p w14:paraId="402EB5C8" w14:textId="77777777" w:rsidR="00822DA4" w:rsidRDefault="00822D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1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61B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D08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426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34B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A2E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17E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362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D5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2A7C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F60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BB43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6316B"/>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824A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34E63"/>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B57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932A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C874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ED65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264B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484D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016E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003FE4"/>
    <w:multiLevelType w:val="multilevel"/>
    <w:tmpl w:val="FFFFFFFF"/>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311D4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107A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2404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086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446C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A737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C515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2D18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4404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BC0A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1D00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305F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0C51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EC66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215B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153C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372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103E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2F60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1612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945C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3497C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1516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592324C"/>
    <w:multiLevelType w:val="multilevel"/>
    <w:tmpl w:val="FFFFFFFF"/>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8E23717"/>
    <w:multiLevelType w:val="multilevel"/>
    <w:tmpl w:val="FFFFFFFF"/>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94659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9865B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2F2B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D744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1058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F2441A"/>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C2C45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F55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F508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9A1C6E"/>
    <w:multiLevelType w:val="multilevel"/>
    <w:tmpl w:val="FFFFFFFF"/>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696554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3613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1C5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0252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4643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BC12A1"/>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A2240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D646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262C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F3861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2779003">
    <w:abstractNumId w:val="41"/>
  </w:num>
  <w:num w:numId="2" w16cid:durableId="371419054">
    <w:abstractNumId w:val="64"/>
  </w:num>
  <w:num w:numId="3" w16cid:durableId="1524201787">
    <w:abstractNumId w:val="43"/>
  </w:num>
  <w:num w:numId="4" w16cid:durableId="922883310">
    <w:abstractNumId w:val="19"/>
  </w:num>
  <w:num w:numId="5" w16cid:durableId="616714810">
    <w:abstractNumId w:val="27"/>
  </w:num>
  <w:num w:numId="6" w16cid:durableId="949437377">
    <w:abstractNumId w:val="38"/>
  </w:num>
  <w:num w:numId="7" w16cid:durableId="482235165">
    <w:abstractNumId w:val="32"/>
  </w:num>
  <w:num w:numId="8" w16cid:durableId="1949779403">
    <w:abstractNumId w:val="49"/>
  </w:num>
  <w:num w:numId="9" w16cid:durableId="811481976">
    <w:abstractNumId w:val="10"/>
  </w:num>
  <w:num w:numId="10" w16cid:durableId="885528611">
    <w:abstractNumId w:val="42"/>
  </w:num>
  <w:num w:numId="11" w16cid:durableId="1261908116">
    <w:abstractNumId w:val="29"/>
  </w:num>
  <w:num w:numId="12" w16cid:durableId="1687748634">
    <w:abstractNumId w:val="54"/>
  </w:num>
  <w:num w:numId="13" w16cid:durableId="1135870829">
    <w:abstractNumId w:val="4"/>
  </w:num>
  <w:num w:numId="14" w16cid:durableId="1638341267">
    <w:abstractNumId w:val="11"/>
  </w:num>
  <w:num w:numId="15" w16cid:durableId="436680935">
    <w:abstractNumId w:val="37"/>
  </w:num>
  <w:num w:numId="16" w16cid:durableId="545486124">
    <w:abstractNumId w:val="31"/>
  </w:num>
  <w:num w:numId="17" w16cid:durableId="1669094323">
    <w:abstractNumId w:val="62"/>
  </w:num>
  <w:num w:numId="18" w16cid:durableId="1297174645">
    <w:abstractNumId w:val="34"/>
  </w:num>
  <w:num w:numId="19" w16cid:durableId="972368783">
    <w:abstractNumId w:val="61"/>
  </w:num>
  <w:num w:numId="20" w16cid:durableId="920333844">
    <w:abstractNumId w:val="17"/>
  </w:num>
  <w:num w:numId="21" w16cid:durableId="671765433">
    <w:abstractNumId w:val="44"/>
  </w:num>
  <w:num w:numId="22" w16cid:durableId="328212602">
    <w:abstractNumId w:val="16"/>
  </w:num>
  <w:num w:numId="23" w16cid:durableId="1166016771">
    <w:abstractNumId w:val="25"/>
  </w:num>
  <w:num w:numId="24" w16cid:durableId="667632575">
    <w:abstractNumId w:val="0"/>
  </w:num>
  <w:num w:numId="25" w16cid:durableId="544368653">
    <w:abstractNumId w:val="24"/>
  </w:num>
  <w:num w:numId="26" w16cid:durableId="82385524">
    <w:abstractNumId w:val="1"/>
  </w:num>
  <w:num w:numId="27" w16cid:durableId="2129155979">
    <w:abstractNumId w:val="26"/>
  </w:num>
  <w:num w:numId="28" w16cid:durableId="995767068">
    <w:abstractNumId w:val="39"/>
  </w:num>
  <w:num w:numId="29" w16cid:durableId="811823218">
    <w:abstractNumId w:val="65"/>
  </w:num>
  <w:num w:numId="30" w16cid:durableId="1004481833">
    <w:abstractNumId w:val="15"/>
  </w:num>
  <w:num w:numId="31" w16cid:durableId="4290642">
    <w:abstractNumId w:val="51"/>
  </w:num>
  <w:num w:numId="32" w16cid:durableId="265508679">
    <w:abstractNumId w:val="18"/>
  </w:num>
  <w:num w:numId="33" w16cid:durableId="101918168">
    <w:abstractNumId w:val="36"/>
  </w:num>
  <w:num w:numId="34" w16cid:durableId="965967265">
    <w:abstractNumId w:val="8"/>
  </w:num>
  <w:num w:numId="35" w16cid:durableId="850413839">
    <w:abstractNumId w:val="52"/>
  </w:num>
  <w:num w:numId="36" w16cid:durableId="705256694">
    <w:abstractNumId w:val="7"/>
  </w:num>
  <w:num w:numId="37" w16cid:durableId="1868131674">
    <w:abstractNumId w:val="2"/>
  </w:num>
  <w:num w:numId="38" w16cid:durableId="173611920">
    <w:abstractNumId w:val="59"/>
  </w:num>
  <w:num w:numId="39" w16cid:durableId="1610044350">
    <w:abstractNumId w:val="40"/>
  </w:num>
  <w:num w:numId="40" w16cid:durableId="1070157588">
    <w:abstractNumId w:val="56"/>
  </w:num>
  <w:num w:numId="41" w16cid:durableId="537011923">
    <w:abstractNumId w:val="60"/>
  </w:num>
  <w:num w:numId="42" w16cid:durableId="750008920">
    <w:abstractNumId w:val="9"/>
  </w:num>
  <w:num w:numId="43" w16cid:durableId="1044601238">
    <w:abstractNumId w:val="5"/>
  </w:num>
  <w:num w:numId="44" w16cid:durableId="1068723654">
    <w:abstractNumId w:val="6"/>
  </w:num>
  <w:num w:numId="45" w16cid:durableId="1200314151">
    <w:abstractNumId w:val="20"/>
  </w:num>
  <w:num w:numId="46" w16cid:durableId="507912902">
    <w:abstractNumId w:val="28"/>
  </w:num>
  <w:num w:numId="47" w16cid:durableId="1221941160">
    <w:abstractNumId w:val="50"/>
  </w:num>
  <w:num w:numId="48" w16cid:durableId="1306005975">
    <w:abstractNumId w:val="3"/>
  </w:num>
  <w:num w:numId="49" w16cid:durableId="1568227610">
    <w:abstractNumId w:val="13"/>
  </w:num>
  <w:num w:numId="50" w16cid:durableId="979765221">
    <w:abstractNumId w:val="33"/>
  </w:num>
  <w:num w:numId="51" w16cid:durableId="1875001849">
    <w:abstractNumId w:val="66"/>
  </w:num>
  <w:num w:numId="52" w16cid:durableId="1091704862">
    <w:abstractNumId w:val="30"/>
  </w:num>
  <w:num w:numId="53" w16cid:durableId="855198366">
    <w:abstractNumId w:val="55"/>
  </w:num>
  <w:num w:numId="54" w16cid:durableId="1841463078">
    <w:abstractNumId w:val="58"/>
  </w:num>
  <w:num w:numId="55" w16cid:durableId="310328700">
    <w:abstractNumId w:val="12"/>
  </w:num>
  <w:num w:numId="56" w16cid:durableId="1870993930">
    <w:abstractNumId w:val="63"/>
  </w:num>
  <w:num w:numId="57" w16cid:durableId="1632399889">
    <w:abstractNumId w:val="22"/>
  </w:num>
  <w:num w:numId="58" w16cid:durableId="1391198307">
    <w:abstractNumId w:val="46"/>
  </w:num>
  <w:num w:numId="59" w16cid:durableId="1743210635">
    <w:abstractNumId w:val="67"/>
  </w:num>
  <w:num w:numId="60" w16cid:durableId="2028484729">
    <w:abstractNumId w:val="45"/>
  </w:num>
  <w:num w:numId="61" w16cid:durableId="902836192">
    <w:abstractNumId w:val="48"/>
  </w:num>
  <w:num w:numId="62" w16cid:durableId="1280918287">
    <w:abstractNumId w:val="21"/>
  </w:num>
  <w:num w:numId="63" w16cid:durableId="759521865">
    <w:abstractNumId w:val="23"/>
  </w:num>
  <w:num w:numId="64" w16cid:durableId="1483808389">
    <w:abstractNumId w:val="53"/>
  </w:num>
  <w:num w:numId="65" w16cid:durableId="2045130687">
    <w:abstractNumId w:val="14"/>
  </w:num>
  <w:num w:numId="66" w16cid:durableId="862549432">
    <w:abstractNumId w:val="47"/>
  </w:num>
  <w:num w:numId="67" w16cid:durableId="1310132661">
    <w:abstractNumId w:val="57"/>
  </w:num>
  <w:num w:numId="68" w16cid:durableId="555044061">
    <w:abstractNumId w:val="3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E7"/>
    <w:rsid w:val="0002135B"/>
    <w:rsid w:val="0003176F"/>
    <w:rsid w:val="00035638"/>
    <w:rsid w:val="00041DF9"/>
    <w:rsid w:val="00047257"/>
    <w:rsid w:val="00054765"/>
    <w:rsid w:val="00062B30"/>
    <w:rsid w:val="0006567A"/>
    <w:rsid w:val="000761D7"/>
    <w:rsid w:val="0007735E"/>
    <w:rsid w:val="00090A42"/>
    <w:rsid w:val="000A60EE"/>
    <w:rsid w:val="000A7FA9"/>
    <w:rsid w:val="000B26C0"/>
    <w:rsid w:val="000B4B08"/>
    <w:rsid w:val="000B4DE2"/>
    <w:rsid w:val="000C0C30"/>
    <w:rsid w:val="000C2414"/>
    <w:rsid w:val="000C2E16"/>
    <w:rsid w:val="000C3118"/>
    <w:rsid w:val="000C4254"/>
    <w:rsid w:val="000C6D3E"/>
    <w:rsid w:val="000D0F49"/>
    <w:rsid w:val="000D7719"/>
    <w:rsid w:val="000F1244"/>
    <w:rsid w:val="000F1DA1"/>
    <w:rsid w:val="000F44B4"/>
    <w:rsid w:val="00100E0F"/>
    <w:rsid w:val="001065F2"/>
    <w:rsid w:val="00106B5D"/>
    <w:rsid w:val="00121C3B"/>
    <w:rsid w:val="00132A67"/>
    <w:rsid w:val="00153601"/>
    <w:rsid w:val="0015604F"/>
    <w:rsid w:val="001576F9"/>
    <w:rsid w:val="00162056"/>
    <w:rsid w:val="001666EC"/>
    <w:rsid w:val="0016775D"/>
    <w:rsid w:val="001677ED"/>
    <w:rsid w:val="001753FD"/>
    <w:rsid w:val="00180DCC"/>
    <w:rsid w:val="001855FA"/>
    <w:rsid w:val="00185E53"/>
    <w:rsid w:val="001902DB"/>
    <w:rsid w:val="001A226C"/>
    <w:rsid w:val="001A54E2"/>
    <w:rsid w:val="001A6DCD"/>
    <w:rsid w:val="001A7B2A"/>
    <w:rsid w:val="001C1DDC"/>
    <w:rsid w:val="001C2162"/>
    <w:rsid w:val="001C590B"/>
    <w:rsid w:val="001C699D"/>
    <w:rsid w:val="001D6B06"/>
    <w:rsid w:val="001E49A9"/>
    <w:rsid w:val="001F0A20"/>
    <w:rsid w:val="001F4A63"/>
    <w:rsid w:val="0021513C"/>
    <w:rsid w:val="00223712"/>
    <w:rsid w:val="00227131"/>
    <w:rsid w:val="002309F1"/>
    <w:rsid w:val="002310F4"/>
    <w:rsid w:val="0023190D"/>
    <w:rsid w:val="002352F2"/>
    <w:rsid w:val="00273264"/>
    <w:rsid w:val="00283B38"/>
    <w:rsid w:val="00294987"/>
    <w:rsid w:val="002A5AD4"/>
    <w:rsid w:val="002B1002"/>
    <w:rsid w:val="002B61E4"/>
    <w:rsid w:val="002C16A9"/>
    <w:rsid w:val="002C4486"/>
    <w:rsid w:val="002C65C3"/>
    <w:rsid w:val="002D3B53"/>
    <w:rsid w:val="002E6DD1"/>
    <w:rsid w:val="002E735E"/>
    <w:rsid w:val="002F1528"/>
    <w:rsid w:val="002F16F6"/>
    <w:rsid w:val="002F34B5"/>
    <w:rsid w:val="002F7AFF"/>
    <w:rsid w:val="00300741"/>
    <w:rsid w:val="00302233"/>
    <w:rsid w:val="003057DB"/>
    <w:rsid w:val="00313C82"/>
    <w:rsid w:val="00317A13"/>
    <w:rsid w:val="00321E85"/>
    <w:rsid w:val="00344A6D"/>
    <w:rsid w:val="00354838"/>
    <w:rsid w:val="00354F31"/>
    <w:rsid w:val="00357848"/>
    <w:rsid w:val="00366165"/>
    <w:rsid w:val="003714E5"/>
    <w:rsid w:val="003729DB"/>
    <w:rsid w:val="003836DB"/>
    <w:rsid w:val="00390986"/>
    <w:rsid w:val="003B13E7"/>
    <w:rsid w:val="003B264A"/>
    <w:rsid w:val="003B50ED"/>
    <w:rsid w:val="003C6E9E"/>
    <w:rsid w:val="003F26AA"/>
    <w:rsid w:val="003F6609"/>
    <w:rsid w:val="00413EDC"/>
    <w:rsid w:val="00416D44"/>
    <w:rsid w:val="00416EF1"/>
    <w:rsid w:val="00417123"/>
    <w:rsid w:val="00424139"/>
    <w:rsid w:val="0042531A"/>
    <w:rsid w:val="00425430"/>
    <w:rsid w:val="004437D6"/>
    <w:rsid w:val="00450136"/>
    <w:rsid w:val="00451F7C"/>
    <w:rsid w:val="00452D38"/>
    <w:rsid w:val="00456318"/>
    <w:rsid w:val="00480041"/>
    <w:rsid w:val="00481291"/>
    <w:rsid w:val="0048205B"/>
    <w:rsid w:val="004839D2"/>
    <w:rsid w:val="004A1467"/>
    <w:rsid w:val="004A686E"/>
    <w:rsid w:val="004A6F27"/>
    <w:rsid w:val="004B002A"/>
    <w:rsid w:val="004B0A67"/>
    <w:rsid w:val="004B61CB"/>
    <w:rsid w:val="004B7B99"/>
    <w:rsid w:val="004C565A"/>
    <w:rsid w:val="004D3548"/>
    <w:rsid w:val="004D65BA"/>
    <w:rsid w:val="004D73C9"/>
    <w:rsid w:val="004E3895"/>
    <w:rsid w:val="004E4840"/>
    <w:rsid w:val="004E48A2"/>
    <w:rsid w:val="004F068B"/>
    <w:rsid w:val="004F6473"/>
    <w:rsid w:val="00513931"/>
    <w:rsid w:val="00524F00"/>
    <w:rsid w:val="00527969"/>
    <w:rsid w:val="00527E2A"/>
    <w:rsid w:val="00532A57"/>
    <w:rsid w:val="0054247E"/>
    <w:rsid w:val="00544958"/>
    <w:rsid w:val="005536B0"/>
    <w:rsid w:val="00563C35"/>
    <w:rsid w:val="005661E8"/>
    <w:rsid w:val="00566593"/>
    <w:rsid w:val="005708E9"/>
    <w:rsid w:val="00572E83"/>
    <w:rsid w:val="00572FC4"/>
    <w:rsid w:val="00590B27"/>
    <w:rsid w:val="005A1EEA"/>
    <w:rsid w:val="005A2EFA"/>
    <w:rsid w:val="005A3150"/>
    <w:rsid w:val="005D2F9D"/>
    <w:rsid w:val="005D444D"/>
    <w:rsid w:val="005E2CD8"/>
    <w:rsid w:val="005E64FC"/>
    <w:rsid w:val="005F39B9"/>
    <w:rsid w:val="005F751E"/>
    <w:rsid w:val="00601425"/>
    <w:rsid w:val="0062761F"/>
    <w:rsid w:val="00635E31"/>
    <w:rsid w:val="00640286"/>
    <w:rsid w:val="00641F49"/>
    <w:rsid w:val="00644C12"/>
    <w:rsid w:val="006523E7"/>
    <w:rsid w:val="00653AC8"/>
    <w:rsid w:val="006569C2"/>
    <w:rsid w:val="00666E79"/>
    <w:rsid w:val="006737E2"/>
    <w:rsid w:val="006737FA"/>
    <w:rsid w:val="0068046F"/>
    <w:rsid w:val="00684EAC"/>
    <w:rsid w:val="00692874"/>
    <w:rsid w:val="006948DE"/>
    <w:rsid w:val="006A4AB7"/>
    <w:rsid w:val="006A53D6"/>
    <w:rsid w:val="006B35F0"/>
    <w:rsid w:val="006D0F23"/>
    <w:rsid w:val="006D6824"/>
    <w:rsid w:val="006F1498"/>
    <w:rsid w:val="006F3A5E"/>
    <w:rsid w:val="00701A62"/>
    <w:rsid w:val="00711101"/>
    <w:rsid w:val="00717A7E"/>
    <w:rsid w:val="00722E55"/>
    <w:rsid w:val="0072453C"/>
    <w:rsid w:val="0072482B"/>
    <w:rsid w:val="00726B89"/>
    <w:rsid w:val="007350DE"/>
    <w:rsid w:val="00736126"/>
    <w:rsid w:val="00737098"/>
    <w:rsid w:val="00741A6B"/>
    <w:rsid w:val="00746DE2"/>
    <w:rsid w:val="007723BC"/>
    <w:rsid w:val="00794412"/>
    <w:rsid w:val="007A19ED"/>
    <w:rsid w:val="007A39E2"/>
    <w:rsid w:val="007B0E54"/>
    <w:rsid w:val="007B4CA7"/>
    <w:rsid w:val="007C4FF3"/>
    <w:rsid w:val="007D399D"/>
    <w:rsid w:val="007D3A2A"/>
    <w:rsid w:val="007E1784"/>
    <w:rsid w:val="007E3252"/>
    <w:rsid w:val="007E3A20"/>
    <w:rsid w:val="007E5923"/>
    <w:rsid w:val="007F21E8"/>
    <w:rsid w:val="007F36E8"/>
    <w:rsid w:val="00802857"/>
    <w:rsid w:val="008129E2"/>
    <w:rsid w:val="00822DA4"/>
    <w:rsid w:val="0082307F"/>
    <w:rsid w:val="00825A24"/>
    <w:rsid w:val="00831E89"/>
    <w:rsid w:val="00832114"/>
    <w:rsid w:val="0083450D"/>
    <w:rsid w:val="00837116"/>
    <w:rsid w:val="00841188"/>
    <w:rsid w:val="00843CFA"/>
    <w:rsid w:val="00851579"/>
    <w:rsid w:val="00853FAF"/>
    <w:rsid w:val="00862491"/>
    <w:rsid w:val="00877AAC"/>
    <w:rsid w:val="00892E67"/>
    <w:rsid w:val="00893188"/>
    <w:rsid w:val="00897230"/>
    <w:rsid w:val="008A556C"/>
    <w:rsid w:val="008B4439"/>
    <w:rsid w:val="008C0D61"/>
    <w:rsid w:val="008C72C0"/>
    <w:rsid w:val="008C7D3C"/>
    <w:rsid w:val="008D5845"/>
    <w:rsid w:val="008F1A51"/>
    <w:rsid w:val="008F1EAE"/>
    <w:rsid w:val="008F432C"/>
    <w:rsid w:val="009125CE"/>
    <w:rsid w:val="00917FE1"/>
    <w:rsid w:val="00920EB0"/>
    <w:rsid w:val="00922C21"/>
    <w:rsid w:val="0093288C"/>
    <w:rsid w:val="0094033A"/>
    <w:rsid w:val="009529CB"/>
    <w:rsid w:val="00953304"/>
    <w:rsid w:val="00964CD7"/>
    <w:rsid w:val="00975E4C"/>
    <w:rsid w:val="00976A75"/>
    <w:rsid w:val="00990ABC"/>
    <w:rsid w:val="009922F1"/>
    <w:rsid w:val="009B0CCB"/>
    <w:rsid w:val="009B6888"/>
    <w:rsid w:val="009B6AED"/>
    <w:rsid w:val="009C0161"/>
    <w:rsid w:val="009D108D"/>
    <w:rsid w:val="009E1436"/>
    <w:rsid w:val="009E5668"/>
    <w:rsid w:val="009E5998"/>
    <w:rsid w:val="009E7721"/>
    <w:rsid w:val="009F5AAF"/>
    <w:rsid w:val="009F6DA7"/>
    <w:rsid w:val="00A043F5"/>
    <w:rsid w:val="00A06C7D"/>
    <w:rsid w:val="00A13DDB"/>
    <w:rsid w:val="00A30300"/>
    <w:rsid w:val="00A3249C"/>
    <w:rsid w:val="00A3590F"/>
    <w:rsid w:val="00A37923"/>
    <w:rsid w:val="00A426B5"/>
    <w:rsid w:val="00A4740F"/>
    <w:rsid w:val="00A54485"/>
    <w:rsid w:val="00A56F63"/>
    <w:rsid w:val="00A62A80"/>
    <w:rsid w:val="00A65238"/>
    <w:rsid w:val="00A74F76"/>
    <w:rsid w:val="00AA0D04"/>
    <w:rsid w:val="00AA6A4D"/>
    <w:rsid w:val="00AA79E9"/>
    <w:rsid w:val="00AB0A70"/>
    <w:rsid w:val="00AB59A8"/>
    <w:rsid w:val="00AD43F3"/>
    <w:rsid w:val="00B0358B"/>
    <w:rsid w:val="00B038C6"/>
    <w:rsid w:val="00B17654"/>
    <w:rsid w:val="00B23276"/>
    <w:rsid w:val="00B25637"/>
    <w:rsid w:val="00B27CC8"/>
    <w:rsid w:val="00B27E01"/>
    <w:rsid w:val="00B31BD6"/>
    <w:rsid w:val="00B42E7C"/>
    <w:rsid w:val="00B43CE0"/>
    <w:rsid w:val="00B4592B"/>
    <w:rsid w:val="00B52F53"/>
    <w:rsid w:val="00B63B0F"/>
    <w:rsid w:val="00B72B54"/>
    <w:rsid w:val="00B7678A"/>
    <w:rsid w:val="00B76CF6"/>
    <w:rsid w:val="00B800F3"/>
    <w:rsid w:val="00B8664C"/>
    <w:rsid w:val="00B8707D"/>
    <w:rsid w:val="00B90F56"/>
    <w:rsid w:val="00B94B66"/>
    <w:rsid w:val="00B953F1"/>
    <w:rsid w:val="00B95426"/>
    <w:rsid w:val="00B95AAE"/>
    <w:rsid w:val="00B9764D"/>
    <w:rsid w:val="00BB09F3"/>
    <w:rsid w:val="00BB4624"/>
    <w:rsid w:val="00BD054D"/>
    <w:rsid w:val="00BD0B7B"/>
    <w:rsid w:val="00BD5C06"/>
    <w:rsid w:val="00BE0054"/>
    <w:rsid w:val="00BF35DF"/>
    <w:rsid w:val="00BF42BE"/>
    <w:rsid w:val="00C04176"/>
    <w:rsid w:val="00C0552F"/>
    <w:rsid w:val="00C136E2"/>
    <w:rsid w:val="00C262AF"/>
    <w:rsid w:val="00C2639F"/>
    <w:rsid w:val="00C4262D"/>
    <w:rsid w:val="00C55434"/>
    <w:rsid w:val="00C60A29"/>
    <w:rsid w:val="00C63ED0"/>
    <w:rsid w:val="00C71E18"/>
    <w:rsid w:val="00C8125C"/>
    <w:rsid w:val="00C815C7"/>
    <w:rsid w:val="00C96E5F"/>
    <w:rsid w:val="00CA75F0"/>
    <w:rsid w:val="00CB4990"/>
    <w:rsid w:val="00CB6BFB"/>
    <w:rsid w:val="00CE2A91"/>
    <w:rsid w:val="00CE7128"/>
    <w:rsid w:val="00CF05E4"/>
    <w:rsid w:val="00CF184E"/>
    <w:rsid w:val="00D0142F"/>
    <w:rsid w:val="00D035E4"/>
    <w:rsid w:val="00D0594C"/>
    <w:rsid w:val="00D0705F"/>
    <w:rsid w:val="00D22171"/>
    <w:rsid w:val="00D22E1D"/>
    <w:rsid w:val="00D230F0"/>
    <w:rsid w:val="00D23904"/>
    <w:rsid w:val="00D27AEC"/>
    <w:rsid w:val="00D4356B"/>
    <w:rsid w:val="00D44073"/>
    <w:rsid w:val="00D51FC6"/>
    <w:rsid w:val="00D579BA"/>
    <w:rsid w:val="00D61823"/>
    <w:rsid w:val="00D6306F"/>
    <w:rsid w:val="00D64B97"/>
    <w:rsid w:val="00D67BE6"/>
    <w:rsid w:val="00D80632"/>
    <w:rsid w:val="00D80B0C"/>
    <w:rsid w:val="00D96C1F"/>
    <w:rsid w:val="00DA070B"/>
    <w:rsid w:val="00DB388B"/>
    <w:rsid w:val="00DB46E8"/>
    <w:rsid w:val="00DC4CAE"/>
    <w:rsid w:val="00DD0CFC"/>
    <w:rsid w:val="00DD0D82"/>
    <w:rsid w:val="00DD5C17"/>
    <w:rsid w:val="00DD5F34"/>
    <w:rsid w:val="00DE79A9"/>
    <w:rsid w:val="00DF0452"/>
    <w:rsid w:val="00DF6236"/>
    <w:rsid w:val="00E22107"/>
    <w:rsid w:val="00E272BA"/>
    <w:rsid w:val="00E27C93"/>
    <w:rsid w:val="00E31E45"/>
    <w:rsid w:val="00E3569B"/>
    <w:rsid w:val="00E366AC"/>
    <w:rsid w:val="00E55717"/>
    <w:rsid w:val="00E61986"/>
    <w:rsid w:val="00E71C79"/>
    <w:rsid w:val="00E863C1"/>
    <w:rsid w:val="00E866FC"/>
    <w:rsid w:val="00E8776F"/>
    <w:rsid w:val="00E90CC6"/>
    <w:rsid w:val="00E92900"/>
    <w:rsid w:val="00E943ED"/>
    <w:rsid w:val="00EA57B6"/>
    <w:rsid w:val="00EA6B5D"/>
    <w:rsid w:val="00EB06DF"/>
    <w:rsid w:val="00EC0FD5"/>
    <w:rsid w:val="00EC3B71"/>
    <w:rsid w:val="00EC6607"/>
    <w:rsid w:val="00ED1A7C"/>
    <w:rsid w:val="00EE51CB"/>
    <w:rsid w:val="00EE6AF0"/>
    <w:rsid w:val="00EF2E44"/>
    <w:rsid w:val="00EF6D7B"/>
    <w:rsid w:val="00F05F4C"/>
    <w:rsid w:val="00F0667E"/>
    <w:rsid w:val="00F068D0"/>
    <w:rsid w:val="00F12539"/>
    <w:rsid w:val="00F2028B"/>
    <w:rsid w:val="00F2421C"/>
    <w:rsid w:val="00F26BBF"/>
    <w:rsid w:val="00F42024"/>
    <w:rsid w:val="00F52BBE"/>
    <w:rsid w:val="00F546CE"/>
    <w:rsid w:val="00F61E68"/>
    <w:rsid w:val="00F8650C"/>
    <w:rsid w:val="00F86CA5"/>
    <w:rsid w:val="00F878F8"/>
    <w:rsid w:val="00F928BF"/>
    <w:rsid w:val="00F95EFC"/>
    <w:rsid w:val="00F96500"/>
    <w:rsid w:val="00F9724E"/>
    <w:rsid w:val="00FA0FAA"/>
    <w:rsid w:val="00FC1C89"/>
    <w:rsid w:val="00FC5C28"/>
    <w:rsid w:val="00FC624D"/>
    <w:rsid w:val="00FD5EB5"/>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90F56"/>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customStyle="1" w:styleId="label">
    <w:name w:val="label"/>
    <w:basedOn w:val="a0"/>
    <w:rsid w:val="008D5845"/>
  </w:style>
  <w:style w:type="character" w:customStyle="1" w:styleId="4Char">
    <w:name w:val="عنوان 4 Char"/>
    <w:basedOn w:val="a0"/>
    <w:link w:val="4"/>
    <w:uiPriority w:val="9"/>
    <w:semiHidden/>
    <w:rsid w:val="00B90F56"/>
    <w:rPr>
      <w:rFonts w:eastAsiaTheme="majorEastAsia" w:cstheme="majorBidi"/>
      <w:i/>
      <w:iCs/>
      <w:color w:val="0F4761" w:themeColor="accent1" w:themeShade="BF"/>
    </w:rPr>
  </w:style>
  <w:style w:type="character" w:styleId="aa">
    <w:name w:val="Emphasis"/>
    <w:basedOn w:val="a0"/>
    <w:uiPriority w:val="20"/>
    <w:qFormat/>
    <w:rsid w:val="00853FAF"/>
    <w:rPr>
      <w:i/>
      <w:iCs/>
    </w:rPr>
  </w:style>
  <w:style w:type="table" w:styleId="4-1">
    <w:name w:val="Grid Table 4 Accent 1"/>
    <w:basedOn w:val="a1"/>
    <w:uiPriority w:val="49"/>
    <w:rsid w:val="004D354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4">
    <w:name w:val="Grid Table 4 Accent 4"/>
    <w:basedOn w:val="a1"/>
    <w:uiPriority w:val="49"/>
    <w:rsid w:val="004D3548"/>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4417</Words>
  <Characters>25521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2026-03-14T20:15:00Z</dcterms:created>
  <dcterms:modified xsi:type="dcterms:W3CDTF">2026-03-14T20:15:00Z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