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0453D06">
            <wp:simplePos x="0" y="0"/>
            <wp:positionH relativeFrom="margin">
              <wp:posOffset>2115185</wp:posOffset>
            </wp:positionH>
            <wp:positionV relativeFrom="margin">
              <wp:posOffset>-125095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جامعة ميد </w:t>
      </w:r>
      <w:proofErr w:type="spellStart"/>
      <w:r w:rsidRPr="00C852D0">
        <w:rPr>
          <w:rFonts w:ascii="Times New Roman" w:hAnsi="Times New Roman" w:cs="Traditional Arabic" w:hint="cs"/>
          <w:b/>
          <w:bCs/>
          <w:sz w:val="28"/>
          <w:szCs w:val="28"/>
          <w:rtl/>
          <w:lang w:bidi="ar-EG"/>
        </w:rPr>
        <w:t>اوشن</w:t>
      </w:r>
      <w:proofErr w:type="spellEnd"/>
    </w:p>
    <w:p w14:paraId="1D62B67A" w14:textId="6220C38A" w:rsidR="00761E9B"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C72033" w:rsidRPr="00C72033">
        <w:rPr>
          <w:rFonts w:ascii="Times New Roman" w:hAnsi="Times New Roman" w:cs="Traditional Arabic"/>
          <w:b/>
          <w:bCs/>
          <w:sz w:val="28"/>
          <w:szCs w:val="28"/>
          <w:rtl/>
          <w:lang w:bidi="ar-EG"/>
        </w:rPr>
        <w:t>المعلوماتية</w:t>
      </w:r>
    </w:p>
    <w:p w14:paraId="264D0C10" w14:textId="0ECC6B3E" w:rsidR="00C72033" w:rsidRPr="00C852D0" w:rsidRDefault="00C72033"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72033">
        <w:rPr>
          <w:rFonts w:ascii="Times New Roman" w:hAnsi="Times New Roman" w:cs="Traditional Arabic"/>
          <w:b/>
          <w:bCs/>
          <w:sz w:val="28"/>
          <w:szCs w:val="28"/>
          <w:rtl/>
          <w:lang w:bidi="ar-EG"/>
        </w:rPr>
        <w:t>دكتوراه تقنية معلومات</w:t>
      </w:r>
    </w:p>
    <w:p w14:paraId="7F938643" w14:textId="77777777" w:rsidR="00C72033" w:rsidRDefault="00C7203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p>
    <w:p w14:paraId="0B9A7E5D" w14:textId="6B42DFE0"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r w:rsidRPr="00644213">
        <w:rPr>
          <w:rFonts w:ascii="Times New Roman" w:hAnsi="Times New Roman" w:cs="Traditional Arabic"/>
          <w:b/>
          <w:bCs/>
          <w:noProof/>
          <w:kern w:val="0"/>
          <w:sz w:val="36"/>
          <w:szCs w:val="36"/>
          <w:rtl/>
          <w14:ligatures w14:val="none"/>
        </w:rPr>
        <w:t>تأثير الذكاء الاصطناعى  على سلسلة القيمة التشغيلية</w:t>
      </w:r>
    </w:p>
    <w:p w14:paraId="2094A275" w14:textId="77777777"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rPr>
      </w:pPr>
      <w:r w:rsidRPr="00644213">
        <w:rPr>
          <w:rFonts w:ascii="Times New Roman" w:hAnsi="Times New Roman" w:cs="Traditional Arabic"/>
          <w:b/>
          <w:bCs/>
          <w:noProof/>
          <w:kern w:val="0"/>
          <w:sz w:val="36"/>
          <w:szCs w:val="36"/>
          <w:rtl/>
          <w14:ligatures w14:val="none"/>
        </w:rPr>
        <w:t>دراسة تطبيقية على المؤسسات الحكومية الكبرى في المملكة العربية السعودية</w:t>
      </w:r>
    </w:p>
    <w:p w14:paraId="1E4EC300" w14:textId="173D2A83" w:rsidR="00761E9B" w:rsidRPr="00C852D0" w:rsidRDefault="00761E9B" w:rsidP="00644213">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0CB262F6" w:rsidR="00761E9B" w:rsidRDefault="00761E9B" w:rsidP="00813BC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r w:rsidR="00813BCB">
        <w:rPr>
          <w:rFonts w:eastAsiaTheme="minorHAnsi" w:cs="Traditional Arabic" w:hint="cs"/>
          <w:b/>
          <w:bCs/>
          <w:noProof/>
          <w:sz w:val="36"/>
          <w:szCs w:val="36"/>
          <w:rtl/>
        </w:rPr>
        <w:t>ة</w:t>
      </w:r>
      <w:r>
        <w:rPr>
          <w:rFonts w:eastAsiaTheme="minorHAnsi" w:cs="Traditional Arabic" w:hint="cs"/>
          <w:b/>
          <w:bCs/>
          <w:noProof/>
          <w:sz w:val="36"/>
          <w:szCs w:val="36"/>
          <w:rtl/>
        </w:rPr>
        <w:t>:</w:t>
      </w:r>
    </w:p>
    <w:p w14:paraId="1A89E62B" w14:textId="77777777" w:rsidR="00813BCB" w:rsidRPr="00813BCB" w:rsidRDefault="00813BCB" w:rsidP="00813BCB">
      <w:pPr>
        <w:pStyle w:val="ae"/>
        <w:bidi/>
        <w:spacing w:line="360" w:lineRule="auto"/>
        <w:ind w:left="-2"/>
        <w:jc w:val="center"/>
        <w:rPr>
          <w:rFonts w:cs="Traditional Arabic"/>
          <w:b/>
          <w:bCs/>
          <w:sz w:val="32"/>
          <w:szCs w:val="32"/>
        </w:rPr>
      </w:pPr>
      <w:r w:rsidRPr="00813BCB">
        <w:rPr>
          <w:rFonts w:cs="Traditional Arabic"/>
          <w:b/>
          <w:bCs/>
          <w:sz w:val="32"/>
          <w:szCs w:val="32"/>
          <w:rtl/>
        </w:rPr>
        <w:t xml:space="preserve">ساره </w:t>
      </w:r>
      <w:proofErr w:type="gramStart"/>
      <w:r w:rsidRPr="00813BCB">
        <w:rPr>
          <w:rFonts w:cs="Traditional Arabic"/>
          <w:b/>
          <w:bCs/>
          <w:sz w:val="32"/>
          <w:szCs w:val="32"/>
          <w:rtl/>
        </w:rPr>
        <w:t>عبدالمحسن</w:t>
      </w:r>
      <w:proofErr w:type="gramEnd"/>
      <w:r w:rsidRPr="00813BCB">
        <w:rPr>
          <w:rFonts w:cs="Traditional Arabic"/>
          <w:b/>
          <w:bCs/>
          <w:sz w:val="32"/>
          <w:szCs w:val="32"/>
          <w:rtl/>
        </w:rPr>
        <w:t xml:space="preserve"> السلوم</w:t>
      </w:r>
    </w:p>
    <w:p w14:paraId="62BAF1C7" w14:textId="374FBDD0" w:rsidR="00761E9B" w:rsidRDefault="00813BCB" w:rsidP="00813BCB">
      <w:pPr>
        <w:pStyle w:val="ae"/>
        <w:bidi/>
        <w:spacing w:line="360" w:lineRule="auto"/>
        <w:ind w:left="-2"/>
        <w:jc w:val="center"/>
        <w:rPr>
          <w:rFonts w:cs="Traditional Arabic"/>
          <w:b/>
          <w:bCs/>
          <w:sz w:val="32"/>
          <w:szCs w:val="32"/>
          <w:rtl/>
        </w:rPr>
      </w:pPr>
      <w:r w:rsidRPr="00813BCB">
        <w:rPr>
          <w:rFonts w:cs="Traditional Arabic"/>
          <w:b/>
          <w:bCs/>
          <w:sz w:val="32"/>
          <w:szCs w:val="32"/>
          <w:rtl/>
        </w:rPr>
        <w:t>الرقم الأكاديمي: 233002256</w:t>
      </w:r>
    </w:p>
    <w:p w14:paraId="00A8D996" w14:textId="7F5BDE1B"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w:t>
      </w:r>
      <w:r w:rsidR="005D3BB8">
        <w:rPr>
          <w:rFonts w:cs="Traditional Arabic" w:hint="cs"/>
          <w:b/>
          <w:bCs/>
          <w:rtl/>
          <w:lang w:bidi="ar-EG"/>
        </w:rPr>
        <w:t>8</w:t>
      </w:r>
      <w:r w:rsidRPr="000A5590">
        <w:rPr>
          <w:rFonts w:cs="Traditional Arabic" w:hint="cs"/>
          <w:b/>
          <w:bCs/>
          <w:rtl/>
        </w:rPr>
        <w:t>هـ/ 202</w:t>
      </w:r>
      <w:r w:rsidR="005D3BB8">
        <w:rPr>
          <w:rFonts w:cs="Traditional Arabic" w:hint="cs"/>
          <w:b/>
          <w:bCs/>
          <w:rtl/>
        </w:rPr>
        <w:t>6</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w:t>
      </w:r>
      <w:proofErr w:type="spellStart"/>
      <w:r w:rsidRPr="006349D7">
        <w:rPr>
          <w:rFonts w:ascii="Simplified Arabic" w:hAnsi="Simplified Arabic" w:cs="Simplified Arabic"/>
          <w:sz w:val="28"/>
          <w:szCs w:val="28"/>
        </w:rPr>
        <w:t>Nathany</w:t>
      </w:r>
      <w:proofErr w:type="spellEnd"/>
      <w:r w:rsidRPr="006349D7">
        <w:rPr>
          <w:rFonts w:ascii="Simplified Arabic" w:hAnsi="Simplified Arabic" w:cs="Simplified Arabic"/>
          <w:sz w:val="28"/>
          <w:szCs w:val="28"/>
        </w:rPr>
        <w:t>,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 xml:space="preserve">(Thenmozhi &amp; </w:t>
      </w:r>
      <w:proofErr w:type="spellStart"/>
      <w:r w:rsidRPr="006349D7">
        <w:rPr>
          <w:rFonts w:ascii="Simplified Arabic" w:hAnsi="Simplified Arabic" w:cs="Simplified Arabic"/>
          <w:sz w:val="28"/>
          <w:szCs w:val="28"/>
        </w:rPr>
        <w:t>Krisknakumari</w:t>
      </w:r>
      <w:proofErr w:type="spellEnd"/>
      <w:r w:rsidRPr="006349D7">
        <w:rPr>
          <w:rFonts w:ascii="Simplified Arabic" w:hAnsi="Simplified Arabic" w:cs="Simplified Arabic"/>
          <w:sz w:val="28"/>
          <w:szCs w:val="28"/>
        </w:rPr>
        <w:t>,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 xml:space="preserve">(Naas &amp; </w:t>
      </w:r>
      <w:proofErr w:type="spellStart"/>
      <w:r w:rsidRPr="006349D7">
        <w:rPr>
          <w:rFonts w:ascii="Simplified Arabic" w:hAnsi="Simplified Arabic" w:cs="Simplified Arabic"/>
          <w:sz w:val="28"/>
          <w:szCs w:val="28"/>
        </w:rPr>
        <w:t>Berass</w:t>
      </w:r>
      <w:proofErr w:type="spellEnd"/>
      <w:r w:rsidRPr="006349D7">
        <w:rPr>
          <w:rFonts w:ascii="Simplified Arabic" w:hAnsi="Simplified Arabic" w:cs="Simplified Arabic"/>
          <w:sz w:val="28"/>
          <w:szCs w:val="28"/>
        </w:rPr>
        <w:t>,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w:t>
      </w:r>
      <w:proofErr w:type="gramStart"/>
      <w:r>
        <w:rPr>
          <w:rFonts w:hint="cs"/>
          <w:rtl/>
        </w:rPr>
        <w:t xml:space="preserve">الدراسة </w:t>
      </w:r>
      <w:r w:rsidR="00804FE9" w:rsidRPr="00B91104">
        <w:rPr>
          <w:rtl/>
        </w:rPr>
        <w:t>:</w:t>
      </w:r>
      <w:bookmarkEnd w:id="1"/>
      <w:proofErr w:type="gramEnd"/>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 xml:space="preserve">أن نسبة تبنّي التقنيات </w:t>
      </w:r>
      <w:proofErr w:type="gramStart"/>
      <w:r w:rsidRPr="00021FB9">
        <w:rPr>
          <w:rFonts w:ascii="Simplified Arabic" w:hAnsi="Simplified Arabic" w:cs="Simplified Arabic"/>
          <w:sz w:val="28"/>
          <w:szCs w:val="28"/>
          <w:rtl/>
        </w:rPr>
        <w:t>المتقدمة  وعلى</w:t>
      </w:r>
      <w:proofErr w:type="gramEnd"/>
      <w:r w:rsidRPr="00021FB9">
        <w:rPr>
          <w:rFonts w:ascii="Simplified Arabic" w:hAnsi="Simplified Arabic" w:cs="Simplified Arabic"/>
          <w:sz w:val="28"/>
          <w:szCs w:val="28"/>
          <w:rtl/>
        </w:rPr>
        <w:t xml:space="preserve"> رأسها الذكاء الاصطناعي لم تتجاوز</w:t>
      </w:r>
      <w:r w:rsidRPr="00021FB9">
        <w:rPr>
          <w:rFonts w:ascii="Simplified Arabic" w:hAnsi="Simplified Arabic" w:cs="Simplified Arabic"/>
          <w:sz w:val="28"/>
          <w:szCs w:val="28"/>
        </w:rPr>
        <w:t>65</w:t>
      </w:r>
      <w:proofErr w:type="gramStart"/>
      <w:r w:rsidRPr="00021FB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w:t>
      </w:r>
      <w:proofErr w:type="gramEnd"/>
      <w:r w:rsidRPr="00021FB9">
        <w:rPr>
          <w:rFonts w:ascii="Simplified Arabic" w:hAnsi="Simplified Arabic" w:cs="Simplified Arabic"/>
          <w:sz w:val="28"/>
          <w:szCs w:val="28"/>
          <w:rtl/>
        </w:rPr>
        <w:t xml:space="preserve">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w:t>
      </w:r>
      <w:proofErr w:type="spellStart"/>
      <w:r w:rsidRPr="00021FB9">
        <w:rPr>
          <w:rFonts w:ascii="Simplified Arabic" w:hAnsi="Simplified Arabic" w:cs="Simplified Arabic"/>
          <w:sz w:val="28"/>
          <w:szCs w:val="28"/>
        </w:rPr>
        <w:t>Nathany</w:t>
      </w:r>
      <w:proofErr w:type="spellEnd"/>
      <w:r w:rsidRPr="00021FB9">
        <w:rPr>
          <w:rFonts w:ascii="Simplified Arabic" w:hAnsi="Simplified Arabic" w:cs="Simplified Arabic"/>
          <w:sz w:val="28"/>
          <w:szCs w:val="28"/>
        </w:rPr>
        <w:t>,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w:t>
      </w:r>
      <w:proofErr w:type="spellStart"/>
      <w:r w:rsidRPr="00021FB9">
        <w:rPr>
          <w:rFonts w:ascii="Simplified Arabic" w:hAnsi="Simplified Arabic" w:cs="Simplified Arabic"/>
          <w:sz w:val="28"/>
          <w:szCs w:val="28"/>
        </w:rPr>
        <w:t>Pokamestov</w:t>
      </w:r>
      <w:proofErr w:type="spellEnd"/>
      <w:r w:rsidRPr="00021FB9">
        <w:rPr>
          <w:rFonts w:ascii="Simplified Arabic" w:hAnsi="Simplified Arabic" w:cs="Simplified Arabic"/>
          <w:sz w:val="28"/>
          <w:szCs w:val="28"/>
        </w:rPr>
        <w:t xml:space="preserve">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395C32" w:rsidRDefault="00021FB9" w:rsidP="00021FB9">
      <w:pPr>
        <w:ind w:firstLine="720"/>
        <w:jc w:val="both"/>
        <w:rPr>
          <w:rFonts w:ascii="Simplified Arabic" w:hAnsi="Simplified Arabic" w:cs="Simplified Arabic"/>
          <w:sz w:val="28"/>
          <w:szCs w:val="28"/>
          <w:highlight w:val="yellow"/>
          <w:rtl/>
        </w:rPr>
      </w:pPr>
      <w:r w:rsidRPr="00395C32">
        <w:rPr>
          <w:rFonts w:ascii="Simplified Arabic" w:hAnsi="Simplified Arabic" w:cs="Simplified Arabic"/>
          <w:sz w:val="28"/>
          <w:szCs w:val="28"/>
          <w:highlight w:val="yellow"/>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فبرغم توفر البنية الرقمية المتقدمة، إلا أن محدودية استخدام </w:t>
      </w:r>
      <w:r w:rsidRPr="00395C32">
        <w:rPr>
          <w:rFonts w:ascii="Simplified Arabic" w:hAnsi="Simplified Arabic" w:cs="Simplified Arabic"/>
          <w:sz w:val="28"/>
          <w:szCs w:val="28"/>
          <w:highlight w:val="yellow"/>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4E6264CB"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تختلف المؤسسات الحكومية عن مؤسسات القطاع الخاص في أربعة جوانب رئيسة، وهو ما يستوجب دراسة أثر الذكاء الاصطناعي فيها بشكل مستقل بدلاً من الاكتفاء بنقل نتائج الدراسات السابقة التي أُجريت في القطاع الخاص</w:t>
      </w:r>
      <w:r w:rsidRPr="00395C32">
        <w:rPr>
          <w:rFonts w:ascii="Simplified Arabic" w:hAnsi="Simplified Arabic" w:cs="Simplified Arabic"/>
          <w:sz w:val="28"/>
          <w:szCs w:val="28"/>
          <w:highlight w:val="yellow"/>
          <w:lang w:bidi="ar-EG"/>
        </w:rPr>
        <w:t>.</w:t>
      </w:r>
    </w:p>
    <w:p w14:paraId="2FC1A7BF"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الجانب الأول هو طبيعة القيمة المستهدفة</w:t>
      </w:r>
      <w:r w:rsidRPr="00395C32">
        <w:rPr>
          <w:rFonts w:ascii="Simplified Arabic" w:hAnsi="Simplified Arabic" w:cs="Simplified Arabic"/>
          <w:sz w:val="28"/>
          <w:szCs w:val="28"/>
          <w:highlight w:val="yellow"/>
          <w:lang w:bidi="ar-EG"/>
        </w:rPr>
        <w:t xml:space="preserve">. </w:t>
      </w:r>
      <w:r w:rsidRPr="00395C32">
        <w:rPr>
          <w:rFonts w:ascii="Simplified Arabic" w:hAnsi="Simplified Arabic" w:cs="Simplified Arabic"/>
          <w:sz w:val="28"/>
          <w:szCs w:val="28"/>
          <w:highlight w:val="yellow"/>
          <w:rtl/>
        </w:rPr>
        <w:t>فالقطاع الخاص يسعى إلى تحقيق الربح والقيمة الاقتصادية، بينما تسعى المؤسسات الحكومية إلى تقديم قيمة عامة للمواطن تشمل جودة الخدمة والعدالة في تقديمها ودعم التنمية. ولهذا فإن قياس أثر الذكاء الاصطناعي في القطاع الحكومي لا يقتصر على مؤشرات التكلفة والعائد، بل يمتد ليشمل مؤشرات مثل رضا المستفيدين وسرعة الخدمة وثقة المواطن في الجهة الحكومية</w:t>
      </w:r>
      <w:r w:rsidRPr="00395C32">
        <w:rPr>
          <w:rFonts w:ascii="Simplified Arabic" w:hAnsi="Simplified Arabic" w:cs="Simplified Arabic"/>
          <w:sz w:val="28"/>
          <w:szCs w:val="28"/>
          <w:highlight w:val="yellow"/>
          <w:lang w:bidi="ar-EG"/>
        </w:rPr>
        <w:t>.</w:t>
      </w:r>
    </w:p>
    <w:p w14:paraId="334D28B9"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 xml:space="preserve">والجانب الثاني هو القيود التشريعية التي تعمل في ظلها المؤسسات الحكومية. فهي ملزمة بنظام حماية البيانات الشخصية السعودي، ولوائح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xml:space="preserve"> المنظمة لاستخدام الذكاء الاصطناعي، ونظام المشتريات الحكومية الذي يجعل عملية اقتناء التقنية أبطأ من نظيرتها في القطاع الخاص. وهذه القيود تؤثر مباشرة في سرعة تبني الذكاء الاصطناعي وطريقة توظيفه</w:t>
      </w:r>
      <w:r w:rsidRPr="00395C32">
        <w:rPr>
          <w:rFonts w:ascii="Simplified Arabic" w:hAnsi="Simplified Arabic" w:cs="Simplified Arabic"/>
          <w:sz w:val="28"/>
          <w:szCs w:val="28"/>
          <w:highlight w:val="yellow"/>
          <w:lang w:bidi="ar-EG"/>
        </w:rPr>
        <w:t>.</w:t>
      </w:r>
    </w:p>
    <w:p w14:paraId="32200EFC" w14:textId="0E62513B"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والجانب الثالث هو دوافع التبني. فالقطاع الخاص يتبنى الذكاء الاصطناعي بدافع المنافسة والبقاء في السوق، بينما تتبنى المؤسسات الحكومية هذه التقنيات لأسباب مختلفة، منها الالتزام بالتوجيهات الحكومية، ومحاكاة الجهات الرائدة في هذا المجال، والامتثال للمعايير المهنية</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وهذا يعني أن النماذج المستخدمة لتفسير تبني التقنية في القطاع الخاص قد لا تصلح للتطبيق المباشر في القطاع الحكومي</w:t>
      </w:r>
      <w:r w:rsidRPr="00395C32">
        <w:rPr>
          <w:rFonts w:ascii="Simplified Arabic" w:hAnsi="Simplified Arabic" w:cs="Simplified Arabic"/>
          <w:sz w:val="28"/>
          <w:szCs w:val="28"/>
          <w:highlight w:val="yellow"/>
          <w:lang w:bidi="ar-EG"/>
        </w:rPr>
        <w:t>.</w:t>
      </w:r>
    </w:p>
    <w:p w14:paraId="12EBA1DB" w14:textId="36E0D779" w:rsidR="00395C32" w:rsidRPr="00395C32" w:rsidRDefault="00395C32" w:rsidP="00395C32">
      <w:pPr>
        <w:ind w:firstLine="720"/>
        <w:jc w:val="both"/>
        <w:rPr>
          <w:rFonts w:ascii="Simplified Arabic" w:hAnsi="Simplified Arabic" w:cs="Simplified Arabic"/>
          <w:sz w:val="28"/>
          <w:szCs w:val="28"/>
          <w:lang w:bidi="ar-EG"/>
        </w:rPr>
      </w:pPr>
      <w:r w:rsidRPr="00395C32">
        <w:rPr>
          <w:rFonts w:ascii="Simplified Arabic" w:hAnsi="Simplified Arabic" w:cs="Simplified Arabic"/>
          <w:sz w:val="28"/>
          <w:szCs w:val="28"/>
          <w:highlight w:val="yellow"/>
          <w:rtl/>
        </w:rPr>
        <w:t>والجانب الرابع هو تنوع المؤسسات الحكومية نفسها</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إذ تتعامل كثير من الدراسات مع المؤسسات الحكومية باعتبارها فئة واحدة، بينما تُميّز هذه الدراسة بين ثلاث فئات مختلفة: الوزارات الخدمية التي تتعامل مع المواطنين مباشرة كوزارة الصحة، والوزارات ذات الطابع السيادي كوزارة الداخلية، والهيئات المتخصصة في التحول الرقمي </w:t>
      </w:r>
      <w:proofErr w:type="spellStart"/>
      <w:r w:rsidRPr="00395C32">
        <w:rPr>
          <w:rFonts w:ascii="Simplified Arabic" w:hAnsi="Simplified Arabic" w:cs="Simplified Arabic"/>
          <w:sz w:val="28"/>
          <w:szCs w:val="28"/>
          <w:highlight w:val="yellow"/>
          <w:rtl/>
        </w:rPr>
        <w:t>كسدايا</w:t>
      </w:r>
      <w:proofErr w:type="spellEnd"/>
      <w:r w:rsidRPr="00395C32">
        <w:rPr>
          <w:rFonts w:ascii="Simplified Arabic" w:hAnsi="Simplified Arabic" w:cs="Simplified Arabic"/>
          <w:sz w:val="28"/>
          <w:szCs w:val="28"/>
          <w:highlight w:val="yellow"/>
          <w:rtl/>
        </w:rPr>
        <w:t xml:space="preserve"> وهيئة الحكومة الرقمية</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ومن المتوقع أن يكون أثر الذكاء الاصطناعي أقوى في الفئة الثالثة منه في الفئتين الأخريين، وهو ما ستكشف عنه الدراسة من خلال تحليل المجموعات المتعددة</w:t>
      </w:r>
      <w:r w:rsidRPr="00395C32">
        <w:rPr>
          <w:rFonts w:ascii="Simplified Arabic" w:hAnsi="Simplified Arabic" w:cs="Simplified Arabic"/>
          <w:sz w:val="28"/>
          <w:szCs w:val="28"/>
          <w:highlight w:val="yellow"/>
          <w:lang w:bidi="ar-EG"/>
        </w:rPr>
        <w:t>.</w:t>
      </w:r>
    </w:p>
    <w:p w14:paraId="093448A4" w14:textId="77777777" w:rsidR="00395C32" w:rsidRPr="00395C32" w:rsidRDefault="00395C32" w:rsidP="00E819C0">
      <w:pPr>
        <w:ind w:firstLine="720"/>
        <w:jc w:val="both"/>
        <w:rPr>
          <w:rFonts w:ascii="Simplified Arabic" w:hAnsi="Simplified Arabic" w:cs="Simplified Arabic"/>
          <w:sz w:val="28"/>
          <w:szCs w:val="28"/>
          <w:rtl/>
          <w:lang w:bidi="ar-EG"/>
        </w:rPr>
      </w:pPr>
    </w:p>
    <w:p w14:paraId="321D25E1" w14:textId="33D18DA9"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720AF6D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pPr>
        <w:numPr>
          <w:ilvl w:val="0"/>
          <w:numId w:val="3"/>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234EE9">
        <w:rPr>
          <w:rFonts w:ascii="Simplified Arabic" w:hAnsi="Simplified Arabic" w:cs="Simplified Arabic"/>
          <w:sz w:val="28"/>
          <w:szCs w:val="28"/>
          <w:rtl/>
        </w:rPr>
        <w:t>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roofErr w:type="gramEnd"/>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w:t>
      </w:r>
      <w:proofErr w:type="gramStart"/>
      <w:r w:rsidRPr="005D0A6D">
        <w:rPr>
          <w:rFonts w:ascii="Simplified Arabic" w:hAnsi="Simplified Arabic" w:cs="Simplified Arabic"/>
          <w:sz w:val="28"/>
          <w:szCs w:val="28"/>
          <w:rtl/>
        </w:rPr>
        <w:t>أبعاده ،</w:t>
      </w:r>
      <w:proofErr w:type="gramEnd"/>
      <w:r w:rsidRPr="005D0A6D">
        <w:rPr>
          <w:rFonts w:ascii="Simplified Arabic" w:hAnsi="Simplified Arabic" w:cs="Simplified Arabic"/>
          <w:sz w:val="28"/>
          <w:szCs w:val="28"/>
          <w:rtl/>
        </w:rPr>
        <w:t xml:space="preserve"> هي</w:t>
      </w:r>
      <w:r w:rsidRPr="005D0A6D">
        <w:rPr>
          <w:rFonts w:ascii="Simplified Arabic" w:hAnsi="Simplified Arabic" w:cs="Simplified Arabic"/>
          <w:sz w:val="28"/>
          <w:szCs w:val="28"/>
        </w:rPr>
        <w:t>:</w:t>
      </w:r>
    </w:p>
    <w:p w14:paraId="6AD1A191"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pPr>
        <w:numPr>
          <w:ilvl w:val="0"/>
          <w:numId w:val="4"/>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Pr="005D0A6D" w:rsidRDefault="00234EE9" w:rsidP="00234EE9">
      <w:pPr>
        <w:ind w:firstLine="720"/>
        <w:jc w:val="both"/>
        <w:rPr>
          <w:rFonts w:ascii="Simplified Arabic" w:hAnsi="Simplified Arabic" w:cs="Simplified Arabic"/>
          <w:sz w:val="28"/>
          <w:szCs w:val="28"/>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13769847"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lastRenderedPageBreak/>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pPr>
        <w:numPr>
          <w:ilvl w:val="0"/>
          <w:numId w:val="6"/>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 xml:space="preserve">وتتفرع منه عدة فرضيات </w:t>
      </w:r>
      <w:proofErr w:type="gramStart"/>
      <w:r w:rsidRPr="00332430">
        <w:rPr>
          <w:rFonts w:ascii="Simplified Arabic" w:hAnsi="Simplified Arabic" w:cs="Simplified Arabic" w:hint="cs"/>
          <w:sz w:val="28"/>
          <w:szCs w:val="28"/>
          <w:rtl/>
        </w:rPr>
        <w:t>فرعية :</w:t>
      </w:r>
      <w:proofErr w:type="gramEnd"/>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lastRenderedPageBreak/>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النماذج التنبؤية على سلسلة القيمة التشغيلية في المؤسسات الحكومية </w:t>
      </w:r>
      <w:proofErr w:type="gramStart"/>
      <w:r w:rsidR="00234EE9" w:rsidRPr="00332430">
        <w:rPr>
          <w:rFonts w:ascii="Simplified Arabic" w:hAnsi="Simplified Arabic" w:cs="Simplified Arabic" w:hint="cs"/>
          <w:sz w:val="28"/>
          <w:szCs w:val="28"/>
          <w:rtl/>
        </w:rPr>
        <w:t>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roofErr w:type="gramEnd"/>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proofErr w:type="spellStart"/>
      <w:r w:rsidR="00234EE9" w:rsidRPr="00332430">
        <w:rPr>
          <w:rFonts w:ascii="Simplified Arabic" w:hAnsi="Simplified Arabic" w:cs="Simplified Arabic" w:hint="cs"/>
          <w:sz w:val="28"/>
          <w:szCs w:val="28"/>
          <w:rtl/>
        </w:rPr>
        <w:t>لايوجد</w:t>
      </w:r>
      <w:proofErr w:type="spellEnd"/>
      <w:r w:rsidR="00234EE9" w:rsidRPr="00332430">
        <w:rPr>
          <w:rFonts w:ascii="Simplified Arabic" w:hAnsi="Simplified Arabic" w:cs="Simplified Arabic" w:hint="cs"/>
          <w:sz w:val="28"/>
          <w:szCs w:val="28"/>
          <w:rtl/>
        </w:rPr>
        <w:t xml:space="preserve">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proofErr w:type="gramStart"/>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proofErr w:type="gramEnd"/>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w:t>
      </w:r>
      <w:r w:rsidRPr="002B5492">
        <w:rPr>
          <w:rFonts w:ascii="Simplified Arabic" w:hAnsi="Simplified Arabic" w:cs="Simplified Arabic"/>
          <w:color w:val="EE0000"/>
          <w:sz w:val="28"/>
          <w:szCs w:val="28"/>
          <w:rtl/>
        </w:rPr>
        <w:lastRenderedPageBreak/>
        <w:t>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w:t>
      </w:r>
      <w:proofErr w:type="spellStart"/>
      <w:r w:rsidRPr="00F178E3">
        <w:rPr>
          <w:rFonts w:ascii="Simplified Arabic" w:hAnsi="Simplified Arabic" w:cs="Simplified Arabic"/>
          <w:sz w:val="28"/>
          <w:szCs w:val="28"/>
        </w:rPr>
        <w:t>Nathany</w:t>
      </w:r>
      <w:proofErr w:type="spellEnd"/>
      <w:r w:rsidRPr="00F178E3">
        <w:rPr>
          <w:rFonts w:ascii="Simplified Arabic" w:hAnsi="Simplified Arabic" w:cs="Simplified Arabic"/>
          <w:sz w:val="28"/>
          <w:szCs w:val="28"/>
        </w:rPr>
        <w:t xml:space="preserve">, 2022) (Thenmozhi &amp; </w:t>
      </w:r>
      <w:proofErr w:type="spellStart"/>
      <w:r w:rsidRPr="00F178E3">
        <w:rPr>
          <w:rFonts w:ascii="Simplified Arabic" w:hAnsi="Simplified Arabic" w:cs="Simplified Arabic"/>
          <w:sz w:val="28"/>
          <w:szCs w:val="28"/>
        </w:rPr>
        <w:t>Krisknakumari</w:t>
      </w:r>
      <w:proofErr w:type="spellEnd"/>
      <w:r w:rsidRPr="00F178E3">
        <w:rPr>
          <w:rFonts w:ascii="Simplified Arabic" w:hAnsi="Simplified Arabic" w:cs="Simplified Arabic"/>
          <w:sz w:val="28"/>
          <w:szCs w:val="28"/>
        </w:rPr>
        <w:t>, 2024) (Faisal, 2025) (</w:t>
      </w:r>
      <w:proofErr w:type="spellStart"/>
      <w:r w:rsidRPr="00F178E3">
        <w:rPr>
          <w:rFonts w:ascii="Simplified Arabic" w:hAnsi="Simplified Arabic" w:cs="Simplified Arabic"/>
          <w:sz w:val="28"/>
          <w:szCs w:val="28"/>
        </w:rPr>
        <w:t>Pokamestov</w:t>
      </w:r>
      <w:proofErr w:type="spellEnd"/>
      <w:r w:rsidRPr="00F178E3">
        <w:rPr>
          <w:rFonts w:ascii="Simplified Arabic" w:hAnsi="Simplified Arabic" w:cs="Simplified Arabic"/>
          <w:sz w:val="28"/>
          <w:szCs w:val="28"/>
        </w:rPr>
        <w:t xml:space="preserve">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 xml:space="preserve">(Naas &amp; </w:t>
      </w:r>
      <w:proofErr w:type="spellStart"/>
      <w:r w:rsidR="00F178E3" w:rsidRPr="00F178E3">
        <w:rPr>
          <w:rFonts w:ascii="Simplified Arabic" w:hAnsi="Simplified Arabic" w:cs="Simplified Arabic"/>
          <w:sz w:val="28"/>
          <w:szCs w:val="28"/>
        </w:rPr>
        <w:t>Berass</w:t>
      </w:r>
      <w:proofErr w:type="spellEnd"/>
      <w:r w:rsidR="00F178E3" w:rsidRPr="00F178E3">
        <w:rPr>
          <w:rFonts w:ascii="Simplified Arabic" w:hAnsi="Simplified Arabic" w:cs="Simplified Arabic"/>
          <w:sz w:val="28"/>
          <w:szCs w:val="28"/>
        </w:rPr>
        <w:t>, 2024) (Mboyo et al., 2025) (</w:t>
      </w:r>
      <w:proofErr w:type="spellStart"/>
      <w:r w:rsidR="00F178E3" w:rsidRPr="00F178E3">
        <w:rPr>
          <w:rFonts w:ascii="Simplified Arabic" w:hAnsi="Simplified Arabic" w:cs="Simplified Arabic"/>
          <w:sz w:val="28"/>
          <w:szCs w:val="28"/>
        </w:rPr>
        <w:t>Tyapukhin</w:t>
      </w:r>
      <w:proofErr w:type="spellEnd"/>
      <w:r w:rsidR="00F178E3" w:rsidRPr="00F178E3">
        <w:rPr>
          <w:rFonts w:ascii="Simplified Arabic" w:hAnsi="Simplified Arabic" w:cs="Simplified Arabic"/>
          <w:sz w:val="28"/>
          <w:szCs w:val="28"/>
        </w:rPr>
        <w:t>,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lastRenderedPageBreak/>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00F178E3" w:rsidRPr="00F178E3">
        <w:rPr>
          <w:rFonts w:ascii="Simplified Arabic" w:hAnsi="Simplified Arabic" w:cs="Simplified Arabic"/>
          <w:sz w:val="28"/>
          <w:szCs w:val="28"/>
        </w:rPr>
        <w:t>Nathany</w:t>
      </w:r>
      <w:proofErr w:type="spellEnd"/>
      <w:r w:rsidR="00F178E3" w:rsidRPr="00F178E3">
        <w:rPr>
          <w:rFonts w:ascii="Simplified Arabic" w:hAnsi="Simplified Arabic" w:cs="Simplified Arabic"/>
          <w:sz w:val="28"/>
          <w:szCs w:val="28"/>
        </w:rPr>
        <w:t>,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 xml:space="preserve">Thenmozhi &amp; </w:t>
      </w:r>
      <w:proofErr w:type="spellStart"/>
      <w:r w:rsidR="00021FB9" w:rsidRPr="00021FB9">
        <w:rPr>
          <w:rFonts w:ascii="Simplified Arabic" w:hAnsi="Simplified Arabic" w:cs="Simplified Arabic"/>
          <w:sz w:val="28"/>
          <w:szCs w:val="28"/>
        </w:rPr>
        <w:t>Krisknakumari</w:t>
      </w:r>
      <w:proofErr w:type="spellEnd"/>
      <w:r w:rsidR="00021FB9" w:rsidRPr="00021FB9">
        <w:rPr>
          <w:rFonts w:ascii="Simplified Arabic" w:hAnsi="Simplified Arabic" w:cs="Simplified Arabic"/>
          <w:sz w:val="28"/>
          <w:szCs w:val="28"/>
        </w:rPr>
        <w:t>,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00021FB9" w:rsidRPr="00021FB9">
        <w:rPr>
          <w:rFonts w:ascii="Simplified Arabic" w:hAnsi="Simplified Arabic" w:cs="Simplified Arabic"/>
          <w:sz w:val="28"/>
          <w:szCs w:val="28"/>
        </w:rPr>
        <w:t>Pokamestov</w:t>
      </w:r>
      <w:proofErr w:type="spellEnd"/>
      <w:r w:rsidR="00021FB9" w:rsidRPr="00021FB9">
        <w:rPr>
          <w:rFonts w:ascii="Simplified Arabic" w:hAnsi="Simplified Arabic" w:cs="Simplified Arabic"/>
          <w:sz w:val="28"/>
          <w:szCs w:val="28"/>
        </w:rPr>
        <w:t xml:space="preserve">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w:t>
      </w:r>
      <w:proofErr w:type="spellStart"/>
      <w:r w:rsidR="00021FB9" w:rsidRPr="00021FB9">
        <w:rPr>
          <w:rFonts w:ascii="Simplified Arabic" w:hAnsi="Simplified Arabic" w:cs="Simplified Arabic"/>
          <w:sz w:val="28"/>
          <w:szCs w:val="28"/>
        </w:rPr>
        <w:t>Berass</w:t>
      </w:r>
      <w:proofErr w:type="spellEnd"/>
      <w:r w:rsidR="00021FB9" w:rsidRPr="00021FB9">
        <w:rPr>
          <w:rFonts w:ascii="Simplified Arabic" w:hAnsi="Simplified Arabic" w:cs="Simplified Arabic"/>
          <w:sz w:val="28"/>
          <w:szCs w:val="28"/>
        </w:rPr>
        <w:t>,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23E3A284" w14:textId="77777777" w:rsidR="002A5D5B" w:rsidRDefault="002A5D5B" w:rsidP="002A5D5B">
      <w:pPr>
        <w:ind w:firstLine="720"/>
        <w:jc w:val="both"/>
        <w:rPr>
          <w:rFonts w:ascii="Simplified Arabic" w:hAnsi="Simplified Arabic" w:cs="Simplified Arabic"/>
          <w:color w:val="EE0000"/>
          <w:sz w:val="28"/>
          <w:szCs w:val="28"/>
          <w:rtl/>
        </w:rPr>
      </w:pPr>
      <w:r w:rsidRPr="002A5D5B">
        <w:rPr>
          <w:rFonts w:ascii="Simplified Arabic" w:hAnsi="Simplified Arabic" w:cs="Simplified Arabic"/>
          <w:color w:val="EE0000"/>
          <w:sz w:val="28"/>
          <w:szCs w:val="28"/>
          <w:rtl/>
        </w:rPr>
        <w:lastRenderedPageBreak/>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r w:rsidRPr="002A5D5B">
        <w:rPr>
          <w:rFonts w:ascii="Simplified Arabic" w:hAnsi="Simplified Arabic" w:cs="Simplified Arabic"/>
          <w:color w:val="EE0000"/>
          <w:sz w:val="28"/>
          <w:szCs w:val="28"/>
        </w:rPr>
        <w:t>.</w:t>
      </w:r>
    </w:p>
    <w:p w14:paraId="5AEE44B4" w14:textId="42A539AE" w:rsidR="009421C9" w:rsidRPr="009421C9" w:rsidRDefault="009421C9" w:rsidP="009421C9">
      <w:pPr>
        <w:ind w:firstLine="720"/>
        <w:jc w:val="both"/>
        <w:rPr>
          <w:rFonts w:ascii="Simplified Arabic" w:hAnsi="Simplified Arabic" w:cs="Simplified Arabic"/>
          <w:color w:val="EE0000"/>
          <w:sz w:val="28"/>
          <w:szCs w:val="28"/>
        </w:rPr>
      </w:pPr>
      <w:r>
        <w:rPr>
          <w:rFonts w:ascii="Simplified Arabic" w:hAnsi="Simplified Arabic" w:cs="Simplified Arabic" w:hint="cs"/>
          <w:color w:val="EE0000"/>
          <w:sz w:val="28"/>
          <w:szCs w:val="28"/>
          <w:rtl/>
        </w:rPr>
        <w:t>و</w:t>
      </w:r>
      <w:r w:rsidRPr="009421C9">
        <w:rPr>
          <w:rFonts w:ascii="Simplified Arabic" w:hAnsi="Simplified Arabic" w:cs="Simplified Arabic"/>
          <w:color w:val="EE0000"/>
          <w:sz w:val="28"/>
          <w:szCs w:val="28"/>
          <w:rtl/>
        </w:rPr>
        <w:t>يعتمد التصميم على نموذج "نقطة الاتصال</w:t>
      </w:r>
      <w:r w:rsidRPr="009421C9">
        <w:rPr>
          <w:rFonts w:ascii="Simplified Arabic" w:hAnsi="Simplified Arabic" w:cs="Simplified Arabic"/>
          <w:color w:val="EE0000"/>
          <w:sz w:val="28"/>
          <w:szCs w:val="28"/>
        </w:rPr>
        <w:t xml:space="preserve">" (Point of Interface) </w:t>
      </w:r>
      <w:r w:rsidRPr="009421C9">
        <w:rPr>
          <w:rFonts w:ascii="Simplified Arabic" w:hAnsi="Simplified Arabic" w:cs="Simplified Arabic"/>
          <w:color w:val="EE0000"/>
          <w:sz w:val="28"/>
          <w:szCs w:val="28"/>
          <w:rtl/>
        </w:rPr>
        <w:t>وفق منهجية</w:t>
      </w:r>
      <w:r w:rsidRPr="009421C9">
        <w:rPr>
          <w:rFonts w:ascii="Simplified Arabic" w:hAnsi="Simplified Arabic" w:cs="Simplified Arabic"/>
          <w:color w:val="EE0000"/>
          <w:sz w:val="28"/>
          <w:szCs w:val="28"/>
        </w:rPr>
        <w:t xml:space="preserve"> (Creswell &amp; Plano Clark, 2018) </w:t>
      </w:r>
      <w:r w:rsidRPr="009421C9">
        <w:rPr>
          <w:rFonts w:ascii="Simplified Arabic" w:hAnsi="Simplified Arabic" w:cs="Simplified Arabic"/>
          <w:color w:val="EE0000"/>
          <w:sz w:val="28"/>
          <w:szCs w:val="28"/>
          <w:rtl/>
        </w:rPr>
        <w:t>للتصميم التفسيري التسلسلي، ويتحقق الدمج على أربعة مستويات محددة</w:t>
      </w:r>
      <w:r w:rsidRPr="009421C9">
        <w:rPr>
          <w:rFonts w:ascii="Simplified Arabic" w:hAnsi="Simplified Arabic" w:cs="Simplified Arabic"/>
          <w:color w:val="EE0000"/>
          <w:sz w:val="28"/>
          <w:szCs w:val="28"/>
        </w:rPr>
        <w:t>:</w:t>
      </w:r>
    </w:p>
    <w:p w14:paraId="01CE88BB" w14:textId="156BFBAE"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الأول دمج التصميم</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تسبق المرحلة الكمية المرحلة النوعية زمنياً بفارق لا يقل عن ثلاثة أشهر، بحيث تُوظَّف نتائج المرحلة الأولى في توجيه أسئلة المرحلة الثانية</w:t>
      </w:r>
      <w:r w:rsidRPr="009421C9">
        <w:rPr>
          <w:rFonts w:ascii="Simplified Arabic" w:hAnsi="Simplified Arabic" w:cs="Simplified Arabic"/>
          <w:color w:val="EE0000"/>
          <w:sz w:val="28"/>
          <w:szCs w:val="28"/>
        </w:rPr>
        <w:t>.</w:t>
      </w:r>
    </w:p>
    <w:p w14:paraId="6B603184" w14:textId="269F8110"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الثاني</w:t>
      </w:r>
      <w:r>
        <w:rPr>
          <w:rFonts w:ascii="Simplified Arabic" w:hAnsi="Simplified Arabic" w:cs="Simplified Arabic" w:hint="cs"/>
          <w:b/>
          <w:bCs/>
          <w:color w:val="EE0000"/>
          <w:sz w:val="28"/>
          <w:szCs w:val="28"/>
          <w:rtl/>
        </w:rPr>
        <w:t xml:space="preserve"> </w:t>
      </w:r>
      <w:r w:rsidRPr="009421C9">
        <w:rPr>
          <w:rFonts w:ascii="Simplified Arabic" w:hAnsi="Simplified Arabic" w:cs="Simplified Arabic"/>
          <w:b/>
          <w:bCs/>
          <w:color w:val="EE0000"/>
          <w:sz w:val="28"/>
          <w:szCs w:val="28"/>
          <w:rtl/>
        </w:rPr>
        <w:t>دمج أخذ العينات</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يُختار المشاركون في المرحلة النوعية من ضمن المستجيبين للمرحلة الكمية الذين أبدوا موافقتهم على المشاركة في مقابلة لاحقة (سؤال اختياري في نهاية الاستبانة)، مما يُعزّز الاتساق بين مصدري البيانات</w:t>
      </w:r>
      <w:r w:rsidRPr="009421C9">
        <w:rPr>
          <w:rFonts w:ascii="Simplified Arabic" w:hAnsi="Simplified Arabic" w:cs="Simplified Arabic"/>
          <w:color w:val="EE0000"/>
          <w:sz w:val="28"/>
          <w:szCs w:val="28"/>
        </w:rPr>
        <w:t>.</w:t>
      </w:r>
    </w:p>
    <w:p w14:paraId="64588F03" w14:textId="50270413"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الثالث دمج جمع البيانات</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تُستخدم النتائج الكمية غير المتوقعة (الأبعاد ذات التأثير الأدنى أو الأعلى من المتوقع، أو العلاقات غير الدالة إحصائياً) نقطةَ انطلاق لصياغة أسئلة المقابلة، ممّا يجعل المقابلات "توضيحية" لا مجرد "تكميلية</w:t>
      </w:r>
      <w:r w:rsidRPr="009421C9">
        <w:rPr>
          <w:rFonts w:ascii="Simplified Arabic" w:hAnsi="Simplified Arabic" w:cs="Simplified Arabic"/>
          <w:color w:val="EE0000"/>
          <w:sz w:val="28"/>
          <w:szCs w:val="28"/>
        </w:rPr>
        <w:t>".</w:t>
      </w:r>
    </w:p>
    <w:p w14:paraId="347352D0" w14:textId="03D42EC3"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 xml:space="preserve">المستوى </w:t>
      </w:r>
      <w:proofErr w:type="gramStart"/>
      <w:r w:rsidRPr="009421C9">
        <w:rPr>
          <w:rFonts w:ascii="Simplified Arabic" w:hAnsi="Simplified Arabic" w:cs="Simplified Arabic"/>
          <w:b/>
          <w:bCs/>
          <w:color w:val="EE0000"/>
          <w:sz w:val="28"/>
          <w:szCs w:val="28"/>
          <w:rtl/>
        </w:rPr>
        <w:t>الرابع  دمج</w:t>
      </w:r>
      <w:proofErr w:type="gramEnd"/>
      <w:r w:rsidRPr="009421C9">
        <w:rPr>
          <w:rFonts w:ascii="Simplified Arabic" w:hAnsi="Simplified Arabic" w:cs="Simplified Arabic"/>
          <w:b/>
          <w:bCs/>
          <w:color w:val="EE0000"/>
          <w:sz w:val="28"/>
          <w:szCs w:val="28"/>
          <w:rtl/>
        </w:rPr>
        <w:t xml:space="preserve"> التحليل والتفسير</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يُطبَّق أسلوب "المصفوفة المشتركة</w:t>
      </w:r>
      <w:r w:rsidRPr="009421C9">
        <w:rPr>
          <w:rFonts w:ascii="Simplified Arabic" w:hAnsi="Simplified Arabic" w:cs="Simplified Arabic"/>
          <w:color w:val="EE0000"/>
          <w:sz w:val="28"/>
          <w:szCs w:val="28"/>
        </w:rPr>
        <w:t xml:space="preserve">" (Joint Display Matrix) </w:t>
      </w:r>
      <w:r w:rsidRPr="009421C9">
        <w:rPr>
          <w:rFonts w:ascii="Simplified Arabic" w:hAnsi="Simplified Arabic" w:cs="Simplified Arabic"/>
          <w:color w:val="EE0000"/>
          <w:sz w:val="28"/>
          <w:szCs w:val="28"/>
          <w:rtl/>
        </w:rPr>
        <w:t xml:space="preserve">الذي طوّره </w:t>
      </w:r>
      <w:r w:rsidRPr="009421C9">
        <w:rPr>
          <w:rFonts w:ascii="Simplified Arabic" w:hAnsi="Simplified Arabic" w:cs="Simplified Arabic"/>
          <w:color w:val="EE0000"/>
          <w:sz w:val="28"/>
          <w:szCs w:val="28"/>
        </w:rPr>
        <w:t>(Guetterman et al., 2015)</w:t>
      </w:r>
      <w:r w:rsidRPr="009421C9">
        <w:rPr>
          <w:rFonts w:ascii="Simplified Arabic" w:hAnsi="Simplified Arabic" w:cs="Simplified Arabic"/>
          <w:color w:val="EE0000"/>
          <w:sz w:val="28"/>
          <w:szCs w:val="28"/>
          <w:rtl/>
        </w:rPr>
        <w:t>، حيث تُعرض النتائج الكمية والنوعية جنباً إلى جنب في جدول واحد لكل فرضية، مع تحديد مواضع التقارب</w:t>
      </w:r>
      <w:r w:rsidRPr="009421C9">
        <w:rPr>
          <w:rFonts w:ascii="Simplified Arabic" w:hAnsi="Simplified Arabic" w:cs="Simplified Arabic"/>
          <w:color w:val="EE0000"/>
          <w:sz w:val="28"/>
          <w:szCs w:val="28"/>
        </w:rPr>
        <w:t xml:space="preserve"> (Convergence) </w:t>
      </w:r>
      <w:r w:rsidRPr="009421C9">
        <w:rPr>
          <w:rFonts w:ascii="Simplified Arabic" w:hAnsi="Simplified Arabic" w:cs="Simplified Arabic"/>
          <w:color w:val="EE0000"/>
          <w:sz w:val="28"/>
          <w:szCs w:val="28"/>
          <w:rtl/>
        </w:rPr>
        <w:t>والتباعد</w:t>
      </w:r>
      <w:r w:rsidRPr="009421C9">
        <w:rPr>
          <w:rFonts w:ascii="Simplified Arabic" w:hAnsi="Simplified Arabic" w:cs="Simplified Arabic"/>
          <w:color w:val="EE0000"/>
          <w:sz w:val="28"/>
          <w:szCs w:val="28"/>
        </w:rPr>
        <w:t xml:space="preserve"> (Divergence) </w:t>
      </w:r>
      <w:r w:rsidRPr="009421C9">
        <w:rPr>
          <w:rFonts w:ascii="Simplified Arabic" w:hAnsi="Simplified Arabic" w:cs="Simplified Arabic"/>
          <w:color w:val="EE0000"/>
          <w:sz w:val="28"/>
          <w:szCs w:val="28"/>
          <w:rtl/>
        </w:rPr>
        <w:t>والتوسع</w:t>
      </w:r>
      <w:r w:rsidRPr="009421C9">
        <w:rPr>
          <w:rFonts w:ascii="Simplified Arabic" w:hAnsi="Simplified Arabic" w:cs="Simplified Arabic"/>
          <w:color w:val="EE0000"/>
          <w:sz w:val="28"/>
          <w:szCs w:val="28"/>
        </w:rPr>
        <w:t xml:space="preserve"> (Expansion) </w:t>
      </w:r>
      <w:r w:rsidRPr="009421C9">
        <w:rPr>
          <w:rFonts w:ascii="Simplified Arabic" w:hAnsi="Simplified Arabic" w:cs="Simplified Arabic"/>
          <w:color w:val="EE0000"/>
          <w:sz w:val="28"/>
          <w:szCs w:val="28"/>
          <w:rtl/>
        </w:rPr>
        <w:t xml:space="preserve">بين المصدرين، ثم استخلاص </w:t>
      </w:r>
      <w:r w:rsidRPr="009421C9">
        <w:rPr>
          <w:rFonts w:ascii="Simplified Arabic" w:hAnsi="Simplified Arabic" w:cs="Simplified Arabic"/>
          <w:color w:val="EE0000"/>
          <w:sz w:val="28"/>
          <w:szCs w:val="28"/>
        </w:rPr>
        <w:t>"</w:t>
      </w:r>
      <w:r w:rsidRPr="009421C9">
        <w:rPr>
          <w:rFonts w:ascii="Simplified Arabic" w:hAnsi="Simplified Arabic" w:cs="Simplified Arabic"/>
          <w:color w:val="EE0000"/>
          <w:sz w:val="28"/>
          <w:szCs w:val="28"/>
          <w:rtl/>
        </w:rPr>
        <w:t xml:space="preserve">الاستنتاجات </w:t>
      </w:r>
      <w:proofErr w:type="spellStart"/>
      <w:r w:rsidRPr="009421C9">
        <w:rPr>
          <w:rFonts w:ascii="Simplified Arabic" w:hAnsi="Simplified Arabic" w:cs="Simplified Arabic"/>
          <w:color w:val="EE0000"/>
          <w:sz w:val="28"/>
          <w:szCs w:val="28"/>
          <w:rtl/>
        </w:rPr>
        <w:t>الميتا</w:t>
      </w:r>
      <w:proofErr w:type="spellEnd"/>
      <w:r w:rsidRPr="009421C9">
        <w:rPr>
          <w:rFonts w:ascii="Simplified Arabic" w:hAnsi="Simplified Arabic" w:cs="Simplified Arabic"/>
          <w:color w:val="EE0000"/>
          <w:sz w:val="28"/>
          <w:szCs w:val="28"/>
          <w:rtl/>
        </w:rPr>
        <w:t>-تفسيرية</w:t>
      </w:r>
      <w:r w:rsidRPr="009421C9">
        <w:rPr>
          <w:rFonts w:ascii="Simplified Arabic" w:hAnsi="Simplified Arabic" w:cs="Simplified Arabic"/>
          <w:color w:val="EE0000"/>
          <w:sz w:val="28"/>
          <w:szCs w:val="28"/>
        </w:rPr>
        <w:t xml:space="preserve">" (Meta-Inferences) </w:t>
      </w:r>
      <w:r w:rsidRPr="009421C9">
        <w:rPr>
          <w:rFonts w:ascii="Simplified Arabic" w:hAnsi="Simplified Arabic" w:cs="Simplified Arabic"/>
          <w:color w:val="EE0000"/>
          <w:sz w:val="28"/>
          <w:szCs w:val="28"/>
          <w:rtl/>
        </w:rPr>
        <w:t>التي لا يمكن الوصول إليها بأي من المنهجين منفرداً</w:t>
      </w:r>
      <w:r w:rsidRPr="009421C9">
        <w:rPr>
          <w:rFonts w:ascii="Simplified Arabic" w:hAnsi="Simplified Arabic" w:cs="Simplified Arabic"/>
          <w:color w:val="EE0000"/>
          <w:sz w:val="28"/>
          <w:szCs w:val="28"/>
        </w:rPr>
        <w:t>.</w:t>
      </w:r>
    </w:p>
    <w:p w14:paraId="00375CA9" w14:textId="77777777" w:rsidR="009421C9" w:rsidRPr="009421C9" w:rsidRDefault="009421C9" w:rsidP="002A5D5B">
      <w:pPr>
        <w:ind w:firstLine="720"/>
        <w:jc w:val="both"/>
        <w:rPr>
          <w:rFonts w:ascii="Simplified Arabic" w:hAnsi="Simplified Arabic" w:cs="Simplified Arabic"/>
          <w:color w:val="EE0000"/>
          <w:sz w:val="28"/>
          <w:szCs w:val="28"/>
        </w:rPr>
      </w:pPr>
    </w:p>
    <w:p w14:paraId="652BDD1C" w14:textId="11457916" w:rsidR="00D439AC" w:rsidRPr="00B91104" w:rsidRDefault="00D439AC" w:rsidP="00D439AC">
      <w:pPr>
        <w:pStyle w:val="1"/>
        <w:rPr>
          <w:rtl/>
        </w:rPr>
      </w:pPr>
      <w:bookmarkStart w:id="8" w:name="_Toc202053523"/>
      <w:r>
        <w:rPr>
          <w:rFonts w:hint="cs"/>
          <w:rtl/>
        </w:rPr>
        <w:lastRenderedPageBreak/>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Pr="002B5492"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pPr>
        <w:numPr>
          <w:ilvl w:val="0"/>
          <w:numId w:val="7"/>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pPr>
        <w:numPr>
          <w:ilvl w:val="0"/>
          <w:numId w:val="7"/>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lastRenderedPageBreak/>
        <w:t xml:space="preserve"> وأنظمة دعم القرار</w:t>
      </w:r>
    </w:p>
    <w:p w14:paraId="697BF078" w14:textId="4D577F05" w:rsidR="005E6DFF" w:rsidRPr="000508AF" w:rsidRDefault="005E6DFF">
      <w:pPr>
        <w:numPr>
          <w:ilvl w:val="0"/>
          <w:numId w:val="7"/>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 xml:space="preserve">المحور </w:t>
      </w:r>
      <w:proofErr w:type="gramStart"/>
      <w:r w:rsidRPr="000508AF">
        <w:rPr>
          <w:rFonts w:ascii="Simplified Arabic" w:hAnsi="Simplified Arabic" w:cs="Simplified Arabic"/>
          <w:b/>
          <w:bCs/>
          <w:sz w:val="28"/>
          <w:szCs w:val="28"/>
          <w:rtl/>
        </w:rPr>
        <w:t>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w:t>
      </w:r>
      <w:proofErr w:type="gramEnd"/>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proofErr w:type="gramStart"/>
      <w:r w:rsidRPr="000508AF">
        <w:rPr>
          <w:rFonts w:ascii="Simplified Arabic" w:hAnsi="Simplified Arabic" w:cs="Simplified Arabic"/>
          <w:b/>
          <w:bCs/>
          <w:sz w:val="28"/>
          <w:szCs w:val="28"/>
          <w:rtl/>
        </w:rPr>
        <w:t>)</w:t>
      </w:r>
      <w:r w:rsidR="00297B1D">
        <w:rPr>
          <w:rFonts w:ascii="Simplified Arabic" w:hAnsi="Simplified Arabic" w:cs="Simplified Arabic" w:hint="cs"/>
          <w:sz w:val="28"/>
          <w:szCs w:val="28"/>
          <w:rtl/>
        </w:rPr>
        <w:t xml:space="preserve"> .</w:t>
      </w:r>
      <w:proofErr w:type="gramEnd"/>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وسيتم إعداد الاستبانة وفق مقياس </w:t>
      </w:r>
      <w:proofErr w:type="spellStart"/>
      <w:r w:rsidRPr="00297B1D">
        <w:rPr>
          <w:rFonts w:ascii="Simplified Arabic" w:hAnsi="Simplified Arabic" w:cs="Simplified Arabic"/>
          <w:sz w:val="28"/>
          <w:szCs w:val="28"/>
          <w:rtl/>
        </w:rPr>
        <w:t>ليكرت</w:t>
      </w:r>
      <w:proofErr w:type="spellEnd"/>
      <w:r w:rsidRPr="00297B1D">
        <w:rPr>
          <w:rFonts w:ascii="Simplified Arabic" w:hAnsi="Simplified Arabic" w:cs="Simplified Arabic"/>
          <w:sz w:val="28"/>
          <w:szCs w:val="28"/>
          <w:rtl/>
        </w:rPr>
        <w:t xml:space="preserve">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47F87A9F"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تحرص الباحثة على أن تخضع الاستبانة لسلسلة من الإجراءات المنهجية المتتابعة التي تضمن سلامة قياسها للظاهرة موضع الدراسة، وذلك عبر خمس مراحل مترابطة تتكامل فيما بينها لبناء أداة قياس رصينة وموثوقة</w:t>
      </w:r>
      <w:r w:rsidRPr="009421C9">
        <w:rPr>
          <w:rFonts w:ascii="Simplified Arabic" w:hAnsi="Simplified Arabic" w:cs="Simplified Arabic"/>
          <w:color w:val="EE0000"/>
          <w:sz w:val="28"/>
          <w:szCs w:val="28"/>
        </w:rPr>
        <w:t>.</w:t>
      </w:r>
    </w:p>
    <w:p w14:paraId="22851196"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تبدأ الباحثة بالتحقق من صدق المحتوى باعتباره الخطوة التأسيسية التي يقوم عليها ما يليها من إجراءات، وذلك من خلال تطبيق أسلوب دلفي المُعدَّل</w:t>
      </w:r>
      <w:r w:rsidRPr="009421C9">
        <w:rPr>
          <w:rFonts w:ascii="Simplified Arabic" w:hAnsi="Simplified Arabic" w:cs="Simplified Arabic"/>
          <w:color w:val="EE0000"/>
          <w:sz w:val="28"/>
          <w:szCs w:val="28"/>
        </w:rPr>
        <w:t xml:space="preserve"> (Modified Delphi Method) </w:t>
      </w:r>
      <w:r w:rsidRPr="009421C9">
        <w:rPr>
          <w:rFonts w:ascii="Simplified Arabic" w:hAnsi="Simplified Arabic" w:cs="Simplified Arabic"/>
          <w:color w:val="EE0000"/>
          <w:sz w:val="28"/>
          <w:szCs w:val="28"/>
          <w:rtl/>
        </w:rPr>
        <w:t>الذي يُتيح الوصول إلى توافق منهجي بين المحكّمين عبر جولات متتابعة. وتتشكل لجنة التحكيم من اثني عشر محكماً يُختارون بعناية لضمان تنوع الخبرات وثرائها، بحيث تضم أربعة أكاديميين متخصصين في الإدارة العامة والتحول الرقمي برتبة أستاذ أو أستاذ مشارك، وأربعة خبراء تقنيين متخصصين في الذكاء الاصطناعي وعلوم البيانات، وأربعة قياديين تنفيذيين حكوميين ذوي خبرة عملية تزيد على عشر سنوات في الإدارات المستهدفة بالدراسة. وتمر عملية التحكيم بثلاث جولات؛ تُخصَّص الأولى للتقييم الفردي المكتوب لكل بند على أربعة أبعاد هي الوضوح والملاءمة والانتماء للبُعد المُقاس والشمول، باستخدام مقياس رباعي يُحسب على أساسه مؤشر صدق المحتوى</w:t>
      </w:r>
      <w:r w:rsidRPr="009421C9">
        <w:rPr>
          <w:rFonts w:ascii="Simplified Arabic" w:hAnsi="Simplified Arabic" w:cs="Simplified Arabic"/>
          <w:color w:val="EE0000"/>
          <w:sz w:val="28"/>
          <w:szCs w:val="28"/>
        </w:rPr>
        <w:t xml:space="preserve"> (Content Validity Index) </w:t>
      </w:r>
      <w:r w:rsidRPr="009421C9">
        <w:rPr>
          <w:rFonts w:ascii="Simplified Arabic" w:hAnsi="Simplified Arabic" w:cs="Simplified Arabic"/>
          <w:color w:val="EE0000"/>
          <w:sz w:val="28"/>
          <w:szCs w:val="28"/>
          <w:rtl/>
        </w:rPr>
        <w:t xml:space="preserve">لكل بند، ويُقبل البند عند بلوغ قيمته 0.78 فأعلى وفق المعيار الذي </w:t>
      </w:r>
      <w:proofErr w:type="spellStart"/>
      <w:r w:rsidRPr="009421C9">
        <w:rPr>
          <w:rFonts w:ascii="Simplified Arabic" w:hAnsi="Simplified Arabic" w:cs="Simplified Arabic"/>
          <w:color w:val="EE0000"/>
          <w:sz w:val="28"/>
          <w:szCs w:val="28"/>
          <w:rtl/>
        </w:rPr>
        <w:t>أرساه</w:t>
      </w:r>
      <w:proofErr w:type="spellEnd"/>
      <w:r w:rsidRPr="009421C9">
        <w:rPr>
          <w:rFonts w:ascii="Simplified Arabic" w:hAnsi="Simplified Arabic" w:cs="Simplified Arabic"/>
          <w:color w:val="EE0000"/>
          <w:sz w:val="28"/>
          <w:szCs w:val="28"/>
          <w:rtl/>
        </w:rPr>
        <w:t xml:space="preserve"> بوليت وبيك</w:t>
      </w:r>
      <w:r w:rsidRPr="009421C9">
        <w:rPr>
          <w:rFonts w:ascii="Simplified Arabic" w:hAnsi="Simplified Arabic" w:cs="Simplified Arabic"/>
          <w:color w:val="EE0000"/>
          <w:sz w:val="28"/>
          <w:szCs w:val="28"/>
        </w:rPr>
        <w:t xml:space="preserve"> (Polit &amp; Beck, 2006). </w:t>
      </w:r>
      <w:r w:rsidRPr="009421C9">
        <w:rPr>
          <w:rFonts w:ascii="Simplified Arabic" w:hAnsi="Simplified Arabic" w:cs="Simplified Arabic"/>
          <w:color w:val="EE0000"/>
          <w:sz w:val="28"/>
          <w:szCs w:val="28"/>
          <w:rtl/>
        </w:rPr>
        <w:t xml:space="preserve">وتُخصَّص الجولة الثانية لإعادة عرض البنود المُعدَّلة على المحكّمين مصحوبة بتلخيص لآراء الجولة الأولى، بهدف الوصول إلى توافق </w:t>
      </w:r>
      <w:r w:rsidRPr="009421C9">
        <w:rPr>
          <w:rFonts w:ascii="Simplified Arabic" w:hAnsi="Simplified Arabic" w:cs="Simplified Arabic"/>
          <w:color w:val="EE0000"/>
          <w:sz w:val="28"/>
          <w:szCs w:val="28"/>
        </w:rPr>
        <w:t xml:space="preserve">(Consensus) </w:t>
      </w:r>
      <w:r w:rsidRPr="009421C9">
        <w:rPr>
          <w:rFonts w:ascii="Simplified Arabic" w:hAnsi="Simplified Arabic" w:cs="Simplified Arabic"/>
          <w:color w:val="EE0000"/>
          <w:sz w:val="28"/>
          <w:szCs w:val="28"/>
          <w:rtl/>
        </w:rPr>
        <w:t>لا تقل نسبته عن 80% بين المحكّمين على البنود النهائية. أما الجولة الثالثة فتُكرَّس للمراجعة النهائية الشاملة واعتماد الصيغة الرسمية للأداة قبل الشروع في الدراسة التجريبية</w:t>
      </w:r>
      <w:r w:rsidRPr="009421C9">
        <w:rPr>
          <w:rFonts w:ascii="Simplified Arabic" w:hAnsi="Simplified Arabic" w:cs="Simplified Arabic"/>
          <w:color w:val="EE0000"/>
          <w:sz w:val="28"/>
          <w:szCs w:val="28"/>
        </w:rPr>
        <w:t>.</w:t>
      </w:r>
    </w:p>
    <w:p w14:paraId="66006994"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وتنتقل الباحثة بعد ذلك إلى التحقق من صدق البناء بأسلوبين متكاملين. يتمثل الأسلوب الأول في التحليل العاملي الاستكشافي</w:t>
      </w:r>
      <w:r w:rsidRPr="009421C9">
        <w:rPr>
          <w:rFonts w:ascii="Simplified Arabic" w:hAnsi="Simplified Arabic" w:cs="Simplified Arabic"/>
          <w:color w:val="EE0000"/>
          <w:sz w:val="28"/>
          <w:szCs w:val="28"/>
        </w:rPr>
        <w:t xml:space="preserve"> (Exploratory Factor Analysis) </w:t>
      </w:r>
      <w:r w:rsidRPr="009421C9">
        <w:rPr>
          <w:rFonts w:ascii="Simplified Arabic" w:hAnsi="Simplified Arabic" w:cs="Simplified Arabic"/>
          <w:color w:val="EE0000"/>
          <w:sz w:val="28"/>
          <w:szCs w:val="28"/>
          <w:rtl/>
        </w:rPr>
        <w:t>الذي يُطبَّق على بيانات الدراسة التجريبية المكوَّنة من ستين مفردة، وهو حجم يتوافق مع القاعدة المنهجية التي أوصى بها هير وزملاؤه</w:t>
      </w:r>
      <w:r w:rsidRPr="009421C9">
        <w:rPr>
          <w:rFonts w:ascii="Simplified Arabic" w:hAnsi="Simplified Arabic" w:cs="Simplified Arabic"/>
          <w:color w:val="EE0000"/>
          <w:sz w:val="28"/>
          <w:szCs w:val="28"/>
        </w:rPr>
        <w:t xml:space="preserve"> (Hair et al., 2019) </w:t>
      </w:r>
      <w:r w:rsidRPr="009421C9">
        <w:rPr>
          <w:rFonts w:ascii="Simplified Arabic" w:hAnsi="Simplified Arabic" w:cs="Simplified Arabic"/>
          <w:color w:val="EE0000"/>
          <w:sz w:val="28"/>
          <w:szCs w:val="28"/>
          <w:rtl/>
        </w:rPr>
        <w:t xml:space="preserve">والقائلة بضرورة أن يبلغ حجم العينة التجريبية خمسة أضعاف عدد بنود المقياس على أقل </w:t>
      </w:r>
      <w:r w:rsidRPr="009421C9">
        <w:rPr>
          <w:rFonts w:ascii="Simplified Arabic" w:hAnsi="Simplified Arabic" w:cs="Simplified Arabic"/>
          <w:color w:val="EE0000"/>
          <w:sz w:val="28"/>
          <w:szCs w:val="28"/>
          <w:rtl/>
        </w:rPr>
        <w:lastRenderedPageBreak/>
        <w:t xml:space="preserve">تقدير. ويُقبل النموذج العاملي عند تحقق مجموعة من المعايير الإحصائية المتكاملة، تشمل بلوغ قيمة اختبار </w:t>
      </w:r>
      <w:proofErr w:type="spellStart"/>
      <w:r w:rsidRPr="009421C9">
        <w:rPr>
          <w:rFonts w:ascii="Simplified Arabic" w:hAnsi="Simplified Arabic" w:cs="Simplified Arabic"/>
          <w:color w:val="EE0000"/>
          <w:sz w:val="28"/>
          <w:szCs w:val="28"/>
          <w:rtl/>
        </w:rPr>
        <w:t>كايزر</w:t>
      </w:r>
      <w:proofErr w:type="spellEnd"/>
      <w:r w:rsidRPr="009421C9">
        <w:rPr>
          <w:rFonts w:ascii="Simplified Arabic" w:hAnsi="Simplified Arabic" w:cs="Simplified Arabic"/>
          <w:color w:val="EE0000"/>
          <w:sz w:val="28"/>
          <w:szCs w:val="28"/>
          <w:rtl/>
        </w:rPr>
        <w:t>-ماير-أولكن</w:t>
      </w:r>
      <w:r w:rsidRPr="009421C9">
        <w:rPr>
          <w:rFonts w:ascii="Simplified Arabic" w:hAnsi="Simplified Arabic" w:cs="Simplified Arabic"/>
          <w:color w:val="EE0000"/>
          <w:sz w:val="28"/>
          <w:szCs w:val="28"/>
        </w:rPr>
        <w:t xml:space="preserve"> (KMO) 0.70 </w:t>
      </w:r>
      <w:r w:rsidRPr="009421C9">
        <w:rPr>
          <w:rFonts w:ascii="Simplified Arabic" w:hAnsi="Simplified Arabic" w:cs="Simplified Arabic"/>
          <w:color w:val="EE0000"/>
          <w:sz w:val="28"/>
          <w:szCs w:val="28"/>
          <w:rtl/>
        </w:rPr>
        <w:t xml:space="preserve">فأعلى، ودلالة اختبار </w:t>
      </w:r>
      <w:proofErr w:type="spellStart"/>
      <w:r w:rsidRPr="009421C9">
        <w:rPr>
          <w:rFonts w:ascii="Simplified Arabic" w:hAnsi="Simplified Arabic" w:cs="Simplified Arabic"/>
          <w:color w:val="EE0000"/>
          <w:sz w:val="28"/>
          <w:szCs w:val="28"/>
          <w:rtl/>
        </w:rPr>
        <w:t>بارتلت</w:t>
      </w:r>
      <w:proofErr w:type="spellEnd"/>
      <w:r w:rsidRPr="009421C9">
        <w:rPr>
          <w:rFonts w:ascii="Simplified Arabic" w:hAnsi="Simplified Arabic" w:cs="Simplified Arabic"/>
          <w:color w:val="EE0000"/>
          <w:sz w:val="28"/>
          <w:szCs w:val="28"/>
          <w:rtl/>
        </w:rPr>
        <w:t xml:space="preserve"> للكروية عند مستوى أقل من 0.05، وتحميل كل بند على عامله بقيمة لا تقل عن </w:t>
      </w:r>
      <w:r w:rsidRPr="009421C9">
        <w:rPr>
          <w:rFonts w:ascii="Simplified Arabic" w:hAnsi="Simplified Arabic" w:cs="Simplified Arabic"/>
          <w:color w:val="EE0000"/>
          <w:sz w:val="28"/>
          <w:szCs w:val="28"/>
        </w:rPr>
        <w:t>0.50</w:t>
      </w:r>
      <w:r w:rsidRPr="009421C9">
        <w:rPr>
          <w:rFonts w:ascii="Simplified Arabic" w:hAnsi="Simplified Arabic" w:cs="Simplified Arabic"/>
          <w:color w:val="EE0000"/>
          <w:sz w:val="28"/>
          <w:szCs w:val="28"/>
          <w:rtl/>
        </w:rPr>
        <w:t>، وتجاوز قيمة الجذر الكامن</w:t>
      </w:r>
      <w:r w:rsidRPr="009421C9">
        <w:rPr>
          <w:rFonts w:ascii="Simplified Arabic" w:hAnsi="Simplified Arabic" w:cs="Simplified Arabic"/>
          <w:color w:val="EE0000"/>
          <w:sz w:val="28"/>
          <w:szCs w:val="28"/>
        </w:rPr>
        <w:t xml:space="preserve"> (Eigenvalue) </w:t>
      </w:r>
      <w:r w:rsidRPr="009421C9">
        <w:rPr>
          <w:rFonts w:ascii="Simplified Arabic" w:hAnsi="Simplified Arabic" w:cs="Simplified Arabic"/>
          <w:color w:val="EE0000"/>
          <w:sz w:val="28"/>
          <w:szCs w:val="28"/>
          <w:rtl/>
        </w:rPr>
        <w:t>للعامل الواحد الصحيح، وتفسير النموذج مجتمعاً لما لا يقل عن 60% من التباين الكلي، مع اشتراط عدم وجود تحميلات مزدوجة</w:t>
      </w:r>
      <w:r w:rsidRPr="009421C9">
        <w:rPr>
          <w:rFonts w:ascii="Simplified Arabic" w:hAnsi="Simplified Arabic" w:cs="Simplified Arabic"/>
          <w:color w:val="EE0000"/>
          <w:sz w:val="28"/>
          <w:szCs w:val="28"/>
        </w:rPr>
        <w:t xml:space="preserve"> (Cross-loadings) </w:t>
      </w:r>
      <w:r w:rsidRPr="009421C9">
        <w:rPr>
          <w:rFonts w:ascii="Simplified Arabic" w:hAnsi="Simplified Arabic" w:cs="Simplified Arabic"/>
          <w:color w:val="EE0000"/>
          <w:sz w:val="28"/>
          <w:szCs w:val="28"/>
          <w:rtl/>
        </w:rPr>
        <w:t>تتجاوز 0.30 على عوامل أخرى</w:t>
      </w:r>
      <w:r w:rsidRPr="009421C9">
        <w:rPr>
          <w:rFonts w:ascii="Simplified Arabic" w:hAnsi="Simplified Arabic" w:cs="Simplified Arabic"/>
          <w:color w:val="EE0000"/>
          <w:sz w:val="28"/>
          <w:szCs w:val="28"/>
        </w:rPr>
        <w:t>.</w:t>
      </w:r>
    </w:p>
    <w:p w14:paraId="38DF348C"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ويأتي الأسلوب الثاني للتحقق من صدق البناء عبر التحليل العاملي التوكيدي</w:t>
      </w:r>
      <w:r w:rsidRPr="009421C9">
        <w:rPr>
          <w:rFonts w:ascii="Simplified Arabic" w:hAnsi="Simplified Arabic" w:cs="Simplified Arabic"/>
          <w:color w:val="EE0000"/>
          <w:sz w:val="28"/>
          <w:szCs w:val="28"/>
        </w:rPr>
        <w:t xml:space="preserve"> (Confirmatory Factor Analysis) </w:t>
      </w:r>
      <w:r w:rsidRPr="009421C9">
        <w:rPr>
          <w:rFonts w:ascii="Simplified Arabic" w:hAnsi="Simplified Arabic" w:cs="Simplified Arabic"/>
          <w:color w:val="EE0000"/>
          <w:sz w:val="28"/>
          <w:szCs w:val="28"/>
          <w:rtl/>
        </w:rPr>
        <w:t>الذي يُطبَّق على بيانات الدراسة الرئيسة البالغة 420 استبانة باستخدام برنامج</w:t>
      </w:r>
      <w:r w:rsidRPr="009421C9">
        <w:rPr>
          <w:rFonts w:ascii="Simplified Arabic" w:hAnsi="Simplified Arabic" w:cs="Simplified Arabic"/>
          <w:color w:val="EE0000"/>
          <w:sz w:val="28"/>
          <w:szCs w:val="28"/>
        </w:rPr>
        <w:t xml:space="preserve"> AMOS </w:t>
      </w:r>
      <w:r w:rsidRPr="009421C9">
        <w:rPr>
          <w:rFonts w:ascii="Simplified Arabic" w:hAnsi="Simplified Arabic" w:cs="Simplified Arabic"/>
          <w:color w:val="EE0000"/>
          <w:sz w:val="28"/>
          <w:szCs w:val="28"/>
          <w:rtl/>
        </w:rPr>
        <w:t>في نسخته الثامنة والعشرين أو برنامج</w:t>
      </w:r>
      <w:r w:rsidRPr="009421C9">
        <w:rPr>
          <w:rFonts w:ascii="Simplified Arabic" w:hAnsi="Simplified Arabic" w:cs="Simplified Arabic"/>
          <w:color w:val="EE0000"/>
          <w:sz w:val="28"/>
          <w:szCs w:val="28"/>
        </w:rPr>
        <w:t xml:space="preserve"> </w:t>
      </w:r>
      <w:proofErr w:type="spellStart"/>
      <w:r w:rsidRPr="009421C9">
        <w:rPr>
          <w:rFonts w:ascii="Simplified Arabic" w:hAnsi="Simplified Arabic" w:cs="Simplified Arabic"/>
          <w:color w:val="EE0000"/>
          <w:sz w:val="28"/>
          <w:szCs w:val="28"/>
        </w:rPr>
        <w:t>SmartPLS</w:t>
      </w:r>
      <w:proofErr w:type="spellEnd"/>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 xml:space="preserve">في نسخته الرابعة. ويُحكم على مطابقة النموذج للبيانات وفق مؤشرات متعددة تتكامل فيما بينها لتقديم صورة شاملة، وذلك استناداً إلى المعايير التي </w:t>
      </w:r>
      <w:proofErr w:type="spellStart"/>
      <w:r w:rsidRPr="009421C9">
        <w:rPr>
          <w:rFonts w:ascii="Simplified Arabic" w:hAnsi="Simplified Arabic" w:cs="Simplified Arabic"/>
          <w:color w:val="EE0000"/>
          <w:sz w:val="28"/>
          <w:szCs w:val="28"/>
          <w:rtl/>
        </w:rPr>
        <w:t>أرساها</w:t>
      </w:r>
      <w:proofErr w:type="spellEnd"/>
      <w:r w:rsidRPr="009421C9">
        <w:rPr>
          <w:rFonts w:ascii="Simplified Arabic" w:hAnsi="Simplified Arabic" w:cs="Simplified Arabic"/>
          <w:color w:val="EE0000"/>
          <w:sz w:val="28"/>
          <w:szCs w:val="28"/>
          <w:rtl/>
        </w:rPr>
        <w:t xml:space="preserve"> هيو </w:t>
      </w:r>
      <w:proofErr w:type="spellStart"/>
      <w:r w:rsidRPr="009421C9">
        <w:rPr>
          <w:rFonts w:ascii="Simplified Arabic" w:hAnsi="Simplified Arabic" w:cs="Simplified Arabic"/>
          <w:color w:val="EE0000"/>
          <w:sz w:val="28"/>
          <w:szCs w:val="28"/>
          <w:rtl/>
        </w:rPr>
        <w:t>وبنتلر</w:t>
      </w:r>
      <w:proofErr w:type="spellEnd"/>
      <w:r w:rsidRPr="009421C9">
        <w:rPr>
          <w:rFonts w:ascii="Simplified Arabic" w:hAnsi="Simplified Arabic" w:cs="Simplified Arabic"/>
          <w:color w:val="EE0000"/>
          <w:sz w:val="28"/>
          <w:szCs w:val="28"/>
        </w:rPr>
        <w:t xml:space="preserve"> (Hu &amp; Bentler, 1999) </w:t>
      </w:r>
      <w:r w:rsidRPr="009421C9">
        <w:rPr>
          <w:rFonts w:ascii="Simplified Arabic" w:hAnsi="Simplified Arabic" w:cs="Simplified Arabic"/>
          <w:color w:val="EE0000"/>
          <w:sz w:val="28"/>
          <w:szCs w:val="28"/>
          <w:rtl/>
        </w:rPr>
        <w:t>وطوّرها كلاين</w:t>
      </w:r>
      <w:r w:rsidRPr="009421C9">
        <w:rPr>
          <w:rFonts w:ascii="Simplified Arabic" w:hAnsi="Simplified Arabic" w:cs="Simplified Arabic"/>
          <w:color w:val="EE0000"/>
          <w:sz w:val="28"/>
          <w:szCs w:val="28"/>
        </w:rPr>
        <w:t xml:space="preserve"> (Kline, 2023) </w:t>
      </w:r>
      <w:r w:rsidRPr="009421C9">
        <w:rPr>
          <w:rFonts w:ascii="Simplified Arabic" w:hAnsi="Simplified Arabic" w:cs="Simplified Arabic"/>
          <w:color w:val="EE0000"/>
          <w:sz w:val="28"/>
          <w:szCs w:val="28"/>
          <w:rtl/>
        </w:rPr>
        <w:t>لاحقاً؛ إذ يُشترط أن تكون نسبة كاي تربيع إلى درجات الحرية أقل من ثلاثة، وأن يبلغ كل من مؤشر المطابقة المقارن</w:t>
      </w:r>
      <w:r w:rsidRPr="009421C9">
        <w:rPr>
          <w:rFonts w:ascii="Simplified Arabic" w:hAnsi="Simplified Arabic" w:cs="Simplified Arabic"/>
          <w:color w:val="EE0000"/>
          <w:sz w:val="28"/>
          <w:szCs w:val="28"/>
        </w:rPr>
        <w:t xml:space="preserve"> (CFI) </w:t>
      </w:r>
      <w:r w:rsidRPr="009421C9">
        <w:rPr>
          <w:rFonts w:ascii="Simplified Arabic" w:hAnsi="Simplified Arabic" w:cs="Simplified Arabic"/>
          <w:color w:val="EE0000"/>
          <w:sz w:val="28"/>
          <w:szCs w:val="28"/>
          <w:rtl/>
        </w:rPr>
        <w:t>ومؤشر تاكر-لويس</w:t>
      </w:r>
      <w:r w:rsidRPr="009421C9">
        <w:rPr>
          <w:rFonts w:ascii="Simplified Arabic" w:hAnsi="Simplified Arabic" w:cs="Simplified Arabic"/>
          <w:color w:val="EE0000"/>
          <w:sz w:val="28"/>
          <w:szCs w:val="28"/>
        </w:rPr>
        <w:t xml:space="preserve"> (TLI) </w:t>
      </w:r>
      <w:r w:rsidRPr="009421C9">
        <w:rPr>
          <w:rFonts w:ascii="Simplified Arabic" w:hAnsi="Simplified Arabic" w:cs="Simplified Arabic"/>
          <w:color w:val="EE0000"/>
          <w:sz w:val="28"/>
          <w:szCs w:val="28"/>
          <w:rtl/>
        </w:rPr>
        <w:t>قيمة 0.90 فأعلى، وألا تتجاوز قيمة جذر متوسط مربعات خطأ التقريب</w:t>
      </w:r>
      <w:r w:rsidRPr="009421C9">
        <w:rPr>
          <w:rFonts w:ascii="Simplified Arabic" w:hAnsi="Simplified Arabic" w:cs="Simplified Arabic"/>
          <w:color w:val="EE0000"/>
          <w:sz w:val="28"/>
          <w:szCs w:val="28"/>
        </w:rPr>
        <w:t xml:space="preserve"> (RMSEA) </w:t>
      </w:r>
      <w:r w:rsidRPr="009421C9">
        <w:rPr>
          <w:rFonts w:ascii="Simplified Arabic" w:hAnsi="Simplified Arabic" w:cs="Simplified Arabic"/>
          <w:color w:val="EE0000"/>
          <w:sz w:val="28"/>
          <w:szCs w:val="28"/>
          <w:rtl/>
        </w:rPr>
        <w:t>وجذر متوسط مربعات البواقي المعياري</w:t>
      </w:r>
      <w:r w:rsidRPr="009421C9">
        <w:rPr>
          <w:rFonts w:ascii="Simplified Arabic" w:hAnsi="Simplified Arabic" w:cs="Simplified Arabic"/>
          <w:color w:val="EE0000"/>
          <w:sz w:val="28"/>
          <w:szCs w:val="28"/>
        </w:rPr>
        <w:t xml:space="preserve"> (SRMR) 0.08.</w:t>
      </w:r>
    </w:p>
    <w:p w14:paraId="65EFBA45"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 xml:space="preserve">وتستكمل الباحثة التحقق من جودة القياس بفحص الصدق </w:t>
      </w:r>
      <w:proofErr w:type="spellStart"/>
      <w:r w:rsidRPr="009421C9">
        <w:rPr>
          <w:rFonts w:ascii="Simplified Arabic" w:hAnsi="Simplified Arabic" w:cs="Simplified Arabic"/>
          <w:color w:val="EE0000"/>
          <w:sz w:val="28"/>
          <w:szCs w:val="28"/>
          <w:rtl/>
        </w:rPr>
        <w:t>التقاربي</w:t>
      </w:r>
      <w:proofErr w:type="spellEnd"/>
      <w:r w:rsidRPr="009421C9">
        <w:rPr>
          <w:rFonts w:ascii="Simplified Arabic" w:hAnsi="Simplified Arabic" w:cs="Simplified Arabic"/>
          <w:color w:val="EE0000"/>
          <w:sz w:val="28"/>
          <w:szCs w:val="28"/>
          <w:rtl/>
        </w:rPr>
        <w:t xml:space="preserve"> والصدق التمييزي، إذ يُحسب متوسط التباين المُستخلَص </w:t>
      </w:r>
      <w:r w:rsidRPr="009421C9">
        <w:rPr>
          <w:rFonts w:ascii="Simplified Arabic" w:hAnsi="Simplified Arabic" w:cs="Simplified Arabic"/>
          <w:color w:val="EE0000"/>
          <w:sz w:val="28"/>
          <w:szCs w:val="28"/>
        </w:rPr>
        <w:t xml:space="preserve">(Average Variance Extracted) </w:t>
      </w:r>
      <w:r w:rsidRPr="009421C9">
        <w:rPr>
          <w:rFonts w:ascii="Simplified Arabic" w:hAnsi="Simplified Arabic" w:cs="Simplified Arabic"/>
          <w:color w:val="EE0000"/>
          <w:sz w:val="28"/>
          <w:szCs w:val="28"/>
          <w:rtl/>
        </w:rPr>
        <w:t xml:space="preserve">لكل بُعد بحيث يبلغ 0.50 فأعلى دلالةً على أن البُعد يُفسّر ما لا يقل عن نصف التباين في بنوده، ويُحسب الثبات المركب </w:t>
      </w:r>
      <w:r w:rsidRPr="009421C9">
        <w:rPr>
          <w:rFonts w:ascii="Simplified Arabic" w:hAnsi="Simplified Arabic" w:cs="Simplified Arabic"/>
          <w:color w:val="EE0000"/>
          <w:sz w:val="28"/>
          <w:szCs w:val="28"/>
        </w:rPr>
        <w:t xml:space="preserve">(Composite Reliability) </w:t>
      </w:r>
      <w:r w:rsidRPr="009421C9">
        <w:rPr>
          <w:rFonts w:ascii="Simplified Arabic" w:hAnsi="Simplified Arabic" w:cs="Simplified Arabic"/>
          <w:color w:val="EE0000"/>
          <w:sz w:val="28"/>
          <w:szCs w:val="28"/>
          <w:rtl/>
        </w:rPr>
        <w:t xml:space="preserve">بحيث يبلغ 0.70 فأعلى. أما الصدق التمييزي فيُختبر بمعيارين لتعزيز </w:t>
      </w:r>
      <w:proofErr w:type="spellStart"/>
      <w:r w:rsidRPr="009421C9">
        <w:rPr>
          <w:rFonts w:ascii="Simplified Arabic" w:hAnsi="Simplified Arabic" w:cs="Simplified Arabic"/>
          <w:color w:val="EE0000"/>
          <w:sz w:val="28"/>
          <w:szCs w:val="28"/>
          <w:rtl/>
        </w:rPr>
        <w:t>الوثوقية</w:t>
      </w:r>
      <w:proofErr w:type="spellEnd"/>
      <w:r w:rsidRPr="009421C9">
        <w:rPr>
          <w:rFonts w:ascii="Simplified Arabic" w:hAnsi="Simplified Arabic" w:cs="Simplified Arabic"/>
          <w:color w:val="EE0000"/>
          <w:sz w:val="28"/>
          <w:szCs w:val="28"/>
          <w:rtl/>
        </w:rPr>
        <w:t xml:space="preserve">؛ الأول هو معيار </w:t>
      </w:r>
      <w:proofErr w:type="spellStart"/>
      <w:r w:rsidRPr="009421C9">
        <w:rPr>
          <w:rFonts w:ascii="Simplified Arabic" w:hAnsi="Simplified Arabic" w:cs="Simplified Arabic"/>
          <w:color w:val="EE0000"/>
          <w:sz w:val="28"/>
          <w:szCs w:val="28"/>
          <w:rtl/>
        </w:rPr>
        <w:t>فورنيل</w:t>
      </w:r>
      <w:proofErr w:type="spellEnd"/>
      <w:r w:rsidRPr="009421C9">
        <w:rPr>
          <w:rFonts w:ascii="Simplified Arabic" w:hAnsi="Simplified Arabic" w:cs="Simplified Arabic"/>
          <w:color w:val="EE0000"/>
          <w:sz w:val="28"/>
          <w:szCs w:val="28"/>
          <w:rtl/>
        </w:rPr>
        <w:t xml:space="preserve"> </w:t>
      </w:r>
      <w:proofErr w:type="spellStart"/>
      <w:r w:rsidRPr="009421C9">
        <w:rPr>
          <w:rFonts w:ascii="Simplified Arabic" w:hAnsi="Simplified Arabic" w:cs="Simplified Arabic"/>
          <w:color w:val="EE0000"/>
          <w:sz w:val="28"/>
          <w:szCs w:val="28"/>
          <w:rtl/>
        </w:rPr>
        <w:t>ولاركر</w:t>
      </w:r>
      <w:proofErr w:type="spellEnd"/>
      <w:r w:rsidRPr="009421C9">
        <w:rPr>
          <w:rFonts w:ascii="Simplified Arabic" w:hAnsi="Simplified Arabic" w:cs="Simplified Arabic"/>
          <w:color w:val="EE0000"/>
          <w:sz w:val="28"/>
          <w:szCs w:val="28"/>
        </w:rPr>
        <w:t xml:space="preserve"> (Fornell &amp; Larcker, 1981) </w:t>
      </w:r>
      <w:r w:rsidRPr="009421C9">
        <w:rPr>
          <w:rFonts w:ascii="Simplified Arabic" w:hAnsi="Simplified Arabic" w:cs="Simplified Arabic"/>
          <w:color w:val="EE0000"/>
          <w:sz w:val="28"/>
          <w:szCs w:val="28"/>
          <w:rtl/>
        </w:rPr>
        <w:t>الذي يستوجب أن يتجاوز الجذر التربيعي لمتوسط التباين المُستخلَص قيمَ الارتباطات بين البُعد وسائر الأبعاد الأخرى، والثاني هو معيار نسبة الارتباط المتغاير إلى الأحادي</w:t>
      </w:r>
      <w:r w:rsidRPr="009421C9">
        <w:rPr>
          <w:rFonts w:ascii="Simplified Arabic" w:hAnsi="Simplified Arabic" w:cs="Simplified Arabic"/>
          <w:color w:val="EE0000"/>
          <w:sz w:val="28"/>
          <w:szCs w:val="28"/>
        </w:rPr>
        <w:t xml:space="preserve"> (HTMT) </w:t>
      </w:r>
      <w:r w:rsidRPr="009421C9">
        <w:rPr>
          <w:rFonts w:ascii="Simplified Arabic" w:hAnsi="Simplified Arabic" w:cs="Simplified Arabic"/>
          <w:color w:val="EE0000"/>
          <w:sz w:val="28"/>
          <w:szCs w:val="28"/>
          <w:rtl/>
        </w:rPr>
        <w:t xml:space="preserve">الذي طوّره </w:t>
      </w:r>
      <w:proofErr w:type="spellStart"/>
      <w:r w:rsidRPr="009421C9">
        <w:rPr>
          <w:rFonts w:ascii="Simplified Arabic" w:hAnsi="Simplified Arabic" w:cs="Simplified Arabic"/>
          <w:color w:val="EE0000"/>
          <w:sz w:val="28"/>
          <w:szCs w:val="28"/>
          <w:rtl/>
        </w:rPr>
        <w:t>هينسلر</w:t>
      </w:r>
      <w:proofErr w:type="spellEnd"/>
      <w:r w:rsidRPr="009421C9">
        <w:rPr>
          <w:rFonts w:ascii="Simplified Arabic" w:hAnsi="Simplified Arabic" w:cs="Simplified Arabic"/>
          <w:color w:val="EE0000"/>
          <w:sz w:val="28"/>
          <w:szCs w:val="28"/>
          <w:rtl/>
        </w:rPr>
        <w:t xml:space="preserve"> وزملاؤه</w:t>
      </w:r>
      <w:r w:rsidRPr="009421C9">
        <w:rPr>
          <w:rFonts w:ascii="Simplified Arabic" w:hAnsi="Simplified Arabic" w:cs="Simplified Arabic"/>
          <w:color w:val="EE0000"/>
          <w:sz w:val="28"/>
          <w:szCs w:val="28"/>
        </w:rPr>
        <w:t xml:space="preserve"> (Henseler et al., 2015) </w:t>
      </w:r>
      <w:r w:rsidRPr="009421C9">
        <w:rPr>
          <w:rFonts w:ascii="Simplified Arabic" w:hAnsi="Simplified Arabic" w:cs="Simplified Arabic"/>
          <w:color w:val="EE0000"/>
          <w:sz w:val="28"/>
          <w:szCs w:val="28"/>
          <w:rtl/>
        </w:rPr>
        <w:t>والذي يشترط ألا تتجاوز قيمته 0.85</w:t>
      </w:r>
      <w:r w:rsidRPr="009421C9">
        <w:rPr>
          <w:rFonts w:ascii="Simplified Arabic" w:hAnsi="Simplified Arabic" w:cs="Simplified Arabic"/>
          <w:color w:val="EE0000"/>
          <w:sz w:val="28"/>
          <w:szCs w:val="28"/>
        </w:rPr>
        <w:t>.</w:t>
      </w:r>
    </w:p>
    <w:p w14:paraId="38C9D9FC"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 xml:space="preserve">وفي المرحلة الأخيرة، تتحقق الباحثة من ثبات الأداة من خلال حساب معامل ألفا </w:t>
      </w:r>
      <w:proofErr w:type="spellStart"/>
      <w:r w:rsidRPr="009421C9">
        <w:rPr>
          <w:rFonts w:ascii="Simplified Arabic" w:hAnsi="Simplified Arabic" w:cs="Simplified Arabic"/>
          <w:color w:val="EE0000"/>
          <w:sz w:val="28"/>
          <w:szCs w:val="28"/>
          <w:rtl/>
        </w:rPr>
        <w:t>كرونباخ</w:t>
      </w:r>
      <w:proofErr w:type="spellEnd"/>
      <w:r w:rsidRPr="009421C9">
        <w:rPr>
          <w:rFonts w:ascii="Simplified Arabic" w:hAnsi="Simplified Arabic" w:cs="Simplified Arabic"/>
          <w:color w:val="EE0000"/>
          <w:sz w:val="28"/>
          <w:szCs w:val="28"/>
        </w:rPr>
        <w:t xml:space="preserve"> (Cronbach's Alpha) </w:t>
      </w:r>
      <w:r w:rsidRPr="009421C9">
        <w:rPr>
          <w:rFonts w:ascii="Simplified Arabic" w:hAnsi="Simplified Arabic" w:cs="Simplified Arabic"/>
          <w:color w:val="EE0000"/>
          <w:sz w:val="28"/>
          <w:szCs w:val="28"/>
          <w:rtl/>
        </w:rPr>
        <w:t>لكل بُعد من أبعاد الاستبانة وللأداة ككل، ويُقبل عند بلوغ قيمة 0.70 فأعلى، ويُدعَّم هذا المؤشر بحساب الثبات المركب لتوفير تحقق مزدوج من موثوقية القياس، إذ يُعدّ الثبات المركب أكثر دقة في النماذج البنائية المعقدة كنموذج الدراسة الحالية</w:t>
      </w:r>
      <w:r w:rsidRPr="009421C9">
        <w:rPr>
          <w:rFonts w:ascii="Simplified Arabic" w:hAnsi="Simplified Arabic" w:cs="Simplified Arabic"/>
          <w:color w:val="EE0000"/>
          <w:sz w:val="28"/>
          <w:szCs w:val="28"/>
        </w:rPr>
        <w:t>.</w:t>
      </w:r>
    </w:p>
    <w:p w14:paraId="32BC681F"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lastRenderedPageBreak/>
        <w:t>وتضمن هذه الإجراءات المتتابعة والمتكاملة بناء أداة قياس تتمتع بمستويات عالية من الصدق والثبات، وتتوافق مع المعايير المنهجية الدولية المعتمدة في الدراسات المعاصرة التي تُوظّف نمذجة المعادلات الهيكلية، بما يُعزّز الثقة في النتائج التي ستُبنى عليها استنتاجات الدراسة وتوصياتها</w:t>
      </w:r>
      <w:r w:rsidRPr="009421C9">
        <w:rPr>
          <w:rFonts w:ascii="Simplified Arabic" w:hAnsi="Simplified Arabic" w:cs="Simplified Arabic"/>
          <w:color w:val="EE0000"/>
          <w:sz w:val="28"/>
          <w:szCs w:val="28"/>
        </w:rPr>
        <w:t>.</w:t>
      </w:r>
    </w:p>
    <w:p w14:paraId="74E306F6" w14:textId="7E12AADB"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بروتوكول المقابلات المعمقة شبه المنظمة</w:t>
      </w:r>
      <w:r w:rsidRPr="009421C9">
        <w:rPr>
          <w:rFonts w:ascii="Simplified Arabic" w:hAnsi="Simplified Arabic" w:cs="Simplified Arabic"/>
          <w:b/>
          <w:bCs/>
          <w:color w:val="EE0000"/>
          <w:sz w:val="28"/>
          <w:szCs w:val="28"/>
        </w:rPr>
        <w:t>:</w:t>
      </w:r>
    </w:p>
    <w:p w14:paraId="448EF3D1"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أولاً: معايير اختيار المشاركين</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تُختار عينة قصدية</w:t>
      </w:r>
      <w:r w:rsidRPr="009421C9">
        <w:rPr>
          <w:rFonts w:ascii="Simplified Arabic" w:hAnsi="Simplified Arabic" w:cs="Simplified Arabic"/>
          <w:color w:val="EE0000"/>
          <w:sz w:val="28"/>
          <w:szCs w:val="28"/>
        </w:rPr>
        <w:t xml:space="preserve"> (Purposive Sampling) </w:t>
      </w:r>
      <w:r w:rsidRPr="009421C9">
        <w:rPr>
          <w:rFonts w:ascii="Simplified Arabic" w:hAnsi="Simplified Arabic" w:cs="Simplified Arabic"/>
          <w:color w:val="EE0000"/>
          <w:sz w:val="28"/>
          <w:szCs w:val="28"/>
          <w:rtl/>
        </w:rPr>
        <w:t>من 18 إلى 24 مشاركاً موزّعين بواقع 8 مشاركين من الطبقة الأولى، و6 من الطبقة الثانية، و6 من الطبقة الثالثة، إضافة إلى 4 مشاركين احتياطيين. ويُشترط في المشارك تحقق المعايير الآتية</w:t>
      </w:r>
      <w:r w:rsidRPr="009421C9">
        <w:rPr>
          <w:rFonts w:ascii="Simplified Arabic" w:hAnsi="Simplified Arabic" w:cs="Simplified Arabic"/>
          <w:color w:val="EE0000"/>
          <w:sz w:val="28"/>
          <w:szCs w:val="28"/>
        </w:rPr>
        <w:t>:</w:t>
      </w:r>
    </w:p>
    <w:p w14:paraId="3B2C7ADC"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الخبرة الوظيفية في المؤسسة الحالية لا تقل عن خمس سنوات</w:t>
      </w:r>
      <w:r w:rsidRPr="009421C9">
        <w:rPr>
          <w:rFonts w:ascii="Simplified Arabic" w:hAnsi="Simplified Arabic" w:cs="Simplified Arabic"/>
          <w:color w:val="EE0000"/>
          <w:sz w:val="28"/>
          <w:szCs w:val="28"/>
        </w:rPr>
        <w:t>.</w:t>
      </w:r>
    </w:p>
    <w:p w14:paraId="34720CE9"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شغل منصب قيادي أو إشرافي في إحدى الإدارات الآتية: التحول الرقمي، تقنية المعلومات، العمليات، الاستراتيجية، أو إدارة البيانات</w:t>
      </w:r>
      <w:r w:rsidRPr="009421C9">
        <w:rPr>
          <w:rFonts w:ascii="Simplified Arabic" w:hAnsi="Simplified Arabic" w:cs="Simplified Arabic"/>
          <w:color w:val="EE0000"/>
          <w:sz w:val="28"/>
          <w:szCs w:val="28"/>
        </w:rPr>
        <w:t>.</w:t>
      </w:r>
    </w:p>
    <w:p w14:paraId="166608F5"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المشاركة الفعلية في مبادرة أو مشروع لتطبيق الذكاء الاصطناعي أو الأتمتة الذكية خلال العامين الأخيرين</w:t>
      </w:r>
      <w:r w:rsidRPr="009421C9">
        <w:rPr>
          <w:rFonts w:ascii="Simplified Arabic" w:hAnsi="Simplified Arabic" w:cs="Simplified Arabic"/>
          <w:color w:val="EE0000"/>
          <w:sz w:val="28"/>
          <w:szCs w:val="28"/>
        </w:rPr>
        <w:t>.</w:t>
      </w:r>
    </w:p>
    <w:p w14:paraId="63726F53"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الاستعداد لمنح مقابلة تتراوح مدتها بين 60 و90 دقيقة</w:t>
      </w:r>
      <w:r w:rsidRPr="009421C9">
        <w:rPr>
          <w:rFonts w:ascii="Simplified Arabic" w:hAnsi="Simplified Arabic" w:cs="Simplified Arabic"/>
          <w:color w:val="EE0000"/>
          <w:sz w:val="28"/>
          <w:szCs w:val="28"/>
        </w:rPr>
        <w:t>.</w:t>
      </w:r>
    </w:p>
    <w:p w14:paraId="3825B891"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ثانياً: بناء دليل المقابلة</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يُصمَّم دليل المقابلة وفق منهجية</w:t>
      </w:r>
      <w:r w:rsidRPr="009421C9">
        <w:rPr>
          <w:rFonts w:ascii="Simplified Arabic" w:hAnsi="Simplified Arabic" w:cs="Simplified Arabic"/>
          <w:color w:val="EE0000"/>
          <w:sz w:val="28"/>
          <w:szCs w:val="28"/>
        </w:rPr>
        <w:t xml:space="preserve"> (Kallio et al., 2016) </w:t>
      </w:r>
      <w:r w:rsidRPr="009421C9">
        <w:rPr>
          <w:rFonts w:ascii="Simplified Arabic" w:hAnsi="Simplified Arabic" w:cs="Simplified Arabic"/>
          <w:color w:val="EE0000"/>
          <w:sz w:val="28"/>
          <w:szCs w:val="28"/>
          <w:rtl/>
        </w:rPr>
        <w:t>عبر خمس خطوات</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تحديد المتطلبات المسبقة، مراجعة المعرفة السابقة، صياغة الدليل الأولي، اختباره تجريبياً مع ثلاثة مشاركين، ثم تعديله للصيغة النهائية. ويتضمن الدليل أربعة محاور</w:t>
      </w:r>
      <w:r w:rsidRPr="009421C9">
        <w:rPr>
          <w:rFonts w:ascii="Simplified Arabic" w:hAnsi="Simplified Arabic" w:cs="Simplified Arabic"/>
          <w:color w:val="EE0000"/>
          <w:sz w:val="28"/>
          <w:szCs w:val="28"/>
        </w:rPr>
        <w:t>:</w:t>
      </w:r>
    </w:p>
    <w:p w14:paraId="1A265E5B"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التمهيدي: خلفية المشارك وتجربته المؤسسية مع الذكاء الاصطناعي (5 أسئلة)</w:t>
      </w:r>
      <w:r w:rsidRPr="009421C9">
        <w:rPr>
          <w:rFonts w:ascii="Simplified Arabic" w:hAnsi="Simplified Arabic" w:cs="Simplified Arabic"/>
          <w:color w:val="EE0000"/>
          <w:sz w:val="28"/>
          <w:szCs w:val="28"/>
        </w:rPr>
        <w:t>.</w:t>
      </w:r>
    </w:p>
    <w:p w14:paraId="4CFE8E11" w14:textId="741F960B"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التفسيري: أسئلة موجّهة لتفسير الأنماط الإحصائية غير المتوقعة الظاهرة في المرحلة الكمية (6-8 أسئلة تُصاغ بعد إتمام التحليل الكمي</w:t>
      </w:r>
      <w:r>
        <w:rPr>
          <w:rFonts w:ascii="Simplified Arabic" w:hAnsi="Simplified Arabic" w:cs="Simplified Arabic" w:hint="cs"/>
          <w:color w:val="EE0000"/>
          <w:sz w:val="28"/>
          <w:szCs w:val="28"/>
          <w:rtl/>
        </w:rPr>
        <w:t>)</w:t>
      </w:r>
      <w:r w:rsidRPr="009421C9">
        <w:rPr>
          <w:rFonts w:ascii="Simplified Arabic" w:hAnsi="Simplified Arabic" w:cs="Simplified Arabic"/>
          <w:color w:val="EE0000"/>
          <w:sz w:val="28"/>
          <w:szCs w:val="28"/>
        </w:rPr>
        <w:t>.</w:t>
      </w:r>
    </w:p>
    <w:p w14:paraId="5C9D072D"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الاستكشافي: التحديات التنظيمية والثقافية والتشريعية، والعوامل الميسِّرة والمعيقة (7 أسئلة)</w:t>
      </w:r>
      <w:r w:rsidRPr="009421C9">
        <w:rPr>
          <w:rFonts w:ascii="Simplified Arabic" w:hAnsi="Simplified Arabic" w:cs="Simplified Arabic"/>
          <w:color w:val="EE0000"/>
          <w:sz w:val="28"/>
          <w:szCs w:val="28"/>
        </w:rPr>
        <w:t>.</w:t>
      </w:r>
    </w:p>
    <w:p w14:paraId="0F2943DC"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الاستشرافي: الرؤية المستقبلية والدروس المستفادة والتوصيات (4 أسئلة)</w:t>
      </w:r>
      <w:r w:rsidRPr="009421C9">
        <w:rPr>
          <w:rFonts w:ascii="Simplified Arabic" w:hAnsi="Simplified Arabic" w:cs="Simplified Arabic"/>
          <w:color w:val="EE0000"/>
          <w:sz w:val="28"/>
          <w:szCs w:val="28"/>
        </w:rPr>
        <w:t>.</w:t>
      </w:r>
    </w:p>
    <w:p w14:paraId="3D1D01B9"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lastRenderedPageBreak/>
        <w:t>ثالثاً: إجراءات تطبيق المقابلة</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تُسجَّل المقابلات صوتياً بموافقة المشارك الخطية، وتُفرَّغ نصياً خلال 48 ساعة، وتُرسَل النسخة المفرَّغة إلى المشارك للتحقق منها</w:t>
      </w:r>
      <w:r w:rsidRPr="009421C9">
        <w:rPr>
          <w:rFonts w:ascii="Simplified Arabic" w:hAnsi="Simplified Arabic" w:cs="Simplified Arabic"/>
          <w:color w:val="EE0000"/>
          <w:sz w:val="28"/>
          <w:szCs w:val="28"/>
        </w:rPr>
        <w:t xml:space="preserve"> (Member Checking) </w:t>
      </w:r>
      <w:r w:rsidRPr="009421C9">
        <w:rPr>
          <w:rFonts w:ascii="Simplified Arabic" w:hAnsi="Simplified Arabic" w:cs="Simplified Arabic"/>
          <w:color w:val="EE0000"/>
          <w:sz w:val="28"/>
          <w:szCs w:val="28"/>
          <w:rtl/>
        </w:rPr>
        <w:t>قبل التحليل. وتُجرى المقابلات في مكان يختاره المشارك ضماناً لراحته وحرية التعبير</w:t>
      </w:r>
      <w:r w:rsidRPr="009421C9">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Default="00297B1D" w:rsidP="00297B1D">
      <w:pPr>
        <w:ind w:firstLine="720"/>
        <w:jc w:val="both"/>
        <w:rPr>
          <w:rFonts w:ascii="Simplified Arabic" w:hAnsi="Simplified Arabic" w:cs="Simplified Arabic"/>
          <w:sz w:val="28"/>
          <w:szCs w:val="28"/>
          <w:rtl/>
        </w:rPr>
      </w:pPr>
      <w:r w:rsidRPr="00297B1D">
        <w:rPr>
          <w:rFonts w:ascii="Simplified Arabic" w:hAnsi="Simplified Arabic" w:cs="Simplified Arabic"/>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w:t>
      </w:r>
      <w:proofErr w:type="spellStart"/>
      <w:r w:rsidRPr="00297B1D">
        <w:rPr>
          <w:rFonts w:ascii="Simplified Arabic" w:hAnsi="Simplified Arabic" w:cs="Simplified Arabic"/>
          <w:sz w:val="28"/>
          <w:szCs w:val="28"/>
          <w:rtl/>
        </w:rPr>
        <w:t>سدايا</w:t>
      </w:r>
      <w:proofErr w:type="spellEnd"/>
      <w:r w:rsidRPr="00297B1D">
        <w:rPr>
          <w:rFonts w:ascii="Simplified Arabic" w:hAnsi="Simplified Arabic" w:cs="Simplified Arabic"/>
          <w:sz w:val="28"/>
          <w:szCs w:val="28"/>
          <w:rtl/>
        </w:rPr>
        <w:t>)</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3F4F6428"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rtl/>
        </w:rPr>
        <w:t>تُدر</w:t>
      </w:r>
      <w:r w:rsidRPr="00395C32">
        <w:rPr>
          <w:rFonts w:ascii="Simplified Arabic" w:hAnsi="Simplified Arabic" w:cs="Simplified Arabic"/>
          <w:sz w:val="28"/>
          <w:szCs w:val="28"/>
          <w:highlight w:val="yellow"/>
          <w:rtl/>
        </w:rPr>
        <w:t>ك الباحثة أن حساسية إجراء البحث داخل المؤسسات الحكومية الكبرى تستوجب تجاوز الإشارات العامة إلى "الحصول على تصاريح" التي تكتفي بها كثير من مقترحات البحث، والانتقال إلى خطة تنفيذية واضحة تُثبت الجدوى العملية للدراسة قبل الشروع في تنفيذها. ولذلك تعتمد الباحثة على منظومة متكاملة من الإجراءات تشمل خطة وصول ميداني متعددة المسارات، وبروتوكولاً محدداً للتعامل مع البيانات الحساسة، وخطط طوارئ صريحة للتعامل مع المخاطر البحثية المحتملة</w:t>
      </w:r>
      <w:r w:rsidRPr="00395C32">
        <w:rPr>
          <w:rFonts w:ascii="Simplified Arabic" w:hAnsi="Simplified Arabic" w:cs="Simplified Arabic"/>
          <w:sz w:val="28"/>
          <w:szCs w:val="28"/>
          <w:highlight w:val="yellow"/>
        </w:rPr>
        <w:t>.</w:t>
      </w:r>
    </w:p>
    <w:p w14:paraId="63C230A4"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فيما يتعلق بحالة تصاريح الوصول، تمر عملية الحصول عليها بأربع مراحل متتابعة تعكس المسار العملي المتوقع. تبدأ المرحلة الأولى بالموافقات المبدئية التي تم الحصول عليها بالفعل بصورة شفوية من جهات الاتصال داخل المؤسسات المستهدفة عبر شبكة العلاقات المهنية للباحثة والمشرف، مع توثيق ذلك في محاضر اجتماعات تمهيدية. وتنتقل المرحلة الثانية إلى إعداد خطاب تسهيل المهمة الرسمي الصادر من جامعة ميد أوشن باسم الباحثة والموجَّه إلى الأمانات العامة للمؤسسات المستهدفة، متضمناً أهداف الدراسة والفترة الزمنية المتوقعة وأنواع البيانات المطلوبة. وتُخصَّص المرحلة الثالثة للحصول على الموافقات الرسمية عبر البوابات المؤسسية المخصصة كمنصة "مشاركة" لبعض الجهات والقنوات الرسمية للأخرى، مع إرفاق البروتوكول البحثي كاملاً وموافقة لجنة أخلاقيات البحث العلمي، ويُخطَّط لهذه المرحلة خلال </w:t>
      </w:r>
      <w:r w:rsidRPr="00395C32">
        <w:rPr>
          <w:rFonts w:ascii="Simplified Arabic" w:hAnsi="Simplified Arabic" w:cs="Simplified Arabic"/>
          <w:sz w:val="28"/>
          <w:szCs w:val="28"/>
          <w:highlight w:val="yellow"/>
          <w:rtl/>
        </w:rPr>
        <w:lastRenderedPageBreak/>
        <w:t>الربع الأول من عام 2025م. أما المرحلة الرابعة فتتمثل في التنفيذ الميداني الفعلي بعد استكمال الموافقات، عبر منسقين معيَّنين داخل كل مؤسسة، ويُخطَّط لها خلال الربع الثاني والثالث من عام 2025م</w:t>
      </w:r>
      <w:r w:rsidRPr="00395C32">
        <w:rPr>
          <w:rFonts w:ascii="Simplified Arabic" w:hAnsi="Simplified Arabic" w:cs="Simplified Arabic"/>
          <w:sz w:val="28"/>
          <w:szCs w:val="28"/>
          <w:highlight w:val="yellow"/>
        </w:rPr>
        <w:t>.</w:t>
      </w:r>
    </w:p>
    <w:p w14:paraId="2BD0E2D0"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وتُحدد الباحثة المؤسسات المستهدفة بالاسم لا على سبيل المثال، وتشمل هذه المؤسسات وزارة الصحة ممثَّلةً في الإدارة العامة للتحول الرقمي وإدارات العمليات المركزية، ووزارة الموارد البشرية والتنمية الاجتماعية ممثَّلةً في وكالة التحول المؤسسي، ووزارة النقل والخدمات اللوجستية ممثَّلةً في المركز الوطني لسلاسل الإمداد، وقطاعات الخدمات المدنية في وزارة الداخلية بما فيها الأحوال المدنية والجوازات والمرور، والهيئة السعودية للبيانات والذكاء الاصطناعي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وهيئة الحكومة الرقمية</w:t>
      </w:r>
      <w:r w:rsidRPr="00395C32">
        <w:rPr>
          <w:rFonts w:ascii="Simplified Arabic" w:hAnsi="Simplified Arabic" w:cs="Simplified Arabic"/>
          <w:sz w:val="28"/>
          <w:szCs w:val="28"/>
          <w:highlight w:val="yellow"/>
        </w:rPr>
        <w:t>.</w:t>
      </w:r>
    </w:p>
    <w:p w14:paraId="079A1A3C"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وفيما يخص بروتوكول التعامل مع البيانات الحساسة، تلتزم الدراسة بأربع طبقات من الحماية تتكامل فيما بينها. تتمثل الطبقة الأولى في الامتثال التشريعي الكامل لنظام حماية البيانات الشخصية السعودي الصادر بالمرسوم الملكي رقم م/19 لعام 1443هـ، ولوائح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xml:space="preserve"> المنظِّمة للبحث العلمي في مجال الذكاء الاصطناعي. وتتمثل الطبقة الثانية في إخفاء الهوية</w:t>
      </w:r>
      <w:r w:rsidRPr="00395C32">
        <w:rPr>
          <w:rFonts w:ascii="Simplified Arabic" w:hAnsi="Simplified Arabic" w:cs="Simplified Arabic"/>
          <w:sz w:val="28"/>
          <w:szCs w:val="28"/>
          <w:highlight w:val="yellow"/>
        </w:rPr>
        <w:t xml:space="preserve"> (Anonymization) </w:t>
      </w:r>
      <w:r w:rsidRPr="00395C32">
        <w:rPr>
          <w:rFonts w:ascii="Simplified Arabic" w:hAnsi="Simplified Arabic" w:cs="Simplified Arabic"/>
          <w:sz w:val="28"/>
          <w:szCs w:val="28"/>
          <w:highlight w:val="yellow"/>
          <w:rtl/>
        </w:rPr>
        <w:t xml:space="preserve">عبر فصل بيانات الهوية عن بيانات الاستجابة فور استلام الاستبانة، واستبدال الأسماء والمناصب برموز رقمية، وحفظ مفاتيح فك الترميز في ملف مشفَّر منفصل يُتلَف بعد إتمام تحليل البيانات. وتتمثل الطبقة الثالثة في التخزين الآمن للبيانات على خوادم مشفَّرة داخل حدود المملكة العربية السعودية وفقاً لمتطلبات إقامة البيانات </w:t>
      </w:r>
      <w:r w:rsidRPr="00395C32">
        <w:rPr>
          <w:rFonts w:ascii="Simplified Arabic" w:hAnsi="Simplified Arabic" w:cs="Simplified Arabic"/>
          <w:sz w:val="28"/>
          <w:szCs w:val="28"/>
          <w:highlight w:val="yellow"/>
        </w:rPr>
        <w:t>(Data Residency)</w:t>
      </w:r>
      <w:r w:rsidRPr="00395C32">
        <w:rPr>
          <w:rFonts w:ascii="Simplified Arabic" w:hAnsi="Simplified Arabic" w:cs="Simplified Arabic"/>
          <w:sz w:val="28"/>
          <w:szCs w:val="28"/>
          <w:highlight w:val="yellow"/>
          <w:rtl/>
        </w:rPr>
        <w:t>، مع صلاحيات وصول محدودة للباحثة والمشرف حصراً. أما الطبقة الرابعة فتتمثل في الإتلاف المُنظَّم للبيانات الأولية بعد خمس سنوات من نشر الأطروحة، وفق البروتوكول المعتمد من لجنة أخلاقيات البحث العلمي</w:t>
      </w:r>
      <w:r w:rsidRPr="00395C32">
        <w:rPr>
          <w:rFonts w:ascii="Simplified Arabic" w:hAnsi="Simplified Arabic" w:cs="Simplified Arabic"/>
          <w:sz w:val="28"/>
          <w:szCs w:val="28"/>
          <w:highlight w:val="yellow"/>
        </w:rPr>
        <w:t>.</w:t>
      </w:r>
    </w:p>
    <w:p w14:paraId="3DED2D04"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وتُعدّ الباحثة أربع خطط طوارئ متدرجة للتعامل مع أي تعذُّر في الوصول الميداني. تتمثل الخطة الأولى في الاستبدال داخل الفئة نفسها، بحيث تُستبدل أي مؤسسة يتعذَّر الوصول إليها بمؤسسة مماثلة داخل الفئة ذاتها، فإذا تعذَّر الوصول إلى وزارة النقل يُلجأ إلى وزارة الاتصالات وتقنية المعلومات كبديل ضمن الفئة الأولى. وتتمثل الخطة الثانية في تقليص العينة مع الحفاظ على التمثيل، بحيث يُقلَّص حجم العينة من الفئة المتعذَّرة مع الاحتفاظ بالحد الأدنى الإحصائي المطلوب، ويُعوَّض ذلك بتوسيع العينة في الفئتين الأخريين. وتتمثل الخطة الثالثة في التحوّل إلى الشبكات المهنية عبر منصات مثل </w:t>
      </w:r>
      <w:proofErr w:type="spellStart"/>
      <w:r w:rsidRPr="00395C32">
        <w:rPr>
          <w:rFonts w:ascii="Simplified Arabic" w:hAnsi="Simplified Arabic" w:cs="Simplified Arabic"/>
          <w:sz w:val="28"/>
          <w:szCs w:val="28"/>
          <w:highlight w:val="yellow"/>
          <w:rtl/>
        </w:rPr>
        <w:t>لينكدإن</w:t>
      </w:r>
      <w:proofErr w:type="spellEnd"/>
      <w:r w:rsidRPr="00395C32">
        <w:rPr>
          <w:rFonts w:ascii="Simplified Arabic" w:hAnsi="Simplified Arabic" w:cs="Simplified Arabic"/>
          <w:sz w:val="28"/>
          <w:szCs w:val="28"/>
          <w:highlight w:val="yellow"/>
          <w:rtl/>
        </w:rPr>
        <w:t xml:space="preserve"> وجمعية الحكومة الرقمية السعودية للوصول إلى المشاركين المؤهلين، مع الحفاظ الصارم على معايير الاختيار </w:t>
      </w:r>
      <w:r w:rsidRPr="00395C32">
        <w:rPr>
          <w:rFonts w:ascii="Simplified Arabic" w:hAnsi="Simplified Arabic" w:cs="Simplified Arabic"/>
          <w:sz w:val="28"/>
          <w:szCs w:val="28"/>
          <w:highlight w:val="yellow"/>
          <w:rtl/>
        </w:rPr>
        <w:lastRenderedPageBreak/>
        <w:t>الأصلية. أما الخطة الرابعة والأخيرة فتتمثل في إعادة تعريف نطاق الدراسة للتركيز على المؤسسات التي أُتيح الوصول إليها فعلياً، مع توضيح ذلك في حدود الدراسة وتعديل قابلية تعميم النتائج بشفافية علمية</w:t>
      </w:r>
      <w:r w:rsidRPr="00395C32">
        <w:rPr>
          <w:rFonts w:ascii="Simplified Arabic" w:hAnsi="Simplified Arabic" w:cs="Simplified Arabic"/>
          <w:sz w:val="28"/>
          <w:szCs w:val="28"/>
          <w:highlight w:val="yellow"/>
        </w:rPr>
        <w:t>.</w:t>
      </w:r>
    </w:p>
    <w:p w14:paraId="4EE4B54A" w14:textId="77777777" w:rsidR="00395C32" w:rsidRPr="00395C32" w:rsidRDefault="00395C32" w:rsidP="00395C32">
      <w:pPr>
        <w:ind w:firstLine="720"/>
        <w:jc w:val="both"/>
        <w:rPr>
          <w:rFonts w:ascii="Simplified Arabic" w:hAnsi="Simplified Arabic" w:cs="Simplified Arabic"/>
          <w:sz w:val="28"/>
          <w:szCs w:val="28"/>
        </w:rPr>
      </w:pPr>
      <w:r w:rsidRPr="00395C32">
        <w:rPr>
          <w:rFonts w:ascii="Simplified Arabic" w:hAnsi="Simplified Arabic" w:cs="Simplified Arabic"/>
          <w:sz w:val="28"/>
          <w:szCs w:val="28"/>
          <w:highlight w:val="yellow"/>
          <w:rtl/>
        </w:rPr>
        <w:t xml:space="preserve">وتُدير الباحثة المخاطر البحثية المحتملة وفق تقييم منهجي يشمل أبرزها ويُحدد خطة معالجة لكلٍّ منها. فمخاطر تأخر التصاريح الرسمية عن الموعد المخطَّط تُعالَج بالبدء المبكر بإجراءات التصاريح قبل ستة أشهر من موعد جمع البيانات وتفعيل مسارات متوازية، ومخاطر انخفاض معدل الاستجابة عن 50% تُعالَج بزيادة العينة المُوزَّعة وتعيين منسقين داخل كل مؤسسة والمتابعة الأسبوعية المنتظمة، ومخاطر تحفُّظ القياديين في المقابلات النوعية تُعالَج بضمان السرية التامة كتابياً وتجنب الأسئلة السياسية الحساسة وإتاحة خيار المقابلة عن بُعد، ومخاطر تغيُّر السياسات الحكومية أثناء الدراسة تُعالَج بالتوثيق الدقيق للسياق الزمني وإدراج ذلك ضمن حدود الدراسة والتفاعل السريع مع المستجدات، ومخاطر صعوبة إتمام جولات دلفي في الوقت المناسب تُعالَج بتحديد محكمين احتياطيين واعتماد التحكيم الإلكتروني عبر منصة مخصصة وتحديد جدول زمني صارم، ومخاطر فقدان البيانات الرقمية بسبب أعطال تقنية تُعالَج بالنسخ الاحتياطي اليومي على ثلاثة مصادر مستقلة تشمل التخزين </w:t>
      </w:r>
      <w:proofErr w:type="spellStart"/>
      <w:r w:rsidRPr="00395C32">
        <w:rPr>
          <w:rFonts w:ascii="Simplified Arabic" w:hAnsi="Simplified Arabic" w:cs="Simplified Arabic"/>
          <w:sz w:val="28"/>
          <w:szCs w:val="28"/>
          <w:highlight w:val="yellow"/>
          <w:rtl/>
        </w:rPr>
        <w:t>السحابي</w:t>
      </w:r>
      <w:proofErr w:type="spellEnd"/>
      <w:r w:rsidRPr="00395C32">
        <w:rPr>
          <w:rFonts w:ascii="Simplified Arabic" w:hAnsi="Simplified Arabic" w:cs="Simplified Arabic"/>
          <w:sz w:val="28"/>
          <w:szCs w:val="28"/>
          <w:highlight w:val="yellow"/>
          <w:rtl/>
        </w:rPr>
        <w:t xml:space="preserve"> المحلي والخادم الجامعي والقرص المشفَّر، ومخاطر رفض إحدى المؤسسات المشاركة بعد الموافقة المبدئية تُعالَج بتفعيل خطة الاستبدال داخل الفئة نفسها</w:t>
      </w:r>
      <w:r w:rsidRPr="00395C32">
        <w:rPr>
          <w:rFonts w:ascii="Simplified Arabic" w:hAnsi="Simplified Arabic" w:cs="Simplified Arabic"/>
          <w:sz w:val="28"/>
          <w:szCs w:val="28"/>
          <w:highlight w:val="yellow"/>
        </w:rPr>
        <w:t>.</w:t>
      </w:r>
    </w:p>
    <w:p w14:paraId="6B8842BE" w14:textId="77777777" w:rsidR="00395C32" w:rsidRPr="00395C32" w:rsidRDefault="00395C32" w:rsidP="00297B1D">
      <w:pPr>
        <w:ind w:firstLine="720"/>
        <w:jc w:val="both"/>
        <w:rPr>
          <w:rFonts w:ascii="Simplified Arabic" w:hAnsi="Simplified Arabic" w:cs="Simplified Arabic"/>
          <w:sz w:val="28"/>
          <w:szCs w:val="28"/>
        </w:rPr>
      </w:pP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6B205031" w14:textId="263F284A"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hint="cs"/>
          <w:sz w:val="28"/>
          <w:szCs w:val="28"/>
          <w:highlight w:val="yellow"/>
          <w:rtl/>
        </w:rPr>
        <w:t>ت</w:t>
      </w:r>
      <w:r w:rsidRPr="009421C9">
        <w:rPr>
          <w:rFonts w:ascii="Simplified Arabic" w:hAnsi="Simplified Arabic" w:cs="Simplified Arabic"/>
          <w:sz w:val="28"/>
          <w:szCs w:val="28"/>
          <w:highlight w:val="yellow"/>
          <w:rtl/>
        </w:rPr>
        <w:t>عتمد الدراسة على أسلوب العينة العشوائية الطبقية المتناسبة</w:t>
      </w:r>
      <w:r w:rsidRPr="009421C9">
        <w:rPr>
          <w:rFonts w:ascii="Simplified Arabic" w:hAnsi="Simplified Arabic" w:cs="Simplified Arabic"/>
          <w:sz w:val="28"/>
          <w:szCs w:val="28"/>
          <w:highlight w:val="yellow"/>
        </w:rPr>
        <w:t xml:space="preserve"> (Proportionate Stratified Random Sampling) </w:t>
      </w:r>
      <w:r w:rsidRPr="009421C9">
        <w:rPr>
          <w:rFonts w:ascii="Simplified Arabic" w:hAnsi="Simplified Arabic" w:cs="Simplified Arabic"/>
          <w:sz w:val="28"/>
          <w:szCs w:val="28"/>
          <w:highlight w:val="yellow"/>
          <w:rtl/>
        </w:rPr>
        <w:t>وفق إجراءات منهجية تفصيلية على النحو الآتي</w:t>
      </w:r>
      <w:r w:rsidRPr="009421C9">
        <w:rPr>
          <w:rFonts w:ascii="Simplified Arabic" w:hAnsi="Simplified Arabic" w:cs="Simplified Arabic"/>
          <w:sz w:val="28"/>
          <w:szCs w:val="28"/>
          <w:highlight w:val="yellow"/>
        </w:rPr>
        <w:t>:</w:t>
      </w:r>
    </w:p>
    <w:p w14:paraId="51B14802" w14:textId="5FF96DA1"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b/>
          <w:bCs/>
          <w:sz w:val="28"/>
          <w:szCs w:val="28"/>
          <w:highlight w:val="yellow"/>
          <w:rtl/>
        </w:rPr>
        <w:t xml:space="preserve">أولاً: </w:t>
      </w:r>
      <w:r w:rsidRPr="009421C9">
        <w:rPr>
          <w:rFonts w:ascii="Simplified Arabic" w:hAnsi="Simplified Arabic" w:cs="Simplified Arabic"/>
          <w:sz w:val="28"/>
          <w:szCs w:val="28"/>
          <w:highlight w:val="yellow"/>
          <w:rtl/>
        </w:rPr>
        <w:t>يُختار هذا الأسلوب لأن مجتمع الدراسة يتسم بتباين جوهري في طبيعة العمل ومستوى النضج الرقمي بين المؤسسات الحكومية، مما يستوجب ضمان تمثيل كل فئة بنسبتها الفعلية. ويُعتمد "الطابع الوظيفي للمؤسسة" معياراً لتقسيم الطبقات، إذ يُتوقع أن يختلف أثر الذكاء الاصطناعي على سلسلة القيمة التشغيلية باختلاف طبيعة الخدمة المُقدَّمة</w:t>
      </w:r>
      <w:r w:rsidRPr="009421C9">
        <w:rPr>
          <w:rFonts w:ascii="Simplified Arabic" w:hAnsi="Simplified Arabic" w:cs="Simplified Arabic"/>
          <w:sz w:val="28"/>
          <w:szCs w:val="28"/>
          <w:highlight w:val="yellow"/>
        </w:rPr>
        <w:t>.</w:t>
      </w:r>
    </w:p>
    <w:p w14:paraId="22345359" w14:textId="5138A9FE" w:rsidR="009421C9" w:rsidRPr="009421C9" w:rsidRDefault="009421C9" w:rsidP="009421C9">
      <w:pPr>
        <w:pStyle w:val="a6"/>
        <w:numPr>
          <w:ilvl w:val="0"/>
          <w:numId w:val="24"/>
        </w:numPr>
        <w:tabs>
          <w:tab w:val="num" w:pos="720"/>
        </w:tabs>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lastRenderedPageBreak/>
        <w:t xml:space="preserve">الطبقة </w:t>
      </w:r>
      <w:proofErr w:type="gramStart"/>
      <w:r w:rsidRPr="009421C9">
        <w:rPr>
          <w:rFonts w:ascii="Simplified Arabic" w:hAnsi="Simplified Arabic" w:cs="Simplified Arabic"/>
          <w:sz w:val="28"/>
          <w:szCs w:val="28"/>
          <w:highlight w:val="yellow"/>
          <w:rtl/>
        </w:rPr>
        <w:t>الأولى  الوزارات</w:t>
      </w:r>
      <w:proofErr w:type="gramEnd"/>
      <w:r w:rsidRPr="009421C9">
        <w:rPr>
          <w:rFonts w:ascii="Simplified Arabic" w:hAnsi="Simplified Arabic" w:cs="Simplified Arabic"/>
          <w:sz w:val="28"/>
          <w:szCs w:val="28"/>
          <w:highlight w:val="yellow"/>
          <w:rtl/>
        </w:rPr>
        <w:t xml:space="preserve"> الخدمية ذات التماس المباشر بالمستفيدين: وتشمل وزارة الصحة، وزارة الموارد البشرية والتنمية الاجتماعية، وزارة النقل والخدمات اللوجستية. ويُقدَّر حجمها بنحو 60% من مجتمع الدراسة</w:t>
      </w:r>
      <w:r w:rsidRPr="009421C9">
        <w:rPr>
          <w:rFonts w:ascii="Simplified Arabic" w:hAnsi="Simplified Arabic" w:cs="Simplified Arabic"/>
          <w:sz w:val="28"/>
          <w:szCs w:val="28"/>
          <w:highlight w:val="yellow"/>
        </w:rPr>
        <w:t>.</w:t>
      </w:r>
    </w:p>
    <w:p w14:paraId="4C6E450A" w14:textId="77777777" w:rsidR="009421C9" w:rsidRPr="009421C9" w:rsidRDefault="009421C9" w:rsidP="009421C9">
      <w:pPr>
        <w:numPr>
          <w:ilvl w:val="0"/>
          <w:numId w:val="24"/>
        </w:numPr>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t>الطبقة الثانية - الوزارات ذات الطابع السيادي: وتشمل قطاعات الخدمات المدنية في وزارة الداخلية. ويُقدَّر حجمها بنحو 25% من مجتمع الدراسة</w:t>
      </w:r>
      <w:r w:rsidRPr="009421C9">
        <w:rPr>
          <w:rFonts w:ascii="Simplified Arabic" w:hAnsi="Simplified Arabic" w:cs="Simplified Arabic"/>
          <w:sz w:val="28"/>
          <w:szCs w:val="28"/>
          <w:highlight w:val="yellow"/>
        </w:rPr>
        <w:t>.</w:t>
      </w:r>
    </w:p>
    <w:p w14:paraId="3D5B63F4" w14:textId="77777777" w:rsidR="009421C9" w:rsidRPr="009421C9" w:rsidRDefault="009421C9" w:rsidP="009421C9">
      <w:pPr>
        <w:numPr>
          <w:ilvl w:val="0"/>
          <w:numId w:val="24"/>
        </w:numPr>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t xml:space="preserve">الطبقة الثالثة - الهيئات المتخصصة في التحول الرقمي: وتشمل هيئة </w:t>
      </w:r>
      <w:proofErr w:type="spellStart"/>
      <w:r w:rsidRPr="009421C9">
        <w:rPr>
          <w:rFonts w:ascii="Simplified Arabic" w:hAnsi="Simplified Arabic" w:cs="Simplified Arabic"/>
          <w:sz w:val="28"/>
          <w:szCs w:val="28"/>
          <w:highlight w:val="yellow"/>
          <w:rtl/>
        </w:rPr>
        <w:t>سدايا</w:t>
      </w:r>
      <w:proofErr w:type="spellEnd"/>
      <w:r w:rsidRPr="009421C9">
        <w:rPr>
          <w:rFonts w:ascii="Simplified Arabic" w:hAnsi="Simplified Arabic" w:cs="Simplified Arabic"/>
          <w:sz w:val="28"/>
          <w:szCs w:val="28"/>
          <w:highlight w:val="yellow"/>
          <w:rtl/>
        </w:rPr>
        <w:t xml:space="preserve"> وهيئة الحكومة الرقمية. ويُقدَّر حجمها بنحو 15</w:t>
      </w:r>
      <w:r w:rsidRPr="009421C9">
        <w:rPr>
          <w:rFonts w:ascii="Simplified Arabic" w:hAnsi="Simplified Arabic" w:cs="Simplified Arabic"/>
          <w:sz w:val="28"/>
          <w:szCs w:val="28"/>
          <w:highlight w:val="yellow"/>
        </w:rPr>
        <w:t xml:space="preserve">% </w:t>
      </w:r>
      <w:r w:rsidRPr="009421C9">
        <w:rPr>
          <w:rFonts w:ascii="Simplified Arabic" w:hAnsi="Simplified Arabic" w:cs="Simplified Arabic"/>
          <w:sz w:val="28"/>
          <w:szCs w:val="28"/>
          <w:highlight w:val="yellow"/>
          <w:rtl/>
        </w:rPr>
        <w:t>من مجتمع الدراسة</w:t>
      </w:r>
      <w:r w:rsidRPr="009421C9">
        <w:rPr>
          <w:rFonts w:ascii="Simplified Arabic" w:hAnsi="Simplified Arabic" w:cs="Simplified Arabic"/>
          <w:sz w:val="28"/>
          <w:szCs w:val="28"/>
          <w:highlight w:val="yellow"/>
        </w:rPr>
        <w:t>.</w:t>
      </w:r>
    </w:p>
    <w:p w14:paraId="761660E1" w14:textId="76DFA8F0"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Pr>
        <w:t xml:space="preserve"> </w:t>
      </w:r>
      <w:r w:rsidRPr="009421C9">
        <w:rPr>
          <w:rFonts w:ascii="Simplified Arabic" w:hAnsi="Simplified Arabic" w:cs="Simplified Arabic"/>
          <w:sz w:val="28"/>
          <w:szCs w:val="28"/>
          <w:highlight w:val="yellow"/>
          <w:rtl/>
        </w:rPr>
        <w:t xml:space="preserve">استناداً إلى معادلة </w:t>
      </w:r>
      <w:proofErr w:type="spellStart"/>
      <w:r w:rsidRPr="009421C9">
        <w:rPr>
          <w:rFonts w:ascii="Simplified Arabic" w:hAnsi="Simplified Arabic" w:cs="Simplified Arabic"/>
          <w:sz w:val="28"/>
          <w:szCs w:val="28"/>
          <w:highlight w:val="yellow"/>
          <w:rtl/>
        </w:rPr>
        <w:t>كريجسي</w:t>
      </w:r>
      <w:proofErr w:type="spellEnd"/>
      <w:r w:rsidRPr="009421C9">
        <w:rPr>
          <w:rFonts w:ascii="Simplified Arabic" w:hAnsi="Simplified Arabic" w:cs="Simplified Arabic"/>
          <w:sz w:val="28"/>
          <w:szCs w:val="28"/>
          <w:highlight w:val="yellow"/>
          <w:rtl/>
        </w:rPr>
        <w:t xml:space="preserve"> ومورغان</w:t>
      </w:r>
      <w:r w:rsidRPr="009421C9">
        <w:rPr>
          <w:rFonts w:ascii="Simplified Arabic" w:hAnsi="Simplified Arabic" w:cs="Simplified Arabic"/>
          <w:sz w:val="28"/>
          <w:szCs w:val="28"/>
          <w:highlight w:val="yellow"/>
        </w:rPr>
        <w:t xml:space="preserve"> (</w:t>
      </w:r>
      <w:proofErr w:type="spellStart"/>
      <w:r w:rsidRPr="009421C9">
        <w:rPr>
          <w:rFonts w:ascii="Simplified Arabic" w:hAnsi="Simplified Arabic" w:cs="Simplified Arabic"/>
          <w:sz w:val="28"/>
          <w:szCs w:val="28"/>
          <w:highlight w:val="yellow"/>
        </w:rPr>
        <w:t>Krejcie</w:t>
      </w:r>
      <w:proofErr w:type="spellEnd"/>
      <w:r w:rsidRPr="009421C9">
        <w:rPr>
          <w:rFonts w:ascii="Simplified Arabic" w:hAnsi="Simplified Arabic" w:cs="Simplified Arabic"/>
          <w:sz w:val="28"/>
          <w:szCs w:val="28"/>
          <w:highlight w:val="yellow"/>
        </w:rPr>
        <w:t xml:space="preserve"> &amp; Morgan, 1970) </w:t>
      </w:r>
      <w:r w:rsidRPr="009421C9">
        <w:rPr>
          <w:rFonts w:ascii="Simplified Arabic" w:hAnsi="Simplified Arabic" w:cs="Simplified Arabic"/>
          <w:sz w:val="28"/>
          <w:szCs w:val="28"/>
          <w:highlight w:val="yellow"/>
          <w:rtl/>
        </w:rPr>
        <w:t xml:space="preserve">لمجتمع يتجاوز 100,000 مفردة، يبلغ الحد الأدنى المطلوب 384 مفردة عند مستوى ثقة </w:t>
      </w:r>
      <w:r w:rsidRPr="009421C9">
        <w:rPr>
          <w:rFonts w:ascii="Simplified Arabic" w:hAnsi="Simplified Arabic" w:cs="Simplified Arabic"/>
          <w:sz w:val="28"/>
          <w:szCs w:val="28"/>
          <w:highlight w:val="yellow"/>
        </w:rPr>
        <w:t xml:space="preserve">95% </w:t>
      </w:r>
      <w:r w:rsidRPr="009421C9">
        <w:rPr>
          <w:rFonts w:ascii="Simplified Arabic" w:hAnsi="Simplified Arabic" w:cs="Simplified Arabic"/>
          <w:sz w:val="28"/>
          <w:szCs w:val="28"/>
          <w:highlight w:val="yellow"/>
          <w:rtl/>
        </w:rPr>
        <w:t>وهامش خطأ 5%. ونظراً لأن معدلات الاستجابة في البيئة الحكومية السعودية تتراوح تاريخياً بين 45% و55%، سيتم توزيع 800 استبانة لضمان استرداد ما لا يقل عن 420 استبانة صالحة للتحليل</w:t>
      </w:r>
      <w:r w:rsidRPr="009421C9">
        <w:rPr>
          <w:rFonts w:ascii="Simplified Arabic" w:hAnsi="Simplified Arabic" w:cs="Simplified Arabic"/>
          <w:sz w:val="28"/>
          <w:szCs w:val="28"/>
          <w:highlight w:val="yellow"/>
        </w:rPr>
        <w:t>.</w:t>
      </w:r>
    </w:p>
    <w:p w14:paraId="538F7E64" w14:textId="4C04849F"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hint="cs"/>
          <w:sz w:val="28"/>
          <w:szCs w:val="28"/>
          <w:highlight w:val="yellow"/>
          <w:rtl/>
        </w:rPr>
        <w:t>وت</w:t>
      </w:r>
      <w:r w:rsidRPr="009421C9">
        <w:rPr>
          <w:rFonts w:ascii="Simplified Arabic" w:hAnsi="Simplified Arabic" w:cs="Simplified Arabic"/>
          <w:sz w:val="28"/>
          <w:szCs w:val="28"/>
          <w:highlight w:val="yellow"/>
          <w:rtl/>
        </w:rPr>
        <w:t>وزَّع الاستبانات بحيث تحصل الطبقة الأولى على 480 استبانة، والطبقة الثانية على 200 استبانة، والطبقة الثالثة على 120 استبانة</w:t>
      </w:r>
      <w:r w:rsidRPr="009421C9">
        <w:rPr>
          <w:rFonts w:ascii="Simplified Arabic" w:hAnsi="Simplified Arabic" w:cs="Simplified Arabic"/>
          <w:sz w:val="28"/>
          <w:szCs w:val="28"/>
          <w:highlight w:val="yellow"/>
        </w:rPr>
        <w:t>.</w:t>
      </w:r>
    </w:p>
    <w:p w14:paraId="42F09679" w14:textId="2DDEBD72" w:rsidR="009421C9" w:rsidRPr="009421C9" w:rsidRDefault="009421C9" w:rsidP="009421C9">
      <w:pPr>
        <w:ind w:firstLine="720"/>
        <w:jc w:val="both"/>
        <w:rPr>
          <w:rFonts w:ascii="Simplified Arabic" w:hAnsi="Simplified Arabic" w:cs="Simplified Arabic"/>
          <w:sz w:val="28"/>
          <w:szCs w:val="28"/>
        </w:rPr>
      </w:pPr>
      <w:r w:rsidRPr="009421C9">
        <w:rPr>
          <w:rFonts w:ascii="Simplified Arabic" w:hAnsi="Simplified Arabic" w:cs="Simplified Arabic" w:hint="cs"/>
          <w:sz w:val="28"/>
          <w:szCs w:val="28"/>
          <w:highlight w:val="yellow"/>
          <w:rtl/>
        </w:rPr>
        <w:t>و</w:t>
      </w:r>
      <w:r w:rsidRPr="009421C9">
        <w:rPr>
          <w:rFonts w:ascii="Simplified Arabic" w:hAnsi="Simplified Arabic" w:cs="Simplified Arabic"/>
          <w:sz w:val="28"/>
          <w:szCs w:val="28"/>
          <w:highlight w:val="yellow"/>
          <w:rtl/>
        </w:rPr>
        <w:t>بعد الحصول على قوائم الموظفين الرسمية من إدارات الموارد البشرية في المؤسسات المستهدفة (بموجب التصاريح الرسمية)، يُطبَّق أسلوب الاختيار العشوائي المنتظم</w:t>
      </w:r>
      <w:r w:rsidRPr="009421C9">
        <w:rPr>
          <w:rFonts w:ascii="Simplified Arabic" w:hAnsi="Simplified Arabic" w:cs="Simplified Arabic"/>
          <w:sz w:val="28"/>
          <w:szCs w:val="28"/>
          <w:highlight w:val="yellow"/>
        </w:rPr>
        <w:t xml:space="preserve"> (Systematic Random Sampling) </w:t>
      </w:r>
      <w:r w:rsidRPr="009421C9">
        <w:rPr>
          <w:rFonts w:ascii="Simplified Arabic" w:hAnsi="Simplified Arabic" w:cs="Simplified Arabic"/>
          <w:sz w:val="28"/>
          <w:szCs w:val="28"/>
          <w:highlight w:val="yellow"/>
          <w:rtl/>
        </w:rPr>
        <w:t>عبر حساب فترة الاختيار</w:t>
      </w:r>
      <w:r w:rsidRPr="009421C9">
        <w:rPr>
          <w:rFonts w:ascii="Simplified Arabic" w:hAnsi="Simplified Arabic" w:cs="Simplified Arabic"/>
          <w:sz w:val="28"/>
          <w:szCs w:val="28"/>
          <w:highlight w:val="yellow"/>
        </w:rPr>
        <w:t xml:space="preserve"> (k) </w:t>
      </w:r>
      <w:r w:rsidRPr="009421C9">
        <w:rPr>
          <w:rFonts w:ascii="Simplified Arabic" w:hAnsi="Simplified Arabic" w:cs="Simplified Arabic"/>
          <w:sz w:val="28"/>
          <w:szCs w:val="28"/>
          <w:highlight w:val="yellow"/>
          <w:rtl/>
        </w:rPr>
        <w:t>بقسمة حجم الإطار على حجم العينة المطلوبة من الطبقة، ثم اختيار نقطة انطلاق عشوائية وسحب المفردات على فترات منتظمة. ويُشترط في المفردات المسحوبة انتماؤها إلى إدارات ذات صلة مباشرة بمحور الدراسة (التحول الرقمي، تقنية المعلومات، العمليات، الجودة، إدارة البيانات</w:t>
      </w:r>
      <w:proofErr w:type="gramStart"/>
      <w:r w:rsidRPr="009421C9">
        <w:rPr>
          <w:rFonts w:ascii="Simplified Arabic" w:hAnsi="Simplified Arabic" w:cs="Simplified Arabic" w:hint="cs"/>
          <w:sz w:val="28"/>
          <w:szCs w:val="28"/>
          <w:highlight w:val="yellow"/>
          <w:rtl/>
        </w:rPr>
        <w:t>) .</w:t>
      </w:r>
      <w:proofErr w:type="gramEnd"/>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lastRenderedPageBreak/>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16763F2E"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 xml:space="preserve">سيتم حساب معامل الثبات </w:t>
      </w:r>
      <w:proofErr w:type="spellStart"/>
      <w:r w:rsidRPr="00F178E3">
        <w:rPr>
          <w:rFonts w:ascii="Simplified Arabic" w:hAnsi="Simplified Arabic" w:cs="Simplified Arabic"/>
          <w:sz w:val="28"/>
          <w:szCs w:val="28"/>
          <w:rtl/>
        </w:rPr>
        <w:t>كرونباخ</w:t>
      </w:r>
      <w:proofErr w:type="spellEnd"/>
      <w:r w:rsidRPr="00F178E3">
        <w:rPr>
          <w:rFonts w:ascii="Simplified Arabic" w:hAnsi="Simplified Arabic" w:cs="Simplified Arabic"/>
          <w:sz w:val="28"/>
          <w:szCs w:val="28"/>
          <w:rtl/>
        </w:rPr>
        <w:t xml:space="preserve">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lastRenderedPageBreak/>
        <w:t>ثانيًا: التحليلات الإحصائية الوصفية</w:t>
      </w:r>
    </w:p>
    <w:p w14:paraId="1037000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2687C78B" w:rsidR="000E0033" w:rsidRPr="00EC07BC" w:rsidRDefault="000E0033" w:rsidP="00395C32">
      <w:pPr>
        <w:pStyle w:val="a6"/>
        <w:numPr>
          <w:ilvl w:val="0"/>
          <w:numId w:val="5"/>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395C32" w:rsidRPr="00395C32">
        <w:rPr>
          <w:rFonts w:ascii="Simplified Arabic" w:hAnsi="Simplified Arabic" w:cs="Simplified Arabic"/>
          <w:sz w:val="28"/>
          <w:szCs w:val="28"/>
          <w:highlight w:val="yellow"/>
          <w:rtl/>
        </w:rPr>
        <w:t xml:space="preserve">تُجرى الدراسة داخل ست مؤسسات حكومية كبرى في المملكة العربية السعودية، تم اختيارها قصدياً لتُمثّل ثلاث فئات متباينة من المؤسسات الحكومية. وتضم الفئة الأولى الوزارات الخدمية ذات التماس المباشر مع المستفيدين وتشمل وزارة الصحة ووزارة الموارد البشرية والتنمية الاجتماعية ووزارة النقل والخدمات اللوجستية، بينما تضم الفئة الثانية الوزارات ذات الطابع السيادي ممثَّلةً في قطاعات الخدمات المدنية بوزارة الداخلية، أما الفئة الثالثة فتضم الهيئات المتخصصة في التحول الرقمي والذكاء الاصطناعي وتشمل هيئة </w:t>
      </w:r>
      <w:proofErr w:type="spellStart"/>
      <w:r w:rsidR="00395C32" w:rsidRPr="00395C32">
        <w:rPr>
          <w:rFonts w:ascii="Simplified Arabic" w:hAnsi="Simplified Arabic" w:cs="Simplified Arabic"/>
          <w:sz w:val="28"/>
          <w:szCs w:val="28"/>
          <w:highlight w:val="yellow"/>
          <w:rtl/>
        </w:rPr>
        <w:t>سدايا</w:t>
      </w:r>
      <w:proofErr w:type="spellEnd"/>
      <w:r w:rsidR="00395C32" w:rsidRPr="00395C32">
        <w:rPr>
          <w:rFonts w:ascii="Simplified Arabic" w:hAnsi="Simplified Arabic" w:cs="Simplified Arabic"/>
          <w:sz w:val="28"/>
          <w:szCs w:val="28"/>
          <w:highlight w:val="yellow"/>
          <w:rtl/>
        </w:rPr>
        <w:t xml:space="preserve"> وهيئة الحكومة الرقمية</w:t>
      </w:r>
      <w:r w:rsidRPr="00395C32">
        <w:rPr>
          <w:rFonts w:ascii="Simplified Arabic" w:hAnsi="Simplified Arabic" w:cs="Simplified Arabic"/>
          <w:sz w:val="28"/>
          <w:szCs w:val="28"/>
          <w:highlight w:val="yellow"/>
          <w:rtl/>
          <w:lang w:bidi="ar-EG"/>
        </w:rPr>
        <w:t>.</w:t>
      </w:r>
    </w:p>
    <w:p w14:paraId="77BE4C33" w14:textId="579599D4" w:rsidR="005E6DFF" w:rsidRPr="00D439AC" w:rsidRDefault="005E6DFF">
      <w:pPr>
        <w:pStyle w:val="a6"/>
        <w:numPr>
          <w:ilvl w:val="0"/>
          <w:numId w:val="5"/>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0D2A3896"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bookmarkStart w:id="14" w:name="_Toc202053531"/>
    </w:p>
    <w:p w14:paraId="7C69C721"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58EDC473"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41D34D7"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3CB68CA5" w14:textId="61D6D3FE" w:rsidR="00C47BC4" w:rsidRDefault="00C47BC4">
      <w:pPr>
        <w:bidi w:val="0"/>
        <w:rPr>
          <w:rFonts w:ascii="Simplified Arabic" w:eastAsia="Times New Roman" w:hAnsi="Simplified Arabic" w:cs="Simplified Arabic"/>
          <w:color w:val="EE0000"/>
          <w:kern w:val="0"/>
          <w:sz w:val="28"/>
          <w:szCs w:val="28"/>
          <w14:ligatures w14:val="none"/>
        </w:rPr>
      </w:pPr>
      <w:r>
        <w:rPr>
          <w:rFonts w:ascii="Simplified Arabic" w:eastAsia="Times New Roman" w:hAnsi="Simplified Arabic" w:cs="Simplified Arabic"/>
          <w:color w:val="EE0000"/>
          <w:kern w:val="0"/>
          <w:sz w:val="28"/>
          <w:szCs w:val="28"/>
          <w:rtl/>
          <w14:ligatures w14:val="none"/>
        </w:rPr>
        <w:br w:type="page"/>
      </w:r>
    </w:p>
    <w:p w14:paraId="6530AE79" w14:textId="7ACF9F84" w:rsidR="00B30CCE" w:rsidRPr="00B30CCE" w:rsidRDefault="00C47BC4" w:rsidP="00D61485">
      <w:pPr>
        <w:spacing w:before="100" w:beforeAutospacing="1" w:after="100" w:afterAutospacing="1" w:line="276" w:lineRule="auto"/>
        <w:jc w:val="center"/>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lastRenderedPageBreak/>
        <w:t xml:space="preserve">الفصل </w:t>
      </w:r>
      <w:proofErr w:type="spellStart"/>
      <w:proofErr w:type="gramStart"/>
      <w:r>
        <w:rPr>
          <w:rFonts w:ascii="Simplified Arabic" w:eastAsia="Times New Roman" w:hAnsi="Simplified Arabic" w:cs="Simplified Arabic" w:hint="cs"/>
          <w:b/>
          <w:bCs/>
          <w:kern w:val="36"/>
          <w:sz w:val="28"/>
          <w:szCs w:val="28"/>
          <w:rtl/>
          <w14:ligatures w14:val="none"/>
        </w:rPr>
        <w:t>الثانى</w:t>
      </w:r>
      <w:proofErr w:type="spellEnd"/>
      <w:r>
        <w:rPr>
          <w:rFonts w:ascii="Simplified Arabic" w:eastAsia="Times New Roman" w:hAnsi="Simplified Arabic" w:cs="Simplified Arabic" w:hint="cs"/>
          <w:b/>
          <w:bCs/>
          <w:kern w:val="36"/>
          <w:sz w:val="28"/>
          <w:szCs w:val="28"/>
          <w:rtl/>
          <w14:ligatures w14:val="none"/>
        </w:rPr>
        <w:t xml:space="preserve"> :</w:t>
      </w:r>
      <w:proofErr w:type="gramEnd"/>
      <w:r>
        <w:rPr>
          <w:rFonts w:ascii="Simplified Arabic" w:eastAsia="Times New Roman" w:hAnsi="Simplified Arabic" w:cs="Simplified Arabic" w:hint="cs"/>
          <w:b/>
          <w:bCs/>
          <w:kern w:val="36"/>
          <w:sz w:val="28"/>
          <w:szCs w:val="28"/>
          <w:rtl/>
          <w14:ligatures w14:val="none"/>
        </w:rPr>
        <w:t xml:space="preserve"> </w:t>
      </w:r>
      <w:r w:rsidR="00B30CCE" w:rsidRPr="00B30CCE">
        <w:rPr>
          <w:rFonts w:ascii="Simplified Arabic" w:eastAsia="Times New Roman" w:hAnsi="Simplified Arabic" w:cs="Simplified Arabic" w:hint="cs"/>
          <w:b/>
          <w:bCs/>
          <w:kern w:val="36"/>
          <w:sz w:val="28"/>
          <w:szCs w:val="28"/>
          <w:rtl/>
          <w14:ligatures w14:val="none"/>
        </w:rPr>
        <w:t xml:space="preserve">الإطار النظري </w:t>
      </w:r>
      <w:r>
        <w:rPr>
          <w:rFonts w:ascii="Simplified Arabic" w:eastAsia="Times New Roman" w:hAnsi="Simplified Arabic" w:cs="Simplified Arabic" w:hint="cs"/>
          <w:b/>
          <w:bCs/>
          <w:kern w:val="36"/>
          <w:sz w:val="28"/>
          <w:szCs w:val="28"/>
          <w:rtl/>
          <w14:ligatures w14:val="none"/>
        </w:rPr>
        <w:t xml:space="preserve">والدراسات السابقة </w:t>
      </w:r>
    </w:p>
    <w:p w14:paraId="17A24BF3" w14:textId="77777777" w:rsidR="00B30CCE" w:rsidRPr="00B30CCE" w:rsidRDefault="00B30CCE" w:rsidP="00D61485">
      <w:pPr>
        <w:spacing w:before="100" w:beforeAutospacing="1" w:after="100" w:afterAutospacing="1" w:line="276" w:lineRule="auto"/>
        <w:jc w:val="center"/>
        <w:outlineLvl w:val="1"/>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المبحث الأول: تقنيات الذكاء الاصطناعي</w:t>
      </w:r>
    </w:p>
    <w:p w14:paraId="484863A5"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تمهيد</w:t>
      </w:r>
    </w:p>
    <w:p w14:paraId="1C239DE4" w14:textId="598F48BB"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أفرزت التحولات التقنية المتسارعة التي يشهدها العالم المعاصر واقعاً مؤسسياً جديداً تتشابك فيه المعطيات الرقمية مع البنى التنظيمية التقليدية، ويقف الذكاء الاصطناعي في قلب هذا التحول باعتباره منظومة تقنية شاملة تعيد تعريف الكيفية التي تُدار بها المؤسسات وتُصنع فيها القرارات وتُنفذ من خلالها العمليات</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ولم يعد الذكاء الاصطناعي حكراً على قطاعات بعينها أو مقتصراً على المؤسسات التجارية الكبرى، بل امتد أثره ليشمل المؤسسات الحكومية التي تواجه ضغوطاً متزايدة لتحسين كفاءة خدماتها وترشيد مواردها والاستجابة لتوقعات المستفيدين المتصاعدة. وفي المملكة العربية السعودية، يكتسب هذا الموضوع أهمية استثنائية في ظل رؤية </w:t>
      </w:r>
      <w:r w:rsidRPr="00B30CCE">
        <w:rPr>
          <w:rFonts w:ascii="Simplified Arabic" w:eastAsia="Times New Roman" w:hAnsi="Simplified Arabic" w:cs="Simplified Arabic" w:hint="cs"/>
          <w:kern w:val="0"/>
          <w:sz w:val="28"/>
          <w:szCs w:val="28"/>
          <w14:ligatures w14:val="none"/>
        </w:rPr>
        <w:t xml:space="preserve">2030 </w:t>
      </w:r>
      <w:r w:rsidRPr="00B30CCE">
        <w:rPr>
          <w:rFonts w:ascii="Simplified Arabic" w:eastAsia="Times New Roman" w:hAnsi="Simplified Arabic" w:cs="Simplified Arabic" w:hint="cs"/>
          <w:kern w:val="0"/>
          <w:sz w:val="28"/>
          <w:szCs w:val="28"/>
          <w:rtl/>
          <w14:ligatures w14:val="none"/>
        </w:rPr>
        <w:t>التي وضعت البيانات والذكاء الاصطناعي في صدارة أولويات التحول المؤسسي، حيث أُنشئت الهيئة السعودية للبيانات والذكاء الاصطناعي (</w:t>
      </w:r>
      <w:proofErr w:type="spellStart"/>
      <w:r w:rsidRPr="00B30CCE">
        <w:rPr>
          <w:rFonts w:ascii="Simplified Arabic" w:eastAsia="Times New Roman" w:hAnsi="Simplified Arabic" w:cs="Simplified Arabic" w:hint="cs"/>
          <w:kern w:val="0"/>
          <w:sz w:val="28"/>
          <w:szCs w:val="28"/>
          <w:rtl/>
          <w14:ligatures w14:val="none"/>
        </w:rPr>
        <w:t>سدايا</w:t>
      </w:r>
      <w:proofErr w:type="spellEnd"/>
      <w:r w:rsidRPr="00B30CCE">
        <w:rPr>
          <w:rFonts w:ascii="Simplified Arabic" w:eastAsia="Times New Roman" w:hAnsi="Simplified Arabic" w:cs="Simplified Arabic" w:hint="cs"/>
          <w:kern w:val="0"/>
          <w:sz w:val="28"/>
          <w:szCs w:val="28"/>
          <w:rtl/>
          <w14:ligatures w14:val="none"/>
        </w:rPr>
        <w:t>) لتقود هذا التوجه وتضمن تبنّي المؤسسات الحكومية الكبرى لهذه التقنيات بما يحقق الأهداف الوطنية الاستراتيجية</w:t>
      </w:r>
      <w:r w:rsidRPr="00B30CCE">
        <w:rPr>
          <w:rFonts w:ascii="Simplified Arabic" w:eastAsia="Times New Roman" w:hAnsi="Simplified Arabic" w:cs="Simplified Arabic" w:hint="cs"/>
          <w:kern w:val="0"/>
          <w:sz w:val="28"/>
          <w:szCs w:val="28"/>
          <w14:ligatures w14:val="none"/>
        </w:rPr>
        <w:t>.</w:t>
      </w:r>
    </w:p>
    <w:p w14:paraId="1D6CEB5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ينطلق هذا المبحث من عرض مفهوم الذكاء الاصطناعي وتعريفاته المتعددة في الأدبيات الإدارية والتقنية، ثم يستعرض أهمية هذه التقنيات في السياق المؤسسي المعاصر، وأهدافها الجوهرية، وأنواعها ومستوياتها المختلفة، وخصائصها الجوهرية التي تميزها عن الأدوات التقنية التقليدية، ثم يتعمق في عرض أبعاد الذكاء الاصطناعي الأربعة التي تتبناها الدراسة الحالية وهي: جمع البيانات ومعالجتها، والنماذج التنبؤية، والأتمتة الذكية، وأنظمة دعم القرار. ويُختتم المبحث باستعراض استراتيجيات تطبيق الذكاء الاصطناعي في المؤسسات الحكومية</w:t>
      </w:r>
      <w:r w:rsidRPr="00B30CCE">
        <w:rPr>
          <w:rFonts w:ascii="Simplified Arabic" w:eastAsia="Times New Roman" w:hAnsi="Simplified Arabic" w:cs="Simplified Arabic" w:hint="cs"/>
          <w:kern w:val="0"/>
          <w:sz w:val="28"/>
          <w:szCs w:val="28"/>
          <w14:ligatures w14:val="none"/>
        </w:rPr>
        <w:t>.</w:t>
      </w:r>
    </w:p>
    <w:p w14:paraId="33271537"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أولاً: مفهوم الذكاء الاصطناعي</w:t>
      </w:r>
    </w:p>
    <w:p w14:paraId="7D659B25" w14:textId="5B240FD8"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يُعدّ مفهوم الذكاء الاصطناعي من أكثر المفاهيم التي استقطبت اهتمام الباحثين في حقول معرفية متعددة، وقد تباينت التعريفات المقدمة له تبعاً للمنظور العلمي الذي ينطلق منه كل باحث، سواء أكان منظوراً تقنياً بحتاً يركز على الخوارزميات وآليات المعالجة، أم منظوراً إدارياً يهتم بالتوظيف المؤسسي لهذه التقنيات وأثرها في الأداء التنظيمي</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وقد أسهم هذا التعدد في إثراء الحقل المعرفي للذكاء الاصطناعي، غير أنه </w:t>
      </w:r>
      <w:r w:rsidRPr="00B30CCE">
        <w:rPr>
          <w:rFonts w:ascii="Simplified Arabic" w:eastAsia="Times New Roman" w:hAnsi="Simplified Arabic" w:cs="Simplified Arabic" w:hint="cs"/>
          <w:kern w:val="0"/>
          <w:sz w:val="28"/>
          <w:szCs w:val="28"/>
          <w:rtl/>
          <w14:ligatures w14:val="none"/>
        </w:rPr>
        <w:lastRenderedPageBreak/>
        <w:t>استوجب في الوقت ذاته جهداً تحليلياً لاستخلاص العناصر المشتركة التي تشكّل جوهر المفهوم وتميزه عن غيره من المفاهيم التقنية المجاورة</w:t>
      </w:r>
      <w:r w:rsidRPr="00B30CCE">
        <w:rPr>
          <w:rFonts w:ascii="Simplified Arabic" w:eastAsia="Times New Roman" w:hAnsi="Simplified Arabic" w:cs="Simplified Arabic" w:hint="cs"/>
          <w:kern w:val="0"/>
          <w:sz w:val="28"/>
          <w:szCs w:val="28"/>
          <w14:ligatures w14:val="none"/>
        </w:rPr>
        <w:t>.</w:t>
      </w:r>
    </w:p>
    <w:p w14:paraId="3DFDD52D" w14:textId="1180AB76"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فقد عرّف</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Nathany</w:t>
      </w:r>
      <w:proofErr w:type="spellEnd"/>
      <w:r w:rsidRPr="00B30CCE">
        <w:rPr>
          <w:rFonts w:ascii="Simplified Arabic" w:eastAsia="Times New Roman" w:hAnsi="Simplified Arabic" w:cs="Simplified Arabic" w:hint="cs"/>
          <w:kern w:val="0"/>
          <w:sz w:val="28"/>
          <w:szCs w:val="28"/>
          <w14:ligatures w14:val="none"/>
        </w:rPr>
        <w:t xml:space="preserve">, 2022) </w:t>
      </w:r>
      <w:r w:rsidRPr="00B30CCE">
        <w:rPr>
          <w:rFonts w:ascii="Simplified Arabic" w:eastAsia="Times New Roman" w:hAnsi="Simplified Arabic" w:cs="Simplified Arabic" w:hint="cs"/>
          <w:kern w:val="0"/>
          <w:sz w:val="28"/>
          <w:szCs w:val="28"/>
          <w:rtl/>
          <w14:ligatures w14:val="none"/>
        </w:rPr>
        <w:t xml:space="preserve">الذكاء الاصطناعي بأنه "مجموعة متكاملة من التطبيقات والأنظمة الحاسوبية التي تمتلك القدرة على محاكاة العمليات الإدراكية البشرية، بما يشمل التعلم من البيانات والتعرف على الأنماط واستخلاص المعاني من المعلومات غير المهيكلة وتقديم توصيات مبنية على تحليلات عميقة". </w:t>
      </w:r>
    </w:p>
    <w:p w14:paraId="4DE7E734" w14:textId="203BEC8D"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قدّم</w:t>
      </w:r>
      <w:proofErr w:type="gramEnd"/>
      <w:r w:rsidR="00B30CCE" w:rsidRPr="00B30CCE">
        <w:rPr>
          <w:rFonts w:ascii="Simplified Arabic" w:eastAsia="Times New Roman" w:hAnsi="Simplified Arabic" w:cs="Simplified Arabic" w:hint="cs"/>
          <w:kern w:val="0"/>
          <w:sz w:val="28"/>
          <w:szCs w:val="28"/>
          <w14:ligatures w14:val="none"/>
        </w:rPr>
        <w:t xml:space="preserve"> (Yusuf et al., 2025) </w:t>
      </w:r>
      <w:r w:rsidR="00B30CCE" w:rsidRPr="00B30CCE">
        <w:rPr>
          <w:rFonts w:ascii="Simplified Arabic" w:eastAsia="Times New Roman" w:hAnsi="Simplified Arabic" w:cs="Simplified Arabic" w:hint="cs"/>
          <w:kern w:val="0"/>
          <w:sz w:val="28"/>
          <w:szCs w:val="28"/>
          <w:rtl/>
          <w14:ligatures w14:val="none"/>
        </w:rPr>
        <w:t xml:space="preserve">تعريفاً يصف الذكاء الاصطناعي بأنه </w:t>
      </w:r>
      <w:r w:rsidR="00B30CCE" w:rsidRPr="00B30CCE">
        <w:rPr>
          <w:rFonts w:ascii="Simplified Arabic" w:eastAsia="Times New Roman" w:hAnsi="Simplified Arabic" w:cs="Simplified Arabic" w:hint="cs"/>
          <w:kern w:val="0"/>
          <w:sz w:val="28"/>
          <w:szCs w:val="28"/>
          <w14:ligatures w14:val="none"/>
        </w:rPr>
        <w:t>"</w:t>
      </w:r>
      <w:r w:rsidR="00B30CCE" w:rsidRPr="00B30CCE">
        <w:rPr>
          <w:rFonts w:ascii="Simplified Arabic" w:eastAsia="Times New Roman" w:hAnsi="Simplified Arabic" w:cs="Simplified Arabic" w:hint="cs"/>
          <w:kern w:val="0"/>
          <w:sz w:val="28"/>
          <w:szCs w:val="28"/>
          <w:rtl/>
          <w14:ligatures w14:val="none"/>
        </w:rPr>
        <w:t xml:space="preserve">منظومة تقنية قائمة على خوارزميات التعلم الآلي والتعلم العميق ومعالجة اللغة الطبيعية، تُمكّن المؤسسات من أتمتة العمليات التشغيلية وتحليل البيانات الضخمة والتنبؤ بالطلب وتحسين تدفق الموارد عبر مراحل سلسلة الإمداد". </w:t>
      </w:r>
    </w:p>
    <w:p w14:paraId="549D9726" w14:textId="1EC716F5"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أما</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Pokamestov</w:t>
      </w:r>
      <w:proofErr w:type="spellEnd"/>
      <w:r w:rsidRPr="00B30CCE">
        <w:rPr>
          <w:rFonts w:ascii="Simplified Arabic" w:eastAsia="Times New Roman" w:hAnsi="Simplified Arabic" w:cs="Simplified Arabic" w:hint="cs"/>
          <w:kern w:val="0"/>
          <w:sz w:val="28"/>
          <w:szCs w:val="28"/>
          <w14:ligatures w14:val="none"/>
        </w:rPr>
        <w:t xml:space="preserve"> &amp; Nikitin, 2024) </w:t>
      </w:r>
      <w:r w:rsidRPr="00B30CCE">
        <w:rPr>
          <w:rFonts w:ascii="Simplified Arabic" w:eastAsia="Times New Roman" w:hAnsi="Simplified Arabic" w:cs="Simplified Arabic" w:hint="cs"/>
          <w:kern w:val="0"/>
          <w:sz w:val="28"/>
          <w:szCs w:val="28"/>
          <w:rtl/>
          <w14:ligatures w14:val="none"/>
        </w:rPr>
        <w:t xml:space="preserve">عرّفاه بأنه "مجموعة من التقنيات الحديثة التي تمثل أداة استراتيجية لتحويل سلاسل القيمة داخل المؤسسات، من خلال إعادة هندسة العمليات وتعزيز كفاءة اتخاذ القرار وتحسين الأداء التشغيلي عبر توظيف خوارزميات ذكية قادرة على التعلم والتكيف المستمر". </w:t>
      </w:r>
    </w:p>
    <w:p w14:paraId="3CBC5DCD" w14:textId="50B1F4B4"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14:ligatures w14:val="none"/>
        </w:rPr>
        <w:t xml:space="preserve"> (Faisal, 2025) </w:t>
      </w:r>
      <w:r w:rsidR="00B30CCE" w:rsidRPr="00B30CCE">
        <w:rPr>
          <w:rFonts w:ascii="Simplified Arabic" w:eastAsia="Times New Roman" w:hAnsi="Simplified Arabic" w:cs="Simplified Arabic" w:hint="cs"/>
          <w:kern w:val="0"/>
          <w:sz w:val="28"/>
          <w:szCs w:val="28"/>
          <w:rtl/>
          <w14:ligatures w14:val="none"/>
        </w:rPr>
        <w:t xml:space="preserve">الذكاء الاصطناعي بأنه "مجموعة من الأدوات والتطبيقات التحليلية المتقدمة التي تعتمد على خوارزميات التعلم الآلي والشبكات العصبية لتمكين المؤسسات من تعزيز كفاءة عملياتها وإدارة المخاطر بصورة استباقية من خلال التحليل الآني للبيانات واكتشاف الأنماط المخفية". </w:t>
      </w:r>
    </w:p>
    <w:p w14:paraId="216768E0" w14:textId="56057B33"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عرّف</w:t>
      </w:r>
      <w:r w:rsidRPr="00B30CCE">
        <w:rPr>
          <w:rFonts w:ascii="Simplified Arabic" w:eastAsia="Times New Roman" w:hAnsi="Simplified Arabic" w:cs="Simplified Arabic" w:hint="cs"/>
          <w:kern w:val="0"/>
          <w:sz w:val="28"/>
          <w:szCs w:val="28"/>
          <w14:ligatures w14:val="none"/>
        </w:rPr>
        <w:t xml:space="preserve"> (Thenmozhi &amp; </w:t>
      </w:r>
      <w:proofErr w:type="spellStart"/>
      <w:r w:rsidRPr="00B30CCE">
        <w:rPr>
          <w:rFonts w:ascii="Simplified Arabic" w:eastAsia="Times New Roman" w:hAnsi="Simplified Arabic" w:cs="Simplified Arabic" w:hint="cs"/>
          <w:kern w:val="0"/>
          <w:sz w:val="28"/>
          <w:szCs w:val="28"/>
          <w14:ligatures w14:val="none"/>
        </w:rPr>
        <w:t>Krisknakumari</w:t>
      </w:r>
      <w:proofErr w:type="spellEnd"/>
      <w:r w:rsidRPr="00B30CCE">
        <w:rPr>
          <w:rFonts w:ascii="Simplified Arabic" w:eastAsia="Times New Roman" w:hAnsi="Simplified Arabic" w:cs="Simplified Arabic" w:hint="cs"/>
          <w:kern w:val="0"/>
          <w:sz w:val="28"/>
          <w:szCs w:val="28"/>
          <w14:ligatures w14:val="none"/>
        </w:rPr>
        <w:t xml:space="preserve">, 2024) </w:t>
      </w:r>
      <w:r w:rsidRPr="00B30CCE">
        <w:rPr>
          <w:rFonts w:ascii="Simplified Arabic" w:eastAsia="Times New Roman" w:hAnsi="Simplified Arabic" w:cs="Simplified Arabic" w:hint="cs"/>
          <w:kern w:val="0"/>
          <w:sz w:val="28"/>
          <w:szCs w:val="28"/>
          <w:rtl/>
          <w14:ligatures w14:val="none"/>
        </w:rPr>
        <w:t xml:space="preserve">الذكاء الاصطناعي بأنه "مجال تقني متعدد التخصصات يشمل التعلم الآلي والرؤية الحاسوبية ومعالجة اللغة الطبيعية والروبوتات الذكية، ويهدف إلى تمكين الأنظمة الحاسوبية من أداء مهام تتطلب ذكاءً بشرياً، مع التركيز على تحسين الكفاءة التشغيلية في سلاسل الإمداد والعمليات اللوجستية". </w:t>
      </w:r>
    </w:p>
    <w:p w14:paraId="172F2654" w14:textId="742E7C32"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rtl/>
          <w14:ligatures w14:val="none"/>
        </w:rPr>
        <w:t xml:space="preserve"> (حسن وآخرون، 2024) الذكاء الاصطناعي بأنه "فرع من فروع علوم الحاسب الآلي يُعنى بتصميم أنظمة ذكية قادرة على أداء مهام تتطلب عادةً ذكاءً بشرياً، كالتعلم والاستنتاج والتخطيط وحل المشكلات، وذلك بهدف خدمة أهداف التنمية المستدامة وتحسين نوعية الحياة"، </w:t>
      </w: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عرّف (الصفار، 2024) الذكاء الاصطناعي بأنه "قدرة الأنظمة التقنية على تحليل البيانات الضخمة واستخلاص أنماط ذات دلالة </w:t>
      </w:r>
      <w:r w:rsidR="00B30CCE" w:rsidRPr="00B30CCE">
        <w:rPr>
          <w:rFonts w:ascii="Simplified Arabic" w:eastAsia="Times New Roman" w:hAnsi="Simplified Arabic" w:cs="Simplified Arabic" w:hint="cs"/>
          <w:kern w:val="0"/>
          <w:sz w:val="28"/>
          <w:szCs w:val="28"/>
          <w:rtl/>
          <w14:ligatures w14:val="none"/>
        </w:rPr>
        <w:lastRenderedPageBreak/>
        <w:t>منها، واستخدام هذه الأنماط في تحسين جودة الخدمات المقدمة من خلال التخصيص والتنبؤ والاستجابة الفورية</w:t>
      </w:r>
      <w:r w:rsidR="00B30CCE" w:rsidRPr="00B30CCE">
        <w:rPr>
          <w:rFonts w:ascii="Simplified Arabic" w:eastAsia="Times New Roman" w:hAnsi="Simplified Arabic" w:cs="Simplified Arabic" w:hint="cs"/>
          <w:kern w:val="0"/>
          <w:sz w:val="28"/>
          <w:szCs w:val="28"/>
          <w14:ligatures w14:val="none"/>
        </w:rPr>
        <w:t>".</w:t>
      </w:r>
    </w:p>
    <w:p w14:paraId="06DE2CE6" w14:textId="5D99E6A4"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فيما أكد (</w:t>
      </w:r>
      <w:proofErr w:type="gramStart"/>
      <w:r w:rsidRPr="00B30CCE">
        <w:rPr>
          <w:rFonts w:ascii="Simplified Arabic" w:eastAsia="Times New Roman" w:hAnsi="Simplified Arabic" w:cs="Simplified Arabic" w:hint="cs"/>
          <w:kern w:val="0"/>
          <w:sz w:val="28"/>
          <w:szCs w:val="28"/>
          <w:rtl/>
          <w14:ligatures w14:val="none"/>
        </w:rPr>
        <w:t>عبدالمنعم</w:t>
      </w:r>
      <w:proofErr w:type="gramEnd"/>
      <w:r w:rsidRPr="00B30CCE">
        <w:rPr>
          <w:rFonts w:ascii="Simplified Arabic" w:eastAsia="Times New Roman" w:hAnsi="Simplified Arabic" w:cs="Simplified Arabic" w:hint="cs"/>
          <w:kern w:val="0"/>
          <w:sz w:val="28"/>
          <w:szCs w:val="28"/>
          <w:rtl/>
          <w14:ligatures w14:val="none"/>
        </w:rPr>
        <w:t>، 2023) بأنه "منظومة تقنية ذكية تتكامل مع الهياكل التنظيمية والموارد البشرية لتعزيز الرشاقة الاستراتيجية للمؤسسات، من خلال تسريع عمليات التحليل واتخاذ القرار والتكيف مع المتغيرات البيئية بمرونة وسرعة عالية"</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أما (خفاجي وإبراهيم، 2023) فقد عرّفاه بأنه "مجموعة من التطبيقات الذكية التي تُوظَّف لتحقيق التميز المؤسسي من خلال أتمتة العمليات الروتينية وتحرير الطاقات البشرية للتركيز على المهام الإبداعية والاستراتيجية ذات القيمة المضافة العالية</w:t>
      </w:r>
      <w:r w:rsidRPr="00B30CCE">
        <w:rPr>
          <w:rFonts w:ascii="Simplified Arabic" w:eastAsia="Times New Roman" w:hAnsi="Simplified Arabic" w:cs="Simplified Arabic" w:hint="cs"/>
          <w:kern w:val="0"/>
          <w:sz w:val="28"/>
          <w:szCs w:val="28"/>
          <w14:ligatures w14:val="none"/>
        </w:rPr>
        <w:t>".</w:t>
      </w:r>
    </w:p>
    <w:p w14:paraId="3FEB227D"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وفي ضوء استعراض هذه التعريفات المتعددة، يمكن استخلاص مجموعة من العناصر المشتركة التي تشكّل جوهر مفهوم الذكاء الاصطناعي، وتتمثل في: القدرة على التعلم من البيانات والتكيف مع المتغيرات، ومحاكاة العمليات الإدراكية البشرية، والتوجه نحو أتمتة المهام وتحسين الكفاءة التشغيلية، والقدرة على التنبؤ واستشراف المستقبل، فضلاً عن الطبيعة التكاملية متعددة التخصصات.</w:t>
      </w:r>
    </w:p>
    <w:p w14:paraId="146D38DE" w14:textId="48CA59ED"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w:t>
      </w:r>
      <w:r w:rsidR="00B30CCE" w:rsidRPr="00B30CCE">
        <w:rPr>
          <w:rFonts w:ascii="Simplified Arabic" w:eastAsia="Times New Roman" w:hAnsi="Simplified Arabic" w:cs="Simplified Arabic" w:hint="cs"/>
          <w:b/>
          <w:bCs/>
          <w:kern w:val="0"/>
          <w:sz w:val="28"/>
          <w:szCs w:val="28"/>
          <w:rtl/>
          <w14:ligatures w14:val="none"/>
        </w:rPr>
        <w:t>تُعرّف</w:t>
      </w:r>
      <w:proofErr w:type="gramEnd"/>
      <w:r w:rsidR="00B30CCE" w:rsidRPr="00B30CCE">
        <w:rPr>
          <w:rFonts w:ascii="Simplified Arabic" w:eastAsia="Times New Roman" w:hAnsi="Simplified Arabic" w:cs="Simplified Arabic" w:hint="cs"/>
          <w:b/>
          <w:bCs/>
          <w:kern w:val="0"/>
          <w:sz w:val="28"/>
          <w:szCs w:val="28"/>
          <w:rtl/>
          <w14:ligatures w14:val="none"/>
        </w:rPr>
        <w:t xml:space="preserve"> الباحثة الذكاء الاصطناعي إجرائياً</w:t>
      </w:r>
      <w:r w:rsidR="00B30CCE" w:rsidRPr="00B30CCE">
        <w:rPr>
          <w:rFonts w:ascii="Simplified Arabic" w:eastAsia="Times New Roman" w:hAnsi="Simplified Arabic" w:cs="Simplified Arabic" w:hint="cs"/>
          <w:kern w:val="0"/>
          <w:sz w:val="28"/>
          <w:szCs w:val="28"/>
          <w:rtl/>
          <w14:ligatures w14:val="none"/>
        </w:rPr>
        <w:t xml:space="preserve"> بأنه: منظومة متكاملة من التقنيات والتطبيقات الذكية القائمة على خوارزميات التعلم الآلي والتحليلات المتقدمة، تُوظَّف في المؤسسات الحكومية الكبرى بالمملكة العربية السعودية لجمع البيانات ومعالجتها، وبناء نماذج تنبؤية، وأتمتة العمليات التشغيلية، ودعم عملية اتخاذ القرار، بما يسهم في تحسين سلسلة القيمة التشغيلية وتعزيز كفاءة الأداء المؤسسي تحقيقاً لمستهدفات رؤية 2030</w:t>
      </w:r>
      <w:r w:rsidR="00B30CCE" w:rsidRPr="00B30CCE">
        <w:rPr>
          <w:rFonts w:ascii="Simplified Arabic" w:eastAsia="Times New Roman" w:hAnsi="Simplified Arabic" w:cs="Simplified Arabic" w:hint="cs"/>
          <w:kern w:val="0"/>
          <w:sz w:val="28"/>
          <w:szCs w:val="28"/>
          <w14:ligatures w14:val="none"/>
        </w:rPr>
        <w:t>.</w:t>
      </w:r>
    </w:p>
    <w:p w14:paraId="41C78C22"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ثانياً: أهمية تقنيات الذكاء الاصطناعي في السياق المؤسسي</w:t>
      </w:r>
    </w:p>
    <w:p w14:paraId="486641A9"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تتزايد أهمية تقنيات الذكاء الاصطناعي في البيئة المؤسسية المعاصرة بصورة مطردة، وذلك في ظل تحولات جوهرية فرضتها الثورة الصناعية الرابعة وما رافقها من تضخم هائل في حجم البيانات المتولدة عن الأنشطة المؤسسية، وتعقّد متنامٍ في شبكات العلاقات بين الأطراف ذات المصلحة، وضغوط متصاعدة لتقديم خدمات أفضل بتكلفة أقل وفي وقت أسرع</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 xml:space="preserve">ولم تعد هذه التقنيات ترفاً تقنياً تتباهى به المؤسسات، بل باتت ضرورة حتمية تتوقف عليها قدرتها على البقاء والمنافسة والاستجابة لتوقعات بيئة شديدة التقلب. </w:t>
      </w:r>
    </w:p>
    <w:p w14:paraId="1F57CF04" w14:textId="339DD0F6"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lastRenderedPageBreak/>
        <w:t>وتبرز هذه الأهمية بوضوح أكبر في المؤسسات الحكومية الكبرى التي تتعامل مع قاعدة واسعة من المستفيدين وتدير عمليات معقدة ومتشعبة تمس حياة المواطنين بشكل مباشر، مما يجعلها في أمسّ الحاجة إلى أدوات ذكية تعينها على تحقيق التميز في أدائها وتلبية متطلبات التحول الوطني</w:t>
      </w:r>
      <w:r w:rsidRPr="00B30CCE">
        <w:rPr>
          <w:rFonts w:ascii="Simplified Arabic" w:eastAsia="Times New Roman" w:hAnsi="Simplified Arabic" w:cs="Simplified Arabic" w:hint="cs"/>
          <w:kern w:val="0"/>
          <w:sz w:val="28"/>
          <w:szCs w:val="28"/>
          <w14:ligatures w14:val="none"/>
        </w:rPr>
        <w:t>.</w:t>
      </w:r>
    </w:p>
    <w:p w14:paraId="06AD9E0E"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وفي هذا الإطار، يشير</w:t>
      </w:r>
      <w:r w:rsidRPr="00B30CCE">
        <w:rPr>
          <w:rFonts w:ascii="Simplified Arabic" w:eastAsia="Times New Roman" w:hAnsi="Simplified Arabic" w:cs="Simplified Arabic" w:hint="cs"/>
          <w:kern w:val="0"/>
          <w:sz w:val="28"/>
          <w:szCs w:val="28"/>
          <w14:ligatures w14:val="none"/>
        </w:rPr>
        <w:t xml:space="preserve"> (Helo &amp; Hao, 2022) </w:t>
      </w:r>
      <w:r w:rsidRPr="00B30CCE">
        <w:rPr>
          <w:rFonts w:ascii="Simplified Arabic" w:eastAsia="Times New Roman" w:hAnsi="Simplified Arabic" w:cs="Simplified Arabic" w:hint="cs"/>
          <w:kern w:val="0"/>
          <w:sz w:val="28"/>
          <w:szCs w:val="28"/>
          <w:rtl/>
          <w14:ligatures w14:val="none"/>
        </w:rPr>
        <w:t>إلى أن أهمية الذكاء الاصطناعي في إدارة العمليات وسلاسل الإمداد تتجلى في عدة محاور</w:t>
      </w:r>
      <w:r w:rsidRPr="00B30CCE">
        <w:rPr>
          <w:rFonts w:ascii="Simplified Arabic" w:eastAsia="Times New Roman" w:hAnsi="Simplified Arabic" w:cs="Simplified Arabic" w:hint="cs"/>
          <w:kern w:val="0"/>
          <w:sz w:val="28"/>
          <w:szCs w:val="28"/>
          <w14:ligatures w14:val="none"/>
        </w:rPr>
        <w:t>:</w:t>
      </w:r>
    </w:p>
    <w:p w14:paraId="4D952B25"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التحليلية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تتيح تقنيات الذكاء الاصطناعي للمؤسسات القدرة على معالجة حجم هائل من البيانات المهيكلة وغير المهيكلة في زمن قياسي، واستخلاص رؤى تحليلية معمّقة يصعب على العقل البشري الوصول إليها بالطرق التقليدية، مما يرفع جودة المعلومات المتاحة لصانعي القرار ويمنحهم أساساً موضوعياً متيناً لاتخاذ قرارات مستنيرة بدلاً من الاعتماد على الحدس والخبرة الشخصية وحدهما</w:t>
      </w:r>
      <w:r w:rsidRPr="00B30CCE">
        <w:rPr>
          <w:rFonts w:ascii="Simplified Arabic" w:eastAsia="Times New Roman" w:hAnsi="Simplified Arabic" w:cs="Simplified Arabic" w:hint="cs"/>
          <w:kern w:val="0"/>
          <w:sz w:val="28"/>
          <w:szCs w:val="28"/>
          <w14:ligatures w14:val="none"/>
        </w:rPr>
        <w:t>.</w:t>
      </w:r>
    </w:p>
    <w:p w14:paraId="6EA4FCC9"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تحقيق التكامل والتنسيق التنظيمي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على تحسين مستوى التنسيق والتكامل بين الوحدات التنظيمية المختلفة داخل المؤسسة من خلال منصات ذكية تتيح تبادل المعلومات بشكل آني وتقلل من حالات الازدواجية والتعارض في العمليات، وتضمن أن جميع الأطراف تعمل وفق رؤية موحدة ومعلومات محدّثة</w:t>
      </w:r>
      <w:r w:rsidRPr="00B30CCE">
        <w:rPr>
          <w:rFonts w:ascii="Simplified Arabic" w:eastAsia="Times New Roman" w:hAnsi="Simplified Arabic" w:cs="Simplified Arabic" w:hint="cs"/>
          <w:kern w:val="0"/>
          <w:sz w:val="28"/>
          <w:szCs w:val="28"/>
          <w14:ligatures w14:val="none"/>
        </w:rPr>
        <w:t>.</w:t>
      </w:r>
    </w:p>
    <w:p w14:paraId="4A829CC3"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ترشيد الموارد وتقليص الهدر</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تُسهم أتمتة العمليات الروتينية المتكررة في تقليص الهدر في الموارد المادية والبشرية والزمنية، وتوجيه هذه الموارد نحو المهام ذات القيمة المضافة الأعلى التي تتطلب تفكيراً إبداعياً وحكماً بشرياً، مما يرفع الإنتاجية الكلية للمؤسسة دون الحاجة إلى زيادة مواردها</w:t>
      </w:r>
      <w:r w:rsidRPr="00B30CCE">
        <w:rPr>
          <w:rFonts w:ascii="Simplified Arabic" w:eastAsia="Times New Roman" w:hAnsi="Simplified Arabic" w:cs="Simplified Arabic" w:hint="cs"/>
          <w:kern w:val="0"/>
          <w:sz w:val="28"/>
          <w:szCs w:val="28"/>
          <w14:ligatures w14:val="none"/>
        </w:rPr>
        <w:t>.</w:t>
      </w:r>
    </w:p>
    <w:p w14:paraId="0FC4B47E"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على الاستجابة السريعة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يمنح الذكاء الاصطناعي المؤسسات القدرة على رصد التغيرات في بيئتها الخارجية والداخلية بشكل لحظي، والاستجابة لها بسرعة ومرونة تفوق ما تتيحه الأنظمة التقليدية، وهو ما يُعزز قدرتها التنافسية ويحميها من المفاجآت والأزمات</w:t>
      </w:r>
      <w:r w:rsidRPr="00B30CCE">
        <w:rPr>
          <w:rFonts w:ascii="Simplified Arabic" w:eastAsia="Times New Roman" w:hAnsi="Simplified Arabic" w:cs="Simplified Arabic" w:hint="cs"/>
          <w:kern w:val="0"/>
          <w:sz w:val="28"/>
          <w:szCs w:val="28"/>
          <w14:ligatures w14:val="none"/>
        </w:rPr>
        <w:t>.</w:t>
      </w:r>
    </w:p>
    <w:p w14:paraId="084CFC7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ويرى</w:t>
      </w:r>
      <w:r w:rsidRPr="00B30CCE">
        <w:rPr>
          <w:rFonts w:ascii="Simplified Arabic" w:eastAsia="Times New Roman" w:hAnsi="Simplified Arabic" w:cs="Simplified Arabic" w:hint="cs"/>
          <w:kern w:val="0"/>
          <w:sz w:val="28"/>
          <w:szCs w:val="28"/>
          <w14:ligatures w14:val="none"/>
        </w:rPr>
        <w:t xml:space="preserve"> (Fosso Wamba et al., 2022) </w:t>
      </w:r>
      <w:r w:rsidRPr="00B30CCE">
        <w:rPr>
          <w:rFonts w:ascii="Simplified Arabic" w:eastAsia="Times New Roman" w:hAnsi="Simplified Arabic" w:cs="Simplified Arabic" w:hint="cs"/>
          <w:kern w:val="0"/>
          <w:sz w:val="28"/>
          <w:szCs w:val="28"/>
          <w:rtl/>
          <w14:ligatures w14:val="none"/>
        </w:rPr>
        <w:t>أن أهمية الذكاء الاصطناعي في السياق المؤسسي تتبلور في ثلاثة أبعاد رئيسة</w:t>
      </w:r>
      <w:r w:rsidRPr="00B30CCE">
        <w:rPr>
          <w:rFonts w:ascii="Simplified Arabic" w:eastAsia="Times New Roman" w:hAnsi="Simplified Arabic" w:cs="Simplified Arabic" w:hint="cs"/>
          <w:kern w:val="0"/>
          <w:sz w:val="28"/>
          <w:szCs w:val="28"/>
          <w14:ligatures w14:val="none"/>
        </w:rPr>
        <w:t>:</w:t>
      </w:r>
    </w:p>
    <w:p w14:paraId="0C7E785D"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القيمة الاستراتيجية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الذكاء الاصطناعي المؤسسات من بناء قدرات تنافسية فريدة يصعب على المنافسين تقليدها، لأنها تقوم على تراكم معرفي وخوارزمي خاص بالمؤسسة ومرتبط بطبيعة بياناتها وعملياتها، مما يُشكّل حاجز دخول أمام المنافسين ويمنح المؤسسة ميزة مستدامة لا تتآكل بسهولة مع مرور الوقت</w:t>
      </w:r>
      <w:r w:rsidRPr="00B30CCE">
        <w:rPr>
          <w:rFonts w:ascii="Simplified Arabic" w:eastAsia="Times New Roman" w:hAnsi="Simplified Arabic" w:cs="Simplified Arabic" w:hint="cs"/>
          <w:kern w:val="0"/>
          <w:sz w:val="28"/>
          <w:szCs w:val="28"/>
          <w14:ligatures w14:val="none"/>
        </w:rPr>
        <w:t>.</w:t>
      </w:r>
    </w:p>
    <w:p w14:paraId="6ADC496C"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التشغيلية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الذكاء الاصطناعي بشكل مباشر في خفض التكاليف التشغيلية وتسريع دورة العمليات وتحسين مستوى الدقة والاتساق في المخرجات، من خلال أتمتة المهام المتكررة وتقليل الاعتماد على التدخل البشري في العمليات الروتينية، مما ينعكس إيجاباً على الكفاءة التشغيلية الشاملة للمؤسسة</w:t>
      </w:r>
      <w:r w:rsidRPr="00B30CCE">
        <w:rPr>
          <w:rFonts w:ascii="Simplified Arabic" w:eastAsia="Times New Roman" w:hAnsi="Simplified Arabic" w:cs="Simplified Arabic" w:hint="cs"/>
          <w:kern w:val="0"/>
          <w:sz w:val="28"/>
          <w:szCs w:val="28"/>
          <w14:ligatures w14:val="none"/>
        </w:rPr>
        <w:t>.</w:t>
      </w:r>
    </w:p>
    <w:p w14:paraId="1FF99292"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التحويلية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يفتح الذكاء الاصطناعي آفاقاً لنماذج عمل جديدة وأساليب مبتكرة في تقديم الخدمات لم تكن ممكنة قبل ظهور هذه التقنيات، مما يُتيح للمؤسسات إعادة تعريف علاقتها بالمستفيدين وتقديم خدمات مخصصة واستباقية تتجاوز التوقعات التقليدية</w:t>
      </w:r>
      <w:r w:rsidRPr="00B30CCE">
        <w:rPr>
          <w:rFonts w:ascii="Simplified Arabic" w:eastAsia="Times New Roman" w:hAnsi="Simplified Arabic" w:cs="Simplified Arabic" w:hint="cs"/>
          <w:kern w:val="0"/>
          <w:sz w:val="28"/>
          <w:szCs w:val="28"/>
          <w14:ligatures w14:val="none"/>
        </w:rPr>
        <w:t>.</w:t>
      </w:r>
    </w:p>
    <w:p w14:paraId="4478B8E4"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يؤكد</w:t>
      </w:r>
      <w:r w:rsidRPr="00B30CCE">
        <w:rPr>
          <w:rFonts w:ascii="Simplified Arabic" w:eastAsia="Times New Roman" w:hAnsi="Simplified Arabic" w:cs="Simplified Arabic" w:hint="cs"/>
          <w:kern w:val="0"/>
          <w:sz w:val="28"/>
          <w:szCs w:val="28"/>
          <w14:ligatures w14:val="none"/>
        </w:rPr>
        <w:t xml:space="preserve"> (Cannas et al., 2024) </w:t>
      </w:r>
      <w:r w:rsidRPr="00B30CCE">
        <w:rPr>
          <w:rFonts w:ascii="Simplified Arabic" w:eastAsia="Times New Roman" w:hAnsi="Simplified Arabic" w:cs="Simplified Arabic" w:hint="cs"/>
          <w:kern w:val="0"/>
          <w:sz w:val="28"/>
          <w:szCs w:val="28"/>
          <w:rtl/>
          <w14:ligatures w14:val="none"/>
        </w:rPr>
        <w:t>أن أهمية الذكاء الاصطناعي تنبع من قدرته الفائقة على التعامل مع مستويات عالية من عدم اليقين والتعقيد، وذلك من خلال</w:t>
      </w:r>
      <w:r w:rsidRPr="00B30CCE">
        <w:rPr>
          <w:rFonts w:ascii="Simplified Arabic" w:eastAsia="Times New Roman" w:hAnsi="Simplified Arabic" w:cs="Simplified Arabic" w:hint="cs"/>
          <w:kern w:val="0"/>
          <w:sz w:val="28"/>
          <w:szCs w:val="28"/>
          <w14:ligatures w14:val="none"/>
        </w:rPr>
        <w:t>:</w:t>
      </w:r>
    </w:p>
    <w:p w14:paraId="6659D21A"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الاستشراف الاستباقي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تمتلك أنظمة الذكاء الاصطناعي القدرة على التنبؤ بالاضطرابات المحتملة في العمليات التشغيلية وسلسلة الإمداد قبل وقوعها، وتقديم سيناريوهات بديلة للتعامل معها، مما يحوّل المؤسسة من وضعية رد الفعل إلى وضعية الاستعداد والمبادرة</w:t>
      </w:r>
      <w:r w:rsidRPr="00B30CCE">
        <w:rPr>
          <w:rFonts w:ascii="Simplified Arabic" w:eastAsia="Times New Roman" w:hAnsi="Simplified Arabic" w:cs="Simplified Arabic" w:hint="cs"/>
          <w:kern w:val="0"/>
          <w:sz w:val="28"/>
          <w:szCs w:val="28"/>
          <w14:ligatures w14:val="none"/>
        </w:rPr>
        <w:t>.</w:t>
      </w:r>
    </w:p>
    <w:p w14:paraId="1EDE1008"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التخصيص الدقيق للخدمات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تُمكّن هذه التقنيات المؤسسات من تحقيق مستوى عالٍ من التخصيص في خدماتها بما يتلاءم مع احتياجات كل فئة من المستفيدين وتفضيلاتها، وذلك من خلال تحليل بيانات سلوك المستفيدين واستخلاص أنماط دقيقة منها</w:t>
      </w:r>
      <w:r w:rsidRPr="00B30CCE">
        <w:rPr>
          <w:rFonts w:ascii="Simplified Arabic" w:eastAsia="Times New Roman" w:hAnsi="Simplified Arabic" w:cs="Simplified Arabic" w:hint="cs"/>
          <w:kern w:val="0"/>
          <w:sz w:val="28"/>
          <w:szCs w:val="28"/>
          <w14:ligatures w14:val="none"/>
        </w:rPr>
        <w:t>.</w:t>
      </w:r>
    </w:p>
    <w:p w14:paraId="4819BB8D"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التحسين المستمر الذاتي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وفق حلقات تغذية راجعة آلية تتعلم من الأداء السابق وتُعدّل المسارات والخوارزميات بشكل تلقائي ومستمر، مما يعني أن أداء المؤسسة يتحسن بصورة تراكمية دون الحاجة إلى تدخل يدوي مستمر</w:t>
      </w:r>
      <w:r w:rsidRPr="00B30CCE">
        <w:rPr>
          <w:rFonts w:ascii="Simplified Arabic" w:eastAsia="Times New Roman" w:hAnsi="Simplified Arabic" w:cs="Simplified Arabic" w:hint="cs"/>
          <w:kern w:val="0"/>
          <w:sz w:val="28"/>
          <w:szCs w:val="28"/>
          <w14:ligatures w14:val="none"/>
        </w:rPr>
        <w:t>.</w:t>
      </w:r>
    </w:p>
    <w:p w14:paraId="1E3CF65A" w14:textId="79E4FA93"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يوضح</w:t>
      </w:r>
      <w:proofErr w:type="gramEnd"/>
      <w:r w:rsidR="00B30CCE" w:rsidRPr="00B30CCE">
        <w:rPr>
          <w:rFonts w:ascii="Simplified Arabic" w:eastAsia="Times New Roman" w:hAnsi="Simplified Arabic" w:cs="Simplified Arabic" w:hint="cs"/>
          <w:kern w:val="0"/>
          <w:sz w:val="28"/>
          <w:szCs w:val="28"/>
          <w:rtl/>
          <w14:ligatures w14:val="none"/>
        </w:rPr>
        <w:t xml:space="preserve"> (مرعي، 2024) أن أهمية تقنيات الذكاء الاصطناعي تتعاظم في هذا القطاع نظراً لعدة اعتبارات</w:t>
      </w:r>
      <w:r w:rsidR="00B30CCE" w:rsidRPr="00B30CCE">
        <w:rPr>
          <w:rFonts w:ascii="Simplified Arabic" w:eastAsia="Times New Roman" w:hAnsi="Simplified Arabic" w:cs="Simplified Arabic" w:hint="cs"/>
          <w:kern w:val="0"/>
          <w:sz w:val="28"/>
          <w:szCs w:val="28"/>
          <w14:ligatures w14:val="none"/>
        </w:rPr>
        <w:t>:</w:t>
      </w:r>
    </w:p>
    <w:p w14:paraId="23C3A447"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تقليص الفجوة بين الموارد والتوقعات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تواجه المؤسسات الحكومية تحدياً مزمناً يتمثل في التنامي المستمر لتوقعات المستفيدين في مقابل محدودية الموارد المتاحة، ويُسهم الذكاء الاصطناعي في تقليص هذه الفجوة من خلال تعظيم الاستفادة من الموارد الحالية وتحسين إنتاجيتها</w:t>
      </w:r>
      <w:r w:rsidRPr="00B30CCE">
        <w:rPr>
          <w:rFonts w:ascii="Simplified Arabic" w:eastAsia="Times New Roman" w:hAnsi="Simplified Arabic" w:cs="Simplified Arabic" w:hint="cs"/>
          <w:kern w:val="0"/>
          <w:sz w:val="28"/>
          <w:szCs w:val="28"/>
          <w14:ligatures w14:val="none"/>
        </w:rPr>
        <w:t>.</w:t>
      </w:r>
    </w:p>
    <w:p w14:paraId="2381F982"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الشفافية والحوكمة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تُوفر أنظمة الذكاء الاصطناعي مسارات تدقيق رقمية واضحة تُمكّن من تتبع القرارات والعمليات بشكل دقيق، مما يُعزز الشفافية في العمليات الحكومية ويدعم جهود مكافحة الفساد الإداري</w:t>
      </w:r>
      <w:r w:rsidRPr="00B30CCE">
        <w:rPr>
          <w:rFonts w:ascii="Simplified Arabic" w:eastAsia="Times New Roman" w:hAnsi="Simplified Arabic" w:cs="Simplified Arabic" w:hint="cs"/>
          <w:kern w:val="0"/>
          <w:sz w:val="28"/>
          <w:szCs w:val="28"/>
          <w14:ligatures w14:val="none"/>
        </w:rPr>
        <w:t>.</w:t>
      </w:r>
    </w:p>
    <w:p w14:paraId="4C4DAF2A"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تمكين صنع القرار المبني على الأدلة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يُتيح الذكاء الاصطناعي لصانعي القرار في المؤسسات الحكومية الاستناد إلى تحليلات رقمية دقيقة وشاملة بدلاً من الاجتهادات الشخصية، مما يرفع جودة السياسات العامة والقرارات الإدارية</w:t>
      </w:r>
      <w:r w:rsidRPr="00B30CCE">
        <w:rPr>
          <w:rFonts w:ascii="Simplified Arabic" w:eastAsia="Times New Roman" w:hAnsi="Simplified Arabic" w:cs="Simplified Arabic" w:hint="cs"/>
          <w:kern w:val="0"/>
          <w:sz w:val="28"/>
          <w:szCs w:val="28"/>
          <w14:ligatures w14:val="none"/>
        </w:rPr>
        <w:t>.</w:t>
      </w:r>
    </w:p>
    <w:p w14:paraId="5B45CE46"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ويُضيف (السمان، 2024) بُعداً آخر لأهمية الذكاء الاصطناعي يتعلق بإدارة علاقات المستفيدين، حيث تتبلور هذه الأهمية في</w:t>
      </w:r>
      <w:r w:rsidRPr="00B30CCE">
        <w:rPr>
          <w:rFonts w:ascii="Simplified Arabic" w:eastAsia="Times New Roman" w:hAnsi="Simplified Arabic" w:cs="Simplified Arabic" w:hint="cs"/>
          <w:kern w:val="0"/>
          <w:sz w:val="28"/>
          <w:szCs w:val="28"/>
          <w14:ligatures w14:val="none"/>
        </w:rPr>
        <w:t>:</w:t>
      </w:r>
    </w:p>
    <w:p w14:paraId="2007427A"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الفهم المعمّق لسلوك المستفيدين</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تُتيح تقنيات الذكاء الاصطناعي للمؤسسات تحليل بيانات تفاعلات المستفيدين واستخلاص أنماط سلوكية دقيقة منها، مما يُمكّنها من فهم احتياجاتهم الحقيقية وليس فقط المُعلنة</w:t>
      </w:r>
      <w:r w:rsidRPr="00B30CCE">
        <w:rPr>
          <w:rFonts w:ascii="Simplified Arabic" w:eastAsia="Times New Roman" w:hAnsi="Simplified Arabic" w:cs="Simplified Arabic" w:hint="cs"/>
          <w:kern w:val="0"/>
          <w:sz w:val="28"/>
          <w:szCs w:val="28"/>
          <w14:ligatures w14:val="none"/>
        </w:rPr>
        <w:t>.</w:t>
      </w:r>
    </w:p>
    <w:p w14:paraId="518DFD23"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تصميم خدمات استباقية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هذا الفهم المعمّق المؤسسات من استباق احتياجات المستفيدين المستقبلية وتصميم خدمات تلبيها قبل أن يطلبوها، مما يرفع مستوى رضاهم بشكل جوهري</w:t>
      </w:r>
      <w:r w:rsidRPr="00B30CCE">
        <w:rPr>
          <w:rFonts w:ascii="Simplified Arabic" w:eastAsia="Times New Roman" w:hAnsi="Simplified Arabic" w:cs="Simplified Arabic" w:hint="cs"/>
          <w:kern w:val="0"/>
          <w:sz w:val="28"/>
          <w:szCs w:val="28"/>
          <w14:ligatures w14:val="none"/>
        </w:rPr>
        <w:t>.</w:t>
      </w:r>
    </w:p>
    <w:p w14:paraId="4F35181B"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الثقة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تحسين جودة الخدمات وسرعة تقديمها ودقة الاستجابة لاحتياجات المستفيدين في تعزيز ثقتهم في المؤسسات الحكومية، وهو هدف محوري ضمن مستهدفات رؤية 2030 التي تسعى إلى بناء حكومة فاعلة وقريبة من المواطن</w:t>
      </w:r>
      <w:r w:rsidRPr="00B30CCE">
        <w:rPr>
          <w:rFonts w:ascii="Simplified Arabic" w:eastAsia="Times New Roman" w:hAnsi="Simplified Arabic" w:cs="Simplified Arabic" w:hint="cs"/>
          <w:kern w:val="0"/>
          <w:sz w:val="28"/>
          <w:szCs w:val="28"/>
          <w14:ligatures w14:val="none"/>
        </w:rPr>
        <w:t>.</w:t>
      </w:r>
    </w:p>
    <w:p w14:paraId="6AF7F525"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ثالثاً: أهداف تطبيق تقنيات الذكاء الاصطناعي في المؤسسات</w:t>
      </w:r>
    </w:p>
    <w:p w14:paraId="458470EC" w14:textId="6DD335BC"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 xml:space="preserve">تسعى المؤسسات على اختلاف أنماطها وقطاعاتها من خلال تبني تقنيات الذكاء الاصطناعي إلى تحقيق جملة من الأهداف المتكاملة التي تتجاوز مجرد التحديث التقني لتشمل إعادة بناء القدرات المؤسسية بصورة </w:t>
      </w:r>
      <w:r w:rsidRPr="005C3640">
        <w:rPr>
          <w:rFonts w:ascii="Simplified Arabic" w:eastAsia="Times New Roman" w:hAnsi="Simplified Arabic" w:cs="Simplified Arabic" w:hint="cs"/>
          <w:kern w:val="0"/>
          <w:sz w:val="28"/>
          <w:szCs w:val="28"/>
          <w:rtl/>
          <w14:ligatures w14:val="none"/>
        </w:rPr>
        <w:lastRenderedPageBreak/>
        <w:t>جذرية. وتتفاوت هذه الأهداف تبعاً لطبيعة المؤسسة ومرحلة نضجها الرقمي والسياق التنافسي الذي تعمل فيه، غير أن استقراء الأدبيات يكشف عن تقاطعات واضحة بين الباحثين حول الغايات الجوهرية التي تدفع المؤسسات نحو تبني هذه التقنيات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وتبرز هذه الأهداف بوضوح أكبر في المؤسسات الحكومية الكبرى التي تواجه تحدياً مزدوجاً يتمثل في الحاجة إلى تقديم خدمات عالية الجودة لقاعدة واسعة من المستفيدين من جهة، وضرورة ترشيد الإنفاق العام وتعظيم الكفاءة من جهة أخرى، مما يجعل الذكاء الاصطناعي أداةً محورية لتحقيق هذا التوازن الدقيق</w:t>
      </w:r>
      <w:r w:rsidRPr="005C3640">
        <w:rPr>
          <w:rFonts w:ascii="Simplified Arabic" w:eastAsia="Times New Roman" w:hAnsi="Simplified Arabic" w:cs="Simplified Arabic" w:hint="cs"/>
          <w:kern w:val="0"/>
          <w:sz w:val="28"/>
          <w:szCs w:val="28"/>
          <w14:ligatures w14:val="none"/>
        </w:rPr>
        <w:t>.</w:t>
      </w:r>
    </w:p>
    <w:p w14:paraId="04ECD78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وفي هذا الإطار، يشير</w:t>
      </w:r>
      <w:r w:rsidRPr="005C3640">
        <w:rPr>
          <w:rFonts w:ascii="Simplified Arabic" w:eastAsia="Times New Roman" w:hAnsi="Simplified Arabic" w:cs="Simplified Arabic" w:hint="cs"/>
          <w:kern w:val="0"/>
          <w:sz w:val="28"/>
          <w:szCs w:val="28"/>
          <w14:ligatures w14:val="none"/>
        </w:rPr>
        <w:t xml:space="preserve"> (Ismaeil, 2024) </w:t>
      </w:r>
      <w:r w:rsidRPr="005C3640">
        <w:rPr>
          <w:rFonts w:ascii="Simplified Arabic" w:eastAsia="Times New Roman" w:hAnsi="Simplified Arabic" w:cs="Simplified Arabic" w:hint="cs"/>
          <w:kern w:val="0"/>
          <w:sz w:val="28"/>
          <w:szCs w:val="28"/>
          <w:rtl/>
          <w14:ligatures w14:val="none"/>
        </w:rPr>
        <w:t>إلى أن أهداف تطبيق الذكاء الاصطناعي في إدارة سلاسل الإمداد تتمحور حول</w:t>
      </w:r>
      <w:r w:rsidRPr="005C3640">
        <w:rPr>
          <w:rFonts w:ascii="Simplified Arabic" w:eastAsia="Times New Roman" w:hAnsi="Simplified Arabic" w:cs="Simplified Arabic" w:hint="cs"/>
          <w:kern w:val="0"/>
          <w:sz w:val="28"/>
          <w:szCs w:val="28"/>
          <w14:ligatures w14:val="none"/>
        </w:rPr>
        <w:t>:</w:t>
      </w:r>
    </w:p>
    <w:p w14:paraId="0D159FC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الكفاءة التشغيلية القصوى</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تُسهم تقنيات الذكاء الاصطناعي في تقليل زمن دورة العمليات وخفض معدلات الخطأ البشري وتحسين استغلال الموارد المتاحة، مما يُفضي إلى مخرجات أعلى جودةً بتكلفة أقل، وهو ما يُشكّل أولوية ملحّة للمؤسسات الحكومية التي تتعامل مع حجم كبير من المعاملات والإجراءات اليومية التي يستنزف تنفيذها يدوياً موارد بشرية ومادية كبيرة</w:t>
      </w:r>
      <w:r w:rsidRPr="005C3640">
        <w:rPr>
          <w:rFonts w:ascii="Simplified Arabic" w:eastAsia="Times New Roman" w:hAnsi="Simplified Arabic" w:cs="Simplified Arabic" w:hint="cs"/>
          <w:kern w:val="0"/>
          <w:sz w:val="28"/>
          <w:szCs w:val="28"/>
          <w14:ligatures w14:val="none"/>
        </w:rPr>
        <w:t>.</w:t>
      </w:r>
    </w:p>
    <w:p w14:paraId="119E61B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المرونة والتكيف المؤسسي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إذ تُتيح أنظمة الذكاء الاصطناعي بناء قدرات مؤسسية قادرة على إعادة ضبط معاملاتها تلقائياً استجابةً للتغيرات المفاجئة في مستويات الطلب أو الاضطرابات غير المتوقعة في سلاسل التوريد والعمليات الداخلية، مما يُقلل من هشاشة المؤسسة ويمنحها القدرة على المناورة في بيئة متقلبة</w:t>
      </w:r>
      <w:r w:rsidRPr="005C3640">
        <w:rPr>
          <w:rFonts w:ascii="Simplified Arabic" w:eastAsia="Times New Roman" w:hAnsi="Simplified Arabic" w:cs="Simplified Arabic" w:hint="cs"/>
          <w:kern w:val="0"/>
          <w:sz w:val="28"/>
          <w:szCs w:val="28"/>
          <w14:ligatures w14:val="none"/>
        </w:rPr>
        <w:t>.</w:t>
      </w:r>
    </w:p>
    <w:p w14:paraId="04168E15"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التكامل المعلوماتي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ربط مختلف حلقات سلسلة القيمة بمنصات ذكية تضمن تدفقاً سلساً وآنياً للمعلومات وتُزيل العوازل المعلوماتية التي تُعيق التنسيق بين الإدارات، وهو تحدٍّ مزمن في المؤسسات الحكومية الكبرى ذات الهياكل التنظيمية المعقدة والمتشعبة</w:t>
      </w:r>
      <w:r w:rsidRPr="005C3640">
        <w:rPr>
          <w:rFonts w:ascii="Simplified Arabic" w:eastAsia="Times New Roman" w:hAnsi="Simplified Arabic" w:cs="Simplified Arabic" w:hint="cs"/>
          <w:kern w:val="0"/>
          <w:sz w:val="28"/>
          <w:szCs w:val="28"/>
          <w14:ligatures w14:val="none"/>
        </w:rPr>
        <w:t>.</w:t>
      </w:r>
    </w:p>
    <w:p w14:paraId="705579B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ويرى</w:t>
      </w:r>
      <w:r w:rsidRPr="005C3640">
        <w:rPr>
          <w:rFonts w:ascii="Simplified Arabic" w:eastAsia="Times New Roman" w:hAnsi="Simplified Arabic" w:cs="Simplified Arabic" w:hint="cs"/>
          <w:kern w:val="0"/>
          <w:sz w:val="28"/>
          <w:szCs w:val="28"/>
          <w14:ligatures w14:val="none"/>
        </w:rPr>
        <w:t xml:space="preserve"> (Mohsen, 2023) </w:t>
      </w:r>
      <w:r w:rsidRPr="005C3640">
        <w:rPr>
          <w:rFonts w:ascii="Simplified Arabic" w:eastAsia="Times New Roman" w:hAnsi="Simplified Arabic" w:cs="Simplified Arabic" w:hint="cs"/>
          <w:kern w:val="0"/>
          <w:sz w:val="28"/>
          <w:szCs w:val="28"/>
          <w:rtl/>
          <w14:ligatures w14:val="none"/>
        </w:rPr>
        <w:t>أن أهداف الذكاء الاصطناعي من منظور إدارة العمليات تتمثل في</w:t>
      </w:r>
      <w:r w:rsidRPr="005C3640">
        <w:rPr>
          <w:rFonts w:ascii="Simplified Arabic" w:eastAsia="Times New Roman" w:hAnsi="Simplified Arabic" w:cs="Simplified Arabic" w:hint="cs"/>
          <w:kern w:val="0"/>
          <w:sz w:val="28"/>
          <w:szCs w:val="28"/>
          <w14:ligatures w14:val="none"/>
        </w:rPr>
        <w:t>:</w:t>
      </w:r>
    </w:p>
    <w:p w14:paraId="1A2C5E1E"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تحسين جودة التنبؤ</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تمتلك خوارزميات الذكاء الاصطناعي القدرة على تحليل البيانات التاريخية والمتغيرات السياقية والعوامل الموسمية بمستوى من الدقة والعمق يفوق ما تُتيحه النماذج الإحصائية التقليدية، مما يُقلل من حالات الفائض أو العجز في الموارد ويُحسّن عمليات التخطيط المسبق</w:t>
      </w:r>
      <w:r w:rsidRPr="005C3640">
        <w:rPr>
          <w:rFonts w:ascii="Simplified Arabic" w:eastAsia="Times New Roman" w:hAnsi="Simplified Arabic" w:cs="Simplified Arabic" w:hint="cs"/>
          <w:kern w:val="0"/>
          <w:sz w:val="28"/>
          <w:szCs w:val="28"/>
          <w14:ligatures w14:val="none"/>
        </w:rPr>
        <w:t>.</w:t>
      </w:r>
    </w:p>
    <w:p w14:paraId="3323748C"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تطوير عمليات التخطيط والجدولة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عبر توظيف خوارزميات التحسين المتقدمة التي تتعامل مع قيود متعددة ومتشابكة في آنٍ واحد، كالتكلفة والوقت والجودة والسعة المتاحة والأولويات المتنافسة، وتُقدم حلولاً مثلى تُحقق التوازن بين هذه المعايير المتعارضة أحياناً</w:t>
      </w:r>
      <w:r w:rsidRPr="005C3640">
        <w:rPr>
          <w:rFonts w:ascii="Simplified Arabic" w:eastAsia="Times New Roman" w:hAnsi="Simplified Arabic" w:cs="Simplified Arabic" w:hint="cs"/>
          <w:kern w:val="0"/>
          <w:sz w:val="28"/>
          <w:szCs w:val="28"/>
          <w14:ligatures w14:val="none"/>
        </w:rPr>
        <w:t>.</w:t>
      </w:r>
    </w:p>
    <w:p w14:paraId="723AFBEB"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الرقابة الآنية على العمليات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لوحات تحكم ذكية ترصد مؤشرات الأداء التشغيلي بشكل مستمر ولحظي، وتُنبّه المسؤولين إلى الانحرافات فور حدوثها مع اقتراح إجراءات تصحيحية فورية، مما يمنع تراكم المشكلات وتحولها إلى أزمات مكلفة</w:t>
      </w:r>
      <w:r w:rsidRPr="005C3640">
        <w:rPr>
          <w:rFonts w:ascii="Simplified Arabic" w:eastAsia="Times New Roman" w:hAnsi="Simplified Arabic" w:cs="Simplified Arabic" w:hint="cs"/>
          <w:kern w:val="0"/>
          <w:sz w:val="28"/>
          <w:szCs w:val="28"/>
          <w14:ligatures w14:val="none"/>
        </w:rPr>
        <w:t>.</w:t>
      </w:r>
    </w:p>
    <w:p w14:paraId="5BDF572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كما يُحدد</w:t>
      </w:r>
      <w:r w:rsidRPr="005C3640">
        <w:rPr>
          <w:rFonts w:ascii="Simplified Arabic" w:eastAsia="Times New Roman" w:hAnsi="Simplified Arabic" w:cs="Simplified Arabic" w:hint="cs"/>
          <w:kern w:val="0"/>
          <w:sz w:val="28"/>
          <w:szCs w:val="28"/>
          <w14:ligatures w14:val="none"/>
        </w:rPr>
        <w:t xml:space="preserve"> (Jackson et al., 2024) </w:t>
      </w:r>
      <w:r w:rsidRPr="005C3640">
        <w:rPr>
          <w:rFonts w:ascii="Simplified Arabic" w:eastAsia="Times New Roman" w:hAnsi="Simplified Arabic" w:cs="Simplified Arabic" w:hint="cs"/>
          <w:kern w:val="0"/>
          <w:sz w:val="28"/>
          <w:szCs w:val="28"/>
          <w:rtl/>
          <w14:ligatures w14:val="none"/>
        </w:rPr>
        <w:t>أهداف الذكاء الاصطناعي ضمن ثلاثة مستويات متدرجة</w:t>
      </w:r>
      <w:r w:rsidRPr="005C3640">
        <w:rPr>
          <w:rFonts w:ascii="Simplified Arabic" w:eastAsia="Times New Roman" w:hAnsi="Simplified Arabic" w:cs="Simplified Arabic" w:hint="cs"/>
          <w:kern w:val="0"/>
          <w:sz w:val="28"/>
          <w:szCs w:val="28"/>
          <w14:ligatures w14:val="none"/>
        </w:rPr>
        <w:t>:</w:t>
      </w:r>
    </w:p>
    <w:p w14:paraId="221EC1CB"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أتمتة العمليات وتحسين المخرجات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التشغيلية، حيث يستهدف الذكاء الاصطناعي أتمتة المهام الروتينية المتكررة التي تستهلك وقتاً وجهداً بشرياً كبيراً، مع تحسين جودة المخرجات واتساقها وخفض التكاليف التشغيلية المرتبطة بها</w:t>
      </w:r>
      <w:r w:rsidRPr="005C3640">
        <w:rPr>
          <w:rFonts w:ascii="Simplified Arabic" w:eastAsia="Times New Roman" w:hAnsi="Simplified Arabic" w:cs="Simplified Arabic" w:hint="cs"/>
          <w:kern w:val="0"/>
          <w:sz w:val="28"/>
          <w:szCs w:val="28"/>
          <w14:ligatures w14:val="none"/>
        </w:rPr>
        <w:t>.</w:t>
      </w:r>
    </w:p>
    <w:p w14:paraId="10FD47B0"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استخلاص الرؤى من البيانات الضخمة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التحليلية، حيث يسعى الذكاء الاصطناعي إلى تحويل الكميات الهائلة من البيانات المتراكمة لدى المؤسسات إلى رؤى معمّقة وقابلة للتنفيذ تدعم عملية صنع القرار الاستراتيجي وتُمكّن القيادات من الرؤية الشاملة للأداء المؤسسي</w:t>
      </w:r>
      <w:r w:rsidRPr="005C3640">
        <w:rPr>
          <w:rFonts w:ascii="Simplified Arabic" w:eastAsia="Times New Roman" w:hAnsi="Simplified Arabic" w:cs="Simplified Arabic" w:hint="cs"/>
          <w:kern w:val="0"/>
          <w:sz w:val="28"/>
          <w:szCs w:val="28"/>
          <w14:ligatures w14:val="none"/>
        </w:rPr>
        <w:t>.</w:t>
      </w:r>
    </w:p>
    <w:p w14:paraId="5FB3F497"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توليد حلول ابتكارية ونماذج عمل جديدة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الابتكارية، حيث يُوظَّف الذكاء الاصطناعي في استكشاف أساليب غير تقليدية لتقديم الخدمات وتصميم نماذج عمل مبتكرة تُعزز القيمة المقدمة للمستفيدين وتفتح مسارات نمو لم تكن متاحة من قبل</w:t>
      </w:r>
      <w:r w:rsidRPr="005C3640">
        <w:rPr>
          <w:rFonts w:ascii="Simplified Arabic" w:eastAsia="Times New Roman" w:hAnsi="Simplified Arabic" w:cs="Simplified Arabic" w:hint="cs"/>
          <w:kern w:val="0"/>
          <w:sz w:val="28"/>
          <w:szCs w:val="28"/>
          <w14:ligatures w14:val="none"/>
        </w:rPr>
        <w:t>.</w:t>
      </w:r>
    </w:p>
    <w:p w14:paraId="53D075FC"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رابعاً: أنواع الذكاء الاصطناعي</w:t>
      </w:r>
    </w:p>
    <w:p w14:paraId="7F4B267A"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تتعدد تصنيفات الذكاء الاصطناعي في الأدبيات العلمية وفقاً لمعايير مختلفة، ويُعدّ فهم هذه التصنيفات ضرورة منهجية لتحديد نوعية التقنيات القابلة للتوظيف في السياق المؤسسي الحكومي، ولتمييز ما هو متاح فعلياً للتطبيق عما لا يزال في إطار التطوير النظري والمستقبلي. وقد تناول الباحثون هذه الأنواع من زوايا متعددة أسهمت في رسم خريطة مفاهيمية شاملة لمنظومة الذكاء الاصطناعي، وفيما يلي عرض لأبرز هذه التصنيفات</w:t>
      </w:r>
      <w:r w:rsidRPr="005C3640">
        <w:rPr>
          <w:rFonts w:ascii="Simplified Arabic" w:eastAsia="Times New Roman" w:hAnsi="Simplified Arabic" w:cs="Simplified Arabic" w:hint="cs"/>
          <w:kern w:val="0"/>
          <w:sz w:val="28"/>
          <w:szCs w:val="28"/>
          <w14:ligatures w14:val="none"/>
        </w:rPr>
        <w:t>.</w:t>
      </w:r>
    </w:p>
    <w:p w14:paraId="010FFFA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أ- التصنيف وفقاً لمستوى القدرة والتعقيد</w:t>
      </w:r>
    </w:p>
    <w:p w14:paraId="5DD02BF2" w14:textId="4DD63A1B"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يُعدّ هذا التصنيف من أكثر التصنيفات شيوعاً في الأدبيات العلمية، وهو يعتمد على مدى اتساع القدرات الإدراكية التي يمتلكها النظام الذكي مقارنةً بالقدرات البشرية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وقد أوضح (حسن وآخرون، 2024) أن هذا التصنيف يتضمن ثلاثة مستويات</w:t>
      </w:r>
      <w:r w:rsidRPr="005C3640">
        <w:rPr>
          <w:rFonts w:ascii="Simplified Arabic" w:eastAsia="Times New Roman" w:hAnsi="Simplified Arabic" w:cs="Simplified Arabic" w:hint="cs"/>
          <w:kern w:val="0"/>
          <w:sz w:val="28"/>
          <w:szCs w:val="28"/>
          <w14:ligatures w14:val="none"/>
        </w:rPr>
        <w:t>:</w:t>
      </w:r>
    </w:p>
    <w:p w14:paraId="1632C12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الضيق (المحدود)</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النوع الوحيد المتاح فعلياً في الوقت الراهن والمُوظّف في أغلب التطبيقات المؤسسية المعاصرة. ويتميز هذا النوع بقدرته العالية على أداء مهمة محددة أو مجموعة محدودة من المهام المتقاربة بكفاءة تضاهي الأداء البشري أو تفوقه، كتصنيف البيانات والتنبؤ بالطلب والتعرف على الوجوه وتحليل النصوص والتوصية بالمنتجات. غير أنه يفتقر إلى الوعي الذاتي ولا يمتلك قدرة على التعميم أو نقل ما تعلمه من مهمة إلى أخرى مختلفة عنها جوهرياً، فنظام التنبؤ بالطلب مثلاً لا يستطيع تحليل صور أو فهم لغة طبيعية ما لم يُصمَّم ويُدرَّب خصيصاً لذلك</w:t>
      </w:r>
      <w:r w:rsidRPr="005C3640">
        <w:rPr>
          <w:rFonts w:ascii="Simplified Arabic" w:eastAsia="Times New Roman" w:hAnsi="Simplified Arabic" w:cs="Simplified Arabic" w:hint="cs"/>
          <w:kern w:val="0"/>
          <w:sz w:val="28"/>
          <w:szCs w:val="28"/>
          <w14:ligatures w14:val="none"/>
        </w:rPr>
        <w:t>.</w:t>
      </w:r>
    </w:p>
    <w:p w14:paraId="3429AD9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العام</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مستوى نظري لا يزال في طور البحث والتطوير، ويُشير إلى أنظمة افتراضية تمتلك قدرات إدراكية شاملة مماثلة للقدرات البشرية في مختلف المجالات المعرفية، بحيث يستطيع النظام الواحد أداء أي مهمة فكرية يمكن للإنسان أداؤها بمستوى مكافئ من الكفاءة. ورغم التقدم الملحوظ في أبحاث الذكاء الاصطناعي، فإن تحقيق هذا المستوى لا يزال يواجه تحديات علمية وفلسفية جوهرية تتعلق بطبيعة الوعي والإدراك والفهم الحقيقي</w:t>
      </w:r>
      <w:r w:rsidRPr="005C3640">
        <w:rPr>
          <w:rFonts w:ascii="Simplified Arabic" w:eastAsia="Times New Roman" w:hAnsi="Simplified Arabic" w:cs="Simplified Arabic" w:hint="cs"/>
          <w:kern w:val="0"/>
          <w:sz w:val="28"/>
          <w:szCs w:val="28"/>
          <w14:ligatures w14:val="none"/>
        </w:rPr>
        <w:t>.</w:t>
      </w:r>
    </w:p>
    <w:p w14:paraId="3DF6712C" w14:textId="05E5FF11" w:rsidR="005C44E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الفائق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مفهوم مستقبلي بحت يُشير إلى أنظمة تتفوق على القدرات البشرية في جميع المجالات المعرفية والإبداعية والاجتماعية، ولا يزال هذا المستوى محل جدل واسع بين الباحثين حول إمكانية تحققه والإطار الزمني المتوقع لذلك والتبعات الأخلاقية والمجتمعية المترتبة عليه</w:t>
      </w:r>
      <w:r w:rsidRPr="005C3640">
        <w:rPr>
          <w:rFonts w:ascii="Simplified Arabic" w:eastAsia="Times New Roman" w:hAnsi="Simplified Arabic" w:cs="Simplified Arabic" w:hint="cs"/>
          <w:kern w:val="0"/>
          <w:sz w:val="28"/>
          <w:szCs w:val="28"/>
          <w14:ligatures w14:val="none"/>
        </w:rPr>
        <w:t>.</w:t>
      </w:r>
    </w:p>
    <w:p w14:paraId="6376E858" w14:textId="77777777" w:rsidR="005C44E0" w:rsidRDefault="005C44E0">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525AF140" w14:textId="2632E18A" w:rsidR="005C364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5C44E0">
        <w:rPr>
          <w:rFonts w:ascii="Simplified Arabic" w:eastAsia="Times New Roman" w:hAnsi="Simplified Arabic" w:cs="Simplified Arabic"/>
          <w:kern w:val="0"/>
          <w:sz w:val="28"/>
          <w:szCs w:val="28"/>
          <w:rtl/>
          <w14:ligatures w14:val="none"/>
        </w:rPr>
        <w:lastRenderedPageBreak/>
        <w:t>شكل (2) مستويات تصنيف الذكاء الاصطناعي وفق القدرة والتعقيد</w:t>
      </w:r>
    </w:p>
    <w:p w14:paraId="6B8E9B0E" w14:textId="1322C6F8" w:rsidR="005C44E0" w:rsidRPr="005C3640" w:rsidRDefault="005C44E0" w:rsidP="00D61485">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noProof/>
          <w:kern w:val="0"/>
          <w:sz w:val="28"/>
          <w:szCs w:val="28"/>
          <w:lang w:bidi="ar-EG"/>
          <w14:ligatures w14:val="none"/>
        </w:rPr>
        <w:drawing>
          <wp:inline distT="0" distB="0" distL="0" distR="0" wp14:anchorId="4B2DC56A" wp14:editId="5A956C61">
            <wp:extent cx="5730875" cy="4396740"/>
            <wp:effectExtent l="0" t="0" r="3175" b="3810"/>
            <wp:docPr id="990998450"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9738"/>
                    <a:stretch>
                      <a:fillRect/>
                    </a:stretch>
                  </pic:blipFill>
                  <pic:spPr bwMode="auto">
                    <a:xfrm>
                      <a:off x="0" y="0"/>
                      <a:ext cx="5730875" cy="4396740"/>
                    </a:xfrm>
                    <a:prstGeom prst="rect">
                      <a:avLst/>
                    </a:prstGeom>
                    <a:noFill/>
                    <a:ln>
                      <a:noFill/>
                    </a:ln>
                    <a:extLst>
                      <a:ext uri="{53640926-AAD7-44D8-BBD7-CCE9431645EC}">
                        <a14:shadowObscured xmlns:a14="http://schemas.microsoft.com/office/drawing/2010/main"/>
                      </a:ext>
                    </a:extLst>
                  </pic:spPr>
                </pic:pic>
              </a:graphicData>
            </a:graphic>
          </wp:inline>
        </w:drawing>
      </w:r>
    </w:p>
    <w:p w14:paraId="78DB1CED" w14:textId="2AA9280E" w:rsidR="006F66D2" w:rsidRPr="006F66D2" w:rsidRDefault="006F66D2" w:rsidP="006F66D2">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6F66D2">
        <w:rPr>
          <w:rFonts w:ascii="Simplified Arabic" w:eastAsia="Times New Roman" w:hAnsi="Simplified Arabic" w:cs="Simplified Arabic"/>
          <w:b/>
          <w:bCs/>
          <w:kern w:val="0"/>
          <w:sz w:val="28"/>
          <w:szCs w:val="28"/>
          <w:rtl/>
          <w14:ligatures w14:val="none"/>
        </w:rPr>
        <w:t>لمصدر</w:t>
      </w:r>
      <w:r w:rsidRPr="006F66D2">
        <w:rPr>
          <w:rFonts w:ascii="Simplified Arabic" w:eastAsia="Times New Roman" w:hAnsi="Simplified Arabic" w:cs="Simplified Arabic"/>
          <w:b/>
          <w:bCs/>
          <w:kern w:val="0"/>
          <w:sz w:val="28"/>
          <w:szCs w:val="28"/>
          <w14:ligatures w14:val="none"/>
        </w:rPr>
        <w:t xml:space="preserve">: </w:t>
      </w:r>
      <w:r w:rsidRPr="006F66D2">
        <w:rPr>
          <w:rFonts w:ascii="Simplified Arabic" w:eastAsia="Times New Roman" w:hAnsi="Simplified Arabic" w:cs="Simplified Arabic"/>
          <w:b/>
          <w:bCs/>
          <w:kern w:val="0"/>
          <w:sz w:val="28"/>
          <w:szCs w:val="28"/>
          <w:rtl/>
          <w14:ligatures w14:val="none"/>
        </w:rPr>
        <w:t>من إعداد الباحثة بالاعتماد على (حسن وآخرون، 2024) و</w:t>
      </w:r>
      <w:r w:rsidRPr="006F66D2">
        <w:rPr>
          <w:rFonts w:ascii="Simplified Arabic" w:eastAsia="Times New Roman" w:hAnsi="Simplified Arabic" w:cs="Simplified Arabic"/>
          <w:b/>
          <w:bCs/>
          <w:kern w:val="0"/>
          <w:sz w:val="28"/>
          <w:szCs w:val="28"/>
          <w14:ligatures w14:val="none"/>
        </w:rPr>
        <w:t>(</w:t>
      </w:r>
      <w:proofErr w:type="spellStart"/>
      <w:r w:rsidRPr="006F66D2">
        <w:rPr>
          <w:rFonts w:ascii="Simplified Arabic" w:eastAsia="Times New Roman" w:hAnsi="Simplified Arabic" w:cs="Simplified Arabic"/>
          <w:b/>
          <w:bCs/>
          <w:kern w:val="0"/>
          <w:sz w:val="28"/>
          <w:szCs w:val="28"/>
          <w14:ligatures w14:val="none"/>
        </w:rPr>
        <w:t>Nathany</w:t>
      </w:r>
      <w:proofErr w:type="spellEnd"/>
      <w:r w:rsidRPr="006F66D2">
        <w:rPr>
          <w:rFonts w:ascii="Simplified Arabic" w:eastAsia="Times New Roman" w:hAnsi="Simplified Arabic" w:cs="Simplified Arabic"/>
          <w:b/>
          <w:bCs/>
          <w:kern w:val="0"/>
          <w:sz w:val="28"/>
          <w:szCs w:val="28"/>
          <w14:ligatures w14:val="none"/>
        </w:rPr>
        <w:t>, 2022).</w:t>
      </w:r>
    </w:p>
    <w:p w14:paraId="3260789B" w14:textId="08F19E9F"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ب- التصنيف وفقاً لطبيعة التعلم والتطبيق</w:t>
      </w:r>
    </w:p>
    <w:p w14:paraId="39FFA10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يركز هذا التصنيف على الأساليب والمنهجيات التقنية التي تقوم عليها أنظمة الذكاء الاصطناعي. وقد صنّف</w:t>
      </w:r>
      <w:r w:rsidRPr="005C3640">
        <w:rPr>
          <w:rFonts w:ascii="Simplified Arabic" w:eastAsia="Times New Roman" w:hAnsi="Simplified Arabic" w:cs="Simplified Arabic" w:hint="cs"/>
          <w:kern w:val="0"/>
          <w:sz w:val="28"/>
          <w:szCs w:val="28"/>
          <w14:ligatures w14:val="none"/>
        </w:rPr>
        <w:t xml:space="preserve"> (</w:t>
      </w:r>
      <w:proofErr w:type="spellStart"/>
      <w:r w:rsidRPr="005C3640">
        <w:rPr>
          <w:rFonts w:ascii="Simplified Arabic" w:eastAsia="Times New Roman" w:hAnsi="Simplified Arabic" w:cs="Simplified Arabic" w:hint="cs"/>
          <w:kern w:val="0"/>
          <w:sz w:val="28"/>
          <w:szCs w:val="28"/>
          <w14:ligatures w14:val="none"/>
        </w:rPr>
        <w:t>Nathany</w:t>
      </w:r>
      <w:proofErr w:type="spellEnd"/>
      <w:r w:rsidRPr="005C3640">
        <w:rPr>
          <w:rFonts w:ascii="Simplified Arabic" w:eastAsia="Times New Roman" w:hAnsi="Simplified Arabic" w:cs="Simplified Arabic" w:hint="cs"/>
          <w:kern w:val="0"/>
          <w:sz w:val="28"/>
          <w:szCs w:val="28"/>
          <w14:ligatures w14:val="none"/>
        </w:rPr>
        <w:t xml:space="preserve">, 2022) </w:t>
      </w:r>
      <w:r w:rsidRPr="005C3640">
        <w:rPr>
          <w:rFonts w:ascii="Simplified Arabic" w:eastAsia="Times New Roman" w:hAnsi="Simplified Arabic" w:cs="Simplified Arabic" w:hint="cs"/>
          <w:kern w:val="0"/>
          <w:sz w:val="28"/>
          <w:szCs w:val="28"/>
          <w:rtl/>
          <w14:ligatures w14:val="none"/>
        </w:rPr>
        <w:t>تقنيات الذكاء الاصطناعي المستخدمة في سلاسل الإمداد والعمليات إلى عدة أنواع</w:t>
      </w:r>
      <w:r w:rsidRPr="005C3640">
        <w:rPr>
          <w:rFonts w:ascii="Simplified Arabic" w:eastAsia="Times New Roman" w:hAnsi="Simplified Arabic" w:cs="Simplified Arabic" w:hint="cs"/>
          <w:kern w:val="0"/>
          <w:sz w:val="28"/>
          <w:szCs w:val="28"/>
          <w14:ligatures w14:val="none"/>
        </w:rPr>
        <w:t>:</w:t>
      </w:r>
    </w:p>
    <w:p w14:paraId="1ED2929E" w14:textId="1F737290"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الآلي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ويُمثل الركيزة الأساسية لمعظم تطبيقات الذكاء الاصطناعي المعاصرة، ويشمل ثلاثة أنماط رئيسة: التعلم الموجّه الذي يتعلم من بيانات مُصنّفة مسبقاً للتنبؤ بمخرجات محددة، والتعلم غير الموجّه الذي يكتشف الأنماط والتجمعات في بيانات غير مُصنّفة، والتعلم المعزز الذي يتعلم من خلال التجربة </w:t>
      </w:r>
      <w:r w:rsidRPr="005C3640">
        <w:rPr>
          <w:rFonts w:ascii="Simplified Arabic" w:eastAsia="Times New Roman" w:hAnsi="Simplified Arabic" w:cs="Simplified Arabic" w:hint="cs"/>
          <w:kern w:val="0"/>
          <w:sz w:val="28"/>
          <w:szCs w:val="28"/>
          <w:rtl/>
          <w14:ligatures w14:val="none"/>
        </w:rPr>
        <w:lastRenderedPageBreak/>
        <w:t xml:space="preserve">والخطأ عبر نظام مكافآت </w:t>
      </w:r>
      <w:proofErr w:type="gramStart"/>
      <w:r w:rsidRPr="005C3640">
        <w:rPr>
          <w:rFonts w:ascii="Simplified Arabic" w:eastAsia="Times New Roman" w:hAnsi="Simplified Arabic" w:cs="Simplified Arabic" w:hint="cs"/>
          <w:kern w:val="0"/>
          <w:sz w:val="28"/>
          <w:szCs w:val="28"/>
          <w:rtl/>
          <w14:ligatures w14:val="none"/>
        </w:rPr>
        <w:t>وعقوبات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وتُوظّف</w:t>
      </w:r>
      <w:proofErr w:type="gramEnd"/>
      <w:r w:rsidRPr="005C3640">
        <w:rPr>
          <w:rFonts w:ascii="Simplified Arabic" w:eastAsia="Times New Roman" w:hAnsi="Simplified Arabic" w:cs="Simplified Arabic" w:hint="cs"/>
          <w:kern w:val="0"/>
          <w:sz w:val="28"/>
          <w:szCs w:val="28"/>
          <w:rtl/>
          <w14:ligatures w14:val="none"/>
        </w:rPr>
        <w:t xml:space="preserve"> هذه الأنماط في التنبؤ بالطلب وتصنيف المعاملات وتحسين المسارات اللوجستية وكشف الاحتيال</w:t>
      </w:r>
      <w:r w:rsidRPr="005C3640">
        <w:rPr>
          <w:rFonts w:ascii="Simplified Arabic" w:eastAsia="Times New Roman" w:hAnsi="Simplified Arabic" w:cs="Simplified Arabic" w:hint="cs"/>
          <w:kern w:val="0"/>
          <w:sz w:val="28"/>
          <w:szCs w:val="28"/>
          <w14:ligatures w14:val="none"/>
        </w:rPr>
        <w:t>.</w:t>
      </w:r>
    </w:p>
    <w:p w14:paraId="0F4F8CE5" w14:textId="5D571D4E"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العميق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وهو فرع متقدم من التعلم الآلي يعتمد على شبكات عصبية اصطناعية متعددة الطبقات قادرة على اكتشاف علاقات بالغة التعقيد في </w:t>
      </w:r>
      <w:proofErr w:type="gramStart"/>
      <w:r w:rsidRPr="005C3640">
        <w:rPr>
          <w:rFonts w:ascii="Simplified Arabic" w:eastAsia="Times New Roman" w:hAnsi="Simplified Arabic" w:cs="Simplified Arabic" w:hint="cs"/>
          <w:kern w:val="0"/>
          <w:sz w:val="28"/>
          <w:szCs w:val="28"/>
          <w:rtl/>
          <w14:ligatures w14:val="none"/>
        </w:rPr>
        <w:t>البيانات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ويتميز</w:t>
      </w:r>
      <w:proofErr w:type="gramEnd"/>
      <w:r w:rsidRPr="005C3640">
        <w:rPr>
          <w:rFonts w:ascii="Simplified Arabic" w:eastAsia="Times New Roman" w:hAnsi="Simplified Arabic" w:cs="Simplified Arabic" w:hint="cs"/>
          <w:kern w:val="0"/>
          <w:sz w:val="28"/>
          <w:szCs w:val="28"/>
          <w:rtl/>
          <w14:ligatures w14:val="none"/>
        </w:rPr>
        <w:t xml:space="preserve"> هذا النوع بقدرته الفائقة على معالجة البيانات غير المهيكلة كالصور والنصوص والأصوات ومقاطع الفيديو، مما يجعله مناسباً لتطبيقات التعرف على الوجوه وتحليل المستندات ومراقبة الجودة البصرية في بيئات العمل الحكومية</w:t>
      </w:r>
      <w:r w:rsidRPr="005C3640">
        <w:rPr>
          <w:rFonts w:ascii="Simplified Arabic" w:eastAsia="Times New Roman" w:hAnsi="Simplified Arabic" w:cs="Simplified Arabic" w:hint="cs"/>
          <w:kern w:val="0"/>
          <w:sz w:val="28"/>
          <w:szCs w:val="28"/>
          <w14:ligatures w14:val="none"/>
        </w:rPr>
        <w:t>.</w:t>
      </w:r>
    </w:p>
    <w:p w14:paraId="79DCEA54" w14:textId="297BE305"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معالجة اللغة الطبيعية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مجموعة من التقنيات التي تُمكّن الأنظمة الحاسوبية من فهم اللغة البشرية المكتوبة والمنطوقة وتحليلها </w:t>
      </w:r>
      <w:proofErr w:type="gramStart"/>
      <w:r w:rsidRPr="005C3640">
        <w:rPr>
          <w:rFonts w:ascii="Simplified Arabic" w:eastAsia="Times New Roman" w:hAnsi="Simplified Arabic" w:cs="Simplified Arabic" w:hint="cs"/>
          <w:kern w:val="0"/>
          <w:sz w:val="28"/>
          <w:szCs w:val="28"/>
          <w:rtl/>
          <w14:ligatures w14:val="none"/>
        </w:rPr>
        <w:t>وتوليدها</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وتُستخدم</w:t>
      </w:r>
      <w:proofErr w:type="gramEnd"/>
      <w:r w:rsidRPr="005C3640">
        <w:rPr>
          <w:rFonts w:ascii="Simplified Arabic" w:eastAsia="Times New Roman" w:hAnsi="Simplified Arabic" w:cs="Simplified Arabic" w:hint="cs"/>
          <w:kern w:val="0"/>
          <w:sz w:val="28"/>
          <w:szCs w:val="28"/>
          <w:rtl/>
          <w14:ligatures w14:val="none"/>
        </w:rPr>
        <w:t xml:space="preserve"> هذه التقنيات في تحليل تقارير الأداء والمراسلات الرسمية واستخلاص المعلومات من الوثائق، فضلاً عن تشغيل المساعدات الذكية وروبوتات المحادثة التي تتفاعل مع المستفيدين وتُجيب عن استفساراتهم بلغة طبيعية</w:t>
      </w:r>
      <w:r w:rsidRPr="005C3640">
        <w:rPr>
          <w:rFonts w:ascii="Simplified Arabic" w:eastAsia="Times New Roman" w:hAnsi="Simplified Arabic" w:cs="Simplified Arabic" w:hint="cs"/>
          <w:kern w:val="0"/>
          <w:sz w:val="28"/>
          <w:szCs w:val="28"/>
          <w14:ligatures w14:val="none"/>
        </w:rPr>
        <w:t>.</w:t>
      </w:r>
    </w:p>
    <w:p w14:paraId="2B16A11D"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الرؤية الحاسوبية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فرع من الذكاء الاصطناعي يُمكّن الأنظمة من تحليل المحتوى المرئي وفهمه واتخاذ قرارات بناءً عليه. وتُوظّف هذه التقنية في تطبيقات متنوعة كمراقبة الجودة في خطوط الإنتاج وإدارة المخازن والتحقق من الهوية والمراقبة الأمنية، وهي تطبيقات ذات صلة مباشرة بعمليات المؤسسات الحكومية الكبرى</w:t>
      </w:r>
      <w:r w:rsidRPr="005C3640">
        <w:rPr>
          <w:rFonts w:ascii="Simplified Arabic" w:eastAsia="Times New Roman" w:hAnsi="Simplified Arabic" w:cs="Simplified Arabic" w:hint="cs"/>
          <w:kern w:val="0"/>
          <w:sz w:val="28"/>
          <w:szCs w:val="28"/>
          <w14:ligatures w14:val="none"/>
        </w:rPr>
        <w:t>.</w:t>
      </w:r>
    </w:p>
    <w:p w14:paraId="1E2F8E1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ج- التصنيف وفقاً لمجال التطبيق التحليلي</w:t>
      </w:r>
    </w:p>
    <w:p w14:paraId="216B80F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يرتكز هذا التصنيف على نوعية المخرجات التحليلية التي يُقدمها نظام الذكاء الاصطناعي والأسئلة التي يُجيب عنها</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ميّز</w:t>
      </w:r>
      <w:r w:rsidRPr="005C3640">
        <w:rPr>
          <w:rFonts w:ascii="Simplified Arabic" w:eastAsia="Times New Roman" w:hAnsi="Simplified Arabic" w:cs="Simplified Arabic" w:hint="cs"/>
          <w:kern w:val="0"/>
          <w:sz w:val="28"/>
          <w:szCs w:val="28"/>
          <w14:ligatures w14:val="none"/>
        </w:rPr>
        <w:t xml:space="preserve"> (Faisal, 2025) </w:t>
      </w:r>
      <w:r w:rsidRPr="005C3640">
        <w:rPr>
          <w:rFonts w:ascii="Simplified Arabic" w:eastAsia="Times New Roman" w:hAnsi="Simplified Arabic" w:cs="Simplified Arabic" w:hint="cs"/>
          <w:kern w:val="0"/>
          <w:sz w:val="28"/>
          <w:szCs w:val="28"/>
          <w:rtl/>
          <w14:ligatures w14:val="none"/>
        </w:rPr>
        <w:t>بين أربعة أنواع تحليلية</w:t>
      </w:r>
      <w:r w:rsidRPr="005C3640">
        <w:rPr>
          <w:rFonts w:ascii="Simplified Arabic" w:eastAsia="Times New Roman" w:hAnsi="Simplified Arabic" w:cs="Simplified Arabic" w:hint="cs"/>
          <w:kern w:val="0"/>
          <w:sz w:val="28"/>
          <w:szCs w:val="28"/>
          <w14:ligatures w14:val="none"/>
        </w:rPr>
        <w:t>:</w:t>
      </w:r>
    </w:p>
    <w:p w14:paraId="343F77C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الوصفي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حدث؟" من خلال تلخيص البيانات التاريخية وعرضها بصورة مفهومة عبر لوحات معلومات وتقارير بيانية، مما يُمكّن صانعي القرار من فهم الوضع الراهن والاتجاهات السابقة. ويُمثل هذا النوع الطبقة الأساسية التي تنبني عليها المستويات التحليلية الأعلى</w:t>
      </w:r>
      <w:r w:rsidRPr="005C3640">
        <w:rPr>
          <w:rFonts w:ascii="Simplified Arabic" w:eastAsia="Times New Roman" w:hAnsi="Simplified Arabic" w:cs="Simplified Arabic" w:hint="cs"/>
          <w:kern w:val="0"/>
          <w:sz w:val="28"/>
          <w:szCs w:val="28"/>
          <w14:ligatures w14:val="none"/>
        </w:rPr>
        <w:t>.</w:t>
      </w:r>
    </w:p>
    <w:p w14:paraId="01E38E7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التحليل التشخيصي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"لماذا حدث؟" من خلال الكشف عن العلاقات السببية بين المتغيرات وتحديد العوامل الجذرية الكامنة وراء الظواهر والمشكلات. ويتطلب هذا النوع تقنيات أكثر تعقيداً كتحليل الارتباط والانحدار وأشجار القرار لتتبع مسارات السببية في البيانات</w:t>
      </w:r>
      <w:r w:rsidRPr="005C3640">
        <w:rPr>
          <w:rFonts w:ascii="Simplified Arabic" w:eastAsia="Times New Roman" w:hAnsi="Simplified Arabic" w:cs="Simplified Arabic" w:hint="cs"/>
          <w:kern w:val="0"/>
          <w:sz w:val="28"/>
          <w:szCs w:val="28"/>
          <w14:ligatures w14:val="none"/>
        </w:rPr>
        <w:t>.</w:t>
      </w:r>
    </w:p>
    <w:p w14:paraId="11DC943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التنبؤي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سيحدث؟" من خلال بناء نماذج إحصائية وخوارزمية تستشرف المستقبل بناءً على الأنماط المستخلصة من البيانات التاريخية والمتغيرات الراهنة. ويُعدّ هذا النوع من أكثر أنواع التحليل طلباً في المؤسسات لأنه يُمكّنها من الاستعداد للتحولات القادمة قبل وقوعها</w:t>
      </w:r>
      <w:r w:rsidRPr="005C3640">
        <w:rPr>
          <w:rFonts w:ascii="Simplified Arabic" w:eastAsia="Times New Roman" w:hAnsi="Simplified Arabic" w:cs="Simplified Arabic" w:hint="cs"/>
          <w:kern w:val="0"/>
          <w:sz w:val="28"/>
          <w:szCs w:val="28"/>
          <w14:ligatures w14:val="none"/>
        </w:rPr>
        <w:t>.</w:t>
      </w:r>
    </w:p>
    <w:p w14:paraId="562FC66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التوجيهي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ينبغي أن نفعل؟" من خلال تقديم توصيات محددة وقابلة للتنفيذ لصانعي القرار، مستنداً إلى نتائج التحليلات الوصفية والتشخيصية والتنبؤية. ويُمثل هذا النوع أعلى مستويات النضج التحليلي، حيث ينتقل دور النظام من توفير المعلومات إلى اقتراح مسارات العمل المثلى</w:t>
      </w:r>
      <w:r w:rsidRPr="005C3640">
        <w:rPr>
          <w:rFonts w:ascii="Simplified Arabic" w:eastAsia="Times New Roman" w:hAnsi="Simplified Arabic" w:cs="Simplified Arabic" w:hint="cs"/>
          <w:kern w:val="0"/>
          <w:sz w:val="28"/>
          <w:szCs w:val="28"/>
          <w14:ligatures w14:val="none"/>
        </w:rPr>
        <w:t>.</w:t>
      </w:r>
    </w:p>
    <w:p w14:paraId="01DBFB0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د- التصنيف وفقاً لدرجة استقلالية النظام</w:t>
      </w:r>
    </w:p>
    <w:p w14:paraId="6F3ABEB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يعتمد هذا التصنيف على مدى قدرة نظام الذكاء الاصطناعي على اتخاذ القرارات وتنفيذ الإجراءات بشكل مستقل دون تدخل بشري</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أشار (</w:t>
      </w:r>
      <w:proofErr w:type="gramStart"/>
      <w:r w:rsidRPr="005C3640">
        <w:rPr>
          <w:rFonts w:ascii="Simplified Arabic" w:eastAsia="Times New Roman" w:hAnsi="Simplified Arabic" w:cs="Simplified Arabic" w:hint="cs"/>
          <w:kern w:val="0"/>
          <w:sz w:val="28"/>
          <w:szCs w:val="28"/>
          <w:rtl/>
          <w14:ligatures w14:val="none"/>
        </w:rPr>
        <w:t>عبدالرحمن</w:t>
      </w:r>
      <w:proofErr w:type="gramEnd"/>
      <w:r w:rsidRPr="005C3640">
        <w:rPr>
          <w:rFonts w:ascii="Simplified Arabic" w:eastAsia="Times New Roman" w:hAnsi="Simplified Arabic" w:cs="Simplified Arabic" w:hint="cs"/>
          <w:kern w:val="0"/>
          <w:sz w:val="28"/>
          <w:szCs w:val="28"/>
          <w:rtl/>
          <w14:ligatures w14:val="none"/>
        </w:rPr>
        <w:t xml:space="preserve"> وآخرون، 2022) إلى ثلاثة مستويات متدرجة</w:t>
      </w:r>
      <w:r w:rsidRPr="005C3640">
        <w:rPr>
          <w:rFonts w:ascii="Simplified Arabic" w:eastAsia="Times New Roman" w:hAnsi="Simplified Arabic" w:cs="Simplified Arabic" w:hint="cs"/>
          <w:kern w:val="0"/>
          <w:sz w:val="28"/>
          <w:szCs w:val="28"/>
          <w14:ligatures w14:val="none"/>
        </w:rPr>
        <w:t>:</w:t>
      </w:r>
    </w:p>
    <w:p w14:paraId="3BB37E00"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المساندة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تقتصر على تقديم المعلومات والتحليلات والتوصيات لصانع القرار البشري الذي يحتفظ بالسلطة النهائية في اتخاذ القرار وتنفيذه. ويُعدّ هذا المستوى الأكثر شيوعاً في المؤسسات الحكومية حالياً، حيث يظل العنصر البشري هو المسؤول الأول والأخير عن القرارات المؤسسية، ويقتصر دور الذكاء الاصطناعي على إثراء المعلومات المتاحة له</w:t>
      </w:r>
      <w:r w:rsidRPr="005C3640">
        <w:rPr>
          <w:rFonts w:ascii="Simplified Arabic" w:eastAsia="Times New Roman" w:hAnsi="Simplified Arabic" w:cs="Simplified Arabic" w:hint="cs"/>
          <w:kern w:val="0"/>
          <w:sz w:val="28"/>
          <w:szCs w:val="28"/>
          <w14:ligatures w14:val="none"/>
        </w:rPr>
        <w:t>.</w:t>
      </w:r>
    </w:p>
    <w:p w14:paraId="6FF598C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شبه المستقلة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تمتلك صلاحية اتخاذ قرارات روتينية ومحددة بشكل آلي ضمن نطاق وقواعد معرّفة مسبقاً، بينما تُحيل القرارات المعقدة أو الاستثنائية التي تخرج عن نطاق صلاحياتها إلى المسؤول البشري للبت فيها. ويُحقق هذا المستوى توازناً بين الكفاءة التي توفرها الأتمتة والرقابة البشرية التي تضمن السلامة والمساءلة</w:t>
      </w:r>
      <w:r w:rsidRPr="005C3640">
        <w:rPr>
          <w:rFonts w:ascii="Simplified Arabic" w:eastAsia="Times New Roman" w:hAnsi="Simplified Arabic" w:cs="Simplified Arabic" w:hint="cs"/>
          <w:kern w:val="0"/>
          <w:sz w:val="28"/>
          <w:szCs w:val="28"/>
          <w14:ligatures w14:val="none"/>
        </w:rPr>
        <w:t>.</w:t>
      </w:r>
    </w:p>
    <w:p w14:paraId="3BF398E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المستقلة بالكامل</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أنظمة تعمل دون تدخل بشري مباشر في بيئات محددة ومحكومة بقواعد واضحة، كأنظمة إدارة المرور الذكية وأنظمة الرد الآلي على استفسارات المستفيدين وأنظمة المراقبة الأمنية. </w:t>
      </w:r>
      <w:r w:rsidRPr="005C3640">
        <w:rPr>
          <w:rFonts w:ascii="Simplified Arabic" w:eastAsia="Times New Roman" w:hAnsi="Simplified Arabic" w:cs="Simplified Arabic" w:hint="cs"/>
          <w:kern w:val="0"/>
          <w:sz w:val="28"/>
          <w:szCs w:val="28"/>
          <w:rtl/>
          <w14:ligatures w14:val="none"/>
        </w:rPr>
        <w:lastRenderedPageBreak/>
        <w:t>ويتطلب هذا المستوى درجة عالية من الثقة في موثوقية النظام ودقته، فضلاً عن أطر حوكمة صارمة تُحدد نطاق الاستقلالية وآليات المراجعة والتدخل عند الضرورة</w:t>
      </w:r>
      <w:r w:rsidRPr="005C3640">
        <w:rPr>
          <w:rFonts w:ascii="Simplified Arabic" w:eastAsia="Times New Roman" w:hAnsi="Simplified Arabic" w:cs="Simplified Arabic" w:hint="cs"/>
          <w:kern w:val="0"/>
          <w:sz w:val="28"/>
          <w:szCs w:val="28"/>
          <w14:ligatures w14:val="none"/>
        </w:rPr>
        <w:t>.</w:t>
      </w:r>
    </w:p>
    <w:p w14:paraId="0B3EE5F7" w14:textId="2C7A30F3" w:rsid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3640">
        <w:rPr>
          <w:rFonts w:ascii="Simplified Arabic" w:eastAsia="Times New Roman" w:hAnsi="Simplified Arabic" w:cs="Simplified Arabic" w:hint="cs"/>
          <w:kern w:val="0"/>
          <w:sz w:val="28"/>
          <w:szCs w:val="28"/>
          <w:rtl/>
          <w14:ligatures w14:val="none"/>
        </w:rPr>
        <w:t>وفي ضوء هذه التصنيفات المتعددة، يتضح أن المؤسسات الحكومية الكبرى في المملكة العربية السعودية تتعامل في المرحلة الراهنة بشكل أساسي مع الذكاء الاصطناعي الضيق بأنواعه التطبيقية المختلفة، لا سيما تقنيات التعلم الآلي ومعالجة اللغة الطبيعية والتحليلات التنبؤية والتوجيهية، وذلك ضمن مستويات تتراوح بين الأنظمة المساندة والأنظمة شبه المستقلة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وهو ما ينسجم مع أبعاد الدراسة الحالية التي تركز على التطبيقات العملية القابلة للقياس والتقييم في بيئة العمل الحكومي، والتي تتمثل في جمع البيانات ومعالجتها والنماذج التنبؤية والأتمتة الذكية وأنظمة دعم القرار</w:t>
      </w:r>
      <w:r w:rsidRPr="005C3640">
        <w:rPr>
          <w:rFonts w:ascii="Simplified Arabic" w:eastAsia="Times New Roman" w:hAnsi="Simplified Arabic" w:cs="Simplified Arabic" w:hint="cs"/>
          <w:kern w:val="0"/>
          <w:sz w:val="28"/>
          <w:szCs w:val="28"/>
          <w14:ligatures w14:val="none"/>
        </w:rPr>
        <w:t>.</w:t>
      </w:r>
    </w:p>
    <w:p w14:paraId="19FB6311"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خامساً: خصائص تقنيات الذكاء الاصطناعي</w:t>
      </w:r>
    </w:p>
    <w:p w14:paraId="5C144F1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تتميز تقنيات الذكاء الاصطناعي بمجموعة من الخصائص الجوهرية التي تُشكّل الأساس الذي يُفسّر القيمة المضافة التي تُقدمها هذه التقنيات للمؤسسات، وتميزها تمييزاً واضحاً عن الأدوات والأنظمة التقنية التقليدية التي سبقتها. ويُسهم فهم هذه الخصائص في تحديد المتطلبات والشروط اللازمة لنجاح تطبيق تقنيات الذكاء الاصطناعي في المؤسسات الحكومية الكبرى بالمملكة العربية السعودية، كما يُساعد في تفسير الفارق بين المؤسسات التي تنجح في استثمار هذه التقنيات وتلك التي تُخفق في تحقيق العوائد المرجوة منها. وقد تناول الباحثون هذه الخصائص من زوايا متعددة، مما أسهم في رسم صورة شاملة للسمات المميزة لهذه التقنيات</w:t>
      </w:r>
      <w:r w:rsidRPr="00D61485">
        <w:rPr>
          <w:rFonts w:ascii="Simplified Arabic" w:eastAsia="Times New Roman" w:hAnsi="Simplified Arabic" w:cs="Simplified Arabic"/>
          <w:kern w:val="0"/>
          <w:sz w:val="28"/>
          <w:szCs w:val="28"/>
          <w14:ligatures w14:val="none"/>
        </w:rPr>
        <w:t>.</w:t>
      </w:r>
    </w:p>
    <w:p w14:paraId="122A8C2F"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التعلم الذاتي والتكيف المستمر</w:t>
      </w:r>
    </w:p>
    <w:p w14:paraId="0550995B" w14:textId="7CF45A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تُعدّ خاصية التعلم الذاتي والتكيف المستمر من أبرز الخصائص التي تُفرّق بين أنظمة الذكاء الاصطناعي والبرمجيات التقليدية تفريقاً جوهرياً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أنظمة الذكاء الاصطناعي تمتلك القدرة على التعلم من البيانات التي تتعرض لها وتحسين أدائها بشكل مستمر وتلقائي دون الحاجة إلى إعادة برمجتها أو تعديل شيفرتها المصدرية في كل مرة تتغير فيها ظروف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وتتجلى هذه الخاصية بوضوح في نماذج التعلم الآلي التي تُحسّن دقة تنبؤاتها كلما تعرضت لمزيد من البيانات وتراكمت لديها خبرة أوسع في التعامل مع الأنماط المتنوعة، مما يعني أن قيمة هذه الأنظمة تتعاظم مع الاستخدام والزمن بدلاً من أن تتناقص أو تتقادم كما هو حال الأدوات التقليدية. وهذه الخاصية تمنح المؤسسات الحكومية </w:t>
      </w:r>
      <w:r w:rsidRPr="00D61485">
        <w:rPr>
          <w:rFonts w:ascii="Simplified Arabic" w:eastAsia="Times New Roman" w:hAnsi="Simplified Arabic" w:cs="Simplified Arabic"/>
          <w:kern w:val="0"/>
          <w:sz w:val="28"/>
          <w:szCs w:val="28"/>
          <w:rtl/>
          <w14:ligatures w14:val="none"/>
        </w:rPr>
        <w:lastRenderedPageBreak/>
        <w:t>الكبرى ميزة استراتيجية تراكمية، إذ كلما طالت مدة استخدام هذه الأنظمة واتسع نطاق البيانات المتاحة لها، ارتفعت جودة مخرجاتها وزادت دقتها وملاءمتها للسياق المؤسسي الخاص بها</w:t>
      </w:r>
      <w:r w:rsidRPr="00D61485">
        <w:rPr>
          <w:rFonts w:ascii="Simplified Arabic" w:eastAsia="Times New Roman" w:hAnsi="Simplified Arabic" w:cs="Simplified Arabic"/>
          <w:kern w:val="0"/>
          <w:sz w:val="28"/>
          <w:szCs w:val="28"/>
          <w14:ligatures w14:val="none"/>
        </w:rPr>
        <w:t>.</w:t>
      </w:r>
    </w:p>
    <w:p w14:paraId="0017E6F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معالجة البيانات الضخمة</w:t>
      </w:r>
    </w:p>
    <w:p w14:paraId="30046055" w14:textId="262C82F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خاصية القدرة على معالجة البيانات الضخمة بوصفها من أبرز السمات المميزة للذكاء الاصطناعي، حيث تتيح هذه التقنيات معالجة كميات هائلة من البيانات المتنوعة المصادر والأشكال والأحجام في زمن قياسي واستخلاص أنماط وعلاقات ذات دلالة منها، وهو ما يتجاوز بمراحل عديدة قدرات التحليل البشري أو الأدوات الإحصائية التقليدية التي تعجز عن التعامل مع هذا الحجم والتنوع من البيانات بالسرعة والدقة المطلوبتين</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استثنائية في المؤسسات الحكومية الكبرى بالمملكة العربية السعودية التي تُنتج يومياً حجماً ضخماً من البيانات المتعلقة بالمعاملات والخدمات والتفاعلات مع المستفيدين والعمليات التشغيلية الداخلية، وهي بيانات كانت تُهدر في السابق أو تُستخدم بشكل محدود نظراً لعدم توفر أدوات قادرة على استثمارها بالكامل</w:t>
      </w:r>
      <w:r w:rsidRPr="00D61485">
        <w:rPr>
          <w:rFonts w:ascii="Simplified Arabic" w:eastAsia="Times New Roman" w:hAnsi="Simplified Arabic" w:cs="Simplified Arabic"/>
          <w:kern w:val="0"/>
          <w:sz w:val="28"/>
          <w:szCs w:val="28"/>
          <w14:ligatures w14:val="none"/>
        </w:rPr>
        <w:t>.</w:t>
      </w:r>
    </w:p>
    <w:p w14:paraId="32F0651D"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الاستقلالية في التنفيذ</w:t>
      </w:r>
    </w:p>
    <w:p w14:paraId="4B63CE8B" w14:textId="2B01AC10"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إلى أن أنظمة الذكاء الاصطناعي تمتلك خاصية الاستقلالية في التنفيذ، حيث تستطيع أداء مهام معقدة ومتشعبة بشكل مستقل وبأقل قدر ممكن من التدخل البشري المباشر، مع الحفاظ على مستوى عالٍ من الدقة والاتساق في المخرجات بصرف النظر عن حجم العمل المطلوب أو الظروف المحيطة بعملية التشغيل. فخلافاً للعنصر البشري الذي يتأثر أداؤه بعوامل الإرهاق والملل وتقلبات المزاج وتفاوت مستويات الخبرة والتركيز، تعمل أنظمة الذكاء الاصطناعي بمستوى ثابت من الكفاءة والدقة على مدار الساعة ودون انقطاع</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وتجعل هذه الخاصية أنظمة الذكاء الاصطناعي مثالية للتعامل مع العمليات الحكومية المتكررة ذات الحجم الكبير التي تتطلب مستوى عالياً من الدقة والاستمرارية والاتساق في الأداء، كمعالجة طلبات المستفيدين ومراجعة المستندات وتصنيف المعاملات وإصدار الإشعارات</w:t>
      </w:r>
      <w:r w:rsidRPr="00D61485">
        <w:rPr>
          <w:rFonts w:ascii="Simplified Arabic" w:eastAsia="Times New Roman" w:hAnsi="Simplified Arabic" w:cs="Simplified Arabic"/>
          <w:kern w:val="0"/>
          <w:sz w:val="28"/>
          <w:szCs w:val="28"/>
          <w14:ligatures w14:val="none"/>
        </w:rPr>
        <w:t>.</w:t>
      </w:r>
    </w:p>
    <w:p w14:paraId="06FCAB5A"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742F8772"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4EF78F80" w14:textId="26465B7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التكامل مع الأنظمة القائمة</w:t>
      </w:r>
    </w:p>
    <w:p w14:paraId="0A48F5A6" w14:textId="3A48D7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يُضيف (المصاروة والسرحان، 2021) خاصية التكامل مع الأنظمة القائمة بوصفها سمة جوهرية تُيسّر عملية تبني تقنيات الذكاء الاصطناعي في المؤسسات دون الحاجة إلى استبدال البنية التحتية التقنية الموجودة بالكامل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فتقنيات الذكاء الاصطناعي الحديثة تتميز بقدرتها على الاندماج مع الأنظمة المعلوماتية والتطبيقات المؤسسية القائمة من خلال واجهات برمجة التطبيقات والحوسبة السحابية وبروتوكولات تبادل البيانات المعيارية، مما يُقلل بشكل كبير من تكاليف التحول ومخاطره ويُسرّع عملية التبني والنشر</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خاصة في المؤسسات الحكومية الكبرى التي استثمرت على مدى سنوات في بناء أنظمة معلوماتية وقواعد بيانات ضخمة، ولا تستطيع التخلي عنها دفعة واحدة بل تحتاج إلى مسار تحول تدريجي يُدمج التقنيات الجديدة مع الموروث التقني القائم</w:t>
      </w:r>
      <w:r w:rsidRPr="00D61485">
        <w:rPr>
          <w:rFonts w:ascii="Simplified Arabic" w:eastAsia="Times New Roman" w:hAnsi="Simplified Arabic" w:cs="Simplified Arabic"/>
          <w:kern w:val="0"/>
          <w:sz w:val="28"/>
          <w:szCs w:val="28"/>
          <w14:ligatures w14:val="none"/>
        </w:rPr>
        <w:t>.</w:t>
      </w:r>
    </w:p>
    <w:p w14:paraId="2C04941C"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التحسين المستمر للأداء</w:t>
      </w:r>
    </w:p>
    <w:p w14:paraId="46B2AF7E" w14:textId="0577C68B"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(Kumar et al., 2025) </w:t>
      </w:r>
      <w:r w:rsidRPr="00D61485">
        <w:rPr>
          <w:rFonts w:ascii="Simplified Arabic" w:eastAsia="Times New Roman" w:hAnsi="Simplified Arabic" w:cs="Simplified Arabic"/>
          <w:kern w:val="0"/>
          <w:sz w:val="28"/>
          <w:szCs w:val="28"/>
          <w:rtl/>
          <w14:ligatures w14:val="none"/>
        </w:rPr>
        <w:t>خاصية التحسين المستمر للأداء بوصفها من الخصائص التي تمنح تقنيات الذكاء الاصطناعي قيمة متنامية بمرور الوقت</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فهذه الأنظمة تعمل وفق آليات تغذية راجعة مستمرة تُمكّنها من رصد الانحرافات في أدائها وتحديد مواطن الضعف وتعديل معاملاتها وخوارزمياتها تلقائياً لتحقيق مستويات أعلى من الدقة والكفاءة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ويتحقق ذلك من خلال منحنى تعلم تصاعدي يُعزز كفاءة العمليات بشكل تراكمي ومستدام، حيث يتحسن أداء النظام مع كل دورة عمل جديدة ومع كل مجموعة بيانات إضافية يتعرض لها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يعني أن العائد على الاستثمار في تقنيات الذكاء الاصطناعي لا يتحقق دفعة واحدة بل يتعاظم بشكل تدريجي ومستمر، مما يجعله استثماراً طويل المدى تتضاعف عوائده كلما نضج النظام وتراكمت خبراته</w:t>
      </w:r>
      <w:r w:rsidRPr="00D61485">
        <w:rPr>
          <w:rFonts w:ascii="Simplified Arabic" w:eastAsia="Times New Roman" w:hAnsi="Simplified Arabic" w:cs="Simplified Arabic"/>
          <w:kern w:val="0"/>
          <w:sz w:val="28"/>
          <w:szCs w:val="28"/>
          <w14:ligatures w14:val="none"/>
        </w:rPr>
        <w:t>.</w:t>
      </w:r>
    </w:p>
    <w:p w14:paraId="50034CE3"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الموضوعية والحياد في التحليل</w:t>
      </w:r>
    </w:p>
    <w:p w14:paraId="29A991AF" w14:textId="03CF8135"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يُعزّز</w:t>
      </w:r>
      <w:r w:rsidRPr="00D61485">
        <w:rPr>
          <w:rFonts w:ascii="Simplified Arabic" w:eastAsia="Times New Roman" w:hAnsi="Simplified Arabic" w:cs="Simplified Arabic"/>
          <w:kern w:val="0"/>
          <w:sz w:val="28"/>
          <w:szCs w:val="28"/>
          <w14:ligatures w14:val="none"/>
        </w:rPr>
        <w:t xml:space="preserve"> (Sadok et al., 2022) </w:t>
      </w:r>
      <w:r w:rsidRPr="00D61485">
        <w:rPr>
          <w:rFonts w:ascii="Simplified Arabic" w:eastAsia="Times New Roman" w:hAnsi="Simplified Arabic" w:cs="Simplified Arabic"/>
          <w:kern w:val="0"/>
          <w:sz w:val="28"/>
          <w:szCs w:val="28"/>
          <w:rtl/>
          <w14:ligatures w14:val="none"/>
        </w:rPr>
        <w:t>الخصائص السابقة بإضافة خاصية الموضوعية والحياد في التحليل، حيث تعمل خوارزميات الذكاء الاصطناعي على أساس رياضي وإحصائي صرف يستند إلى البيانات والأدلة الرقمية، مما يُقلل بشكل ملموس من تأثير التحيزات الشخصية والعوامل الانفعالية والضغوط الاجتماعية التي قد تؤثر سلباً في جودة القرارات والتحليلات البشرية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بالغة </w:t>
      </w:r>
      <w:r w:rsidRPr="00D61485">
        <w:rPr>
          <w:rFonts w:ascii="Simplified Arabic" w:eastAsia="Times New Roman" w:hAnsi="Simplified Arabic" w:cs="Simplified Arabic"/>
          <w:kern w:val="0"/>
          <w:sz w:val="28"/>
          <w:szCs w:val="28"/>
          <w:rtl/>
          <w14:ligatures w14:val="none"/>
        </w:rPr>
        <w:lastRenderedPageBreak/>
        <w:t>في المؤسسات الحكومية التي يُفترض فيها أن تعمل وفق مبادئ العدالة والمساواة والشفافية في تعاملها مع جميع المستفيدين دون تمييز</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غير أنه تجدر الإشارة إلى أن تحقيق هذه الموضوعية يشترط أن تكون البيانات المُدخلة للنظام سليمة ومتوازنة وممثلة لجميع الفئات تمثيلاً عادلاً، إذ أن أي تحيز كامن في البيانات الأصلية سينعكس حتماً على مخرجات النظام ويُنتج تحليلات وقرارات منحازة، وهو ما يُعرف بمشكلة "التحيز الخوارزمي" التي تستوجب يقظة مستمرة ومراجعة دورية</w:t>
      </w:r>
      <w:r w:rsidRPr="00D61485">
        <w:rPr>
          <w:rFonts w:ascii="Simplified Arabic" w:eastAsia="Times New Roman" w:hAnsi="Simplified Arabic" w:cs="Simplified Arabic"/>
          <w:kern w:val="0"/>
          <w:sz w:val="28"/>
          <w:szCs w:val="28"/>
          <w14:ligatures w14:val="none"/>
        </w:rPr>
        <w:t>.</w:t>
      </w:r>
    </w:p>
    <w:p w14:paraId="6946ABA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العمل في الزمن الحقيقي</w:t>
      </w:r>
    </w:p>
    <w:p w14:paraId="57343800"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يُؤكد</w:t>
      </w:r>
      <w:r w:rsidRPr="00D61485">
        <w:rPr>
          <w:rFonts w:ascii="Simplified Arabic" w:eastAsia="Times New Roman" w:hAnsi="Simplified Arabic" w:cs="Simplified Arabic"/>
          <w:kern w:val="0"/>
          <w:sz w:val="28"/>
          <w:szCs w:val="28"/>
          <w14:ligatures w14:val="none"/>
        </w:rPr>
        <w:t xml:space="preserve"> (Peng et al., 2023) </w:t>
      </w:r>
      <w:r w:rsidRPr="00D61485">
        <w:rPr>
          <w:rFonts w:ascii="Simplified Arabic" w:eastAsia="Times New Roman" w:hAnsi="Simplified Arabic" w:cs="Simplified Arabic"/>
          <w:kern w:val="0"/>
          <w:sz w:val="28"/>
          <w:szCs w:val="28"/>
          <w:rtl/>
          <w14:ligatures w14:val="none"/>
        </w:rPr>
        <w:t>على خاصية القدرة على العمل في الزمن الحقيقي بوصفها من الخصائص الحاسمة لتقنيات الذكاء الاصطناعي، حيث تتيح هذه التقنيات المعالجة الآنية والفورية للبيانات فور توليدها وتقديم استجابات ومخرجات تحليلية لحظية، مما يُمكّن المؤسسات من التعامل مع الأحداث والمتغيرات لحظة وقوعها بدلاً من الانتظار حتى تتراكم البيانات وتُعالج بأساليب تقليدية بطيئة تُفقدها قيمتها الزمنية. وتكتسب هذه الخاصية أهمية بالغة في المؤسسات الحكومية الكبرى التي تتعامل مع خدمات حساسة تتطلب استجابة آنية، كخدمات الطوارئ والخدمات المالية وخدمات المستفيدين المباشرة، حيث يمكن أن يترتب على التأخر في الاستجابة عواقب وخيمة على مستوى جودة الخدمة ورضا المستفيدين</w:t>
      </w:r>
      <w:r w:rsidRPr="00D61485">
        <w:rPr>
          <w:rFonts w:ascii="Simplified Arabic" w:eastAsia="Times New Roman" w:hAnsi="Simplified Arabic" w:cs="Simplified Arabic"/>
          <w:kern w:val="0"/>
          <w:sz w:val="28"/>
          <w:szCs w:val="28"/>
          <w14:ligatures w14:val="none"/>
        </w:rPr>
        <w:t>.</w:t>
      </w:r>
    </w:p>
    <w:p w14:paraId="09554E6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القابلية للتوسع والمرونة</w:t>
      </w:r>
    </w:p>
    <w:p w14:paraId="28AD0582" w14:textId="15365274"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 xml:space="preserve">إلى خاصية القابلية للتوسع والمرونة التي تتميز بها تقنيات الذكاء الاصطناعي الحديثة، حيث يمكن توسيع نطاق عمل هذه الأنظمة لتشمل عمليات ووحدات تنظيمية جديدة دون الحاجة إلى إعادة بنائها من </w:t>
      </w:r>
      <w:proofErr w:type="gramStart"/>
      <w:r w:rsidRPr="00D61485">
        <w:rPr>
          <w:rFonts w:ascii="Simplified Arabic" w:eastAsia="Times New Roman" w:hAnsi="Simplified Arabic" w:cs="Simplified Arabic"/>
          <w:kern w:val="0"/>
          <w:sz w:val="28"/>
          <w:szCs w:val="28"/>
          <w:rtl/>
          <w14:ligatures w14:val="none"/>
        </w:rPr>
        <w:t>الصفر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فالنموذج</w:t>
      </w:r>
      <w:proofErr w:type="gramEnd"/>
      <w:r w:rsidRPr="00D61485">
        <w:rPr>
          <w:rFonts w:ascii="Simplified Arabic" w:eastAsia="Times New Roman" w:hAnsi="Simplified Arabic" w:cs="Simplified Arabic"/>
          <w:kern w:val="0"/>
          <w:sz w:val="28"/>
          <w:szCs w:val="28"/>
          <w:rtl/>
          <w14:ligatures w14:val="none"/>
        </w:rPr>
        <w:t xml:space="preserve"> الذي طُوّر لخدمة إدارة معينة يمكن تكييفه ونقله لخدمة إدارة أخرى بجهد محدود نسبياً، كما يمكن زيادة طاقته الاستيعابية للتعامل مع حجم أكبر من البيانات والعمليات من خلال الحوسبة السحابية المرنة التي تُتيح إضافة موارد </w:t>
      </w:r>
      <w:proofErr w:type="spellStart"/>
      <w:r w:rsidRPr="00D61485">
        <w:rPr>
          <w:rFonts w:ascii="Simplified Arabic" w:eastAsia="Times New Roman" w:hAnsi="Simplified Arabic" w:cs="Simplified Arabic"/>
          <w:kern w:val="0"/>
          <w:sz w:val="28"/>
          <w:szCs w:val="28"/>
          <w:rtl/>
          <w14:ligatures w14:val="none"/>
        </w:rPr>
        <w:t>حوسبية</w:t>
      </w:r>
      <w:proofErr w:type="spellEnd"/>
      <w:r w:rsidRPr="00D61485">
        <w:rPr>
          <w:rFonts w:ascii="Simplified Arabic" w:eastAsia="Times New Roman" w:hAnsi="Simplified Arabic" w:cs="Simplified Arabic"/>
          <w:kern w:val="0"/>
          <w:sz w:val="28"/>
          <w:szCs w:val="28"/>
          <w:rtl/>
          <w14:ligatures w14:val="none"/>
        </w:rPr>
        <w:t xml:space="preserve"> حسب الطلب</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وتُعدّ هذه الخاصية ذات صلة مباشرة بالمؤسسات الحكومية الكبرى التي تتسم بتعدد فروعها وتنوع خدماتها وتباين أحجام الطلب عليها بين المواسم والفترات المختلفة، مما يستوجب أنظمة قادرة على التوسع والانكماش بمرونة تتلاءم مع المتطلبات المتغيرة</w:t>
      </w:r>
      <w:r w:rsidRPr="00D61485">
        <w:rPr>
          <w:rFonts w:ascii="Simplified Arabic" w:eastAsia="Times New Roman" w:hAnsi="Simplified Arabic" w:cs="Simplified Arabic"/>
          <w:kern w:val="0"/>
          <w:sz w:val="28"/>
          <w:szCs w:val="28"/>
          <w14:ligatures w14:val="none"/>
        </w:rPr>
        <w:t>.</w:t>
      </w:r>
    </w:p>
    <w:p w14:paraId="5D57B6F2" w14:textId="77777777" w:rsidR="00AF0FC2" w:rsidRDefault="00AF0FC2" w:rsidP="00CD4D05">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3F8B9B55" w14:textId="6005E60F" w:rsidR="00D61485" w:rsidRPr="00D61485" w:rsidRDefault="00D61485" w:rsidP="00CD4D05">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 xml:space="preserve">سادساً: أبعاد تقنيات الذكاء الاصطناعي </w:t>
      </w:r>
    </w:p>
    <w:p w14:paraId="7E785510" w14:textId="77777777" w:rsidR="00AF0FC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تم تحديد أبعاد تقنيات الذكاء الاصطناعي في هذه الدراسة بناءً على مراجعة تحليلية معمّقة لمجموعة من الدراسات العلمية الحديثة التي تناولت تقنيات الذكاء الاصطناعي في السياقات المؤسسية والتشغيلية، ولا سيما دراسة</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التي تناولت أثر الذكاء الاصطناعي على عمليات سلسلة الإمداد من خلال مقارنة العمليات التقليدية بالعمليات المدعومة بالذكاء الاصطناعي،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التي قدّمت تحليلاً شاملاً لتطبيقات الذكاء الاصطناعي في سلاسل الإمداد واتجاهاتها المستقبلية، ودراسة</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التي تناولت دور الذكاء الاصطناعي في تعزيز الكفاءة التشغيلية في العمليات اللوجستية وإدارة سلاسل الإمداد، ودراسة</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التي بحثت في دور الذكاء الاصطناعي في تحقيق الكفاءة وإدارة المخاطر في سلاسل الإمداد والقطاع المالي،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التي ركّزت على تقنيات الذكاء الاصطناعي الحديثة بوصفها أداة لتحويل سلاسل القيمة في المؤسسات المالية. </w:t>
      </w:r>
    </w:p>
    <w:p w14:paraId="69D2E4AB" w14:textId="629597F9" w:rsidR="006F66D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وقد تقاطعت هذه الدراسات مجتمعةً في تحديد أربعة أبعاد رئيسة تُمثّل المكونات الجوهرية لتقنيات الذكاء الاصطناعي في البيئة المؤسسية، وهي: جمع البيانات ومعالجتها، والنماذج التنبؤية، والأتمتة الذكية، وأنظمة دعم القرار. وتعمل هذه الأبعاد الأربعة بشكل تكاملي وتتابعي، إذ تُشكّل حلقات مترابطة تبدأ بجمع البيانات الخام ومعالجتها بوصفها المادة الأولية، ثم توظيفها في بناء نماذج تنبؤية تستشرف المستقبل، ثم ترجمة هذه التنبؤات إلى عمليات مؤتمتة ذكية تُنفَّذ بكفاءة ودقة، وصولاً إلى تقديم مخرجات تحليلية متكاملة تدعم عملية صنع القرار المؤسسي على مختلف المستويات الإدارية</w:t>
      </w:r>
      <w:r w:rsidRPr="00D61485">
        <w:rPr>
          <w:rFonts w:ascii="Simplified Arabic" w:eastAsia="Times New Roman" w:hAnsi="Simplified Arabic" w:cs="Simplified Arabic"/>
          <w:kern w:val="0"/>
          <w:sz w:val="28"/>
          <w:szCs w:val="28"/>
          <w14:ligatures w14:val="none"/>
        </w:rPr>
        <w:t>.</w:t>
      </w:r>
    </w:p>
    <w:p w14:paraId="1FF4230B" w14:textId="77777777" w:rsidR="006F66D2" w:rsidRDefault="006F66D2">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5DD7AAD1" w14:textId="724A1DF2"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kern w:val="0"/>
          <w:sz w:val="28"/>
          <w:szCs w:val="28"/>
          <w:rtl/>
          <w14:ligatures w14:val="none"/>
        </w:rPr>
        <w:lastRenderedPageBreak/>
        <w:t>شكل (3) الأبعاد الأربعة لتقنيات الذكاء الاصطناعي وتكاملها</w:t>
      </w:r>
    </w:p>
    <w:p w14:paraId="7B0A4BC7" w14:textId="7F3D7197"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drawing>
          <wp:inline distT="0" distB="0" distL="0" distR="0" wp14:anchorId="1B507F67" wp14:editId="32164267">
            <wp:extent cx="5731510" cy="4305300"/>
            <wp:effectExtent l="0" t="0" r="2540" b="0"/>
            <wp:docPr id="1415795687"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4600E348" w14:textId="54703F89" w:rsidR="006F66D2" w:rsidRP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b/>
          <w:bCs/>
          <w:kern w:val="0"/>
          <w:sz w:val="28"/>
          <w:szCs w:val="28"/>
          <w:rtl/>
          <w14:ligatures w14:val="none"/>
        </w:rPr>
        <w:t>المصدر</w:t>
      </w:r>
      <w:r w:rsidRPr="006F66D2">
        <w:rPr>
          <w:rFonts w:ascii="Simplified Arabic" w:eastAsia="Times New Roman" w:hAnsi="Simplified Arabic" w:cs="Simplified Arabic"/>
          <w:b/>
          <w:bCs/>
          <w:kern w:val="0"/>
          <w:sz w:val="28"/>
          <w:szCs w:val="28"/>
          <w14:ligatures w14:val="none"/>
        </w:rPr>
        <w:t>:</w:t>
      </w:r>
      <w:r w:rsidRPr="006F66D2">
        <w:rPr>
          <w:rFonts w:ascii="Simplified Arabic" w:eastAsia="Times New Roman" w:hAnsi="Simplified Arabic" w:cs="Simplified Arabic"/>
          <w:kern w:val="0"/>
          <w:sz w:val="28"/>
          <w:szCs w:val="28"/>
          <w14:ligatures w14:val="none"/>
        </w:rPr>
        <w:t xml:space="preserve"> </w:t>
      </w:r>
      <w:r w:rsidRPr="006F66D2">
        <w:rPr>
          <w:rFonts w:ascii="Simplified Arabic" w:eastAsia="Times New Roman" w:hAnsi="Simplified Arabic" w:cs="Simplified Arabic"/>
          <w:kern w:val="0"/>
          <w:sz w:val="28"/>
          <w:szCs w:val="28"/>
          <w:rtl/>
          <w14:ligatures w14:val="none"/>
        </w:rPr>
        <w:t>من إعداد الباحثة بالاعتماد على الدراسات المرجعية للمتغير المستقل</w:t>
      </w:r>
      <w:r w:rsidRPr="006F66D2">
        <w:rPr>
          <w:rFonts w:ascii="Simplified Arabic" w:eastAsia="Times New Roman" w:hAnsi="Simplified Arabic" w:cs="Simplified Arabic"/>
          <w:kern w:val="0"/>
          <w:sz w:val="28"/>
          <w:szCs w:val="28"/>
          <w14:ligatures w14:val="none"/>
        </w:rPr>
        <w:t>.</w:t>
      </w:r>
    </w:p>
    <w:p w14:paraId="5A9B5753"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الأول: جمع البيانات ومعالجتها</w:t>
      </w:r>
    </w:p>
    <w:p w14:paraId="1471F7E0" w14:textId="138C72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يُمثّل جمع البيانات ومعالجتها حجر الأساس الذي تقوم عليه المنظومة الكاملة لتقنيات الذكاء الاصطناعي، إذ لا يمكن لأي نظام ذكي أن يُنتج مخرجات ذات قيمة دون توافر بيانات كافية من حيث الحجم وذات جودة عالية من حيث الدقة والاكتمال والحداثة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ويُشير هذا البُعد إلى مجموعة العمليات والتقنيات والبروتوكولات المستخدمة في استقطاب البيانات من مصادرها المتنوعة الداخلية والخارجية، وتنظيفها من الأخطاء والتشوهات والقيم المفقودة والمكررة، وتحويلها إلى صيغ موحدة قابلة للتحليل والمعالجة الآلية، وتخزينها في بنى تحتية رقمية تُتيح الوصول إليها واسترجاعها بسهولة وسرعة وأمان</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 هذه العملية أهمية محورية في المؤسسات الحكومية الكبرى بالمملكة العربية السعودية التي تتعامل مع مصادر بيانات متعددة ومتباينة الأشكال، تشمل البيانات المهيكلة المخزنة في قواعد البيانات الرسمية وأنظمة تخطيط </w:t>
      </w:r>
      <w:r w:rsidRPr="00D61485">
        <w:rPr>
          <w:rFonts w:ascii="Simplified Arabic" w:eastAsia="Times New Roman" w:hAnsi="Simplified Arabic" w:cs="Simplified Arabic"/>
          <w:kern w:val="0"/>
          <w:sz w:val="28"/>
          <w:szCs w:val="28"/>
          <w:rtl/>
          <w14:ligatures w14:val="none"/>
        </w:rPr>
        <w:lastRenderedPageBreak/>
        <w:t>الموارد، والبيانات غير المهيكلة المتضمنة في المراسلات والتقارير والمحاضر والوثائق، والبيانات شبه المهيكلة الناتجة عن النماذج والاستمارات الإلكترونية وسجلات التعاملات</w:t>
      </w:r>
      <w:r w:rsidRPr="00D61485">
        <w:rPr>
          <w:rFonts w:ascii="Simplified Arabic" w:eastAsia="Times New Roman" w:hAnsi="Simplified Arabic" w:cs="Simplified Arabic"/>
          <w:kern w:val="0"/>
          <w:sz w:val="28"/>
          <w:szCs w:val="28"/>
          <w14:ligatures w14:val="none"/>
        </w:rPr>
        <w:t>.</w:t>
      </w:r>
    </w:p>
    <w:p w14:paraId="733F155A" w14:textId="5CF057C9"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جودة مخرجات أي نظام ذكاء اصطناعي تتوقف بالدرجة الأولى على جودة البيانات المُدخلة إليه، وهو ما يُعبَّر عنه في أدبيات الذكاء الاصطناعي بمبدأ "القمامة تدخل، القمامة تخرج"، مما يعني أن المؤسسات التي تسعى للاستفادة الفعلية من هذه التقنيات ينبغي أن تُولي اهتماماً استثنائياً لعمليات حوكمة البيانات وضمان دقتها واكتمالها وحداثتها وموثوقيتها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ويشمل ذلك تصميم آليات جمع بيانات مُحكمة تُقلل من فرص الخطأ البشري في مراحل الإدخال والتسجيل، وتطوير بروتوكولات تنقية البيانات التي ترصد القيم المتطرفة والشاذة وتُعالجها بأساليب إحصائية مناسبة، فضلاً عن بناء مستودعات بيانات مركزية تُوحّد مصادر البيانات المتفرقة عبر الوحدات التنظيمية المختلفة وتُتيح رؤية شاملة ومتكاملة تتجاوز الجزر المعلوماتية المعزولة التي تعاني منها كثير من المؤسسات الحكومية</w:t>
      </w:r>
      <w:r w:rsidRPr="00D61485">
        <w:rPr>
          <w:rFonts w:ascii="Simplified Arabic" w:eastAsia="Times New Roman" w:hAnsi="Simplified Arabic" w:cs="Simplified Arabic"/>
          <w:kern w:val="0"/>
          <w:sz w:val="28"/>
          <w:szCs w:val="28"/>
          <w14:ligatures w14:val="none"/>
        </w:rPr>
        <w:t>.</w:t>
      </w:r>
    </w:p>
    <w:p w14:paraId="56231AC0" w14:textId="318368FE"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ومن جانبه،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معالجة البيانات في سياق الذكاء الاصطناعي تتجاوز المفهوم التقليدي لإدارة البيانات لتشمل عمليات متقدمة بالغة الأهمية، من أبرزها هندسة السمات التي تستخلص متغيرات جديدة ذات دلالة من البيانات الخام الأصلية بما يُعزز قدرة النماذج على التعلم والتنبؤ، وتكامل البيانات من مصادر متعددة ومتباينة الأشكال والبنى لبناء صورة موحدة وشاملة عن الظاهرة محل التحليل، فضلاً عن تقنيات إثراء البيانات التي تُضيف سياقات ومعلومات تكميلية من مصادر خارجية تُعمّق فهم البيانات الأصلية وتُعزز قدرتها التفسيرية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وأشار إلى أن المؤسسات التي تتفوق في إدارة بياناتها ومعالجتها تمتلك ميزة تنافسية حاسمة، لأن البيانات عالية الجودة تُمكّن من بناء نماذج ذكاء اصطناعي أكثر دقة وموثوقية</w:t>
      </w:r>
      <w:r w:rsidRPr="00D61485">
        <w:rPr>
          <w:rFonts w:ascii="Simplified Arabic" w:eastAsia="Times New Roman" w:hAnsi="Simplified Arabic" w:cs="Simplified Arabic"/>
          <w:kern w:val="0"/>
          <w:sz w:val="28"/>
          <w:szCs w:val="28"/>
          <w14:ligatures w14:val="none"/>
        </w:rPr>
        <w:t>.</w:t>
      </w:r>
    </w:p>
    <w:p w14:paraId="1BC617BC" w14:textId="195FAAB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أوضح</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 xml:space="preserve">أن عمليات جمع البيانات ومعالجتها في المؤسسات المعاصرة تستلزم بنية تحتية رقمية متقدمة تشمل أنظمة الحوسبة السحابية التي تُوفر سعة تخزينية ومعالجة مرنة وقابلة للتوسع، ومنصات البيانات الضخمة القادرة على التعامل مع حجم وتنوع وسرعة تدفق البيانات المتولدة عن الأنشطة المؤسسية اليومية، وأنظمة إنترنت الأشياء التي تجمع بيانات آنية من الأجهزة والمعدات والمستشعرات المنتشرة في بيئة العمل. وتتضافر هذه المكونات مجتمعة لتُشكّل </w:t>
      </w:r>
      <w:r w:rsidRPr="00D61485">
        <w:rPr>
          <w:rFonts w:ascii="Simplified Arabic" w:eastAsia="Times New Roman" w:hAnsi="Simplified Arabic" w:cs="Simplified Arabic"/>
          <w:kern w:val="0"/>
          <w:sz w:val="28"/>
          <w:szCs w:val="28"/>
          <w:rtl/>
          <w14:ligatures w14:val="none"/>
        </w:rPr>
        <w:lastRenderedPageBreak/>
        <w:t>منظومة جمع ومعالجة بيانات متكاملة تُغذي النماذج التنبؤية وأنظمة الأتمتة الذكية ومنصات دعم القرار بالمعلومات الموثوقة والمحدّثة التي تحتاجها لأداء وظائفها بفاعلية</w:t>
      </w:r>
      <w:r w:rsidRPr="00D61485">
        <w:rPr>
          <w:rFonts w:ascii="Simplified Arabic" w:eastAsia="Times New Roman" w:hAnsi="Simplified Arabic" w:cs="Simplified Arabic"/>
          <w:kern w:val="0"/>
          <w:sz w:val="28"/>
          <w:szCs w:val="28"/>
          <w14:ligatures w14:val="none"/>
        </w:rPr>
        <w:t>.</w:t>
      </w:r>
    </w:p>
    <w:p w14:paraId="198954ED" w14:textId="37DEDB78"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بُعداً مهماً يتعلق بأمن البيانات وخصوصيتها في سياق المؤسسات الحكومية، حيث تتعامل هذه المؤسسات مع بيانات حساسة تتضمن معلومات شخصية للمواطنين وبيانات مالية وأمنية ذات طابع سيادي، مما يستوجب تطبيق بروتوكولات صارمة لحماية هذه البيانات وضمان الامتثال للتشريعات واللوائح المنظمة لحماية البيانات الشخصية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ويتطلب ذلك اعتماد تقنيات التشفير المتقدمة وأنظمة التحكم في الوصول ومسارات التدقيق الرقمية التي تُوثّق جميع عمليات الوصول إلى البيانات والتعديل عليها، بما يُحقق التوازن بين الاستفادة القصوى من البيانات وحماية خصوصية أصحابها</w:t>
      </w:r>
      <w:r w:rsidRPr="00D61485">
        <w:rPr>
          <w:rFonts w:ascii="Simplified Arabic" w:eastAsia="Times New Roman" w:hAnsi="Simplified Arabic" w:cs="Simplified Arabic"/>
          <w:kern w:val="0"/>
          <w:sz w:val="28"/>
          <w:szCs w:val="28"/>
          <w14:ligatures w14:val="none"/>
        </w:rPr>
        <w:t>.</w:t>
      </w:r>
    </w:p>
    <w:p w14:paraId="448BC278"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الثاني: النماذج التنبؤية</w:t>
      </w:r>
    </w:p>
    <w:p w14:paraId="40B03C2D" w14:textId="2330DD66"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النماذج التنبؤية البُعد الثاني من أبعاد تقنيات الذكاء الاصطناعي في هذه الدراسة، وتُشير إلى مجموعة الخوارزميات والأساليب الرياضية والإحصائية المتقدمة التي تستثمر البيانات التاريخية والراهنة في استشراف الأحداث والاتجاهات المستقبلية بدرجة معقولة من الدقة والموثوقية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وتقوم هذه النماذج على مبدأ أساسي مفاده أن الأنماط الكامنة في البيانات الماضية تحمل مؤشرات دالة على ما سيحدث مستقبلاً، وأن الخوارزميات الذكية قادرة على اكتشاف هذه الأنماط واستخدامها في بناء تقديرات احتمالية للسيناريوهات المتوقعة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وتُعدّ هذه النماذج ذات أهمية بالغة في المؤسسات الحكومية الكبرى التي تحتاج إلى التخطيط المسبق والاستعداد لمتطلبات المستقبل، سواء تعلق الأمر بالتنبؤ بحجم الطلب على الخدمات الحكومية، أو توقع الاحتياجات من الموارد البشرية والمادية، أو استشراف المخاطر المحتملة التي قد تُعطّل سير العمل</w:t>
      </w:r>
      <w:r w:rsidRPr="00D61485">
        <w:rPr>
          <w:rFonts w:ascii="Simplified Arabic" w:eastAsia="Times New Roman" w:hAnsi="Simplified Arabic" w:cs="Simplified Arabic"/>
          <w:kern w:val="0"/>
          <w:sz w:val="28"/>
          <w:szCs w:val="28"/>
          <w14:ligatures w14:val="none"/>
        </w:rPr>
        <w:t>.</w:t>
      </w:r>
    </w:p>
    <w:p w14:paraId="4401683C" w14:textId="379B51A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أن النماذج التنبؤية المدعومة بالذكاء الاصطناعي تتفوق على النماذج الإحصائية التقليدية في عدة جوانب جوهرية، أبرزها قدرتها على التعامل مع عدد كبير من المتغيرات المتشابكة في آنٍ واحد دون أن يتأثر أداؤها بتعدد هذه المتغيرات أو تداخلها، وقدرتها على اكتشاف العلاقات غير الخطية والمعقدة بين المتغيرات التي تعجز النماذج الخطية التقليدية عن رصدها، فضلاً عن قدرتها على التعلم المستمر وتحسين دقتها بشكل تلقائي كلما تعرضت لمزيد من البيانات الجديدة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ويُسهم هذا </w:t>
      </w:r>
      <w:r w:rsidRPr="00D61485">
        <w:rPr>
          <w:rFonts w:ascii="Simplified Arabic" w:eastAsia="Times New Roman" w:hAnsi="Simplified Arabic" w:cs="Simplified Arabic"/>
          <w:kern w:val="0"/>
          <w:sz w:val="28"/>
          <w:szCs w:val="28"/>
          <w:rtl/>
          <w14:ligatures w14:val="none"/>
        </w:rPr>
        <w:lastRenderedPageBreak/>
        <w:t>التفوق في تمكين المؤسسات من بناء تصورات مستقبلية أكثر دقة وواقعية تُقلل من حالات المفاجأة وتُعزز جاهزية المؤسسة للتعامل مع السيناريوهات المختلفة</w:t>
      </w:r>
      <w:r w:rsidRPr="00D61485">
        <w:rPr>
          <w:rFonts w:ascii="Simplified Arabic" w:eastAsia="Times New Roman" w:hAnsi="Simplified Arabic" w:cs="Simplified Arabic"/>
          <w:kern w:val="0"/>
          <w:sz w:val="28"/>
          <w:szCs w:val="28"/>
          <w14:ligatures w14:val="none"/>
        </w:rPr>
        <w:t>.</w:t>
      </w:r>
    </w:p>
    <w:p w14:paraId="05089021" w14:textId="5F58E4A3"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إلى أن النماذج التنبؤية تلعب دوراً محورياً في إدارة المخاطر المؤسسية، حيث تُمكّن هذه النماذج من تقدير احتمالات وقوع أحداث سلبية معينة وتحديد حجم تأثيرها المتوقع على العمليات التشغيلية والمالية، مما يُتيح للمؤسسة اتخاذ إجراءات وقائية مسبقة تُقلل من تعرضها للمخاطر أو تُخفف من آثارها في حال وقوعها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وتتنوع النماذج التنبؤية المستخدمة في هذا السياق لتشمل نماذج الانحدار المتعدد والشبكات العصبية الاصطناعية وأشجار القرار والغابات العشوائية وآلات المتجهات الداعمة، ويعتمد اختيار النموذج المناسب على طبيعة المشكلة ونوعية البيانات المتاحة ومستوى الدقة المطلوب</w:t>
      </w:r>
      <w:r w:rsidRPr="00D61485">
        <w:rPr>
          <w:rFonts w:ascii="Simplified Arabic" w:eastAsia="Times New Roman" w:hAnsi="Simplified Arabic" w:cs="Simplified Arabic"/>
          <w:kern w:val="0"/>
          <w:sz w:val="28"/>
          <w:szCs w:val="28"/>
          <w14:ligatures w14:val="none"/>
        </w:rPr>
        <w:t>.</w:t>
      </w:r>
    </w:p>
    <w:p w14:paraId="348DFCA8" w14:textId="699C33FA" w:rsidR="00D61485" w:rsidRPr="00D61485"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D61485" w:rsidRPr="00D61485">
        <w:rPr>
          <w:rFonts w:ascii="Simplified Arabic" w:eastAsia="Times New Roman" w:hAnsi="Simplified Arabic" w:cs="Simplified Arabic"/>
          <w:kern w:val="0"/>
          <w:sz w:val="28"/>
          <w:szCs w:val="28"/>
          <w:rtl/>
          <w14:ligatures w14:val="none"/>
        </w:rPr>
        <w:t xml:space="preserve"> أكد</w:t>
      </w:r>
      <w:r w:rsidR="00D61485" w:rsidRPr="00D61485">
        <w:rPr>
          <w:rFonts w:ascii="Simplified Arabic" w:eastAsia="Times New Roman" w:hAnsi="Simplified Arabic" w:cs="Simplified Arabic"/>
          <w:kern w:val="0"/>
          <w:sz w:val="28"/>
          <w:szCs w:val="28"/>
          <w14:ligatures w14:val="none"/>
        </w:rPr>
        <w:t xml:space="preserve"> (Yusuf et al., 2025) </w:t>
      </w:r>
      <w:r w:rsidR="00D61485" w:rsidRPr="00D61485">
        <w:rPr>
          <w:rFonts w:ascii="Simplified Arabic" w:eastAsia="Times New Roman" w:hAnsi="Simplified Arabic" w:cs="Simplified Arabic"/>
          <w:kern w:val="0"/>
          <w:sz w:val="28"/>
          <w:szCs w:val="28"/>
          <w:rtl/>
          <w14:ligatures w14:val="none"/>
        </w:rPr>
        <w:t>على أن فاعلية النماذج التنبؤية لا تتوقف على تطور الخوارزمية المستخدمة فحسب، بل ترتبط ارتباطاً وثيقاً بجودة البيانات التي تُغذيها وبمدى ملاءمة المتغيرات المختارة للظاهرة محل التنبؤ، وهو ما يُبرز الترابط العضوي بين هذا البُعد والبُعد الأول المتعلق بجمع البيانات ومعالجتها</w:t>
      </w:r>
      <w:r>
        <w:rPr>
          <w:rFonts w:ascii="Simplified Arabic" w:eastAsia="Times New Roman" w:hAnsi="Simplified Arabic" w:cs="Simplified Arabic" w:hint="cs"/>
          <w:kern w:val="0"/>
          <w:sz w:val="28"/>
          <w:szCs w:val="28"/>
          <w:rtl/>
          <w14:ligatures w14:val="none"/>
        </w:rPr>
        <w:t>،</w:t>
      </w:r>
      <w:r w:rsidR="00D61485" w:rsidRPr="00D61485">
        <w:rPr>
          <w:rFonts w:ascii="Simplified Arabic" w:eastAsia="Times New Roman" w:hAnsi="Simplified Arabic" w:cs="Simplified Arabic"/>
          <w:kern w:val="0"/>
          <w:sz w:val="28"/>
          <w:szCs w:val="28"/>
          <w:rtl/>
          <w14:ligatures w14:val="none"/>
        </w:rPr>
        <w:t xml:space="preserve"> كما أشار إلى أن النماذج التنبؤية في سلاسل الإمداد والعمليات التشغيلية تشمل تطبيقات واسعة النطاق من بينها التنبؤ بالطلب المستقبلي على الخدمات والمنتجات، والتنبؤ بأعطال المعدات والبنية التحتية قبل حدوثها لإجراء صيانة وقائية، والتنبؤ بتكاليف العمليات وتذبذبات الأسعار، والتنبؤ بسلوك المستفيدين وتفضيلاتهم المستقبلية</w:t>
      </w:r>
      <w:r w:rsidR="00D61485" w:rsidRPr="00D61485">
        <w:rPr>
          <w:rFonts w:ascii="Simplified Arabic" w:eastAsia="Times New Roman" w:hAnsi="Simplified Arabic" w:cs="Simplified Arabic"/>
          <w:kern w:val="0"/>
          <w:sz w:val="28"/>
          <w:szCs w:val="28"/>
          <w14:ligatures w14:val="none"/>
        </w:rPr>
        <w:t>.</w:t>
      </w:r>
    </w:p>
    <w:p w14:paraId="46229B7D" w14:textId="42BFD03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النماذج التنبؤية في بيئة العمليات اللوجستية وسلاسل الإمداد تتطلب تحديثاً مستمراً ومعايرة دورية لضمان استمرار دقتها في ظل التغيرات المستمرة في بيئة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فالنموذج التنبؤي الذي بُني على بيانات فترة زمنية معينة قد يفقد دقته إذا تغيرت الظروف المحيطة بشكل جوهري، مما يستوجب آليات مراقبة أداء النموذج وإعادة تدريبه ببيانات محدّثة بشكل دوري. وهذا ما يجعل النماذج التنبؤية عملية مستمرة وليست مشروعاً يُنفّذ مرة واحدة، ويتطلب التزاماً مؤسسياً طويل المدى بتخصيص الموارد اللازمة لصيانتها وتطويرها</w:t>
      </w:r>
      <w:r w:rsidRPr="00D61485">
        <w:rPr>
          <w:rFonts w:ascii="Simplified Arabic" w:eastAsia="Times New Roman" w:hAnsi="Simplified Arabic" w:cs="Simplified Arabic"/>
          <w:kern w:val="0"/>
          <w:sz w:val="28"/>
          <w:szCs w:val="28"/>
          <w14:ligatures w14:val="none"/>
        </w:rPr>
        <w:t>.</w:t>
      </w:r>
    </w:p>
    <w:p w14:paraId="38B3D7D0"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الثالث: الأتمتة الذكية</w:t>
      </w:r>
    </w:p>
    <w:p w14:paraId="666B1263" w14:textId="0E02A53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تُشكّل الأتمتة الذكية البُعد الثالث من أبعاد تقنيات الذكاء الاصطناعي في هذه الدراسة، وتُشير إلى توظيف خوارزميات الذكاء الاصطناعي وتقنيات التعلم الآلي في أتمتة العمليات والمهام المؤسسية بصورة تتجاوز الأتمتة التقليدية القائمة على قواعد ثابتة ومبرمجة مسبقاً</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فبينما تقتصر الأتمتة التقليدية على تنفيذ تعليمات محددة بشكل متكرر دون أي قدرة على التعامل مع الاستثناءات أو التكيف مع المتغيرات، فإن الأتمتة الذكية تمتلك القدرة على التعلم من التجارب السابقة والتكيف مع الظروف المتغيرة واتخاذ قرارات مستقلة ضمن نطاق صلاحياتها </w:t>
      </w:r>
      <w:proofErr w:type="gramStart"/>
      <w:r w:rsidRPr="00D61485">
        <w:rPr>
          <w:rFonts w:ascii="Simplified Arabic" w:eastAsia="Times New Roman" w:hAnsi="Simplified Arabic" w:cs="Simplified Arabic"/>
          <w:kern w:val="0"/>
          <w:sz w:val="28"/>
          <w:szCs w:val="28"/>
          <w:rtl/>
          <w14:ligatures w14:val="none"/>
        </w:rPr>
        <w:t>المحددة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w:t>
      </w:r>
      <w:proofErr w:type="gramEnd"/>
      <w:r w:rsidRPr="00D61485">
        <w:rPr>
          <w:rFonts w:ascii="Simplified Arabic" w:eastAsia="Times New Roman" w:hAnsi="Simplified Arabic" w:cs="Simplified Arabic"/>
          <w:kern w:val="0"/>
          <w:sz w:val="28"/>
          <w:szCs w:val="28"/>
          <w:rtl/>
          <w14:ligatures w14:val="none"/>
        </w:rPr>
        <w:t xml:space="preserve"> الأتمتة الذكية أهمية خاصة في المؤسسات الحكومية الكبرى التي تتعامل يومياً مع حجم هائل من المعاملات والإجراءات الروتينية التي تستهلك طاقات بشرية كبيرة يمكن توجيهها نحو مهام أكثر قيمةً وإبداعاً</w:t>
      </w:r>
      <w:r w:rsidRPr="00D61485">
        <w:rPr>
          <w:rFonts w:ascii="Simplified Arabic" w:eastAsia="Times New Roman" w:hAnsi="Simplified Arabic" w:cs="Simplified Arabic"/>
          <w:kern w:val="0"/>
          <w:sz w:val="28"/>
          <w:szCs w:val="28"/>
          <w14:ligatures w14:val="none"/>
        </w:rPr>
        <w:t>.</w:t>
      </w:r>
    </w:p>
    <w:p w14:paraId="34AD5946" w14:textId="6F60F2D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أن الأتمتة الذكية تُمثل نقلة نوعية في أسلوب إدارة العمليات المؤسسية، حيث تنتقل المؤسسة من نموذج يعتمد بشكل كبير على التدخل البشري اليدوي في كل مرحلة من مراحل العملية إلى نموذج تتولى فيه الأنظمة الذكية تنفيذ الجزء الأكبر من المهام الروتينية والمتكررة، بينما يتفرغ العنصر البشري للمهام التي تتطلب حكماً شخصياً وتفكيراً إبداعياً وتفاعلاً إنسانياً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وأشار إلى أن هذا التحول لا يقتصر على أتمتة المهام البسيطة كإدخال البيانات وتوجيه المعاملات، بل يمتد ليشمل عمليات أكثر تعقيداً كمراجعة المستندات واستخلاص المعلومات منها واتخاذ قرارات تصنيفية بناءً على معايير متعددة</w:t>
      </w:r>
      <w:r w:rsidRPr="00D61485">
        <w:rPr>
          <w:rFonts w:ascii="Simplified Arabic" w:eastAsia="Times New Roman" w:hAnsi="Simplified Arabic" w:cs="Simplified Arabic"/>
          <w:kern w:val="0"/>
          <w:sz w:val="28"/>
          <w:szCs w:val="28"/>
          <w14:ligatures w14:val="none"/>
        </w:rPr>
        <w:t>.</w:t>
      </w:r>
    </w:p>
    <w:p w14:paraId="7946AF30" w14:textId="1DBE822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على أن الأتمتة الذكية في سلاسل الإمداد تتضمن طيفاً واسعاً من التطبيقات، من أبرزها أتمتة عمليات الشراء والتوريد من خلال أنظمة تُراقب مستويات المخزون وتُصدر أوامر شراء تلقائية عند الوصول إلى نقطة إعادة الطلب، وأتمتة عمليات فرز المعاملات وتوجيهها إلى الجهات المختصة بناءً على تحليل محتواها وتصنيفها، وأتمتة عمليات إعداد التقارير الدورية واستخلاص المؤشرات الرئيسة من البيانات التشغيلية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نجاح الأتمتة الذكية يتطلب تصميماً دقيقاً للعمليات المراد </w:t>
      </w:r>
      <w:proofErr w:type="spellStart"/>
      <w:r w:rsidRPr="00D61485">
        <w:rPr>
          <w:rFonts w:ascii="Simplified Arabic" w:eastAsia="Times New Roman" w:hAnsi="Simplified Arabic" w:cs="Simplified Arabic"/>
          <w:kern w:val="0"/>
          <w:sz w:val="28"/>
          <w:szCs w:val="28"/>
          <w:rtl/>
          <w14:ligatures w14:val="none"/>
        </w:rPr>
        <w:t>أتمتتها</w:t>
      </w:r>
      <w:proofErr w:type="spellEnd"/>
      <w:r w:rsidRPr="00D61485">
        <w:rPr>
          <w:rFonts w:ascii="Simplified Arabic" w:eastAsia="Times New Roman" w:hAnsi="Simplified Arabic" w:cs="Simplified Arabic"/>
          <w:kern w:val="0"/>
          <w:sz w:val="28"/>
          <w:szCs w:val="28"/>
          <w:rtl/>
          <w14:ligatures w14:val="none"/>
        </w:rPr>
        <w:t>، يشمل تحديد المهام القابلة للأتمتة وتلك التي ينبغي أن تظل تحت الإشراف البشري، وتحديد نقاط التدخل البشري والمراجعة، ووضع آليات واضحة للتعامل مع الحالات الاستثنائية التي تخرج عن نطاق قدرات النظام</w:t>
      </w:r>
      <w:r w:rsidRPr="00D61485">
        <w:rPr>
          <w:rFonts w:ascii="Simplified Arabic" w:eastAsia="Times New Roman" w:hAnsi="Simplified Arabic" w:cs="Simplified Arabic"/>
          <w:kern w:val="0"/>
          <w:sz w:val="28"/>
          <w:szCs w:val="28"/>
          <w14:ligatures w14:val="none"/>
        </w:rPr>
        <w:t>.</w:t>
      </w:r>
    </w:p>
    <w:p w14:paraId="27BBBFB2" w14:textId="52F24A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الأتمتة الذكية في بيئة العمليات اللوجستية تُسهم في تحقيق مكاسب جوهرية تتمثل في تقليص زمن تنفيذ العمليات بنسب كبيرة مقارنة بالتنفيذ اليدوي، وخفض معدلات الخطأ الناتج عن العامل البشري كأخطاء الإدخال والتصنيف والحساب، وتحقيق مستوى عالٍ من الاتساق في جودة المخرجات بصرف النظر عن حجم العمل أو ظروف التشغيل، فضلاً عن إتاحة العمل على مدار الساعة دون انقطاع وهو ما يعجز عنه العنصر البشري</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المكاسب تتعاظم قيمتها في المؤسسات التي تتعامل مع حجم كبير من المعاملات المتشابهة والمتكررة، وهو ما ينطبق على كثير من المؤسسات الحكومية الكبرى التي تُعالج يومياً آلاف الطلبات والمعاملات</w:t>
      </w:r>
      <w:r w:rsidRPr="00D61485">
        <w:rPr>
          <w:rFonts w:ascii="Simplified Arabic" w:eastAsia="Times New Roman" w:hAnsi="Simplified Arabic" w:cs="Simplified Arabic"/>
          <w:kern w:val="0"/>
          <w:sz w:val="28"/>
          <w:szCs w:val="28"/>
          <w14:ligatures w14:val="none"/>
        </w:rPr>
        <w:t>.</w:t>
      </w:r>
    </w:p>
    <w:p w14:paraId="68B5E1DC" w14:textId="2813158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(Helo &amp; Hao, 2022) </w:t>
      </w:r>
      <w:r w:rsidRPr="00D61485">
        <w:rPr>
          <w:rFonts w:ascii="Simplified Arabic" w:eastAsia="Times New Roman" w:hAnsi="Simplified Arabic" w:cs="Simplified Arabic"/>
          <w:kern w:val="0"/>
          <w:sz w:val="28"/>
          <w:szCs w:val="28"/>
          <w:rtl/>
          <w14:ligatures w14:val="none"/>
        </w:rPr>
        <w:t>إلى أن الأتمتة الذكية لا تعني الاستغناء عن العنصر البشري، بل تعني إعادة تعريف دوره في المنظومة المؤسسية، حيث ينتقل من دور المُنفّذ للمهام الروتينية إلى دور المُشرف والمُوجّه والمُبتكر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وهذا التحول يستوجب برامج تأهيل وتطوير للموارد البشرية تُمكّنها من التعامل مع الأنظمة الذكية والإشراف عليها واستثمار مخرجاتها، وهو ما يُحقق التكامل بين القدرات البشرية والقدرات الآلية بدلاً من التنافس بينهما</w:t>
      </w:r>
      <w:r w:rsidRPr="00D61485">
        <w:rPr>
          <w:rFonts w:ascii="Simplified Arabic" w:eastAsia="Times New Roman" w:hAnsi="Simplified Arabic" w:cs="Simplified Arabic"/>
          <w:kern w:val="0"/>
          <w:sz w:val="28"/>
          <w:szCs w:val="28"/>
          <w14:ligatures w14:val="none"/>
        </w:rPr>
        <w:t>.</w:t>
      </w:r>
    </w:p>
    <w:p w14:paraId="24A698BA"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الرابع: أنظمة دعم القرار</w:t>
      </w:r>
    </w:p>
    <w:p w14:paraId="263DEF50" w14:textId="7239413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أنظمة دعم القرار المدعومة بالذكاء الاصطناعي البُعد الرابع والأخير من أبعاد تقنيات الذكاء الاصطناعي في هذه الدراسة، وتُشير إلى المنظومات التقنية المتكاملة التي تستثمر مخرجات الأبعاد الثلاثة السابقة، أي البيانات المُعالَجة والتنبؤات المُولَّدة والعمليات المُؤتمتة، في تقديم تحليلات ورؤى وتوصيات شاملة لصانعي القرار على مختلف المستويات الإدارية، بما يُمكّنهم من اتخاذ قرارات أكثر استنارةً ودقةً وسرعةً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وتتميز هذه الأنظمة عن أنظمة المعلومات التقليدية بقدرتها على تقديم تحليلات سياقية تراعي الظروف المحيطة بالقرار ومحاكاة نتائج البدائل المختلفة قبل اتخاذها، مما يُقلل من حالات عدم اليقين ويُعزز ثقة صانع القرار في خياراته</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وتبرز أهمية هذا البُعد بشكل خاص في المؤسسات الحكومية الكبرى حيث تتسم القرارات بتأثيرها الواسع على شرائح كبيرة من المستفيدين، وتتداخل فيها اعتبارات متعددة تتجاوز البُعد الاقتصادي لتشمل أبعاداً اجتماعية وتنموية وسياسية</w:t>
      </w:r>
      <w:r w:rsidRPr="00D61485">
        <w:rPr>
          <w:rFonts w:ascii="Simplified Arabic" w:eastAsia="Times New Roman" w:hAnsi="Simplified Arabic" w:cs="Simplified Arabic"/>
          <w:kern w:val="0"/>
          <w:sz w:val="28"/>
          <w:szCs w:val="28"/>
          <w14:ligatures w14:val="none"/>
        </w:rPr>
        <w:t>.</w:t>
      </w:r>
    </w:p>
    <w:p w14:paraId="31129E70" w14:textId="696399D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أن أنظمة دعم القرار المدعومة بالذكاء الاصطناعي تعمل وفق منهجية متكاملة تبدأ بتجميع البيانات ذات الصلة بالقرار المطروح من مصادرها المتعددة، ثم </w:t>
      </w:r>
      <w:r w:rsidRPr="00D61485">
        <w:rPr>
          <w:rFonts w:ascii="Simplified Arabic" w:eastAsia="Times New Roman" w:hAnsi="Simplified Arabic" w:cs="Simplified Arabic"/>
          <w:kern w:val="0"/>
          <w:sz w:val="28"/>
          <w:szCs w:val="28"/>
          <w:rtl/>
          <w14:ligatures w14:val="none"/>
        </w:rPr>
        <w:lastRenderedPageBreak/>
        <w:t>تحليلها باستخدام خوارزميات متقدمة تكشف العلاقات والأنماط والاتجاهات، ثم توليد سيناريوهات بديلة مع تقدير احتمالية كل سيناريو ونتائجه المتوقعة، وأخيراً تقديم توصيات مُرتّبة وفق معايير محددة يُقرّها صانع القرار مسبقاً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المنهجية تُحقق نقلة نوعية في جودة القرارات المؤسسية، لأنها تستند إلى تحليل شامل ومنهجي لجميع المعطيات المتاحة بدلاً من الاعتماد على خبرة محدودة أو معلومات جزئية</w:t>
      </w:r>
      <w:r w:rsidRPr="00D61485">
        <w:rPr>
          <w:rFonts w:ascii="Simplified Arabic" w:eastAsia="Times New Roman" w:hAnsi="Simplified Arabic" w:cs="Simplified Arabic"/>
          <w:kern w:val="0"/>
          <w:sz w:val="28"/>
          <w:szCs w:val="28"/>
          <w14:ligatures w14:val="none"/>
        </w:rPr>
        <w:t>.</w:t>
      </w:r>
    </w:p>
    <w:p w14:paraId="32550861" w14:textId="20E0F315"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أنظمة دعم القرار المدعومة بالذكاء الاصطناعي تتميز بقدرتها على العمل في بيئات عالية التعقيد تتشابك فيها عشرات المتغيرات وتتعارض فيها الأهداف، وهو ما يميزها عن أنظمة دعم القرار التقليدية التي تعمل بكفاءة في بيئات مستقرة ومحدودة المتغيرات فقط</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وأوضح أن هذه الأنظمة تتيح لصانعي القرار في القطاع المالي وسلاسل الإمداد إجراء تحليلات "ماذا لو" المتقدمة التي تُحاكي تأثير القرارات المحتملة على مختلف جوانب الأداء المؤسسي قبل تنفيذها فعلياً، مما يُقلل من مخاطر اتخاذ قرارات خاطئة ذات تبعات مكلفة</w:t>
      </w:r>
      <w:r w:rsidRPr="00D61485">
        <w:rPr>
          <w:rFonts w:ascii="Simplified Arabic" w:eastAsia="Times New Roman" w:hAnsi="Simplified Arabic" w:cs="Simplified Arabic"/>
          <w:kern w:val="0"/>
          <w:sz w:val="28"/>
          <w:szCs w:val="28"/>
          <w14:ligatures w14:val="none"/>
        </w:rPr>
        <w:t>.</w:t>
      </w:r>
    </w:p>
    <w:p w14:paraId="032F34FA" w14:textId="623119CB"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أن أنظمة دعم القرار المدعومة بالذكاء الاصطناعي في سلاسل الإمداد تعمل على عدة مستويات تتدرج من المستوى التشغيلي الذي يدعم القرارات اليومية الروتينية كقرارات التخصيص والجدولة والتوجيه، مروراً بالمستوى التكتيكي الذي يدعم القرارات متوسطة المدى كقرارات التخطيط للموارد وإدارة المخزون واختيار الموردين، وصولاً إلى المستوى الاستراتيجي الذي يدعم القرارات بعيدة المدى كقرارات التوسع وتصميم شبكة الإمداد والتحالفات الاستراتيجية</w:t>
      </w:r>
      <w:r w:rsidR="00A5503B">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ويتطلب كل مستوى نوعية مختلفة من البيانات والتحليلات والنماذج، مما يستوجب تصميم منظومة دعم قرار متعددة الطبقات تُلبي احتياجات صانعي القرار على المستويات كافة</w:t>
      </w:r>
      <w:r w:rsidRPr="00D61485">
        <w:rPr>
          <w:rFonts w:ascii="Simplified Arabic" w:eastAsia="Times New Roman" w:hAnsi="Simplified Arabic" w:cs="Simplified Arabic"/>
          <w:kern w:val="0"/>
          <w:sz w:val="28"/>
          <w:szCs w:val="28"/>
          <w14:ligatures w14:val="none"/>
        </w:rPr>
        <w:t>.</w:t>
      </w:r>
    </w:p>
    <w:p w14:paraId="45101617" w14:textId="60F16E1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إلى أن فاعلية أنظمة دعم القرار في البيئة المؤسسية لا تتوقف على تطورها التقني فحسب، بل ترتبط ارتباطاً وثيقاً بمدى قبول صانعي القرار لها وثقتهم في مخرجاتها واستعدادهم للاستناد إليها في قراراتهم</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يستوجب تصميم واجهات استخدام بديهية وسهلة الفهم تُقدم المعلومات والتوصيات بصورة واضحة وموجزة، مع إتاحة إمكانية الاطلاع على التفاصيل والمبررات التحليلية لمن يرغب في ذلك</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كما يتطلب بناء الثقة في هذه الأنظمة شفافية في آلية عملها بحيث يستطيع صانع القرار فهم كيف وصل النظام إلى توصياته، وهو ما يُعرف في أدبيات الذكاء الاصطناعي بمبدأ </w:t>
      </w:r>
      <w:r w:rsidRPr="00D61485">
        <w:rPr>
          <w:rFonts w:ascii="Simplified Arabic" w:eastAsia="Times New Roman" w:hAnsi="Simplified Arabic" w:cs="Simplified Arabic"/>
          <w:kern w:val="0"/>
          <w:sz w:val="28"/>
          <w:szCs w:val="28"/>
          <w:rtl/>
          <w14:ligatures w14:val="none"/>
        </w:rPr>
        <w:lastRenderedPageBreak/>
        <w:t>"قابلية التفسير" الذي يكتسب أهمية خاصة في المؤسسات الحكومية حيث تخضع القرارات للمساءلة العامة والرقابة المؤسسية</w:t>
      </w:r>
      <w:r w:rsidRPr="00D61485">
        <w:rPr>
          <w:rFonts w:ascii="Simplified Arabic" w:eastAsia="Times New Roman" w:hAnsi="Simplified Arabic" w:cs="Simplified Arabic"/>
          <w:kern w:val="0"/>
          <w:sz w:val="28"/>
          <w:szCs w:val="28"/>
          <w14:ligatures w14:val="none"/>
        </w:rPr>
        <w:t>.</w:t>
      </w:r>
    </w:p>
    <w:p w14:paraId="152C3DD6" w14:textId="77777777" w:rsid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ويتضح من استعراض هذه الأبعاد الأربعة أنها تعمل بشكل تكاملي وتتابعي يُشبه سلسلة القيمة المعلوماتية، حيث يُغذي كل بُعد البُعد الذي يليه ويعتمد على مخرجات البُعد الذي يسبقه. فجمع البيانات ومعالجتها يُوفر المادة الخام التي تتغذى عليها النماذج التنبؤية، والنماذج التنبؤية تُولّد التوقعات التي تُوجّه عمليات الأتمتة الذكية، وجميعها تصب في منظومة دعم القرار التي تُقدم الصورة المتكاملة لصانع القرار. وأي ضعف في أي بُعد من هذه الأبعاد ينعكس سلباً على فاعلية الأبعاد الأخرى والمنظومة ككل، مما يؤكد ضرورة التعامل معها بوصفها منظومة متكاملة وليست مكونات منفصلة</w:t>
      </w:r>
      <w:r w:rsidRPr="00D61485">
        <w:rPr>
          <w:rFonts w:ascii="Simplified Arabic" w:eastAsia="Times New Roman" w:hAnsi="Simplified Arabic" w:cs="Simplified Arabic"/>
          <w:kern w:val="0"/>
          <w:sz w:val="28"/>
          <w:szCs w:val="28"/>
          <w14:ligatures w14:val="none"/>
        </w:rPr>
        <w:t>.</w:t>
      </w:r>
    </w:p>
    <w:p w14:paraId="32E249D3" w14:textId="77777777"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D4D05">
        <w:rPr>
          <w:rFonts w:ascii="Simplified Arabic" w:eastAsia="Times New Roman" w:hAnsi="Simplified Arabic" w:cs="Simplified Arabic"/>
          <w:b/>
          <w:bCs/>
          <w:kern w:val="0"/>
          <w:sz w:val="28"/>
          <w:szCs w:val="28"/>
          <w:rtl/>
          <w14:ligatures w14:val="none"/>
        </w:rPr>
        <w:t>سابعاً: الذكاء الاصطناعي ورؤية المملكة العربية السعودية 2030</w:t>
      </w:r>
    </w:p>
    <w:p w14:paraId="32A37CB3"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تحتل تقنيات الذكاء الاصطناعي موقعاً محورياً في رؤية المملكة العربية السعودية 2030، إذ لا يُنظر إليها باعتبارها أداة تقنية مساندة فحسب، بل ركيزة استراتيجية جوهرية لتحقيق التحول الاقتصادي الشامل والانتقال من نموذج الاعتماد على الريع النفطي إلى اقتصاد معرفي متنوع ومستدام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وقد أشار (حسن وآخرون، 2024) إلى أنّ الذكاء الاصطناعي يُسهم في تحسين كفاءة استخدام الموارد الحكومية وتقديم خدمات عالية الجودة بزمن أقل وتكلفة أدنى، وهو ما ينسجم تماماً مع التوجه الوطني نحو رفع الإنتاجية وتعظيم القيمة المضافة في جميع القطاعات الحكومية. </w:t>
      </w:r>
    </w:p>
    <w:p w14:paraId="6F4022E8" w14:textId="198C339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ولترجمة هذا التوجه إلى واقع مؤسسي، أنشأت المملكة عام 2019 الهيئة السعودية للبيانات والذكاء الاصطناعي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بوصفها الجهة الوطنية المرجعية المسؤولة عن قيادة ملف البيانات والذكاء الاصطناعي على المستوى الوطني، ووضع الاستراتيجيات والسياسات والمعايير والأطر التنظيمية التي تحكم استخدام هذه التقنيات في المؤسسات الحكومية والخاصة على حدٍّ سواء</w:t>
      </w:r>
      <w:r w:rsidRPr="00CD4D05">
        <w:rPr>
          <w:rFonts w:ascii="Simplified Arabic" w:eastAsia="Times New Roman" w:hAnsi="Simplified Arabic" w:cs="Simplified Arabic"/>
          <w:kern w:val="0"/>
          <w:sz w:val="28"/>
          <w:szCs w:val="28"/>
          <w14:ligatures w14:val="none"/>
        </w:rPr>
        <w:t>.</w:t>
      </w:r>
    </w:p>
    <w:p w14:paraId="0A880CBB" w14:textId="72B595E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أوضح (مرعي، 2024) أن تطبيق الذكاء الاصطناعي في المؤسسات الحكومية الكبرى لا يقتصر على اقتناء البرمجيات والأنظمة التقنية، بل يستلزم إعادة تصميم العمليات التشغيلية جذرياً، وتطوير الكوادر البشرية وتزويدها بالمهارات الرقمية اللازمة، وبناء ثقافة مؤسسية منفتحة على التجريب والابتكار، فضلاً عن وضع أطر تنظيمية صارمة لحماية البيانات وضمان الخصوصية والاستخدام الأخلاقي للتقنية</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lastRenderedPageBreak/>
        <w:t>و</w:t>
      </w:r>
      <w:r w:rsidRPr="00CD4D05">
        <w:rPr>
          <w:rFonts w:ascii="Simplified Arabic" w:eastAsia="Times New Roman" w:hAnsi="Simplified Arabic" w:cs="Simplified Arabic"/>
          <w:kern w:val="0"/>
          <w:sz w:val="28"/>
          <w:szCs w:val="28"/>
          <w:rtl/>
          <w14:ligatures w14:val="none"/>
        </w:rPr>
        <w:t xml:space="preserve">أصدرت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عدداً من الوثائق التوجيهية والأدلة الإرشادية لاستخدام الذكاء الاصطناعي التوليدي في القطاع الحكومي، بما يوفر إطاراً </w:t>
      </w:r>
      <w:proofErr w:type="spellStart"/>
      <w:r w:rsidRPr="00CD4D05">
        <w:rPr>
          <w:rFonts w:ascii="Simplified Arabic" w:eastAsia="Times New Roman" w:hAnsi="Simplified Arabic" w:cs="Simplified Arabic"/>
          <w:kern w:val="0"/>
          <w:sz w:val="28"/>
          <w:szCs w:val="28"/>
          <w:rtl/>
          <w14:ligatures w14:val="none"/>
        </w:rPr>
        <w:t>حوكمياً</w:t>
      </w:r>
      <w:proofErr w:type="spellEnd"/>
      <w:r w:rsidRPr="00CD4D05">
        <w:rPr>
          <w:rFonts w:ascii="Simplified Arabic" w:eastAsia="Times New Roman" w:hAnsi="Simplified Arabic" w:cs="Simplified Arabic"/>
          <w:kern w:val="0"/>
          <w:sz w:val="28"/>
          <w:szCs w:val="28"/>
          <w:rtl/>
          <w14:ligatures w14:val="none"/>
        </w:rPr>
        <w:t xml:space="preserve"> واضحاً يضمن التوازن بين تسريع التبني وضبط المخاطر المرتبطة بخصوصية البيانات والتحيز الخوارزمي</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أكد (الصفار، 2024) أنّ تقنيات الذكاء الاصطناعي تُوظَّف فعلياً في تحليل بيانات المستفيدين، وتخصيص الخدمات وفقاً لاحتياجاتهم، وأتمتة الإجراءات الإدارية الروتينية وتخفيف الأعباء البيروقراطية، وهو ما يدعم بشكل مباشر محور "حكومة فاعلة" الذي يُعَدّ أحد المحاور الرئيسة لرؤية 2030</w:t>
      </w:r>
      <w:r w:rsidRPr="00CD4D05">
        <w:rPr>
          <w:rFonts w:ascii="Simplified Arabic" w:eastAsia="Times New Roman" w:hAnsi="Simplified Arabic" w:cs="Simplified Arabic"/>
          <w:kern w:val="0"/>
          <w:sz w:val="28"/>
          <w:szCs w:val="28"/>
          <w14:ligatures w14:val="none"/>
        </w:rPr>
        <w:t>.</w:t>
      </w:r>
    </w:p>
    <w:p w14:paraId="2654302D"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لم يعد الذكاء الاصطناعي في المملكة العربية السعودية مجرد مشروعات تجريبية أو مبادرات محدودة النطاق، بل انتقل إلى مرحلة النضج المؤسسي والتطبيق الواسع النطاق، وهو ما تؤكده المؤشرات الدولية والمحلية على حدٍّ </w:t>
      </w:r>
      <w:proofErr w:type="gramStart"/>
      <w:r w:rsidRPr="00CD4D05">
        <w:rPr>
          <w:rFonts w:ascii="Simplified Arabic" w:eastAsia="Times New Roman" w:hAnsi="Simplified Arabic" w:cs="Simplified Arabic"/>
          <w:kern w:val="0"/>
          <w:sz w:val="28"/>
          <w:szCs w:val="28"/>
          <w:rtl/>
          <w14:ligatures w14:val="none"/>
        </w:rPr>
        <w:t>سواء</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w:t>
      </w:r>
      <w:proofErr w:type="gramEnd"/>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ف</w:t>
      </w:r>
      <w:r w:rsidRPr="00CD4D05">
        <w:rPr>
          <w:rFonts w:ascii="Simplified Arabic" w:eastAsia="Times New Roman" w:hAnsi="Simplified Arabic" w:cs="Simplified Arabic"/>
          <w:kern w:val="0"/>
          <w:sz w:val="28"/>
          <w:szCs w:val="28"/>
          <w:rtl/>
          <w14:ligatures w14:val="none"/>
        </w:rPr>
        <w:t xml:space="preserve">حققت المملكة المرتبة الخامسة عالمياً والأولى عربياً في مؤشر الذكاء الاصطناعي العالمي لعام 2025، بعد أن كانت في المرتبة الرابعة عشرة عالمياً في مؤشر عام 2024، مما يعكس تسارعاً ملحوظاً في وتيرة التبني والتطوير. </w:t>
      </w:r>
    </w:p>
    <w:p w14:paraId="2C8FBFE4" w14:textId="6DDD1DD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أشار تقرير ستانفورد لمؤشر الذكاء الاصطناعي لعام 2025 إلى أنّ المملكة تحتل المرتبة الثالثة عالمياً من حيث النماذج المتميزة للذكاء الاصطناعي، إلى جانب الولايات المتحدة والصين، وهو مؤشر بالغ الدلالة على القفزة النوعية التي حققتها المملكة في هذا المجال خلال سنوات قليلة</w:t>
      </w:r>
      <w:r w:rsidR="00A5503B">
        <w:rPr>
          <w:rFonts w:ascii="Simplified Arabic" w:eastAsia="Times New Roman" w:hAnsi="Simplified Arabic" w:cs="Simplified Arabic" w:hint="cs"/>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كما حققت المملكة المرتبة الحادية عشرة عالمياً والأولى إقليمياً في مؤشر سلامة الذكاء الاصطناعي العالمي، مما يدل على أن التقدم التقني يسير بالتوازي مع بناء أطر حوكمة وأمان متينة</w:t>
      </w:r>
      <w:r w:rsidRPr="00CD4D05">
        <w:rPr>
          <w:rFonts w:ascii="Simplified Arabic" w:eastAsia="Times New Roman" w:hAnsi="Simplified Arabic" w:cs="Simplified Arabic"/>
          <w:kern w:val="0"/>
          <w:sz w:val="28"/>
          <w:szCs w:val="28"/>
          <w14:ligatures w14:val="none"/>
        </w:rPr>
        <w:t>.</w:t>
      </w:r>
    </w:p>
    <w:p w14:paraId="430EB281"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ومن أبرز المنجزات التطبيقية التي تعكس مرحلة النضج هذه، قيام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بتطوير وإطلاق منظومة من التطبيقات الذكية التي أصبحت جزءاً لا يتجزأ من الحياة اليومية للمواطن والمقيم. ويأتي في مقدمتها تطبيق "توكلنا" الذي بدأ كمنصة لإدارة التصاريح خلال جائحة كوفيد-19، ثم تطوّر ليصبح منصة حكومية شاملة تدمج خدمات متعددة من جهات حكومية مختلفة في واجهة واحدة، حيث يجري حالياً دمج خدمات منصة "أبشر" فيه لتوفير تجربة خدمة موحدة ومتكاملة للمستخدم.</w:t>
      </w:r>
    </w:p>
    <w:p w14:paraId="21C147C0" w14:textId="56CE4A8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 xml:space="preserve"> وقد حقق هذا التطبيق المتكامل درجة 90.39</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 xml:space="preserve">في مؤشر نضج تجربة المستخدم لعام 2024، وهو ما يعكس مستوى عالياً من التطور في تصميم الخدمات الرقمية المدعومة بالذكاء الاصطناعي. كذلك أطلقت </w:t>
      </w:r>
      <w:proofErr w:type="spellStart"/>
      <w:r w:rsidRPr="00CD4D05">
        <w:rPr>
          <w:rFonts w:ascii="Simplified Arabic" w:eastAsia="Times New Roman" w:hAnsi="Simplified Arabic" w:cs="Simplified Arabic"/>
          <w:kern w:val="0"/>
          <w:sz w:val="28"/>
          <w:szCs w:val="28"/>
          <w:rtl/>
          <w14:ligatures w14:val="none"/>
        </w:rPr>
        <w:lastRenderedPageBreak/>
        <w:t>سدايا</w:t>
      </w:r>
      <w:proofErr w:type="spellEnd"/>
      <w:r w:rsidRPr="00CD4D05">
        <w:rPr>
          <w:rFonts w:ascii="Simplified Arabic" w:eastAsia="Times New Roman" w:hAnsi="Simplified Arabic" w:cs="Simplified Arabic"/>
          <w:kern w:val="0"/>
          <w:sz w:val="28"/>
          <w:szCs w:val="28"/>
          <w:rtl/>
          <w14:ligatures w14:val="none"/>
        </w:rPr>
        <w:t xml:space="preserve"> تطبيقات أخرى مثل "إحسان" و"نفاذ"، وكل منها يوظف تقنيات الذكاء الاصطناعي في مجاله لتعزيز كفاءة الخدمة وتحسين تجربة المستفيد</w:t>
      </w:r>
      <w:r w:rsidRPr="00CD4D05">
        <w:rPr>
          <w:rFonts w:ascii="Simplified Arabic" w:eastAsia="Times New Roman" w:hAnsi="Simplified Arabic" w:cs="Simplified Arabic"/>
          <w:kern w:val="0"/>
          <w:sz w:val="28"/>
          <w:szCs w:val="28"/>
          <w14:ligatures w14:val="none"/>
        </w:rPr>
        <w:t>.</w:t>
      </w:r>
    </w:p>
    <w:p w14:paraId="0EEA53E4" w14:textId="4F294713" w:rsidR="00CD4D05" w:rsidRPr="00CD4D05" w:rsidRDefault="00A5503B"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CD4D05" w:rsidRPr="00CD4D05">
        <w:rPr>
          <w:rFonts w:ascii="Simplified Arabic" w:eastAsia="Times New Roman" w:hAnsi="Simplified Arabic" w:cs="Simplified Arabic"/>
          <w:kern w:val="0"/>
          <w:sz w:val="28"/>
          <w:szCs w:val="28"/>
          <w:rtl/>
          <w14:ligatures w14:val="none"/>
        </w:rPr>
        <w:t xml:space="preserve"> أطلقت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برنامج "سُمَاي" (المليون سعودي في الذكاء الاصطناعي) لتأهيل كوادر وطنية متخصصة، إضافةً إلى معسكرات تدريبية مكثفة</w:t>
      </w:r>
      <w:r w:rsidR="00CD4D05" w:rsidRPr="00CD4D05">
        <w:rPr>
          <w:rFonts w:ascii="Simplified Arabic" w:eastAsia="Times New Roman" w:hAnsi="Simplified Arabic" w:cs="Simplified Arabic"/>
          <w:kern w:val="0"/>
          <w:sz w:val="28"/>
          <w:szCs w:val="28"/>
          <w14:ligatures w14:val="none"/>
        </w:rPr>
        <w:t xml:space="preserve"> (Bootcamps) </w:t>
      </w:r>
      <w:r w:rsidR="00CD4D05" w:rsidRPr="00CD4D05">
        <w:rPr>
          <w:rFonts w:ascii="Simplified Arabic" w:eastAsia="Times New Roman" w:hAnsi="Simplified Arabic" w:cs="Simplified Arabic"/>
          <w:kern w:val="0"/>
          <w:sz w:val="28"/>
          <w:szCs w:val="28"/>
          <w:rtl/>
          <w14:ligatures w14:val="none"/>
        </w:rPr>
        <w:t>موجهة لموظفي القطاع الحكومي لتمكينهم من توظيف أدوات الذكاء الاصطناعي في أعمالهم اليومية</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14:ligatures w14:val="none"/>
        </w:rPr>
        <w:t xml:space="preserve"> </w:t>
      </w:r>
      <w:r w:rsidR="00CD4D05" w:rsidRPr="00CD4D05">
        <w:rPr>
          <w:rFonts w:ascii="Simplified Arabic" w:eastAsia="Times New Roman" w:hAnsi="Simplified Arabic" w:cs="Simplified Arabic"/>
          <w:kern w:val="0"/>
          <w:sz w:val="28"/>
          <w:szCs w:val="28"/>
          <w:rtl/>
          <w14:ligatures w14:val="none"/>
        </w:rPr>
        <w:t>كما نظمت المملكة ثلاث قمم عالمية للذكاء الاصطناعي منذ عام 2020 استقطبت أكثر من مئة ألف مشارك من مختلف أنحاء العالم، مما يعكس مكانة المملكة المتنامية كمركز إقليمي ودولي لصناعة الذكاء الاصطناعي</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rtl/>
          <w14:ligatures w14:val="none"/>
        </w:rPr>
        <w:t xml:space="preserve"> وقد أعلنت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أيضاً عن إطلاق بيئة تنظيمية تجريبية</w:t>
      </w:r>
      <w:r w:rsidR="00CD4D05" w:rsidRPr="00CD4D05">
        <w:rPr>
          <w:rFonts w:ascii="Simplified Arabic" w:eastAsia="Times New Roman" w:hAnsi="Simplified Arabic" w:cs="Simplified Arabic"/>
          <w:kern w:val="0"/>
          <w:sz w:val="28"/>
          <w:szCs w:val="28"/>
          <w14:ligatures w14:val="none"/>
        </w:rPr>
        <w:t xml:space="preserve"> (Regulatory Sandbox) </w:t>
      </w:r>
      <w:r w:rsidR="00CD4D05" w:rsidRPr="00CD4D05">
        <w:rPr>
          <w:rFonts w:ascii="Simplified Arabic" w:eastAsia="Times New Roman" w:hAnsi="Simplified Arabic" w:cs="Simplified Arabic"/>
          <w:kern w:val="0"/>
          <w:sz w:val="28"/>
          <w:szCs w:val="28"/>
          <w:rtl/>
          <w14:ligatures w14:val="none"/>
        </w:rPr>
        <w:t>عام 2025 تتيح للمؤسسات اختبار حلول الذكاء الاصطناعي في بيئة آمنة قبل تعميمها، وهو ما يجسد نهجاً متقدماً في إدارة الابتكار التقني يوازن بين تشجيع التجريب والتحكم في المخاطر</w:t>
      </w:r>
      <w:r w:rsidR="00CD4D05" w:rsidRPr="00CD4D05">
        <w:rPr>
          <w:rFonts w:ascii="Simplified Arabic" w:eastAsia="Times New Roman" w:hAnsi="Simplified Arabic" w:cs="Simplified Arabic"/>
          <w:kern w:val="0"/>
          <w:sz w:val="28"/>
          <w:szCs w:val="28"/>
          <w14:ligatures w14:val="none"/>
        </w:rPr>
        <w:t>.</w:t>
      </w:r>
    </w:p>
    <w:p w14:paraId="4EA0FBB6" w14:textId="13C1BE12" w:rsid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ويُضيف (عبدالرحمن وآخرون، 2022) أنّ الذكاء الاصطناعي يُعزز القدرة التنافسية للمؤسسات الحكومية والخاصة على حدٍّ سواء، ويُسهم في جذب الاستثمارات الأجنبية وتطوير صناعات معرفية جديدة، وهو ما ينسجم مع طموح المملكة لتصبح ضمن أقوى خمسة عشر اقتصاداً في العالم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وقد أكد (المحمّد، 2024) أنّ المملكة تستثمر بكثافة في البنية التحتية للحوسبة والبيانات، وتنظم مؤتمرات دولية، وتوفر برامج منح دراسية متخصصة، وتؤسس مراكز بحوث وحاضنات تقنية لتسريع تبني الذكاء الاصطناعي محلياً</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يُشير (السمان، 2024) إلى أنّ الذكاء الاصطناعي يخلق منصة مركزية لتبادل البيانات بين الجهات الحكومية المختلفة، مما يُفضي إلى تكامل الخدمات وتقديم تجربة موحدة للمواطن تتجاوز الحدود التنظيمية بين الوزارات والهيئات</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ويوضح (غربة، 2024) أنّ هذه التقنيات تدعم تنويع مصادر الدخل الوطني، ورفع إنتاجية القطاعات غير النفطية، وتطوير منتجات وخدمات مبتكرة قادرة على المنافسة في الأسواق الدولية</w:t>
      </w:r>
      <w:r w:rsidRPr="00CD4D05">
        <w:rPr>
          <w:rFonts w:ascii="Simplified Arabic" w:eastAsia="Times New Roman" w:hAnsi="Simplified Arabic" w:cs="Simplified Arabic"/>
          <w:kern w:val="0"/>
          <w:sz w:val="28"/>
          <w:szCs w:val="28"/>
          <w14:ligatures w14:val="none"/>
        </w:rPr>
        <w:t>.</w:t>
      </w:r>
    </w:p>
    <w:p w14:paraId="067274EC"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b/>
          <w:bCs/>
          <w:kern w:val="0"/>
          <w:sz w:val="28"/>
          <w:szCs w:val="28"/>
          <w:highlight w:val="yellow"/>
          <w:rtl/>
          <w14:ligatures w14:val="none"/>
        </w:rPr>
        <w:t>ثامناً: خصوصية تبني الذكاء الاصطناعي في القطاع الحكومي مقارنة بالقطاع الخاص</w:t>
      </w:r>
      <w:r w:rsidRPr="00395C32">
        <w:rPr>
          <w:rFonts w:ascii="Simplified Arabic" w:eastAsia="Times New Roman" w:hAnsi="Simplified Arabic" w:cs="Simplified Arabic"/>
          <w:b/>
          <w:bCs/>
          <w:kern w:val="0"/>
          <w:sz w:val="28"/>
          <w:szCs w:val="28"/>
          <w:highlight w:val="yellow"/>
          <w14:ligatures w14:val="none"/>
        </w:rPr>
        <w:t>:</w:t>
      </w:r>
    </w:p>
    <w:p w14:paraId="4A40E1BC"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rtl/>
          <w14:ligatures w14:val="none"/>
        </w:rPr>
      </w:pPr>
      <w:r w:rsidRPr="00395C32">
        <w:rPr>
          <w:rFonts w:ascii="Simplified Arabic" w:eastAsia="Times New Roman" w:hAnsi="Simplified Arabic" w:cs="Simplified Arabic"/>
          <w:kern w:val="0"/>
          <w:sz w:val="28"/>
          <w:szCs w:val="28"/>
          <w:highlight w:val="yellow"/>
          <w:rtl/>
          <w14:ligatures w14:val="none"/>
        </w:rPr>
        <w:t xml:space="preserve">تناولت الدراسات المُستعرضة حتى الآن تقنيات الذكاء الاصطناعي في سياقات صناعية ومصرفية ولوجستية بصورة رئيسة، غير أن نقل هذه النتائج إلى القطاع الحكومي يستوجب فهماً معمقاً للفروق البنيوية بين السياقين تجاوزاً لمسلَّمة "قابلية النقل" التي تُهيمن على كثير من الدراسات دون تدقيق. </w:t>
      </w:r>
    </w:p>
    <w:p w14:paraId="6FFC3236" w14:textId="79256295"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hint="cs"/>
          <w:kern w:val="0"/>
          <w:sz w:val="28"/>
          <w:szCs w:val="28"/>
          <w:highlight w:val="yellow"/>
          <w:rtl/>
          <w:lang w:bidi="ar-EG"/>
          <w14:ligatures w14:val="none"/>
        </w:rPr>
      </w:pPr>
      <w:r w:rsidRPr="00395C32">
        <w:rPr>
          <w:rFonts w:ascii="Simplified Arabic" w:eastAsia="Times New Roman" w:hAnsi="Simplified Arabic" w:cs="Simplified Arabic"/>
          <w:kern w:val="0"/>
          <w:sz w:val="28"/>
          <w:szCs w:val="28"/>
          <w:highlight w:val="yellow"/>
          <w:rtl/>
          <w14:ligatures w14:val="none"/>
        </w:rPr>
        <w:lastRenderedPageBreak/>
        <w:t xml:space="preserve">ويُحدد </w:t>
      </w:r>
      <w:r w:rsidRPr="00395C32">
        <w:rPr>
          <w:rFonts w:ascii="Simplified Arabic" w:eastAsia="Times New Roman" w:hAnsi="Simplified Arabic" w:cs="Simplified Arabic"/>
          <w:kern w:val="0"/>
          <w:sz w:val="28"/>
          <w:szCs w:val="28"/>
          <w:highlight w:val="yellow"/>
          <w14:ligatures w14:val="none"/>
        </w:rPr>
        <w:t>(</w:t>
      </w:r>
      <w:proofErr w:type="spellStart"/>
      <w:r w:rsidRPr="00395C32">
        <w:rPr>
          <w:rFonts w:ascii="Simplified Arabic" w:eastAsia="Times New Roman" w:hAnsi="Simplified Arabic" w:cs="Simplified Arabic"/>
          <w:kern w:val="0"/>
          <w:sz w:val="28"/>
          <w:szCs w:val="28"/>
          <w:highlight w:val="yellow"/>
          <w14:ligatures w14:val="none"/>
        </w:rPr>
        <w:t>Mikalef</w:t>
      </w:r>
      <w:proofErr w:type="spellEnd"/>
      <w:r w:rsidRPr="00395C32">
        <w:rPr>
          <w:rFonts w:ascii="Simplified Arabic" w:eastAsia="Times New Roman" w:hAnsi="Simplified Arabic" w:cs="Simplified Arabic"/>
          <w:kern w:val="0"/>
          <w:sz w:val="28"/>
          <w:szCs w:val="28"/>
          <w:highlight w:val="yellow"/>
          <w14:ligatures w14:val="none"/>
        </w:rPr>
        <w:t xml:space="preserve"> et al., 2023) </w:t>
      </w:r>
      <w:r w:rsidRPr="00395C32">
        <w:rPr>
          <w:rFonts w:ascii="Simplified Arabic" w:eastAsia="Times New Roman" w:hAnsi="Simplified Arabic" w:cs="Simplified Arabic"/>
          <w:kern w:val="0"/>
          <w:sz w:val="28"/>
          <w:szCs w:val="28"/>
          <w:highlight w:val="yellow"/>
          <w:rtl/>
          <w14:ligatures w14:val="none"/>
        </w:rPr>
        <w:t>في دراستهم الشاملة لتبني الذكاء الاصطناعي في القطاع العام أربعة فروق حاسمة يجب مراعاتها عند تصميم أي دراسة تطبيقية في هذا المجال</w:t>
      </w:r>
      <w:r w:rsidRPr="00395C32">
        <w:rPr>
          <w:rFonts w:ascii="Simplified Arabic" w:eastAsia="Times New Roman" w:hAnsi="Simplified Arabic" w:cs="Simplified Arabic" w:hint="cs"/>
          <w:kern w:val="0"/>
          <w:sz w:val="28"/>
          <w:szCs w:val="28"/>
          <w:highlight w:val="yellow"/>
          <w:rtl/>
          <w:lang w:bidi="ar-EG"/>
          <w14:ligatures w14:val="none"/>
        </w:rPr>
        <w:t xml:space="preserve"> كما </w:t>
      </w:r>
      <w:proofErr w:type="gramStart"/>
      <w:r w:rsidRPr="00395C32">
        <w:rPr>
          <w:rFonts w:ascii="Simplified Arabic" w:eastAsia="Times New Roman" w:hAnsi="Simplified Arabic" w:cs="Simplified Arabic" w:hint="cs"/>
          <w:kern w:val="0"/>
          <w:sz w:val="28"/>
          <w:szCs w:val="28"/>
          <w:highlight w:val="yellow"/>
          <w:rtl/>
          <w:lang w:bidi="ar-EG"/>
          <w14:ligatures w14:val="none"/>
        </w:rPr>
        <w:t>يلى :</w:t>
      </w:r>
      <w:proofErr w:type="gramEnd"/>
    </w:p>
    <w:p w14:paraId="391F2F76" w14:textId="091E46FC"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يتمثل الفرق الأول في منطق التبني ذاته، إذ يعمل تبني الذكاء الاصطناعي في القطاع الخاص وفق منطق "الميزة التنافسية</w:t>
      </w:r>
      <w:r w:rsidRPr="00395C32">
        <w:rPr>
          <w:rFonts w:ascii="Simplified Arabic" w:eastAsia="Times New Roman" w:hAnsi="Simplified Arabic" w:cs="Simplified Arabic"/>
          <w:kern w:val="0"/>
          <w:sz w:val="28"/>
          <w:szCs w:val="28"/>
          <w:highlight w:val="yellow"/>
          <w14:ligatures w14:val="none"/>
        </w:rPr>
        <w:t xml:space="preserve">" </w:t>
      </w:r>
      <w:r w:rsidRPr="00395C32">
        <w:rPr>
          <w:rFonts w:ascii="Simplified Arabic" w:eastAsia="Times New Roman" w:hAnsi="Simplified Arabic" w:cs="Simplified Arabic"/>
          <w:kern w:val="0"/>
          <w:sz w:val="28"/>
          <w:szCs w:val="28"/>
          <w:highlight w:val="yellow"/>
          <w:rtl/>
          <w14:ligatures w14:val="none"/>
        </w:rPr>
        <w:t>حيث تُقاس جدواه بمقارنة العائد المالي بالتكلفة، بينما يعمل في القطاع الحكومي وفق منطق مغاير جوهرياً هو منطق "الشرعية المؤسسية" حيث يُقاس نجاحه بمدى مواءمته للتوجهات الوطنية وقدرته على تعزيز الثقة العامة</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14:ligatures w14:val="none"/>
        </w:rPr>
        <w:t xml:space="preserve"> </w:t>
      </w:r>
      <w:r w:rsidRPr="00395C32">
        <w:rPr>
          <w:rFonts w:ascii="Simplified Arabic" w:eastAsia="Times New Roman" w:hAnsi="Simplified Arabic" w:cs="Simplified Arabic"/>
          <w:kern w:val="0"/>
          <w:sz w:val="28"/>
          <w:szCs w:val="28"/>
          <w:highlight w:val="yellow"/>
          <w:rtl/>
          <w14:ligatures w14:val="none"/>
        </w:rPr>
        <w:t>ويُفسّر هذا الاختلاف ظاهرة انتشار الذكاء الاصطناعي في المؤسسات الحكومية حتى في غياب دراسات جدوى مالية تقليدية، وهي ظاهرة يصعب تفسيرها بالأدوات التحليلية المستوردة من القطاع الخاص</w:t>
      </w:r>
      <w:r w:rsidRPr="00395C32">
        <w:rPr>
          <w:rFonts w:ascii="Simplified Arabic" w:eastAsia="Times New Roman" w:hAnsi="Simplified Arabic" w:cs="Simplified Arabic"/>
          <w:kern w:val="0"/>
          <w:sz w:val="28"/>
          <w:szCs w:val="28"/>
          <w:highlight w:val="yellow"/>
          <w14:ligatures w14:val="none"/>
        </w:rPr>
        <w:t>.</w:t>
      </w:r>
    </w:p>
    <w:p w14:paraId="7C6CA6CB" w14:textId="365A8A89"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ويتمثل الفرق الثاني في طبيعة البيانات المستخدمة، إذ تعتمد المؤسسات الحكومية على بيانات ذات طابع حساس تشمل السجلات الشخصية للمواطنين والبيانات الصحية والبيانات المالية السيادية والبيانات الأمنية، مما يستوجب مستويات أعلى من الحوكمة والحماية مقارنة بالبيانات التجارية في القطاع الخاص</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rtl/>
          <w14:ligatures w14:val="none"/>
        </w:rPr>
        <w:t xml:space="preserve"> وينعكس هذا الاختلاف مباشرةً على تعقيد المرحلة الأولى من سلسلة القيمة، وهي مرحلة جمع البيانات ومعالجتها، ويُضيف طبقة إضافية من التحديات التي لا تعرفها مؤسسات القطاع الخاص بالدرجة ذاتها</w:t>
      </w:r>
      <w:r w:rsidRPr="00395C32">
        <w:rPr>
          <w:rFonts w:ascii="Simplified Arabic" w:eastAsia="Times New Roman" w:hAnsi="Simplified Arabic" w:cs="Simplified Arabic"/>
          <w:kern w:val="0"/>
          <w:sz w:val="28"/>
          <w:szCs w:val="28"/>
          <w:highlight w:val="yellow"/>
          <w14:ligatures w14:val="none"/>
        </w:rPr>
        <w:t>.</w:t>
      </w:r>
    </w:p>
    <w:p w14:paraId="6F47AD48" w14:textId="62195214"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ويتمثل الفرق الثالث في طبيعة المخرجات وطبيعة المساءلة، حيث تخضع مخرجات الأنظمة الذكية الحكومية للمساءلة العامة والرقابة البرلمانية والإعلامية بدرجة تفوق ما يخضع له نظيرها في القطاع الخاص، مما يستوجب مستوى عالياً من "قابلية التفسير</w:t>
      </w:r>
      <w:r w:rsidRPr="00395C32">
        <w:rPr>
          <w:rFonts w:ascii="Simplified Arabic" w:eastAsia="Times New Roman" w:hAnsi="Simplified Arabic" w:cs="Simplified Arabic"/>
          <w:kern w:val="0"/>
          <w:sz w:val="28"/>
          <w:szCs w:val="28"/>
          <w:highlight w:val="yellow"/>
          <w14:ligatures w14:val="none"/>
        </w:rPr>
        <w:t xml:space="preserve">" (Explainability) </w:t>
      </w:r>
      <w:r w:rsidRPr="00395C32">
        <w:rPr>
          <w:rFonts w:ascii="Simplified Arabic" w:eastAsia="Times New Roman" w:hAnsi="Simplified Arabic" w:cs="Simplified Arabic"/>
          <w:kern w:val="0"/>
          <w:sz w:val="28"/>
          <w:szCs w:val="28"/>
          <w:highlight w:val="yellow"/>
          <w:rtl/>
          <w14:ligatures w14:val="none"/>
        </w:rPr>
        <w:t>في كل قرار خوارزمي</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rtl/>
          <w14:ligatures w14:val="none"/>
        </w:rPr>
        <w:t xml:space="preserve"> ويُمثّل هذا المتطلب قيداً حقيقياً على استخدام النماذج المعقدة كالتعلم العميق، ويُوجّه الاختيار في القطاع الحكومي نحو نماذج أكثر شفافية وقابلية </w:t>
      </w:r>
      <w:proofErr w:type="gramStart"/>
      <w:r w:rsidRPr="00395C32">
        <w:rPr>
          <w:rFonts w:ascii="Simplified Arabic" w:eastAsia="Times New Roman" w:hAnsi="Simplified Arabic" w:cs="Simplified Arabic"/>
          <w:kern w:val="0"/>
          <w:sz w:val="28"/>
          <w:szCs w:val="28"/>
          <w:highlight w:val="yellow"/>
          <w:rtl/>
          <w14:ligatures w14:val="none"/>
        </w:rPr>
        <w:t>للتفسير</w:t>
      </w:r>
      <w:proofErr w:type="gramEnd"/>
      <w:r w:rsidRPr="00395C32">
        <w:rPr>
          <w:rFonts w:ascii="Simplified Arabic" w:eastAsia="Times New Roman" w:hAnsi="Simplified Arabic" w:cs="Simplified Arabic"/>
          <w:kern w:val="0"/>
          <w:sz w:val="28"/>
          <w:szCs w:val="28"/>
          <w:highlight w:val="yellow"/>
          <w:rtl/>
          <w14:ligatures w14:val="none"/>
        </w:rPr>
        <w:t xml:space="preserve"> حتى لو كانت أقل دقة من نظيرها المعقد</w:t>
      </w:r>
      <w:r w:rsidRPr="00395C32">
        <w:rPr>
          <w:rFonts w:ascii="Simplified Arabic" w:eastAsia="Times New Roman" w:hAnsi="Simplified Arabic" w:cs="Simplified Arabic"/>
          <w:kern w:val="0"/>
          <w:sz w:val="28"/>
          <w:szCs w:val="28"/>
          <w:highlight w:val="yellow"/>
          <w14:ligatures w14:val="none"/>
        </w:rPr>
        <w:t>.</w:t>
      </w:r>
    </w:p>
    <w:p w14:paraId="2BCFA6F5" w14:textId="499B83D3"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 xml:space="preserve">أما الفرق الرابع فيتمثل في دورة الابتكار والاقتناء، فبينما تستطيع مؤسسات القطاع الخاص اقتناء تقنيات الذكاء الاصطناعي في دورات قصيرة تمتد بين ثلاثة وستة أشهر، تخضع المؤسسات الحكومية لدورات اقتناء أطول تمتد بين اثني عشر وأربعة وعشرين شهراً بسبب متطلبات نظام المشتريات الحكومية ومسارات الاعتماد </w:t>
      </w:r>
      <w:proofErr w:type="gramStart"/>
      <w:r w:rsidRPr="00395C32">
        <w:rPr>
          <w:rFonts w:ascii="Simplified Arabic" w:eastAsia="Times New Roman" w:hAnsi="Simplified Arabic" w:cs="Simplified Arabic"/>
          <w:kern w:val="0"/>
          <w:sz w:val="28"/>
          <w:szCs w:val="28"/>
          <w:highlight w:val="yellow"/>
          <w:rtl/>
          <w14:ligatures w14:val="none"/>
        </w:rPr>
        <w:t>المتعددة</w:t>
      </w:r>
      <w:r w:rsidRPr="00395C32">
        <w:rPr>
          <w:rFonts w:ascii="Simplified Arabic" w:eastAsia="Times New Roman" w:hAnsi="Simplified Arabic" w:cs="Simplified Arabic" w:hint="cs"/>
          <w:kern w:val="0"/>
          <w:sz w:val="28"/>
          <w:szCs w:val="28"/>
          <w:highlight w:val="yellow"/>
          <w:rtl/>
          <w14:ligatures w14:val="none"/>
        </w:rPr>
        <w:t xml:space="preserve">، </w:t>
      </w:r>
      <w:r w:rsidRPr="00395C32">
        <w:rPr>
          <w:rFonts w:ascii="Simplified Arabic" w:eastAsia="Times New Roman" w:hAnsi="Simplified Arabic" w:cs="Simplified Arabic"/>
          <w:kern w:val="0"/>
          <w:sz w:val="28"/>
          <w:szCs w:val="28"/>
          <w:highlight w:val="yellow"/>
          <w:rtl/>
          <w14:ligatures w14:val="none"/>
        </w:rPr>
        <w:t xml:space="preserve"> ويُبطئ</w:t>
      </w:r>
      <w:proofErr w:type="gramEnd"/>
      <w:r w:rsidRPr="00395C32">
        <w:rPr>
          <w:rFonts w:ascii="Simplified Arabic" w:eastAsia="Times New Roman" w:hAnsi="Simplified Arabic" w:cs="Simplified Arabic"/>
          <w:kern w:val="0"/>
          <w:sz w:val="28"/>
          <w:szCs w:val="28"/>
          <w:highlight w:val="yellow"/>
          <w:rtl/>
          <w14:ligatures w14:val="none"/>
        </w:rPr>
        <w:t xml:space="preserve"> هذا الفارق استجابة سلسلة القيمة للابتكار التقني، ويستوجب تخطيطاً استراتيجياً بعيد المدى يختلف جوهرياً عن التخطيط قصير المدى الذي يُهيمن على أدبيات القطاع الخاص</w:t>
      </w:r>
      <w:r w:rsidRPr="00395C32">
        <w:rPr>
          <w:rFonts w:ascii="Simplified Arabic" w:eastAsia="Times New Roman" w:hAnsi="Simplified Arabic" w:cs="Simplified Arabic"/>
          <w:kern w:val="0"/>
          <w:sz w:val="28"/>
          <w:szCs w:val="28"/>
          <w:highlight w:val="yellow"/>
          <w14:ligatures w14:val="none"/>
        </w:rPr>
        <w:t>.</w:t>
      </w:r>
    </w:p>
    <w:p w14:paraId="5844CBF6"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395C32">
        <w:rPr>
          <w:rFonts w:ascii="Simplified Arabic" w:eastAsia="Times New Roman" w:hAnsi="Simplified Arabic" w:cs="Simplified Arabic"/>
          <w:kern w:val="0"/>
          <w:sz w:val="28"/>
          <w:szCs w:val="28"/>
          <w:highlight w:val="yellow"/>
          <w:rtl/>
          <w14:ligatures w14:val="none"/>
        </w:rPr>
        <w:lastRenderedPageBreak/>
        <w:t>ويترتب على هذه الفروق الأربعة مجتمعةً ضرورة تكييف الأطر النظرية والأدوات المنهجية المُستخدمة في دراسة الذكاء الاصطناعي عند نقلها إلى السياق الحكومي، وهو ما تسعى إليه هذه الدراسة عبر بناء نموذج متكامل يُراعي خصوصية السياق الحكومي بدلاً من نقل النماذج الجاهزة من القطاع الخاص</w:t>
      </w:r>
      <w:r w:rsidRPr="00395C32">
        <w:rPr>
          <w:rFonts w:ascii="Simplified Arabic" w:eastAsia="Times New Roman" w:hAnsi="Simplified Arabic" w:cs="Simplified Arabic"/>
          <w:kern w:val="0"/>
          <w:sz w:val="28"/>
          <w:szCs w:val="28"/>
          <w:highlight w:val="yellow"/>
          <w14:ligatures w14:val="none"/>
        </w:rPr>
        <w:t>.</w:t>
      </w:r>
    </w:p>
    <w:p w14:paraId="12134C59" w14:textId="77777777" w:rsidR="00234A82" w:rsidRPr="00395C3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88CA196" w14:textId="77777777" w:rsidR="00234A8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5487ECBC"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F833FD6"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DA050DE"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031062E" w14:textId="77777777" w:rsidR="00234A82" w:rsidRPr="00234A82" w:rsidRDefault="00234A82" w:rsidP="00234A82">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المبحث الثاني: سلسلة القيمة التشغيلية في المؤسسات الحكومية الكبرى</w:t>
      </w:r>
    </w:p>
    <w:p w14:paraId="2541E2CC"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تمهيد</w:t>
      </w:r>
    </w:p>
    <w:p w14:paraId="6936B81B"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شهدت بيئة العمل المؤسسي خلال العقود الأخيرة تحولات جوهرية أعادت تشكيل الطريقة التي تُنتَج بها الخدمات وتُقدَّم للمستفيدين، وأصبحت المؤسسات الحكومية الكبرى تواجه ضغوطاً متزايدة لتحسين كفاءتها التشغيلية وتعظيم القيمة المقدمة للمواطنين في ظل محدودية الموارد المالية وتصاعد التوقعات المجتمعية. ولم يعد يكفي أن تؤدي هذه المؤسسات مهامها التقليدية بالأساليب المعتادة، بل باتت مطالبة بتبني مداخل إدارية حديثة تُمكّنها من تحليل أنشطتها الداخلية بدقة، وتحديد مواطن الهدر والضعف، وتوجيه الموارد نحو الأنشطة التي تُولّد القيمة الأعلى. وفي هذا السياق، يبرز مفهوم سلسلة القيمة التشغيلية بوصفه إطاراً تحليلياً استراتيجياً يُتيح تفكيك العمليات المؤسسية إلى أنشطة متمايزة ومترابطة، وقياس مساهمة كل نشاط في خلق القيمة النهائية للمستفيد. </w:t>
      </w:r>
    </w:p>
    <w:p w14:paraId="6BA66D4B" w14:textId="7341D46C"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ويتناول هذا المبحث مفهوم سلسلة القيمة التشغيلية وتعريفاتها المتنوعة، وأهميتها في السياق المؤسسي الحكومي، وأهدافها وأنواعها وخصائصها، ثم يتعمق في أبعادها الأساسية التي تشكل المتغير التابع في هذه الدراسة، مع إبراز العلاقة بين هذه الأبعاد وإمكانية تعزيزها بتقنيات الذكاء الاصطناعي في المؤسسات الحكومية الكبرى بالمملكة العربية السعودية</w:t>
      </w:r>
      <w:r w:rsidRPr="00234A82">
        <w:rPr>
          <w:rFonts w:ascii="Simplified Arabic" w:eastAsia="Times New Roman" w:hAnsi="Simplified Arabic" w:cs="Simplified Arabic"/>
          <w:kern w:val="0"/>
          <w:sz w:val="28"/>
          <w:szCs w:val="28"/>
          <w14:ligatures w14:val="none"/>
        </w:rPr>
        <w:t>.</w:t>
      </w:r>
    </w:p>
    <w:p w14:paraId="65A4B923"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lastRenderedPageBreak/>
        <w:t>أولاً: مفهوم سلسلة القيمة التشغيلية</w:t>
      </w:r>
    </w:p>
    <w:p w14:paraId="7F9A812C"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يُعدّ مفهوم سلسلة القيمة من أكثر المفاهيم الإدارية تأثيراً في حقل الإدارة الاستراتيجية وإدارة العمليات، وقد تعددت تعريفاته بتعدد المدارس الفكرية والسياقات التطبيقية التي تناولته</w:t>
      </w:r>
      <w:r w:rsidR="00A5503B">
        <w:rPr>
          <w:rFonts w:ascii="Simplified Arabic" w:eastAsia="Times New Roman" w:hAnsi="Simplified Arabic" w:cs="Simplified Arabic" w:hint="cs"/>
          <w:kern w:val="0"/>
          <w:sz w:val="28"/>
          <w:szCs w:val="28"/>
          <w:rtl/>
          <w14:ligatures w14:val="none"/>
        </w:rPr>
        <w:t>،</w:t>
      </w:r>
      <w:r w:rsidRPr="00234A82">
        <w:rPr>
          <w:rFonts w:ascii="Simplified Arabic" w:eastAsia="Times New Roman" w:hAnsi="Simplified Arabic" w:cs="Simplified Arabic"/>
          <w:kern w:val="0"/>
          <w:sz w:val="28"/>
          <w:szCs w:val="28"/>
          <w:rtl/>
          <w14:ligatures w14:val="none"/>
        </w:rPr>
        <w:t xml:space="preserve"> ويُعزى الفضل في تأسيس هذا المفهوم إلى مايكل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14:ligatures w14:val="none"/>
        </w:rPr>
        <w:t xml:space="preserve"> (Porter, 1985) </w:t>
      </w:r>
      <w:r w:rsidRPr="00234A82">
        <w:rPr>
          <w:rFonts w:ascii="Simplified Arabic" w:eastAsia="Times New Roman" w:hAnsi="Simplified Arabic" w:cs="Simplified Arabic"/>
          <w:kern w:val="0"/>
          <w:sz w:val="28"/>
          <w:szCs w:val="28"/>
          <w:rtl/>
          <w14:ligatures w14:val="none"/>
        </w:rPr>
        <w:t>الذي قدّمه في كتابه الشهير "الميزة التنافسية" بوصفه أداة تحليلية استراتيجية تُمكّن المؤسسات من تفكيك أنشطتها الداخلية إلى مجموعة من العمليات المتتابعة والمترابطة، بهدف فهم كيفية خلق القيمة في كل مرحلة وتحديد مصادر الميزة التنافسية.</w:t>
      </w:r>
    </w:p>
    <w:p w14:paraId="7B5F5A5D" w14:textId="75169D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 xml:space="preserve"> وقد ميّز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بين نوعين أساسيين من الأنشطة: الأنشطة الأساسية التي تشمل اللوجستيات الداخلية والعمليات التشغيلية واللوجستيات الخارجية والتسويق والمبيعات وخدمات ما بعد البيع، والأنشطة الداعمة التي تتضمن البنية التحتية للمؤسسة وإدارة الموارد البشرية والتطوير التقني والمشتريات، وتتفاعل هذه الأنشطة فيما بينها لتشكيل منظومة متكاملة تُحدد مستوى القيمة المُضافة التي تُقدّمها المؤسسة لعملائها أو </w:t>
      </w:r>
      <w:proofErr w:type="spellStart"/>
      <w:r w:rsidRPr="00234A82">
        <w:rPr>
          <w:rFonts w:ascii="Simplified Arabic" w:eastAsia="Times New Roman" w:hAnsi="Simplified Arabic" w:cs="Simplified Arabic"/>
          <w:kern w:val="0"/>
          <w:sz w:val="28"/>
          <w:szCs w:val="28"/>
          <w:rtl/>
          <w14:ligatures w14:val="none"/>
        </w:rPr>
        <w:t>مستفيديها</w:t>
      </w:r>
      <w:proofErr w:type="spellEnd"/>
      <w:r w:rsidRPr="00234A82">
        <w:rPr>
          <w:rFonts w:ascii="Simplified Arabic" w:eastAsia="Times New Roman" w:hAnsi="Simplified Arabic" w:cs="Simplified Arabic"/>
          <w:kern w:val="0"/>
          <w:sz w:val="28"/>
          <w:szCs w:val="28"/>
          <w14:ligatures w14:val="none"/>
        </w:rPr>
        <w:t>.</w:t>
      </w:r>
    </w:p>
    <w:p w14:paraId="141A9C25" w14:textId="655A83B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وقد عرّف</w:t>
      </w:r>
      <w:r w:rsidRPr="00234A82">
        <w:rPr>
          <w:rFonts w:ascii="Simplified Arabic" w:eastAsia="Times New Roman" w:hAnsi="Simplified Arabic" w:cs="Simplified Arabic"/>
          <w:kern w:val="0"/>
          <w:sz w:val="28"/>
          <w:szCs w:val="28"/>
          <w14:ligatures w14:val="none"/>
        </w:rPr>
        <w:t xml:space="preserve"> (</w:t>
      </w:r>
      <w:proofErr w:type="spellStart"/>
      <w:r w:rsidRPr="00234A82">
        <w:rPr>
          <w:rFonts w:ascii="Simplified Arabic" w:eastAsia="Times New Roman" w:hAnsi="Simplified Arabic" w:cs="Simplified Arabic"/>
          <w:kern w:val="0"/>
          <w:sz w:val="28"/>
          <w:szCs w:val="28"/>
          <w14:ligatures w14:val="none"/>
        </w:rPr>
        <w:t>Tyapukhin</w:t>
      </w:r>
      <w:proofErr w:type="spellEnd"/>
      <w:r w:rsidRPr="00234A82">
        <w:rPr>
          <w:rFonts w:ascii="Simplified Arabic" w:eastAsia="Times New Roman" w:hAnsi="Simplified Arabic" w:cs="Simplified Arabic"/>
          <w:kern w:val="0"/>
          <w:sz w:val="28"/>
          <w:szCs w:val="28"/>
          <w14:ligatures w14:val="none"/>
        </w:rPr>
        <w:t xml:space="preserve">, 2023) </w:t>
      </w:r>
      <w:r w:rsidRPr="00234A82">
        <w:rPr>
          <w:rFonts w:ascii="Simplified Arabic" w:eastAsia="Times New Roman" w:hAnsi="Simplified Arabic" w:cs="Simplified Arabic"/>
          <w:kern w:val="0"/>
          <w:sz w:val="28"/>
          <w:szCs w:val="28"/>
          <w:rtl/>
          <w14:ligatures w14:val="none"/>
        </w:rPr>
        <w:t xml:space="preserve">سلسلة القيمة بأنها منظومة متكاملة لإدارة أنواع متعددة من السلاسل تتجاوز المنظور اللوجستي التقليدي لسلسلة الإمداد، لتشمل إدارة سلاسل القيمة وسلاسل الابتكار وسلاسل الطلب وسلاسل العرض، حيث يتطلب كل نوع من هذه السلاسل نمطاً إدارياً مختلفاً ومتغيرات تحكّم خاصة به. </w:t>
      </w:r>
    </w:p>
    <w:p w14:paraId="5BE502BE" w14:textId="5C7C2B18"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وعرّف</w:t>
      </w:r>
      <w:r w:rsidRPr="00234A82">
        <w:rPr>
          <w:rFonts w:ascii="Simplified Arabic" w:eastAsia="Times New Roman" w:hAnsi="Simplified Arabic" w:cs="Simplified Arabic"/>
          <w:kern w:val="0"/>
          <w:sz w:val="28"/>
          <w:szCs w:val="28"/>
          <w14:ligatures w14:val="none"/>
        </w:rPr>
        <w:t xml:space="preserve"> (Naas &amp; </w:t>
      </w:r>
      <w:proofErr w:type="spellStart"/>
      <w:r w:rsidRPr="00234A82">
        <w:rPr>
          <w:rFonts w:ascii="Simplified Arabic" w:eastAsia="Times New Roman" w:hAnsi="Simplified Arabic" w:cs="Simplified Arabic"/>
          <w:kern w:val="0"/>
          <w:sz w:val="28"/>
          <w:szCs w:val="28"/>
          <w14:ligatures w14:val="none"/>
        </w:rPr>
        <w:t>Berass</w:t>
      </w:r>
      <w:proofErr w:type="spellEnd"/>
      <w:r w:rsidRPr="00234A82">
        <w:rPr>
          <w:rFonts w:ascii="Simplified Arabic" w:eastAsia="Times New Roman" w:hAnsi="Simplified Arabic" w:cs="Simplified Arabic"/>
          <w:kern w:val="0"/>
          <w:sz w:val="28"/>
          <w:szCs w:val="28"/>
          <w14:ligatures w14:val="none"/>
        </w:rPr>
        <w:t xml:space="preserve">, 2024) </w:t>
      </w:r>
      <w:r w:rsidRPr="00234A82">
        <w:rPr>
          <w:rFonts w:ascii="Simplified Arabic" w:eastAsia="Times New Roman" w:hAnsi="Simplified Arabic" w:cs="Simplified Arabic"/>
          <w:kern w:val="0"/>
          <w:sz w:val="28"/>
          <w:szCs w:val="28"/>
          <w:rtl/>
          <w14:ligatures w14:val="none"/>
        </w:rPr>
        <w:t xml:space="preserve">سلسلة القيمة بأنها الإطار الذي يُتيح تفكيك أنشطة المؤسسة بدءاً من التوريد وصولاً إلى التوزيع، بهدف تقييم مساهمة كل نشاط في خلق القيمة للعميل أو المستفيد. وقد أوضحا أنّ تحليل سلسلة القيمة يكشف عن أوجه الترابط بين الأنشطة ويُحدد نقاط الاحتكاك التي تُعيق الكفاءة الكلية، كما يُسهم في اكتشاف فرص التحسين في مجالات الجودة ورضا المستفيدين والكفاءة التشغيلية. </w:t>
      </w:r>
    </w:p>
    <w:p w14:paraId="7BA721EA" w14:textId="228E1E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أما</w:t>
      </w:r>
      <w:r w:rsidRPr="00234A82">
        <w:rPr>
          <w:rFonts w:ascii="Simplified Arabic" w:eastAsia="Times New Roman" w:hAnsi="Simplified Arabic" w:cs="Simplified Arabic"/>
          <w:kern w:val="0"/>
          <w:sz w:val="28"/>
          <w:szCs w:val="28"/>
          <w14:ligatures w14:val="none"/>
        </w:rPr>
        <w:t xml:space="preserve"> (Mboyo et al., 2025) </w:t>
      </w:r>
      <w:r w:rsidRPr="00234A82">
        <w:rPr>
          <w:rFonts w:ascii="Simplified Arabic" w:eastAsia="Times New Roman" w:hAnsi="Simplified Arabic" w:cs="Simplified Arabic"/>
          <w:kern w:val="0"/>
          <w:sz w:val="28"/>
          <w:szCs w:val="28"/>
          <w:rtl/>
          <w14:ligatures w14:val="none"/>
        </w:rPr>
        <w:t xml:space="preserve">فقد تناولا سلسلة القيمة من منظور تشغيلي تكاليفي بحت، وعرّفاها بأنها سلسلة متتابعة من الوحدات التشغيلية التي تُنفَّذ عبرها العمليات من المرحلة الأولى إلى المرحلة الأخيرة، </w:t>
      </w:r>
      <w:r w:rsidRPr="00234A82">
        <w:rPr>
          <w:rFonts w:ascii="Simplified Arabic" w:eastAsia="Times New Roman" w:hAnsi="Simplified Arabic" w:cs="Simplified Arabic"/>
          <w:kern w:val="0"/>
          <w:sz w:val="28"/>
          <w:szCs w:val="28"/>
          <w:rtl/>
          <w14:ligatures w14:val="none"/>
        </w:rPr>
        <w:lastRenderedPageBreak/>
        <w:t xml:space="preserve">حيث تتحمل كل وحدة تشغيلية نصيباً محدداً من التكاليف يُحدَّد بناءً على محركات تكلفة رئيسة خاصة بها. </w:t>
      </w:r>
    </w:p>
    <w:p w14:paraId="55CD079E"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وأضاف</w:t>
      </w:r>
      <w:r w:rsidRPr="00234A82">
        <w:rPr>
          <w:rFonts w:ascii="Simplified Arabic" w:eastAsia="Times New Roman" w:hAnsi="Simplified Arabic" w:cs="Simplified Arabic"/>
          <w:kern w:val="0"/>
          <w:sz w:val="28"/>
          <w:szCs w:val="28"/>
          <w14:ligatures w14:val="none"/>
        </w:rPr>
        <w:t xml:space="preserve"> (Ghadir et al., 2024) </w:t>
      </w:r>
      <w:r w:rsidRPr="00234A82">
        <w:rPr>
          <w:rFonts w:ascii="Simplified Arabic" w:eastAsia="Times New Roman" w:hAnsi="Simplified Arabic" w:cs="Simplified Arabic"/>
          <w:kern w:val="0"/>
          <w:sz w:val="28"/>
          <w:szCs w:val="28"/>
          <w:rtl/>
          <w14:ligatures w14:val="none"/>
        </w:rPr>
        <w:t>بُعداً رقمياً معاصراً لمفهوم سلسلة القيمة، حيث عرّفها بأنها منظومة ديناميكية ذكية تستخدم التحليلات التنبؤية والتوائم الرقمية والرؤية الآنية لتحسين كل حلقة من حلقات القيمة في الزمن الحقيقي، بدلاً من كونها نموذجاً خطياً ثابتاً يُحلَّل دورياً. وأشاروا إلى أنّ التحول الرقمي وتقنيات الذكاء الاصطناعي أعادا تعريف سلسلة القيمة لتصبح قادرة على التكيف الآني مع المتغيرات الداخلية والخارجية، مما يُحقق مستويات غير مسبوقة من الشفافية التشغيلية والتحسين المستمر</w:t>
      </w:r>
      <w:r w:rsidRPr="00234A82">
        <w:rPr>
          <w:rFonts w:ascii="Simplified Arabic" w:eastAsia="Times New Roman" w:hAnsi="Simplified Arabic" w:cs="Simplified Arabic"/>
          <w:kern w:val="0"/>
          <w:sz w:val="28"/>
          <w:szCs w:val="28"/>
          <w14:ligatures w14:val="none"/>
        </w:rPr>
        <w:t>.</w:t>
      </w:r>
    </w:p>
    <w:p w14:paraId="0B83D0AD"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وبالنظر إلى تطور المفهوم عبر الإسهامات المتعددة، يتضح أنّ سلسلة القيمة انتقلت من إطار تحليلي داخلي ثابت يركّز على تفكيك الأنشطة وتحديد مصادر الميزة التنافسية كما طرحه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إلى منظومة متكاملة وديناميكية تشمل أبعاداً تنظيمية </w:t>
      </w:r>
      <w:proofErr w:type="spellStart"/>
      <w:r w:rsidRPr="00234A82">
        <w:rPr>
          <w:rFonts w:ascii="Simplified Arabic" w:eastAsia="Times New Roman" w:hAnsi="Simplified Arabic" w:cs="Simplified Arabic"/>
          <w:kern w:val="0"/>
          <w:sz w:val="28"/>
          <w:szCs w:val="28"/>
          <w:rtl/>
          <w14:ligatures w14:val="none"/>
        </w:rPr>
        <w:t>وتكاليفية</w:t>
      </w:r>
      <w:proofErr w:type="spellEnd"/>
      <w:r w:rsidRPr="00234A82">
        <w:rPr>
          <w:rFonts w:ascii="Simplified Arabic" w:eastAsia="Times New Roman" w:hAnsi="Simplified Arabic" w:cs="Simplified Arabic"/>
          <w:kern w:val="0"/>
          <w:sz w:val="28"/>
          <w:szCs w:val="28"/>
          <w:rtl/>
          <w14:ligatures w14:val="none"/>
        </w:rPr>
        <w:t xml:space="preserve"> ورقمية وابتكارية. </w:t>
      </w:r>
    </w:p>
    <w:p w14:paraId="576B0CC3" w14:textId="40EF5ACE"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وبناءً على ما سبق من تعريفات وأطروحات، واستناداً إلى استقراء الإسهامات النظرية المتعددة التي تناولت هذا المفهوم من زوايا مختلفة، تستخلص الباحثة تعريفاً إجرائياً لسلسلة القيمة التشغيلية في المؤسسات الحكومية الكبرى بأنها</w:t>
      </w:r>
      <w:r w:rsidRPr="00234A82">
        <w:rPr>
          <w:rFonts w:ascii="Simplified Arabic" w:eastAsia="Times New Roman" w:hAnsi="Simplified Arabic" w:cs="Simplified Arabic"/>
          <w:kern w:val="0"/>
          <w:sz w:val="28"/>
          <w:szCs w:val="28"/>
          <w14:ligatures w14:val="none"/>
        </w:rPr>
        <w:t xml:space="preserve">: </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منظومة متكاملة ومتتابعة من الأنشطة الأساسية والداعمة التي تنفذها المؤسسة الحكومية لتحويل المدخلات من موارد مالية وبشرية ومعلوماتية وتقنية إلى مخرجات ذات قيمة مُضافة للمستفيدين تتمثل في خدمات حكومية عالية الجودة، وتشمل هذه المنظومة عمليات استقبال الطلبات وتصنيفها وتوجيهها (اللوجستيات الداخلية)، ومعالجتها ومراجعتها واعتمادها (العمليات التشغيلية الأساسية</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 وإيصال المخرجات للمستفيدين عبر القنوات المتعددة (تقديم الخدمات)، ومتابعة رضاهم ومعالجة ملاحظاتهم (خدمات ما بعد التقديم والدعم المستمر)، بحيث يُسهم تحسين كفاءة كل حلقة وتعزيز التكامل فيما بينها في رفع الأداء الكلي للمؤسسة وتحقيق أهداف رؤية المملكة 2030 في بناء حكومة فاعلة ورشيقة تتمحور حول المستفيد</w:t>
      </w:r>
      <w:r w:rsidRPr="00234A82">
        <w:rPr>
          <w:rFonts w:ascii="Simplified Arabic" w:eastAsia="Times New Roman" w:hAnsi="Simplified Arabic" w:cs="Simplified Arabic"/>
          <w:b/>
          <w:bCs/>
          <w:kern w:val="0"/>
          <w:sz w:val="28"/>
          <w:szCs w:val="28"/>
          <w14:ligatures w14:val="none"/>
        </w:rPr>
        <w:t>."</w:t>
      </w:r>
    </w:p>
    <w:p w14:paraId="371F46D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ثانياً: أهمية سلسلة القيمة التشغيلية في المؤسسات الحكومية الكبرى</w:t>
      </w:r>
    </w:p>
    <w:p w14:paraId="45EE2396" w14:textId="093F2B32"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تكتسب سلسلة القيمة التشغيلية أهمية استثنائية ومتنامية في سياق المؤسسات الحكومية الكبرى، وذلك بالنظر إلى الطبيعة المعقدة والمتشعبة لعمل هذه المؤسسات التي تتعامل يومياً مع ملايين المستفيدين وتدير </w:t>
      </w:r>
      <w:r w:rsidRPr="00092108">
        <w:rPr>
          <w:rFonts w:ascii="Simplified Arabic" w:eastAsia="Times New Roman" w:hAnsi="Simplified Arabic" w:cs="Simplified Arabic"/>
          <w:kern w:val="0"/>
          <w:sz w:val="28"/>
          <w:szCs w:val="28"/>
          <w:rtl/>
          <w14:ligatures w14:val="none"/>
        </w:rPr>
        <w:lastRenderedPageBreak/>
        <w:t>موازنات ضخمة وتشغّل آلاف الموظفين عبر وحدات تنظيمية متعددة ومنتشرة جغرافياً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فعلى خلاف مؤسسات القطاع الخاص التي تسعى لتعظيم هوامش الربح، فإنّ المؤسسات الحكومية تستهدف تعظيم القيمة العامة المقدمة للمواطن والمقيم ورفع مستوى رضاهم وتعزيز ثقتهم في الجهاز الحكومي، مما يجعل من تحليل سلسلة القيمة التشغيلية وتحسينها مسألة ذات أبعاد اجتماعية وتنموية وليست اقتصادية فحسب. وقد ازدادت هذه الأهمية في ظل توجّه المملكة العربية السعودية نحو تحقيق أهداف رؤية 2030 التي تتطلب من المؤسسات الحكومية الكبرى مستويات غير مسبوقة من الكفاءة والشفافية والرشاقة في تقديم الخدمات</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وفيما يلي عرض لأبرز جوانب أهمية سلسلة القيمة التشغيلية كما تناولتها الدراسات المرجعية للمتغير التابع في هذه الدراسة</w:t>
      </w:r>
      <w:r w:rsidRPr="00092108">
        <w:rPr>
          <w:rFonts w:ascii="Simplified Arabic" w:eastAsia="Times New Roman" w:hAnsi="Simplified Arabic" w:cs="Simplified Arabic"/>
          <w:kern w:val="0"/>
          <w:sz w:val="28"/>
          <w:szCs w:val="28"/>
          <w14:ligatures w14:val="none"/>
        </w:rPr>
        <w:t>.</w:t>
      </w:r>
    </w:p>
    <w:p w14:paraId="0D090D18"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ويُشير</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إلى أنّ أهمية تحليل سلسلة القيمة التشغيلية وتحسينها تتجلى في عدة محاور جوهرية</w:t>
      </w:r>
      <w:r w:rsidRPr="00092108">
        <w:rPr>
          <w:rFonts w:ascii="Simplified Arabic" w:eastAsia="Times New Roman" w:hAnsi="Simplified Arabic" w:cs="Simplified Arabic"/>
          <w:kern w:val="0"/>
          <w:sz w:val="28"/>
          <w:szCs w:val="28"/>
          <w14:ligatures w14:val="none"/>
        </w:rPr>
        <w:t>:</w:t>
      </w:r>
    </w:p>
    <w:p w14:paraId="2F48062B" w14:textId="69E3C6B4"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تحديد الأنشطة المُولّدة للقيمة وتعزيزها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من الوقوف بدقة على الأنشطة التي تُسهم بالقدر الأكبر في تلبية احتياجات المستفيدين وتحسين مستوى رضاهم، مما يُتيح للإدارة توجيه مواردها واهتمامها نحو هذه الأنشطة وتطويرها بشكل مستمر ومنهجي</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وفي المؤسسات الحكومية الكبرى، يعني هذا تحديد المراحل التي يُحقق فيها المستفيد أعلى قيمة مُدرَكة من الخدمة الحكومية، والتركيز على تحسينها وتسريعها وتبسيطها، بدلاً من توزيع الموارد بالتساوي على جميع الأنشطة بغض النظر عن مساهمتها الفعلية في خلق القيمة</w:t>
      </w:r>
      <w:r w:rsidRPr="00A5503B">
        <w:rPr>
          <w:rFonts w:ascii="Simplified Arabic" w:eastAsia="Times New Roman" w:hAnsi="Simplified Arabic" w:cs="Simplified Arabic"/>
          <w:kern w:val="0"/>
          <w:sz w:val="28"/>
          <w:szCs w:val="28"/>
          <w14:ligatures w14:val="none"/>
        </w:rPr>
        <w:t>.</w:t>
      </w:r>
    </w:p>
    <w:p w14:paraId="79217F27" w14:textId="6E9244A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الكشف عن أوجه الترابط بين الأنشطة وتحديد نقاط الاحتكاك</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يُسهم تحليل سلسلة القيمة في إماطة اللثام عن الروابط والتبعيات الخفية بين الأنشطة المختلفة داخل المؤسسة، ويُحدد بوضوح نقاط الاحتكاك والاختناق التي تُعيق التدفق السلس للعمليات وتُولّد هدراً في الوقت والموارد</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وقد أكد الباحثان أنّ الرقابة الإدارية بوصفها أداة استراتيجية تُمكّن من تحديد مناطق الهدر وضعف الأداء التي تُعيق كفاءة المؤسسة، ثم التوصية بإجراءات تصحيحية مُستهدفة لتعظيم القيمة المُضافة في كل خطوة من خطوات العملية، وهو ما يكتسب أهمية بالغة في المؤسسات الحكومية ذات المستويات الإدارية المتعددة والإجراءات المتشعبة</w:t>
      </w:r>
      <w:r w:rsidRPr="00A5503B">
        <w:rPr>
          <w:rFonts w:ascii="Simplified Arabic" w:eastAsia="Times New Roman" w:hAnsi="Simplified Arabic" w:cs="Simplified Arabic"/>
          <w:kern w:val="0"/>
          <w:sz w:val="28"/>
          <w:szCs w:val="28"/>
          <w14:ligatures w14:val="none"/>
        </w:rPr>
        <w:t>.</w:t>
      </w:r>
    </w:p>
    <w:p w14:paraId="1985CFD6" w14:textId="77777777" w:rsidR="00A5503B" w:rsidRDefault="00092108" w:rsidP="005D731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اكتشاف فرص التحسين والابتكار</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يُساعد فحص كل حلقة من حلقات السلسلة بشكل منفصل ومتكامل في تحديد إمكانيات التطوير في مجالات الجودة والكفاءة التشغيلية ورضا المستفيدين، </w:t>
      </w:r>
      <w:r w:rsidRPr="00A5503B">
        <w:rPr>
          <w:rFonts w:ascii="Simplified Arabic" w:eastAsia="Times New Roman" w:hAnsi="Simplified Arabic" w:cs="Simplified Arabic"/>
          <w:kern w:val="0"/>
          <w:sz w:val="28"/>
          <w:szCs w:val="28"/>
          <w:rtl/>
          <w14:ligatures w14:val="none"/>
        </w:rPr>
        <w:lastRenderedPageBreak/>
        <w:t xml:space="preserve">فضلاً عن دعم الابتكار واستدامة خلق القيمة من خلال تكييف سلسلة القيمة مع التغيرات التقنية والمجتمعية لتطوير خدمات حكومية جديدة ومبتكرة تستجيب لتطلعات المواطنين المتصاعدة. </w:t>
      </w:r>
    </w:p>
    <w:p w14:paraId="79A85A0E" w14:textId="35159F1C" w:rsidR="00092108" w:rsidRPr="00A5503B" w:rsidRDefault="00092108" w:rsidP="00A5503B">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kern w:val="0"/>
          <w:sz w:val="28"/>
          <w:szCs w:val="28"/>
          <w:rtl/>
          <w14:ligatures w14:val="none"/>
        </w:rPr>
        <w:t>ويرى</w:t>
      </w:r>
      <w:r w:rsidRPr="00A5503B">
        <w:rPr>
          <w:rFonts w:ascii="Simplified Arabic" w:eastAsia="Times New Roman" w:hAnsi="Simplified Arabic" w:cs="Simplified Arabic"/>
          <w:kern w:val="0"/>
          <w:sz w:val="28"/>
          <w:szCs w:val="28"/>
          <w14:ligatures w14:val="none"/>
        </w:rPr>
        <w:t xml:space="preserve"> (</w:t>
      </w:r>
      <w:proofErr w:type="spellStart"/>
      <w:r w:rsidRPr="00A5503B">
        <w:rPr>
          <w:rFonts w:ascii="Simplified Arabic" w:eastAsia="Times New Roman" w:hAnsi="Simplified Arabic" w:cs="Simplified Arabic"/>
          <w:kern w:val="0"/>
          <w:sz w:val="28"/>
          <w:szCs w:val="28"/>
          <w14:ligatures w14:val="none"/>
        </w:rPr>
        <w:t>Tyapukhin</w:t>
      </w:r>
      <w:proofErr w:type="spellEnd"/>
      <w:r w:rsidRPr="00A5503B">
        <w:rPr>
          <w:rFonts w:ascii="Simplified Arabic" w:eastAsia="Times New Roman" w:hAnsi="Simplified Arabic" w:cs="Simplified Arabic"/>
          <w:kern w:val="0"/>
          <w:sz w:val="28"/>
          <w:szCs w:val="28"/>
          <w14:ligatures w14:val="none"/>
        </w:rPr>
        <w:t xml:space="preserve">, 2023) </w:t>
      </w:r>
      <w:r w:rsidRPr="00A5503B">
        <w:rPr>
          <w:rFonts w:ascii="Simplified Arabic" w:eastAsia="Times New Roman" w:hAnsi="Simplified Arabic" w:cs="Simplified Arabic"/>
          <w:kern w:val="0"/>
          <w:sz w:val="28"/>
          <w:szCs w:val="28"/>
          <w:rtl/>
          <w14:ligatures w14:val="none"/>
        </w:rPr>
        <w:t>أنّ أهمية سلسلة القيمة التشغيلية تتعاظم بشكل جوهري عندما يتم النظر إليها ضمن إطار مفاهيمي متكامل لا يقتصر على سلسلة القيمة ذاتها، بل يشمل أيضاً سلاسل الابتكار والطلب والعرض باعتبارها منظومة مترابطة لا يمكن فصل مكوناتها</w:t>
      </w:r>
      <w:r w:rsidRPr="00A5503B">
        <w:rPr>
          <w:rFonts w:ascii="Simplified Arabic" w:eastAsia="Times New Roman" w:hAnsi="Simplified Arabic" w:cs="Simplified Arabic"/>
          <w:kern w:val="0"/>
          <w:sz w:val="28"/>
          <w:szCs w:val="28"/>
          <w14:ligatures w14:val="none"/>
        </w:rPr>
        <w:t>:</w:t>
      </w:r>
    </w:p>
    <w:p w14:paraId="4A93B5DC" w14:textId="3D66DA3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تقليل الخسائر من خلال التوزيع الرشيد للوظائف والصلاحيات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يؤكد أنّ التوزيع المنهجي للوظائف والصلاحيات والمسؤوليات بين حلقات السلسلة المختلفة، وإزالة الحواجز الوظيفية المتقاطعة بين الأنشطة، يُقلّل من الأرباح الضائعة والموارد المُهدرة ويُحسّن الأداء الكلي للمنظومة. وهذه الأهمية تتضاعف في المؤسسات الحكومية الكبرى التي تتميز ببيروقراطية تنظيمية وتعدد مستويات إدارية، حيث تُشكّل العزلة التنظيمية بين الإدارات واحداً من أكبر معوقات الكفاءة</w:t>
      </w:r>
      <w:r w:rsidRPr="00A5503B">
        <w:rPr>
          <w:rFonts w:ascii="Simplified Arabic" w:eastAsia="Times New Roman" w:hAnsi="Simplified Arabic" w:cs="Simplified Arabic"/>
          <w:kern w:val="0"/>
          <w:sz w:val="28"/>
          <w:szCs w:val="28"/>
          <w14:ligatures w14:val="none"/>
        </w:rPr>
        <w:t>.</w:t>
      </w:r>
    </w:p>
    <w:p w14:paraId="1FB48C9E" w14:textId="7C45E3B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بناء جهاز مفاهيمي ومصطلحي موحّد لإدارة السلسلة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يُبرز أنّ أهمية سلسلة القيمة تمتد إلى الجانب المعرفي والتنظيمي، حيث إنّ تطوير مصطلحات وهياكل ومفاهيم واضحة لإدارة السلسلة يُسهم في تحسين التواصل بين مختلف الأطراف المعنية وتقليل سوء الفهم الذي يُفضي إلى أخطاء تشغيلية وتأخيرات في تقديم الخدمات</w:t>
      </w:r>
      <w:r w:rsidRPr="00A5503B">
        <w:rPr>
          <w:rFonts w:ascii="Simplified Arabic" w:eastAsia="Times New Roman" w:hAnsi="Simplified Arabic" w:cs="Simplified Arabic"/>
          <w:kern w:val="0"/>
          <w:sz w:val="28"/>
          <w:szCs w:val="28"/>
          <w14:ligatures w14:val="none"/>
        </w:rPr>
        <w:t>.</w:t>
      </w:r>
    </w:p>
    <w:p w14:paraId="6C835F1D" w14:textId="7F3162D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تمكين الإدارة المتكاملة لأنواع القيمة المختلفة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يوضح أنّ سلسلة القيمة لا تُولّد نوعاً واحداً من القيمة، بل أنواعاً متعددة تشمل القيمة الاقتصادية والخدمية والاجتماعية والابتكارية، وأنّ كل نوع يتطلب أسلوب إدارة مختلفاً وآليات قياس خاصة، </w:t>
      </w:r>
      <w:r w:rsidR="00A5503B">
        <w:rPr>
          <w:rFonts w:ascii="Simplified Arabic" w:eastAsia="Times New Roman" w:hAnsi="Simplified Arabic" w:cs="Simplified Arabic" w:hint="cs"/>
          <w:kern w:val="0"/>
          <w:sz w:val="28"/>
          <w:szCs w:val="28"/>
          <w:rtl/>
          <w14:ligatures w14:val="none"/>
        </w:rPr>
        <w:t>و</w:t>
      </w:r>
      <w:r w:rsidRPr="00A5503B">
        <w:rPr>
          <w:rFonts w:ascii="Simplified Arabic" w:eastAsia="Times New Roman" w:hAnsi="Simplified Arabic" w:cs="Simplified Arabic"/>
          <w:kern w:val="0"/>
          <w:sz w:val="28"/>
          <w:szCs w:val="28"/>
          <w:rtl/>
          <w14:ligatures w14:val="none"/>
        </w:rPr>
        <w:t>يعني هذا أنّ المؤسسة لا تُقدّم قيمة خدمية فحسب، بل تُسهم أيضاً في خلق قيمة اجتماعية من خلال تعزيز العدالة والشمول، وقيمة تنموية من خلال دعم الاقتصاد المعرفي، مما يستوجب نظرة شمولية لسلسلة القيمة تتجاوز المقاييس التشغيلية التقليدية</w:t>
      </w:r>
      <w:r w:rsidRPr="00A5503B">
        <w:rPr>
          <w:rFonts w:ascii="Simplified Arabic" w:eastAsia="Times New Roman" w:hAnsi="Simplified Arabic" w:cs="Simplified Arabic"/>
          <w:kern w:val="0"/>
          <w:sz w:val="28"/>
          <w:szCs w:val="28"/>
          <w14:ligatures w14:val="none"/>
        </w:rPr>
        <w:t>.</w:t>
      </w:r>
    </w:p>
    <w:p w14:paraId="13A3C0D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ويُؤكد</w:t>
      </w:r>
      <w:r w:rsidRPr="00092108">
        <w:rPr>
          <w:rFonts w:ascii="Simplified Arabic" w:eastAsia="Times New Roman" w:hAnsi="Simplified Arabic" w:cs="Simplified Arabic"/>
          <w:kern w:val="0"/>
          <w:sz w:val="28"/>
          <w:szCs w:val="28"/>
          <w14:ligatures w14:val="none"/>
        </w:rPr>
        <w:t xml:space="preserve"> (Mboyo et al., 2025) </w:t>
      </w:r>
      <w:r w:rsidRPr="00092108">
        <w:rPr>
          <w:rFonts w:ascii="Simplified Arabic" w:eastAsia="Times New Roman" w:hAnsi="Simplified Arabic" w:cs="Simplified Arabic"/>
          <w:kern w:val="0"/>
          <w:sz w:val="28"/>
          <w:szCs w:val="28"/>
          <w:rtl/>
          <w14:ligatures w14:val="none"/>
        </w:rPr>
        <w:t xml:space="preserve">أنّ أهمية سلسلة القيمة التشغيلية تبرز بشكل خاص في بُعدها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والتخطيطي، حيث يُوفّر تحليلها رؤى بالغة القيمة لصانعي القرار</w:t>
      </w:r>
      <w:r w:rsidRPr="00092108">
        <w:rPr>
          <w:rFonts w:ascii="Simplified Arabic" w:eastAsia="Times New Roman" w:hAnsi="Simplified Arabic" w:cs="Simplified Arabic"/>
          <w:kern w:val="0"/>
          <w:sz w:val="28"/>
          <w:szCs w:val="28"/>
          <w14:ligatures w14:val="none"/>
        </w:rPr>
        <w:t>:</w:t>
      </w:r>
    </w:p>
    <w:p w14:paraId="0C2A7883" w14:textId="325D1E13"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دعم التخطيط الاستراتيجي واتخاذ القرار المبني على البيانات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يُتيح تحليل توزيع التكاليف على امتداد حلقات السلسلة فهماً تفصيلياً لكيفية استهلاك الموارد في كل مرحلة، مما يُزوّد صانعي </w:t>
      </w:r>
      <w:r w:rsidRPr="00A5503B">
        <w:rPr>
          <w:rFonts w:ascii="Simplified Arabic" w:eastAsia="Times New Roman" w:hAnsi="Simplified Arabic" w:cs="Simplified Arabic"/>
          <w:kern w:val="0"/>
          <w:sz w:val="28"/>
          <w:szCs w:val="28"/>
          <w:rtl/>
          <w14:ligatures w14:val="none"/>
        </w:rPr>
        <w:lastRenderedPageBreak/>
        <w:t>القرار في المؤسسات الحكومية بقاعدة معلوماتية موضوعية لتحديد أولويات التحسين وتوجيه الاستثمارات التقنية نحو الحلقات التي تُحقق أعلى عائد وأثر ملموس في تحسين الخدمة</w:t>
      </w:r>
      <w:r w:rsidRPr="00A5503B">
        <w:rPr>
          <w:rFonts w:ascii="Simplified Arabic" w:eastAsia="Times New Roman" w:hAnsi="Simplified Arabic" w:cs="Simplified Arabic"/>
          <w:kern w:val="0"/>
          <w:sz w:val="28"/>
          <w:szCs w:val="28"/>
          <w14:ligatures w14:val="none"/>
        </w:rPr>
        <w:t>.</w:t>
      </w:r>
    </w:p>
    <w:p w14:paraId="545E0318" w14:textId="50051256"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تحديد محركات التكلفة الرئيسة في كل وحدة تشغيلية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يكشف التحليل التفصيلي عن العوامل الأكثر تأثيراً في تكاليف كل حلقة من حلقات السلسلة سواء كانت تكاليف </w:t>
      </w:r>
      <w:proofErr w:type="gramStart"/>
      <w:r w:rsidRPr="00A5503B">
        <w:rPr>
          <w:rFonts w:ascii="Simplified Arabic" w:eastAsia="Times New Roman" w:hAnsi="Simplified Arabic" w:cs="Simplified Arabic"/>
          <w:kern w:val="0"/>
          <w:sz w:val="28"/>
          <w:szCs w:val="28"/>
          <w:rtl/>
          <w14:ligatures w14:val="none"/>
        </w:rPr>
        <w:t>طاقة</w:t>
      </w:r>
      <w:proofErr w:type="gramEnd"/>
      <w:r w:rsidRPr="00A5503B">
        <w:rPr>
          <w:rFonts w:ascii="Simplified Arabic" w:eastAsia="Times New Roman" w:hAnsi="Simplified Arabic" w:cs="Simplified Arabic"/>
          <w:kern w:val="0"/>
          <w:sz w:val="28"/>
          <w:szCs w:val="28"/>
          <w:rtl/>
          <w14:ligatures w14:val="none"/>
        </w:rPr>
        <w:t xml:space="preserve"> أو صيانة أو عمالة أو مواد استهلاكية مما يُمكّن المؤسسة من التدخل المستهدف لمعالجة المحركات الأعلى تكلفة بدلاً من اللجوء إلى إجراءات خفض عشوائية قد تُضعف جودة الخدمة</w:t>
      </w:r>
      <w:r w:rsidRPr="00A5503B">
        <w:rPr>
          <w:rFonts w:ascii="Simplified Arabic" w:eastAsia="Times New Roman" w:hAnsi="Simplified Arabic" w:cs="Simplified Arabic"/>
          <w:kern w:val="0"/>
          <w:sz w:val="28"/>
          <w:szCs w:val="28"/>
          <w14:ligatures w14:val="none"/>
        </w:rPr>
        <w:t>.</w:t>
      </w:r>
    </w:p>
    <w:p w14:paraId="35A990D4" w14:textId="49B03C81"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توفير أساس موضوعي للمقارنة المرجعية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التشغيلية من مقارنة أداء المؤسسة بالمعايير المرجعية القطاعية والدولية، مما يُعزّز المساءلة والشفافية وهما ركيزتان أساسيتان في الحوكمة الحكومية الرشيدة ويُحدد الفجوات الأدائية التي تحتاج إلى معالجة، ويضع أهدافاً واقعية وقابلة للقياس لعملية التحسين المستمر</w:t>
      </w:r>
      <w:r w:rsidRPr="00A5503B">
        <w:rPr>
          <w:rFonts w:ascii="Simplified Arabic" w:eastAsia="Times New Roman" w:hAnsi="Simplified Arabic" w:cs="Simplified Arabic"/>
          <w:kern w:val="0"/>
          <w:sz w:val="28"/>
          <w:szCs w:val="28"/>
          <w14:ligatures w14:val="none"/>
        </w:rPr>
        <w:t>.</w:t>
      </w:r>
    </w:p>
    <w:p w14:paraId="57DF408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ويُضيف</w:t>
      </w:r>
      <w:r w:rsidRPr="00092108">
        <w:rPr>
          <w:rFonts w:ascii="Simplified Arabic" w:eastAsia="Times New Roman" w:hAnsi="Simplified Arabic" w:cs="Simplified Arabic"/>
          <w:kern w:val="0"/>
          <w:sz w:val="28"/>
          <w:szCs w:val="28"/>
          <w14:ligatures w14:val="none"/>
        </w:rPr>
        <w:t xml:space="preserve"> (Ghadir et al., 2024) </w:t>
      </w:r>
      <w:r w:rsidRPr="00092108">
        <w:rPr>
          <w:rFonts w:ascii="Simplified Arabic" w:eastAsia="Times New Roman" w:hAnsi="Simplified Arabic" w:cs="Simplified Arabic"/>
          <w:kern w:val="0"/>
          <w:sz w:val="28"/>
          <w:szCs w:val="28"/>
          <w:rtl/>
          <w14:ligatures w14:val="none"/>
        </w:rPr>
        <w:t>بُعداً معاصراً ونوعياً لأهمية سلسلة القيمة التشغيلية في ظل عصر التحول الرقمي والذكاء الاصطناعي</w:t>
      </w:r>
      <w:r w:rsidRPr="00092108">
        <w:rPr>
          <w:rFonts w:ascii="Simplified Arabic" w:eastAsia="Times New Roman" w:hAnsi="Simplified Arabic" w:cs="Simplified Arabic"/>
          <w:kern w:val="0"/>
          <w:sz w:val="28"/>
          <w:szCs w:val="28"/>
          <w14:ligatures w14:val="none"/>
        </w:rPr>
        <w:t>:</w:t>
      </w:r>
    </w:p>
    <w:p w14:paraId="2ABC0710" w14:textId="69B5371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التحوّل من التحليل الدوري إلى المراقبة الآنية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يُشير إلى أنّ التقنيات الرقمية والذكاء الاصطناعي أضافا طبقة جديدة من الأهمية لتحليل سلسلة القيمة، حيث أصبح بالإمكان مراقبة أداء كل حلقة في الزمن الحقيقي بدلاً من الاكتفاء بتقارير دورية متأخرة، مما يُحوّل سلسلة القيمة من أداة تحليلية ساكنة تُستخدم بشكل موسمي إلى منظومة حية تُنبّه صانع القرار لحظة حدوث أي انحراف</w:t>
      </w:r>
      <w:r w:rsidRPr="00A5503B">
        <w:rPr>
          <w:rFonts w:ascii="Simplified Arabic" w:eastAsia="Times New Roman" w:hAnsi="Simplified Arabic" w:cs="Simplified Arabic"/>
          <w:kern w:val="0"/>
          <w:sz w:val="28"/>
          <w:szCs w:val="28"/>
          <w14:ligatures w14:val="none"/>
        </w:rPr>
        <w:t>.</w:t>
      </w:r>
    </w:p>
    <w:p w14:paraId="0A67C03D" w14:textId="1403389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التنبؤ بالاختناقات قبل وقوعها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يوضح أنّ النماذج التنبؤية المدعومة بالذكاء الاصطناعي تُمكّن من رصد المؤشرات المبكرة لاختناقات السلسلة والتنبؤ بها قبل أن تتحول إلى مشكلات فعلية تُعطّل تقديم الخدمات، وهو ما يُحوّل نهج إدارة السلسلة من رد الفعل إلى الاستباق والوقاية</w:t>
      </w:r>
      <w:r w:rsidRPr="00A5503B">
        <w:rPr>
          <w:rFonts w:ascii="Simplified Arabic" w:eastAsia="Times New Roman" w:hAnsi="Simplified Arabic" w:cs="Simplified Arabic"/>
          <w:kern w:val="0"/>
          <w:sz w:val="28"/>
          <w:szCs w:val="28"/>
          <w14:ligatures w14:val="none"/>
        </w:rPr>
        <w:t>.</w:t>
      </w:r>
    </w:p>
    <w:p w14:paraId="4946AC51" w14:textId="7FBB7B6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تحسين تدفق العمليات تلقائياً وتخصيص تجربة المستفيد</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يُبيّن أنّ سلاسل القيمة الرقمية المدعومة بالذكاء الاصطناعي قادرة على إعادة ضبط تدفق العمليات تلقائياً استجابةً للتغيرات الآنية في أحجام الطلب أو توافر الموارد، فضلاً عن تخصيص قنوات تقديم الخدمة ومحتواها بحسب تفضيلات كل مستفيد، مما يُحقق مستويات غير مسبوقة من المرونة التشغيلية وجودة تجربة المستفيد</w:t>
      </w:r>
      <w:r w:rsidRPr="00A5503B">
        <w:rPr>
          <w:rFonts w:ascii="Simplified Arabic" w:eastAsia="Times New Roman" w:hAnsi="Simplified Arabic" w:cs="Simplified Arabic"/>
          <w:kern w:val="0"/>
          <w:sz w:val="28"/>
          <w:szCs w:val="28"/>
          <w14:ligatures w14:val="none"/>
        </w:rPr>
        <w:t>.</w:t>
      </w:r>
    </w:p>
    <w:p w14:paraId="38CB75F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lastRenderedPageBreak/>
        <w:t>ثالثاً: أهداف تحليل وتحسين سلسلة القيمة التشغيلية في المؤسسات الحكومية الكبرى</w:t>
      </w:r>
    </w:p>
    <w:p w14:paraId="7078F571" w14:textId="0AFE76D6"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لا يُعدّ تحليل سلسلة القيمة التشغيلية غاية في حد ذاته، بل هو وسيلة منهجية تُوظّفها المؤسسات الحكومية الكبرى لتحقيق مجموعة من الأهداف المتكاملة التي تمتد عبر المستويات التشغيلية والإدارية والاستراتيجية. وتتباين هذه الأهداف في طبيعتها وأفقها الزمني، إلا أنها تتقاطع جميعها في سعيها المشترك نحو تعظيم القيمة المُدرَكة لدى المستفيد وتحقيق أعلى مستويات الكفاءة في استخدام الموارد العامة. </w:t>
      </w:r>
    </w:p>
    <w:p w14:paraId="4CF942FB" w14:textId="63D0890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يُحدّد</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جملة من الأهداف التي يسعى تحليل سلسلة القيمة إلى تحقيقها من خلال توظيف أدوات الرقابة الإدارية</w:t>
      </w:r>
      <w:r w:rsidRPr="00092108">
        <w:rPr>
          <w:rFonts w:ascii="Simplified Arabic" w:eastAsia="Times New Roman" w:hAnsi="Simplified Arabic" w:cs="Simplified Arabic"/>
          <w:kern w:val="0"/>
          <w:sz w:val="28"/>
          <w:szCs w:val="28"/>
          <w14:ligatures w14:val="none"/>
        </w:rPr>
        <w:t>:</w:t>
      </w:r>
    </w:p>
    <w:p w14:paraId="118B77E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الكشف عن مناطق الهدر والأداء دون المستوى المطلوب</w:t>
      </w:r>
    </w:p>
    <w:p w14:paraId="2E8438F4" w14:textId="07953018"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تحليل سلسلة القيمة بالدرجة الأولى إجراء مسح شامل ودقيق للعمليات الداخلية بحثاً عن الأنشطة التي تستنزف الموارد دون أن تُضيف قيمة حقيقية للمستفيد</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الباحثان أنّ الرقابة الإدارية بوصفها أداة تحليلية تُمكّن من تحديد الاختناقات والأنشطة منخفضة العائد بدقة، ومن ثمّ تصميم حلول تصحيحية مُستهدفة تُعالج الأسباب الجذرية وليس الأعراض الظاهرية </w:t>
      </w:r>
      <w:proofErr w:type="gramStart"/>
      <w:r w:rsidRPr="00092108">
        <w:rPr>
          <w:rFonts w:ascii="Simplified Arabic" w:eastAsia="Times New Roman" w:hAnsi="Simplified Arabic" w:cs="Simplified Arabic"/>
          <w:kern w:val="0"/>
          <w:sz w:val="28"/>
          <w:szCs w:val="28"/>
          <w:rtl/>
          <w14:ligatures w14:val="none"/>
        </w:rPr>
        <w:t>فقط</w:t>
      </w:r>
      <w:r w:rsidR="00A5503B" w:rsidRPr="00092108">
        <w:rPr>
          <w:rFonts w:ascii="Simplified Arabic" w:eastAsia="Times New Roman" w:hAnsi="Simplified Arabic" w:cs="Simplified Arabic"/>
          <w:kern w:val="0"/>
          <w:sz w:val="28"/>
          <w:szCs w:val="28"/>
          <w:rtl/>
          <w14:ligatures w14:val="none"/>
        </w:rPr>
        <w:t xml:space="preserve"> </w:t>
      </w:r>
      <w:r w:rsidRPr="00092108">
        <w:rPr>
          <w:rFonts w:ascii="Simplified Arabic" w:eastAsia="Times New Roman" w:hAnsi="Simplified Arabic" w:cs="Simplified Arabic"/>
          <w:kern w:val="0"/>
          <w:sz w:val="28"/>
          <w:szCs w:val="28"/>
          <w:rtl/>
          <w14:ligatures w14:val="none"/>
        </w:rPr>
        <w:t>،</w:t>
      </w:r>
      <w:proofErr w:type="gramEnd"/>
      <w:r w:rsidRPr="00092108">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و</w:t>
      </w:r>
      <w:r w:rsidRPr="00092108">
        <w:rPr>
          <w:rFonts w:ascii="Simplified Arabic" w:eastAsia="Times New Roman" w:hAnsi="Simplified Arabic" w:cs="Simplified Arabic"/>
          <w:kern w:val="0"/>
          <w:sz w:val="28"/>
          <w:szCs w:val="28"/>
          <w:rtl/>
          <w14:ligatures w14:val="none"/>
        </w:rPr>
        <w:t xml:space="preserve">يتجسد هذا الهدف في تحديد الإجراءات البيروقراطية المكررة والخطوات التي لا تُضيف قيمة في مسار المعاملة، والعمل على حذفها أو دمجها أو </w:t>
      </w:r>
      <w:proofErr w:type="spellStart"/>
      <w:r w:rsidRPr="00092108">
        <w:rPr>
          <w:rFonts w:ascii="Simplified Arabic" w:eastAsia="Times New Roman" w:hAnsi="Simplified Arabic" w:cs="Simplified Arabic"/>
          <w:kern w:val="0"/>
          <w:sz w:val="28"/>
          <w:szCs w:val="28"/>
          <w:rtl/>
          <w14:ligatures w14:val="none"/>
        </w:rPr>
        <w:t>أتمتتها</w:t>
      </w:r>
      <w:proofErr w:type="spellEnd"/>
      <w:r w:rsidRPr="00092108">
        <w:rPr>
          <w:rFonts w:ascii="Simplified Arabic" w:eastAsia="Times New Roman" w:hAnsi="Simplified Arabic" w:cs="Simplified Arabic"/>
          <w:kern w:val="0"/>
          <w:sz w:val="28"/>
          <w:szCs w:val="28"/>
          <w14:ligatures w14:val="none"/>
        </w:rPr>
        <w:t>.</w:t>
      </w:r>
    </w:p>
    <w:p w14:paraId="2189C68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تنسيق الوظائف المؤسسية وتعزيز الكفاءة الجماعية</w:t>
      </w:r>
    </w:p>
    <w:p w14:paraId="3D91F35F" w14:textId="45E5C44C"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يتجاوز تحليل سلسلة القيمة مجرد تحسين الأنشطة المنفردة ليستهدف تحقيق التنسيق والتكامل بين مختلف وظائف المؤسسة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أكد الباحثان أنّ الرقابة الإدارية تلعب دوراً محورياً في تحقيق هذا التنسيق من خلال توفير مؤشرات أداء مشتركة وآليات تواصل شفافة، مما يُعزّز التعاون بين الإدارات ويُحوّل جهودها المتفرقة إلى منظومة عمل متسقة تُضاعف القدرة التنافسية للمؤسسة وفاعليتها في تقديم الخدمات</w:t>
      </w:r>
      <w:r w:rsidRPr="00092108">
        <w:rPr>
          <w:rFonts w:ascii="Simplified Arabic" w:eastAsia="Times New Roman" w:hAnsi="Simplified Arabic" w:cs="Simplified Arabic"/>
          <w:kern w:val="0"/>
          <w:sz w:val="28"/>
          <w:szCs w:val="28"/>
          <w14:ligatures w14:val="none"/>
        </w:rPr>
        <w:t>.</w:t>
      </w:r>
    </w:p>
    <w:p w14:paraId="2332648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تحويل البيانات إلى قرارات استراتيجية مدروسة</w:t>
      </w:r>
    </w:p>
    <w:p w14:paraId="5F480AF3" w14:textId="24D31BAF"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تحليل سلسلة القيمة إلى تزويد الإدارة العليا بقاعدة معلوماتية غنية ومُحدّثة تُمكّنها من اتخاذ قرارات استراتيجية مبنية على حقائق وأدلة وليس على حدس أو تقديرات </w:t>
      </w:r>
      <w:proofErr w:type="spellStart"/>
      <w:proofErr w:type="gramStart"/>
      <w:r w:rsidRPr="00092108">
        <w:rPr>
          <w:rFonts w:ascii="Simplified Arabic" w:eastAsia="Times New Roman" w:hAnsi="Simplified Arabic" w:cs="Simplified Arabic"/>
          <w:kern w:val="0"/>
          <w:sz w:val="28"/>
          <w:szCs w:val="28"/>
          <w:rtl/>
          <w14:ligatures w14:val="none"/>
        </w:rPr>
        <w:t>شخصية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وقد</w:t>
      </w:r>
      <w:proofErr w:type="spellEnd"/>
      <w:proofErr w:type="gramEnd"/>
      <w:r w:rsidRPr="00092108">
        <w:rPr>
          <w:rFonts w:ascii="Simplified Arabic" w:eastAsia="Times New Roman" w:hAnsi="Simplified Arabic" w:cs="Simplified Arabic"/>
          <w:kern w:val="0"/>
          <w:sz w:val="28"/>
          <w:szCs w:val="28"/>
          <w:rtl/>
          <w14:ligatures w14:val="none"/>
        </w:rPr>
        <w:t xml:space="preserve"> أظهر الباحثان في دراستهما </w:t>
      </w:r>
      <w:r w:rsidRPr="00092108">
        <w:rPr>
          <w:rFonts w:ascii="Simplified Arabic" w:eastAsia="Times New Roman" w:hAnsi="Simplified Arabic" w:cs="Simplified Arabic"/>
          <w:kern w:val="0"/>
          <w:sz w:val="28"/>
          <w:szCs w:val="28"/>
          <w:rtl/>
          <w14:ligatures w14:val="none"/>
        </w:rPr>
        <w:lastRenderedPageBreak/>
        <w:t xml:space="preserve">الميدانية أنّ التكامل بين الرقابة الإدارية ونظام المعلومات في المؤسسة العمومية حقق مستوى إسهام بلغ 95% في نجاح المؤسسة، من خلال توفير مؤشرات مالية وتشغيلية رئيسة وتحليلات ملائمة تكشف عن </w:t>
      </w:r>
    </w:p>
    <w:p w14:paraId="4484DDD1" w14:textId="29A589AC"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يُركّز</w:t>
      </w:r>
      <w:proofErr w:type="gramEnd"/>
      <w:r w:rsidR="00092108" w:rsidRPr="00092108">
        <w:rPr>
          <w:rFonts w:ascii="Simplified Arabic" w:eastAsia="Times New Roman" w:hAnsi="Simplified Arabic" w:cs="Simplified Arabic"/>
          <w:kern w:val="0"/>
          <w:sz w:val="28"/>
          <w:szCs w:val="28"/>
          <w14:ligatures w14:val="none"/>
        </w:rPr>
        <w:t xml:space="preserve"> (Mboyo et al., 2025) </w:t>
      </w:r>
      <w:r w:rsidR="00092108" w:rsidRPr="00092108">
        <w:rPr>
          <w:rFonts w:ascii="Simplified Arabic" w:eastAsia="Times New Roman" w:hAnsi="Simplified Arabic" w:cs="Simplified Arabic"/>
          <w:kern w:val="0"/>
          <w:sz w:val="28"/>
          <w:szCs w:val="28"/>
          <w:rtl/>
          <w14:ligatures w14:val="none"/>
        </w:rPr>
        <w:t>على أهداف ذات صلة مباشرة بترشيد الموارد وتحسين اقتصاديات التشغيل</w:t>
      </w:r>
      <w:r w:rsidR="00092108" w:rsidRPr="00092108">
        <w:rPr>
          <w:rFonts w:ascii="Simplified Arabic" w:eastAsia="Times New Roman" w:hAnsi="Simplified Arabic" w:cs="Simplified Arabic"/>
          <w:kern w:val="0"/>
          <w:sz w:val="28"/>
          <w:szCs w:val="28"/>
          <w14:ligatures w14:val="none"/>
        </w:rPr>
        <w:t>:</w:t>
      </w:r>
    </w:p>
    <w:p w14:paraId="383E734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 xml:space="preserve">تحديد الملامح </w:t>
      </w:r>
      <w:proofErr w:type="spellStart"/>
      <w:r w:rsidRPr="00092108">
        <w:rPr>
          <w:rFonts w:ascii="Simplified Arabic" w:eastAsia="Times New Roman" w:hAnsi="Simplified Arabic" w:cs="Simplified Arabic"/>
          <w:b/>
          <w:bCs/>
          <w:kern w:val="0"/>
          <w:sz w:val="28"/>
          <w:szCs w:val="28"/>
          <w:rtl/>
          <w14:ligatures w14:val="none"/>
        </w:rPr>
        <w:t>التكاليفية</w:t>
      </w:r>
      <w:proofErr w:type="spellEnd"/>
      <w:r w:rsidRPr="00092108">
        <w:rPr>
          <w:rFonts w:ascii="Simplified Arabic" w:eastAsia="Times New Roman" w:hAnsi="Simplified Arabic" w:cs="Simplified Arabic"/>
          <w:b/>
          <w:bCs/>
          <w:kern w:val="0"/>
          <w:sz w:val="28"/>
          <w:szCs w:val="28"/>
          <w:rtl/>
          <w14:ligatures w14:val="none"/>
        </w:rPr>
        <w:t xml:space="preserve"> لكل حلقة من حلقات السلسلة</w:t>
      </w:r>
    </w:p>
    <w:p w14:paraId="4ED8D77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تحليل سلسلة القيمة من هذا المنظور إلى رسم خريطة تفصيلية لتوزيع التكاليف التشغيلية عبر الوحدات المختلفة، بحيث يُعرَف بدقة نصيب كل حلقة من إجمالي التكاليف ونسبتها المئوية من المصروفات الكلية. وقد أوضح الباحثون أنّ هذا التحديد الدقيق يكشف عن حقائق قد تكون مخفية عن الإدارة، إذ قد تستحوذ حلقة واحدة على نسبة غير متناسبة من التكاليف الإجمالية دون أن يكون ذلك ظاهراً في التقارير المالية التقليدية</w:t>
      </w:r>
      <w:r w:rsidRPr="00092108">
        <w:rPr>
          <w:rFonts w:ascii="Simplified Arabic" w:eastAsia="Times New Roman" w:hAnsi="Simplified Arabic" w:cs="Simplified Arabic"/>
          <w:kern w:val="0"/>
          <w:sz w:val="28"/>
          <w:szCs w:val="28"/>
          <w14:ligatures w14:val="none"/>
        </w:rPr>
        <w:t>.</w:t>
      </w:r>
    </w:p>
    <w:p w14:paraId="6FCEA8F3"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تحديد محركات التكلفة الرئيسة واستهداف التدخل</w:t>
      </w:r>
    </w:p>
    <w:p w14:paraId="66345F5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يتجاوز التحليل مجرد معرفة التكلفة الإجمالية لكل حلقة ليستهدف الغوص في تفاصيل مكونات هذه التكلفة وتحديد المحركات الأكثر تأثيراً فيها. وقد بيّن الباحثون أنّ فهم ما إذا كانت التكلفة مدفوعة أساساً </w:t>
      </w:r>
      <w:proofErr w:type="gramStart"/>
      <w:r w:rsidRPr="00092108">
        <w:rPr>
          <w:rFonts w:ascii="Simplified Arabic" w:eastAsia="Times New Roman" w:hAnsi="Simplified Arabic" w:cs="Simplified Arabic"/>
          <w:kern w:val="0"/>
          <w:sz w:val="28"/>
          <w:szCs w:val="28"/>
          <w:rtl/>
          <w14:ligatures w14:val="none"/>
        </w:rPr>
        <w:t>بالطاقة</w:t>
      </w:r>
      <w:proofErr w:type="gramEnd"/>
      <w:r w:rsidRPr="00092108">
        <w:rPr>
          <w:rFonts w:ascii="Simplified Arabic" w:eastAsia="Times New Roman" w:hAnsi="Simplified Arabic" w:cs="Simplified Arabic"/>
          <w:kern w:val="0"/>
          <w:sz w:val="28"/>
          <w:szCs w:val="28"/>
          <w:rtl/>
          <w14:ligatures w14:val="none"/>
        </w:rPr>
        <w:t xml:space="preserve"> أو العمالة أو الصيانة أو المواد الاستهلاكية يُمكّن من تصميم تدخلات دقيقة تُعالج المحرك الأعلى تأثيراً، بدلاً من اللجوء إلى تخفيضات عشوائية قد تُؤثر سلباً على جودة الخدمة</w:t>
      </w:r>
      <w:r w:rsidRPr="00092108">
        <w:rPr>
          <w:rFonts w:ascii="Simplified Arabic" w:eastAsia="Times New Roman" w:hAnsi="Simplified Arabic" w:cs="Simplified Arabic"/>
          <w:kern w:val="0"/>
          <w:sz w:val="28"/>
          <w:szCs w:val="28"/>
          <w14:ligatures w14:val="none"/>
        </w:rPr>
        <w:t>.</w:t>
      </w:r>
    </w:p>
    <w:p w14:paraId="023BAB5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توفير أساس للمقارنة المرجعية وتحديد فرص خفض التكاليف</w:t>
      </w:r>
    </w:p>
    <w:p w14:paraId="4628C45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التحليل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لسلسلة القيمة إلى إنشاء قاعدة بيانات مرجعية تُتيح مقارنة أداء المؤسسة بالمعايير القطاعية والدولية، وتحديد الفجوات التي تُشير إلى وجود فرص حقيقية لخفض التكاليف دون المساس بالجودة. وقد أشار الباحثون إلى أنّ هذه المقارنة المرجعية تُسهم في وضع أهداف تحسين واقعية وقابلة للقياس، كما تُوفّر أداة للمساءلة والحوكمة في القطاع الحكومي حيث يُعدّ ترشيد الإنفاق العام مسؤولية وطنية</w:t>
      </w:r>
      <w:r w:rsidRPr="00092108">
        <w:rPr>
          <w:rFonts w:ascii="Simplified Arabic" w:eastAsia="Times New Roman" w:hAnsi="Simplified Arabic" w:cs="Simplified Arabic"/>
          <w:kern w:val="0"/>
          <w:sz w:val="28"/>
          <w:szCs w:val="28"/>
          <w14:ligatures w14:val="none"/>
        </w:rPr>
        <w:t>.</w:t>
      </w:r>
    </w:p>
    <w:p w14:paraId="25DED207" w14:textId="268BCF80"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lastRenderedPageBreak/>
        <w:t>و</w:t>
      </w:r>
      <w:r w:rsidR="00092108" w:rsidRPr="00092108">
        <w:rPr>
          <w:rFonts w:ascii="Simplified Arabic" w:eastAsia="Times New Roman" w:hAnsi="Simplified Arabic" w:cs="Simplified Arabic"/>
          <w:kern w:val="0"/>
          <w:sz w:val="28"/>
          <w:szCs w:val="28"/>
          <w:rtl/>
          <w14:ligatures w14:val="none"/>
        </w:rPr>
        <w:t xml:space="preserve"> يطرح</w:t>
      </w:r>
      <w:proofErr w:type="gramEnd"/>
      <w:r w:rsidR="00092108" w:rsidRPr="00092108">
        <w:rPr>
          <w:rFonts w:ascii="Simplified Arabic" w:eastAsia="Times New Roman" w:hAnsi="Simplified Arabic" w:cs="Simplified Arabic"/>
          <w:kern w:val="0"/>
          <w:sz w:val="28"/>
          <w:szCs w:val="28"/>
          <w14:ligatures w14:val="none"/>
        </w:rPr>
        <w:t xml:space="preserve"> (Ghadir et al., 2024) </w:t>
      </w:r>
      <w:r w:rsidR="00092108" w:rsidRPr="00092108">
        <w:rPr>
          <w:rFonts w:ascii="Simplified Arabic" w:eastAsia="Times New Roman" w:hAnsi="Simplified Arabic" w:cs="Simplified Arabic"/>
          <w:kern w:val="0"/>
          <w:sz w:val="28"/>
          <w:szCs w:val="28"/>
          <w:rtl/>
          <w14:ligatures w14:val="none"/>
        </w:rPr>
        <w:t>أهدافاً تعكس المرحلة المعاصرة من تطور سلسلة القيمة في ظل الثورة الرقمية</w:t>
      </w:r>
      <w:r w:rsidR="00092108" w:rsidRPr="00092108">
        <w:rPr>
          <w:rFonts w:ascii="Simplified Arabic" w:eastAsia="Times New Roman" w:hAnsi="Simplified Arabic" w:cs="Simplified Arabic"/>
          <w:kern w:val="0"/>
          <w:sz w:val="28"/>
          <w:szCs w:val="28"/>
          <w14:ligatures w14:val="none"/>
        </w:rPr>
        <w:t>:</w:t>
      </w:r>
    </w:p>
    <w:p w14:paraId="702C180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تحقيق الرؤية الشاملة والآنية لأداء السلسلة</w:t>
      </w:r>
    </w:p>
    <w:p w14:paraId="66A2BB4D" w14:textId="21D8FD8D"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تطبيق التقنيات الرقمية على سلسلة القيمة تحقيق مستوى غير مسبوق من الشفافية التشغيلية، بحيث يستطيع صانع القرار في أي لحظة الاطلاع على حالة كل حلقة من حلقات السلسلة ومؤشرات أدائها ومستوى تحميلها والتحديات التي تواجهها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الباحثون أنّ هذه الرؤية الآنية تُحوّل نمط الإدارة من الاستجابة المتأخرة للمشكلات بعد تفاقمها إلى التعامل الاستباقي معها لحظة ظهور مؤشراتها الأولى</w:t>
      </w:r>
      <w:r w:rsidRPr="00092108">
        <w:rPr>
          <w:rFonts w:ascii="Simplified Arabic" w:eastAsia="Times New Roman" w:hAnsi="Simplified Arabic" w:cs="Simplified Arabic"/>
          <w:kern w:val="0"/>
          <w:sz w:val="28"/>
          <w:szCs w:val="28"/>
          <w14:ligatures w14:val="none"/>
        </w:rPr>
        <w:t>.</w:t>
      </w:r>
    </w:p>
    <w:p w14:paraId="0BF8756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تمكين التحسين الذاتي والتكيف التلقائي</w:t>
      </w:r>
    </w:p>
    <w:p w14:paraId="55BDCB7C" w14:textId="0508AE1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دمج الذكاء الاصطناعي في سلسلة القيمة إلى بناء منظومة قادرة على تحسين ذاتها بشكل مستمر دون الحاجة إلى تدخل بشري في كل مرة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بيّن الباحثون أنّ الأنظمة الذكية تستطيع رصد أنماط الأداء واكتشاف فرص التحسين وتنفيذ التعديلات تلقائياً على تدفقات العمل واستجابةً للتغيرات في أحجام الطلب أو توافر الموارد، مما يُكسب السلسلة مرونة تشغيلية عالية</w:t>
      </w:r>
      <w:r w:rsidRPr="00092108">
        <w:rPr>
          <w:rFonts w:ascii="Simplified Arabic" w:eastAsia="Times New Roman" w:hAnsi="Simplified Arabic" w:cs="Simplified Arabic"/>
          <w:kern w:val="0"/>
          <w:sz w:val="28"/>
          <w:szCs w:val="28"/>
          <w14:ligatures w14:val="none"/>
        </w:rPr>
        <w:t>.</w:t>
      </w:r>
    </w:p>
    <w:p w14:paraId="6D343BA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تخصيص تجربة المستفيد وتعزيز القيمة المُدرَكة</w:t>
      </w:r>
    </w:p>
    <w:p w14:paraId="07E21758" w14:textId="0597D77E"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يسعى التحول الرقمي لسلسلة القيمة إلى الانتقال من نموذج الخدمة الموحدة للجميع إلى نموذج الخدمة المُخصّصة التي تتكيف مع احتياجات وتفضيلات كل مستفيد على حدة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أشار الباحثون إلى أنّ التحليلات المتقدمة والتوائم الرقمية تُتيح فهماً عميقاً لسلوك المستفيدين وأنماط تفاعلهم مع الخدمة، مما يُمكّن من تقديم تجربة خدمة شخصية تُعزّز القيمة المُدرَكة لدى المستفيد وترفع مستوى رضاه وثقته في المؤسسة الحكومية</w:t>
      </w:r>
      <w:r w:rsidRPr="00092108">
        <w:rPr>
          <w:rFonts w:ascii="Simplified Arabic" w:eastAsia="Times New Roman" w:hAnsi="Simplified Arabic" w:cs="Simplified Arabic"/>
          <w:kern w:val="0"/>
          <w:sz w:val="28"/>
          <w:szCs w:val="28"/>
          <w14:ligatures w14:val="none"/>
        </w:rPr>
        <w:t>.</w:t>
      </w:r>
    </w:p>
    <w:p w14:paraId="03D2C854"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خامساً: محددات كفاءة سلسلة القيمة التشغيلية وعوامل نجاحها</w:t>
      </w:r>
    </w:p>
    <w:p w14:paraId="4B92783B" w14:textId="2F71D7A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تُجمع الأدبيات الإدارية والتنظيمية المعاصرة على أن وجود سلسلة قيمة تشغيلية واضحة المعالم لا يُفضي بالضرورة إلى تحقيق الكفاءة المرجوة، إذ إن الكفاءة ليست نتاجاً تلقائياً للتصميم الهيكلي، بل هي محصلة ديناميكية لتفاعل منظومة متشابكة من المحددات والعوامل التي تعمل بصورة تزامنية وتكاملية</w:t>
      </w:r>
      <w:r w:rsidR="00A5503B">
        <w:rPr>
          <w:rFonts w:ascii="Simplified Arabic" w:eastAsia="Times New Roman" w:hAnsi="Simplified Arabic" w:cs="Simplified Arabic" w:hint="cs"/>
          <w:kern w:val="0"/>
          <w:sz w:val="28"/>
          <w:szCs w:val="28"/>
          <w:rtl/>
          <w14:ligatures w14:val="none"/>
        </w:rPr>
        <w:t>، ف</w:t>
      </w:r>
      <w:r w:rsidRPr="008457E0">
        <w:rPr>
          <w:rFonts w:ascii="Simplified Arabic" w:eastAsia="Times New Roman" w:hAnsi="Simplified Arabic" w:cs="Simplified Arabic"/>
          <w:kern w:val="0"/>
          <w:sz w:val="28"/>
          <w:szCs w:val="28"/>
          <w:rtl/>
          <w14:ligatures w14:val="none"/>
        </w:rPr>
        <w:t xml:space="preserve">المؤسسات </w:t>
      </w:r>
      <w:r w:rsidRPr="008457E0">
        <w:rPr>
          <w:rFonts w:ascii="Simplified Arabic" w:eastAsia="Times New Roman" w:hAnsi="Simplified Arabic" w:cs="Simplified Arabic"/>
          <w:kern w:val="0"/>
          <w:sz w:val="28"/>
          <w:szCs w:val="28"/>
          <w:rtl/>
          <w14:ligatures w14:val="none"/>
        </w:rPr>
        <w:lastRenderedPageBreak/>
        <w:t xml:space="preserve">التي تتعامل مع هذه المحددات بمنظور شمولي هي الأقدر على تعظيم القيمة المُقدمة </w:t>
      </w:r>
      <w:proofErr w:type="spellStart"/>
      <w:r w:rsidRPr="008457E0">
        <w:rPr>
          <w:rFonts w:ascii="Simplified Arabic" w:eastAsia="Times New Roman" w:hAnsi="Simplified Arabic" w:cs="Simplified Arabic"/>
          <w:kern w:val="0"/>
          <w:sz w:val="28"/>
          <w:szCs w:val="28"/>
          <w:rtl/>
          <w14:ligatures w14:val="none"/>
        </w:rPr>
        <w:t>لمستفيديها</w:t>
      </w:r>
      <w:proofErr w:type="spellEnd"/>
      <w:r w:rsidRPr="008457E0">
        <w:rPr>
          <w:rFonts w:ascii="Simplified Arabic" w:eastAsia="Times New Roman" w:hAnsi="Simplified Arabic" w:cs="Simplified Arabic"/>
          <w:kern w:val="0"/>
          <w:sz w:val="28"/>
          <w:szCs w:val="28"/>
          <w:rtl/>
          <w14:ligatures w14:val="none"/>
        </w:rPr>
        <w:t xml:space="preserve"> وتحقيق التميز التشغيلي المستدام. وفيما يلي عرض لأبرز هذه المحددات والعوامل كما تناولتها الأدبيات</w:t>
      </w:r>
      <w:r w:rsidRPr="008457E0">
        <w:rPr>
          <w:rFonts w:ascii="Simplified Arabic" w:eastAsia="Times New Roman" w:hAnsi="Simplified Arabic" w:cs="Simplified Arabic"/>
          <w:kern w:val="0"/>
          <w:sz w:val="28"/>
          <w:szCs w:val="28"/>
          <w14:ligatures w14:val="none"/>
        </w:rPr>
        <w:t>:</w:t>
      </w:r>
    </w:p>
    <w:p w14:paraId="295B652D" w14:textId="575DBDD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يُشير </w:t>
      </w:r>
      <w:r w:rsidRPr="008457E0">
        <w:rPr>
          <w:rFonts w:ascii="Simplified Arabic" w:eastAsia="Times New Roman" w:hAnsi="Simplified Arabic" w:cs="Simplified Arabic"/>
          <w:kern w:val="0"/>
          <w:sz w:val="28"/>
          <w:szCs w:val="28"/>
          <w14:ligatures w14:val="none"/>
        </w:rPr>
        <w:t xml:space="preserve">(Naas &amp; </w:t>
      </w:r>
      <w:proofErr w:type="spellStart"/>
      <w:r w:rsidRPr="008457E0">
        <w:rPr>
          <w:rFonts w:ascii="Simplified Arabic" w:eastAsia="Times New Roman" w:hAnsi="Simplified Arabic" w:cs="Simplified Arabic"/>
          <w:kern w:val="0"/>
          <w:sz w:val="28"/>
          <w:szCs w:val="28"/>
          <w14:ligatures w14:val="none"/>
        </w:rPr>
        <w:t>Berass</w:t>
      </w:r>
      <w:proofErr w:type="spellEnd"/>
      <w:r w:rsidRPr="008457E0">
        <w:rPr>
          <w:rFonts w:ascii="Simplified Arabic" w:eastAsia="Times New Roman" w:hAnsi="Simplified Arabic" w:cs="Simplified Arabic"/>
          <w:kern w:val="0"/>
          <w:sz w:val="28"/>
          <w:szCs w:val="28"/>
          <w14:ligatures w14:val="none"/>
        </w:rPr>
        <w:t xml:space="preserve">, 2024) </w:t>
      </w:r>
      <w:r w:rsidRPr="008457E0">
        <w:rPr>
          <w:rFonts w:ascii="Simplified Arabic" w:eastAsia="Times New Roman" w:hAnsi="Simplified Arabic" w:cs="Simplified Arabic"/>
          <w:kern w:val="0"/>
          <w:sz w:val="28"/>
          <w:szCs w:val="28"/>
          <w:rtl/>
          <w14:ligatures w14:val="none"/>
        </w:rPr>
        <w:t>إلى أن محددات كفاءة سلسلة القيمة التشغيلية من المنظور الرقابي والإداري تتمثّل في</w:t>
      </w:r>
      <w:r w:rsidRPr="008457E0">
        <w:rPr>
          <w:rFonts w:ascii="Simplified Arabic" w:eastAsia="Times New Roman" w:hAnsi="Simplified Arabic" w:cs="Simplified Arabic"/>
          <w:kern w:val="0"/>
          <w:sz w:val="28"/>
          <w:szCs w:val="28"/>
          <w14:ligatures w14:val="none"/>
        </w:rPr>
        <w:t>:</w:t>
      </w:r>
    </w:p>
    <w:p w14:paraId="32452945" w14:textId="4248B480"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تكامل منظومة الرقابة الإدارية مع نظام المعلومات المؤسسي، بحيث تتحول الرقابة من أداة رصد لاحقة إلى آلية استباقية للتوجيه والتصحيح تُحوّل البيانات الخام إلى مؤشرات أداء دقيقة تُمكّن صانع القرار من التدخل في الوقت المناسب قبل تفاقم الانحرافات، وهو ما يُعدّ المحدد الأكثر تأثيراً في الكفاءة التشغيلية الشاملة للسلسلة</w:t>
      </w:r>
      <w:r w:rsidRPr="008457E0">
        <w:rPr>
          <w:rFonts w:ascii="Simplified Arabic" w:eastAsia="Times New Roman" w:hAnsi="Simplified Arabic" w:cs="Simplified Arabic"/>
          <w:kern w:val="0"/>
          <w:sz w:val="28"/>
          <w:szCs w:val="28"/>
          <w14:ligatures w14:val="none"/>
        </w:rPr>
        <w:t>.</w:t>
      </w:r>
    </w:p>
    <w:p w14:paraId="224CFF34" w14:textId="7A4172B4"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الالتزام بمعايير الجودة الشاملة عبر أتمتة عمليات الرقابة النوعية بما يُسهم في تقليص الأخطاء البشرية والحدّ من الهدر في الموارد إلى أدنى مستوياته، وتحقيق التزام شبه تام بمتطلبات المستفيدين وتوقعاتهم، مما يُعزّز الثقة المؤسسية ويرفع مستوى رضا المتعاملين</w:t>
      </w:r>
      <w:r w:rsidRPr="008457E0">
        <w:rPr>
          <w:rFonts w:ascii="Simplified Arabic" w:eastAsia="Times New Roman" w:hAnsi="Simplified Arabic" w:cs="Simplified Arabic"/>
          <w:kern w:val="0"/>
          <w:sz w:val="28"/>
          <w:szCs w:val="28"/>
          <w14:ligatures w14:val="none"/>
        </w:rPr>
        <w:t>.</w:t>
      </w:r>
    </w:p>
    <w:p w14:paraId="7EE73E23" w14:textId="3BDA6C49"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بناء شراكات استراتيجية طويلة الأمد مع الموردين وإخضاعهم لعمليات تدقيق منتظمة، مما يُخفّض </w:t>
      </w:r>
      <w:proofErr w:type="gramStart"/>
      <w:r w:rsidRPr="008457E0">
        <w:rPr>
          <w:rFonts w:ascii="Simplified Arabic" w:eastAsia="Times New Roman" w:hAnsi="Simplified Arabic" w:cs="Simplified Arabic"/>
          <w:kern w:val="0"/>
          <w:sz w:val="28"/>
          <w:szCs w:val="28"/>
          <w:rtl/>
          <w14:ligatures w14:val="none"/>
        </w:rPr>
        <w:t>مخاطر</w:t>
      </w:r>
      <w:proofErr w:type="gramEnd"/>
      <w:r w:rsidRPr="008457E0">
        <w:rPr>
          <w:rFonts w:ascii="Simplified Arabic" w:eastAsia="Times New Roman" w:hAnsi="Simplified Arabic" w:cs="Simplified Arabic"/>
          <w:kern w:val="0"/>
          <w:sz w:val="28"/>
          <w:szCs w:val="28"/>
          <w:rtl/>
          <w14:ligatures w14:val="none"/>
        </w:rPr>
        <w:t xml:space="preserve"> التأخير والعيوب ويُحقق وفورات ملموسة في التكاليف التشغيلية، فضلاً عن تقليص الآثار البيئية والاجتماعية السلبية المرتبطة بسلسلة التوريد</w:t>
      </w:r>
      <w:r w:rsidRPr="008457E0">
        <w:rPr>
          <w:rFonts w:ascii="Simplified Arabic" w:eastAsia="Times New Roman" w:hAnsi="Simplified Arabic" w:cs="Simplified Arabic"/>
          <w:kern w:val="0"/>
          <w:sz w:val="28"/>
          <w:szCs w:val="28"/>
          <w14:ligatures w14:val="none"/>
        </w:rPr>
        <w:t>.</w:t>
      </w:r>
    </w:p>
    <w:p w14:paraId="0847B32A" w14:textId="457900F7"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الاستثمار المنهجي والمستمر في تأهيل الكوادر البشرية وتدريبها من خلال تخصيص نسبة ثابتة من الإيرادات لبرامج التطوير المهني، وهو ما يُسهم في استقرار الأداء التشغيلي من خلال خفض معدل دوران العاملين ورفع مستوى كفاءاتهم وقدرتهم على التعامل مع المتغيرات بصورة مستمرة</w:t>
      </w:r>
      <w:r w:rsidRPr="008457E0">
        <w:rPr>
          <w:rFonts w:ascii="Simplified Arabic" w:eastAsia="Times New Roman" w:hAnsi="Simplified Arabic" w:cs="Simplified Arabic"/>
          <w:kern w:val="0"/>
          <w:sz w:val="28"/>
          <w:szCs w:val="28"/>
          <w14:ligatures w14:val="none"/>
        </w:rPr>
        <w:t>.</w:t>
      </w:r>
    </w:p>
    <w:p w14:paraId="3DBA600A" w14:textId="5EDFACCC"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تفعيل نظام حوافز مرتبط بمؤشرات الأداء والجودة يُحفّز العاملين على الالتزام بمعايير التميز التشغيلي ويربط بين الجهد الفردي والنتائج المؤسسية، مما يُعزّز ثقافة المساءلة والإنجاز داخل حلقات السلسلة</w:t>
      </w:r>
      <w:r w:rsidRPr="008457E0">
        <w:rPr>
          <w:rFonts w:ascii="Simplified Arabic" w:eastAsia="Times New Roman" w:hAnsi="Simplified Arabic" w:cs="Simplified Arabic"/>
          <w:kern w:val="0"/>
          <w:sz w:val="28"/>
          <w:szCs w:val="28"/>
          <w14:ligatures w14:val="none"/>
        </w:rPr>
        <w:t>.</w:t>
      </w:r>
    </w:p>
    <w:p w14:paraId="32033FEB" w14:textId="171A1851"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كما يُؤكد </w:t>
      </w:r>
      <w:r w:rsidRPr="008457E0">
        <w:rPr>
          <w:rFonts w:ascii="Simplified Arabic" w:eastAsia="Times New Roman" w:hAnsi="Simplified Arabic" w:cs="Simplified Arabic"/>
          <w:kern w:val="0"/>
          <w:sz w:val="28"/>
          <w:szCs w:val="28"/>
          <w14:ligatures w14:val="none"/>
        </w:rPr>
        <w:t>(</w:t>
      </w:r>
      <w:proofErr w:type="spellStart"/>
      <w:r w:rsidRPr="008457E0">
        <w:rPr>
          <w:rFonts w:ascii="Simplified Arabic" w:eastAsia="Times New Roman" w:hAnsi="Simplified Arabic" w:cs="Simplified Arabic"/>
          <w:kern w:val="0"/>
          <w:sz w:val="28"/>
          <w:szCs w:val="28"/>
          <w14:ligatures w14:val="none"/>
        </w:rPr>
        <w:t>Tyapukhin</w:t>
      </w:r>
      <w:proofErr w:type="spellEnd"/>
      <w:r w:rsidRPr="008457E0">
        <w:rPr>
          <w:rFonts w:ascii="Simplified Arabic" w:eastAsia="Times New Roman" w:hAnsi="Simplified Arabic" w:cs="Simplified Arabic"/>
          <w:kern w:val="0"/>
          <w:sz w:val="28"/>
          <w:szCs w:val="28"/>
          <w14:ligatures w14:val="none"/>
        </w:rPr>
        <w:t xml:space="preserve">, 2023) </w:t>
      </w:r>
      <w:r w:rsidRPr="008457E0">
        <w:rPr>
          <w:rFonts w:ascii="Simplified Arabic" w:eastAsia="Times New Roman" w:hAnsi="Simplified Arabic" w:cs="Simplified Arabic"/>
          <w:kern w:val="0"/>
          <w:sz w:val="28"/>
          <w:szCs w:val="28"/>
          <w:rtl/>
          <w14:ligatures w14:val="none"/>
        </w:rPr>
        <w:t>أن المحددات الهيكلية والتنظيمية تحتل مكانة محورية في تحقيق كفاءة السلسلة، ويُحدّدها في</w:t>
      </w:r>
      <w:r w:rsidRPr="008457E0">
        <w:rPr>
          <w:rFonts w:ascii="Simplified Arabic" w:eastAsia="Times New Roman" w:hAnsi="Simplified Arabic" w:cs="Simplified Arabic"/>
          <w:kern w:val="0"/>
          <w:sz w:val="28"/>
          <w:szCs w:val="28"/>
          <w14:ligatures w14:val="none"/>
        </w:rPr>
        <w:t>:</w:t>
      </w:r>
    </w:p>
    <w:p w14:paraId="41B7DD82" w14:textId="5F23ABF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إزالة الحواجز الوظيفية بين الوحدات التنظيمية وإعادة التوزيع العقلاني للصلاحيات والمسؤوليات، وهو شرط بنيوي لتقليل الفاقد وتحسين انسيابية تدفق المعلومات والموارد عبر حلقات السلسلة، إذ إن العزلة التنظيمية بين الإدارات تُنشئ مناطق رمادية تتراكم فيها الأخطاء وتتعطل فيها العمليات</w:t>
      </w:r>
      <w:r w:rsidRPr="008457E0">
        <w:rPr>
          <w:rFonts w:ascii="Simplified Arabic" w:eastAsia="Times New Roman" w:hAnsi="Simplified Arabic" w:cs="Simplified Arabic"/>
          <w:kern w:val="0"/>
          <w:sz w:val="28"/>
          <w:szCs w:val="28"/>
          <w14:ligatures w14:val="none"/>
        </w:rPr>
        <w:t>.</w:t>
      </w:r>
    </w:p>
    <w:p w14:paraId="45B9947A" w14:textId="7689536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إطار مفاهيمي ومصطلحي موحد لإدارة السلاسل المختلفة داخل المؤسسة، لأن غياب هذا الإطار يُفضي إلى سوء فهم متبادل بين الإدارات وتضارب في تحديد الأولويات وتفسير المؤشرات، مما يُضعف قدرة السلسلة على تحقيق أهدافها الاستراتيجية</w:t>
      </w:r>
      <w:r w:rsidRPr="008457E0">
        <w:rPr>
          <w:rFonts w:ascii="Simplified Arabic" w:eastAsia="Times New Roman" w:hAnsi="Simplified Arabic" w:cs="Simplified Arabic"/>
          <w:kern w:val="0"/>
          <w:sz w:val="28"/>
          <w:szCs w:val="28"/>
          <w14:ligatures w14:val="none"/>
        </w:rPr>
        <w:t>.</w:t>
      </w:r>
    </w:p>
    <w:p w14:paraId="7B81D466" w14:textId="0D51C8D3"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التمييز الواضح بين أنواع السلاسل المختلفة وهي سلسلة القيمة وسلسلة الإمداد وسلسلة الابتكار وسلسلة الطلب، لأن كل نوع يستلزم مؤشرات قياس مختلفة وأساليب إدارية متباينة، والخلط بينها يؤدي حتماً إلى تطبيق ممارسات غير ملائمة تُضعف الكفاءة الكلية للمنظومة</w:t>
      </w:r>
      <w:r w:rsidRPr="008457E0">
        <w:rPr>
          <w:rFonts w:ascii="Simplified Arabic" w:eastAsia="Times New Roman" w:hAnsi="Simplified Arabic" w:cs="Simplified Arabic"/>
          <w:kern w:val="0"/>
          <w:sz w:val="28"/>
          <w:szCs w:val="28"/>
          <w14:ligatures w14:val="none"/>
        </w:rPr>
        <w:t>.</w:t>
      </w:r>
    </w:p>
    <w:p w14:paraId="2425800E" w14:textId="7F7EB672"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إعادة تصميم الهياكل التنظيمية على أساس تدفق القيمة لا على أساس التخصص الوظيفي التقليدي، بما يُمكّن من تتبع مسار القيمة عبر الحلقات المختلفة وتحديد نقاط الاختناق والفاقد بدقة أكبر، وتشجيع التعاون الأفقي بين الوحدات بدلاً من العمل في صوامع منعزلة</w:t>
      </w:r>
      <w:r w:rsidRPr="008457E0">
        <w:rPr>
          <w:rFonts w:ascii="Simplified Arabic" w:eastAsia="Times New Roman" w:hAnsi="Simplified Arabic" w:cs="Simplified Arabic"/>
          <w:kern w:val="0"/>
          <w:sz w:val="28"/>
          <w:szCs w:val="28"/>
          <w14:ligatures w14:val="none"/>
        </w:rPr>
        <w:t>.</w:t>
      </w:r>
    </w:p>
    <w:p w14:paraId="4790D8D7" w14:textId="7777777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ويُقرّر غدير وآخرون</w:t>
      </w:r>
      <w:r w:rsidRPr="008457E0">
        <w:rPr>
          <w:rFonts w:ascii="Simplified Arabic" w:eastAsia="Times New Roman" w:hAnsi="Simplified Arabic" w:cs="Simplified Arabic"/>
          <w:kern w:val="0"/>
          <w:sz w:val="28"/>
          <w:szCs w:val="28"/>
          <w14:ligatures w14:val="none"/>
        </w:rPr>
        <w:t xml:space="preserve"> (Ghadir et al., 2024) </w:t>
      </w:r>
      <w:r w:rsidRPr="008457E0">
        <w:rPr>
          <w:rFonts w:ascii="Simplified Arabic" w:eastAsia="Times New Roman" w:hAnsi="Simplified Arabic" w:cs="Simplified Arabic"/>
          <w:kern w:val="0"/>
          <w:sz w:val="28"/>
          <w:szCs w:val="28"/>
          <w:rtl/>
          <w14:ligatures w14:val="none"/>
        </w:rPr>
        <w:t>أن المحددات التقنية والرقمية تضع السقف الأعلى للتحسين الممكن في السلسلة، ويُحدّدونها في</w:t>
      </w:r>
      <w:r w:rsidRPr="008457E0">
        <w:rPr>
          <w:rFonts w:ascii="Simplified Arabic" w:eastAsia="Times New Roman" w:hAnsi="Simplified Arabic" w:cs="Simplified Arabic"/>
          <w:kern w:val="0"/>
          <w:sz w:val="28"/>
          <w:szCs w:val="28"/>
          <w14:ligatures w14:val="none"/>
        </w:rPr>
        <w:t>:</w:t>
      </w:r>
    </w:p>
    <w:p w14:paraId="1ADB8334" w14:textId="23C1F3CA"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نضج البنية التقنية الرقمية للمؤسسة من حيث المنصات الإلكترونية والحوسبة السحابية وأدوات التحليلات المتقدمة، فمهما بلغت جودة التصميم التنظيمي والإداري فإن افتقار المؤسسة إلى بنية رقمية ناضجة يحول دون تحقيق رؤية آنية شاملة لأداء السلسلة ويحرم صانع القرار من أدوات الرصد والتنبؤ</w:t>
      </w:r>
      <w:r w:rsidRPr="008457E0">
        <w:rPr>
          <w:rFonts w:ascii="Simplified Arabic" w:eastAsia="Times New Roman" w:hAnsi="Simplified Arabic" w:cs="Simplified Arabic"/>
          <w:kern w:val="0"/>
          <w:sz w:val="28"/>
          <w:szCs w:val="28"/>
          <w14:ligatures w14:val="none"/>
        </w:rPr>
        <w:t>.</w:t>
      </w:r>
    </w:p>
    <w:p w14:paraId="72452639" w14:textId="62B25237"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دمج نظم المعلومات داخل الأنشطة الأساسية لا بوصفها أنشطة داعمة منفصلة، مما يخلق تدفقاً غير متقطع بين مراحل المعالجة والاعتماد والتسليم ويُحوّل السلسلة من نموذج خطي تتابعي إلى منظومة قادرة على التكيف الذاتي المستمر مع المتغيرات</w:t>
      </w:r>
      <w:r w:rsidRPr="008457E0">
        <w:rPr>
          <w:rFonts w:ascii="Simplified Arabic" w:eastAsia="Times New Roman" w:hAnsi="Simplified Arabic" w:cs="Simplified Arabic"/>
          <w:kern w:val="0"/>
          <w:sz w:val="28"/>
          <w:szCs w:val="28"/>
          <w14:ligatures w14:val="none"/>
        </w:rPr>
        <w:t>.</w:t>
      </w:r>
    </w:p>
    <w:p w14:paraId="61D84BB8" w14:textId="6E08ECE8"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القدرة على التنبؤ بالاختناقات قبل وقوعها من خلال النماذج التحليلية التنبؤية التي ترصد الأنماط غير الطبيعية في تدفق العمليات وتُنبّه صانع القرار إلى مواطن الخلل المحتملة في مراحلها المبكرة قبل أن تتحول إلى أزمات تشغيلية</w:t>
      </w:r>
      <w:r w:rsidRPr="008457E0">
        <w:rPr>
          <w:rFonts w:ascii="Simplified Arabic" w:eastAsia="Times New Roman" w:hAnsi="Simplified Arabic" w:cs="Simplified Arabic"/>
          <w:kern w:val="0"/>
          <w:sz w:val="28"/>
          <w:szCs w:val="28"/>
          <w14:ligatures w14:val="none"/>
        </w:rPr>
        <w:t>.</w:t>
      </w:r>
    </w:p>
    <w:p w14:paraId="41DDCB27" w14:textId="677573D2"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جاهزية البيانات المؤسسية من حيث النظافة والاكتمال والتكامل والتحديث المستمر، لأن أدوات التحليل والذكاء الاصطناعي مهما بلغت تطورها لا يمكنها إنتاج مخرجات موثوقة إذا كانت البيانات المُغذية لها غير دقيقة أو منقوصة أو متقادمة</w:t>
      </w:r>
      <w:r w:rsidRPr="008457E0">
        <w:rPr>
          <w:rFonts w:ascii="Simplified Arabic" w:eastAsia="Times New Roman" w:hAnsi="Simplified Arabic" w:cs="Simplified Arabic"/>
          <w:kern w:val="0"/>
          <w:sz w:val="28"/>
          <w:szCs w:val="28"/>
          <w14:ligatures w14:val="none"/>
        </w:rPr>
        <w:t>.</w:t>
      </w:r>
    </w:p>
    <w:p w14:paraId="21DFB8AB" w14:textId="3A2793AF"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سا</w:t>
      </w:r>
      <w:r w:rsidR="008457E0">
        <w:rPr>
          <w:rFonts w:ascii="Simplified Arabic" w:eastAsia="Times New Roman" w:hAnsi="Simplified Arabic" w:cs="Simplified Arabic" w:hint="cs"/>
          <w:b/>
          <w:bCs/>
          <w:kern w:val="0"/>
          <w:sz w:val="28"/>
          <w:szCs w:val="28"/>
          <w:rtl/>
          <w14:ligatures w14:val="none"/>
        </w:rPr>
        <w:t>دس</w:t>
      </w:r>
      <w:r w:rsidRPr="00841847">
        <w:rPr>
          <w:rFonts w:ascii="Simplified Arabic" w:eastAsia="Times New Roman" w:hAnsi="Simplified Arabic" w:cs="Simplified Arabic"/>
          <w:b/>
          <w:bCs/>
          <w:kern w:val="0"/>
          <w:sz w:val="28"/>
          <w:szCs w:val="28"/>
          <w:rtl/>
          <w14:ligatures w14:val="none"/>
        </w:rPr>
        <w:t>اً: سلسلة القيمة التشغيلية في ضوء رؤية المملكة العربية السعودية 2030</w:t>
      </w:r>
    </w:p>
    <w:p w14:paraId="1EBC48E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تحتل سلسلة القيمة التشغيلية في المؤسسات الحكومية الكبرى موقعاً محورياً في منظومة رؤية 2030 للمملكة العربية السعودية، وبشكل خاص في محور "حكومة فاعلة" الذي يستهدف تحقيق نقلة نوعية في مستوى الخدمات الحكومية وكفاءتها التشغيلية بما يُنافس أفضل الممارسات العالمية. وقد أدركت القيادة السعودية في وقت مبكر أنّ تحقيق الأهداف الطموحة للرؤية يتطلب إعادة هندسة شاملة وعميقة لسلاسل القيمة التشغيلية في جميع المؤسسات الحكومية الكبرى، بحيث تتحول من نماذج بيروقراطية تقليدية تتمحور حول الإجراءات إلى منظومات رشيقة ومؤتمتة تتمحور حول المستفيد وتُدار بالبيانات والذكاء الاصطناعي</w:t>
      </w:r>
      <w:r w:rsidRPr="00841847">
        <w:rPr>
          <w:rFonts w:ascii="Simplified Arabic" w:eastAsia="Times New Roman" w:hAnsi="Simplified Arabic" w:cs="Simplified Arabic"/>
          <w:kern w:val="0"/>
          <w:sz w:val="28"/>
          <w:szCs w:val="28"/>
          <w14:ligatures w14:val="none"/>
        </w:rPr>
        <w:t>.</w:t>
      </w:r>
    </w:p>
    <w:p w14:paraId="38455731"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ويُشير</w:t>
      </w:r>
      <w:r w:rsidRPr="00841847">
        <w:rPr>
          <w:rFonts w:ascii="Simplified Arabic" w:eastAsia="Times New Roman" w:hAnsi="Simplified Arabic" w:cs="Simplified Arabic"/>
          <w:kern w:val="0"/>
          <w:sz w:val="28"/>
          <w:szCs w:val="28"/>
          <w14:ligatures w14:val="none"/>
        </w:rPr>
        <w:t xml:space="preserve"> (Naas &amp; </w:t>
      </w:r>
      <w:proofErr w:type="spellStart"/>
      <w:r w:rsidRPr="00841847">
        <w:rPr>
          <w:rFonts w:ascii="Simplified Arabic" w:eastAsia="Times New Roman" w:hAnsi="Simplified Arabic" w:cs="Simplified Arabic"/>
          <w:kern w:val="0"/>
          <w:sz w:val="28"/>
          <w:szCs w:val="28"/>
          <w14:ligatures w14:val="none"/>
        </w:rPr>
        <w:t>Berass</w:t>
      </w:r>
      <w:proofErr w:type="spellEnd"/>
      <w:r w:rsidRPr="00841847">
        <w:rPr>
          <w:rFonts w:ascii="Simplified Arabic" w:eastAsia="Times New Roman" w:hAnsi="Simplified Arabic" w:cs="Simplified Arabic"/>
          <w:kern w:val="0"/>
          <w:sz w:val="28"/>
          <w:szCs w:val="28"/>
          <w14:ligatures w14:val="none"/>
        </w:rPr>
        <w:t xml:space="preserve">, 2024) </w:t>
      </w:r>
      <w:r w:rsidRPr="00841847">
        <w:rPr>
          <w:rFonts w:ascii="Simplified Arabic" w:eastAsia="Times New Roman" w:hAnsi="Simplified Arabic" w:cs="Simplified Arabic"/>
          <w:kern w:val="0"/>
          <w:sz w:val="28"/>
          <w:szCs w:val="28"/>
          <w:rtl/>
          <w14:ligatures w14:val="none"/>
        </w:rPr>
        <w:t xml:space="preserve">إلى أنّ المؤسسات العامة الكبرى التي تنجح في تحسين سلاسل قيمتها هي تلك التي تتبنى مقاربة شاملة تجمع بين تحليل سلسلة القيمة والرقابة الإدارية الفعّالة والاستثمار في التحول الرقمي والتحسين المستمر للعمليات، وهي المقاربة ذاتها التي تتبناها المملكة من خلال برامجها التنفيذية المتعددة. فبرنامج التحول الوطني يستهدف رفع كفاءة الإنفاق الحكومي وتحسين مستوى الخدمات وتمكين القطاع الخاص من المشاركة في تقديمها، وهو ما يتطلب بالضرورة إعادة تصميم سلاسل القيمة الحكومية لتحديد الأنشطة التي يُمكن </w:t>
      </w:r>
      <w:proofErr w:type="spellStart"/>
      <w:r w:rsidRPr="00841847">
        <w:rPr>
          <w:rFonts w:ascii="Simplified Arabic" w:eastAsia="Times New Roman" w:hAnsi="Simplified Arabic" w:cs="Simplified Arabic"/>
          <w:kern w:val="0"/>
          <w:sz w:val="28"/>
          <w:szCs w:val="28"/>
          <w:rtl/>
          <w14:ligatures w14:val="none"/>
        </w:rPr>
        <w:t>أتمتتها</w:t>
      </w:r>
      <w:proofErr w:type="spellEnd"/>
      <w:r w:rsidRPr="00841847">
        <w:rPr>
          <w:rFonts w:ascii="Simplified Arabic" w:eastAsia="Times New Roman" w:hAnsi="Simplified Arabic" w:cs="Simplified Arabic"/>
          <w:kern w:val="0"/>
          <w:sz w:val="28"/>
          <w:szCs w:val="28"/>
          <w:rtl/>
          <w14:ligatures w14:val="none"/>
        </w:rPr>
        <w:t xml:space="preserve"> أو إسنادها للقطاع الخاص أو دمجها مع أنشطة أخرى. كما أنّ برنامج الحكومة الرقمية الذي يسعى لتقديم الغالبية العظمى من الخدمات الحكومية إلكترونياً يستلزم إعادة تشكيل حلقات السلسلة بأكملها لتتوافق مع البيئة الرقمية، وقد تجسّد هذا فعلياً في منصات مثل "توكلنا" التي أصبحت نقطة تقديم موحدة لخدمات متعددة من جهات حكومية مختلفة</w:t>
      </w:r>
      <w:r w:rsidRPr="00841847">
        <w:rPr>
          <w:rFonts w:ascii="Simplified Arabic" w:eastAsia="Times New Roman" w:hAnsi="Simplified Arabic" w:cs="Simplified Arabic"/>
          <w:kern w:val="0"/>
          <w:sz w:val="28"/>
          <w:szCs w:val="28"/>
          <w14:ligatures w14:val="none"/>
        </w:rPr>
        <w:t>.</w:t>
      </w:r>
    </w:p>
    <w:p w14:paraId="572EB46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ويرى</w:t>
      </w:r>
      <w:r w:rsidRPr="00841847">
        <w:rPr>
          <w:rFonts w:ascii="Simplified Arabic" w:eastAsia="Times New Roman" w:hAnsi="Simplified Arabic" w:cs="Simplified Arabic"/>
          <w:kern w:val="0"/>
          <w:sz w:val="28"/>
          <w:szCs w:val="28"/>
          <w14:ligatures w14:val="none"/>
        </w:rPr>
        <w:t xml:space="preserve"> (</w:t>
      </w:r>
      <w:proofErr w:type="spellStart"/>
      <w:r w:rsidRPr="00841847">
        <w:rPr>
          <w:rFonts w:ascii="Simplified Arabic" w:eastAsia="Times New Roman" w:hAnsi="Simplified Arabic" w:cs="Simplified Arabic"/>
          <w:kern w:val="0"/>
          <w:sz w:val="28"/>
          <w:szCs w:val="28"/>
          <w14:ligatures w14:val="none"/>
        </w:rPr>
        <w:t>Tyapukhin</w:t>
      </w:r>
      <w:proofErr w:type="spellEnd"/>
      <w:r w:rsidRPr="00841847">
        <w:rPr>
          <w:rFonts w:ascii="Simplified Arabic" w:eastAsia="Times New Roman" w:hAnsi="Simplified Arabic" w:cs="Simplified Arabic"/>
          <w:kern w:val="0"/>
          <w:sz w:val="28"/>
          <w:szCs w:val="28"/>
          <w14:ligatures w14:val="none"/>
        </w:rPr>
        <w:t xml:space="preserve">, 2023) </w:t>
      </w:r>
      <w:r w:rsidRPr="00841847">
        <w:rPr>
          <w:rFonts w:ascii="Simplified Arabic" w:eastAsia="Times New Roman" w:hAnsi="Simplified Arabic" w:cs="Simplified Arabic"/>
          <w:kern w:val="0"/>
          <w:sz w:val="28"/>
          <w:szCs w:val="28"/>
          <w:rtl/>
          <w14:ligatures w14:val="none"/>
        </w:rPr>
        <w:t xml:space="preserve">أنّ نجاح أي استراتيجية وطنية لتحسين سلاسل القيمة يتوقف على قدرة المؤسسات على التمييز بين أنواع السلاسل المختلفة وإدارة كل منها بالأسلوب المناسب، وهو ما ينطبق على التجربة السعودية التي تتطلب التمييز بين سلسلة قيمة الخدمة الحكومية التقليدية وسلسلة ابتكار الخدمات الجديدة وسلسلة إدارة الطلب المتنامي على الخدمات الرقمية. ويرتبط هذا بشكل مباشر بالاستراتيجية الوطنية للبيانات والذكاء الاصطناعي التي تقودها الهيئة السعودية للبيانات والذكاء </w:t>
      </w:r>
      <w:r w:rsidRPr="00841847">
        <w:rPr>
          <w:rFonts w:ascii="Simplified Arabic" w:eastAsia="Times New Roman" w:hAnsi="Simplified Arabic" w:cs="Simplified Arabic"/>
          <w:kern w:val="0"/>
          <w:sz w:val="28"/>
          <w:szCs w:val="28"/>
          <w:rtl/>
          <w14:ligatures w14:val="none"/>
        </w:rPr>
        <w:lastRenderedPageBreak/>
        <w:t>الاصطناعي (</w:t>
      </w:r>
      <w:proofErr w:type="spellStart"/>
      <w:r w:rsidRPr="00841847">
        <w:rPr>
          <w:rFonts w:ascii="Simplified Arabic" w:eastAsia="Times New Roman" w:hAnsi="Simplified Arabic" w:cs="Simplified Arabic"/>
          <w:kern w:val="0"/>
          <w:sz w:val="28"/>
          <w:szCs w:val="28"/>
          <w:rtl/>
          <w14:ligatures w14:val="none"/>
        </w:rPr>
        <w:t>سدايا</w:t>
      </w:r>
      <w:proofErr w:type="spellEnd"/>
      <w:r w:rsidRPr="00841847">
        <w:rPr>
          <w:rFonts w:ascii="Simplified Arabic" w:eastAsia="Times New Roman" w:hAnsi="Simplified Arabic" w:cs="Simplified Arabic"/>
          <w:kern w:val="0"/>
          <w:sz w:val="28"/>
          <w:szCs w:val="28"/>
          <w:rtl/>
          <w14:ligatures w14:val="none"/>
        </w:rPr>
        <w:t>) والتي تستهدف توظيف التقنيات المتقدمة في تحسين العمليات الحكومية عبر جميع حلقات السلسلة</w:t>
      </w:r>
      <w:r w:rsidRPr="00841847">
        <w:rPr>
          <w:rFonts w:ascii="Simplified Arabic" w:eastAsia="Times New Roman" w:hAnsi="Simplified Arabic" w:cs="Simplified Arabic"/>
          <w:kern w:val="0"/>
          <w:sz w:val="28"/>
          <w:szCs w:val="28"/>
          <w14:ligatures w14:val="none"/>
        </w:rPr>
        <w:t>.</w:t>
      </w:r>
    </w:p>
    <w:p w14:paraId="35CB9B0D"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ويُؤكد</w:t>
      </w:r>
      <w:r w:rsidRPr="00841847">
        <w:rPr>
          <w:rFonts w:ascii="Simplified Arabic" w:eastAsia="Times New Roman" w:hAnsi="Simplified Arabic" w:cs="Simplified Arabic"/>
          <w:kern w:val="0"/>
          <w:sz w:val="28"/>
          <w:szCs w:val="28"/>
          <w14:ligatures w14:val="none"/>
        </w:rPr>
        <w:t xml:space="preserve"> (Mboyo et al., 2025) </w:t>
      </w:r>
      <w:r w:rsidRPr="00841847">
        <w:rPr>
          <w:rFonts w:ascii="Simplified Arabic" w:eastAsia="Times New Roman" w:hAnsi="Simplified Arabic" w:cs="Simplified Arabic"/>
          <w:kern w:val="0"/>
          <w:sz w:val="28"/>
          <w:szCs w:val="28"/>
          <w:rtl/>
          <w14:ligatures w14:val="none"/>
        </w:rPr>
        <w:t xml:space="preserve">أنّ منهجية تحليل توزيع التكاليف التشغيلية عبر حلقات السلسلة تُوفّر أداة عملية بالغة القيمة لقياس مدى تقدّم المؤسسات الحكومية في تحقيق أهداف ترشيد الإنفاق المنصوص عليها في رؤية 2030. فمن خلال قياس تكلفة كل حلقة قبل التحسين وبعده يُمكن حساب العائد الفعلي لمبادرات التطوير </w:t>
      </w:r>
      <w:proofErr w:type="spellStart"/>
      <w:r w:rsidRPr="00841847">
        <w:rPr>
          <w:rFonts w:ascii="Simplified Arabic" w:eastAsia="Times New Roman" w:hAnsi="Simplified Arabic" w:cs="Simplified Arabic"/>
          <w:kern w:val="0"/>
          <w:sz w:val="28"/>
          <w:szCs w:val="28"/>
          <w:rtl/>
          <w14:ligatures w14:val="none"/>
        </w:rPr>
        <w:t>والرقمنة</w:t>
      </w:r>
      <w:proofErr w:type="spellEnd"/>
      <w:r w:rsidRPr="00841847">
        <w:rPr>
          <w:rFonts w:ascii="Simplified Arabic" w:eastAsia="Times New Roman" w:hAnsi="Simplified Arabic" w:cs="Simplified Arabic"/>
          <w:kern w:val="0"/>
          <w:sz w:val="28"/>
          <w:szCs w:val="28"/>
          <w:rtl/>
          <w14:ligatures w14:val="none"/>
        </w:rPr>
        <w:t xml:space="preserve"> بشكل موضوعي وقابل للمقارنة، مما يُعزّز المساءلة والشفافية ويُتيح اتخاذ قرارات استثمارية مبنية على أدلة ونتائج ملموسة وليس على تقديرات نظرية</w:t>
      </w:r>
      <w:r w:rsidRPr="00841847">
        <w:rPr>
          <w:rFonts w:ascii="Simplified Arabic" w:eastAsia="Times New Roman" w:hAnsi="Simplified Arabic" w:cs="Simplified Arabic"/>
          <w:kern w:val="0"/>
          <w:sz w:val="28"/>
          <w:szCs w:val="28"/>
          <w14:ligatures w14:val="none"/>
        </w:rPr>
        <w:t>.</w:t>
      </w:r>
    </w:p>
    <w:p w14:paraId="5F080E13"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ويُضيف</w:t>
      </w:r>
      <w:r w:rsidRPr="00841847">
        <w:rPr>
          <w:rFonts w:ascii="Simplified Arabic" w:eastAsia="Times New Roman" w:hAnsi="Simplified Arabic" w:cs="Simplified Arabic"/>
          <w:kern w:val="0"/>
          <w:sz w:val="28"/>
          <w:szCs w:val="28"/>
          <w14:ligatures w14:val="none"/>
        </w:rPr>
        <w:t xml:space="preserve"> (Ghadir et al., 2024) </w:t>
      </w:r>
      <w:r w:rsidRPr="00841847">
        <w:rPr>
          <w:rFonts w:ascii="Simplified Arabic" w:eastAsia="Times New Roman" w:hAnsi="Simplified Arabic" w:cs="Simplified Arabic"/>
          <w:kern w:val="0"/>
          <w:sz w:val="28"/>
          <w:szCs w:val="28"/>
          <w:rtl/>
          <w14:ligatures w14:val="none"/>
        </w:rPr>
        <w:t>أنّ سلسلة القيمة التشغيلية المدعومة بالذكاء الاصطناعي تُمثّل النموذج المستقبلي الذي تتجه نحوه المؤسسات الحكومية الرائدة عالمياً، وأنّ المملكة العربية السعودية — بما حققته من تقدم ملحوظ في مجال الذكاء الاصطناعي حيث صُنّفت ضمن أفضل خمس دول عالمياً في مؤشر الذكاء الاصطناعي العالمي لعام 2025</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تمتلك الأساس التقني والمؤسسي اللازم لتحقيق هذا النموذج على أرض الواقع</w:t>
      </w:r>
      <w:r w:rsidRPr="00841847">
        <w:rPr>
          <w:rFonts w:ascii="Simplified Arabic" w:eastAsia="Times New Roman" w:hAnsi="Simplified Arabic" w:cs="Simplified Arabic"/>
          <w:kern w:val="0"/>
          <w:sz w:val="28"/>
          <w:szCs w:val="28"/>
          <w14:ligatures w14:val="none"/>
        </w:rPr>
        <w:t xml:space="preserve">. </w:t>
      </w:r>
      <w:r w:rsidRPr="00841847">
        <w:rPr>
          <w:rFonts w:ascii="Simplified Arabic" w:eastAsia="Times New Roman" w:hAnsi="Simplified Arabic" w:cs="Simplified Arabic"/>
          <w:kern w:val="0"/>
          <w:sz w:val="28"/>
          <w:szCs w:val="28"/>
          <w:rtl/>
          <w14:ligatures w14:val="none"/>
        </w:rPr>
        <w:t>فكل بُعد من أبعاد سلسلة القيمة التشغيلية الأربعة يُمكن تعزيزه بتقنيات الذكاء الاصطناعي: فاللوجستيات الداخلية تستفيد من أنظمة التصنيف والتوجيه الآلي للطلبات، والعمليات التشغيلية الأساسية تستفيد من أنظمة دعم القرار والأتمتة الذكية، وتقديم الخدمات يستفيد من التخصيص الذكي لقنوات التسليم، وخدمات ما بعد التقديم تستفيد من الروبوتات الحوارية وأنظمة تحليل المشاعر والتنبؤ بالشكاوى</w:t>
      </w:r>
      <w:r w:rsidRPr="00841847">
        <w:rPr>
          <w:rFonts w:ascii="Simplified Arabic" w:eastAsia="Times New Roman" w:hAnsi="Simplified Arabic" w:cs="Simplified Arabic"/>
          <w:kern w:val="0"/>
          <w:sz w:val="28"/>
          <w:szCs w:val="28"/>
          <w14:ligatures w14:val="none"/>
        </w:rPr>
        <w:t>.</w:t>
      </w:r>
    </w:p>
    <w:p w14:paraId="5310CC43" w14:textId="77777777" w:rsid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841847">
        <w:rPr>
          <w:rFonts w:ascii="Simplified Arabic" w:eastAsia="Times New Roman" w:hAnsi="Simplified Arabic" w:cs="Simplified Arabic"/>
          <w:kern w:val="0"/>
          <w:sz w:val="28"/>
          <w:szCs w:val="28"/>
          <w:rtl/>
          <w14:ligatures w14:val="none"/>
        </w:rPr>
        <w:t>وبذلك يتّضح أنّ العلاقة بين سلسلة القيمة التشغيلية ورؤية 2030 ليست علاقة عرضية أو ثانوية، بل هي علاقة عضوية وبنيوية، إذ تُمثّل سلسلة القيمة المُحسَّنة والمدعومة بالتقنيات الذكية الآلية التنفيذية التي تتحول من خلالها الأهداف الاستراتيجية للرؤية إلى واقع ملموس يشعر به المواطن والمقيم في تعاملاتهم اليومية مع المؤسسات الحكومية. وهذا السياق الاستراتيجي هو ما يمنح هذه الدراسة أهميتها العلمية والعملية، حيث تسعى لاختبار تأثير تقنيات الذكاء الاصطناعي بأبعادها الأربعة — جمع البيانات ومعالجتها والنماذج التنبؤية والأتمتة الذكية وأنظمة دعم القرار — على سلسلة القيمة التشغيلية بأبعادها الأربعة</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اللوجستيات الداخلية والعمليات التشغيلية الأساسية وتقديم الخدمات وخدمات ما بعد التقديم — في المؤسسات الحكومية الكبرى بالمملكة العربية السعودية</w:t>
      </w:r>
      <w:r w:rsidRPr="00841847">
        <w:rPr>
          <w:rFonts w:ascii="Simplified Arabic" w:eastAsia="Times New Roman" w:hAnsi="Simplified Arabic" w:cs="Simplified Arabic"/>
          <w:kern w:val="0"/>
          <w:sz w:val="28"/>
          <w:szCs w:val="28"/>
          <w14:ligatures w14:val="none"/>
        </w:rPr>
        <w:t>.</w:t>
      </w:r>
    </w:p>
    <w:p w14:paraId="0298B86A" w14:textId="0BBF726B"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lastRenderedPageBreak/>
        <w:t>شكل (4) حلقات سلسلة القيمة التشغيلية في المؤسسات الحكومية</w:t>
      </w:r>
    </w:p>
    <w:p w14:paraId="278E83C7" w14:textId="244EA02C"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drawing>
          <wp:inline distT="0" distB="0" distL="0" distR="0" wp14:anchorId="26B80B0B" wp14:editId="0D51F11C">
            <wp:extent cx="5731510" cy="3680460"/>
            <wp:effectExtent l="0" t="0" r="2540" b="0"/>
            <wp:docPr id="76314013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80460"/>
                    </a:xfrm>
                    <a:prstGeom prst="rect">
                      <a:avLst/>
                    </a:prstGeom>
                    <a:noFill/>
                    <a:ln>
                      <a:noFill/>
                    </a:ln>
                  </pic:spPr>
                </pic:pic>
              </a:graphicData>
            </a:graphic>
          </wp:inline>
        </w:drawing>
      </w:r>
    </w:p>
    <w:p w14:paraId="1AFCF5E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1C08943"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0DE45C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555B6F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B7AA35B"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91CFB2A"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A98143F"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المبحث الثالث</w:t>
      </w:r>
    </w:p>
    <w:p w14:paraId="174DA056"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العلاقة بين الذكاء الاصطناعي وسلسلة القيمة التشغيلية في المؤسسات الحكومية الكبرى</w:t>
      </w:r>
    </w:p>
    <w:p w14:paraId="180CC8D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تمهيد</w:t>
      </w:r>
    </w:p>
    <w:p w14:paraId="3D8223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 xml:space="preserve">يسعى هذا المبحث إلى تأصيل العلاقة النظرية بين المتغير المستقل للدراسة المتمثّل في الذكاء الاصطناعي والمتغير التابع المتمثّل في سلسلة القيمة التشغيلية، وذلك من خلال استقراء ما أفرزته الأدبيات الإدارية والتقنية المعاصرة من أُطر تفسيرية وتحليلية تكشف عن طبيعة هذه العلاقة ومساراتها واتجاهات تأثيرها. وتنبع أهمية هذا المبحث من كونه يُقدّم الجسر المفاهيمي الذي يربط بين الفصلين النظريين السابقين ويُمهّد لبناء الفرضيات واختبارها ميدانياً، انطلاقاً من أن الذكاء الاصطناعي لم يعد أداة تقنية </w:t>
      </w:r>
      <w:proofErr w:type="gramStart"/>
      <w:r w:rsidRPr="00AF0FC2">
        <w:rPr>
          <w:rFonts w:ascii="Simplified Arabic" w:eastAsia="Times New Roman" w:hAnsi="Simplified Arabic" w:cs="Simplified Arabic"/>
          <w:kern w:val="0"/>
          <w:sz w:val="28"/>
          <w:szCs w:val="28"/>
          <w:rtl/>
          <w14:ligatures w14:val="none"/>
        </w:rPr>
        <w:t>هامشية</w:t>
      </w:r>
      <w:proofErr w:type="gramEnd"/>
      <w:r w:rsidRPr="00AF0FC2">
        <w:rPr>
          <w:rFonts w:ascii="Simplified Arabic" w:eastAsia="Times New Roman" w:hAnsi="Simplified Arabic" w:cs="Simplified Arabic"/>
          <w:kern w:val="0"/>
          <w:sz w:val="28"/>
          <w:szCs w:val="28"/>
          <w:rtl/>
          <w14:ligatures w14:val="none"/>
        </w:rPr>
        <w:t xml:space="preserve"> بل تحوّل إلى قوة تحويلية بنيوية قادرة على إعادة تشكيل المنطق التشغيلي لسلسلة القيمة في المؤسسات الحكومية الكبرى</w:t>
      </w:r>
      <w:r w:rsidRPr="00AF0FC2">
        <w:rPr>
          <w:rFonts w:ascii="Simplified Arabic" w:eastAsia="Times New Roman" w:hAnsi="Simplified Arabic" w:cs="Simplified Arabic"/>
          <w:kern w:val="0"/>
          <w:sz w:val="28"/>
          <w:szCs w:val="28"/>
          <w14:ligatures w14:val="none"/>
        </w:rPr>
        <w:t>.</w:t>
      </w:r>
    </w:p>
    <w:p w14:paraId="14F85E4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أولاً: الأساس النظري للعلاقة بين المتغيرين</w:t>
      </w:r>
    </w:p>
    <w:p w14:paraId="17451A3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تستند العلاقة بين الذكاء الاصطناعي وسلسلة القيمة التشغيلية إلى عدد من المرتكزات النظرية التي تناولتها الأدبيات من زوايا متكاملة. فقد أوضح غدير وآخرون أن الذكاء الاصطناعي يُعيد تعريف مفهوم القيمة ذاته داخل السلسلة، حيث لم تعد القيمة تقتصر على مجرد تحويل المدخلات إلى مخرجات بأقل تكلفة ممكنة، بل أصبحت تتضمن بُعداً تنبؤياً واستباقياً يجعل السلسلة قادرة على استشراف احتياجات المستفيدين قبل أن يُعبّروا عنها صراحةً، وتصميم استجابات مُخصصة تتجاوز حدود التوقعات المعتادة. وهذا التحوّل في مفهوم القيمة يستتبع بالضرورة تحوّلاً موازياً في البنية الداخلية للسلسلة ومنطق عملها وأساليب قياس أدائها</w:t>
      </w:r>
      <w:r w:rsidRPr="00AF0FC2">
        <w:rPr>
          <w:rFonts w:ascii="Simplified Arabic" w:eastAsia="Times New Roman" w:hAnsi="Simplified Arabic" w:cs="Simplified Arabic"/>
          <w:kern w:val="0"/>
          <w:sz w:val="28"/>
          <w:szCs w:val="28"/>
          <w14:ligatures w14:val="none"/>
        </w:rPr>
        <w:t xml:space="preserve"> (Ghadir et al., 2024).</w:t>
      </w:r>
    </w:p>
    <w:p w14:paraId="510B7CB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ويُضيف غدير وآخرون أن الذكاء الاصطناعي يُحوّل طبيعة الروابط بين حلقات السلسلة من علاقة تتابعية خطية ينتقل فيها العمل من حلقة إلى أخرى في اتجاه واحد، إلى علاقة شبكية ديناميكية تتدفق فيها المعلومات والتغذية الراجعة بصورة آنية ومتزامنة بين جميع الحلقات</w:t>
      </w:r>
      <w:r w:rsidRPr="00AF0FC2">
        <w:rPr>
          <w:rFonts w:ascii="Simplified Arabic" w:eastAsia="Times New Roman" w:hAnsi="Simplified Arabic" w:cs="Simplified Arabic"/>
          <w:kern w:val="0"/>
          <w:sz w:val="28"/>
          <w:szCs w:val="28"/>
          <w14:ligatures w14:val="none"/>
        </w:rPr>
        <w:t xml:space="preserve">. </w:t>
      </w:r>
      <w:r w:rsidRPr="00AF0FC2">
        <w:rPr>
          <w:rFonts w:ascii="Simplified Arabic" w:eastAsia="Times New Roman" w:hAnsi="Simplified Arabic" w:cs="Simplified Arabic"/>
          <w:kern w:val="0"/>
          <w:sz w:val="28"/>
          <w:szCs w:val="28"/>
          <w:rtl/>
          <w14:ligatures w14:val="none"/>
        </w:rPr>
        <w:t>وهذا يعني أن كل حلقة تغدو قادرة على التكيف اللحظي مع أي تغيّر يطرأ على الحلقات الأخرى دون الحاجة إلى انتظار دورات مراجعة تقليدية تستهلك الوقت وتُبطئ الاستجابة. كما أن تقنيات الذكاء الاصطناعي من معالجة اللغة الطبيعية وتعلّم آلي وتوائم رقمية تندمج تدريجياً في صميم الأنشطة الأساسية للسلسلة، مما يُذوّب الحدود الفاصلة التقليدية بين الأنشطة الأساسية والأنشطة الداعمة ويُعيد تشكيل هندسة السلسلة بأكملها</w:t>
      </w:r>
      <w:r w:rsidRPr="00AF0FC2">
        <w:rPr>
          <w:rFonts w:ascii="Simplified Arabic" w:eastAsia="Times New Roman" w:hAnsi="Simplified Arabic" w:cs="Simplified Arabic"/>
          <w:kern w:val="0"/>
          <w:sz w:val="28"/>
          <w:szCs w:val="28"/>
          <w14:ligatures w14:val="none"/>
        </w:rPr>
        <w:t xml:space="preserve"> (Ghadir et al., 2024).</w:t>
      </w:r>
    </w:p>
    <w:p w14:paraId="40BC059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 xml:space="preserve">ومن جانبه يُؤكد </w:t>
      </w:r>
      <w:proofErr w:type="spellStart"/>
      <w:r w:rsidRPr="00AF0FC2">
        <w:rPr>
          <w:rFonts w:ascii="Simplified Arabic" w:eastAsia="Times New Roman" w:hAnsi="Simplified Arabic" w:cs="Simplified Arabic"/>
          <w:kern w:val="0"/>
          <w:sz w:val="28"/>
          <w:szCs w:val="28"/>
          <w:rtl/>
          <w14:ligatures w14:val="none"/>
        </w:rPr>
        <w:t>تيابوخين</w:t>
      </w:r>
      <w:proofErr w:type="spellEnd"/>
      <w:r w:rsidRPr="00AF0FC2">
        <w:rPr>
          <w:rFonts w:ascii="Simplified Arabic" w:eastAsia="Times New Roman" w:hAnsi="Simplified Arabic" w:cs="Simplified Arabic"/>
          <w:kern w:val="0"/>
          <w:sz w:val="28"/>
          <w:szCs w:val="28"/>
          <w:rtl/>
          <w14:ligatures w14:val="none"/>
        </w:rPr>
        <w:t xml:space="preserve"> أن الذكاء الاصطناعي يُسهم في معالجة واحدة من أعمق الإشكاليات البنيوية التي تُعيق كفاءة سلسلة القيمة في المؤسسات الكبرى، وهي الحواجز الوظيفية بين الوحدات التنظيمية. فمن خلال إنشاء فضاءات معلوماتية ذكية مشتركة تتدفق عبرها البيانات بسلاسة، يُمكن للذكاء الاصطناعي أن يُحوّل الوحدات التنظيمية المنعزلة إلى منظومة متكاملة يتشارك أعضاؤها الرؤية والمعلومات والمؤشرات ضمن إطار مفاهيمي موحد. وهذا التكامل المعلوماتي يُمكّن المؤسسة أيضاً من التمييز الدقيق بين أنواع السلاسل المختلفة داخلها وتطبيق مقاييس الأداء الملائمة لكل نوع، بدلاً من إخضاع جميع العمليات لمنطق إداري واحد قد لا يتناسب مع طبيعتها</w:t>
      </w:r>
      <w:r w:rsidRPr="00AF0FC2">
        <w:rPr>
          <w:rFonts w:ascii="Simplified Arabic" w:eastAsia="Times New Roman" w:hAnsi="Simplified Arabic" w:cs="Simplified Arabic"/>
          <w:kern w:val="0"/>
          <w:sz w:val="28"/>
          <w:szCs w:val="28"/>
          <w14:ligatures w14:val="none"/>
        </w:rPr>
        <w:t xml:space="preserve"> (</w:t>
      </w:r>
      <w:proofErr w:type="spellStart"/>
      <w:r w:rsidRPr="00AF0FC2">
        <w:rPr>
          <w:rFonts w:ascii="Simplified Arabic" w:eastAsia="Times New Roman" w:hAnsi="Simplified Arabic" w:cs="Simplified Arabic"/>
          <w:kern w:val="0"/>
          <w:sz w:val="28"/>
          <w:szCs w:val="28"/>
          <w14:ligatures w14:val="none"/>
        </w:rPr>
        <w:t>Tyapukhin</w:t>
      </w:r>
      <w:proofErr w:type="spellEnd"/>
      <w:r w:rsidRPr="00AF0FC2">
        <w:rPr>
          <w:rFonts w:ascii="Simplified Arabic" w:eastAsia="Times New Roman" w:hAnsi="Simplified Arabic" w:cs="Simplified Arabic"/>
          <w:kern w:val="0"/>
          <w:sz w:val="28"/>
          <w:szCs w:val="28"/>
          <w14:ligatures w14:val="none"/>
        </w:rPr>
        <w:t>, 2023).</w:t>
      </w:r>
    </w:p>
    <w:p w14:paraId="1DFE29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ثانياً: أثر الذكاء الاصطناعي على حلقات سلسلة القيمة التشغيلية</w:t>
      </w:r>
    </w:p>
    <w:p w14:paraId="3A801792"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تتجلّى العلاقة بين المتغيرين بصورة أكثر وضوحاً حين يُحلّل أثر الذكاء الاصطناعي على كل حلقة من حلقات سلسلة القيمة التشغيلية في السياق الحكومي. فعلى مستوى حلقة اللوجستيات الداخلية المتمثلة في استقبال طلبات المستفيدين وتصنيفها وتوجيهها، يُمكن للذكاء الاصطناعي أن يُحدث نقلة نوعية من خلال أنظمة التصنيف الذكي التي تُحلّل مضمون الطلب وتُحدّد مساره التشغيلي الأمثل بشكل تلقائي، وهو ما يختصر الزمن ويُقلّص الأخطاء الناجمة عن التصنيف اليدوي ويُحسّن توزيع أعباء العمل على الوحدات المعنية</w:t>
      </w:r>
      <w:r w:rsidRPr="00AF0FC2">
        <w:rPr>
          <w:rFonts w:ascii="Simplified Arabic" w:eastAsia="Times New Roman" w:hAnsi="Simplified Arabic" w:cs="Simplified Arabic"/>
          <w:kern w:val="0"/>
          <w:sz w:val="28"/>
          <w:szCs w:val="28"/>
          <w14:ligatures w14:val="none"/>
        </w:rPr>
        <w:t xml:space="preserve"> (Ghadir et al., 2024).</w:t>
      </w:r>
    </w:p>
    <w:p w14:paraId="5F1507C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العمليات التشغيلية الأساسية التي تتضمن المعالجة والتدقيق والاعتماد، فإن نعاس وبراس يُوضّحان أن دمج الذكاء الاصطناعي مع منظومة الرقابة الإدارية يُحوّلها من نموذج رصد لاحق يكتشف الانحرافات بعد وقوعها إلى نموذج استباقي يتنبأ بالإشكاليات قبل حدوثها ويُطلق إجراءات تصحيحية آلية. وهذا التحوّل في طبيعة الرقابة يرفع مستوى الأداء المالي ويُحسّن هيكل التكاليف ويُعزّز جودة القرارات المتخذة عبر مسار المعالجة بأكمله. كما أن أتمتة عمليات الرقابة النوعية بتقنيات الذكاء الاصطناعي تُتيح فحص مخرجات كل مرحلة بشكل شامل ومستمر بدلاً من الاكتفاء بالعينات العشوائية، مما يرفع مستوى الالتزام بمعايير الجودة ويُقلّص الأخطاء البشرية إلى حدودها الدنيا</w:t>
      </w:r>
      <w:r w:rsidRPr="00AF0FC2">
        <w:rPr>
          <w:rFonts w:ascii="Simplified Arabic" w:eastAsia="Times New Roman" w:hAnsi="Simplified Arabic" w:cs="Simplified Arabic"/>
          <w:kern w:val="0"/>
          <w:sz w:val="28"/>
          <w:szCs w:val="28"/>
          <w14:ligatures w14:val="none"/>
        </w:rPr>
        <w:t xml:space="preserve">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w:t>
      </w:r>
    </w:p>
    <w:p w14:paraId="44D8C2B9"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وعلى مستوى حلقة تقديم الخدمات وإيصالها للمستفيدين، فإن الذكاء الاصطناعي يُعزّز قدرة المؤسسة على تقديم خدمات متعددة القنوات تتسم بالدقة والسرعة والتخصيص. فمن خلال تحليل أنماط تفاعل المستفيدين وتفضيلاتهم، تستطيع الخوارزميات الذكية توجيه كل مستفيد نحو القناة الأنسب لحالته وتقديم استجابة </w:t>
      </w:r>
      <w:r w:rsidRPr="00AF0FC2">
        <w:rPr>
          <w:rFonts w:ascii="Simplified Arabic" w:eastAsia="Times New Roman" w:hAnsi="Simplified Arabic" w:cs="Simplified Arabic"/>
          <w:kern w:val="0"/>
          <w:sz w:val="28"/>
          <w:szCs w:val="28"/>
          <w:rtl/>
          <w14:ligatures w14:val="none"/>
        </w:rPr>
        <w:lastRenderedPageBreak/>
        <w:t xml:space="preserve">مُخصصة تُراعي سياقه الفردي. وهذا ما يُؤكده </w:t>
      </w:r>
      <w:proofErr w:type="spellStart"/>
      <w:r w:rsidRPr="00AF0FC2">
        <w:rPr>
          <w:rFonts w:ascii="Simplified Arabic" w:eastAsia="Times New Roman" w:hAnsi="Simplified Arabic" w:cs="Simplified Arabic"/>
          <w:kern w:val="0"/>
          <w:sz w:val="28"/>
          <w:szCs w:val="28"/>
          <w:rtl/>
          <w14:ligatures w14:val="none"/>
        </w:rPr>
        <w:t>وانجاي</w:t>
      </w:r>
      <w:proofErr w:type="spellEnd"/>
      <w:r w:rsidRPr="00AF0FC2">
        <w:rPr>
          <w:rFonts w:ascii="Simplified Arabic" w:eastAsia="Times New Roman" w:hAnsi="Simplified Arabic" w:cs="Simplified Arabic"/>
          <w:kern w:val="0"/>
          <w:sz w:val="28"/>
          <w:szCs w:val="28"/>
          <w:rtl/>
          <w14:ligatures w14:val="none"/>
        </w:rPr>
        <w:t xml:space="preserve"> </w:t>
      </w:r>
      <w:proofErr w:type="spellStart"/>
      <w:r w:rsidRPr="00AF0FC2">
        <w:rPr>
          <w:rFonts w:ascii="Simplified Arabic" w:eastAsia="Times New Roman" w:hAnsi="Simplified Arabic" w:cs="Simplified Arabic"/>
          <w:kern w:val="0"/>
          <w:sz w:val="28"/>
          <w:szCs w:val="28"/>
          <w:rtl/>
          <w14:ligatures w14:val="none"/>
        </w:rPr>
        <w:t>وأوسورو</w:t>
      </w:r>
      <w:proofErr w:type="spellEnd"/>
      <w:r w:rsidRPr="00AF0FC2">
        <w:rPr>
          <w:rFonts w:ascii="Simplified Arabic" w:eastAsia="Times New Roman" w:hAnsi="Simplified Arabic" w:cs="Simplified Arabic"/>
          <w:kern w:val="0"/>
          <w:sz w:val="28"/>
          <w:szCs w:val="28"/>
          <w:rtl/>
          <w14:ligatures w14:val="none"/>
        </w:rPr>
        <w:t xml:space="preserve"> حين يُشيران إلى أن دمج تقنية المعلومات في رسم خرائط العمليات التشغيلية يُعدّل العلاقة بين كفاءة التشغيل والأداء المؤسسي تعديلاً جوهرياً، حيث ترتفع القدرة التفسيرية للنموذج بصورة ملحوظة عند إدخال متغير التكامل التقني</w:t>
      </w:r>
      <w:r w:rsidRPr="00AF0FC2">
        <w:rPr>
          <w:rFonts w:ascii="Simplified Arabic" w:eastAsia="Times New Roman" w:hAnsi="Simplified Arabic" w:cs="Simplified Arabic"/>
          <w:kern w:val="0"/>
          <w:sz w:val="28"/>
          <w:szCs w:val="28"/>
          <w14:ligatures w14:val="none"/>
        </w:rPr>
        <w:t xml:space="preserve"> (Wangai &amp; Osoro, 2026).</w:t>
      </w:r>
    </w:p>
    <w:p w14:paraId="4AB3141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خدمات ما بعد التقديم المتضمنة لمعالجة الشكاوى وجمع التغذية الراجعة والمتابعة المستمرة، فإن الذكاء الاصطناعي يُوفّر إمكانات غير مسبوقة من خلال أنظمة المحادثة الذكية التي تستقبل استفسارات المستفيدين وشكاواهم على مدار الساعة وتُصنّفها وتُوجّهها تلقائياً، إضافة إلى أدوات تحليل المشاعر التي ترصد مستوى رضا المتعاملين من خلال تحليل نصوصهم وتعبيراتهم وتُنبّه الإدارة إلى أي تراجع في مؤشرات الرضا في مراحله المبكرة</w:t>
      </w:r>
      <w:r w:rsidRPr="00AF0FC2">
        <w:rPr>
          <w:rFonts w:ascii="Simplified Arabic" w:eastAsia="Times New Roman" w:hAnsi="Simplified Arabic" w:cs="Simplified Arabic"/>
          <w:kern w:val="0"/>
          <w:sz w:val="28"/>
          <w:szCs w:val="28"/>
          <w14:ligatures w14:val="none"/>
        </w:rPr>
        <w:t xml:space="preserve"> (Ghadir et al., 2024).</w:t>
      </w:r>
    </w:p>
    <w:p w14:paraId="22DA890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ثالثاً: الذكاء الاصطناعي بوصفه مُعزّزاً لمحددات كفاءة السلسلة</w:t>
      </w:r>
    </w:p>
    <w:p w14:paraId="34C74FE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لا تقتصر العلاقة بين المتغيرين على التأثير المباشر في حلقات السلسلة، بل تمتد لتشمل تعزيز المحددات الهيكلية </w:t>
      </w:r>
      <w:proofErr w:type="spellStart"/>
      <w:r w:rsidRPr="00AF0FC2">
        <w:rPr>
          <w:rFonts w:ascii="Simplified Arabic" w:eastAsia="Times New Roman" w:hAnsi="Simplified Arabic" w:cs="Simplified Arabic"/>
          <w:kern w:val="0"/>
          <w:sz w:val="28"/>
          <w:szCs w:val="28"/>
          <w:rtl/>
          <w14:ligatures w14:val="none"/>
        </w:rPr>
        <w:t>والتكاليفية</w:t>
      </w:r>
      <w:proofErr w:type="spellEnd"/>
      <w:r w:rsidRPr="00AF0FC2">
        <w:rPr>
          <w:rFonts w:ascii="Simplified Arabic" w:eastAsia="Times New Roman" w:hAnsi="Simplified Arabic" w:cs="Simplified Arabic"/>
          <w:kern w:val="0"/>
          <w:sz w:val="28"/>
          <w:szCs w:val="28"/>
          <w:rtl/>
          <w14:ligatures w14:val="none"/>
        </w:rPr>
        <w:t xml:space="preserve"> والتنظيمية التي تُشكّل البيئة التمكينية لكفاءة السلسلة بأكملها. </w:t>
      </w:r>
      <w:proofErr w:type="gramStart"/>
      <w:r w:rsidRPr="00AF0FC2">
        <w:rPr>
          <w:rFonts w:ascii="Simplified Arabic" w:eastAsia="Times New Roman" w:hAnsi="Simplified Arabic" w:cs="Simplified Arabic"/>
          <w:kern w:val="0"/>
          <w:sz w:val="28"/>
          <w:szCs w:val="28"/>
          <w:rtl/>
          <w14:ligatures w14:val="none"/>
        </w:rPr>
        <w:t>ففي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يُبيّن </w:t>
      </w:r>
      <w:proofErr w:type="spellStart"/>
      <w:r w:rsidRPr="00AF0FC2">
        <w:rPr>
          <w:rFonts w:ascii="Simplified Arabic" w:eastAsia="Times New Roman" w:hAnsi="Simplified Arabic" w:cs="Simplified Arabic"/>
          <w:kern w:val="0"/>
          <w:sz w:val="28"/>
          <w:szCs w:val="28"/>
          <w:rtl/>
          <w14:ligatures w14:val="none"/>
        </w:rPr>
        <w:t>مبويو</w:t>
      </w:r>
      <w:proofErr w:type="spellEnd"/>
      <w:r w:rsidRPr="00AF0FC2">
        <w:rPr>
          <w:rFonts w:ascii="Simplified Arabic" w:eastAsia="Times New Roman" w:hAnsi="Simplified Arabic" w:cs="Simplified Arabic"/>
          <w:kern w:val="0"/>
          <w:sz w:val="28"/>
          <w:szCs w:val="28"/>
          <w:rtl/>
          <w14:ligatures w14:val="none"/>
        </w:rPr>
        <w:t xml:space="preserve"> وآخرون أن الذكاء الاصطناعي يُمكّن من رسم خريطة تفصيلية وآنية لتوزيع التكاليف التشغيلية على كل حلقة من حلقات السلسلة، بدلاً من الاعتماد على تقارير دورية متأخرة. كما تكشف خوارزميات التعلم الآلي عن علاقات خفية بين المتغيرات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قد لا تتبدّى للمحللين البشريين، وتُمكّن من بناء نماذج تنبؤية لاتجاهات التكاليف المستقبلية تُحوّل إدارة التكاليف من نشاط رقابي سلبي إلى أداة تخطيط استراتيجي فاعلة</w:t>
      </w:r>
      <w:r w:rsidRPr="00AF0FC2">
        <w:rPr>
          <w:rFonts w:ascii="Simplified Arabic" w:eastAsia="Times New Roman" w:hAnsi="Simplified Arabic" w:cs="Simplified Arabic"/>
          <w:kern w:val="0"/>
          <w:sz w:val="28"/>
          <w:szCs w:val="28"/>
          <w14:ligatures w14:val="none"/>
        </w:rPr>
        <w:t xml:space="preserve"> (Mboyo et al., 2025).</w:t>
      </w:r>
    </w:p>
    <w:p w14:paraId="5D50DE2E"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sidRPr="00AF0FC2">
        <w:rPr>
          <w:rFonts w:ascii="Simplified Arabic" w:eastAsia="Times New Roman" w:hAnsi="Simplified Arabic" w:cs="Simplified Arabic"/>
          <w:kern w:val="0"/>
          <w:sz w:val="28"/>
          <w:szCs w:val="28"/>
          <w:rtl/>
          <w14:ligatures w14:val="none"/>
        </w:rPr>
        <w:t>وفي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التنظيمية والثقافية، فإن </w:t>
      </w:r>
      <w:proofErr w:type="spellStart"/>
      <w:r w:rsidRPr="00AF0FC2">
        <w:rPr>
          <w:rFonts w:ascii="Simplified Arabic" w:eastAsia="Times New Roman" w:hAnsi="Simplified Arabic" w:cs="Simplified Arabic"/>
          <w:kern w:val="0"/>
          <w:sz w:val="28"/>
          <w:szCs w:val="28"/>
          <w:rtl/>
          <w14:ligatures w14:val="none"/>
        </w:rPr>
        <w:t>بامبريك</w:t>
      </w:r>
      <w:proofErr w:type="spellEnd"/>
      <w:r w:rsidRPr="00AF0FC2">
        <w:rPr>
          <w:rFonts w:ascii="Simplified Arabic" w:eastAsia="Times New Roman" w:hAnsi="Simplified Arabic" w:cs="Simplified Arabic"/>
          <w:kern w:val="0"/>
          <w:sz w:val="28"/>
          <w:szCs w:val="28"/>
          <w:rtl/>
          <w14:ligatures w14:val="none"/>
        </w:rPr>
        <w:t xml:space="preserve"> وآخرين يُؤكدون أن الذكاء الاصطناعي يُعزّز عوامل النجاح الحرجة لسلاسل القيمة وعلى رأسها الشفافية التي تُفسّر النسبة الأكبر من التباين في الأداء التشغيلي. فأدوات الذكاء الاصطناعي تُتيح رؤية شاملة وآنية لحركة العمليات عبر جميع حلقات السلسلة، مما يُعزّز ثقافة التكامل والتعاون بين الوحدات ويكشف أي انحراف أو تأخير في لحظة حدوثه. كما أن قدرة الذكاء الاصطناعي على الكشف المبكر عن التأخيرات المحتملة تُعدّ من أبرز عوامل النجاح في بُعد السرعة، حيث تُمكّن المؤسسة من اتخاذ إجراءات وقائية قبل أن تتحوّل المخاطر إلى أزمات تشغيلية فعلية</w:t>
      </w:r>
      <w:r w:rsidRPr="00AF0FC2">
        <w:rPr>
          <w:rFonts w:ascii="Simplified Arabic" w:eastAsia="Times New Roman" w:hAnsi="Simplified Arabic" w:cs="Simplified Arabic"/>
          <w:kern w:val="0"/>
          <w:sz w:val="28"/>
          <w:szCs w:val="28"/>
          <w14:ligatures w14:val="none"/>
        </w:rPr>
        <w:t xml:space="preserve"> (Bambrick et al., 2023).</w:t>
      </w:r>
    </w:p>
    <w:p w14:paraId="02686A5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 xml:space="preserve">وفي السياق ذاته يُشير جوزيف </w:t>
      </w:r>
      <w:proofErr w:type="spellStart"/>
      <w:r w:rsidRPr="00AF0FC2">
        <w:rPr>
          <w:rFonts w:ascii="Simplified Arabic" w:eastAsia="Times New Roman" w:hAnsi="Simplified Arabic" w:cs="Simplified Arabic"/>
          <w:kern w:val="0"/>
          <w:sz w:val="28"/>
          <w:szCs w:val="28"/>
          <w:rtl/>
          <w14:ligatures w14:val="none"/>
        </w:rPr>
        <w:t>وكوبيرغ</w:t>
      </w:r>
      <w:proofErr w:type="spellEnd"/>
      <w:r w:rsidRPr="00AF0FC2">
        <w:rPr>
          <w:rFonts w:ascii="Simplified Arabic" w:eastAsia="Times New Roman" w:hAnsi="Simplified Arabic" w:cs="Simplified Arabic"/>
          <w:kern w:val="0"/>
          <w:sz w:val="28"/>
          <w:szCs w:val="28"/>
          <w:rtl/>
          <w14:ligatures w14:val="none"/>
        </w:rPr>
        <w:t xml:space="preserve"> إلى أن نجاح سلسلة قيمة نظم المعلومات في القطاع الحكومي يرتبط بتحقق مجموعة من العوامل الحرجة أبرزها جودة النظام المعلوماتي وجودة المعلومات المُنتجة ورضا المستخدمين والمنفعة الشاملة. والذكاء الاصطناعي بطبيعته يُعزّز كل واحد من هذه العوامل، فهو يرفع جودة النظام من خلال الأتمتة الذكية، ويُحسّن جودة المعلومات من خلال تنقية البيانات وتحليلها، ويُعزّز رضا المستخدمين من خلال التخصيص والاستجابة الفورية، ويُعظّم المنفعة الشاملة من خلال ربط مخرجات السلسلة بعمليات صنع القرار بصورة مباشرة وفورية </w:t>
      </w:r>
      <w:r w:rsidRPr="00AF0FC2">
        <w:rPr>
          <w:rFonts w:ascii="Simplified Arabic" w:eastAsia="Times New Roman" w:hAnsi="Simplified Arabic" w:cs="Simplified Arabic"/>
          <w:kern w:val="0"/>
          <w:sz w:val="28"/>
          <w:szCs w:val="28"/>
          <w14:ligatures w14:val="none"/>
        </w:rPr>
        <w:t>(Joseph &amp; Koeberg, 2022).</w:t>
      </w:r>
    </w:p>
    <w:p w14:paraId="6AF0910B" w14:textId="4F28B78C" w:rsidR="00AF0FC2" w:rsidRPr="00AF0FC2"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 xml:space="preserve">يتضح من مجمل ما سبق أن العلاقة بين الذكاء الاصطناعي وسلسلة القيمة التشغيلية هي علاقة تأثير إيجابي متعدد المسارات والمستويات. فالذكاء الاصطناعي لا يُؤثّر في السلسلة من مدخل </w:t>
      </w:r>
      <w:proofErr w:type="gramStart"/>
      <w:r w:rsidR="00AF0FC2" w:rsidRPr="00AF0FC2">
        <w:rPr>
          <w:rFonts w:ascii="Simplified Arabic" w:eastAsia="Times New Roman" w:hAnsi="Simplified Arabic" w:cs="Simplified Arabic"/>
          <w:kern w:val="0"/>
          <w:sz w:val="28"/>
          <w:szCs w:val="28"/>
          <w:rtl/>
          <w14:ligatures w14:val="none"/>
        </w:rPr>
        <w:t>واحد</w:t>
      </w:r>
      <w:proofErr w:type="gramEnd"/>
      <w:r w:rsidR="00AF0FC2" w:rsidRPr="00AF0FC2">
        <w:rPr>
          <w:rFonts w:ascii="Simplified Arabic" w:eastAsia="Times New Roman" w:hAnsi="Simplified Arabic" w:cs="Simplified Arabic"/>
          <w:kern w:val="0"/>
          <w:sz w:val="28"/>
          <w:szCs w:val="28"/>
          <w:rtl/>
          <w14:ligatures w14:val="none"/>
        </w:rPr>
        <w:t xml:space="preserve"> بل يتغلغل في جميع حلقاتها ومحدداتها في آن واحد، مما يُحدث أثراً تراكمياً يتجاوز مجموع التأثيرات الجزئية. وهذه العلاقة ليست أحادية الاتجاه بالمعنى المطلق، إذ إن مستوى نضج سلسلة القيمة التشغيلية ذاتها يُؤثّر بدوره في قدرة المؤسسة على توظيف الذكاء الاصطناعي بفاعلية، فالسلسلة التي تفتقر إلى بيانات منظمة وعمليات موثقة وكوادر مؤهلة ستواجه صعوبات جوهرية في الاستفادة من تقنيات الذكاء الاصطناعي مهما بلغ تطورها</w:t>
      </w:r>
      <w:r w:rsidR="00AF0FC2" w:rsidRPr="00AF0FC2">
        <w:rPr>
          <w:rFonts w:ascii="Simplified Arabic" w:eastAsia="Times New Roman" w:hAnsi="Simplified Arabic" w:cs="Simplified Arabic"/>
          <w:kern w:val="0"/>
          <w:sz w:val="28"/>
          <w:szCs w:val="28"/>
          <w14:ligatures w14:val="none"/>
        </w:rPr>
        <w:t>.</w:t>
      </w:r>
    </w:p>
    <w:p w14:paraId="29F9406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غير أن الاتجاه الأساسي للعلاقة في سياق هذه الدراسة ينطلق من الذكاء الاصطناعي بوصفه متغيراً مستقلاً نحو سلسلة القيمة التشغيلية بوصفها متغيراً تابعاً، استناداً إلى أن الأدبيات المُستعرضة تُجمع على أن إدخال تقنيات الذكاء الاصطناعي في حلقات السلسلة يُفضي إلى تحسينات قابلة للقياس في الكفاءة التشغيلية وجودة المخرجات ورضا المستفيدين وسرعة الاستجابة وشفافية العمليات. وهو ما يتسق مع توجهات رؤية المملكة العربية السعودية 2030 التي تضع الذكاء الاصطناعي في صدارة أدوات تحقيق الحكومة الفاعلة والخدمات المتميزة</w:t>
      </w:r>
      <w:r w:rsidRPr="00AF0FC2">
        <w:rPr>
          <w:rFonts w:ascii="Simplified Arabic" w:eastAsia="Times New Roman" w:hAnsi="Simplified Arabic" w:cs="Simplified Arabic"/>
          <w:kern w:val="0"/>
          <w:sz w:val="28"/>
          <w:szCs w:val="28"/>
          <w14:ligatures w14:val="none"/>
        </w:rPr>
        <w:t xml:space="preserve"> (Ghadir et al., 2024;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 Bambrick et al., 2023).</w:t>
      </w:r>
    </w:p>
    <w:p w14:paraId="5A756087" w14:textId="77777777" w:rsidR="005C44E0" w:rsidRDefault="005C44E0" w:rsidP="00A5503B">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07EFAA5C" w14:textId="131C8123"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t>شكل (6) النموذج المفاهيمي المتكامل للعلاقة بين المتغيرين</w:t>
      </w:r>
    </w:p>
    <w:p w14:paraId="3689F078" w14:textId="77777777"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p>
    <w:p w14:paraId="3E220AE4" w14:textId="1EC1DBCE"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Pr>
          <w:noProof/>
        </w:rPr>
        <w:lastRenderedPageBreak/>
        <w:drawing>
          <wp:inline distT="0" distB="0" distL="0" distR="0" wp14:anchorId="1784ED2F" wp14:editId="08C206A5">
            <wp:extent cx="5731510" cy="4023360"/>
            <wp:effectExtent l="0" t="0" r="2540" b="0"/>
            <wp:docPr id="177619055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23360"/>
                    </a:xfrm>
                    <a:prstGeom prst="rect">
                      <a:avLst/>
                    </a:prstGeom>
                    <a:noFill/>
                    <a:ln>
                      <a:noFill/>
                    </a:ln>
                  </pic:spPr>
                </pic:pic>
              </a:graphicData>
            </a:graphic>
          </wp:inline>
        </w:drawing>
      </w:r>
    </w:p>
    <w:p w14:paraId="580C437E" w14:textId="0B60E4CD" w:rsidR="005C44E0" w:rsidRPr="005C44E0" w:rsidRDefault="005C44E0" w:rsidP="005C44E0">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5C44E0">
        <w:rPr>
          <w:rFonts w:ascii="Simplified Arabic" w:eastAsia="Times New Roman" w:hAnsi="Simplified Arabic" w:cs="Simplified Arabic"/>
          <w:b/>
          <w:bCs/>
          <w:kern w:val="0"/>
          <w:sz w:val="28"/>
          <w:szCs w:val="28"/>
          <w:rtl/>
          <w14:ligatures w14:val="none"/>
        </w:rPr>
        <w:t>لمصدر</w:t>
      </w:r>
      <w:r w:rsidRPr="005C44E0">
        <w:rPr>
          <w:rFonts w:ascii="Simplified Arabic" w:eastAsia="Times New Roman" w:hAnsi="Simplified Arabic" w:cs="Simplified Arabic"/>
          <w:b/>
          <w:bCs/>
          <w:kern w:val="0"/>
          <w:sz w:val="28"/>
          <w:szCs w:val="28"/>
          <w14:ligatures w14:val="none"/>
        </w:rPr>
        <w:t xml:space="preserve">: </w:t>
      </w:r>
      <w:r w:rsidRPr="005C44E0">
        <w:rPr>
          <w:rFonts w:ascii="Simplified Arabic" w:eastAsia="Times New Roman" w:hAnsi="Simplified Arabic" w:cs="Simplified Arabic"/>
          <w:b/>
          <w:bCs/>
          <w:kern w:val="0"/>
          <w:sz w:val="28"/>
          <w:szCs w:val="28"/>
          <w:rtl/>
          <w14:ligatures w14:val="none"/>
        </w:rPr>
        <w:t>من إعداد الباحثة بناءً على النموذج المفاهيمي للدراسة</w:t>
      </w:r>
      <w:r w:rsidRPr="005C44E0">
        <w:rPr>
          <w:rFonts w:ascii="Simplified Arabic" w:eastAsia="Times New Roman" w:hAnsi="Simplified Arabic" w:cs="Simplified Arabic"/>
          <w:b/>
          <w:bCs/>
          <w:kern w:val="0"/>
          <w:sz w:val="28"/>
          <w:szCs w:val="28"/>
          <w14:ligatures w14:val="none"/>
        </w:rPr>
        <w:t>.</w:t>
      </w:r>
    </w:p>
    <w:p w14:paraId="2C4210B4" w14:textId="6D119EF6" w:rsidR="00C47BC4"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 xml:space="preserve">ترى الباحثة أن العلاقة بين الذكاء الاصطناعي وسلسلة القيمة التشغيلية في المؤسسات الحكومية الكبرى بالمملكة العربية السعودية ليست علاقة خطية بسيطة يمكن اختزالها في معادلة سبب ونتيجة مباشرة، بل هي علاقة </w:t>
      </w:r>
      <w:proofErr w:type="spellStart"/>
      <w:r w:rsidR="00AF0FC2" w:rsidRPr="00AF0FC2">
        <w:rPr>
          <w:rFonts w:ascii="Simplified Arabic" w:eastAsia="Times New Roman" w:hAnsi="Simplified Arabic" w:cs="Simplified Arabic"/>
          <w:kern w:val="0"/>
          <w:sz w:val="28"/>
          <w:szCs w:val="28"/>
          <w:rtl/>
          <w14:ligatures w14:val="none"/>
        </w:rPr>
        <w:t>منظومية</w:t>
      </w:r>
      <w:proofErr w:type="spellEnd"/>
      <w:r w:rsidR="00AF0FC2" w:rsidRPr="00AF0FC2">
        <w:rPr>
          <w:rFonts w:ascii="Simplified Arabic" w:eastAsia="Times New Roman" w:hAnsi="Simplified Arabic" w:cs="Simplified Arabic"/>
          <w:kern w:val="0"/>
          <w:sz w:val="28"/>
          <w:szCs w:val="28"/>
          <w:rtl/>
          <w14:ligatures w14:val="none"/>
        </w:rPr>
        <w:t xml:space="preserve"> متعددة الطبقات يتفاعل فيها الذكاء الاصطناعي مع حلقات السلسلة ومحدداتها وعوامل نجاحها في آنٍ واحد. فالذكاء الاصطناعي يُؤثّر في اللوجستيات الداخلية عبر التصنيف الذكي للطلبات، ويُؤثّر في العمليات الأساسية عبر الأتمتة والرقابة الاستباقية، ويُؤثّر في تقديم الخدمات عبر التخصيص ومتعدد القنوات، ويُؤثّر في خدمات ما بعد التقديم عبر التحليل الذكي للتغذية الراجعة، وفي الوقت ذاته يُعزّز المحددات الرقابية والتنظيمية </w:t>
      </w:r>
      <w:proofErr w:type="spellStart"/>
      <w:r w:rsidR="00AF0FC2" w:rsidRPr="00AF0FC2">
        <w:rPr>
          <w:rFonts w:ascii="Simplified Arabic" w:eastAsia="Times New Roman" w:hAnsi="Simplified Arabic" w:cs="Simplified Arabic"/>
          <w:kern w:val="0"/>
          <w:sz w:val="28"/>
          <w:szCs w:val="28"/>
          <w:rtl/>
          <w14:ligatures w14:val="none"/>
        </w:rPr>
        <w:t>والتكاليفية</w:t>
      </w:r>
      <w:proofErr w:type="spellEnd"/>
      <w:r w:rsidR="00AF0FC2" w:rsidRPr="00AF0FC2">
        <w:rPr>
          <w:rFonts w:ascii="Simplified Arabic" w:eastAsia="Times New Roman" w:hAnsi="Simplified Arabic" w:cs="Simplified Arabic"/>
          <w:kern w:val="0"/>
          <w:sz w:val="28"/>
          <w:szCs w:val="28"/>
          <w:rtl/>
          <w14:ligatures w14:val="none"/>
        </w:rPr>
        <w:t xml:space="preserve"> والتقنية والبشرية التي تُشكّل البيئة التمكينية لكفاءة السلسلة. وهذا التأثير المتعدد المسارات والمستويات هو ما يمنح الذكاء الاصطناعي قدرته التحويلية الفريدة ويجعله الرافعة الاستراتيجية الأكثر تأثيراً في تحقيق التميز التشغيلي للمؤسسات الحكومية الكبرى في ضوء متطلبات رؤية 2030</w:t>
      </w:r>
      <w:r w:rsidR="00AF0FC2" w:rsidRPr="00AF0FC2">
        <w:rPr>
          <w:rFonts w:ascii="Simplified Arabic" w:eastAsia="Times New Roman" w:hAnsi="Simplified Arabic" w:cs="Simplified Arabic"/>
          <w:kern w:val="0"/>
          <w:sz w:val="28"/>
          <w:szCs w:val="28"/>
          <w14:ligatures w14:val="none"/>
        </w:rPr>
        <w:t>.</w:t>
      </w:r>
    </w:p>
    <w:p w14:paraId="7B3014AC" w14:textId="77777777" w:rsidR="00C47BC4" w:rsidRDefault="00C47BC4">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81E8189" w14:textId="77777777" w:rsidR="00C47BC4" w:rsidRPr="00B91104" w:rsidRDefault="00C47BC4" w:rsidP="00C47BC4">
      <w:pPr>
        <w:pStyle w:val="1"/>
        <w:rPr>
          <w:rtl/>
        </w:rPr>
      </w:pPr>
      <w:r w:rsidRPr="00B91104">
        <w:rPr>
          <w:rtl/>
        </w:rPr>
        <w:lastRenderedPageBreak/>
        <w:t xml:space="preserve">الدراسات </w:t>
      </w:r>
      <w:bookmarkStart w:id="15" w:name="_Toc202053529"/>
      <w:proofErr w:type="gramStart"/>
      <w:r w:rsidRPr="00B91104">
        <w:rPr>
          <w:rtl/>
        </w:rPr>
        <w:t>ال</w:t>
      </w:r>
      <w:r>
        <w:rPr>
          <w:rFonts w:hint="cs"/>
          <w:rtl/>
        </w:rPr>
        <w:t xml:space="preserve">سابقة </w:t>
      </w:r>
      <w:r w:rsidRPr="00B91104">
        <w:rPr>
          <w:rtl/>
        </w:rPr>
        <w:t>:</w:t>
      </w:r>
      <w:bookmarkEnd w:id="15"/>
      <w:proofErr w:type="gramEnd"/>
    </w:p>
    <w:p w14:paraId="755C41FA" w14:textId="77777777" w:rsidR="00C47BC4" w:rsidRPr="00B91104" w:rsidRDefault="00C47BC4" w:rsidP="00C47BC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 ثلاث مجموعات رئيسية، وهي:</w:t>
      </w:r>
    </w:p>
    <w:p w14:paraId="6F5C1286"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 الدراسات التي تناولت</w:t>
      </w:r>
      <w:r w:rsidRPr="00644213">
        <w:rPr>
          <w:rFonts w:ascii="Simplified Arabic" w:hAnsi="Simplified Arabic" w:cs="Simplified Arabic"/>
          <w:b/>
          <w:bCs/>
          <w:sz w:val="28"/>
          <w:szCs w:val="28"/>
          <w:rtl/>
        </w:rPr>
        <w:t xml:space="preserve"> </w:t>
      </w:r>
      <w:r w:rsidRPr="00644213">
        <w:rPr>
          <w:rFonts w:ascii="Simplified Arabic" w:hAnsi="Simplified Arabic" w:cs="Simplified Arabic"/>
          <w:sz w:val="28"/>
          <w:szCs w:val="28"/>
          <w:rtl/>
        </w:rPr>
        <w:t xml:space="preserve">الذكاء </w:t>
      </w:r>
      <w:proofErr w:type="spellStart"/>
      <w:proofErr w:type="gramStart"/>
      <w:r w:rsidRPr="00644213">
        <w:rPr>
          <w:rFonts w:ascii="Simplified Arabic" w:hAnsi="Simplified Arabic" w:cs="Simplified Arabic"/>
          <w:sz w:val="28"/>
          <w:szCs w:val="28"/>
          <w:rtl/>
        </w:rPr>
        <w:t>الاصطناعى</w:t>
      </w:r>
      <w:proofErr w:type="spellEnd"/>
      <w:r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w:t>
      </w:r>
      <w:proofErr w:type="gramEnd"/>
      <w:r w:rsidRPr="00B91104">
        <w:rPr>
          <w:rFonts w:ascii="Simplified Arabic" w:hAnsi="Simplified Arabic" w:cs="Simplified Arabic"/>
          <w:sz w:val="28"/>
          <w:szCs w:val="28"/>
          <w:rtl/>
          <w:lang w:bidi="ar-EG"/>
        </w:rPr>
        <w:t xml:space="preserve"> بالمتغيرات الأخرى.</w:t>
      </w:r>
    </w:p>
    <w:p w14:paraId="3A3F7E83"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المجموعة الثانية: الدراسات التي تناولت </w:t>
      </w:r>
      <w:r w:rsidRPr="00602A7D">
        <w:rPr>
          <w:rFonts w:ascii="Simplified Arabic" w:hAnsi="Simplified Arabic" w:cs="Simplified Arabic"/>
          <w:sz w:val="28"/>
          <w:szCs w:val="28"/>
          <w:rtl/>
          <w:lang w:bidi="ar-EG"/>
        </w:rPr>
        <w:t>سلسلة القيمة التشغيلية</w:t>
      </w:r>
      <w:r>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وعلاقته بالمتغيرات الأخرى.</w:t>
      </w:r>
    </w:p>
    <w:p w14:paraId="30E54DB8" w14:textId="77777777" w:rsidR="00C47BC4" w:rsidRPr="00B91104" w:rsidRDefault="00C47BC4" w:rsidP="00C47BC4">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Pr="00602A7D">
        <w:rPr>
          <w:rFonts w:ascii="Simplified Arabic" w:hAnsi="Simplified Arabic" w:cs="Simplified Arabic"/>
          <w:sz w:val="28"/>
          <w:szCs w:val="28"/>
          <w:rtl/>
        </w:rPr>
        <w:t xml:space="preserve">الذكاء </w:t>
      </w:r>
      <w:proofErr w:type="spellStart"/>
      <w:proofErr w:type="gramStart"/>
      <w:r w:rsidRPr="00602A7D">
        <w:rPr>
          <w:rFonts w:ascii="Simplified Arabic" w:hAnsi="Simplified Arabic" w:cs="Simplified Arabic"/>
          <w:sz w:val="28"/>
          <w:szCs w:val="28"/>
          <w:rtl/>
        </w:rPr>
        <w:t>الاصطناعى</w:t>
      </w:r>
      <w:proofErr w:type="spellEnd"/>
      <w:r w:rsidRPr="00602A7D">
        <w:rPr>
          <w:rFonts w:ascii="Simplified Arabic" w:hAnsi="Simplified Arabic" w:cs="Simplified Arabic"/>
          <w:b/>
          <w:bCs/>
          <w:sz w:val="28"/>
          <w:szCs w:val="28"/>
          <w:rtl/>
        </w:rPr>
        <w:t xml:space="preserve">  </w:t>
      </w:r>
      <w:r>
        <w:rPr>
          <w:rFonts w:ascii="Simplified Arabic" w:hAnsi="Simplified Arabic" w:cs="Simplified Arabic" w:hint="cs"/>
          <w:sz w:val="28"/>
          <w:szCs w:val="28"/>
          <w:rtl/>
          <w:lang w:bidi="ar-EG"/>
        </w:rPr>
        <w:t>و</w:t>
      </w:r>
      <w:proofErr w:type="gramEnd"/>
      <w:r w:rsidRPr="00402E9C">
        <w:rPr>
          <w:rFonts w:ascii="Simplified Arabic" w:hAnsi="Simplified Arabic" w:cs="Simplified Arabic" w:hint="cs"/>
          <w:sz w:val="28"/>
          <w:szCs w:val="28"/>
          <w:rtl/>
          <w:lang w:bidi="ar-EG"/>
        </w:rPr>
        <w:t xml:space="preserve"> </w:t>
      </w:r>
      <w:r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67E3556C"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Pr="00402E9C">
        <w:rPr>
          <w:rFonts w:ascii="Simplified Arabic" w:hAnsi="Simplified Arabic" w:cs="Simplified Arabic"/>
          <w:b/>
          <w:bCs/>
          <w:sz w:val="28"/>
          <w:szCs w:val="28"/>
          <w:rtl/>
          <w:lang w:bidi="ar-EG"/>
        </w:rPr>
        <w:t xml:space="preserve">تناولت </w:t>
      </w:r>
      <w:r w:rsidRPr="00602A7D">
        <w:rPr>
          <w:rFonts w:ascii="Simplified Arabic" w:hAnsi="Simplified Arabic" w:cs="Simplified Arabic"/>
          <w:b/>
          <w:bCs/>
          <w:sz w:val="28"/>
          <w:szCs w:val="28"/>
          <w:rtl/>
        </w:rPr>
        <w:t xml:space="preserve">الذكاء </w:t>
      </w:r>
      <w:proofErr w:type="spellStart"/>
      <w:proofErr w:type="gramStart"/>
      <w:r w:rsidRPr="00602A7D">
        <w:rPr>
          <w:rFonts w:ascii="Simplified Arabic" w:hAnsi="Simplified Arabic" w:cs="Simplified Arabic"/>
          <w:b/>
          <w:bCs/>
          <w:sz w:val="28"/>
          <w:szCs w:val="28"/>
          <w:rtl/>
        </w:rPr>
        <w:t>الاصطناعى</w:t>
      </w:r>
      <w:proofErr w:type="spellEnd"/>
      <w:r w:rsidRPr="00602A7D">
        <w:rPr>
          <w:rFonts w:ascii="Simplified Arabic" w:hAnsi="Simplified Arabic" w:cs="Simplified Arabic"/>
          <w:b/>
          <w:bCs/>
          <w:sz w:val="28"/>
          <w:szCs w:val="28"/>
          <w:rtl/>
        </w:rPr>
        <w:t xml:space="preserve">  </w:t>
      </w:r>
      <w:r w:rsidRPr="00B91104">
        <w:rPr>
          <w:rFonts w:ascii="Simplified Arabic" w:hAnsi="Simplified Arabic" w:cs="Simplified Arabic"/>
          <w:b/>
          <w:bCs/>
          <w:sz w:val="28"/>
          <w:szCs w:val="28"/>
          <w:rtl/>
          <w:lang w:bidi="ar-EG"/>
        </w:rPr>
        <w:t>وعلاقته</w:t>
      </w:r>
      <w:proofErr w:type="gramEnd"/>
      <w:r w:rsidRPr="00B91104">
        <w:rPr>
          <w:rFonts w:ascii="Simplified Arabic" w:hAnsi="Simplified Arabic" w:cs="Simplified Arabic"/>
          <w:b/>
          <w:bCs/>
          <w:sz w:val="28"/>
          <w:szCs w:val="28"/>
          <w:rtl/>
          <w:lang w:bidi="ar-EG"/>
        </w:rPr>
        <w:t xml:space="preserve"> بالمتغيرات الأخرى.</w:t>
      </w:r>
    </w:p>
    <w:p w14:paraId="1750F850" w14:textId="77777777" w:rsidR="00C47BC4" w:rsidRDefault="00C47BC4" w:rsidP="00C47BC4">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Pr>
          <w:rFonts w:ascii="Simplified Arabic" w:hAnsi="Simplified Arabic" w:cs="Simplified Arabic" w:hint="cs"/>
          <w:b/>
          <w:bCs/>
          <w:sz w:val="28"/>
          <w:szCs w:val="28"/>
          <w:rtl/>
          <w:lang w:bidi="ar-EG"/>
        </w:rPr>
        <w:t xml:space="preserve">ة (المصاروة </w:t>
      </w:r>
      <w:proofErr w:type="gramStart"/>
      <w:r>
        <w:rPr>
          <w:rFonts w:ascii="Simplified Arabic" w:hAnsi="Simplified Arabic" w:cs="Simplified Arabic" w:hint="cs"/>
          <w:b/>
          <w:bCs/>
          <w:sz w:val="28"/>
          <w:szCs w:val="28"/>
          <w:rtl/>
          <w:lang w:bidi="ar-EG"/>
        </w:rPr>
        <w:t>و السرحان</w:t>
      </w:r>
      <w:proofErr w:type="gramEnd"/>
      <w:r>
        <w:rPr>
          <w:rFonts w:ascii="Simplified Arabic" w:hAnsi="Simplified Arabic" w:cs="Simplified Arabic" w:hint="cs"/>
          <w:b/>
          <w:bCs/>
          <w:sz w:val="28"/>
          <w:szCs w:val="28"/>
          <w:rtl/>
          <w:lang w:bidi="ar-EG"/>
        </w:rPr>
        <w:t xml:space="preserve">،2021) </w:t>
      </w:r>
      <w:r w:rsidRPr="00B91104">
        <w:rPr>
          <w:rFonts w:ascii="Simplified Arabic" w:hAnsi="Simplified Arabic" w:cs="Simplified Arabic"/>
          <w:b/>
          <w:bCs/>
          <w:sz w:val="28"/>
          <w:szCs w:val="28"/>
          <w:rtl/>
          <w:lang w:bidi="ar-EG"/>
        </w:rPr>
        <w:t>بعنوان</w:t>
      </w:r>
      <w:r w:rsidRPr="00643EEB">
        <w:rPr>
          <w:rFonts w:ascii="Simplified Arabic" w:hAnsi="Simplified Arabic" w:cs="Simplified Arabic"/>
          <w:b/>
          <w:bCs/>
          <w:sz w:val="28"/>
          <w:szCs w:val="28"/>
          <w:rtl/>
          <w:lang w:bidi="ar-EG"/>
        </w:rPr>
        <w:t xml:space="preserve">: </w:t>
      </w:r>
      <w:r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1852D401"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3C9BF405" w14:textId="77777777" w:rsidR="00C47BC4" w:rsidRPr="00B91104" w:rsidRDefault="00C47BC4" w:rsidP="00C47BC4">
      <w:pPr>
        <w:jc w:val="both"/>
        <w:rPr>
          <w:rFonts w:ascii="Simplified Arabic" w:hAnsi="Simplified Arabic" w:cs="Simplified Arabic"/>
          <w:b/>
          <w:bCs/>
          <w:sz w:val="28"/>
          <w:szCs w:val="28"/>
          <w:rtl/>
          <w:lang w:bidi="ar-EG"/>
        </w:rPr>
      </w:pPr>
      <w:bookmarkStart w:id="16" w:name="_Hlk201962275"/>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hint="cs"/>
          <w:b/>
          <w:bCs/>
          <w:sz w:val="28"/>
          <w:szCs w:val="28"/>
          <w:rtl/>
          <w:lang w:bidi="ar-EG"/>
        </w:rPr>
        <w:t>(عبد المنعم ،2023)</w:t>
      </w:r>
      <w:r w:rsidRPr="00B91104">
        <w:rPr>
          <w:rFonts w:ascii="Simplified Arabic" w:hAnsi="Simplified Arabic" w:cs="Simplified Arabic"/>
          <w:b/>
          <w:bCs/>
          <w:sz w:val="28"/>
          <w:szCs w:val="28"/>
          <w:rtl/>
          <w:lang w:bidi="ar-EG"/>
        </w:rPr>
        <w:t xml:space="preserve"> بعنوان: </w:t>
      </w:r>
      <w:r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Pr="00B91104">
        <w:rPr>
          <w:rFonts w:ascii="Simplified Arabic" w:hAnsi="Simplified Arabic" w:cs="Simplified Arabic"/>
          <w:b/>
          <w:bCs/>
          <w:sz w:val="28"/>
          <w:szCs w:val="28"/>
          <w:rtl/>
          <w:lang w:bidi="ar-EG"/>
        </w:rPr>
        <w:t>.</w:t>
      </w:r>
    </w:p>
    <w:p w14:paraId="45ED2C7F" w14:textId="77777777" w:rsidR="00C47BC4" w:rsidRDefault="00C47BC4" w:rsidP="00C47BC4">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36D0E552"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6FA44D2" w14:textId="77777777" w:rsidR="00C47BC4" w:rsidRPr="00643EEB" w:rsidRDefault="00C47BC4" w:rsidP="00C47BC4">
      <w:pPr>
        <w:rPr>
          <w:rFonts w:ascii="Simplified Arabic" w:hAnsi="Simplified Arabic" w:cs="Simplified Arabic"/>
          <w:b/>
          <w:bCs/>
          <w:sz w:val="28"/>
          <w:szCs w:val="28"/>
          <w:rtl/>
        </w:rPr>
      </w:pPr>
      <w:proofErr w:type="gramStart"/>
      <w:r w:rsidRPr="00643EEB">
        <w:rPr>
          <w:rFonts w:ascii="Simplified Arabic" w:hAnsi="Simplified Arabic" w:cs="Simplified Arabic"/>
          <w:b/>
          <w:bCs/>
          <w:sz w:val="28"/>
          <w:szCs w:val="28"/>
          <w:rtl/>
          <w:lang w:bidi="ar-EG"/>
        </w:rPr>
        <w:t>دراسة</w:t>
      </w:r>
      <w:r w:rsidRPr="00643EEB">
        <w:rPr>
          <w:rFonts w:ascii="Simplified Arabic" w:hAnsi="Simplified Arabic" w:cs="Simplified Arabic" w:hint="cs"/>
          <w:b/>
          <w:bCs/>
          <w:sz w:val="28"/>
          <w:szCs w:val="28"/>
          <w:rtl/>
          <w:lang w:bidi="ar-EG"/>
        </w:rPr>
        <w:t>(</w:t>
      </w:r>
      <w:proofErr w:type="spellStart"/>
      <w:proofErr w:type="gramEnd"/>
      <w:r w:rsidRPr="00643EEB">
        <w:rPr>
          <w:rFonts w:ascii="Simplified Arabic" w:hAnsi="Simplified Arabic" w:cs="Simplified Arabic" w:hint="cs"/>
          <w:b/>
          <w:bCs/>
          <w:sz w:val="28"/>
          <w:szCs w:val="28"/>
          <w:rtl/>
          <w:lang w:bidi="ar-EG"/>
        </w:rPr>
        <w:t>طيبى</w:t>
      </w:r>
      <w:proofErr w:type="spellEnd"/>
      <w:r w:rsidRPr="00643EEB">
        <w:rPr>
          <w:rFonts w:ascii="Simplified Arabic" w:hAnsi="Simplified Arabic" w:cs="Simplified Arabic" w:hint="cs"/>
          <w:b/>
          <w:bCs/>
          <w:sz w:val="28"/>
          <w:szCs w:val="28"/>
          <w:rtl/>
          <w:lang w:bidi="ar-EG"/>
        </w:rPr>
        <w:t xml:space="preserve"> ومولاى،2023) </w:t>
      </w:r>
      <w:r w:rsidRPr="00643EEB">
        <w:rPr>
          <w:rFonts w:ascii="Simplified Arabic" w:hAnsi="Simplified Arabic" w:cs="Simplified Arabic"/>
          <w:b/>
          <w:bCs/>
          <w:sz w:val="28"/>
          <w:szCs w:val="28"/>
          <w:rtl/>
          <w:lang w:bidi="ar-EG"/>
        </w:rPr>
        <w:t>بعنوان:</w:t>
      </w:r>
      <w:r w:rsidRPr="00643EEB">
        <w:rPr>
          <w:b/>
          <w:bCs/>
          <w:rtl/>
        </w:rPr>
        <w:t xml:space="preserve"> </w:t>
      </w:r>
      <w:r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4A2EF173" w14:textId="77777777" w:rsidR="00C47BC4" w:rsidRPr="00EC07BC"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643EEB">
        <w:rPr>
          <w:rFonts w:ascii="Simplified Arabic" w:hAnsi="Simplified Arabic" w:cs="Simplified Arabic"/>
          <w:sz w:val="28"/>
          <w:szCs w:val="28"/>
          <w:rtl/>
        </w:rPr>
        <w:t>ربحيتها</w:t>
      </w:r>
      <w:proofErr w:type="spellEnd"/>
      <w:r w:rsidRPr="00643EEB">
        <w:rPr>
          <w:rFonts w:ascii="Simplified Arabic" w:hAnsi="Simplified Arabic" w:cs="Simplified Arabic"/>
          <w:sz w:val="28"/>
          <w:szCs w:val="28"/>
          <w:rtl/>
        </w:rPr>
        <w:t>،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w:t>
      </w:r>
      <w:proofErr w:type="gramStart"/>
      <w:r w:rsidRPr="00643EEB">
        <w:rPr>
          <w:rFonts w:ascii="Simplified Arabic" w:hAnsi="Simplified Arabic" w:cs="Simplified Arabic"/>
          <w:sz w:val="28"/>
          <w:szCs w:val="28"/>
          <w:rtl/>
        </w:rPr>
        <w:t>استبيان</w:t>
      </w:r>
      <w:proofErr w:type="gramEnd"/>
      <w:r w:rsidRPr="00643EEB">
        <w:rPr>
          <w:rFonts w:ascii="Simplified Arabic" w:hAnsi="Simplified Arabic" w:cs="Simplified Arabic"/>
          <w:sz w:val="28"/>
          <w:szCs w:val="28"/>
          <w:rtl/>
        </w:rPr>
        <w:t xml:space="preserve">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5F1955C" w14:textId="77777777" w:rsidR="00C47BC4" w:rsidRPr="00FA77D4" w:rsidRDefault="00C47BC4" w:rsidP="00C47BC4">
      <w:pPr>
        <w:jc w:val="both"/>
        <w:rPr>
          <w:rFonts w:ascii="Simplified Arabic" w:hAnsi="Simplified Arabic" w:cs="Simplified Arabic"/>
          <w:b/>
          <w:bCs/>
          <w:sz w:val="28"/>
          <w:szCs w:val="28"/>
          <w:rtl/>
          <w:lang w:bidi="ar-EG"/>
        </w:rPr>
      </w:pPr>
      <w:proofErr w:type="gramStart"/>
      <w:r w:rsidRPr="00FA77D4">
        <w:rPr>
          <w:rFonts w:ascii="Simplified Arabic" w:hAnsi="Simplified Arabic" w:cs="Simplified Arabic"/>
          <w:b/>
          <w:bCs/>
          <w:sz w:val="28"/>
          <w:szCs w:val="28"/>
          <w:rtl/>
          <w:lang w:bidi="ar-EG"/>
        </w:rPr>
        <w:t>دراسة</w:t>
      </w:r>
      <w:r w:rsidRPr="00FA77D4">
        <w:rPr>
          <w:rFonts w:ascii="Simplified Arabic" w:hAnsi="Simplified Arabic" w:cs="Simplified Arabic" w:hint="cs"/>
          <w:b/>
          <w:bCs/>
          <w:sz w:val="28"/>
          <w:szCs w:val="28"/>
          <w:rtl/>
          <w:lang w:bidi="ar-EG"/>
        </w:rPr>
        <w:t>(</w:t>
      </w:r>
      <w:proofErr w:type="gramEnd"/>
      <w:r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Pr="00FA77D4">
        <w:rPr>
          <w:b/>
          <w:bCs/>
          <w:rtl/>
        </w:rPr>
        <w:t xml:space="preserve"> </w:t>
      </w:r>
      <w:r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1FFB8FF7" w14:textId="77777777" w:rsidR="00C47BC4" w:rsidRDefault="00C47BC4" w:rsidP="00C47BC4">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w:t>
      </w:r>
      <w:r w:rsidRPr="00643EEB">
        <w:rPr>
          <w:rFonts w:ascii="Simplified Arabic" w:hAnsi="Simplified Arabic" w:cs="Simplified Arabic"/>
          <w:sz w:val="28"/>
          <w:szCs w:val="28"/>
          <w:rtl/>
        </w:rPr>
        <w:lastRenderedPageBreak/>
        <w:t>اعتمادًا على قائمة استقصاء وزِّعت على عينة قوامها (348) من عملاء البنوك التجارية المصرية بنسبة استجابة بلغت 84%.</w:t>
      </w:r>
    </w:p>
    <w:p w14:paraId="10CEAA49" w14:textId="77777777" w:rsidR="00C47BC4" w:rsidRPr="00EC07BC" w:rsidRDefault="00C47BC4" w:rsidP="00C47BC4">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636764CB" w14:textId="77777777" w:rsidR="00C47BC4" w:rsidRPr="00BE066A" w:rsidRDefault="00C47BC4" w:rsidP="00C47BC4">
      <w:pPr>
        <w:jc w:val="both"/>
        <w:rPr>
          <w:rFonts w:ascii="Simplified Arabic" w:hAnsi="Simplified Arabic" w:cs="Simplified Arabic"/>
          <w:b/>
          <w:bCs/>
          <w:sz w:val="28"/>
          <w:szCs w:val="28"/>
          <w:rtl/>
        </w:rPr>
      </w:pPr>
      <w:proofErr w:type="gramStart"/>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w:t>
      </w:r>
      <w:proofErr w:type="gramEnd"/>
      <w:r>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Pr="00FA77D4">
        <w:rPr>
          <w:rFonts w:ascii="Simplified Arabic" w:hAnsi="Simplified Arabic" w:cs="Simplified Arabic"/>
          <w:b/>
          <w:bCs/>
          <w:sz w:val="28"/>
          <w:szCs w:val="28"/>
          <w:rtl/>
        </w:rPr>
        <w:t>دور الذكاء الاصطناعي من أجل التنمية المستدامة</w:t>
      </w:r>
    </w:p>
    <w:p w14:paraId="1092BB62"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682B46D6"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Pr="00EC07BC">
        <w:rPr>
          <w:rFonts w:ascii="Simplified Arabic" w:hAnsi="Simplified Arabic" w:cs="Simplified Arabic"/>
          <w:sz w:val="28"/>
          <w:szCs w:val="28"/>
          <w:lang w:bidi="ar-EG"/>
        </w:rPr>
        <w:t>.</w:t>
      </w:r>
      <w:bookmarkEnd w:id="16"/>
    </w:p>
    <w:p w14:paraId="5F496E56" w14:textId="77777777" w:rsidR="00C47BC4" w:rsidRDefault="00C47BC4" w:rsidP="00C47BC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دراسة (الصفار،2024) </w:t>
      </w:r>
      <w:proofErr w:type="gramStart"/>
      <w:r>
        <w:rPr>
          <w:rFonts w:ascii="Simplified Arabic" w:hAnsi="Simplified Arabic" w:cs="Simplified Arabic" w:hint="cs"/>
          <w:b/>
          <w:bCs/>
          <w:sz w:val="28"/>
          <w:szCs w:val="28"/>
          <w:rtl/>
          <w:lang w:bidi="ar-EG"/>
        </w:rPr>
        <w:t>بعنوان :</w:t>
      </w:r>
      <w:proofErr w:type="gramEnd"/>
      <w:r w:rsidRPr="00FA77D4">
        <w:rPr>
          <w:rtl/>
        </w:rPr>
        <w:t xml:space="preserve"> </w:t>
      </w:r>
      <w:r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F1AB6FB"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lastRenderedPageBreak/>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5EEA7793"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63FA2BAD"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0F6A6D8F" w14:textId="77777777" w:rsidR="00C47BC4" w:rsidRDefault="00C47BC4" w:rsidP="00C47BC4">
      <w:pPr>
        <w:rPr>
          <w:rFonts w:ascii="Simplified Arabic" w:hAnsi="Simplified Arabic" w:cs="Simplified Arabic"/>
          <w:b/>
          <w:bCs/>
          <w:sz w:val="28"/>
          <w:szCs w:val="28"/>
          <w:rtl/>
          <w:lang w:bidi="ar-EG"/>
        </w:rPr>
      </w:pPr>
      <w:proofErr w:type="gramStart"/>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rPr>
        <w:t>جاد</w:t>
      </w:r>
      <w:proofErr w:type="gramEnd"/>
      <w:r>
        <w:rPr>
          <w:rFonts w:ascii="Simplified Arabic" w:hAnsi="Simplified Arabic" w:cs="Simplified Arabic" w:hint="cs"/>
          <w:b/>
          <w:bCs/>
          <w:sz w:val="28"/>
          <w:szCs w:val="28"/>
          <w:rtl/>
        </w:rPr>
        <w:t xml:space="preserve">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00F9B509" w14:textId="77777777" w:rsidR="00C47BC4" w:rsidRDefault="00C47BC4" w:rsidP="00C47BC4">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t xml:space="preserve">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w:t>
      </w:r>
      <w:proofErr w:type="gramStart"/>
      <w:r w:rsidRPr="005965AD">
        <w:rPr>
          <w:rFonts w:ascii="Simplified Arabic" w:hAnsi="Simplified Arabic" w:cs="Simplified Arabic"/>
          <w:sz w:val="28"/>
          <w:szCs w:val="28"/>
          <w:rtl/>
        </w:rPr>
        <w:t>استبيان</w:t>
      </w:r>
      <w:proofErr w:type="gramEnd"/>
      <w:r w:rsidRPr="005965AD">
        <w:rPr>
          <w:rFonts w:ascii="Simplified Arabic" w:hAnsi="Simplified Arabic" w:cs="Simplified Arabic"/>
          <w:sz w:val="28"/>
          <w:szCs w:val="28"/>
          <w:rtl/>
        </w:rPr>
        <w:t xml:space="preserve">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06A2C296" w14:textId="77777777" w:rsidR="00C47BC4" w:rsidRDefault="00C47BC4" w:rsidP="00C47BC4">
      <w:pPr>
        <w:rPr>
          <w:rFonts w:ascii="Simplified Arabic" w:hAnsi="Simplified Arabic" w:cs="Simplified Arabic"/>
          <w:b/>
          <w:bCs/>
          <w:sz w:val="28"/>
          <w:szCs w:val="28"/>
          <w:lang w:bidi="ar-EG"/>
        </w:rPr>
      </w:pPr>
      <w:proofErr w:type="gramStart"/>
      <w:r w:rsidRPr="00B91104">
        <w:rPr>
          <w:rFonts w:ascii="Simplified Arabic" w:hAnsi="Simplified Arabic" w:cs="Simplified Arabic"/>
          <w:b/>
          <w:bCs/>
          <w:sz w:val="28"/>
          <w:szCs w:val="28"/>
          <w:rtl/>
          <w:lang w:bidi="ar-EG"/>
        </w:rPr>
        <w:t>دراسة</w:t>
      </w:r>
      <w:r>
        <w:rPr>
          <w:rFonts w:ascii="Simplified Arabic" w:hAnsi="Simplified Arabic" w:cs="Simplified Arabic" w:hint="cs"/>
          <w:b/>
          <w:bCs/>
          <w:sz w:val="28"/>
          <w:szCs w:val="28"/>
          <w:rtl/>
          <w:lang w:bidi="ar-EG"/>
        </w:rPr>
        <w:t>(</w:t>
      </w:r>
      <w:proofErr w:type="gramEnd"/>
      <w:r>
        <w:rPr>
          <w:rFonts w:ascii="Simplified Arabic" w:hAnsi="Simplified Arabic" w:cs="Simplified Arabic" w:hint="cs"/>
          <w:b/>
          <w:bCs/>
          <w:sz w:val="28"/>
          <w:szCs w:val="28"/>
          <w:rtl/>
          <w:lang w:bidi="ar-EG"/>
        </w:rPr>
        <w:t xml:space="preserve">غدير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2D0F9D55" w14:textId="77777777" w:rsidR="00C47BC4" w:rsidRPr="005965AD" w:rsidRDefault="00C47BC4" w:rsidP="00C47BC4">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lastRenderedPageBreak/>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4B1384A0" w14:textId="77777777" w:rsidR="00C47BC4" w:rsidRPr="00EC07BC" w:rsidRDefault="00C47BC4" w:rsidP="00C47BC4">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46D3D843"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BE606B">
        <w:rPr>
          <w:rFonts w:ascii="Simplified Arabic" w:hAnsi="Simplified Arabic" w:cs="Simplified Arabic"/>
          <w:b/>
          <w:bCs/>
          <w:sz w:val="28"/>
          <w:szCs w:val="28"/>
          <w:lang w:bidi="ar-EG"/>
        </w:rPr>
        <w:t xml:space="preserve">(Mboyo et al., </w:t>
      </w:r>
      <w:r>
        <w:rPr>
          <w:rFonts w:ascii="Simplified Arabic" w:hAnsi="Simplified Arabic" w:cs="Simplified Arabic"/>
          <w:b/>
          <w:bCs/>
          <w:sz w:val="28"/>
          <w:szCs w:val="28"/>
          <w:lang w:bidi="ar-EG"/>
        </w:rPr>
        <w:t>2025</w:t>
      </w:r>
      <w:r w:rsidRPr="00BE606B">
        <w:rPr>
          <w:rFonts w:ascii="Simplified Arabic" w:hAnsi="Simplified Arabic" w:cs="Simplified Arabic"/>
          <w:b/>
          <w:bCs/>
          <w:sz w:val="28"/>
          <w:szCs w:val="28"/>
          <w:lang w:bidi="ar-EG"/>
        </w:rPr>
        <w:t>)</w:t>
      </w:r>
      <w:r w:rsidRPr="003C04ED">
        <w:rPr>
          <w:rFonts w:ascii="Simplified Arabic" w:hAnsi="Simplified Arabic" w:cs="Simplified Arabic"/>
          <w:b/>
          <w:bCs/>
          <w:sz w:val="28"/>
          <w:szCs w:val="28"/>
          <w:rtl/>
          <w:lang w:bidi="ar-EG"/>
        </w:rPr>
        <w:t xml:space="preserve"> </w:t>
      </w:r>
      <w:r w:rsidRPr="00B91104">
        <w:rPr>
          <w:rFonts w:ascii="Simplified Arabic" w:hAnsi="Simplified Arabic" w:cs="Simplified Arabic"/>
          <w:b/>
          <w:bCs/>
          <w:sz w:val="28"/>
          <w:szCs w:val="28"/>
          <w:rtl/>
          <w:lang w:bidi="ar-EG"/>
        </w:rPr>
        <w:t xml:space="preserve">بعنوان: </w:t>
      </w:r>
    </w:p>
    <w:p w14:paraId="481C5450" w14:textId="77777777" w:rsidR="00C47BC4" w:rsidRPr="00BE606B" w:rsidRDefault="00C47BC4" w:rsidP="00C47BC4">
      <w:pPr>
        <w:bidi w:val="0"/>
        <w:jc w:val="both"/>
        <w:rPr>
          <w:rFonts w:ascii="Simplified Arabic" w:hAnsi="Simplified Arabic" w:cs="Simplified Arabic"/>
          <w:b/>
          <w:bCs/>
          <w:sz w:val="28"/>
          <w:szCs w:val="28"/>
          <w:rtl/>
          <w:lang w:bidi="ar-EG"/>
        </w:rPr>
      </w:pPr>
      <w:r w:rsidRPr="00BE606B">
        <w:rPr>
          <w:rFonts w:ascii="Simplified Arabic" w:hAnsi="Simplified Arabic" w:cs="Simplified Arabic"/>
          <w:b/>
          <w:bCs/>
          <w:sz w:val="28"/>
          <w:szCs w:val="28"/>
          <w:lang w:bidi="ar-EG"/>
        </w:rPr>
        <w:t>Distribution of Operating Costs along the Value Chain of an Open-Pit Copper Mine</w:t>
      </w:r>
    </w:p>
    <w:p w14:paraId="01DB4FF7" w14:textId="77777777" w:rsidR="00C47BC4" w:rsidRPr="00CE08ED"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Pr="00CE08ED">
        <w:rPr>
          <w:rFonts w:ascii="Simplified Arabic" w:hAnsi="Simplified Arabic" w:cs="Simplified Arabic"/>
          <w:sz w:val="28"/>
          <w:szCs w:val="28"/>
          <w:rtl/>
          <w:lang w:bidi="ar-EG"/>
        </w:rPr>
        <w:t xml:space="preserve"> </w:t>
      </w:r>
    </w:p>
    <w:p w14:paraId="55977478" w14:textId="77777777" w:rsidR="00C47BC4" w:rsidRDefault="00C47BC4" w:rsidP="00C47BC4">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E606B">
        <w:rPr>
          <w:rFonts w:ascii="Simplified Arabic" w:hAnsi="Simplified Arabic" w:cs="Simplified Arabic"/>
          <w:sz w:val="28"/>
          <w:szCs w:val="28"/>
          <w:lang w:bidi="ar-EG"/>
        </w:rPr>
        <w:t xml:space="preserve">(Naas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2024)</w:t>
      </w:r>
      <w:r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2E5C1336" w14:textId="77777777" w:rsidR="00C47BC4" w:rsidRPr="00B91104" w:rsidRDefault="00C47BC4" w:rsidP="00C47BC4">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 </w:t>
      </w:r>
      <w:r w:rsidRPr="00BE606B">
        <w:rPr>
          <w:rFonts w:ascii="Simplified Arabic" w:hAnsi="Simplified Arabic" w:cs="Simplified Arabic"/>
          <w:sz w:val="28"/>
          <w:szCs w:val="28"/>
          <w:lang w:bidi="ar-EG"/>
        </w:rPr>
        <w:t>Optimization of the value chain through management control: case study of a public enterprise</w:t>
      </w:r>
    </w:p>
    <w:p w14:paraId="1D59D383" w14:textId="77777777" w:rsidR="00C47BC4" w:rsidRDefault="00C47BC4" w:rsidP="00C47BC4">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(Case Study) </w:t>
      </w:r>
      <w:r w:rsidRPr="00BE606B">
        <w:rPr>
          <w:rFonts w:ascii="Simplified Arabic" w:hAnsi="Simplified Arabic" w:cs="Simplified Arabic"/>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1A141AB7" w14:textId="77777777" w:rsidR="00C47BC4" w:rsidRDefault="00C47BC4" w:rsidP="00C47BC4">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Pr="00BE606B">
        <w:t xml:space="preserve"> </w:t>
      </w:r>
      <w:r w:rsidRPr="00BE606B">
        <w:rPr>
          <w:rFonts w:ascii="Simplified Arabic" w:hAnsi="Simplified Arabic" w:cs="Simplified Arabic"/>
          <w:b/>
          <w:bCs/>
          <w:sz w:val="28"/>
          <w:szCs w:val="28"/>
          <w:lang w:bidi="ar-EG"/>
        </w:rPr>
        <w:t>(</w:t>
      </w:r>
      <w:proofErr w:type="spellStart"/>
      <w:r w:rsidRPr="00BE606B">
        <w:rPr>
          <w:rFonts w:ascii="Simplified Arabic" w:hAnsi="Simplified Arabic" w:cs="Simplified Arabic"/>
          <w:b/>
          <w:bCs/>
          <w:sz w:val="28"/>
          <w:szCs w:val="28"/>
          <w:lang w:bidi="ar-EG"/>
        </w:rPr>
        <w:t>Tyapukhin</w:t>
      </w:r>
      <w:proofErr w:type="spellEnd"/>
      <w:r w:rsidRPr="00BE606B">
        <w:rPr>
          <w:rFonts w:ascii="Simplified Arabic" w:hAnsi="Simplified Arabic" w:cs="Simplified Arabic"/>
          <w:b/>
          <w:bCs/>
          <w:sz w:val="28"/>
          <w:szCs w:val="28"/>
          <w:lang w:bidi="ar-EG"/>
        </w:rPr>
        <w:t>, 2023)</w:t>
      </w:r>
      <w:r w:rsidRPr="00CE08ED">
        <w:rPr>
          <w:rFonts w:ascii="Simplified Arabic" w:hAnsi="Simplified Arabic" w:cs="Simplified Arabic" w:hint="cs"/>
          <w:b/>
          <w:bCs/>
          <w:sz w:val="28"/>
          <w:szCs w:val="28"/>
          <w:rtl/>
          <w:lang w:bidi="ar-EG"/>
        </w:rPr>
        <w:t xml:space="preserve"> </w:t>
      </w:r>
      <w:proofErr w:type="gramStart"/>
      <w:r w:rsidRPr="00CE08ED">
        <w:rPr>
          <w:rFonts w:ascii="Simplified Arabic" w:hAnsi="Simplified Arabic" w:cs="Simplified Arabic" w:hint="cs"/>
          <w:b/>
          <w:bCs/>
          <w:sz w:val="28"/>
          <w:szCs w:val="28"/>
          <w:rtl/>
          <w:lang w:bidi="ar-EG"/>
        </w:rPr>
        <w:t>بعنوان :</w:t>
      </w:r>
      <w:proofErr w:type="gramEnd"/>
    </w:p>
    <w:p w14:paraId="105194F5" w14:textId="77777777" w:rsidR="00C47BC4" w:rsidRPr="00CE08ED" w:rsidRDefault="00C47BC4" w:rsidP="00C47BC4">
      <w:pPr>
        <w:bidi w:val="0"/>
        <w:rPr>
          <w:rFonts w:ascii="Simplified Arabic" w:hAnsi="Simplified Arabic" w:cs="Simplified Arabic"/>
          <w:b/>
          <w:bCs/>
          <w:sz w:val="28"/>
          <w:szCs w:val="28"/>
          <w:rtl/>
          <w:lang w:bidi="ar-EG"/>
        </w:rPr>
      </w:pPr>
      <w:r w:rsidRPr="00CE08ED">
        <w:rPr>
          <w:b/>
          <w:bCs/>
        </w:rPr>
        <w:t xml:space="preserve"> </w:t>
      </w:r>
      <w:r w:rsidRPr="00BE606B">
        <w:rPr>
          <w:rFonts w:ascii="Simplified Arabic" w:hAnsi="Simplified Arabic" w:cs="Simplified Arabic"/>
          <w:b/>
          <w:bCs/>
          <w:sz w:val="28"/>
          <w:szCs w:val="28"/>
          <w:lang w:bidi="ar-EG"/>
        </w:rPr>
        <w:t xml:space="preserve">On the Issue of the Concept of Value Chain Management. </w:t>
      </w:r>
    </w:p>
    <w:p w14:paraId="24CC3081" w14:textId="77777777" w:rsidR="00C47BC4"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86D92DD" w14:textId="77777777" w:rsidR="00C47BC4"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Pr="00BE606B">
        <w:rPr>
          <w:rFonts w:ascii="Simplified Arabic" w:hAnsi="Simplified Arabic" w:cs="Simplified Arabic"/>
          <w:sz w:val="28"/>
          <w:szCs w:val="28"/>
          <w:lang w:bidi="ar-EG"/>
        </w:rPr>
        <w:t>(Fan et al., 2021)</w:t>
      </w:r>
      <w:r>
        <w:rPr>
          <w:rFonts w:ascii="Simplified Arabic" w:hAnsi="Simplified Arabic" w:cs="Simplified Arabic" w:hint="cs"/>
          <w:sz w:val="28"/>
          <w:szCs w:val="28"/>
          <w:rtl/>
          <w:lang w:bidi="ar-EG"/>
        </w:rPr>
        <w:t xml:space="preserve"> </w:t>
      </w:r>
      <w:proofErr w:type="gramStart"/>
      <w:r>
        <w:rPr>
          <w:rFonts w:ascii="Simplified Arabic" w:hAnsi="Simplified Arabic" w:cs="Simplified Arabic" w:hint="cs"/>
          <w:sz w:val="28"/>
          <w:szCs w:val="28"/>
          <w:rtl/>
          <w:lang w:bidi="ar-EG"/>
        </w:rPr>
        <w:t>بعنوان :</w:t>
      </w:r>
      <w:proofErr w:type="gramEnd"/>
    </w:p>
    <w:p w14:paraId="2EA8057F" w14:textId="77777777" w:rsidR="00C47BC4" w:rsidRPr="00BE606B" w:rsidRDefault="00C47BC4" w:rsidP="00C47BC4">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lastRenderedPageBreak/>
        <w:t xml:space="preserve">Competitive Analysis of Operation Mode of Enterprise Value Chain under the Background of Green Economy. </w:t>
      </w:r>
    </w:p>
    <w:p w14:paraId="7EE7B179" w14:textId="77777777" w:rsidR="00C47BC4" w:rsidRPr="00C943D9"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Pr="00C943D9">
        <w:rPr>
          <w:rFonts w:ascii="Simplified Arabic" w:hAnsi="Simplified Arabic" w:cs="Simplified Arabic"/>
          <w:sz w:val="28"/>
          <w:szCs w:val="28"/>
          <w:lang w:bidi="ar-EG"/>
        </w:rPr>
        <w:t>.</w:t>
      </w:r>
    </w:p>
    <w:p w14:paraId="19907515"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الثالثة: الدراسات التي تناولت </w:t>
      </w:r>
      <w:r>
        <w:rPr>
          <w:rFonts w:ascii="Simplified Arabic" w:hAnsi="Simplified Arabic" w:cs="Simplified Arabic" w:hint="cs"/>
          <w:b/>
          <w:bCs/>
          <w:sz w:val="28"/>
          <w:szCs w:val="28"/>
          <w:rtl/>
          <w:lang w:bidi="ar-EG"/>
        </w:rPr>
        <w:t xml:space="preserve">الذكاء </w:t>
      </w:r>
      <w:proofErr w:type="spellStart"/>
      <w:r>
        <w:rPr>
          <w:rFonts w:ascii="Simplified Arabic" w:hAnsi="Simplified Arabic" w:cs="Simplified Arabic" w:hint="cs"/>
          <w:b/>
          <w:bCs/>
          <w:sz w:val="28"/>
          <w:szCs w:val="28"/>
          <w:rtl/>
          <w:lang w:bidi="ar-EG"/>
        </w:rPr>
        <w:t>الاصطناعى</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وعلاقتة</w:t>
      </w:r>
      <w:proofErr w:type="spellEnd"/>
      <w:r>
        <w:rPr>
          <w:rFonts w:ascii="Simplified Arabic" w:hAnsi="Simplified Arabic" w:cs="Simplified Arabic" w:hint="cs"/>
          <w:b/>
          <w:bCs/>
          <w:sz w:val="28"/>
          <w:szCs w:val="28"/>
          <w:rtl/>
          <w:lang w:bidi="ar-EG"/>
        </w:rPr>
        <w:t xml:space="preserve"> بالقيمة </w:t>
      </w:r>
      <w:proofErr w:type="gramStart"/>
      <w:r>
        <w:rPr>
          <w:rFonts w:ascii="Simplified Arabic" w:hAnsi="Simplified Arabic" w:cs="Simplified Arabic" w:hint="cs"/>
          <w:b/>
          <w:bCs/>
          <w:sz w:val="28"/>
          <w:szCs w:val="28"/>
          <w:rtl/>
          <w:lang w:bidi="ar-EG"/>
        </w:rPr>
        <w:t xml:space="preserve">التشغيلية </w:t>
      </w:r>
      <w:r w:rsidRPr="00B91104">
        <w:rPr>
          <w:rFonts w:ascii="Simplified Arabic" w:hAnsi="Simplified Arabic" w:cs="Simplified Arabic"/>
          <w:b/>
          <w:bCs/>
          <w:sz w:val="28"/>
          <w:szCs w:val="28"/>
          <w:rtl/>
          <w:lang w:bidi="ar-EG"/>
        </w:rPr>
        <w:t>.</w:t>
      </w:r>
      <w:proofErr w:type="gramEnd"/>
    </w:p>
    <w:p w14:paraId="55E85F80"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 xml:space="preserve">(Yusuf et al., </w:t>
      </w:r>
      <w:proofErr w:type="gramStart"/>
      <w:r w:rsidRPr="006E5307">
        <w:rPr>
          <w:rFonts w:ascii="Simplified Arabic" w:hAnsi="Simplified Arabic" w:cs="Simplified Arabic"/>
          <w:b/>
          <w:bCs/>
          <w:sz w:val="28"/>
          <w:szCs w:val="28"/>
          <w:lang w:bidi="ar-EG"/>
        </w:rPr>
        <w:t>2025)</w:t>
      </w:r>
      <w:r w:rsidRPr="00B91104">
        <w:rPr>
          <w:rFonts w:ascii="Simplified Arabic" w:hAnsi="Simplified Arabic" w:cs="Simplified Arabic"/>
          <w:b/>
          <w:bCs/>
          <w:sz w:val="28"/>
          <w:szCs w:val="28"/>
          <w:rtl/>
          <w:lang w:bidi="ar-EG"/>
        </w:rPr>
        <w:t>بعنوان</w:t>
      </w:r>
      <w:proofErr w:type="gramEnd"/>
      <w:r w:rsidRPr="00B91104">
        <w:rPr>
          <w:rFonts w:ascii="Simplified Arabic" w:hAnsi="Simplified Arabic" w:cs="Simplified Arabic"/>
          <w:b/>
          <w:bCs/>
          <w:sz w:val="28"/>
          <w:szCs w:val="28"/>
          <w:rtl/>
          <w:lang w:bidi="ar-EG"/>
        </w:rPr>
        <w:t>:</w:t>
      </w:r>
    </w:p>
    <w:p w14:paraId="4EA4862B" w14:textId="77777777" w:rsidR="00C47BC4" w:rsidRPr="006E5307" w:rsidRDefault="00C47BC4" w:rsidP="00C47BC4">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The Impact of AI on Supply Chain Operations: A comparative analysis of traditional vs AI-enabled Processes. </w:t>
      </w:r>
    </w:p>
    <w:p w14:paraId="18BC0334" w14:textId="77777777" w:rsidR="00C47BC4" w:rsidRPr="009B5EF9" w:rsidRDefault="00C47BC4" w:rsidP="00C47BC4">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w:t>
      </w:r>
      <w:r w:rsidRPr="006E5307">
        <w:rPr>
          <w:rFonts w:ascii="Simplified Arabic" w:hAnsi="Simplified Arabic" w:cs="Simplified Arabic"/>
          <w:sz w:val="28"/>
          <w:szCs w:val="28"/>
          <w:rtl/>
        </w:rPr>
        <w:lastRenderedPageBreak/>
        <w:t>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7FD3A4B9"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w:t>
      </w:r>
      <w:proofErr w:type="spellStart"/>
      <w:r w:rsidRPr="006E5307">
        <w:rPr>
          <w:rFonts w:ascii="Simplified Arabic" w:hAnsi="Simplified Arabic" w:cs="Simplified Arabic"/>
          <w:b/>
          <w:bCs/>
          <w:sz w:val="28"/>
          <w:szCs w:val="28"/>
          <w:lang w:bidi="ar-EG"/>
        </w:rPr>
        <w:t>Pokamestov</w:t>
      </w:r>
      <w:proofErr w:type="spellEnd"/>
      <w:r w:rsidRPr="006E5307">
        <w:rPr>
          <w:rFonts w:ascii="Simplified Arabic" w:hAnsi="Simplified Arabic" w:cs="Simplified Arabic"/>
          <w:b/>
          <w:bCs/>
          <w:sz w:val="28"/>
          <w:szCs w:val="28"/>
          <w:lang w:bidi="ar-EG"/>
        </w:rPr>
        <w:t xml:space="preserve"> &amp; Nikitin, </w:t>
      </w:r>
      <w:proofErr w:type="gramStart"/>
      <w:r w:rsidRPr="006E5307">
        <w:rPr>
          <w:rFonts w:ascii="Simplified Arabic" w:hAnsi="Simplified Arabic" w:cs="Simplified Arabic"/>
          <w:b/>
          <w:bCs/>
          <w:sz w:val="28"/>
          <w:szCs w:val="28"/>
          <w:lang w:bidi="ar-EG"/>
        </w:rPr>
        <w:t>2024)</w:t>
      </w:r>
      <w:r w:rsidRPr="00B91104">
        <w:rPr>
          <w:rFonts w:ascii="Simplified Arabic" w:hAnsi="Simplified Arabic" w:cs="Simplified Arabic"/>
          <w:b/>
          <w:bCs/>
          <w:sz w:val="28"/>
          <w:szCs w:val="28"/>
          <w:rtl/>
          <w:lang w:bidi="ar-EG"/>
        </w:rPr>
        <w:t>بعنون</w:t>
      </w:r>
      <w:proofErr w:type="gramEnd"/>
      <w:r w:rsidRPr="00B91104">
        <w:rPr>
          <w:rFonts w:ascii="Simplified Arabic" w:hAnsi="Simplified Arabic" w:cs="Simplified Arabic"/>
          <w:b/>
          <w:bCs/>
          <w:sz w:val="28"/>
          <w:szCs w:val="28"/>
          <w:rtl/>
          <w:lang w:bidi="ar-EG"/>
        </w:rPr>
        <w:t>:</w:t>
      </w:r>
    </w:p>
    <w:p w14:paraId="75634E4E"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7DC00556"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4A99AFF3"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(Faisal, 2025)</w:t>
      </w:r>
      <w:r w:rsidRPr="00B91104">
        <w:rPr>
          <w:rFonts w:ascii="Simplified Arabic" w:hAnsi="Simplified Arabic" w:cs="Simplified Arabic"/>
          <w:b/>
          <w:bCs/>
          <w:sz w:val="28"/>
          <w:szCs w:val="28"/>
          <w:rtl/>
          <w:lang w:bidi="ar-EG"/>
        </w:rPr>
        <w:t xml:space="preserve"> بعنوان: </w:t>
      </w:r>
    </w:p>
    <w:p w14:paraId="04FFD2ED"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654B72D0"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w:t>
      </w:r>
      <w:proofErr w:type="spellStart"/>
      <w:r w:rsidRPr="006E5307">
        <w:rPr>
          <w:rFonts w:ascii="Simplified Arabic" w:hAnsi="Simplified Arabic" w:cs="Simplified Arabic"/>
          <w:sz w:val="28"/>
          <w:szCs w:val="28"/>
        </w:rPr>
        <w:t>SmartPLS</w:t>
      </w:r>
      <w:proofErr w:type="spellEnd"/>
      <w:r w:rsidRPr="006E5307">
        <w:rPr>
          <w:rFonts w:ascii="Simplified Arabic" w:hAnsi="Simplified Arabic" w:cs="Simplified Arabic"/>
          <w:sz w:val="28"/>
          <w:szCs w:val="28"/>
        </w:rPr>
        <w:t>)</w:t>
      </w:r>
      <w:r w:rsidRPr="006E5307">
        <w:rPr>
          <w:rFonts w:ascii="Simplified Arabic" w:hAnsi="Simplified Arabic" w:cs="Simplified Arabic"/>
          <w:sz w:val="28"/>
          <w:szCs w:val="28"/>
          <w:rtl/>
        </w:rPr>
        <w:t xml:space="preserve">، وتكوّنت العينة من 736 مفردة من أصل 850 محترفاً بنسبة استجابة بلغت 86%. وتوصلت نتائج الدراسة </w:t>
      </w:r>
      <w:r w:rsidRPr="006E5307">
        <w:rPr>
          <w:rFonts w:ascii="Simplified Arabic" w:hAnsi="Simplified Arabic" w:cs="Simplified Arabic"/>
          <w:sz w:val="28"/>
          <w:szCs w:val="28"/>
          <w:rtl/>
        </w:rPr>
        <w:lastRenderedPageBreak/>
        <w:t>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1A806F8E" w14:textId="77777777" w:rsidR="00C47BC4" w:rsidRDefault="00C47BC4" w:rsidP="00C47BC4">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w:t>
      </w:r>
      <w:proofErr w:type="spellStart"/>
      <w:r w:rsidRPr="006E5307">
        <w:rPr>
          <w:rFonts w:ascii="Simplified Arabic" w:hAnsi="Simplified Arabic" w:cs="Simplified Arabic"/>
          <w:b/>
          <w:bCs/>
          <w:sz w:val="28"/>
          <w:szCs w:val="28"/>
          <w:lang w:bidi="ar-EG"/>
        </w:rPr>
        <w:t>Nathany</w:t>
      </w:r>
      <w:proofErr w:type="spellEnd"/>
      <w:r w:rsidRPr="006E5307">
        <w:rPr>
          <w:rFonts w:ascii="Simplified Arabic" w:hAnsi="Simplified Arabic" w:cs="Simplified Arabic"/>
          <w:b/>
          <w:bCs/>
          <w:sz w:val="28"/>
          <w:szCs w:val="28"/>
          <w:lang w:bidi="ar-EG"/>
        </w:rPr>
        <w:t xml:space="preserve">, </w:t>
      </w:r>
      <w:proofErr w:type="gramStart"/>
      <w:r w:rsidRPr="006E5307">
        <w:rPr>
          <w:rFonts w:ascii="Simplified Arabic" w:hAnsi="Simplified Arabic" w:cs="Simplified Arabic"/>
          <w:b/>
          <w:bCs/>
          <w:sz w:val="28"/>
          <w:szCs w:val="28"/>
          <w:lang w:bidi="ar-EG"/>
        </w:rPr>
        <w:t>2022)</w:t>
      </w:r>
      <w:r w:rsidRPr="009B5EF9">
        <w:rPr>
          <w:rFonts w:ascii="Simplified Arabic" w:hAnsi="Simplified Arabic" w:cs="Simplified Arabic"/>
          <w:b/>
          <w:bCs/>
          <w:sz w:val="28"/>
          <w:szCs w:val="28"/>
          <w:rtl/>
          <w:lang w:bidi="ar-EG"/>
        </w:rPr>
        <w:t>بعنوان</w:t>
      </w:r>
      <w:proofErr w:type="gramEnd"/>
      <w:r w:rsidRPr="009B5EF9">
        <w:rPr>
          <w:rFonts w:ascii="Simplified Arabic" w:hAnsi="Simplified Arabic" w:cs="Simplified Arabic"/>
          <w:b/>
          <w:bCs/>
          <w:sz w:val="28"/>
          <w:szCs w:val="28"/>
          <w:rtl/>
          <w:lang w:bidi="ar-EG"/>
        </w:rPr>
        <w:t>:</w:t>
      </w:r>
    </w:p>
    <w:p w14:paraId="4C4453D5" w14:textId="77777777" w:rsidR="00C47BC4" w:rsidRPr="009B5EF9" w:rsidRDefault="00C47BC4" w:rsidP="00C47BC4">
      <w:pPr>
        <w:bidi w:val="0"/>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7450E386" w14:textId="77777777" w:rsidR="00C47BC4" w:rsidRPr="006E5307"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5E358104" w14:textId="77777777" w:rsidR="00C47BC4" w:rsidRPr="009B5EF9" w:rsidRDefault="00C47BC4" w:rsidP="00C47BC4">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(Kumar et al.,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45A361AD"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7E700EB" w14:textId="7D44CF46"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xml:space="preserve">،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w:t>
      </w:r>
      <w:r w:rsidRPr="006E5307">
        <w:rPr>
          <w:rFonts w:ascii="Simplified Arabic" w:hAnsi="Simplified Arabic" w:cs="Simplified Arabic"/>
          <w:sz w:val="28"/>
          <w:szCs w:val="28"/>
          <w:rtl/>
        </w:rPr>
        <w:lastRenderedPageBreak/>
        <w:t>توقعاتها أقرب إلى البيانات الحقيقية مق</w:t>
      </w:r>
      <w:r w:rsidR="005C44E0">
        <w:rPr>
          <w:rFonts w:ascii="Simplified Arabic" w:hAnsi="Simplified Arabic" w:cs="Simplified Arabic" w:hint="cs"/>
          <w:sz w:val="28"/>
          <w:szCs w:val="28"/>
          <w:rtl/>
          <w:lang w:bidi="ar-EG"/>
        </w:rPr>
        <w:t>-</w:t>
      </w:r>
      <w:proofErr w:type="spellStart"/>
      <w:r w:rsidRPr="006E5307">
        <w:rPr>
          <w:rFonts w:ascii="Simplified Arabic" w:hAnsi="Simplified Arabic" w:cs="Simplified Arabic"/>
          <w:sz w:val="28"/>
          <w:szCs w:val="28"/>
          <w:rtl/>
        </w:rPr>
        <w:t>ارنة</w:t>
      </w:r>
      <w:proofErr w:type="spellEnd"/>
      <w:r w:rsidRPr="006E5307">
        <w:rPr>
          <w:rFonts w:ascii="Simplified Arabic" w:hAnsi="Simplified Arabic" w:cs="Simplified Arabic"/>
          <w:sz w:val="28"/>
          <w:szCs w:val="28"/>
          <w:rtl/>
        </w:rPr>
        <w:t xml:space="preserve">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641AED64" w14:textId="77777777" w:rsidR="00C47BC4" w:rsidRPr="009B5EF9" w:rsidRDefault="00C47BC4" w:rsidP="00C47BC4">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 xml:space="preserve">(Thenmozhi &amp; </w:t>
      </w:r>
      <w:proofErr w:type="spellStart"/>
      <w:r w:rsidRPr="006E5307">
        <w:rPr>
          <w:rFonts w:ascii="Simplified Arabic" w:hAnsi="Simplified Arabic" w:cs="Simplified Arabic"/>
          <w:b/>
          <w:bCs/>
          <w:sz w:val="28"/>
          <w:szCs w:val="28"/>
          <w:lang w:bidi="ar-EG"/>
        </w:rPr>
        <w:t>Krisknakumari</w:t>
      </w:r>
      <w:proofErr w:type="spellEnd"/>
      <w:r w:rsidRPr="006E5307">
        <w:rPr>
          <w:rFonts w:ascii="Simplified Arabic" w:hAnsi="Simplified Arabic" w:cs="Simplified Arabic"/>
          <w:b/>
          <w:bCs/>
          <w:sz w:val="28"/>
          <w:szCs w:val="28"/>
          <w:lang w:bidi="ar-EG"/>
        </w:rPr>
        <w:t>,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7812141B"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89A3688" w14:textId="77777777"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01AE87A6" w14:textId="77777777" w:rsidR="005C44E0" w:rsidRPr="005C44E0" w:rsidRDefault="005C44E0" w:rsidP="005C44E0">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5C44E0">
        <w:rPr>
          <w:rFonts w:ascii="Times New Roman" w:eastAsia="Times New Roman" w:hAnsi="Times New Roman" w:cs="Times New Roman"/>
          <w:b/>
          <w:bCs/>
          <w:kern w:val="0"/>
          <w:sz w:val="27"/>
          <w:szCs w:val="27"/>
          <w:rtl/>
          <w14:ligatures w14:val="none"/>
        </w:rPr>
        <w:t>جدول (8) المقارنة التحليلية للدراسات السابقة</w:t>
      </w:r>
    </w:p>
    <w:tbl>
      <w:tblPr>
        <w:tblStyle w:val="af1"/>
        <w:bidiVisual/>
        <w:tblW w:w="0" w:type="auto"/>
        <w:tblLayout w:type="fixed"/>
        <w:tblLook w:val="04A0" w:firstRow="1" w:lastRow="0" w:firstColumn="1" w:lastColumn="0" w:noHBand="0" w:noVBand="1"/>
      </w:tblPr>
      <w:tblGrid>
        <w:gridCol w:w="654"/>
        <w:gridCol w:w="993"/>
        <w:gridCol w:w="1787"/>
        <w:gridCol w:w="1018"/>
        <w:gridCol w:w="1086"/>
        <w:gridCol w:w="1296"/>
        <w:gridCol w:w="1029"/>
        <w:gridCol w:w="1153"/>
      </w:tblGrid>
      <w:tr w:rsidR="005C44E0" w:rsidRPr="005C44E0" w14:paraId="708F81AF" w14:textId="77777777" w:rsidTr="005C44E0">
        <w:tc>
          <w:tcPr>
            <w:tcW w:w="654" w:type="dxa"/>
            <w:hideMark/>
          </w:tcPr>
          <w:p w14:paraId="1F96A740"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14:ligatures w14:val="none"/>
              </w:rPr>
              <w:t>#</w:t>
            </w:r>
          </w:p>
        </w:tc>
        <w:tc>
          <w:tcPr>
            <w:tcW w:w="993" w:type="dxa"/>
            <w:hideMark/>
          </w:tcPr>
          <w:p w14:paraId="719B0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الباحث/السنة</w:t>
            </w:r>
          </w:p>
        </w:tc>
        <w:tc>
          <w:tcPr>
            <w:tcW w:w="1787" w:type="dxa"/>
            <w:hideMark/>
          </w:tcPr>
          <w:p w14:paraId="629DB48D"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عنوان الدراسة</w:t>
            </w:r>
          </w:p>
        </w:tc>
        <w:tc>
          <w:tcPr>
            <w:tcW w:w="1018" w:type="dxa"/>
            <w:hideMark/>
          </w:tcPr>
          <w:p w14:paraId="572474CA"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الهدف الرئيس</w:t>
            </w:r>
          </w:p>
        </w:tc>
        <w:tc>
          <w:tcPr>
            <w:tcW w:w="1086" w:type="dxa"/>
            <w:hideMark/>
          </w:tcPr>
          <w:p w14:paraId="2CA154F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المتغيرات الرئيسة</w:t>
            </w:r>
          </w:p>
        </w:tc>
        <w:tc>
          <w:tcPr>
            <w:tcW w:w="1296" w:type="dxa"/>
            <w:hideMark/>
          </w:tcPr>
          <w:p w14:paraId="4445F4B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المنهج والأداة</w:t>
            </w:r>
          </w:p>
        </w:tc>
        <w:tc>
          <w:tcPr>
            <w:tcW w:w="1029" w:type="dxa"/>
            <w:hideMark/>
          </w:tcPr>
          <w:p w14:paraId="4ACA7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أبرز النتائج</w:t>
            </w:r>
          </w:p>
        </w:tc>
        <w:tc>
          <w:tcPr>
            <w:tcW w:w="1153" w:type="dxa"/>
            <w:hideMark/>
          </w:tcPr>
          <w:p w14:paraId="537953C5"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أوجه الاتفاق والاختلاف مع الدراسة الحالية</w:t>
            </w:r>
          </w:p>
        </w:tc>
      </w:tr>
      <w:tr w:rsidR="005C44E0" w:rsidRPr="005C44E0" w14:paraId="61821275" w14:textId="77777777" w:rsidTr="005C44E0">
        <w:tc>
          <w:tcPr>
            <w:tcW w:w="654" w:type="dxa"/>
            <w:hideMark/>
          </w:tcPr>
          <w:p w14:paraId="4C6EFD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الأولى: دراسات الذكاء الاص</w:t>
            </w:r>
            <w:r w:rsidRPr="005C44E0">
              <w:rPr>
                <w:rFonts w:ascii="Simplified Arabic" w:eastAsia="Times New Roman" w:hAnsi="Simplified Arabic" w:cs="Simplified Arabic" w:hint="cs"/>
                <w:b/>
                <w:bCs/>
                <w:kern w:val="0"/>
                <w:sz w:val="22"/>
                <w:szCs w:val="22"/>
                <w:rtl/>
                <w14:ligatures w14:val="none"/>
              </w:rPr>
              <w:lastRenderedPageBreak/>
              <w:t>طناعي</w:t>
            </w:r>
          </w:p>
        </w:tc>
        <w:tc>
          <w:tcPr>
            <w:tcW w:w="993" w:type="dxa"/>
            <w:hideMark/>
          </w:tcPr>
          <w:p w14:paraId="5903CD7E"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01EF3EB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52464B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6DC19C62"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7994D0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0F2D792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5E8CFAE5"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CA20249" w14:textId="77777777" w:rsidTr="005C44E0">
        <w:tc>
          <w:tcPr>
            <w:tcW w:w="654" w:type="dxa"/>
            <w:hideMark/>
          </w:tcPr>
          <w:p w14:paraId="560B08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w:t>
            </w:r>
          </w:p>
        </w:tc>
        <w:tc>
          <w:tcPr>
            <w:tcW w:w="993" w:type="dxa"/>
            <w:hideMark/>
          </w:tcPr>
          <w:p w14:paraId="00556CE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المصاروة والسرحان</w:t>
            </w:r>
            <w:r w:rsidRPr="005C44E0">
              <w:rPr>
                <w:rFonts w:ascii="Simplified Arabic" w:eastAsia="Times New Roman" w:hAnsi="Simplified Arabic" w:cs="Simplified Arabic" w:hint="cs"/>
                <w:kern w:val="0"/>
                <w:sz w:val="22"/>
                <w:szCs w:val="22"/>
                <w14:ligatures w14:val="none"/>
              </w:rPr>
              <w:t xml:space="preserve"> (2021)</w:t>
            </w:r>
          </w:p>
        </w:tc>
        <w:tc>
          <w:tcPr>
            <w:tcW w:w="1787" w:type="dxa"/>
            <w:hideMark/>
          </w:tcPr>
          <w:p w14:paraId="683F06B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في الأداء المؤسسي في البنوك التجارية الأردنية</w:t>
            </w:r>
          </w:p>
        </w:tc>
        <w:tc>
          <w:tcPr>
            <w:tcW w:w="1018" w:type="dxa"/>
            <w:hideMark/>
          </w:tcPr>
          <w:p w14:paraId="54F2B5C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على الأداء المؤسسي بوساطة رأس المال الفكري</w:t>
            </w:r>
          </w:p>
        </w:tc>
        <w:tc>
          <w:tcPr>
            <w:tcW w:w="1086" w:type="dxa"/>
            <w:hideMark/>
          </w:tcPr>
          <w:p w14:paraId="7E33E30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(نظم خبيرة، تعلم آلي، سهولة </w:t>
            </w:r>
            <w:proofErr w:type="gramStart"/>
            <w:r w:rsidRPr="005C44E0">
              <w:rPr>
                <w:rFonts w:ascii="Simplified Arabic" w:eastAsia="Times New Roman" w:hAnsi="Simplified Arabic" w:cs="Simplified Arabic" w:hint="cs"/>
                <w:kern w:val="0"/>
                <w:sz w:val="22"/>
                <w:szCs w:val="22"/>
                <w:rtl/>
                <w14:ligatures w14:val="none"/>
              </w:rPr>
              <w:t>استعمال)/</w:t>
            </w:r>
            <w:proofErr w:type="gramEnd"/>
            <w:r w:rsidRPr="005C44E0">
              <w:rPr>
                <w:rFonts w:ascii="Simplified Arabic" w:eastAsia="Times New Roman" w:hAnsi="Simplified Arabic" w:cs="Simplified Arabic" w:hint="cs"/>
                <w:kern w:val="0"/>
                <w:sz w:val="22"/>
                <w:szCs w:val="22"/>
                <w:rtl/>
                <w14:ligatures w14:val="none"/>
              </w:rPr>
              <w:t xml:space="preserve"> تابع: الأداء المؤسسي/ وسيط: رأس المال الفكري</w:t>
            </w:r>
          </w:p>
        </w:tc>
        <w:tc>
          <w:tcPr>
            <w:tcW w:w="1296" w:type="dxa"/>
            <w:hideMark/>
          </w:tcPr>
          <w:p w14:paraId="2799D15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(338 إداري)</w:t>
            </w:r>
          </w:p>
        </w:tc>
        <w:tc>
          <w:tcPr>
            <w:tcW w:w="1029" w:type="dxa"/>
            <w:hideMark/>
          </w:tcPr>
          <w:p w14:paraId="530202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أثر مباشر وغير مباشر للذكاء الاصطناعي على الأداء المؤسسي عبر رأس المال الفكري</w:t>
            </w:r>
          </w:p>
        </w:tc>
        <w:tc>
          <w:tcPr>
            <w:tcW w:w="1153" w:type="dxa"/>
            <w:hideMark/>
          </w:tcPr>
          <w:p w14:paraId="0F19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القطاع المصرفي الأردني، أما الحالية فتتناول القطاع الحكومي السعودي ومتغيرها التابع مختلف</w:t>
            </w:r>
          </w:p>
        </w:tc>
      </w:tr>
      <w:tr w:rsidR="005C44E0" w:rsidRPr="005C44E0" w14:paraId="678A4848" w14:textId="77777777" w:rsidTr="005C44E0">
        <w:tc>
          <w:tcPr>
            <w:tcW w:w="654" w:type="dxa"/>
            <w:hideMark/>
          </w:tcPr>
          <w:p w14:paraId="4E3E99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2</w:t>
            </w:r>
          </w:p>
        </w:tc>
        <w:tc>
          <w:tcPr>
            <w:tcW w:w="993" w:type="dxa"/>
            <w:hideMark/>
          </w:tcPr>
          <w:p w14:paraId="5284CB45"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gramStart"/>
            <w:r w:rsidRPr="005C44E0">
              <w:rPr>
                <w:rFonts w:ascii="Simplified Arabic" w:eastAsia="Times New Roman" w:hAnsi="Simplified Arabic" w:cs="Simplified Arabic" w:hint="cs"/>
                <w:kern w:val="0"/>
                <w:sz w:val="22"/>
                <w:szCs w:val="22"/>
                <w:rtl/>
                <w14:ligatures w14:val="none"/>
              </w:rPr>
              <w:t>عبدالمنعم</w:t>
            </w:r>
            <w:proofErr w:type="gramEnd"/>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4B76F8D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الرشاقة الاستراتيجية في الجامعات الخاصة المصرية</w:t>
            </w:r>
          </w:p>
        </w:tc>
        <w:tc>
          <w:tcPr>
            <w:tcW w:w="1018" w:type="dxa"/>
            <w:hideMark/>
          </w:tcPr>
          <w:p w14:paraId="2E3479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فحص التأثير المباشر وغير المباشر للذكاء الاصطناعي على الرشاقة الاستراتيجية</w:t>
            </w:r>
          </w:p>
        </w:tc>
        <w:tc>
          <w:tcPr>
            <w:tcW w:w="1086" w:type="dxa"/>
            <w:hideMark/>
          </w:tcPr>
          <w:p w14:paraId="2E286B0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(الإدراك، تعلم الآلة، الأتمتة، المعلومات </w:t>
            </w:r>
            <w:proofErr w:type="gramStart"/>
            <w:r w:rsidRPr="005C44E0">
              <w:rPr>
                <w:rFonts w:ascii="Simplified Arabic" w:eastAsia="Times New Roman" w:hAnsi="Simplified Arabic" w:cs="Simplified Arabic" w:hint="cs"/>
                <w:kern w:val="0"/>
                <w:sz w:val="22"/>
                <w:szCs w:val="22"/>
                <w:rtl/>
                <w14:ligatures w14:val="none"/>
              </w:rPr>
              <w:t>العصبية)/</w:t>
            </w:r>
            <w:proofErr w:type="gramEnd"/>
            <w:r w:rsidRPr="005C44E0">
              <w:rPr>
                <w:rFonts w:ascii="Simplified Arabic" w:eastAsia="Times New Roman" w:hAnsi="Simplified Arabic" w:cs="Simplified Arabic" w:hint="cs"/>
                <w:kern w:val="0"/>
                <w:sz w:val="22"/>
                <w:szCs w:val="22"/>
                <w:rtl/>
                <w14:ligatures w14:val="none"/>
              </w:rPr>
              <w:t xml:space="preserve"> تابع: الرشاقة الاستراتيجية/ وسيط: الجدارات الرقمية</w:t>
            </w:r>
          </w:p>
        </w:tc>
        <w:tc>
          <w:tcPr>
            <w:tcW w:w="1296" w:type="dxa"/>
            <w:hideMark/>
          </w:tcPr>
          <w:p w14:paraId="5F9E734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كمي – استبانة (397 مفردة)</w:t>
            </w:r>
          </w:p>
        </w:tc>
        <w:tc>
          <w:tcPr>
            <w:tcW w:w="1029" w:type="dxa"/>
            <w:hideMark/>
          </w:tcPr>
          <w:p w14:paraId="5CB8A00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ذات دلالة إحصائية بين الذكاء الاصطناعي والرشاقة الاستراتيجية بوساطة الجدارات الرقمية</w:t>
            </w:r>
          </w:p>
        </w:tc>
        <w:tc>
          <w:tcPr>
            <w:tcW w:w="1153" w:type="dxa"/>
            <w:hideMark/>
          </w:tcPr>
          <w:p w14:paraId="31DF88A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المنهج الكمي والاستبانة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الرشاقة الاستراتيجية في القطاع التعليمي، أما الحالية فتتناول سلسلة القيمة التشغيلية في القطاع الحكومي</w:t>
            </w:r>
          </w:p>
        </w:tc>
      </w:tr>
      <w:tr w:rsidR="005C44E0" w:rsidRPr="005C44E0" w14:paraId="5D366698" w14:textId="77777777" w:rsidTr="005C44E0">
        <w:tc>
          <w:tcPr>
            <w:tcW w:w="654" w:type="dxa"/>
            <w:hideMark/>
          </w:tcPr>
          <w:p w14:paraId="3F03D5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3</w:t>
            </w:r>
          </w:p>
        </w:tc>
        <w:tc>
          <w:tcPr>
            <w:tcW w:w="993" w:type="dxa"/>
            <w:hideMark/>
          </w:tcPr>
          <w:p w14:paraId="111A374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طيبي ومولاي</w:t>
            </w:r>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35C7458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أثر الذكاء الاصطناعي على أداء البنوك </w:t>
            </w:r>
            <w:r w:rsidRPr="005C44E0">
              <w:rPr>
                <w:rFonts w:ascii="Simplified Arabic" w:eastAsia="Times New Roman" w:hAnsi="Simplified Arabic" w:cs="Simplified Arabic" w:hint="cs"/>
                <w:kern w:val="0"/>
                <w:sz w:val="22"/>
                <w:szCs w:val="22"/>
                <w:rtl/>
                <w14:ligatures w14:val="none"/>
              </w:rPr>
              <w:lastRenderedPageBreak/>
              <w:t>التجارية بولايتي البيض وتيارت</w:t>
            </w:r>
          </w:p>
        </w:tc>
        <w:tc>
          <w:tcPr>
            <w:tcW w:w="1018" w:type="dxa"/>
            <w:hideMark/>
          </w:tcPr>
          <w:p w14:paraId="38C348B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بيان تأثير الذكاء الاصطناع</w:t>
            </w:r>
            <w:r w:rsidRPr="005C44E0">
              <w:rPr>
                <w:rFonts w:ascii="Simplified Arabic" w:eastAsia="Times New Roman" w:hAnsi="Simplified Arabic" w:cs="Simplified Arabic" w:hint="cs"/>
                <w:kern w:val="0"/>
                <w:sz w:val="22"/>
                <w:szCs w:val="22"/>
                <w:rtl/>
                <w14:ligatures w14:val="none"/>
              </w:rPr>
              <w:lastRenderedPageBreak/>
              <w:t>ي في تحسين أداء البنوك التجارية</w:t>
            </w:r>
          </w:p>
        </w:tc>
        <w:tc>
          <w:tcPr>
            <w:tcW w:w="1086" w:type="dxa"/>
            <w:hideMark/>
          </w:tcPr>
          <w:p w14:paraId="36C9C4A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مستقل: الذكاء الاصطناعي</w:t>
            </w:r>
            <w:r w:rsidRPr="005C44E0">
              <w:rPr>
                <w:rFonts w:ascii="Simplified Arabic" w:eastAsia="Times New Roman" w:hAnsi="Simplified Arabic" w:cs="Simplified Arabic" w:hint="cs"/>
                <w:kern w:val="0"/>
                <w:sz w:val="22"/>
                <w:szCs w:val="22"/>
                <w:rtl/>
                <w14:ligatures w14:val="none"/>
              </w:rPr>
              <w:lastRenderedPageBreak/>
              <w:t>/ تابع: أداء البنوك التجارية</w:t>
            </w:r>
          </w:p>
        </w:tc>
        <w:tc>
          <w:tcPr>
            <w:tcW w:w="1296" w:type="dxa"/>
            <w:hideMark/>
          </w:tcPr>
          <w:p w14:paraId="75897C7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كمي – استبانة (100 موظف) </w:t>
            </w:r>
            <w:r w:rsidRPr="005C44E0">
              <w:rPr>
                <w:rFonts w:ascii="Simplified Arabic" w:eastAsia="Times New Roman" w:hAnsi="Simplified Arabic" w:cs="Simplified Arabic" w:hint="cs"/>
                <w:kern w:val="0"/>
                <w:sz w:val="22"/>
                <w:szCs w:val="22"/>
                <w:rtl/>
                <w14:ligatures w14:val="none"/>
              </w:rPr>
              <w:lastRenderedPageBreak/>
              <w:t>– نمذجة معادلات هيكلية</w:t>
            </w:r>
          </w:p>
        </w:tc>
        <w:tc>
          <w:tcPr>
            <w:tcW w:w="1029" w:type="dxa"/>
            <w:hideMark/>
          </w:tcPr>
          <w:p w14:paraId="3679374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وجود أثر ذي دلالة معنوية </w:t>
            </w:r>
            <w:r w:rsidRPr="005C44E0">
              <w:rPr>
                <w:rFonts w:ascii="Simplified Arabic" w:eastAsia="Times New Roman" w:hAnsi="Simplified Arabic" w:cs="Simplified Arabic" w:hint="cs"/>
                <w:kern w:val="0"/>
                <w:sz w:val="22"/>
                <w:szCs w:val="22"/>
                <w:rtl/>
                <w14:ligatures w14:val="none"/>
              </w:rPr>
              <w:lastRenderedPageBreak/>
              <w:t>للذكاء الاصطناعي على أداء البنوك التجارية</w:t>
            </w:r>
          </w:p>
        </w:tc>
        <w:tc>
          <w:tcPr>
            <w:tcW w:w="1153" w:type="dxa"/>
            <w:hideMark/>
          </w:tcPr>
          <w:p w14:paraId="634B5CD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 xml:space="preserve">إثبات الأثر الإيجابي </w:t>
            </w:r>
            <w:r w:rsidRPr="005C44E0">
              <w:rPr>
                <w:rFonts w:ascii="Simplified Arabic" w:eastAsia="Times New Roman" w:hAnsi="Simplified Arabic" w:cs="Simplified Arabic" w:hint="cs"/>
                <w:kern w:val="0"/>
                <w:sz w:val="22"/>
                <w:szCs w:val="22"/>
                <w:rtl/>
                <w14:ligatures w14:val="none"/>
              </w:rPr>
              <w:lastRenderedPageBreak/>
              <w:t>للذكاء الاصطناعي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حجم عينة أصغر، وسياق مصرفي جزائري، ومتغير تابع مختلف</w:t>
            </w:r>
          </w:p>
        </w:tc>
      </w:tr>
      <w:tr w:rsidR="005C44E0" w:rsidRPr="005C44E0" w14:paraId="21D593FE" w14:textId="77777777" w:rsidTr="005C44E0">
        <w:tc>
          <w:tcPr>
            <w:tcW w:w="654" w:type="dxa"/>
            <w:hideMark/>
          </w:tcPr>
          <w:p w14:paraId="0B0ACD0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4</w:t>
            </w:r>
          </w:p>
        </w:tc>
        <w:tc>
          <w:tcPr>
            <w:tcW w:w="993" w:type="dxa"/>
            <w:hideMark/>
          </w:tcPr>
          <w:p w14:paraId="3868706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صقر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19AC86E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ابتكار الخدمة في البنوك المصرية</w:t>
            </w:r>
          </w:p>
        </w:tc>
        <w:tc>
          <w:tcPr>
            <w:tcW w:w="1018" w:type="dxa"/>
            <w:hideMark/>
          </w:tcPr>
          <w:p w14:paraId="0AC0B00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تحديد دور الذكاء الاصطناعي في تحسين ابتكار الخدمات المصرفية</w:t>
            </w:r>
          </w:p>
        </w:tc>
        <w:tc>
          <w:tcPr>
            <w:tcW w:w="1086" w:type="dxa"/>
            <w:hideMark/>
          </w:tcPr>
          <w:p w14:paraId="1D2CC68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بأبعاده/ تابع: ابتكار الخدمة</w:t>
            </w:r>
          </w:p>
        </w:tc>
        <w:tc>
          <w:tcPr>
            <w:tcW w:w="1296" w:type="dxa"/>
            <w:hideMark/>
          </w:tcPr>
          <w:p w14:paraId="59C994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استقصاء (348 عميلاً)</w:t>
            </w:r>
          </w:p>
        </w:tc>
        <w:tc>
          <w:tcPr>
            <w:tcW w:w="1029" w:type="dxa"/>
            <w:hideMark/>
          </w:tcPr>
          <w:p w14:paraId="25518E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ارتباطية طردية بين أبعاد الذكاء الاصطناعي وابتكار الخدمات</w:t>
            </w:r>
          </w:p>
        </w:tc>
        <w:tc>
          <w:tcPr>
            <w:tcW w:w="1153" w:type="dxa"/>
            <w:hideMark/>
          </w:tcPr>
          <w:p w14:paraId="44D45BE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ابتكار الخدمة من منظور العملاء، أما الحالية فتتناول سلسلة القيمة التشغيلية من منظور الموظفين</w:t>
            </w:r>
          </w:p>
        </w:tc>
      </w:tr>
      <w:tr w:rsidR="005C44E0" w:rsidRPr="005C44E0" w14:paraId="4BE36D12" w14:textId="77777777" w:rsidTr="005C44E0">
        <w:tc>
          <w:tcPr>
            <w:tcW w:w="654" w:type="dxa"/>
            <w:hideMark/>
          </w:tcPr>
          <w:p w14:paraId="199B352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5</w:t>
            </w:r>
          </w:p>
        </w:tc>
        <w:tc>
          <w:tcPr>
            <w:tcW w:w="993" w:type="dxa"/>
            <w:hideMark/>
          </w:tcPr>
          <w:p w14:paraId="7253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حسن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4B45C6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من أجل التنمية المستدامة</w:t>
            </w:r>
          </w:p>
        </w:tc>
        <w:tc>
          <w:tcPr>
            <w:tcW w:w="1018" w:type="dxa"/>
            <w:hideMark/>
          </w:tcPr>
          <w:p w14:paraId="164A9D8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الاصطناعي في التعليم والتنمية المستدامة</w:t>
            </w:r>
          </w:p>
        </w:tc>
        <w:tc>
          <w:tcPr>
            <w:tcW w:w="1086" w:type="dxa"/>
            <w:hideMark/>
          </w:tcPr>
          <w:p w14:paraId="478A65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التنمية المستدامة</w:t>
            </w:r>
          </w:p>
        </w:tc>
        <w:tc>
          <w:tcPr>
            <w:tcW w:w="1296" w:type="dxa"/>
            <w:hideMark/>
          </w:tcPr>
          <w:p w14:paraId="236DDCC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استبانة (400 طالب + 25 عضو هيئة تدريس)</w:t>
            </w:r>
          </w:p>
        </w:tc>
        <w:tc>
          <w:tcPr>
            <w:tcW w:w="1029" w:type="dxa"/>
            <w:hideMark/>
          </w:tcPr>
          <w:p w14:paraId="48BA8A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علاقة معنوية بين تطبيقات الذكاء الاصطناعي والتنمية المستدامة</w:t>
            </w:r>
          </w:p>
        </w:tc>
        <w:tc>
          <w:tcPr>
            <w:tcW w:w="1153" w:type="dxa"/>
            <w:hideMark/>
          </w:tcPr>
          <w:p w14:paraId="375ED3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بالرؤى الوطنية للتنمية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تعليمي مصري، ومتغير تابع مختلف كلياً عن سلسلة القيمة التشغيلية</w:t>
            </w:r>
          </w:p>
        </w:tc>
      </w:tr>
      <w:tr w:rsidR="005C44E0" w:rsidRPr="005C44E0" w14:paraId="6BABDB61" w14:textId="77777777" w:rsidTr="005C44E0">
        <w:tc>
          <w:tcPr>
            <w:tcW w:w="654" w:type="dxa"/>
            <w:hideMark/>
          </w:tcPr>
          <w:p w14:paraId="6EDC3A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6</w:t>
            </w:r>
          </w:p>
        </w:tc>
        <w:tc>
          <w:tcPr>
            <w:tcW w:w="993" w:type="dxa"/>
            <w:hideMark/>
          </w:tcPr>
          <w:p w14:paraId="11BD677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الصفار</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2A36283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جودة الخدمات في شركة الاتصالات السعودية</w:t>
            </w:r>
          </w:p>
        </w:tc>
        <w:tc>
          <w:tcPr>
            <w:tcW w:w="1018" w:type="dxa"/>
            <w:hideMark/>
          </w:tcPr>
          <w:p w14:paraId="7AB117A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الاصطناعي في جودة الخدمات</w:t>
            </w:r>
          </w:p>
        </w:tc>
        <w:tc>
          <w:tcPr>
            <w:tcW w:w="1086" w:type="dxa"/>
            <w:hideMark/>
          </w:tcPr>
          <w:p w14:paraId="76E617F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(الوكلاء </w:t>
            </w:r>
            <w:proofErr w:type="gramStart"/>
            <w:r w:rsidRPr="005C44E0">
              <w:rPr>
                <w:rFonts w:ascii="Simplified Arabic" w:eastAsia="Times New Roman" w:hAnsi="Simplified Arabic" w:cs="Simplified Arabic" w:hint="cs"/>
                <w:kern w:val="0"/>
                <w:sz w:val="22"/>
                <w:szCs w:val="22"/>
                <w:rtl/>
                <w14:ligatures w14:val="none"/>
              </w:rPr>
              <w:t>الأذكياء)/</w:t>
            </w:r>
            <w:proofErr w:type="gramEnd"/>
            <w:r w:rsidRPr="005C44E0">
              <w:rPr>
                <w:rFonts w:ascii="Simplified Arabic" w:eastAsia="Times New Roman" w:hAnsi="Simplified Arabic" w:cs="Simplified Arabic" w:hint="cs"/>
                <w:kern w:val="0"/>
                <w:sz w:val="22"/>
                <w:szCs w:val="22"/>
                <w:rtl/>
                <w14:ligatures w14:val="none"/>
              </w:rPr>
              <w:t xml:space="preserve"> تابع: جودة الخدمات</w:t>
            </w:r>
          </w:p>
        </w:tc>
        <w:tc>
          <w:tcPr>
            <w:tcW w:w="1296" w:type="dxa"/>
            <w:hideMark/>
          </w:tcPr>
          <w:p w14:paraId="74317F7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(206 عاملين)</w:t>
            </w:r>
          </w:p>
        </w:tc>
        <w:tc>
          <w:tcPr>
            <w:tcW w:w="1029" w:type="dxa"/>
            <w:hideMark/>
          </w:tcPr>
          <w:p w14:paraId="29F50A3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ذو دلالة إحصائية للذكاء الاصطناعي مجتمعة على جودة الخدمات</w:t>
            </w:r>
          </w:p>
        </w:tc>
        <w:tc>
          <w:tcPr>
            <w:tcW w:w="1153" w:type="dxa"/>
            <w:hideMark/>
          </w:tcPr>
          <w:p w14:paraId="3895F38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السياق السعودي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الاتصالات الخاص، ومتغير تابع (جودة الخدمة) مختلف عن سلسلة القيمة التشغيلية</w:t>
            </w:r>
          </w:p>
        </w:tc>
      </w:tr>
      <w:tr w:rsidR="005C44E0" w:rsidRPr="005C44E0" w14:paraId="45E6A5A9" w14:textId="77777777" w:rsidTr="005C44E0">
        <w:tc>
          <w:tcPr>
            <w:tcW w:w="654" w:type="dxa"/>
            <w:hideMark/>
          </w:tcPr>
          <w:p w14:paraId="3B0BFC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الثانية: دراسات سلسلة القيمة التشغيلية</w:t>
            </w:r>
          </w:p>
        </w:tc>
        <w:tc>
          <w:tcPr>
            <w:tcW w:w="993" w:type="dxa"/>
            <w:hideMark/>
          </w:tcPr>
          <w:p w14:paraId="55E528E8"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35F2B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506DC46"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733D14E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09572FC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70D144CD"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2749664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27E4C0A1" w14:textId="77777777" w:rsidTr="005C44E0">
        <w:tc>
          <w:tcPr>
            <w:tcW w:w="654" w:type="dxa"/>
            <w:hideMark/>
          </w:tcPr>
          <w:p w14:paraId="3C6E30B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7</w:t>
            </w:r>
          </w:p>
        </w:tc>
        <w:tc>
          <w:tcPr>
            <w:tcW w:w="993" w:type="dxa"/>
            <w:hideMark/>
          </w:tcPr>
          <w:p w14:paraId="6A50B58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جاد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3550C0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قياس أثر المفاضلة المعيارية على سلاسل القيمة في شركات التحف بالقاهرة</w:t>
            </w:r>
          </w:p>
        </w:tc>
        <w:tc>
          <w:tcPr>
            <w:tcW w:w="1018" w:type="dxa"/>
            <w:hideMark/>
          </w:tcPr>
          <w:p w14:paraId="760814D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توضيح أثر المفاضلة المعيارية على تحسين سلاسل القيمة</w:t>
            </w:r>
          </w:p>
        </w:tc>
        <w:tc>
          <w:tcPr>
            <w:tcW w:w="1086" w:type="dxa"/>
            <w:hideMark/>
          </w:tcPr>
          <w:p w14:paraId="2F14EDD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المفاضلة المعيارية/ تابع: سلاسل القيمة</w:t>
            </w:r>
          </w:p>
        </w:tc>
        <w:tc>
          <w:tcPr>
            <w:tcW w:w="1296" w:type="dxa"/>
            <w:hideMark/>
          </w:tcPr>
          <w:p w14:paraId="50F490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15BE1F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طردية بين استخدام المفاضلة المعيارية وتحسين سلاسل القيمة</w:t>
            </w:r>
          </w:p>
        </w:tc>
        <w:tc>
          <w:tcPr>
            <w:tcW w:w="1153" w:type="dxa"/>
            <w:hideMark/>
          </w:tcPr>
          <w:p w14:paraId="4CF9D8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كمتغير تابع</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 xml:space="preserve">المتغير المستقل مختلف (المفاضلة المعيارية بدل الذكاء الاصطناعي)، والسياق </w:t>
            </w:r>
            <w:r w:rsidRPr="005C44E0">
              <w:rPr>
                <w:rFonts w:ascii="Simplified Arabic" w:eastAsia="Times New Roman" w:hAnsi="Simplified Arabic" w:cs="Simplified Arabic" w:hint="cs"/>
                <w:kern w:val="0"/>
                <w:sz w:val="22"/>
                <w:szCs w:val="22"/>
                <w:rtl/>
                <w14:ligatures w14:val="none"/>
              </w:rPr>
              <w:lastRenderedPageBreak/>
              <w:t>صناعي مصري</w:t>
            </w:r>
          </w:p>
        </w:tc>
      </w:tr>
      <w:tr w:rsidR="005C44E0" w:rsidRPr="005C44E0" w14:paraId="020EBEC0" w14:textId="77777777" w:rsidTr="005C44E0">
        <w:tc>
          <w:tcPr>
            <w:tcW w:w="654" w:type="dxa"/>
            <w:hideMark/>
          </w:tcPr>
          <w:p w14:paraId="0DBEB02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8</w:t>
            </w:r>
          </w:p>
        </w:tc>
        <w:tc>
          <w:tcPr>
            <w:tcW w:w="993" w:type="dxa"/>
            <w:hideMark/>
          </w:tcPr>
          <w:p w14:paraId="67780BC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غدير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3689BB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تأثير نظام معالجة المعاملات على الكفاءة التشغيلية في سوق الهال باللاذقية</w:t>
            </w:r>
          </w:p>
        </w:tc>
        <w:tc>
          <w:tcPr>
            <w:tcW w:w="1018" w:type="dxa"/>
            <w:hideMark/>
          </w:tcPr>
          <w:p w14:paraId="5F29E3A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بيان تأثير نظام معالجة المعاملات على الكفاءة التشغيلية</w:t>
            </w:r>
          </w:p>
        </w:tc>
        <w:tc>
          <w:tcPr>
            <w:tcW w:w="1086" w:type="dxa"/>
            <w:hideMark/>
          </w:tcPr>
          <w:p w14:paraId="650FCF1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نظام معالجة المعاملات/ تابع: الكفاءة التشغيلية</w:t>
            </w:r>
          </w:p>
        </w:tc>
        <w:tc>
          <w:tcPr>
            <w:tcW w:w="1296" w:type="dxa"/>
            <w:hideMark/>
          </w:tcPr>
          <w:p w14:paraId="2A8899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57565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معنوية بين نظم معالجة المعاملات والكفاءة التشغيلية (ر = 0.648)</w:t>
            </w:r>
          </w:p>
        </w:tc>
        <w:tc>
          <w:tcPr>
            <w:tcW w:w="1153" w:type="dxa"/>
            <w:hideMark/>
          </w:tcPr>
          <w:p w14:paraId="13C184C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متغير مستقل تقليدي (نظم معلومات) وليس ذكاءً اصطناعياً، والسياق تجاري سوري</w:t>
            </w:r>
          </w:p>
        </w:tc>
      </w:tr>
      <w:tr w:rsidR="005C44E0" w:rsidRPr="005C44E0" w14:paraId="7FCCEDC1" w14:textId="77777777" w:rsidTr="005C44E0">
        <w:tc>
          <w:tcPr>
            <w:tcW w:w="654" w:type="dxa"/>
            <w:hideMark/>
          </w:tcPr>
          <w:p w14:paraId="0AB88F0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9</w:t>
            </w:r>
          </w:p>
        </w:tc>
        <w:tc>
          <w:tcPr>
            <w:tcW w:w="993" w:type="dxa"/>
            <w:hideMark/>
          </w:tcPr>
          <w:p w14:paraId="65542A7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Mboyo et al. (2025)</w:t>
            </w:r>
          </w:p>
        </w:tc>
        <w:tc>
          <w:tcPr>
            <w:tcW w:w="1787" w:type="dxa"/>
            <w:hideMark/>
          </w:tcPr>
          <w:p w14:paraId="68EDA15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توزيع تكاليف التشغيل على طول سلسلة القيمة في منجم نحاس سطحي</w:t>
            </w:r>
          </w:p>
        </w:tc>
        <w:tc>
          <w:tcPr>
            <w:tcW w:w="1018" w:type="dxa"/>
            <w:hideMark/>
          </w:tcPr>
          <w:p w14:paraId="7F533E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التشغيل عبر حلقات سلسلة القيمة</w:t>
            </w:r>
          </w:p>
        </w:tc>
        <w:tc>
          <w:tcPr>
            <w:tcW w:w="1086" w:type="dxa"/>
            <w:hideMark/>
          </w:tcPr>
          <w:p w14:paraId="379D21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التوزيع </w:t>
            </w:r>
            <w:proofErr w:type="spellStart"/>
            <w:r w:rsidRPr="005C44E0">
              <w:rPr>
                <w:rFonts w:ascii="Simplified Arabic" w:eastAsia="Times New Roman" w:hAnsi="Simplified Arabic" w:cs="Simplified Arabic" w:hint="cs"/>
                <w:kern w:val="0"/>
                <w:sz w:val="22"/>
                <w:szCs w:val="22"/>
                <w:rtl/>
                <w14:ligatures w14:val="none"/>
              </w:rPr>
              <w:t>التكاليفي</w:t>
            </w:r>
            <w:proofErr w:type="spellEnd"/>
            <w:r w:rsidRPr="005C44E0">
              <w:rPr>
                <w:rFonts w:ascii="Simplified Arabic" w:eastAsia="Times New Roman" w:hAnsi="Simplified Arabic" w:cs="Simplified Arabic" w:hint="cs"/>
                <w:kern w:val="0"/>
                <w:sz w:val="22"/>
                <w:szCs w:val="22"/>
                <w:rtl/>
                <w14:ligatures w14:val="none"/>
              </w:rPr>
              <w:t xml:space="preserve"> على حلقات السلسلة</w:t>
            </w:r>
          </w:p>
        </w:tc>
        <w:tc>
          <w:tcPr>
            <w:tcW w:w="1296" w:type="dxa"/>
            <w:hideMark/>
          </w:tcPr>
          <w:p w14:paraId="220DB78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 قياسات تشغيلية فعلية</w:t>
            </w:r>
          </w:p>
        </w:tc>
        <w:tc>
          <w:tcPr>
            <w:tcW w:w="1029" w:type="dxa"/>
            <w:hideMark/>
          </w:tcPr>
          <w:p w14:paraId="034762A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التمزيق والطحن يمثلان 70% من إجمالي التكاليف</w:t>
            </w:r>
          </w:p>
        </w:tc>
        <w:tc>
          <w:tcPr>
            <w:tcW w:w="1153" w:type="dxa"/>
            <w:hideMark/>
          </w:tcPr>
          <w:p w14:paraId="64A096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التحليلي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تعديني، ومنهج تكاليفي بحت، دون تناول الذكاء الاصطناعي</w:t>
            </w:r>
          </w:p>
        </w:tc>
      </w:tr>
      <w:tr w:rsidR="005C44E0" w:rsidRPr="005C44E0" w14:paraId="04A64274" w14:textId="77777777" w:rsidTr="005C44E0">
        <w:tc>
          <w:tcPr>
            <w:tcW w:w="654" w:type="dxa"/>
            <w:hideMark/>
          </w:tcPr>
          <w:p w14:paraId="73C9FC6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10</w:t>
            </w:r>
          </w:p>
        </w:tc>
        <w:tc>
          <w:tcPr>
            <w:tcW w:w="993" w:type="dxa"/>
            <w:hideMark/>
          </w:tcPr>
          <w:p w14:paraId="26E4B57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 xml:space="preserve">Naas &amp; </w:t>
            </w:r>
            <w:proofErr w:type="spellStart"/>
            <w:r w:rsidRPr="005C44E0">
              <w:rPr>
                <w:rFonts w:ascii="Simplified Arabic" w:eastAsia="Times New Roman" w:hAnsi="Simplified Arabic" w:cs="Simplified Arabic" w:hint="cs"/>
                <w:kern w:val="0"/>
                <w:sz w:val="22"/>
                <w:szCs w:val="22"/>
                <w14:ligatures w14:val="none"/>
              </w:rPr>
              <w:t>Berass</w:t>
            </w:r>
            <w:proofErr w:type="spellEnd"/>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2F134D8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تحسين سلسلة القيمة من خلال الرقابة الإدارية في مؤسسة عامة</w:t>
            </w:r>
          </w:p>
        </w:tc>
        <w:tc>
          <w:tcPr>
            <w:tcW w:w="1018" w:type="dxa"/>
            <w:hideMark/>
          </w:tcPr>
          <w:p w14:paraId="129335E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الرقابة الإدارية في تحسين سلسلة القيمة</w:t>
            </w:r>
          </w:p>
        </w:tc>
        <w:tc>
          <w:tcPr>
            <w:tcW w:w="1086" w:type="dxa"/>
            <w:hideMark/>
          </w:tcPr>
          <w:p w14:paraId="348889C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الرقابة الإدارية/ تابع: سلسلة القيمة</w:t>
            </w:r>
          </w:p>
        </w:tc>
        <w:tc>
          <w:tcPr>
            <w:tcW w:w="1296" w:type="dxa"/>
            <w:hideMark/>
          </w:tcPr>
          <w:p w14:paraId="751B935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دراسة حالة</w:t>
            </w:r>
          </w:p>
        </w:tc>
        <w:tc>
          <w:tcPr>
            <w:tcW w:w="1029" w:type="dxa"/>
            <w:hideMark/>
          </w:tcPr>
          <w:p w14:paraId="3DEFE22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الرقابة الإدارية تُمكّن من قرارات مبنية على البيانات وتعزز القدرة التنافسية</w:t>
            </w:r>
          </w:p>
        </w:tc>
        <w:tc>
          <w:tcPr>
            <w:tcW w:w="1153" w:type="dxa"/>
            <w:hideMark/>
          </w:tcPr>
          <w:p w14:paraId="36C37D2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في مؤسسة عامة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متغير مستقل مختلف (رقابة إدارية بدل ذكاء اصطناعي)، ومنهج نوعي (دراسة حالة)</w:t>
            </w:r>
          </w:p>
        </w:tc>
      </w:tr>
      <w:tr w:rsidR="005C44E0" w:rsidRPr="005C44E0" w14:paraId="0DDB6478" w14:textId="77777777" w:rsidTr="005C44E0">
        <w:tc>
          <w:tcPr>
            <w:tcW w:w="654" w:type="dxa"/>
            <w:hideMark/>
          </w:tcPr>
          <w:p w14:paraId="79500F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11</w:t>
            </w:r>
          </w:p>
        </w:tc>
        <w:tc>
          <w:tcPr>
            <w:tcW w:w="993" w:type="dxa"/>
            <w:hideMark/>
          </w:tcPr>
          <w:p w14:paraId="0F6E3255"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Tyapukhin</w:t>
            </w:r>
            <w:proofErr w:type="spellEnd"/>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118DA22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مفهوم إدارة سلسلة القيمة</w:t>
            </w:r>
          </w:p>
        </w:tc>
        <w:tc>
          <w:tcPr>
            <w:tcW w:w="1018" w:type="dxa"/>
            <w:hideMark/>
          </w:tcPr>
          <w:p w14:paraId="019259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تطوير إطار متكامل لإدارة السلاسل</w:t>
            </w:r>
          </w:p>
        </w:tc>
        <w:tc>
          <w:tcPr>
            <w:tcW w:w="1086" w:type="dxa"/>
            <w:hideMark/>
          </w:tcPr>
          <w:p w14:paraId="6677F1F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إطار مفاهيمي لأنواع السلاسل</w:t>
            </w:r>
          </w:p>
        </w:tc>
        <w:tc>
          <w:tcPr>
            <w:tcW w:w="1296" w:type="dxa"/>
            <w:hideMark/>
          </w:tcPr>
          <w:p w14:paraId="2289EC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مصفوفات ثنائية</w:t>
            </w:r>
          </w:p>
        </w:tc>
        <w:tc>
          <w:tcPr>
            <w:tcW w:w="1029" w:type="dxa"/>
            <w:hideMark/>
          </w:tcPr>
          <w:p w14:paraId="204179D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تصنيفات جديدة وهيكل متكامل لمفهوم إدارة السلاسل</w:t>
            </w:r>
          </w:p>
        </w:tc>
        <w:tc>
          <w:tcPr>
            <w:tcW w:w="1153" w:type="dxa"/>
            <w:hideMark/>
          </w:tcPr>
          <w:p w14:paraId="0AEBA9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الأساس المفاهيمي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نظرية مفاهيمية دون تطبيق ميداني، ودون ربط بالذكاء الاصطناعي</w:t>
            </w:r>
          </w:p>
        </w:tc>
      </w:tr>
      <w:tr w:rsidR="005C44E0" w:rsidRPr="005C44E0" w14:paraId="4A9B995C" w14:textId="77777777" w:rsidTr="005C44E0">
        <w:tc>
          <w:tcPr>
            <w:tcW w:w="654" w:type="dxa"/>
            <w:hideMark/>
          </w:tcPr>
          <w:p w14:paraId="34AA1AE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12</w:t>
            </w:r>
          </w:p>
        </w:tc>
        <w:tc>
          <w:tcPr>
            <w:tcW w:w="993" w:type="dxa"/>
            <w:hideMark/>
          </w:tcPr>
          <w:p w14:paraId="7CD6B21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Fan et al. (2021)</w:t>
            </w:r>
          </w:p>
        </w:tc>
        <w:tc>
          <w:tcPr>
            <w:tcW w:w="1787" w:type="dxa"/>
            <w:hideMark/>
          </w:tcPr>
          <w:p w14:paraId="537AC9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التحليل التنافسي لنمط تشغيل سلسلة القيمة في الاقتصاد الأخضر</w:t>
            </w:r>
          </w:p>
        </w:tc>
        <w:tc>
          <w:tcPr>
            <w:tcW w:w="1018" w:type="dxa"/>
            <w:hideMark/>
          </w:tcPr>
          <w:p w14:paraId="2886FB8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نموذج التشغيل على الأداء التسويقي</w:t>
            </w:r>
          </w:p>
        </w:tc>
        <w:tc>
          <w:tcPr>
            <w:tcW w:w="1086" w:type="dxa"/>
            <w:hideMark/>
          </w:tcPr>
          <w:p w14:paraId="5D6B75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نموذج تشغيل سلسلة القيمة/ الأداء التسويقي</w:t>
            </w:r>
          </w:p>
        </w:tc>
        <w:tc>
          <w:tcPr>
            <w:tcW w:w="1296" w:type="dxa"/>
            <w:hideMark/>
          </w:tcPr>
          <w:p w14:paraId="7E8B8AC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نماذج محاكاة اقتصادية</w:t>
            </w:r>
            <w:r w:rsidRPr="005C44E0">
              <w:rPr>
                <w:rFonts w:ascii="Simplified Arabic" w:eastAsia="Times New Roman" w:hAnsi="Simplified Arabic" w:cs="Simplified Arabic" w:hint="cs"/>
                <w:kern w:val="0"/>
                <w:sz w:val="22"/>
                <w:szCs w:val="22"/>
                <w14:ligatures w14:val="none"/>
              </w:rPr>
              <w:t xml:space="preserve"> (Cournot &amp; Stackelberg)</w:t>
            </w:r>
          </w:p>
        </w:tc>
        <w:tc>
          <w:tcPr>
            <w:tcW w:w="1029" w:type="dxa"/>
            <w:hideMark/>
          </w:tcPr>
          <w:p w14:paraId="4A58F6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تحويل النمط للاقتصاد الأخضر يزيد نمو الدخل بنسبة 9.03</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51EEA0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منهج محاكاة اقتصادية، وسياق الاقتصاد الأخضر، دون تناول الذكاء الاصطناعي</w:t>
            </w:r>
          </w:p>
        </w:tc>
      </w:tr>
      <w:tr w:rsidR="005C44E0" w:rsidRPr="005C44E0" w14:paraId="3DC4D994" w14:textId="77777777" w:rsidTr="005C44E0">
        <w:tc>
          <w:tcPr>
            <w:tcW w:w="654" w:type="dxa"/>
            <w:hideMark/>
          </w:tcPr>
          <w:p w14:paraId="4E5743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الثالثة: دراسات الذكاء الاصطناعي وسلسلة القيمة معاً</w:t>
            </w:r>
          </w:p>
        </w:tc>
        <w:tc>
          <w:tcPr>
            <w:tcW w:w="993" w:type="dxa"/>
            <w:hideMark/>
          </w:tcPr>
          <w:p w14:paraId="04D0E019"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C31E3A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0F6EC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1BCDC13A"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F7A7EA0"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59589A1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371BBA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05BD70C" w14:textId="77777777" w:rsidTr="005C44E0">
        <w:tc>
          <w:tcPr>
            <w:tcW w:w="654" w:type="dxa"/>
            <w:hideMark/>
          </w:tcPr>
          <w:p w14:paraId="43DBE2A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13</w:t>
            </w:r>
          </w:p>
        </w:tc>
        <w:tc>
          <w:tcPr>
            <w:tcW w:w="993" w:type="dxa"/>
            <w:hideMark/>
          </w:tcPr>
          <w:p w14:paraId="6593CD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Yusuf et al. (2025)</w:t>
            </w:r>
          </w:p>
        </w:tc>
        <w:tc>
          <w:tcPr>
            <w:tcW w:w="1787" w:type="dxa"/>
            <w:hideMark/>
          </w:tcPr>
          <w:p w14:paraId="723FB2B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عمليات سلسلة الإمداد</w:t>
            </w:r>
          </w:p>
        </w:tc>
        <w:tc>
          <w:tcPr>
            <w:tcW w:w="1018" w:type="dxa"/>
            <w:hideMark/>
          </w:tcPr>
          <w:p w14:paraId="10B8030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العمليات التقليدية بالمعتمدة على الذكاء الاصطناعي</w:t>
            </w:r>
          </w:p>
        </w:tc>
        <w:tc>
          <w:tcPr>
            <w:tcW w:w="1086" w:type="dxa"/>
            <w:hideMark/>
          </w:tcPr>
          <w:p w14:paraId="7E59EB3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5AA10FC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تحليلية</w:t>
            </w:r>
          </w:p>
        </w:tc>
        <w:tc>
          <w:tcPr>
            <w:tcW w:w="1029" w:type="dxa"/>
            <w:hideMark/>
          </w:tcPr>
          <w:p w14:paraId="6FE7B9C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تحسن دقة التنبؤ بالطلب 20-30% وانخفاض الاضطرابات 25-40</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27CF221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سلسلة إمداد صناعية عالمية، أما الحالية فسلسلة قيمة تشغيلية حكومية سعودية</w:t>
            </w:r>
          </w:p>
        </w:tc>
      </w:tr>
      <w:tr w:rsidR="005C44E0" w:rsidRPr="005C44E0" w14:paraId="5879F41E" w14:textId="77777777" w:rsidTr="005C44E0">
        <w:tc>
          <w:tcPr>
            <w:tcW w:w="654" w:type="dxa"/>
            <w:hideMark/>
          </w:tcPr>
          <w:p w14:paraId="6E55C98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14</w:t>
            </w:r>
          </w:p>
        </w:tc>
        <w:tc>
          <w:tcPr>
            <w:tcW w:w="993" w:type="dxa"/>
            <w:hideMark/>
          </w:tcPr>
          <w:p w14:paraId="6C20A4D7"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Pokamestov</w:t>
            </w:r>
            <w:proofErr w:type="spellEnd"/>
            <w:r w:rsidRPr="005C44E0">
              <w:rPr>
                <w:rFonts w:ascii="Simplified Arabic" w:eastAsia="Times New Roman" w:hAnsi="Simplified Arabic" w:cs="Simplified Arabic" w:hint="cs"/>
                <w:kern w:val="0"/>
                <w:sz w:val="22"/>
                <w:szCs w:val="22"/>
                <w14:ligatures w14:val="none"/>
              </w:rPr>
              <w:t xml:space="preserve"> &amp; Nikitin (2024)</w:t>
            </w:r>
          </w:p>
        </w:tc>
        <w:tc>
          <w:tcPr>
            <w:tcW w:w="1787" w:type="dxa"/>
            <w:hideMark/>
          </w:tcPr>
          <w:p w14:paraId="3B60CED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تقنيات الذكاء الاصطناعي كأداة لتحويل سلاسل القيمة في البنوك التجارية الروسية</w:t>
            </w:r>
          </w:p>
        </w:tc>
        <w:tc>
          <w:tcPr>
            <w:tcW w:w="1018" w:type="dxa"/>
            <w:hideMark/>
          </w:tcPr>
          <w:p w14:paraId="0BEC800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إمكانية تطبيق الذكاء الاصطناعي في سلاسل القيمة المصرفية</w:t>
            </w:r>
          </w:p>
        </w:tc>
        <w:tc>
          <w:tcPr>
            <w:tcW w:w="1086" w:type="dxa"/>
            <w:hideMark/>
          </w:tcPr>
          <w:p w14:paraId="0AF93A0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القيمة المصرفية</w:t>
            </w:r>
          </w:p>
        </w:tc>
        <w:tc>
          <w:tcPr>
            <w:tcW w:w="1296" w:type="dxa"/>
            <w:hideMark/>
          </w:tcPr>
          <w:p w14:paraId="163501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تحليل حالات واقعية</w:t>
            </w:r>
          </w:p>
        </w:tc>
        <w:tc>
          <w:tcPr>
            <w:tcW w:w="1029" w:type="dxa"/>
            <w:hideMark/>
          </w:tcPr>
          <w:p w14:paraId="0A97CEF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نماذج الذكاء الاصطناعي تُشكّل عملية دعم مستقلة ترفع كفاءة الأنشطة الأساسية</w:t>
            </w:r>
          </w:p>
        </w:tc>
        <w:tc>
          <w:tcPr>
            <w:tcW w:w="1153" w:type="dxa"/>
            <w:hideMark/>
          </w:tcPr>
          <w:p w14:paraId="7CEAD8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مصرفي روسي، ومنهج تحليل حالات، أما الحالية فقطاع حكومي سعودي بمنهج كمي</w:t>
            </w:r>
          </w:p>
        </w:tc>
      </w:tr>
      <w:tr w:rsidR="005C44E0" w:rsidRPr="005C44E0" w14:paraId="449037C0" w14:textId="77777777" w:rsidTr="005C44E0">
        <w:tc>
          <w:tcPr>
            <w:tcW w:w="654" w:type="dxa"/>
            <w:hideMark/>
          </w:tcPr>
          <w:p w14:paraId="5997086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15</w:t>
            </w:r>
          </w:p>
        </w:tc>
        <w:tc>
          <w:tcPr>
            <w:tcW w:w="993" w:type="dxa"/>
            <w:hideMark/>
          </w:tcPr>
          <w:p w14:paraId="122B1C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Faisal (2025)</w:t>
            </w:r>
          </w:p>
        </w:tc>
        <w:tc>
          <w:tcPr>
            <w:tcW w:w="1787" w:type="dxa"/>
            <w:hideMark/>
          </w:tcPr>
          <w:p w14:paraId="1AE40D3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سلاسل الإمداد والمالية</w:t>
            </w:r>
          </w:p>
        </w:tc>
        <w:tc>
          <w:tcPr>
            <w:tcW w:w="1018" w:type="dxa"/>
            <w:hideMark/>
          </w:tcPr>
          <w:p w14:paraId="39DBB2E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تحديد أثر الذكاء الاصطناعي على الكفاءة وإدارة المخاطر</w:t>
            </w:r>
          </w:p>
        </w:tc>
        <w:tc>
          <w:tcPr>
            <w:tcW w:w="1086" w:type="dxa"/>
            <w:hideMark/>
          </w:tcPr>
          <w:p w14:paraId="3C6BED9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الكفاءة التشغيلية وإدارة المخاطر</w:t>
            </w:r>
          </w:p>
        </w:tc>
        <w:tc>
          <w:tcPr>
            <w:tcW w:w="1296" w:type="dxa"/>
            <w:hideMark/>
          </w:tcPr>
          <w:p w14:paraId="1385816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كمي – نموذج معادلات هيكلية</w:t>
            </w:r>
            <w:r w:rsidRPr="005C44E0">
              <w:rPr>
                <w:rFonts w:ascii="Simplified Arabic" w:eastAsia="Times New Roman" w:hAnsi="Simplified Arabic" w:cs="Simplified Arabic" w:hint="cs"/>
                <w:kern w:val="0"/>
                <w:sz w:val="22"/>
                <w:szCs w:val="22"/>
                <w14:ligatures w14:val="none"/>
              </w:rPr>
              <w:t xml:space="preserve"> (</w:t>
            </w:r>
            <w:proofErr w:type="spellStart"/>
            <w:r w:rsidRPr="005C44E0">
              <w:rPr>
                <w:rFonts w:ascii="Simplified Arabic" w:eastAsia="Times New Roman" w:hAnsi="Simplified Arabic" w:cs="Simplified Arabic" w:hint="cs"/>
                <w:kern w:val="0"/>
                <w:sz w:val="22"/>
                <w:szCs w:val="22"/>
                <w14:ligatures w14:val="none"/>
              </w:rPr>
              <w:t>SmartPLS</w:t>
            </w:r>
            <w:proofErr w:type="spellEnd"/>
            <w:r w:rsidRPr="005C44E0">
              <w:rPr>
                <w:rFonts w:ascii="Simplified Arabic" w:eastAsia="Times New Roman" w:hAnsi="Simplified Arabic" w:cs="Simplified Arabic" w:hint="cs"/>
                <w:kern w:val="0"/>
                <w:sz w:val="22"/>
                <w:szCs w:val="22"/>
                <w14:ligatures w14:val="none"/>
              </w:rPr>
              <w:t xml:space="preserve">) – 736 </w:t>
            </w:r>
            <w:r w:rsidRPr="005C44E0">
              <w:rPr>
                <w:rFonts w:ascii="Simplified Arabic" w:eastAsia="Times New Roman" w:hAnsi="Simplified Arabic" w:cs="Simplified Arabic" w:hint="cs"/>
                <w:kern w:val="0"/>
                <w:sz w:val="22"/>
                <w:szCs w:val="22"/>
                <w:rtl/>
                <w14:ligatures w14:val="none"/>
              </w:rPr>
              <w:t>مفردة</w:t>
            </w:r>
          </w:p>
        </w:tc>
        <w:tc>
          <w:tcPr>
            <w:tcW w:w="1029" w:type="dxa"/>
            <w:hideMark/>
          </w:tcPr>
          <w:p w14:paraId="03C15E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علاقات دالة بين دمج الذكاء الاصطناعي وتحسين الكفاءة التشغيلية</w:t>
            </w:r>
          </w:p>
        </w:tc>
        <w:tc>
          <w:tcPr>
            <w:tcW w:w="1153" w:type="dxa"/>
            <w:hideMark/>
          </w:tcPr>
          <w:p w14:paraId="2C5E9BE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الكمي والربط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هندي في قطاع خاص، أما الحالية فسياق حكومي سعودي</w:t>
            </w:r>
          </w:p>
        </w:tc>
      </w:tr>
      <w:tr w:rsidR="005C44E0" w:rsidRPr="005C44E0" w14:paraId="52672862" w14:textId="77777777" w:rsidTr="005C44E0">
        <w:tc>
          <w:tcPr>
            <w:tcW w:w="654" w:type="dxa"/>
            <w:hideMark/>
          </w:tcPr>
          <w:p w14:paraId="6BB78F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16</w:t>
            </w:r>
          </w:p>
        </w:tc>
        <w:tc>
          <w:tcPr>
            <w:tcW w:w="993" w:type="dxa"/>
            <w:hideMark/>
          </w:tcPr>
          <w:p w14:paraId="7BFA9850"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Nathany</w:t>
            </w:r>
            <w:proofErr w:type="spellEnd"/>
            <w:r w:rsidRPr="005C44E0">
              <w:rPr>
                <w:rFonts w:ascii="Simplified Arabic" w:eastAsia="Times New Roman" w:hAnsi="Simplified Arabic" w:cs="Simplified Arabic" w:hint="cs"/>
                <w:kern w:val="0"/>
                <w:sz w:val="22"/>
                <w:szCs w:val="22"/>
                <w14:ligatures w14:val="none"/>
              </w:rPr>
              <w:t xml:space="preserve"> (2022)</w:t>
            </w:r>
          </w:p>
        </w:tc>
        <w:tc>
          <w:tcPr>
            <w:tcW w:w="1787" w:type="dxa"/>
            <w:hideMark/>
          </w:tcPr>
          <w:p w14:paraId="57B21F3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سلسلة الإمداد</w:t>
            </w:r>
          </w:p>
        </w:tc>
        <w:tc>
          <w:tcPr>
            <w:tcW w:w="1018" w:type="dxa"/>
            <w:hideMark/>
          </w:tcPr>
          <w:p w14:paraId="676529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تطبيقات الذكاء الاصطناعي في سلاسل الإمداد</w:t>
            </w:r>
          </w:p>
        </w:tc>
        <w:tc>
          <w:tcPr>
            <w:tcW w:w="1086" w:type="dxa"/>
            <w:hideMark/>
          </w:tcPr>
          <w:p w14:paraId="2EF4D74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01F3B43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مراجعة منهجية للأدبيات</w:t>
            </w:r>
          </w:p>
        </w:tc>
        <w:tc>
          <w:tcPr>
            <w:tcW w:w="1029" w:type="dxa"/>
            <w:hideMark/>
          </w:tcPr>
          <w:p w14:paraId="7D5520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يعزز كفاءة العمليات ودقة التنبؤ وإدارة المخزون</w:t>
            </w:r>
          </w:p>
        </w:tc>
        <w:tc>
          <w:tcPr>
            <w:tcW w:w="1153" w:type="dxa"/>
            <w:hideMark/>
          </w:tcPr>
          <w:p w14:paraId="45DD35D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مكتبية وليست ميدانية، وسياق سلاسل إمداد صناعية</w:t>
            </w:r>
          </w:p>
        </w:tc>
      </w:tr>
      <w:tr w:rsidR="005C44E0" w:rsidRPr="005C44E0" w14:paraId="5C09D6CE" w14:textId="77777777" w:rsidTr="005C44E0">
        <w:tc>
          <w:tcPr>
            <w:tcW w:w="654" w:type="dxa"/>
            <w:hideMark/>
          </w:tcPr>
          <w:p w14:paraId="5A85290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17</w:t>
            </w:r>
          </w:p>
        </w:tc>
        <w:tc>
          <w:tcPr>
            <w:tcW w:w="993" w:type="dxa"/>
            <w:hideMark/>
          </w:tcPr>
          <w:p w14:paraId="418464F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Kumar et al. (2024)</w:t>
            </w:r>
          </w:p>
        </w:tc>
        <w:tc>
          <w:tcPr>
            <w:tcW w:w="1787" w:type="dxa"/>
            <w:hideMark/>
          </w:tcPr>
          <w:p w14:paraId="0F22F7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إدارة العمليات</w:t>
            </w:r>
          </w:p>
        </w:tc>
        <w:tc>
          <w:tcPr>
            <w:tcW w:w="1018" w:type="dxa"/>
            <w:hideMark/>
          </w:tcPr>
          <w:p w14:paraId="4B708AA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خوارزميات التعلم الآلي بالأساليب التقليدية في التنبؤ</w:t>
            </w:r>
          </w:p>
        </w:tc>
        <w:tc>
          <w:tcPr>
            <w:tcW w:w="1086" w:type="dxa"/>
            <w:hideMark/>
          </w:tcPr>
          <w:p w14:paraId="3785043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خوارزميات التعلم الآلي/ تابع: التنبؤ بالطلب</w:t>
            </w:r>
          </w:p>
        </w:tc>
        <w:tc>
          <w:tcPr>
            <w:tcW w:w="1296" w:type="dxa"/>
            <w:hideMark/>
          </w:tcPr>
          <w:p w14:paraId="04FE6A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كمية بين خوارزميات</w:t>
            </w:r>
          </w:p>
        </w:tc>
        <w:tc>
          <w:tcPr>
            <w:tcW w:w="1029" w:type="dxa"/>
            <w:hideMark/>
          </w:tcPr>
          <w:p w14:paraId="2F3AFCF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تفوق نماذج التعلم الآلي في دقة التنبؤ على الأساليب التقليدية</w:t>
            </w:r>
          </w:p>
        </w:tc>
        <w:tc>
          <w:tcPr>
            <w:tcW w:w="1153" w:type="dxa"/>
            <w:hideMark/>
          </w:tcPr>
          <w:p w14:paraId="0506417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الذكاء الاصطناعي في العمليات</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تركيز على التنبؤ بالطلب في قطاع السيارات الهندي، دون تناول شامل لسلسلة القيمة</w:t>
            </w:r>
          </w:p>
        </w:tc>
      </w:tr>
      <w:tr w:rsidR="005C44E0" w:rsidRPr="005C44E0" w14:paraId="0C130EA5" w14:textId="77777777" w:rsidTr="005C44E0">
        <w:tc>
          <w:tcPr>
            <w:tcW w:w="654" w:type="dxa"/>
            <w:hideMark/>
          </w:tcPr>
          <w:p w14:paraId="00828A9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18</w:t>
            </w:r>
          </w:p>
        </w:tc>
        <w:tc>
          <w:tcPr>
            <w:tcW w:w="993" w:type="dxa"/>
            <w:hideMark/>
          </w:tcPr>
          <w:p w14:paraId="2B0C3A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 xml:space="preserve">Thenmozhi &amp; </w:t>
            </w:r>
            <w:proofErr w:type="spellStart"/>
            <w:r w:rsidRPr="005C44E0">
              <w:rPr>
                <w:rFonts w:ascii="Simplified Arabic" w:eastAsia="Times New Roman" w:hAnsi="Simplified Arabic" w:cs="Simplified Arabic" w:hint="cs"/>
                <w:kern w:val="0"/>
                <w:sz w:val="22"/>
                <w:szCs w:val="22"/>
                <w14:ligatures w14:val="none"/>
              </w:rPr>
              <w:t>Krisknakumari</w:t>
            </w:r>
            <w:proofErr w:type="spellEnd"/>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F1E7AA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تعزيز الكفاءة التشغيلية في اللوجستيات</w:t>
            </w:r>
          </w:p>
        </w:tc>
        <w:tc>
          <w:tcPr>
            <w:tcW w:w="1018" w:type="dxa"/>
            <w:hideMark/>
          </w:tcPr>
          <w:p w14:paraId="1F53166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في الكفاءة التشغيلية</w:t>
            </w:r>
          </w:p>
        </w:tc>
        <w:tc>
          <w:tcPr>
            <w:tcW w:w="1086" w:type="dxa"/>
            <w:hideMark/>
          </w:tcPr>
          <w:p w14:paraId="518FD1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الكفاءة التشغيلية</w:t>
            </w:r>
          </w:p>
        </w:tc>
        <w:tc>
          <w:tcPr>
            <w:tcW w:w="1296" w:type="dxa"/>
            <w:hideMark/>
          </w:tcPr>
          <w:p w14:paraId="155AE2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مراجعة أدبيات</w:t>
            </w:r>
          </w:p>
        </w:tc>
        <w:tc>
          <w:tcPr>
            <w:tcW w:w="1029" w:type="dxa"/>
            <w:hideMark/>
          </w:tcPr>
          <w:p w14:paraId="5AAFEF5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يُسهم في الأتمتة ودقة التنبؤ وتحسين تجربة العملاء</w:t>
            </w:r>
          </w:p>
        </w:tc>
        <w:tc>
          <w:tcPr>
            <w:tcW w:w="1153" w:type="dxa"/>
            <w:hideMark/>
          </w:tcPr>
          <w:p w14:paraId="2A7CAD5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مكتبية دون تطبيق ميداني، وسياق لوجستي وليس حكومي</w:t>
            </w:r>
          </w:p>
        </w:tc>
      </w:tr>
    </w:tbl>
    <w:p w14:paraId="216B33AF" w14:textId="77777777" w:rsidR="005C44E0" w:rsidRPr="005C44E0" w:rsidRDefault="005C44E0" w:rsidP="00C47BC4">
      <w:pPr>
        <w:jc w:val="both"/>
        <w:rPr>
          <w:rFonts w:ascii="Simplified Arabic" w:hAnsi="Simplified Arabic" w:cs="Simplified Arabic"/>
          <w:sz w:val="28"/>
          <w:szCs w:val="28"/>
          <w:rtl/>
          <w:lang w:bidi="ar-EG"/>
        </w:rPr>
      </w:pPr>
    </w:p>
    <w:p w14:paraId="7F2B00CE" w14:textId="1C6AF8D0" w:rsidR="00C47BC4" w:rsidRDefault="00C47BC4" w:rsidP="00C47BC4">
      <w:pPr>
        <w:pStyle w:val="1"/>
        <w:rPr>
          <w:rtl/>
        </w:rPr>
      </w:pPr>
      <w:bookmarkStart w:id="17" w:name="_Toc202053530"/>
      <w:r>
        <w:rPr>
          <w:rFonts w:hint="cs"/>
          <w:rtl/>
        </w:rPr>
        <w:lastRenderedPageBreak/>
        <w:t>الفجوة البحثية</w:t>
      </w:r>
      <w:bookmarkEnd w:id="17"/>
      <w:r>
        <w:rPr>
          <w:rFonts w:hint="cs"/>
          <w:rtl/>
        </w:rPr>
        <w:t xml:space="preserve"> </w:t>
      </w:r>
    </w:p>
    <w:p w14:paraId="4BA9434E"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يكشف استعراض الدراسات السابقة في مجموعاتها الثلاث عن اتجاه عام يؤكد أهمية الذكاء الاصطناعي في تحسين الأداء المؤسسي وسلاسل القيمة، إلا أن هذه الدراسات مجتمعةً تترك فجوات بحثية واضحة تسعى الدراسة الحالية إلى معالجتها بشكل مباشر</w:t>
      </w:r>
      <w:r w:rsidRPr="00071EE4">
        <w:rPr>
          <w:rFonts w:ascii="Simplified Arabic" w:hAnsi="Simplified Arabic" w:cs="Simplified Arabic"/>
          <w:sz w:val="28"/>
          <w:szCs w:val="28"/>
          <w:highlight w:val="yellow"/>
        </w:rPr>
        <w:t>.</w:t>
      </w:r>
    </w:p>
    <w:p w14:paraId="3787D2CA"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أولاً: الفجوة في السياق التطبيقي</w:t>
      </w:r>
      <w:r w:rsidRPr="00071EE4">
        <w:rPr>
          <w:rFonts w:ascii="Simplified Arabic" w:hAnsi="Simplified Arabic" w:cs="Simplified Arabic"/>
          <w:b/>
          <w:bCs/>
          <w:sz w:val="28"/>
          <w:szCs w:val="28"/>
          <w:highlight w:val="yellow"/>
        </w:rPr>
        <w:t>:</w:t>
      </w:r>
    </w:p>
    <w:p w14:paraId="70AE65D9"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ركّزت الدراسات السابقة على قطاعات محددة كالبنوك (المصاروة والسرحان 2021؛ طيبي ومولاي 2023؛ صقر وآخرون 2024)، والتعليم (حسن وآخرون 2024)، والاتصالات (الصفار 2024)، والصناعة (جاد وآخرون 2024)، واللوجستيات</w:t>
      </w:r>
      <w:r w:rsidRPr="00071EE4">
        <w:rPr>
          <w:rFonts w:ascii="Simplified Arabic" w:hAnsi="Simplified Arabic" w:cs="Simplified Arabic"/>
          <w:sz w:val="28"/>
          <w:szCs w:val="28"/>
          <w:highlight w:val="yellow"/>
        </w:rPr>
        <w:t xml:space="preserve"> (Yusuf et al., 2025</w:t>
      </w:r>
      <w:r w:rsidRPr="00071EE4">
        <w:rPr>
          <w:rFonts w:ascii="Simplified Arabic" w:hAnsi="Simplified Arabic" w:cs="Simplified Arabic"/>
          <w:sz w:val="28"/>
          <w:szCs w:val="28"/>
          <w:highlight w:val="yellow"/>
          <w:rtl/>
        </w:rPr>
        <w:t>؛</w:t>
      </w:r>
      <w:r w:rsidRPr="00071EE4">
        <w:rPr>
          <w:rFonts w:ascii="Simplified Arabic" w:hAnsi="Simplified Arabic" w:cs="Simplified Arabic"/>
          <w:sz w:val="28"/>
          <w:szCs w:val="28"/>
          <w:highlight w:val="yellow"/>
        </w:rPr>
        <w:t xml:space="preserve"> </w:t>
      </w:r>
      <w:proofErr w:type="spellStart"/>
      <w:r w:rsidRPr="00071EE4">
        <w:rPr>
          <w:rFonts w:ascii="Simplified Arabic" w:hAnsi="Simplified Arabic" w:cs="Simplified Arabic"/>
          <w:sz w:val="28"/>
          <w:szCs w:val="28"/>
          <w:highlight w:val="yellow"/>
        </w:rPr>
        <w:t>Nathany</w:t>
      </w:r>
      <w:proofErr w:type="spellEnd"/>
      <w:r w:rsidRPr="00071EE4">
        <w:rPr>
          <w:rFonts w:ascii="Simplified Arabic" w:hAnsi="Simplified Arabic" w:cs="Simplified Arabic"/>
          <w:sz w:val="28"/>
          <w:szCs w:val="28"/>
          <w:highlight w:val="yellow"/>
        </w:rPr>
        <w:t xml:space="preserve"> 2022). </w:t>
      </w:r>
      <w:r w:rsidRPr="00071EE4">
        <w:rPr>
          <w:rFonts w:ascii="Simplified Arabic" w:hAnsi="Simplified Arabic" w:cs="Simplified Arabic"/>
          <w:sz w:val="28"/>
          <w:szCs w:val="28"/>
          <w:highlight w:val="yellow"/>
          <w:rtl/>
        </w:rPr>
        <w:t>ولم تتناول أي منها المؤسسات الحكومية الكبرى في المملكة العربية السعودية، رغم أن هذه المؤسسات تختلف عن القطاعات المذكورة في طبيعة عملها والقيود التي تحكمها ونوعية القيمة التي تسعى لتحقيقها. وتسد الدراسة الحالية هذه الفجوة من خلال التركيز على القطاع الحكومي السعودي مع مراعاة خصوصيته النظرية، لا مجرد اعتباره ميداناً جديداً لتطبيق نتائج جاهزة</w:t>
      </w:r>
      <w:r w:rsidRPr="00071EE4">
        <w:rPr>
          <w:rFonts w:ascii="Simplified Arabic" w:hAnsi="Simplified Arabic" w:cs="Simplified Arabic"/>
          <w:sz w:val="28"/>
          <w:szCs w:val="28"/>
          <w:highlight w:val="yellow"/>
        </w:rPr>
        <w:t>.</w:t>
      </w:r>
    </w:p>
    <w:p w14:paraId="6D862732"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ثانياً: الفجوة في المتغير التابع</w:t>
      </w:r>
      <w:r w:rsidRPr="00071EE4">
        <w:rPr>
          <w:rFonts w:ascii="Simplified Arabic" w:hAnsi="Simplified Arabic" w:cs="Simplified Arabic"/>
          <w:b/>
          <w:bCs/>
          <w:sz w:val="28"/>
          <w:szCs w:val="28"/>
          <w:highlight w:val="yellow"/>
        </w:rPr>
        <w:t>:</w:t>
      </w:r>
    </w:p>
    <w:p w14:paraId="4E9AA29F"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تعاملت معظم الدراسات السابقة مع نتائج الذكاء الاصطناعي بوصفها متغيرات متعددة كالأداء المؤسسي، والرشاقة الاستراتيجية، وابتكار الخدمة، وجودة الخدمات. وحين تناولت بعض الدراسات سلسلة القيمة أو الكفاءة التشغيلية، فقد فعلت ذلك من زوايا جزئية كالتكاليف</w:t>
      </w:r>
      <w:r w:rsidRPr="00071EE4">
        <w:rPr>
          <w:rFonts w:ascii="Simplified Arabic" w:hAnsi="Simplified Arabic" w:cs="Simplified Arabic"/>
          <w:sz w:val="28"/>
          <w:szCs w:val="28"/>
          <w:highlight w:val="yellow"/>
        </w:rPr>
        <w:t xml:space="preserve"> (Mboyo et al., 2025)</w:t>
      </w:r>
      <w:r w:rsidRPr="00071EE4">
        <w:rPr>
          <w:rFonts w:ascii="Simplified Arabic" w:hAnsi="Simplified Arabic" w:cs="Simplified Arabic"/>
          <w:sz w:val="28"/>
          <w:szCs w:val="28"/>
          <w:highlight w:val="yellow"/>
          <w:rtl/>
        </w:rPr>
        <w:t>، أو الرقابة الإدارية</w:t>
      </w:r>
      <w:r w:rsidRPr="00071EE4">
        <w:rPr>
          <w:rFonts w:ascii="Simplified Arabic" w:hAnsi="Simplified Arabic" w:cs="Simplified Arabic"/>
          <w:sz w:val="28"/>
          <w:szCs w:val="28"/>
          <w:highlight w:val="yellow"/>
        </w:rPr>
        <w:t xml:space="preserve"> (Naas &amp; </w:t>
      </w:r>
      <w:proofErr w:type="spellStart"/>
      <w:r w:rsidRPr="00071EE4">
        <w:rPr>
          <w:rFonts w:ascii="Simplified Arabic" w:hAnsi="Simplified Arabic" w:cs="Simplified Arabic"/>
          <w:sz w:val="28"/>
          <w:szCs w:val="28"/>
          <w:highlight w:val="yellow"/>
        </w:rPr>
        <w:t>Berass</w:t>
      </w:r>
      <w:proofErr w:type="spellEnd"/>
      <w:r w:rsidRPr="00071EE4">
        <w:rPr>
          <w:rFonts w:ascii="Simplified Arabic" w:hAnsi="Simplified Arabic" w:cs="Simplified Arabic"/>
          <w:sz w:val="28"/>
          <w:szCs w:val="28"/>
          <w:highlight w:val="yellow"/>
        </w:rPr>
        <w:t>, 2024)</w:t>
      </w:r>
      <w:r w:rsidRPr="00071EE4">
        <w:rPr>
          <w:rFonts w:ascii="Simplified Arabic" w:hAnsi="Simplified Arabic" w:cs="Simplified Arabic"/>
          <w:sz w:val="28"/>
          <w:szCs w:val="28"/>
          <w:highlight w:val="yellow"/>
          <w:rtl/>
        </w:rPr>
        <w:t>، أو نظم معالجة المعاملات (غدير وآخرون 2024). وتُقدّم الدراسة الحالية إسهاماً أصيلاً في هذا الجانب من خلال تناول سلسلة القيمة التشغيلية بوصفها متغيراً تابعاً متكاملاً بأبعاد أربعة تعكس منظومة العمل الحكومي من مرحلة استقبال الطلب إلى مرحلة ما بعد تقديم الخدمة</w:t>
      </w:r>
      <w:r w:rsidRPr="00071EE4">
        <w:rPr>
          <w:rFonts w:ascii="Simplified Arabic" w:hAnsi="Simplified Arabic" w:cs="Simplified Arabic"/>
          <w:sz w:val="28"/>
          <w:szCs w:val="28"/>
          <w:highlight w:val="yellow"/>
        </w:rPr>
        <w:t>.</w:t>
      </w:r>
    </w:p>
    <w:p w14:paraId="1D5D9889"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ثالثاً: الفجوة في الإطار النظري</w:t>
      </w:r>
      <w:r w:rsidRPr="00071EE4">
        <w:rPr>
          <w:rFonts w:ascii="Simplified Arabic" w:hAnsi="Simplified Arabic" w:cs="Simplified Arabic"/>
          <w:b/>
          <w:bCs/>
          <w:sz w:val="28"/>
          <w:szCs w:val="28"/>
          <w:highlight w:val="yellow"/>
        </w:rPr>
        <w:t>:</w:t>
      </w:r>
    </w:p>
    <w:p w14:paraId="2AB19364"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اعتمدت الدراسات السابقة في الغالب على إطار نظري واحد لتفسير أثر الذكاء الاصطناعي، سواء كان نظرية الموارد أو نموذج قبول التقنية أو نظرية الابتكار. وتُقدّم الدراسة الحالية إسهاماً نظرياً من خلال الدمج بين ثلاث نظريات هي نظرية الموارد وإطار</w:t>
      </w:r>
      <w:r w:rsidRPr="00071EE4">
        <w:rPr>
          <w:rFonts w:ascii="Simplified Arabic" w:hAnsi="Simplified Arabic" w:cs="Simplified Arabic"/>
          <w:sz w:val="28"/>
          <w:szCs w:val="28"/>
          <w:highlight w:val="yellow"/>
        </w:rPr>
        <w:t xml:space="preserve"> TOE </w:t>
      </w:r>
      <w:r w:rsidRPr="00071EE4">
        <w:rPr>
          <w:rFonts w:ascii="Simplified Arabic" w:hAnsi="Simplified Arabic" w:cs="Simplified Arabic"/>
          <w:sz w:val="28"/>
          <w:szCs w:val="28"/>
          <w:highlight w:val="yellow"/>
          <w:rtl/>
        </w:rPr>
        <w:t xml:space="preserve">والنظرية المؤسسية في نموذج واحد يُفسّر كيف </w:t>
      </w:r>
      <w:r w:rsidRPr="00071EE4">
        <w:rPr>
          <w:rFonts w:ascii="Simplified Arabic" w:hAnsi="Simplified Arabic" w:cs="Simplified Arabic"/>
          <w:sz w:val="28"/>
          <w:szCs w:val="28"/>
          <w:highlight w:val="yellow"/>
          <w:rtl/>
        </w:rPr>
        <w:lastRenderedPageBreak/>
        <w:t>يتحول الذكاء الاصطناعي من مورد تقني إلى قدرة تشغيلية داخل بيئة حكومية لها قيودها وضغوطها الخاصة، وهو ما لم تُقدّمه أي من الدراسات السابقة</w:t>
      </w:r>
      <w:r w:rsidRPr="00071EE4">
        <w:rPr>
          <w:rFonts w:ascii="Simplified Arabic" w:hAnsi="Simplified Arabic" w:cs="Simplified Arabic"/>
          <w:sz w:val="28"/>
          <w:szCs w:val="28"/>
          <w:highlight w:val="yellow"/>
        </w:rPr>
        <w:t>.</w:t>
      </w:r>
    </w:p>
    <w:p w14:paraId="79703213"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رابعاً: الفجوة في التمييز بين فئات المؤسسات الحكومية</w:t>
      </w:r>
      <w:r w:rsidRPr="00071EE4">
        <w:rPr>
          <w:rFonts w:ascii="Simplified Arabic" w:hAnsi="Simplified Arabic" w:cs="Simplified Arabic"/>
          <w:b/>
          <w:bCs/>
          <w:sz w:val="28"/>
          <w:szCs w:val="28"/>
          <w:highlight w:val="yellow"/>
        </w:rPr>
        <w:t>:</w:t>
      </w:r>
    </w:p>
    <w:p w14:paraId="603DFF6E"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تعاملت الدراسات القليلة التي تناولت القطاع العام مع المؤسسات الحكومية بوصفها كتلة واحدة متجانسة. وتُقدّم الدراسة الحالية إسهاماً تحليلياً من خلال التمييز بين ثلاث فئات مختلفة من المؤسسات الحكومية (خدمية، سيادية، متخصصة)، واختبار ما إذا كان أثر الذكاء الاصطناعي على سلسلة القيمة يختلف بين هذه الفئات باستخدام تحليل المجموعات المتعددة، وهو مدخل تحليلي جديد في هذا الحقل</w:t>
      </w:r>
      <w:r w:rsidRPr="00071EE4">
        <w:rPr>
          <w:rFonts w:ascii="Simplified Arabic" w:hAnsi="Simplified Arabic" w:cs="Simplified Arabic"/>
          <w:sz w:val="28"/>
          <w:szCs w:val="28"/>
          <w:highlight w:val="yellow"/>
        </w:rPr>
        <w:t>.</w:t>
      </w:r>
    </w:p>
    <w:p w14:paraId="457D1AF8"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خامساً: الفجوة في الإسهام التطبيقي</w:t>
      </w:r>
      <w:r w:rsidRPr="00071EE4">
        <w:rPr>
          <w:rFonts w:ascii="Simplified Arabic" w:hAnsi="Simplified Arabic" w:cs="Simplified Arabic"/>
          <w:b/>
          <w:bCs/>
          <w:sz w:val="28"/>
          <w:szCs w:val="28"/>
          <w:highlight w:val="yellow"/>
        </w:rPr>
        <w:t>:</w:t>
      </w:r>
    </w:p>
    <w:p w14:paraId="6B80672B"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اكتفت معظم الدراسات السابقة بتقديم توصيات عامة في نهاية نتائجها. وتسعى الدراسة الحالية إلى تجاوز هذا المستوى من خلال بناء مقياس متخصص لسلسلة القيمة التشغيلية الحكومية يمكن للباحثين اللاحقين استخدامه، إضافة إلى تطوير مؤشر تشخيصي لجاهزية المؤسسات الحكومية لتكامل الذكاء الاصطناعي مع سلسلة قيمتها التشغيلية، بحيث تصبح نتائج الدراسة أداة عملية قابلة للتطبيق لا مجرد توصيات نظرية</w:t>
      </w:r>
      <w:r w:rsidRPr="00071EE4">
        <w:rPr>
          <w:rFonts w:ascii="Simplified Arabic" w:hAnsi="Simplified Arabic" w:cs="Simplified Arabic"/>
          <w:sz w:val="28"/>
          <w:szCs w:val="28"/>
          <w:highlight w:val="yellow"/>
        </w:rPr>
        <w:t>.</w:t>
      </w:r>
    </w:p>
    <w:p w14:paraId="3802DCF9" w14:textId="77777777" w:rsidR="00071EE4" w:rsidRPr="00071EE4" w:rsidRDefault="00071EE4" w:rsidP="00071EE4">
      <w:pPr>
        <w:jc w:val="both"/>
        <w:rPr>
          <w:rFonts w:ascii="Simplified Arabic" w:hAnsi="Simplified Arabic" w:cs="Simplified Arabic"/>
          <w:sz w:val="28"/>
          <w:szCs w:val="28"/>
        </w:rPr>
      </w:pPr>
      <w:r w:rsidRPr="00071EE4">
        <w:rPr>
          <w:rFonts w:ascii="Simplified Arabic" w:hAnsi="Simplified Arabic" w:cs="Simplified Arabic"/>
          <w:sz w:val="28"/>
          <w:szCs w:val="28"/>
          <w:highlight w:val="yellow"/>
          <w:rtl/>
        </w:rPr>
        <w:t>وبناءً على ما سبق، لا تسعى الدراسة الحالية إلى ملء فراغ بحثي فحسب، بل تُقدّم إسهامات محددة على أربعة مستويات</w:t>
      </w:r>
      <w:r w:rsidRPr="00071EE4">
        <w:rPr>
          <w:rFonts w:ascii="Simplified Arabic" w:hAnsi="Simplified Arabic" w:cs="Simplified Arabic"/>
          <w:sz w:val="28"/>
          <w:szCs w:val="28"/>
          <w:highlight w:val="yellow"/>
        </w:rPr>
        <w:t xml:space="preserve">: </w:t>
      </w:r>
      <w:proofErr w:type="spellStart"/>
      <w:r w:rsidRPr="00071EE4">
        <w:rPr>
          <w:rFonts w:ascii="Simplified Arabic" w:hAnsi="Simplified Arabic" w:cs="Simplified Arabic"/>
          <w:sz w:val="28"/>
          <w:szCs w:val="28"/>
          <w:highlight w:val="yellow"/>
          <w:rtl/>
        </w:rPr>
        <w:t>سياقياً</w:t>
      </w:r>
      <w:proofErr w:type="spellEnd"/>
      <w:r w:rsidRPr="00071EE4">
        <w:rPr>
          <w:rFonts w:ascii="Simplified Arabic" w:hAnsi="Simplified Arabic" w:cs="Simplified Arabic"/>
          <w:sz w:val="28"/>
          <w:szCs w:val="28"/>
          <w:highlight w:val="yellow"/>
          <w:rtl/>
        </w:rPr>
        <w:t xml:space="preserve"> بتناولها القطاع الحكومي السعودي بخصوصيته، ونظرياً بدمجها ثلاث نظريات في نموذج واحد، ومنهجياً بتطوير مقياس متخصص وإجراء تحليل مقارن بين فئات المؤسسات، وتطبيقياً ببناء مؤشر تشخيصي عملي</w:t>
      </w:r>
      <w:r w:rsidRPr="00071EE4">
        <w:rPr>
          <w:rFonts w:ascii="Simplified Arabic" w:hAnsi="Simplified Arabic" w:cs="Simplified Arabic"/>
          <w:sz w:val="28"/>
          <w:szCs w:val="28"/>
          <w:highlight w:val="yellow"/>
        </w:rPr>
        <w:t>.</w:t>
      </w:r>
    </w:p>
    <w:p w14:paraId="6CF5029B" w14:textId="77777777" w:rsidR="00C47BC4" w:rsidRPr="0081357B" w:rsidRDefault="00C47BC4" w:rsidP="00C47BC4">
      <w:pPr>
        <w:pStyle w:val="1"/>
        <w:rPr>
          <w:rFonts w:hint="cs"/>
          <w:rtl/>
        </w:rPr>
      </w:pPr>
      <w:r w:rsidRPr="0081357B">
        <w:rPr>
          <w:rtl/>
        </w:rPr>
        <w:t>الاعتبارات والقيود الأخلاقية</w:t>
      </w:r>
    </w:p>
    <w:p w14:paraId="0E71E54E"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أولاً: الاعتبارات الأخلاقية</w:t>
      </w:r>
    </w:p>
    <w:p w14:paraId="42769184"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ستحرص الدراسة على تطبيق منظومة أخلاقية صارمة تشمل ما يلي</w:t>
      </w:r>
      <w:r w:rsidRPr="0081357B">
        <w:rPr>
          <w:rFonts w:ascii="Simplified Arabic" w:eastAsia="Times New Roman" w:hAnsi="Simplified Arabic" w:cs="Simplified Arabic" w:hint="cs"/>
          <w:kern w:val="0"/>
          <w:sz w:val="28"/>
          <w:szCs w:val="28"/>
          <w14:ligatures w14:val="none"/>
        </w:rPr>
        <w:t>:</w:t>
      </w:r>
    </w:p>
    <w:p w14:paraId="59B946EC"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81357B">
        <w:rPr>
          <w:rFonts w:ascii="Simplified Arabic" w:eastAsia="Times New Roman" w:hAnsi="Simplified Arabic" w:cs="Simplified Arabic" w:hint="cs"/>
          <w:kern w:val="0"/>
          <w:sz w:val="28"/>
          <w:szCs w:val="28"/>
          <w14:ligatures w14:val="none"/>
        </w:rPr>
        <w:t>.</w:t>
      </w:r>
    </w:p>
    <w:p w14:paraId="33E2C100"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lastRenderedPageBreak/>
        <w:t xml:space="preserve"> </w:t>
      </w:r>
      <w:r w:rsidRPr="0081357B">
        <w:rPr>
          <w:rFonts w:ascii="Simplified Arabic" w:eastAsia="Times New Roman" w:hAnsi="Simplified Arabic" w:cs="Simplified Arabic" w:hint="cs"/>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81357B">
        <w:rPr>
          <w:rFonts w:ascii="Simplified Arabic" w:eastAsia="Times New Roman" w:hAnsi="Simplified Arabic" w:cs="Simplified Arabic" w:hint="cs"/>
          <w:kern w:val="0"/>
          <w:sz w:val="28"/>
          <w:szCs w:val="28"/>
          <w14:ligatures w14:val="none"/>
        </w:rPr>
        <w:t>.</w:t>
      </w:r>
    </w:p>
    <w:p w14:paraId="1D12DAB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81357B">
        <w:rPr>
          <w:rFonts w:ascii="Simplified Arabic" w:eastAsia="Times New Roman" w:hAnsi="Simplified Arabic" w:cs="Simplified Arabic" w:hint="cs"/>
          <w:kern w:val="0"/>
          <w:sz w:val="28"/>
          <w:szCs w:val="28"/>
          <w14:ligatures w14:val="none"/>
        </w:rPr>
        <w:t>.</w:t>
      </w:r>
    </w:p>
    <w:p w14:paraId="775E7845"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81357B">
        <w:rPr>
          <w:rFonts w:ascii="Simplified Arabic" w:eastAsia="Times New Roman" w:hAnsi="Simplified Arabic" w:cs="Simplified Arabic" w:hint="cs"/>
          <w:kern w:val="0"/>
          <w:sz w:val="28"/>
          <w:szCs w:val="28"/>
          <w14:ligatures w14:val="none"/>
        </w:rPr>
        <w:t>.</w:t>
      </w:r>
    </w:p>
    <w:p w14:paraId="7E38F9A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81357B">
        <w:rPr>
          <w:rFonts w:ascii="Simplified Arabic" w:eastAsia="Times New Roman" w:hAnsi="Simplified Arabic" w:cs="Simplified Arabic" w:hint="cs"/>
          <w:kern w:val="0"/>
          <w:sz w:val="28"/>
          <w:szCs w:val="28"/>
          <w14:ligatures w14:val="none"/>
        </w:rPr>
        <w:t>.</w:t>
      </w:r>
    </w:p>
    <w:p w14:paraId="6ACF89E9"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81357B">
        <w:rPr>
          <w:rFonts w:ascii="Simplified Arabic" w:eastAsia="Times New Roman" w:hAnsi="Simplified Arabic" w:cs="Simplified Arabic" w:hint="cs"/>
          <w:kern w:val="0"/>
          <w:sz w:val="28"/>
          <w:szCs w:val="28"/>
          <w14:ligatures w14:val="none"/>
        </w:rPr>
        <w:t>.</w:t>
      </w:r>
    </w:p>
    <w:p w14:paraId="36EA99AB"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81357B">
        <w:rPr>
          <w:rFonts w:ascii="Simplified Arabic" w:eastAsia="Times New Roman" w:hAnsi="Simplified Arabic" w:cs="Simplified Arabic" w:hint="cs"/>
          <w:kern w:val="0"/>
          <w:sz w:val="28"/>
          <w:szCs w:val="28"/>
          <w14:ligatures w14:val="none"/>
        </w:rPr>
        <w:t>.</w:t>
      </w:r>
    </w:p>
    <w:p w14:paraId="61160FDC"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ثانياً: قيود الدراسة</w:t>
      </w:r>
    </w:p>
    <w:p w14:paraId="266B437D"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ستُقر الدراسة بمجموعة من القيود المنهجية والعملية التي قد تؤثر على تفسير النتائج أو تعميمها، وتشمل</w:t>
      </w:r>
      <w:r w:rsidRPr="0081357B">
        <w:rPr>
          <w:rFonts w:ascii="Simplified Arabic" w:eastAsia="Times New Roman" w:hAnsi="Simplified Arabic" w:cs="Simplified Arabic" w:hint="cs"/>
          <w:kern w:val="0"/>
          <w:sz w:val="28"/>
          <w:szCs w:val="28"/>
          <w14:ligatures w14:val="none"/>
        </w:rPr>
        <w:t>:</w:t>
      </w:r>
    </w:p>
    <w:p w14:paraId="7C08E0B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محدودية الوصول إلى البيانات الحساسة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81357B">
        <w:rPr>
          <w:rFonts w:ascii="Simplified Arabic" w:eastAsia="Times New Roman" w:hAnsi="Simplified Arabic" w:cs="Simplified Arabic" w:hint="cs"/>
          <w:kern w:val="0"/>
          <w:sz w:val="28"/>
          <w:szCs w:val="28"/>
          <w14:ligatures w14:val="none"/>
        </w:rPr>
        <w:t>.</w:t>
      </w:r>
    </w:p>
    <w:p w14:paraId="7BA178D6"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التفاوت في تبنّي التقنيات الرقمية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81357B">
        <w:rPr>
          <w:rFonts w:ascii="Simplified Arabic" w:eastAsia="Times New Roman" w:hAnsi="Simplified Arabic" w:cs="Simplified Arabic" w:hint="cs"/>
          <w:kern w:val="0"/>
          <w:sz w:val="28"/>
          <w:szCs w:val="28"/>
          <w14:ligatures w14:val="none"/>
        </w:rPr>
        <w:t>.</w:t>
      </w:r>
    </w:p>
    <w:p w14:paraId="7CA597F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الحساسية التنظيمية للمقابلات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81357B">
        <w:rPr>
          <w:rFonts w:ascii="Simplified Arabic" w:eastAsia="Times New Roman" w:hAnsi="Simplified Arabic" w:cs="Simplified Arabic" w:hint="cs"/>
          <w:kern w:val="0"/>
          <w:sz w:val="28"/>
          <w:szCs w:val="28"/>
          <w14:ligatures w14:val="none"/>
        </w:rPr>
        <w:t>.</w:t>
      </w:r>
    </w:p>
    <w:p w14:paraId="77C399B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قيود العينة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81357B">
        <w:rPr>
          <w:rFonts w:ascii="Simplified Arabic" w:eastAsia="Times New Roman" w:hAnsi="Simplified Arabic" w:cs="Simplified Arabic" w:hint="cs"/>
          <w:kern w:val="0"/>
          <w:sz w:val="28"/>
          <w:szCs w:val="28"/>
          <w14:ligatures w14:val="none"/>
        </w:rPr>
        <w:t>.</w:t>
      </w:r>
    </w:p>
    <w:p w14:paraId="25EC401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التغيرات السريعة في سياسات التحول الرقمي</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81357B">
        <w:rPr>
          <w:rFonts w:ascii="Simplified Arabic" w:eastAsia="Times New Roman" w:hAnsi="Simplified Arabic" w:cs="Simplified Arabic" w:hint="cs"/>
          <w:kern w:val="0"/>
          <w:sz w:val="28"/>
          <w:szCs w:val="28"/>
          <w14:ligatures w14:val="none"/>
        </w:rPr>
        <w:t>.</w:t>
      </w:r>
    </w:p>
    <w:p w14:paraId="7362B67F"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 xml:space="preserve">إمكان وجود تحيز </w:t>
      </w:r>
      <w:proofErr w:type="spellStart"/>
      <w:r w:rsidRPr="0081357B">
        <w:rPr>
          <w:rFonts w:ascii="Simplified Arabic" w:eastAsia="Times New Roman" w:hAnsi="Simplified Arabic" w:cs="Simplified Arabic" w:hint="cs"/>
          <w:kern w:val="0"/>
          <w:sz w:val="28"/>
          <w:szCs w:val="28"/>
          <w:rtl/>
          <w14:ligatures w14:val="none"/>
        </w:rPr>
        <w:t>استجابي</w:t>
      </w:r>
      <w:proofErr w:type="spellEnd"/>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81357B">
        <w:rPr>
          <w:rFonts w:ascii="Simplified Arabic" w:eastAsia="Times New Roman" w:hAnsi="Simplified Arabic" w:cs="Simplified Arabic" w:hint="cs"/>
          <w:kern w:val="0"/>
          <w:sz w:val="28"/>
          <w:szCs w:val="28"/>
          <w14:ligatures w14:val="none"/>
        </w:rPr>
        <w:t>.</w:t>
      </w:r>
    </w:p>
    <w:p w14:paraId="4ED778C2" w14:textId="54F82B4F" w:rsidR="00DE18A5" w:rsidRPr="00B91104" w:rsidRDefault="00DE18A5" w:rsidP="00D439AC">
      <w:pPr>
        <w:pStyle w:val="1"/>
        <w:rPr>
          <w:rtl/>
        </w:rPr>
      </w:pPr>
      <w:r w:rsidRPr="00B91104">
        <w:rPr>
          <w:rtl/>
        </w:rPr>
        <w:lastRenderedPageBreak/>
        <w:t>قائمة المراجع:</w:t>
      </w:r>
      <w:bookmarkEnd w:id="14"/>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w:t>
      </w:r>
      <w:proofErr w:type="gramStart"/>
      <w:r w:rsidRPr="00332430">
        <w:rPr>
          <w:rFonts w:ascii="Simplified Arabic" w:hAnsi="Simplified Arabic" w:cs="Simplified Arabic"/>
          <w:sz w:val="28"/>
          <w:szCs w:val="28"/>
          <w:rtl/>
          <w:lang w:bidi="ar-EG"/>
        </w:rPr>
        <w:t>و يوسف</w:t>
      </w:r>
      <w:proofErr w:type="gramEnd"/>
      <w:r w:rsidRPr="00332430">
        <w:rPr>
          <w:rFonts w:ascii="Simplified Arabic" w:hAnsi="Simplified Arabic" w:cs="Simplified Arabic"/>
          <w:sz w:val="28"/>
          <w:szCs w:val="28"/>
          <w:rtl/>
          <w:lang w:bidi="ar-EG"/>
        </w:rPr>
        <w:t xml:space="preserve">، محمد وجدي </w:t>
      </w:r>
      <w:proofErr w:type="gramStart"/>
      <w:r w:rsidRPr="00332430">
        <w:rPr>
          <w:rFonts w:ascii="Simplified Arabic" w:hAnsi="Simplified Arabic" w:cs="Simplified Arabic"/>
          <w:sz w:val="28"/>
          <w:szCs w:val="28"/>
          <w:rtl/>
          <w:lang w:bidi="ar-EG"/>
        </w:rPr>
        <w:t>عبدالفتاح</w:t>
      </w:r>
      <w:proofErr w:type="gramEnd"/>
      <w:r w:rsidRPr="00332430">
        <w:rPr>
          <w:rFonts w:ascii="Simplified Arabic" w:hAnsi="Simplified Arabic" w:cs="Simplified Arabic"/>
          <w:sz w:val="28"/>
          <w:szCs w:val="28"/>
          <w:rtl/>
          <w:lang w:bidi="ar-EG"/>
        </w:rPr>
        <w:t>. (2024). دور الذكاء الاصطناعي من أجل التنمية المستدامة. مجلة راية الدولية للعلوم التجارية، مج3, ع</w:t>
      </w:r>
      <w:proofErr w:type="gramStart"/>
      <w:r w:rsidRPr="00332430">
        <w:rPr>
          <w:rFonts w:ascii="Simplified Arabic" w:hAnsi="Simplified Arabic" w:cs="Simplified Arabic"/>
          <w:sz w:val="28"/>
          <w:szCs w:val="28"/>
          <w:rtl/>
          <w:lang w:bidi="ar-EG"/>
        </w:rPr>
        <w:t>10 ،</w:t>
      </w:r>
      <w:proofErr w:type="gramEnd"/>
      <w:r w:rsidRPr="00332430">
        <w:rPr>
          <w:rFonts w:ascii="Simplified Arabic" w:hAnsi="Simplified Arabic" w:cs="Simplified Arabic"/>
          <w:sz w:val="28"/>
          <w:szCs w:val="28"/>
          <w:rtl/>
          <w:lang w:bidi="ar-EG"/>
        </w:rPr>
        <w:t xml:space="preserve"> 1435 - 1472. مسترجع من </w:t>
      </w:r>
      <w:hyperlink r:id="rId14"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w:t>
      </w:r>
      <w:proofErr w:type="gramStart"/>
      <w:r w:rsidRPr="00332430">
        <w:rPr>
          <w:rFonts w:ascii="Simplified Arabic" w:hAnsi="Simplified Arabic" w:cs="Simplified Arabic"/>
          <w:sz w:val="28"/>
          <w:szCs w:val="28"/>
          <w:rtl/>
        </w:rPr>
        <w:t>عبدالعزيز</w:t>
      </w:r>
      <w:proofErr w:type="gramEnd"/>
      <w:r w:rsidRPr="00332430">
        <w:rPr>
          <w:rFonts w:ascii="Simplified Arabic" w:hAnsi="Simplified Arabic" w:cs="Simplified Arabic"/>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332430">
        <w:rPr>
          <w:rFonts w:ascii="Simplified Arabic" w:hAnsi="Simplified Arabic" w:cs="Simplified Arabic"/>
          <w:sz w:val="28"/>
          <w:szCs w:val="28"/>
          <w:rtl/>
        </w:rPr>
        <w:t>95 ،</w:t>
      </w:r>
      <w:proofErr w:type="gramEnd"/>
      <w:r w:rsidRPr="00332430">
        <w:rPr>
          <w:rFonts w:ascii="Simplified Arabic" w:hAnsi="Simplified Arabic" w:cs="Simplified Arabic"/>
          <w:sz w:val="28"/>
          <w:szCs w:val="28"/>
          <w:rtl/>
        </w:rPr>
        <w:t xml:space="preserve"> 341 - 367. مسترجع من </w:t>
      </w:r>
      <w:hyperlink r:id="rId15"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w:t>
      </w:r>
      <w:proofErr w:type="spellStart"/>
      <w:r w:rsidRPr="00332430">
        <w:rPr>
          <w:rFonts w:ascii="Simplified Arabic" w:hAnsi="Simplified Arabic" w:cs="Simplified Arabic"/>
          <w:sz w:val="28"/>
          <w:szCs w:val="28"/>
          <w:rtl/>
          <w:lang w:bidi="ar-EG"/>
        </w:rPr>
        <w:t>عبدالجيد</w:t>
      </w:r>
      <w:proofErr w:type="spellEnd"/>
      <w:r w:rsidRPr="00332430">
        <w:rPr>
          <w:rFonts w:ascii="Simplified Arabic" w:hAnsi="Simplified Arabic" w:cs="Simplified Arabic"/>
          <w:sz w:val="28"/>
          <w:szCs w:val="28"/>
          <w:rtl/>
          <w:lang w:bidi="ar-EG"/>
        </w:rPr>
        <w:t xml:space="preserve">، إسماعيل، عمار فتحي موسى، </w:t>
      </w:r>
      <w:proofErr w:type="gramStart"/>
      <w:r w:rsidRPr="00332430">
        <w:rPr>
          <w:rFonts w:ascii="Simplified Arabic" w:hAnsi="Simplified Arabic" w:cs="Simplified Arabic"/>
          <w:sz w:val="28"/>
          <w:szCs w:val="28"/>
          <w:rtl/>
          <w:lang w:bidi="ar-EG"/>
        </w:rPr>
        <w:t>و مرزوق</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عبدالعزيز</w:t>
      </w:r>
      <w:proofErr w:type="gramEnd"/>
      <w:r w:rsidRPr="00332430">
        <w:rPr>
          <w:rFonts w:ascii="Simplified Arabic" w:hAnsi="Simplified Arabic" w:cs="Simplified Arabic"/>
          <w:sz w:val="28"/>
          <w:szCs w:val="28"/>
          <w:rtl/>
          <w:lang w:bidi="ar-EG"/>
        </w:rPr>
        <w:t xml:space="preserve"> علي. (2024). دور الذكاء الاصطناعي في تحسين ابتكار الخدمة: دراسة تطبيقية. مجلة راية الدولية للعلوم التجارية، مج3, ع</w:t>
      </w:r>
      <w:proofErr w:type="gramStart"/>
      <w:r w:rsidRPr="00332430">
        <w:rPr>
          <w:rFonts w:ascii="Simplified Arabic" w:hAnsi="Simplified Arabic" w:cs="Simplified Arabic"/>
          <w:sz w:val="28"/>
          <w:szCs w:val="28"/>
          <w:rtl/>
          <w:lang w:bidi="ar-EG"/>
        </w:rPr>
        <w:t>11 ،</w:t>
      </w:r>
      <w:proofErr w:type="gramEnd"/>
      <w:r w:rsidRPr="00332430">
        <w:rPr>
          <w:rFonts w:ascii="Simplified Arabic" w:hAnsi="Simplified Arabic" w:cs="Simplified Arabic"/>
          <w:sz w:val="28"/>
          <w:szCs w:val="28"/>
          <w:rtl/>
          <w:lang w:bidi="ar-EG"/>
        </w:rPr>
        <w:t xml:space="preserve"> 801 - 872. مسترجع من </w:t>
      </w:r>
      <w:hyperlink r:id="rId16"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w:t>
      </w:r>
      <w:proofErr w:type="gramStart"/>
      <w:r w:rsidRPr="00332430">
        <w:rPr>
          <w:rFonts w:ascii="Simplified Arabic" w:hAnsi="Simplified Arabic" w:cs="Simplified Arabic"/>
          <w:sz w:val="28"/>
          <w:szCs w:val="28"/>
          <w:rtl/>
          <w:lang w:bidi="ar-EG"/>
        </w:rPr>
        <w:t>و مولاي</w:t>
      </w:r>
      <w:proofErr w:type="gramEnd"/>
      <w:r w:rsidRPr="00332430">
        <w:rPr>
          <w:rFonts w:ascii="Simplified Arabic" w:hAnsi="Simplified Arabic" w:cs="Simplified Arabic"/>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332430">
        <w:rPr>
          <w:rFonts w:ascii="Simplified Arabic" w:hAnsi="Simplified Arabic" w:cs="Simplified Arabic"/>
          <w:sz w:val="28"/>
          <w:szCs w:val="28"/>
          <w:rtl/>
          <w:lang w:bidi="ar-EG"/>
        </w:rPr>
        <w:t>1 ،</w:t>
      </w:r>
      <w:proofErr w:type="gramEnd"/>
      <w:r w:rsidRPr="00332430">
        <w:rPr>
          <w:rFonts w:ascii="Simplified Arabic" w:hAnsi="Simplified Arabic" w:cs="Simplified Arabic"/>
          <w:sz w:val="28"/>
          <w:szCs w:val="28"/>
          <w:rtl/>
          <w:lang w:bidi="ar-EG"/>
        </w:rPr>
        <w:t xml:space="preserve"> 33 - 48. مسترجع من </w:t>
      </w:r>
      <w:hyperlink r:id="rId17"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pPr>
        <w:pStyle w:val="a6"/>
        <w:numPr>
          <w:ilvl w:val="0"/>
          <w:numId w:val="9"/>
        </w:numPr>
        <w:jc w:val="both"/>
        <w:rPr>
          <w:rFonts w:ascii="Simplified Arabic" w:hAnsi="Simplified Arabic" w:cs="Simplified Arabic"/>
          <w:sz w:val="28"/>
          <w:szCs w:val="28"/>
          <w:lang w:bidi="ar-EG"/>
        </w:rPr>
      </w:pPr>
      <w:proofErr w:type="gramStart"/>
      <w:r w:rsidRPr="00332430">
        <w:rPr>
          <w:rFonts w:ascii="Simplified Arabic" w:hAnsi="Simplified Arabic" w:cs="Simplified Arabic"/>
          <w:sz w:val="28"/>
          <w:szCs w:val="28"/>
          <w:rtl/>
          <w:lang w:bidi="ar-EG"/>
        </w:rPr>
        <w:t>عبدالمنعم</w:t>
      </w:r>
      <w:proofErr w:type="gramEnd"/>
      <w:r w:rsidRPr="00332430">
        <w:rPr>
          <w:rFonts w:ascii="Simplified Arabic" w:hAnsi="Simplified Arabic" w:cs="Simplified Arabic"/>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332430">
        <w:rPr>
          <w:rFonts w:ascii="Simplified Arabic" w:hAnsi="Simplified Arabic" w:cs="Simplified Arabic"/>
          <w:sz w:val="28"/>
          <w:szCs w:val="28"/>
          <w:rtl/>
          <w:lang w:bidi="ar-EG"/>
        </w:rPr>
        <w:t>4 ،</w:t>
      </w:r>
      <w:proofErr w:type="gramEnd"/>
      <w:r w:rsidRPr="00332430">
        <w:rPr>
          <w:rFonts w:ascii="Simplified Arabic" w:hAnsi="Simplified Arabic" w:cs="Simplified Arabic"/>
          <w:sz w:val="28"/>
          <w:szCs w:val="28"/>
          <w:rtl/>
          <w:lang w:bidi="ar-EG"/>
        </w:rPr>
        <w:t xml:space="preserve"> 319 - 378. مسترجع من </w:t>
      </w:r>
      <w:hyperlink r:id="rId18" w:history="1">
        <w:r w:rsidRPr="00332430">
          <w:rPr>
            <w:rStyle w:val="Hyperlink"/>
            <w:rFonts w:ascii="Simplified Arabic" w:hAnsi="Simplified Arabic" w:cs="Simplified Arabic"/>
            <w:sz w:val="28"/>
            <w:szCs w:val="28"/>
            <w:lang w:bidi="ar-EG"/>
          </w:rPr>
          <w:t>http://search.mandumah.com/Record/1442263</w:t>
        </w:r>
      </w:hyperlink>
    </w:p>
    <w:p w14:paraId="2B33F3D0" w14:textId="55D359DC" w:rsid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المصاروة، مهند كساب </w:t>
      </w:r>
      <w:proofErr w:type="gramStart"/>
      <w:r w:rsidRPr="00332430">
        <w:rPr>
          <w:rFonts w:ascii="Simplified Arabic" w:hAnsi="Simplified Arabic" w:cs="Simplified Arabic"/>
          <w:sz w:val="28"/>
          <w:szCs w:val="28"/>
          <w:rtl/>
          <w:lang w:bidi="ar-EG"/>
        </w:rPr>
        <w:t>عبدالله</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و السرحان</w:t>
      </w:r>
      <w:proofErr w:type="gramEnd"/>
      <w:r w:rsidRPr="00332430">
        <w:rPr>
          <w:rFonts w:ascii="Simplified Arabic" w:hAnsi="Simplified Arabic" w:cs="Simplified Arabic"/>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hyperlink r:id="rId19" w:history="1">
        <w:r w:rsidR="000B00AD" w:rsidRPr="002A3222">
          <w:rPr>
            <w:rStyle w:val="Hyperlink"/>
            <w:rFonts w:ascii="Simplified Arabic" w:hAnsi="Simplified Arabic" w:cs="Simplified Arabic"/>
            <w:sz w:val="28"/>
            <w:szCs w:val="28"/>
            <w:lang w:bidi="ar-EG"/>
          </w:rPr>
          <w:t>http://search.mandumah.com/Record/1250188</w:t>
        </w:r>
      </w:hyperlink>
    </w:p>
    <w:p w14:paraId="03E6CBF4" w14:textId="20855BE6"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lastRenderedPageBreak/>
        <w:t>العرداوى</w:t>
      </w:r>
      <w:proofErr w:type="spellEnd"/>
      <w:r w:rsidRPr="000B00AD">
        <w:rPr>
          <w:rFonts w:ascii="Simplified Arabic" w:hAnsi="Simplified Arabic" w:cs="Simplified Arabic"/>
          <w:sz w:val="28"/>
          <w:szCs w:val="28"/>
          <w:rtl/>
          <w:lang w:bidi="ar-EG"/>
        </w:rPr>
        <w:t xml:space="preserve">، أمير عقيد كاظم، </w:t>
      </w:r>
      <w:proofErr w:type="gramStart"/>
      <w:r w:rsidRPr="000B00AD">
        <w:rPr>
          <w:rFonts w:ascii="Simplified Arabic" w:hAnsi="Simplified Arabic" w:cs="Simplified Arabic"/>
          <w:sz w:val="28"/>
          <w:szCs w:val="28"/>
          <w:rtl/>
          <w:lang w:bidi="ar-EG"/>
        </w:rPr>
        <w:t>و الجبوري</w:t>
      </w:r>
      <w:proofErr w:type="gramEnd"/>
      <w:r w:rsidRPr="000B00AD">
        <w:rPr>
          <w:rFonts w:ascii="Simplified Arabic" w:hAnsi="Simplified Arabic" w:cs="Simplified Arabic"/>
          <w:sz w:val="28"/>
          <w:szCs w:val="28"/>
          <w:rtl/>
          <w:lang w:bidi="ar-EG"/>
        </w:rPr>
        <w:t xml:space="preserve">، حسن طاهر </w:t>
      </w:r>
      <w:proofErr w:type="spellStart"/>
      <w:r w:rsidRPr="000B00AD">
        <w:rPr>
          <w:rFonts w:ascii="Simplified Arabic" w:hAnsi="Simplified Arabic" w:cs="Simplified Arabic"/>
          <w:sz w:val="28"/>
          <w:szCs w:val="28"/>
          <w:rtl/>
          <w:lang w:bidi="ar-EG"/>
        </w:rPr>
        <w:t>بريبر</w:t>
      </w:r>
      <w:proofErr w:type="spellEnd"/>
      <w:r w:rsidRPr="000B00AD">
        <w:rPr>
          <w:rFonts w:ascii="Simplified Arabic" w:hAnsi="Simplified Arabic" w:cs="Simplified Arabic"/>
          <w:sz w:val="28"/>
          <w:szCs w:val="28"/>
          <w:rtl/>
          <w:lang w:bidi="ar-EG"/>
        </w:rPr>
        <w:t>. (2021). قياس، أثر نظام سلسلة القيمة الرشيقة والمستهدف في تخفيض التكاليف التشغيلية: دراسة حالة في مديرية ماء محافظة النجف الأشرف. مجلة كلية الإدارة والاقتصاد للدراسات الاقتصادية والإدارية والمالية، مج13, ع</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243 - 257. مسترجع من </w:t>
      </w:r>
      <w:hyperlink r:id="rId20" w:history="1">
        <w:r w:rsidRPr="002A3222">
          <w:rPr>
            <w:rStyle w:val="Hyperlink"/>
            <w:rFonts w:ascii="Simplified Arabic" w:hAnsi="Simplified Arabic" w:cs="Simplified Arabic"/>
            <w:sz w:val="28"/>
            <w:szCs w:val="28"/>
            <w:lang w:bidi="ar-EG"/>
          </w:rPr>
          <w:t>http://search.mandumah.com/Record/1264779</w:t>
        </w:r>
      </w:hyperlink>
    </w:p>
    <w:p w14:paraId="6E562DA6" w14:textId="0DB97037"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حبيشي، نهى عصام علي حسن، دعيه، هادي محسن السيد، </w:t>
      </w:r>
      <w:proofErr w:type="gramStart"/>
      <w:r w:rsidRPr="000B00AD">
        <w:rPr>
          <w:rFonts w:ascii="Simplified Arabic" w:hAnsi="Simplified Arabic" w:cs="Simplified Arabic"/>
          <w:sz w:val="28"/>
          <w:szCs w:val="28"/>
          <w:rtl/>
          <w:lang w:bidi="ar-EG"/>
        </w:rPr>
        <w:t>و العايدي</w:t>
      </w:r>
      <w:proofErr w:type="gramEnd"/>
      <w:r w:rsidRPr="000B00AD">
        <w:rPr>
          <w:rFonts w:ascii="Simplified Arabic" w:hAnsi="Simplified Arabic" w:cs="Simplified Arabic"/>
          <w:sz w:val="28"/>
          <w:szCs w:val="28"/>
          <w:rtl/>
          <w:lang w:bidi="ar-EG"/>
        </w:rPr>
        <w:t xml:space="preserve">، محمد </w:t>
      </w: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(2021). تقييم استخدام إدارة المخاطر في المحاسبة الإدارية الحديثة بهدف إدارة تكلفة سلسلة القيمة: دراسة تطبيقية. مجلة البحوث المالية والتجارية، ع</w:t>
      </w:r>
      <w:proofErr w:type="gramStart"/>
      <w:r w:rsidRPr="000B00AD">
        <w:rPr>
          <w:rFonts w:ascii="Simplified Arabic" w:hAnsi="Simplified Arabic" w:cs="Simplified Arabic"/>
          <w:sz w:val="28"/>
          <w:szCs w:val="28"/>
          <w:rtl/>
          <w:lang w:bidi="ar-EG"/>
        </w:rPr>
        <w:t>3 ،</w:t>
      </w:r>
      <w:proofErr w:type="gramEnd"/>
      <w:r w:rsidRPr="000B00AD">
        <w:rPr>
          <w:rFonts w:ascii="Simplified Arabic" w:hAnsi="Simplified Arabic" w:cs="Simplified Arabic"/>
          <w:sz w:val="28"/>
          <w:szCs w:val="28"/>
          <w:rtl/>
          <w:lang w:bidi="ar-EG"/>
        </w:rPr>
        <w:t xml:space="preserve"> 1240 - 1265. مسترجع من </w:t>
      </w:r>
      <w:hyperlink r:id="rId21" w:history="1">
        <w:r w:rsidRPr="002A3222">
          <w:rPr>
            <w:rStyle w:val="Hyperlink"/>
            <w:rFonts w:ascii="Simplified Arabic" w:hAnsi="Simplified Arabic" w:cs="Simplified Arabic"/>
            <w:sz w:val="28"/>
            <w:szCs w:val="28"/>
            <w:lang w:bidi="ar-EG"/>
          </w:rPr>
          <w:t>http://search.mandumah.com/Record/1179471</w:t>
        </w:r>
      </w:hyperlink>
    </w:p>
    <w:p w14:paraId="1683CC97" w14:textId="08BE38F2"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حسن، انتصار محمد صابون، الموسوي، </w:t>
      </w:r>
      <w:proofErr w:type="gramStart"/>
      <w:r w:rsidRPr="000B00AD">
        <w:rPr>
          <w:rFonts w:ascii="Simplified Arabic" w:hAnsi="Simplified Arabic" w:cs="Simplified Arabic"/>
          <w:sz w:val="28"/>
          <w:szCs w:val="28"/>
          <w:rtl/>
          <w:lang w:bidi="ar-EG"/>
        </w:rPr>
        <w:t>عبدالوهاب</w:t>
      </w:r>
      <w:proofErr w:type="gramEnd"/>
      <w:r w:rsidRPr="000B00AD">
        <w:rPr>
          <w:rFonts w:ascii="Simplified Arabic" w:hAnsi="Simplified Arabic" w:cs="Simplified Arabic"/>
          <w:sz w:val="28"/>
          <w:szCs w:val="28"/>
          <w:rtl/>
          <w:lang w:bidi="ar-EG"/>
        </w:rPr>
        <w:t xml:space="preserve"> محمد جواد، </w:t>
      </w:r>
      <w:proofErr w:type="gramStart"/>
      <w:r w:rsidRPr="000B00AD">
        <w:rPr>
          <w:rFonts w:ascii="Simplified Arabic" w:hAnsi="Simplified Arabic" w:cs="Simplified Arabic"/>
          <w:sz w:val="28"/>
          <w:szCs w:val="28"/>
          <w:rtl/>
          <w:lang w:bidi="ar-EG"/>
        </w:rPr>
        <w:t>و الخزرجي</w:t>
      </w:r>
      <w:proofErr w:type="gramEnd"/>
      <w:r w:rsidRPr="000B00AD">
        <w:rPr>
          <w:rFonts w:ascii="Simplified Arabic" w:hAnsi="Simplified Arabic" w:cs="Simplified Arabic"/>
          <w:sz w:val="28"/>
          <w:szCs w:val="28"/>
          <w:rtl/>
          <w:lang w:bidi="ar-EG"/>
        </w:rPr>
        <w:t xml:space="preserve">، مازن رشيد يوسف. (2024). تحليل سلسلة القيمة للصمغ العربي: دراسة حالة منطقة كردفان - السودان. مجلة الغري للعلوم الاقتصادية والإدارية، مج20,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324 - 351. مسترجع من </w:t>
      </w:r>
      <w:hyperlink r:id="rId22" w:history="1">
        <w:r w:rsidRPr="002A3222">
          <w:rPr>
            <w:rStyle w:val="Hyperlink"/>
            <w:rFonts w:ascii="Simplified Arabic" w:hAnsi="Simplified Arabic" w:cs="Simplified Arabic"/>
            <w:sz w:val="28"/>
            <w:szCs w:val="28"/>
            <w:lang w:bidi="ar-EG"/>
          </w:rPr>
          <w:t>http://search.mandumah.com/Record/1572942</w:t>
        </w:r>
      </w:hyperlink>
    </w:p>
    <w:p w14:paraId="08145615" w14:textId="26E7F6E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خميس، فاضل حسن،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البلداوي</w:t>
      </w:r>
      <w:proofErr w:type="spellEnd"/>
      <w:proofErr w:type="gramEnd"/>
      <w:r w:rsidRPr="000B00AD">
        <w:rPr>
          <w:rFonts w:ascii="Simplified Arabic" w:hAnsi="Simplified Arabic" w:cs="Simplified Arabic"/>
          <w:sz w:val="28"/>
          <w:szCs w:val="28"/>
          <w:rtl/>
          <w:lang w:bidi="ar-EG"/>
        </w:rPr>
        <w:t xml:space="preserve">، شاكر </w:t>
      </w:r>
      <w:proofErr w:type="gramStart"/>
      <w:r w:rsidRPr="000B00AD">
        <w:rPr>
          <w:rFonts w:ascii="Simplified Arabic" w:hAnsi="Simplified Arabic" w:cs="Simplified Arabic"/>
          <w:sz w:val="28"/>
          <w:szCs w:val="28"/>
          <w:rtl/>
          <w:lang w:bidi="ar-EG"/>
        </w:rPr>
        <w:t>عبدالكريم</w:t>
      </w:r>
      <w:proofErr w:type="gramEnd"/>
      <w:r w:rsidRPr="000B00AD">
        <w:rPr>
          <w:rFonts w:ascii="Simplified Arabic" w:hAnsi="Simplified Arabic" w:cs="Simplified Arabic"/>
          <w:sz w:val="28"/>
          <w:szCs w:val="28"/>
          <w:rtl/>
          <w:lang w:bidi="ar-EG"/>
        </w:rPr>
        <w:t xml:space="preserve"> هادي. (2024). استخدام سلسلة القيمة في تخفيض التكاليف: دراسة تطبيقية في الشركة العامة لصناعة البطاريات. مجلة الدراسات المستدامة، مج6, </w:t>
      </w:r>
      <w:proofErr w:type="gramStart"/>
      <w:r w:rsidRPr="000B00AD">
        <w:rPr>
          <w:rFonts w:ascii="Simplified Arabic" w:hAnsi="Simplified Arabic" w:cs="Simplified Arabic"/>
          <w:sz w:val="28"/>
          <w:szCs w:val="28"/>
          <w:rtl/>
          <w:lang w:bidi="ar-EG"/>
        </w:rPr>
        <w:t>ملحق ،</w:t>
      </w:r>
      <w:proofErr w:type="gramEnd"/>
      <w:r w:rsidRPr="000B00AD">
        <w:rPr>
          <w:rFonts w:ascii="Simplified Arabic" w:hAnsi="Simplified Arabic" w:cs="Simplified Arabic"/>
          <w:sz w:val="28"/>
          <w:szCs w:val="28"/>
          <w:rtl/>
          <w:lang w:bidi="ar-EG"/>
        </w:rPr>
        <w:t xml:space="preserve"> 2432 - 2458. مسترجع من </w:t>
      </w:r>
      <w:hyperlink r:id="rId23" w:history="1">
        <w:r w:rsidRPr="002A3222">
          <w:rPr>
            <w:rStyle w:val="Hyperlink"/>
            <w:rFonts w:ascii="Simplified Arabic" w:hAnsi="Simplified Arabic" w:cs="Simplified Arabic"/>
            <w:sz w:val="28"/>
            <w:szCs w:val="28"/>
            <w:lang w:bidi="ar-EG"/>
          </w:rPr>
          <w:t>http://search.mandumah.com/Record/1468234</w:t>
        </w:r>
      </w:hyperlink>
    </w:p>
    <w:p w14:paraId="6DCF0B84" w14:textId="370D5251"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العازمى</w:t>
      </w:r>
      <w:proofErr w:type="spellEnd"/>
      <w:r w:rsidRPr="000B00AD">
        <w:rPr>
          <w:rFonts w:ascii="Simplified Arabic" w:hAnsi="Simplified Arabic" w:cs="Simplified Arabic"/>
          <w:sz w:val="28"/>
          <w:szCs w:val="28"/>
          <w:rtl/>
          <w:lang w:bidi="ar-EG"/>
        </w:rPr>
        <w:t xml:space="preserve">، أحمد على فالح، </w:t>
      </w:r>
      <w:proofErr w:type="gramStart"/>
      <w:r w:rsidRPr="000B00AD">
        <w:rPr>
          <w:rFonts w:ascii="Simplified Arabic" w:hAnsi="Simplified Arabic" w:cs="Simplified Arabic"/>
          <w:sz w:val="28"/>
          <w:szCs w:val="28"/>
          <w:rtl/>
          <w:lang w:bidi="ar-EG"/>
        </w:rPr>
        <w:t>و المطارنة</w:t>
      </w:r>
      <w:proofErr w:type="gramEnd"/>
      <w:r w:rsidRPr="000B00AD">
        <w:rPr>
          <w:rFonts w:ascii="Simplified Arabic" w:hAnsi="Simplified Arabic" w:cs="Simplified Arabic"/>
          <w:sz w:val="28"/>
          <w:szCs w:val="28"/>
          <w:rtl/>
          <w:lang w:bidi="ar-EG"/>
        </w:rPr>
        <w:t xml:space="preserve">، علاء جبر قاسم. (2021). أثر أنظمة التكاليف في بناء سلسلة القيمة: الدور الوسيط لنظم تخطيط الموارد (رسالة دكتوراه غير منشورة). جامعة العلوم الإسلامية العالمية، عمان. مسترجع من </w:t>
      </w:r>
      <w:hyperlink r:id="rId24" w:history="1">
        <w:r w:rsidRPr="002A3222">
          <w:rPr>
            <w:rStyle w:val="Hyperlink"/>
            <w:rFonts w:ascii="Simplified Arabic" w:hAnsi="Simplified Arabic" w:cs="Simplified Arabic"/>
            <w:sz w:val="28"/>
            <w:szCs w:val="28"/>
            <w:lang w:bidi="ar-EG"/>
          </w:rPr>
          <w:t>http://search.mandumah.com/Record/1216924</w:t>
        </w:r>
      </w:hyperlink>
    </w:p>
    <w:p w14:paraId="572ED12A" w14:textId="770A1EB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زاير، وافية،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الزغيمي</w:t>
      </w:r>
      <w:proofErr w:type="spellEnd"/>
      <w:proofErr w:type="gramEnd"/>
      <w:r w:rsidRPr="000B00AD">
        <w:rPr>
          <w:rFonts w:ascii="Simplified Arabic" w:hAnsi="Simplified Arabic" w:cs="Simplified Arabic"/>
          <w:sz w:val="28"/>
          <w:szCs w:val="28"/>
          <w:rtl/>
          <w:lang w:bidi="ar-EG"/>
        </w:rPr>
        <w:t>، صورية طيب. (2021). سلسلة القيمة وأثرها على أداء المؤسسات الاقتصادية: دراسة عينة من المؤسسات الاقتصادية. مجلة الاستراتيجية والتنمية، مج11, ع</w:t>
      </w:r>
      <w:proofErr w:type="gramStart"/>
      <w:r w:rsidRPr="000B00AD">
        <w:rPr>
          <w:rFonts w:ascii="Simplified Arabic" w:hAnsi="Simplified Arabic" w:cs="Simplified Arabic"/>
          <w:sz w:val="28"/>
          <w:szCs w:val="28"/>
          <w:rtl/>
          <w:lang w:bidi="ar-EG"/>
        </w:rPr>
        <w:t>1 ،</w:t>
      </w:r>
      <w:proofErr w:type="gramEnd"/>
      <w:r w:rsidRPr="000B00AD">
        <w:rPr>
          <w:rFonts w:ascii="Simplified Arabic" w:hAnsi="Simplified Arabic" w:cs="Simplified Arabic"/>
          <w:sz w:val="28"/>
          <w:szCs w:val="28"/>
          <w:rtl/>
          <w:lang w:bidi="ar-EG"/>
        </w:rPr>
        <w:t xml:space="preserve"> 325 - 344. مسترجع من </w:t>
      </w:r>
      <w:hyperlink r:id="rId25" w:history="1">
        <w:r w:rsidRPr="002A3222">
          <w:rPr>
            <w:rStyle w:val="Hyperlink"/>
            <w:rFonts w:ascii="Simplified Arabic" w:hAnsi="Simplified Arabic" w:cs="Simplified Arabic"/>
            <w:sz w:val="28"/>
            <w:szCs w:val="28"/>
            <w:lang w:bidi="ar-EG"/>
          </w:rPr>
          <w:t>http://search.mandumah.com/Record/1105458</w:t>
        </w:r>
      </w:hyperlink>
    </w:p>
    <w:p w14:paraId="2F2D1C92" w14:textId="3D625754"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الخنبشية</w:t>
      </w:r>
      <w:proofErr w:type="spellEnd"/>
      <w:r w:rsidRPr="000B00AD">
        <w:rPr>
          <w:rFonts w:ascii="Simplified Arabic" w:hAnsi="Simplified Arabic" w:cs="Simplified Arabic"/>
          <w:sz w:val="28"/>
          <w:szCs w:val="28"/>
          <w:rtl/>
          <w:lang w:bidi="ar-EG"/>
        </w:rPr>
        <w:t xml:space="preserve">، خولة بنت خليفة بن محمد، </w:t>
      </w:r>
      <w:proofErr w:type="gramStart"/>
      <w:r w:rsidRPr="000B00AD">
        <w:rPr>
          <w:rFonts w:ascii="Simplified Arabic" w:hAnsi="Simplified Arabic" w:cs="Simplified Arabic"/>
          <w:sz w:val="28"/>
          <w:szCs w:val="28"/>
          <w:rtl/>
          <w:lang w:bidi="ar-EG"/>
        </w:rPr>
        <w:t>و العمري</w:t>
      </w:r>
      <w:proofErr w:type="gramEnd"/>
      <w:r w:rsidRPr="000B00AD">
        <w:rPr>
          <w:rFonts w:ascii="Simplified Arabic" w:hAnsi="Simplified Arabic" w:cs="Simplified Arabic"/>
          <w:sz w:val="28"/>
          <w:szCs w:val="28"/>
          <w:rtl/>
          <w:lang w:bidi="ar-EG"/>
        </w:rPr>
        <w:t xml:space="preserve">، أيمن أحمد إبراهيم. (2023). سلسلة القيمة كمدخل لتعزيز الميزة التنافسية في مؤسسات التعليم العالي: دراسة تحليلية. المجلة الدولية للدراسات </w:t>
      </w:r>
      <w:r w:rsidRPr="000B00AD">
        <w:rPr>
          <w:rFonts w:ascii="Simplified Arabic" w:hAnsi="Simplified Arabic" w:cs="Simplified Arabic"/>
          <w:sz w:val="28"/>
          <w:szCs w:val="28"/>
          <w:rtl/>
          <w:lang w:bidi="ar-EG"/>
        </w:rPr>
        <w:lastRenderedPageBreak/>
        <w:t>التربوية والنفسية، مج12,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321 - 341. مسترجع من </w:t>
      </w:r>
      <w:hyperlink r:id="rId26" w:history="1">
        <w:r w:rsidRPr="002A3222">
          <w:rPr>
            <w:rStyle w:val="Hyperlink"/>
            <w:rFonts w:ascii="Simplified Arabic" w:hAnsi="Simplified Arabic" w:cs="Simplified Arabic"/>
            <w:sz w:val="28"/>
            <w:szCs w:val="28"/>
            <w:lang w:bidi="ar-EG"/>
          </w:rPr>
          <w:t>http://search.mandumah.com/Record/1377031</w:t>
        </w:r>
      </w:hyperlink>
    </w:p>
    <w:p w14:paraId="177759D3" w14:textId="1504AF2B"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العيداني</w:t>
      </w:r>
      <w:proofErr w:type="spellEnd"/>
      <w:r w:rsidRPr="000B00AD">
        <w:rPr>
          <w:rFonts w:ascii="Simplified Arabic" w:hAnsi="Simplified Arabic" w:cs="Simplified Arabic"/>
          <w:sz w:val="28"/>
          <w:szCs w:val="28"/>
          <w:rtl/>
          <w:lang w:bidi="ar-EG"/>
        </w:rPr>
        <w:t>، إلياس. (2024). دور تحليل سلسلة القيمة في تعزيز القدرة التنافسية لمنظمات الأعمال. مجلة المعيار، مج15,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479 - 495. مسترجع من </w:t>
      </w:r>
      <w:hyperlink r:id="rId27" w:history="1">
        <w:r w:rsidRPr="002A3222">
          <w:rPr>
            <w:rStyle w:val="Hyperlink"/>
            <w:rFonts w:ascii="Simplified Arabic" w:hAnsi="Simplified Arabic" w:cs="Simplified Arabic"/>
            <w:sz w:val="28"/>
            <w:szCs w:val="28"/>
            <w:lang w:bidi="ar-EG"/>
          </w:rPr>
          <w:t>http://search.mandumah.com/Record/1542913</w:t>
        </w:r>
      </w:hyperlink>
    </w:p>
    <w:p w14:paraId="68276ED0" w14:textId="31165853"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عبد، زياد سامي، </w:t>
      </w:r>
      <w:proofErr w:type="gramStart"/>
      <w:r w:rsidRPr="000B00AD">
        <w:rPr>
          <w:rFonts w:ascii="Simplified Arabic" w:hAnsi="Simplified Arabic" w:cs="Simplified Arabic"/>
          <w:sz w:val="28"/>
          <w:szCs w:val="28"/>
          <w:rtl/>
          <w:lang w:bidi="ar-EG"/>
        </w:rPr>
        <w:t>و حسين</w:t>
      </w:r>
      <w:proofErr w:type="gramEnd"/>
      <w:r w:rsidRPr="000B00AD">
        <w:rPr>
          <w:rFonts w:ascii="Simplified Arabic" w:hAnsi="Simplified Arabic" w:cs="Simplified Arabic"/>
          <w:sz w:val="28"/>
          <w:szCs w:val="28"/>
          <w:rtl/>
          <w:lang w:bidi="ar-EG"/>
        </w:rPr>
        <w:t>، علي إبراهيم. (2021). دور تقنية تحليل سلسلة القيمة في إدارة التكاليف اللوجستية: دراسة حالة. مجلة تكريت للعلوم الإدارية والاقتصادية، مج17, ع</w:t>
      </w:r>
      <w:proofErr w:type="gramStart"/>
      <w:r w:rsidRPr="000B00AD">
        <w:rPr>
          <w:rFonts w:ascii="Simplified Arabic" w:hAnsi="Simplified Arabic" w:cs="Simplified Arabic"/>
          <w:sz w:val="28"/>
          <w:szCs w:val="28"/>
          <w:rtl/>
          <w:lang w:bidi="ar-EG"/>
        </w:rPr>
        <w:t>56 ،</w:t>
      </w:r>
      <w:proofErr w:type="gramEnd"/>
      <w:r w:rsidRPr="000B00AD">
        <w:rPr>
          <w:rFonts w:ascii="Simplified Arabic" w:hAnsi="Simplified Arabic" w:cs="Simplified Arabic"/>
          <w:sz w:val="28"/>
          <w:szCs w:val="28"/>
          <w:rtl/>
          <w:lang w:bidi="ar-EG"/>
        </w:rPr>
        <w:t xml:space="preserve"> 24 - 39. مسترجع من </w:t>
      </w:r>
      <w:hyperlink r:id="rId28" w:history="1">
        <w:r w:rsidRPr="002A3222">
          <w:rPr>
            <w:rStyle w:val="Hyperlink"/>
            <w:rFonts w:ascii="Simplified Arabic" w:hAnsi="Simplified Arabic" w:cs="Simplified Arabic"/>
            <w:sz w:val="28"/>
            <w:szCs w:val="28"/>
            <w:lang w:bidi="ar-EG"/>
          </w:rPr>
          <w:t>http://search.mandumah.com/Record/1255621</w:t>
        </w:r>
      </w:hyperlink>
    </w:p>
    <w:p w14:paraId="1287A218"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مرعي، ياسمين سمير كمال. (2024). استراتيجيات تطبيق الذكاء الاصطناعي في وزارة التضامن الاجتماعي. المجلة العلمية للخدمة الاجتماعية - دراسات وبحوث تطبيقية، ع28, مج</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200 - 220. مسترجع من </w:t>
      </w:r>
      <w:r w:rsidRPr="000B00AD">
        <w:rPr>
          <w:rFonts w:ascii="Simplified Arabic" w:hAnsi="Simplified Arabic" w:cs="Simplified Arabic"/>
          <w:sz w:val="28"/>
          <w:szCs w:val="28"/>
          <w:lang w:bidi="ar-EG"/>
        </w:rPr>
        <w:t>http://search.mandumah.com/Record/1560378</w:t>
      </w:r>
    </w:p>
    <w:p w14:paraId="78622B5D"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السمان، هاني إبراهيم محمد. (2024). تقنيات الذكاء الاصطناعي بشركات الاتصالات المصرية ودورها في إدارة علاقات العملاء: دراسة ميدانية. مجلة البحوث الإعلامية، ع72,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2583 - 2662. مسترجع من </w:t>
      </w:r>
      <w:r w:rsidRPr="000B00AD">
        <w:rPr>
          <w:rFonts w:ascii="Simplified Arabic" w:hAnsi="Simplified Arabic" w:cs="Simplified Arabic"/>
          <w:sz w:val="28"/>
          <w:szCs w:val="28"/>
          <w:lang w:bidi="ar-EG"/>
        </w:rPr>
        <w:t>http://search.mandumah.com/Record/1508809</w:t>
      </w:r>
    </w:p>
    <w:p w14:paraId="692674E9"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محمد، عادل أحمد حسن. (2024). الذكاء الاصطناعي وعلاقته بجودة الأداء الإداري بوزارة الشباب والرياضة المصرية. مجلة أسيوط لعلوم وفنون التربية الرياضية، ع68,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2095 - 2136. مسترجع من </w:t>
      </w:r>
      <w:r w:rsidRPr="000B00AD">
        <w:rPr>
          <w:rFonts w:ascii="Simplified Arabic" w:hAnsi="Simplified Arabic" w:cs="Simplified Arabic"/>
          <w:sz w:val="28"/>
          <w:szCs w:val="28"/>
          <w:lang w:bidi="ar-EG"/>
        </w:rPr>
        <w:t>http://search.mandumah.com/Record/1477623</w:t>
      </w:r>
    </w:p>
    <w:p w14:paraId="035FFEAB"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غرابة، أحمد محمد كامل توفق. (2024). دور الذكاء الاصطناعي في مواجهة العبء الاقتصادي لمشكلة الغذاء في مصر. مجلة العلوم القانونية والاقتصادية، مج66,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885 - 916. مسترجع من </w:t>
      </w:r>
      <w:r w:rsidRPr="000B00AD">
        <w:rPr>
          <w:rFonts w:ascii="Simplified Arabic" w:hAnsi="Simplified Arabic" w:cs="Simplified Arabic"/>
          <w:sz w:val="28"/>
          <w:szCs w:val="28"/>
          <w:lang w:bidi="ar-EG"/>
        </w:rPr>
        <w:t>http://search.mandumah.com/Record/1555072</w:t>
      </w:r>
    </w:p>
    <w:p w14:paraId="14B98871"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xml:space="preserve">، عمرو أبو العز سعودي، </w:t>
      </w:r>
      <w:proofErr w:type="gramStart"/>
      <w:r w:rsidRPr="000B00AD">
        <w:rPr>
          <w:rFonts w:ascii="Simplified Arabic" w:hAnsi="Simplified Arabic" w:cs="Simplified Arabic"/>
          <w:sz w:val="28"/>
          <w:szCs w:val="28"/>
          <w:rtl/>
          <w:lang w:bidi="ar-EG"/>
        </w:rPr>
        <w:t>عبدالحميد</w:t>
      </w:r>
      <w:proofErr w:type="gramEnd"/>
      <w:r w:rsidRPr="000B00AD">
        <w:rPr>
          <w:rFonts w:ascii="Simplified Arabic" w:hAnsi="Simplified Arabic" w:cs="Simplified Arabic"/>
          <w:sz w:val="28"/>
          <w:szCs w:val="28"/>
          <w:rtl/>
          <w:lang w:bidi="ar-EG"/>
        </w:rPr>
        <w:t xml:space="preserve">، طلعت أسعد،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السماديسي</w:t>
      </w:r>
      <w:proofErr w:type="spellEnd"/>
      <w:proofErr w:type="gramEnd"/>
      <w:r w:rsidRPr="000B00AD">
        <w:rPr>
          <w:rFonts w:ascii="Simplified Arabic" w:hAnsi="Simplified Arabic" w:cs="Simplified Arabic"/>
          <w:sz w:val="28"/>
          <w:szCs w:val="28"/>
          <w:rtl/>
          <w:lang w:bidi="ar-EG"/>
        </w:rPr>
        <w:t>، أحمد موسى. (2022). تأثير تقنيات الذكاء الاصطناعي على الميزة التنافسية للبنك "بالتطبيق على قطاع البنوك التجارية في مصر". المجلة العلمية للدراسات التجارية والبيئية، مج13,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247 - 264. مسترجع من </w:t>
      </w:r>
      <w:r w:rsidRPr="000B00AD">
        <w:rPr>
          <w:rFonts w:ascii="Simplified Arabic" w:hAnsi="Simplified Arabic" w:cs="Simplified Arabic"/>
          <w:sz w:val="28"/>
          <w:szCs w:val="28"/>
          <w:lang w:bidi="ar-EG"/>
        </w:rPr>
        <w:t>http://search.mandumah.com/Record/1295336</w:t>
      </w:r>
    </w:p>
    <w:p w14:paraId="347FA344" w14:textId="2CB411DF" w:rsidR="000B00AD" w:rsidRPr="00332430"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خفاجي، نهال حسين السيد، </w:t>
      </w:r>
      <w:proofErr w:type="gramStart"/>
      <w:r w:rsidRPr="000B00AD">
        <w:rPr>
          <w:rFonts w:ascii="Simplified Arabic" w:hAnsi="Simplified Arabic" w:cs="Simplified Arabic"/>
          <w:sz w:val="28"/>
          <w:szCs w:val="28"/>
          <w:rtl/>
          <w:lang w:bidi="ar-EG"/>
        </w:rPr>
        <w:t>و إبراهيم</w:t>
      </w:r>
      <w:proofErr w:type="gramEnd"/>
      <w:r w:rsidRPr="000B00AD">
        <w:rPr>
          <w:rFonts w:ascii="Simplified Arabic" w:hAnsi="Simplified Arabic" w:cs="Simplified Arabic"/>
          <w:sz w:val="28"/>
          <w:szCs w:val="28"/>
          <w:rtl/>
          <w:lang w:bidi="ar-EG"/>
        </w:rPr>
        <w:t xml:space="preserve">، علي يونس. (2023). تأثير استخدام تطبيقات الذكاء الاصطناعي في تحقيق التميز المؤسسي بالتطبيق على العاملين بالبنوك العامة التجارية بمحافظة </w:t>
      </w:r>
      <w:r w:rsidRPr="000B00AD">
        <w:rPr>
          <w:rFonts w:ascii="Simplified Arabic" w:hAnsi="Simplified Arabic" w:cs="Simplified Arabic"/>
          <w:sz w:val="28"/>
          <w:szCs w:val="28"/>
          <w:rtl/>
          <w:lang w:bidi="ar-EG"/>
        </w:rPr>
        <w:lastRenderedPageBreak/>
        <w:t xml:space="preserve">الدقهلية (رسالة ماجستير غير منشورة). جامعة المنصورة، المنصورة. مسترجع من </w:t>
      </w:r>
      <w:r w:rsidRPr="000B00AD">
        <w:rPr>
          <w:rFonts w:ascii="Simplified Arabic" w:hAnsi="Simplified Arabic" w:cs="Simplified Arabic"/>
          <w:sz w:val="28"/>
          <w:szCs w:val="28"/>
          <w:lang w:bidi="ar-EG"/>
        </w:rPr>
        <w:t>http://search.mandumah.com/Record/1535867</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6E5307">
      <w:pPr>
        <w:pStyle w:val="a6"/>
        <w:bidi w:val="0"/>
        <w:jc w:val="both"/>
        <w:rPr>
          <w:rFonts w:ascii="Simplified Arabic" w:hAnsi="Simplified Arabic" w:cs="Simplified Arabic"/>
          <w:sz w:val="28"/>
          <w:szCs w:val="28"/>
        </w:rPr>
      </w:pPr>
    </w:p>
    <w:p w14:paraId="2F7965CC"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Faisal, S. (2025). Artificial Intelligence in Supply Chains and Finance: Driving Efficiency and Risk Management. Al-</w:t>
      </w:r>
      <w:proofErr w:type="spellStart"/>
      <w:r w:rsidRPr="006E5307">
        <w:rPr>
          <w:rFonts w:ascii="Simplified Arabic" w:hAnsi="Simplified Arabic" w:cs="Simplified Arabic"/>
          <w:sz w:val="28"/>
          <w:szCs w:val="28"/>
          <w:lang w:bidi="ar-EG"/>
        </w:rPr>
        <w:t>Migalat</w:t>
      </w:r>
      <w:proofErr w:type="spellEnd"/>
      <w:r w:rsidRPr="006E5307">
        <w:rPr>
          <w:rFonts w:ascii="Simplified Arabic" w:hAnsi="Simplified Arabic" w:cs="Simplified Arabic"/>
          <w:sz w:val="28"/>
          <w:szCs w:val="28"/>
          <w:lang w:bidi="ar-EG"/>
        </w:rPr>
        <w:t xml:space="preserve"> al-</w:t>
      </w:r>
      <w:proofErr w:type="spellStart"/>
      <w:r w:rsidRPr="006E5307">
        <w:rPr>
          <w:rFonts w:ascii="Simplified Arabic" w:hAnsi="Simplified Arabic" w:cs="Simplified Arabic"/>
          <w:sz w:val="28"/>
          <w:szCs w:val="28"/>
          <w:lang w:bidi="ar-EG"/>
        </w:rPr>
        <w:t>Ilmayat</w:t>
      </w:r>
      <w:proofErr w:type="spellEnd"/>
      <w:r w:rsidRPr="006E5307">
        <w:rPr>
          <w:rFonts w:ascii="Simplified Arabic" w:hAnsi="Simplified Arabic" w:cs="Simplified Arabic"/>
          <w:sz w:val="28"/>
          <w:szCs w:val="28"/>
          <w:lang w:bidi="ar-EG"/>
        </w:rPr>
        <w:t xml:space="preserve"> Li-</w:t>
      </w:r>
      <w:proofErr w:type="spellStart"/>
      <w:r w:rsidRPr="006E5307">
        <w:rPr>
          <w:rFonts w:ascii="Simplified Arabic" w:hAnsi="Simplified Arabic" w:cs="Simplified Arabic"/>
          <w:sz w:val="28"/>
          <w:szCs w:val="28"/>
          <w:lang w:bidi="ar-EG"/>
        </w:rPr>
        <w:t>Gamiat</w:t>
      </w:r>
      <w:proofErr w:type="spellEnd"/>
      <w:r w:rsidRPr="006E5307">
        <w:rPr>
          <w:rFonts w:ascii="Simplified Arabic" w:hAnsi="Simplified Arabic" w:cs="Simplified Arabic"/>
          <w:sz w:val="28"/>
          <w:szCs w:val="28"/>
          <w:lang w:bidi="ar-EG"/>
        </w:rPr>
        <w:t xml:space="preserve"> al-Malik Faisal, 62–67. </w:t>
      </w:r>
      <w:hyperlink r:id="rId29"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30"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 xml:space="preserve">Kumar, K. S., Gupta, V., Patil, Y., Jindal, G., Cheepurupalli, N. R., &amp; Bhanushali, M. M. (2025). Impact of AI on Operations Management. In Recent Trends </w:t>
      </w:r>
      <w:proofErr w:type="gramStart"/>
      <w:r w:rsidRPr="00332430">
        <w:rPr>
          <w:rFonts w:ascii="Simplified Arabic" w:hAnsi="Simplified Arabic" w:cs="Simplified Arabic"/>
          <w:sz w:val="28"/>
          <w:szCs w:val="28"/>
          <w:lang w:bidi="ar-EG"/>
        </w:rPr>
        <w:t>In</w:t>
      </w:r>
      <w:proofErr w:type="gramEnd"/>
      <w:r w:rsidRPr="00332430">
        <w:rPr>
          <w:rFonts w:ascii="Simplified Arabic" w:hAnsi="Simplified Arabic" w:cs="Simplified Arabic"/>
          <w:sz w:val="28"/>
          <w:szCs w:val="28"/>
          <w:lang w:bidi="ar-EG"/>
        </w:rPr>
        <w:t xml:space="preserve">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332430">
        <w:rPr>
          <w:rFonts w:ascii="Simplified Arabic" w:hAnsi="Simplified Arabic" w:cs="Simplified Arabic"/>
          <w:sz w:val="28"/>
          <w:szCs w:val="28"/>
          <w:lang w:bidi="ar-EG"/>
        </w:rPr>
        <w:t>Losaladjome</w:t>
      </w:r>
      <w:proofErr w:type="spellEnd"/>
      <w:r w:rsidRPr="00332430">
        <w:rPr>
          <w:rFonts w:ascii="Simplified Arabic" w:hAnsi="Simplified Arabic" w:cs="Simplified Arabic"/>
          <w:sz w:val="28"/>
          <w:szCs w:val="28"/>
          <w:lang w:bidi="ar-EG"/>
        </w:rPr>
        <w:t xml:space="preserve"> Mboyo, H., Huo, B., Mulenga, F. K., Mabe Fogang, P., &amp; </w:t>
      </w:r>
      <w:proofErr w:type="spellStart"/>
      <w:r w:rsidRPr="00332430">
        <w:rPr>
          <w:rFonts w:ascii="Simplified Arabic" w:hAnsi="Simplified Arabic" w:cs="Simplified Arabic"/>
          <w:sz w:val="28"/>
          <w:szCs w:val="28"/>
          <w:lang w:bidi="ar-EG"/>
        </w:rPr>
        <w:t>Kaunde</w:t>
      </w:r>
      <w:proofErr w:type="spellEnd"/>
      <w:r w:rsidRPr="00332430">
        <w:rPr>
          <w:rFonts w:ascii="Simplified Arabic" w:hAnsi="Simplified Arabic" w:cs="Simplified Arabic"/>
          <w:sz w:val="28"/>
          <w:szCs w:val="28"/>
          <w:lang w:bidi="ar-EG"/>
        </w:rPr>
        <w:t xml:space="preserve"> Kasongo, J. K. (2025). Distribution of Operating Costs Along the Value Chain of </w:t>
      </w:r>
      <w:proofErr w:type="gramStart"/>
      <w:r w:rsidRPr="00332430">
        <w:rPr>
          <w:rFonts w:ascii="Simplified Arabic" w:hAnsi="Simplified Arabic" w:cs="Simplified Arabic"/>
          <w:sz w:val="28"/>
          <w:szCs w:val="28"/>
          <w:lang w:bidi="ar-EG"/>
        </w:rPr>
        <w:t>an Open</w:t>
      </w:r>
      <w:proofErr w:type="gramEnd"/>
      <w:r w:rsidRPr="00332430">
        <w:rPr>
          <w:rFonts w:ascii="Simplified Arabic" w:hAnsi="Simplified Arabic" w:cs="Simplified Arabic"/>
          <w:sz w:val="28"/>
          <w:szCs w:val="28"/>
          <w:lang w:bidi="ar-EG"/>
        </w:rPr>
        <w:t xml:space="preserve">-Pit Copper Mine. Applied Sciences, 15(3), </w:t>
      </w:r>
      <w:proofErr w:type="gramStart"/>
      <w:r w:rsidRPr="00332430">
        <w:rPr>
          <w:rFonts w:ascii="Simplified Arabic" w:hAnsi="Simplified Arabic" w:cs="Simplified Arabic"/>
          <w:sz w:val="28"/>
          <w:szCs w:val="28"/>
          <w:lang w:bidi="ar-EG"/>
        </w:rPr>
        <w:t>1602.</w:t>
      </w:r>
      <w:r w:rsidRPr="00BE606B">
        <w:rPr>
          <w:rFonts w:ascii="Simplified Arabic" w:hAnsi="Simplified Arabic" w:cs="Simplified Arabic"/>
          <w:sz w:val="28"/>
          <w:szCs w:val="28"/>
          <w:lang w:bidi="ar-EG"/>
        </w:rPr>
        <w:t>.</w:t>
      </w:r>
      <w:proofErr w:type="gramEnd"/>
      <w:r w:rsidRPr="00BE606B">
        <w:rPr>
          <w:rFonts w:ascii="Simplified Arabic" w:hAnsi="Simplified Arabic" w:cs="Simplified Arabic"/>
          <w:sz w:val="28"/>
          <w:szCs w:val="28"/>
          <w:lang w:bidi="ar-EG"/>
        </w:rPr>
        <w:t xml:space="preserve"> </w:t>
      </w:r>
      <w:hyperlink r:id="rId31"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pPr>
        <w:pStyle w:val="a6"/>
        <w:numPr>
          <w:ilvl w:val="0"/>
          <w:numId w:val="9"/>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Naas, A.,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 xml:space="preserve">Volume </w:t>
      </w:r>
      <w:proofErr w:type="gramStart"/>
      <w:r w:rsidRPr="00332430">
        <w:rPr>
          <w:rFonts w:ascii="Simplified Arabic" w:hAnsi="Simplified Arabic" w:cs="Simplified Arabic"/>
          <w:sz w:val="28"/>
          <w:szCs w:val="28"/>
          <w:lang w:bidi="ar-EG"/>
        </w:rPr>
        <w:t>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Issue</w:t>
      </w:r>
      <w:proofErr w:type="gramEnd"/>
      <w:r w:rsidRPr="00332430">
        <w:rPr>
          <w:rFonts w:ascii="Simplified Arabic" w:hAnsi="Simplified Arabic" w:cs="Simplified Arabic"/>
          <w:sz w:val="28"/>
          <w:szCs w:val="28"/>
          <w:lang w:bidi="ar-EG"/>
        </w:rPr>
        <w:t xml:space="preserve"> 1, 98. </w:t>
      </w:r>
      <w:r w:rsidRPr="00BE606B">
        <w:rPr>
          <w:rFonts w:ascii="Simplified Arabic" w:hAnsi="Simplified Arabic" w:cs="Simplified Arabic"/>
          <w:sz w:val="28"/>
          <w:szCs w:val="28"/>
          <w:lang w:bidi="ar-EG"/>
        </w:rPr>
        <w:t xml:space="preserve"> </w:t>
      </w:r>
      <w:hyperlink r:id="rId32"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Nathany</w:t>
      </w:r>
      <w:proofErr w:type="spellEnd"/>
      <w:r w:rsidRPr="006E5307">
        <w:rPr>
          <w:rFonts w:ascii="Simplified Arabic" w:hAnsi="Simplified Arabic" w:cs="Simplified Arabic"/>
          <w:sz w:val="28"/>
          <w:szCs w:val="28"/>
          <w:lang w:bidi="ar-EG"/>
        </w:rPr>
        <w:t xml:space="preserve">, D. (2022). Artificial Intelligence in Supply Chain: A Comprehensive Analysis of Applications, Impacts, and Future Directions. </w:t>
      </w:r>
      <w:r w:rsidRPr="006E5307">
        <w:rPr>
          <w:rFonts w:ascii="Simplified Arabic" w:hAnsi="Simplified Arabic" w:cs="Simplified Arabic"/>
          <w:sz w:val="28"/>
          <w:szCs w:val="28"/>
          <w:lang w:bidi="ar-EG"/>
        </w:rPr>
        <w:lastRenderedPageBreak/>
        <w:t xml:space="preserve">Indian Scientific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Research </w:t>
      </w:r>
      <w:proofErr w:type="gramStart"/>
      <w:r w:rsidRPr="006E5307">
        <w:rPr>
          <w:rFonts w:ascii="Simplified Arabic" w:hAnsi="Simplified Arabic" w:cs="Simplified Arabic"/>
          <w:sz w:val="28"/>
          <w:szCs w:val="28"/>
          <w:lang w:bidi="ar-EG"/>
        </w:rPr>
        <w:t>In</w:t>
      </w:r>
      <w:proofErr w:type="gramEnd"/>
      <w:r w:rsidRPr="006E5307">
        <w:rPr>
          <w:rFonts w:ascii="Simplified Arabic" w:hAnsi="Simplified Arabic" w:cs="Simplified Arabic"/>
          <w:sz w:val="28"/>
          <w:szCs w:val="28"/>
          <w:lang w:bidi="ar-EG"/>
        </w:rPr>
        <w:t xml:space="preserve"> Engineering </w:t>
      </w:r>
      <w:proofErr w:type="gramStart"/>
      <w:r w:rsidRPr="006E5307">
        <w:rPr>
          <w:rFonts w:ascii="Simplified Arabic" w:hAnsi="Simplified Arabic" w:cs="Simplified Arabic"/>
          <w:sz w:val="28"/>
          <w:szCs w:val="28"/>
          <w:lang w:bidi="ar-EG"/>
        </w:rPr>
        <w:t>And</w:t>
      </w:r>
      <w:proofErr w:type="gramEnd"/>
      <w:r w:rsidRPr="006E5307">
        <w:rPr>
          <w:rFonts w:ascii="Simplified Arabic" w:hAnsi="Simplified Arabic" w:cs="Simplified Arabic"/>
          <w:sz w:val="28"/>
          <w:szCs w:val="28"/>
          <w:lang w:bidi="ar-EG"/>
        </w:rPr>
        <w:t xml:space="preserve"> Management, 06(07), 1–8. </w:t>
      </w:r>
      <w:hyperlink r:id="rId33"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Pokamestov</w:t>
      </w:r>
      <w:proofErr w:type="spellEnd"/>
      <w:r w:rsidRPr="006E5307">
        <w:rPr>
          <w:rFonts w:ascii="Simplified Arabic" w:hAnsi="Simplified Arabic" w:cs="Simplified Arabic"/>
          <w:sz w:val="28"/>
          <w:szCs w:val="28"/>
          <w:lang w:bidi="ar-EG"/>
        </w:rPr>
        <w:t xml:space="preserve">, I. E., &amp; Nikitin, N. A. (2024). Modern Artificial Intelligence Technologies as a Tool of Transformation of Value Chains of Russian Commercial Banks. </w:t>
      </w:r>
      <w:proofErr w:type="spellStart"/>
      <w:r w:rsidRPr="006E5307">
        <w:rPr>
          <w:rFonts w:ascii="Simplified Arabic" w:hAnsi="Simplified Arabic" w:cs="Simplified Arabic"/>
          <w:sz w:val="28"/>
          <w:szCs w:val="28"/>
          <w:lang w:bidi="ar-EG"/>
        </w:rPr>
        <w:t>Finansy</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Teoriâ</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i</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Praktika</w:t>
      </w:r>
      <w:proofErr w:type="spellEnd"/>
      <w:r w:rsidRPr="006E5307">
        <w:rPr>
          <w:rFonts w:ascii="Simplified Arabic" w:hAnsi="Simplified Arabic" w:cs="Simplified Arabic"/>
          <w:sz w:val="28"/>
          <w:szCs w:val="28"/>
          <w:lang w:bidi="ar-EG"/>
        </w:rPr>
        <w:t xml:space="preserve">, 28(4), 122–135. </w:t>
      </w:r>
      <w:hyperlink r:id="rId34"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w:t>
      </w:r>
      <w:proofErr w:type="spellStart"/>
      <w:r w:rsidRPr="006E5307">
        <w:rPr>
          <w:rFonts w:ascii="Simplified Arabic" w:hAnsi="Simplified Arabic" w:cs="Simplified Arabic"/>
          <w:sz w:val="28"/>
          <w:szCs w:val="28"/>
          <w:lang w:bidi="ar-EG"/>
        </w:rPr>
        <w:t>Krisknakumari</w:t>
      </w:r>
      <w:proofErr w:type="spellEnd"/>
      <w:r w:rsidRPr="006E5307">
        <w:rPr>
          <w:rFonts w:ascii="Simplified Arabic" w:hAnsi="Simplified Arabic" w:cs="Simplified Arabic"/>
          <w:sz w:val="28"/>
          <w:szCs w:val="28"/>
          <w:lang w:bidi="ar-EG"/>
        </w:rPr>
        <w:t xml:space="preserve">, S. (2024). Artificial Intelligence in Enhancing Operational Efficiency in Logistics and SCM. International Journal of Scientific Research in Science and Technology, 11(5), 316–323. </w:t>
      </w:r>
      <w:hyperlink r:id="rId35"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Tyapukhin, A. P. (2023). On the Issue of the Concept of Value Chain Management. </w:t>
      </w:r>
      <w:proofErr w:type="spellStart"/>
      <w:r w:rsidRPr="00BE606B">
        <w:rPr>
          <w:rFonts w:ascii="Cambria" w:hAnsi="Cambria" w:cs="Cambria"/>
          <w:sz w:val="28"/>
          <w:szCs w:val="28"/>
          <w:lang w:bidi="ar-EG"/>
        </w:rPr>
        <w:t>Управленческое</w:t>
      </w:r>
      <w:proofErr w:type="spellEnd"/>
      <w:r w:rsidRPr="00BE606B">
        <w:rPr>
          <w:rFonts w:ascii="Simplified Arabic" w:hAnsi="Simplified Arabic" w:cs="Simplified Arabic"/>
          <w:sz w:val="28"/>
          <w:szCs w:val="28"/>
          <w:lang w:bidi="ar-EG"/>
        </w:rPr>
        <w:t xml:space="preserve"> </w:t>
      </w:r>
      <w:proofErr w:type="spellStart"/>
      <w:r w:rsidRPr="00BE606B">
        <w:rPr>
          <w:rFonts w:ascii="Cambria" w:hAnsi="Cambria" w:cs="Cambria"/>
          <w:sz w:val="28"/>
          <w:szCs w:val="28"/>
          <w:lang w:bidi="ar-EG"/>
        </w:rPr>
        <w:t>Консультирование</w:t>
      </w:r>
      <w:proofErr w:type="spellEnd"/>
      <w:r w:rsidRPr="00BE606B">
        <w:rPr>
          <w:rFonts w:ascii="Simplified Arabic" w:hAnsi="Simplified Arabic" w:cs="Simplified Arabic"/>
          <w:sz w:val="28"/>
          <w:szCs w:val="28"/>
          <w:lang w:bidi="ar-EG"/>
        </w:rPr>
        <w:t xml:space="preserve">, 11, 46–59. </w:t>
      </w:r>
      <w:hyperlink r:id="rId36"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w:t>
      </w:r>
      <w:proofErr w:type="spellStart"/>
      <w:r w:rsidRPr="006E5307">
        <w:rPr>
          <w:rFonts w:ascii="Simplified Arabic" w:hAnsi="Simplified Arabic" w:cs="Simplified Arabic"/>
          <w:sz w:val="28"/>
          <w:szCs w:val="28"/>
          <w:lang w:bidi="ar-EG"/>
        </w:rPr>
        <w:t>Ikhine</w:t>
      </w:r>
      <w:proofErr w:type="spellEnd"/>
      <w:r w:rsidRPr="006E5307">
        <w:rPr>
          <w:rFonts w:ascii="Simplified Arabic" w:hAnsi="Simplified Arabic" w:cs="Simplified Arabic"/>
          <w:sz w:val="28"/>
          <w:szCs w:val="28"/>
          <w:lang w:bidi="ar-EG"/>
        </w:rPr>
        <w:t xml:space="preserve">, I. V., Nyamekeh, R., Oluwadare, O. E., </w:t>
      </w:r>
      <w:proofErr w:type="spellStart"/>
      <w:r w:rsidRPr="006E5307">
        <w:rPr>
          <w:rFonts w:ascii="Simplified Arabic" w:hAnsi="Simplified Arabic" w:cs="Simplified Arabic"/>
          <w:sz w:val="28"/>
          <w:szCs w:val="28"/>
          <w:lang w:bidi="ar-EG"/>
        </w:rPr>
        <w:t>Afoakwah</w:t>
      </w:r>
      <w:proofErr w:type="spellEnd"/>
      <w:r w:rsidRPr="006E5307">
        <w:rPr>
          <w:rFonts w:ascii="Simplified Arabic" w:hAnsi="Simplified Arabic" w:cs="Simplified Arabic"/>
          <w:sz w:val="28"/>
          <w:szCs w:val="28"/>
          <w:lang w:bidi="ar-EG"/>
        </w:rPr>
        <w:t xml:space="preserve">, B., &amp; Yusuf, N. (2025). The Impact of AI on Supply Chain Operations: A comparative analysis of traditional vs AI-enabled Processes. World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Advanced Research and Reviews, 27(2), 1688–1700. </w:t>
      </w:r>
      <w:hyperlink r:id="rId37" w:history="1">
        <w:r w:rsidRPr="006E5307">
          <w:rPr>
            <w:rStyle w:val="Hyperlink"/>
            <w:rFonts w:ascii="Simplified Arabic" w:hAnsi="Simplified Arabic" w:cs="Simplified Arabic"/>
            <w:sz w:val="28"/>
            <w:szCs w:val="28"/>
            <w:lang w:bidi="ar-EG"/>
          </w:rPr>
          <w:t>https://doi.org/10.30574/wjarr.2025.27.2.3027</w:t>
        </w:r>
      </w:hyperlink>
    </w:p>
    <w:p w14:paraId="505D6EA1"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Musleh Al-</w:t>
      </w:r>
      <w:proofErr w:type="spellStart"/>
      <w:r w:rsidRPr="000B00AD">
        <w:rPr>
          <w:rFonts w:ascii="Simplified Arabic" w:hAnsi="Simplified Arabic" w:cs="Simplified Arabic"/>
          <w:sz w:val="28"/>
          <w:szCs w:val="28"/>
          <w:lang w:bidi="ar-EG"/>
        </w:rPr>
        <w:t>Sartawi</w:t>
      </w:r>
      <w:proofErr w:type="spellEnd"/>
      <w:r w:rsidRPr="000B00AD">
        <w:rPr>
          <w:rFonts w:ascii="Simplified Arabic" w:hAnsi="Simplified Arabic" w:cs="Simplified Arabic"/>
          <w:sz w:val="28"/>
          <w:szCs w:val="28"/>
          <w:lang w:bidi="ar-EG"/>
        </w:rPr>
        <w:t xml:space="preserve">, A. M. A., </w:t>
      </w:r>
      <w:proofErr w:type="spellStart"/>
      <w:r w:rsidRPr="000B00AD">
        <w:rPr>
          <w:rFonts w:ascii="Simplified Arabic" w:hAnsi="Simplified Arabic" w:cs="Simplified Arabic"/>
          <w:sz w:val="28"/>
          <w:szCs w:val="28"/>
          <w:lang w:bidi="ar-EG"/>
        </w:rPr>
        <w:t>Hussainey</w:t>
      </w:r>
      <w:proofErr w:type="spellEnd"/>
      <w:r w:rsidRPr="000B00AD">
        <w:rPr>
          <w:rFonts w:ascii="Simplified Arabic" w:hAnsi="Simplified Arabic" w:cs="Simplified Arabic"/>
          <w:sz w:val="28"/>
          <w:szCs w:val="28"/>
          <w:lang w:bidi="ar-EG"/>
        </w:rPr>
        <w:t>, K., &amp; Razzaque, A. (2022). The role of artificial intelligence in sustainable finance. Journal of Sustainable Finance &amp; Investment, 1–6. https://doi.org/10.1080/20430795.2022.2057405</w:t>
      </w:r>
    </w:p>
    <w:p w14:paraId="2B6A0310"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lang w:bidi="ar-EG"/>
        </w:rPr>
        <w:t>Kureljusic</w:t>
      </w:r>
      <w:proofErr w:type="spellEnd"/>
      <w:r w:rsidRPr="000B00AD">
        <w:rPr>
          <w:rFonts w:ascii="Simplified Arabic" w:hAnsi="Simplified Arabic" w:cs="Simplified Arabic"/>
          <w:sz w:val="28"/>
          <w:szCs w:val="28"/>
          <w:lang w:bidi="ar-EG"/>
        </w:rPr>
        <w:t>, M. and Karger, E. (2024), "Forecasting in financial accounting with artificial intelligence – A systematic literature review and future research agenda", Journal of Applied Accounting Research, Vol. 25 No. 1, pp. 81-104. https://doi.org/10.1108/JAAR-06-2022-0146</w:t>
      </w:r>
    </w:p>
    <w:p w14:paraId="1D0437DC"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lastRenderedPageBreak/>
        <w:t xml:space="preserve">‏ </w:t>
      </w:r>
      <w:r w:rsidRPr="000B00AD">
        <w:rPr>
          <w:rFonts w:ascii="Simplified Arabic" w:hAnsi="Simplified Arabic" w:cs="Simplified Arabic"/>
          <w:sz w:val="28"/>
          <w:szCs w:val="28"/>
          <w:lang w:bidi="ar-EG"/>
        </w:rPr>
        <w:t>Peng, Y., Ahmad, S. F., Ahmad, A. Y. B., Al Shaikh, M. S., Daoud, M. K., &amp; Alhamdi, F. M. H. (2023). Riding the waves of artificial intelligence in advancing accounting and its implications for sustainable development goals. Sustainability, 15(19), 14165; https://doi.org/10.3390/su151914165</w:t>
      </w:r>
    </w:p>
    <w:p w14:paraId="45DFAB7E"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proofErr w:type="spellStart"/>
      <w:r w:rsidRPr="000B00AD">
        <w:rPr>
          <w:rFonts w:ascii="Simplified Arabic" w:hAnsi="Simplified Arabic" w:cs="Simplified Arabic"/>
          <w:sz w:val="28"/>
          <w:szCs w:val="28"/>
          <w:lang w:bidi="ar-EG"/>
        </w:rPr>
        <w:t>Odonkor</w:t>
      </w:r>
      <w:proofErr w:type="spellEnd"/>
      <w:r w:rsidRPr="000B00AD">
        <w:rPr>
          <w:rFonts w:ascii="Simplified Arabic" w:hAnsi="Simplified Arabic" w:cs="Simplified Arabic"/>
          <w:sz w:val="28"/>
          <w:szCs w:val="28"/>
          <w:lang w:bidi="ar-EG"/>
        </w:rPr>
        <w:t xml:space="preserve">, B., Kaggwa, S., </w:t>
      </w:r>
      <w:proofErr w:type="spellStart"/>
      <w:r w:rsidRPr="000B00AD">
        <w:rPr>
          <w:rFonts w:ascii="Simplified Arabic" w:hAnsi="Simplified Arabic" w:cs="Simplified Arabic"/>
          <w:sz w:val="28"/>
          <w:szCs w:val="28"/>
          <w:lang w:bidi="ar-EG"/>
        </w:rPr>
        <w:t>Uwaoma</w:t>
      </w:r>
      <w:proofErr w:type="spellEnd"/>
      <w:r w:rsidRPr="000B00AD">
        <w:rPr>
          <w:rFonts w:ascii="Simplified Arabic" w:hAnsi="Simplified Arabic" w:cs="Simplified Arabic"/>
          <w:sz w:val="28"/>
          <w:szCs w:val="28"/>
          <w:lang w:bidi="ar-EG"/>
        </w:rPr>
        <w:t xml:space="preserve">, P. U., Hassan, A. O., &amp; </w:t>
      </w:r>
      <w:proofErr w:type="spellStart"/>
      <w:r w:rsidRPr="000B00AD">
        <w:rPr>
          <w:rFonts w:ascii="Simplified Arabic" w:hAnsi="Simplified Arabic" w:cs="Simplified Arabic"/>
          <w:sz w:val="28"/>
          <w:szCs w:val="28"/>
          <w:lang w:bidi="ar-EG"/>
        </w:rPr>
        <w:t>Farayola</w:t>
      </w:r>
      <w:proofErr w:type="spellEnd"/>
      <w:r w:rsidRPr="000B00AD">
        <w:rPr>
          <w:rFonts w:ascii="Simplified Arabic" w:hAnsi="Simplified Arabic" w:cs="Simplified Arabic"/>
          <w:sz w:val="28"/>
          <w:szCs w:val="28"/>
          <w:lang w:bidi="ar-EG"/>
        </w:rPr>
        <w:t>, O. A. (2024). The impact of AI on accounting practices: A review: Exploring how artificial intelligence is transforming traditional accounting methods and financial reporting. World Journal of Advanced Research and Reviews, 21(1), 172-188 doi.org/10.30574/wjarr.2024.21.1.2721</w:t>
      </w:r>
    </w:p>
    <w:p w14:paraId="30C2DFEF"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 xml:space="preserve">Ahmed, S., </w:t>
      </w:r>
      <w:proofErr w:type="spellStart"/>
      <w:r w:rsidRPr="000B00AD">
        <w:rPr>
          <w:rFonts w:ascii="Simplified Arabic" w:hAnsi="Simplified Arabic" w:cs="Simplified Arabic"/>
          <w:sz w:val="28"/>
          <w:szCs w:val="28"/>
          <w:lang w:bidi="ar-EG"/>
        </w:rPr>
        <w:t>Alshater</w:t>
      </w:r>
      <w:proofErr w:type="spellEnd"/>
      <w:r w:rsidRPr="000B00AD">
        <w:rPr>
          <w:rFonts w:ascii="Simplified Arabic" w:hAnsi="Simplified Arabic" w:cs="Simplified Arabic"/>
          <w:sz w:val="28"/>
          <w:szCs w:val="28"/>
          <w:lang w:bidi="ar-EG"/>
        </w:rPr>
        <w:t>, M. M., El Ammari, A., &amp; Hammami, H. (2022). Artificial intelligence and machine learning in finance: A bibliometric review. Research in International Business and Finance, 61, 101646 https://doi.org/10.1016/j.ribaf.2022.101646</w:t>
      </w:r>
    </w:p>
    <w:p w14:paraId="3F15A186"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 xml:space="preserve">Sadok, H., Sakka, F., &amp; El </w:t>
      </w:r>
      <w:proofErr w:type="spellStart"/>
      <w:r w:rsidRPr="000B00AD">
        <w:rPr>
          <w:rFonts w:ascii="Simplified Arabic" w:hAnsi="Simplified Arabic" w:cs="Simplified Arabic"/>
          <w:sz w:val="28"/>
          <w:szCs w:val="28"/>
          <w:lang w:bidi="ar-EG"/>
        </w:rPr>
        <w:t>Maknouzi</w:t>
      </w:r>
      <w:proofErr w:type="spellEnd"/>
      <w:r w:rsidRPr="000B00AD">
        <w:rPr>
          <w:rFonts w:ascii="Simplified Arabic" w:hAnsi="Simplified Arabic" w:cs="Simplified Arabic"/>
          <w:sz w:val="28"/>
          <w:szCs w:val="28"/>
          <w:lang w:bidi="ar-EG"/>
        </w:rPr>
        <w:t>, M. E. H. (2022). Artificial intelligence and bank credit analysis: A review. Cogent Economics &amp; Finance, 10(1). https://doi.org/10.1080/23322039.2021.2023262</w:t>
      </w:r>
    </w:p>
    <w:p w14:paraId="0A7EA6EE" w14:textId="3BE27962" w:rsidR="000B00AD" w:rsidRDefault="000B00AD">
      <w:pPr>
        <w:pStyle w:val="a6"/>
        <w:numPr>
          <w:ilvl w:val="0"/>
          <w:numId w:val="9"/>
        </w:numPr>
        <w:bidi w:val="0"/>
        <w:jc w:val="both"/>
        <w:rPr>
          <w:rFonts w:ascii="Simplified Arabic" w:hAnsi="Simplified Arabic" w:cs="Simplified Arabic"/>
          <w:sz w:val="28"/>
          <w:szCs w:val="28"/>
          <w:lang w:bidi="ar-EG"/>
        </w:rPr>
      </w:pPr>
      <w:r w:rsidRPr="00C47BC4">
        <w:rPr>
          <w:rFonts w:ascii="Simplified Arabic" w:hAnsi="Simplified Arabic" w:cs="Simplified Arabic"/>
          <w:sz w:val="28"/>
          <w:szCs w:val="28"/>
          <w:lang w:val="pl-PL" w:bidi="ar-EG"/>
        </w:rPr>
        <w:t xml:space="preserve">Garanina, T., Ranta, M., &amp; Dumay, J. (2022). </w:t>
      </w:r>
      <w:r w:rsidRPr="000B00AD">
        <w:rPr>
          <w:rFonts w:ascii="Simplified Arabic" w:hAnsi="Simplified Arabic" w:cs="Simplified Arabic"/>
          <w:sz w:val="28"/>
          <w:szCs w:val="28"/>
          <w:lang w:bidi="ar-EG"/>
        </w:rPr>
        <w:t>Blockchain in accounting research: current trends and emerging topics. Accounting, Auditing &amp; Accountability Journal, 35(7), 1507-1533.</w:t>
      </w:r>
      <w:r w:rsidRPr="000B00AD">
        <w:rPr>
          <w:rFonts w:ascii="Simplified Arabic" w:hAnsi="Simplified Arabic" w:cs="Simplified Arabic"/>
          <w:sz w:val="28"/>
          <w:szCs w:val="28"/>
          <w:rtl/>
          <w:lang w:bidi="ar-EG"/>
        </w:rPr>
        <w:t>‏</w:t>
      </w:r>
    </w:p>
    <w:p w14:paraId="79EF192E" w14:textId="157EBE8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Eisenreich, A., Füller, J., </w:t>
      </w:r>
      <w:proofErr w:type="spellStart"/>
      <w:r w:rsidRPr="00B32BDC">
        <w:rPr>
          <w:rFonts w:ascii="Simplified Arabic" w:hAnsi="Simplified Arabic" w:cs="Simplified Arabic"/>
          <w:sz w:val="28"/>
          <w:szCs w:val="28"/>
          <w:lang w:bidi="ar-EG"/>
        </w:rPr>
        <w:t>Stuchtey</w:t>
      </w:r>
      <w:proofErr w:type="spellEnd"/>
      <w:r w:rsidRPr="00B32BDC">
        <w:rPr>
          <w:rFonts w:ascii="Simplified Arabic" w:hAnsi="Simplified Arabic" w:cs="Simplified Arabic"/>
          <w:sz w:val="28"/>
          <w:szCs w:val="28"/>
          <w:lang w:bidi="ar-EG"/>
        </w:rPr>
        <w:t>, M., &amp; Gimenez-Jimenez, D. (2022). Toward a circular value chain: Impact of the circular economy on a company's value chain processes. Journal of Cleaner Production, 378, 134375.</w:t>
      </w:r>
      <w:r w:rsidRPr="00B32BDC">
        <w:rPr>
          <w:rFonts w:ascii="Simplified Arabic" w:hAnsi="Simplified Arabic" w:cs="Simplified Arabic"/>
          <w:sz w:val="28"/>
          <w:szCs w:val="28"/>
          <w:rtl/>
          <w:lang w:bidi="ar-EG"/>
        </w:rPr>
        <w:t>‏</w:t>
      </w:r>
    </w:p>
    <w:p w14:paraId="066C5D9D" w14:textId="6F1FBA6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Hayakawa, K., &amp; </w:t>
      </w:r>
      <w:proofErr w:type="spellStart"/>
      <w:r w:rsidRPr="00B32BDC">
        <w:rPr>
          <w:rFonts w:ascii="Simplified Arabic" w:hAnsi="Simplified Arabic" w:cs="Simplified Arabic"/>
          <w:sz w:val="28"/>
          <w:szCs w:val="28"/>
          <w:lang w:bidi="ar-EG"/>
        </w:rPr>
        <w:t>Mukunoki</w:t>
      </w:r>
      <w:proofErr w:type="spellEnd"/>
      <w:r w:rsidRPr="00B32BDC">
        <w:rPr>
          <w:rFonts w:ascii="Simplified Arabic" w:hAnsi="Simplified Arabic" w:cs="Simplified Arabic"/>
          <w:sz w:val="28"/>
          <w:szCs w:val="28"/>
          <w:lang w:bidi="ar-EG"/>
        </w:rPr>
        <w:t>, H. (2021). Impacts of COVID</w:t>
      </w:r>
      <w:r w:rsidRPr="00B32BDC">
        <w:rPr>
          <w:rFonts w:ascii="Cambria Math" w:hAnsi="Cambria Math" w:cs="Cambria Math"/>
          <w:sz w:val="28"/>
          <w:szCs w:val="28"/>
          <w:lang w:bidi="ar-EG"/>
        </w:rPr>
        <w:t>‐</w:t>
      </w:r>
      <w:r w:rsidRPr="00B32BDC">
        <w:rPr>
          <w:rFonts w:ascii="Simplified Arabic" w:hAnsi="Simplified Arabic" w:cs="Simplified Arabic"/>
          <w:sz w:val="28"/>
          <w:szCs w:val="28"/>
          <w:lang w:bidi="ar-EG"/>
        </w:rPr>
        <w:t xml:space="preserve">19 on global value chains. </w:t>
      </w:r>
      <w:proofErr w:type="gramStart"/>
      <w:r w:rsidRPr="00B32BDC">
        <w:rPr>
          <w:rFonts w:ascii="Simplified Arabic" w:hAnsi="Simplified Arabic" w:cs="Simplified Arabic"/>
          <w:sz w:val="28"/>
          <w:szCs w:val="28"/>
          <w:lang w:bidi="ar-EG"/>
        </w:rPr>
        <w:t>The Developing</w:t>
      </w:r>
      <w:proofErr w:type="gramEnd"/>
      <w:r w:rsidRPr="00B32BDC">
        <w:rPr>
          <w:rFonts w:ascii="Simplified Arabic" w:hAnsi="Simplified Arabic" w:cs="Simplified Arabic"/>
          <w:sz w:val="28"/>
          <w:szCs w:val="28"/>
          <w:lang w:bidi="ar-EG"/>
        </w:rPr>
        <w:t xml:space="preserve"> Economies, 59(2), 154-177.</w:t>
      </w:r>
      <w:r w:rsidRPr="00B32BDC">
        <w:rPr>
          <w:rFonts w:ascii="Simplified Arabic" w:hAnsi="Simplified Arabic" w:cs="Simplified Arabic"/>
          <w:sz w:val="28"/>
          <w:szCs w:val="28"/>
          <w:rtl/>
          <w:lang w:bidi="ar-EG"/>
        </w:rPr>
        <w:t>‏</w:t>
      </w:r>
    </w:p>
    <w:p w14:paraId="110DE534" w14:textId="414C66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lastRenderedPageBreak/>
        <w:t>Helo, P., &amp; Hao, Y. (2022). Artificial intelligence in operations management and supply chain management: an exploratory case study. Production planning &amp; control, 33(16), 1573-1590.</w:t>
      </w:r>
    </w:p>
    <w:p w14:paraId="27F74A9F" w14:textId="669B429F"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Ismaeil, M. K. A. (2024). The role and impact of artificial intelligence on supply chain management: Efficiency, challenges, and strategic implementation. Journal of </w:t>
      </w:r>
      <w:proofErr w:type="spellStart"/>
      <w:r w:rsidRPr="00B32BDC">
        <w:rPr>
          <w:rFonts w:ascii="Simplified Arabic" w:hAnsi="Simplified Arabic" w:cs="Simplified Arabic"/>
          <w:sz w:val="28"/>
          <w:szCs w:val="28"/>
          <w:lang w:bidi="ar-EG"/>
        </w:rPr>
        <w:t>Ecohumanism</w:t>
      </w:r>
      <w:proofErr w:type="spellEnd"/>
      <w:r w:rsidRPr="00B32BDC">
        <w:rPr>
          <w:rFonts w:ascii="Simplified Arabic" w:hAnsi="Simplified Arabic" w:cs="Simplified Arabic"/>
          <w:sz w:val="28"/>
          <w:szCs w:val="28"/>
          <w:lang w:bidi="ar-EG"/>
        </w:rPr>
        <w:t>, 3(4), 89-106.</w:t>
      </w:r>
      <w:r w:rsidRPr="00B32BDC">
        <w:rPr>
          <w:rFonts w:ascii="Simplified Arabic" w:hAnsi="Simplified Arabic" w:cs="Simplified Arabic"/>
          <w:sz w:val="28"/>
          <w:szCs w:val="28"/>
          <w:rtl/>
          <w:lang w:bidi="ar-EG"/>
        </w:rPr>
        <w:t>‏</w:t>
      </w:r>
    </w:p>
    <w:p w14:paraId="5C8DEE03" w14:textId="2D290DD6"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Mohsen, B. M. (2023). Impact of artificial intelligence on supply chain management performance. Journal of Service Science and Management, 16(1), 44-58</w:t>
      </w:r>
    </w:p>
    <w:p w14:paraId="19CF14F6" w14:textId="5BDAA2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Cannas, V. G., Ciano, M. P., Saltalamacchia, M., &amp; Secchi, R. (2024). Artificial intelligence in supply chain and operations management: </w:t>
      </w:r>
      <w:proofErr w:type="gramStart"/>
      <w:r w:rsidRPr="00B32BDC">
        <w:rPr>
          <w:rFonts w:ascii="Simplified Arabic" w:hAnsi="Simplified Arabic" w:cs="Simplified Arabic"/>
          <w:sz w:val="28"/>
          <w:szCs w:val="28"/>
          <w:lang w:bidi="ar-EG"/>
        </w:rPr>
        <w:t>a multiple case study research</w:t>
      </w:r>
      <w:proofErr w:type="gramEnd"/>
      <w:r w:rsidRPr="00B32BDC">
        <w:rPr>
          <w:rFonts w:ascii="Simplified Arabic" w:hAnsi="Simplified Arabic" w:cs="Simplified Arabic"/>
          <w:sz w:val="28"/>
          <w:szCs w:val="28"/>
          <w:lang w:bidi="ar-EG"/>
        </w:rPr>
        <w:t>. International journal of production research, 62(9), 3333-3360.</w:t>
      </w:r>
    </w:p>
    <w:p w14:paraId="49DED060" w14:textId="22152DAC"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Fosso Wamba, S., Queiroz, M. M., Guthrie, C., &amp; Braganza, A. (2022). Industry experiences of artificial intelligence (AI): benefits and challenges in operations and supply chain management. Production planning &amp; control, 33(16), 1493-1497</w:t>
      </w:r>
    </w:p>
    <w:p w14:paraId="29D7CC8D" w14:textId="6D943282"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Jackson, I., Ivanov, D., </w:t>
      </w:r>
      <w:proofErr w:type="spellStart"/>
      <w:r w:rsidRPr="00B32BDC">
        <w:rPr>
          <w:rFonts w:ascii="Simplified Arabic" w:hAnsi="Simplified Arabic" w:cs="Simplified Arabic"/>
          <w:sz w:val="28"/>
          <w:szCs w:val="28"/>
          <w:lang w:bidi="ar-EG"/>
        </w:rPr>
        <w:t>Dolgui</w:t>
      </w:r>
      <w:proofErr w:type="spellEnd"/>
      <w:r w:rsidRPr="00B32BDC">
        <w:rPr>
          <w:rFonts w:ascii="Simplified Arabic" w:hAnsi="Simplified Arabic" w:cs="Simplified Arabic"/>
          <w:sz w:val="28"/>
          <w:szCs w:val="28"/>
          <w:lang w:bidi="ar-EG"/>
        </w:rPr>
        <w:t>, A., &amp; Namdar, J. (2024). Generative artificial intelligence in supply chain and operations management: a capability-based framework for analysis and implementation. International Journal of Production Research, 62(17), 6120-6145</w:t>
      </w:r>
    </w:p>
    <w:p w14:paraId="05498321" w14:textId="77777777" w:rsidR="00B32BDC" w:rsidRPr="00332430" w:rsidRDefault="00B32BDC" w:rsidP="00B32BDC">
      <w:pPr>
        <w:pStyle w:val="a6"/>
        <w:bidi w:val="0"/>
        <w:jc w:val="both"/>
        <w:rPr>
          <w:rFonts w:ascii="Simplified Arabic" w:hAnsi="Simplified Arabic" w:cs="Simplified Arabic"/>
          <w:sz w:val="28"/>
          <w:szCs w:val="28"/>
          <w:lang w:bidi="ar-EG"/>
        </w:rPr>
      </w:pPr>
    </w:p>
    <w:p w14:paraId="54C66D4A" w14:textId="77777777" w:rsidR="006E5307" w:rsidRDefault="006E5307" w:rsidP="006E5307">
      <w:pPr>
        <w:pStyle w:val="a6"/>
        <w:bidi w:val="0"/>
        <w:jc w:val="both"/>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0AE8D26F" w14:textId="77777777" w:rsidR="00BE606B" w:rsidRDefault="00BE606B" w:rsidP="00BE606B">
      <w:pPr>
        <w:pStyle w:val="a6"/>
        <w:bidi w:val="0"/>
        <w:jc w:val="both"/>
        <w:rPr>
          <w:rFonts w:ascii="Simplified Arabic" w:hAnsi="Simplified Arabic" w:cs="Simplified Arabic"/>
          <w:sz w:val="28"/>
          <w:szCs w:val="28"/>
          <w:lang w:bidi="ar-EG"/>
        </w:rPr>
      </w:pPr>
    </w:p>
    <w:p w14:paraId="40B76207"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5AD6E3B7" w14:textId="77777777" w:rsidR="00576E87" w:rsidRDefault="00576E87" w:rsidP="00BE606B">
      <w:pPr>
        <w:pStyle w:val="a6"/>
        <w:bidi w:val="0"/>
        <w:jc w:val="both"/>
        <w:rPr>
          <w:rFonts w:ascii="Simplified Arabic" w:hAnsi="Simplified Arabic" w:cs="Simplified Arabic"/>
          <w:sz w:val="28"/>
          <w:szCs w:val="28"/>
          <w:rtl/>
        </w:rPr>
      </w:pPr>
    </w:p>
    <w:p w14:paraId="749F4B9E" w14:textId="77777777" w:rsidR="00BE606B" w:rsidRPr="000236E3" w:rsidRDefault="00BE606B" w:rsidP="005D0A6D">
      <w:pPr>
        <w:pStyle w:val="a6"/>
        <w:jc w:val="both"/>
        <w:rPr>
          <w:rFonts w:ascii="Simplified Arabic" w:hAnsi="Simplified Arabic" w:cs="Simplified Arabic"/>
          <w:sz w:val="28"/>
          <w:szCs w:val="28"/>
        </w:rPr>
      </w:pPr>
    </w:p>
    <w:sectPr w:rsidR="00BE606B" w:rsidRPr="000236E3" w:rsidSect="00CB6D93">
      <w:footerReference w:type="default" r:id="rId3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85AD" w14:textId="77777777" w:rsidR="00FB666C" w:rsidRDefault="00FB666C" w:rsidP="00621DED">
      <w:pPr>
        <w:spacing w:after="0" w:line="240" w:lineRule="auto"/>
      </w:pPr>
      <w:r>
        <w:separator/>
      </w:r>
    </w:p>
  </w:endnote>
  <w:endnote w:type="continuationSeparator" w:id="0">
    <w:p w14:paraId="01578B86" w14:textId="77777777" w:rsidR="00FB666C" w:rsidRDefault="00FB666C"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6646B" w14:textId="77777777" w:rsidR="00FB666C" w:rsidRDefault="00FB666C" w:rsidP="00621DED">
      <w:pPr>
        <w:spacing w:after="0" w:line="240" w:lineRule="auto"/>
      </w:pPr>
      <w:r>
        <w:separator/>
      </w:r>
    </w:p>
  </w:footnote>
  <w:footnote w:type="continuationSeparator" w:id="0">
    <w:p w14:paraId="36592A19" w14:textId="77777777" w:rsidR="00FB666C" w:rsidRDefault="00FB666C"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6475B"/>
    <w:multiLevelType w:val="multilevel"/>
    <w:tmpl w:val="455A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37FAD"/>
    <w:multiLevelType w:val="multilevel"/>
    <w:tmpl w:val="BA2E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C41EB9"/>
    <w:multiLevelType w:val="hybridMultilevel"/>
    <w:tmpl w:val="8BB8B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52D98"/>
    <w:multiLevelType w:val="multilevel"/>
    <w:tmpl w:val="C172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482BDC"/>
    <w:multiLevelType w:val="multilevel"/>
    <w:tmpl w:val="9342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21727"/>
    <w:multiLevelType w:val="multilevel"/>
    <w:tmpl w:val="E9D2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3058C"/>
    <w:multiLevelType w:val="multilevel"/>
    <w:tmpl w:val="D820E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2031E5"/>
    <w:multiLevelType w:val="hybridMultilevel"/>
    <w:tmpl w:val="AAC4C1F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120EEC"/>
    <w:multiLevelType w:val="multilevel"/>
    <w:tmpl w:val="67FA3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0C75FD"/>
    <w:multiLevelType w:val="multilevel"/>
    <w:tmpl w:val="53962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E06B81"/>
    <w:multiLevelType w:val="multilevel"/>
    <w:tmpl w:val="0FF4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B4276D"/>
    <w:multiLevelType w:val="hybridMultilevel"/>
    <w:tmpl w:val="974A936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BF1A5C"/>
    <w:multiLevelType w:val="multilevel"/>
    <w:tmpl w:val="DCB2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6154D0"/>
    <w:multiLevelType w:val="multilevel"/>
    <w:tmpl w:val="DCF2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EF3323"/>
    <w:multiLevelType w:val="hybridMultilevel"/>
    <w:tmpl w:val="E35CD88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001994">
    <w:abstractNumId w:val="19"/>
  </w:num>
  <w:num w:numId="2" w16cid:durableId="1196456994">
    <w:abstractNumId w:val="18"/>
  </w:num>
  <w:num w:numId="3" w16cid:durableId="1230456850">
    <w:abstractNumId w:val="7"/>
  </w:num>
  <w:num w:numId="4" w16cid:durableId="939215101">
    <w:abstractNumId w:val="25"/>
  </w:num>
  <w:num w:numId="5" w16cid:durableId="22947908">
    <w:abstractNumId w:val="17"/>
  </w:num>
  <w:num w:numId="6" w16cid:durableId="382796019">
    <w:abstractNumId w:val="13"/>
  </w:num>
  <w:num w:numId="7" w16cid:durableId="503012899">
    <w:abstractNumId w:val="0"/>
  </w:num>
  <w:num w:numId="8" w16cid:durableId="1172140132">
    <w:abstractNumId w:val="23"/>
  </w:num>
  <w:num w:numId="9" w16cid:durableId="907181241">
    <w:abstractNumId w:val="3"/>
  </w:num>
  <w:num w:numId="10" w16cid:durableId="835608117">
    <w:abstractNumId w:val="16"/>
  </w:num>
  <w:num w:numId="11" w16cid:durableId="190342653">
    <w:abstractNumId w:val="14"/>
  </w:num>
  <w:num w:numId="12" w16cid:durableId="1318220249">
    <w:abstractNumId w:val="22"/>
  </w:num>
  <w:num w:numId="13" w16cid:durableId="1341346507">
    <w:abstractNumId w:val="15"/>
  </w:num>
  <w:num w:numId="14" w16cid:durableId="1051877540">
    <w:abstractNumId w:val="1"/>
  </w:num>
  <w:num w:numId="15" w16cid:durableId="1768844349">
    <w:abstractNumId w:val="5"/>
  </w:num>
  <w:num w:numId="16" w16cid:durableId="201864712">
    <w:abstractNumId w:val="6"/>
  </w:num>
  <w:num w:numId="17" w16cid:durableId="1627851115">
    <w:abstractNumId w:val="11"/>
  </w:num>
  <w:num w:numId="18" w16cid:durableId="1167939090">
    <w:abstractNumId w:val="2"/>
  </w:num>
  <w:num w:numId="19" w16cid:durableId="1871727142">
    <w:abstractNumId w:val="9"/>
  </w:num>
  <w:num w:numId="20" w16cid:durableId="1504666960">
    <w:abstractNumId w:val="20"/>
  </w:num>
  <w:num w:numId="21" w16cid:durableId="496842416">
    <w:abstractNumId w:val="10"/>
  </w:num>
  <w:num w:numId="22" w16cid:durableId="1181432798">
    <w:abstractNumId w:val="24"/>
  </w:num>
  <w:num w:numId="23" w16cid:durableId="1406731704">
    <w:abstractNumId w:val="8"/>
  </w:num>
  <w:num w:numId="24" w16cid:durableId="1493370440">
    <w:abstractNumId w:val="4"/>
  </w:num>
  <w:num w:numId="25" w16cid:durableId="2091928239">
    <w:abstractNumId w:val="12"/>
  </w:num>
  <w:num w:numId="26" w16cid:durableId="108718937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71EE4"/>
    <w:rsid w:val="00092108"/>
    <w:rsid w:val="000B00AD"/>
    <w:rsid w:val="000D1962"/>
    <w:rsid w:val="000E0033"/>
    <w:rsid w:val="001705A9"/>
    <w:rsid w:val="001B43EF"/>
    <w:rsid w:val="001D2387"/>
    <w:rsid w:val="001E3435"/>
    <w:rsid w:val="001F4120"/>
    <w:rsid w:val="00234A82"/>
    <w:rsid w:val="00234EE9"/>
    <w:rsid w:val="002765C1"/>
    <w:rsid w:val="00297B1D"/>
    <w:rsid w:val="002A5D5B"/>
    <w:rsid w:val="002B5492"/>
    <w:rsid w:val="0030015D"/>
    <w:rsid w:val="0032684C"/>
    <w:rsid w:val="00332430"/>
    <w:rsid w:val="003372C0"/>
    <w:rsid w:val="003374BD"/>
    <w:rsid w:val="0034535E"/>
    <w:rsid w:val="00395C32"/>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965AD"/>
    <w:rsid w:val="005B79EF"/>
    <w:rsid w:val="005C3640"/>
    <w:rsid w:val="005C44E0"/>
    <w:rsid w:val="005D0A6D"/>
    <w:rsid w:val="005D3BB8"/>
    <w:rsid w:val="005E52A1"/>
    <w:rsid w:val="005E6DFF"/>
    <w:rsid w:val="005F3A85"/>
    <w:rsid w:val="00602A7D"/>
    <w:rsid w:val="006114F7"/>
    <w:rsid w:val="00621DED"/>
    <w:rsid w:val="0063138F"/>
    <w:rsid w:val="006349D7"/>
    <w:rsid w:val="00643EEB"/>
    <w:rsid w:val="00644213"/>
    <w:rsid w:val="00681CD5"/>
    <w:rsid w:val="006C2178"/>
    <w:rsid w:val="006E5307"/>
    <w:rsid w:val="006F66D2"/>
    <w:rsid w:val="007543D1"/>
    <w:rsid w:val="00761E9B"/>
    <w:rsid w:val="008019E7"/>
    <w:rsid w:val="00804576"/>
    <w:rsid w:val="00804FE9"/>
    <w:rsid w:val="0081357B"/>
    <w:rsid w:val="00813640"/>
    <w:rsid w:val="00813BCB"/>
    <w:rsid w:val="00841847"/>
    <w:rsid w:val="008457E0"/>
    <w:rsid w:val="00860640"/>
    <w:rsid w:val="00881070"/>
    <w:rsid w:val="008D1C82"/>
    <w:rsid w:val="0091397D"/>
    <w:rsid w:val="00917C1F"/>
    <w:rsid w:val="009421C9"/>
    <w:rsid w:val="0095065B"/>
    <w:rsid w:val="00951C20"/>
    <w:rsid w:val="00955C78"/>
    <w:rsid w:val="00975E90"/>
    <w:rsid w:val="009B5EF9"/>
    <w:rsid w:val="009C14F2"/>
    <w:rsid w:val="009C399E"/>
    <w:rsid w:val="009D3DFA"/>
    <w:rsid w:val="009E740B"/>
    <w:rsid w:val="00A24D1C"/>
    <w:rsid w:val="00A5503B"/>
    <w:rsid w:val="00A96935"/>
    <w:rsid w:val="00AF0FC2"/>
    <w:rsid w:val="00B04F4C"/>
    <w:rsid w:val="00B13F94"/>
    <w:rsid w:val="00B30CCE"/>
    <w:rsid w:val="00B32BDC"/>
    <w:rsid w:val="00B3427B"/>
    <w:rsid w:val="00B41819"/>
    <w:rsid w:val="00B51EAA"/>
    <w:rsid w:val="00B729F2"/>
    <w:rsid w:val="00B91104"/>
    <w:rsid w:val="00BE066A"/>
    <w:rsid w:val="00BE606B"/>
    <w:rsid w:val="00C01A90"/>
    <w:rsid w:val="00C04DCA"/>
    <w:rsid w:val="00C47709"/>
    <w:rsid w:val="00C47BC4"/>
    <w:rsid w:val="00C72033"/>
    <w:rsid w:val="00C943D9"/>
    <w:rsid w:val="00CB6D93"/>
    <w:rsid w:val="00CC209D"/>
    <w:rsid w:val="00CD4D05"/>
    <w:rsid w:val="00CE08ED"/>
    <w:rsid w:val="00CE3A56"/>
    <w:rsid w:val="00D12910"/>
    <w:rsid w:val="00D15B17"/>
    <w:rsid w:val="00D23D27"/>
    <w:rsid w:val="00D41B42"/>
    <w:rsid w:val="00D42274"/>
    <w:rsid w:val="00D439AC"/>
    <w:rsid w:val="00D567E6"/>
    <w:rsid w:val="00D61485"/>
    <w:rsid w:val="00D8772F"/>
    <w:rsid w:val="00DC5C8A"/>
    <w:rsid w:val="00DE18A5"/>
    <w:rsid w:val="00E24AD3"/>
    <w:rsid w:val="00E819C0"/>
    <w:rsid w:val="00E931BE"/>
    <w:rsid w:val="00EC07BC"/>
    <w:rsid w:val="00EC2DAD"/>
    <w:rsid w:val="00EC46FD"/>
    <w:rsid w:val="00EC79A3"/>
    <w:rsid w:val="00ED3794"/>
    <w:rsid w:val="00EE3447"/>
    <w:rsid w:val="00EE4C90"/>
    <w:rsid w:val="00EF6BCE"/>
    <w:rsid w:val="00F036C9"/>
    <w:rsid w:val="00F10871"/>
    <w:rsid w:val="00F178E3"/>
    <w:rsid w:val="00F2181C"/>
    <w:rsid w:val="00F21AAC"/>
    <w:rsid w:val="00F373DC"/>
    <w:rsid w:val="00F40CAA"/>
    <w:rsid w:val="00F41775"/>
    <w:rsid w:val="00F43D1B"/>
    <w:rsid w:val="00F515BC"/>
    <w:rsid w:val="00F65998"/>
    <w:rsid w:val="00F67029"/>
    <w:rsid w:val="00F754CF"/>
    <w:rsid w:val="00F83102"/>
    <w:rsid w:val="00FA77D4"/>
    <w:rsid w:val="00FB666C"/>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 w:type="table" w:styleId="af1">
    <w:name w:val="Table Grid"/>
    <w:basedOn w:val="a1"/>
    <w:uiPriority w:val="39"/>
    <w:rsid w:val="005C4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467">
      <w:bodyDiv w:val="1"/>
      <w:marLeft w:val="0"/>
      <w:marRight w:val="0"/>
      <w:marTop w:val="0"/>
      <w:marBottom w:val="0"/>
      <w:divBdr>
        <w:top w:val="none" w:sz="0" w:space="0" w:color="auto"/>
        <w:left w:val="none" w:sz="0" w:space="0" w:color="auto"/>
        <w:bottom w:val="none" w:sz="0" w:space="0" w:color="auto"/>
        <w:right w:val="none" w:sz="0" w:space="0" w:color="auto"/>
      </w:divBdr>
      <w:divsChild>
        <w:div w:id="716322376">
          <w:marLeft w:val="0"/>
          <w:marRight w:val="0"/>
          <w:marTop w:val="0"/>
          <w:marBottom w:val="0"/>
          <w:divBdr>
            <w:top w:val="none" w:sz="0" w:space="0" w:color="auto"/>
            <w:left w:val="none" w:sz="0" w:space="0" w:color="auto"/>
            <w:bottom w:val="none" w:sz="0" w:space="0" w:color="auto"/>
            <w:right w:val="none" w:sz="0" w:space="0" w:color="auto"/>
          </w:divBdr>
          <w:divsChild>
            <w:div w:id="1579245182">
              <w:marLeft w:val="0"/>
              <w:marRight w:val="0"/>
              <w:marTop w:val="0"/>
              <w:marBottom w:val="0"/>
              <w:divBdr>
                <w:top w:val="none" w:sz="0" w:space="0" w:color="auto"/>
                <w:left w:val="none" w:sz="0" w:space="0" w:color="auto"/>
                <w:bottom w:val="none" w:sz="0" w:space="0" w:color="auto"/>
                <w:right w:val="none" w:sz="0" w:space="0" w:color="auto"/>
              </w:divBdr>
              <w:divsChild>
                <w:div w:id="650332000">
                  <w:marLeft w:val="0"/>
                  <w:marRight w:val="0"/>
                  <w:marTop w:val="0"/>
                  <w:marBottom w:val="0"/>
                  <w:divBdr>
                    <w:top w:val="none" w:sz="0" w:space="0" w:color="auto"/>
                    <w:left w:val="none" w:sz="0" w:space="0" w:color="auto"/>
                    <w:bottom w:val="none" w:sz="0" w:space="0" w:color="auto"/>
                    <w:right w:val="none" w:sz="0" w:space="0" w:color="auto"/>
                  </w:divBdr>
                  <w:divsChild>
                    <w:div w:id="2124221985">
                      <w:marLeft w:val="0"/>
                      <w:marRight w:val="0"/>
                      <w:marTop w:val="0"/>
                      <w:marBottom w:val="0"/>
                      <w:divBdr>
                        <w:top w:val="none" w:sz="0" w:space="0" w:color="auto"/>
                        <w:left w:val="none" w:sz="0" w:space="0" w:color="auto"/>
                        <w:bottom w:val="none" w:sz="0" w:space="0" w:color="auto"/>
                        <w:right w:val="none" w:sz="0" w:space="0" w:color="auto"/>
                      </w:divBdr>
                      <w:divsChild>
                        <w:div w:id="1100569606">
                          <w:marLeft w:val="0"/>
                          <w:marRight w:val="0"/>
                          <w:marTop w:val="0"/>
                          <w:marBottom w:val="0"/>
                          <w:divBdr>
                            <w:top w:val="none" w:sz="0" w:space="0" w:color="auto"/>
                            <w:left w:val="none" w:sz="0" w:space="0" w:color="auto"/>
                            <w:bottom w:val="none" w:sz="0" w:space="0" w:color="auto"/>
                            <w:right w:val="none" w:sz="0" w:space="0" w:color="auto"/>
                          </w:divBdr>
                          <w:divsChild>
                            <w:div w:id="252248443">
                              <w:marLeft w:val="0"/>
                              <w:marRight w:val="0"/>
                              <w:marTop w:val="0"/>
                              <w:marBottom w:val="0"/>
                              <w:divBdr>
                                <w:top w:val="none" w:sz="0" w:space="0" w:color="auto"/>
                                <w:left w:val="none" w:sz="0" w:space="0" w:color="auto"/>
                                <w:bottom w:val="none" w:sz="0" w:space="0" w:color="auto"/>
                                <w:right w:val="none" w:sz="0" w:space="0" w:color="auto"/>
                              </w:divBdr>
                              <w:divsChild>
                                <w:div w:id="21094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639064">
          <w:marLeft w:val="0"/>
          <w:marRight w:val="0"/>
          <w:marTop w:val="0"/>
          <w:marBottom w:val="0"/>
          <w:divBdr>
            <w:top w:val="none" w:sz="0" w:space="0" w:color="auto"/>
            <w:left w:val="none" w:sz="0" w:space="0" w:color="auto"/>
            <w:bottom w:val="none" w:sz="0" w:space="0" w:color="auto"/>
            <w:right w:val="none" w:sz="0" w:space="0" w:color="auto"/>
          </w:divBdr>
          <w:divsChild>
            <w:div w:id="1149637543">
              <w:marLeft w:val="0"/>
              <w:marRight w:val="0"/>
              <w:marTop w:val="0"/>
              <w:marBottom w:val="0"/>
              <w:divBdr>
                <w:top w:val="none" w:sz="0" w:space="0" w:color="auto"/>
                <w:left w:val="none" w:sz="0" w:space="0" w:color="auto"/>
                <w:bottom w:val="none" w:sz="0" w:space="0" w:color="auto"/>
                <w:right w:val="none" w:sz="0" w:space="0" w:color="auto"/>
              </w:divBdr>
              <w:divsChild>
                <w:div w:id="1971397049">
                  <w:marLeft w:val="0"/>
                  <w:marRight w:val="0"/>
                  <w:marTop w:val="0"/>
                  <w:marBottom w:val="0"/>
                  <w:divBdr>
                    <w:top w:val="none" w:sz="0" w:space="0" w:color="auto"/>
                    <w:left w:val="none" w:sz="0" w:space="0" w:color="auto"/>
                    <w:bottom w:val="none" w:sz="0" w:space="0" w:color="auto"/>
                    <w:right w:val="none" w:sz="0" w:space="0" w:color="auto"/>
                  </w:divBdr>
                  <w:divsChild>
                    <w:div w:id="424349590">
                      <w:marLeft w:val="0"/>
                      <w:marRight w:val="0"/>
                      <w:marTop w:val="0"/>
                      <w:marBottom w:val="0"/>
                      <w:divBdr>
                        <w:top w:val="none" w:sz="0" w:space="0" w:color="auto"/>
                        <w:left w:val="none" w:sz="0" w:space="0" w:color="auto"/>
                        <w:bottom w:val="none" w:sz="0" w:space="0" w:color="auto"/>
                        <w:right w:val="none" w:sz="0" w:space="0" w:color="auto"/>
                      </w:divBdr>
                      <w:divsChild>
                        <w:div w:id="1077871153">
                          <w:marLeft w:val="0"/>
                          <w:marRight w:val="0"/>
                          <w:marTop w:val="0"/>
                          <w:marBottom w:val="0"/>
                          <w:divBdr>
                            <w:top w:val="none" w:sz="0" w:space="0" w:color="auto"/>
                            <w:left w:val="none" w:sz="0" w:space="0" w:color="auto"/>
                            <w:bottom w:val="none" w:sz="0" w:space="0" w:color="auto"/>
                            <w:right w:val="none" w:sz="0" w:space="0" w:color="auto"/>
                          </w:divBdr>
                          <w:divsChild>
                            <w:div w:id="224295399">
                              <w:marLeft w:val="0"/>
                              <w:marRight w:val="0"/>
                              <w:marTop w:val="0"/>
                              <w:marBottom w:val="0"/>
                              <w:divBdr>
                                <w:top w:val="none" w:sz="0" w:space="0" w:color="auto"/>
                                <w:left w:val="none" w:sz="0" w:space="0" w:color="auto"/>
                                <w:bottom w:val="none" w:sz="0" w:space="0" w:color="auto"/>
                                <w:right w:val="none" w:sz="0" w:space="0" w:color="auto"/>
                              </w:divBdr>
                              <w:divsChild>
                                <w:div w:id="202567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211107">
          <w:marLeft w:val="0"/>
          <w:marRight w:val="0"/>
          <w:marTop w:val="0"/>
          <w:marBottom w:val="0"/>
          <w:divBdr>
            <w:top w:val="none" w:sz="0" w:space="0" w:color="auto"/>
            <w:left w:val="none" w:sz="0" w:space="0" w:color="auto"/>
            <w:bottom w:val="none" w:sz="0" w:space="0" w:color="auto"/>
            <w:right w:val="none" w:sz="0" w:space="0" w:color="auto"/>
          </w:divBdr>
          <w:divsChild>
            <w:div w:id="1133135763">
              <w:marLeft w:val="0"/>
              <w:marRight w:val="0"/>
              <w:marTop w:val="0"/>
              <w:marBottom w:val="0"/>
              <w:divBdr>
                <w:top w:val="none" w:sz="0" w:space="0" w:color="auto"/>
                <w:left w:val="none" w:sz="0" w:space="0" w:color="auto"/>
                <w:bottom w:val="none" w:sz="0" w:space="0" w:color="auto"/>
                <w:right w:val="none" w:sz="0" w:space="0" w:color="auto"/>
              </w:divBdr>
              <w:divsChild>
                <w:div w:id="770273096">
                  <w:marLeft w:val="0"/>
                  <w:marRight w:val="0"/>
                  <w:marTop w:val="0"/>
                  <w:marBottom w:val="0"/>
                  <w:divBdr>
                    <w:top w:val="none" w:sz="0" w:space="0" w:color="auto"/>
                    <w:left w:val="none" w:sz="0" w:space="0" w:color="auto"/>
                    <w:bottom w:val="none" w:sz="0" w:space="0" w:color="auto"/>
                    <w:right w:val="none" w:sz="0" w:space="0" w:color="auto"/>
                  </w:divBdr>
                  <w:divsChild>
                    <w:div w:id="89354956">
                      <w:marLeft w:val="0"/>
                      <w:marRight w:val="0"/>
                      <w:marTop w:val="0"/>
                      <w:marBottom w:val="0"/>
                      <w:divBdr>
                        <w:top w:val="none" w:sz="0" w:space="0" w:color="auto"/>
                        <w:left w:val="none" w:sz="0" w:space="0" w:color="auto"/>
                        <w:bottom w:val="none" w:sz="0" w:space="0" w:color="auto"/>
                        <w:right w:val="none" w:sz="0" w:space="0" w:color="auto"/>
                      </w:divBdr>
                      <w:divsChild>
                        <w:div w:id="7960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921377">
          <w:marLeft w:val="0"/>
          <w:marRight w:val="0"/>
          <w:marTop w:val="0"/>
          <w:marBottom w:val="0"/>
          <w:divBdr>
            <w:top w:val="none" w:sz="0" w:space="0" w:color="auto"/>
            <w:left w:val="none" w:sz="0" w:space="0" w:color="auto"/>
            <w:bottom w:val="none" w:sz="0" w:space="0" w:color="auto"/>
            <w:right w:val="none" w:sz="0" w:space="0" w:color="auto"/>
          </w:divBdr>
          <w:divsChild>
            <w:div w:id="996568872">
              <w:marLeft w:val="0"/>
              <w:marRight w:val="0"/>
              <w:marTop w:val="0"/>
              <w:marBottom w:val="0"/>
              <w:divBdr>
                <w:top w:val="none" w:sz="0" w:space="0" w:color="auto"/>
                <w:left w:val="none" w:sz="0" w:space="0" w:color="auto"/>
                <w:bottom w:val="none" w:sz="0" w:space="0" w:color="auto"/>
                <w:right w:val="none" w:sz="0" w:space="0" w:color="auto"/>
              </w:divBdr>
              <w:divsChild>
                <w:div w:id="1003553827">
                  <w:marLeft w:val="0"/>
                  <w:marRight w:val="0"/>
                  <w:marTop w:val="0"/>
                  <w:marBottom w:val="0"/>
                  <w:divBdr>
                    <w:top w:val="none" w:sz="0" w:space="0" w:color="auto"/>
                    <w:left w:val="none" w:sz="0" w:space="0" w:color="auto"/>
                    <w:bottom w:val="none" w:sz="0" w:space="0" w:color="auto"/>
                    <w:right w:val="none" w:sz="0" w:space="0" w:color="auto"/>
                  </w:divBdr>
                  <w:divsChild>
                    <w:div w:id="807279426">
                      <w:marLeft w:val="0"/>
                      <w:marRight w:val="0"/>
                      <w:marTop w:val="0"/>
                      <w:marBottom w:val="0"/>
                      <w:divBdr>
                        <w:top w:val="none" w:sz="0" w:space="0" w:color="auto"/>
                        <w:left w:val="none" w:sz="0" w:space="0" w:color="auto"/>
                        <w:bottom w:val="none" w:sz="0" w:space="0" w:color="auto"/>
                        <w:right w:val="none" w:sz="0" w:space="0" w:color="auto"/>
                      </w:divBdr>
                      <w:divsChild>
                        <w:div w:id="1142040997">
                          <w:marLeft w:val="0"/>
                          <w:marRight w:val="0"/>
                          <w:marTop w:val="0"/>
                          <w:marBottom w:val="0"/>
                          <w:divBdr>
                            <w:top w:val="none" w:sz="0" w:space="0" w:color="auto"/>
                            <w:left w:val="none" w:sz="0" w:space="0" w:color="auto"/>
                            <w:bottom w:val="none" w:sz="0" w:space="0" w:color="auto"/>
                            <w:right w:val="none" w:sz="0" w:space="0" w:color="auto"/>
                          </w:divBdr>
                          <w:divsChild>
                            <w:div w:id="665675031">
                              <w:marLeft w:val="0"/>
                              <w:marRight w:val="0"/>
                              <w:marTop w:val="0"/>
                              <w:marBottom w:val="0"/>
                              <w:divBdr>
                                <w:top w:val="none" w:sz="0" w:space="0" w:color="auto"/>
                                <w:left w:val="none" w:sz="0" w:space="0" w:color="auto"/>
                                <w:bottom w:val="none" w:sz="0" w:space="0" w:color="auto"/>
                                <w:right w:val="none" w:sz="0" w:space="0" w:color="auto"/>
                              </w:divBdr>
                              <w:divsChild>
                                <w:div w:id="5658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53747195">
      <w:bodyDiv w:val="1"/>
      <w:marLeft w:val="0"/>
      <w:marRight w:val="0"/>
      <w:marTop w:val="0"/>
      <w:marBottom w:val="0"/>
      <w:divBdr>
        <w:top w:val="none" w:sz="0" w:space="0" w:color="auto"/>
        <w:left w:val="none" w:sz="0" w:space="0" w:color="auto"/>
        <w:bottom w:val="none" w:sz="0" w:space="0" w:color="auto"/>
        <w:right w:val="none" w:sz="0" w:space="0" w:color="auto"/>
      </w:divBdr>
    </w:div>
    <w:div w:id="70859317">
      <w:bodyDiv w:val="1"/>
      <w:marLeft w:val="0"/>
      <w:marRight w:val="0"/>
      <w:marTop w:val="0"/>
      <w:marBottom w:val="0"/>
      <w:divBdr>
        <w:top w:val="none" w:sz="0" w:space="0" w:color="auto"/>
        <w:left w:val="none" w:sz="0" w:space="0" w:color="auto"/>
        <w:bottom w:val="none" w:sz="0" w:space="0" w:color="auto"/>
        <w:right w:val="none" w:sz="0" w:space="0" w:color="auto"/>
      </w:divBdr>
    </w:div>
    <w:div w:id="105006730">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73687087">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22675613">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32537588">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37452513">
      <w:bodyDiv w:val="1"/>
      <w:marLeft w:val="0"/>
      <w:marRight w:val="0"/>
      <w:marTop w:val="0"/>
      <w:marBottom w:val="0"/>
      <w:divBdr>
        <w:top w:val="none" w:sz="0" w:space="0" w:color="auto"/>
        <w:left w:val="none" w:sz="0" w:space="0" w:color="auto"/>
        <w:bottom w:val="none" w:sz="0" w:space="0" w:color="auto"/>
        <w:right w:val="none" w:sz="0" w:space="0" w:color="auto"/>
      </w:divBdr>
    </w:div>
    <w:div w:id="1171726036">
      <w:bodyDiv w:val="1"/>
      <w:marLeft w:val="0"/>
      <w:marRight w:val="0"/>
      <w:marTop w:val="0"/>
      <w:marBottom w:val="0"/>
      <w:divBdr>
        <w:top w:val="none" w:sz="0" w:space="0" w:color="auto"/>
        <w:left w:val="none" w:sz="0" w:space="0" w:color="auto"/>
        <w:bottom w:val="none" w:sz="0" w:space="0" w:color="auto"/>
        <w:right w:val="none" w:sz="0" w:space="0" w:color="auto"/>
      </w:divBdr>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31962517">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35053626">
      <w:bodyDiv w:val="1"/>
      <w:marLeft w:val="0"/>
      <w:marRight w:val="0"/>
      <w:marTop w:val="0"/>
      <w:marBottom w:val="0"/>
      <w:divBdr>
        <w:top w:val="none" w:sz="0" w:space="0" w:color="auto"/>
        <w:left w:val="none" w:sz="0" w:space="0" w:color="auto"/>
        <w:bottom w:val="none" w:sz="0" w:space="0" w:color="auto"/>
        <w:right w:val="none" w:sz="0" w:space="0" w:color="auto"/>
      </w:divBdr>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1596991">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588659438">
      <w:bodyDiv w:val="1"/>
      <w:marLeft w:val="0"/>
      <w:marRight w:val="0"/>
      <w:marTop w:val="0"/>
      <w:marBottom w:val="0"/>
      <w:divBdr>
        <w:top w:val="none" w:sz="0" w:space="0" w:color="auto"/>
        <w:left w:val="none" w:sz="0" w:space="0" w:color="auto"/>
        <w:bottom w:val="none" w:sz="0" w:space="0" w:color="auto"/>
        <w:right w:val="none" w:sz="0" w:space="0" w:color="auto"/>
      </w:divBdr>
    </w:div>
    <w:div w:id="1599750543">
      <w:bodyDiv w:val="1"/>
      <w:marLeft w:val="0"/>
      <w:marRight w:val="0"/>
      <w:marTop w:val="0"/>
      <w:marBottom w:val="0"/>
      <w:divBdr>
        <w:top w:val="none" w:sz="0" w:space="0" w:color="auto"/>
        <w:left w:val="none" w:sz="0" w:space="0" w:color="auto"/>
        <w:bottom w:val="none" w:sz="0" w:space="0" w:color="auto"/>
        <w:right w:val="none" w:sz="0" w:space="0" w:color="auto"/>
      </w:divBdr>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4773739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19303024">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71452039">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1889524">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077509060">
      <w:bodyDiv w:val="1"/>
      <w:marLeft w:val="0"/>
      <w:marRight w:val="0"/>
      <w:marTop w:val="0"/>
      <w:marBottom w:val="0"/>
      <w:divBdr>
        <w:top w:val="none" w:sz="0" w:space="0" w:color="auto"/>
        <w:left w:val="none" w:sz="0" w:space="0" w:color="auto"/>
        <w:bottom w:val="none" w:sz="0" w:space="0" w:color="auto"/>
        <w:right w:val="none" w:sz="0" w:space="0" w:color="auto"/>
      </w:divBdr>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arch.mandumah.com/Record/1442263" TargetMode="External"/><Relationship Id="rId26" Type="http://schemas.openxmlformats.org/officeDocument/2006/relationships/hyperlink" Target="http://search.mandumah.com/Record/1377031" TargetMode="External"/><Relationship Id="rId39" Type="http://schemas.openxmlformats.org/officeDocument/2006/relationships/fontTable" Target="fontTable.xml"/><Relationship Id="rId21" Type="http://schemas.openxmlformats.org/officeDocument/2006/relationships/hyperlink" Target="http://search.mandumah.com/Record/1179471" TargetMode="External"/><Relationship Id="rId34" Type="http://schemas.openxmlformats.org/officeDocument/2006/relationships/hyperlink" Target="https://doi.org/10.26794/2587-5671-2024-28-4-122-13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arch.mandumah.com/Record/1393074" TargetMode="External"/><Relationship Id="rId25" Type="http://schemas.openxmlformats.org/officeDocument/2006/relationships/hyperlink" Target="http://search.mandumah.com/Record/1105458" TargetMode="External"/><Relationship Id="rId33" Type="http://schemas.openxmlformats.org/officeDocument/2006/relationships/hyperlink" Target="https://doi.org/10.55041/ijsrem15629"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arch.mandumah.com/Record/1524722" TargetMode="External"/><Relationship Id="rId20" Type="http://schemas.openxmlformats.org/officeDocument/2006/relationships/hyperlink" Target="http://search.mandumah.com/Record/1264779" TargetMode="External"/><Relationship Id="rId29" Type="http://schemas.openxmlformats.org/officeDocument/2006/relationships/hyperlink" Target="https://doi.org/10.37575/h/mng/250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16924" TargetMode="External"/><Relationship Id="rId32" Type="http://schemas.openxmlformats.org/officeDocument/2006/relationships/hyperlink" Target="https://doi.org/10.51586/2754-6209.2025.13.1(98)" TargetMode="External"/><Relationship Id="rId37" Type="http://schemas.openxmlformats.org/officeDocument/2006/relationships/hyperlink" Target="https://doi.org/10.30574/wjarr.2025.27.2.3027"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473185" TargetMode="External"/><Relationship Id="rId23" Type="http://schemas.openxmlformats.org/officeDocument/2006/relationships/hyperlink" Target="http://search.mandumah.com/Record/1468234" TargetMode="External"/><Relationship Id="rId28" Type="http://schemas.openxmlformats.org/officeDocument/2006/relationships/hyperlink" Target="http://search.mandumah.com/Record/1255621" TargetMode="External"/><Relationship Id="rId36" Type="http://schemas.openxmlformats.org/officeDocument/2006/relationships/hyperlink" Target="https://doi.org/10.22394/1726-1139-2023-11-46-59" TargetMode="External"/><Relationship Id="rId10" Type="http://schemas.openxmlformats.org/officeDocument/2006/relationships/image" Target="media/image3.png"/><Relationship Id="rId19" Type="http://schemas.openxmlformats.org/officeDocument/2006/relationships/hyperlink" Target="http://search.mandumah.com/Record/1250188" TargetMode="External"/><Relationship Id="rId31" Type="http://schemas.openxmlformats.org/officeDocument/2006/relationships/hyperlink" Target="https://doi.org/10.3390/app150316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24908" TargetMode="External"/><Relationship Id="rId22" Type="http://schemas.openxmlformats.org/officeDocument/2006/relationships/hyperlink" Target="http://search.mandumah.com/Record/1572942" TargetMode="External"/><Relationship Id="rId27" Type="http://schemas.openxmlformats.org/officeDocument/2006/relationships/hyperlink" Target="http://search.mandumah.com/Record/1542913" TargetMode="External"/><Relationship Id="rId30" Type="http://schemas.openxmlformats.org/officeDocument/2006/relationships/hyperlink" Target="https://doi.org/10.1155/2021/6681545" TargetMode="External"/><Relationship Id="rId35" Type="http://schemas.openxmlformats.org/officeDocument/2006/relationships/hyperlink" Target="https://doi.org/10.32628/ijsrst24115107"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25342</Words>
  <Characters>144456</Characters>
  <Application>Microsoft Office Word</Application>
  <DocSecurity>0</DocSecurity>
  <Lines>1203</Lines>
  <Paragraphs>338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2</cp:revision>
  <cp:lastPrinted>2025-11-29T15:02:00Z</cp:lastPrinted>
  <dcterms:created xsi:type="dcterms:W3CDTF">2026-07-19T01:11:00Z</dcterms:created>
  <dcterms:modified xsi:type="dcterms:W3CDTF">2026-07-19T01:11:00Z</dcterms:modified>
</cp:coreProperties>
</file>