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9E16" w14:textId="4EAD492A" w:rsidR="00BA5115" w:rsidRPr="00991EEB" w:rsidRDefault="00B7509F" w:rsidP="00BA5115">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8DCB82E" wp14:editId="14E0B4BC">
            <wp:simplePos x="0" y="0"/>
            <wp:positionH relativeFrom="margin">
              <wp:posOffset>-681487</wp:posOffset>
            </wp:positionH>
            <wp:positionV relativeFrom="margin">
              <wp:posOffset>-767871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52633D0" w14:textId="77777777" w:rsidR="004E28A0" w:rsidRPr="004E28A0" w:rsidRDefault="004E28A0" w:rsidP="004E28A0">
      <w:pPr>
        <w:jc w:val="right"/>
        <w:rPr>
          <w:rFonts w:ascii="Calibri" w:eastAsia="Calibri" w:hAnsi="Calibri" w:cs="Arial"/>
          <w:b/>
          <w:bCs/>
          <w:sz w:val="28"/>
          <w:szCs w:val="28"/>
          <w:rtl/>
          <w:lang w:bidi="ar-EG"/>
        </w:rPr>
      </w:pPr>
      <w:r w:rsidRPr="004E28A0">
        <w:rPr>
          <w:rFonts w:ascii="Calibri" w:eastAsia="Calibri" w:hAnsi="Calibri" w:cs="Arial"/>
          <w:b/>
          <w:bCs/>
          <w:sz w:val="28"/>
          <w:szCs w:val="28"/>
          <w:rtl/>
          <w:lang w:bidi="ar-EG"/>
        </w:rPr>
        <w:t xml:space="preserve">جامعة ميد اوشن </w:t>
      </w:r>
    </w:p>
    <w:p w14:paraId="159E855C" w14:textId="77777777" w:rsidR="004E28A0" w:rsidRPr="004E28A0" w:rsidRDefault="004E28A0" w:rsidP="004E28A0">
      <w:pPr>
        <w:jc w:val="right"/>
        <w:rPr>
          <w:rFonts w:ascii="Calibri" w:eastAsia="Calibri" w:hAnsi="Calibri" w:cs="Arial"/>
          <w:sz w:val="28"/>
          <w:szCs w:val="28"/>
          <w:lang w:bidi="ar-EG"/>
        </w:rPr>
      </w:pPr>
      <w:r w:rsidRPr="004E28A0">
        <w:rPr>
          <w:rFonts w:ascii="Calibri" w:eastAsia="Calibri" w:hAnsi="Calibri" w:cs="Arial"/>
          <w:b/>
          <w:bCs/>
          <w:sz w:val="28"/>
          <w:szCs w:val="28"/>
          <w:rtl/>
          <w:lang w:bidi="ar-EG"/>
        </w:rPr>
        <w:t>برنامج الدكتوراة</w:t>
      </w:r>
      <w:r w:rsidRPr="004E28A0">
        <w:rPr>
          <w:rFonts w:ascii="Calibri" w:eastAsia="Calibri" w:hAnsi="Calibri" w:cs="Arial"/>
          <w:sz w:val="28"/>
          <w:szCs w:val="28"/>
          <w:rtl/>
          <w:lang w:bidi="ar-EG"/>
        </w:rPr>
        <w:t xml:space="preserve"> </w:t>
      </w:r>
    </w:p>
    <w:p w14:paraId="6DA3D9A8" w14:textId="01680C16" w:rsidR="00BA5115" w:rsidRPr="00991EEB" w:rsidRDefault="00BA5115" w:rsidP="004E28A0">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p>
    <w:p w14:paraId="152C38C1" w14:textId="77777777" w:rsidR="00BA5115" w:rsidRPr="00991EEB" w:rsidRDefault="00BA5115" w:rsidP="00BA5115">
      <w:pPr>
        <w:spacing w:before="240" w:line="276" w:lineRule="auto"/>
        <w:jc w:val="center"/>
        <w:rPr>
          <w:rFonts w:ascii="Sakkal Majalla" w:hAnsi="Sakkal Majalla" w:cs="Sakkal Majalla"/>
          <w:sz w:val="32"/>
          <w:szCs w:val="32"/>
          <w:lang w:bidi="ar-EG"/>
        </w:rPr>
      </w:pPr>
    </w:p>
    <w:p w14:paraId="5C89F484" w14:textId="77777777" w:rsidR="00BA5115" w:rsidRPr="00991EEB" w:rsidRDefault="00BA5115" w:rsidP="00BA5115">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337652D5" w14:textId="77777777" w:rsidR="00BA5115" w:rsidRPr="00991EEB" w:rsidRDefault="00BA5115" w:rsidP="00BA5115">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5D5477EA"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0C89313D" w14:textId="77777777" w:rsidR="00BA5115" w:rsidRPr="00991EEB" w:rsidRDefault="00BA5115" w:rsidP="00BA5115">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بدر عبدالله السبيعي</w:t>
      </w:r>
    </w:p>
    <w:p w14:paraId="04C29173" w14:textId="77777777" w:rsidR="001659F5" w:rsidRPr="00822632" w:rsidRDefault="001659F5" w:rsidP="001659F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3752A578" w14:textId="67354DA6" w:rsidR="001659F5" w:rsidRPr="00822632" w:rsidRDefault="001659F5" w:rsidP="001659F5">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B34707">
        <w:rPr>
          <w:rFonts w:ascii="Times New Roman" w:eastAsia="Times New Roman" w:hAnsi="Times New Roman" w:cs="Times New Roman" w:hint="cs"/>
          <w:b/>
          <w:bCs/>
          <w:color w:val="1C1C1C"/>
          <w:sz w:val="28"/>
          <w:szCs w:val="28"/>
          <w:rtl/>
        </w:rPr>
        <w:t xml:space="preserve">في </w:t>
      </w:r>
      <w:r>
        <w:rPr>
          <w:rFonts w:ascii="Times New Roman" w:eastAsia="Times New Roman" w:hAnsi="Times New Roman" w:cs="Times New Roman" w:hint="cs"/>
          <w:b/>
          <w:bCs/>
          <w:color w:val="1C1C1C"/>
          <w:sz w:val="28"/>
          <w:szCs w:val="28"/>
          <w:rtl/>
        </w:rPr>
        <w:t>القانون</w:t>
      </w:r>
    </w:p>
    <w:p w14:paraId="78A2CB60" w14:textId="77777777" w:rsidR="001659F5" w:rsidRPr="00822632" w:rsidRDefault="001659F5" w:rsidP="001659F5">
      <w:pPr>
        <w:bidi/>
        <w:spacing w:after="0" w:line="276" w:lineRule="auto"/>
        <w:jc w:val="center"/>
        <w:rPr>
          <w:rFonts w:ascii="Times New Roman" w:eastAsia="Times New Roman" w:hAnsi="Times New Roman" w:cs="Times New Roman"/>
          <w:color w:val="1C1C1C"/>
          <w:sz w:val="28"/>
          <w:szCs w:val="28"/>
          <w:rtl/>
        </w:rPr>
      </w:pPr>
    </w:p>
    <w:p w14:paraId="622A58A2"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الرقم الاكاديمي:</w:t>
      </w:r>
    </w:p>
    <w:p w14:paraId="0D971FAA"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1EC60C11" w14:textId="77777777" w:rsidR="007B232F" w:rsidRDefault="007B232F" w:rsidP="007B232F">
      <w:pPr>
        <w:tabs>
          <w:tab w:val="left" w:pos="3666"/>
        </w:tabs>
        <w:bidi/>
        <w:spacing w:after="0" w:line="360" w:lineRule="auto"/>
        <w:jc w:val="center"/>
        <w:rPr>
          <w:rFonts w:ascii="Traditional Arabic" w:eastAsia="Times New Roman" w:hAnsi="Traditional Arabic" w:cs="Traditional Arabic"/>
          <w:color w:val="1C1C1C"/>
          <w:sz w:val="32"/>
          <w:szCs w:val="32"/>
        </w:rPr>
      </w:pPr>
    </w:p>
    <w:p w14:paraId="1D8631F1" w14:textId="436542F2" w:rsidR="007B232F" w:rsidRPr="007B232F" w:rsidRDefault="007B232F" w:rsidP="007B232F">
      <w:pPr>
        <w:tabs>
          <w:tab w:val="left" w:pos="3666"/>
        </w:tabs>
        <w:bidi/>
        <w:spacing w:after="0" w:line="360" w:lineRule="auto"/>
        <w:jc w:val="center"/>
        <w:rPr>
          <w:rFonts w:ascii="Traditional Arabic" w:eastAsia="Calibri" w:hAnsi="Traditional Arabic" w:cs="Traditional Arabic"/>
          <w:b/>
          <w:bCs/>
          <w:sz w:val="32"/>
          <w:szCs w:val="32"/>
          <w:rtl/>
          <w:lang w:bidi="ar-EG"/>
        </w:rPr>
      </w:pPr>
      <w:r w:rsidRPr="007B232F">
        <w:rPr>
          <w:rFonts w:ascii="Traditional Arabic" w:eastAsia="Times New Roman" w:hAnsi="Traditional Arabic" w:cs="Traditional Arabic"/>
          <w:color w:val="1C1C1C"/>
          <w:sz w:val="32"/>
          <w:szCs w:val="32"/>
          <w:rtl/>
        </w:rPr>
        <w:t>العام الجامعي</w:t>
      </w:r>
      <w:r w:rsidRPr="007B232F">
        <w:rPr>
          <w:rFonts w:ascii="Traditional Arabic" w:eastAsia="Times New Roman" w:hAnsi="Traditional Arabic" w:cs="Traditional Arabic"/>
          <w:color w:val="1C1C1C"/>
          <w:sz w:val="32"/>
          <w:szCs w:val="32"/>
        </w:rPr>
        <w:t>2026 </w:t>
      </w:r>
      <w:r w:rsidRPr="007B232F">
        <w:rPr>
          <w:rFonts w:ascii="Traditional Arabic" w:eastAsia="Times New Roman" w:hAnsi="Traditional Arabic" w:cs="Traditional Arabic"/>
          <w:color w:val="1C1C1C"/>
          <w:sz w:val="32"/>
          <w:szCs w:val="32"/>
          <w:rtl/>
        </w:rPr>
        <w:t>م</w:t>
      </w:r>
      <w:r w:rsidRPr="007B232F">
        <w:rPr>
          <w:rFonts w:ascii="Traditional Arabic" w:eastAsia="Times New Roman" w:hAnsi="Traditional Arabic" w:cs="Traditional Arabic"/>
          <w:b/>
          <w:bCs/>
          <w:color w:val="1C1C1C"/>
          <w:sz w:val="32"/>
          <w:szCs w:val="32"/>
          <w:rtl/>
        </w:rPr>
        <w:t> </w:t>
      </w:r>
      <w:r w:rsidRPr="007B232F">
        <w:rPr>
          <w:rFonts w:ascii="Traditional Arabic" w:eastAsia="Times New Roman" w:hAnsi="Traditional Arabic" w:cs="Traditional Arabic"/>
          <w:b/>
          <w:bCs/>
          <w:color w:val="1C1C1C"/>
          <w:sz w:val="32"/>
          <w:szCs w:val="32"/>
        </w:rPr>
        <w:br/>
      </w:r>
      <w:r w:rsidRPr="007B232F">
        <w:rPr>
          <w:rFonts w:ascii="Traditional Arabic" w:eastAsia="Calibri" w:hAnsi="Traditional Arabic" w:cs="Traditional Arabic"/>
          <w:b/>
          <w:bCs/>
          <w:sz w:val="32"/>
          <w:szCs w:val="32"/>
          <w:rtl/>
          <w:lang w:bidi="ar-EG"/>
        </w:rPr>
        <w:t>1447ه‍ - 1448ه</w:t>
      </w:r>
    </w:p>
    <w:p w14:paraId="7E072210" w14:textId="77777777" w:rsidR="00BA5115" w:rsidRDefault="00BA5115" w:rsidP="00BA5115">
      <w:pPr>
        <w:spacing w:before="240" w:line="276" w:lineRule="auto"/>
        <w:jc w:val="lowKashida"/>
        <w:rPr>
          <w:rFonts w:ascii="Sakkal Majalla" w:hAnsi="Sakkal Majalla" w:cs="Sakkal Majalla"/>
          <w:b/>
          <w:bCs/>
          <w:sz w:val="32"/>
          <w:szCs w:val="32"/>
          <w:rtl/>
        </w:rPr>
      </w:pPr>
    </w:p>
    <w:p w14:paraId="43196081" w14:textId="77777777" w:rsidR="003409AF" w:rsidRPr="00991EEB" w:rsidRDefault="003409AF" w:rsidP="00BA5115">
      <w:pPr>
        <w:spacing w:before="240" w:line="276" w:lineRule="auto"/>
        <w:jc w:val="lowKashida"/>
        <w:rPr>
          <w:rFonts w:ascii="Sakkal Majalla" w:hAnsi="Sakkal Majalla" w:cs="Sakkal Majalla"/>
          <w:b/>
          <w:bCs/>
          <w:sz w:val="32"/>
          <w:szCs w:val="32"/>
          <w:rtl/>
        </w:rPr>
      </w:pPr>
    </w:p>
    <w:p w14:paraId="08BF73A6" w14:textId="77777777" w:rsidR="008008A7" w:rsidRPr="0039166C" w:rsidRDefault="008008A7" w:rsidP="008008A7">
      <w:pPr>
        <w:jc w:val="right"/>
        <w:rPr>
          <w:b/>
          <w:bCs/>
          <w:sz w:val="28"/>
          <w:szCs w:val="28"/>
          <w:lang w:bidi="ar-EG"/>
        </w:rPr>
      </w:pPr>
      <w:r w:rsidRPr="0039166C">
        <w:rPr>
          <w:b/>
          <w:bCs/>
          <w:sz w:val="28"/>
          <w:szCs w:val="28"/>
          <w:lang w:bidi="ar-EG"/>
        </w:rPr>
        <w:t>Midocean University</w:t>
      </w:r>
    </w:p>
    <w:p w14:paraId="33C458E9" w14:textId="77777777" w:rsidR="008008A7" w:rsidRPr="0039166C" w:rsidRDefault="008008A7" w:rsidP="008008A7">
      <w:pPr>
        <w:jc w:val="right"/>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4A37450D" w14:textId="77777777" w:rsidR="003409AF" w:rsidRPr="003409AF" w:rsidRDefault="003409AF" w:rsidP="003409AF">
      <w:pPr>
        <w:bidi/>
        <w:rPr>
          <w:rFonts w:ascii="Sakkal Majalla" w:hAnsi="Sakkal Majalla" w:cs="Sakkal Majalla"/>
          <w:b/>
          <w:bCs/>
          <w:sz w:val="32"/>
          <w:szCs w:val="32"/>
          <w:rtl/>
        </w:rPr>
      </w:pPr>
    </w:p>
    <w:p w14:paraId="31EC9A4B" w14:textId="77777777" w:rsidR="003409AF" w:rsidRPr="003409AF" w:rsidRDefault="003409AF" w:rsidP="003409AF">
      <w:pPr>
        <w:bidi/>
        <w:jc w:val="center"/>
        <w:rPr>
          <w:rFonts w:ascii="Sakkal Majalla" w:hAnsi="Sakkal Majalla" w:cs="Sakkal Majalla"/>
          <w:b/>
          <w:bCs/>
          <w:sz w:val="32"/>
          <w:szCs w:val="32"/>
          <w:rtl/>
        </w:rPr>
      </w:pPr>
    </w:p>
    <w:p w14:paraId="069C5DE8" w14:textId="1982E8CA" w:rsidR="003409AF" w:rsidRPr="003409AF" w:rsidRDefault="003409AF" w:rsidP="003409AF">
      <w:pPr>
        <w:bidi/>
        <w:jc w:val="center"/>
        <w:rPr>
          <w:rFonts w:ascii="Sakkal Majalla" w:hAnsi="Sakkal Majalla" w:cs="Sakkal Majalla"/>
          <w:b/>
          <w:bCs/>
          <w:sz w:val="32"/>
          <w:szCs w:val="32"/>
          <w:rtl/>
        </w:rPr>
      </w:pPr>
      <w:r w:rsidRPr="003409AF">
        <w:rPr>
          <w:rFonts w:ascii="Sakkal Majalla" w:hAnsi="Sakkal Majalla" w:cs="Sakkal Majalla"/>
          <w:b/>
          <w:bCs/>
          <w:sz w:val="32"/>
          <w:szCs w:val="32"/>
        </w:rPr>
        <w:t>Research Title</w:t>
      </w:r>
    </w:p>
    <w:p w14:paraId="37CB37D7" w14:textId="77777777" w:rsidR="003409AF" w:rsidRPr="003409AF" w:rsidRDefault="003409AF" w:rsidP="003409AF">
      <w:pPr>
        <w:bidi/>
        <w:jc w:val="center"/>
        <w:rPr>
          <w:rFonts w:ascii="Sakkal Majalla" w:hAnsi="Sakkal Majalla" w:cs="Sakkal Majalla"/>
          <w:b/>
          <w:bCs/>
          <w:sz w:val="32"/>
          <w:szCs w:val="32"/>
          <w:rtl/>
        </w:rPr>
      </w:pPr>
      <w:r w:rsidRPr="003409AF">
        <w:rPr>
          <w:rFonts w:ascii="Sakkal Majalla" w:hAnsi="Sakkal Majalla" w:cs="Sakkal Majalla"/>
          <w:b/>
          <w:bCs/>
          <w:sz w:val="32"/>
          <w:szCs w:val="32"/>
        </w:rPr>
        <w:t>Civil Liability Arising from Cybercrimes Committed Using Artificial Intelligence under Saudi Law</w:t>
      </w:r>
    </w:p>
    <w:p w14:paraId="0A2A138B" w14:textId="77777777" w:rsidR="003409AF" w:rsidRPr="003409AF" w:rsidRDefault="003409AF" w:rsidP="003409AF">
      <w:pPr>
        <w:bidi/>
        <w:rPr>
          <w:rFonts w:ascii="Sakkal Majalla" w:hAnsi="Sakkal Majalla" w:cs="Sakkal Majalla"/>
          <w:b/>
          <w:bCs/>
          <w:sz w:val="32"/>
          <w:szCs w:val="32"/>
        </w:rPr>
      </w:pPr>
    </w:p>
    <w:p w14:paraId="0B3C6635"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Prepared by</w:t>
      </w:r>
      <w:r w:rsidRPr="003409AF">
        <w:rPr>
          <w:rFonts w:ascii="Sakkal Majalla" w:hAnsi="Sakkal Majalla" w:cs="Sakkal Majalla"/>
          <w:b/>
          <w:bCs/>
          <w:sz w:val="32"/>
          <w:szCs w:val="32"/>
          <w:rtl/>
        </w:rPr>
        <w:t>:</w:t>
      </w:r>
    </w:p>
    <w:p w14:paraId="2729C743"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Badr Abdullah Al-Subaie</w:t>
      </w:r>
    </w:p>
    <w:p w14:paraId="4118847D" w14:textId="77777777" w:rsidR="0052036D" w:rsidRPr="00822632" w:rsidRDefault="0052036D" w:rsidP="0052036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49F7C96" w14:textId="24DB3F17" w:rsidR="0052036D" w:rsidRDefault="0052036D" w:rsidP="0052036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r>
        <w:rPr>
          <w:rFonts w:ascii="Times New Roman" w:eastAsia="Times New Roman" w:hAnsi="Times New Roman" w:cs="Times New Roman"/>
          <w:color w:val="1C1C1C"/>
          <w:sz w:val="28"/>
          <w:szCs w:val="28"/>
        </w:rPr>
        <w:t xml:space="preserve"> </w:t>
      </w:r>
      <w:r w:rsidR="000C106F" w:rsidRPr="000C106F">
        <w:rPr>
          <w:rFonts w:ascii="Times New Roman" w:eastAsia="Times New Roman" w:hAnsi="Times New Roman" w:cs="Times New Roman"/>
          <w:color w:val="1C1C1C"/>
          <w:sz w:val="24"/>
          <w:szCs w:val="24"/>
        </w:rPr>
        <w:t>Law</w:t>
      </w:r>
    </w:p>
    <w:p w14:paraId="49A69396" w14:textId="77777777" w:rsidR="00F57B68" w:rsidRPr="00822632" w:rsidRDefault="00F57B68" w:rsidP="0052036D">
      <w:pPr>
        <w:spacing w:after="60" w:line="276" w:lineRule="auto"/>
        <w:jc w:val="center"/>
        <w:rPr>
          <w:rFonts w:ascii="Times New Roman" w:eastAsia="Times New Roman" w:hAnsi="Times New Roman" w:cs="Times New Roman"/>
          <w:color w:val="1C1C1C"/>
          <w:sz w:val="28"/>
          <w:szCs w:val="28"/>
        </w:rPr>
      </w:pPr>
    </w:p>
    <w:p w14:paraId="38988557" w14:textId="729BA340" w:rsidR="00F57B68" w:rsidRPr="00F57B68" w:rsidRDefault="0052036D" w:rsidP="00F57B68">
      <w:pPr>
        <w:bidi/>
        <w:jc w:val="center"/>
        <w:rPr>
          <w:rFonts w:ascii="Times New Roman" w:eastAsia="Times New Roman" w:hAnsi="Times New Roman" w:cs="Times New Roman"/>
          <w:b/>
          <w:bCs/>
          <w:color w:val="1C1C1C"/>
          <w:sz w:val="24"/>
          <w:szCs w:val="24"/>
          <w:rtl/>
        </w:rPr>
      </w:pPr>
      <w:r w:rsidRPr="00822632">
        <w:rPr>
          <w:rFonts w:ascii="Times New Roman" w:eastAsia="Times New Roman" w:hAnsi="Times New Roman" w:cs="Times New Roman"/>
          <w:b/>
          <w:bCs/>
          <w:color w:val="1C1C1C"/>
          <w:sz w:val="24"/>
          <w:szCs w:val="24"/>
        </w:rPr>
        <w:t>Doctor of</w:t>
      </w:r>
    </w:p>
    <w:p w14:paraId="666846BD"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Academic ID</w:t>
      </w:r>
      <w:r w:rsidRPr="003409AF">
        <w:rPr>
          <w:rFonts w:ascii="Sakkal Majalla" w:hAnsi="Sakkal Majalla" w:cs="Sakkal Majalla"/>
          <w:b/>
          <w:bCs/>
          <w:sz w:val="32"/>
          <w:szCs w:val="32"/>
          <w:rtl/>
        </w:rPr>
        <w:t>:</w:t>
      </w:r>
    </w:p>
    <w:p w14:paraId="354EF979" w14:textId="42CBC420" w:rsidR="003409AF" w:rsidRPr="003409AF" w:rsidRDefault="003409AF" w:rsidP="003409AF">
      <w:pPr>
        <w:bidi/>
        <w:jc w:val="center"/>
        <w:rPr>
          <w:rFonts w:ascii="Sakkal Majalla" w:hAnsi="Sakkal Majalla" w:cs="Sakkal Majalla"/>
          <w:b/>
          <w:bCs/>
          <w:sz w:val="32"/>
          <w:szCs w:val="32"/>
        </w:rPr>
      </w:pPr>
      <w:r>
        <w:rPr>
          <w:rFonts w:ascii="Sakkal Majalla" w:hAnsi="Sakkal Majalla" w:cs="Sakkal Majalla"/>
          <w:b/>
          <w:bCs/>
          <w:sz w:val="32"/>
          <w:szCs w:val="32"/>
        </w:rPr>
        <w:t>221002181</w:t>
      </w:r>
    </w:p>
    <w:p w14:paraId="31C55C7E" w14:textId="77777777" w:rsidR="003409AF" w:rsidRPr="003409AF" w:rsidRDefault="003409AF" w:rsidP="003409AF">
      <w:pPr>
        <w:bidi/>
        <w:jc w:val="center"/>
        <w:rPr>
          <w:rFonts w:ascii="Sakkal Majalla" w:hAnsi="Sakkal Majalla" w:cs="Sakkal Majalla"/>
          <w:b/>
          <w:bCs/>
          <w:sz w:val="32"/>
          <w:szCs w:val="32"/>
          <w:rtl/>
        </w:rPr>
      </w:pPr>
      <w:r w:rsidRPr="003409AF">
        <w:rPr>
          <w:rFonts w:ascii="Sakkal Majalla" w:hAnsi="Sakkal Majalla" w:cs="Sakkal Majalla"/>
          <w:b/>
          <w:bCs/>
          <w:sz w:val="32"/>
          <w:szCs w:val="32"/>
        </w:rPr>
        <w:t>Academic Year</w:t>
      </w:r>
      <w:r w:rsidRPr="003409AF">
        <w:rPr>
          <w:rFonts w:ascii="Sakkal Majalla" w:hAnsi="Sakkal Majalla" w:cs="Sakkal Majalla"/>
          <w:b/>
          <w:bCs/>
          <w:sz w:val="32"/>
          <w:szCs w:val="32"/>
          <w:rtl/>
        </w:rPr>
        <w:t>:</w:t>
      </w:r>
    </w:p>
    <w:p w14:paraId="7B7A16D3" w14:textId="3A498580" w:rsidR="003409AF" w:rsidRPr="003409AF" w:rsidRDefault="003409AF" w:rsidP="003409AF">
      <w:pPr>
        <w:bidi/>
        <w:jc w:val="center"/>
        <w:rPr>
          <w:rFonts w:ascii="Sakkal Majalla" w:hAnsi="Sakkal Majalla" w:cs="Sakkal Majalla"/>
          <w:b/>
          <w:bCs/>
          <w:sz w:val="32"/>
          <w:szCs w:val="32"/>
          <w:rtl/>
        </w:rPr>
      </w:pPr>
      <w:r>
        <w:rPr>
          <w:rFonts w:ascii="Sakkal Majalla" w:hAnsi="Sakkal Majalla" w:cs="Sakkal Majalla"/>
          <w:b/>
          <w:bCs/>
          <w:sz w:val="32"/>
          <w:szCs w:val="32"/>
        </w:rPr>
        <w:t>2026</w:t>
      </w:r>
      <w:r w:rsidRPr="003409AF">
        <w:rPr>
          <w:rFonts w:ascii="Sakkal Majalla" w:hAnsi="Sakkal Majalla" w:cs="Sakkal Majalla"/>
          <w:b/>
          <w:bCs/>
          <w:sz w:val="32"/>
          <w:szCs w:val="32"/>
          <w:rtl/>
        </w:rPr>
        <w:t xml:space="preserve"> </w:t>
      </w:r>
      <w:r w:rsidRPr="003409AF">
        <w:rPr>
          <w:rFonts w:ascii="Sakkal Majalla" w:hAnsi="Sakkal Majalla" w:cs="Sakkal Majalla"/>
          <w:b/>
          <w:bCs/>
          <w:sz w:val="32"/>
          <w:szCs w:val="32"/>
        </w:rPr>
        <w:t>A.D</w:t>
      </w:r>
      <w:r w:rsidRPr="003409AF">
        <w:rPr>
          <w:rFonts w:ascii="Sakkal Majalla" w:hAnsi="Sakkal Majalla" w:cs="Sakkal Majalla"/>
          <w:b/>
          <w:bCs/>
          <w:sz w:val="32"/>
          <w:szCs w:val="32"/>
          <w:rtl/>
        </w:rPr>
        <w:t>.</w:t>
      </w:r>
    </w:p>
    <w:p w14:paraId="72B2AB55" w14:textId="45581F68" w:rsidR="00BA5115" w:rsidRPr="00991EEB" w:rsidRDefault="003409AF" w:rsidP="003409AF">
      <w:pPr>
        <w:bidi/>
        <w:jc w:val="center"/>
        <w:rPr>
          <w:rFonts w:ascii="Sakkal Majalla" w:hAnsi="Sakkal Majalla" w:cs="Sakkal Majalla"/>
          <w:b/>
          <w:bCs/>
          <w:sz w:val="40"/>
          <w:szCs w:val="40"/>
          <w:rtl/>
          <w:lang w:bidi="ar-EG"/>
        </w:rPr>
      </w:pPr>
      <w:r w:rsidRPr="00991EEB">
        <w:rPr>
          <w:rFonts w:ascii="Sakkal Majalla" w:hAnsi="Sakkal Majalla" w:cs="Sakkal Majalla"/>
          <w:noProof/>
          <w:sz w:val="32"/>
          <w:szCs w:val="32"/>
        </w:rPr>
        <w:drawing>
          <wp:anchor distT="0" distB="0" distL="114300" distR="114300" simplePos="0" relativeHeight="251661312" behindDoc="0" locked="0" layoutInCell="1" allowOverlap="1" wp14:anchorId="2415CDE0" wp14:editId="147711DB">
            <wp:simplePos x="0" y="0"/>
            <wp:positionH relativeFrom="margin">
              <wp:posOffset>-285750</wp:posOffset>
            </wp:positionH>
            <wp:positionV relativeFrom="margin">
              <wp:posOffset>-571500</wp:posOffset>
            </wp:positionV>
            <wp:extent cx="2227152" cy="2066925"/>
            <wp:effectExtent l="0" t="0" r="1905" b="0"/>
            <wp:wrapSquare wrapText="bothSides"/>
            <wp:docPr id="8360370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32"/>
          <w:szCs w:val="32"/>
        </w:rPr>
        <w:t>1447-1448 A.H</w:t>
      </w:r>
    </w:p>
    <w:p w14:paraId="4F04FA23" w14:textId="3307C8EC" w:rsidR="00BA5115" w:rsidRPr="00991EEB" w:rsidRDefault="003409AF" w:rsidP="00FC13D6">
      <w:pPr>
        <w:bidi/>
        <w:spacing w:line="278" w:lineRule="auto"/>
        <w:rPr>
          <w:rFonts w:ascii="Sakkal Majalla" w:hAnsi="Sakkal Majalla" w:cs="Sakkal Majalla"/>
          <w:b/>
          <w:bCs/>
          <w:sz w:val="32"/>
          <w:szCs w:val="32"/>
          <w:rtl/>
        </w:rPr>
      </w:pPr>
      <w:r>
        <w:rPr>
          <w:rFonts w:ascii="Sakkal Majalla" w:hAnsi="Sakkal Majalla" w:cs="Sakkal Majalla"/>
          <w:b/>
          <w:bCs/>
          <w:sz w:val="32"/>
          <w:szCs w:val="32"/>
        </w:rPr>
        <w:br w:type="page"/>
      </w:r>
      <w:r w:rsidR="00BA5115" w:rsidRPr="00991EEB">
        <w:rPr>
          <w:rFonts w:ascii="Sakkal Majalla" w:hAnsi="Sakkal Majalla" w:cs="Sakkal Majalla"/>
          <w:b/>
          <w:bCs/>
          <w:sz w:val="32"/>
          <w:szCs w:val="32"/>
          <w:rtl/>
          <w:lang w:bidi="ar-EG"/>
        </w:rPr>
        <w:lastRenderedPageBreak/>
        <w:t>مقدمة:</w:t>
      </w:r>
    </w:p>
    <w:p w14:paraId="0CFCED7B"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التقنية التي يشهدها العالم اليوم برز الذكاء الاصطناعي بوصفه أحد أهم الابتكارات التي غيرت ملامح الحياة الإنسانية، وأعادت تشكيل العلاقات الاقتصادية والاجتماعية والقانونية، ومع تزايد الاعتماد على الأنظمة الذكية في مجالات متعددة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 القدرات البشرية في بعض الأحيان،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1"/>
      </w:r>
    </w:p>
    <w:p w14:paraId="5E2F3636"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ولقد أوجدت هذه التطورات فجوة واضحة بين ما هو تقني وما هو قانوني، إذ أن القواعد التقليدية للمسؤولية المدنية التي تقوم على إثبات الخطأ والضرر وعلاقة السببية قد لا تكون كافية للتعامل مع الأفعال التي تصدر عن أنظمة تعمل بقدر كبير من الاستقلالية والذاتية،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تطوير نفسها دون تدخل بشري مباشر، ومن هنا </w:t>
      </w:r>
      <w:r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2"/>
      </w:r>
    </w:p>
    <w:p w14:paraId="543FAE1A" w14:textId="3F376BC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الملاحظ أن النظام القانوني السعودي بالرغم من حداثة تعامله مع قضايا الذكاء الاصطناعي، يمتلك قاعدة فقهية متينة يمكن الانطلاق منها لمعالجة هذه الإشكاليات،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 طالما أن هناك علاقة سببية بين الفعل والضرر، ومع ذلك يظل التحدي في تحديد طبيعة العلاقة بين الفاعل البشري والنظام الآلي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Pr="00991EEB">
        <w:rPr>
          <w:rStyle w:val="FootnoteReference"/>
          <w:rFonts w:ascii="Sakkal Majalla" w:hAnsi="Sakkal Majalla" w:cs="Sakkal Majalla"/>
          <w:sz w:val="32"/>
          <w:szCs w:val="32"/>
          <w:lang w:bidi="ar-EG"/>
        </w:rPr>
        <w:footnoteReference w:id="3"/>
      </w:r>
      <w:r w:rsidR="00BF64B3">
        <w:rPr>
          <w:rFonts w:ascii="Sakkal Majalla" w:hAnsi="Sakkal Majalla" w:cs="Sakkal Majalla" w:hint="cs"/>
          <w:sz w:val="32"/>
          <w:szCs w:val="32"/>
          <w:rtl/>
          <w:lang w:bidi="ar-EG"/>
        </w:rPr>
        <w:t xml:space="preserve"> </w:t>
      </w:r>
    </w:p>
    <w:p w14:paraId="2A06F848" w14:textId="10DD5309" w:rsidR="00BA5115" w:rsidRPr="00991EEB" w:rsidRDefault="001B14E5" w:rsidP="00BA5115">
      <w:pPr>
        <w:bidi/>
        <w:spacing w:line="360" w:lineRule="auto"/>
        <w:jc w:val="lowKashida"/>
        <w:rPr>
          <w:rFonts w:ascii="Sakkal Majalla" w:hAnsi="Sakkal Majalla" w:cs="Sakkal Majalla"/>
          <w:sz w:val="32"/>
          <w:szCs w:val="32"/>
          <w:rtl/>
          <w:lang w:bidi="ar-EG"/>
        </w:rPr>
      </w:pPr>
      <w:r w:rsidRPr="001B14E5">
        <w:rPr>
          <w:rFonts w:ascii="Sakkal Majalla" w:hAnsi="Sakkal Majalla" w:cs="Sakkal Majalla"/>
          <w:sz w:val="32"/>
          <w:szCs w:val="32"/>
          <w:rtl/>
          <w:lang w:bidi="ar-EG"/>
        </w:rPr>
        <w:t>وقد دفع هذا الواقع عددًا من الفقهاء والمشرعين إلى طرح رؤى جديدة تدعو إلى إعادة النظر في مفهوم الشخصية القانونية ومدى إمكان تطبيقه على أنظمة الذكاء الاصطناعي؛ إذ يرى اتجاه فقهي أن تطور الأنظمة الذكية وازدياد قدرتها على التعلم واتخاذ القرارات بصورة مستقلة نسبيًا قد يبرران مستقبلًا استحداث وضع قانوني خاص بها</w:t>
      </w:r>
      <w:r>
        <w:rPr>
          <w:rFonts w:ascii="Sakkal Majalla" w:hAnsi="Sakkal Majalla" w:cs="Sakkal Majalla" w:hint="cs"/>
          <w:sz w:val="32"/>
          <w:szCs w:val="32"/>
          <w:rtl/>
          <w:lang w:bidi="ar-EG"/>
        </w:rPr>
        <w:t xml:space="preserve"> </w:t>
      </w:r>
      <w:r w:rsidRPr="001B14E5">
        <w:rPr>
          <w:rFonts w:ascii="Sakkal Majalla" w:hAnsi="Sakkal Majalla" w:cs="Sakkal Majalla"/>
          <w:sz w:val="32"/>
          <w:szCs w:val="32"/>
          <w:rtl/>
          <w:lang w:bidi="ar-EG"/>
        </w:rPr>
        <w:t xml:space="preserve">يعرف في بعض الكتابات القانونية بـ«الشخصية الإلكترونية» بما يسهم في تنظيم المسؤولية عن الأضرار الناشئة عن أفعالها غير أنه لا يصح الاستناد في تأييد هذا الاتجاه إلى واقعة إعلان منح الروبوت «صوفيا» الجنسية السعودية عام 2017؛ لكونها واقعة ذات طابع رمزي وتسويقي وإعلامي </w:t>
      </w:r>
      <w:r w:rsidRPr="001B14E5">
        <w:rPr>
          <w:rFonts w:ascii="Sakkal Majalla" w:hAnsi="Sakkal Majalla" w:cs="Sakkal Majalla"/>
          <w:sz w:val="32"/>
          <w:szCs w:val="32"/>
          <w:rtl/>
          <w:lang w:bidi="ar-EG"/>
        </w:rPr>
        <w:lastRenderedPageBreak/>
        <w:t>ارتبطت بفعاليات منتدى استثماري، ولم يصدر بشأنها مرسوم رسمي أو تعديل لأحكام نظام الجنسية السعودي كما أن الجنسية وفق التنظيم السعودي ترتبط بالأشخاص الطبيعيين وتمنح وفق شروط نظامية محددة، ومن ثم لا يمكن تأسيس فكرة الشخصية القانونية الإلكترونية في النظام السعودي على هذه الواقعة الرمزية. وعليه، فإن الاعتراف للذكاء الاصطناعي بوضع قانوني مستقل يظل مسألة تشريعية تحتاج إلى نص نظامي صريح يحدد نطاق هذه الشخصية وآثارها، وضوابط إسناد المسؤولية عن الأضرار الناجمة عن الأنظمة الذكية، دون القياس على وقائع إعلامية لا يترتب عليها أثر قانوني ملزم</w:t>
      </w:r>
      <w:r w:rsidR="00BA5115" w:rsidRPr="00991EEB">
        <w:rPr>
          <w:rFonts w:ascii="Sakkal Majalla" w:hAnsi="Sakkal Majalla" w:cs="Sakkal Majalla"/>
          <w:sz w:val="32"/>
          <w:szCs w:val="32"/>
          <w:rtl/>
          <w:lang w:bidi="ar-EG"/>
        </w:rPr>
        <w:t>.</w:t>
      </w:r>
      <w:r w:rsidR="00BA5115" w:rsidRPr="00991EEB">
        <w:rPr>
          <w:rStyle w:val="FootnoteReference"/>
          <w:rFonts w:ascii="Sakkal Majalla" w:hAnsi="Sakkal Majalla" w:cs="Sakkal Majalla"/>
          <w:sz w:val="32"/>
          <w:szCs w:val="32"/>
          <w:rtl/>
          <w:lang w:bidi="ar-EG"/>
        </w:rPr>
        <w:footnoteReference w:id="4"/>
      </w:r>
    </w:p>
    <w:p w14:paraId="686FBE0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 الأفعال الصادرة عن هذه الأنظمة خاصة في سياق الجرائم الإلكترونية، ومن هنا تنشأ إشكالية البحث الأساسية المتعلقة بإمكانية مساءلة الأنظمة الذكية قانونياً، أو تحديد المسؤولية على الإنسان المشغل أو المبرمج، ويهدف هذا البحث بشكل خاص إلى دراسة المسؤولية المدنية الناشئة عن الأفعال التي تصدر عن الذكاء الاصطناعي في محاولة لتحديد أطر قانونية مناسبة تتماشى مع الواقع التكنولوجي الحديث.</w:t>
      </w:r>
    </w:p>
    <w:p w14:paraId="21D993D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33089623"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6B74950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للبحث من كونه يتناول موضوع حديث ومعقد يجمع بين القانون والتكنولوجيا، وهو المسؤولية المدنية الناشئة عن الجرائم الإلكترونية المرتكبة باستخدام الذكاء الاصطناعي، وهو مجال لا يزال </w:t>
      </w:r>
      <w:r w:rsidRPr="00991EEB">
        <w:rPr>
          <w:rFonts w:ascii="Sakkal Majalla" w:hAnsi="Sakkal Majalla" w:cs="Sakkal Majalla"/>
          <w:sz w:val="32"/>
          <w:szCs w:val="32"/>
          <w:rtl/>
          <w:lang w:bidi="ar-EG"/>
        </w:rPr>
        <w:lastRenderedPageBreak/>
        <w:t>في طور التكوين في الفقه القانوني العربي والسعودي على وجه الخصوص، ويسهم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المسؤولية المدنية التقليدية عليها، كما يهدف 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728719D7" w14:textId="77777777" w:rsidR="00BA5115" w:rsidRPr="00991EEB" w:rsidRDefault="00BA5115" w:rsidP="00BA5115">
      <w:pPr>
        <w:pStyle w:val="ListParagraph"/>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43F752B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تتجلى الأهمية العملية للبحث في كونه يتناول قضية تمس الواقع العملي بشكل مباشر، خاصة مع تزايد استخدام تقنيات الذكاء الاصطناعي في المجالات الأمنية والتجارية والخدمية داخل المملكة العربية السعودية، إذ أن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حال وقوع أضرار أو انتهاكات رقمية، كما أن النتائج المتوقعة من هذا البحث يمكن أن تدعم جهود الهيئة السعودية للبيانات والذكاء الاصطناعي (سدايا)، والجهات التشريعية والقضائية في وضع أطر قانونية متكاملة تضمن الاستخدام الآمن والمسؤول للتكنولوجيا المتقدمة، وتحقق التوازن بين الابتكار وحماية الحقوق.</w:t>
      </w:r>
    </w:p>
    <w:p w14:paraId="022C9823"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03D53AE7"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26416EA3"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تحديد أبرز التحديات القانونية والمسائل الإشكالية المتعلقة بإثبات المسؤولية المدنية عن الجرائم المرتكبة بواسطة أنظمة الذكاء الاصطناعي.</w:t>
      </w:r>
    </w:p>
    <w:p w14:paraId="373E2EF5"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679C5018"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72B99E34" w14:textId="77777777" w:rsidR="00BA5115" w:rsidRPr="00991EEB" w:rsidRDefault="00BA5115" w:rsidP="00BA5115">
      <w:pPr>
        <w:pStyle w:val="ListParagraph"/>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55F729E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إشكالية البحث:</w:t>
      </w:r>
    </w:p>
    <w:p w14:paraId="060F43E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12ABFB1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ACC477E"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39DF9812"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المفاهيم الأساسية للمسؤولية المدنية؟ وكيف يمكن تطبيقها على الأفعال الضارة الصادرة عن الأنظمة الذكية في المملكة العربية السعودية؟</w:t>
      </w:r>
    </w:p>
    <w:p w14:paraId="51D9C893"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2AF087AB"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689183E9"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المرتكبة باستخدام الذكاء الاصطناعي؟ وما مدى وجود تطبيقات عملية أو قضائية لهذه النصوص في الواقع السعودي؟</w:t>
      </w:r>
    </w:p>
    <w:p w14:paraId="317E64DA" w14:textId="77777777" w:rsidR="00BA5115" w:rsidRPr="00991EEB" w:rsidRDefault="00BA5115" w:rsidP="00BA5115">
      <w:pPr>
        <w:pStyle w:val="ListParagraph"/>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المتسارع في مجال الذكاء الاصطناعي ومتطلبات الحماية القانونية للأفراد والمؤسسات من الأضرار المدنية الناشئة عن هذه الجرائم في المملكة العربية السعودية؟</w:t>
      </w:r>
    </w:p>
    <w:p w14:paraId="58EFC58D"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3C301F41" w14:textId="4A6FC7CC" w:rsidR="001B14E5" w:rsidRPr="00F1264D" w:rsidRDefault="001B14E5" w:rsidP="001B14E5">
      <w:pPr>
        <w:bidi/>
        <w:spacing w:line="360" w:lineRule="auto"/>
        <w:jc w:val="lowKashida"/>
        <w:rPr>
          <w:rFonts w:ascii="Sakkal Majalla" w:hAnsi="Sakkal Majalla" w:cs="Sakkal Majalla"/>
          <w:sz w:val="32"/>
          <w:szCs w:val="32"/>
          <w:lang w:bidi="ar-EG"/>
        </w:rPr>
      </w:pPr>
      <w:r w:rsidRPr="00F1264D">
        <w:rPr>
          <w:rFonts w:ascii="Sakkal Majalla" w:hAnsi="Sakkal Majalla" w:cs="Sakkal Majalla"/>
          <w:sz w:val="32"/>
          <w:szCs w:val="32"/>
          <w:rtl/>
          <w:lang w:bidi="ar-EG"/>
        </w:rPr>
        <w:t>يعتمد الباحث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w:t>
      </w:r>
      <w:r w:rsidRPr="00F1264D">
        <w:rPr>
          <w:rFonts w:ascii="Sakkal Majalla" w:hAnsi="Sakkal Majalla" w:cs="Sakkal Majalla" w:hint="cs"/>
          <w:sz w:val="32"/>
          <w:szCs w:val="32"/>
          <w:rtl/>
          <w:lang w:bidi="ar-EG"/>
        </w:rPr>
        <w:t xml:space="preserve"> </w:t>
      </w:r>
      <w:r w:rsidRPr="00F1264D">
        <w:rPr>
          <w:rFonts w:ascii="Sakkal Majalla" w:hAnsi="Sakkal Majalla" w:cs="Sakkal Majalla"/>
          <w:sz w:val="32"/>
          <w:szCs w:val="32"/>
          <w:rtl/>
          <w:lang w:bidi="ar-EG"/>
        </w:rPr>
        <w:t xml:space="preserve">لما يتيحه هذا المنهج من وصف الظواهر القانونية وتحليلها وتفسيرها في ضوء النصوص النظامية والمبادئ الفقهية ذات الصلة. ويوظف الباحث هذا المنهج في بيان الإطار النظامي والتنظيمي القائم في المملكة العربية السعودية، وتحليل النصوص ذات العلاقة، وفي مقدمتها نظام المعاملات المدنية، ونظام مكافحة جرائم المعلوماتية، ونظام حماية البيانات </w:t>
      </w:r>
      <w:r w:rsidRPr="00F1264D">
        <w:rPr>
          <w:rFonts w:ascii="Sakkal Majalla" w:hAnsi="Sakkal Majalla" w:cs="Sakkal Majalla"/>
          <w:sz w:val="32"/>
          <w:szCs w:val="32"/>
          <w:rtl/>
          <w:lang w:bidi="ar-EG"/>
        </w:rPr>
        <w:lastRenderedPageBreak/>
        <w:t>الشخصية، ونظام التعاملات الإلكترونية، وغيرها من الأنظمة التي يمكن تطبيق أحكامها على الأضرار الناشئة عن استخدام تقنيات الذكاء الاصطناعي.</w:t>
      </w:r>
    </w:p>
    <w:p w14:paraId="34D3180C" w14:textId="6C351BF8" w:rsidR="001B14E5" w:rsidRPr="00F1264D" w:rsidRDefault="00756CDB" w:rsidP="001B14E5">
      <w:pPr>
        <w:bidi/>
        <w:spacing w:line="360" w:lineRule="auto"/>
        <w:jc w:val="lowKashida"/>
        <w:rPr>
          <w:rFonts w:ascii="Sakkal Majalla" w:hAnsi="Sakkal Majalla" w:cs="Sakkal Majalla"/>
          <w:sz w:val="32"/>
          <w:szCs w:val="32"/>
          <w:lang w:bidi="ar-EG"/>
        </w:rPr>
      </w:pPr>
      <w:r w:rsidRPr="00143BCD">
        <w:rPr>
          <w:rFonts w:ascii="Sakkal Majalla" w:hAnsi="Sakkal Majalla" w:cs="Sakkal Majalla"/>
          <w:sz w:val="32"/>
          <w:szCs w:val="32"/>
          <w:rtl/>
          <w:lang w:bidi="ar-EG"/>
        </w:rPr>
        <w:t>كما تمتد الدراسة إلى تحليل الوثائق والمبادئ والأطر الإرشادية الصادرة عن الهيئة السعودية للبيانات والذكاء الاصطناعي «سدايا»، ومن أبرزها مبادئ أخلاقيات الذكاء الاصطناعي وإطار تبني الذكاء الاصطناعي والاستراتيجية الوطنية للبيانات والذكاء الاصطناعي، مع التمييز بينها وبين الأنظمة الملزمة</w:t>
      </w:r>
      <w:r w:rsidRPr="00143BCD">
        <w:rPr>
          <w:rFonts w:ascii="Sakkal Majalla" w:hAnsi="Sakkal Majalla" w:cs="Sakkal Majalla" w:hint="cs"/>
          <w:sz w:val="32"/>
          <w:szCs w:val="32"/>
          <w:rtl/>
          <w:lang w:bidi="ar-EG"/>
        </w:rPr>
        <w:t xml:space="preserve"> </w:t>
      </w:r>
      <w:r w:rsidRPr="00143BCD">
        <w:rPr>
          <w:rFonts w:ascii="Sakkal Majalla" w:hAnsi="Sakkal Majalla" w:cs="Sakkal Majalla"/>
          <w:sz w:val="32"/>
          <w:szCs w:val="32"/>
          <w:rtl/>
          <w:lang w:bidi="ar-EG"/>
        </w:rPr>
        <w:t>إذ تعد المبادئ الأخلاقية والأطر الإرشادية الصادرة عن «سدايا» قواعد تنظيمية وحوكمية غير ملزمة بذاتها في مجال التعويض المدني، ولا تنشئ بمفردها التزامًا بالتعويض أمام القضاء، وإنما يمكن الاستفادة منها في بيان معايير الاستخدام المسؤول للذكاء الاصطناعي، بينما يستند تقرير المسؤولية المدنية والتعويض إلى النصوص النظامية الملزمة والقواعد العامة للمسؤولية عن الضرر</w:t>
      </w:r>
      <w:r w:rsidR="001B14E5" w:rsidRPr="00143BCD">
        <w:rPr>
          <w:rFonts w:ascii="Sakkal Majalla" w:hAnsi="Sakkal Majalla" w:cs="Sakkal Majalla"/>
          <w:sz w:val="32"/>
          <w:szCs w:val="32"/>
          <w:rtl/>
          <w:lang w:bidi="ar-EG"/>
        </w:rPr>
        <w:t>.</w:t>
      </w:r>
    </w:p>
    <w:p w14:paraId="58950E5E" w14:textId="214E635F" w:rsidR="00BA5115" w:rsidRPr="00991EEB" w:rsidRDefault="001B14E5" w:rsidP="001B14E5">
      <w:pPr>
        <w:bidi/>
        <w:spacing w:line="360" w:lineRule="auto"/>
        <w:jc w:val="lowKashida"/>
        <w:rPr>
          <w:rFonts w:ascii="Sakkal Majalla" w:hAnsi="Sakkal Majalla" w:cs="Sakkal Majalla"/>
          <w:sz w:val="32"/>
          <w:szCs w:val="32"/>
          <w:rtl/>
          <w:lang w:bidi="ar-EG"/>
        </w:rPr>
      </w:pPr>
      <w:r w:rsidRPr="00F1264D">
        <w:rPr>
          <w:rFonts w:ascii="Sakkal Majalla" w:hAnsi="Sakkal Majalla" w:cs="Sakkal Majalla"/>
          <w:sz w:val="32"/>
          <w:szCs w:val="32"/>
          <w:rtl/>
          <w:lang w:bidi="ar-EG"/>
        </w:rPr>
        <w:t>ويستخدم الباحث كذلك المنهج الاستقرائي من خلال تتبع النصوص النظامية السعودية، وما يتوافر من مبادئ وأحكام قضائية ذات صلة، ودراسة الصور التطبيقية والوقائع المفترضة التي قد تنشأ عن استخدام الذكاء الاصطناعي في ارتكاب الجرائم الإلكترونية. ويتيح هذا المنهج استخلاص القواعد العامة التي يمكن أن تحكم المسؤولية المدنية في هذا المجال، وربطها بالمبادئ الأساسية للمسؤولية الواردة في نظام المعاملات المدنية السعودي. ومن شأن الجمع بين المنهجين الوصفي التحليلي والاستقرائي أن يسهم في بناء تصور قانوني دقيق لطبيعة هذه المسؤولية وأساسها النظامي، والكشف عن مواطن القصور في التنظيم القائم، واقتراح سبل تطويره بما يتلاءم مع التطور التقني المتسارع الذي تشهده المملكة العربية السعودية</w:t>
      </w:r>
    </w:p>
    <w:p w14:paraId="69550C0E"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7EBC6D91"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lastRenderedPageBreak/>
        <w:t>دراسة (المالكي، 2024)، بعنوان: "المسؤولية المدنية عن فعل الذكاء الاصطناعي في النظام السعودي دراسة تحليلية تأصيلية".</w:t>
      </w:r>
    </w:p>
    <w:p w14:paraId="1DC456E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1045AB51" w14:textId="77777777" w:rsidR="00BA5115" w:rsidRPr="00991EEB" w:rsidRDefault="00BA5115" w:rsidP="00BA5115">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 xml:space="preserve">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w:t>
      </w:r>
      <w:r w:rsidRPr="00991EEB">
        <w:rPr>
          <w:rFonts w:ascii="Sakkal Majalla" w:hAnsi="Sakkal Majalla" w:cs="Sakkal Majalla"/>
          <w:sz w:val="32"/>
          <w:szCs w:val="32"/>
          <w:rtl/>
          <w:lang w:bidi="ar-EG"/>
        </w:rPr>
        <w:lastRenderedPageBreak/>
        <w:t>الرأي القائل بضرورة الاعتراف بهذه الشخصية كوسيلة لضمان تحقيق العدالة وحماية المتضررين من الأفعال الصادرة عن الأنظمة الذكية.</w:t>
      </w:r>
    </w:p>
    <w:p w14:paraId="6D3098FE" w14:textId="1DA75317" w:rsidR="00BA5115" w:rsidRPr="00991EEB" w:rsidRDefault="00BA5115" w:rsidP="00E53827">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7C6A4759"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(علي، 2025)، بعنوان: "المسئولية المدنية الناتجة عن أضرار الروبوت الطبي وآثارها".</w:t>
      </w:r>
    </w:p>
    <w:p w14:paraId="144023EF"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w:t>
      </w:r>
      <w:r w:rsidRPr="00991EEB">
        <w:rPr>
          <w:rFonts w:ascii="Sakkal Majalla" w:hAnsi="Sakkal Majalla" w:cs="Sakkal Majalla"/>
          <w:sz w:val="32"/>
          <w:szCs w:val="32"/>
          <w:rtl/>
          <w:lang w:bidi="ar-EG"/>
        </w:rPr>
        <w:lastRenderedPageBreak/>
        <w:t>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7BAF5260"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0FF822D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3D5C5BCE" w14:textId="77777777" w:rsidR="00BA5115" w:rsidRPr="00991EEB" w:rsidRDefault="00BA5115" w:rsidP="00BA5115">
      <w:pPr>
        <w:pStyle w:val="ListParagraph"/>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(كريم، 2022)، بعنوان: "التنظيم القانوني للذكاء الاصطناعي (( دراسة مقارنة ))".</w:t>
      </w:r>
    </w:p>
    <w:p w14:paraId="1B3ACA4D"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هدفت الدراسة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تطوير هذا النظام القانوني، حيث 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 وقد خلصت الدراسة إلى مجموعة من النتائج 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الأطر التشريعية في العالم العربي لما يحمله من أبعاد قانونية وفلسفية معقدة</w:t>
      </w:r>
      <w:r w:rsidRPr="00991EEB">
        <w:rPr>
          <w:rFonts w:ascii="Sakkal Majalla" w:hAnsi="Sakkal Majalla" w:cs="Sakkal Majalla"/>
          <w:sz w:val="32"/>
          <w:szCs w:val="32"/>
          <w:lang w:bidi="ar-EG"/>
        </w:rPr>
        <w:t>.</w:t>
      </w:r>
    </w:p>
    <w:p w14:paraId="396FA4F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هذه الدراسة والدراسة الحالية، يمكن القول إن الجانبين يتفقان في تناولهما لمسألة المسؤولية المدنية المرتبطة بالذكاء الاصطناعي بوصفها من القضايا المستجدة في الفكر القانوني المعاصر،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0B1986E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سابعاً هيكل ومخطط البحث:</w:t>
      </w:r>
    </w:p>
    <w:p w14:paraId="6D584113"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أهدافه، وإشكالية البحث، وتساؤلاته، ومنهجية البحث، والدراسات السابقة.</w:t>
      </w:r>
    </w:p>
    <w:p w14:paraId="6DC55FD9" w14:textId="77777777" w:rsidR="00BA5115" w:rsidRPr="00A266C3" w:rsidRDefault="00BA5115" w:rsidP="00BA5115">
      <w:pPr>
        <w:bidi/>
        <w:rPr>
          <w:rFonts w:ascii="Sakkal Majalla" w:hAnsi="Sakkal Majalla" w:cs="Sakkal Majalla"/>
          <w:b/>
          <w:bCs/>
          <w:sz w:val="32"/>
          <w:szCs w:val="32"/>
          <w:u w:val="single"/>
          <w:lang w:bidi="ar-EG"/>
        </w:rPr>
      </w:pPr>
      <w:r w:rsidRPr="00A266C3">
        <w:rPr>
          <w:rFonts w:ascii="Sakkal Majalla" w:hAnsi="Sakkal Majalla" w:cs="Sakkal Majalla"/>
          <w:b/>
          <w:bCs/>
          <w:sz w:val="32"/>
          <w:szCs w:val="32"/>
          <w:u w:val="single"/>
          <w:rtl/>
          <w:lang w:bidi="ar-EG"/>
        </w:rPr>
        <w:lastRenderedPageBreak/>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47FB020A"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38A1D5E"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الأول: مفهوم الذكاء الاصطناعي</w:t>
      </w:r>
    </w:p>
    <w:p w14:paraId="6495498E"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تعريف الذكاء الاصطناعي</w:t>
      </w:r>
    </w:p>
    <w:p w14:paraId="4E33C57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الخصائص التقنية للذكاء الاصطناعي</w:t>
      </w:r>
    </w:p>
    <w:p w14:paraId="332A7FBB"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الثاني: تصنيف الذكاء الاصطناعي وتطبيقاته</w:t>
      </w:r>
    </w:p>
    <w:p w14:paraId="0072F032" w14:textId="77777777" w:rsidR="00BA5115" w:rsidRPr="00637FF9"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أنواع الذكاء الاصطناعي</w:t>
      </w:r>
    </w:p>
    <w:p w14:paraId="547557AC" w14:textId="77777777" w:rsidR="00BA5115" w:rsidRDefault="00BA5115" w:rsidP="00BA5115">
      <w:pPr>
        <w:pStyle w:val="ListParagraph"/>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تطبيقات الذكاء الاصطناعي</w:t>
      </w:r>
    </w:p>
    <w:p w14:paraId="34B15374" w14:textId="77777777" w:rsidR="00BA5115" w:rsidRPr="00A266C3"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المبحث الثاني: البيئة الرقمية والجرائم المعلوماتية</w:t>
      </w:r>
    </w:p>
    <w:p w14:paraId="11DB52A6" w14:textId="77777777" w:rsidR="00BA5115"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 xml:space="preserve">المطلب الأول: مفهوم الجريمة الإلكترونية وخصائصها </w:t>
      </w:r>
    </w:p>
    <w:p w14:paraId="25FE650D"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الأول: تعريف الجريمة الإلكترونية – الفقه – التشريعات</w:t>
      </w:r>
    </w:p>
    <w:p w14:paraId="2B7766C9" w14:textId="77777777" w:rsidR="00BA5115" w:rsidRPr="00A266C3" w:rsidRDefault="00BA5115" w:rsidP="00BA5115">
      <w:pPr>
        <w:pStyle w:val="ListParagraph"/>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الثاني: خصائص الجرائم الإلكترونية</w:t>
      </w:r>
    </w:p>
    <w:p w14:paraId="1EAEF64D" w14:textId="17A4AF3B" w:rsidR="00BA5115" w:rsidRDefault="00BA5115" w:rsidP="00BA5115">
      <w:pPr>
        <w:bidi/>
        <w:rPr>
          <w:rFonts w:ascii="Sakkal Majalla" w:hAnsi="Sakkal Majalla" w:cs="Sakkal Majalla"/>
          <w:b/>
          <w:bCs/>
          <w:sz w:val="32"/>
          <w:szCs w:val="32"/>
          <w:rtl/>
          <w:lang w:bidi="ar-EG"/>
        </w:rPr>
      </w:pPr>
      <w:r w:rsidRPr="00A266C3">
        <w:rPr>
          <w:rFonts w:ascii="Sakkal Majalla" w:hAnsi="Sakkal Majalla" w:cs="Sakkal Majalla"/>
          <w:b/>
          <w:bCs/>
          <w:sz w:val="32"/>
          <w:szCs w:val="32"/>
          <w:rtl/>
          <w:lang w:bidi="ar-EG"/>
        </w:rPr>
        <w:t>المطلب الثاني: التحديات القانونية للجرائم الرقمية</w:t>
      </w:r>
      <w:r w:rsidR="00FC13D6">
        <w:rPr>
          <w:rFonts w:ascii="Sakkal Majalla" w:hAnsi="Sakkal Majalla" w:cs="Sakkal Majalla" w:hint="cs"/>
          <w:b/>
          <w:bCs/>
          <w:sz w:val="32"/>
          <w:szCs w:val="32"/>
          <w:rtl/>
          <w:lang w:bidi="ar-EG"/>
        </w:rPr>
        <w:t>.</w:t>
      </w:r>
    </w:p>
    <w:p w14:paraId="5BE3B99C" w14:textId="680DA6E3" w:rsidR="00E53827" w:rsidRPr="00E53827" w:rsidRDefault="00E53827" w:rsidP="00E53827">
      <w:pPr>
        <w:bidi/>
        <w:rPr>
          <w:rFonts w:ascii="Sakkal Majalla" w:hAnsi="Sakkal Majalla" w:cs="Sakkal Majalla"/>
          <w:b/>
          <w:bCs/>
          <w:sz w:val="32"/>
          <w:szCs w:val="32"/>
          <w:u w:val="single"/>
          <w:lang w:bidi="ar-EG"/>
        </w:rPr>
      </w:pPr>
      <w:r w:rsidRPr="00E53827">
        <w:rPr>
          <w:rFonts w:ascii="Sakkal Majalla" w:hAnsi="Sakkal Majalla" w:cs="Sakkal Majalla"/>
          <w:b/>
          <w:bCs/>
          <w:sz w:val="32"/>
          <w:szCs w:val="32"/>
          <w:u w:val="single"/>
          <w:rtl/>
          <w:lang w:bidi="ar-EG"/>
        </w:rPr>
        <w:t>الفصل الأول: الطبيعة القانونية للمسؤولية المدنية عن أفعال الذكاء الاصطناعي</w:t>
      </w:r>
    </w:p>
    <w:p w14:paraId="4A548923"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الأول: التكييف القانوني لأنظمة الذكاء الاصطناعي</w:t>
      </w:r>
    </w:p>
    <w:p w14:paraId="1C42485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الذكاء الاصطناعي بوصفه شيئًا في نطاق المسؤولية المدنية.</w:t>
      </w:r>
    </w:p>
    <w:p w14:paraId="06255E19" w14:textId="77777777" w:rsidR="00E53827" w:rsidRDefault="00E53827" w:rsidP="00E53827">
      <w:pPr>
        <w:pStyle w:val="ListParagraph"/>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الأول: مفهوم حراسة الأشياء وأساس المسؤولية عنها.</w:t>
      </w:r>
    </w:p>
    <w:p w14:paraId="497410DD" w14:textId="1FFE84D0" w:rsidR="00E53827" w:rsidRPr="00E53827" w:rsidRDefault="00E53827" w:rsidP="00E53827">
      <w:pPr>
        <w:pStyle w:val="ListParagraph"/>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الثاني: تطبيق قواعد المسؤولية عن الأشياء على أنظمة الذكاء الاصطناعي.</w:t>
      </w:r>
    </w:p>
    <w:p w14:paraId="04B7C3EF"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الذكاء الاصطناعي كشخصية قانونية افتراضية.</w:t>
      </w:r>
    </w:p>
    <w:p w14:paraId="2F7B65E5" w14:textId="77777777" w:rsidR="00E53827" w:rsidRDefault="00E53827" w:rsidP="00E53827">
      <w:pPr>
        <w:pStyle w:val="ListParagraph"/>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الأول: الأساس القانوني لفكرة الشخصية الإلكترونية.</w:t>
      </w:r>
    </w:p>
    <w:p w14:paraId="0CB4742A" w14:textId="1217A985" w:rsidR="00E53827" w:rsidRPr="00E53827" w:rsidRDefault="00E53827" w:rsidP="00E53827">
      <w:pPr>
        <w:pStyle w:val="ListParagraph"/>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الثاني: تقييم فكرة الشخصية القانونية للذكاء الاصطناعي.</w:t>
      </w:r>
    </w:p>
    <w:p w14:paraId="00758ABA" w14:textId="0029EB64" w:rsidR="00E53827" w:rsidRPr="00E53827" w:rsidRDefault="00E53827" w:rsidP="00711EBA">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lastRenderedPageBreak/>
        <w:t>المبحث الثاني: أنواع المسؤولية المدنية المنطبقة</w:t>
      </w:r>
    </w:p>
    <w:p w14:paraId="3857A45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المسؤولية العقدية الناشئة عن استخدام أنظمة الذكاء الاصطناعي.</w:t>
      </w:r>
    </w:p>
    <w:p w14:paraId="10600EEB" w14:textId="77777777" w:rsidR="00711EBA" w:rsidRDefault="00E53827" w:rsidP="00711EBA">
      <w:pPr>
        <w:pStyle w:val="ListParagraph"/>
        <w:numPr>
          <w:ilvl w:val="0"/>
          <w:numId w:val="1"/>
        </w:numPr>
        <w:bidi/>
        <w:rPr>
          <w:rFonts w:ascii="Sakkal Majalla" w:hAnsi="Sakkal Majalla" w:cs="Sakkal Majalla"/>
          <w:b/>
          <w:bCs/>
          <w:sz w:val="32"/>
          <w:szCs w:val="32"/>
          <w:lang w:bidi="ar-EG"/>
        </w:rPr>
      </w:pPr>
      <w:r w:rsidRPr="00711EBA">
        <w:rPr>
          <w:rFonts w:ascii="Sakkal Majalla" w:hAnsi="Sakkal Majalla" w:cs="Sakkal Majalla"/>
          <w:b/>
          <w:bCs/>
          <w:sz w:val="32"/>
          <w:szCs w:val="32"/>
          <w:rtl/>
          <w:lang w:bidi="ar-EG"/>
        </w:rPr>
        <w:t>الفرع الأول: ماهية المسؤولية العقدية وشروط قيامها.</w:t>
      </w:r>
    </w:p>
    <w:p w14:paraId="7AB84251" w14:textId="7C80DD5B" w:rsidR="00E53827" w:rsidRPr="00711EBA" w:rsidRDefault="00E53827" w:rsidP="00711EBA">
      <w:pPr>
        <w:pStyle w:val="ListParagraph"/>
        <w:numPr>
          <w:ilvl w:val="0"/>
          <w:numId w:val="1"/>
        </w:numPr>
        <w:bidi/>
        <w:rPr>
          <w:rFonts w:ascii="Sakkal Majalla" w:hAnsi="Sakkal Majalla" w:cs="Sakkal Majalla"/>
          <w:b/>
          <w:bCs/>
          <w:sz w:val="32"/>
          <w:szCs w:val="32"/>
          <w:lang w:bidi="ar-EG"/>
        </w:rPr>
      </w:pPr>
      <w:r w:rsidRPr="00711EBA">
        <w:rPr>
          <w:rFonts w:ascii="Sakkal Majalla" w:hAnsi="Sakkal Majalla" w:cs="Sakkal Majalla"/>
          <w:b/>
          <w:bCs/>
          <w:sz w:val="32"/>
          <w:szCs w:val="32"/>
          <w:rtl/>
          <w:lang w:bidi="ar-EG"/>
        </w:rPr>
        <w:t>الفرع الثاني: تطبيق المسؤولية العقدية على عقود الذكاء الاصطناعي.</w:t>
      </w:r>
    </w:p>
    <w:p w14:paraId="09D513BE"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المسؤولية التقصيرية الناشئة عن أفعال الذكاء الاصطناعي</w:t>
      </w:r>
    </w:p>
    <w:p w14:paraId="48DBF396" w14:textId="77777777"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مفهوم المسؤولية التقصيرية وأساسها القانوني.</w:t>
      </w:r>
    </w:p>
    <w:p w14:paraId="1B3A89A3" w14:textId="2F08AE04"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تطبيق المسؤولية التقصيرية على أضرار الذكاء الاصطناعي.</w:t>
      </w:r>
    </w:p>
    <w:p w14:paraId="2FBEF6C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الثالث: المقارنة بين المسؤولية العقدية والمسؤولية التقصيرية في مجال الذكاء الاصطناعي</w:t>
      </w:r>
    </w:p>
    <w:p w14:paraId="01C99C1A" w14:textId="77777777" w:rsid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أوجه الاختلاف بين المسؤولية العقدية والمسؤولية التقصيرية.</w:t>
      </w:r>
    </w:p>
    <w:p w14:paraId="75346E49" w14:textId="64B4540A"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المعيار القانوني لتحديد المسؤولية الواجبة التطبيق</w:t>
      </w:r>
    </w:p>
    <w:p w14:paraId="7777DB54"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الثالث: الأساس القانوني للمسؤولية (الاتجاهات الحديثة)</w:t>
      </w:r>
    </w:p>
    <w:p w14:paraId="4C262C9C"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المسؤولية القائمة على الخطأ كأساس للمسؤولية المدنية عن أفعال الذكاء الاصطناعي</w:t>
      </w:r>
    </w:p>
    <w:p w14:paraId="784AEB9C" w14:textId="77777777" w:rsid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مفهوم الخطأ في مجال المسؤولية المدنية.</w:t>
      </w:r>
    </w:p>
    <w:p w14:paraId="2739F028" w14:textId="58776AD9"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صعوبة إثبات الخطأ في أنظمة الذكاء الاصطناعي.</w:t>
      </w:r>
    </w:p>
    <w:p w14:paraId="5CC597CF"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المسؤولية الموضوعية عن أفعال الذكاء الاصطناعي</w:t>
      </w:r>
    </w:p>
    <w:p w14:paraId="2B2DA3FD" w14:textId="77777777" w:rsid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ماهية المسؤولية الموضوعية وأساسها القانوني.</w:t>
      </w:r>
    </w:p>
    <w:p w14:paraId="5D43E87A" w14:textId="0D19A077"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مدى ملاءمة المسؤولية الموضوعية للذكاء الاصطناعي</w:t>
      </w:r>
    </w:p>
    <w:p w14:paraId="113A751A"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الثالث: الاتجاه الراجح في تحديد أساس المسؤولية المدنية عن أفعال الذكاء الاصطناعي.</w:t>
      </w:r>
    </w:p>
    <w:p w14:paraId="5EDB28A3" w14:textId="77777777" w:rsid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الاتجاهات الفقهية الحديثة في تحديد أساس المسؤولية.</w:t>
      </w:r>
    </w:p>
    <w:p w14:paraId="2B164D0C" w14:textId="4480669D"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الرأي الراجح ومدى ملاءمته للنظام السعودي</w:t>
      </w:r>
    </w:p>
    <w:p w14:paraId="1196814E"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الرابع: أركان المسؤولية في بيئة الذكاء الاصطناعي</w:t>
      </w:r>
    </w:p>
    <w:p w14:paraId="55EB4CCD"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lastRenderedPageBreak/>
        <w:t>المطلب الأول: الفعل الضار والضرر في بيئة الذكاء الاصطناعي.</w:t>
      </w:r>
    </w:p>
    <w:p w14:paraId="3EEE288B" w14:textId="77777777" w:rsidR="00E53827" w:rsidRPr="00E53827" w:rsidRDefault="00E53827" w:rsidP="00E53827">
      <w:pPr>
        <w:bidi/>
        <w:rPr>
          <w:rFonts w:ascii="Sakkal Majalla" w:hAnsi="Sakkal Majalla" w:cs="Sakkal Majalla"/>
          <w:b/>
          <w:bCs/>
          <w:sz w:val="32"/>
          <w:szCs w:val="32"/>
          <w:lang w:bidi="ar-EG"/>
        </w:rPr>
      </w:pPr>
    </w:p>
    <w:p w14:paraId="2C92EB71" w14:textId="77777777" w:rsid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الفعل الضار في الأنظمة الذكية.</w:t>
      </w:r>
    </w:p>
    <w:p w14:paraId="12FE838D" w14:textId="29C2231F" w:rsidR="00E53827" w:rsidRPr="00EE4221" w:rsidRDefault="00E53827" w:rsidP="00EE4221">
      <w:pPr>
        <w:pStyle w:val="ListParagraph"/>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الضرر وشروط التعويض عنه.</w:t>
      </w:r>
    </w:p>
    <w:p w14:paraId="49098699"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58317C69" w14:textId="77777777" w:rsidR="006B5E24" w:rsidRDefault="00E53827" w:rsidP="006B5E24">
      <w:pPr>
        <w:pStyle w:val="ListParagraph"/>
        <w:numPr>
          <w:ilvl w:val="0"/>
          <w:numId w:val="49"/>
        </w:numPr>
        <w:bidi/>
        <w:rPr>
          <w:rFonts w:ascii="Sakkal Majalla" w:hAnsi="Sakkal Majalla" w:cs="Sakkal Majalla"/>
          <w:b/>
          <w:bCs/>
          <w:sz w:val="32"/>
          <w:szCs w:val="32"/>
          <w:lang w:bidi="ar-EG"/>
        </w:rPr>
      </w:pPr>
      <w:r w:rsidRPr="006B5E24">
        <w:rPr>
          <w:rFonts w:ascii="Sakkal Majalla" w:hAnsi="Sakkal Majalla" w:cs="Sakkal Majalla"/>
          <w:b/>
          <w:bCs/>
          <w:sz w:val="32"/>
          <w:szCs w:val="32"/>
          <w:rtl/>
          <w:lang w:bidi="ar-EG"/>
        </w:rPr>
        <w:t>الفرع الأول: مفهوم العلاقة السببية وصعوبات إثباتها.</w:t>
      </w:r>
    </w:p>
    <w:p w14:paraId="2108C22B" w14:textId="45C2AB46" w:rsidR="00E53827" w:rsidRPr="006B5E24" w:rsidRDefault="00E53827" w:rsidP="006B5E24">
      <w:pPr>
        <w:pStyle w:val="ListParagraph"/>
        <w:numPr>
          <w:ilvl w:val="0"/>
          <w:numId w:val="49"/>
        </w:numPr>
        <w:bidi/>
        <w:rPr>
          <w:rFonts w:ascii="Sakkal Majalla" w:hAnsi="Sakkal Majalla" w:cs="Sakkal Majalla"/>
          <w:b/>
          <w:bCs/>
          <w:sz w:val="32"/>
          <w:szCs w:val="32"/>
          <w:lang w:bidi="ar-EG"/>
        </w:rPr>
      </w:pPr>
      <w:r w:rsidRPr="006B5E24">
        <w:rPr>
          <w:rFonts w:ascii="Sakkal Majalla" w:hAnsi="Sakkal Majalla" w:cs="Sakkal Majalla"/>
          <w:b/>
          <w:bCs/>
          <w:sz w:val="32"/>
          <w:szCs w:val="32"/>
          <w:rtl/>
          <w:lang w:bidi="ar-EG"/>
        </w:rPr>
        <w:t>الفرع الثاني: الحلول الفقهية والقانونية الحديثة.</w:t>
      </w:r>
    </w:p>
    <w:p w14:paraId="7394677A" w14:textId="77777777" w:rsidR="00E53827" w:rsidRPr="00E53827" w:rsidRDefault="00E53827" w:rsidP="00E53827">
      <w:pPr>
        <w:bidi/>
        <w:rPr>
          <w:rFonts w:ascii="Sakkal Majalla" w:hAnsi="Sakkal Majalla" w:cs="Sakkal Majalla"/>
          <w:b/>
          <w:bCs/>
          <w:sz w:val="32"/>
          <w:szCs w:val="32"/>
          <w:rtl/>
          <w:lang w:bidi="ar-EG"/>
        </w:rPr>
      </w:pPr>
    </w:p>
    <w:p w14:paraId="573368F6" w14:textId="77777777" w:rsidR="00BA5115" w:rsidRDefault="00BA5115">
      <w:pPr>
        <w:spacing w:line="278" w:lineRule="auto"/>
        <w:rPr>
          <w:rFonts w:ascii="Sakkal Majalla" w:hAnsi="Sakkal Majalla" w:cs="Sakkal Majalla"/>
          <w:b/>
          <w:bCs/>
          <w:sz w:val="32"/>
          <w:szCs w:val="32"/>
          <w:u w:val="single"/>
          <w:lang w:bidi="ar-EG"/>
        </w:rPr>
      </w:pPr>
      <w:r>
        <w:rPr>
          <w:rFonts w:ascii="Sakkal Majalla" w:hAnsi="Sakkal Majalla" w:cs="Sakkal Majalla"/>
          <w:b/>
          <w:bCs/>
          <w:sz w:val="32"/>
          <w:szCs w:val="32"/>
          <w:u w:val="single"/>
          <w:rtl/>
          <w:lang w:bidi="ar-EG"/>
        </w:rPr>
        <w:br w:type="page"/>
      </w:r>
    </w:p>
    <w:p w14:paraId="2E291194" w14:textId="51F8F748" w:rsidR="00FF4137" w:rsidRPr="00E924E8" w:rsidRDefault="00FF4137" w:rsidP="00FF4137">
      <w:pPr>
        <w:bidi/>
        <w:jc w:val="center"/>
        <w:rPr>
          <w:rFonts w:ascii="Sakkal Majalla" w:hAnsi="Sakkal Majalla" w:cs="Sakkal Majalla"/>
          <w:b/>
          <w:bCs/>
          <w:sz w:val="32"/>
          <w:szCs w:val="32"/>
          <w:u w:val="single"/>
          <w:rtl/>
          <w:lang w:bidi="ar-EG"/>
        </w:rPr>
      </w:pPr>
      <w:r w:rsidRPr="00A266C3">
        <w:rPr>
          <w:rFonts w:ascii="Sakkal Majalla" w:hAnsi="Sakkal Majalla" w:cs="Sakkal Majalla"/>
          <w:b/>
          <w:bCs/>
          <w:sz w:val="32"/>
          <w:szCs w:val="32"/>
          <w:u w:val="single"/>
          <w:rtl/>
          <w:lang w:bidi="ar-EG"/>
        </w:rPr>
        <w:lastRenderedPageBreak/>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21EC915A" w14:textId="3B90906E" w:rsidR="00FF4137" w:rsidRPr="00FF4137"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يعد الذكاء الاصطناعي من أبرز مظاهر التحول التقني في العصر الحديث، إذ تجاوز كونه مجرد أداة برمجية تقليدية ليصبح منظومة تقنية قادرة على معالجة البيانات، والتعلم من الأنماط، وإنتاج مخرجات أو قرارات تتسم بدرجات متفاوتة من الاستقلال والدقة وقد أسهم هذا التطور في توسيع نطاق استخدامه في مجالات متعددة، الأمر الذي جعله من الموضوعات التي تستدعي تأصيلًا مفاهيميًا وتقنيًا دقيقًا، لاسيما في الدراسات القانونية التي تتصل بالآثار المترتبة على توظيفه داخل البيئة الرقمية</w:t>
      </w:r>
      <w:r>
        <w:rPr>
          <w:rStyle w:val="FootnoteReference"/>
          <w:rFonts w:ascii="Sakkal Majalla" w:hAnsi="Sakkal Majalla" w:cs="Sakkal Majalla"/>
          <w:sz w:val="32"/>
          <w:szCs w:val="32"/>
          <w:rtl/>
        </w:rPr>
        <w:footnoteReference w:id="5"/>
      </w:r>
      <w:r w:rsidRPr="00FF4137">
        <w:rPr>
          <w:rFonts w:ascii="Sakkal Majalla" w:hAnsi="Sakkal Majalla" w:cs="Sakkal Majalla"/>
          <w:sz w:val="32"/>
          <w:szCs w:val="32"/>
          <w:rtl/>
        </w:rPr>
        <w:t>.</w:t>
      </w:r>
    </w:p>
    <w:p w14:paraId="576F81BB" w14:textId="13D5BD5A" w:rsidR="00847049"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ومن ثم تبرز أهمية هذا المبحث في بيان ماهية الذكاء الاصطناعي من خلال تحديد مفهومه، وبيان خصائصه التقنية التي تميزه عن غيره من النظم المعلوماتية التقليدية، ثم عرض أبرز تصنيفاته وتطبيقاته العملية ويعد هذا التأصيل لازمًا لفهم الدور الذي يؤديه الذكاء الاصطناعي في البيئة الرقمية، وتمهيدًا ضروريًا لتحليل الإشكالات القانونية التي قد تنشأ عن استخدامه، وبخاصة في مجال الجرائم الإلكترونية والمسؤولية المدنية المترتبة عليها</w:t>
      </w:r>
      <w:r>
        <w:rPr>
          <w:rStyle w:val="FootnoteReference"/>
          <w:rFonts w:ascii="Sakkal Majalla" w:hAnsi="Sakkal Majalla" w:cs="Sakkal Majalla"/>
          <w:sz w:val="32"/>
          <w:szCs w:val="32"/>
          <w:rtl/>
        </w:rPr>
        <w:footnoteReference w:id="6"/>
      </w:r>
      <w:r w:rsidRPr="00FF4137">
        <w:rPr>
          <w:rFonts w:ascii="Sakkal Majalla" w:hAnsi="Sakkal Majalla" w:cs="Sakkal Majalla"/>
          <w:sz w:val="32"/>
          <w:szCs w:val="32"/>
          <w:rtl/>
        </w:rPr>
        <w:t>.</w:t>
      </w:r>
    </w:p>
    <w:p w14:paraId="742B51EA" w14:textId="77777777" w:rsidR="00FF4137" w:rsidRPr="00637FF9" w:rsidRDefault="00FF4137" w:rsidP="00FF4137">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E21FB44" w14:textId="2663FDAA"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 xml:space="preserve">يعد تحديد ماهية الذكاء الاصطناعي خطوة تمهيدية لازمة لفهم الإشكاليات القانونية التي قد تثيرها تطبيقاته الحديثة، إذ لا يمكن بحث الآثار المترتبة على استخدامه أو تحليل المسؤولية الناشئة عنه من دون الوقوف على مفهومه الدقيق، وبيان خصائصه التقنية، وحدود عمله داخل </w:t>
      </w:r>
      <w:r w:rsidRPr="00FF4137">
        <w:rPr>
          <w:rFonts w:ascii="Sakkal Majalla" w:hAnsi="Sakkal Majalla" w:cs="Sakkal Majalla"/>
          <w:sz w:val="32"/>
          <w:szCs w:val="32"/>
          <w:rtl/>
          <w:lang w:bidi="ar-EG"/>
        </w:rPr>
        <w:lastRenderedPageBreak/>
        <w:t>البيئة الرقمية فالذكاء الاصطناعي لا يمثل تقنية واحدة جامدة، وإنما يشير إلى مجموعة من الأنظمة والخوارزميات القادرة على محاكاة بعض صور الذكاء البشري، كالتعلم والاستنتاج والتحليل واتخاذ القرار، وهو ما أدى إلى تعدد تعريفاته وتباين زوايا النظر إليه بين البعد التقني والبعد القانوني</w:t>
      </w:r>
      <w:r>
        <w:rPr>
          <w:rStyle w:val="FootnoteReference"/>
          <w:rFonts w:ascii="Sakkal Majalla" w:hAnsi="Sakkal Majalla" w:cs="Sakkal Majalla"/>
          <w:sz w:val="32"/>
          <w:szCs w:val="32"/>
          <w:rtl/>
          <w:lang w:bidi="ar-EG"/>
        </w:rPr>
        <w:footnoteReference w:id="7"/>
      </w:r>
      <w:r w:rsidRPr="00FF4137">
        <w:rPr>
          <w:rFonts w:ascii="Sakkal Majalla" w:hAnsi="Sakkal Majalla" w:cs="Sakkal Majalla"/>
          <w:sz w:val="32"/>
          <w:szCs w:val="32"/>
          <w:rtl/>
          <w:lang w:bidi="ar-EG"/>
        </w:rPr>
        <w:t>.</w:t>
      </w:r>
    </w:p>
    <w:p w14:paraId="4B900503" w14:textId="647D7983"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وتزداد أهمية هذا التحديد في الدراسات القانونية بالنظر إلى أن توصيف الذكاء الاصطناعي ينعكس مباشرة على فهم طبيعته، ومدى استقلاله عن التدخل البشري، وحدود إسناد الأفعال والنتائج المترتبة على تشغيله</w:t>
      </w:r>
      <w:r w:rsidR="00C71EE0">
        <w:rPr>
          <w:rFonts w:ascii="Sakkal Majalla" w:hAnsi="Sakkal Majalla" w:cs="Sakkal Majalla" w:hint="cs"/>
          <w:sz w:val="32"/>
          <w:szCs w:val="32"/>
          <w:rtl/>
          <w:lang w:bidi="ar-EG"/>
        </w:rPr>
        <w:t xml:space="preserve"> </w:t>
      </w:r>
      <w:r w:rsidRPr="00FF4137">
        <w:rPr>
          <w:rFonts w:ascii="Sakkal Majalla" w:hAnsi="Sakkal Majalla" w:cs="Sakkal Majalla"/>
          <w:sz w:val="32"/>
          <w:szCs w:val="32"/>
          <w:rtl/>
          <w:lang w:bidi="ar-EG"/>
        </w:rPr>
        <w:t>كما أن تنوع أنواعه واتساع مجالات تطبيقه في الواقع العملي يجعلان من الضروري بيان تصنيفاته المختلفة، والكشف عن أبرز استخداماته المعاصرة، تمهيدًا لفهم الإطار الذي قد تنشأ في نطاقه الإشكالات القانونية محل الدراسة</w:t>
      </w:r>
      <w:r>
        <w:rPr>
          <w:rStyle w:val="FootnoteReference"/>
          <w:rFonts w:ascii="Sakkal Majalla" w:hAnsi="Sakkal Majalla" w:cs="Sakkal Majalla"/>
          <w:sz w:val="32"/>
          <w:szCs w:val="32"/>
          <w:rtl/>
          <w:lang w:bidi="ar-EG"/>
        </w:rPr>
        <w:footnoteReference w:id="8"/>
      </w:r>
      <w:r w:rsidRPr="00FF4137">
        <w:rPr>
          <w:rFonts w:ascii="Sakkal Majalla" w:hAnsi="Sakkal Majalla" w:cs="Sakkal Majalla"/>
          <w:sz w:val="32"/>
          <w:szCs w:val="32"/>
          <w:rtl/>
          <w:lang w:bidi="ar-EG"/>
        </w:rPr>
        <w:t>.</w:t>
      </w:r>
    </w:p>
    <w:p w14:paraId="2AA28D79" w14:textId="6F1D2A70" w:rsidR="00FF4137" w:rsidRDefault="00FF4137" w:rsidP="00FF4137">
      <w:pPr>
        <w:bidi/>
        <w:spacing w:line="360" w:lineRule="auto"/>
        <w:jc w:val="mediumKashida"/>
        <w:rPr>
          <w:rFonts w:ascii="Sakkal Majalla" w:hAnsi="Sakkal Majalla" w:cs="Sakkal Majalla"/>
          <w:sz w:val="32"/>
          <w:szCs w:val="32"/>
          <w:rtl/>
          <w:lang w:bidi="ar-EG"/>
        </w:rPr>
      </w:pPr>
      <w:r w:rsidRPr="00FF4137">
        <w:rPr>
          <w:rFonts w:ascii="Sakkal Majalla" w:hAnsi="Sakkal Majalla" w:cs="Sakkal Majalla"/>
          <w:sz w:val="32"/>
          <w:szCs w:val="32"/>
          <w:rtl/>
          <w:lang w:bidi="ar-EG"/>
        </w:rPr>
        <w:t>وانطلاقًا من ذلك، يتناول هذا المبحث مفهوم الذكاء الاصطناعي وخصائصه التقنية في المطلب الأول، ثم يعرض تصنيف الذكاء الاصطناعي وأبرز تطبيقاته في المطلب الثاني، وذلك تأسيسًا لفهم أكثر دقة لطبيعة هذه التقنية وأثرها في البيئة الرقمية.</w:t>
      </w:r>
    </w:p>
    <w:p w14:paraId="561FD346" w14:textId="45A9CA66" w:rsidR="00632091" w:rsidRPr="00C71EE0" w:rsidRDefault="00632091" w:rsidP="00C71EE0">
      <w:p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المطلب الأول: مفهوم الذكاء الاصطناعي</w:t>
      </w:r>
      <w:r w:rsidR="00C71EE0">
        <w:rPr>
          <w:rFonts w:ascii="Sakkal Majalla" w:hAnsi="Sakkal Majalla" w:cs="Sakkal Majalla" w:hint="cs"/>
          <w:b/>
          <w:bCs/>
          <w:sz w:val="32"/>
          <w:szCs w:val="32"/>
          <w:rtl/>
          <w:lang w:bidi="ar-EG"/>
        </w:rPr>
        <w:t xml:space="preserve"> :</w:t>
      </w:r>
    </w:p>
    <w:p w14:paraId="774A6BB0" w14:textId="3049E86E"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يمثل تحديد مفهوم الذكاء الاصطناعي مدخلًا أساسياً لفهم الإشكاليات القانونية التي يثيرها، إذ لا يمكن بحث آثاره النظامية أو تحليل المسؤولية المدنية الناشئة عن استخدامه من دون الوقوف </w:t>
      </w:r>
      <w:r w:rsidRPr="00632091">
        <w:rPr>
          <w:rFonts w:ascii="Sakkal Majalla" w:hAnsi="Sakkal Majalla" w:cs="Sakkal Majalla"/>
          <w:sz w:val="32"/>
          <w:szCs w:val="32"/>
          <w:rtl/>
          <w:lang w:bidi="ar-EG"/>
        </w:rPr>
        <w:lastRenderedPageBreak/>
        <w:t>على طبيعته وحدوده وخصائصه الجوهرية فالذكاء الاصطناعي لم يعد مجرد مصطلح تقني يستخدم في نطاق ضيق، بل أصبح مفهومًا متعدد الأبعاد تتداخل فيه الاعتبارات التقنية والفقهية والقانونية، وهو ما يفسر تعدد تعريفاته واختلاف زاوية النظر إليه بحسب الحقل المعرفي الذي يتناوله كما أن التطور المتسارع في تقنياته واتساع نطاق تطبيقاته العملية قد أسهما في تعقيد مسألة وضع تعريف جامع مانع له، نظرًا لتنوع الأنظمة التي تندرج تحته، واختلاف درجات استقلالها، وقدرتها على التعلم والتفاعل مع البيانات والبيئة المحيطة. ومن ثم، فإن الدراسة القانونية لا تكتفي بإيراد تعريف اصطلاحي عام، وإنما تستهدف الوصول إلى تصور أكثر دقة يبرز العناصر التي ترتبط بالتكييف القانوني وتؤثر في مسألة إسناد المسؤولية عند وقوع الضرر</w:t>
      </w:r>
      <w:r w:rsidR="00C71EE0">
        <w:rPr>
          <w:rStyle w:val="FootnoteReference"/>
          <w:rFonts w:ascii="Sakkal Majalla" w:hAnsi="Sakkal Majalla" w:cs="Sakkal Majalla"/>
          <w:sz w:val="32"/>
          <w:szCs w:val="32"/>
          <w:rtl/>
          <w:lang w:bidi="ar-EG"/>
        </w:rPr>
        <w:footnoteReference w:id="9"/>
      </w:r>
      <w:r w:rsidRPr="00632091">
        <w:rPr>
          <w:rFonts w:ascii="Sakkal Majalla" w:hAnsi="Sakkal Majalla" w:cs="Sakkal Majalla"/>
          <w:sz w:val="32"/>
          <w:szCs w:val="32"/>
          <w:rtl/>
          <w:lang w:bidi="ar-EG"/>
        </w:rPr>
        <w:t>.</w:t>
      </w:r>
    </w:p>
    <w:p w14:paraId="3F5801E6" w14:textId="4CC1CA75"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وانطلاقًا من ذلك، يتناول هذا المطلب في الفرع الأول تعريف الذكاء الاصطناعي من خلال عرض أبرز التعريفات العامة والتقنية والفقهية والقانونية، ثم يعرض في الفرع الثاني أهم الخصائص التقنية التي تميزه عن البرمجيات التقليدية، وبخاصة التعلم الذاتي، والقدرة على تحليل البيانات، والاستقلال النسبي في اتخاذ القرار</w:t>
      </w:r>
      <w:r w:rsidR="00C71EE0">
        <w:rPr>
          <w:rStyle w:val="FootnoteReference"/>
          <w:rFonts w:ascii="Sakkal Majalla" w:hAnsi="Sakkal Majalla" w:cs="Sakkal Majalla"/>
          <w:sz w:val="32"/>
          <w:szCs w:val="32"/>
          <w:rtl/>
          <w:lang w:bidi="ar-EG"/>
        </w:rPr>
        <w:footnoteReference w:id="10"/>
      </w:r>
      <w:r w:rsidRPr="00632091">
        <w:rPr>
          <w:rFonts w:ascii="Sakkal Majalla" w:hAnsi="Sakkal Majalla" w:cs="Sakkal Majalla"/>
          <w:sz w:val="32"/>
          <w:szCs w:val="32"/>
          <w:rtl/>
          <w:lang w:bidi="ar-EG"/>
        </w:rPr>
        <w:t>.</w:t>
      </w:r>
    </w:p>
    <w:p w14:paraId="73C3BA66" w14:textId="227DA87D" w:rsidR="00632091" w:rsidRPr="00C71EE0" w:rsidRDefault="00632091" w:rsidP="00C71EE0">
      <w:pPr>
        <w:pStyle w:val="ListParagraph"/>
        <w:numPr>
          <w:ilvl w:val="0"/>
          <w:numId w:val="3"/>
        </w:num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الفرع الأول: تعريف الذكاء الاصطناعي</w:t>
      </w:r>
      <w:r w:rsidR="00C71EE0">
        <w:rPr>
          <w:rFonts w:ascii="Sakkal Majalla" w:hAnsi="Sakkal Majalla" w:cs="Sakkal Majalla" w:hint="cs"/>
          <w:b/>
          <w:bCs/>
          <w:sz w:val="32"/>
          <w:szCs w:val="32"/>
          <w:rtl/>
          <w:lang w:bidi="ar-EG"/>
        </w:rPr>
        <w:t xml:space="preserve"> : </w:t>
      </w:r>
    </w:p>
    <w:p w14:paraId="4E38B281" w14:textId="613A2E8A"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يعد الذكاء الاصطناعي من المفاهيم التي يصعب حصرها في تعريف واحد ثابت، ويرجع ذلك إلى التطور المستمر في تقنياته، وإلى اختلاف المقاربات التي تناولته فالتعريفات العامة تنظر إليه </w:t>
      </w:r>
      <w:r w:rsidRPr="00632091">
        <w:rPr>
          <w:rFonts w:ascii="Sakkal Majalla" w:hAnsi="Sakkal Majalla" w:cs="Sakkal Majalla"/>
          <w:sz w:val="32"/>
          <w:szCs w:val="32"/>
          <w:rtl/>
          <w:lang w:bidi="ar-EG"/>
        </w:rPr>
        <w:lastRenderedPageBreak/>
        <w:t>بوصفه قدرة تقنية على محاكاة بعض صور الذكاء البشري، في حين تركز التعريفات التقنية على الآليات التي يعمل بها، بينما تتجه التعريفات الفقهية والقانونية إلى بيان أثره في إنتاج نتائج أو قرارات قد تترتب عليها آثار قانونية</w:t>
      </w:r>
      <w:r w:rsidR="00C71EE0">
        <w:rPr>
          <w:rStyle w:val="FootnoteReference"/>
          <w:rFonts w:ascii="Sakkal Majalla" w:hAnsi="Sakkal Majalla" w:cs="Sakkal Majalla"/>
          <w:sz w:val="32"/>
          <w:szCs w:val="32"/>
          <w:rtl/>
          <w:lang w:bidi="ar-EG"/>
        </w:rPr>
        <w:footnoteReference w:id="11"/>
      </w:r>
      <w:r w:rsidRPr="00632091">
        <w:rPr>
          <w:rFonts w:ascii="Sakkal Majalla" w:hAnsi="Sakkal Majalla" w:cs="Sakkal Majalla"/>
          <w:sz w:val="32"/>
          <w:szCs w:val="32"/>
          <w:rtl/>
          <w:lang w:bidi="ar-EG"/>
        </w:rPr>
        <w:t>.</w:t>
      </w:r>
    </w:p>
    <w:p w14:paraId="51BC9600" w14:textId="6A75A2C5"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ومن الناحية العامة يتكون مصطلح الذكاء الاصطناعي من شقين: الذكاء، ويقصد به القدرة على الفهم والتحليل والاستنتاج وحل المشكلات؛ والاصطناعي، ويقصد به أن هذه القدرة لا تصدر عن العقل البشري الطبيعي، وإنما عن أنظمة وتقنيات من صنع الإنسان غير أن هذا المعنى العام، على أهميته، لا يكفي وحده في الدراسات القانونية، لأنه لا يحدد بدقة متى نكون أمام نظام ذكاء اصطناعي بالمعنى الفني الذي يستدعي تنظيمًا خاصًا أو يثير إشكاليات في المسؤولية</w:t>
      </w:r>
      <w:r w:rsidR="00C71EE0">
        <w:rPr>
          <w:rStyle w:val="FootnoteReference"/>
          <w:rFonts w:ascii="Sakkal Majalla" w:hAnsi="Sakkal Majalla" w:cs="Sakkal Majalla"/>
          <w:sz w:val="32"/>
          <w:szCs w:val="32"/>
          <w:rtl/>
          <w:lang w:bidi="ar-EG"/>
        </w:rPr>
        <w:footnoteReference w:id="12"/>
      </w:r>
      <w:r w:rsidRPr="00632091">
        <w:rPr>
          <w:rFonts w:ascii="Sakkal Majalla" w:hAnsi="Sakkal Majalla" w:cs="Sakkal Majalla"/>
          <w:sz w:val="32"/>
          <w:szCs w:val="32"/>
          <w:rtl/>
          <w:lang w:bidi="ar-EG"/>
        </w:rPr>
        <w:t>.</w:t>
      </w:r>
    </w:p>
    <w:p w14:paraId="5B368825" w14:textId="77777777" w:rsid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أما من الناحية التقنية فيعرف الذكاء الاصطناعي بأنه مجموعة من الأنظمة والخوارزميات التي تمكن الآلة من محاكاة بعض الوظائف الذهنية البشرية، مثل التعلم، والاستنتاج، وتحليل الأنماط، والتنبؤ، واتخاذ القرار. وتركز هذه التعريفات على كون الذكاء الاصطناعي نظامًا قائمًا على معالجة البيانات، بحيث يستقبل مدخلات معينة، ثم يحللها وفق نماذج خوارزمية، ليولد مخرجات قد تكون في صورة توصيات أو تنبؤات أو محتوى أو قرارات وتكمن أهمية هذا الاتجاه في أنه يميز بين الذكاء الاصطناعي والبرمجيات التقليدية التي تقتصر على تنفيذ أوامر محددة مسبقًا دون قدرة على الاستدلال أو التكيف</w:t>
      </w:r>
      <w:r w:rsidR="00C71EE0">
        <w:rPr>
          <w:rStyle w:val="FootnoteReference"/>
          <w:rFonts w:ascii="Sakkal Majalla" w:hAnsi="Sakkal Majalla" w:cs="Sakkal Majalla"/>
          <w:sz w:val="32"/>
          <w:szCs w:val="32"/>
          <w:rtl/>
          <w:lang w:bidi="ar-EG"/>
        </w:rPr>
        <w:footnoteReference w:id="13"/>
      </w:r>
      <w:r w:rsidRPr="00632091">
        <w:rPr>
          <w:rFonts w:ascii="Sakkal Majalla" w:hAnsi="Sakkal Majalla" w:cs="Sakkal Majalla"/>
          <w:sz w:val="32"/>
          <w:szCs w:val="32"/>
          <w:rtl/>
          <w:lang w:bidi="ar-EG"/>
        </w:rPr>
        <w:t>.</w:t>
      </w:r>
    </w:p>
    <w:p w14:paraId="50997966" w14:textId="72ECC3DB"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lastRenderedPageBreak/>
        <w:t>وفي هذا السياق عرفت منظمة التعاون الاقتصادي والتنمية نظام الذكاء الاصطناعي بأنه نظام قائم على آلة، يستدل لأهداف صريحة أو ضمنية، من المدخلات التي يتلقاها، على كيفية توليد مخرجات مثل التنبؤات أو المحتوى أو التوصيات أو القرارات التي يمكن أن تؤثر في بيئات مادية أو افتراضية. كما اتجهت التنظيمات الحديثة إلى اعتماد تعريف وظيفي للذكاء الاصطناعي، ومن أبرزها لائحة الاتحاد الأوروبي للذكاء الاصطناعي، التي عرّفت في المادة (3/1) نظام الذكاء الاصطناعي بأنه نظام قائم على آلة صمم ليعمل بدرجات متفاوتة من الاستقلالية، وقد يظهر قابليةً للتكيف بعد التشغيل، ويستدل من المدخلات التي يتلقاها على كيفية توليد مخرجات، مثل التنبؤات أو المحتوى أو التوصيات أو القرارات، بما يمكن أن يؤثر في البيئات المادية أو الافتراضية. وتكشف هذه الصياغة عن عناصر قانونية مهمة في التكييف، تتمثل في الاستقلال النسبي، والاستدلال، وإنتاج مخرجات ذات أثر، وهي عناصر وثيقة الصلة بمسألة إسناد المسؤولية عند وقوع الضرر</w:t>
      </w:r>
      <w:r w:rsidR="00A679CC">
        <w:rPr>
          <w:rStyle w:val="FootnoteReference"/>
          <w:rFonts w:ascii="Sakkal Majalla" w:hAnsi="Sakkal Majalla" w:cs="Sakkal Majalla"/>
          <w:sz w:val="32"/>
          <w:szCs w:val="32"/>
          <w:rtl/>
          <w:lang w:bidi="ar-EG"/>
        </w:rPr>
        <w:footnoteReference w:id="14"/>
      </w:r>
      <w:r w:rsidRPr="00632091">
        <w:rPr>
          <w:rFonts w:ascii="Sakkal Majalla" w:hAnsi="Sakkal Majalla" w:cs="Sakkal Majalla"/>
          <w:sz w:val="32"/>
          <w:szCs w:val="32"/>
          <w:rtl/>
          <w:lang w:bidi="ar-EG"/>
        </w:rPr>
        <w:t>.</w:t>
      </w:r>
    </w:p>
    <w:p w14:paraId="7F6AFC4F" w14:textId="4EBA545E"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الفقهية والقانونية فإن الذكاء الاصطناعي لا يُنظر إليه فقط بوصفه أداة تقنية، وإنما بوصفه نظامًا قد يثير مشكلات قانونية تتعلق بإسناد الفعل، وتحديد المسؤول عن نتائجه، وبيان مدى خضوعه للقواعد التقليدية للمسؤولية ولذلك تتجه التعريفات الفقهية إلى التركيز على قدرته على اتخاذ قرارات أو إصدار مخرجات تؤثر في المراكز القانونية للأفراد أو في مصالحهم، ولو تم ذلك دون تدخل بشري مباشر في كل مرحلة من مراحل التشغيل. وتظهر أهمية هذا التصور في الدراسات القانونية، لأنه يربط المفهوم بالعناصر التي ينتج عنها النزاع القانوني، مثل الاستقلال النسبي، والتعلم، وعدم الشفافية في بعض الأنظمة، واتصال المخرجات بوقوع ضرر أو اعتداء. </w:t>
      </w:r>
      <w:r w:rsidRPr="00632091">
        <w:rPr>
          <w:rFonts w:ascii="Sakkal Majalla" w:hAnsi="Sakkal Majalla" w:cs="Sakkal Majalla"/>
          <w:sz w:val="32"/>
          <w:szCs w:val="32"/>
          <w:rtl/>
          <w:lang w:bidi="ar-EG"/>
        </w:rPr>
        <w:lastRenderedPageBreak/>
        <w:t>كما أن الاتجاهات الدولية الحديثة في حوكمة الذكاء الاصطناعي باتت تؤكد أهمية عناصر الشفافية، والقدرة على التفسير، والإشراف البشري، بما يعزز الصلة بين المفهوم التقني للذكاء الاصطناعي وآثاره القانونية العملية</w:t>
      </w:r>
      <w:r w:rsidR="00C71EE0">
        <w:rPr>
          <w:rStyle w:val="FootnoteReference"/>
          <w:rFonts w:ascii="Sakkal Majalla" w:hAnsi="Sakkal Majalla" w:cs="Sakkal Majalla"/>
          <w:sz w:val="32"/>
          <w:szCs w:val="32"/>
          <w:rtl/>
          <w:lang w:bidi="ar-EG"/>
        </w:rPr>
        <w:footnoteReference w:id="15"/>
      </w:r>
      <w:r w:rsidRPr="00632091">
        <w:rPr>
          <w:rFonts w:ascii="Sakkal Majalla" w:hAnsi="Sakkal Majalla" w:cs="Sakkal Majalla"/>
          <w:sz w:val="32"/>
          <w:szCs w:val="32"/>
          <w:rtl/>
          <w:lang w:bidi="ar-EG"/>
        </w:rPr>
        <w:t>.</w:t>
      </w:r>
    </w:p>
    <w:p w14:paraId="33355235" w14:textId="3AA6F068" w:rsidR="00632091" w:rsidRDefault="00632091" w:rsidP="00632091">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وفي ضوء ما تقدم، يمكن تعريف الذكاء الاصطناعي في إطار هذه الدراسة بأنه منظومة تقنية قائمة على الخوارزميات ومعالجة البيانات، تستدل من المدخلات التي تتلقاها على كيفية توليد مخرجات، كالتنبؤات أو التوصيات أو القرارات أو المحتوى، بما قد يؤثر في البيئة المادية أو الرقمية، وتعمل بدرجات متفاوتة من الاستقلالية، وقد تتمتع بقابلية للتكيف أو التعلم بعد التشغيل. وتنبع القيمة القانونية لهذا التعريف من أنه لا يقف عند الوصف التقني المجرد، بل يبرز العناصر الأكثر اتصالًا بالتكييف القانوني وبحث المسؤولية المدنية، ولا سيما عنصر الاستقلال النسبي، وإمكان التكيف، واتصال المخرجات بوقوع الضرر. وعلى هذا الأساس، فإن ضبط مفهوم الذكاء الاصطناعي لا يعد مسألة نظرية محضة، بل يمثل خطوة لازمة لتحديد نطاق التنظيم القانوني، وبيان الأساس الذي يمكن من خلاله إسناد المسؤولية عن الأضرار التي تنشأ عن استخدام هذه الأنظمة</w:t>
      </w:r>
      <w:r w:rsidR="00C71EE0">
        <w:rPr>
          <w:rStyle w:val="FootnoteReference"/>
          <w:rFonts w:ascii="Sakkal Majalla" w:hAnsi="Sakkal Majalla" w:cs="Sakkal Majalla"/>
          <w:sz w:val="32"/>
          <w:szCs w:val="32"/>
          <w:rtl/>
          <w:lang w:bidi="ar-EG"/>
        </w:rPr>
        <w:footnoteReference w:id="16"/>
      </w:r>
    </w:p>
    <w:p w14:paraId="35C8F37B" w14:textId="440E6EB3" w:rsidR="00632091" w:rsidRPr="00A679CC" w:rsidRDefault="00632091" w:rsidP="00A679CC">
      <w:pPr>
        <w:pStyle w:val="ListParagraph"/>
        <w:numPr>
          <w:ilvl w:val="0"/>
          <w:numId w:val="3"/>
        </w:numPr>
        <w:bidi/>
        <w:spacing w:line="360" w:lineRule="auto"/>
        <w:jc w:val="mediumKashida"/>
        <w:rPr>
          <w:rFonts w:ascii="Sakkal Majalla" w:hAnsi="Sakkal Majalla" w:cs="Sakkal Majalla"/>
          <w:b/>
          <w:bCs/>
          <w:sz w:val="32"/>
          <w:szCs w:val="32"/>
          <w:rtl/>
          <w:lang w:bidi="ar-EG"/>
        </w:rPr>
      </w:pPr>
      <w:r w:rsidRPr="00A679CC">
        <w:rPr>
          <w:rFonts w:ascii="Sakkal Majalla" w:hAnsi="Sakkal Majalla" w:cs="Sakkal Majalla"/>
          <w:b/>
          <w:bCs/>
          <w:sz w:val="32"/>
          <w:szCs w:val="32"/>
          <w:rtl/>
          <w:lang w:bidi="ar-EG"/>
        </w:rPr>
        <w:t>الفرع الثاني: الخصائص التقنية للذكاء الاصطناعي</w:t>
      </w:r>
      <w:r w:rsidR="00A679CC">
        <w:rPr>
          <w:rFonts w:ascii="Sakkal Majalla" w:hAnsi="Sakkal Majalla" w:cs="Sakkal Majalla"/>
          <w:b/>
          <w:bCs/>
          <w:sz w:val="32"/>
          <w:szCs w:val="32"/>
          <w:lang w:bidi="ar-EG"/>
        </w:rPr>
        <w:t xml:space="preserve"> :</w:t>
      </w:r>
    </w:p>
    <w:p w14:paraId="6F61C418" w14:textId="33997C9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يتميز الذكاء الاصطناعي بعدد من الخصائص التقنية التي تجعله مختلفًا عن البرمجيات التقليدية، وتكمن أهمية هذه الخصائص في أنها لا تحدد فقط طبيعته الفنية، بل تؤثر كذلك في </w:t>
      </w:r>
      <w:r w:rsidRPr="00632091">
        <w:rPr>
          <w:rFonts w:ascii="Sakkal Majalla" w:hAnsi="Sakkal Majalla" w:cs="Sakkal Majalla"/>
          <w:sz w:val="32"/>
          <w:szCs w:val="32"/>
          <w:rtl/>
          <w:lang w:bidi="ar-EG"/>
        </w:rPr>
        <w:lastRenderedPageBreak/>
        <w:t>التكييف القانوني للأفعال الصادرة عنه، وفي تحليل عناصر المسؤولية المدنية عند وقوع الضرر</w:t>
      </w:r>
      <w:r w:rsidR="00E96748">
        <w:rPr>
          <w:rFonts w:ascii="Sakkal Majalla" w:hAnsi="Sakkal Majalla" w:cs="Sakkal Majalla"/>
          <w:sz w:val="32"/>
          <w:szCs w:val="32"/>
          <w:lang w:bidi="ar-EG"/>
        </w:rPr>
        <w:t xml:space="preserve"> </w:t>
      </w:r>
      <w:r w:rsidRPr="00632091">
        <w:rPr>
          <w:rFonts w:ascii="Sakkal Majalla" w:hAnsi="Sakkal Majalla" w:cs="Sakkal Majalla"/>
          <w:sz w:val="32"/>
          <w:szCs w:val="32"/>
          <w:rtl/>
          <w:lang w:bidi="ar-EG"/>
        </w:rPr>
        <w:t>فالأنظمة الذكية لا تقتصر على تنفيذ أوامر ثابتة ومحددة سلفًا، وإنما قد تعمل بدرجات متفاوتة من الاستقلالية، وقد تظهر قابلية للتكيف بعد التشغيل، وتولد مخرجات مثل التنبؤات أو التوصيات أو القرارات التي يمكن أن تؤثر في البيئات المادية أو الرقمية. ومن ثم، فإن دراسة هذه الخصائص تمثل أساسًا ضروريًا لفهم الصعوبات التي يثيرها الذكاء الاصطناعي في مجال إسناد المسؤولية وتحديد مصدر الخطأ والضرر ومن أبرز هذه الخصائص: التعلم الذاتي، والقدرة على تحليل البيانات، والاستقلال النسبي في اتخاذ القرار</w:t>
      </w:r>
      <w:r w:rsidR="00E96748">
        <w:rPr>
          <w:rStyle w:val="FootnoteReference"/>
          <w:rFonts w:ascii="Sakkal Majalla" w:hAnsi="Sakkal Majalla" w:cs="Sakkal Majalla"/>
          <w:sz w:val="32"/>
          <w:szCs w:val="32"/>
          <w:rtl/>
          <w:lang w:bidi="ar-EG"/>
        </w:rPr>
        <w:footnoteReference w:id="17"/>
      </w:r>
      <w:r w:rsidRPr="00632091">
        <w:rPr>
          <w:rFonts w:ascii="Sakkal Majalla" w:hAnsi="Sakkal Majalla" w:cs="Sakkal Majalla"/>
          <w:sz w:val="32"/>
          <w:szCs w:val="32"/>
          <w:rtl/>
          <w:lang w:bidi="ar-EG"/>
        </w:rPr>
        <w:t>.</w:t>
      </w:r>
    </w:p>
    <w:p w14:paraId="14ACB8C5" w14:textId="14FB4193"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أولًا: التعلم الذاتي</w:t>
      </w:r>
      <w:r w:rsidR="00E96748">
        <w:rPr>
          <w:rFonts w:ascii="Sakkal Majalla" w:hAnsi="Sakkal Majalla" w:cs="Sakkal Majalla"/>
          <w:b/>
          <w:bCs/>
          <w:sz w:val="32"/>
          <w:szCs w:val="32"/>
          <w:lang w:bidi="ar-EG"/>
        </w:rPr>
        <w:t xml:space="preserve"> :</w:t>
      </w:r>
    </w:p>
    <w:p w14:paraId="19862973" w14:textId="4B229770"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تعد خاصية التعلم الذاتي من أبرز السمات التي تميز أنظمة الذكاء الاصطناعي عن غيرها من الأنظمة التقليدية؛ فالبرامج العادية تعمل وفق تعليمات محددة وثابتة يضعها المبرمج مسبقًا، في حين أن كثيرًا من أنظمة الذكاء الاصطناعي، ولا سيما القائمة على التعلم الآلي والتعلم العميق، تستطيع استخلاص الأنماط من البيانات، وتعديل أدائها تدريجيًا بناءً على النتائج والخبرات المتراكمة. وبهذا المعنى، فإن النظام لا يظل مقيدًا بمنطق برمجي جامد، بل يطور من استجاباته تبعًا للبيانات التي يتعامل معها، وقد تستمر بعض الأنظمة في التكيف بعد مرحلة التطوير الأولي. وتكمن أهمية هذه الخاصية في أنها تجعل المخرجات غير ثابتة بصورة مطلقة، بحيث قد يختلف أداء النظام بمرور الوقت رغم ثبات الغاية العامة التي صمم من أجلها</w:t>
      </w:r>
      <w:r w:rsidR="00E96748">
        <w:rPr>
          <w:rStyle w:val="FootnoteReference"/>
          <w:rFonts w:ascii="Sakkal Majalla" w:hAnsi="Sakkal Majalla" w:cs="Sakkal Majalla"/>
          <w:sz w:val="32"/>
          <w:szCs w:val="32"/>
          <w:rtl/>
          <w:lang w:bidi="ar-EG"/>
        </w:rPr>
        <w:footnoteReference w:id="18"/>
      </w:r>
      <w:r w:rsidRPr="00632091">
        <w:rPr>
          <w:rFonts w:ascii="Sakkal Majalla" w:hAnsi="Sakkal Majalla" w:cs="Sakkal Majalla"/>
          <w:sz w:val="32"/>
          <w:szCs w:val="32"/>
          <w:rtl/>
          <w:lang w:bidi="ar-EG"/>
        </w:rPr>
        <w:t>.</w:t>
      </w:r>
    </w:p>
    <w:p w14:paraId="190F9ECA" w14:textId="66089A15"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lastRenderedPageBreak/>
        <w:t>وتثير هذه الخاصية أهمية قانونية خاصة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لأن سلوك النظام بعد فترة من التشغيل قد يختلف عن سلوكه عند تصميمه الأول، وهو ما يعقد مسألة نسبة الخطأ وتحديد ما إذا كان الضرر راجعًا إلى عيب في التصميم، أم إلى قصور في الرقابة، أم إلى ضعف في البيانات المستخدمة، أم إلى أثر التعلم اللاحق للنظام نفسه</w:t>
      </w:r>
      <w:r w:rsidR="0054009E">
        <w:rPr>
          <w:rStyle w:val="FootnoteReference"/>
          <w:rFonts w:ascii="Sakkal Majalla" w:hAnsi="Sakkal Majalla" w:cs="Sakkal Majalla"/>
          <w:sz w:val="32"/>
          <w:szCs w:val="32"/>
          <w:rtl/>
          <w:lang w:bidi="ar-EG"/>
        </w:rPr>
        <w:footnoteReference w:id="19"/>
      </w:r>
      <w:r w:rsidR="00E96748">
        <w:rPr>
          <w:rFonts w:ascii="Sakkal Majalla" w:hAnsi="Sakkal Majalla" w:cs="Sakkal Majalla" w:hint="cs"/>
          <w:sz w:val="32"/>
          <w:szCs w:val="32"/>
          <w:rtl/>
          <w:lang w:bidi="ar-EG"/>
        </w:rPr>
        <w:t>.</w:t>
      </w:r>
    </w:p>
    <w:p w14:paraId="16085C66" w14:textId="0B925673"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 كما أن قابلية التكيف المستمر قد تؤدي إلى درجة من عدم القابلية الكاملة للتنبؤ بالمخرجات، الأمر الذي يزيد من صعوبة إثبات العلاقة بين الفعل الضار والسبب الفني المباشر له، ويجعل مسألة إسناد المسؤولية المدنية أكثر تعقيدًا من حال البرمجيات التقليدية وقد أشارت الوثائق الأوروبية إلى أن التكيف المستمر وعدم الشفافية قد يجعلان النتائج أقل قابلية للتوقع وأكثر صعوبة في الفهم والإثبات من منظور قانوني.</w:t>
      </w:r>
    </w:p>
    <w:p w14:paraId="380A9CC3" w14:textId="43B9A6CB"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ثانيًا: القدرة على تحليل البيانات</w:t>
      </w:r>
      <w:r w:rsidR="00E96748">
        <w:rPr>
          <w:rFonts w:ascii="Sakkal Majalla" w:hAnsi="Sakkal Majalla" w:cs="Sakkal Majalla" w:hint="cs"/>
          <w:b/>
          <w:bCs/>
          <w:sz w:val="32"/>
          <w:szCs w:val="32"/>
          <w:rtl/>
          <w:lang w:bidi="ar-EG"/>
        </w:rPr>
        <w:t xml:space="preserve"> :</w:t>
      </w:r>
    </w:p>
    <w:p w14:paraId="6E12739E" w14:textId="2E926321"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من الخصائص الجوهرية للذكاء الاصطناعي قدرته العالية على معالجة كميات ضخمة من البيانات وتحليلها في زمن قصير، بما يمكنه من اكتشاف الأنماط، وإجراء التنبؤات، وإنتاج نتائج قد يصعب على الإنسان الوصول إليها بالسرعة أو الدقة نفسيهما وتعتمد هذه القدرة على استخدام نماذج خوارزمية متقدمة تستوعب البيانات المتنوعة</w:t>
      </w:r>
      <w:r w:rsidR="0054009E">
        <w:rPr>
          <w:rStyle w:val="FootnoteReference"/>
          <w:rFonts w:ascii="Sakkal Majalla" w:hAnsi="Sakkal Majalla" w:cs="Sakkal Majalla"/>
          <w:sz w:val="32"/>
          <w:szCs w:val="32"/>
          <w:rtl/>
          <w:lang w:bidi="ar-EG"/>
        </w:rPr>
        <w:footnoteReference w:id="20"/>
      </w:r>
      <w:r w:rsidRPr="00632091">
        <w:rPr>
          <w:rFonts w:ascii="Sakkal Majalla" w:hAnsi="Sakkal Majalla" w:cs="Sakkal Majalla"/>
          <w:sz w:val="32"/>
          <w:szCs w:val="32"/>
          <w:rtl/>
          <w:lang w:bidi="ar-EG"/>
        </w:rPr>
        <w:t xml:space="preserve">، وتربط بين عناصرها، وتستخلص منها مؤشرات أو توصيات أو قرارات. وتفسر هذه الخاصية اتساع نطاق استخدام الذكاء الاصطناعي في المجالات المالية والطبية والأمنية والإدارية، حيث تقوم قيمة النظام العملية </w:t>
      </w:r>
      <w:r w:rsidRPr="00632091">
        <w:rPr>
          <w:rFonts w:ascii="Sakkal Majalla" w:hAnsi="Sakkal Majalla" w:cs="Sakkal Majalla"/>
          <w:sz w:val="32"/>
          <w:szCs w:val="32"/>
          <w:rtl/>
          <w:lang w:bidi="ar-EG"/>
        </w:rPr>
        <w:lastRenderedPageBreak/>
        <w:t>في كثير من الأحيان على كفاءته في قراءة البيانات وتحويلها إلى مخرجات ذات أثر مباشر في الواقع العملي.</w:t>
      </w:r>
    </w:p>
    <w:p w14:paraId="4BCA259D" w14:textId="6FD0714F"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إلا أن هذه الخاصية على أهميتها العملية، تثير في المقابل إشكالات قانونية متعددة تتعلق بمشروعية البيانات المستخدمة، ومدى احترام قواعد الخصوصية وحماية البيانات، وجودة البيانات وسلامتها، واحتمال وجود تحيزات فيها قد تنعكس على دقة النتائج أو عدالتها وقد أكدت</w:t>
      </w:r>
      <w:r w:rsidR="0054009E">
        <w:rPr>
          <w:rStyle w:val="FootnoteReference"/>
          <w:rFonts w:ascii="Sakkal Majalla" w:hAnsi="Sakkal Majalla" w:cs="Sakkal Majalla"/>
          <w:sz w:val="32"/>
          <w:szCs w:val="32"/>
          <w:rtl/>
          <w:lang w:bidi="ar-EG"/>
        </w:rPr>
        <w:footnoteReference w:id="21"/>
      </w:r>
    </w:p>
    <w:p w14:paraId="40883547" w14:textId="674616BC"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لائحة الاتحاد الأوروبي للذكاء الاصطناعي أهمية حوكمة البيانات وجودتها وارتباطها بالحد من الأخطاء والتحيزات، كما شددت على أن بعض تطبيقات الذكاء الاصطناعي ينبغي أن تعمل في إطار يراعي الشفافية وحماية الحقوق الأساسية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ومن ثم فإن الخطأ في هذا السياق قد لا يكون ناشئًا فقط عن المخرج النهائي، بل قد يرتبط كذلك بفساد البيانات أو قصور إدارتها أو عدم ملاءمتها للغرض الذي استخدمت من أجله</w:t>
      </w:r>
      <w:r w:rsidR="00E96748">
        <w:rPr>
          <w:rStyle w:val="FootnoteReference"/>
          <w:rFonts w:ascii="Sakkal Majalla" w:hAnsi="Sakkal Majalla" w:cs="Sakkal Majalla"/>
          <w:sz w:val="32"/>
          <w:szCs w:val="32"/>
          <w:rtl/>
          <w:lang w:bidi="ar-EG"/>
        </w:rPr>
        <w:footnoteReference w:id="22"/>
      </w:r>
      <w:r w:rsidRPr="00632091">
        <w:rPr>
          <w:rFonts w:ascii="Sakkal Majalla" w:hAnsi="Sakkal Majalla" w:cs="Sakkal Majalla"/>
          <w:sz w:val="32"/>
          <w:szCs w:val="32"/>
          <w:rtl/>
          <w:lang w:bidi="ar-EG"/>
        </w:rPr>
        <w:t>.</w:t>
      </w:r>
    </w:p>
    <w:p w14:paraId="4470BB43" w14:textId="555CD53A" w:rsidR="00632091" w:rsidRPr="00E96748" w:rsidRDefault="00632091" w:rsidP="00A679CC">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ثالثًا: الاستقلال النسبي في اتخاذ القرار</w:t>
      </w:r>
      <w:r w:rsidR="00E96748">
        <w:rPr>
          <w:rFonts w:ascii="Sakkal Majalla" w:hAnsi="Sakkal Majalla" w:cs="Sakkal Majalla" w:hint="cs"/>
          <w:b/>
          <w:bCs/>
          <w:sz w:val="32"/>
          <w:szCs w:val="32"/>
          <w:rtl/>
          <w:lang w:bidi="ar-EG"/>
        </w:rPr>
        <w:t xml:space="preserve"> :</w:t>
      </w:r>
    </w:p>
    <w:p w14:paraId="646B6BA3" w14:textId="260AFC05"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يقصد بالاستقلال النسبي قدرة بعض أنظمة الذكاء الاصطناعي على إنتاج قرارات أو تنفيذ أفعال استنادًا إلى معالجة آلية للبيانات، دون تدخل بشري مباشر في كل مرحلة من مراحل التشغيل</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غير أن هذا الاستقلال لا يعني امتلاك النظام إرادة قانونية مستقلة، وإنما يعني أنه يعمل ضمن حدود وأهداف يضعها الإنسان مسبقًا، ثم يختار الوسائل أو يولد النتائج استنادًا إلى المعطيات التي يعالجها</w:t>
      </w:r>
      <w:r w:rsidR="007F0671">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 xml:space="preserve">ولذلك فإن استقلال الذكاء الاصطناعي هو استقلال وظيفي وتقني لا يرقى إلى الاستقلال </w:t>
      </w:r>
      <w:r w:rsidRPr="00632091">
        <w:rPr>
          <w:rFonts w:ascii="Sakkal Majalla" w:hAnsi="Sakkal Majalla" w:cs="Sakkal Majalla"/>
          <w:sz w:val="32"/>
          <w:szCs w:val="32"/>
          <w:rtl/>
          <w:lang w:bidi="ar-EG"/>
        </w:rPr>
        <w:lastRenderedPageBreak/>
        <w:t>القانوني، إذ تظل عملية التصميم والتطوير والتشغيل والإشراف مرتبطة في أصلها بالعامل البشري وقد أوضحت المصادر الدولية أن مستويات الاستقلالية والتكيف في أنظمة الذكاء الاصطناعي تختلف من نظام إلى آخر، وأن المسؤولية والاختيار التنظيمي في النهاية تظل مسندة إلى البشر والجهات القائمة على تطوير النظام أو تشغيله</w:t>
      </w:r>
      <w:r w:rsidR="00E96748">
        <w:rPr>
          <w:rStyle w:val="FootnoteReference"/>
          <w:rFonts w:ascii="Sakkal Majalla" w:hAnsi="Sakkal Majalla" w:cs="Sakkal Majalla"/>
          <w:sz w:val="32"/>
          <w:szCs w:val="32"/>
          <w:rtl/>
          <w:lang w:bidi="ar-EG"/>
        </w:rPr>
        <w:footnoteReference w:id="23"/>
      </w:r>
      <w:r w:rsidRPr="00632091">
        <w:rPr>
          <w:rFonts w:ascii="Sakkal Majalla" w:hAnsi="Sakkal Majalla" w:cs="Sakkal Majalla"/>
          <w:sz w:val="32"/>
          <w:szCs w:val="32"/>
          <w:rtl/>
          <w:lang w:bidi="ar-EG"/>
        </w:rPr>
        <w:t>.</w:t>
      </w:r>
    </w:p>
    <w:p w14:paraId="7FDDA630" w14:textId="0E7308A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وتبرز أهمية هذه الخاصية في المجال القانوني عند وقوع ضرر ناتج عن قرار آلي أو سلوك تقني لم يصدر بأمر مباشر في لحظة التنفيذ من شخص طبيعي، وهو ما يثير التساؤل حول الجهة التي تنسب إليها النتيجة الضارة: هل هي الجهة المطورة، أم المشغلة، أم المستخدمة، أم غيرهم من الفاعلين المتصلين بدورة حياة النظام؟ ولهذا تبرز أهمية الإشراف البشري والقدرة على تفسير المخرجات وتتبعها، لأن وجود قدر من الاستقلال التقني في اتخاذ القرار لا ينبغي أن يؤدي إلى فراغ في المسؤولية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وقد اتجهت التنظيمات الحديثة إلى التأكيد على ضرورة تمكين الإنسان من مراقبة النظام والتدخل فيه عند الحاجة وتقليل المخاطر الناجمة عن استخدامه، وهو ما يعكس إدراكًا تشريعيًا بأن الاستقلال النسبي للآلة لا ينفي بقاء المسؤولية في الإطار البشري والقانوني</w:t>
      </w:r>
      <w:r w:rsidR="007F0671">
        <w:rPr>
          <w:rStyle w:val="FootnoteReference"/>
          <w:rFonts w:ascii="Sakkal Majalla" w:hAnsi="Sakkal Majalla" w:cs="Sakkal Majalla"/>
          <w:sz w:val="32"/>
          <w:szCs w:val="32"/>
          <w:rtl/>
          <w:lang w:bidi="ar-EG"/>
        </w:rPr>
        <w:footnoteReference w:id="24"/>
      </w:r>
      <w:r w:rsidRPr="00632091">
        <w:rPr>
          <w:rFonts w:ascii="Sakkal Majalla" w:hAnsi="Sakkal Majalla" w:cs="Sakkal Majalla"/>
          <w:sz w:val="32"/>
          <w:szCs w:val="32"/>
          <w:rtl/>
          <w:lang w:bidi="ar-EG"/>
        </w:rPr>
        <w:t>.</w:t>
      </w:r>
    </w:p>
    <w:p w14:paraId="22236581" w14:textId="704259B8" w:rsidR="00632091" w:rsidRPr="00FF4137"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ومجمل القول أن الخصائص التقنية للذكاء الاصطناعي تكشف عن طبيعة متميزة تتجاوز حدود البرمجة التقليدية، إذ يقوم هذا النظام على التعلم من البيانات، وتحليلها، وإنتاج مخرجات قد تصدر بدرجة من الاستقلال عن التدخل البشري المباشر وهذه السمات هي التي تمنح الذكاء الاصطناعي قيمته العملية من جهة، وهي نفسها التي تفسر الإشكاليات القانونية التي يثيرها من جهة أخرى، ولا سيما فيما يتصل بتحديد مصدر الخطأ، وإثبات العلاقة السببية، وإسناد </w:t>
      </w:r>
      <w:r w:rsidRPr="00632091">
        <w:rPr>
          <w:rFonts w:ascii="Sakkal Majalla" w:hAnsi="Sakkal Majalla" w:cs="Sakkal Majalla"/>
          <w:sz w:val="32"/>
          <w:szCs w:val="32"/>
          <w:rtl/>
          <w:lang w:bidi="ar-EG"/>
        </w:rPr>
        <w:lastRenderedPageBreak/>
        <w:t>المسؤولية عند وقوع الضرر. ومن ثم، فإن فهم هذه الخصائص لا يعد مسألة تقنية بحتة، بل يمثل خطوة لازمة لبناء تصور قانوني دقيق للمسؤولية المدنية الناشئة عن استخدام أنظمة الذكاء الاصطناعي</w:t>
      </w:r>
    </w:p>
    <w:p w14:paraId="66AFF004" w14:textId="78EB9E3E" w:rsidR="007D0833" w:rsidRPr="007D0833" w:rsidRDefault="007D0833" w:rsidP="00B84097">
      <w:pPr>
        <w:bidi/>
        <w:spacing w:line="360" w:lineRule="auto"/>
        <w:rPr>
          <w:rFonts w:ascii="Sakkal Majalla" w:hAnsi="Sakkal Majalla" w:cs="Sakkal Majalla"/>
          <w:b/>
          <w:bCs/>
          <w:sz w:val="32"/>
          <w:szCs w:val="32"/>
          <w:lang w:bidi="ar-EG"/>
        </w:rPr>
      </w:pPr>
      <w:r w:rsidRPr="007D0833">
        <w:rPr>
          <w:rFonts w:ascii="Sakkal Majalla" w:hAnsi="Sakkal Majalla" w:cs="Sakkal Majalla"/>
          <w:b/>
          <w:bCs/>
          <w:sz w:val="32"/>
          <w:szCs w:val="32"/>
          <w:rtl/>
          <w:lang w:bidi="ar-EG"/>
        </w:rPr>
        <w:t>المطلب الثاني: تصنيف الذكاء الاصطناعي وتطبيقاته</w:t>
      </w:r>
      <w:r w:rsidR="00B84097">
        <w:rPr>
          <w:rFonts w:ascii="Sakkal Majalla" w:hAnsi="Sakkal Majalla" w:cs="Sakkal Majalla" w:hint="cs"/>
          <w:b/>
          <w:bCs/>
          <w:sz w:val="32"/>
          <w:szCs w:val="32"/>
          <w:rtl/>
          <w:lang w:bidi="ar-EG"/>
        </w:rPr>
        <w:t xml:space="preserve"> : </w:t>
      </w:r>
    </w:p>
    <w:p w14:paraId="35F01266" w14:textId="53E33832" w:rsidR="007F21F7" w:rsidRPr="00011CFC"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لا يكتمل التأصيل المفاهيمي للذكاء الاصطناعي بمجرد تعريفه وبيان خصائصه التقنية، بل يقتضي الأمر أيضًا الوقوف على تصنيفاته المختلفة وأبرز تطبيقاته العملية؛ لأن تنوع أنواعه واتساع مجالات استخدامه ينعكسان بصورة مباشرة على طبيعة الآثار القانونية المترتبة عليه فالذكاء الاصطناعي ليس نمطًا واحدًا من الأنظمة، وإنما يضم صورًا متعددة تتفاوت في مستوى التعقيد، ودرجة الاستقلال، وطبيعة المهام التي تؤديها، وهو ما يجعل تصنيفه أمرًا ضروريًا لفهم نطاق عمله وحدود تأثيره داخل البيئة الرقمية</w:t>
      </w:r>
      <w:r w:rsidR="00011CFC">
        <w:rPr>
          <w:rStyle w:val="FootnoteReference"/>
          <w:rFonts w:ascii="Sakkal Majalla" w:hAnsi="Sakkal Majalla" w:cs="Sakkal Majalla"/>
          <w:sz w:val="32"/>
          <w:szCs w:val="32"/>
          <w:rtl/>
          <w:lang w:bidi="ar-EG"/>
        </w:rPr>
        <w:footnoteReference w:id="25"/>
      </w:r>
      <w:r w:rsidRPr="007F21F7">
        <w:rPr>
          <w:rFonts w:ascii="Sakkal Majalla" w:hAnsi="Sakkal Majalla" w:cs="Sakkal Majalla"/>
          <w:sz w:val="32"/>
          <w:szCs w:val="32"/>
          <w:rtl/>
          <w:lang w:bidi="ar-EG"/>
        </w:rPr>
        <w:t>.</w:t>
      </w:r>
    </w:p>
    <w:p w14:paraId="261EE029" w14:textId="004A799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وتزداد أهمية هذا التصنيف في الدراسات القانونية بالنظر إلى أن نوع النظام المستخدم قد يؤثر في تحديد درجة الخطورة المحتملة، ومدى تدخل العنصر البشري في تشغيله، وحدود المسؤولية التي يمكن أن تثار بشأن الأضرار الناجمة عنه كما أن استعراض تطبيقات الذكاء الاصطناعي في القطاعات المختلفة يكشف عن حضوره العملي المتزايد في الحياة المعاصرة، ويبين كيف أصبحت هذه التقنية جزءًا من البنية التشغيلية في مجالات الأمن، والمال، والتجارة، والخدمات الحكومية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ومن ثم، فإن تصنيف الذكاء الاصطناعي لا يعد مجرد تقسيم فني للأنظمة الذكية، بل يمثل </w:t>
      </w:r>
      <w:r w:rsidRPr="007F21F7">
        <w:rPr>
          <w:rFonts w:ascii="Sakkal Majalla" w:hAnsi="Sakkal Majalla" w:cs="Sakkal Majalla"/>
          <w:sz w:val="32"/>
          <w:szCs w:val="32"/>
          <w:rtl/>
          <w:lang w:bidi="ar-EG"/>
        </w:rPr>
        <w:lastRenderedPageBreak/>
        <w:t>وسيلة لفهم التفاوت في آثارها القانونية، ومدى ما تثيره من إشكالات تتصل بالخطأ والضرر والعلاقة السببية وإسناد المسؤولية</w:t>
      </w:r>
      <w:r w:rsidR="00011CFC">
        <w:rPr>
          <w:rStyle w:val="FootnoteReference"/>
          <w:rFonts w:ascii="Sakkal Majalla" w:hAnsi="Sakkal Majalla" w:cs="Sakkal Majalla"/>
          <w:sz w:val="32"/>
          <w:szCs w:val="32"/>
          <w:rtl/>
          <w:lang w:bidi="ar-EG"/>
        </w:rPr>
        <w:footnoteReference w:id="26"/>
      </w:r>
      <w:r w:rsidRPr="007F21F7">
        <w:rPr>
          <w:rFonts w:ascii="Sakkal Majalla" w:hAnsi="Sakkal Majalla" w:cs="Sakkal Majalla"/>
          <w:sz w:val="32"/>
          <w:szCs w:val="32"/>
          <w:rtl/>
          <w:lang w:bidi="ar-EG"/>
        </w:rPr>
        <w:t>.</w:t>
      </w:r>
    </w:p>
    <w:p w14:paraId="16FD620C" w14:textId="24BAFC91"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وانطلاقًا من ذلك، يتناول هذا المطلب في الفرع الأول أنواع الذكاء الاصطناعي، من خلال بيان أبرز تصنيفاته بحسب مستوى القدرات والاستقلال، ثم يعرض في الفرع الثاني أهم تطبيقاته العملية في بعض القطاعات الحيوية، مع الإشارة إلى واقع استخدامه في المملكة العربية السعودية.</w:t>
      </w:r>
    </w:p>
    <w:p w14:paraId="55C193F1" w14:textId="1B0054E5"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الفرع الأول: أنواع الذكاء الاصطناعي</w:t>
      </w:r>
      <w:r w:rsidR="00011CFC" w:rsidRPr="00011CFC">
        <w:rPr>
          <w:rFonts w:ascii="Sakkal Majalla" w:hAnsi="Sakkal Majalla" w:cs="Sakkal Majalla" w:hint="cs"/>
          <w:b/>
          <w:bCs/>
          <w:sz w:val="32"/>
          <w:szCs w:val="32"/>
          <w:rtl/>
          <w:lang w:bidi="ar-EG"/>
        </w:rPr>
        <w:t xml:space="preserve"> :</w:t>
      </w:r>
    </w:p>
    <w:p w14:paraId="301245F6" w14:textId="58593B29"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يمكن تصنيف الذكاء الاصطناعي إلى عدة أنواع بحسب مستوى قدراته وطبيعة المهام التي يؤديها، ويعد هذا التصنيف مهمًا لفهم مدى تطور الأنظمة الذكية، وحدود استقلالها، وما قد يترتب عليها من آثار قانونية. فاختلاف نوع النظام لا يقتصر أثره على الجانب التقني فحسب، بل يمتد إلى تحديد طبيعة المخاطر التي قد تنشأ عنه، ومدى إمكان توقعها، وحدود السيطرة البشرية عليها. ومن أبرز هذه الأنواع ما يأتي</w:t>
      </w:r>
      <w:r w:rsidR="00011CFC">
        <w:rPr>
          <w:rStyle w:val="FootnoteReference"/>
          <w:rFonts w:ascii="Sakkal Majalla" w:hAnsi="Sakkal Majalla" w:cs="Sakkal Majalla"/>
          <w:sz w:val="32"/>
          <w:szCs w:val="32"/>
          <w:rtl/>
          <w:lang w:bidi="ar-EG"/>
        </w:rPr>
        <w:footnoteReference w:id="27"/>
      </w:r>
      <w:r w:rsidRPr="007F21F7">
        <w:rPr>
          <w:rFonts w:ascii="Sakkal Majalla" w:hAnsi="Sakkal Majalla" w:cs="Sakkal Majalla"/>
          <w:sz w:val="32"/>
          <w:szCs w:val="32"/>
          <w:rtl/>
          <w:lang w:bidi="ar-EG"/>
        </w:rPr>
        <w:t>:</w:t>
      </w:r>
    </w:p>
    <w:p w14:paraId="12277B7C" w14:textId="6F70DB80" w:rsidR="007F21F7" w:rsidRPr="00011CFC" w:rsidRDefault="007F21F7" w:rsidP="00011CFC">
      <w:p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أولًا: الذكاء الاصطناعي الضيق</w:t>
      </w:r>
      <w:r w:rsidR="00011CFC">
        <w:rPr>
          <w:rFonts w:ascii="Sakkal Majalla" w:hAnsi="Sakkal Majalla" w:cs="Sakkal Majalla" w:hint="cs"/>
          <w:b/>
          <w:bCs/>
          <w:sz w:val="32"/>
          <w:szCs w:val="32"/>
          <w:rtl/>
          <w:lang w:bidi="ar-EG"/>
        </w:rPr>
        <w:t xml:space="preserve"> :</w:t>
      </w:r>
    </w:p>
    <w:p w14:paraId="3C8C1234" w14:textId="77777777" w:rsidR="005632CE" w:rsidRDefault="007F21F7" w:rsidP="005632CE">
      <w:pPr>
        <w:bidi/>
        <w:spacing w:line="360" w:lineRule="auto"/>
        <w:jc w:val="mediumKashida"/>
        <w:rPr>
          <w:rFonts w:ascii="Sakkal Majalla" w:hAnsi="Sakkal Majalla" w:cs="Sakkal Majalla"/>
          <w:sz w:val="32"/>
          <w:szCs w:val="32"/>
          <w:rtl/>
          <w:lang w:bidi="ar-EG"/>
        </w:rPr>
      </w:pPr>
      <w:r w:rsidRPr="007F21F7">
        <w:rPr>
          <w:rFonts w:ascii="Sakkal Majalla" w:hAnsi="Sakkal Majalla" w:cs="Sakkal Majalla"/>
          <w:sz w:val="32"/>
          <w:szCs w:val="32"/>
          <w:rtl/>
          <w:lang w:bidi="ar-EG"/>
        </w:rPr>
        <w:t>يقصد بالذكاء الاصطناعي الضيق ذلك النوع من الأنظمة المصمم لأداء مهمة محددة أو مجموعة محدودة من المهام ضمن نطاق معين، دون أن يمتلك قدرة عامة على الفهم أو الانتقال الحر بين المجالات المختلفة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ويعد هذا النوع الأكثر انتشارًا في الواقع العملي، إذ تعتمد عليه تطبيقات </w:t>
      </w:r>
      <w:r w:rsidRPr="007F21F7">
        <w:rPr>
          <w:rFonts w:ascii="Sakkal Majalla" w:hAnsi="Sakkal Majalla" w:cs="Sakkal Majalla"/>
          <w:sz w:val="32"/>
          <w:szCs w:val="32"/>
          <w:rtl/>
          <w:lang w:bidi="ar-EG"/>
        </w:rPr>
        <w:lastRenderedPageBreak/>
        <w:t>متعددة مثل أنظمة التوصية، والمساعدات الذكية، وبرامج التعرف على الصور، وكشف الاحتيال، وتحليل النصوص والبيانات</w:t>
      </w:r>
      <w:r w:rsidR="00011CFC">
        <w:rPr>
          <w:rStyle w:val="FootnoteReference"/>
          <w:rFonts w:ascii="Sakkal Majalla" w:hAnsi="Sakkal Majalla" w:cs="Sakkal Majalla"/>
          <w:sz w:val="32"/>
          <w:szCs w:val="32"/>
          <w:rtl/>
          <w:lang w:bidi="ar-EG"/>
        </w:rPr>
        <w:footnoteReference w:id="28"/>
      </w:r>
      <w:r w:rsidRPr="007F21F7">
        <w:rPr>
          <w:rFonts w:ascii="Sakkal Majalla" w:hAnsi="Sakkal Majalla" w:cs="Sakkal Majalla"/>
          <w:sz w:val="32"/>
          <w:szCs w:val="32"/>
          <w:rtl/>
          <w:lang w:bidi="ar-EG"/>
        </w:rPr>
        <w:t>.</w:t>
      </w:r>
    </w:p>
    <w:p w14:paraId="37AAC60C" w14:textId="76F1FD37" w:rsidR="007F21F7" w:rsidRPr="00011CFC" w:rsidRDefault="007F21F7" w:rsidP="005632CE">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ويتميز الذكاء الاصطناعي الضيق بأنه يعمل بكفاءة عالية داخل المجال الذي صمم من أجله، غير أنه يظل مقيدًا بوظيفته المحددة، فلا يستطيع تجاوزها إلى أداء مهام أخرى على نحو مستقل. ومن الناحية القانونية، فإن هذا النوع هو الأقرب إلى التطبيقات الحالية التي قد يثور بشأنها النزاع، لأنه الأكثر استخدامًا في المعاملات الرقمية والخدمات الإلكترونية، وهو ما يجعله حاضرًا بوضوح في مسائل المسؤولية المدنية الناشئة عن أخطائه أو عن إساءة استخدامه. كما أن محدودية وظيفته لا تعني بالضرورة محدودية أثره، إذ قد تترتب على خطئه نتائج جسيمة متى ارتبط بقرارات تمس حقوق الأفراد أو مصالحهم المالية أو المهنية أو الصحية</w:t>
      </w:r>
      <w:r w:rsidR="00011CFC">
        <w:rPr>
          <w:rStyle w:val="FootnoteReference"/>
          <w:rFonts w:ascii="Sakkal Majalla" w:hAnsi="Sakkal Majalla" w:cs="Sakkal Majalla"/>
          <w:sz w:val="32"/>
          <w:szCs w:val="32"/>
          <w:rtl/>
          <w:lang w:bidi="ar-EG"/>
        </w:rPr>
        <w:footnoteReference w:id="29"/>
      </w:r>
      <w:r w:rsidRPr="007F21F7">
        <w:rPr>
          <w:rFonts w:ascii="Sakkal Majalla" w:hAnsi="Sakkal Majalla" w:cs="Sakkal Majalla"/>
          <w:sz w:val="32"/>
          <w:szCs w:val="32"/>
          <w:rtl/>
          <w:lang w:bidi="ar-EG"/>
        </w:rPr>
        <w:t>.</w:t>
      </w:r>
    </w:p>
    <w:p w14:paraId="2FAD198F" w14:textId="77777777" w:rsidR="005632CE" w:rsidRDefault="007F21F7" w:rsidP="005632CE">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ثانيًا: الذكاء الاصطناعي العام</w:t>
      </w:r>
      <w:r w:rsidR="00011CFC">
        <w:rPr>
          <w:rFonts w:ascii="Sakkal Majalla" w:hAnsi="Sakkal Majalla" w:cs="Sakkal Majalla" w:hint="cs"/>
          <w:b/>
          <w:bCs/>
          <w:sz w:val="32"/>
          <w:szCs w:val="32"/>
          <w:rtl/>
          <w:lang w:bidi="ar-EG"/>
        </w:rPr>
        <w:t xml:space="preserve"> :</w:t>
      </w:r>
    </w:p>
    <w:p w14:paraId="6E968079" w14:textId="413F2CF9" w:rsidR="00011CFC" w:rsidRPr="005632CE" w:rsidRDefault="007F21F7" w:rsidP="005632CE">
      <w:pPr>
        <w:bidi/>
        <w:spacing w:line="360" w:lineRule="auto"/>
        <w:jc w:val="mediumKashida"/>
        <w:rPr>
          <w:rFonts w:ascii="Sakkal Majalla" w:hAnsi="Sakkal Majalla" w:cs="Sakkal Majalla"/>
          <w:b/>
          <w:bCs/>
          <w:sz w:val="32"/>
          <w:szCs w:val="32"/>
          <w:rtl/>
          <w:lang w:bidi="ar-EG"/>
        </w:rPr>
      </w:pPr>
      <w:r w:rsidRPr="005632CE">
        <w:rPr>
          <w:rFonts w:ascii="Sakkal Majalla" w:hAnsi="Sakkal Majalla" w:cs="Sakkal Majalla"/>
          <w:sz w:val="32"/>
          <w:szCs w:val="32"/>
          <w:rtl/>
          <w:lang w:bidi="ar-EG"/>
        </w:rPr>
        <w:t>يقصد بالذكاء الاصطناعي العام ذلك المستوى الافتراضي أو المتقدم من الذكاء الاصطناعي الذي يفترض قدرته على أداء طيف واسع من المهام الذهنية بصورة تماثل أو تقارب القدرات البشرية العامة، بحيث لا يقتصر على وظيفة واحدة، بل يستطيع الفهم، والتحليل، والتعلم، والتكيف، وحل المشكلات في مجالات متعددة</w:t>
      </w:r>
      <w:r w:rsidR="00011CFC" w:rsidRPr="005632CE">
        <w:rPr>
          <w:rFonts w:ascii="Sakkal Majalla" w:hAnsi="Sakkal Majalla" w:cs="Sakkal Majalla" w:hint="cs"/>
          <w:sz w:val="32"/>
          <w:szCs w:val="32"/>
          <w:rtl/>
          <w:lang w:bidi="ar-EG"/>
        </w:rPr>
        <w:t xml:space="preserve"> </w:t>
      </w:r>
      <w:r w:rsidRPr="005632CE">
        <w:rPr>
          <w:rFonts w:ascii="Sakkal Majalla" w:hAnsi="Sakkal Majalla" w:cs="Sakkal Majalla"/>
          <w:sz w:val="32"/>
          <w:szCs w:val="32"/>
          <w:rtl/>
          <w:lang w:bidi="ar-EG"/>
        </w:rPr>
        <w:t xml:space="preserve">ويختلف هذا النوع عن الذكاء الاصطناعي الضيق في أنه لا </w:t>
      </w:r>
      <w:r w:rsidRPr="005632CE">
        <w:rPr>
          <w:rFonts w:ascii="Sakkal Majalla" w:hAnsi="Sakkal Majalla" w:cs="Sakkal Majalla"/>
          <w:sz w:val="32"/>
          <w:szCs w:val="32"/>
          <w:rtl/>
          <w:lang w:bidi="ar-EG"/>
        </w:rPr>
        <w:lastRenderedPageBreak/>
        <w:t>يكون مقصورًا على نشاط محدد، بل يفترض فيه امتلاك مرونة معرفية أوسع تمكنه من الانتقال بين المهام والبيئات المختلفة</w:t>
      </w:r>
      <w:r w:rsidR="00011CFC">
        <w:rPr>
          <w:rStyle w:val="FootnoteReference"/>
          <w:rFonts w:ascii="Sakkal Majalla" w:hAnsi="Sakkal Majalla" w:cs="Sakkal Majalla"/>
          <w:sz w:val="32"/>
          <w:szCs w:val="32"/>
          <w:rtl/>
          <w:lang w:bidi="ar-EG"/>
        </w:rPr>
        <w:footnoteReference w:id="30"/>
      </w:r>
      <w:r w:rsidRPr="005632CE">
        <w:rPr>
          <w:rFonts w:ascii="Sakkal Majalla" w:hAnsi="Sakkal Majalla" w:cs="Sakkal Majalla"/>
          <w:sz w:val="32"/>
          <w:szCs w:val="32"/>
          <w:rtl/>
          <w:lang w:bidi="ar-EG"/>
        </w:rPr>
        <w:t>.</w:t>
      </w:r>
    </w:p>
    <w:p w14:paraId="06A17925" w14:textId="5FE71BA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ومع أن هذا النوع لا يزال في نطاق التصورات العلمية والتطويرات المستقبلية أكثر من كونه واقعًا تطبيقيًا مكتملًا، فإن أهميته في الدراسات القانونية تكمن في أنه يثير تساؤلات أعمق بشأن حدود الاستقلال، ومدى إمكان إسناد الأفعال والنتائج إليه، وطبيعة المسؤولية التي يمكن أن تنشأ عن قراراته إذا بلغ درجة عالية من التعقيد والاعتماد الذاتي</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كما أن افتراض وجود نظام يتمتع بقدرات معرفية عامة يوسع من نطاق الإشكاليات القانونية، ولا سيما فيما يتعلق بمدى كفاية القواعد التقليدية للمسؤولية المدنية لمواجهة الأضرار التي قد تنشأ عن أنظمة تتسم باتساع الوظائف وتعدد مجالات العمل</w:t>
      </w:r>
      <w:r w:rsidR="007C2A11">
        <w:rPr>
          <w:rStyle w:val="FootnoteReference"/>
          <w:rFonts w:ascii="Sakkal Majalla" w:hAnsi="Sakkal Majalla" w:cs="Sakkal Majalla"/>
          <w:sz w:val="32"/>
          <w:szCs w:val="32"/>
          <w:rtl/>
          <w:lang w:bidi="ar-EG"/>
        </w:rPr>
        <w:footnoteReference w:id="31"/>
      </w:r>
      <w:r w:rsidRPr="007F21F7">
        <w:rPr>
          <w:rFonts w:ascii="Sakkal Majalla" w:hAnsi="Sakkal Majalla" w:cs="Sakkal Majalla"/>
          <w:sz w:val="32"/>
          <w:szCs w:val="32"/>
          <w:rtl/>
          <w:lang w:bidi="ar-EG"/>
        </w:rPr>
        <w:t>.</w:t>
      </w:r>
    </w:p>
    <w:p w14:paraId="59E7BB9C" w14:textId="4DE4827D" w:rsidR="007F21F7" w:rsidRPr="00011CFC" w:rsidRDefault="007F21F7" w:rsidP="00011CFC">
      <w:pPr>
        <w:pStyle w:val="ListParagraph"/>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ثالثًا: الأنظمة الذاتية</w:t>
      </w:r>
      <w:r w:rsidR="00011CFC">
        <w:rPr>
          <w:rFonts w:ascii="Sakkal Majalla" w:hAnsi="Sakkal Majalla" w:cs="Sakkal Majalla" w:hint="cs"/>
          <w:b/>
          <w:bCs/>
          <w:sz w:val="32"/>
          <w:szCs w:val="32"/>
          <w:rtl/>
          <w:lang w:bidi="ar-EG"/>
        </w:rPr>
        <w:t xml:space="preserve"> :</w:t>
      </w:r>
    </w:p>
    <w:p w14:paraId="08FD573B" w14:textId="7F8BD6CC"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تمثل الأنظمة الذاتية صورة متقدمة من تطبيقات الذكاء الاصطناعي، وتقوم على قدرة النظام على العمل أو اتخاذ القرار أو تنفيذ الأفعال بدرجة من الاستقلال عن التدخل البشري المباشر، وذلك في ضوء أهداف أو معايير مبرمجة مسبقًا</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ويظهر هذا النوع في المركبات ذاتية القيادة، والأنظمة الروبوتية، وبعض التطبيقات الأمنية أو الصناعية أو اللوجستية التي تتفاعل مع البيئة المحيطة وتعدل سلوكها وفقًا للمعطيات التي تستقبلها</w:t>
      </w:r>
      <w:r w:rsidR="00011CFC">
        <w:rPr>
          <w:rStyle w:val="FootnoteReference"/>
          <w:rFonts w:ascii="Sakkal Majalla" w:hAnsi="Sakkal Majalla" w:cs="Sakkal Majalla"/>
          <w:sz w:val="32"/>
          <w:szCs w:val="32"/>
          <w:rtl/>
          <w:lang w:bidi="ar-EG"/>
        </w:rPr>
        <w:footnoteReference w:id="32"/>
      </w:r>
      <w:r w:rsidRPr="007F21F7">
        <w:rPr>
          <w:rFonts w:ascii="Sakkal Majalla" w:hAnsi="Sakkal Majalla" w:cs="Sakkal Majalla"/>
          <w:sz w:val="32"/>
          <w:szCs w:val="32"/>
          <w:rtl/>
          <w:lang w:bidi="ar-EG"/>
        </w:rPr>
        <w:t>.</w:t>
      </w:r>
    </w:p>
    <w:p w14:paraId="2660E4C8" w14:textId="6D4FF495" w:rsidR="007F21F7" w:rsidRPr="007F21F7" w:rsidRDefault="007F21F7" w:rsidP="00876D0D">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lastRenderedPageBreak/>
        <w:t>وتكمن أهمية الأنظمة الذاتية في أنها تنقل الذكاء الاصطناعي من مجرد دعم القرار إلى مستوى التنفيذ المباشر للفعل أو الإجراء، وهو ما يمنحها أثرًا قانونيًا أوضح عند وقوع الضرر فكلما زادت درجة الاستقلال في عمل النظام، تعقدت مسألة تحديد الشخص المسؤول عن نتائج أفعاله، وازداد الاحتياج إلى تحليل دقيق للعلاقة بين المصمم، والمشغل، والمستخدم، ومدى مساهمة كل منهم في النتيجة الضارة كما أن هذا النوع من الأنظمة يثير إشكاليات أكثر تعقيدًا من غيره فيما يتعلق بإثبات الخطأ وتحديد السبب المباشر للضرر، خاصة عندما يصدر الفعل الضار نتيجة تفاعل النظام مع معطيات متغيرة في البيئة المحيطة دون تدخل بشري لحظي</w:t>
      </w:r>
      <w:r w:rsidR="007C2A11">
        <w:rPr>
          <w:rStyle w:val="FootnoteReference"/>
          <w:rFonts w:ascii="Sakkal Majalla" w:hAnsi="Sakkal Majalla" w:cs="Sakkal Majalla"/>
          <w:sz w:val="32"/>
          <w:szCs w:val="32"/>
          <w:rtl/>
          <w:lang w:bidi="ar-EG"/>
        </w:rPr>
        <w:footnoteReference w:id="33"/>
      </w:r>
      <w:r w:rsidRPr="007F21F7">
        <w:rPr>
          <w:rFonts w:ascii="Sakkal Majalla" w:hAnsi="Sakkal Majalla" w:cs="Sakkal Majalla"/>
          <w:sz w:val="32"/>
          <w:szCs w:val="32"/>
          <w:rtl/>
          <w:lang w:bidi="ar-EG"/>
        </w:rPr>
        <w:t>.</w:t>
      </w:r>
    </w:p>
    <w:p w14:paraId="424A8806" w14:textId="2F66EAB2" w:rsidR="007F21F7" w:rsidRDefault="007F21F7" w:rsidP="007F21F7">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ويتضح من ذلك أن أنواع الذكاء الاصطناعي تختلف من حيث مستوى القدرات والمرونة والاستقلال، وأن هذا الاختلاف لا يحمل أهمية تقنية فحسب، بل تترتب عليه آثار قانونية عملية، خاصة في مجال المسؤولية المدنية؛ إذ إن نوع النظام المستخدم ينعكس على طبيعة الخطأ، ومدى إمكان التوقع، وكيفية إسناد الضرر عند وقوعه. ومن ثم، فإن التمييز بين الذكاء الاصطناعي الضيق، والذكاء الاصطناعي العام، والأنظمة الذاتية، يسهم في بناء تصور أكثر دقة لطبيعة المخاطر القانونية المرتبطة بكل نوع، ويمهد لفهم أوضح للتطبيقات العملية التي يظهر فيها الذكاء الاصطناعي وآثارها النظامية</w:t>
      </w:r>
      <w:r w:rsidR="00876D0D">
        <w:rPr>
          <w:rStyle w:val="FootnoteReference"/>
          <w:rFonts w:ascii="Sakkal Majalla" w:hAnsi="Sakkal Majalla" w:cs="Sakkal Majalla"/>
          <w:sz w:val="32"/>
          <w:szCs w:val="32"/>
          <w:rtl/>
          <w:lang w:bidi="ar-EG"/>
        </w:rPr>
        <w:footnoteReference w:id="34"/>
      </w:r>
    </w:p>
    <w:p w14:paraId="04DBB22A" w14:textId="52E1FA42" w:rsidR="007D0833" w:rsidRDefault="007D0833" w:rsidP="007F21F7">
      <w:pPr>
        <w:bidi/>
        <w:spacing w:line="360" w:lineRule="auto"/>
        <w:jc w:val="mediumKashida"/>
        <w:rPr>
          <w:rFonts w:ascii="Sakkal Majalla" w:hAnsi="Sakkal Majalla" w:cs="Sakkal Majalla"/>
          <w:b/>
          <w:bCs/>
          <w:sz w:val="32"/>
          <w:szCs w:val="32"/>
          <w:rtl/>
          <w:lang w:bidi="ar-EG"/>
        </w:rPr>
      </w:pPr>
      <w:r w:rsidRPr="00ED5103">
        <w:rPr>
          <w:rFonts w:ascii="Sakkal Majalla" w:hAnsi="Sakkal Majalla" w:cs="Sakkal Majalla"/>
          <w:b/>
          <w:bCs/>
          <w:sz w:val="32"/>
          <w:szCs w:val="32"/>
          <w:rtl/>
          <w:lang w:bidi="ar-EG"/>
        </w:rPr>
        <w:t>الفرع الثاني: تطبيقات الذكاء الاصطناعي</w:t>
      </w:r>
      <w:r w:rsidR="00ED5103">
        <w:rPr>
          <w:rFonts w:ascii="Sakkal Majalla" w:hAnsi="Sakkal Majalla" w:cs="Sakkal Majalla" w:hint="cs"/>
          <w:b/>
          <w:bCs/>
          <w:sz w:val="32"/>
          <w:szCs w:val="32"/>
          <w:rtl/>
          <w:lang w:bidi="ar-EG"/>
        </w:rPr>
        <w:t xml:space="preserve"> :</w:t>
      </w:r>
    </w:p>
    <w:p w14:paraId="50F7E63D" w14:textId="0F610F91"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lastRenderedPageBreak/>
        <w:t>أدى التطور التقني المتسارع إلى توسيع نطاق تطبيقات الذكاء الاصطناعي في قطاعات متعددة، حتى أصبح عنصرًا فاعلًا في تشغيل الخدمات، وتحليل البيانات، ودعم القرارات في المجالات العامة والخاصة. وتبرز أهمية دراسة هذه التطبيقات في أنها تكشف عن البيئة العملية التي يعمل فيها الذكاء الاصطناعي، والتي قد تنشأ في نطاقها الأضرار أو الأفعال غير المشروعة محل البحث. كما أن اتساع مجالات استخدامه يبين أن الإشكالات القانونية المرتبطة به لم تعد تقتصر على نطاق تقني ضيق، بل أصبحت تتصل بقطاعات حيوية تمس الأمن، والمال، والتجارة، والخدمات الحكومية، وهو ما يمنح دراسة المسؤولية المدنية الناشئة عن استخدامه بعدًا عمليًا واضحًا</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وقد أكدت الأدبيات التنظيمية الحديثة وأطر تبني الذكاء الاصطناعي أن هذه التقنيات أصبحت توظف عبر قطاعات متعددة، مع تفاوت في مستوى المخاطر والآثار القانونية المرتبطة بكل قطاع</w:t>
      </w:r>
      <w:r w:rsidR="00A32D35">
        <w:rPr>
          <w:rStyle w:val="FootnoteReference"/>
          <w:rFonts w:ascii="Sakkal Majalla" w:hAnsi="Sakkal Majalla" w:cs="Sakkal Majalla"/>
          <w:sz w:val="32"/>
          <w:szCs w:val="32"/>
          <w:rtl/>
          <w:lang w:bidi="ar-EG"/>
        </w:rPr>
        <w:footnoteReference w:id="35"/>
      </w:r>
      <w:r w:rsidRPr="00B62589">
        <w:rPr>
          <w:rFonts w:ascii="Sakkal Majalla" w:hAnsi="Sakkal Majalla" w:cs="Sakkal Majalla"/>
          <w:sz w:val="32"/>
          <w:szCs w:val="32"/>
          <w:rtl/>
          <w:lang w:bidi="ar-EG"/>
        </w:rPr>
        <w:t>.</w:t>
      </w:r>
    </w:p>
    <w:p w14:paraId="69A2517A" w14:textId="6E2DE28F"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أولًا: تطبيقات الذكاء الاصطناعي في القطاع الأمني</w:t>
      </w:r>
      <w:r w:rsidR="00A32D35">
        <w:rPr>
          <w:rFonts w:ascii="Sakkal Majalla" w:hAnsi="Sakkal Majalla" w:cs="Sakkal Majalla" w:hint="cs"/>
          <w:b/>
          <w:bCs/>
          <w:sz w:val="32"/>
          <w:szCs w:val="32"/>
          <w:rtl/>
          <w:lang w:bidi="ar-EG"/>
        </w:rPr>
        <w:t xml:space="preserve"> :</w:t>
      </w:r>
    </w:p>
    <w:p w14:paraId="4CF443CE" w14:textId="7C603019" w:rsidR="00B62589" w:rsidRPr="00A32D35"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 الذكاء الاصطناعي أداة مهمة في دعم القطاع الأمني، من خلال تحليل البيانات الضخمة، ورصد الأنماط غير المعتادة، والكشف المبكر عن التهديدات الرقمية، ومراقبة حركة الشبكات والأنظمة المعلوماتية. كما تستخدم بعض الأنظمة الذكية في التعرف على السلوكيات المشبوهة، وتحليل الأدلة الرقمية، وتدعيم جهود الأمن السيبراني في مواجهة الهجمات الإلكترونية ومحاولات الاختراق والاحتيال وتزداد أهمية هذه التطبيقات في ظل تنامي الاعتماد على البيئات الرقمية واتساع نطاق المخاطر السيبرانية</w:t>
      </w:r>
      <w:r w:rsidR="00A32D35">
        <w:rPr>
          <w:rStyle w:val="FootnoteReference"/>
          <w:rFonts w:ascii="Sakkal Majalla" w:hAnsi="Sakkal Majalla" w:cs="Sakkal Majalla"/>
          <w:sz w:val="32"/>
          <w:szCs w:val="32"/>
          <w:rtl/>
          <w:lang w:bidi="ar-EG"/>
        </w:rPr>
        <w:footnoteReference w:id="36"/>
      </w:r>
      <w:r w:rsidRPr="00B62589">
        <w:rPr>
          <w:rFonts w:ascii="Sakkal Majalla" w:hAnsi="Sakkal Majalla" w:cs="Sakkal Majalla"/>
          <w:sz w:val="32"/>
          <w:szCs w:val="32"/>
          <w:rtl/>
          <w:lang w:bidi="ar-EG"/>
        </w:rPr>
        <w:t xml:space="preserve">، الأمر الذي جعل الاستفادة من أدوات التحليل الذكي جزءًا من متطلبات الحماية والاستباق الأمني في العديد من المؤسسات والقطاعات. وتؤكد المصادر الرسمية </w:t>
      </w:r>
      <w:r w:rsidRPr="00B62589">
        <w:rPr>
          <w:rFonts w:ascii="Sakkal Majalla" w:hAnsi="Sakkal Majalla" w:cs="Sakkal Majalla"/>
          <w:sz w:val="32"/>
          <w:szCs w:val="32"/>
          <w:rtl/>
          <w:lang w:bidi="ar-EG"/>
        </w:rPr>
        <w:lastRenderedPageBreak/>
        <w:t>في المملكة هذا الاتجاه، إذ تبين أن الهيئة الوطنية للأمن السيبراني هي المرجع الوطني في شؤون الأمن السيبراني، وأن من خدماتها ما يتعلق بالتحقيق في التهديدات وجمع المؤشرات وتحليلها ومشاركتها لتمكين الدفاع الاستباقي ضد الهجمات السيبرانية</w:t>
      </w:r>
      <w:r w:rsidR="00A32D35">
        <w:rPr>
          <w:rStyle w:val="FootnoteReference"/>
          <w:rFonts w:ascii="Sakkal Majalla" w:hAnsi="Sakkal Majalla" w:cs="Sakkal Majalla"/>
          <w:sz w:val="32"/>
          <w:szCs w:val="32"/>
          <w:rtl/>
          <w:lang w:bidi="ar-EG"/>
        </w:rPr>
        <w:footnoteReference w:id="37"/>
      </w:r>
      <w:r w:rsidRPr="00B62589">
        <w:rPr>
          <w:rFonts w:ascii="Sakkal Majalla" w:hAnsi="Sakkal Majalla" w:cs="Sakkal Majalla"/>
          <w:sz w:val="32"/>
          <w:szCs w:val="32"/>
          <w:rtl/>
          <w:lang w:bidi="ar-EG"/>
        </w:rPr>
        <w:t>.</w:t>
      </w:r>
    </w:p>
    <w:p w14:paraId="336A8A9C" w14:textId="57E63243"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وتكتسب هذه التطبيقات أهمية خاصة في نطاق الجرائم الإلكترونية، لأنها تسهم في الوقاية والكشف والتتبع، غير أنها في الوقت ذاته قد تثير إشكالات قانونية تتعلق بالخصوصية، وحدود المراقبة الرقمية، ومشروعية معالجة البيانات، ومدى التناسب بين متطلبات الأمن وحماية الحقوق والحريات. ومن ثم، فإن توظيف الذكاء الاصطناعي في المجال الأمني لا يثير فقط مسألة الكفاءة التقنية، بل يقتضي أيضًا إطارًا تنظيميًا يضمن سلامة استخدامه ويمنع الانحراف به أو التوسع غير المشروع في آثاره على الأفراد. ويعزز هذا التوجه ما تصدره الجهات المختصة في المملكة من ضوابط ووثائق تنظيمية ومعايير للأمن السيبراني والامتثال</w:t>
      </w:r>
      <w:r w:rsidR="00A32D35">
        <w:rPr>
          <w:rStyle w:val="FootnoteReference"/>
          <w:rFonts w:ascii="Sakkal Majalla" w:hAnsi="Sakkal Majalla" w:cs="Sakkal Majalla"/>
          <w:sz w:val="32"/>
          <w:szCs w:val="32"/>
          <w:rtl/>
          <w:lang w:bidi="ar-EG"/>
        </w:rPr>
        <w:footnoteReference w:id="38"/>
      </w:r>
      <w:r w:rsidRPr="00B62589">
        <w:rPr>
          <w:rFonts w:ascii="Sakkal Majalla" w:hAnsi="Sakkal Majalla" w:cs="Sakkal Majalla"/>
          <w:sz w:val="32"/>
          <w:szCs w:val="32"/>
          <w:rtl/>
          <w:lang w:bidi="ar-EG"/>
        </w:rPr>
        <w:t>.</w:t>
      </w:r>
    </w:p>
    <w:p w14:paraId="5370EAA4" w14:textId="4E4D0907"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ثانيًا: تطبيقات الذكاء الاصطناعي في القطاع المالي</w:t>
      </w:r>
      <w:r w:rsidR="00A32D35">
        <w:rPr>
          <w:rFonts w:ascii="Sakkal Majalla" w:hAnsi="Sakkal Majalla" w:cs="Sakkal Majalla" w:hint="cs"/>
          <w:b/>
          <w:bCs/>
          <w:sz w:val="32"/>
          <w:szCs w:val="32"/>
          <w:rtl/>
          <w:lang w:bidi="ar-EG"/>
        </w:rPr>
        <w:t xml:space="preserve"> :</w:t>
      </w:r>
    </w:p>
    <w:p w14:paraId="7ED6D050" w14:textId="6B84F9A6"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يستخدم الذكاء الاصطناعي على نطاق واسع في القطاع المالي والمصرفي، لاسيما في تحليل المعاملات، واكتشاف الاحتيال، وتقييم الجدارة الائتمانية، وإدارة المخاطر، وتقديم الخدمات المصرفية الرقمية وتساعد هذه الأنظمة في تسريع العمليات المالية، وتقليل نسبة الأخطاء، ورفع مستوى الكفاءة في اتخاذ القرار المالي، من خلال الاعتماد على التحليل الفوري للبيانات والمؤشرات كما أن البنية المالية الرقمية الحديثة باتت ترتبط بصورة متزايدة بتقنيات تحليل البيانات </w:t>
      </w:r>
      <w:r w:rsidRPr="00B62589">
        <w:rPr>
          <w:rFonts w:ascii="Sakkal Majalla" w:hAnsi="Sakkal Majalla" w:cs="Sakkal Majalla"/>
          <w:sz w:val="32"/>
          <w:szCs w:val="32"/>
          <w:rtl/>
          <w:lang w:bidi="ar-EG"/>
        </w:rPr>
        <w:lastRenderedPageBreak/>
        <w:t>والأدوات المؤتمتة، وهو ما يفسر اتساع استخدام حلول الذكاء الاصطناعي في هذا القطاع وتنسجم هذه الصورة مع التوجهات الوطنية في المملكة التي تعزز تطوير البنية المالية الرقمية، بما في ذلك البنية القائمة على التقنيات المالية والمدفوعات الرقمية والحلول المدعومة بالذكاء الاصطناعي</w:t>
      </w:r>
      <w:r w:rsidR="00A32D35">
        <w:rPr>
          <w:rStyle w:val="FootnoteReference"/>
          <w:rFonts w:ascii="Sakkal Majalla" w:hAnsi="Sakkal Majalla" w:cs="Sakkal Majalla"/>
          <w:sz w:val="32"/>
          <w:szCs w:val="32"/>
          <w:rtl/>
          <w:lang w:bidi="ar-EG"/>
        </w:rPr>
        <w:footnoteReference w:id="39"/>
      </w:r>
      <w:r w:rsidRPr="00B62589">
        <w:rPr>
          <w:rFonts w:ascii="Sakkal Majalla" w:hAnsi="Sakkal Majalla" w:cs="Sakkal Majalla"/>
          <w:sz w:val="32"/>
          <w:szCs w:val="32"/>
          <w:rtl/>
          <w:lang w:bidi="ar-EG"/>
        </w:rPr>
        <w:t>.</w:t>
      </w:r>
    </w:p>
    <w:p w14:paraId="0548CE98" w14:textId="2AF3D8D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غير أن هذه التطبيقات قد تثير تحديات قانونية إذا ترتب على القرارات الآلية ضرر يلحق بالعملاء أو المتعاملين، كرفض طلبات التمويل أو تصنيفهم ضمن فئات مرتفعة المخاطر دون شفافية كافية، أو إذا نتج عن خلل النظام خسائر مالية أو تسرب بيانات حساسة</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ومن ثم، فإن تطبيقات الذكاء الاصطناعي في هذا القطاع تمثل مجالًا واضحًا لبحث المسؤولية عن الأضرار الرقمية والمالية، خاصة في الحالات التي يصعب فيها تحديد ما إذا كان مصدر الضرر راجعًا إلى خلل في النموذج الخوارزمي، أم إلى قصور في البيانات، أم إلى ضعف في الإشراف البشري على النظام</w:t>
      </w:r>
      <w:r w:rsidR="00A32D35">
        <w:rPr>
          <w:rStyle w:val="FootnoteReference"/>
          <w:rFonts w:ascii="Sakkal Majalla" w:hAnsi="Sakkal Majalla" w:cs="Sakkal Majalla"/>
          <w:sz w:val="32"/>
          <w:szCs w:val="32"/>
          <w:rtl/>
          <w:lang w:bidi="ar-EG"/>
        </w:rPr>
        <w:footnoteReference w:id="40"/>
      </w:r>
      <w:r w:rsidRPr="00B62589">
        <w:rPr>
          <w:rFonts w:ascii="Sakkal Majalla" w:hAnsi="Sakkal Majalla" w:cs="Sakkal Majalla"/>
          <w:sz w:val="32"/>
          <w:szCs w:val="32"/>
          <w:rtl/>
          <w:lang w:bidi="ar-EG"/>
        </w:rPr>
        <w:t>.</w:t>
      </w:r>
    </w:p>
    <w:p w14:paraId="53CB29CF" w14:textId="71598EA6"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ثالثًا: تطبيقات الذكاء الاصطناعي في التجارة الإلكترونية</w:t>
      </w:r>
      <w:r w:rsidR="00A32D35">
        <w:rPr>
          <w:rFonts w:ascii="Sakkal Majalla" w:hAnsi="Sakkal Majalla" w:cs="Sakkal Majalla" w:hint="cs"/>
          <w:b/>
          <w:bCs/>
          <w:sz w:val="32"/>
          <w:szCs w:val="32"/>
          <w:rtl/>
          <w:lang w:bidi="ar-EG"/>
        </w:rPr>
        <w:t xml:space="preserve"> :</w:t>
      </w:r>
    </w:p>
    <w:p w14:paraId="5D30D62C" w14:textId="5AF5C344"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أصبحت التجارة الإلكترونية من أكثر المجالات استفادة من تطبيقات الذكاء الاصطناعي، إذ تعتمد المنصات الرقمية على الأنظمة الذكية في تحليل سلوك المستهلكين، واقتراح المنتجات، وتخصيص الإعلانات، وإدارة عمليات التسعير، وخدمة العملاء عبر المساعدات الافتراضية، فضلًا عن كشف الأنشطة الاحتيالية المتعلقة بالمدفوعات والطلبات</w:t>
      </w:r>
      <w:r w:rsidR="00A32D35">
        <w:rPr>
          <w:rStyle w:val="FootnoteReference"/>
          <w:rFonts w:ascii="Sakkal Majalla" w:hAnsi="Sakkal Majalla" w:cs="Sakkal Majalla"/>
          <w:sz w:val="32"/>
          <w:szCs w:val="32"/>
          <w:rtl/>
          <w:lang w:bidi="ar-EG"/>
        </w:rPr>
        <w:footnoteReference w:id="41"/>
      </w:r>
      <w:r w:rsidRPr="00B62589">
        <w:rPr>
          <w:rFonts w:ascii="Sakkal Majalla" w:hAnsi="Sakkal Majalla" w:cs="Sakkal Majalla"/>
          <w:sz w:val="32"/>
          <w:szCs w:val="32"/>
          <w:rtl/>
          <w:lang w:bidi="ar-EG"/>
        </w:rPr>
        <w:t xml:space="preserve"> وتسهم هذه التطبيقات في تحسين تجربة المستخدم، وزيادة كفاءة العمليات التجارية، ورفع مستوى التفاعل مع المستهلكين، بما يجعل </w:t>
      </w:r>
      <w:r w:rsidRPr="00B62589">
        <w:rPr>
          <w:rFonts w:ascii="Sakkal Majalla" w:hAnsi="Sakkal Majalla" w:cs="Sakkal Majalla"/>
          <w:sz w:val="32"/>
          <w:szCs w:val="32"/>
          <w:rtl/>
          <w:lang w:bidi="ar-EG"/>
        </w:rPr>
        <w:lastRenderedPageBreak/>
        <w:t>الذكاء الاصطناعي جزءًا من البنية التشغيلية المعتادة في بيئة التجارة الرقمية الحديثة. كما أن التوسع في الاقتصاد الرقمي وتبني الأطر الوطنية للذكاء الاصطناعي يعززان حضور هذه التطبيقات في الأنشطة التجارية والخدمية.</w:t>
      </w:r>
    </w:p>
    <w:p w14:paraId="39C28785" w14:textId="66B1C55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إلا أن هذه التطبيقات قد ترتبط بإشكالات قانونية تتعلق بحماية المستهلك، وشفافية التسعير، واستعمال البيانات الشخصية، ومدى مشروعية بعض ممارسات الاستهداف الرقمي أو التوصية المؤتمتة. كما قد تؤدي الأعطال أو القرارات الخوارزمية غير الدقيقة إلى أضرار تمس حقوق المستهلكين أو التجار، وهو ما يبرز الجانب العملي للمسؤولية المدنية في هذا المجال. وتزداد أهمية هذا الجانب في ضوء اهتمام الجهات التنظيمية في المملكة بإصدار إرشادات وضوابط لحماية التعاملات الإلكترونية وتعزيز الأمن السيبراني في التجارة الإلكترونية، بما يكشف عن وعي تنظيمي بالمخاطر التقنية والقانونية المصاحبة للبيئات التجارية الرقمية</w:t>
      </w:r>
      <w:r w:rsidR="00A32D35">
        <w:rPr>
          <w:rStyle w:val="FootnoteReference"/>
          <w:rFonts w:ascii="Sakkal Majalla" w:hAnsi="Sakkal Majalla" w:cs="Sakkal Majalla"/>
          <w:sz w:val="32"/>
          <w:szCs w:val="32"/>
          <w:rtl/>
          <w:lang w:bidi="ar-EG"/>
        </w:rPr>
        <w:footnoteReference w:id="42"/>
      </w:r>
      <w:r w:rsidRPr="00B62589">
        <w:rPr>
          <w:rFonts w:ascii="Sakkal Majalla" w:hAnsi="Sakkal Majalla" w:cs="Sakkal Majalla"/>
          <w:sz w:val="32"/>
          <w:szCs w:val="32"/>
          <w:rtl/>
          <w:lang w:bidi="ar-EG"/>
        </w:rPr>
        <w:t>.</w:t>
      </w:r>
    </w:p>
    <w:p w14:paraId="03745E52" w14:textId="4732130A"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رابعًا: تطبيقات الذكاء الاصطناعي في الحكومة الرقمية في المملكة العربية السعودية</w:t>
      </w:r>
      <w:r w:rsidR="00A32D35">
        <w:rPr>
          <w:rFonts w:ascii="Sakkal Majalla" w:hAnsi="Sakkal Majalla" w:cs="Sakkal Majalla" w:hint="cs"/>
          <w:b/>
          <w:bCs/>
          <w:sz w:val="32"/>
          <w:szCs w:val="32"/>
          <w:rtl/>
          <w:lang w:bidi="ar-EG"/>
        </w:rPr>
        <w:t xml:space="preserve"> :</w:t>
      </w:r>
    </w:p>
    <w:p w14:paraId="69E74019" w14:textId="3DDA476A" w:rsidR="00B62589" w:rsidRPr="00B6258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يحظى الذكاء الاصطناعي باهتمام متزايد في المملكة العربية السعودية في إطار التحول الرقمي ورؤية المملكة 2030، حيث اتجهت الجهات الحكومية إلى توظيف الأنظمة الذكية في تطوير الخدمات العامة، وتحسين كفاءة الأداء الإداري، ودعم اتخاذ القرار، ورفع مستوى جودة الخدمات المقدمة للمستفيدين</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 xml:space="preserve">ويعكس هذا التوجه موقع الذكاء الاصطناعي ضمن السياسات الوطنية المرتبطة بالبيانات والتحول الرقمي، إذ تعد الهيئة السعودية للبيانات والذكاء الاصطناعي الجهة المختصة في المملكة بشأن البيانات والذكاء الاصطناعي، وقد أنشئت بأمر ملكي رقم (أ/471) </w:t>
      </w:r>
      <w:r w:rsidRPr="00B62589">
        <w:rPr>
          <w:rFonts w:ascii="Sakkal Majalla" w:hAnsi="Sakkal Majalla" w:cs="Sakkal Majalla"/>
          <w:sz w:val="32"/>
          <w:szCs w:val="32"/>
          <w:rtl/>
          <w:lang w:bidi="ar-EG"/>
        </w:rPr>
        <w:lastRenderedPageBreak/>
        <w:t>بتاريخ 29/12/1440هـ، كما تضطلع بدور وطني في تطوير الاستراتيجيات والأطر المنظمة ذات الصلة</w:t>
      </w:r>
      <w:r w:rsidR="000D33A9">
        <w:rPr>
          <w:rStyle w:val="FootnoteReference"/>
          <w:rFonts w:ascii="Sakkal Majalla" w:hAnsi="Sakkal Majalla" w:cs="Sakkal Majalla"/>
          <w:sz w:val="32"/>
          <w:szCs w:val="32"/>
          <w:rtl/>
          <w:lang w:bidi="ar-EG"/>
        </w:rPr>
        <w:footnoteReference w:id="43"/>
      </w:r>
      <w:r w:rsidRPr="00B62589">
        <w:rPr>
          <w:rFonts w:ascii="Sakkal Majalla" w:hAnsi="Sakkal Majalla" w:cs="Sakkal Majalla"/>
          <w:sz w:val="32"/>
          <w:szCs w:val="32"/>
          <w:rtl/>
          <w:lang w:bidi="ar-EG"/>
        </w:rPr>
        <w:t>.</w:t>
      </w:r>
    </w:p>
    <w:p w14:paraId="0AE5C163" w14:textId="48708115"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وتظهر هذه التطبيقات في مجالات متعددة، مثل تحليل البيانات الحكومية، وأتمتة الإجراءات، وتقديم الخدمات الإلكترونية الذكية، وتحسين إدارة الموارد، ودعم الأمن السيبراني. كما أصدرت الهيئة السعودية للبيانات والذكاء الاصطناعي أطرًا وإرشادات تتعلق بتبني الذكاء الاصطناعي، ومبادئ أخلاقياته، واستخدام الذكاء الاصطناعي التوليدي في التعاملات الحكومية، بما يؤكد أن الاستخدام المؤسسي للذكاء الاصطناعي داخل المملكة لم يعد مجرد توجه نظري، بل أصبح مرتبطًا بأدوات تنظيمية وإرشادية عملية تستهدف ترشيد التطبيق وتعزيز الثقة فيه</w:t>
      </w:r>
      <w:r w:rsidR="000D33A9">
        <w:rPr>
          <w:rStyle w:val="FootnoteReference"/>
          <w:rFonts w:ascii="Sakkal Majalla" w:hAnsi="Sakkal Majalla" w:cs="Sakkal Majalla"/>
          <w:sz w:val="32"/>
          <w:szCs w:val="32"/>
          <w:rtl/>
          <w:lang w:bidi="ar-EG"/>
        </w:rPr>
        <w:footnoteReference w:id="44"/>
      </w:r>
      <w:r w:rsidRPr="00B62589">
        <w:rPr>
          <w:rFonts w:ascii="Sakkal Majalla" w:hAnsi="Sakkal Majalla" w:cs="Sakkal Majalla"/>
          <w:sz w:val="32"/>
          <w:szCs w:val="32"/>
          <w:rtl/>
          <w:lang w:bidi="ar-EG"/>
        </w:rPr>
        <w:t>.</w:t>
      </w:r>
    </w:p>
    <w:p w14:paraId="64C5CBD2" w14:textId="6C5C1440" w:rsidR="0040261E" w:rsidRPr="00A23988" w:rsidRDefault="0040261E" w:rsidP="0040261E">
      <w:pPr>
        <w:bidi/>
        <w:spacing w:line="360" w:lineRule="auto"/>
        <w:jc w:val="mediumKashida"/>
        <w:rPr>
          <w:rFonts w:ascii="Sakkal Majalla" w:hAnsi="Sakkal Majalla" w:cs="Sakkal Majalla"/>
          <w:sz w:val="32"/>
          <w:szCs w:val="32"/>
          <w:lang w:bidi="ar-EG"/>
        </w:rPr>
      </w:pPr>
      <w:r w:rsidRPr="00A23988">
        <w:rPr>
          <w:rFonts w:ascii="Sakkal Majalla" w:hAnsi="Sakkal Majalla" w:cs="Sakkal Majalla"/>
          <w:sz w:val="32"/>
          <w:szCs w:val="32"/>
          <w:rtl/>
          <w:lang w:bidi="ar-EG"/>
        </w:rPr>
        <w:t>وتنبع أهمية هذه التطبيقات من أنها تعكس انتقال الذكاء الاصطناعي من الإطار النظري إلى واقع مؤسسي فعلي داخل المملكة العربية السعودية، الأمر الذي يجعل البحث في آثاره القانونية أكثر ارتباطًا بالواقع العملي</w:t>
      </w:r>
      <w:r w:rsidRPr="00A23988">
        <w:rPr>
          <w:rFonts w:ascii="Sakkal Majalla" w:hAnsi="Sakkal Majalla" w:cs="Sakkal Majalla" w:hint="cs"/>
          <w:sz w:val="32"/>
          <w:szCs w:val="32"/>
          <w:rtl/>
          <w:lang w:bidi="ar-EG"/>
        </w:rPr>
        <w:t xml:space="preserve"> </w:t>
      </w:r>
      <w:r w:rsidRPr="00A23988">
        <w:rPr>
          <w:rFonts w:ascii="Sakkal Majalla" w:hAnsi="Sakkal Majalla" w:cs="Sakkal Majalla"/>
          <w:sz w:val="32"/>
          <w:szCs w:val="32"/>
          <w:rtl/>
          <w:lang w:bidi="ar-EG"/>
        </w:rPr>
        <w:t xml:space="preserve">فكلما زاد اعتماد الجهات الحكومية على الأنظمة الذكية في تقديم الخدمات العامة ودعم اتخاذ القرار، ازدادت الحاجة إلى وضع ضوابط نظامية وتنظيمية تكفل سلامة استخدامها، وتحدد نطاق الإشراف البشري عليها، وتحمي الأفراد من الأضرار التي قد تنشأ عن القرارات أو الإجراءات المؤتمتة. وقد تجسد الاهتمام بهذا الجانب في عدد من الوثائق الصادرة عن الهيئة السعودية للبيانات والذكاء الاصطناعي «سدايا»، ومن أبرزها مبادئ أخلاقيات الذكاء الاصطناعي، وإطار تبني الذكاء الاصطناعي، وإرشادات استخدام الذكاء الاصطناعي التوليدي </w:t>
      </w:r>
      <w:r w:rsidRPr="00A23988">
        <w:rPr>
          <w:rFonts w:ascii="Sakkal Majalla" w:hAnsi="Sakkal Majalla" w:cs="Sakkal Majalla"/>
          <w:sz w:val="32"/>
          <w:szCs w:val="32"/>
          <w:rtl/>
          <w:lang w:bidi="ar-EG"/>
        </w:rPr>
        <w:lastRenderedPageBreak/>
        <w:t>للجهات الحكومية، وهي وثائق تؤكد مبادئ العدالة والشفافية والخصوصية والمساءلة والأمن والسلامة والإشراف البشري عند تطوير أنظمة الذكاء الاصطناعي واستخدامها في القطاع الحكومي.</w:t>
      </w:r>
    </w:p>
    <w:p w14:paraId="39ABF3D3" w14:textId="2B2C5D86" w:rsidR="00B62589" w:rsidRPr="000D33A9" w:rsidRDefault="0040261E" w:rsidP="0040261E">
      <w:pPr>
        <w:bidi/>
        <w:spacing w:line="360" w:lineRule="auto"/>
        <w:jc w:val="mediumKashida"/>
        <w:rPr>
          <w:rFonts w:ascii="Sakkal Majalla" w:hAnsi="Sakkal Majalla" w:cs="Sakkal Majalla"/>
          <w:sz w:val="32"/>
          <w:szCs w:val="32"/>
          <w:lang w:bidi="ar-EG"/>
        </w:rPr>
      </w:pPr>
      <w:r w:rsidRPr="00A23988">
        <w:rPr>
          <w:rFonts w:ascii="Sakkal Majalla" w:hAnsi="Sakkal Majalla" w:cs="Sakkal Majalla"/>
          <w:sz w:val="32"/>
          <w:szCs w:val="32"/>
          <w:rtl/>
          <w:lang w:bidi="ar-EG"/>
        </w:rPr>
        <w:t>ومؤدى ما تقدم أن تطبيقات الذكاء الاصطناعي لم تعد مقصورة على نطاق تقني محدود، بل امتدت إلى قطاعات حيوية تمس الأمن والمال والتجارة والخدمات الحكومية، وهو ما يؤكد الأهمية العملية لدراسة هذه التقنية في إطار قانوني يميز بين القواعد النظامية الملزمة وبين الوثائق التنظيمية والإرشادية، ويحدد المسؤولية عن الأضرار الناشئة عن استخدام الأنظمة الذكية بما يكفل حماية الحقوق وتحقيق التوازن بين متطلبات الابتكار وضمانات الاستخدام الآمن والمسؤول للتقنية</w:t>
      </w:r>
      <w:r w:rsidR="000D33A9" w:rsidRPr="00A23988">
        <w:rPr>
          <w:rStyle w:val="FootnoteReference"/>
          <w:rFonts w:ascii="Sakkal Majalla" w:hAnsi="Sakkal Majalla" w:cs="Sakkal Majalla"/>
          <w:sz w:val="32"/>
          <w:szCs w:val="32"/>
          <w:rtl/>
          <w:lang w:bidi="ar-EG"/>
        </w:rPr>
        <w:footnoteReference w:id="45"/>
      </w:r>
      <w:r w:rsidR="00B62589" w:rsidRPr="00A23988">
        <w:rPr>
          <w:rFonts w:ascii="Sakkal Majalla" w:hAnsi="Sakkal Majalla" w:cs="Sakkal Majalla"/>
          <w:sz w:val="32"/>
          <w:szCs w:val="32"/>
          <w:rtl/>
          <w:lang w:bidi="ar-EG"/>
        </w:rPr>
        <w:t>.</w:t>
      </w:r>
    </w:p>
    <w:p w14:paraId="4FEF6A4A" w14:textId="65B7AB8D" w:rsidR="00B62589" w:rsidRDefault="00B62589" w:rsidP="00B62589">
      <w:pPr>
        <w:bidi/>
        <w:spacing w:line="360" w:lineRule="auto"/>
        <w:jc w:val="mediumKashida"/>
        <w:rPr>
          <w:rFonts w:ascii="Sakkal Majalla" w:hAnsi="Sakkal Majalla" w:cs="Sakkal Majalla"/>
          <w:sz w:val="32"/>
          <w:szCs w:val="32"/>
          <w:rtl/>
          <w:lang w:bidi="ar-EG"/>
        </w:rPr>
      </w:pPr>
      <w:r w:rsidRPr="00B62589">
        <w:rPr>
          <w:rFonts w:ascii="Sakkal Majalla" w:hAnsi="Sakkal Majalla" w:cs="Sakkal Majalla"/>
          <w:sz w:val="32"/>
          <w:szCs w:val="32"/>
          <w:rtl/>
          <w:lang w:bidi="ar-EG"/>
        </w:rPr>
        <w:t>ومؤدى ما تقدم أن تطبيقات الذكاء الاصطناعي لم تعد مقصورة على نطاق تقني محدود، بل أصبحت ممتدة إلى قطاعات حيوية تمس الأمن، والمال، والتجارة، والخدمات الحكومية، وهو ما يؤكد الأهمية العملية لدراسة هذه التقنية في إطار قانوني</w:t>
      </w:r>
      <w:r w:rsidR="000D33A9">
        <w:rPr>
          <w:rStyle w:val="FootnoteReference"/>
          <w:rFonts w:ascii="Sakkal Majalla" w:hAnsi="Sakkal Majalla" w:cs="Sakkal Majalla"/>
          <w:sz w:val="32"/>
          <w:szCs w:val="32"/>
          <w:rtl/>
          <w:lang w:bidi="ar-EG"/>
        </w:rPr>
        <w:footnoteReference w:id="46"/>
      </w:r>
    </w:p>
    <w:p w14:paraId="08D6F641" w14:textId="77777777" w:rsidR="00B84097" w:rsidRDefault="00B84097">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70F7CB2D" w14:textId="0222B719" w:rsidR="00684AAE" w:rsidRPr="00684AAE" w:rsidRDefault="00684AAE" w:rsidP="00684AAE">
      <w:pPr>
        <w:bidi/>
        <w:spacing w:line="360" w:lineRule="auto"/>
        <w:jc w:val="center"/>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lastRenderedPageBreak/>
        <w:t>المبحث الثاني: البيئة الرقمية والجرائم الإلكترونية</w:t>
      </w:r>
    </w:p>
    <w:p w14:paraId="78DB3AE9" w14:textId="34211B95"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يكتسب هذا المبحث أهمية خاصة في إطار الدراسة، إذ إن بحث المسؤولية المدنية الناشئة عن الجرائم الإلكترونية المرتكبة باستخدام الذكاء الاصطناعي لا يمكن أن يستقيم من دون الوقوف على البيئة الرقمية التي تقع فيها هذه الأفعال، وبيان الطبيعة القانونية للجريمة الإلكترونية والخصائص التي تميزها عن غيرها من الجرائم التقليدية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فقد أفرز التطور التقني المتسارع فضاءً رقميًا واسعًا أصبحت فيه المعاملات والاتصالات وتبادل البيانات تتم بصورة لحظية وعابرة للحدود، وهو ما أتاح في المقابل ظهور أنماط مستحدثة من السلوك غير المشروع تتسم بخصوصية فنية وقانونية تجعل معالجتها أكثر تعقيدًا من الجرائم التقليدية</w:t>
      </w:r>
      <w:r w:rsidR="00093BEB">
        <w:rPr>
          <w:rStyle w:val="FootnoteReference"/>
          <w:rFonts w:ascii="Sakkal Majalla" w:hAnsi="Sakkal Majalla" w:cs="Sakkal Majalla"/>
          <w:sz w:val="32"/>
          <w:szCs w:val="32"/>
          <w:rtl/>
          <w:lang w:bidi="ar-EG"/>
        </w:rPr>
        <w:footnoteReference w:id="47"/>
      </w:r>
      <w:r w:rsidRPr="00684AAE">
        <w:rPr>
          <w:rFonts w:ascii="Sakkal Majalla" w:hAnsi="Sakkal Majalla" w:cs="Sakkal Majalla"/>
          <w:sz w:val="32"/>
          <w:szCs w:val="32"/>
          <w:rtl/>
          <w:lang w:bidi="ar-EG"/>
        </w:rPr>
        <w:t>.</w:t>
      </w:r>
    </w:p>
    <w:p w14:paraId="1966E37C" w14:textId="10173307"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وتبرز أهمية هذا المبحث كذلك في أن الجريمة الإلكترونية لا تقف عند مجرد كونها فعلًا غير مشروع يقع عبر الوسائط التقنية، بل تمتاز بخصائص تجعلها أكثر صعوبة من حيث الاكتشاف والإثبات وتحديد مرتكبها، فضلًا عن اتساع نطاق آثارها وسرعة انتشارها داخل البيئة الرقمية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كما أن ارتباط بعض هذه الجرائم بتقنيات الذكاء الاصطناعي يضاعف من تعقيدها، سواء من حيث وسائل ارتكابها أو من حيث ما تثيره من إشكالات قانونية تتصل بإسناد الفعل الضار وتحديد المسؤولية عنه</w:t>
      </w:r>
      <w:r w:rsidR="00093BEB">
        <w:rPr>
          <w:rStyle w:val="FootnoteReference"/>
          <w:rFonts w:ascii="Sakkal Majalla" w:hAnsi="Sakkal Majalla" w:cs="Sakkal Majalla"/>
          <w:sz w:val="32"/>
          <w:szCs w:val="32"/>
          <w:rtl/>
          <w:lang w:bidi="ar-EG"/>
        </w:rPr>
        <w:footnoteReference w:id="48"/>
      </w:r>
      <w:r w:rsidRPr="00684AAE">
        <w:rPr>
          <w:rFonts w:ascii="Sakkal Majalla" w:hAnsi="Sakkal Majalla" w:cs="Sakkal Majalla"/>
          <w:sz w:val="32"/>
          <w:szCs w:val="32"/>
          <w:rtl/>
          <w:lang w:bidi="ar-EG"/>
        </w:rPr>
        <w:t>.</w:t>
      </w:r>
    </w:p>
    <w:p w14:paraId="52AC103D" w14:textId="2D81B6E7" w:rsidR="00684AAE" w:rsidRPr="00684AAE" w:rsidRDefault="00684AAE" w:rsidP="00093BEB">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lastRenderedPageBreak/>
        <w:t>وانطلاقًا من ذلك، يتناول هذا المبحث في المطلب الأول مفهوم الجريمة الإلكترونية وخصائصها، من خلال بيان تعريفها في الفقه والتشريعات، ثم إبراز أهم السمات التي تميزها</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أما المطلب الثاني فيخصص لعرض أبرز التحديات القانونية التي تثيرها الجرائم الرقمية</w:t>
      </w:r>
      <w:r w:rsidR="00093BEB">
        <w:rPr>
          <w:rFonts w:ascii="Sakkal Majalla" w:hAnsi="Sakkal Majalla" w:cs="Sakkal Majalla" w:hint="cs"/>
          <w:sz w:val="32"/>
          <w:szCs w:val="32"/>
          <w:rtl/>
          <w:lang w:bidi="ar-EG"/>
        </w:rPr>
        <w:t xml:space="preserve"> .</w:t>
      </w:r>
    </w:p>
    <w:p w14:paraId="6D3A7861" w14:textId="1829C418" w:rsidR="00684AAE" w:rsidRPr="00684AAE" w:rsidRDefault="00684AAE" w:rsidP="00684AAE">
      <w:pPr>
        <w:bidi/>
        <w:spacing w:line="360" w:lineRule="auto"/>
        <w:jc w:val="mediumKashida"/>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t>المطلب الأول: مفهوم الجريمة الإلكترونية وخصائصها</w:t>
      </w:r>
      <w:r w:rsidR="00B5091F">
        <w:rPr>
          <w:rFonts w:ascii="Sakkal Majalla" w:hAnsi="Sakkal Majalla" w:cs="Sakkal Majalla" w:hint="cs"/>
          <w:b/>
          <w:bCs/>
          <w:sz w:val="32"/>
          <w:szCs w:val="32"/>
          <w:rtl/>
          <w:lang w:bidi="ar-EG"/>
        </w:rPr>
        <w:t>:</w:t>
      </w:r>
    </w:p>
    <w:p w14:paraId="690CC38D" w14:textId="7F92BEB8" w:rsidR="00684AAE" w:rsidRPr="00B5091F" w:rsidRDefault="00684AAE" w:rsidP="00B5091F">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يعد تحديد مفهوم الجريمة الإلكترونية وبيان خصائصها من المسائل الأساسية لفهم الإطار القانوني الذي تتحرك في نطاقه الدراسة، إذ إن التطور الرقمي أفرز صورًا مستحدثة من الأفعال غير المشروعة تختلف في طبيعتها ووسائلها وآثارها عن الجرائم التقليدية فلم تعد الجريمة مرتبطة بالحيز المادي وحده، بل أصبحت تقع داخل بيئة رقمية تتسم بالتشابك والسرعة والاتصال العابر للحدود، وهو ما استدعى إعادة النظر في المفاهيم القانونية التقليدية بما يواكب هذا التحول</w:t>
      </w:r>
      <w:r w:rsidR="00B5091F">
        <w:rPr>
          <w:rStyle w:val="FootnoteReference"/>
          <w:rFonts w:ascii="Sakkal Majalla" w:hAnsi="Sakkal Majalla" w:cs="Sakkal Majalla"/>
          <w:sz w:val="32"/>
          <w:szCs w:val="32"/>
          <w:rtl/>
          <w:lang w:bidi="ar-EG"/>
        </w:rPr>
        <w:footnoteReference w:id="49"/>
      </w:r>
      <w:r w:rsidRPr="00684AAE">
        <w:rPr>
          <w:rFonts w:ascii="Sakkal Majalla" w:hAnsi="Sakkal Majalla" w:cs="Sakkal Majalla"/>
          <w:sz w:val="32"/>
          <w:szCs w:val="32"/>
          <w:rtl/>
          <w:lang w:bidi="ar-EG"/>
        </w:rPr>
        <w:t>.</w:t>
      </w:r>
    </w:p>
    <w:p w14:paraId="52AF9BCC" w14:textId="29B6FA86" w:rsidR="00684AAE" w:rsidRDefault="00684AAE" w:rsidP="00684AAE">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t>وتزداد أهمية هذا المطلب في أن ضبط تعريف الجريمة الإلكترونية لا يقتصر على الجانب النظري، بل ينعكس مباشرة على التكييف القانوني للفعل، وعلى تحديد أركانه، وبيان نطاق الحماية القانونية المقررة له. كما أن إبراز خصائص الجرائم الإلكترونية يسهم في الكشف عن خصوصيتها، خاصة من حيث طابعها التقني، وصعوبة إثباتها، وإمكان ارتكابها عن بعد، واتساع آثارها في زمن قصير، وهي سمات تجعل مواجهتها القانونية أكثر تعقيدًا.</w:t>
      </w:r>
    </w:p>
    <w:p w14:paraId="288CE336" w14:textId="51BF8F19" w:rsidR="001B7E82" w:rsidRPr="00B5091F" w:rsidRDefault="001B7E82" w:rsidP="00B5091F">
      <w:pPr>
        <w:bidi/>
        <w:spacing w:line="360" w:lineRule="auto"/>
        <w:jc w:val="mediumKashida"/>
        <w:rPr>
          <w:rFonts w:ascii="Sakkal Majalla" w:hAnsi="Sakkal Majalla" w:cs="Sakkal Majalla"/>
          <w:b/>
          <w:bCs/>
          <w:sz w:val="32"/>
          <w:szCs w:val="32"/>
          <w:lang w:bidi="ar-EG"/>
        </w:rPr>
      </w:pPr>
      <w:r w:rsidRPr="00B5091F">
        <w:rPr>
          <w:rFonts w:ascii="Sakkal Majalla" w:hAnsi="Sakkal Majalla" w:cs="Sakkal Majalla"/>
          <w:b/>
          <w:bCs/>
          <w:sz w:val="32"/>
          <w:szCs w:val="32"/>
          <w:rtl/>
          <w:lang w:bidi="ar-EG"/>
        </w:rPr>
        <w:t>الفرع الأول: تعريف الجريمة الإلكترونية في الفقه والتشريعات</w:t>
      </w:r>
      <w:r w:rsidR="00B5091F">
        <w:rPr>
          <w:rFonts w:ascii="Sakkal Majalla" w:hAnsi="Sakkal Majalla" w:cs="Sakkal Majalla" w:hint="cs"/>
          <w:b/>
          <w:bCs/>
          <w:sz w:val="32"/>
          <w:szCs w:val="32"/>
          <w:rtl/>
          <w:lang w:bidi="ar-EG"/>
        </w:rPr>
        <w:t xml:space="preserve"> :</w:t>
      </w:r>
    </w:p>
    <w:p w14:paraId="41178BD2" w14:textId="314091B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يعد تعريف الجريمة الإلكترونية من المسائل التي أثارت اهتمامًا واسعًا في الفقه القانوني الحديث، وذلك بسبب ارتباط هذا النوع من الجرائم ببيئة تقنية متغيرة تتطور بوتيرة سريعة، الأمر الذي </w:t>
      </w:r>
      <w:r w:rsidRPr="001B7E82">
        <w:rPr>
          <w:rFonts w:ascii="Sakkal Majalla" w:hAnsi="Sakkal Majalla" w:cs="Sakkal Majalla"/>
          <w:sz w:val="32"/>
          <w:szCs w:val="32"/>
          <w:rtl/>
          <w:lang w:bidi="ar-EG"/>
        </w:rPr>
        <w:lastRenderedPageBreak/>
        <w:t>جعل من الصعب إخضاعها لتعريف تقليدي جامد. فالجريمة الإلكترونية لا ترتبط فقط بالفعل غير المشروع في معناه المألوف، وإنما ترتبط كذلك بالوسيلة التي ترتكب بها</w:t>
      </w:r>
      <w:r w:rsidR="00B5091F">
        <w:rPr>
          <w:rStyle w:val="FootnoteReference"/>
          <w:rFonts w:ascii="Sakkal Majalla" w:hAnsi="Sakkal Majalla" w:cs="Sakkal Majalla"/>
          <w:sz w:val="32"/>
          <w:szCs w:val="32"/>
          <w:rtl/>
          <w:lang w:bidi="ar-EG"/>
        </w:rPr>
        <w:footnoteReference w:id="50"/>
      </w:r>
      <w:r w:rsidRPr="001B7E82">
        <w:rPr>
          <w:rFonts w:ascii="Sakkal Majalla" w:hAnsi="Sakkal Majalla" w:cs="Sakkal Majalla"/>
          <w:sz w:val="32"/>
          <w:szCs w:val="32"/>
          <w:rtl/>
          <w:lang w:bidi="ar-EG"/>
        </w:rPr>
        <w:t>، وبالمحل الذي يقع عليه الاعتداء، وبالبيئة الرقمية التي تنتج فيها آثارها. ومن ثم، فإن ضبط مفهومها يمثل خطوة أساسية لفهم طبيعتها القانونية وتمييزها عن الجرائم التقليدية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وقد أكدت المصادر الدولية المعاصرة أنه لا توجد صيغة عالمية موحدة متفق عليها لتعريف الجريمة الإلكترونية، وهو ما يفسر استمرار الجدل الفقهي والتشريعي بشأن حدود هذا المفهوم واتساعه</w:t>
      </w:r>
      <w:r w:rsidR="00B5091F">
        <w:rPr>
          <w:rStyle w:val="FootnoteReference"/>
          <w:rFonts w:ascii="Sakkal Majalla" w:hAnsi="Sakkal Majalla" w:cs="Sakkal Majalla"/>
          <w:sz w:val="32"/>
          <w:szCs w:val="32"/>
          <w:rtl/>
          <w:lang w:bidi="ar-EG"/>
        </w:rPr>
        <w:footnoteReference w:id="51"/>
      </w:r>
      <w:r w:rsidRPr="001B7E82">
        <w:rPr>
          <w:rFonts w:ascii="Sakkal Majalla" w:hAnsi="Sakkal Majalla" w:cs="Sakkal Majalla"/>
          <w:sz w:val="32"/>
          <w:szCs w:val="32"/>
          <w:rtl/>
          <w:lang w:bidi="ar-EG"/>
        </w:rPr>
        <w:t>.</w:t>
      </w:r>
    </w:p>
    <w:p w14:paraId="3E05CC98" w14:textId="05DB7DE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وقد اتجه الفقه إلى تقديم تعريفات متعددة للجريمة الإلكترونية، انطلاقًا من اختلاف الزاوية التي ينظر من خلالها إلى هذا النوع من الجرائم. فبعض التعريفات ركزت على الوسيلة المستخدمة في ارتكاب الجريمة، واعتبرت الجريمة الإلكترونية كل فعل غير مشروع يستخدم فيه الحاسب الآلي أو الشبكات المعلوماتية أداة أساسية في التنفيذ</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ويمتاز هذا الاتجاه بأنه يبرز العنصر التقني بوصفه الوسيلة التي منحت هذا النوع من الجرائم خصوصيته، إلا أنه قد يبدو واسعًا إلى حد يضم أفعالًا تقليدية لمجرد استخدام وسيلة رقمية في ارتكابها</w:t>
      </w:r>
      <w:r w:rsidR="00B5091F">
        <w:rPr>
          <w:rFonts w:ascii="Sakkal Majalla" w:hAnsi="Sakkal Majalla" w:cs="Sakkal Majalla" w:hint="cs"/>
          <w:sz w:val="32"/>
          <w:szCs w:val="32"/>
          <w:rtl/>
          <w:lang w:bidi="ar-EG"/>
        </w:rPr>
        <w:t xml:space="preserve"> </w:t>
      </w:r>
      <w:r w:rsidR="00B5091F">
        <w:rPr>
          <w:rStyle w:val="FootnoteReference"/>
          <w:rFonts w:ascii="Sakkal Majalla" w:hAnsi="Sakkal Majalla" w:cs="Sakkal Majalla"/>
          <w:sz w:val="32"/>
          <w:szCs w:val="32"/>
          <w:rtl/>
          <w:lang w:bidi="ar-EG"/>
        </w:rPr>
        <w:footnoteReference w:id="52"/>
      </w:r>
      <w:r w:rsidRPr="001B7E82">
        <w:rPr>
          <w:rFonts w:ascii="Sakkal Majalla" w:hAnsi="Sakkal Majalla" w:cs="Sakkal Majalla"/>
          <w:sz w:val="32"/>
          <w:szCs w:val="32"/>
          <w:rtl/>
          <w:lang w:bidi="ar-EG"/>
        </w:rPr>
        <w:t>.</w:t>
      </w:r>
    </w:p>
    <w:p w14:paraId="7D0AD4EB" w14:textId="3C7EF3DF" w:rsidR="00B5091F" w:rsidRDefault="001B7E82" w:rsidP="00160126">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مقابل ذلك، اتجه جانب آخر من الفقه إلى التركيز على محل الاعتداء، فعرف الجريمة الإلكترونية بأنها كل سلوك غير مشروع يقع على الأنظمة المعلوماتية أو البيانات أو الشبكات، ويستهدف المساس بسرية المعلومات أو سلامتها أو توافرها أو حسن تشغيل النظم التقنية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 xml:space="preserve">ويتميز هذا الاتجاه بأنه يضيق من نطاق المفهوم ويركز على الجرائم التي يكون الاعتداء فيها موجهًا إلى </w:t>
      </w:r>
      <w:r w:rsidRPr="001B7E82">
        <w:rPr>
          <w:rFonts w:ascii="Sakkal Majalla" w:hAnsi="Sakkal Majalla" w:cs="Sakkal Majalla"/>
          <w:sz w:val="32"/>
          <w:szCs w:val="32"/>
          <w:rtl/>
          <w:lang w:bidi="ar-EG"/>
        </w:rPr>
        <w:lastRenderedPageBreak/>
        <w:t>البيئة المعلوماتية ذاتها، غير أنه قد لا يستوعب بعض الأفعال التي تستخدم الوسائط الرقمية أداة لارتكاب أضرار قانونية تمس الأفراد أو الأموال أو المراكز القانونية</w:t>
      </w:r>
      <w:r w:rsidR="00B5091F">
        <w:rPr>
          <w:rStyle w:val="FootnoteReference"/>
          <w:rFonts w:ascii="Sakkal Majalla" w:hAnsi="Sakkal Majalla" w:cs="Sakkal Majalla"/>
          <w:sz w:val="32"/>
          <w:szCs w:val="32"/>
          <w:rtl/>
          <w:lang w:bidi="ar-EG"/>
        </w:rPr>
        <w:footnoteReference w:id="53"/>
      </w:r>
      <w:r w:rsidRPr="001B7E82">
        <w:rPr>
          <w:rFonts w:ascii="Sakkal Majalla" w:hAnsi="Sakkal Majalla" w:cs="Sakkal Majalla"/>
          <w:sz w:val="32"/>
          <w:szCs w:val="32"/>
          <w:rtl/>
          <w:lang w:bidi="ar-EG"/>
        </w:rPr>
        <w:t>.</w:t>
      </w:r>
    </w:p>
    <w:p w14:paraId="621658D6" w14:textId="1B52F7FA"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كما ظهر اتجاه فقهي ثالث يميل إلى الجمع بين الوسيلة والمحل معًا، ويرى أن الجريمة الإلكترونية هي كل فعل غير مشروع يرتكب باستخدام تقنيات الحاسب الآلي أو الشبكات أو يقع عليها، ويترتب عليه اعتداء على مصلحة يحميها القانون ويعد هذا الاتجاه أكثر شمولًا واتزانًا، لأنه لا يحصر الجريمة الإلكترونية في صورة واحدة، بل يستوعب الجرائم التي تكون التقنية فيها محلًا للاعتداء، وكذلك الجرائم التي تكون فيها التقنية وسيلة لارتكاب الفعل الضار. وهذا التصور يعد أقرب إلى طبيعة الجرائم الرقمية في صورتها المعاصرة، لاسيما مع اتساع نطاق المعاملات الإلكترونية وتداخل المصالح محل الحماية</w:t>
      </w:r>
      <w:r w:rsidR="005318BC">
        <w:rPr>
          <w:rStyle w:val="FootnoteReference"/>
          <w:rFonts w:ascii="Sakkal Majalla" w:hAnsi="Sakkal Majalla" w:cs="Sakkal Majalla"/>
          <w:sz w:val="32"/>
          <w:szCs w:val="32"/>
          <w:rtl/>
          <w:lang w:bidi="ar-EG"/>
        </w:rPr>
        <w:footnoteReference w:id="54"/>
      </w:r>
      <w:r w:rsidRPr="001B7E82">
        <w:rPr>
          <w:rFonts w:ascii="Sakkal Majalla" w:hAnsi="Sakkal Majalla" w:cs="Sakkal Majalla"/>
          <w:sz w:val="32"/>
          <w:szCs w:val="32"/>
          <w:rtl/>
          <w:lang w:bidi="ar-EG"/>
        </w:rPr>
        <w:t>.</w:t>
      </w:r>
    </w:p>
    <w:p w14:paraId="4D73303A" w14:textId="77777777"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 xml:space="preserve">أما على مستوى التشريعات، فلم تتجه الأنظمة القانونية إلى مسلك واحد في تعريف الجريمة الإلكترونية؛ فبعضها لم يضع تعريفًا نظريًا جامعًا مانعًا، وإنما ركز على تجريم طوائف محددة من الأفعال، مثل الدخول غير المشروع، والاعتداء على البيانات، واعتراض الاتصالات، والاحتيال المعلوماتي، وتعطيل الأنظمة أو إساءة استخدام الشبكات ويظهر هذا الاتجاه كذلك في الصكوك الدولية ذات الصلة، حيث ركزت اتفاقية بودابست بشأن الجريمة المعلوماتية على وضع إطار متكامل لتجريم صور رئيسة من الاعتداءات الواقعة على الأنظمة والبيانات والأدلة الإلكترونية، </w:t>
      </w:r>
      <w:r w:rsidRPr="001B7E82">
        <w:rPr>
          <w:rFonts w:ascii="Sakkal Majalla" w:hAnsi="Sakkal Majalla" w:cs="Sakkal Majalla"/>
          <w:sz w:val="32"/>
          <w:szCs w:val="32"/>
          <w:rtl/>
          <w:lang w:bidi="ar-EG"/>
        </w:rPr>
        <w:lastRenderedPageBreak/>
        <w:t>أكثر من تركيزها على تقرير تعريف نظري مجرد للجريمة الإلكترونية، وهو ما يعكس الطابع العملي والمرن لهذا النوع من التنظيم</w:t>
      </w:r>
      <w:r w:rsidR="005318BC">
        <w:rPr>
          <w:rStyle w:val="FootnoteReference"/>
          <w:rFonts w:ascii="Sakkal Majalla" w:hAnsi="Sakkal Majalla" w:cs="Sakkal Majalla"/>
          <w:sz w:val="32"/>
          <w:szCs w:val="32"/>
          <w:rtl/>
          <w:lang w:bidi="ar-EG"/>
        </w:rPr>
        <w:footnoteReference w:id="55"/>
      </w:r>
      <w:r w:rsidRPr="001B7E82">
        <w:rPr>
          <w:rFonts w:ascii="Sakkal Majalla" w:hAnsi="Sakkal Majalla" w:cs="Sakkal Majalla"/>
          <w:sz w:val="32"/>
          <w:szCs w:val="32"/>
          <w:rtl/>
          <w:lang w:bidi="ar-EG"/>
        </w:rPr>
        <w:t>.</w:t>
      </w:r>
    </w:p>
    <w:p w14:paraId="5033CF43" w14:textId="6EA31D3F"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النظام السعودي أخذ المنظم بمسلك يجمع بين التعريف المختصر والتحديد التفصيلي للأفعال المجرمة؛ إذ نصت المادة الأولى من نظام مكافحة جرائم المعلوماتية على تعريف الجريمة المعلوماتية بما مؤداه: أي فعل ينطوي على استخدام الحاسب الآلي أو الشبكة المعلوماتية بالمخالفة لأحكام النظام، كما أوضحت المادة الثانية أهداف النظام المتمثلة في تعزيز أمن المعلومات، وحماية الحقوق الناشئة عن الاستخدام المشروع للحاسبات والشبكات، وحماية المصلحة العامة والآداب العامة والاقتصاد الوطني</w:t>
      </w:r>
      <w:r w:rsidR="005318BC">
        <w:rPr>
          <w:rStyle w:val="FootnoteReference"/>
          <w:rFonts w:ascii="Sakkal Majalla" w:hAnsi="Sakkal Majalla" w:cs="Sakkal Majalla"/>
          <w:sz w:val="32"/>
          <w:szCs w:val="32"/>
          <w:rtl/>
          <w:lang w:bidi="ar-EG"/>
        </w:rPr>
        <w:footnoteReference w:id="56"/>
      </w:r>
      <w:r w:rsidRPr="001B7E82">
        <w:rPr>
          <w:rFonts w:ascii="Sakkal Majalla" w:hAnsi="Sakkal Majalla" w:cs="Sakkal Majalla"/>
          <w:sz w:val="32"/>
          <w:szCs w:val="32"/>
          <w:rtl/>
          <w:lang w:bidi="ar-EG"/>
        </w:rPr>
        <w:t>.</w:t>
      </w:r>
    </w:p>
    <w:p w14:paraId="4A45C57A" w14:textId="65B86308" w:rsidR="001B7E82" w:rsidRPr="001B7E82" w:rsidRDefault="001B7E82" w:rsidP="005318BC">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 ثم مضى النظام بعد ذلك إلى تعداد الصور المجرمة في المواد اللاحقة، مثل التجسس على البيانات، والدخول غير المشروع، والاحتيال عبر الوسائل المعلوماتية، والاعتداء على البيانات الخاصة، وتعطيل الشبكات والخدمات. ويكشف هذا التنظيم عن اتجاه تشريعي عملي يقوم على عدم الاكتفاء بالتعريف المجرد، بل ربط المفهوم بصور التجريم التي يقع بها الاعتداء في البيئة الرقمية.</w:t>
      </w:r>
    </w:p>
    <w:p w14:paraId="62E91A97" w14:textId="1C3273E4" w:rsidR="001B7E82" w:rsidRPr="001B7E82" w:rsidRDefault="001B7E82" w:rsidP="00595EEA">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ومن خلال استقراء الاتجاهات الفقهية والتشريعية، يتبين أن الجريمة الإلكترونية لا تقوم فقط على عنصر عدم المشروعية، وإنما تتميز كذلك بارتباطها الوثيق بالبيئة الرقمية، سواء من حيث وسيلة التنفيذ، أم محل الاعتداء، أم طبيعة الأثر الناتج عنها. كما يتضح أن الصعوبة في تعريفها ترجع إلى تنوع صورها، وتشعب مجالاتها، وسرعة تطورها، الأمر الذي يجعل من الأنسب تبني </w:t>
      </w:r>
      <w:r w:rsidRPr="001B7E82">
        <w:rPr>
          <w:rFonts w:ascii="Sakkal Majalla" w:hAnsi="Sakkal Majalla" w:cs="Sakkal Majalla"/>
          <w:sz w:val="32"/>
          <w:szCs w:val="32"/>
          <w:rtl/>
          <w:lang w:bidi="ar-EG"/>
        </w:rPr>
        <w:lastRenderedPageBreak/>
        <w:t>تعريف وظيفي مرن يراعي طبيعتها الخاصة دون أن يفقد الدقة القانونية اللازمة</w:t>
      </w:r>
      <w:r w:rsidR="007E23D6">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ويؤيد هذا الاتجاه ما تقرره الأدبيات الدولية الحديثة من أن الجريمة الإلكترونية قد تكون جريمة تعتمد على التقنية ذاتها، وقد تكون جريمة تسهلها التقنية أو تتخذ منها أداة لارتكاب الفعل غير المشروع</w:t>
      </w:r>
      <w:r w:rsidR="007E23D6">
        <w:rPr>
          <w:rStyle w:val="FootnoteReference"/>
          <w:rFonts w:ascii="Sakkal Majalla" w:hAnsi="Sakkal Majalla" w:cs="Sakkal Majalla"/>
          <w:sz w:val="32"/>
          <w:szCs w:val="32"/>
          <w:rtl/>
          <w:lang w:bidi="ar-EG"/>
        </w:rPr>
        <w:footnoteReference w:id="57"/>
      </w:r>
      <w:r w:rsidRPr="001B7E82">
        <w:rPr>
          <w:rFonts w:ascii="Sakkal Majalla" w:hAnsi="Sakkal Majalla" w:cs="Sakkal Majalla"/>
          <w:sz w:val="32"/>
          <w:szCs w:val="32"/>
          <w:rtl/>
          <w:lang w:bidi="ar-EG"/>
        </w:rPr>
        <w:t>.</w:t>
      </w:r>
    </w:p>
    <w:p w14:paraId="691AD58C" w14:textId="7DB7600B" w:rsidR="001B7E82" w:rsidRDefault="001B7E82" w:rsidP="001B7E82">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وتأسيسًا على ذلك، يمكن تعريف الجريمة الإلكترونية في إطار هذه الدراسة بأنها كل فعل غير مشروع يرتكب باستخدام نظام معلوماتي أو شبكة إلكترونية أو يقع عليهما، ويترتب عليه اعتداء على حق أو مصلحة يحميها القانون ويتميز هذا التعريف بكونه يجمع بين الوسيلة والمحل والأثر، كما أنه يتناسب مع موضوع الدراسة؛ لأنه يسمح باستيعاب الأفعال التي ترتكب في البيئة الرقمية أو بوساطتها، ويمهد لبحث خصائص هذا النوع من الجرائم، ثم التحديات القانونية التي تثيرها، وخاصة في علاقتها بالمسؤولية المدنية الناشئة عن الأضرار المترتبة عليها</w:t>
      </w:r>
      <w:r w:rsidR="00362ADF">
        <w:rPr>
          <w:rStyle w:val="FootnoteReference"/>
          <w:rFonts w:ascii="Sakkal Majalla" w:hAnsi="Sakkal Majalla" w:cs="Sakkal Majalla"/>
          <w:sz w:val="32"/>
          <w:szCs w:val="32"/>
          <w:rtl/>
          <w:lang w:bidi="ar-EG"/>
        </w:rPr>
        <w:footnoteReference w:id="58"/>
      </w:r>
      <w:r w:rsidRPr="001B7E82">
        <w:rPr>
          <w:rFonts w:ascii="Sakkal Majalla" w:hAnsi="Sakkal Majalla" w:cs="Sakkal Majalla"/>
          <w:sz w:val="32"/>
          <w:szCs w:val="32"/>
          <w:rtl/>
          <w:lang w:bidi="ar-EG"/>
        </w:rPr>
        <w:t>.</w:t>
      </w:r>
    </w:p>
    <w:p w14:paraId="7BB06EF0" w14:textId="19CD8D6D" w:rsidR="00684AAE" w:rsidRPr="001B7E82" w:rsidRDefault="00684AAE" w:rsidP="001B7E82">
      <w:pPr>
        <w:bidi/>
        <w:spacing w:line="360" w:lineRule="auto"/>
        <w:jc w:val="mediumKashida"/>
        <w:rPr>
          <w:rFonts w:ascii="Sakkal Majalla" w:hAnsi="Sakkal Majalla" w:cs="Sakkal Majalla"/>
          <w:b/>
          <w:bCs/>
          <w:sz w:val="32"/>
          <w:szCs w:val="32"/>
          <w:lang w:bidi="ar-EG"/>
        </w:rPr>
      </w:pPr>
      <w:r w:rsidRPr="001B7E82">
        <w:rPr>
          <w:rFonts w:ascii="Sakkal Majalla" w:hAnsi="Sakkal Majalla" w:cs="Sakkal Majalla"/>
          <w:b/>
          <w:bCs/>
          <w:sz w:val="32"/>
          <w:szCs w:val="32"/>
          <w:rtl/>
          <w:lang w:bidi="ar-EG"/>
        </w:rPr>
        <w:t>الفرع الثاني: خصائص الجرائم الإلكترونية</w:t>
      </w:r>
      <w:r w:rsidR="00362ADF">
        <w:rPr>
          <w:rFonts w:ascii="Sakkal Majalla" w:hAnsi="Sakkal Majalla" w:cs="Sakkal Majalla" w:hint="cs"/>
          <w:b/>
          <w:bCs/>
          <w:sz w:val="32"/>
          <w:szCs w:val="32"/>
          <w:rtl/>
          <w:lang w:bidi="ar-EG"/>
        </w:rPr>
        <w:t xml:space="preserve"> : </w:t>
      </w:r>
    </w:p>
    <w:p w14:paraId="79FC0F94" w14:textId="7D9E7E6A"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تتميز الجرائم الإلكترونية بجملة من الخصائص التي تمنحها طبيعة خاصة تختلف عن الجرائم التقليدية، سواء من حيث وسيلة ارتكابها، أو نطاقها، أو طريقة اكتشافها وإثباتها وتزداد أهمية بيان هذه الخصائص في الدراسات القانونية؛ لأنها تؤثر مباشرة في التكييف القانوني للفعل، وفي وسائل الإثبات، وفي تحديد المسؤولية المدنية أو الجنائية الناشئة عنه كما أن خصوصية هذا </w:t>
      </w:r>
      <w:r w:rsidRPr="00F00EF0">
        <w:rPr>
          <w:rFonts w:ascii="Sakkal Majalla" w:hAnsi="Sakkal Majalla" w:cs="Sakkal Majalla"/>
          <w:sz w:val="32"/>
          <w:szCs w:val="32"/>
          <w:rtl/>
          <w:lang w:bidi="ar-EG"/>
        </w:rPr>
        <w:lastRenderedPageBreak/>
        <w:t>النوع من الجرائم ترجع إلى ارتباطه الوثيق بالأنظمة المعلوماتية والبيئة الرقمية، وإلى ما تفرضه هذه البيئة من تحديات في التتبع والتحقيق وحفظ الأدلة والتعاون عبر الحدود</w:t>
      </w:r>
      <w:r w:rsidR="00362ADF">
        <w:rPr>
          <w:rStyle w:val="FootnoteReference"/>
          <w:rFonts w:ascii="Sakkal Majalla" w:hAnsi="Sakkal Majalla" w:cs="Sakkal Majalla"/>
          <w:sz w:val="32"/>
          <w:szCs w:val="32"/>
          <w:rtl/>
          <w:lang w:bidi="ar-EG"/>
        </w:rPr>
        <w:footnoteReference w:id="59"/>
      </w:r>
      <w:r w:rsidRPr="00F00EF0">
        <w:rPr>
          <w:rFonts w:ascii="Sakkal Majalla" w:hAnsi="Sakkal Majalla" w:cs="Sakkal Majalla"/>
          <w:sz w:val="32"/>
          <w:szCs w:val="32"/>
          <w:rtl/>
          <w:lang w:bidi="ar-EG"/>
        </w:rPr>
        <w:t>.</w:t>
      </w:r>
    </w:p>
    <w:p w14:paraId="3E689E6D" w14:textId="4D2B280C"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أولًا: الطابع التقني للجريمة الإلكترونية</w:t>
      </w:r>
      <w:r w:rsidR="00362ADF" w:rsidRPr="00362ADF">
        <w:rPr>
          <w:rFonts w:ascii="Sakkal Majalla" w:hAnsi="Sakkal Majalla" w:cs="Sakkal Majalla" w:hint="cs"/>
          <w:b/>
          <w:bCs/>
          <w:sz w:val="32"/>
          <w:szCs w:val="32"/>
          <w:rtl/>
          <w:lang w:bidi="ar-EG"/>
        </w:rPr>
        <w:t xml:space="preserve"> :</w:t>
      </w:r>
    </w:p>
    <w:p w14:paraId="6A504647" w14:textId="019365D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تقوم الجريمة الإلكترونية في الأصل على استخدام وسائط تقنية حديثة، كأجهزة الحاسب الآلي، والشبكات المعلوماتية، والبرمجيات، وقواعد البيانات، وغيرها من الأدوات الرقمية التي تشكل البيئة التي تقع فيها الجريمة أو الوسيلة التي ترتكب بها. وهذا الطابع التقني يجعل هذا النوع من الجرائم مرتبطًا ارتباطًا وثيقًا بالتطور التكنولوجي، بحيث تتجدد صوره وأساليبه كلما تطورت الوسائل التقنية المستخدمة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ثم، فإن الجريمة الإلكترونية لا تنفصل عن البنية التقنية التي تحتضنها، الأمر الذي يمنحها طابعًا متميزًا من حيث التكوين والوسيلة والأثر</w:t>
      </w:r>
      <w:r w:rsidR="00362ADF">
        <w:rPr>
          <w:rStyle w:val="FootnoteReference"/>
          <w:rFonts w:ascii="Sakkal Majalla" w:hAnsi="Sakkal Majalla" w:cs="Sakkal Majalla"/>
          <w:sz w:val="32"/>
          <w:szCs w:val="32"/>
          <w:rtl/>
          <w:lang w:bidi="ar-EG"/>
        </w:rPr>
        <w:footnoteReference w:id="60"/>
      </w:r>
      <w:r w:rsidRPr="00F00EF0">
        <w:rPr>
          <w:rFonts w:ascii="Sakkal Majalla" w:hAnsi="Sakkal Majalla" w:cs="Sakkal Majalla"/>
          <w:sz w:val="32"/>
          <w:szCs w:val="32"/>
          <w:rtl/>
          <w:lang w:bidi="ar-EG"/>
        </w:rPr>
        <w:t>.</w:t>
      </w:r>
    </w:p>
    <w:p w14:paraId="68B0B7D6" w14:textId="3533260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وتكمن أهمية هذه الخاصية في أن فهم الجريمة الإلكترونية لا يقتصر على الجانب القانوني وحده، بل يستلزم قدرًا من الإلمام بالجوانب الفنية والتقنية التي تساعد على إدراك طريقة ارتكاب الفعل غير المشروع وآثاره</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كما أن الطابع التقني لهذه الجرائم يفرض على جهات التحقيق والقضاء الاستعانة بالخبرة الفنية المتخصصة عند فحص الأدلة وتحديد كيفية وقوع الجريمة ومصدرها، وذلك لأن الدليل في هذا المجال يرتبط غالبًا ببيانات رقمية وأنظمة وخوادم وبيئات تقنية لا يمكن التعامل معها بالوسائل التقليدية وحدها</w:t>
      </w:r>
      <w:r w:rsidR="00362ADF">
        <w:rPr>
          <w:rStyle w:val="FootnoteReference"/>
          <w:rFonts w:ascii="Sakkal Majalla" w:hAnsi="Sakkal Majalla" w:cs="Sakkal Majalla"/>
          <w:sz w:val="32"/>
          <w:szCs w:val="32"/>
          <w:rtl/>
          <w:lang w:bidi="ar-EG"/>
        </w:rPr>
        <w:footnoteReference w:id="61"/>
      </w:r>
      <w:r w:rsidRPr="00F00EF0">
        <w:rPr>
          <w:rFonts w:ascii="Sakkal Majalla" w:hAnsi="Sakkal Majalla" w:cs="Sakkal Majalla"/>
          <w:sz w:val="32"/>
          <w:szCs w:val="32"/>
          <w:rtl/>
          <w:lang w:bidi="ar-EG"/>
        </w:rPr>
        <w:t>.</w:t>
      </w:r>
    </w:p>
    <w:p w14:paraId="5C0B2771" w14:textId="01E757CA"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lastRenderedPageBreak/>
        <w:t>ثانيًا: صعوبة الاكتشاف والإثبات</w:t>
      </w:r>
      <w:r w:rsidR="00362ADF">
        <w:rPr>
          <w:rFonts w:ascii="Sakkal Majalla" w:hAnsi="Sakkal Majalla" w:cs="Sakkal Majalla" w:hint="cs"/>
          <w:b/>
          <w:bCs/>
          <w:sz w:val="32"/>
          <w:szCs w:val="32"/>
          <w:rtl/>
          <w:lang w:bidi="ar-EG"/>
        </w:rPr>
        <w:t xml:space="preserve"> :</w:t>
      </w:r>
    </w:p>
    <w:p w14:paraId="45F75887"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من أبرز خصائص الجرائم الإلكترونية أنها غالبًا ما ترتكب في بيئة غير مادية، وبوسائل يصعب ملاحظتها بالطرق التقليدية، الأمر الذي يجعل اكتشافها أكثر تعقيدًا من الجرائم العادية فمرتكب الجريمة الإلكترونية يستطيع تنفيذ فعله عن بعد، وفي وقت قصير، ومن خلال أدوات تقنية قد تخفي هويته أو تقلل من فرص تتبعه كما أن الطبيعة الرقمية للفعل قد تجعله يقع دون مظاهر خارجية محسوسة، وهو ما يؤدي في كثير من الأحيان إلى تأخر اكتشاف الجريمة أو عدم الانتباه إليها إلا بعد تحقق آثارها</w:t>
      </w:r>
      <w:r w:rsidR="00362ADF">
        <w:rPr>
          <w:rStyle w:val="FootnoteReference"/>
          <w:rFonts w:ascii="Sakkal Majalla" w:hAnsi="Sakkal Majalla" w:cs="Sakkal Majalla"/>
          <w:sz w:val="32"/>
          <w:szCs w:val="32"/>
          <w:rtl/>
          <w:lang w:bidi="ar-EG"/>
        </w:rPr>
        <w:footnoteReference w:id="62"/>
      </w:r>
      <w:r w:rsidRPr="00F00EF0">
        <w:rPr>
          <w:rFonts w:ascii="Sakkal Majalla" w:hAnsi="Sakkal Majalla" w:cs="Sakkal Majalla"/>
          <w:sz w:val="32"/>
          <w:szCs w:val="32"/>
          <w:rtl/>
          <w:lang w:bidi="ar-EG"/>
        </w:rPr>
        <w:t>.</w:t>
      </w:r>
    </w:p>
    <w:p w14:paraId="592EFE01" w14:textId="37AD0A38" w:rsidR="00F00EF0" w:rsidRPr="00F00EF0" w:rsidRDefault="000A030E" w:rsidP="00362ADF">
      <w:pPr>
        <w:bidi/>
        <w:spacing w:line="360" w:lineRule="auto"/>
        <w:jc w:val="mediumKashida"/>
        <w:rPr>
          <w:rFonts w:ascii="Sakkal Majalla" w:hAnsi="Sakkal Majalla" w:cs="Sakkal Majalla"/>
          <w:sz w:val="32"/>
          <w:szCs w:val="32"/>
          <w:lang w:bidi="ar-EG"/>
        </w:rPr>
      </w:pPr>
      <w:r w:rsidRPr="00143BCD">
        <w:rPr>
          <w:rFonts w:ascii="Sakkal Majalla" w:hAnsi="Sakkal Majalla" w:cs="Sakkal Majalla"/>
          <w:sz w:val="32"/>
          <w:szCs w:val="32"/>
          <w:rtl/>
          <w:lang w:bidi="ar-EG"/>
        </w:rPr>
        <w:t>وتنعكس هذه الخاصية بصورة أوضح في مرحلة الإثبات، إذ إن الأدلة في هذا النوع من الجرائم تكون في الغالب أدلة رقمية قابلة للتعديل أو الإخفاء أو الزوال خلال وقت قصير، مما يتطلب سرعة في جمعها وحفظها وفق إجراءات فنية دقيقة تضمن سلامتها وحجيتها</w:t>
      </w:r>
      <w:r w:rsidRPr="00143BCD">
        <w:rPr>
          <w:rFonts w:ascii="Sakkal Majalla" w:hAnsi="Sakkal Majalla" w:cs="Sakkal Majalla" w:hint="cs"/>
          <w:sz w:val="32"/>
          <w:szCs w:val="32"/>
          <w:rtl/>
          <w:lang w:bidi="ar-EG"/>
        </w:rPr>
        <w:t xml:space="preserve"> </w:t>
      </w:r>
      <w:r w:rsidRPr="00143BCD">
        <w:rPr>
          <w:rFonts w:ascii="Sakkal Majalla" w:hAnsi="Sakkal Majalla" w:cs="Sakkal Majalla"/>
          <w:sz w:val="32"/>
          <w:szCs w:val="32"/>
          <w:rtl/>
          <w:lang w:bidi="ar-EG"/>
        </w:rPr>
        <w:t>وقد أوضحت الأدبيات القانونية المتعلقة بالأدلة الرقمية أن حجية هذا النوع من الأدلة ترتبط بسلامتها وموثوقية الإجراءات الفنية المتبعة في جمعها واستخراجها وتحليلها كما أن صعوبة الإثبات قد تؤثر في قدرة المتضرر على إثبات الخطأ أو علاقة السببية، خاصة في الدعاوى التي تقوم على طلب التعويض عن الأضرار الناشئة عن هذه الجرائم.</w:t>
      </w:r>
      <w:r w:rsidR="00362ADF" w:rsidRPr="00143BCD">
        <w:rPr>
          <w:rStyle w:val="FootnoteReference"/>
          <w:rFonts w:ascii="Sakkal Majalla" w:hAnsi="Sakkal Majalla" w:cs="Sakkal Majalla"/>
          <w:sz w:val="32"/>
          <w:szCs w:val="32"/>
          <w:rtl/>
          <w:lang w:bidi="ar-EG"/>
        </w:rPr>
        <w:footnoteReference w:id="63"/>
      </w:r>
      <w:r w:rsidR="00F00EF0" w:rsidRPr="00143BCD">
        <w:rPr>
          <w:rFonts w:ascii="Sakkal Majalla" w:hAnsi="Sakkal Majalla" w:cs="Sakkal Majalla"/>
          <w:sz w:val="32"/>
          <w:szCs w:val="32"/>
          <w:rtl/>
          <w:lang w:bidi="ar-EG"/>
        </w:rPr>
        <w:t>.</w:t>
      </w:r>
    </w:p>
    <w:p w14:paraId="17EB1709" w14:textId="277A7EB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ثالثًا: الطابع العابر للحدود</w:t>
      </w:r>
      <w:r w:rsidR="00362ADF">
        <w:rPr>
          <w:rFonts w:ascii="Sakkal Majalla" w:hAnsi="Sakkal Majalla" w:cs="Sakkal Majalla" w:hint="cs"/>
          <w:b/>
          <w:bCs/>
          <w:sz w:val="32"/>
          <w:szCs w:val="32"/>
          <w:rtl/>
          <w:lang w:bidi="ar-EG"/>
        </w:rPr>
        <w:t xml:space="preserve"> :</w:t>
      </w:r>
    </w:p>
    <w:p w14:paraId="0A08691C" w14:textId="3524A496" w:rsidR="00F00EF0" w:rsidRPr="00F00EF0" w:rsidRDefault="00026877" w:rsidP="00362ADF">
      <w:pPr>
        <w:bidi/>
        <w:spacing w:line="360" w:lineRule="auto"/>
        <w:jc w:val="mediumKashida"/>
        <w:rPr>
          <w:rFonts w:ascii="Sakkal Majalla" w:hAnsi="Sakkal Majalla" w:cs="Sakkal Majalla"/>
          <w:sz w:val="32"/>
          <w:szCs w:val="32"/>
          <w:lang w:bidi="ar-EG"/>
        </w:rPr>
      </w:pPr>
      <w:r w:rsidRPr="00143BCD">
        <w:rPr>
          <w:rFonts w:ascii="Sakkal Majalla" w:hAnsi="Sakkal Majalla" w:cs="Sakkal Majalla"/>
          <w:sz w:val="32"/>
          <w:szCs w:val="32"/>
          <w:rtl/>
          <w:lang w:bidi="ar-EG"/>
        </w:rPr>
        <w:lastRenderedPageBreak/>
        <w:t>تتسم الجرائم الإلكترونية بطبيعتها العابرة للحدود، إذ قد يرتكب الفعل من دولة ويستهدف نظامًا أو شخصًا أو مؤسسة في دولة أخرى، في حين تكون البيانات أو الخوادم أو عناصر البنية التقنية ذات الصلة موزعة بين أكثر من دولة ويترتب على هذا الامتداد الجغرافي صعوبة حصر الجريمة في نطاق إقليمي واحد، فضلًا عن احتمال توزع الأدلة الإلكترونية بين ولايات قضائية متعددة، الأمر الذي يثير إشكالات تتعلق بتحديد الاختصاص القضائي والقانون الواجب التطبيق وآليات الوصول إلى الأدلة الرقمية وحفظها.</w:t>
      </w:r>
      <w:r w:rsidR="00362ADF" w:rsidRPr="00143BCD">
        <w:rPr>
          <w:rStyle w:val="FootnoteReference"/>
          <w:rFonts w:ascii="Sakkal Majalla" w:hAnsi="Sakkal Majalla" w:cs="Sakkal Majalla"/>
          <w:sz w:val="32"/>
          <w:szCs w:val="32"/>
          <w:rtl/>
          <w:lang w:bidi="ar-EG"/>
        </w:rPr>
        <w:footnoteReference w:id="64"/>
      </w:r>
      <w:r w:rsidR="00F00EF0" w:rsidRPr="00143BCD">
        <w:rPr>
          <w:rFonts w:ascii="Sakkal Majalla" w:hAnsi="Sakkal Majalla" w:cs="Sakkal Majalla"/>
          <w:sz w:val="32"/>
          <w:szCs w:val="32"/>
          <w:rtl/>
          <w:lang w:bidi="ar-EG"/>
        </w:rPr>
        <w:t>.</w:t>
      </w:r>
    </w:p>
    <w:p w14:paraId="5D77EA38" w14:textId="67EE2CAF"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وتثير هذه الخاصية مشكلات قانونية وعملية متعددة، تتعلق بتحديد الاختصاص القضائي، وتعيين القانون الواجب التطبيق، وآليات التعاون الدولي في جمع الأدلة وملاحقة الجناة. كما أن اتساع النطاق الجغرافي للجريمة قد يؤدي إلى تعدد المتضررين واختلاف الأنظمة القانونية التي يمكن أن تخضع لها الواقعة، وهو ما يزيد من تعقيد المعالجة القانونية لها. ولهذا السبب أولت الاتفاقيات والمبادرات الدولية أهمية خاصة لآليات حفظ البيانات على وجه السرعة، وتبادل المساعدة القانونية، وتعزيز التعاون عبر الحدود في مسائل الجريمة الإلكترونية والأدلة الإلكترونية</w:t>
      </w:r>
      <w:r w:rsidR="00362ADF">
        <w:rPr>
          <w:rStyle w:val="FootnoteReference"/>
          <w:rFonts w:ascii="Sakkal Majalla" w:hAnsi="Sakkal Majalla" w:cs="Sakkal Majalla"/>
          <w:sz w:val="32"/>
          <w:szCs w:val="32"/>
          <w:rtl/>
          <w:lang w:bidi="ar-EG"/>
        </w:rPr>
        <w:footnoteReference w:id="65"/>
      </w:r>
      <w:r w:rsidRPr="00F00EF0">
        <w:rPr>
          <w:rFonts w:ascii="Sakkal Majalla" w:hAnsi="Sakkal Majalla" w:cs="Sakkal Majalla"/>
          <w:sz w:val="32"/>
          <w:szCs w:val="32"/>
          <w:rtl/>
          <w:lang w:bidi="ar-EG"/>
        </w:rPr>
        <w:t>.</w:t>
      </w:r>
    </w:p>
    <w:p w14:paraId="1C99FDB6" w14:textId="23B4BE1D"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رابعًا: السرعة في التنفيذ والانتشار</w:t>
      </w:r>
      <w:r w:rsidR="00362ADF">
        <w:rPr>
          <w:rFonts w:ascii="Sakkal Majalla" w:hAnsi="Sakkal Majalla" w:cs="Sakkal Majalla" w:hint="cs"/>
          <w:b/>
          <w:bCs/>
          <w:sz w:val="32"/>
          <w:szCs w:val="32"/>
          <w:rtl/>
          <w:lang w:bidi="ar-EG"/>
        </w:rPr>
        <w:t xml:space="preserve"> :</w:t>
      </w:r>
    </w:p>
    <w:p w14:paraId="3DFCF2BC" w14:textId="43520C68"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 xml:space="preserve">من الخصائص المميزة للجرائم الإلكترونية أنها ترتكب غالبًا بسرعة كبيرة، وقد تنتشر آثارها في زمن قصير جدًا مقارنة بالجرائم التقليدية. فالهجمة الإلكترونية أو عملية الاحتيال الرقمي أو نشر </w:t>
      </w:r>
      <w:r w:rsidRPr="00F00EF0">
        <w:rPr>
          <w:rFonts w:ascii="Sakkal Majalla" w:hAnsi="Sakkal Majalla" w:cs="Sakkal Majalla"/>
          <w:sz w:val="32"/>
          <w:szCs w:val="32"/>
          <w:rtl/>
          <w:lang w:bidi="ar-EG"/>
        </w:rPr>
        <w:lastRenderedPageBreak/>
        <w:t>المحتوى غير المشروع قد يتم خلال لحظات، ثم يمتد أثره إلى عدد كبير من الأشخاص أو المؤسسات في وقت وجيز</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ويرجع ذلك إلى طبيعة البيئة الرقمية ذاتها، التي تسمح بنقل البيانات وتداول المحتوى وتنفيذ الأوامر التقنية بصورة لحظية تقريبًا، بما يضاعف من أثر السلوك غير المشروع فور وقوعه</w:t>
      </w:r>
      <w:r w:rsidR="00362ADF">
        <w:rPr>
          <w:rStyle w:val="FootnoteReference"/>
          <w:rFonts w:ascii="Sakkal Majalla" w:hAnsi="Sakkal Majalla" w:cs="Sakkal Majalla"/>
          <w:sz w:val="32"/>
          <w:szCs w:val="32"/>
          <w:rtl/>
          <w:lang w:bidi="ar-EG"/>
        </w:rPr>
        <w:footnoteReference w:id="66"/>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وتكمن خطورة هذه الخاصية في أن الضرر لا يظل محدودًا بنطاق ضيق، بل قد يتضاعف بسرعة قبل أن تتمكن الجهات المختصة من التدخل أو الاحتواء. </w:t>
      </w:r>
    </w:p>
    <w:p w14:paraId="65FE439A"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ومن ثم فإن السرعة في التنفيذ والانتشار تجعل من الجريمة الإلكترونية جريمة ذات أثر متسع، وقد تؤدي إلى خسائر مالية أو معنوية أو معلوماتية كبيرة خلال فترة زمنية قصيرة. وهذا ما يفسر الحاجة إلى استجابة قانونية وإجرائية عاجلة، سواء من حيث حفظ الأدلة أو من حيث اتخاذ التدابير الوقائية أو العلاجية المناسبة</w:t>
      </w:r>
      <w:r w:rsidR="00362ADF">
        <w:rPr>
          <w:rStyle w:val="FootnoteReference"/>
          <w:rFonts w:ascii="Sakkal Majalla" w:hAnsi="Sakkal Majalla" w:cs="Sakkal Majalla"/>
          <w:sz w:val="32"/>
          <w:szCs w:val="32"/>
          <w:rtl/>
          <w:lang w:bidi="ar-EG"/>
        </w:rPr>
        <w:footnoteReference w:id="67"/>
      </w:r>
      <w:r w:rsidRPr="00F00EF0">
        <w:rPr>
          <w:rFonts w:ascii="Sakkal Majalla" w:hAnsi="Sakkal Majalla" w:cs="Sakkal Majalla"/>
          <w:sz w:val="32"/>
          <w:szCs w:val="32"/>
          <w:rtl/>
          <w:lang w:bidi="ar-EG"/>
        </w:rPr>
        <w:t>.</w:t>
      </w:r>
    </w:p>
    <w:p w14:paraId="6DEB0FCE" w14:textId="62162B7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خامسًا: إمكانية إخفاء الهوية ومحو الآثار</w:t>
      </w:r>
      <w:r w:rsidR="00362ADF">
        <w:rPr>
          <w:rFonts w:ascii="Sakkal Majalla" w:hAnsi="Sakkal Majalla" w:cs="Sakkal Majalla" w:hint="cs"/>
          <w:b/>
          <w:bCs/>
          <w:sz w:val="32"/>
          <w:szCs w:val="32"/>
          <w:rtl/>
          <w:lang w:bidi="ar-EG"/>
        </w:rPr>
        <w:t xml:space="preserve"> :</w:t>
      </w:r>
    </w:p>
    <w:p w14:paraId="020B45CD" w14:textId="01387DB9" w:rsidR="00F00EF0" w:rsidRPr="00362ADF" w:rsidRDefault="00F00EF0" w:rsidP="00362ADF">
      <w:pPr>
        <w:bidi/>
        <w:spacing w:line="360" w:lineRule="auto"/>
        <w:jc w:val="mediumKashida"/>
        <w:rPr>
          <w:rFonts w:ascii="Sakkal Majalla" w:hAnsi="Sakkal Majalla" w:cs="Sakkal Majalla"/>
          <w:sz w:val="32"/>
          <w:szCs w:val="32"/>
          <w:lang w:bidi="ar-EG"/>
        </w:rPr>
      </w:pPr>
      <w:r w:rsidRPr="00143BCD">
        <w:rPr>
          <w:rFonts w:ascii="Sakkal Majalla" w:hAnsi="Sakkal Majalla" w:cs="Sakkal Majalla"/>
          <w:sz w:val="32"/>
          <w:szCs w:val="32"/>
          <w:rtl/>
          <w:lang w:bidi="ar-EG"/>
        </w:rPr>
        <w:t xml:space="preserve">يستطيع مرتكب الجريمة الإلكترونية في كثير من الأحيان أن يستخدم وسائل تقنية متعددة لإخفاء هويته، كالشبكات الافتراضية، أو الحسابات الوهمية، أو أدوات إعادة توجيه الاتصال، أو وسائل التشفير والإخفاء. وهذه القدرة على إخفاء الهوية تمنح الجاني فرصة أكبر للإفلات من التتبع، وتجعل تحديده أكثر صعوبة، لا سيما إذا ارتبط النشاط الإجرامي ببنية تقنية موزعة أو بوسائط </w:t>
      </w:r>
      <w:r w:rsidRPr="00143BCD">
        <w:rPr>
          <w:rFonts w:ascii="Sakkal Majalla" w:hAnsi="Sakkal Majalla" w:cs="Sakkal Majalla"/>
          <w:sz w:val="32"/>
          <w:szCs w:val="32"/>
          <w:rtl/>
          <w:lang w:bidi="ar-EG"/>
        </w:rPr>
        <w:lastRenderedPageBreak/>
        <w:t>عابرة للحدود وقد أشارت المصادر الدولية إلى أن المجرمين قد يعملون عن بعد وبدرجة عالية من إخفاء الهوية، وهو ما يمثل أحد أبرز التحديات في هذا المجال</w:t>
      </w:r>
      <w:r w:rsidR="00026877" w:rsidRPr="00143BCD">
        <w:rPr>
          <w:rStyle w:val="FootnoteReference"/>
          <w:rFonts w:ascii="Sakkal Majalla" w:hAnsi="Sakkal Majalla" w:cs="Sakkal Majalla"/>
          <w:sz w:val="32"/>
          <w:szCs w:val="32"/>
          <w:rtl/>
          <w:lang w:bidi="ar-EG"/>
        </w:rPr>
        <w:footnoteReference w:id="68"/>
      </w:r>
      <w:r w:rsidRPr="00143BCD">
        <w:rPr>
          <w:rFonts w:ascii="Sakkal Majalla" w:hAnsi="Sakkal Majalla" w:cs="Sakkal Majalla"/>
          <w:sz w:val="32"/>
          <w:szCs w:val="32"/>
          <w:rtl/>
          <w:lang w:bidi="ar-EG"/>
        </w:rPr>
        <w:t>.</w:t>
      </w:r>
    </w:p>
    <w:p w14:paraId="55F92D0D" w14:textId="119B7632"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ولا تقف المشكلة عند حد إخفاء الهوية، بل تمتد كذلك إلى إمكانية محو الآثار الرقمية أو العبث بها أو نقلها، بما يضعف من فرص اكتشاف الجريمة أو إثباتها ولهذا السبب تعد المحافظة على الأدلة الرقمية وسرعة ضبطها من المسائل الجوهرية في مواجهة هذا النوع من الجرائم، لأن التأخر في ذلك قد يؤدي إلى ضياع الدليل أو المساس بسلامته كما أن سلامة الدليل الرقمي وحجية نتائجه ترتبطان ارتباطًا وثيقًا بطريقة جمعه وفحصه وتوثيق سلسلة حيازته</w:t>
      </w:r>
      <w:r w:rsidR="0001606F">
        <w:rPr>
          <w:rStyle w:val="FootnoteReference"/>
          <w:rFonts w:ascii="Sakkal Majalla" w:hAnsi="Sakkal Majalla" w:cs="Sakkal Majalla"/>
          <w:sz w:val="32"/>
          <w:szCs w:val="32"/>
          <w:rtl/>
          <w:lang w:bidi="ar-EG"/>
        </w:rPr>
        <w:footnoteReference w:id="69"/>
      </w:r>
      <w:r w:rsidRPr="00F00EF0">
        <w:rPr>
          <w:rFonts w:ascii="Sakkal Majalla" w:hAnsi="Sakkal Majalla" w:cs="Sakkal Majalla"/>
          <w:sz w:val="32"/>
          <w:szCs w:val="32"/>
          <w:rtl/>
          <w:lang w:bidi="ar-EG"/>
        </w:rPr>
        <w:t>.</w:t>
      </w:r>
    </w:p>
    <w:p w14:paraId="2D0ECACF" w14:textId="3DA1D462"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سادسًا: تعدد صور الضرر الناشئ عنها</w:t>
      </w:r>
      <w:r w:rsidR="00362ADF">
        <w:rPr>
          <w:rFonts w:ascii="Sakkal Majalla" w:hAnsi="Sakkal Majalla" w:cs="Sakkal Majalla" w:hint="cs"/>
          <w:b/>
          <w:bCs/>
          <w:sz w:val="32"/>
          <w:szCs w:val="32"/>
          <w:rtl/>
          <w:lang w:bidi="ar-EG"/>
        </w:rPr>
        <w:t xml:space="preserve"> :</w:t>
      </w:r>
    </w:p>
    <w:p w14:paraId="7BFFAF05" w14:textId="4E656658"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لا يقتصر الضرر الناتج عن الجرائم الإلكترونية على جانب واحد، بل قد يكون ضررًا ماديًا أو معنويًا أو معلوماتيًا، وقد يمس السمعة والخصوصية والاعتبار الشخصي، فضلًا عن المصالح الاقتصادية والمؤسسية. فقد يترتب على الجريمة الإلكترونية خسارة مالية مباشرة، أو تسريب بيانات شخصية، أو تعطيل خدمات إلكترونية، أو تشويه سمعة الأفراد والمؤسسات عبر المحتوى الرقمي. ويكشف هذا التعدد في صور الضرر عن أن آثار الجريمة الإلكترونية لا تتوقف عند حدود الاعتداء على النظام أو البيانات، بل تمتد إلى مصالح وحقوق متنوعة يحميها القانون</w:t>
      </w:r>
      <w:r w:rsidR="00362ADF">
        <w:rPr>
          <w:rStyle w:val="FootnoteReference"/>
          <w:rFonts w:ascii="Sakkal Majalla" w:hAnsi="Sakkal Majalla" w:cs="Sakkal Majalla"/>
          <w:sz w:val="32"/>
          <w:szCs w:val="32"/>
          <w:rtl/>
          <w:lang w:bidi="ar-EG"/>
        </w:rPr>
        <w:footnoteReference w:id="70"/>
      </w:r>
      <w:r w:rsidRPr="00F00EF0">
        <w:rPr>
          <w:rFonts w:ascii="Sakkal Majalla" w:hAnsi="Sakkal Majalla" w:cs="Sakkal Majalla"/>
          <w:sz w:val="32"/>
          <w:szCs w:val="32"/>
          <w:rtl/>
          <w:lang w:bidi="ar-EG"/>
        </w:rPr>
        <w:t>.</w:t>
      </w:r>
    </w:p>
    <w:p w14:paraId="2B740D7F" w14:textId="5220360E"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وتظهر أهمية هذه الخاصية في أنها تجعل تقدير الضرر أكثر تعقيدًا، كما تؤثر في تحديد نوع الحماية القانونية المطلوبة، سواء كانت حماية جنائية أم مدنية. وفي نطاق المسؤولية المدنية على </w:t>
      </w:r>
      <w:r w:rsidRPr="00F00EF0">
        <w:rPr>
          <w:rFonts w:ascii="Sakkal Majalla" w:hAnsi="Sakkal Majalla" w:cs="Sakkal Majalla"/>
          <w:sz w:val="32"/>
          <w:szCs w:val="32"/>
          <w:rtl/>
          <w:lang w:bidi="ar-EG"/>
        </w:rPr>
        <w:lastRenderedPageBreak/>
        <w:t>وجه الخصوص، فإن تعدد صور الضرر ينعكس على تقدير التعويض، وعلى بيان مدى ارتباطه بالفعل غير المشروع المرتكب في البيئة الرقمية، ولا سيما إذا ترتب على الفعل ضرر متسلسل أو ممتد أو أصاب أكثر من مصلحة قانونية في وقت واحد وهذه السمة تبرز بوضوح الحاجة إلى معالجة قانونية دقيقة تراعي طبيعة الضرر الرقمي وخصوصية آثاره</w:t>
      </w:r>
      <w:r w:rsidR="00362ADF">
        <w:rPr>
          <w:rStyle w:val="FootnoteReference"/>
          <w:rFonts w:ascii="Sakkal Majalla" w:hAnsi="Sakkal Majalla" w:cs="Sakkal Majalla"/>
          <w:sz w:val="32"/>
          <w:szCs w:val="32"/>
          <w:rtl/>
          <w:lang w:bidi="ar-EG"/>
        </w:rPr>
        <w:footnoteReference w:id="71"/>
      </w:r>
      <w:r w:rsidRPr="00F00EF0">
        <w:rPr>
          <w:rFonts w:ascii="Sakkal Majalla" w:hAnsi="Sakkal Majalla" w:cs="Sakkal Majalla"/>
          <w:sz w:val="32"/>
          <w:szCs w:val="32"/>
          <w:rtl/>
          <w:lang w:bidi="ar-EG"/>
        </w:rPr>
        <w:t>.</w:t>
      </w:r>
    </w:p>
    <w:p w14:paraId="2F1263EF" w14:textId="310302C8"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سابعًا: الارتباط بالتطور المستمر للتقنية</w:t>
      </w:r>
      <w:r w:rsidR="005E3775">
        <w:rPr>
          <w:rFonts w:ascii="Sakkal Majalla" w:hAnsi="Sakkal Majalla" w:cs="Sakkal Majalla" w:hint="cs"/>
          <w:b/>
          <w:bCs/>
          <w:sz w:val="32"/>
          <w:szCs w:val="32"/>
          <w:rtl/>
          <w:lang w:bidi="ar-EG"/>
        </w:rPr>
        <w:t xml:space="preserve"> :</w:t>
      </w:r>
    </w:p>
    <w:p w14:paraId="6F909B24" w14:textId="0449917D" w:rsidR="00F00EF0" w:rsidRPr="00F00EF0" w:rsidRDefault="00F00EF0" w:rsidP="00F00EF0">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تتطور الجرائم الإلكترونية بتطور الوسائل التقنية ذاتها، إذ إن كل تطور في أنظمة الاتصال أو البرمجيات أو الذكاء الاصطناعي أو وسائل المعالجة الرقمية قد يفرز صورًا جديدة من السلوك الإجرامي لم تكن معروفة من قبل ولذلك فإن هذا النوع من الجرائم يتميز بعدم الثبات، بل بالتجدد المستمر في الأدوات والوسائل والأساليب</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وهذا ما يفسر صعوبة إحاطة المشرع بجميع الصور المستحدثة في قالب جامد، ويبرر الاتجاه نحو الصياغات النظامية المرنة التي تستوعب الأفعال المستجدة في البيئة الرقمية</w:t>
      </w:r>
      <w:r w:rsidR="005E3775">
        <w:rPr>
          <w:rStyle w:val="FootnoteReference"/>
          <w:rFonts w:ascii="Sakkal Majalla" w:hAnsi="Sakkal Majalla" w:cs="Sakkal Majalla"/>
          <w:sz w:val="32"/>
          <w:szCs w:val="32"/>
          <w:rtl/>
          <w:lang w:bidi="ar-EG"/>
        </w:rPr>
        <w:footnoteReference w:id="72"/>
      </w:r>
      <w:r w:rsidRPr="00F00EF0">
        <w:rPr>
          <w:rFonts w:ascii="Sakkal Majalla" w:hAnsi="Sakkal Majalla" w:cs="Sakkal Majalla"/>
          <w:sz w:val="32"/>
          <w:szCs w:val="32"/>
          <w:rtl/>
          <w:lang w:bidi="ar-EG"/>
        </w:rPr>
        <w:t>.</w:t>
      </w:r>
    </w:p>
    <w:p w14:paraId="1A7ED227" w14:textId="53858705"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 ومن هنا تظهر الحاجة إلى تطوير مستمر في التشريعات، وفي وسائل المكافحة، وفي أدوات الإثبات </w:t>
      </w:r>
      <w:r w:rsidRPr="00F00EF0">
        <w:rPr>
          <w:rFonts w:ascii="Sakkal Majalla" w:hAnsi="Sakkal Majalla" w:cs="Sakkal Majalla"/>
          <w:sz w:val="32"/>
          <w:szCs w:val="32"/>
          <w:rtl/>
          <w:lang w:bidi="ar-EG"/>
        </w:rPr>
        <w:lastRenderedPageBreak/>
        <w:t>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362ADF">
        <w:rPr>
          <w:rStyle w:val="FootnoteReference"/>
          <w:rFonts w:ascii="Sakkal Majalla" w:hAnsi="Sakkal Majalla" w:cs="Sakkal Majalla"/>
          <w:sz w:val="32"/>
          <w:szCs w:val="32"/>
          <w:rtl/>
          <w:lang w:bidi="ar-EG"/>
        </w:rPr>
        <w:footnoteReference w:id="73"/>
      </w:r>
      <w:r w:rsidRPr="00F00EF0">
        <w:rPr>
          <w:rFonts w:ascii="Sakkal Majalla" w:hAnsi="Sakkal Majalla" w:cs="Sakkal Majalla"/>
          <w:sz w:val="32"/>
          <w:szCs w:val="32"/>
          <w:rtl/>
          <w:lang w:bidi="ar-EG"/>
        </w:rPr>
        <w:t>.</w:t>
      </w:r>
    </w:p>
    <w:p w14:paraId="77C364F2" w14:textId="6D853420"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ومما تقدم يتبين أن الجرائم الإلكترونية تتمتع بخصائص تجعلها مختلفة في طبيعتها وآثارها عن الجرائم التقليدية؛ فهي جرائم ذات طابع تقني، عابرة للحدود، سريعة التنفيذ والانتشار، يصعب اكتشافها وإثباتها، كما أنها قد تخلّف أضرارًا متعددة ومتسعة النطاق وهذه الخصائص لا تكشف فقط عن خصوصية هذا النوع من الجرائم، بل تمهد كذلك لفهم التحديات القانونية التي تثيرها، سواء على مستوى التجريم أو الإثبات أو المسؤولية</w:t>
      </w:r>
      <w:r w:rsidR="00362ADF">
        <w:rPr>
          <w:rStyle w:val="FootnoteReference"/>
          <w:rFonts w:ascii="Sakkal Majalla" w:hAnsi="Sakkal Majalla" w:cs="Sakkal Majalla"/>
          <w:sz w:val="32"/>
          <w:szCs w:val="32"/>
          <w:rtl/>
          <w:lang w:bidi="ar-EG"/>
        </w:rPr>
        <w:footnoteReference w:id="74"/>
      </w:r>
      <w:r w:rsidR="00362ADF">
        <w:rPr>
          <w:rFonts w:ascii="Sakkal Majalla" w:hAnsi="Sakkal Majalla" w:cs="Sakkal Majalla" w:hint="cs"/>
          <w:sz w:val="32"/>
          <w:szCs w:val="32"/>
          <w:rtl/>
          <w:lang w:bidi="ar-EG"/>
        </w:rPr>
        <w:t xml:space="preserve"> .</w:t>
      </w:r>
    </w:p>
    <w:p w14:paraId="3DEDF22C" w14:textId="69214DAE" w:rsidR="001B7E82" w:rsidRDefault="00F00EF0" w:rsidP="00F00EF0">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A70643">
        <w:rPr>
          <w:rStyle w:val="FootnoteReference"/>
          <w:rFonts w:ascii="Sakkal Majalla" w:hAnsi="Sakkal Majalla" w:cs="Sakkal Majalla"/>
          <w:sz w:val="32"/>
          <w:szCs w:val="32"/>
          <w:rtl/>
          <w:lang w:bidi="ar-EG"/>
        </w:rPr>
        <w:footnoteReference w:id="75"/>
      </w:r>
    </w:p>
    <w:p w14:paraId="1069D6A5" w14:textId="4B6E2AE3" w:rsidR="00B84097" w:rsidRPr="00A70643" w:rsidRDefault="00684AAE" w:rsidP="00A70643">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b/>
          <w:bCs/>
          <w:sz w:val="32"/>
          <w:szCs w:val="32"/>
          <w:rtl/>
          <w:lang w:bidi="ar-EG"/>
        </w:rPr>
        <w:t>المطلب الثاني: التحديات القانونية للجرائم الرقمية</w:t>
      </w:r>
      <w:r w:rsidR="00B84097">
        <w:rPr>
          <w:rFonts w:ascii="Sakkal Majalla" w:hAnsi="Sakkal Majalla" w:cs="Sakkal Majalla" w:hint="cs"/>
          <w:b/>
          <w:bCs/>
          <w:sz w:val="32"/>
          <w:szCs w:val="32"/>
          <w:rtl/>
          <w:lang w:bidi="ar-EG"/>
        </w:rPr>
        <w:t xml:space="preserve"> : </w:t>
      </w:r>
    </w:p>
    <w:p w14:paraId="347512A1" w14:textId="658796D0"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تثير الجرائم الرقمية عددًا من التحديات القانونية التي تجعل معالجتها أكثر تعقيدًا من الجرائم التقليدية، ذلك أن هذا النوع من الجرائم يرتبط ببيئة تقنية متغيرة، تتسم بسرعة التطور، وتعدد </w:t>
      </w:r>
      <w:r w:rsidRPr="00B84097">
        <w:rPr>
          <w:rFonts w:ascii="Sakkal Majalla" w:hAnsi="Sakkal Majalla" w:cs="Sakkal Majalla"/>
          <w:sz w:val="32"/>
          <w:szCs w:val="32"/>
          <w:rtl/>
          <w:lang w:bidi="ar-EG"/>
        </w:rPr>
        <w:lastRenderedPageBreak/>
        <w:t>الوسائط، واتساع النطاق الجغرافي، فضلًا عن إمكان ارتكاب الفعل غير المشروع عن بعد وبوسائل يصعب تتبعها</w:t>
      </w:r>
      <w:r w:rsidR="001C5F30">
        <w:rPr>
          <w:rStyle w:val="FootnoteReference"/>
          <w:rFonts w:ascii="Sakkal Majalla" w:hAnsi="Sakkal Majalla" w:cs="Sakkal Majalla"/>
          <w:sz w:val="32"/>
          <w:szCs w:val="32"/>
          <w:rtl/>
          <w:lang w:bidi="ar-EG"/>
        </w:rPr>
        <w:footnoteReference w:id="76"/>
      </w:r>
      <w:r w:rsidR="00CD54A1">
        <w:rPr>
          <w:rFonts w:ascii="Sakkal Majalla" w:hAnsi="Sakkal Majalla" w:cs="Sakkal Majalla" w:hint="cs"/>
          <w:sz w:val="32"/>
          <w:szCs w:val="32"/>
          <w:rtl/>
          <w:lang w:bidi="ar-EG"/>
        </w:rPr>
        <w:t xml:space="preserve"> </w:t>
      </w:r>
    </w:p>
    <w:p w14:paraId="475C2F3D" w14:textId="685A663C" w:rsidR="00B84097" w:rsidRPr="00B84097" w:rsidRDefault="00B84097" w:rsidP="00CD54A1">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ومن ثم فإن الإشكال في الجرائم الرقمية لا ينحصر في تحديد الفعل المجرم فحسب، بل يمتد إلى مسائل أكثر دقة تتعلق بإثباته، وتحديد مرتكبه، وتعيين القانون الواجب التطبيق، وبيان الجهة المختصة بنظر النزاع</w:t>
      </w:r>
      <w:r w:rsidR="00FC655F">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ويؤكد هذا التعقيد ما اتجهت إليه الصكوك الدولية الحديثة من تعزيز التعاون في مواجهة الجريمة السيبرانية وتيسير تبادل الأدلة الإلكترونية عبر الحدود، وهو ما تجسد في اتفاقية بودابست وما لحقها من أدوات تعاون إضافية، وكذلك في الاتفاقية الأممية المعتمدة في 24 ديسمبر 2024 لمكافحة الجريمة السيبرانية</w:t>
      </w:r>
      <w:r w:rsidR="00CD54A1">
        <w:rPr>
          <w:rStyle w:val="FootnoteReference"/>
          <w:rFonts w:ascii="Sakkal Majalla" w:hAnsi="Sakkal Majalla" w:cs="Sakkal Majalla"/>
          <w:sz w:val="32"/>
          <w:szCs w:val="32"/>
          <w:rtl/>
          <w:lang w:bidi="ar-EG"/>
        </w:rPr>
        <w:footnoteReference w:id="77"/>
      </w:r>
      <w:r w:rsidRPr="00B84097">
        <w:rPr>
          <w:rFonts w:ascii="Sakkal Majalla" w:hAnsi="Sakkal Majalla" w:cs="Sakkal Majalla"/>
          <w:sz w:val="32"/>
          <w:szCs w:val="32"/>
          <w:rtl/>
          <w:lang w:bidi="ar-EG"/>
        </w:rPr>
        <w:t>.</w:t>
      </w:r>
    </w:p>
    <w:p w14:paraId="07D9EC5E" w14:textId="4E4D9176"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وتزداد أهمية بحث هذه التحديات في إطار الدراسة الحالية، لأن الجرائم الإلكترونية المرتكبة باستخدام الذكاء الاصطناعي تضيف إلى البيئة الرقمية قدرًا أكبر من التعقيد، سواء من حيث آلية ارتكاب الفعل، أو من حيث صعوبة تفسير السلوك التقني، أو من حيث تحديد المسؤول عن النتائج الضارة الناشئة عنه</w:t>
      </w:r>
      <w:r w:rsidR="00CD54A1">
        <w:rPr>
          <w:rStyle w:val="FootnoteReference"/>
          <w:rFonts w:ascii="Sakkal Majalla" w:hAnsi="Sakkal Majalla" w:cs="Sakkal Majalla"/>
          <w:sz w:val="32"/>
          <w:szCs w:val="32"/>
          <w:rtl/>
          <w:lang w:bidi="ar-EG"/>
        </w:rPr>
        <w:footnoteReference w:id="78"/>
      </w:r>
      <w:r w:rsidRPr="00B84097">
        <w:rPr>
          <w:rFonts w:ascii="Sakkal Majalla" w:hAnsi="Sakkal Majalla" w:cs="Sakkal Majalla"/>
          <w:sz w:val="32"/>
          <w:szCs w:val="32"/>
          <w:rtl/>
          <w:lang w:bidi="ar-EG"/>
        </w:rPr>
        <w:t>.</w:t>
      </w:r>
    </w:p>
    <w:p w14:paraId="324AA708" w14:textId="6F10EB67" w:rsidR="00B84097" w:rsidRPr="00B84097" w:rsidRDefault="00B84097" w:rsidP="00FC655F">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 لذلك فإن الوقوف على أبرز التحديات القانونية للجرائم الرقمية يعد خطوة لازمة لفهم طبيعة المسؤولية التي قد تنشأ عنها، وخاصة المسؤولية المدنية محل البحث</w:t>
      </w:r>
      <w:r w:rsidR="00CD54A1">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كما أن النظام السعودي ذاته </w:t>
      </w:r>
      <w:r w:rsidRPr="00B84097">
        <w:rPr>
          <w:rFonts w:ascii="Sakkal Majalla" w:hAnsi="Sakkal Majalla" w:cs="Sakkal Majalla"/>
          <w:sz w:val="32"/>
          <w:szCs w:val="32"/>
          <w:rtl/>
          <w:lang w:bidi="ar-EG"/>
        </w:rPr>
        <w:lastRenderedPageBreak/>
        <w:t>يعكس هذا الإدراك حين جعل من أهداف نظام مكافحة جرائم المعلوماتية تعزيز أمن المعلومات، وحماية الحقوق الناشئة عن الاستخدام المشروع للحاسبات والشبكات، وصون المصلحة العامة.</w:t>
      </w:r>
    </w:p>
    <w:p w14:paraId="37AC0F4B" w14:textId="27EAB69F" w:rsidR="00B84097" w:rsidRPr="00184B72" w:rsidRDefault="00B84097" w:rsidP="00CD54A1">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أولًا: صعوبة تحديد الفاعل الرقمي</w:t>
      </w:r>
      <w:r w:rsidR="00CD54A1" w:rsidRPr="00184B72">
        <w:rPr>
          <w:rFonts w:ascii="Sakkal Majalla" w:hAnsi="Sakkal Majalla" w:cs="Sakkal Majalla" w:hint="cs"/>
          <w:b/>
          <w:bCs/>
          <w:sz w:val="32"/>
          <w:szCs w:val="32"/>
          <w:rtl/>
          <w:lang w:bidi="ar-EG"/>
        </w:rPr>
        <w:t xml:space="preserve"> :</w:t>
      </w:r>
    </w:p>
    <w:p w14:paraId="72881521" w14:textId="2168507E"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من أبرز التحديات القانونية في الجرائم الرقمية صعوبة تحديد الشخص الذي ارتكب الفعل غير المشروع، ذلك أن البيئة الرقمية تتيح لمرتكب الجريمة استخدام وسائل متعددة لإخفاء هويته، مثل الحسابات الوهمية، وتقنيات التشفير، وبرامج إخفاء عنوان الاتصال، والشبكات الافتراضية ويترتب على ذلك أن الوصول إلى الفاعل الحقيقي قد يصبح أمرًا معقدًا، خاصة إذا ارتكبت الجريمة عبر وسائط تقنية متعددة أو من خلال أكثر من دولة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وقد بينت الأدبيات الدولية المعاصرة في مجال الجريمة السيبرانية أن مرتكبي هذه الجرائم قد يعملون عن بعد وبدرجات مرتفعة من إخفاء الهوية، مما يجعل التعقب الفني والقانوني أكثر صعوبة</w:t>
      </w:r>
      <w:r w:rsidR="00184B72">
        <w:rPr>
          <w:rStyle w:val="FootnoteReference"/>
          <w:rFonts w:ascii="Sakkal Majalla" w:hAnsi="Sakkal Majalla" w:cs="Sakkal Majalla"/>
          <w:sz w:val="32"/>
          <w:szCs w:val="32"/>
          <w:rtl/>
          <w:lang w:bidi="ar-EG"/>
        </w:rPr>
        <w:footnoteReference w:id="79"/>
      </w:r>
      <w:r w:rsidRPr="00B84097">
        <w:rPr>
          <w:rFonts w:ascii="Sakkal Majalla" w:hAnsi="Sakkal Majalla" w:cs="Sakkal Majalla"/>
          <w:sz w:val="32"/>
          <w:szCs w:val="32"/>
          <w:rtl/>
          <w:lang w:bidi="ar-EG"/>
        </w:rPr>
        <w:t>.</w:t>
      </w:r>
    </w:p>
    <w:p w14:paraId="28D61C73" w14:textId="276B930D"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وتنعكس هذه الصعوبة على المساءلة القانونية، لأن القاعدة العامة تقتضي نسبة الفعل إلى شخص محدد حتى يمكن مساءلته عنه</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أما في الجرائم الرقمية، فقد يبدو الفاعل مجهولًا أو متخفيًا خلف طبقات تقنية متعددة، مما يجعل إسناد الفعل الضار أكثر تعقيدًا، ويؤثر في إمكان إقامة الدعوى الجنائية أو المدنية على أساس واضح. وتزداد حدة هذه الإشكالية متى كان النشاط الإجرامي متصلًا بخوادم أو مزودي خدمة أو بيانات موزعة عبر أكثر من ولاية قضائية</w:t>
      </w:r>
      <w:r w:rsidR="00184B72">
        <w:rPr>
          <w:rStyle w:val="FootnoteReference"/>
          <w:rFonts w:ascii="Sakkal Majalla" w:hAnsi="Sakkal Majalla" w:cs="Sakkal Majalla"/>
          <w:sz w:val="32"/>
          <w:szCs w:val="32"/>
          <w:rtl/>
          <w:lang w:bidi="ar-EG"/>
        </w:rPr>
        <w:footnoteReference w:id="80"/>
      </w:r>
      <w:r w:rsidRPr="00B84097">
        <w:rPr>
          <w:rFonts w:ascii="Sakkal Majalla" w:hAnsi="Sakkal Majalla" w:cs="Sakkal Majalla"/>
          <w:sz w:val="32"/>
          <w:szCs w:val="32"/>
          <w:rtl/>
          <w:lang w:bidi="ar-EG"/>
        </w:rPr>
        <w:t>.</w:t>
      </w:r>
    </w:p>
    <w:p w14:paraId="6D85FACA" w14:textId="2A440963"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ثانيًا: صعوبة الإثبات وحجية الدليل الرقمي</w:t>
      </w:r>
      <w:r w:rsidR="00184B72" w:rsidRPr="00184B72">
        <w:rPr>
          <w:rFonts w:ascii="Sakkal Majalla" w:hAnsi="Sakkal Majalla" w:cs="Sakkal Majalla" w:hint="cs"/>
          <w:b/>
          <w:bCs/>
          <w:sz w:val="32"/>
          <w:szCs w:val="32"/>
          <w:rtl/>
          <w:lang w:bidi="ar-EG"/>
        </w:rPr>
        <w:t xml:space="preserve"> :</w:t>
      </w:r>
    </w:p>
    <w:p w14:paraId="545E0158" w14:textId="1CCA9569"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يطرح الإثبات في الجرائم الرقمية تحديًا قانونيًا مهمًا، لأن الأدلة في هذا النوع من الجرائم تكون في الغالب أدلة إلكترونية غير ملموسة، قابلة للمحو أو التعديل أو الإخفاء خلال فترة قصيرة كما أن التعامل مع هذه الأدلة يحتاج إلى خبرة فنية دقيقة تضمن جمعها وحفظها وتحليلها بطريقة سليمة، حتى تظل صالحة للاحتجاج بها أمام جهات التحقيق أو القضاء</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وتشير أدبيات الأمم المتحدة إلى أن مسرح الجريمة في القضايا السيبرانية لا يقتصر على مكان مادي محدد، بل يمتد إلى الأجهزة والأنظمة والخوادم التي قد تحتوي على أدلة رقمية ذات صلة</w:t>
      </w:r>
      <w:r w:rsidR="00184B72">
        <w:rPr>
          <w:rStyle w:val="FootnoteReference"/>
          <w:rFonts w:ascii="Sakkal Majalla" w:hAnsi="Sakkal Majalla" w:cs="Sakkal Majalla"/>
          <w:sz w:val="32"/>
          <w:szCs w:val="32"/>
          <w:rtl/>
          <w:lang w:bidi="ar-EG"/>
        </w:rPr>
        <w:footnoteReference w:id="81"/>
      </w:r>
      <w:r w:rsidRPr="00B84097">
        <w:rPr>
          <w:rFonts w:ascii="Sakkal Majalla" w:hAnsi="Sakkal Majalla" w:cs="Sakkal Majalla"/>
          <w:sz w:val="32"/>
          <w:szCs w:val="32"/>
          <w:rtl/>
          <w:lang w:bidi="ar-EG"/>
        </w:rPr>
        <w:t>.</w:t>
      </w:r>
    </w:p>
    <w:p w14:paraId="3565FAA8" w14:textId="552778F4" w:rsidR="00B84097" w:rsidRPr="00184B72"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وتبرز الصعوبة هنا في أن الخطأ في جمع الدليل الرقمي أو حفظه قد يؤدي إلى الطعن في حجيته أو فقدان قيمته القانونية كما أن المتضرر في بعض الحالات قد لا يتمكن من الوصول إلى البيانات أو السجلات الفنية اللازمة لإثبات الضرر أو العلاقة السببية، وهو ما يجعل الإثبات في الجرائم الرقمية أكثر تعقيدًا من الإثبات في الجرائم التقليدية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ولهذا اكتسبت سلامة إجراءات التحفظ على الدليل الرقمي، وسلسلة حيازته، وموثوقية التحليل الفني أهمية محورية في العمل القضائي والتحقيقي</w:t>
      </w:r>
      <w:r w:rsidR="00184B72">
        <w:rPr>
          <w:rStyle w:val="FootnoteReference"/>
          <w:rFonts w:ascii="Sakkal Majalla" w:hAnsi="Sakkal Majalla" w:cs="Sakkal Majalla"/>
          <w:sz w:val="32"/>
          <w:szCs w:val="32"/>
          <w:rtl/>
          <w:lang w:bidi="ar-EG"/>
        </w:rPr>
        <w:footnoteReference w:id="82"/>
      </w:r>
      <w:r w:rsidRPr="00B84097">
        <w:rPr>
          <w:rFonts w:ascii="Sakkal Majalla" w:hAnsi="Sakkal Majalla" w:cs="Sakkal Majalla"/>
          <w:sz w:val="32"/>
          <w:szCs w:val="32"/>
          <w:rtl/>
          <w:lang w:bidi="ar-EG"/>
        </w:rPr>
        <w:t>.</w:t>
      </w:r>
    </w:p>
    <w:p w14:paraId="56A8B5A9" w14:textId="29FFD221"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ثالثًا: الطابع العابر للحدود وتنازع الاختصاص</w:t>
      </w:r>
      <w:r w:rsidR="00184B72">
        <w:rPr>
          <w:rFonts w:ascii="Sakkal Majalla" w:hAnsi="Sakkal Majalla" w:cs="Sakkal Majalla" w:hint="cs"/>
          <w:b/>
          <w:bCs/>
          <w:sz w:val="32"/>
          <w:szCs w:val="32"/>
          <w:rtl/>
          <w:lang w:bidi="ar-EG"/>
        </w:rPr>
        <w:t xml:space="preserve"> :</w:t>
      </w:r>
    </w:p>
    <w:p w14:paraId="47E9CC40" w14:textId="6237AC8D" w:rsidR="00B84097" w:rsidRPr="00B84097" w:rsidRDefault="00B84097" w:rsidP="00184B72">
      <w:pPr>
        <w:bidi/>
        <w:spacing w:line="360" w:lineRule="auto"/>
        <w:jc w:val="mediumKashida"/>
        <w:rPr>
          <w:rFonts w:ascii="Sakkal Majalla" w:hAnsi="Sakkal Majalla" w:cs="Sakkal Majalla"/>
          <w:sz w:val="32"/>
          <w:szCs w:val="32"/>
          <w:lang w:bidi="ar-EG"/>
        </w:rPr>
      </w:pPr>
      <w:r w:rsidRPr="00143BCD">
        <w:rPr>
          <w:rFonts w:ascii="Sakkal Majalla" w:hAnsi="Sakkal Majalla" w:cs="Sakkal Majalla"/>
          <w:sz w:val="32"/>
          <w:szCs w:val="32"/>
          <w:rtl/>
          <w:lang w:bidi="ar-EG"/>
        </w:rPr>
        <w:t xml:space="preserve">تتميز الجرائم الرقمية بأنها قد ترتكب من إقليم دولة، وتستهدف شخصًا أو مؤسسة في دولة أخرى، بينما تكون الخوادم أو البيانات أو الوسائط التقنية المستخدمة موجودة في دولة ثالثة. وهذه الطبيعة العابرة للحدود تثير إشكاليات قانونية تتعلق بتحديد المحكمة المختصة، وتعيين </w:t>
      </w:r>
      <w:r w:rsidRPr="00143BCD">
        <w:rPr>
          <w:rFonts w:ascii="Sakkal Majalla" w:hAnsi="Sakkal Majalla" w:cs="Sakkal Majalla"/>
          <w:sz w:val="32"/>
          <w:szCs w:val="32"/>
          <w:rtl/>
          <w:lang w:bidi="ar-EG"/>
        </w:rPr>
        <w:lastRenderedPageBreak/>
        <w:t>القانون الواجب التطبيق</w:t>
      </w:r>
      <w:r w:rsidR="00184B72" w:rsidRPr="00143BCD">
        <w:rPr>
          <w:rStyle w:val="FootnoteReference"/>
          <w:rFonts w:ascii="Sakkal Majalla" w:hAnsi="Sakkal Majalla" w:cs="Sakkal Majalla"/>
          <w:sz w:val="32"/>
          <w:szCs w:val="32"/>
          <w:rtl/>
          <w:lang w:bidi="ar-EG"/>
        </w:rPr>
        <w:footnoteReference w:id="83"/>
      </w:r>
      <w:r w:rsidRPr="00143BCD">
        <w:rPr>
          <w:rFonts w:ascii="Sakkal Majalla" w:hAnsi="Sakkal Majalla" w:cs="Sakkal Majalla"/>
          <w:sz w:val="32"/>
          <w:szCs w:val="32"/>
          <w:rtl/>
          <w:lang w:bidi="ar-EG"/>
        </w:rPr>
        <w:t>، وبيان الجهة التي تملك سلطة التحقيق أو الملاحقة</w:t>
      </w:r>
      <w:r w:rsidR="00184B72" w:rsidRPr="00143BCD">
        <w:rPr>
          <w:rFonts w:ascii="Sakkal Majalla" w:hAnsi="Sakkal Majalla" w:cs="Sakkal Majalla" w:hint="cs"/>
          <w:sz w:val="32"/>
          <w:szCs w:val="32"/>
          <w:rtl/>
          <w:lang w:bidi="ar-EG"/>
        </w:rPr>
        <w:t xml:space="preserve"> </w:t>
      </w:r>
      <w:r w:rsidRPr="00143BCD">
        <w:rPr>
          <w:rFonts w:ascii="Sakkal Majalla" w:hAnsi="Sakkal Majalla" w:cs="Sakkal Majalla"/>
          <w:sz w:val="32"/>
          <w:szCs w:val="32"/>
          <w:rtl/>
          <w:lang w:bidi="ar-EG"/>
        </w:rPr>
        <w:t>وقد أكدت المصادر الدولية أن الأدلة الإلكترونية كثيرًا ما تكون موزعة عبر ولايات قضائية متعددة، وأن هذا التوزع يمثل أحد أكبر التحديات في التحقيقات الرقمية</w:t>
      </w:r>
      <w:r w:rsidR="00810978" w:rsidRPr="00143BCD">
        <w:rPr>
          <w:rStyle w:val="FootnoteReference"/>
          <w:rFonts w:ascii="Sakkal Majalla" w:hAnsi="Sakkal Majalla" w:cs="Sakkal Majalla"/>
          <w:sz w:val="32"/>
          <w:szCs w:val="32"/>
          <w:rtl/>
          <w:lang w:bidi="ar-EG"/>
        </w:rPr>
        <w:footnoteReference w:id="84"/>
      </w:r>
      <w:r w:rsidRPr="00143BCD">
        <w:rPr>
          <w:rFonts w:ascii="Sakkal Majalla" w:hAnsi="Sakkal Majalla" w:cs="Sakkal Majalla"/>
          <w:sz w:val="32"/>
          <w:szCs w:val="32"/>
          <w:rtl/>
          <w:lang w:bidi="ar-EG"/>
        </w:rPr>
        <w:t>.</w:t>
      </w:r>
    </w:p>
    <w:p w14:paraId="249C1537" w14:textId="77777777" w:rsidR="007B6239"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ويؤدي هذا التداخل إلى صعوبة في تطبيق القواعد التقليدية للاختصاص المكاني، لأن الجريمة لا تقع في مكان مادي واحد يسهل تحديده. </w:t>
      </w:r>
    </w:p>
    <w:p w14:paraId="0D66DA51" w14:textId="433D3C80"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كما قد يترتب عليه بطء في الوصول إلى الأدلة أو في تبادل المعلومات بين الدول، مما يضعف من فعالية المواجهة القانونية لهذا النوع من الجرائم. ولذلك اتجهت اتفاقية بودابست والبروتوكول الإضافي الثاني الملحق بها إلى تطوير آليات أكثر فاعلية للتعاون الدولي والحصول على الأدلة الإلكترونية، بما في ذلك التعاون المباشر مع مزودي الخدمة في بعض الحالات، مع إخضاع ذلك لضمانات تتعلق بحقوق الإنسان وحماية البيانات</w:t>
      </w:r>
      <w:r w:rsidR="007B6239">
        <w:rPr>
          <w:rStyle w:val="FootnoteReference"/>
          <w:rFonts w:ascii="Sakkal Majalla" w:hAnsi="Sakkal Majalla" w:cs="Sakkal Majalla"/>
          <w:sz w:val="32"/>
          <w:szCs w:val="32"/>
          <w:rtl/>
          <w:lang w:bidi="ar-EG"/>
        </w:rPr>
        <w:footnoteReference w:id="85"/>
      </w:r>
      <w:r w:rsidRPr="00B84097">
        <w:rPr>
          <w:rFonts w:ascii="Sakkal Majalla" w:hAnsi="Sakkal Majalla" w:cs="Sakkal Majalla"/>
          <w:sz w:val="32"/>
          <w:szCs w:val="32"/>
          <w:rtl/>
          <w:lang w:bidi="ar-EG"/>
        </w:rPr>
        <w:t>.</w:t>
      </w:r>
    </w:p>
    <w:p w14:paraId="3C25692E" w14:textId="15E88468"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رابعًا: إشكالية التكييف القانوني للأفعال الرقمية</w:t>
      </w:r>
      <w:r w:rsidR="007B6239">
        <w:rPr>
          <w:rFonts w:ascii="Sakkal Majalla" w:hAnsi="Sakkal Majalla" w:cs="Sakkal Majalla" w:hint="cs"/>
          <w:b/>
          <w:bCs/>
          <w:sz w:val="32"/>
          <w:szCs w:val="32"/>
          <w:rtl/>
          <w:lang w:bidi="ar-EG"/>
        </w:rPr>
        <w:t xml:space="preserve"> :</w:t>
      </w:r>
    </w:p>
    <w:p w14:paraId="0C16448A" w14:textId="039537DB" w:rsidR="00B84097" w:rsidRPr="007B6239"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من التحديات المهمة كذلك صعوبة التكييف القانوني لبعض صور الجرائم الرقمية، خاصة عندما تكون الوسائل التقنية المستخدمة حديثة، أو عندما تتخذ الأفعال صورًا غير مألوفة في الجرائم التقليدية. فقد يكون الفعل في ظاهره مجرد سلوك تقني، لكنه في حقيقته اعتداء على حق أو مصلحة يحميها القانون، الأمر الذي يتطلب جهدًا قانونيًا لتحديد الوصف الصحيح له. وتبدو </w:t>
      </w:r>
      <w:r w:rsidRPr="00B84097">
        <w:rPr>
          <w:rFonts w:ascii="Sakkal Majalla" w:hAnsi="Sakkal Majalla" w:cs="Sakkal Majalla"/>
          <w:sz w:val="32"/>
          <w:szCs w:val="32"/>
          <w:rtl/>
          <w:lang w:bidi="ar-EG"/>
        </w:rPr>
        <w:lastRenderedPageBreak/>
        <w:t>هذه الصعوبة أكثر وضوحًا كلما اتسعت صور الاستخدام غير المشروع للتقنيات الحديثة أو ظهرت أنماط من الاعتداء لم تكن مألوفة عند وضع النصوص التقليدية</w:t>
      </w:r>
      <w:r w:rsidR="007B6239">
        <w:rPr>
          <w:rStyle w:val="FootnoteReference"/>
          <w:rFonts w:ascii="Sakkal Majalla" w:hAnsi="Sakkal Majalla" w:cs="Sakkal Majalla"/>
          <w:sz w:val="32"/>
          <w:szCs w:val="32"/>
          <w:rtl/>
          <w:lang w:bidi="ar-EG"/>
        </w:rPr>
        <w:footnoteReference w:id="86"/>
      </w:r>
      <w:r w:rsidRPr="00B84097">
        <w:rPr>
          <w:rFonts w:ascii="Sakkal Majalla" w:hAnsi="Sakkal Majalla" w:cs="Sakkal Majalla"/>
          <w:sz w:val="32"/>
          <w:szCs w:val="32"/>
          <w:rtl/>
          <w:lang w:bidi="ar-EG"/>
        </w:rPr>
        <w:t>.</w:t>
      </w:r>
    </w:p>
    <w:p w14:paraId="15066295" w14:textId="17010C87"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وتزداد هذه الصعوبة عندما تتداخل أكثر من مصلحة محل حماية، كما في حالات الاعتداء على البيانات والخصوصية والسمعة في الوقت نفسه، أو عندما يستخدم الذكاء الاصطناعي في إنتاج أفعال ضارة لا يمكن ردها بسهولة إلى صورة جرمية تقليدية. ومن ثم، فإن التكييف القانوني في الجرائم الرقمية يحتاج إلى مرونة تفسيرية مع المحافظة على الدقة القانونية، حتى لا يفضي التطور التقني إلى فراغ تشريعي أو إلى توسيع غير منضبط في التجريم أو المسؤولية</w:t>
      </w:r>
      <w:r w:rsidR="007B6239">
        <w:rPr>
          <w:rStyle w:val="FootnoteReference"/>
          <w:rFonts w:ascii="Sakkal Majalla" w:hAnsi="Sakkal Majalla" w:cs="Sakkal Majalla"/>
          <w:sz w:val="32"/>
          <w:szCs w:val="32"/>
          <w:rtl/>
          <w:lang w:bidi="ar-EG"/>
        </w:rPr>
        <w:footnoteReference w:id="87"/>
      </w:r>
      <w:r w:rsidRPr="00B84097">
        <w:rPr>
          <w:rFonts w:ascii="Sakkal Majalla" w:hAnsi="Sakkal Majalla" w:cs="Sakkal Majalla"/>
          <w:sz w:val="32"/>
          <w:szCs w:val="32"/>
          <w:rtl/>
          <w:lang w:bidi="ar-EG"/>
        </w:rPr>
        <w:t>.</w:t>
      </w:r>
    </w:p>
    <w:p w14:paraId="7FBD6F0E" w14:textId="77ABEEC7"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خامسًا: تحديات التوفيق بين المكافحة وحماية الحقوق والحريات</w:t>
      </w:r>
      <w:r w:rsidR="007B6239">
        <w:rPr>
          <w:rFonts w:ascii="Sakkal Majalla" w:hAnsi="Sakkal Majalla" w:cs="Sakkal Majalla" w:hint="cs"/>
          <w:b/>
          <w:bCs/>
          <w:sz w:val="32"/>
          <w:szCs w:val="32"/>
          <w:rtl/>
          <w:lang w:bidi="ar-EG"/>
        </w:rPr>
        <w:t xml:space="preserve"> :</w:t>
      </w:r>
    </w:p>
    <w:p w14:paraId="252FC240" w14:textId="6C1CE638"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لا تقتصر التحديات القانونية للجرائم الرقمية على جانب الملاحقة والإثبات فقط، بل تمتد كذلك إلى ضرورة تحقيق التوازن بين مكافحة الجريمة من جهة، وحماية الحقوق والحريات من جهة أخرى. فالتوسع في المراقبة الرقمية أو جمع البيانات أو تتبع الاتصالات بدعوى مواجهة الجرائم الإلكترونية قد يمس خصوصية الأفراد أو يؤدي إلى تدخل غير مشروع في حياتهم الرقمية ولهذا ترتبط أدوات المكافحة الفعالة دائمًا بمسألة الضمانات القانونية الواجبة عند جمع الأدلة أو الوصول إلى البيانات أو تبادلها عبر الحدود</w:t>
      </w:r>
      <w:r w:rsidR="007B6239">
        <w:rPr>
          <w:rStyle w:val="FootnoteReference"/>
          <w:rFonts w:ascii="Sakkal Majalla" w:hAnsi="Sakkal Majalla" w:cs="Sakkal Majalla"/>
          <w:sz w:val="32"/>
          <w:szCs w:val="32"/>
          <w:rtl/>
          <w:lang w:bidi="ar-EG"/>
        </w:rPr>
        <w:footnoteReference w:id="88"/>
      </w:r>
      <w:r w:rsidRPr="00B84097">
        <w:rPr>
          <w:rFonts w:ascii="Sakkal Majalla" w:hAnsi="Sakkal Majalla" w:cs="Sakkal Majalla"/>
          <w:sz w:val="32"/>
          <w:szCs w:val="32"/>
          <w:rtl/>
          <w:lang w:bidi="ar-EG"/>
        </w:rPr>
        <w:t>.</w:t>
      </w:r>
    </w:p>
    <w:p w14:paraId="75BFF0AD" w14:textId="0E29D489"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ومن ثم فإن المشرع والجهات المختصة يواجهون تحديًا يتمثل في وضع آليات فعالة لمكافحة الجرائم الرقمية، دون تجاوز الحدود التي تفرضها حماية الخصوصية وضمانات العدالة والإجراءات المشروعة</w:t>
      </w:r>
      <w:r w:rsidR="003F5F5D">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وهذا التوازن يعد من أهم المسائل في التنظيم القانوني للبيئة الرقمية، لأنه يحدد مشروعية الوسائل الإجرائية المستخدمة في التتبع والتحقيق، ويضمن ألا تتحول مكافحة الجريمة إلى مدخل للمساس غير المبرر بالحقوق الأساسية</w:t>
      </w:r>
      <w:r w:rsidR="007B6239">
        <w:rPr>
          <w:rStyle w:val="FootnoteReference"/>
          <w:rFonts w:ascii="Sakkal Majalla" w:hAnsi="Sakkal Majalla" w:cs="Sakkal Majalla"/>
          <w:sz w:val="32"/>
          <w:szCs w:val="32"/>
          <w:rtl/>
          <w:lang w:bidi="ar-EG"/>
        </w:rPr>
        <w:footnoteReference w:id="89"/>
      </w:r>
      <w:r w:rsidRPr="00B84097">
        <w:rPr>
          <w:rFonts w:ascii="Sakkal Majalla" w:hAnsi="Sakkal Majalla" w:cs="Sakkal Majalla"/>
          <w:sz w:val="32"/>
          <w:szCs w:val="32"/>
          <w:rtl/>
          <w:lang w:bidi="ar-EG"/>
        </w:rPr>
        <w:t>.</w:t>
      </w:r>
    </w:p>
    <w:p w14:paraId="0AE41BD6" w14:textId="77777777" w:rsidR="00952054" w:rsidRDefault="00B84097" w:rsidP="00952054">
      <w:pPr>
        <w:bidi/>
        <w:spacing w:line="360" w:lineRule="auto"/>
        <w:jc w:val="mediumKashida"/>
        <w:rPr>
          <w:rFonts w:ascii="Sakkal Majalla" w:hAnsi="Sakkal Majalla" w:cs="Sakkal Majalla"/>
          <w:b/>
          <w:bCs/>
          <w:sz w:val="32"/>
          <w:szCs w:val="32"/>
          <w:rtl/>
          <w:lang w:bidi="ar-EG"/>
        </w:rPr>
      </w:pPr>
      <w:r w:rsidRPr="007B6239">
        <w:rPr>
          <w:rFonts w:ascii="Sakkal Majalla" w:hAnsi="Sakkal Majalla" w:cs="Sakkal Majalla"/>
          <w:b/>
          <w:bCs/>
          <w:sz w:val="32"/>
          <w:szCs w:val="32"/>
          <w:rtl/>
          <w:lang w:bidi="ar-EG"/>
        </w:rPr>
        <w:t>سادسًا: سرعة التطور التقني مقارنة بالتطور التشريعي</w:t>
      </w:r>
    </w:p>
    <w:p w14:paraId="05193B7A" w14:textId="05F1CE2C" w:rsidR="00B84097" w:rsidRPr="00952054" w:rsidRDefault="00B84097" w:rsidP="00952054">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sz w:val="32"/>
          <w:szCs w:val="32"/>
          <w:rtl/>
          <w:lang w:bidi="ar-EG"/>
        </w:rPr>
        <w:t>من الخصائص الملازمة للجرائم الرقمية أن وسائل ارتكابها تتطور بسرعة كبيرة، في حين أن التشريعات غالبًا ما تحتاج إلى وقت أطول لتعديل نصوصها أو استحداث قواعد جديدة تستوعب هذه التطورات وينتج عن ذلك فجوة بين الواقع التقني المتغير والإطار القانوني القائم، مما قد يؤدي إلى قصور في المواجهة التشريعية لبعض الصور المستحدثة للجرائم الرقمية. وهذا ما يفسر اتجاه كثير من الأطر الدولية والوطنية إلى تبني مفاهيم مرنة وأدوات تعاون قابلة للتطوير لمواكبة التغير السريع في أنماط الاعتداء الرقمي</w:t>
      </w:r>
      <w:r w:rsidR="00952054">
        <w:rPr>
          <w:rStyle w:val="FootnoteReference"/>
          <w:rFonts w:ascii="Sakkal Majalla" w:hAnsi="Sakkal Majalla" w:cs="Sakkal Majalla"/>
          <w:sz w:val="32"/>
          <w:szCs w:val="32"/>
          <w:rtl/>
          <w:lang w:bidi="ar-EG"/>
        </w:rPr>
        <w:footnoteReference w:id="90"/>
      </w:r>
      <w:r w:rsidRPr="00B84097">
        <w:rPr>
          <w:rFonts w:ascii="Sakkal Majalla" w:hAnsi="Sakkal Majalla" w:cs="Sakkal Majalla"/>
          <w:sz w:val="32"/>
          <w:szCs w:val="32"/>
          <w:rtl/>
          <w:lang w:bidi="ar-EG"/>
        </w:rPr>
        <w:t>.</w:t>
      </w:r>
    </w:p>
    <w:p w14:paraId="36D5F138" w14:textId="6FF3699A" w:rsidR="00B84097" w:rsidRPr="00B84097" w:rsidRDefault="00B84097" w:rsidP="00952054">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وهذه الفجوة تفرض على الأنظمة القانونية أن تعتمد قدرًا من المرونة في تفسير النصوص القائمة، كما تستدعي تطويرًا تشريعيًا مستمرًا يواكب المستجدات التقنية، حتى لا تصبح القواعد القانونية عاجزة عن استيعاب الأفعال الضارة المستحدثة أو عن توفير الحماية الكافية للمتضررين. ويزداد هذا الأمر أهمية في ظل ظهور صور متجددة من الاستعمال غير المشروع للذكاء </w:t>
      </w:r>
      <w:r w:rsidRPr="00B84097">
        <w:rPr>
          <w:rFonts w:ascii="Sakkal Majalla" w:hAnsi="Sakkal Majalla" w:cs="Sakkal Majalla"/>
          <w:sz w:val="32"/>
          <w:szCs w:val="32"/>
          <w:rtl/>
          <w:lang w:bidi="ar-EG"/>
        </w:rPr>
        <w:lastRenderedPageBreak/>
        <w:t>الاصطناعي والأدوات المؤتمتة والبيئات الرقمية المركبة، بما يجعل التحديث التشريعي والتفسيري ضرورة مستمرة لا خيارًا إضافيًا</w:t>
      </w:r>
      <w:r w:rsidR="00952054">
        <w:rPr>
          <w:rStyle w:val="FootnoteReference"/>
          <w:rFonts w:ascii="Sakkal Majalla" w:hAnsi="Sakkal Majalla" w:cs="Sakkal Majalla"/>
          <w:sz w:val="32"/>
          <w:szCs w:val="32"/>
          <w:rtl/>
          <w:lang w:bidi="ar-EG"/>
        </w:rPr>
        <w:footnoteReference w:id="91"/>
      </w:r>
      <w:r w:rsidRPr="00B84097">
        <w:rPr>
          <w:rFonts w:ascii="Sakkal Majalla" w:hAnsi="Sakkal Majalla" w:cs="Sakkal Majalla"/>
          <w:sz w:val="32"/>
          <w:szCs w:val="32"/>
          <w:rtl/>
          <w:lang w:bidi="ar-EG"/>
        </w:rPr>
        <w:t>.</w:t>
      </w:r>
    </w:p>
    <w:p w14:paraId="21BD3F1F" w14:textId="5D08FF21" w:rsidR="00BD443B" w:rsidRDefault="00B84097" w:rsidP="00952054">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ومؤدى ما تقدم أن الجرائم الرقمية تثير تحديات قانونية متعددة تتصل بتحديد الفاعل، وإثبات الفعل، وتنازع الاختصاص، والتكييف القانوني، وتحقيق التوازن بين المكافحة وحماية الحقوق، فضلًا عن مواكبة التطور التقني المتسارع</w:t>
      </w:r>
      <w:r w:rsidR="00952054">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وهذه التحديات تكشف عن خصوصية البيئة الرقمية بوصفها مجالًا قانونيًا مغايرًا للبيئات التقليدية، كما تمهد لبحث الأساس القانوني للمسؤولية عن الأضرار الناشئة عن هذه الجرائم، وهو ما يمثل صلب الدراسة في الفصول اللاحقة</w:t>
      </w:r>
      <w:r w:rsidR="00952054">
        <w:rPr>
          <w:rStyle w:val="FootnoteReference"/>
          <w:rFonts w:ascii="Sakkal Majalla" w:hAnsi="Sakkal Majalla" w:cs="Sakkal Majalla"/>
          <w:sz w:val="32"/>
          <w:szCs w:val="32"/>
          <w:rtl/>
          <w:lang w:bidi="ar-EG"/>
        </w:rPr>
        <w:footnoteReference w:id="92"/>
      </w:r>
    </w:p>
    <w:p w14:paraId="3D308DFF" w14:textId="4268B77A" w:rsidR="0044569C" w:rsidRDefault="00BD443B">
      <w:pPr>
        <w:spacing w:line="278" w:lineRule="auto"/>
        <w:rPr>
          <w:rFonts w:ascii="Sakkal Majalla" w:hAnsi="Sakkal Majalla" w:cs="Sakkal Majalla"/>
          <w:sz w:val="32"/>
          <w:szCs w:val="32"/>
          <w:lang w:bidi="ar-EG"/>
        </w:rPr>
      </w:pPr>
      <w:r>
        <w:rPr>
          <w:rFonts w:ascii="Sakkal Majalla" w:hAnsi="Sakkal Majalla" w:cs="Sakkal Majalla"/>
          <w:sz w:val="32"/>
          <w:szCs w:val="32"/>
          <w:rtl/>
          <w:lang w:bidi="ar-EG"/>
        </w:rPr>
        <w:br w:type="page"/>
      </w:r>
      <w:r w:rsidR="0044569C">
        <w:rPr>
          <w:rFonts w:ascii="Sakkal Majalla" w:hAnsi="Sakkal Majalla" w:cs="Sakkal Majalla"/>
          <w:sz w:val="32"/>
          <w:szCs w:val="32"/>
          <w:rtl/>
          <w:lang w:bidi="ar-EG"/>
        </w:rPr>
        <w:lastRenderedPageBreak/>
        <w:br w:type="page"/>
      </w:r>
    </w:p>
    <w:p w14:paraId="602FA884" w14:textId="49B29268" w:rsidR="0044569C" w:rsidRPr="00200212" w:rsidRDefault="0044569C" w:rsidP="0044569C">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lastRenderedPageBreak/>
        <w:t>الفصل الأول: الطبيعة القانونية للمسؤولية المدنية عن أفعال الذكاء الاصطناعي</w:t>
      </w:r>
    </w:p>
    <w:p w14:paraId="48358E70" w14:textId="3A0ACAA3"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أدى التطور المتسارع في تقنيات الذكاء الاصطناعي إلى إحداث تحولات جوهرية في مختلف مجالات الحياة الاقتصادية والاجتماعية والإدارية، ولم يعد دور هذه التقنيات مقتصرًا على تنفيذ الأوامر المبرمجة مسبقًا، بل أصبحت قادرة على التعلم من البيانات، وتحليلها، واتخاذ قرارات قد تتم بدرجات متفاوتة من الاستقلالية عن التدخل البشري المباشر وقد أسهم هذا التطور في توسيع نطاق الاعتماد على الأنظمة الذكية في العديد من القطاعات الحيوية، الأمر الذي ترتب عليه ظهور إشكاليات قانونية جديدة تتعلق بتحديد المسؤولية عن الأضرار التي قد تنشأ عن أفعال هذه الأنظمة أو القرارات التي تصدر عنها</w:t>
      </w:r>
      <w:r w:rsidR="007C2369">
        <w:rPr>
          <w:rStyle w:val="FootnoteReference"/>
          <w:rFonts w:ascii="Sakkal Majalla" w:hAnsi="Sakkal Majalla" w:cs="Sakkal Majalla"/>
          <w:sz w:val="32"/>
          <w:szCs w:val="32"/>
          <w:rtl/>
          <w:lang w:bidi="ar-EG"/>
        </w:rPr>
        <w:footnoteReference w:id="93"/>
      </w:r>
      <w:r w:rsidRPr="0044569C">
        <w:rPr>
          <w:rFonts w:ascii="Sakkal Majalla" w:hAnsi="Sakkal Majalla" w:cs="Sakkal Majalla"/>
          <w:sz w:val="32"/>
          <w:szCs w:val="32"/>
          <w:rtl/>
          <w:lang w:bidi="ar-EG"/>
        </w:rPr>
        <w:t>.</w:t>
      </w:r>
    </w:p>
    <w:p w14:paraId="08D364B8" w14:textId="583D7337"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وتزداد أهمية هذه الإشكاليات في ظل اتساع مجالات استخدام الذكاء الاصطناعي في المعاملات المالية والتجارية، والأنظمة الأمنية، والخدمات الحكومية، والرعاية الصحية، وغيرها من المجالات التي قد يترتب على أي خلل في أدائها أو سوء استخدام لها أضرار تمس الأفراد أو المؤسسات أو المجتمع بوجه عام. كما أن الطبيعة التقنية المعقدة لبعض أنظمة الذكاء الاصطناعي، وما تتميز به من قدرة على التعلم الذاتي والتكيف مع البيئة المحيطة، قد تجعل من الصعب تحديد الشخص المسؤول عن النتائج الضارة التي تنشأ عنها وفق المفاهيم التقليدية للمسؤولية المدنية</w:t>
      </w:r>
      <w:r w:rsidR="007C2369">
        <w:rPr>
          <w:rStyle w:val="FootnoteReference"/>
          <w:rFonts w:ascii="Sakkal Majalla" w:hAnsi="Sakkal Majalla" w:cs="Sakkal Majalla"/>
          <w:sz w:val="32"/>
          <w:szCs w:val="32"/>
          <w:rtl/>
          <w:lang w:bidi="ar-EG"/>
        </w:rPr>
        <w:footnoteReference w:id="94"/>
      </w:r>
      <w:r w:rsidRPr="0044569C">
        <w:rPr>
          <w:rFonts w:ascii="Sakkal Majalla" w:hAnsi="Sakkal Majalla" w:cs="Sakkal Majalla"/>
          <w:sz w:val="32"/>
          <w:szCs w:val="32"/>
          <w:rtl/>
          <w:lang w:bidi="ar-EG"/>
        </w:rPr>
        <w:t>.</w:t>
      </w:r>
    </w:p>
    <w:p w14:paraId="0DDACE3E" w14:textId="64825CDD"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 xml:space="preserve">وقد أثار ذلك جدلًا فقهيًا وقانونيًا واسعًا حول الطبيعة القانونية للذكاء الاصطناعي، ومدى إمكانية إخضاعه للقواعد التقليدية المنظمة للمسؤولية المدنية، وما إذا كان ينبغي اعتباره مجرد </w:t>
      </w:r>
      <w:r w:rsidRPr="0044569C">
        <w:rPr>
          <w:rFonts w:ascii="Sakkal Majalla" w:hAnsi="Sakkal Majalla" w:cs="Sakkal Majalla"/>
          <w:sz w:val="32"/>
          <w:szCs w:val="32"/>
          <w:rtl/>
          <w:lang w:bidi="ar-EG"/>
        </w:rPr>
        <w:lastRenderedPageBreak/>
        <w:t>أداة أو شيء يخضع لأحكام المسؤولية عن الأشياء، أم أن تطور قدراته التقنية يبرر الاتجاه نحو منحه وضعًا قانونيًا خاصًا أو ما يعرف بالشخصية القانونية الإلكترونية. كما امتد هذا الجدل إلى تحديد الأساس القانوني الذي تقوم عليه المسؤولية المدنية في هذا المجال، ومدى كفاية نظرية الخطأ التقليدية لمواجهة الأضرار الناشئة عن الأنظمة الذكية، أو الحاجة إلى تبني نظريات حديثة تقوم على المسؤولية الموضوعية أو توزيع المسؤولية بين الأطراف المتعددة المرتبطة بتطوير وتشغيل واستخدام هذه الأنظمة.</w:t>
      </w:r>
    </w:p>
    <w:p w14:paraId="50836DFC" w14:textId="262C49EB"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ومن ناحية أخرى، تثير بيئة الذكاء الاصطناعي العديد من التحديات المرتبطة بأركان المسؤولية المدنية</w:t>
      </w:r>
      <w:r w:rsidR="003126C4">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خاصة فيما يتعلق بإثبات الفعل الضار، وتحديد الضرر القابل للتعويض، وإثبات العلاقة السببية بين سلوك النظام الذكي والنتيجة الضارة، ولا سيما في الأنظمة التي تتسم بدرجة عالية من التعقيد أو الغموض التقني، وهو ما يعرف بمشكلة "الصندوق الأسود"، التي تجعل تفسير آلية اتخاذ القرار داخل النظام أمرًا بالغ الصعوبة.</w:t>
      </w:r>
    </w:p>
    <w:p w14:paraId="1F60BFAC" w14:textId="0E9F0E77" w:rsidR="0044569C" w:rsidRPr="0044569C"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وانطلاقًا من ذلك، يهدف هذا الفصل إلى دراسة الطبيعة القانونية للمسؤولية المدنية الناشئة عن أفعال الذكاء الاصطناعي، من خلال بيان التكييف القانوني للأنظمة الذكية، وتحديد أنواع المسؤولية المدنية التي يمكن تطبيقها عليها، وتحليل الأساس القانوني الذي تقوم عليه هذه المسؤولية في ضوء الاتجاهات الفقهية والتشريعية الحديثة، فضلًا عن دراسة أركان المسؤولية المدنية في بيئة الذكاء الاصطناعي وما تثيره من إشكالات قانونية مستجدة</w:t>
      </w:r>
      <w:r w:rsidR="000C629F">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 xml:space="preserve"> ولتحقيق ذلك، سيتم تناول هذا الفصل من خلال أربعة مباحث رئيسة؛ يتناول المبحث الأول التكييف القانوني لأنظمة الذكاء الاصطناعي، ويبحث المبحث الثاني أنواع المسؤولية المدنية المنطبقة عليها، بينما يخصص </w:t>
      </w:r>
      <w:r w:rsidRPr="0044569C">
        <w:rPr>
          <w:rFonts w:ascii="Sakkal Majalla" w:hAnsi="Sakkal Majalla" w:cs="Sakkal Majalla"/>
          <w:sz w:val="32"/>
          <w:szCs w:val="32"/>
          <w:rtl/>
          <w:lang w:bidi="ar-EG"/>
        </w:rPr>
        <w:lastRenderedPageBreak/>
        <w:t>المبحث الثالث لدراسة الأساس القانوني للمسؤولية وفق الاتجاهات الحديثة، ويعالج المبحث الرابع أركان المسؤولية المدنية في بيئة الذكاء الاصطناعي.</w:t>
      </w:r>
    </w:p>
    <w:p w14:paraId="5DA5FCA7" w14:textId="77777777" w:rsidR="0044569C" w:rsidRPr="00200212" w:rsidRDefault="0044569C" w:rsidP="00200212">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المبحث الأول: التكييف القانوني لأنظمة الذكاء الاصطناعي</w:t>
      </w:r>
    </w:p>
    <w:p w14:paraId="2F9DC9E7" w14:textId="0AFEB793"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لتقنيات الذكاء الاصطناعي إلى ظهور تحديات قانونية جديدة تتعلق بتحديد الطبيعة القانونية لهذه الأنظمة، خاصة في ظل ما تتمتع به من قدرات على التعلم الذاتي وتحليل البيانات واتخاذ القرارات بصورة قد تتجاوز الدور التقليدي للبرمجيات والأدوات التقنية وقد انعكس ذلك على مسألة المسؤولية المدنية عن الأضرار الناشئة عن استخدام هذه الأنظمة، مما جعل تحديد تكييفها القانوني من المسائل الأساسية في الفقه القانوني المعاصر</w:t>
      </w:r>
      <w:r w:rsidR="00A10CBA">
        <w:rPr>
          <w:rStyle w:val="FootnoteReference"/>
          <w:rFonts w:ascii="Sakkal Majalla" w:hAnsi="Sakkal Majalla" w:cs="Sakkal Majalla"/>
          <w:sz w:val="32"/>
          <w:szCs w:val="32"/>
          <w:rtl/>
          <w:lang w:bidi="ar-EG"/>
        </w:rPr>
        <w:footnoteReference w:id="95"/>
      </w:r>
      <w:r w:rsidRPr="00200212">
        <w:rPr>
          <w:rFonts w:ascii="Sakkal Majalla" w:hAnsi="Sakkal Majalla" w:cs="Sakkal Majalla"/>
          <w:sz w:val="32"/>
          <w:szCs w:val="32"/>
          <w:rtl/>
          <w:lang w:bidi="ar-EG"/>
        </w:rPr>
        <w:t>.</w:t>
      </w:r>
    </w:p>
    <w:p w14:paraId="5AE497FB" w14:textId="7BD2027A"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وتزداد أهمية هذه المسألة لأن التكييف القانوني للذكاء الاصطناعي يرتبط ارتباطًا وثيقًا بتحديد الشخص المسؤول عن الأضرار التي قد تنتج عن تشغيله، وبيان الأساس القانوني الذي تقوم عليه هذه المسؤولية. لذلك انقسم الفقه إلى اتجاهات متعددة؛ فذهب جانب منه إلى اعتبار الذكاء الاصطناعي شيئًا يخضع للقواعد التقليدية للمسؤولية عن الأشياء</w:t>
      </w:r>
      <w:r>
        <w:rPr>
          <w:rFonts w:ascii="Sakkal Majalla" w:hAnsi="Sakkal Majalla" w:cs="Sakkal Majalla" w:hint="cs"/>
          <w:sz w:val="32"/>
          <w:szCs w:val="32"/>
          <w:rtl/>
          <w:lang w:bidi="ar-EG"/>
        </w:rPr>
        <w:t xml:space="preserve"> </w:t>
      </w:r>
      <w:r w:rsidRPr="00200212">
        <w:rPr>
          <w:rFonts w:ascii="Sakkal Majalla" w:hAnsi="Sakkal Majalla" w:cs="Sakkal Majalla"/>
          <w:sz w:val="32"/>
          <w:szCs w:val="32"/>
          <w:rtl/>
          <w:lang w:bidi="ar-EG"/>
        </w:rPr>
        <w:t>في حين اتجه جانب آخر إلى البحث عن وضع قانوني خاص له من خلال فكرة الشخصية القانونية الإلكترونية</w:t>
      </w:r>
      <w:r w:rsidR="00661E4F">
        <w:rPr>
          <w:rStyle w:val="FootnoteReference"/>
          <w:rFonts w:ascii="Sakkal Majalla" w:hAnsi="Sakkal Majalla" w:cs="Sakkal Majalla"/>
          <w:sz w:val="32"/>
          <w:szCs w:val="32"/>
          <w:rtl/>
          <w:lang w:bidi="ar-EG"/>
        </w:rPr>
        <w:footnoteReference w:id="96"/>
      </w:r>
      <w:r w:rsidRPr="00200212">
        <w:rPr>
          <w:rFonts w:ascii="Sakkal Majalla" w:hAnsi="Sakkal Majalla" w:cs="Sakkal Majalla"/>
          <w:sz w:val="32"/>
          <w:szCs w:val="32"/>
          <w:rtl/>
          <w:lang w:bidi="ar-EG"/>
        </w:rPr>
        <w:t>.</w:t>
      </w:r>
    </w:p>
    <w:p w14:paraId="051D80BB" w14:textId="0C1C9324" w:rsidR="00A1336D" w:rsidRPr="003126C4" w:rsidRDefault="00200212" w:rsidP="003126C4">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ومن ثم تبرز الحاجة إلى دراسة هذه الاتجاهات وتحليل أسسها القانونية، للوقوف على التكييف الأكثر ملاءمة لطبيعة أنظمة الذكاء الاصطناعي، ومدى قدرة القواعد القانونية الحالية على استيعاب التطورات التقنية المتسارعة في هذا المجال</w:t>
      </w:r>
      <w:r w:rsidR="0044569C" w:rsidRPr="0044569C">
        <w:rPr>
          <w:rFonts w:ascii="Sakkal Majalla" w:hAnsi="Sakkal Majalla" w:cs="Sakkal Majalla"/>
          <w:sz w:val="32"/>
          <w:szCs w:val="32"/>
          <w:rtl/>
          <w:lang w:bidi="ar-EG"/>
        </w:rPr>
        <w:t>.</w:t>
      </w:r>
    </w:p>
    <w:p w14:paraId="2B818581" w14:textId="30BE06F4" w:rsidR="00336714" w:rsidRPr="000C629F" w:rsidRDefault="00336714" w:rsidP="00A1336D">
      <w:pPr>
        <w:bidi/>
        <w:spacing w:line="360" w:lineRule="auto"/>
        <w:jc w:val="lowKashida"/>
        <w:rPr>
          <w:rFonts w:ascii="Sakkal Majalla" w:hAnsi="Sakkal Majalla" w:cs="Sakkal Majalla"/>
          <w:b/>
          <w:bCs/>
          <w:sz w:val="32"/>
          <w:szCs w:val="32"/>
          <w:lang w:bidi="ar-EG"/>
        </w:rPr>
      </w:pPr>
      <w:r w:rsidRPr="000C629F">
        <w:rPr>
          <w:rFonts w:ascii="Sakkal Majalla" w:hAnsi="Sakkal Majalla" w:cs="Sakkal Majalla"/>
          <w:b/>
          <w:bCs/>
          <w:sz w:val="32"/>
          <w:szCs w:val="32"/>
          <w:rtl/>
          <w:lang w:bidi="ar-EG"/>
        </w:rPr>
        <w:lastRenderedPageBreak/>
        <w:t>المطلب الأول: الذكاء الاصطناعي بوصفه شيئًا في نطاق المسؤولية المدنية</w:t>
      </w:r>
      <w:r w:rsidR="000C629F">
        <w:rPr>
          <w:rFonts w:ascii="Sakkal Majalla" w:hAnsi="Sakkal Majalla" w:cs="Sakkal Majalla" w:hint="cs"/>
          <w:b/>
          <w:bCs/>
          <w:sz w:val="32"/>
          <w:szCs w:val="32"/>
          <w:rtl/>
          <w:lang w:bidi="ar-EG"/>
        </w:rPr>
        <w:t>.</w:t>
      </w:r>
    </w:p>
    <w:p w14:paraId="2805567A" w14:textId="574EB2A3" w:rsidR="008333FF"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يثير تحديد الطبيعة القانونية للذكاء الاصطناعي إشكالية جوهرية تتعلق بإمكانية إخضاعه للقواعد التقليدية للمسؤولية المدنية</w:t>
      </w:r>
      <w:r w:rsidR="00200212">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اتجه جانب من الفقه إلى اعتبار الذكاء الاصطناعي شيئًا من الأشياء التي تخضع لأحكام المسؤولية عن الأشياء</w:t>
      </w:r>
      <w:r w:rsidR="005F4AC1">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باعتبار أنه يظل أداة تقنية من صنع الإنسان وتحت إشرافه ورقابته</w:t>
      </w:r>
      <w:r w:rsidR="008333FF">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ويترتب على هذا الاتجاه إسناد المسؤولية إلى الشخص الذي يملك سلطة السيطرة والتوجيه على النظام الذكي عند وقوع الضرر</w:t>
      </w:r>
      <w:r w:rsidR="005F4AC1">
        <w:rPr>
          <w:rStyle w:val="FootnoteReference"/>
          <w:rFonts w:ascii="Sakkal Majalla" w:hAnsi="Sakkal Majalla" w:cs="Sakkal Majalla"/>
          <w:sz w:val="32"/>
          <w:szCs w:val="32"/>
          <w:rtl/>
          <w:lang w:bidi="ar-EG"/>
        </w:rPr>
        <w:footnoteReference w:id="97"/>
      </w:r>
      <w:r w:rsidRPr="00336714">
        <w:rPr>
          <w:rFonts w:ascii="Sakkal Majalla" w:hAnsi="Sakkal Majalla" w:cs="Sakkal Majalla"/>
          <w:sz w:val="32"/>
          <w:szCs w:val="32"/>
          <w:rtl/>
          <w:lang w:bidi="ar-EG"/>
        </w:rPr>
        <w:t>.</w:t>
      </w:r>
    </w:p>
    <w:p w14:paraId="09C1CBF4" w14:textId="16E6E711" w:rsidR="00336714" w:rsidRPr="005F4AC1" w:rsidRDefault="00336714" w:rsidP="00200212">
      <w:pPr>
        <w:bidi/>
        <w:spacing w:line="360" w:lineRule="auto"/>
        <w:jc w:val="lowKashida"/>
        <w:rPr>
          <w:rFonts w:ascii="Sakkal Majalla" w:hAnsi="Sakkal Majalla" w:cs="Sakkal Majalla"/>
          <w:sz w:val="32"/>
          <w:szCs w:val="32"/>
          <w:rtl/>
          <w:lang w:bidi="ar-EG"/>
        </w:rPr>
      </w:pPr>
      <w:r w:rsidRPr="005F4AC1">
        <w:rPr>
          <w:rFonts w:ascii="Sakkal Majalla" w:hAnsi="Sakkal Majalla" w:cs="Sakkal Majalla"/>
          <w:sz w:val="32"/>
          <w:szCs w:val="32"/>
          <w:rtl/>
          <w:lang w:bidi="ar-EG"/>
        </w:rPr>
        <w:t>ومن ثم</w:t>
      </w:r>
      <w:r w:rsidR="008333FF" w:rsidRPr="005F4AC1">
        <w:rPr>
          <w:rFonts w:ascii="Sakkal Majalla" w:hAnsi="Sakkal Majalla" w:cs="Sakkal Majalla" w:hint="cs"/>
          <w:sz w:val="32"/>
          <w:szCs w:val="32"/>
          <w:rtl/>
          <w:lang w:bidi="ar-EG"/>
        </w:rPr>
        <w:t xml:space="preserve"> </w:t>
      </w:r>
      <w:r w:rsidRPr="005F4AC1">
        <w:rPr>
          <w:rFonts w:ascii="Sakkal Majalla" w:hAnsi="Sakkal Majalla" w:cs="Sakkal Majalla"/>
          <w:sz w:val="32"/>
          <w:szCs w:val="32"/>
          <w:rtl/>
          <w:lang w:bidi="ar-EG"/>
        </w:rPr>
        <w:t xml:space="preserve"> يقتضي بحث هذا الاتجاه بيان مفهوم حراسة الأشياء وأساس المسؤولية المترتبة عليها، ثم دراسة مدى إمكانية تطبيق هذه الأحكام على أنظمة الذكاء الاصطناعي، مع بيان موقف النظام السعودي من ذلك، وأهم المزايا والانتقادات المرتبطة بهذا التكييف القانوني.</w:t>
      </w:r>
    </w:p>
    <w:p w14:paraId="22EB61F5" w14:textId="333B3525" w:rsidR="00336714" w:rsidRPr="005F4AC1" w:rsidRDefault="00336714" w:rsidP="00200212">
      <w:pPr>
        <w:bidi/>
        <w:spacing w:line="360" w:lineRule="auto"/>
        <w:jc w:val="lowKashida"/>
        <w:rPr>
          <w:rFonts w:ascii="Sakkal Majalla" w:hAnsi="Sakkal Majalla" w:cs="Sakkal Majalla"/>
          <w:b/>
          <w:bCs/>
          <w:sz w:val="32"/>
          <w:szCs w:val="32"/>
          <w:lang w:bidi="ar-EG"/>
        </w:rPr>
      </w:pPr>
      <w:r w:rsidRPr="005F4AC1">
        <w:rPr>
          <w:rFonts w:ascii="Sakkal Majalla" w:hAnsi="Sakkal Majalla" w:cs="Sakkal Majalla"/>
          <w:b/>
          <w:bCs/>
          <w:sz w:val="32"/>
          <w:szCs w:val="32"/>
          <w:rtl/>
          <w:lang w:bidi="ar-EG"/>
        </w:rPr>
        <w:t>الفرع الأول: مفهوم حراسة الأشياء وأساس المسؤولية عنها</w:t>
      </w:r>
      <w:r w:rsidR="008333FF" w:rsidRPr="005F4AC1">
        <w:rPr>
          <w:rFonts w:ascii="Sakkal Majalla" w:hAnsi="Sakkal Majalla" w:cs="Sakkal Majalla" w:hint="cs"/>
          <w:b/>
          <w:bCs/>
          <w:sz w:val="32"/>
          <w:szCs w:val="32"/>
          <w:rtl/>
          <w:lang w:bidi="ar-EG"/>
        </w:rPr>
        <w:t>.</w:t>
      </w:r>
    </w:p>
    <w:p w14:paraId="2105962C" w14:textId="57E0415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حراسة الأشياء من المفاهيم القانونية التي استقر عليها الفقه والقضاء لمعالجة الأضرار الناشئة عن الأشياء التي تكون مصدرًا للخطر</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وقد ارتبط ظهور هذه النظرية بالتطور الصناعي والتقني الذي أدى إلى تزايد استخدام الآلات والأجهزة والوسائل الحديثة الأمر الذي جعل إثبات الخطأ الشخصي في كثير من الحالات أمرًا بالغ الصعوبة</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ومن ثم اتجه الفقه إلى إسناد المسؤولية إلى الشخص الذي يملك السيطرة الفعلية على الشيء ويتولى توجيهه والرقابة عليه، باعتباره الأقدر على منع الضرر أو الحد من آثاره</w:t>
      </w:r>
      <w:r w:rsidR="00A1336D">
        <w:rPr>
          <w:rStyle w:val="FootnoteReference"/>
          <w:rFonts w:ascii="Sakkal Majalla" w:hAnsi="Sakkal Majalla" w:cs="Sakkal Majalla"/>
          <w:sz w:val="32"/>
          <w:szCs w:val="32"/>
          <w:rtl/>
          <w:lang w:bidi="ar-EG"/>
        </w:rPr>
        <w:footnoteReference w:id="98"/>
      </w:r>
      <w:r w:rsidRPr="00336714">
        <w:rPr>
          <w:rFonts w:ascii="Sakkal Majalla" w:hAnsi="Sakkal Majalla" w:cs="Sakkal Majalla"/>
          <w:sz w:val="32"/>
          <w:szCs w:val="32"/>
          <w:rtl/>
          <w:lang w:bidi="ar-EG"/>
        </w:rPr>
        <w:t>.</w:t>
      </w:r>
    </w:p>
    <w:p w14:paraId="46383BF8" w14:textId="61CC285F"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ويقصد بحراسة الشيء السلطة الفعلية التي يباشرها شخص على الشيء بحيث يتمكن من استعماله وتوجيهه والرقابة عليه بصورة مستقلة لذلك فإن الحراسة لا ترتبط بالملكية وحدها، بل تقوم على السيطرة الواقعية على الشيء وقت وقوع الضرر، فقد يكون المالك هو الحارس، وقد تنتقل الحراسة إلى شخص آخر إذا انتقلت إليه سلطة التحكم الفعلي في الشيء</w:t>
      </w:r>
      <w:r w:rsidR="00CD2649">
        <w:rPr>
          <w:rStyle w:val="FootnoteReference"/>
          <w:rFonts w:ascii="Sakkal Majalla" w:hAnsi="Sakkal Majalla" w:cs="Sakkal Majalla"/>
          <w:sz w:val="32"/>
          <w:szCs w:val="32"/>
          <w:rtl/>
          <w:lang w:bidi="ar-EG"/>
        </w:rPr>
        <w:footnoteReference w:id="99"/>
      </w:r>
      <w:r w:rsidRPr="00336714">
        <w:rPr>
          <w:rFonts w:ascii="Sakkal Majalla" w:hAnsi="Sakkal Majalla" w:cs="Sakkal Majalla"/>
          <w:sz w:val="32"/>
          <w:szCs w:val="32"/>
          <w:rtl/>
          <w:lang w:bidi="ar-EG"/>
        </w:rPr>
        <w:t>.</w:t>
      </w:r>
    </w:p>
    <w:p w14:paraId="13BC89EA" w14:textId="0DB5998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استقر الفقه القانوني على أن الحراسة القانونية تقوم على مجموعة من العناصر الأساسية تتمثل فيما يأتي</w:t>
      </w:r>
      <w:r w:rsidR="00A1336D">
        <w:rPr>
          <w:rStyle w:val="FootnoteReference"/>
          <w:rFonts w:ascii="Sakkal Majalla" w:hAnsi="Sakkal Majalla" w:cs="Sakkal Majalla"/>
          <w:sz w:val="32"/>
          <w:szCs w:val="32"/>
          <w:rtl/>
          <w:lang w:bidi="ar-EG"/>
        </w:rPr>
        <w:footnoteReference w:id="100"/>
      </w:r>
      <w:r w:rsidRPr="00336714">
        <w:rPr>
          <w:rFonts w:ascii="Sakkal Majalla" w:hAnsi="Sakkal Majalla" w:cs="Sakkal Majalla"/>
          <w:sz w:val="32"/>
          <w:szCs w:val="32"/>
          <w:rtl/>
          <w:lang w:bidi="ar-EG"/>
        </w:rPr>
        <w:t>:</w:t>
      </w:r>
    </w:p>
    <w:p w14:paraId="7947F582" w14:textId="77777777" w:rsid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الاستعمال:</w:t>
      </w:r>
      <w:r w:rsidRPr="005613DA">
        <w:rPr>
          <w:rFonts w:ascii="Sakkal Majalla" w:hAnsi="Sakkal Majalla" w:cs="Sakkal Majalla"/>
          <w:sz w:val="32"/>
          <w:szCs w:val="32"/>
          <w:rtl/>
          <w:lang w:bidi="ar-EG"/>
        </w:rPr>
        <w:t xml:space="preserve"> وهي قدرة الشخص على استخدام الشيء والانتفاع به لتحقيق الغرض المخصص له.</w:t>
      </w:r>
    </w:p>
    <w:p w14:paraId="13D8E945" w14:textId="77777777" w:rsid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التوجيه:</w:t>
      </w:r>
      <w:r w:rsidRPr="005613DA">
        <w:rPr>
          <w:rFonts w:ascii="Sakkal Majalla" w:hAnsi="Sakkal Majalla" w:cs="Sakkal Majalla"/>
          <w:sz w:val="32"/>
          <w:szCs w:val="32"/>
          <w:rtl/>
          <w:lang w:bidi="ar-EG"/>
        </w:rPr>
        <w:t xml:space="preserve"> وتعني قدرة الشخص على التحكم في كيفية تشغيل الشيء وتحديد نطاق نشاطه وطريقة استخدامه.</w:t>
      </w:r>
    </w:p>
    <w:p w14:paraId="0202BAE1" w14:textId="67795C6C" w:rsidR="00336714" w:rsidRPr="005613DA" w:rsidRDefault="00336714" w:rsidP="00200212">
      <w:pPr>
        <w:pStyle w:val="ListParagraph"/>
        <w:numPr>
          <w:ilvl w:val="0"/>
          <w:numId w:val="10"/>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سلطة الرقابة: وتتمثل في القدرة على متابعة الشيء والإشراف عليه واتخاذ الإجراءات اللازمة لمنع الأضرار الناشئة عنه</w:t>
      </w:r>
      <w:r w:rsidR="00383726">
        <w:rPr>
          <w:rStyle w:val="FootnoteReference"/>
          <w:rFonts w:ascii="Sakkal Majalla" w:hAnsi="Sakkal Majalla" w:cs="Sakkal Majalla"/>
          <w:sz w:val="32"/>
          <w:szCs w:val="32"/>
          <w:rtl/>
          <w:lang w:bidi="ar-EG"/>
        </w:rPr>
        <w:footnoteReference w:id="101"/>
      </w:r>
      <w:r w:rsidRPr="005613DA">
        <w:rPr>
          <w:rFonts w:ascii="Sakkal Majalla" w:hAnsi="Sakkal Majalla" w:cs="Sakkal Majalla"/>
          <w:sz w:val="32"/>
          <w:szCs w:val="32"/>
          <w:rtl/>
          <w:lang w:bidi="ar-EG"/>
        </w:rPr>
        <w:t>.</w:t>
      </w:r>
    </w:p>
    <w:p w14:paraId="3D32CE2E" w14:textId="0C2E78CB"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ولا تتحقق الحراسة القانونية إلا باجتماع هذه العناصر الثلاثة في شخص واحد، لأن المسؤولية ترتبط بالسيطرة الفعلية على الشيء لا بمجرد حيازته أو ملكيته.</w:t>
      </w:r>
    </w:p>
    <w:p w14:paraId="1FD4FE66" w14:textId="646A4FFB" w:rsidR="00336714" w:rsidRPr="00336714" w:rsidRDefault="005966C8" w:rsidP="00200212">
      <w:pPr>
        <w:bidi/>
        <w:spacing w:line="360" w:lineRule="auto"/>
        <w:jc w:val="lowKashida"/>
        <w:rPr>
          <w:rFonts w:ascii="Sakkal Majalla" w:hAnsi="Sakkal Majalla" w:cs="Sakkal Majalla"/>
          <w:sz w:val="32"/>
          <w:szCs w:val="32"/>
          <w:lang w:bidi="ar-EG"/>
        </w:rPr>
      </w:pPr>
      <w:r w:rsidRPr="00143BCD">
        <w:rPr>
          <w:rFonts w:ascii="Sakkal Majalla" w:hAnsi="Sakkal Majalla" w:cs="Sakkal Majalla"/>
          <w:sz w:val="32"/>
          <w:szCs w:val="32"/>
          <w:rtl/>
          <w:lang w:bidi="ar-EG"/>
        </w:rPr>
        <w:t xml:space="preserve">وقد أخذ المنظم السعودي بمسؤولية حارس الشيء باعتبارها إحدى صور المسؤولية عن الفعل الضار، وذلك بهدف توفير الحماية للمضرور وتيسير حصوله على التعويض. وفي هذا الإطار، قررت المادة (132) من نظام </w:t>
      </w:r>
      <w:r w:rsidRPr="00143BCD">
        <w:rPr>
          <w:rFonts w:ascii="Sakkal Majalla" w:hAnsi="Sakkal Majalla" w:cs="Sakkal Majalla"/>
          <w:sz w:val="32"/>
          <w:szCs w:val="32"/>
          <w:rtl/>
          <w:lang w:bidi="ar-EG"/>
        </w:rPr>
        <w:lastRenderedPageBreak/>
        <w:t>المعاملات المدنية السعودي، الصادر بالمرسوم الملكي رقم (م/191) بتاريخ 29/11/1444هـ، مسؤولية من يتولى حراسة الأشياء التي تتطلب عناية خاصة بطبيعتها أو بموجب النصوص النظامية للوقاية من ضررها، عما تحدثه تلك الأشياء من ضرر، ما لم يثبت أن الضرر كان بسبب لا يد له فيه</w:t>
      </w:r>
      <w:r w:rsidR="00336714" w:rsidRPr="00143BCD">
        <w:rPr>
          <w:rFonts w:ascii="Sakkal Majalla" w:hAnsi="Sakkal Majalla" w:cs="Sakkal Majalla"/>
          <w:sz w:val="32"/>
          <w:szCs w:val="32"/>
          <w:rtl/>
          <w:lang w:bidi="ar-EG"/>
        </w:rPr>
        <w:t>»</w:t>
      </w:r>
      <w:r w:rsidR="00A1336D" w:rsidRPr="00143BCD">
        <w:rPr>
          <w:rStyle w:val="FootnoteReference"/>
          <w:rFonts w:ascii="Sakkal Majalla" w:hAnsi="Sakkal Majalla" w:cs="Sakkal Majalla"/>
          <w:sz w:val="32"/>
          <w:szCs w:val="32"/>
          <w:rtl/>
          <w:lang w:bidi="ar-EG"/>
        </w:rPr>
        <w:footnoteReference w:id="102"/>
      </w:r>
      <w:r w:rsidR="00336714" w:rsidRPr="00143BCD">
        <w:rPr>
          <w:rFonts w:ascii="Sakkal Majalla" w:hAnsi="Sakkal Majalla" w:cs="Sakkal Majalla"/>
          <w:sz w:val="32"/>
          <w:szCs w:val="32"/>
          <w:rtl/>
          <w:lang w:bidi="ar-EG"/>
        </w:rPr>
        <w:t>.</w:t>
      </w:r>
    </w:p>
    <w:p w14:paraId="5CB71E98" w14:textId="3CE6EA1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ويفهم من هذا النص أن المنظم السعودي أقام المسؤولية على أساس الحراسة والسيطرة الفعلية على الشيء</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وأن المضرور لا يكون ملزمًا بإثبات خطأ الحارس بصورة مباشرة، وإنما يكفيه إثبات وقوع الضرر وعلاقة الشيء به، بينما ينتقل إلى الحارس عبء إثبات السبب الأجنبي النافي للمسؤولية.</w:t>
      </w:r>
    </w:p>
    <w:p w14:paraId="1EC00C1E" w14:textId="25779E08" w:rsidR="005613DA"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وقد اختلف الفقه بشأن الأساس القانوني لهذه المسؤولية، حيث ظهر اتجاهان رئيسان</w:t>
      </w:r>
      <w:r w:rsidR="00A1336D">
        <w:rPr>
          <w:rStyle w:val="FootnoteReference"/>
          <w:rFonts w:ascii="Sakkal Majalla" w:hAnsi="Sakkal Majalla" w:cs="Sakkal Majalla"/>
          <w:sz w:val="32"/>
          <w:szCs w:val="32"/>
          <w:rtl/>
          <w:lang w:bidi="ar-EG"/>
        </w:rPr>
        <w:footnoteReference w:id="103"/>
      </w:r>
      <w:r w:rsidRPr="00336714">
        <w:rPr>
          <w:rFonts w:ascii="Sakkal Majalla" w:hAnsi="Sakkal Majalla" w:cs="Sakkal Majalla"/>
          <w:sz w:val="32"/>
          <w:szCs w:val="32"/>
          <w:rtl/>
          <w:lang w:bidi="ar-EG"/>
        </w:rPr>
        <w:t>:</w:t>
      </w:r>
    </w:p>
    <w:p w14:paraId="2365956D" w14:textId="6F8F9BA9" w:rsidR="005613DA" w:rsidRDefault="00336714" w:rsidP="00200212">
      <w:pPr>
        <w:pStyle w:val="ListParagraph"/>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الخطأ المفترض: ويرى أن الحارس يفترض في حقه التقصير في الرقابة على الشيء متى تسبب في إحداث ضرر للغير.</w:t>
      </w:r>
    </w:p>
    <w:p w14:paraId="515418D3" w14:textId="0A5F285A" w:rsidR="00336714" w:rsidRPr="005613DA" w:rsidRDefault="00336714" w:rsidP="00200212">
      <w:pPr>
        <w:pStyle w:val="ListParagraph"/>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تحمل التبعة أو المخاطر: ويرى أن من ينتفع بالشيء ويستفيد منه اقتصاديًا يجب أن يتحمل المخاطر المترتبة على استخدامه ولو تعذر إثبات خطأ شخصي في جانبه.</w:t>
      </w:r>
    </w:p>
    <w:p w14:paraId="148EF99F" w14:textId="6419DB73" w:rsidR="00336714" w:rsidRPr="00383726" w:rsidRDefault="00336714" w:rsidP="00200212">
      <w:pPr>
        <w:bidi/>
        <w:spacing w:line="360" w:lineRule="auto"/>
        <w:jc w:val="lowKashida"/>
        <w:rPr>
          <w:rFonts w:ascii="Sakkal Majalla" w:hAnsi="Sakkal Majalla" w:cs="Sakkal Majalla"/>
          <w:sz w:val="32"/>
          <w:szCs w:val="32"/>
          <w:lang w:bidi="ar-EG"/>
        </w:rPr>
      </w:pPr>
      <w:r w:rsidRPr="00383726">
        <w:rPr>
          <w:rFonts w:ascii="Sakkal Majalla" w:hAnsi="Sakkal Majalla" w:cs="Sakkal Majalla"/>
          <w:sz w:val="32"/>
          <w:szCs w:val="32"/>
          <w:rtl/>
          <w:lang w:bidi="ar-EG"/>
        </w:rPr>
        <w:t>ويبدو أن الاتجاه الثاني أكثر ملاءمة للتطورات التقنية الحديثة، خاصة مع ظهور الأنظمة الذكية والوسائل التقنية المعقدة التي يصعب في كثير من الأحيان تحديد الخطأ البشري المباشر فيها. ولذلك اكتسبت نظرية حراسة الأشياء أهمية متزايدة في المناقشات الفقهية المعاصرة المتعلقة بالذكاء الاصطناعي، حيث يرى جانب من الفقه إمكانية اعتبار الأنظمة الذكية أشياء قانونية تخضع لسيطرة الإنسان، ومن ثم يمكن تطبيق أحكام مسؤولية الحارس عليها متى تسببت في إحداث ضرر للغير</w:t>
      </w:r>
      <w:r w:rsidR="005F4AC1" w:rsidRPr="00383726">
        <w:rPr>
          <w:rStyle w:val="FootnoteReference"/>
          <w:rFonts w:ascii="Sakkal Majalla" w:hAnsi="Sakkal Majalla" w:cs="Sakkal Majalla"/>
          <w:sz w:val="32"/>
          <w:szCs w:val="32"/>
          <w:rtl/>
          <w:lang w:bidi="ar-EG"/>
        </w:rPr>
        <w:footnoteReference w:id="104"/>
      </w:r>
      <w:r w:rsidRPr="00383726">
        <w:rPr>
          <w:rFonts w:ascii="Sakkal Majalla" w:hAnsi="Sakkal Majalla" w:cs="Sakkal Majalla"/>
          <w:sz w:val="32"/>
          <w:szCs w:val="32"/>
          <w:rtl/>
          <w:lang w:bidi="ar-EG"/>
        </w:rPr>
        <w:t>.</w:t>
      </w:r>
    </w:p>
    <w:p w14:paraId="4C0AFF29" w14:textId="7F9BBF36" w:rsidR="00336714" w:rsidRPr="00383726" w:rsidRDefault="00336714" w:rsidP="00200212">
      <w:pPr>
        <w:bidi/>
        <w:spacing w:line="360" w:lineRule="auto"/>
        <w:jc w:val="lowKashida"/>
        <w:rPr>
          <w:rFonts w:ascii="Sakkal Majalla" w:hAnsi="Sakkal Majalla" w:cs="Sakkal Majalla"/>
          <w:b/>
          <w:bCs/>
          <w:sz w:val="32"/>
          <w:szCs w:val="32"/>
          <w:lang w:bidi="ar-EG"/>
        </w:rPr>
      </w:pPr>
      <w:r w:rsidRPr="00383726">
        <w:rPr>
          <w:rFonts w:ascii="Sakkal Majalla" w:hAnsi="Sakkal Majalla" w:cs="Sakkal Majalla"/>
          <w:b/>
          <w:bCs/>
          <w:sz w:val="32"/>
          <w:szCs w:val="32"/>
          <w:rtl/>
          <w:lang w:bidi="ar-EG"/>
        </w:rPr>
        <w:lastRenderedPageBreak/>
        <w:t>الفرع الثاني: تطبيق قواعد المسؤولية عن الأشياء على أنظمة الذكاء الاصطناعي</w:t>
      </w:r>
      <w:r w:rsidR="005613DA" w:rsidRPr="00383726">
        <w:rPr>
          <w:rFonts w:ascii="Sakkal Majalla" w:hAnsi="Sakkal Majalla" w:cs="Sakkal Majalla" w:hint="cs"/>
          <w:b/>
          <w:bCs/>
          <w:sz w:val="32"/>
          <w:szCs w:val="32"/>
          <w:rtl/>
          <w:lang w:bidi="ar-EG"/>
        </w:rPr>
        <w:t>.</w:t>
      </w:r>
    </w:p>
    <w:p w14:paraId="7B272228" w14:textId="6DDD6CAF" w:rsidR="00AF5F88"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أثار التطور المتسارع لأنظمة الذكاء الاصطناعي تساؤلات قانونية جوهرية حول إمكانية إخضاعها للقواعد التقليدية المنظمة للمسؤولية المدنية ولا سيما قواعد المسؤولية عن الأشياء. وقد اتجه جانب معتبر من الفقه إلى اعتبار أنظمة الذكاء الاصطناعي أشياء قانونية تخضع للقواعد العامة للمسؤولية عن الأشياء، تأسيسًا على أن هذه الأنظمة تظل نتاجًا بشريًا يتم تصميمه وبرمجته وتشغيله بواسطة الإنسان، مهما بلغت درجة استقلاليتها التقنية في معالجة البيانات أو اتخاذ القرارات</w:t>
      </w:r>
      <w:r w:rsidR="00A1336D">
        <w:rPr>
          <w:rStyle w:val="FootnoteReference"/>
          <w:rFonts w:ascii="Sakkal Majalla" w:hAnsi="Sakkal Majalla" w:cs="Sakkal Majalla"/>
          <w:sz w:val="32"/>
          <w:szCs w:val="32"/>
          <w:rtl/>
          <w:lang w:bidi="ar-EG"/>
        </w:rPr>
        <w:footnoteReference w:id="105"/>
      </w:r>
      <w:r w:rsidRPr="00336714">
        <w:rPr>
          <w:rFonts w:ascii="Sakkal Majalla" w:hAnsi="Sakkal Majalla" w:cs="Sakkal Majalla"/>
          <w:sz w:val="32"/>
          <w:szCs w:val="32"/>
          <w:rtl/>
          <w:lang w:bidi="ar-EG"/>
        </w:rPr>
        <w:t>.</w:t>
      </w:r>
    </w:p>
    <w:p w14:paraId="4520C451" w14:textId="139D0D10"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هذا الاتجاه إلى أن الشخصية القانونية لا تثبت إلا للإنسان أو للأشخاص الاعتبارية التي يعترف بها القانون صراحة، في حين أن أنظمة الذكاء الاصطناعي لا تتمتع حتى الآن بإرادة قانونية مستقلة أو ذمة مالية خاصة أو أهلية قانونية تمكنها من تحمل الالتزامات أو اكتساب الحقوق بصورة مستقلة ومن ثم فإنها تبقى في نطاق الأشياء القانونية التي يمكن أن تكون محلاً للملكية أو الحيازة أو الاستعمال، شأنها شأن الآلات والأجهزة التقنية الأخرى، وإن كانت تتميز عنها بدرجة أكبر من التعقيد والاستقلالية.</w:t>
      </w:r>
    </w:p>
    <w:p w14:paraId="5DC1DCE1" w14:textId="6C062D6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اعتبار الذكاء الاصطناعي شيئًا قانونيًا إمكانية تطبيق أحكام المسؤولية عن الأشياء عليه متى تسبب في إحداث ضرر للغير</w:t>
      </w:r>
      <w:r w:rsidR="00AF5F88">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ففي هذه الحالة لا تسند المسؤولية إلى النظام الذكي ذاته، وإنما إلى الشخص الذي يباشر عليه سلطة الحراسة والسيطرة الفعلية وقد يكون هذا الشخص هو المنتج أو المبرمج أو المشغل أو المستخدم النهائي بحسب ظروف كل حالة ومدى توافر عناصر الحراسة القانونية لديه</w:t>
      </w:r>
      <w:r w:rsidR="00A1336D">
        <w:rPr>
          <w:rStyle w:val="FootnoteReference"/>
          <w:rFonts w:ascii="Sakkal Majalla" w:hAnsi="Sakkal Majalla" w:cs="Sakkal Majalla"/>
          <w:sz w:val="32"/>
          <w:szCs w:val="32"/>
          <w:rtl/>
          <w:lang w:bidi="ar-EG"/>
        </w:rPr>
        <w:footnoteReference w:id="106"/>
      </w:r>
      <w:r w:rsidRPr="00336714">
        <w:rPr>
          <w:rFonts w:ascii="Sakkal Majalla" w:hAnsi="Sakkal Majalla" w:cs="Sakkal Majalla"/>
          <w:sz w:val="32"/>
          <w:szCs w:val="32"/>
          <w:rtl/>
          <w:lang w:bidi="ar-EG"/>
        </w:rPr>
        <w:t>.</w:t>
      </w:r>
    </w:p>
    <w:p w14:paraId="48D01EEC" w14:textId="31FDDAA5"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وتبرز أهمية هذا التكييف في الحالات التي تتسبب فيها الأنظمة الذكية في أضرار دون وجود تدخل بشري مباشر، مثل المركبات ذاتية القيادة، والروبوتات الصناعية، والأنظمة الطبية الذكية، وأنظمة التداول المالي المعتمدة على الخوارزميات. ففي مثل هذه الحالات قد يصعب إثبات الخطأ الشخصي بصورة مباشرة، مما يجعل قواعد المسؤولية عن الأشياء أكثر قدرة على توفير الحماية القانونية للمضرور وضمان حصوله على التعويض.</w:t>
      </w:r>
    </w:p>
    <w:p w14:paraId="0D49C760" w14:textId="216A3014"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وفي النظام السعودي لا يوجد حتى الوقت الحاضر نص خاص ينظم بصورة مباشرة ومتكاملة المسؤولية المدنية الناشئة عن أفعال أنظمة الذكاء الاصطناعي، إلا أن القواعد العامة الواردة في نظام المعاملات المدنية يمكن أن توفر أساسًا أوليًا لمعالجة بعض صور الأضرار الناجمة عنها</w:t>
      </w:r>
      <w:r w:rsidRPr="005000F7">
        <w:rPr>
          <w:rFonts w:ascii="Sakkal Majalla" w:hAnsi="Sakkal Majalla" w:cs="Sakkal Majalla" w:hint="cs"/>
          <w:sz w:val="32"/>
          <w:szCs w:val="32"/>
          <w:rtl/>
          <w:lang w:bidi="ar-EG"/>
        </w:rPr>
        <w:t xml:space="preserve"> </w:t>
      </w:r>
      <w:r w:rsidRPr="005000F7">
        <w:rPr>
          <w:rFonts w:ascii="Sakkal Majalla" w:hAnsi="Sakkal Majalla" w:cs="Sakkal Majalla"/>
          <w:sz w:val="32"/>
          <w:szCs w:val="32"/>
          <w:rtl/>
          <w:lang w:bidi="ar-EG"/>
        </w:rPr>
        <w:t>وفي هذا الإطار نصت المادة (132) من النظام على أن: «كل من تولى حراسة أشياء تتطلب عنايةً خاصةً -بطبيعتها أو بموجب النصوص النظامية- للوقاية من ضررها؛ كان مسؤولًا عما تحدثه تلك الأشياء من ضرر، ما لم يثبت أن الضرر كان بسبب لا يد له فيه» كما عرفت المادة (134) حارس الشيء بأنه من تكون له، بنفسه أو بواسطة غيره، سلطة فعلية عليه، مع افتراض أن المالك هو الحارس ما لم يثبت انتقال الحراسة إلى شخص آخر.</w:t>
      </w:r>
    </w:p>
    <w:p w14:paraId="59134B1B" w14:textId="01C32B10"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 xml:space="preserve">ومع ذلك، فإن تطبيق أحكام مسؤولية حارس الأشياء على أنظمة الذكاء الاصطناعي لا يخلو من صعوبات قانونية؛ لأن النظام الذكي قد يكون برنامجًا أو خوارزمية غير مادية تعمل داخل بيئة رقمية، وليس شيئًا ماديًا تقليديًا بالمعنى الذي يسهل إخضاعه لأحكام الحراسة. ويكون تطبيق المادة (132) أكثر وضوحًا عندما يكون الذكاء الاصطناعي مدمجًا في شيء مادي، مثل المركبة ذاتية القيادة أو الروبوت الصناعي أو الجهاز الطبي الذكي؛ إذ يمكن النظر إلى النظام المادي والبرمجي بوصفهما وحدة تقنية متكاملة تتطلب عناية خاصة للوقاية من أخطارها. أما إذا اقتصر الأمر على خوارزمية أو برنامج رقمي مستقل، مثل أنظمة التداول الآلي أو </w:t>
      </w:r>
      <w:r w:rsidRPr="005000F7">
        <w:rPr>
          <w:rFonts w:ascii="Sakkal Majalla" w:hAnsi="Sakkal Majalla" w:cs="Sakkal Majalla"/>
          <w:sz w:val="32"/>
          <w:szCs w:val="32"/>
          <w:rtl/>
          <w:lang w:bidi="ar-EG"/>
        </w:rPr>
        <w:lastRenderedPageBreak/>
        <w:t>التصنيف الائتماني أو توليد المحتوى، فإن إخضاعه للمادة ذاتها يستلزم تبني تفسير وظيفي موسع لمفهوم «الشيء»، يقوم على مقدار الخطر الذي ينشأ عن النظام، لا على طبيعته المادية وحدها.</w:t>
      </w:r>
    </w:p>
    <w:p w14:paraId="1A3E12C4" w14:textId="3757B657"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كما تبرز صعوبة أخرى تتعلق بتحديد الحارس الفعلي للنظام الذكي؛ فقد تتوزع سلطة الاستعمال والتوجيه والرقابة بين أطراف متعددة، مثل المصمم، والمبرمج، والمنتج، ومزود البيانات، ومقدم الخدمة، والمشغل، والمستخدم النهائي. وقد يكون المطور هو صاحب السيطرة الفنية على تصميم الخوارزمية وتحديثها، بينما يتولى المشغل تحديد مجال استخدامها، ويباشر المستخدم سلطة تشغيلها في الواقع العملي. ومن ثم لا يكفي الاعتماد على الملكية وحدها، وإنما يتعين تحديد الطرف الذي كانت له السلطة الفعلية على النظام وقت وقوع الضرر، ومدى قدرته على مراقبته أو تعطيله أو تعديل طريقة تشغيله.</w:t>
      </w:r>
    </w:p>
    <w:p w14:paraId="16B6B324" w14:textId="3AFB03EC"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وتزداد هذه الإشكالية تعقيدًا بالنسبة إلى الأنظمة القادرة على التعلم الذاتي أو التكيف بعد التشغيل؛ إذ قد تصدر عنها مخرجات لم يتوقعها المبرمج أو المستخدم بصورة دقيقة. غير أن الاستقلال التقني للنظام لا يؤدي بذاته إلى انتفاء المسؤولية البشرية، وإنما يقتضي البحث في دورة حياة النظام لتحديد مصدر الخلل: هل يرجع إلى عيب في التصميم أو البرمجة، أم إلى رداءة بيانات التدريب، أم إلى قصور في الاختبار والتحديث، أم إلى سوء التشغيل أو انعدام الإشراف البشري؟ وإذا ساهم أكثر من طرف في إحداث الضرر، أمكن الاستناد إلى المادة (127) من نظام المعاملات المدنية، التي تقرر تضامن المسؤولين عن الفعل الضار، مع تحديد نصيب كل منهم في التعويض بحسب مدى مساهمته في وقوع الضرر.</w:t>
      </w:r>
    </w:p>
    <w:p w14:paraId="0301392D" w14:textId="7163CB51" w:rsidR="005A4017" w:rsidRPr="005A4017" w:rsidRDefault="005A4017" w:rsidP="005A4017">
      <w:pPr>
        <w:bidi/>
        <w:spacing w:line="360" w:lineRule="auto"/>
        <w:jc w:val="lowKashida"/>
        <w:rPr>
          <w:rFonts w:ascii="Sakkal Majalla" w:hAnsi="Sakkal Majalla" w:cs="Sakkal Majalla"/>
          <w:sz w:val="32"/>
          <w:szCs w:val="32"/>
          <w:lang w:bidi="ar-EG"/>
        </w:rPr>
      </w:pPr>
      <w:r w:rsidRPr="005A4017">
        <w:rPr>
          <w:rFonts w:ascii="Sakkal Majalla" w:hAnsi="Sakkal Majalla" w:cs="Sakkal Majalla"/>
          <w:sz w:val="32"/>
          <w:szCs w:val="32"/>
          <w:rtl/>
          <w:lang w:bidi="ar-EG"/>
        </w:rPr>
        <w:t xml:space="preserve">ولا ينبغي لذلك قصر المسؤولية عن أضرار الذكاء الاصطناعي على أحكام حراسة الأشياء، إذ يمكن أن تجد أساسها كذلك في القواعد العامة للمسؤولية عن الفعل الضار الواردة في نظام المعاملات المدنية السعودي. فقد قررت المادة (118) من النظام، مع مراعاة أحكام المسؤولية الواردة في النصوص النظامية الخاصة، </w:t>
      </w:r>
      <w:r w:rsidRPr="005A4017">
        <w:rPr>
          <w:rFonts w:ascii="Sakkal Majalla" w:hAnsi="Sakkal Majalla" w:cs="Sakkal Majalla"/>
          <w:sz w:val="32"/>
          <w:szCs w:val="32"/>
          <w:rtl/>
          <w:lang w:bidi="ar-EG"/>
        </w:rPr>
        <w:lastRenderedPageBreak/>
        <w:t>سريان أحكام هذا الفصل على المسؤولية الناشئة عن الفعل الضار الصادر من الشخص ذي الصفة الطبيعية أو الاعتبارية. كما نصت المادة (120) على أن: «كل خطأ سبب ضررًا للغير يلزم من ارتكبه بالتعويض»</w:t>
      </w:r>
      <w:r>
        <w:rPr>
          <w:rStyle w:val="FootnoteReference"/>
          <w:rFonts w:ascii="Sakkal Majalla" w:hAnsi="Sakkal Majalla" w:cs="Sakkal Majalla"/>
          <w:sz w:val="32"/>
          <w:szCs w:val="32"/>
          <w:rtl/>
          <w:lang w:bidi="ar-EG"/>
        </w:rPr>
        <w:footnoteReference w:id="107"/>
      </w:r>
      <w:r w:rsidRPr="005A4017">
        <w:rPr>
          <w:rFonts w:ascii="Sakkal Majalla" w:hAnsi="Sakkal Majalla" w:cs="Sakkal Majalla"/>
          <w:sz w:val="32"/>
          <w:szCs w:val="32"/>
          <w:rtl/>
          <w:lang w:bidi="ar-EG"/>
        </w:rPr>
        <w:t>.</w:t>
      </w:r>
    </w:p>
    <w:p w14:paraId="0E792556" w14:textId="3C202719" w:rsidR="005A4017" w:rsidRDefault="005A4017" w:rsidP="005A4017">
      <w:pPr>
        <w:bidi/>
        <w:spacing w:line="360" w:lineRule="auto"/>
        <w:jc w:val="lowKashida"/>
        <w:rPr>
          <w:rFonts w:ascii="Sakkal Majalla" w:hAnsi="Sakkal Majalla" w:cs="Sakkal Majalla"/>
          <w:sz w:val="32"/>
          <w:szCs w:val="32"/>
          <w:rtl/>
          <w:lang w:bidi="ar-EG"/>
        </w:rPr>
      </w:pPr>
      <w:r w:rsidRPr="005A4017">
        <w:rPr>
          <w:rFonts w:ascii="Sakkal Majalla" w:hAnsi="Sakkal Majalla" w:cs="Sakkal Majalla"/>
          <w:sz w:val="32"/>
          <w:szCs w:val="32"/>
          <w:rtl/>
          <w:lang w:bidi="ar-EG"/>
        </w:rPr>
        <w:t>وبناءً على ذلك</w:t>
      </w:r>
      <w:r>
        <w:rPr>
          <w:rFonts w:ascii="Sakkal Majalla" w:hAnsi="Sakkal Majalla" w:cs="Sakkal Majalla" w:hint="cs"/>
          <w:sz w:val="32"/>
          <w:szCs w:val="32"/>
          <w:rtl/>
          <w:lang w:bidi="ar-EG"/>
        </w:rPr>
        <w:t xml:space="preserve"> </w:t>
      </w:r>
      <w:r w:rsidRPr="005A4017">
        <w:rPr>
          <w:rFonts w:ascii="Sakkal Majalla" w:hAnsi="Sakkal Majalla" w:cs="Sakkal Majalla"/>
          <w:sz w:val="32"/>
          <w:szCs w:val="32"/>
          <w:rtl/>
          <w:lang w:bidi="ar-EG"/>
        </w:rPr>
        <w:t>يمكن مساءلة المطور أو المنتج أو مقدم الخدمة متى أمكن إسناد الفعل الضار إليه وثبت أن الضرر نتج عن خطأ في تصميم النظام أو برمجته، أو قصور في تأمينه أو تحديثه، أو إهمال التحذير من مخاطره، أو استخدام بيانات غير ملائمة. كما يمكن بحث مسؤولية المنتج أو المصنع إذا كان الضرر ناشئًا عن عيب في تصميم المنتج الذكي أو تصنيعه أو تعليمات استخدامه، وذلك دون إخلال بإمكان قيام المسؤولية العقدية متى وجدت رابطة تعاقدية بين المتضرر وأحد الأطراف المتدخلة.</w:t>
      </w:r>
    </w:p>
    <w:p w14:paraId="5A49C073" w14:textId="203AE53D" w:rsidR="00336714" w:rsidRPr="005000F7" w:rsidRDefault="00693C46" w:rsidP="005A4017">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وعليه</w:t>
      </w:r>
      <w:r w:rsidRPr="005000F7">
        <w:rPr>
          <w:rFonts w:ascii="Sakkal Majalla" w:hAnsi="Sakkal Majalla" w:cs="Sakkal Majalla" w:hint="cs"/>
          <w:sz w:val="32"/>
          <w:szCs w:val="32"/>
          <w:rtl/>
          <w:lang w:bidi="ar-EG"/>
        </w:rPr>
        <w:t xml:space="preserve"> </w:t>
      </w:r>
      <w:r w:rsidRPr="005000F7">
        <w:rPr>
          <w:rFonts w:ascii="Sakkal Majalla" w:hAnsi="Sakkal Majalla" w:cs="Sakkal Majalla"/>
          <w:sz w:val="32"/>
          <w:szCs w:val="32"/>
          <w:rtl/>
          <w:lang w:bidi="ar-EG"/>
        </w:rPr>
        <w:t xml:space="preserve"> تمثل المادة (132) أساسًا محتملًا لإخضاع بعض تطبيقات الذكاء الاصطناعي لمسؤولية حارس الأشياء، إلا أنها لا تقدم بمفردها معالجة شاملة لجميع الأضرار الرقمية، ولا سيما الأضرار الناشئة عن البرمجيات المستقلة والأنظمة ذاتية التعلم. ولذلك تظل الحاجة قائمة إلى تنظيم خاص يحدد مفهوم حراسة النظام الذكي، ويوزع المسؤولية بين أطراف دورة حياته، وينظم مسؤولية المنتج عن العيوب الخوارزمية، بما يمنع قيام فراغ في المسؤولية ويضمن حصول المتضرر على التعويض المناسب</w:t>
      </w:r>
      <w:r w:rsidR="00383726" w:rsidRPr="005000F7">
        <w:rPr>
          <w:rStyle w:val="FootnoteReference"/>
          <w:rFonts w:ascii="Sakkal Majalla" w:hAnsi="Sakkal Majalla" w:cs="Sakkal Majalla"/>
          <w:sz w:val="32"/>
          <w:szCs w:val="32"/>
          <w:rtl/>
          <w:lang w:bidi="ar-EG"/>
        </w:rPr>
        <w:footnoteReference w:id="108"/>
      </w:r>
      <w:r w:rsidR="00336714" w:rsidRPr="005000F7">
        <w:rPr>
          <w:rFonts w:ascii="Sakkal Majalla" w:hAnsi="Sakkal Majalla" w:cs="Sakkal Majalla"/>
          <w:sz w:val="32"/>
          <w:szCs w:val="32"/>
          <w:rtl/>
          <w:lang w:bidi="ar-EG"/>
        </w:rPr>
        <w:t>.</w:t>
      </w:r>
    </w:p>
    <w:p w14:paraId="0333DBF0" w14:textId="5AE09954" w:rsidR="00336714" w:rsidRPr="00AF5F88" w:rsidRDefault="00336714" w:rsidP="00200212">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كما أن المادة (120) من النظام ذاته تقرر قاعدة عامة مؤداها أن: «كل خطأ سبب ضررًا للغير يلزم من ارتكبه بالتعويض»</w:t>
      </w:r>
      <w:r w:rsidR="00C412D1" w:rsidRPr="005000F7">
        <w:rPr>
          <w:rStyle w:val="FootnoteReference"/>
          <w:rFonts w:ascii="Sakkal Majalla" w:hAnsi="Sakkal Majalla" w:cs="Sakkal Majalla"/>
          <w:sz w:val="32"/>
          <w:szCs w:val="32"/>
          <w:rtl/>
          <w:lang w:bidi="ar-EG"/>
        </w:rPr>
        <w:footnoteReference w:id="109"/>
      </w:r>
      <w:r w:rsidRPr="005000F7">
        <w:rPr>
          <w:rFonts w:ascii="Sakkal Majalla" w:hAnsi="Sakkal Majalla" w:cs="Sakkal Majalla"/>
          <w:sz w:val="32"/>
          <w:szCs w:val="32"/>
          <w:rtl/>
          <w:lang w:bidi="ar-EG"/>
        </w:rPr>
        <w:t xml:space="preserve">، وهو ما يسمح للقاضي بالاستناد إلى أحكام المسؤولية المدنية العامة متى أمكن تحديد الشخص الذي تسبب بخطئه في وقوع الضرر المرتبط بالنظام الذكي غير أن الصعوبة تكمن في الحالات التي يصعب فيها </w:t>
      </w:r>
      <w:r w:rsidRPr="005000F7">
        <w:rPr>
          <w:rFonts w:ascii="Sakkal Majalla" w:hAnsi="Sakkal Majalla" w:cs="Sakkal Majalla"/>
          <w:sz w:val="32"/>
          <w:szCs w:val="32"/>
          <w:rtl/>
          <w:lang w:bidi="ar-EG"/>
        </w:rPr>
        <w:lastRenderedPageBreak/>
        <w:t>تحديد الخطأ البشري بصورة دقيقة نتيجة الطبيعة الذاتية لبعض الأنظمة الذكية وقدرتها على التعلم والتطوير المستمر.</w:t>
      </w:r>
    </w:p>
    <w:p w14:paraId="63E0DE2D" w14:textId="732D2351"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ويتميز اتجاه اعتبار الذكاء الاصطناعي شيئًا قانونيًا بعدد من المزايا التي دفعت العديد من الفقهاء إلى تأييده، ومن أبرز هذه المزايا ما يأتي</w:t>
      </w:r>
      <w:r w:rsidR="00A1336D">
        <w:rPr>
          <w:rStyle w:val="FootnoteReference"/>
          <w:rFonts w:ascii="Sakkal Majalla" w:hAnsi="Sakkal Majalla" w:cs="Sakkal Majalla"/>
          <w:sz w:val="32"/>
          <w:szCs w:val="32"/>
          <w:rtl/>
          <w:lang w:bidi="ar-EG"/>
        </w:rPr>
        <w:footnoteReference w:id="110"/>
      </w:r>
      <w:r w:rsidRPr="00336714">
        <w:rPr>
          <w:rFonts w:ascii="Sakkal Majalla" w:hAnsi="Sakkal Majalla" w:cs="Sakkal Majalla"/>
          <w:sz w:val="32"/>
          <w:szCs w:val="32"/>
          <w:rtl/>
          <w:lang w:bidi="ar-EG"/>
        </w:rPr>
        <w:t>:</w:t>
      </w:r>
    </w:p>
    <w:p w14:paraId="7F57938E"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عدم الحاجة إلى استحداث شخصية قانونية جديدة للذكاء الاصطناعي.</w:t>
      </w:r>
    </w:p>
    <w:p w14:paraId="046287B7"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الاستفادة من القواعد القانونية القائمة دون الحاجة إلى تدخل تشريعي عاجل.</w:t>
      </w:r>
    </w:p>
    <w:p w14:paraId="66288504"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توفير حماية فعالة للمضرور من خلال تحديد شخص مسؤول يمكن الرجوع عليه بالتعويض.</w:t>
      </w:r>
    </w:p>
    <w:p w14:paraId="465B654E" w14:textId="77777777" w:rsid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تحقيق قدر أكبر من الاستقرار القانوني واليقين التشريعي.</w:t>
      </w:r>
    </w:p>
    <w:p w14:paraId="2936EB1D" w14:textId="6532328C" w:rsidR="00336714" w:rsidRPr="00AF5F88" w:rsidRDefault="00336714" w:rsidP="00200212">
      <w:pPr>
        <w:pStyle w:val="ListParagraph"/>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سهولة التطبيق العملي أمام المحاكم مقارنة بالنظريات الحديثة التي ما زالت محل جدل فقهي.</w:t>
      </w:r>
    </w:p>
    <w:p w14:paraId="382D9B06" w14:textId="38571C01"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هذه المزايا فإن هذا الاتجاه لم يسلم من الانتقادات الفقهية، حيث يرى معارضوه أن التطورات الحديثة في مجال الذكاء الاصطناعي تجاوزت المفهوم التقليدي للشيء وأن بعض الأنظمة أصبحت قادرة على التعلم الذاتي واتخاذ القرارات بصورة يصعب التنبؤ بها من قبل المبرمج أو المشغل ولذلك فإن تحميل الحارس أو المستخدم المسؤولية بصورة مطلقة قد لا يكون منصفًا في جميع الحالات</w:t>
      </w:r>
      <w:r w:rsidR="00A1336D">
        <w:rPr>
          <w:rStyle w:val="FootnoteReference"/>
          <w:rFonts w:ascii="Sakkal Majalla" w:hAnsi="Sakkal Majalla" w:cs="Sakkal Majalla"/>
          <w:sz w:val="32"/>
          <w:szCs w:val="32"/>
          <w:rtl/>
          <w:lang w:bidi="ar-EG"/>
        </w:rPr>
        <w:footnoteReference w:id="111"/>
      </w:r>
      <w:r w:rsidRPr="00336714">
        <w:rPr>
          <w:rFonts w:ascii="Sakkal Majalla" w:hAnsi="Sakkal Majalla" w:cs="Sakkal Majalla"/>
          <w:sz w:val="32"/>
          <w:szCs w:val="32"/>
          <w:rtl/>
          <w:lang w:bidi="ar-EG"/>
        </w:rPr>
        <w:t>.</w:t>
      </w:r>
    </w:p>
    <w:p w14:paraId="66A75A87" w14:textId="1A29359D"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ومن أهم الانتقادات التي وجهت إلى هذا الاتجاه ما يأتي:</w:t>
      </w:r>
    </w:p>
    <w:p w14:paraId="6A5FFC36"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تجاهله للطبيعة الخاصة للذكاء الاصطناعي وقدرته على اتخاذ قرارات شبه مستقلة.</w:t>
      </w:r>
    </w:p>
    <w:p w14:paraId="18052609"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صعوبة تحديد الحارس الحقيقي في الأنظمة المعقدة التي يشترك في تطويرها وتشغيلها أكثر من طرف.</w:t>
      </w:r>
    </w:p>
    <w:p w14:paraId="5C2A4B4F"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lastRenderedPageBreak/>
        <w:t>عدم ملاءمة بعض قواعد المسؤولية التقليدية لمواجهة المخاطر المستحدثة للأنظمة الذكية.</w:t>
      </w:r>
    </w:p>
    <w:p w14:paraId="7E40A621" w14:textId="77777777" w:rsid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احتمال تحميل المستخدم أو المشغل مسؤولية أضرار لم يكن قادرًا على توقعها أو منعها.</w:t>
      </w:r>
    </w:p>
    <w:p w14:paraId="65FFF6E5" w14:textId="7F456F56" w:rsidR="00336714" w:rsidRPr="00AF5F88" w:rsidRDefault="00336714" w:rsidP="00200212">
      <w:pPr>
        <w:pStyle w:val="ListParagraph"/>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قصور نظرية حراسة الأشياء عن معالجة بعض الإشكالات المرتبطة بالتعلم الذاتي للخوارزميات.</w:t>
      </w:r>
    </w:p>
    <w:p w14:paraId="3EA46240" w14:textId="2204EC72"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وبالرغم من هذه الانتقادات فإن اتجاه اعتبار الذكاء الاصطناعي شيئًا قانونيًا لا يزال يمثل الاتجاه الأكثر قبولًا في الوقت الراهن</w:t>
      </w:r>
      <w:r w:rsidR="003126C4">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نظرًا لغياب تنظيم تشريعي متكامل يمنح الأنظمة الذكية مركزًا قانونيًا مستقلًا ولقدرته على توفير أساس عملي يمكن من خلاله معالجة الأضرار الناشئة عن استخدام تقنيات الذكاء الاصطناعي في إطار القواعد العامة للمسؤولية المدنية</w:t>
      </w:r>
      <w:r w:rsidR="00A1336D">
        <w:rPr>
          <w:rStyle w:val="FootnoteReference"/>
          <w:rFonts w:ascii="Sakkal Majalla" w:hAnsi="Sakkal Majalla" w:cs="Sakkal Majalla"/>
          <w:sz w:val="32"/>
          <w:szCs w:val="32"/>
          <w:rtl/>
          <w:lang w:bidi="ar-EG"/>
        </w:rPr>
        <w:footnoteReference w:id="112"/>
      </w:r>
      <w:r w:rsidRPr="00336714">
        <w:rPr>
          <w:rFonts w:ascii="Sakkal Majalla" w:hAnsi="Sakkal Majalla" w:cs="Sakkal Majalla"/>
          <w:sz w:val="32"/>
          <w:szCs w:val="32"/>
          <w:rtl/>
          <w:lang w:bidi="ar-EG"/>
        </w:rPr>
        <w:t>.</w:t>
      </w:r>
    </w:p>
    <w:p w14:paraId="6DB1803A" w14:textId="4A869DFE" w:rsidR="00336714" w:rsidRPr="00200212" w:rsidRDefault="00336714" w:rsidP="000C629F">
      <w:pPr>
        <w:bidi/>
        <w:spacing w:line="360" w:lineRule="auto"/>
        <w:jc w:val="mediumKashida"/>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المطلب الثاني: الذكاء الاصطناعي كشخصية قانونية افتراضية</w:t>
      </w:r>
      <w:r w:rsidR="00AF5F88" w:rsidRPr="00200212">
        <w:rPr>
          <w:rFonts w:ascii="Sakkal Majalla" w:hAnsi="Sakkal Majalla" w:cs="Sakkal Majalla" w:hint="cs"/>
          <w:b/>
          <w:bCs/>
          <w:sz w:val="32"/>
          <w:szCs w:val="32"/>
          <w:u w:val="single"/>
          <w:rtl/>
          <w:lang w:bidi="ar-EG"/>
        </w:rPr>
        <w:t>.</w:t>
      </w:r>
    </w:p>
    <w:p w14:paraId="462D59D3" w14:textId="3E9B238C" w:rsidR="00200212" w:rsidRPr="00200212" w:rsidRDefault="00200212" w:rsidP="00200212">
      <w:pPr>
        <w:bidi/>
        <w:spacing w:line="360" w:lineRule="auto"/>
        <w:jc w:val="medium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في تقنيات الذكاء الاصطناعي وما تتمتع به بعض الأنظمة الذكية من قدرات على التعلم الذاتي واتخاذ القرارات إلى ظهور اتجاه فقهي يدعو إلى منحها وضعًا قانونيًا خاصًا يعرف بالشخصية القانونية الإلكترونية ويستند هذا الاتجاه إلى أن بعض تطبيقات الذكاء الاصطناعي أصبحت تؤدي وظائف متقدمة قد يصعب معها النظر إليها باعتبارها مجرد أشياء أو أدوات تقنية تقليدية</w:t>
      </w:r>
      <w:r w:rsidR="00A1336D">
        <w:rPr>
          <w:rStyle w:val="FootnoteReference"/>
          <w:rFonts w:ascii="Sakkal Majalla" w:hAnsi="Sakkal Majalla" w:cs="Sakkal Majalla"/>
          <w:sz w:val="32"/>
          <w:szCs w:val="32"/>
          <w:rtl/>
          <w:lang w:bidi="ar-EG"/>
        </w:rPr>
        <w:footnoteReference w:id="113"/>
      </w:r>
      <w:r w:rsidRPr="00200212">
        <w:rPr>
          <w:rFonts w:ascii="Sakkal Majalla" w:hAnsi="Sakkal Majalla" w:cs="Sakkal Majalla"/>
          <w:sz w:val="32"/>
          <w:szCs w:val="32"/>
          <w:rtl/>
          <w:lang w:bidi="ar-EG"/>
        </w:rPr>
        <w:t>.</w:t>
      </w:r>
    </w:p>
    <w:p w14:paraId="6145779E" w14:textId="40DB6B6C" w:rsidR="00336714" w:rsidRDefault="00200212" w:rsidP="00200212">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 xml:space="preserve">ورغم أن فكرة الشخصية القانونية للذكاء الاصطناعي لا تزال محل جدل فقهي وتشريعي، فإنها تمثل أحد أبرز الاتجاهات المطروحة لمواجهة الإشكاليات القانونية الناشئة عن التطور التقني الحديث ومن ثم تبرز </w:t>
      </w:r>
      <w:r w:rsidRPr="00200212">
        <w:rPr>
          <w:rFonts w:ascii="Sakkal Majalla" w:hAnsi="Sakkal Majalla" w:cs="Sakkal Majalla"/>
          <w:sz w:val="32"/>
          <w:szCs w:val="32"/>
          <w:rtl/>
          <w:lang w:bidi="ar-EG"/>
        </w:rPr>
        <w:lastRenderedPageBreak/>
        <w:t>أهمية دراسة الأساس القانوني لهذه الفكرة، وبيان الحجج المؤيدة والمعارضة لها، ومدى إمكانية تطبيقها في إطار النظام القانوني السعودي</w:t>
      </w:r>
      <w:r w:rsidR="00336714" w:rsidRPr="00336714">
        <w:rPr>
          <w:rFonts w:ascii="Sakkal Majalla" w:hAnsi="Sakkal Majalla" w:cs="Sakkal Majalla"/>
          <w:sz w:val="32"/>
          <w:szCs w:val="32"/>
          <w:rtl/>
          <w:lang w:bidi="ar-EG"/>
        </w:rPr>
        <w:t>.</w:t>
      </w:r>
    </w:p>
    <w:p w14:paraId="4D9114E0" w14:textId="2B08CB95" w:rsidR="00336714" w:rsidRPr="00200212" w:rsidRDefault="00336714" w:rsidP="00200212">
      <w:pPr>
        <w:bidi/>
        <w:spacing w:line="360" w:lineRule="auto"/>
        <w:jc w:val="lowKashida"/>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t>الفرع الأول: الأساس القانوني لفكرة الشخصية الإلكترونية</w:t>
      </w:r>
      <w:r w:rsidR="00200212">
        <w:rPr>
          <w:rFonts w:ascii="Sakkal Majalla" w:hAnsi="Sakkal Majalla" w:cs="Sakkal Majalla" w:hint="cs"/>
          <w:b/>
          <w:bCs/>
          <w:sz w:val="32"/>
          <w:szCs w:val="32"/>
          <w:rtl/>
          <w:lang w:bidi="ar-EG"/>
        </w:rPr>
        <w:t>.</w:t>
      </w:r>
    </w:p>
    <w:p w14:paraId="633B3057" w14:textId="48588C7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الشخصية القانونية من المفاهيم الأساسية التي يقوم عليها البناء القانوني المعاصر، إذ تمثل الأداة التي يضفي من خلالها القانون صفة الشخص على كيان معين بما يمكنه من اكتساب الحقوق وتحمل الالتزامات والدخول في العلاقات القانونية المختلفة وقد استقر الفقه القانوني على أن الشخصية القانونية لا تقتصر على الإنسان بوصفه شخصًا طبيعيًا، وإنما تمتد كذلك إلى الأشخاص الاعتبارية التي يعترف لها القانون بوجود مستقل، كالشركات والجمعيات والمؤسسات والهيئات العامة ومن ثم فإن الشخصية القانونية ليست وصفًا طبيعيًا ملازمًا للإنسان فحسب، وإنما هي مركز قانوني يمنحه المشرع لكيان معين متى اقتضت المصلحة القانونية أو الاقتصادية أو الاجتماعية ذلك</w:t>
      </w:r>
      <w:r w:rsidR="00A1336D">
        <w:rPr>
          <w:rStyle w:val="FootnoteReference"/>
          <w:rFonts w:ascii="Sakkal Majalla" w:hAnsi="Sakkal Majalla" w:cs="Sakkal Majalla"/>
          <w:sz w:val="32"/>
          <w:szCs w:val="32"/>
          <w:rtl/>
          <w:lang w:bidi="ar-EG"/>
        </w:rPr>
        <w:footnoteReference w:id="114"/>
      </w:r>
      <w:r w:rsidRPr="00336714">
        <w:rPr>
          <w:rFonts w:ascii="Sakkal Majalla" w:hAnsi="Sakkal Majalla" w:cs="Sakkal Majalla"/>
          <w:sz w:val="32"/>
          <w:szCs w:val="32"/>
          <w:rtl/>
          <w:lang w:bidi="ar-EG"/>
        </w:rPr>
        <w:t>.</w:t>
      </w:r>
    </w:p>
    <w:p w14:paraId="3B479E3C" w14:textId="769F1BC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اكتساب الشخصية القانونية مجموعة من الآثار المهمة، أبرزها التمتع بذمة مالية مستقلة، والقدرة على اكتساب الحقوق وتحمل الالتزامات، وإبرام التصرفات القانونية، والقدرة على التقاضي أمام المحاكم</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ولذلك فإن الاعتراف بالشخصية القانونية لأي كيان جديد يقتضي توافر مجموعة من الشروط والمعايير التي تبرر منحه هذا المركز القانوني المتميز</w:t>
      </w:r>
      <w:r w:rsidR="00A1336D">
        <w:rPr>
          <w:rStyle w:val="FootnoteReference"/>
          <w:rFonts w:ascii="Sakkal Majalla" w:hAnsi="Sakkal Majalla" w:cs="Sakkal Majalla"/>
          <w:sz w:val="32"/>
          <w:szCs w:val="32"/>
          <w:rtl/>
          <w:lang w:bidi="ar-EG"/>
        </w:rPr>
        <w:footnoteReference w:id="115"/>
      </w:r>
      <w:r w:rsidRPr="00336714">
        <w:rPr>
          <w:rFonts w:ascii="Sakkal Majalla" w:hAnsi="Sakkal Majalla" w:cs="Sakkal Majalla"/>
          <w:sz w:val="32"/>
          <w:szCs w:val="32"/>
          <w:rtl/>
          <w:lang w:bidi="ar-EG"/>
        </w:rPr>
        <w:t>.</w:t>
      </w:r>
    </w:p>
    <w:p w14:paraId="7E43D7D9" w14:textId="72F50DD4" w:rsidR="00336714" w:rsidRPr="00336714" w:rsidRDefault="00693C46" w:rsidP="00200212">
      <w:pPr>
        <w:bidi/>
        <w:spacing w:line="360" w:lineRule="auto"/>
        <w:jc w:val="lowKashida"/>
        <w:rPr>
          <w:rFonts w:ascii="Sakkal Majalla" w:hAnsi="Sakkal Majalla" w:cs="Sakkal Majalla"/>
          <w:sz w:val="32"/>
          <w:szCs w:val="32"/>
          <w:lang w:bidi="ar-EG"/>
        </w:rPr>
      </w:pPr>
      <w:r w:rsidRPr="00693C46">
        <w:rPr>
          <w:rFonts w:ascii="Sakkal Majalla" w:hAnsi="Sakkal Majalla" w:cs="Sakkal Majalla"/>
          <w:sz w:val="32"/>
          <w:szCs w:val="32"/>
          <w:rtl/>
          <w:lang w:bidi="ar-EG"/>
        </w:rPr>
        <w:t>وقد حدد المنظم السعودي أساس الاعتراف بالشخصية الاعتبارية وآثارها في المادتين (17) و(18) من نظام المعاملات المدنية</w:t>
      </w:r>
      <w:r w:rsidR="00A1336D">
        <w:rPr>
          <w:rStyle w:val="FootnoteReference"/>
          <w:rFonts w:ascii="Sakkal Majalla" w:hAnsi="Sakkal Majalla" w:cs="Sakkal Majalla"/>
          <w:sz w:val="32"/>
          <w:szCs w:val="32"/>
          <w:rtl/>
          <w:lang w:bidi="ar-EG"/>
        </w:rPr>
        <w:footnoteReference w:id="116"/>
      </w:r>
      <w:r w:rsidR="00336714" w:rsidRPr="00336714">
        <w:rPr>
          <w:rFonts w:ascii="Sakkal Majalla" w:hAnsi="Sakkal Majalla" w:cs="Sakkal Majalla"/>
          <w:sz w:val="32"/>
          <w:szCs w:val="32"/>
          <w:rtl/>
          <w:lang w:bidi="ar-EG"/>
        </w:rPr>
        <w:t>:</w:t>
      </w:r>
    </w:p>
    <w:p w14:paraId="0BBC934D"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lastRenderedPageBreak/>
        <w:t>وجود كيان مستقل يمكن تمييزه عن غيره.</w:t>
      </w:r>
    </w:p>
    <w:p w14:paraId="5C6BA100"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تمتعه بمصلحة قانونية أو اجتماعية تستوجب الاعتراف به.</w:t>
      </w:r>
    </w:p>
    <w:p w14:paraId="280C6766"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وجود ذمة مالية مستقلة يمكن أن تنسب إليها الحقوق والالتزامات.</w:t>
      </w:r>
    </w:p>
    <w:p w14:paraId="7EE78B31" w14:textId="77777777"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إمكانية مساءلته قانونيًا وتحمله للنتائج المترتبة على أفعاله.</w:t>
      </w:r>
    </w:p>
    <w:p w14:paraId="425922C3" w14:textId="721A0928" w:rsidR="00336714" w:rsidRPr="00644B67" w:rsidRDefault="00336714" w:rsidP="00200212">
      <w:pPr>
        <w:pStyle w:val="ListParagraph"/>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اعتراف المشرع أو النظام القانوني له بالشخصية القانونية بصورة صريحة أو ضمنية.</w:t>
      </w:r>
    </w:p>
    <w:p w14:paraId="7A84D426" w14:textId="0A1E2D3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وفي ضوء التطورات التقنية الحديثة، بدأ التساؤل يثور حول مدى إمكانية منح بعض أنظمة الذكاء الاصطناعي المتقدمة نوعًا من الشخصية القانونية الخاصة، وذلك نتيجة ما تتمتع به من قدرة على التعلم الذاتي وتحليل البيانات واتخاذ القرارات بصورة قد تبدو مستقلة عن الإرادة البشرية المباشرة وقد أدى ذلك إلى ظهور ما يعرف بفكرة "الشخصية الإلكترونية" (</w:t>
      </w:r>
      <w:r w:rsidRPr="00336714">
        <w:rPr>
          <w:rFonts w:ascii="Sakkal Majalla" w:hAnsi="Sakkal Majalla" w:cs="Sakkal Majalla"/>
          <w:sz w:val="32"/>
          <w:szCs w:val="32"/>
          <w:lang w:bidi="ar-EG"/>
        </w:rPr>
        <w:t>Electronic Personality</w:t>
      </w:r>
      <w:r w:rsidRPr="00336714">
        <w:rPr>
          <w:rFonts w:ascii="Sakkal Majalla" w:hAnsi="Sakkal Majalla" w:cs="Sakkal Majalla"/>
          <w:sz w:val="32"/>
          <w:szCs w:val="32"/>
          <w:rtl/>
          <w:lang w:bidi="ar-EG"/>
        </w:rPr>
        <w:t>)، وهي فكرة فقهية حديثة تهدف إلى إيجاد إطار قانوني جديد للتعامل مع الأنظمة الذكية التي يصعب أحيانًا إسناد نتائج أفعالها إلى شخص بشري محدد</w:t>
      </w:r>
      <w:r w:rsidR="00A1336D">
        <w:rPr>
          <w:rStyle w:val="FootnoteReference"/>
          <w:rFonts w:ascii="Sakkal Majalla" w:hAnsi="Sakkal Majalla" w:cs="Sakkal Majalla"/>
          <w:sz w:val="32"/>
          <w:szCs w:val="32"/>
          <w:rtl/>
          <w:lang w:bidi="ar-EG"/>
        </w:rPr>
        <w:footnoteReference w:id="117"/>
      </w:r>
      <w:r w:rsidRPr="00336714">
        <w:rPr>
          <w:rFonts w:ascii="Sakkal Majalla" w:hAnsi="Sakkal Majalla" w:cs="Sakkal Majalla"/>
          <w:sz w:val="32"/>
          <w:szCs w:val="32"/>
          <w:rtl/>
          <w:lang w:bidi="ar-EG"/>
        </w:rPr>
        <w:t>.</w:t>
      </w:r>
    </w:p>
    <w:p w14:paraId="260C7CBC" w14:textId="6C416AA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وترجع الجذور الأولى لهذه الفكرة إلى النقاشات الفقهية التي ظهرت مع التطور المتزايد للروبوتات والأنظمة الذكية ذاتية التشغيل</w:t>
      </w:r>
      <w:r w:rsidR="00A1336D">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حيث رأى بعض الباحثين أن استمرار التعامل مع هذه الأنظمة باعتبارها مجرد أشياء قد لا يكون كافيًا لمواجهة التحديات القانونية المستقبلية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وانطلق أنصار هذا الاتجاه من أن القانون سبق له أن منح الشخصية القانونية لكيانات غير بشرية، كالشركات والمؤسسات، ومن ثم فإن منح الذكاء الاصطناعي نوعًا من الشخصية القانونية المحدودة ليس أمرًا مستحيلًا من الناحية النظرية</w:t>
      </w:r>
      <w:r w:rsidR="00A1336D">
        <w:rPr>
          <w:rStyle w:val="FootnoteReference"/>
          <w:rFonts w:ascii="Sakkal Majalla" w:hAnsi="Sakkal Majalla" w:cs="Sakkal Majalla"/>
          <w:sz w:val="32"/>
          <w:szCs w:val="32"/>
          <w:rtl/>
          <w:lang w:bidi="ar-EG"/>
        </w:rPr>
        <w:footnoteReference w:id="118"/>
      </w:r>
      <w:r w:rsidRPr="00336714">
        <w:rPr>
          <w:rFonts w:ascii="Sakkal Majalla" w:hAnsi="Sakkal Majalla" w:cs="Sakkal Majalla"/>
          <w:sz w:val="32"/>
          <w:szCs w:val="32"/>
          <w:rtl/>
          <w:lang w:bidi="ar-EG"/>
        </w:rPr>
        <w:t>.</w:t>
      </w:r>
    </w:p>
    <w:p w14:paraId="27AD2320" w14:textId="69965798" w:rsidR="00336714" w:rsidRPr="00644B67"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وقد اكتسبت فكرة الشخصية الإلكترونية أهمية خاصة بعد موقف البرلمان الأوروبي الذي تناول هذه المسألة في قراره الصادر بتاريخ 16 فبراير 2017 بشأن القواعد المدنية الخاصة بالروبوتات. ففي هذا القرار دعا البرلمان الأوروبي المفوضية الأوروبية إلى دراسة إمكانية استحداث وضع قانوني خاص لبعض الروبوتات والأنظمة الذكية المتقدمة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وخاصة تلك التي تتمتع بدرجة عالية من الاستقلالية في اتخاذ القرارات، واقترح إمكانية منحها "شخصية إلكترونية" في نطاق محدد يسمح بإسناد بعض الحقوق والالتزامات إليها عند الاقتضاء</w:t>
      </w:r>
      <w:r w:rsidR="00A1336D">
        <w:rPr>
          <w:rStyle w:val="FootnoteReference"/>
          <w:rFonts w:ascii="Sakkal Majalla" w:hAnsi="Sakkal Majalla" w:cs="Sakkal Majalla"/>
          <w:sz w:val="32"/>
          <w:szCs w:val="32"/>
          <w:rtl/>
          <w:lang w:bidi="ar-EG"/>
        </w:rPr>
        <w:footnoteReference w:id="119"/>
      </w:r>
      <w:r w:rsidRPr="00336714">
        <w:rPr>
          <w:rFonts w:ascii="Sakkal Majalla" w:hAnsi="Sakkal Majalla" w:cs="Sakkal Majalla"/>
          <w:sz w:val="32"/>
          <w:szCs w:val="32"/>
          <w:rtl/>
          <w:lang w:bidi="ar-EG"/>
        </w:rPr>
        <w:t>.</w:t>
      </w:r>
    </w:p>
    <w:p w14:paraId="24CD3E6A" w14:textId="768FE3C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ولم يكن الهدف من هذا الاقتراح مساواة الروبوت أو نظام الذكاء الاصطناعي بالإنسان من الناحية القانونية، وإنما البحث عن آلية قانونية تساعد في معالجة المشكلات المتعلقة بالمسؤولية المدنية عن الأضرار الناشئة عن الأنظمة الذكية ذاتية التشغيل، خاصة في الحالات التي يصعب فيها تحديد الشخص المسؤول عن الضرر بصورة دقيقة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أثار هذا الاقتراح نقاشًا واسعًا داخل الأوساط القانونية والأكاديمية، حيث رحب به بعض الباحثين باعتباره خطوة استباقية لمواكبة التطور التقني، في حين اعتبره آخرون مجرد تصور نظري يفتقر إلى الأساس القانوني والعملي الكافي</w:t>
      </w:r>
      <w:r w:rsidR="00A1336D">
        <w:rPr>
          <w:rStyle w:val="FootnoteReference"/>
          <w:rFonts w:ascii="Sakkal Majalla" w:hAnsi="Sakkal Majalla" w:cs="Sakkal Majalla"/>
          <w:sz w:val="32"/>
          <w:szCs w:val="32"/>
          <w:rtl/>
          <w:lang w:bidi="ar-EG"/>
        </w:rPr>
        <w:footnoteReference w:id="120"/>
      </w:r>
      <w:r w:rsidRPr="00336714">
        <w:rPr>
          <w:rFonts w:ascii="Sakkal Majalla" w:hAnsi="Sakkal Majalla" w:cs="Sakkal Majalla"/>
          <w:sz w:val="32"/>
          <w:szCs w:val="32"/>
          <w:rtl/>
          <w:lang w:bidi="ar-EG"/>
        </w:rPr>
        <w:t>.</w:t>
      </w:r>
    </w:p>
    <w:p w14:paraId="103E9930" w14:textId="023DDDD4" w:rsidR="00644B67"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 xml:space="preserve">وعلى الرغم من أهمية النقاش الذي أثاره البرلمان الأوروبي، فإن معظم التشريعات الوطنية المعاصرة لم تصل حتى الآن إلى مرحلة الاعتراف الفعلي للذكاء الاصطناعي بشخصية قانونية مستقلة. ولا يزال الاتجاه الغالب فقهيًا وتشريعيًا يتمثل في اعتبار الأنظمة الذكية أدوات أو أشياء قانونية تخضع لمسؤولية الأشخاص الطبيعيين أو الاعتباريين القائمين على تصميمها أو تشغيلها أو استخدامها ومع ذلك فإن فكرة الشخصية </w:t>
      </w:r>
      <w:r w:rsidRPr="00336714">
        <w:rPr>
          <w:rFonts w:ascii="Sakkal Majalla" w:hAnsi="Sakkal Majalla" w:cs="Sakkal Majalla"/>
          <w:sz w:val="32"/>
          <w:szCs w:val="32"/>
          <w:rtl/>
          <w:lang w:bidi="ar-EG"/>
        </w:rPr>
        <w:lastRenderedPageBreak/>
        <w:t>الإلكترونية تظل من أهم الطروحات القانونية الحديثة التي تعكس محاولة الفقه القانوني استشراف الحلول المستقبلية للتحديات التي يفرضها التطور المتسارع للذكاء الاصطناعي.</w:t>
      </w:r>
    </w:p>
    <w:p w14:paraId="6124ED44" w14:textId="4C878EF8" w:rsidR="00336714" w:rsidRPr="00644B67" w:rsidRDefault="00336714" w:rsidP="00200212">
      <w:pPr>
        <w:bidi/>
        <w:spacing w:line="360" w:lineRule="auto"/>
        <w:jc w:val="lowKashida"/>
        <w:rPr>
          <w:rFonts w:ascii="Sakkal Majalla" w:hAnsi="Sakkal Majalla" w:cs="Sakkal Majalla"/>
          <w:b/>
          <w:bCs/>
          <w:sz w:val="32"/>
          <w:szCs w:val="32"/>
          <w:lang w:bidi="ar-EG"/>
        </w:rPr>
      </w:pPr>
      <w:r w:rsidRPr="00644B67">
        <w:rPr>
          <w:rFonts w:ascii="Sakkal Majalla" w:hAnsi="Sakkal Majalla" w:cs="Sakkal Majalla"/>
          <w:b/>
          <w:bCs/>
          <w:sz w:val="32"/>
          <w:szCs w:val="32"/>
          <w:rtl/>
          <w:lang w:bidi="ar-EG"/>
        </w:rPr>
        <w:t>الفرع الثاني: تقييم فكرة الشخصية القانونية للذكاء الاصطناعي</w:t>
      </w:r>
      <w:r w:rsidR="00644B67">
        <w:rPr>
          <w:rFonts w:ascii="Sakkal Majalla" w:hAnsi="Sakkal Majalla" w:cs="Sakkal Majalla" w:hint="cs"/>
          <w:b/>
          <w:bCs/>
          <w:sz w:val="32"/>
          <w:szCs w:val="32"/>
          <w:rtl/>
          <w:lang w:bidi="ar-EG"/>
        </w:rPr>
        <w:t>.</w:t>
      </w:r>
    </w:p>
    <w:p w14:paraId="36122AB9" w14:textId="52141EEB"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أثارت فكرة منح أنظمة الذكاء الاصطناعي شخصية قانونية مستقلة جدلًا واسعًا في الفقه القانوني المعاصر وذلك بسبب ما تنطوي عليه من آثار عميقة تمس الأسس التقليدية لنظرية الشخص القانوني وقواعد المسؤولية المدنية وقد انقسم الفقه بشأن هذه الفكرة بين اتجاه مؤيد يرى ضرورة تطوير المفاهيم القانونية التقليدية لمواكبة التطور التقني، واتجاه معارض يتمسك بالمفاهيم المستقرة للشخصية القانونية ويرى أن الأنظمة الذكية لا تزال مجرد أدوات تقنية مهما بلغت درجة تطورها.</w:t>
      </w:r>
      <w:r w:rsidR="00A1336D">
        <w:rPr>
          <w:rStyle w:val="FootnoteReference"/>
          <w:rFonts w:ascii="Sakkal Majalla" w:hAnsi="Sakkal Majalla" w:cs="Sakkal Majalla"/>
          <w:sz w:val="32"/>
          <w:szCs w:val="32"/>
          <w:rtl/>
          <w:lang w:bidi="ar-EG"/>
        </w:rPr>
        <w:footnoteReference w:id="121"/>
      </w:r>
    </w:p>
    <w:p w14:paraId="323C1B06" w14:textId="0B5DFAE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أنصار منح الذكاء الاصطناعي شخصية قانونية إلى مجموعة من الحجج القانونية والعملية، من أهمها ما يأتي</w:t>
      </w:r>
      <w:r w:rsidR="00A1336D">
        <w:rPr>
          <w:rStyle w:val="FootnoteReference"/>
          <w:rFonts w:ascii="Sakkal Majalla" w:hAnsi="Sakkal Majalla" w:cs="Sakkal Majalla"/>
          <w:sz w:val="32"/>
          <w:szCs w:val="32"/>
          <w:rtl/>
          <w:lang w:bidi="ar-EG"/>
        </w:rPr>
        <w:footnoteReference w:id="122"/>
      </w:r>
      <w:r w:rsidRPr="00336714">
        <w:rPr>
          <w:rFonts w:ascii="Sakkal Majalla" w:hAnsi="Sakkal Majalla" w:cs="Sakkal Majalla"/>
          <w:sz w:val="32"/>
          <w:szCs w:val="32"/>
          <w:rtl/>
          <w:lang w:bidi="ar-EG"/>
        </w:rPr>
        <w:t>:</w:t>
      </w:r>
    </w:p>
    <w:p w14:paraId="426EA709" w14:textId="77777777"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تزايد استقلالية الأنظمة الذكية</w:t>
      </w:r>
      <w:r w:rsidRPr="008F73AC">
        <w:rPr>
          <w:rFonts w:ascii="Sakkal Majalla" w:hAnsi="Sakkal Majalla" w:cs="Sakkal Majalla"/>
          <w:sz w:val="32"/>
          <w:szCs w:val="32"/>
          <w:rtl/>
          <w:lang w:bidi="ar-EG"/>
        </w:rPr>
        <w:t>: إذ أصبحت بعض تطبيقات الذكاء الاصطناعي قادرة على التعلم الذاتي واتخاذ القرارات دون تدخل بشري مباشر، وهو ما يميزها عن الأدوات التقنية التقليدية.</w:t>
      </w:r>
    </w:p>
    <w:p w14:paraId="6BF003C9" w14:textId="77777777"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صعوبة تحديد المسؤول الحقيقي عن الضرر</w:t>
      </w:r>
      <w:r w:rsidRPr="008F73AC">
        <w:rPr>
          <w:rFonts w:ascii="Sakkal Majalla" w:hAnsi="Sakkal Majalla" w:cs="Sakkal Majalla"/>
          <w:sz w:val="32"/>
          <w:szCs w:val="32"/>
          <w:rtl/>
          <w:lang w:bidi="ar-EG"/>
        </w:rPr>
        <w:t>: ففي العديد من الحالات قد يشترك المبرمج والمصمم والمنتج والمشغل والمستخدم في تشغيل النظام الذكي، مما يجعل تحديد المسؤولية أمرًا معقدًا، ومن ثم فإن الاعتراف بشخصية قانونية مستقلة للذكاء الاصطناعي قد يسهم في معالجة هذه الإشكالية.</w:t>
      </w:r>
    </w:p>
    <w:p w14:paraId="0144F48A" w14:textId="0F08109F"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وجود سوابق قانونية للاعتراف بالشخصية لغير الإنسان</w:t>
      </w:r>
      <w:r w:rsidRPr="008F73AC">
        <w:rPr>
          <w:rFonts w:ascii="Sakkal Majalla" w:hAnsi="Sakkal Majalla" w:cs="Sakkal Majalla"/>
          <w:sz w:val="32"/>
          <w:szCs w:val="32"/>
          <w:rtl/>
          <w:lang w:bidi="ar-EG"/>
        </w:rPr>
        <w:t>: فالقانون يعترف بالشخصية القانونية للشركات والجمعيات والمؤسسات، رغم أنها كيانات معنوية لا وجود ماديًا لها، مما يدل على أن الشخصية القانونية ليست حكرًا على الإنسان</w:t>
      </w:r>
      <w:r w:rsidR="00A1336D">
        <w:rPr>
          <w:rStyle w:val="FootnoteReference"/>
          <w:rFonts w:ascii="Sakkal Majalla" w:hAnsi="Sakkal Majalla" w:cs="Sakkal Majalla"/>
          <w:sz w:val="32"/>
          <w:szCs w:val="32"/>
          <w:rtl/>
          <w:lang w:bidi="ar-EG"/>
        </w:rPr>
        <w:footnoteReference w:id="123"/>
      </w:r>
      <w:r w:rsidRPr="008F73AC">
        <w:rPr>
          <w:rFonts w:ascii="Sakkal Majalla" w:hAnsi="Sakkal Majalla" w:cs="Sakkal Majalla"/>
          <w:sz w:val="32"/>
          <w:szCs w:val="32"/>
          <w:rtl/>
          <w:lang w:bidi="ar-EG"/>
        </w:rPr>
        <w:t>.</w:t>
      </w:r>
    </w:p>
    <w:p w14:paraId="78BA2D0A" w14:textId="1C4D59EF" w:rsid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مواكبة التطور التكنولوجي:</w:t>
      </w:r>
      <w:r w:rsidRPr="008F73AC">
        <w:rPr>
          <w:rFonts w:ascii="Sakkal Majalla" w:hAnsi="Sakkal Majalla" w:cs="Sakkal Majalla"/>
          <w:sz w:val="32"/>
          <w:szCs w:val="32"/>
          <w:rtl/>
          <w:lang w:bidi="ar-EG"/>
        </w:rPr>
        <w:t xml:space="preserve"> إذ يرى المؤيدون أن القواعد القانونية يجب أن تتطور بما يتناسب مع التحولات التقنية الحديثة، وأن الإبقاء على المفاهيم التقليدية قد يؤدي إلى وجود فراغ تشريعي في المستقبل</w:t>
      </w:r>
      <w:r w:rsidR="00A1336D">
        <w:rPr>
          <w:rStyle w:val="FootnoteReference"/>
          <w:rFonts w:ascii="Sakkal Majalla" w:hAnsi="Sakkal Majalla" w:cs="Sakkal Majalla"/>
          <w:sz w:val="32"/>
          <w:szCs w:val="32"/>
          <w:rtl/>
          <w:lang w:bidi="ar-EG"/>
        </w:rPr>
        <w:footnoteReference w:id="124"/>
      </w:r>
      <w:r w:rsidRPr="008F73AC">
        <w:rPr>
          <w:rFonts w:ascii="Sakkal Majalla" w:hAnsi="Sakkal Majalla" w:cs="Sakkal Majalla"/>
          <w:sz w:val="32"/>
          <w:szCs w:val="32"/>
          <w:rtl/>
          <w:lang w:bidi="ar-EG"/>
        </w:rPr>
        <w:t>.</w:t>
      </w:r>
    </w:p>
    <w:p w14:paraId="4813F8F4" w14:textId="6DDB2CA0" w:rsidR="00336714" w:rsidRPr="008F73AC" w:rsidRDefault="00336714" w:rsidP="00200212">
      <w:pPr>
        <w:pStyle w:val="ListParagraph"/>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تسهيل تنظيم المسؤولية المدنية:</w:t>
      </w:r>
      <w:r w:rsidRPr="008F73AC">
        <w:rPr>
          <w:rFonts w:ascii="Sakkal Majalla" w:hAnsi="Sakkal Majalla" w:cs="Sakkal Majalla"/>
          <w:sz w:val="32"/>
          <w:szCs w:val="32"/>
          <w:rtl/>
          <w:lang w:bidi="ar-EG"/>
        </w:rPr>
        <w:t xml:space="preserve"> حيث يمكن ربط الشخصية الإلكترونية بنظام تأمين أو صندوق مالي خاص يتم الرجوع إليه لتعويض المتضررين من أفعال الأنظمة الذكية</w:t>
      </w:r>
      <w:r w:rsidR="00A1336D">
        <w:rPr>
          <w:rStyle w:val="FootnoteReference"/>
          <w:rFonts w:ascii="Sakkal Majalla" w:hAnsi="Sakkal Majalla" w:cs="Sakkal Majalla"/>
          <w:sz w:val="32"/>
          <w:szCs w:val="32"/>
          <w:rtl/>
          <w:lang w:bidi="ar-EG"/>
        </w:rPr>
        <w:footnoteReference w:id="125"/>
      </w:r>
      <w:r w:rsidRPr="008F73AC">
        <w:rPr>
          <w:rFonts w:ascii="Sakkal Majalla" w:hAnsi="Sakkal Majalla" w:cs="Sakkal Majalla"/>
          <w:sz w:val="32"/>
          <w:szCs w:val="32"/>
          <w:rtl/>
          <w:lang w:bidi="ar-EG"/>
        </w:rPr>
        <w:t>.</w:t>
      </w:r>
    </w:p>
    <w:p w14:paraId="2FED9659" w14:textId="10E740E5"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قوة بعض هذه المبررات فإن غالبية الفقه القانوني لا تزال تتجه إلى رفض منح الذكاء الاصطناعي شخصية قانونية مستقلة، استنادًا إلى مجموعة من الحجج القانونية والمنطقية، من أبرزها</w:t>
      </w:r>
      <w:r w:rsidR="00A1336D">
        <w:rPr>
          <w:rStyle w:val="FootnoteReference"/>
          <w:rFonts w:ascii="Sakkal Majalla" w:hAnsi="Sakkal Majalla" w:cs="Sakkal Majalla"/>
          <w:sz w:val="32"/>
          <w:szCs w:val="32"/>
          <w:rtl/>
          <w:lang w:bidi="ar-EG"/>
        </w:rPr>
        <w:footnoteReference w:id="126"/>
      </w:r>
      <w:r w:rsidRPr="00336714">
        <w:rPr>
          <w:rFonts w:ascii="Sakkal Majalla" w:hAnsi="Sakkal Majalla" w:cs="Sakkal Majalla"/>
          <w:sz w:val="32"/>
          <w:szCs w:val="32"/>
          <w:rtl/>
          <w:lang w:bidi="ar-EG"/>
        </w:rPr>
        <w:t>:</w:t>
      </w:r>
    </w:p>
    <w:p w14:paraId="5775974F"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افتقار الذكاء الاصطناعي للإرادة القانونية الحقيقية</w:t>
      </w:r>
      <w:r w:rsidRPr="008F73AC">
        <w:rPr>
          <w:rFonts w:ascii="Sakkal Majalla" w:hAnsi="Sakkal Majalla" w:cs="Sakkal Majalla"/>
          <w:sz w:val="32"/>
          <w:szCs w:val="32"/>
          <w:rtl/>
          <w:lang w:bidi="ar-EG"/>
        </w:rPr>
        <w:t>: فمهما بلغت درجة تطوره، فإنه يظل يعمل وفق خوارزميات وبرامج وضعها الإنسان، ولا يمتلك إرادة حرة أو إدراكًا قانونيًا بالمعنى المعروف في الفقه والقانون.</w:t>
      </w:r>
    </w:p>
    <w:p w14:paraId="06E5C778"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غياب الذمة المالية المستقلة:</w:t>
      </w:r>
      <w:r w:rsidRPr="008F73AC">
        <w:rPr>
          <w:rFonts w:ascii="Sakkal Majalla" w:hAnsi="Sakkal Majalla" w:cs="Sakkal Majalla"/>
          <w:sz w:val="32"/>
          <w:szCs w:val="32"/>
          <w:rtl/>
          <w:lang w:bidi="ar-EG"/>
        </w:rPr>
        <w:t xml:space="preserve"> إذ إن تحمل الالتزامات القانونية والمسؤولية المدنية يقتضي وجود ذمة مالية يمكن التنفيذ عليها، وهو ما لا يتوافر حاليًا في أنظمة الذكاء الاصطناعي.</w:t>
      </w:r>
    </w:p>
    <w:p w14:paraId="2263A006"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صعوبة مساءلة النظام الذكي قانونيًا:</w:t>
      </w:r>
      <w:r w:rsidRPr="008F73AC">
        <w:rPr>
          <w:rFonts w:ascii="Sakkal Majalla" w:hAnsi="Sakkal Majalla" w:cs="Sakkal Majalla"/>
          <w:sz w:val="32"/>
          <w:szCs w:val="32"/>
          <w:rtl/>
          <w:lang w:bidi="ar-EG"/>
        </w:rPr>
        <w:t xml:space="preserve"> فالعقوبات المدنية والالتزامات المالية لا يمكن تنفيذها عمليًا على نظام إلكتروني لا يملك أموالًا أو حقوقًا مستقلة.</w:t>
      </w:r>
    </w:p>
    <w:p w14:paraId="45B086EB" w14:textId="77777777" w:rsid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إمكانية معالجة المشكلات الحالية من خلال القواعد القائمة</w:t>
      </w:r>
      <w:r w:rsidRPr="008F73AC">
        <w:rPr>
          <w:rFonts w:ascii="Sakkal Majalla" w:hAnsi="Sakkal Majalla" w:cs="Sakkal Majalla"/>
          <w:sz w:val="32"/>
          <w:szCs w:val="32"/>
          <w:rtl/>
          <w:lang w:bidi="ar-EG"/>
        </w:rPr>
        <w:t>: إذ يرى المعارضون أن قواعد المسؤولية المدنية التقليدية، سواء المسؤولية العقدية أو التقصيرية أو مسؤولية حارس الشيء، ما تزال قادرة على استيعاب أغلب الإشكالات المرتبطة بالذكاء الاصطناعي.</w:t>
      </w:r>
    </w:p>
    <w:p w14:paraId="4ABFFB0C" w14:textId="2F6548D0" w:rsidR="00336714" w:rsidRPr="008F73AC" w:rsidRDefault="00336714" w:rsidP="00200212">
      <w:pPr>
        <w:pStyle w:val="ListParagraph"/>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احتمال تهرب الأشخاص الطبيعيين والاعتباريين من المسؤولية</w:t>
      </w:r>
      <w:r w:rsidRPr="008F73AC">
        <w:rPr>
          <w:rFonts w:ascii="Sakkal Majalla" w:hAnsi="Sakkal Majalla" w:cs="Sakkal Majalla"/>
          <w:sz w:val="32"/>
          <w:szCs w:val="32"/>
          <w:rtl/>
          <w:lang w:bidi="ar-EG"/>
        </w:rPr>
        <w:t>: إذ قد يؤدي منح الذكاء الاصطناعي شخصية قانونية مستقلة إلى محاولة المنتجين أو المطورين التنصل من المسؤولية عن الأضرار الناشئة عن أنظمتهم الذكية</w:t>
      </w:r>
      <w:r w:rsidR="00277152">
        <w:rPr>
          <w:rStyle w:val="FootnoteReference"/>
          <w:rFonts w:ascii="Sakkal Majalla" w:hAnsi="Sakkal Majalla" w:cs="Sakkal Majalla"/>
          <w:sz w:val="32"/>
          <w:szCs w:val="32"/>
          <w:rtl/>
          <w:lang w:bidi="ar-EG"/>
        </w:rPr>
        <w:footnoteReference w:id="127"/>
      </w:r>
      <w:r w:rsidRPr="008F73AC">
        <w:rPr>
          <w:rFonts w:ascii="Sakkal Majalla" w:hAnsi="Sakkal Majalla" w:cs="Sakkal Majalla"/>
          <w:sz w:val="32"/>
          <w:szCs w:val="32"/>
          <w:rtl/>
          <w:lang w:bidi="ar-EG"/>
        </w:rPr>
        <w:t>.</w:t>
      </w:r>
    </w:p>
    <w:p w14:paraId="3B37D579" w14:textId="537CC5B6"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أما فيما يتعلق بالنظام السعودي فلا يوجد في الوقت الراهن أي نص نظامي يمنح أنظمة الذكاء الاصطناعي شخصية قانونية مستقلة أو يعترف بما يسمى بالشخصية الإلكترونية كما أن القواعد العامة في نظام المعاملات المدنية السعودي تقوم على إسناد الحقوق والالتزامات إلى الأشخاص الطبيعيين أو الاعتباريين المعترف بهم نظامًا وبالرجوع إلى الأنظمة السعودية ذات الصلة، يتبين أن المنظم السعودي لا يزال يتعامل مع تطبيقات الذكاء الاصطناعي باعتبارها أدوات أو وسائل تقنية تقع المسؤولية عن أفعالها على الأشخاص القائمين على تصميمها أو تطويرها أو تشغيلها أو استخدامها</w:t>
      </w:r>
      <w:r w:rsidR="00A1336D">
        <w:rPr>
          <w:rStyle w:val="FootnoteReference"/>
          <w:rFonts w:ascii="Sakkal Majalla" w:hAnsi="Sakkal Majalla" w:cs="Sakkal Majalla"/>
          <w:sz w:val="32"/>
          <w:szCs w:val="32"/>
          <w:rtl/>
          <w:lang w:bidi="ar-EG"/>
        </w:rPr>
        <w:footnoteReference w:id="128"/>
      </w:r>
      <w:r w:rsidRPr="00336714">
        <w:rPr>
          <w:rFonts w:ascii="Sakkal Majalla" w:hAnsi="Sakkal Majalla" w:cs="Sakkal Majalla"/>
          <w:sz w:val="32"/>
          <w:szCs w:val="32"/>
          <w:rtl/>
          <w:lang w:bidi="ar-EG"/>
        </w:rPr>
        <w:t>.</w:t>
      </w:r>
    </w:p>
    <w:p w14:paraId="4CE028D7" w14:textId="74B9C303" w:rsidR="008F73AC"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كما أن مبادئ الشريعة الإسلامية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التي تمثل المصدر الأساس للتشريع في المملكة العربية السعودية ترتبط فيها المسؤولية القانونية بالشخص المكلف القادر على الإدراك والاختيار وتحمل التبعة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الأمر الذي يجعل فكرة </w:t>
      </w:r>
      <w:r w:rsidRPr="00336714">
        <w:rPr>
          <w:rFonts w:ascii="Sakkal Majalla" w:hAnsi="Sakkal Majalla" w:cs="Sakkal Majalla"/>
          <w:sz w:val="32"/>
          <w:szCs w:val="32"/>
          <w:rtl/>
          <w:lang w:bidi="ar-EG"/>
        </w:rPr>
        <w:lastRenderedPageBreak/>
        <w:t>منح الذكاء الاصطناعي شخصية قانونية مستقلة تواجه تحديات فقهية وقانونية كبيرة في البيئة النظامية السعودية</w:t>
      </w:r>
      <w:r w:rsidR="00A1336D">
        <w:rPr>
          <w:rStyle w:val="FootnoteReference"/>
          <w:rFonts w:ascii="Sakkal Majalla" w:hAnsi="Sakkal Majalla" w:cs="Sakkal Majalla"/>
          <w:sz w:val="32"/>
          <w:szCs w:val="32"/>
          <w:rtl/>
          <w:lang w:bidi="ar-EG"/>
        </w:rPr>
        <w:footnoteReference w:id="129"/>
      </w:r>
      <w:r w:rsidRPr="00336714">
        <w:rPr>
          <w:rFonts w:ascii="Sakkal Majalla" w:hAnsi="Sakkal Majalla" w:cs="Sakkal Majalla"/>
          <w:sz w:val="32"/>
          <w:szCs w:val="32"/>
          <w:rtl/>
          <w:lang w:bidi="ar-EG"/>
        </w:rPr>
        <w:t>.</w:t>
      </w:r>
    </w:p>
    <w:p w14:paraId="22308AB1" w14:textId="1D13D9C4"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b/>
          <w:bCs/>
          <w:sz w:val="32"/>
          <w:szCs w:val="32"/>
          <w:u w:val="single"/>
          <w:rtl/>
          <w:lang w:bidi="ar-EG"/>
        </w:rPr>
        <w:t>وفي تقدير الباحث</w:t>
      </w:r>
      <w:r>
        <w:rPr>
          <w:rFonts w:ascii="Sakkal Majalla" w:hAnsi="Sakkal Majalla" w:cs="Sakkal Majalla" w:hint="cs"/>
          <w:b/>
          <w:bCs/>
          <w:sz w:val="32"/>
          <w:szCs w:val="32"/>
          <w:u w:val="single"/>
          <w:rtl/>
          <w:lang w:bidi="ar-EG"/>
        </w:rPr>
        <w:t xml:space="preserve"> </w:t>
      </w:r>
      <w:r w:rsidRPr="00961C2A">
        <w:rPr>
          <w:rFonts w:ascii="Sakkal Majalla" w:hAnsi="Sakkal Majalla" w:cs="Sakkal Majalla"/>
          <w:b/>
          <w:bCs/>
          <w:sz w:val="32"/>
          <w:szCs w:val="32"/>
          <w:u w:val="single"/>
          <w:rtl/>
          <w:lang w:bidi="ar-EG"/>
        </w:rPr>
        <w:t>فإن الاتجاه الراجح</w:t>
      </w:r>
      <w:r w:rsidRPr="00961C2A">
        <w:rPr>
          <w:rFonts w:ascii="Sakkal Majalla" w:hAnsi="Sakkal Majalla" w:cs="Sakkal Majalla"/>
          <w:sz w:val="32"/>
          <w:szCs w:val="32"/>
          <w:rtl/>
          <w:lang w:bidi="ar-EG"/>
        </w:rPr>
        <w:t xml:space="preserve"> في المرحلة الراهنة يتمثل في عدم الاعتراف للذكاء الاصطناعي بشخصية قانونية مستقلة، وإخضاع الأضرار الناشئة عنه للقواعد العامة للمسؤولية المدنية، مع تطوير تطبيق هذه القواعد بما يتناسب مع خصائص الأنظمة الذكية. فالذكاء الاصطناعي رغم ما يتمتع به من قدرات على التعلم والتحليل واتخاذ القرارات باستقلال تقني نسبي، لا يزال يفتقر إلى الإرادة القانونية والذمة المالية والأهلية، فضلًا عن عدم وجود نص نظامي يعترف له بشخصية مستقلة.</w:t>
      </w:r>
    </w:p>
    <w:p w14:paraId="72DB250D" w14:textId="0EC4278D"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sz w:val="32"/>
          <w:szCs w:val="32"/>
          <w:rtl/>
          <w:lang w:bidi="ar-EG"/>
        </w:rPr>
        <w:t>ويستند تكييف الذكاء الاصطناعي بوصفه شيئًا قانونيًا إلى أنه نتاج تقني يمكن أن يكون محلًا للحقوق المالية والتملك أو الترخيص بالاستخدام</w:t>
      </w:r>
      <w:r>
        <w:rPr>
          <w:rFonts w:ascii="Sakkal Majalla" w:hAnsi="Sakkal Majalla" w:cs="Sakkal Majalla" w:hint="cs"/>
          <w:sz w:val="32"/>
          <w:szCs w:val="32"/>
          <w:rtl/>
          <w:lang w:bidi="ar-EG"/>
        </w:rPr>
        <w:t xml:space="preserve"> </w:t>
      </w:r>
      <w:r w:rsidRPr="00961C2A">
        <w:rPr>
          <w:rFonts w:ascii="Sakkal Majalla" w:hAnsi="Sakkal Majalla" w:cs="Sakkal Majalla"/>
          <w:sz w:val="32"/>
          <w:szCs w:val="32"/>
          <w:rtl/>
          <w:lang w:bidi="ar-EG"/>
        </w:rPr>
        <w:t>ويظل في الأصل خاضعًا لسيطرة الأشخاص القائمين على تصميمه وتشغيله. ويكون هذا التكييف أكثر وضوحًا عندما يكون النظام الذكي مدمجًا في كيان مادي، مثل المركبات ذاتية القيادة والروبوتات والأجهزة الطبية الذكية، في حين يثير تطبيقه على البرمجيات والخوارزميات المستقلة صعوبات تتعلق بطبيعتها غير المادية.</w:t>
      </w:r>
    </w:p>
    <w:p w14:paraId="3A13B678" w14:textId="7E8EDDFF"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sz w:val="32"/>
          <w:szCs w:val="32"/>
          <w:rtl/>
          <w:lang w:bidi="ar-EG"/>
        </w:rPr>
        <w:t>كما يواجه هذا التكييف انتقادات تتصل بصعوبة تحديد الحارس الفعلي للنظام؛ إذ قد تتوزع سلطات الاستعمال والتوجيه والرقابة بين المبرمج والمنتج ومزود البيانات والمشغل والمستخدم وتزداد هذه الصعوبة في الأنظمة القادرة على التعلم الذاتي، التي قد تنتج مخرجات لم يتوقعها المطور أو المستخدم، فضلًا عن صعوبة تفسير قراراتها بسبب الغموض الخوارزمي. وقد يؤدي تحميل المستخدم وحده المسؤولية إلى إعفاء المطور أو المنتج من عيوب التصميم والبرمجة، رغم أن المستخدم قد لا يملك القدرة الفنية على اكتشافها أو منع آثارها.</w:t>
      </w:r>
    </w:p>
    <w:p w14:paraId="326F2672" w14:textId="46C22D82" w:rsidR="00336714" w:rsidRDefault="00961C2A" w:rsidP="00961C2A">
      <w:pPr>
        <w:bidi/>
        <w:spacing w:line="360" w:lineRule="auto"/>
        <w:jc w:val="lowKashida"/>
        <w:rPr>
          <w:rFonts w:ascii="Sakkal Majalla" w:hAnsi="Sakkal Majalla" w:cs="Sakkal Majalla"/>
          <w:sz w:val="32"/>
          <w:szCs w:val="32"/>
          <w:rtl/>
          <w:lang w:bidi="ar-EG"/>
        </w:rPr>
      </w:pPr>
      <w:r w:rsidRPr="00961C2A">
        <w:rPr>
          <w:rFonts w:ascii="Sakkal Majalla" w:hAnsi="Sakkal Majalla" w:cs="Sakkal Majalla"/>
          <w:sz w:val="32"/>
          <w:szCs w:val="32"/>
          <w:rtl/>
          <w:lang w:bidi="ar-EG"/>
        </w:rPr>
        <w:lastRenderedPageBreak/>
        <w:t>وعليه</w:t>
      </w:r>
      <w:r>
        <w:rPr>
          <w:rFonts w:ascii="Sakkal Majalla" w:hAnsi="Sakkal Majalla" w:cs="Sakkal Majalla" w:hint="cs"/>
          <w:sz w:val="32"/>
          <w:szCs w:val="32"/>
          <w:rtl/>
          <w:lang w:bidi="ar-EG"/>
        </w:rPr>
        <w:t xml:space="preserve"> </w:t>
      </w:r>
      <w:r w:rsidRPr="00961C2A">
        <w:rPr>
          <w:rFonts w:ascii="Sakkal Majalla" w:hAnsi="Sakkal Majalla" w:cs="Sakkal Majalla"/>
          <w:sz w:val="32"/>
          <w:szCs w:val="32"/>
          <w:rtl/>
          <w:lang w:bidi="ar-EG"/>
        </w:rPr>
        <w:t>فإن اعتبار الذكاء الاصطناعي شيئًا قانونيًا متطورًا يظل التكييف الأكثر ملاءمة في الوقت الحاضر، على ألا يطبق بصورة مطلقة، بل يتعين تحديد المسؤول وفق مصدر الضرر ومدى السيطرة الفعلية على النظام. فقد تقوم مسؤولية المطور أو المنتج عن عيوب التصميم والبرمجة، أو مسؤولية المشغل والمستخدم عن سوء التشغيل أو ضعف الرقابة، وقد تتعدد المسؤولية متى أسهم أكثر من طرف في إحداث الضرر. ويحقق هذا الاتجاه حماية أكثر فاعلية للمضرورين، إلى حين صدور تنظيم خاص يحدد المسؤولية المدنية عن أنظمة الذكاء الاصطناعي ويوزعها بين الأطراف المرتبطة بدورة حياتها</w:t>
      </w:r>
      <w:r w:rsidR="00336714" w:rsidRPr="00336714">
        <w:rPr>
          <w:rFonts w:ascii="Sakkal Majalla" w:hAnsi="Sakkal Majalla" w:cs="Sakkal Majalla"/>
          <w:sz w:val="32"/>
          <w:szCs w:val="32"/>
          <w:rtl/>
          <w:lang w:bidi="ar-EG"/>
        </w:rPr>
        <w:t>.</w:t>
      </w:r>
    </w:p>
    <w:p w14:paraId="4FABACE8" w14:textId="77777777" w:rsidR="00B32C7C" w:rsidRPr="00200212" w:rsidRDefault="00B32C7C">
      <w:pPr>
        <w:spacing w:line="278" w:lineRule="auto"/>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br w:type="page"/>
      </w:r>
    </w:p>
    <w:p w14:paraId="4BB5EE3C" w14:textId="79FBE5CC" w:rsidR="0044569C" w:rsidRPr="002936BF" w:rsidRDefault="0044569C" w:rsidP="00B32C7C">
      <w:pPr>
        <w:bidi/>
        <w:spacing w:line="360" w:lineRule="auto"/>
        <w:jc w:val="center"/>
        <w:rPr>
          <w:rFonts w:ascii="Sakkal Majalla" w:hAnsi="Sakkal Majalla" w:cs="Sakkal Majalla"/>
          <w:b/>
          <w:bCs/>
          <w:sz w:val="32"/>
          <w:szCs w:val="32"/>
          <w:u w:val="single"/>
          <w:lang w:bidi="ar-EG"/>
        </w:rPr>
      </w:pPr>
      <w:r w:rsidRPr="008F3510">
        <w:rPr>
          <w:rFonts w:ascii="Sakkal Majalla" w:hAnsi="Sakkal Majalla" w:cs="Sakkal Majalla"/>
          <w:b/>
          <w:bCs/>
          <w:sz w:val="32"/>
          <w:szCs w:val="32"/>
          <w:u w:val="single"/>
          <w:rtl/>
          <w:lang w:bidi="ar-EG"/>
        </w:rPr>
        <w:lastRenderedPageBreak/>
        <w:t>المبحث الثاني: أنواع المسؤولية المدنية المنطبقة</w:t>
      </w:r>
    </w:p>
    <w:p w14:paraId="2DEC8670" w14:textId="05B21CF1"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أدى التطور المتسارع لتطبيقات الذكاء الاصطناعي إلى اتساع نطاق الأضرار التي قد تنشأ عن استخدام الأنظمة الذكية، سواء بسبب أخطاء البرمجة أو التشغيل أو نتيجة القرارات الصادرة عن هذه الأنظمة وقد أثار ذلك تساؤلات قانونية مهمة حول نوع المسؤولية المدنية الواجبة التطبيق عند وقوع الضرر، ومدى قدرة القواعد التقليدية للمسؤولية المدنية على استيعاب الخصائص المميزة للذكاء الاصطناعي.</w:t>
      </w:r>
    </w:p>
    <w:p w14:paraId="7E416E80" w14:textId="21463A25"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وتتحدد طبيعة المسؤولية المدنية بحسب العلاقة القانونية التي تربط بين أطراف النزاع، فقد تنشأ المسؤولية في إطار علاقة تعاقدية قائمة بين الأطراف فتكون مسؤولية عقدية، وقد تقع الأضرار خارج نطاق أي رابطة تعاقدية فتخضع لأحكام المسؤولية التقصيرية</w:t>
      </w:r>
      <w:r w:rsidR="00E22E83">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وتزداد أهمية هذه التفرقة لما يترتب عليها من آثار قانونية تتعلق بأركان المسؤولية وعبء الإثبات ونطاق التعويض</w:t>
      </w:r>
      <w:r w:rsidR="00E22E83">
        <w:rPr>
          <w:rStyle w:val="FootnoteReference"/>
          <w:rFonts w:ascii="Sakkal Majalla" w:hAnsi="Sakkal Majalla" w:cs="Sakkal Majalla"/>
          <w:sz w:val="32"/>
          <w:szCs w:val="32"/>
          <w:rtl/>
          <w:lang w:bidi="ar-EG"/>
        </w:rPr>
        <w:footnoteReference w:id="130"/>
      </w:r>
      <w:r w:rsidRPr="008F3510">
        <w:rPr>
          <w:rFonts w:ascii="Sakkal Majalla" w:hAnsi="Sakkal Majalla" w:cs="Sakkal Majalla"/>
          <w:sz w:val="32"/>
          <w:szCs w:val="32"/>
          <w:rtl/>
          <w:lang w:bidi="ar-EG"/>
        </w:rPr>
        <w:t>.</w:t>
      </w:r>
    </w:p>
    <w:p w14:paraId="3752B8CA" w14:textId="1E316E24" w:rsidR="0032211B"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t>ومن ثم تقتضي دراسة المسؤولية المدنية عن أفعال الذكاء الاصطناعي بيان صور المسؤولية العقدية وأحكامها، ثم المسؤولية التقصيرية وتطبيقاتها في هذا المجال، مع إجراء مقارنة بينهما للوقوف على الأساس القانوني الأكثر ملاءمة للأضرار الناشئة عن الأنظمة الذكية</w:t>
      </w:r>
      <w:r w:rsidR="00E22E83">
        <w:rPr>
          <w:rStyle w:val="FootnoteReference"/>
          <w:rFonts w:ascii="Sakkal Majalla" w:hAnsi="Sakkal Majalla" w:cs="Sakkal Majalla"/>
          <w:sz w:val="32"/>
          <w:szCs w:val="32"/>
          <w:rtl/>
          <w:lang w:bidi="ar-EG"/>
        </w:rPr>
        <w:footnoteReference w:id="131"/>
      </w:r>
      <w:r w:rsidR="0032211B" w:rsidRPr="0032211B">
        <w:rPr>
          <w:rFonts w:ascii="Sakkal Majalla" w:hAnsi="Sakkal Majalla" w:cs="Sakkal Majalla"/>
          <w:sz w:val="32"/>
          <w:szCs w:val="32"/>
          <w:rtl/>
          <w:lang w:bidi="ar-EG"/>
        </w:rPr>
        <w:t>.</w:t>
      </w:r>
    </w:p>
    <w:p w14:paraId="0231124A" w14:textId="7335DD9C" w:rsidR="002936BF" w:rsidRPr="0032211B" w:rsidRDefault="002936BF" w:rsidP="00EE15D7">
      <w:pPr>
        <w:bidi/>
        <w:spacing w:line="360" w:lineRule="auto"/>
        <w:jc w:val="lowKashida"/>
        <w:rPr>
          <w:rFonts w:ascii="Sakkal Majalla" w:hAnsi="Sakkal Majalla" w:cs="Sakkal Majalla"/>
          <w:b/>
          <w:bCs/>
          <w:sz w:val="32"/>
          <w:szCs w:val="32"/>
          <w:u w:val="single"/>
          <w:lang w:bidi="ar-EG"/>
        </w:rPr>
      </w:pPr>
      <w:r w:rsidRPr="0032211B">
        <w:rPr>
          <w:rFonts w:ascii="Sakkal Majalla" w:hAnsi="Sakkal Majalla" w:cs="Sakkal Majalla"/>
          <w:b/>
          <w:bCs/>
          <w:sz w:val="32"/>
          <w:szCs w:val="32"/>
          <w:u w:val="single"/>
          <w:rtl/>
          <w:lang w:bidi="ar-EG"/>
        </w:rPr>
        <w:t>المطلب الأول: المسؤولية العقدية الناشئة عن استخدام أنظمة الذكاء الاصطناعي</w:t>
      </w:r>
      <w:r w:rsidR="0032211B" w:rsidRPr="0032211B">
        <w:rPr>
          <w:rFonts w:ascii="Sakkal Majalla" w:hAnsi="Sakkal Majalla" w:cs="Sakkal Majalla" w:hint="cs"/>
          <w:b/>
          <w:bCs/>
          <w:sz w:val="32"/>
          <w:szCs w:val="32"/>
          <w:u w:val="single"/>
          <w:rtl/>
          <w:lang w:bidi="ar-EG"/>
        </w:rPr>
        <w:t>.</w:t>
      </w:r>
    </w:p>
    <w:p w14:paraId="0E588611" w14:textId="520E0576"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تمثل المسؤولية العقدية إحدى أهم صور المسؤولية المدنية التي يمكن أن تثور في مجال الذكاء الاصطناعي، وذلك نظرًا لارتباط معظم تطبيقات هذه التقنية بعلاقات تعاقدية متعددة تشمل عقود التطوير والبرمجة، </w:t>
      </w:r>
      <w:r w:rsidRPr="0032211B">
        <w:rPr>
          <w:rFonts w:ascii="Sakkal Majalla" w:hAnsi="Sakkal Majalla" w:cs="Sakkal Majalla"/>
          <w:sz w:val="32"/>
          <w:szCs w:val="32"/>
          <w:rtl/>
          <w:lang w:bidi="ar-EG"/>
        </w:rPr>
        <w:lastRenderedPageBreak/>
        <w:t>وعقود التوريد والتشغيل، وعقود الترخيص، وعقود تقديم الخدمات السحابية والرقمية</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ويترتب على هذه العلاقات التزامات متبادلة بين الأطراف، بحيث يؤدي الإخلال بأي من هذه الالتزامات إلى قيام المسؤولية العقدية متى ترتب على ذلك ضرر للطرف الآخر</w:t>
      </w:r>
      <w:r w:rsidR="00E22E83">
        <w:rPr>
          <w:rStyle w:val="FootnoteReference"/>
          <w:rFonts w:ascii="Sakkal Majalla" w:hAnsi="Sakkal Majalla" w:cs="Sakkal Majalla"/>
          <w:sz w:val="32"/>
          <w:szCs w:val="32"/>
          <w:rtl/>
          <w:lang w:bidi="ar-EG"/>
        </w:rPr>
        <w:footnoteReference w:id="132"/>
      </w:r>
      <w:r w:rsidRPr="0032211B">
        <w:rPr>
          <w:rFonts w:ascii="Sakkal Majalla" w:hAnsi="Sakkal Majalla" w:cs="Sakkal Majalla"/>
          <w:sz w:val="32"/>
          <w:szCs w:val="32"/>
          <w:rtl/>
          <w:lang w:bidi="ar-EG"/>
        </w:rPr>
        <w:t>.</w:t>
      </w:r>
    </w:p>
    <w:p w14:paraId="4C844550" w14:textId="706FE5B7" w:rsidR="0032211B" w:rsidRPr="0032211B" w:rsidRDefault="0032211B" w:rsidP="008F3510">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المسؤولية العقدية في مجال الذكاء الاصطناعي بسبب الطبيعة التقنية المعقدة لهذه الأنظمة، وما قد ينشأ عنها من أخطاء أو أعطال أو قصور في الأداء قد يؤدي إلى إلحاق أضرار مادية أو مالية بالمستفيدين منها</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كما أن تعدد الأطراف المتدخلة في إنتاج وتشغيل الأنظمة الذكية، مثل المطورين والموردين ومزودي الخدمات التقنية، يثير العديد من الإشكالات المتعلقة بتحديد الطرف المسؤول عن الإخلال التعاقدي وآثار ذلك على حق المضرور في المطالبة بالتعويض.</w:t>
      </w:r>
    </w:p>
    <w:p w14:paraId="3CFA8E67" w14:textId="0963E7E8" w:rsidR="0032211B" w:rsidRDefault="0032211B" w:rsidP="008F3510">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ومن ثم تقتضي دراسة المسؤولية العقدية في مجال الذكاء الاصطناعي بيان مفهوم هذه المسؤولية والأساس القانوني الذي تقوم عليه، والشروط اللازمة لانعقادها، ثم بحث تطبيقاتها العملية على العقود المرتبطة بالأنظمة الذكية، مع توضيح مسؤولية كل من المطور والمورد ومزود الخدمة، وصولًا إلى بيان صور الإخلال العقدي وآثاره القانونية والتعويض المترتب عليه.</w:t>
      </w:r>
    </w:p>
    <w:p w14:paraId="2F974F91" w14:textId="40BEA82F" w:rsidR="002936BF" w:rsidRPr="0032211B" w:rsidRDefault="002936BF" w:rsidP="00EE15D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الأول: ماهية المسؤولية العقدية وشروط قيامها</w:t>
      </w:r>
      <w:r w:rsidR="0032211B">
        <w:rPr>
          <w:rFonts w:ascii="Sakkal Majalla" w:hAnsi="Sakkal Majalla" w:cs="Sakkal Majalla" w:hint="cs"/>
          <w:b/>
          <w:bCs/>
          <w:sz w:val="32"/>
          <w:szCs w:val="32"/>
          <w:rtl/>
          <w:lang w:bidi="ar-EG"/>
        </w:rPr>
        <w:t>.</w:t>
      </w:r>
    </w:p>
    <w:p w14:paraId="69B9C283" w14:textId="3B90E53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تعد المسؤولية العقدية أحد أهم أنواع المسؤولية المدنية، وتقوم عندما يُخل أحد طرفي العقد بالتزام ناشئ عن علاقة تعاقدية صحيحة، فيترتب على هذا الإخلال إلحاق ضرر بالطرف الآخر يستوجب التعويض </w:t>
      </w:r>
      <w:r w:rsidRPr="0032211B">
        <w:rPr>
          <w:rFonts w:ascii="Sakkal Majalla" w:hAnsi="Sakkal Majalla" w:cs="Sakkal Majalla"/>
          <w:sz w:val="32"/>
          <w:szCs w:val="32"/>
          <w:rtl/>
          <w:lang w:bidi="ar-EG"/>
        </w:rPr>
        <w:lastRenderedPageBreak/>
        <w:t>وتستند هذه المسؤولية إلى مبدأ القوة الملزمة للعقد، الذي يقتضي احترام الالتزامات التي ارتضاها المتعاقدان بإرادتهما الحرة، وعدم جواز التنصل منها أو الإخلال بها دون مبرر مشروع</w:t>
      </w:r>
      <w:r w:rsidR="00E22E83">
        <w:rPr>
          <w:rStyle w:val="FootnoteReference"/>
          <w:rFonts w:ascii="Sakkal Majalla" w:hAnsi="Sakkal Majalla" w:cs="Sakkal Majalla"/>
          <w:sz w:val="32"/>
          <w:szCs w:val="32"/>
          <w:rtl/>
          <w:lang w:bidi="ar-EG"/>
        </w:rPr>
        <w:footnoteReference w:id="133"/>
      </w:r>
      <w:r w:rsidRPr="0032211B">
        <w:rPr>
          <w:rFonts w:ascii="Sakkal Majalla" w:hAnsi="Sakkal Majalla" w:cs="Sakkal Majalla"/>
          <w:sz w:val="32"/>
          <w:szCs w:val="32"/>
          <w:rtl/>
          <w:lang w:bidi="ar-EG"/>
        </w:rPr>
        <w:t>.</w:t>
      </w:r>
    </w:p>
    <w:p w14:paraId="2E25444A" w14:textId="1CD611F3"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ويقصد بالمسؤولية العقدية الجزاء القانوني المترتب على إخلال المدين بتنفيذ التزام تعاقدي نشأ بموجب عقد صحيح، مما يؤدي إلى إلحاق ضرر بالدائن ويمنحه الحق في المطالبة بالتعويض ومن ثم فإن نطاق المسؤولية العقدية يقتصر على الأطراف المرتبطة بالعقد، بخلاف المسؤولية التقصيرية التي تقوم خارج إطار العلاقة التعاقدية</w:t>
      </w:r>
      <w:r w:rsidR="00E22E83">
        <w:rPr>
          <w:rStyle w:val="FootnoteReference"/>
          <w:rFonts w:ascii="Sakkal Majalla" w:hAnsi="Sakkal Majalla" w:cs="Sakkal Majalla"/>
          <w:sz w:val="32"/>
          <w:szCs w:val="32"/>
          <w:rtl/>
          <w:lang w:bidi="ar-EG"/>
        </w:rPr>
        <w:footnoteReference w:id="134"/>
      </w:r>
      <w:r w:rsidRPr="0032211B">
        <w:rPr>
          <w:rFonts w:ascii="Sakkal Majalla" w:hAnsi="Sakkal Majalla" w:cs="Sakkal Majalla"/>
          <w:sz w:val="32"/>
          <w:szCs w:val="32"/>
          <w:rtl/>
          <w:lang w:bidi="ar-EG"/>
        </w:rPr>
        <w:t>.</w:t>
      </w:r>
    </w:p>
    <w:p w14:paraId="777606F8" w14:textId="2ADCEF5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ويتمثل الأساس القانوني للمسؤولية العقدية في مبدأ "العقد شريعة المتعاقدين"، وهو مبدأ مستقر في مختلف الأنظمة القانونية الحديثة</w:t>
      </w:r>
      <w:r w:rsidR="00E22E83">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أخذ المنظم السعودي بهذا المبدأ صراحة في المادة (41) من نظام المعاملات المدنية السعودي التي نصت على أن: «العقد شريعة المتعاقدين، فلا يجوز نقضه ولا تعديله إلا باتفاق طرفيه أو بمقتضى نص نظامي»</w:t>
      </w:r>
      <w:r w:rsidR="00E22E83">
        <w:rPr>
          <w:rFonts w:ascii="Sakkal Majalla" w:hAnsi="Sakkal Majalla" w:cs="Sakkal Majalla" w:hint="cs"/>
          <w:sz w:val="32"/>
          <w:szCs w:val="32"/>
          <w:rtl/>
          <w:lang w:bidi="ar-EG"/>
        </w:rPr>
        <w:t xml:space="preserve"> </w:t>
      </w:r>
      <w:r w:rsidR="00E22E83">
        <w:rPr>
          <w:rStyle w:val="FootnoteReference"/>
          <w:rFonts w:ascii="Sakkal Majalla" w:hAnsi="Sakkal Majalla" w:cs="Sakkal Majalla"/>
          <w:sz w:val="32"/>
          <w:szCs w:val="32"/>
          <w:rtl/>
          <w:lang w:bidi="ar-EG"/>
        </w:rPr>
        <w:footnoteReference w:id="135"/>
      </w:r>
      <w:r w:rsidRPr="0032211B">
        <w:rPr>
          <w:rFonts w:ascii="Sakkal Majalla" w:hAnsi="Sakkal Majalla" w:cs="Sakkal Majalla"/>
          <w:sz w:val="32"/>
          <w:szCs w:val="32"/>
          <w:rtl/>
          <w:lang w:bidi="ar-EG"/>
        </w:rPr>
        <w:t xml:space="preserve"> ويؤكد هذا النص أن الالتزامات الناشئة عن العقد تتمتع بقوة ملزمة، وأن الإخلال بها يرتب المسؤولية القانونية على من أخل بها.</w:t>
      </w:r>
    </w:p>
    <w:p w14:paraId="528FDC6E" w14:textId="381CE47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كما نصت المادة (107) من نظام المعاملات المدنية على أن المدين يكون ملزمًا بتنفيذ التزامه وفقًا لما اشتمل عليه العقد وبطريقة تتفق مع ما يوجبه حسن النية</w:t>
      </w:r>
      <w:r w:rsidR="00E22E83">
        <w:rPr>
          <w:rStyle w:val="FootnoteReference"/>
          <w:rFonts w:ascii="Sakkal Majalla" w:hAnsi="Sakkal Majalla" w:cs="Sakkal Majalla"/>
          <w:sz w:val="32"/>
          <w:szCs w:val="32"/>
          <w:rtl/>
          <w:lang w:bidi="ar-EG"/>
        </w:rPr>
        <w:footnoteReference w:id="136"/>
      </w:r>
      <w:r w:rsidRPr="0032211B">
        <w:rPr>
          <w:rFonts w:ascii="Sakkal Majalla" w:hAnsi="Sakkal Majalla" w:cs="Sakkal Majalla"/>
          <w:sz w:val="32"/>
          <w:szCs w:val="32"/>
          <w:rtl/>
          <w:lang w:bidi="ar-EG"/>
        </w:rPr>
        <w:t>، الأمر الذي يعكس اتساع نطاق الالتزام التعاقدي ليشمل ليس فقط ما ورد صراحة في العقد، وإنما أيضًا ما تقتضيه طبيعة التعامل وحسن النية في تنفيذ الالتزامات.</w:t>
      </w:r>
    </w:p>
    <w:p w14:paraId="7D60B52A" w14:textId="45322BCD"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lastRenderedPageBreak/>
        <w:t>ولا تقوم المسؤولية العقدية إلا بتوافر مجموعة من الشروط الأساسية التي استقر عليها الفقه والقضاء، وتتمثل فيما يأتي:</w:t>
      </w:r>
    </w:p>
    <w:p w14:paraId="60C290E1" w14:textId="5916E279" w:rsidR="0032211B" w:rsidRPr="00136344"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1- وجود عقد صحيح</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لقيام المسؤولية العقدية وجود عقد صحيح ومستوفٍ لأركانه وشروطه النظامية فإذا كان العقد باطلًا أو معدومًا فلا مجال للحديث عن مسؤولية عقدية، وإنما قد تثور مسؤولية تقصيرية إذا توافرت شروطها ويعد العقد المصدر المباشر للالتزام الذي يترتب على الإخلال به قيام المسؤولية العقدية، ولذلك فإن وجود رابطة تعاقدية صحيحة يمثل الشرط الأول والأساسي لهذه المسؤولية</w:t>
      </w:r>
      <w:r w:rsidR="00E22E83">
        <w:rPr>
          <w:rStyle w:val="FootnoteReference"/>
          <w:rFonts w:ascii="Sakkal Majalla" w:hAnsi="Sakkal Majalla" w:cs="Sakkal Majalla"/>
          <w:sz w:val="32"/>
          <w:szCs w:val="32"/>
          <w:rtl/>
          <w:lang w:bidi="ar-EG"/>
        </w:rPr>
        <w:footnoteReference w:id="137"/>
      </w:r>
      <w:r w:rsidRPr="0032211B">
        <w:rPr>
          <w:rFonts w:ascii="Sakkal Majalla" w:hAnsi="Sakkal Majalla" w:cs="Sakkal Majalla"/>
          <w:sz w:val="32"/>
          <w:szCs w:val="32"/>
          <w:rtl/>
          <w:lang w:bidi="ar-EG"/>
        </w:rPr>
        <w:t>.</w:t>
      </w:r>
    </w:p>
    <w:p w14:paraId="7566D13D" w14:textId="6A3EA2AF"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هذا الشرط في مجال الذكاء الاصطناعي، حيث تنشأ العديد من العلاقات القانونية بموجب عقود تطوير البرمجيات، وعقود الترخيص باستخدام الأنظمة الذكية، وعقود الحوسبة السحابية، وعقود تقديم الخدمات التقنية، الأمر الذي يجعل العقد المصدر الرئيس للحقوق والالتزامات بين الأطراف.</w:t>
      </w:r>
    </w:p>
    <w:p w14:paraId="7CAB2FA9" w14:textId="29707D94" w:rsidR="0032211B" w:rsidRPr="00EE15D7"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2- الإخلال بالتزام تعاقدي</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لا يكفي وجود العقد وحده لقيام المسؤولية، بل يجب أن يثبت إخلال أحد المتعاقدين بالتزام ناشئ عنه</w:t>
      </w:r>
      <w:r w:rsidR="008F3510">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يتمثل الإخلال في الامتناع الكلي عن تنفيذ الالتزام، أو التأخر في التنفيذ، أو التنفيذ المعيب أو غير المطابق للمواصفات المتفق عليها</w:t>
      </w:r>
      <w:r w:rsidR="00E22E83">
        <w:rPr>
          <w:rStyle w:val="FootnoteReference"/>
          <w:rFonts w:ascii="Sakkal Majalla" w:hAnsi="Sakkal Majalla" w:cs="Sakkal Majalla"/>
          <w:sz w:val="32"/>
          <w:szCs w:val="32"/>
          <w:rtl/>
          <w:lang w:bidi="ar-EG"/>
        </w:rPr>
        <w:footnoteReference w:id="138"/>
      </w:r>
      <w:r w:rsidRPr="0032211B">
        <w:rPr>
          <w:rFonts w:ascii="Sakkal Majalla" w:hAnsi="Sakkal Majalla" w:cs="Sakkal Majalla"/>
          <w:sz w:val="32"/>
          <w:szCs w:val="32"/>
          <w:rtl/>
          <w:lang w:bidi="ar-EG"/>
        </w:rPr>
        <w:t>.</w:t>
      </w:r>
    </w:p>
    <w:p w14:paraId="7A9FCE3B" w14:textId="1351AF31"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وفي عقود الذكاء الاصطناعي قد يظهر الإخلال التعاقدي في صور متعددة، منها:</w:t>
      </w:r>
    </w:p>
    <w:p w14:paraId="5FB795E2"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تسليم نظام ذكاء اصطناعي غير مطابق للمواصفات المتفق عليها.</w:t>
      </w:r>
    </w:p>
    <w:p w14:paraId="20FDE109"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وجود عيوب برمجية تؤثر في كفاءة النظام.</w:t>
      </w:r>
    </w:p>
    <w:p w14:paraId="46AED941" w14:textId="77777777" w:rsidR="0032211B" w:rsidRPr="00EE15D7" w:rsidRDefault="0032211B" w:rsidP="00EE15D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فشل النظام في تحقيق النتائج المتفق عليها تعاقديًا.</w:t>
      </w:r>
    </w:p>
    <w:p w14:paraId="3CD17B4A" w14:textId="77777777" w:rsidR="0032211B" w:rsidRPr="00EE15D7" w:rsidRDefault="0032211B" w:rsidP="00422E3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lastRenderedPageBreak/>
        <w:t>الإخلال بالتزامات الصيانة والتحديث الفني.</w:t>
      </w:r>
    </w:p>
    <w:p w14:paraId="2C563E4E" w14:textId="0C6C7E74" w:rsidR="0032211B" w:rsidRPr="00EE15D7" w:rsidRDefault="0032211B" w:rsidP="00422E37">
      <w:pPr>
        <w:pStyle w:val="ListParagraph"/>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انتهاك التزامات حماية البيانات أو السرية المعلوماتية.</w:t>
      </w:r>
    </w:p>
    <w:p w14:paraId="52D71876" w14:textId="34761CEB" w:rsidR="0032211B" w:rsidRPr="0032211B"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ويعد مجرد عدم تنفيذ الالتزام أو تنفيذه بصورة معيبة قرينة على تحقق الإخلال العقدي متى ثبت أن المدين لم يقم بما التزم به بموجب العقد.</w:t>
      </w:r>
    </w:p>
    <w:p w14:paraId="3B11B9A2" w14:textId="36232BDD" w:rsidR="0032211B" w:rsidRPr="00422E37" w:rsidRDefault="0032211B" w:rsidP="00422E37">
      <w:pPr>
        <w:bidi/>
        <w:spacing w:line="360" w:lineRule="auto"/>
        <w:jc w:val="lowKashida"/>
        <w:rPr>
          <w:rFonts w:ascii="Sakkal Majalla" w:hAnsi="Sakkal Majalla" w:cs="Sakkal Majalla"/>
          <w:b/>
          <w:bCs/>
          <w:sz w:val="32"/>
          <w:szCs w:val="32"/>
          <w:lang w:bidi="ar-EG"/>
        </w:rPr>
      </w:pPr>
      <w:r w:rsidRPr="00EE15D7">
        <w:rPr>
          <w:rFonts w:ascii="Sakkal Majalla" w:hAnsi="Sakkal Majalla" w:cs="Sakkal Majalla"/>
          <w:b/>
          <w:bCs/>
          <w:sz w:val="32"/>
          <w:szCs w:val="32"/>
          <w:rtl/>
          <w:lang w:bidi="ar-EG"/>
        </w:rPr>
        <w:t>3- تحقق الضرر</w:t>
      </w:r>
      <w:r w:rsidR="00EE15D7">
        <w:rPr>
          <w:rFonts w:ascii="Sakkal Majalla" w:hAnsi="Sakkal Majalla" w:cs="Sakkal Majalla" w:hint="cs"/>
          <w:b/>
          <w:bCs/>
          <w:sz w:val="32"/>
          <w:szCs w:val="32"/>
          <w:rtl/>
          <w:lang w:bidi="ar-EG"/>
        </w:rPr>
        <w:t xml:space="preserve"> :</w:t>
      </w:r>
      <w:r w:rsidR="00422E37">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لا تقوم المسؤولية العقدية بمجرد وقوع الإخلال، بل يجب أن يترتب على هذا الإخلال ضرر يصيب الطرف الآخر</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ويقصد بالضرر كل أذى يصيب الشخص في مصلحة مشروعة له، سواء كان ضررًا ماديًا أو ماليًا أو أدبيًا</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وفي مجال الذكاء الاصطناعي قد تتخذ الأضرار صورًا متعددة، من أهمها</w:t>
      </w:r>
      <w:r w:rsidR="00E22E83">
        <w:rPr>
          <w:rStyle w:val="FootnoteReference"/>
          <w:rFonts w:ascii="Sakkal Majalla" w:hAnsi="Sakkal Majalla" w:cs="Sakkal Majalla"/>
          <w:sz w:val="32"/>
          <w:szCs w:val="32"/>
          <w:rtl/>
          <w:lang w:bidi="ar-EG"/>
        </w:rPr>
        <w:footnoteReference w:id="139"/>
      </w:r>
      <w:r w:rsidRPr="0032211B">
        <w:rPr>
          <w:rFonts w:ascii="Sakkal Majalla" w:hAnsi="Sakkal Majalla" w:cs="Sakkal Majalla"/>
          <w:sz w:val="32"/>
          <w:szCs w:val="32"/>
          <w:rtl/>
          <w:lang w:bidi="ar-EG"/>
        </w:rPr>
        <w:t>:</w:t>
      </w:r>
    </w:p>
    <w:p w14:paraId="320B40F0"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الخسائر المالية الناتجة عن تعطل النظام الذكي.</w:t>
      </w:r>
    </w:p>
    <w:p w14:paraId="74C6FCCB"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فقدان البيانات أو تلفها.</w:t>
      </w:r>
    </w:p>
    <w:p w14:paraId="10DCEE23"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توقف النشاط التجاري أو الإنتاجي.</w:t>
      </w:r>
    </w:p>
    <w:p w14:paraId="06A867E5" w14:textId="77777777"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الإضرار بسمعة المنشأة نتيجة أخطاء النظام.</w:t>
      </w:r>
    </w:p>
    <w:p w14:paraId="5D6FE0C8" w14:textId="56E07C5D" w:rsidR="0032211B" w:rsidRPr="00422E37" w:rsidRDefault="0032211B" w:rsidP="00422E37">
      <w:pPr>
        <w:pStyle w:val="ListParagraph"/>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تسرب المعلومات السرية أو البيانات الشخصية.</w:t>
      </w:r>
    </w:p>
    <w:p w14:paraId="6DD9B839" w14:textId="5C941538"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وقد نصت المادة (120) من نظام المعاملات المدنية السعودي على أن: «كل خطأ سبب ضررًا للغير يلزم من ارتكبه بالتعويض»، وهو نص يؤكد أن الضرر يمثل الركن الجوهري الذي يبرر المطالبة بالتعويض</w:t>
      </w:r>
      <w:r w:rsidR="003541B1">
        <w:rPr>
          <w:rStyle w:val="FootnoteReference"/>
          <w:rFonts w:ascii="Sakkal Majalla" w:hAnsi="Sakkal Majalla" w:cs="Sakkal Majalla"/>
          <w:sz w:val="32"/>
          <w:szCs w:val="32"/>
          <w:rtl/>
          <w:lang w:bidi="ar-EG"/>
        </w:rPr>
        <w:footnoteReference w:id="140"/>
      </w:r>
      <w:r w:rsidRPr="0032211B">
        <w:rPr>
          <w:rFonts w:ascii="Sakkal Majalla" w:hAnsi="Sakkal Majalla" w:cs="Sakkal Majalla"/>
          <w:sz w:val="32"/>
          <w:szCs w:val="32"/>
          <w:rtl/>
          <w:lang w:bidi="ar-EG"/>
        </w:rPr>
        <w:t>.</w:t>
      </w:r>
    </w:p>
    <w:p w14:paraId="58FFDFD4" w14:textId="205DC925" w:rsidR="0032211B" w:rsidRPr="008F3510" w:rsidRDefault="0032211B" w:rsidP="008F3510">
      <w:pPr>
        <w:bidi/>
        <w:spacing w:line="360" w:lineRule="auto"/>
        <w:jc w:val="lowKashida"/>
        <w:rPr>
          <w:rFonts w:ascii="Sakkal Majalla" w:hAnsi="Sakkal Majalla" w:cs="Sakkal Majalla"/>
          <w:b/>
          <w:bCs/>
          <w:sz w:val="32"/>
          <w:szCs w:val="32"/>
          <w:lang w:bidi="ar-EG"/>
        </w:rPr>
      </w:pPr>
      <w:r w:rsidRPr="00422E37">
        <w:rPr>
          <w:rFonts w:ascii="Sakkal Majalla" w:hAnsi="Sakkal Majalla" w:cs="Sakkal Majalla"/>
          <w:b/>
          <w:bCs/>
          <w:sz w:val="32"/>
          <w:szCs w:val="32"/>
          <w:rtl/>
          <w:lang w:bidi="ar-EG"/>
        </w:rPr>
        <w:lastRenderedPageBreak/>
        <w:t>4- قيام العلاقة السببية بين الإخلال والضرر</w:t>
      </w:r>
      <w:r w:rsidR="00422E37">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كذلك وجود علاقة سببية مباشرة بين الإخلال التعاقدي والضرر الذي أصاب المضرور، بحيث يكون الضرر نتيجة طبيعية ومباشرة للإخلال بالالتزام. فإذا ثبت أن الضرر يرجع إلى سبب أجنبي لا يد للمدين فيه، انتفت مسؤوليته</w:t>
      </w:r>
      <w:r w:rsidR="00E22E83">
        <w:rPr>
          <w:rStyle w:val="FootnoteReference"/>
          <w:rFonts w:ascii="Sakkal Majalla" w:hAnsi="Sakkal Majalla" w:cs="Sakkal Majalla"/>
          <w:sz w:val="32"/>
          <w:szCs w:val="32"/>
          <w:rtl/>
          <w:lang w:bidi="ar-EG"/>
        </w:rPr>
        <w:footnoteReference w:id="141"/>
      </w:r>
      <w:r w:rsidRPr="0032211B">
        <w:rPr>
          <w:rFonts w:ascii="Sakkal Majalla" w:hAnsi="Sakkal Majalla" w:cs="Sakkal Majalla"/>
          <w:sz w:val="32"/>
          <w:szCs w:val="32"/>
          <w:rtl/>
          <w:lang w:bidi="ar-EG"/>
        </w:rPr>
        <w:t>.</w:t>
      </w:r>
    </w:p>
    <w:p w14:paraId="4728D4A6" w14:textId="0F57101A"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وتعد مسألة السببية من أكثر المسائل تعقيدًا في عقود الذكاء الاصطناعي، خاصة عندما تتداخل العوامل التقنية والبشرية في تشغيل النظام</w:t>
      </w:r>
      <w:r w:rsidR="00A56A5B">
        <w:rPr>
          <w:rFonts w:ascii="Sakkal Majalla" w:hAnsi="Sakkal Majalla" w:cs="Sakkal Majalla"/>
          <w:sz w:val="32"/>
          <w:szCs w:val="32"/>
          <w:lang w:bidi="ar-EG"/>
        </w:rPr>
        <w:t xml:space="preserve"> </w:t>
      </w:r>
      <w:r w:rsidRPr="0032211B">
        <w:rPr>
          <w:rFonts w:ascii="Sakkal Majalla" w:hAnsi="Sakkal Majalla" w:cs="Sakkal Majalla"/>
          <w:sz w:val="32"/>
          <w:szCs w:val="32"/>
          <w:rtl/>
          <w:lang w:bidi="ar-EG"/>
        </w:rPr>
        <w:t>فقد يكون الضرر ناشئًا عن خلل برمجي، أو عن سوء استخدام من العميل، أو عن تدخل طرف ثالث أو عن قصور في البنية التحتية الرقمية ولذلك يتعين على القاضي أو الخبير الفني تحديد السبب الحقيقي للضرر ومدى ارتباطه بالإخلال التعاقدي المنسوب إلى المدين</w:t>
      </w:r>
      <w:r w:rsidR="00A56A5B">
        <w:rPr>
          <w:rStyle w:val="FootnoteReference"/>
          <w:rFonts w:ascii="Sakkal Majalla" w:hAnsi="Sakkal Majalla" w:cs="Sakkal Majalla"/>
          <w:sz w:val="32"/>
          <w:szCs w:val="32"/>
          <w:rtl/>
          <w:lang w:bidi="ar-EG"/>
        </w:rPr>
        <w:footnoteReference w:id="142"/>
      </w:r>
      <w:r w:rsidRPr="0032211B">
        <w:rPr>
          <w:rFonts w:ascii="Sakkal Majalla" w:hAnsi="Sakkal Majalla" w:cs="Sakkal Majalla"/>
          <w:sz w:val="32"/>
          <w:szCs w:val="32"/>
          <w:rtl/>
          <w:lang w:bidi="ar-EG"/>
        </w:rPr>
        <w:t>.</w:t>
      </w:r>
    </w:p>
    <w:p w14:paraId="1B337CBC" w14:textId="3264AA04" w:rsidR="0032211B" w:rsidRDefault="0032211B" w:rsidP="00422E37">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وبناءً على ما تقدم فإن المسؤولية العقدية في مجال الذكاء الاصطناعي لا تختلف في جوهرها عن المسؤولية العقدية التقليدية</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إلا أن طبيعة الأنظمة الذكية وما تتسم به من تعقيد تقني تفرض تحديات خاصة تتعلق بإثبات الإخلال والضرر والعلاقة السببية، الأمر الذي يستوجب تطبيق القواعد العامة للمسؤولية العقدية بما يحقق التوازن بين حماية المتعاقدين وتشجيع الابتكار التقني.</w:t>
      </w:r>
    </w:p>
    <w:p w14:paraId="06096EA5" w14:textId="2145046D" w:rsidR="002936BF" w:rsidRPr="0032211B" w:rsidRDefault="002936BF" w:rsidP="00422E3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الثاني: تطبيق المسؤولية العقدية على عقود الذكاء الاصطناعي</w:t>
      </w:r>
      <w:r w:rsidR="0032211B">
        <w:rPr>
          <w:rFonts w:ascii="Sakkal Majalla" w:hAnsi="Sakkal Majalla" w:cs="Sakkal Majalla" w:hint="cs"/>
          <w:b/>
          <w:bCs/>
          <w:sz w:val="32"/>
          <w:szCs w:val="32"/>
          <w:rtl/>
          <w:lang w:bidi="ar-EG"/>
        </w:rPr>
        <w:t>.</w:t>
      </w:r>
    </w:p>
    <w:p w14:paraId="220FC85B" w14:textId="5AAEC1D0"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أدى التطور المتسارع في تقنيات الذكاء الاصطناعي إلى ظهور أنماط جديدة من العقود المرتبطة بتطوير الأنظمة الذكية وتشغيلها وترخيص استخدامها وتقديم خدماتها الأمر الذي جعل المسؤولية العقدية من أهم صور المسؤولية المدنية في هذا المجال وتقوم هذه المسؤولية متى أخل أحد أطراف العقد بالتزاماته التعاقدية وترتب على ذلك ضرر للطرف الآخر.</w:t>
      </w:r>
    </w:p>
    <w:p w14:paraId="7E11AAEE" w14:textId="7D4E1E5A"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lastRenderedPageBreak/>
        <w:t>وتبرز مسؤولية مطور أنظمة الذكاء الاصطناعي باعتباره المسؤول عن تصميم النظام وبرمجته وتطوير خوارزمياته بما يحقق الوظائف المتفق عليها</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ويقع على عاتقه الالتزام بتقديم نظام يعمل بالكفاءة المطلوبة وإجراء الاختبارات الفنية اللازمة ومعالجة العيوب التي قد تظهر أثناء التنفيذ أو خلال فترة الضمان</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وتقوم مسؤوليته العقدية إذا ثبت وجود أخطاء برمجية أو قصور في أداء النظام أو عدم توافقه مع المواصفات المتفق عليها أو الإخلال بمتطلبات الأمن السيبراني وحماية البيانات</w:t>
      </w:r>
      <w:r>
        <w:rPr>
          <w:rStyle w:val="FootnoteReference"/>
          <w:rFonts w:ascii="Sakkal Majalla" w:hAnsi="Sakkal Majalla" w:cs="Sakkal Majalla"/>
          <w:sz w:val="32"/>
          <w:szCs w:val="32"/>
          <w:rtl/>
          <w:lang w:bidi="ar-EG"/>
        </w:rPr>
        <w:footnoteReference w:id="143"/>
      </w:r>
      <w:r w:rsidRPr="00813C7B">
        <w:rPr>
          <w:rFonts w:ascii="Sakkal Majalla" w:hAnsi="Sakkal Majalla" w:cs="Sakkal Majalla"/>
          <w:sz w:val="32"/>
          <w:szCs w:val="32"/>
          <w:rtl/>
          <w:lang w:bidi="ar-EG"/>
        </w:rPr>
        <w:t>.</w:t>
      </w:r>
    </w:p>
    <w:p w14:paraId="13986EAD" w14:textId="41A6C2D2"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كما تثور مسؤولية مورد أو بائع الأنظمة الذكية بوصفه ملتزمًا بتسليم النظام وفق المواصفات المتفق عليها وتمكين العميل من الانتفاع به بصورة سليمة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وتظهر هذه المسؤولية في حالات تسليم نظام غير مطابق للمواصفات أو وجود عيوب خفية تؤثر في كفاءته أو تقديم معلومات غير دقيقة بشأن قدراته الفنية أو الإخلال بالتزامات الدعم الفني والتحديثات الأساسية</w:t>
      </w:r>
      <w:r w:rsidR="00827DBB">
        <w:rPr>
          <w:rStyle w:val="FootnoteReference"/>
          <w:rFonts w:ascii="Sakkal Majalla" w:hAnsi="Sakkal Majalla" w:cs="Sakkal Majalla"/>
          <w:sz w:val="32"/>
          <w:szCs w:val="32"/>
          <w:rtl/>
          <w:lang w:bidi="ar-EG"/>
        </w:rPr>
        <w:footnoteReference w:id="144"/>
      </w:r>
      <w:r w:rsidRPr="00813C7B">
        <w:rPr>
          <w:rFonts w:ascii="Sakkal Majalla" w:hAnsi="Sakkal Majalla" w:cs="Sakkal Majalla"/>
          <w:sz w:val="32"/>
          <w:szCs w:val="32"/>
          <w:rtl/>
          <w:lang w:bidi="ar-EG"/>
        </w:rPr>
        <w:t>.</w:t>
      </w:r>
    </w:p>
    <w:p w14:paraId="34E7BBBE" w14:textId="6B4498CC"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أما مزود خدمات الذكاء الاصطناعي، وخاصة في الخدمات المقدمة عبر الحوسبة السحابية أو منصات الذكاء الاصطناعي كخدمة، فيلتزم بضمان استمرارية الخدمة والمحافظة على جودة الأداء وحماية البيانات وتوفير الدعم الفني والتحديثات الأمنية اللازمة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ويؤدي الإخلال بهذه الالتزامات إلى قيام مسؤوليته العقدية متى ترتب على ذلك ضرر للمستفيد من الخدمة.</w:t>
      </w:r>
    </w:p>
    <w:p w14:paraId="3F776BCB" w14:textId="1F6867DD"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 xml:space="preserve">وتتعدد صور الإخلال العقدي في عقود الذكاء الاصطناعي، فقد يتمثل الإخلال في الامتناع عن تنفيذ الالتزام أو التأخر في تنفيذه أو تنفيذه بصورة معيبة أو مخالفة للمواصفات المتفق عليها. كما قد يظهر في الإخلال </w:t>
      </w:r>
      <w:r w:rsidRPr="00813C7B">
        <w:rPr>
          <w:rFonts w:ascii="Sakkal Majalla" w:hAnsi="Sakkal Majalla" w:cs="Sakkal Majalla"/>
          <w:sz w:val="32"/>
          <w:szCs w:val="32"/>
          <w:rtl/>
          <w:lang w:bidi="ar-EG"/>
        </w:rPr>
        <w:lastRenderedPageBreak/>
        <w:t>بالتزامات السرية وحماية البيانات أو عدم الالتزام بمعايير الأمن السيبراني أو الامتناع عن توفير الصيانة والتحديثات الدورية اللازمة لاستمرار عمل النظام بكفاءة</w:t>
      </w:r>
      <w:r>
        <w:rPr>
          <w:rStyle w:val="FootnoteReference"/>
          <w:rFonts w:ascii="Sakkal Majalla" w:hAnsi="Sakkal Majalla" w:cs="Sakkal Majalla"/>
          <w:sz w:val="32"/>
          <w:szCs w:val="32"/>
          <w:rtl/>
          <w:lang w:bidi="ar-EG"/>
        </w:rPr>
        <w:footnoteReference w:id="145"/>
      </w:r>
      <w:r w:rsidRPr="00813C7B">
        <w:rPr>
          <w:rFonts w:ascii="Sakkal Majalla" w:hAnsi="Sakkal Majalla" w:cs="Sakkal Majalla"/>
          <w:sz w:val="32"/>
          <w:szCs w:val="32"/>
          <w:rtl/>
          <w:lang w:bidi="ar-EG"/>
        </w:rPr>
        <w:t>.</w:t>
      </w:r>
    </w:p>
    <w:p w14:paraId="39FAFEBE" w14:textId="3C72C84B"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ويترتب على قيام المسؤولية العقدية حق الطرف المتضرر في المطالبة بالتعويض عن الأضرار الناتجة عن الإخلال بالعقد. وقد أكد نظام المعاملات المدنية السعودي هذا المبدأ من خلال المادة (41) التي تقرر أن العقد شريعة المتعاقدين، والمادة (107) التي توجب تنفيذ العقد وفقًا لمضمونه وبما يتفق مع مقتضيات حسن النية. ويشمل التعويض الخسائر المالية المباشرة وتكاليف إصلاح الأخطاء الفنية واستعادة البيانات والأرباح الفائتة والخسائر التشغيلية والأضرار التي تمس السمعة التجارية متى ثبتت العلاقة بين الإخلال والضرر.</w:t>
      </w:r>
    </w:p>
    <w:p w14:paraId="2EF08A4A" w14:textId="33147007" w:rsidR="002936BF" w:rsidRPr="002936BF"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ولا يقتصر أثر المسؤولية العقدية على التعويض المالي فحسب، بل قد يمتد إلى التنفيذ العيني أو فسخ العقد وإنهائه متى توافرت شروط ذلك ومن ثم تمثل المسؤولية العقدية إحدى أهم الوسائل القانونية لضمان احترام الالتزامات الناشئة عن عقود الذكاء الاصطناعي وتحقيق الثقة والاستقرار في المعاملات الرقمية الحديثة</w:t>
      </w:r>
      <w:r w:rsidR="00654EF9">
        <w:rPr>
          <w:rStyle w:val="FootnoteReference"/>
          <w:rFonts w:ascii="Sakkal Majalla" w:hAnsi="Sakkal Majalla" w:cs="Sakkal Majalla"/>
          <w:sz w:val="32"/>
          <w:szCs w:val="32"/>
          <w:rtl/>
          <w:lang w:bidi="ar-EG"/>
        </w:rPr>
        <w:footnoteReference w:id="146"/>
      </w:r>
      <w:r w:rsidR="002936BF" w:rsidRPr="002936BF">
        <w:rPr>
          <w:rFonts w:ascii="Sakkal Majalla" w:hAnsi="Sakkal Majalla" w:cs="Sakkal Majalla"/>
          <w:sz w:val="32"/>
          <w:szCs w:val="32"/>
          <w:rtl/>
          <w:lang w:bidi="ar-EG"/>
        </w:rPr>
        <w:t>.</w:t>
      </w:r>
    </w:p>
    <w:p w14:paraId="5CF612F2" w14:textId="77777777" w:rsidR="002936BF" w:rsidRPr="00076E98" w:rsidRDefault="002936BF" w:rsidP="00422E37">
      <w:pPr>
        <w:bidi/>
        <w:spacing w:line="360" w:lineRule="auto"/>
        <w:jc w:val="lowKashida"/>
        <w:rPr>
          <w:rFonts w:ascii="Sakkal Majalla" w:hAnsi="Sakkal Majalla" w:cs="Sakkal Majalla"/>
          <w:b/>
          <w:bCs/>
          <w:sz w:val="32"/>
          <w:szCs w:val="32"/>
          <w:u w:val="single"/>
          <w:lang w:bidi="ar-EG"/>
        </w:rPr>
      </w:pPr>
      <w:r w:rsidRPr="00076E98">
        <w:rPr>
          <w:rFonts w:ascii="Sakkal Majalla" w:hAnsi="Sakkal Majalla" w:cs="Sakkal Majalla"/>
          <w:b/>
          <w:bCs/>
          <w:sz w:val="32"/>
          <w:szCs w:val="32"/>
          <w:u w:val="single"/>
          <w:rtl/>
          <w:lang w:bidi="ar-EG"/>
        </w:rPr>
        <w:t>المطلب الثاني: المسؤولية التقصيرية الناشئة عن أفعال الذكاء الاصطناعي</w:t>
      </w:r>
    </w:p>
    <w:p w14:paraId="44C01AC5" w14:textId="3A737F22"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لا تقتصر المسؤولية المدنية في مجال الذكاء الاصطناعي على الحالات التي تقوم فيها علاقة تعاقدية بين الأطراف</w:t>
      </w:r>
      <w:r>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بل قد تنشأ الأضرار خارج نطاق العقد فتخضع لأحكام المسؤولية التقصيرية بوصفها الإطار العام لحماية الغير من الأفعال الضارة</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وتبرز أهمية هذه المسؤولية مع اتساع استخدام الأنظمة الذكية وما قد يترتب عليها من أضرار تصيب أشخاصًا لا تربطهم أي علاقة قانونية بمطوري النظام أو مشغليه</w:t>
      </w:r>
      <w:r w:rsidR="00DF3AD3">
        <w:rPr>
          <w:rStyle w:val="FootnoteReference"/>
          <w:rFonts w:ascii="Sakkal Majalla" w:hAnsi="Sakkal Majalla" w:cs="Sakkal Majalla"/>
          <w:sz w:val="32"/>
          <w:szCs w:val="32"/>
          <w:rtl/>
          <w:lang w:bidi="ar-EG"/>
        </w:rPr>
        <w:footnoteReference w:id="147"/>
      </w:r>
      <w:r w:rsidRPr="008F3510">
        <w:rPr>
          <w:rFonts w:ascii="Sakkal Majalla" w:hAnsi="Sakkal Majalla" w:cs="Sakkal Majalla"/>
          <w:sz w:val="32"/>
          <w:szCs w:val="32"/>
          <w:rtl/>
          <w:lang w:bidi="ar-EG"/>
        </w:rPr>
        <w:t>.</w:t>
      </w:r>
    </w:p>
    <w:p w14:paraId="1E8CE711" w14:textId="63FDDD6D" w:rsidR="008F3510"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lastRenderedPageBreak/>
        <w:t>كما تثير تطبيقات الذكاء الاصطناعي العديد من الإشكالات المتعلقة بتحديد المسؤول عن الضرر في ظل تعدد الأطراف المتدخلة في تصميم وتشغيل هذه الأنظمة. ومن ثم تقتضي دراسة المسؤولية التقصيرية بيان مفهومها وأساسها القانوني وأركانها</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ثم بحث مدى تطبيقها على الأضرار الناشئة عن أنظمة الذكاء الاصطناعي وتحديد مسؤولية الأطراف المرتبطة بها</w:t>
      </w:r>
    </w:p>
    <w:p w14:paraId="6741B47D" w14:textId="78E905B5" w:rsidR="002936BF" w:rsidRPr="00D854A8" w:rsidRDefault="002936BF" w:rsidP="008F3510">
      <w:pPr>
        <w:bidi/>
        <w:spacing w:line="360" w:lineRule="auto"/>
        <w:jc w:val="lowKashida"/>
        <w:rPr>
          <w:rFonts w:ascii="Sakkal Majalla" w:hAnsi="Sakkal Majalla" w:cs="Sakkal Majalla"/>
          <w:b/>
          <w:bCs/>
          <w:sz w:val="32"/>
          <w:szCs w:val="32"/>
          <w:lang w:bidi="ar-EG"/>
        </w:rPr>
      </w:pPr>
      <w:r w:rsidRPr="00D854A8">
        <w:rPr>
          <w:rFonts w:ascii="Sakkal Majalla" w:hAnsi="Sakkal Majalla" w:cs="Sakkal Majalla"/>
          <w:b/>
          <w:bCs/>
          <w:sz w:val="32"/>
          <w:szCs w:val="32"/>
          <w:rtl/>
          <w:lang w:bidi="ar-EG"/>
        </w:rPr>
        <w:t>الفرع الأول: مفهوم المسؤولية التقصيرية وأساسها القانوني</w:t>
      </w:r>
      <w:r w:rsidR="00812DD9">
        <w:rPr>
          <w:rFonts w:ascii="Sakkal Majalla" w:hAnsi="Sakkal Majalla" w:cs="Sakkal Majalla" w:hint="cs"/>
          <w:b/>
          <w:bCs/>
          <w:sz w:val="32"/>
          <w:szCs w:val="32"/>
          <w:rtl/>
          <w:lang w:bidi="ar-EG"/>
        </w:rPr>
        <w:t>.</w:t>
      </w:r>
    </w:p>
    <w:p w14:paraId="11FCDDBA" w14:textId="3626B08F"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تعد المسؤولية التقصيرية الصورة العامة للمسؤولية المدنية، إذ تقوم كلما أخل شخص بالتزام قانوني عام يقضي بعدم الإضرار بالغير، سواء وجدت علاقة تعاقدية بين الطرفين أم لم توجد. ويقصد بها التزام الشخص بتعويض الضرر الذي ألحقه بالغير نتيجة فعل غير مشروع صدر منه أو ممن يسأل عنهم أو عن الأشياء التي تكون تحت حراسته ولذلك فإن المسؤولية التقصيرية تمثل أحد أهم الوسائل القانونية لحماية الحقوق والمصالح المشروعة للأفراد وتحقيق التوازن بين حرية الأشخاص في ممارسة أنشطتهم المختلفة وبين واجبهم في عدم الإضرار بالآخرين</w:t>
      </w:r>
      <w:r w:rsidR="00DF3AD3">
        <w:rPr>
          <w:rStyle w:val="FootnoteReference"/>
          <w:rFonts w:ascii="Sakkal Majalla" w:hAnsi="Sakkal Majalla" w:cs="Sakkal Majalla"/>
          <w:sz w:val="32"/>
          <w:szCs w:val="32"/>
          <w:rtl/>
          <w:lang w:bidi="ar-EG"/>
        </w:rPr>
        <w:footnoteReference w:id="148"/>
      </w:r>
      <w:r w:rsidRPr="00D854A8">
        <w:rPr>
          <w:rFonts w:ascii="Sakkal Majalla" w:hAnsi="Sakkal Majalla" w:cs="Sakkal Majalla"/>
          <w:sz w:val="32"/>
          <w:szCs w:val="32"/>
          <w:rtl/>
          <w:lang w:bidi="ar-EG"/>
        </w:rPr>
        <w:t>.</w:t>
      </w:r>
    </w:p>
    <w:p w14:paraId="324A7345" w14:textId="4DFFBB1C"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ويختلف نطاق المسؤولية التقصيرية عن المسؤولية العقدية؛ فالأخيرة تستند إلى إخلال أحد المتعاقدين بالتزام ناشئ عن عقد، في حين تقوم المسؤولية التقصيرية على الإخلال بواجب قانوني عام يفرضه النظام على جميع الأشخاص ولذلك يجوز لكل من أصابه ضرر نتيجة فعل غير مشروع أن يطالب بالتعويض حتى لو لم تربطه أي علاقة قانونية سابقة بالمسؤول عن الضرر</w:t>
      </w:r>
      <w:r w:rsidR="00F15A16">
        <w:rPr>
          <w:rStyle w:val="FootnoteReference"/>
          <w:rFonts w:ascii="Sakkal Majalla" w:hAnsi="Sakkal Majalla" w:cs="Sakkal Majalla"/>
          <w:sz w:val="32"/>
          <w:szCs w:val="32"/>
          <w:rtl/>
          <w:lang w:bidi="ar-EG"/>
        </w:rPr>
        <w:footnoteReference w:id="149"/>
      </w:r>
      <w:r w:rsidRPr="00D854A8">
        <w:rPr>
          <w:rFonts w:ascii="Sakkal Majalla" w:hAnsi="Sakkal Majalla" w:cs="Sakkal Majalla"/>
          <w:sz w:val="32"/>
          <w:szCs w:val="32"/>
          <w:rtl/>
          <w:lang w:bidi="ar-EG"/>
        </w:rPr>
        <w:t>.</w:t>
      </w:r>
    </w:p>
    <w:p w14:paraId="24900B86" w14:textId="380B9345"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lastRenderedPageBreak/>
        <w:t xml:space="preserve">ويتمثل الأساس القانوني للمسؤولية التقصيرية في مبدأ عدم الإضرار بالغير، وهو مبدأ راسخ في الفقه الإسلامي قبل أن تتبناه التشريعات المدنية الحديثة. ويستند هذا المبدأ إلى القاعدة الفقهية المشهورة: «الضرر يزال»، وإلى حديث النبي </w:t>
      </w:r>
      <w:r w:rsidRPr="00D854A8">
        <w:rPr>
          <w:rFonts w:ascii="Sakkal Majalla" w:hAnsi="Sakkal Majalla" w:cs="Sakkal Majalla" w:hint="cs"/>
          <w:sz w:val="32"/>
          <w:szCs w:val="32"/>
          <w:rtl/>
          <w:lang w:bidi="ar-EG"/>
        </w:rPr>
        <w:t>ﷺ</w:t>
      </w:r>
      <w:r w:rsidRPr="00D854A8">
        <w:rPr>
          <w:rFonts w:ascii="Sakkal Majalla" w:hAnsi="Sakkal Majalla" w:cs="Sakkal Majalla"/>
          <w:sz w:val="32"/>
          <w:szCs w:val="32"/>
          <w:rtl/>
          <w:lang w:bidi="ar-EG"/>
        </w:rPr>
        <w:t>: «لا ضرر ولا ضرار»، وهو ما جعل ج</w:t>
      </w:r>
      <w:r w:rsidRPr="00D854A8">
        <w:rPr>
          <w:rFonts w:ascii="Sakkal Majalla" w:hAnsi="Sakkal Majalla" w:cs="Sakkal Majalla" w:hint="eastAsia"/>
          <w:sz w:val="32"/>
          <w:szCs w:val="32"/>
          <w:rtl/>
          <w:lang w:bidi="ar-EG"/>
        </w:rPr>
        <w:t>بر</w:t>
      </w:r>
      <w:r w:rsidRPr="00D854A8">
        <w:rPr>
          <w:rFonts w:ascii="Sakkal Majalla" w:hAnsi="Sakkal Majalla" w:cs="Sakkal Majalla"/>
          <w:sz w:val="32"/>
          <w:szCs w:val="32"/>
          <w:rtl/>
          <w:lang w:bidi="ar-EG"/>
        </w:rPr>
        <w:t xml:space="preserve"> الضرر من المبادئ الأساسية التي يقوم عليها النظام القانوني في المملكة العربية السعودية</w:t>
      </w:r>
      <w:r w:rsidR="00CE519A">
        <w:rPr>
          <w:rStyle w:val="FootnoteReference"/>
          <w:rFonts w:ascii="Sakkal Majalla" w:hAnsi="Sakkal Majalla" w:cs="Sakkal Majalla"/>
          <w:sz w:val="32"/>
          <w:szCs w:val="32"/>
          <w:rtl/>
          <w:lang w:bidi="ar-EG"/>
        </w:rPr>
        <w:footnoteReference w:id="150"/>
      </w:r>
      <w:r w:rsidRPr="00D854A8">
        <w:rPr>
          <w:rFonts w:ascii="Sakkal Majalla" w:hAnsi="Sakkal Majalla" w:cs="Sakkal Majalla"/>
          <w:sz w:val="32"/>
          <w:szCs w:val="32"/>
          <w:rtl/>
          <w:lang w:bidi="ar-EG"/>
        </w:rPr>
        <w:t>.</w:t>
      </w:r>
    </w:p>
    <w:p w14:paraId="18A07BA6" w14:textId="008DF132"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نظم نظام المعاملات المدنية السعودي أحكام المسؤولية التقصيرية بصورة واضحة، حيث نصت المادة (120) على أن: «كل خطأ سبب ضررًا للغير يلزم من ارتكبه بالتعويض»</w:t>
      </w:r>
      <w:r w:rsidR="00DF3AD3">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 ويعد هذا النص الأساس العام للمسؤولية التقصيرية في النظام السعودي، إذ يقرر أن التعويض لا يقوم إلا إ</w:t>
      </w:r>
      <w:r w:rsidRPr="00D854A8">
        <w:rPr>
          <w:rFonts w:ascii="Sakkal Majalla" w:hAnsi="Sakkal Majalla" w:cs="Sakkal Majalla" w:hint="eastAsia"/>
          <w:sz w:val="32"/>
          <w:szCs w:val="32"/>
          <w:rtl/>
          <w:lang w:bidi="ar-EG"/>
        </w:rPr>
        <w:t>ذا</w:t>
      </w:r>
      <w:r w:rsidRPr="00D854A8">
        <w:rPr>
          <w:rFonts w:ascii="Sakkal Majalla" w:hAnsi="Sakkal Majalla" w:cs="Sakkal Majalla"/>
          <w:sz w:val="32"/>
          <w:szCs w:val="32"/>
          <w:rtl/>
          <w:lang w:bidi="ar-EG"/>
        </w:rPr>
        <w:t xml:space="preserve"> توافر خطأ ترتب عليه ضرر للغير. كما نصت المادة (121) على أن الشخص يكون مسؤولًا عن الضرر الناشئ عن فعله الخاطئ متى كان مميزًا، الأمر الذي يربط المسؤولية المدنية بقدرة الشخص على الإدراك والتمييز</w:t>
      </w:r>
      <w:r w:rsidR="00DF3AD3">
        <w:rPr>
          <w:rStyle w:val="FootnoteReference"/>
          <w:rFonts w:ascii="Sakkal Majalla" w:hAnsi="Sakkal Majalla" w:cs="Sakkal Majalla"/>
          <w:sz w:val="32"/>
          <w:szCs w:val="32"/>
          <w:rtl/>
          <w:lang w:bidi="ar-EG"/>
        </w:rPr>
        <w:footnoteReference w:id="151"/>
      </w:r>
      <w:r w:rsidRPr="00D854A8">
        <w:rPr>
          <w:rFonts w:ascii="Sakkal Majalla" w:hAnsi="Sakkal Majalla" w:cs="Sakkal Majalla"/>
          <w:sz w:val="32"/>
          <w:szCs w:val="32"/>
          <w:rtl/>
          <w:lang w:bidi="ar-EG"/>
        </w:rPr>
        <w:t>.</w:t>
      </w:r>
    </w:p>
    <w:p w14:paraId="145B7A36" w14:textId="4B2F36E1"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ويلاحظ</w:t>
      </w:r>
      <w:r w:rsidRPr="00D854A8">
        <w:rPr>
          <w:rFonts w:ascii="Sakkal Majalla" w:hAnsi="Sakkal Majalla" w:cs="Sakkal Majalla"/>
          <w:sz w:val="32"/>
          <w:szCs w:val="32"/>
          <w:rtl/>
          <w:lang w:bidi="ar-EG"/>
        </w:rPr>
        <w:t xml:space="preserve"> أن المنظم السعودي لم يقتصر على المسؤولية الناشئة عن الفعل الشخصي، بل وسع نطاق المسؤولية لتشمل المسؤولية عن فعل الغير والمسؤولية عن الأشياء، حيث نصت المادة (136) من نظام المعاملات المدنية على مسؤولية من تكون تحت تصرفه أشياء تتطلب عناية خاصة أو حراسة آلات ميكانيكية عما تحدثه من ضرر ما لم يثبت السبب الأجنبي وتكتسب هذه المادة أهمية خاصة عند دراسة المسؤولية الناشئة عن أنظمة الذكاء الاصطناعي، لما تتضمنه من إمكانية إخضاع بعض التطبيقات الذكية لقواعد </w:t>
      </w:r>
      <w:r w:rsidRPr="00D854A8">
        <w:rPr>
          <w:rFonts w:ascii="Sakkal Majalla" w:hAnsi="Sakkal Majalla" w:cs="Sakkal Majalla"/>
          <w:sz w:val="32"/>
          <w:szCs w:val="32"/>
          <w:rtl/>
          <w:lang w:bidi="ar-EG"/>
        </w:rPr>
        <w:lastRenderedPageBreak/>
        <w:t>المسؤولية عن الأشياء</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ولا</w:t>
      </w:r>
      <w:r w:rsidRPr="00D854A8">
        <w:rPr>
          <w:rFonts w:ascii="Sakkal Majalla" w:hAnsi="Sakkal Majalla" w:cs="Sakkal Majalla"/>
          <w:sz w:val="32"/>
          <w:szCs w:val="32"/>
          <w:rtl/>
          <w:lang w:bidi="ar-EG"/>
        </w:rPr>
        <w:t xml:space="preserve"> تقوم المسؤولية التقصيرية إلا بتوافر ثلاثة أركان رئيسة تتمثل في الخطأ والضرر والعلاقة السببية، وهي أركان متلازمة لا يغني أحدها عن الآخر</w:t>
      </w:r>
      <w:r w:rsidR="00DF3AD3">
        <w:rPr>
          <w:rStyle w:val="FootnoteReference"/>
          <w:rFonts w:ascii="Sakkal Majalla" w:hAnsi="Sakkal Majalla" w:cs="Sakkal Majalla"/>
          <w:sz w:val="32"/>
          <w:szCs w:val="32"/>
          <w:rtl/>
          <w:lang w:bidi="ar-EG"/>
        </w:rPr>
        <w:footnoteReference w:id="152"/>
      </w:r>
      <w:r w:rsidRPr="00D854A8">
        <w:rPr>
          <w:rFonts w:ascii="Sakkal Majalla" w:hAnsi="Sakkal Majalla" w:cs="Sakkal Majalla"/>
          <w:sz w:val="32"/>
          <w:szCs w:val="32"/>
          <w:rtl/>
          <w:lang w:bidi="ar-EG"/>
        </w:rPr>
        <w:t>.</w:t>
      </w:r>
    </w:p>
    <w:p w14:paraId="1334ACED" w14:textId="350BB8A1"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ويقصد</w:t>
      </w:r>
      <w:r w:rsidRPr="00D854A8">
        <w:rPr>
          <w:rFonts w:ascii="Sakkal Majalla" w:hAnsi="Sakkal Majalla" w:cs="Sakkal Majalla"/>
          <w:sz w:val="32"/>
          <w:szCs w:val="32"/>
          <w:rtl/>
          <w:lang w:bidi="ar-EG"/>
        </w:rPr>
        <w:t xml:space="preserve"> بالخطأ كل انحراف في السلوك عن المسلك المألوف للشخص المعتاد بما يترتب عليه الإضرار بالغير ويعد الخطأ الركن الأول للمسؤولية التقصيرية، لأنه يمثل السلوك غير المشروع الذي أدى إلى وقوع الضرر وقد يكون الخطأ عمديًا إذا اتجهت إرادة الشخص إلى إحداث الضرر، وقد يكون غير عمدي إذا نشأ عن الإهمال أو الرعونة أو قلة الاحتياط أو مخالفة القواعد الفنية أو النظامية الواجبة الاتباع</w:t>
      </w:r>
      <w:r w:rsidR="002162F9">
        <w:rPr>
          <w:rStyle w:val="FootnoteReference"/>
          <w:rFonts w:ascii="Sakkal Majalla" w:hAnsi="Sakkal Majalla" w:cs="Sakkal Majalla"/>
          <w:sz w:val="32"/>
          <w:szCs w:val="32"/>
          <w:rtl/>
          <w:lang w:bidi="ar-EG"/>
        </w:rPr>
        <w:footnoteReference w:id="153"/>
      </w:r>
      <w:r w:rsidRPr="00D854A8">
        <w:rPr>
          <w:rFonts w:ascii="Sakkal Majalla" w:hAnsi="Sakkal Majalla" w:cs="Sakkal Majalla"/>
          <w:sz w:val="32"/>
          <w:szCs w:val="32"/>
          <w:rtl/>
          <w:lang w:bidi="ar-EG"/>
        </w:rPr>
        <w:t>.</w:t>
      </w:r>
    </w:p>
    <w:p w14:paraId="72B43734" w14:textId="19415E87" w:rsidR="00D854A8" w:rsidRPr="001A10A8" w:rsidRDefault="00D854A8" w:rsidP="001A10A8">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ويتكون</w:t>
      </w:r>
      <w:r w:rsidRPr="001A10A8">
        <w:rPr>
          <w:rFonts w:ascii="Sakkal Majalla" w:hAnsi="Sakkal Majalla" w:cs="Sakkal Majalla"/>
          <w:b/>
          <w:bCs/>
          <w:sz w:val="32"/>
          <w:szCs w:val="32"/>
          <w:rtl/>
          <w:lang w:bidi="ar-EG"/>
        </w:rPr>
        <w:t xml:space="preserve"> الخطأ في الفقه القانوني من عنصرين أساسيين:</w:t>
      </w:r>
    </w:p>
    <w:p w14:paraId="76F8B859" w14:textId="77777777" w:rsidR="001A10A8" w:rsidRDefault="00D854A8" w:rsidP="001A10A8">
      <w:pPr>
        <w:pStyle w:val="ListParagraph"/>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المادي، ويتمثل في السلوك أو التصرف الذي صدر من الشخص.</w:t>
      </w:r>
    </w:p>
    <w:p w14:paraId="498DC72F" w14:textId="3DFB910F" w:rsidR="00D854A8" w:rsidRPr="001A10A8" w:rsidRDefault="00D854A8" w:rsidP="001A10A8">
      <w:pPr>
        <w:pStyle w:val="ListParagraph"/>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المعنوي، ويتمثل في الإدراك أو التمييز الذي يسمح بنسبة الخطأ إلى مرتكبه.</w:t>
      </w:r>
    </w:p>
    <w:p w14:paraId="495E829D" w14:textId="3C3A8C4E" w:rsidR="00D854A8" w:rsidRPr="001A10A8" w:rsidRDefault="00D854A8" w:rsidP="00422E37">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وفي</w:t>
      </w:r>
      <w:r w:rsidRPr="001A10A8">
        <w:rPr>
          <w:rFonts w:ascii="Sakkal Majalla" w:hAnsi="Sakkal Majalla" w:cs="Sakkal Majalla"/>
          <w:b/>
          <w:bCs/>
          <w:sz w:val="32"/>
          <w:szCs w:val="32"/>
          <w:rtl/>
          <w:lang w:bidi="ar-EG"/>
        </w:rPr>
        <w:t xml:space="preserve"> مجال الذكاء الاصطناعي قد يتمثل الخطأ في:</w:t>
      </w:r>
    </w:p>
    <w:p w14:paraId="3D3E90C3"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تصميم</w:t>
      </w:r>
      <w:r w:rsidRPr="001A10A8">
        <w:rPr>
          <w:rFonts w:ascii="Sakkal Majalla" w:hAnsi="Sakkal Majalla" w:cs="Sakkal Majalla"/>
          <w:sz w:val="32"/>
          <w:szCs w:val="32"/>
          <w:rtl/>
          <w:lang w:bidi="ar-EG"/>
        </w:rPr>
        <w:t xml:space="preserve"> خوارزميات معيبة.</w:t>
      </w:r>
    </w:p>
    <w:p w14:paraId="2A809216"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إهمال</w:t>
      </w:r>
      <w:r w:rsidRPr="001A10A8">
        <w:rPr>
          <w:rFonts w:ascii="Sakkal Majalla" w:hAnsi="Sakkal Majalla" w:cs="Sakkal Majalla"/>
          <w:sz w:val="32"/>
          <w:szCs w:val="32"/>
          <w:rtl/>
          <w:lang w:bidi="ar-EG"/>
        </w:rPr>
        <w:t xml:space="preserve"> اختبار النظام قبل تشغيله.</w:t>
      </w:r>
    </w:p>
    <w:p w14:paraId="3495C8BD"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عدم</w:t>
      </w:r>
      <w:r w:rsidRPr="001A10A8">
        <w:rPr>
          <w:rFonts w:ascii="Sakkal Majalla" w:hAnsi="Sakkal Majalla" w:cs="Sakkal Majalla"/>
          <w:sz w:val="32"/>
          <w:szCs w:val="32"/>
          <w:rtl/>
          <w:lang w:bidi="ar-EG"/>
        </w:rPr>
        <w:t xml:space="preserve"> تحديث النظام لمعالجة الثغرات الأمنية.</w:t>
      </w:r>
    </w:p>
    <w:p w14:paraId="14838BE1" w14:textId="77777777" w:rsid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السماح</w:t>
      </w:r>
      <w:r w:rsidRPr="001A10A8">
        <w:rPr>
          <w:rFonts w:ascii="Sakkal Majalla" w:hAnsi="Sakkal Majalla" w:cs="Sakkal Majalla"/>
          <w:sz w:val="32"/>
          <w:szCs w:val="32"/>
          <w:rtl/>
          <w:lang w:bidi="ar-EG"/>
        </w:rPr>
        <w:t xml:space="preserve"> باستخدام النظام في غير الأغراض المخصصة له.</w:t>
      </w:r>
    </w:p>
    <w:p w14:paraId="6428C54A" w14:textId="3E3BB34C" w:rsidR="00D854A8" w:rsidRPr="001A10A8" w:rsidRDefault="00D854A8" w:rsidP="001A10A8">
      <w:pPr>
        <w:pStyle w:val="ListParagraph"/>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الإخلال</w:t>
      </w:r>
      <w:r w:rsidRPr="001A10A8">
        <w:rPr>
          <w:rFonts w:ascii="Sakkal Majalla" w:hAnsi="Sakkal Majalla" w:cs="Sakkal Majalla"/>
          <w:sz w:val="32"/>
          <w:szCs w:val="32"/>
          <w:rtl/>
          <w:lang w:bidi="ar-EG"/>
        </w:rPr>
        <w:t xml:space="preserve"> بمعايير حماية البيانات والخصوصية.</w:t>
      </w:r>
    </w:p>
    <w:p w14:paraId="62B3BA71" w14:textId="632AC98B" w:rsidR="00D854A8" w:rsidRPr="00D854A8" w:rsidRDefault="00D854A8" w:rsidP="002162F9">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أما</w:t>
      </w:r>
      <w:r w:rsidRPr="00D854A8">
        <w:rPr>
          <w:rFonts w:ascii="Sakkal Majalla" w:hAnsi="Sakkal Majalla" w:cs="Sakkal Majalla"/>
          <w:sz w:val="32"/>
          <w:szCs w:val="32"/>
          <w:rtl/>
          <w:lang w:bidi="ar-EG"/>
        </w:rPr>
        <w:t xml:space="preserve"> الضرر فيعد الركن الثاني للمسؤولية التقصيرية، ويقصد به الأذى الذي يصيب الشخص في حق أو مصلحة مشروعة له ولا يكفي وقوع الخطأ وحده لقيام المسؤولية بل يجب أن يترتب عليه ضرر فعلي يمكن تقديره والتعويض عنه</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ولذلك فإن الضرر يمثل المبرر الحقيقي للتعويض، إذ لا </w:t>
      </w:r>
      <w:r w:rsidRPr="00D854A8">
        <w:rPr>
          <w:rFonts w:ascii="Sakkal Majalla" w:hAnsi="Sakkal Majalla" w:cs="Sakkal Majalla" w:hint="eastAsia"/>
          <w:sz w:val="32"/>
          <w:szCs w:val="32"/>
          <w:rtl/>
          <w:lang w:bidi="ar-EG"/>
        </w:rPr>
        <w:t>تعويض</w:t>
      </w:r>
      <w:r w:rsidRPr="00D854A8">
        <w:rPr>
          <w:rFonts w:ascii="Sakkal Majalla" w:hAnsi="Sakkal Majalla" w:cs="Sakkal Majalla"/>
          <w:sz w:val="32"/>
          <w:szCs w:val="32"/>
          <w:rtl/>
          <w:lang w:bidi="ar-EG"/>
        </w:rPr>
        <w:t xml:space="preserve"> بغير 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ويشترط</w:t>
      </w:r>
      <w:r w:rsidRPr="00D854A8">
        <w:rPr>
          <w:rFonts w:ascii="Sakkal Majalla" w:hAnsi="Sakkal Majalla" w:cs="Sakkal Majalla"/>
          <w:sz w:val="32"/>
          <w:szCs w:val="32"/>
          <w:rtl/>
          <w:lang w:bidi="ar-EG"/>
        </w:rPr>
        <w:t xml:space="preserve"> في الضرر القابل للتعويض أن يكون</w:t>
      </w:r>
      <w:r w:rsidR="002162F9">
        <w:rPr>
          <w:rStyle w:val="FootnoteReference"/>
          <w:rFonts w:ascii="Sakkal Majalla" w:hAnsi="Sakkal Majalla" w:cs="Sakkal Majalla"/>
          <w:sz w:val="32"/>
          <w:szCs w:val="32"/>
          <w:rtl/>
          <w:lang w:bidi="ar-EG"/>
        </w:rPr>
        <w:footnoteReference w:id="154"/>
      </w:r>
      <w:r w:rsidRPr="00D854A8">
        <w:rPr>
          <w:rFonts w:ascii="Sakkal Majalla" w:hAnsi="Sakkal Majalla" w:cs="Sakkal Majalla"/>
          <w:sz w:val="32"/>
          <w:szCs w:val="32"/>
          <w:rtl/>
          <w:lang w:bidi="ar-EG"/>
        </w:rPr>
        <w:t>:</w:t>
      </w:r>
    </w:p>
    <w:p w14:paraId="240475DE"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ضررًا</w:t>
      </w:r>
      <w:r w:rsidRPr="001A10A8">
        <w:rPr>
          <w:rFonts w:ascii="Sakkal Majalla" w:hAnsi="Sakkal Majalla" w:cs="Sakkal Majalla"/>
          <w:sz w:val="32"/>
          <w:szCs w:val="32"/>
          <w:rtl/>
          <w:lang w:bidi="ar-EG"/>
        </w:rPr>
        <w:t xml:space="preserve"> محققًا أو مؤكد الوقوع.</w:t>
      </w:r>
    </w:p>
    <w:p w14:paraId="5A2A7FF1"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مباشرًا</w:t>
      </w:r>
      <w:r w:rsidRPr="001A10A8">
        <w:rPr>
          <w:rFonts w:ascii="Sakkal Majalla" w:hAnsi="Sakkal Majalla" w:cs="Sakkal Majalla"/>
          <w:sz w:val="32"/>
          <w:szCs w:val="32"/>
          <w:rtl/>
          <w:lang w:bidi="ar-EG"/>
        </w:rPr>
        <w:t xml:space="preserve"> ومترتبًا على الفعل الضار.</w:t>
      </w:r>
    </w:p>
    <w:p w14:paraId="2B7B2688" w14:textId="77777777"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واقعًا</w:t>
      </w:r>
      <w:r w:rsidRPr="001A10A8">
        <w:rPr>
          <w:rFonts w:ascii="Sakkal Majalla" w:hAnsi="Sakkal Majalla" w:cs="Sakkal Majalla"/>
          <w:sz w:val="32"/>
          <w:szCs w:val="32"/>
          <w:rtl/>
          <w:lang w:bidi="ar-EG"/>
        </w:rPr>
        <w:t xml:space="preserve"> على حق أو مصلحة مشروعة.</w:t>
      </w:r>
    </w:p>
    <w:p w14:paraId="49231BAD" w14:textId="2AF1D920" w:rsidR="00D854A8" w:rsidRPr="001A10A8" w:rsidRDefault="00D854A8" w:rsidP="001A10A8">
      <w:pPr>
        <w:pStyle w:val="ListParagraph"/>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شخصيًا</w:t>
      </w:r>
      <w:r w:rsidRPr="001A10A8">
        <w:rPr>
          <w:rFonts w:ascii="Sakkal Majalla" w:hAnsi="Sakkal Majalla" w:cs="Sakkal Majalla"/>
          <w:sz w:val="32"/>
          <w:szCs w:val="32"/>
          <w:rtl/>
          <w:lang w:bidi="ar-EG"/>
        </w:rPr>
        <w:t xml:space="preserve"> بالنسبة للمضرور.</w:t>
      </w:r>
    </w:p>
    <w:p w14:paraId="37BB601E" w14:textId="475C5493"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يكون الضرر ماديًا كإتلاف الأموال أو فقدان البيانات أو تعطيل الأنظمة، وقد يكون أدبيًا كالمساس بالسمعة أو الاعتبار أو الخصوصية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كما قد يأخذ في بيئة الذكاء الاصطناعي صورًا مستحدثة تتمثل في الأضرار الرقمية الناجمة عن تسرب البيانات أو القرارات الآلية الخاطئ</w:t>
      </w:r>
      <w:r w:rsidRPr="00D854A8">
        <w:rPr>
          <w:rFonts w:ascii="Sakkal Majalla" w:hAnsi="Sakkal Majalla" w:cs="Sakkal Majalla" w:hint="eastAsia"/>
          <w:sz w:val="32"/>
          <w:szCs w:val="32"/>
          <w:rtl/>
          <w:lang w:bidi="ar-EG"/>
        </w:rPr>
        <w:t>ة</w:t>
      </w:r>
      <w:r w:rsidRPr="00D854A8">
        <w:rPr>
          <w:rFonts w:ascii="Sakkal Majalla" w:hAnsi="Sakkal Majalla" w:cs="Sakkal Majalla"/>
          <w:sz w:val="32"/>
          <w:szCs w:val="32"/>
          <w:rtl/>
          <w:lang w:bidi="ar-EG"/>
        </w:rPr>
        <w:t xml:space="preserve"> أو التمييز الخوارزمي</w:t>
      </w:r>
      <w:r w:rsidR="002162F9">
        <w:rPr>
          <w:rStyle w:val="FootnoteReference"/>
          <w:rFonts w:ascii="Sakkal Majalla" w:hAnsi="Sakkal Majalla" w:cs="Sakkal Majalla"/>
          <w:sz w:val="32"/>
          <w:szCs w:val="32"/>
          <w:rtl/>
          <w:lang w:bidi="ar-EG"/>
        </w:rPr>
        <w:footnoteReference w:id="155"/>
      </w:r>
      <w:r w:rsidRPr="00D854A8">
        <w:rPr>
          <w:rFonts w:ascii="Sakkal Majalla" w:hAnsi="Sakkal Majalla" w:cs="Sakkal Majalla"/>
          <w:sz w:val="32"/>
          <w:szCs w:val="32"/>
          <w:rtl/>
          <w:lang w:bidi="ar-EG"/>
        </w:rPr>
        <w:t>.</w:t>
      </w:r>
    </w:p>
    <w:p w14:paraId="395F7509" w14:textId="7DA4AC4C"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أما</w:t>
      </w:r>
      <w:r w:rsidRPr="00D854A8">
        <w:rPr>
          <w:rFonts w:ascii="Sakkal Majalla" w:hAnsi="Sakkal Majalla" w:cs="Sakkal Majalla"/>
          <w:sz w:val="32"/>
          <w:szCs w:val="32"/>
          <w:rtl/>
          <w:lang w:bidi="ar-EG"/>
        </w:rPr>
        <w:t xml:space="preserve"> الركن الثالث فهو العلاقة السببية ويقصد بها الرابطة القانونية التي تربط بين الخطأ والضرر، بحيث يكون الضرر نتيجة مباشرة للفعل الضار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فإذا انتفت هذه العلاقة أو ثبت أن الضرر يرجع إلى سبب آخر مستقل عن الخطأ، فلا تقوم المسؤولية المدنية</w:t>
      </w:r>
      <w:r w:rsidR="002162F9">
        <w:rPr>
          <w:rStyle w:val="FootnoteReference"/>
          <w:rFonts w:ascii="Sakkal Majalla" w:hAnsi="Sakkal Majalla" w:cs="Sakkal Majalla"/>
          <w:sz w:val="32"/>
          <w:szCs w:val="32"/>
          <w:rtl/>
          <w:lang w:bidi="ar-EG"/>
        </w:rPr>
        <w:footnoteReference w:id="156"/>
      </w:r>
      <w:r w:rsidRPr="00D854A8">
        <w:rPr>
          <w:rFonts w:ascii="Sakkal Majalla" w:hAnsi="Sakkal Majalla" w:cs="Sakkal Majalla"/>
          <w:sz w:val="32"/>
          <w:szCs w:val="32"/>
          <w:rtl/>
          <w:lang w:bidi="ar-EG"/>
        </w:rPr>
        <w:t>.</w:t>
      </w:r>
    </w:p>
    <w:p w14:paraId="58482890" w14:textId="13463D11"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وتعد</w:t>
      </w:r>
      <w:r w:rsidRPr="00D854A8">
        <w:rPr>
          <w:rFonts w:ascii="Sakkal Majalla" w:hAnsi="Sakkal Majalla" w:cs="Sakkal Majalla"/>
          <w:sz w:val="32"/>
          <w:szCs w:val="32"/>
          <w:rtl/>
          <w:lang w:bidi="ar-EG"/>
        </w:rPr>
        <w:t xml:space="preserve"> مسألة السببية من أكثر المسائل تعقيدًا في مجال الذكاء الاصطناعي، نظرًا لتداخل العديد من العوامل التقنية والبشرية في إنتاج الضرر فقد يكون الضرر ناتجًا عن خطأ في البرمجة أو عن إدخال بيانات غير صحيحة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أو عن سوء استخدام النظام، أو عن عطل فني خارجي، الأم</w:t>
      </w:r>
      <w:r w:rsidRPr="00D854A8">
        <w:rPr>
          <w:rFonts w:ascii="Sakkal Majalla" w:hAnsi="Sakkal Majalla" w:cs="Sakkal Majalla" w:hint="eastAsia"/>
          <w:sz w:val="32"/>
          <w:szCs w:val="32"/>
          <w:rtl/>
          <w:lang w:bidi="ar-EG"/>
        </w:rPr>
        <w:t>ر</w:t>
      </w:r>
      <w:r w:rsidRPr="00D854A8">
        <w:rPr>
          <w:rFonts w:ascii="Sakkal Majalla" w:hAnsi="Sakkal Majalla" w:cs="Sakkal Majalla"/>
          <w:sz w:val="32"/>
          <w:szCs w:val="32"/>
          <w:rtl/>
          <w:lang w:bidi="ar-EG"/>
        </w:rPr>
        <w:t xml:space="preserve"> الذي يجعل تحديد السبب الحقيقي للضرر مسألة تحتاج في كثير من الأحيان إلى الاستعانة بالخبرة الفنية والتقنية</w:t>
      </w:r>
      <w:r w:rsidR="002162F9">
        <w:rPr>
          <w:rStyle w:val="FootnoteReference"/>
          <w:rFonts w:ascii="Sakkal Majalla" w:hAnsi="Sakkal Majalla" w:cs="Sakkal Majalla"/>
          <w:sz w:val="32"/>
          <w:szCs w:val="32"/>
          <w:rtl/>
          <w:lang w:bidi="ar-EG"/>
        </w:rPr>
        <w:footnoteReference w:id="157"/>
      </w:r>
      <w:r w:rsidRPr="00D854A8">
        <w:rPr>
          <w:rFonts w:ascii="Sakkal Majalla" w:hAnsi="Sakkal Majalla" w:cs="Sakkal Majalla"/>
          <w:sz w:val="32"/>
          <w:szCs w:val="32"/>
          <w:rtl/>
          <w:lang w:bidi="ar-EG"/>
        </w:rPr>
        <w:t>.</w:t>
      </w:r>
    </w:p>
    <w:p w14:paraId="020C5CDA" w14:textId="4A66E840"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كما</w:t>
      </w:r>
      <w:r w:rsidRPr="00D854A8">
        <w:rPr>
          <w:rFonts w:ascii="Sakkal Majalla" w:hAnsi="Sakkal Majalla" w:cs="Sakkal Majalla"/>
          <w:sz w:val="32"/>
          <w:szCs w:val="32"/>
          <w:rtl/>
          <w:lang w:bidi="ar-EG"/>
        </w:rPr>
        <w:t xml:space="preserve"> تزداد صعوبة إثبات العلاقة السببية في الأنظمة التي تعتمد على التعلم الآلي والتعلم العميق، بسبب ما يعرف بمشكلة "الصندوق الأسود" (</w:t>
      </w:r>
      <w:r w:rsidRPr="00D854A8">
        <w:rPr>
          <w:rFonts w:ascii="Sakkal Majalla" w:hAnsi="Sakkal Majalla" w:cs="Sakkal Majalla"/>
          <w:sz w:val="32"/>
          <w:szCs w:val="32"/>
          <w:lang w:bidi="ar-EG"/>
        </w:rPr>
        <w:t>Black Box</w:t>
      </w:r>
      <w:r w:rsidRPr="00D854A8">
        <w:rPr>
          <w:rFonts w:ascii="Sakkal Majalla" w:hAnsi="Sakkal Majalla" w:cs="Sakkal Majalla"/>
          <w:sz w:val="32"/>
          <w:szCs w:val="32"/>
          <w:rtl/>
          <w:lang w:bidi="ar-EG"/>
        </w:rPr>
        <w:t>)، حيث يصعب أحيانًا تفسير الكيفية التي توصل بها النظام إلى القرار أو النتيجة التي أدت إلى وقوع الضرر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ولهذا يدعو جان</w:t>
      </w:r>
      <w:r w:rsidRPr="00D854A8">
        <w:rPr>
          <w:rFonts w:ascii="Sakkal Majalla" w:hAnsi="Sakkal Majalla" w:cs="Sakkal Majalla" w:hint="eastAsia"/>
          <w:sz w:val="32"/>
          <w:szCs w:val="32"/>
          <w:rtl/>
          <w:lang w:bidi="ar-EG"/>
        </w:rPr>
        <w:t>ب</w:t>
      </w:r>
      <w:r w:rsidRPr="00D854A8">
        <w:rPr>
          <w:rFonts w:ascii="Sakkal Majalla" w:hAnsi="Sakkal Majalla" w:cs="Sakkal Majalla"/>
          <w:sz w:val="32"/>
          <w:szCs w:val="32"/>
          <w:rtl/>
          <w:lang w:bidi="ar-EG"/>
        </w:rPr>
        <w:t xml:space="preserve"> من الفقه المعاصر إلى تبني قواعد أكثر مرونة في إثبات السببية في منازعات الذكاء الاصطناعي، بما يحقق حماية فعالة للمضرور دون الإخلال بمبادئ العدالة القانونية.</w:t>
      </w:r>
    </w:p>
    <w:p w14:paraId="4895D45A" w14:textId="68E8AB4D" w:rsidR="002936BF" w:rsidRPr="002936BF"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ومن</w:t>
      </w:r>
      <w:r w:rsidRPr="00D854A8">
        <w:rPr>
          <w:rFonts w:ascii="Sakkal Majalla" w:hAnsi="Sakkal Majalla" w:cs="Sakkal Majalla"/>
          <w:sz w:val="32"/>
          <w:szCs w:val="32"/>
          <w:rtl/>
          <w:lang w:bidi="ar-EG"/>
        </w:rPr>
        <w:t xml:space="preserve"> ثم فإن المسؤولية التقصيرية تمثل الإطار القانوني العام الذي يمكن من خلاله مواجهة الأضرار الناشئة عن تطبيقات الذكاء الاصطناعي خارج نطاق العلاقات التعاقدية، وذلك من خلال تطبيق القواعد العامة المتعلقة بالخطأ والضرر والعلاقة السببية، مع مراعاة الخصوصية الت</w:t>
      </w:r>
      <w:r w:rsidRPr="00D854A8">
        <w:rPr>
          <w:rFonts w:ascii="Sakkal Majalla" w:hAnsi="Sakkal Majalla" w:cs="Sakkal Majalla" w:hint="eastAsia"/>
          <w:sz w:val="32"/>
          <w:szCs w:val="32"/>
          <w:rtl/>
          <w:lang w:bidi="ar-EG"/>
        </w:rPr>
        <w:t>قنية</w:t>
      </w:r>
      <w:r w:rsidRPr="00D854A8">
        <w:rPr>
          <w:rFonts w:ascii="Sakkal Majalla" w:hAnsi="Sakkal Majalla" w:cs="Sakkal Majalla"/>
          <w:sz w:val="32"/>
          <w:szCs w:val="32"/>
          <w:rtl/>
          <w:lang w:bidi="ar-EG"/>
        </w:rPr>
        <w:t xml:space="preserve"> التي تميز الأنظمة الذكية عن غيرها من الوسائل التقليدية.</w:t>
      </w:r>
    </w:p>
    <w:p w14:paraId="3700542B" w14:textId="1C966D10" w:rsidR="002936BF" w:rsidRPr="00AF22EA" w:rsidRDefault="002936BF" w:rsidP="00422E37">
      <w:pPr>
        <w:bidi/>
        <w:spacing w:line="360" w:lineRule="auto"/>
        <w:jc w:val="lowKashida"/>
        <w:rPr>
          <w:rFonts w:ascii="Sakkal Majalla" w:hAnsi="Sakkal Majalla" w:cs="Sakkal Majalla"/>
          <w:b/>
          <w:bCs/>
          <w:sz w:val="32"/>
          <w:szCs w:val="32"/>
          <w:lang w:bidi="ar-EG"/>
        </w:rPr>
      </w:pPr>
      <w:r w:rsidRPr="00AF22EA">
        <w:rPr>
          <w:rFonts w:ascii="Sakkal Majalla" w:hAnsi="Sakkal Majalla" w:cs="Sakkal Majalla"/>
          <w:b/>
          <w:bCs/>
          <w:sz w:val="32"/>
          <w:szCs w:val="32"/>
          <w:rtl/>
          <w:lang w:bidi="ar-EG"/>
        </w:rPr>
        <w:t>الفرع الثاني: تطبيق المسؤولية التقصيرية على أضرار الذكاء الاصطناعي</w:t>
      </w:r>
      <w:r w:rsidR="00AF22EA">
        <w:rPr>
          <w:rFonts w:ascii="Sakkal Majalla" w:hAnsi="Sakkal Majalla" w:cs="Sakkal Majalla" w:hint="cs"/>
          <w:b/>
          <w:bCs/>
          <w:sz w:val="32"/>
          <w:szCs w:val="32"/>
          <w:rtl/>
          <w:lang w:bidi="ar-EG"/>
        </w:rPr>
        <w:t>.</w:t>
      </w:r>
    </w:p>
    <w:p w14:paraId="476C9550" w14:textId="6806CE6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 xml:space="preserve">يثير تطبيق المسؤولية التقصيرية على الأضرار الناشئة عن أنظمة الذكاء الاصطناعي العديد من الإشكاليات القانونية بسبب تعدد الأطراف المتدخلة في تصميم هذه الأنظمة وتطويرها وتشغيلها واستخدامها، فضلًا عن ما تتمتع به بعض التطبيقات الحديثة من قدرات على التعلم الذاتي واتخاذ القرارات بصورة قد تبدو مستقلة </w:t>
      </w:r>
      <w:r w:rsidRPr="00200C3E">
        <w:rPr>
          <w:rFonts w:ascii="Sakkal Majalla" w:hAnsi="Sakkal Majalla" w:cs="Sakkal Majalla"/>
          <w:sz w:val="32"/>
          <w:szCs w:val="32"/>
          <w:rtl/>
          <w:lang w:bidi="ar-EG"/>
        </w:rPr>
        <w:lastRenderedPageBreak/>
        <w:t>عن التدخل البشري المباشر. وفي ظل غياب تنظيم تشريعي خاص في معظم الأنظمة القانونية، تظل القواعد العامة للمسؤولية التقصيرية الإطار القانوني الرئيس لتحديد المسؤول عن الضرر وتعويض المضرور</w:t>
      </w:r>
      <w:r w:rsidR="009D6C6D">
        <w:rPr>
          <w:rStyle w:val="FootnoteReference"/>
          <w:rFonts w:ascii="Sakkal Majalla" w:hAnsi="Sakkal Majalla" w:cs="Sakkal Majalla"/>
          <w:sz w:val="32"/>
          <w:szCs w:val="32"/>
          <w:rtl/>
          <w:lang w:bidi="ar-EG"/>
        </w:rPr>
        <w:footnoteReference w:id="158"/>
      </w:r>
      <w:r w:rsidRPr="00200C3E">
        <w:rPr>
          <w:rFonts w:ascii="Sakkal Majalla" w:hAnsi="Sakkal Majalla" w:cs="Sakkal Majalla"/>
          <w:sz w:val="32"/>
          <w:szCs w:val="32"/>
          <w:rtl/>
          <w:lang w:bidi="ar-EG"/>
        </w:rPr>
        <w:t>.</w:t>
      </w:r>
    </w:p>
    <w:p w14:paraId="0EDBCC55" w14:textId="09E42461"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وتعد مسؤولية المبرمج من أبرز صور المسؤولية التقصيرية في مجال الذكاء الاصطناعي، باعتباره المسؤول عن تصميم الخوارزميات وبناء قواعد عمل النظام فإذا ثبت أن الضرر يرجع إلى خطأ في البرمجة أو قصور في تصميم الخوارزمية أو إهمال في اختبار النظام</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قامت مسؤوليته وفق المادة (120) من نظام المعاملات المدنية السعودي التي تنص على أن: «كل خطأ سبب ضررًا للغير يلزم من ارتكبه بالتعويض». ومن أبرز صور الخطأ البرمجي: وجود أخطاء منطقية في الخوارزميات، أو استخدام بيانات تدريب غير دقيقة أو متحيزة، أو إهمال معالجة الثغرات الأمنية، أو عدم توفير آليات مناسبة للرقابة على أداء النظام</w:t>
      </w:r>
      <w:r w:rsidR="009D6C6D">
        <w:rPr>
          <w:rStyle w:val="FootnoteReference"/>
          <w:rFonts w:ascii="Sakkal Majalla" w:hAnsi="Sakkal Majalla" w:cs="Sakkal Majalla"/>
          <w:sz w:val="32"/>
          <w:szCs w:val="32"/>
          <w:rtl/>
          <w:lang w:bidi="ar-EG"/>
        </w:rPr>
        <w:footnoteReference w:id="159"/>
      </w:r>
      <w:r w:rsidRPr="00200C3E">
        <w:rPr>
          <w:rFonts w:ascii="Sakkal Majalla" w:hAnsi="Sakkal Majalla" w:cs="Sakkal Majalla"/>
          <w:sz w:val="32"/>
          <w:szCs w:val="32"/>
          <w:rtl/>
          <w:lang w:bidi="ar-EG"/>
        </w:rPr>
        <w:t>.</w:t>
      </w:r>
    </w:p>
    <w:p w14:paraId="5D4CDA8F" w14:textId="05D42D7F"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كما تثور مسؤولية المستخدم إذا كان الضرر ناتجًا عن سوء استخدام النظام الذكي أو تشغيله بالمخالفة للتعليمات الفنية المقررة له</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ومن صور ذلك إدخال بيانات خاطئة، أو تشغيل النظام في بيئة غير مناسبة، أو تجاوز حدود الاستخدام المسموح بها، أو تعطيل وسائل الحماية والرقابة</w:t>
      </w:r>
      <w:r w:rsidR="00AC7FEA">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وفي هذه الحالات تقوم مسؤوليته على أساس الخطأ الشخصي ويلتزم بتعويض الأضرار المترتبة على سلوكه.</w:t>
      </w:r>
    </w:p>
    <w:p w14:paraId="325241F8" w14:textId="7A82479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أما المشغل أو القائم على النظام الذكي فتقوم مسؤوليته إذا ثبت تقصيره في الإشراف أو الرقابة أو الصيانة اللازمة للنظام كعدم متابعة أدائه بصورة دورية أو تجاهل التحذيرات الفنية أو الاستمرار في تشغيله رغم ظهور مؤشرات الخلل كما يمكن تأسيس مسؤوليته على أحكام المسؤولية عن الأشياء الواردة في المادة (136) من نظام المعاملات المدنية السعودي متى اعتبر النظام الذكي من الأشياء التي تتطلب عناية ورقابة خاصة.</w:t>
      </w:r>
    </w:p>
    <w:p w14:paraId="2220DC5D" w14:textId="4B14BC55"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lastRenderedPageBreak/>
        <w:t>وتبرز إشكالية أكثر تعقيدًا فيما يتعلق بالأضرار الناتجة عن القرارات الذاتية للأنظمة الذكية، حيث قد يصدر القرار الضار نتيجة عمليات تعلم ذاتي دون تدخل بشري مباشر وفي هذه الحالة اختلف الفقه حول الشخص الذي يتحمل المسؤولية، فذهب بعضه إلى تحميلها للمبرمج، بينما رأى آخرون تحميلها للمشغل أو توزيعها بين الأطراف المتدخلة بحسب درجة مساهمة كل منهم، كما دعا جانب من الفقه إلى تطبيق المسؤولية الموضوعية في التطبيقات عالية الخطورة</w:t>
      </w:r>
      <w:r w:rsidR="006467C0">
        <w:rPr>
          <w:rStyle w:val="FootnoteReference"/>
          <w:rFonts w:ascii="Sakkal Majalla" w:hAnsi="Sakkal Majalla" w:cs="Sakkal Majalla"/>
          <w:sz w:val="32"/>
          <w:szCs w:val="32"/>
          <w:rtl/>
          <w:lang w:bidi="ar-EG"/>
        </w:rPr>
        <w:footnoteReference w:id="160"/>
      </w:r>
      <w:r w:rsidRPr="00200C3E">
        <w:rPr>
          <w:rFonts w:ascii="Sakkal Majalla" w:hAnsi="Sakkal Majalla" w:cs="Sakkal Majalla"/>
          <w:sz w:val="32"/>
          <w:szCs w:val="32"/>
          <w:rtl/>
          <w:lang w:bidi="ar-EG"/>
        </w:rPr>
        <w:t>.</w:t>
      </w:r>
    </w:p>
    <w:p w14:paraId="1CE66FB8" w14:textId="37E2028E"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ويترتب على قيام المسؤولية التقصيرية حق المضرور في المطالبة بالتعويض عن كافة الأضرار المباشرة التي لحقت به، سواء كانت أضرارًا مادية أو جسدية أو مالية أو رقمية أو أدبية. وللمحكمة الاستعانة بالخبرة الفنية لتحديد حجم الضرر ومدى مساهمة كل طرف في حدوثه، خاصة في المنازعات المرتبطة بالخوارزميات المعقدة وأنظمة التعلم الآلي</w:t>
      </w:r>
      <w:r w:rsidR="00AC7FEA">
        <w:rPr>
          <w:rStyle w:val="FootnoteReference"/>
          <w:rFonts w:ascii="Sakkal Majalla" w:hAnsi="Sakkal Majalla" w:cs="Sakkal Majalla"/>
          <w:sz w:val="32"/>
          <w:szCs w:val="32"/>
          <w:rtl/>
          <w:lang w:bidi="ar-EG"/>
        </w:rPr>
        <w:footnoteReference w:id="161"/>
      </w:r>
      <w:r w:rsidRPr="00200C3E">
        <w:rPr>
          <w:rFonts w:ascii="Sakkal Majalla" w:hAnsi="Sakkal Majalla" w:cs="Sakkal Majalla"/>
          <w:sz w:val="32"/>
          <w:szCs w:val="32"/>
          <w:rtl/>
          <w:lang w:bidi="ar-EG"/>
        </w:rPr>
        <w:t>.</w:t>
      </w:r>
    </w:p>
    <w:p w14:paraId="585E02AE" w14:textId="4F589905" w:rsidR="002936BF" w:rsidRPr="002936BF"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وبذلك تمثل المسؤولية التقصيرية أداة قانونية فعالة لمواجهة الأضرار الناشئة عن الذكاء الاصطناعي، ولا سيما في الحالات التي لا توجد فيها علاقة تعاقدية بين المضرور والمسؤول عن الضرر، مما يجعلها من أهم الوسائل القانونية القادرة على استيعاب التحديات التي تفرضها التقنيات الذكية الحديثة.</w:t>
      </w:r>
      <w:r w:rsidR="00B32C7C" w:rsidRPr="00B32C7C">
        <w:rPr>
          <w:rFonts w:ascii="Sakkal Majalla" w:hAnsi="Sakkal Majalla" w:cs="Sakkal Majalla"/>
          <w:sz w:val="32"/>
          <w:szCs w:val="32"/>
          <w:rtl/>
          <w:lang w:bidi="ar-EG"/>
        </w:rPr>
        <w:t>.</w:t>
      </w:r>
    </w:p>
    <w:p w14:paraId="2BB4627F" w14:textId="77777777" w:rsidR="002936BF" w:rsidRPr="00330B20" w:rsidRDefault="002936BF" w:rsidP="00330B20">
      <w:pPr>
        <w:bidi/>
        <w:spacing w:line="360" w:lineRule="auto"/>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t>المطلب الثالث: المقارنة بين المسؤولية العقدية والمسؤولية التقصيرية في مجال الذكاء الاصطناعي</w:t>
      </w:r>
    </w:p>
    <w:p w14:paraId="0EA88E87" w14:textId="25EA42A4"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تثير تطبيقات الذكاء الاصطناعي العديد من الإشكاليات القانونية المتعلقة بتحديد نوع المسؤولية المدنية الناشئة عن الأضرار التي قد تسببها الأنظمة الذكية خاصة في ظل تعدد العلاقات القانونية المرتبطة بتصميم هذه الأنظمة وتطويرها وتشغيلها واستخدامها</w:t>
      </w:r>
      <w:r>
        <w:rPr>
          <w:rFonts w:ascii="Sakkal Majalla" w:hAnsi="Sakkal Majalla" w:cs="Sakkal Majalla" w:hint="cs"/>
          <w:sz w:val="32"/>
          <w:szCs w:val="32"/>
          <w:rtl/>
          <w:lang w:bidi="ar-EG"/>
        </w:rPr>
        <w:t xml:space="preserve"> </w:t>
      </w:r>
      <w:r w:rsidRPr="00330B20">
        <w:rPr>
          <w:rFonts w:ascii="Sakkal Majalla" w:hAnsi="Sakkal Majalla" w:cs="Sakkal Majalla"/>
          <w:sz w:val="32"/>
          <w:szCs w:val="32"/>
          <w:rtl/>
          <w:lang w:bidi="ar-EG"/>
        </w:rPr>
        <w:t xml:space="preserve">فقد يكون الضرر ناتجًا عن إخلال بالتزام تعاقدي قائم بين </w:t>
      </w:r>
      <w:r w:rsidRPr="00330B20">
        <w:rPr>
          <w:rFonts w:ascii="Sakkal Majalla" w:hAnsi="Sakkal Majalla" w:cs="Sakkal Majalla"/>
          <w:sz w:val="32"/>
          <w:szCs w:val="32"/>
          <w:rtl/>
          <w:lang w:bidi="ar-EG"/>
        </w:rPr>
        <w:lastRenderedPageBreak/>
        <w:t>الأطراف، وقد يقع في المقابل خارج نطاق أي علاقة تعاقدية ليصيب أشخاصًا من الغير، الأمر الذي يثير التساؤل حول ما إذا كانت المسؤولية عقدية أم تقصيرية</w:t>
      </w:r>
      <w:r w:rsidR="002162F9">
        <w:rPr>
          <w:rStyle w:val="FootnoteReference"/>
          <w:rFonts w:ascii="Sakkal Majalla" w:hAnsi="Sakkal Majalla" w:cs="Sakkal Majalla"/>
          <w:sz w:val="32"/>
          <w:szCs w:val="32"/>
          <w:rtl/>
          <w:lang w:bidi="ar-EG"/>
        </w:rPr>
        <w:footnoteReference w:id="162"/>
      </w:r>
      <w:r w:rsidRPr="00330B20">
        <w:rPr>
          <w:rFonts w:ascii="Sakkal Majalla" w:hAnsi="Sakkal Majalla" w:cs="Sakkal Majalla"/>
          <w:sz w:val="32"/>
          <w:szCs w:val="32"/>
          <w:rtl/>
          <w:lang w:bidi="ar-EG"/>
        </w:rPr>
        <w:t>.</w:t>
      </w:r>
    </w:p>
    <w:p w14:paraId="41FCCCEF" w14:textId="1DE13DE2"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وتزداد أهمية التمييز بين هذين النوعين من المسؤولية لما يترتب عليه من آثار قانونية تتعلق بأركان المسؤولية وعبء الإثبات ونطاق التعويض والأشخاص الذين يحق لهم الرجوع بالتعويض. كما أن الطبيعة التقنية المعقدة للأنظمة الذكية قد تؤدي في بعض الحالات إلى تداخل المسؤوليتين، وهو ما يجعل تحديد الأساس القانوني الواجب التطبيق مسألة جوهرية لضمان حماية المتضررين وتحقيق الاستقرار في المعاملات التقنية الحديثة.</w:t>
      </w:r>
    </w:p>
    <w:p w14:paraId="416013B7" w14:textId="77777777" w:rsidR="00330B20" w:rsidRDefault="00330B20" w:rsidP="00330B20">
      <w:pPr>
        <w:bidi/>
        <w:spacing w:line="360" w:lineRule="auto"/>
        <w:jc w:val="lowKashida"/>
        <w:rPr>
          <w:rFonts w:ascii="Sakkal Majalla" w:hAnsi="Sakkal Majalla" w:cs="Sakkal Majalla"/>
          <w:sz w:val="32"/>
          <w:szCs w:val="32"/>
          <w:rtl/>
          <w:lang w:bidi="ar-EG"/>
        </w:rPr>
      </w:pPr>
      <w:r w:rsidRPr="00330B20">
        <w:rPr>
          <w:rFonts w:ascii="Sakkal Majalla" w:hAnsi="Sakkal Majalla" w:cs="Sakkal Majalla"/>
          <w:sz w:val="32"/>
          <w:szCs w:val="32"/>
          <w:rtl/>
          <w:lang w:bidi="ar-EG"/>
        </w:rPr>
        <w:t>ومن ثم تقتضي دراسة المسؤولية المدنية عن أفعال الذكاء الاصطناعي بيان أوجه الاختلاف بين المسؤولية العقدية والمسؤولية التقصيرية، وتحديد الحالات التي يطبق فيها كل منهما، وصولًا إلى تحديد الاتجاه الأكثر ملاءمة لتكييف المسؤولية الناشئة عن الأضرار التي تسببها الأنظمة الذكية</w:t>
      </w:r>
    </w:p>
    <w:p w14:paraId="4233772E" w14:textId="588D576F" w:rsidR="002936BF" w:rsidRPr="00014C48" w:rsidRDefault="002936BF" w:rsidP="00330B20">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الأول: أوجه الاختلاف بين المسؤولية العقدية والمسؤولية التقصيرية</w:t>
      </w:r>
      <w:r w:rsidR="00F11E7A">
        <w:rPr>
          <w:rFonts w:ascii="Sakkal Majalla" w:hAnsi="Sakkal Majalla" w:cs="Sakkal Majalla" w:hint="cs"/>
          <w:b/>
          <w:bCs/>
          <w:sz w:val="32"/>
          <w:szCs w:val="32"/>
          <w:rtl/>
          <w:lang w:bidi="ar-EG"/>
        </w:rPr>
        <w:t>.</w:t>
      </w:r>
    </w:p>
    <w:p w14:paraId="6D095308" w14:textId="288B5305"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على الرغم من أن المسؤولية العقدية والمسؤولية التقصيرية تشتركان في هدف واحد يتمثل في جبر الضرر وتعويض المضرور فإن بينهما اختلافات جوهرية تتعلق بمصدر الالتزام ونطاق المسؤولية وعبء الإثبات والتعويض والأشخاص الذين يحق لهم المطالبة به</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 xml:space="preserve">وتكتسب هذه التفرقة أهمية خاصة في مجال الذكاء </w:t>
      </w:r>
      <w:r w:rsidRPr="00F15A16">
        <w:rPr>
          <w:rFonts w:ascii="Sakkal Majalla" w:hAnsi="Sakkal Majalla" w:cs="Sakkal Majalla"/>
          <w:sz w:val="32"/>
          <w:szCs w:val="32"/>
          <w:rtl/>
          <w:lang w:bidi="ar-EG"/>
        </w:rPr>
        <w:lastRenderedPageBreak/>
        <w:t>الاصطناعي بسبب تعدد الأطراف المتدخلة في تصميم الأنظمة الذكية وتشغيلها واستخدامها، وتنوع الأضرار التي قد تنشأ عنها</w:t>
      </w:r>
      <w:r w:rsidR="007D5F1B">
        <w:rPr>
          <w:rStyle w:val="FootnoteReference"/>
          <w:rFonts w:ascii="Sakkal Majalla" w:hAnsi="Sakkal Majalla" w:cs="Sakkal Majalla"/>
          <w:sz w:val="32"/>
          <w:szCs w:val="32"/>
          <w:rtl/>
          <w:lang w:bidi="ar-EG"/>
        </w:rPr>
        <w:footnoteReference w:id="163"/>
      </w:r>
      <w:r w:rsidRPr="00F15A16">
        <w:rPr>
          <w:rFonts w:ascii="Sakkal Majalla" w:hAnsi="Sakkal Majalla" w:cs="Sakkal Majalla"/>
          <w:sz w:val="32"/>
          <w:szCs w:val="32"/>
          <w:rtl/>
          <w:lang w:bidi="ar-EG"/>
        </w:rPr>
        <w:t>.</w:t>
      </w:r>
    </w:p>
    <w:p w14:paraId="742306EA" w14:textId="0CAF20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ويتمثل أول أوجه الاختلاف في نطاق كل مسؤولية؛ فالمسؤولية العقدية تفترض وجود علاقة تعاقدية سابقة بين الطرفين، ويكون الضرر ناتجًا عن الإخلال بالتزام ناشئ عن العقد. أما المسؤولية التقصيرية فلا تتطلب وجود أي علاقة تعاقدية، وإنما تقوم متى ترتب على فعل غير مشروع ضرر للغير ويظهر ذلك في تطبيقات الذكاء الاصطناعي عندما يقتصر أثر الإخلال على أطراف العقد فتكون المسؤولية عقدية، بينما تتحول إلى مسؤولية تقصيرية إذا أصاب الضرر شخصًا أجنبيًا عن العلاقة التعاقدية</w:t>
      </w:r>
      <w:r w:rsidR="007D5F1B">
        <w:rPr>
          <w:rStyle w:val="FootnoteReference"/>
          <w:rFonts w:ascii="Sakkal Majalla" w:hAnsi="Sakkal Majalla" w:cs="Sakkal Majalla"/>
          <w:sz w:val="32"/>
          <w:szCs w:val="32"/>
          <w:rtl/>
          <w:lang w:bidi="ar-EG"/>
        </w:rPr>
        <w:footnoteReference w:id="164"/>
      </w:r>
      <w:r w:rsidRPr="00F15A16">
        <w:rPr>
          <w:rFonts w:ascii="Sakkal Majalla" w:hAnsi="Sakkal Majalla" w:cs="Sakkal Majalla"/>
          <w:sz w:val="32"/>
          <w:szCs w:val="32"/>
          <w:rtl/>
          <w:lang w:bidi="ar-EG"/>
        </w:rPr>
        <w:t>.</w:t>
      </w:r>
    </w:p>
    <w:p w14:paraId="20444BB8" w14:textId="2995C2E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مصدر الالتزام في كل منهما؛ ففي المسؤولية العقدية يكون مصدر الالتزام هو العقد ذاته وفقًا للمادة (41) من نظام المعاملات المدنية السعودي التي تقرر أن العقد شريعة المتعاقدين، بينما يستند الالتزام في المسؤولية التقصيرية إلى القانون مباشرة، استنادًا إلى المادة (120) التي تنص على أن: «كل خطأ سبب ضررًا للغير يلزم من ارتكبه بالتعويض»</w:t>
      </w:r>
      <w:r>
        <w:rPr>
          <w:rStyle w:val="FootnoteReference"/>
          <w:rFonts w:ascii="Sakkal Majalla" w:hAnsi="Sakkal Majalla" w:cs="Sakkal Majalla"/>
          <w:sz w:val="32"/>
          <w:szCs w:val="32"/>
          <w:rtl/>
          <w:lang w:bidi="ar-EG"/>
        </w:rPr>
        <w:footnoteReference w:id="165"/>
      </w:r>
      <w:r w:rsidRPr="00F15A16">
        <w:rPr>
          <w:rFonts w:ascii="Sakkal Majalla" w:hAnsi="Sakkal Majalla" w:cs="Sakkal Majalla"/>
          <w:sz w:val="32"/>
          <w:szCs w:val="32"/>
          <w:rtl/>
          <w:lang w:bidi="ar-EG"/>
        </w:rPr>
        <w:t>.</w:t>
      </w:r>
    </w:p>
    <w:p w14:paraId="29A66641" w14:textId="3D39628A"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ويظهر اختلاف مهم كذلك في عبء الإثبات، إذ يكفي في المسؤولية العقدية إثبات وجود العقد والإخلال به والضرر الناتج عنه، بينما يلتزم المضرور في المسؤولية التقصيرية بإثبات الخطأ والضرر والعلاقة السببية. وتزداد صعوبة ذلك في منازعات الذكاء الاصطناعي بسبب تعقيد الخوارزميات وصعوبة تحديد مصدر الخطأ أو تفسير القرارات الصادرة عن الأنظمة الذكية.</w:t>
      </w:r>
    </w:p>
    <w:p w14:paraId="72BFAFAC" w14:textId="04246D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lastRenderedPageBreak/>
        <w:t>أما من حيث نطاق التعويض، فإن التعويض في المسؤولية العقدية يقتصر في الأصل على الأضرار المباشرة والمتوقعة وقت التعاقد، في حين يمتد في المسؤولية التقصيرية ليشمل جميع الأضرار المباشرة المترتبة على الفعل الضار، سواء كانت متوقعة أم غير متوقعة. ولذلك يكون نطاق الحماية في المسؤولية التقصيرية أوسع، خاصة في حالات الأضرار الجسدية والرقمية والأدبية التي قد تنشأ عن تطبيقات الذكاء الاصطناعي</w:t>
      </w:r>
      <w:r w:rsidR="007D5F1B">
        <w:rPr>
          <w:rStyle w:val="FootnoteReference"/>
          <w:rFonts w:ascii="Sakkal Majalla" w:hAnsi="Sakkal Majalla" w:cs="Sakkal Majalla"/>
          <w:sz w:val="32"/>
          <w:szCs w:val="32"/>
          <w:rtl/>
          <w:lang w:bidi="ar-EG"/>
        </w:rPr>
        <w:footnoteReference w:id="166"/>
      </w:r>
      <w:r w:rsidRPr="00F15A16">
        <w:rPr>
          <w:rFonts w:ascii="Sakkal Majalla" w:hAnsi="Sakkal Majalla" w:cs="Sakkal Majalla"/>
          <w:sz w:val="32"/>
          <w:szCs w:val="32"/>
          <w:rtl/>
          <w:lang w:bidi="ar-EG"/>
        </w:rPr>
        <w:t>.</w:t>
      </w:r>
    </w:p>
    <w:p w14:paraId="3EC35A49" w14:textId="3803042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نطاق الأشخاص الذين يملكون حق المطالبة بالتعويض؛ ففي المسؤولية العقدية يقتصر هذا الحق على أطراف العقد وخلفهم القانوني، بينما يثبت في المسؤولية التقصيرية لكل من أصابه ضرر نتيجة الفعل غير المشروع</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وتبرز أهمية هذا الفارق في التطبيقات الذكية التي قد تمتد آثارها إلى عدد كبير من الأشخاص غير المرتبطين بأي علاقة تعاقدية مع منتج النظام أو مشغله</w:t>
      </w:r>
      <w:r w:rsidR="007D5F1B">
        <w:rPr>
          <w:rStyle w:val="FootnoteReference"/>
          <w:rFonts w:ascii="Sakkal Majalla" w:hAnsi="Sakkal Majalla" w:cs="Sakkal Majalla"/>
          <w:sz w:val="32"/>
          <w:szCs w:val="32"/>
          <w:rtl/>
          <w:lang w:bidi="ar-EG"/>
        </w:rPr>
        <w:footnoteReference w:id="167"/>
      </w:r>
      <w:r w:rsidRPr="00F15A16">
        <w:rPr>
          <w:rFonts w:ascii="Sakkal Majalla" w:hAnsi="Sakkal Majalla" w:cs="Sakkal Majalla"/>
          <w:sz w:val="32"/>
          <w:szCs w:val="32"/>
          <w:rtl/>
          <w:lang w:bidi="ar-EG"/>
        </w:rPr>
        <w:t>.</w:t>
      </w:r>
    </w:p>
    <w:p w14:paraId="1A6C9984" w14:textId="22F3170F" w:rsidR="002936BF" w:rsidRPr="002936BF"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ومن ثم يتضح أن التفرقة بين المسؤولية العقدية والمسؤولية التقصيرية ليست مسألة نظرية فحسب، بل يترتب عليها آثار عملية مهمة تتعلق بتحديد الأساس القانوني للمطالبة بالتعويض وعبء الإثبات ونطاق الحماية القانونية المقررة للمضرور في مجال الذكاء الاصطناعي.</w:t>
      </w:r>
      <w:r w:rsidR="002936BF" w:rsidRPr="002936BF">
        <w:rPr>
          <w:rFonts w:ascii="Sakkal Majalla" w:hAnsi="Sakkal Majalla" w:cs="Sakkal Majalla"/>
          <w:sz w:val="32"/>
          <w:szCs w:val="32"/>
          <w:rtl/>
          <w:lang w:bidi="ar-EG"/>
        </w:rPr>
        <w:t>.</w:t>
      </w:r>
    </w:p>
    <w:p w14:paraId="534A19A5" w14:textId="77777777" w:rsidR="002936BF" w:rsidRPr="00014C48" w:rsidRDefault="002936BF" w:rsidP="00422E37">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الثاني: المعيار القانوني لتحديد المسؤولية الواجبة التطبيق</w:t>
      </w:r>
    </w:p>
    <w:p w14:paraId="5D48CE30" w14:textId="096CF8E5"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يمثل تحديد نوع المسؤولية المدنية الواجبة التطبيق على الأضرار الناشئة عن أنظمة الذكاء الاصطناعي إحدى أكثر المسائل القانونية تعقيدًا في الوقت الحاضر، وذلك بسبب الطبيعة الخاصة لهذه الأنظمة وما يحيط بها من علاقات قانونية متشابكة تضم المطورين والمبرمجين والموردين ومزودي الخدمات والمشغلين والمستخدمين النهائيين ويترتب على تحديد نوع المسؤولية نتائج قانونية مهمة تتعلق بعبء الإثبات، ونطاق التعويض، </w:t>
      </w:r>
      <w:r w:rsidRPr="00014C48">
        <w:rPr>
          <w:rFonts w:ascii="Sakkal Majalla" w:hAnsi="Sakkal Majalla" w:cs="Sakkal Majalla"/>
          <w:sz w:val="32"/>
          <w:szCs w:val="32"/>
          <w:rtl/>
          <w:lang w:bidi="ar-EG"/>
        </w:rPr>
        <w:lastRenderedPageBreak/>
        <w:t>والأشخاص الذين يجوز الرجوع عليهم بالتعويض، ومن ثم فإن التكييف القانوني الصحيح للواقعة يمثل الخطوة الأولى للوصول إلى الحل القانوني المناسب</w:t>
      </w:r>
      <w:r w:rsidR="002162F9">
        <w:rPr>
          <w:rStyle w:val="FootnoteReference"/>
          <w:rFonts w:ascii="Sakkal Majalla" w:hAnsi="Sakkal Majalla" w:cs="Sakkal Majalla"/>
          <w:sz w:val="32"/>
          <w:szCs w:val="32"/>
          <w:rtl/>
          <w:lang w:bidi="ar-EG"/>
        </w:rPr>
        <w:footnoteReference w:id="168"/>
      </w:r>
      <w:r w:rsidRPr="00014C48">
        <w:rPr>
          <w:rFonts w:ascii="Sakkal Majalla" w:hAnsi="Sakkal Majalla" w:cs="Sakkal Majalla"/>
          <w:sz w:val="32"/>
          <w:szCs w:val="32"/>
          <w:rtl/>
          <w:lang w:bidi="ar-EG"/>
        </w:rPr>
        <w:t>.</w:t>
      </w:r>
    </w:p>
    <w:p w14:paraId="1E4F0F4A" w14:textId="56024F8C"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استقر الفقه القانوني على أن المعيار الأساسي للتفرقة بين المسؤولية العقدية والمسؤولية التقصيرية يتمثل في وجود أو عدم وجود رابطة تعاقدية بين المضرور والمسؤول عن الضرر. فإذا كان الضرر ناشئًا عن إخلال بالتزام مصدره عقد قائم بين الطرفين</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فإن المسؤولية تكون عقدية، أما إذا كان الضرر قد وقع خارج إطار العلاقة التعاقدية أو أصاب شخصًا لا تربطه أي علاقة تعاقدية بالمسؤول، فإن المسؤولية تكون تقصيرية</w:t>
      </w:r>
      <w:r w:rsidR="002162F9">
        <w:rPr>
          <w:rStyle w:val="FootnoteReference"/>
          <w:rFonts w:ascii="Sakkal Majalla" w:hAnsi="Sakkal Majalla" w:cs="Sakkal Majalla"/>
          <w:sz w:val="32"/>
          <w:szCs w:val="32"/>
          <w:rtl/>
          <w:lang w:bidi="ar-EG"/>
        </w:rPr>
        <w:footnoteReference w:id="169"/>
      </w:r>
      <w:r w:rsidRPr="00014C48">
        <w:rPr>
          <w:rFonts w:ascii="Sakkal Majalla" w:hAnsi="Sakkal Majalla" w:cs="Sakkal Majalla"/>
          <w:sz w:val="32"/>
          <w:szCs w:val="32"/>
          <w:rtl/>
          <w:lang w:bidi="ar-EG"/>
        </w:rPr>
        <w:t>.</w:t>
      </w:r>
    </w:p>
    <w:p w14:paraId="0E97BE4A" w14:textId="67FCE784"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وتكون المسؤولية عقدية في الحالات التي يرتبط فيها أطراف النزاع بعقد صحيح ويكون الضرر ناتجًا عن إخلال أحد المتعاقدين بالتزاماته الناشئة عن هذا العقد. وتكثر هذه الحالات في مجال الذكاء الاصطناعي نتيجة انتشار العقود التقنية الحديثة التي تنظم تطوير وتشغيل الأنظمة الذكية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أبرز الحالات التي تكون فيها المسؤولية عقدية</w:t>
      </w:r>
      <w:r w:rsidR="002162F9">
        <w:rPr>
          <w:rStyle w:val="FootnoteReference"/>
          <w:rFonts w:ascii="Sakkal Majalla" w:hAnsi="Sakkal Majalla" w:cs="Sakkal Majalla"/>
          <w:sz w:val="32"/>
          <w:szCs w:val="32"/>
          <w:rtl/>
          <w:lang w:bidi="ar-EG"/>
        </w:rPr>
        <w:footnoteReference w:id="170"/>
      </w:r>
      <w:r w:rsidRPr="00014C48">
        <w:rPr>
          <w:rFonts w:ascii="Sakkal Majalla" w:hAnsi="Sakkal Majalla" w:cs="Sakkal Majalla"/>
          <w:sz w:val="32"/>
          <w:szCs w:val="32"/>
          <w:rtl/>
          <w:lang w:bidi="ar-EG"/>
        </w:rPr>
        <w:t>:</w:t>
      </w:r>
    </w:p>
    <w:p w14:paraId="6E6BE230"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المطور بالتزامه بتصميم نظام ذكاء اصطناعي وفق المواصفات المتفق عليها.</w:t>
      </w:r>
    </w:p>
    <w:p w14:paraId="3BD14C51"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تسليم نظام معيب أو غير صالح لتحقيق الغرض المحدد في العقد.</w:t>
      </w:r>
    </w:p>
    <w:p w14:paraId="67698315"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المورد بالتزامه بتوفير النظام أو تحديثه أو صيانته.</w:t>
      </w:r>
    </w:p>
    <w:p w14:paraId="55D6BDA8"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مزود الخدمة بالتزاماته المتعلقة باستمرارية الخدمة أو حماية البيانات.</w:t>
      </w:r>
    </w:p>
    <w:p w14:paraId="2A36A7A1"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عدم الالتزام بمستويات الأداء المتفق عليها في العقود التقنية.</w:t>
      </w:r>
    </w:p>
    <w:p w14:paraId="0DC99DEA" w14:textId="77777777"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التأخر في تنفيذ المشروع أو تسليم النظام في الموعد المحدد.</w:t>
      </w:r>
    </w:p>
    <w:p w14:paraId="60A76CA6" w14:textId="2E0A61A6" w:rsidR="00014C48" w:rsidRPr="00F11E7A" w:rsidRDefault="00014C48" w:rsidP="00F11E7A">
      <w:pPr>
        <w:pStyle w:val="ListParagraph"/>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الإخلال بالتزامات السرية وحماية المعلومات الواردة في العقد.</w:t>
      </w:r>
    </w:p>
    <w:p w14:paraId="7127700A" w14:textId="2A2AF295" w:rsidR="00F11E7A" w:rsidRDefault="00014C48" w:rsidP="00F11E7A">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وفي هذه الحالات يكون مصدر الالتزام هو العقد ذاته، وتقوم المسؤولية استنادًا إلى أحكام العقد والقواعد العامة للمسؤولية العقدية المنصوص عليها في نظام المعاملات المدنية السعودي، وخاصة المادة (41) التي تقرر أن العقد شريعة المتعاقدين والمادة (107) التي توجب تنفيذ العقد وفقًا لمضمونه وبما يتفق مع مقتضيات حسن النية</w:t>
      </w:r>
      <w:r w:rsidR="008545C8">
        <w:rPr>
          <w:rFonts w:ascii="Sakkal Majalla" w:hAnsi="Sakkal Majalla" w:cs="Sakkal Majalla" w:hint="cs"/>
          <w:sz w:val="32"/>
          <w:szCs w:val="32"/>
          <w:rtl/>
          <w:lang w:bidi="ar-EG"/>
        </w:rPr>
        <w:t xml:space="preserve"> </w:t>
      </w:r>
      <w:r w:rsidR="008545C8">
        <w:rPr>
          <w:rStyle w:val="FootnoteReference"/>
          <w:rFonts w:ascii="Sakkal Majalla" w:hAnsi="Sakkal Majalla" w:cs="Sakkal Majalla"/>
          <w:sz w:val="32"/>
          <w:szCs w:val="32"/>
          <w:rtl/>
          <w:lang w:bidi="ar-EG"/>
        </w:rPr>
        <w:footnoteReference w:id="171"/>
      </w:r>
      <w:r w:rsidRPr="00014C48">
        <w:rPr>
          <w:rFonts w:ascii="Sakkal Majalla" w:hAnsi="Sakkal Majalla" w:cs="Sakkal Majalla"/>
          <w:sz w:val="32"/>
          <w:szCs w:val="32"/>
          <w:rtl/>
          <w:lang w:bidi="ar-EG"/>
        </w:rPr>
        <w:t>.</w:t>
      </w:r>
    </w:p>
    <w:p w14:paraId="77A1C044" w14:textId="37B29A9B"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أما المسؤولية التقصيرية فتكون واجبة التطبيق عندما لا توجد علاقة تعاقدية بين المضرور والمسؤول عن الضرر، أو عندما يكون الضرر ناشئًا عن الإخلال بالتزام قانوني عام يقضي بعدم الإضرار بالغير وتعد المسؤولية التقصيرية ذات أهمية كبيرة في مجال الذكاء الاصطناعي لأن العديد من الأضرار التي تسببها الأنظمة الذكية قد تصيب أشخاصًا من خارج العلاقة التعاقدية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أهم الحالات التي تكون فيها المسؤولية تقصيرية</w:t>
      </w:r>
      <w:r w:rsidR="002162F9">
        <w:rPr>
          <w:rStyle w:val="FootnoteReference"/>
          <w:rFonts w:ascii="Sakkal Majalla" w:hAnsi="Sakkal Majalla" w:cs="Sakkal Majalla"/>
          <w:sz w:val="32"/>
          <w:szCs w:val="32"/>
          <w:rtl/>
          <w:lang w:bidi="ar-EG"/>
        </w:rPr>
        <w:footnoteReference w:id="172"/>
      </w:r>
      <w:r w:rsidRPr="00014C48">
        <w:rPr>
          <w:rFonts w:ascii="Sakkal Majalla" w:hAnsi="Sakkal Majalla" w:cs="Sakkal Majalla"/>
          <w:sz w:val="32"/>
          <w:szCs w:val="32"/>
          <w:rtl/>
          <w:lang w:bidi="ar-EG"/>
        </w:rPr>
        <w:t>:</w:t>
      </w:r>
    </w:p>
    <w:p w14:paraId="1359DBA1"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إصابة شخص بضرر نتيجة تشغيل نظام ذكاء اصطناعي لا تربطه أي علاقة تعاقدية بمطوره أو منتجه.</w:t>
      </w:r>
    </w:p>
    <w:p w14:paraId="794B6AC1"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تسبب المركبات ذاتية القيادة في أضرار للغير.</w:t>
      </w:r>
    </w:p>
    <w:p w14:paraId="5D4B61F3"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أخطاء الأنظمة الطبية الذكية تجاه المرضى غير المتعاقدين مع مطوري النظام.</w:t>
      </w:r>
    </w:p>
    <w:p w14:paraId="2FF9A096"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تسرب البيانات الشخصية أو انتهاك الخصوصية بسبب خلل في النظام.</w:t>
      </w:r>
    </w:p>
    <w:p w14:paraId="16927742" w14:textId="77777777"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القرارات التمييزية أو الخاطئة للخوارزميات.</w:t>
      </w:r>
    </w:p>
    <w:p w14:paraId="6FD9C658" w14:textId="4501361A" w:rsidR="00014C48" w:rsidRPr="00F11E7A" w:rsidRDefault="00014C48" w:rsidP="00F11E7A">
      <w:pPr>
        <w:pStyle w:val="ListParagraph"/>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الأضرار التي تلحق بالأشخاص أو الممتلكات نتيجة سوء تشغيل الأنظمة الذكية</w:t>
      </w:r>
      <w:r w:rsidR="002162F9">
        <w:rPr>
          <w:rStyle w:val="FootnoteReference"/>
          <w:rFonts w:ascii="Sakkal Majalla" w:hAnsi="Sakkal Majalla" w:cs="Sakkal Majalla"/>
          <w:sz w:val="32"/>
          <w:szCs w:val="32"/>
          <w:rtl/>
          <w:lang w:bidi="ar-EG"/>
        </w:rPr>
        <w:footnoteReference w:id="173"/>
      </w:r>
      <w:r w:rsidRPr="00F11E7A">
        <w:rPr>
          <w:rFonts w:ascii="Sakkal Majalla" w:hAnsi="Sakkal Majalla" w:cs="Sakkal Majalla"/>
          <w:sz w:val="32"/>
          <w:szCs w:val="32"/>
          <w:rtl/>
          <w:lang w:bidi="ar-EG"/>
        </w:rPr>
        <w:t>.</w:t>
      </w:r>
    </w:p>
    <w:p w14:paraId="2A544A8F" w14:textId="1A47BD36"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وفي هذه الحالات تستند المسؤولية إلى المادة (120) من نظام المعاملات المدنية السعودي التي تنص على أن: «كل خطأ سبب ضررًا للغير يلزم من ارتكبه بالتعويض»، كما يمكن الاستناد في بعض التطبيقات إلى المادة (136) المتعلقة بالمسؤولية عن الأشياء التي تتطلب عناية خاصة.</w:t>
      </w:r>
    </w:p>
    <w:p w14:paraId="393E2476" w14:textId="23ED961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اختلف الفقه القانوني في تحديد المعيار الأدق للتفرقة بين المسؤوليتين في مجال الذكاء الاصطناعي. فهناك اتجاه فقهي تقليدي يتمسك بالمعيار الكلاسيكي القائم على وجود العقد أو عدم وجوده، ويرى أن هذا المعيار ما يزال صالحًا للتطبيق رغم التطورات التقنية الحديثة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ويستند هذا الاتجاه إلى أن قواعد المسؤولية المدنية التقليدية تتمتع بمرونة كافية تسمح باستيعاب الأضرار الناشئة عن الأنظمة الذكية دون الحاجة إلى استحداث قواعد قانونية جديدة</w:t>
      </w:r>
      <w:r w:rsidR="002162F9">
        <w:rPr>
          <w:rStyle w:val="FootnoteReference"/>
          <w:rFonts w:ascii="Sakkal Majalla" w:hAnsi="Sakkal Majalla" w:cs="Sakkal Majalla"/>
          <w:sz w:val="32"/>
          <w:szCs w:val="32"/>
          <w:rtl/>
          <w:lang w:bidi="ar-EG"/>
        </w:rPr>
        <w:footnoteReference w:id="174"/>
      </w:r>
      <w:r w:rsidRPr="00014C48">
        <w:rPr>
          <w:rFonts w:ascii="Sakkal Majalla" w:hAnsi="Sakkal Majalla" w:cs="Sakkal Majalla"/>
          <w:sz w:val="32"/>
          <w:szCs w:val="32"/>
          <w:rtl/>
          <w:lang w:bidi="ar-EG"/>
        </w:rPr>
        <w:t>.</w:t>
      </w:r>
    </w:p>
    <w:p w14:paraId="2BA55F3D" w14:textId="1E757565"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في المقابل</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يرى اتجاه فقهي حديث أن التطور المتسارع للذكاء الاصطناعي أدى إلى ظهور حالات يصعب فيها تطبيق التفرقة التقليدية بين المسؤولية العقدية والمسؤولية التقصيرية ويستند أصحاب هذا الاتجاه إلى أن الأضرار قد تنشأ نتيجة تفاعل عدة أطراف داخل منظومة تقنية واحدة، مما يجعل تحديد مصدر الالتزام أمرًا معقدًا، ويستدعي البحث عن نماذج قانونية جديدة تقوم على توزيع المسؤولية أو المسؤولية الموضوعية</w:t>
      </w:r>
      <w:r w:rsidR="002162F9">
        <w:rPr>
          <w:rStyle w:val="FootnoteReference"/>
          <w:rFonts w:ascii="Sakkal Majalla" w:hAnsi="Sakkal Majalla" w:cs="Sakkal Majalla"/>
          <w:sz w:val="32"/>
          <w:szCs w:val="32"/>
          <w:rtl/>
          <w:lang w:bidi="ar-EG"/>
        </w:rPr>
        <w:footnoteReference w:id="175"/>
      </w:r>
      <w:r w:rsidRPr="00014C48">
        <w:rPr>
          <w:rFonts w:ascii="Sakkal Majalla" w:hAnsi="Sakkal Majalla" w:cs="Sakkal Majalla"/>
          <w:sz w:val="32"/>
          <w:szCs w:val="32"/>
          <w:rtl/>
          <w:lang w:bidi="ar-EG"/>
        </w:rPr>
        <w:t>.</w:t>
      </w:r>
    </w:p>
    <w:p w14:paraId="6FCD504B" w14:textId="4B01E209"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ظهرت اتجاهات فقهية تدعو إلى توسيع نطاق المسؤولية التقصيرية في مجال الذكاء الاصطناعي، باعتبارها أكثر قدرة على حماية المضرورين، خاصة في الحالات التي يصعب فيها إثبات وجود علاقة تعاقدية أو تحديد الطرف المسؤول عن الضرر بصورة دقيقة.</w:t>
      </w:r>
    </w:p>
    <w:p w14:paraId="17C562E3" w14:textId="0F46B9B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lastRenderedPageBreak/>
        <w:t>أما من الناحية القضائية</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فما تزال التطبيقات القضائية الخاصة بالذكاء الاصطناعي في مراحلها الأولى في العديد من الأنظمة القانونية، إلا أن الاتجاه العام في القضاء المقارن يتجه نحو تطبيق القواعد التقليدية للمسؤولية المدنية مع تكييفها بما يتناسب مع الخصائص التقنية للأنظمة الذكية. وقد ظهر ذلك في العديد من الأحكام المتعلقة بالبرمجيات والأنظمة المؤتمتة، حيث ركز القضاء على تحديد الشخص الذي يملك السيطرة الفعلية على النظام أو الشخص الذي ساهم بخطئه في وقوع الضرر</w:t>
      </w:r>
      <w:r w:rsidR="002162F9">
        <w:rPr>
          <w:rStyle w:val="FootnoteReference"/>
          <w:rFonts w:ascii="Sakkal Majalla" w:hAnsi="Sakkal Majalla" w:cs="Sakkal Majalla"/>
          <w:sz w:val="32"/>
          <w:szCs w:val="32"/>
          <w:rtl/>
          <w:lang w:bidi="ar-EG"/>
        </w:rPr>
        <w:footnoteReference w:id="176"/>
      </w:r>
      <w:r w:rsidRPr="00014C48">
        <w:rPr>
          <w:rFonts w:ascii="Sakkal Majalla" w:hAnsi="Sakkal Majalla" w:cs="Sakkal Majalla"/>
          <w:sz w:val="32"/>
          <w:szCs w:val="32"/>
          <w:rtl/>
          <w:lang w:bidi="ar-EG"/>
        </w:rPr>
        <w:t>.</w:t>
      </w:r>
    </w:p>
    <w:p w14:paraId="6D2B6AC3" w14:textId="2F1C3951" w:rsidR="00014C48" w:rsidRPr="00D501B1"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تميل بعض الاتجاهات القضائية الحديثة إلى توزيع المسؤولية بين عدة أطراف عند تعذر تحديد مسؤول واحد عن الضرر، وخاصة في الحالات التي تتداخل فيها أدوار المطور والمبرمج والمورد والمشغل والمستخدم. ويهدف هذا الاتجاه إلى تحقيق حماية أكبر للمضرور وتجنب ضياع حقه في التعويض بسبب تعقيد البنية التقنية للأنظمة الذكية.</w:t>
      </w:r>
    </w:p>
    <w:p w14:paraId="153F68AF" w14:textId="44E26239" w:rsidR="00014C48" w:rsidRPr="00D501B1" w:rsidRDefault="00014C48" w:rsidP="00D501B1">
      <w:pPr>
        <w:bidi/>
        <w:spacing w:line="360" w:lineRule="auto"/>
        <w:jc w:val="lowKashida"/>
        <w:rPr>
          <w:rFonts w:ascii="Sakkal Majalla" w:hAnsi="Sakkal Majalla" w:cs="Sakkal Majalla"/>
          <w:sz w:val="32"/>
          <w:szCs w:val="32"/>
          <w:lang w:bidi="ar-EG"/>
        </w:rPr>
      </w:pPr>
      <w:r w:rsidRPr="00D501B1">
        <w:rPr>
          <w:rFonts w:ascii="Sakkal Majalla" w:hAnsi="Sakkal Majalla" w:cs="Sakkal Majalla"/>
          <w:b/>
          <w:bCs/>
          <w:sz w:val="32"/>
          <w:szCs w:val="32"/>
          <w:u w:val="single"/>
          <w:rtl/>
          <w:lang w:bidi="ar-EG"/>
        </w:rPr>
        <w:t>وفي تقدير الباحث فإن الرأي الراجح</w:t>
      </w:r>
      <w:r w:rsidRPr="00014C48">
        <w:rPr>
          <w:rFonts w:ascii="Sakkal Majalla" w:hAnsi="Sakkal Majalla" w:cs="Sakkal Majalla"/>
          <w:sz w:val="32"/>
          <w:szCs w:val="32"/>
          <w:rtl/>
          <w:lang w:bidi="ar-EG"/>
        </w:rPr>
        <w:t xml:space="preserve"> يتمثل في الاستمرار في تطبيق التفرقة التقليدية بين المسؤولية العقدية والمسؤولية التقصيرية مع مراعاة الخصوصية التقنية للذكاء الاصطناعي فالمعيار القائم على وجود العلاقة التعاقدية أو عدم وجودها ما يزال يمثل الأساس الأكثر وضوحًا واستقرارًا من الناحية القانونية، كما أنه يتفق مع المبادئ العامة للمسؤولية المدنية المقررة في نظام المعاملات المدنية السعودي.</w:t>
      </w:r>
    </w:p>
    <w:p w14:paraId="5753157C" w14:textId="3BDEFF72"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إلا أن هذا لا يمنع من تطوير آليات تطبيق هذه القواعد بما يتناسب مع طبيعة الأنظمة الذكية، خاصة فيما يتعلق بإثبات الخطأ والعلاقة السببية وتوزيع المسؤولية بين الأطراف المتدخلة في تشغيل النظام. كما أن الأخذ ببعض صور المسؤولية الموضوعية أو المسؤولية المشتركة قد يكون ضروريًا في بعض التطبيقات عالية </w:t>
      </w:r>
      <w:r w:rsidRPr="00014C48">
        <w:rPr>
          <w:rFonts w:ascii="Sakkal Majalla" w:hAnsi="Sakkal Majalla" w:cs="Sakkal Majalla"/>
          <w:sz w:val="32"/>
          <w:szCs w:val="32"/>
          <w:rtl/>
          <w:lang w:bidi="ar-EG"/>
        </w:rPr>
        <w:lastRenderedPageBreak/>
        <w:t>الخطورة، كالمركبات ذاتية القيادة والأنظمة الطبية الذكية، تحقيقًا للتوازن بين تشجيع الابتكار التقني وضمان الحماية الفعالة للمضرورين.</w:t>
      </w:r>
    </w:p>
    <w:p w14:paraId="6F9D8DF8" w14:textId="74FA90FA" w:rsidR="002936BF" w:rsidRDefault="00014C48" w:rsidP="00422E37">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وبناءً على ذلك فإن المسؤولية العقدية تظل الإطار القانوني المناسب للأضرار الناشئة عن الإخلال بالالتزامات التعاقدية في عقود الذكاء الاصطناعي، في حين تبقى المسؤولية التقصيرية الأداة القانونية الرئيسة لحماية الغير من الأضرار التي تقع خارج نطاق العلاقة التعاقدية، وهو ما يحقق التكامل بين النظامين ويوفر معالجة قانونية أكثر شمولًا للتحديات التي تفرضها تقنيات الذكاء الاصطناعي الحديثة</w:t>
      </w:r>
      <w:r w:rsidR="002936BF">
        <w:rPr>
          <w:rFonts w:ascii="Sakkal Majalla" w:hAnsi="Sakkal Majalla" w:cs="Sakkal Majalla" w:hint="cs"/>
          <w:sz w:val="32"/>
          <w:szCs w:val="32"/>
          <w:rtl/>
          <w:lang w:bidi="ar-EG"/>
        </w:rPr>
        <w:t>.</w:t>
      </w:r>
    </w:p>
    <w:p w14:paraId="3D5D56D8" w14:textId="77777777" w:rsidR="00D501B1" w:rsidRDefault="00D501B1">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4DF2074D" w14:textId="4B98BB7C" w:rsidR="0044569C" w:rsidRPr="00330B20" w:rsidRDefault="0044569C" w:rsidP="00E12D51">
      <w:pPr>
        <w:bidi/>
        <w:spacing w:line="360" w:lineRule="auto"/>
        <w:jc w:val="center"/>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lastRenderedPageBreak/>
        <w:t>المبحث الثالث: الأساس القانوني للمسؤولية (الاتجاهات الحديثة)</w:t>
      </w:r>
    </w:p>
    <w:p w14:paraId="239D01DC" w14:textId="17949443"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أدى التطور المتسارع لتقنيات الذكاء الاصطناعي إلى ظهور العديد من التحديات القانونية المرتبطة بالمسؤولية المدنية عن الأضرار الناشئة عن استخدام هذه الأنظمة فقد أصبحت الأنظمة الذكية قادرة على التعلم الذاتي وتحليل البيانات واتخاذ القرارات بدرجات متفاوتة من الاستقلالية الأمر الذي أثار تساؤلات حول مدى ملاءمة القواعد التقليدية للمسؤولية المدنية في مواجهة الأضرار التي قد تترتب على هذه التقنيات الحديثة</w:t>
      </w:r>
      <w:r w:rsidR="00F768CE">
        <w:rPr>
          <w:rStyle w:val="FootnoteReference"/>
          <w:rFonts w:ascii="Sakkal Majalla" w:hAnsi="Sakkal Majalla" w:cs="Sakkal Majalla"/>
          <w:sz w:val="32"/>
          <w:szCs w:val="32"/>
          <w:rtl/>
          <w:lang w:bidi="ar-EG"/>
        </w:rPr>
        <w:footnoteReference w:id="177"/>
      </w:r>
      <w:r w:rsidRPr="0034086B">
        <w:rPr>
          <w:rFonts w:ascii="Sakkal Majalla" w:hAnsi="Sakkal Majalla" w:cs="Sakkal Majalla"/>
          <w:sz w:val="32"/>
          <w:szCs w:val="32"/>
          <w:rtl/>
          <w:lang w:bidi="ar-EG"/>
        </w:rPr>
        <w:t>.</w:t>
      </w:r>
    </w:p>
    <w:p w14:paraId="64E3AE04" w14:textId="6D32D990"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وقد استقرت القواعد التقليدية للمسؤولية المدنية على أن الخطأ يمثل الأساس الرئيس للمساءلة القانونية، بحيث لا تقوم المسؤولية إلا إذا ثبت وجود خطأ أدى إلى وقوع ضرر للغير إلا أن تطبيق هذا الأساس في مجال الذكاء الاصطناعي يواجه عددًا من الصعوبات العملية في مقدمتها تعقيد الخوارزميات الحديثة وصعوبة تحديد مصدر الخطأ، فضلًا عن تعدد الأطراف المشاركة في تصميم الأنظمة الذكية وتطويرها وتشغيلها</w:t>
      </w:r>
      <w:r w:rsidR="00F768CE">
        <w:rPr>
          <w:rStyle w:val="FootnoteReference"/>
          <w:rFonts w:ascii="Sakkal Majalla" w:hAnsi="Sakkal Majalla" w:cs="Sakkal Majalla"/>
          <w:sz w:val="32"/>
          <w:szCs w:val="32"/>
          <w:rtl/>
          <w:lang w:bidi="ar-EG"/>
        </w:rPr>
        <w:footnoteReference w:id="178"/>
      </w:r>
      <w:r w:rsidRPr="0034086B">
        <w:rPr>
          <w:rFonts w:ascii="Sakkal Majalla" w:hAnsi="Sakkal Majalla" w:cs="Sakkal Majalla"/>
          <w:sz w:val="32"/>
          <w:szCs w:val="32"/>
          <w:rtl/>
          <w:lang w:bidi="ar-EG"/>
        </w:rPr>
        <w:t>.</w:t>
      </w:r>
    </w:p>
    <w:p w14:paraId="10D2F690" w14:textId="64ACB401"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وأمام هذه التحديات ظهرت اتجاهات فقهية حديثة تدعو إلى إعادة النظر في الأساس التقليدي للمسؤولية، والبحث عن نماذج قانونية أكثر ملاءمة لطبيعة الذكاء الاصطناعي ومن أبرزها المسؤولية الموضوعية القائمة على تحمل التبعة إلى جانب الاتجاهات التي تسعى إلى الجمع بين المسؤولية القائمة على الخطأ والمسؤولية الموضوعية بحسب طبيعة النشاط ومستوى المخاطر المرتبطة به.</w:t>
      </w:r>
    </w:p>
    <w:p w14:paraId="1CFF5BC7" w14:textId="2B4A542A" w:rsidR="00AD44D6" w:rsidRDefault="0034086B" w:rsidP="0034086B">
      <w:pPr>
        <w:bidi/>
        <w:spacing w:line="360" w:lineRule="auto"/>
        <w:jc w:val="lowKashida"/>
        <w:rPr>
          <w:rFonts w:ascii="Sakkal Majalla" w:hAnsi="Sakkal Majalla" w:cs="Sakkal Majalla"/>
          <w:sz w:val="32"/>
          <w:szCs w:val="32"/>
          <w:rtl/>
          <w:lang w:bidi="ar-EG"/>
        </w:rPr>
      </w:pPr>
      <w:r w:rsidRPr="0034086B">
        <w:rPr>
          <w:rFonts w:ascii="Sakkal Majalla" w:hAnsi="Sakkal Majalla" w:cs="Sakkal Majalla"/>
          <w:sz w:val="32"/>
          <w:szCs w:val="32"/>
          <w:rtl/>
          <w:lang w:bidi="ar-EG"/>
        </w:rPr>
        <w:t>وتزداد أهمية دراسة هذه الاتجاهات مع التوسع المتزايد في استخدام تطبيقات الذكاء الاصطناعي في مجالات حيوية كالرعاية الصحية والنقل والخدمات المالية والصناعة</w:t>
      </w:r>
      <w:r>
        <w:rPr>
          <w:rFonts w:ascii="Sakkal Majalla" w:hAnsi="Sakkal Majalla" w:cs="Sakkal Majalla" w:hint="cs"/>
          <w:sz w:val="32"/>
          <w:szCs w:val="32"/>
          <w:rtl/>
          <w:lang w:bidi="ar-EG"/>
        </w:rPr>
        <w:t xml:space="preserve"> </w:t>
      </w:r>
      <w:r w:rsidRPr="0034086B">
        <w:rPr>
          <w:rFonts w:ascii="Sakkal Majalla" w:hAnsi="Sakkal Majalla" w:cs="Sakkal Majalla"/>
          <w:sz w:val="32"/>
          <w:szCs w:val="32"/>
          <w:rtl/>
          <w:lang w:bidi="ar-EG"/>
        </w:rPr>
        <w:t xml:space="preserve">حيث قد تترتب على أخطاء الأنظمة الذكية أو </w:t>
      </w:r>
      <w:r w:rsidRPr="0034086B">
        <w:rPr>
          <w:rFonts w:ascii="Sakkal Majalla" w:hAnsi="Sakkal Majalla" w:cs="Sakkal Majalla"/>
          <w:sz w:val="32"/>
          <w:szCs w:val="32"/>
          <w:rtl/>
          <w:lang w:bidi="ar-EG"/>
        </w:rPr>
        <w:lastRenderedPageBreak/>
        <w:t>قراراتها أضرار تمس الأفراد والمؤسسات على حد سواء لذلك يتناول هذا المبحث الأسس القانونية الحديثة للمسؤولية المدنية عن أفعال الذكاء الاصطناعي، من خلال دراسة المسؤولية القائمة على الخطأ والمسؤولية الموضوعية، والاتجاهات الفقهية المعاصرة لتحديد الأساس القانوني الأكثر ملاءمة لهذه المسؤولية</w:t>
      </w:r>
      <w:r w:rsidR="00AD44D6" w:rsidRPr="00AD44D6">
        <w:rPr>
          <w:rFonts w:ascii="Sakkal Majalla" w:hAnsi="Sakkal Majalla" w:cs="Sakkal Majalla"/>
          <w:sz w:val="32"/>
          <w:szCs w:val="32"/>
          <w:rtl/>
          <w:lang w:bidi="ar-EG"/>
        </w:rPr>
        <w:t>.</w:t>
      </w:r>
    </w:p>
    <w:p w14:paraId="6E402651" w14:textId="23B2CA15" w:rsidR="00AD44D6" w:rsidRPr="00AD44D6" w:rsidRDefault="00AD44D6" w:rsidP="0034086B">
      <w:pPr>
        <w:bidi/>
        <w:spacing w:line="360" w:lineRule="auto"/>
        <w:jc w:val="lowKashida"/>
        <w:rPr>
          <w:rFonts w:ascii="Sakkal Majalla" w:hAnsi="Sakkal Majalla" w:cs="Sakkal Majalla"/>
          <w:b/>
          <w:bCs/>
          <w:sz w:val="32"/>
          <w:szCs w:val="32"/>
          <w:u w:val="single"/>
          <w:lang w:bidi="ar-EG"/>
        </w:rPr>
      </w:pPr>
      <w:r w:rsidRPr="00AD44D6">
        <w:rPr>
          <w:rFonts w:ascii="Sakkal Majalla" w:hAnsi="Sakkal Majalla" w:cs="Sakkal Majalla"/>
          <w:b/>
          <w:bCs/>
          <w:sz w:val="32"/>
          <w:szCs w:val="32"/>
          <w:u w:val="single"/>
          <w:rtl/>
          <w:lang w:bidi="ar-EG"/>
        </w:rPr>
        <w:t>المطلب الأول: المسؤولية القائمة على الخطأ كأساس للمسؤولية المدنية عن أفعال الذكاء الاصطناعي</w:t>
      </w:r>
    </w:p>
    <w:p w14:paraId="1C91936B" w14:textId="79839DD8" w:rsidR="00AA1E4D" w:rsidRPr="00AA1E4D" w:rsidRDefault="00AA1E4D" w:rsidP="00AA1E4D">
      <w:pPr>
        <w:bidi/>
        <w:spacing w:line="360" w:lineRule="auto"/>
        <w:jc w:val="lowKashida"/>
        <w:rPr>
          <w:rFonts w:ascii="Sakkal Majalla" w:hAnsi="Sakkal Majalla" w:cs="Sakkal Majalla"/>
          <w:sz w:val="32"/>
          <w:szCs w:val="32"/>
          <w:lang w:bidi="ar-EG"/>
        </w:rPr>
      </w:pPr>
      <w:r w:rsidRPr="00AA1E4D">
        <w:rPr>
          <w:rFonts w:ascii="Sakkal Majalla" w:hAnsi="Sakkal Majalla" w:cs="Sakkal Majalla"/>
          <w:sz w:val="32"/>
          <w:szCs w:val="32"/>
          <w:rtl/>
          <w:lang w:bidi="ar-EG"/>
        </w:rPr>
        <w:t>تعد المسؤولية القائمة على الخطأ الأساس التقليدي للمسؤولية المدنية في معظم الأنظمة القانونية، حيث تقوم على فكرة أن التعويض لا يستحق إلا إذا ثبت وجود خطأ أدى إلى إلحاق ضرر بالغير وقد شكلت هذه النظرية الإطار القانوني الرئيس لمعالجة الأضرار المدنية لارتباطها بمبدأ العدالة الذي يقضي بعدم مساءلة الشخص إلا عن الأضرار الناتجة عن خطئه</w:t>
      </w:r>
      <w:r w:rsidR="00F768CE">
        <w:rPr>
          <w:rStyle w:val="FootnoteReference"/>
          <w:rFonts w:ascii="Sakkal Majalla" w:hAnsi="Sakkal Majalla" w:cs="Sakkal Majalla"/>
          <w:sz w:val="32"/>
          <w:szCs w:val="32"/>
          <w:rtl/>
          <w:lang w:bidi="ar-EG"/>
        </w:rPr>
        <w:footnoteReference w:id="179"/>
      </w:r>
      <w:r w:rsidRPr="00AA1E4D">
        <w:rPr>
          <w:rFonts w:ascii="Sakkal Majalla" w:hAnsi="Sakkal Majalla" w:cs="Sakkal Majalla"/>
          <w:sz w:val="32"/>
          <w:szCs w:val="32"/>
          <w:rtl/>
          <w:lang w:bidi="ar-EG"/>
        </w:rPr>
        <w:t>.</w:t>
      </w:r>
    </w:p>
    <w:p w14:paraId="0DF37264" w14:textId="0532F9A9" w:rsidR="00AA1E4D" w:rsidRDefault="00AA1E4D" w:rsidP="00AA1E4D">
      <w:pPr>
        <w:bidi/>
        <w:spacing w:line="360" w:lineRule="auto"/>
        <w:jc w:val="lowKashida"/>
        <w:rPr>
          <w:rFonts w:ascii="Sakkal Majalla" w:hAnsi="Sakkal Majalla" w:cs="Sakkal Majalla"/>
          <w:sz w:val="32"/>
          <w:szCs w:val="32"/>
          <w:rtl/>
          <w:lang w:bidi="ar-EG"/>
        </w:rPr>
      </w:pPr>
      <w:r w:rsidRPr="00AA1E4D">
        <w:rPr>
          <w:rFonts w:ascii="Sakkal Majalla" w:hAnsi="Sakkal Majalla" w:cs="Sakkal Majalla"/>
          <w:sz w:val="32"/>
          <w:szCs w:val="32"/>
          <w:rtl/>
          <w:lang w:bidi="ar-EG"/>
        </w:rPr>
        <w:t>إلا أن ظهور أنظمة الذكاء الاصطناعي وما تتمتع به من قدرات على التعلم الذاتي واتخاذ القرارات بصورة معقدة أثار تساؤلات حول مدى ملاءمة نظرية الخطأ التقليدية لمواجهة الأضرار الناشئة عنها، خاصة في ظل صعوبة تحديد مصدر الخطأ وإثباته في بعض التطبيقات الذكية ومن ثم تبرز أهمية دراسة مفهوم الخطأ ومدى إمكانية تطبيقه في بيئة الذكاء الاصطناعي، مع بيان أبرز التحديات التي تواجه إثباته كأساس للمسؤولية المدنية.</w:t>
      </w:r>
    </w:p>
    <w:p w14:paraId="2E0ADCB9" w14:textId="5098B8B9" w:rsidR="00AD44D6" w:rsidRPr="00AD44D6" w:rsidRDefault="00AD44D6" w:rsidP="00AA1E4D">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الأول: مفهوم الخطأ في مجال المسؤولية المدنية</w:t>
      </w:r>
      <w:r>
        <w:rPr>
          <w:rFonts w:ascii="Sakkal Majalla" w:hAnsi="Sakkal Majalla" w:cs="Sakkal Majalla" w:hint="cs"/>
          <w:b/>
          <w:bCs/>
          <w:sz w:val="32"/>
          <w:szCs w:val="32"/>
          <w:rtl/>
          <w:lang w:bidi="ar-EG"/>
        </w:rPr>
        <w:t>.</w:t>
      </w:r>
    </w:p>
    <w:p w14:paraId="50CEDBA9" w14:textId="41CAFD27"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يعد الخطأ الركن الأساسي الذي تقوم عليه المسؤولية المدنية التقليدية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إذ لا يكفي مجرد وقوع الضرر لقيام المسؤولية بل يجب أن يكون هذا الضرر نتيجة سلوك غير مشروع يمكن نسبته إلى شخص معين</w:t>
      </w:r>
      <w:r w:rsidR="00F768CE">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 وقد ارتبطت </w:t>
      </w:r>
      <w:r w:rsidRPr="00AD44D6">
        <w:rPr>
          <w:rFonts w:ascii="Sakkal Majalla" w:hAnsi="Sakkal Majalla" w:cs="Sakkal Majalla"/>
          <w:sz w:val="32"/>
          <w:szCs w:val="32"/>
          <w:rtl/>
          <w:lang w:bidi="ar-EG"/>
        </w:rPr>
        <w:lastRenderedPageBreak/>
        <w:t>فكرة الخطأ منذ نشأة المسؤولية المدنية بمبدأ العدالة الذي يقضي بعدم إلزام الشخص بتحمل تبعة فعل لم يسهم فيه أو لم يكن له دور في حدوثه ولذلك احتل الخطأ مكانة محورية في الفقه القانوني باعتباره الأساس الذي تبنى عليه أغلب صور المسؤولية المدنية</w:t>
      </w:r>
      <w:r w:rsidR="00F768CE">
        <w:rPr>
          <w:rStyle w:val="FootnoteReference"/>
          <w:rFonts w:ascii="Sakkal Majalla" w:hAnsi="Sakkal Majalla" w:cs="Sakkal Majalla"/>
          <w:sz w:val="32"/>
          <w:szCs w:val="32"/>
          <w:rtl/>
          <w:lang w:bidi="ar-EG"/>
        </w:rPr>
        <w:footnoteReference w:id="180"/>
      </w:r>
      <w:r w:rsidRPr="00AD44D6">
        <w:rPr>
          <w:rFonts w:ascii="Sakkal Majalla" w:hAnsi="Sakkal Majalla" w:cs="Sakkal Majalla"/>
          <w:sz w:val="32"/>
          <w:szCs w:val="32"/>
          <w:rtl/>
          <w:lang w:bidi="ar-EG"/>
        </w:rPr>
        <w:t>.</w:t>
      </w:r>
    </w:p>
    <w:p w14:paraId="35615170" w14:textId="2114112E"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اختلف الفقه في تعريف الخطأ، إلا أن الاتجاه الغالب يذهب إلى أنه انحراف الشخص في سلوكه عن السلوك المألوف الذي يلتزم به الشخص المعتاد الموجود في الظروف ذاتها، بما يترتب عليه إلحاق ضرر بالغير. فالخطأ لا يقاس بالنوايا أو المقاصد الشخصية وحدها وإنما يقاس بمدى مخالفة السلوك للواجب القانوني العام الذي يفرض على كل شخص احترام حقوق الآخرين وعدم الإضرار بهم.</w:t>
      </w:r>
    </w:p>
    <w:p w14:paraId="0C969AAD" w14:textId="3D1F9296"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أما في الفقه الإسلامي فإن فكرة الخطأ ترتبط بمفهوم التعدي أو التقصير، حيث تقوم المسؤولية كلما تجاوز الشخص الحدود المشروعة في تصرفاته أو قصر في أداء الواجب المفروض عليه شرعًا أو نظامًا</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استند الفقه الإسلامي في ذلك إلى قواعد عامة مستقرة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من أبرزها قاعدة «الضرر يزال» وقاعدة «من تسبب في ضرر لزمه الضمان» وهي المبادئ التي شكلت الأساس الذي استندت إليه التشريعات المدنية الحديثة في تقرير المسؤولية عن الأفعال الضارة</w:t>
      </w:r>
      <w:r w:rsidR="00F768CE">
        <w:rPr>
          <w:rStyle w:val="FootnoteReference"/>
          <w:rFonts w:ascii="Sakkal Majalla" w:hAnsi="Sakkal Majalla" w:cs="Sakkal Majalla"/>
          <w:sz w:val="32"/>
          <w:szCs w:val="32"/>
          <w:rtl/>
          <w:lang w:bidi="ar-EG"/>
        </w:rPr>
        <w:footnoteReference w:id="181"/>
      </w:r>
      <w:r w:rsidRPr="00AD44D6">
        <w:rPr>
          <w:rFonts w:ascii="Sakkal Majalla" w:hAnsi="Sakkal Majalla" w:cs="Sakkal Majalla"/>
          <w:sz w:val="32"/>
          <w:szCs w:val="32"/>
          <w:rtl/>
          <w:lang w:bidi="ar-EG"/>
        </w:rPr>
        <w:t>.</w:t>
      </w:r>
    </w:p>
    <w:p w14:paraId="2AAD1904" w14:textId="43AFA86F" w:rsidR="00AD44D6" w:rsidRPr="00F73CA3"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وقد أخذ المنظم السعودي بمبدأ المسؤولية القائمة على الخطأ في نظام المعاملات المدنية، حيث نصت المادة (120) على أن: «كل خطأ سبب ضررًا للغير يلزم من ارتكبه بالتعويض» ويستفاد من هذا النص أن مجرد وقوع </w:t>
      </w:r>
      <w:r w:rsidRPr="00AD44D6">
        <w:rPr>
          <w:rFonts w:ascii="Sakkal Majalla" w:hAnsi="Sakkal Majalla" w:cs="Sakkal Majalla"/>
          <w:sz w:val="32"/>
          <w:szCs w:val="32"/>
          <w:rtl/>
          <w:lang w:bidi="ar-EG"/>
        </w:rPr>
        <w:lastRenderedPageBreak/>
        <w:t>الضرر لا يكفي للحكم بالتعويض وإنما يجب أن يثبت وجود خطأ منسوب إلى المسؤول وأن يكون هذا الخطأ هو السبب في وقوع الضرر</w:t>
      </w:r>
      <w:r w:rsidR="00F768CE">
        <w:rPr>
          <w:rStyle w:val="FootnoteReference"/>
          <w:rFonts w:ascii="Sakkal Majalla" w:hAnsi="Sakkal Majalla" w:cs="Sakkal Majalla"/>
          <w:sz w:val="32"/>
          <w:szCs w:val="32"/>
          <w:rtl/>
          <w:lang w:bidi="ar-EG"/>
        </w:rPr>
        <w:footnoteReference w:id="182"/>
      </w:r>
      <w:r w:rsidRPr="00AD44D6">
        <w:rPr>
          <w:rFonts w:ascii="Sakkal Majalla" w:hAnsi="Sakkal Majalla" w:cs="Sakkal Majalla"/>
          <w:sz w:val="32"/>
          <w:szCs w:val="32"/>
          <w:rtl/>
          <w:lang w:bidi="ar-EG"/>
        </w:rPr>
        <w:t>.</w:t>
      </w:r>
    </w:p>
    <w:p w14:paraId="6219FA8A" w14:textId="23849E2F"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ويتكون الخطأ في الفقه القانوني من عنصرين رئيسين:</w:t>
      </w:r>
    </w:p>
    <w:p w14:paraId="660756D5" w14:textId="77777777" w:rsidR="00F73CA3" w:rsidRDefault="00AD44D6" w:rsidP="00F73CA3">
      <w:pPr>
        <w:pStyle w:val="ListParagraph"/>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المادي</w:t>
      </w:r>
      <w:r w:rsidRPr="00F73CA3">
        <w:rPr>
          <w:rFonts w:ascii="Sakkal Majalla" w:hAnsi="Sakkal Majalla" w:cs="Sakkal Majalla"/>
          <w:sz w:val="32"/>
          <w:szCs w:val="32"/>
          <w:rtl/>
          <w:lang w:bidi="ar-EG"/>
        </w:rPr>
        <w:t>: ويتمثل في السلوك أو التصرف الخارجي الذي صدر من الشخص، سواء كان فعلًا إيجابيًا أو امتناعًا عن القيام بواجب قانوني.</w:t>
      </w:r>
    </w:p>
    <w:p w14:paraId="1B973299" w14:textId="34B02EFC" w:rsidR="00AD44D6" w:rsidRPr="00F73CA3" w:rsidRDefault="00AD44D6" w:rsidP="00F73CA3">
      <w:pPr>
        <w:pStyle w:val="ListParagraph"/>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المعنوي:</w:t>
      </w:r>
      <w:r w:rsidRPr="00F73CA3">
        <w:rPr>
          <w:rFonts w:ascii="Sakkal Majalla" w:hAnsi="Sakkal Majalla" w:cs="Sakkal Majalla"/>
          <w:sz w:val="32"/>
          <w:szCs w:val="32"/>
          <w:rtl/>
          <w:lang w:bidi="ar-EG"/>
        </w:rPr>
        <w:t xml:space="preserve"> ويتمثل في الإدراك أو التمييز الذي يسمح بنسبة السلوك إلى فاعله وتحميله المسؤولية القانونية عنه.</w:t>
      </w:r>
    </w:p>
    <w:p w14:paraId="3B0EA141" w14:textId="44DD91BA" w:rsidR="00AD44D6" w:rsidRPr="00E12D51"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تنوعت صور الخطأ المدني في الفقه والقانون تبعًا لدرجة جسامته وطبيعته، ويمكن تقسيمه إلى عدة أنواع رئيسة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فمن حيث جسامة الخطأ، ينقسم إلى</w:t>
      </w:r>
      <w:r w:rsidR="00F768CE">
        <w:rPr>
          <w:rStyle w:val="FootnoteReference"/>
          <w:rFonts w:ascii="Sakkal Majalla" w:hAnsi="Sakkal Majalla" w:cs="Sakkal Majalla"/>
          <w:sz w:val="32"/>
          <w:szCs w:val="32"/>
          <w:rtl/>
          <w:lang w:bidi="ar-EG"/>
        </w:rPr>
        <w:footnoteReference w:id="183"/>
      </w:r>
      <w:r w:rsidRPr="00AD44D6">
        <w:rPr>
          <w:rFonts w:ascii="Sakkal Majalla" w:hAnsi="Sakkal Majalla" w:cs="Sakkal Majalla"/>
          <w:sz w:val="32"/>
          <w:szCs w:val="32"/>
          <w:rtl/>
          <w:lang w:bidi="ar-EG"/>
        </w:rPr>
        <w:t>:</w:t>
      </w:r>
    </w:p>
    <w:p w14:paraId="0CE263F2" w14:textId="77777777" w:rsid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الجسيم:</w:t>
      </w:r>
      <w:r w:rsidRPr="00F73CA3">
        <w:rPr>
          <w:rFonts w:ascii="Sakkal Majalla" w:hAnsi="Sakkal Majalla" w:cs="Sakkal Majalla"/>
          <w:sz w:val="32"/>
          <w:szCs w:val="32"/>
          <w:rtl/>
          <w:lang w:bidi="ar-EG"/>
        </w:rPr>
        <w:t xml:space="preserve"> وهو الخطأ الذي ينطوي على قدر كبير من الإهمال أو الرعونة أو عدم الاحتياط بصورة لا يقع فيها الشخص المعتاد.</w:t>
      </w:r>
    </w:p>
    <w:p w14:paraId="26EA824F" w14:textId="6BBF5FEE" w:rsidR="00AD44D6" w:rsidRP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اليسير:</w:t>
      </w:r>
      <w:r w:rsidRPr="00F73CA3">
        <w:rPr>
          <w:rFonts w:ascii="Sakkal Majalla" w:hAnsi="Sakkal Majalla" w:cs="Sakkal Majalla"/>
          <w:sz w:val="32"/>
          <w:szCs w:val="32"/>
          <w:rtl/>
          <w:lang w:bidi="ar-EG"/>
        </w:rPr>
        <w:t xml:space="preserve"> وهو الانحراف البسيط عن السلوك المألوف للشخص المعتاد.</w:t>
      </w:r>
    </w:p>
    <w:p w14:paraId="5313761F" w14:textId="335277C7"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ويترتب على التفرقة بين الخطأ الجسيم والخطأ اليسير آثار قانونية مهمة خاصة فيما يتعلق بالاتفاقات الخاصة بالإعفاء أو الحد من المسؤولية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وتقدير التعويض المستحق للمضرور</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ومن حيث قصد الإضرار، ينقسم الخطأ إلى</w:t>
      </w:r>
      <w:r w:rsidR="00F768CE">
        <w:rPr>
          <w:rStyle w:val="FootnoteReference"/>
          <w:rFonts w:ascii="Sakkal Majalla" w:hAnsi="Sakkal Majalla" w:cs="Sakkal Majalla"/>
          <w:sz w:val="32"/>
          <w:szCs w:val="32"/>
          <w:rtl/>
          <w:lang w:bidi="ar-EG"/>
        </w:rPr>
        <w:footnoteReference w:id="184"/>
      </w:r>
      <w:r w:rsidRPr="00AD44D6">
        <w:rPr>
          <w:rFonts w:ascii="Sakkal Majalla" w:hAnsi="Sakkal Majalla" w:cs="Sakkal Majalla"/>
          <w:sz w:val="32"/>
          <w:szCs w:val="32"/>
          <w:rtl/>
          <w:lang w:bidi="ar-EG"/>
        </w:rPr>
        <w:t>:</w:t>
      </w:r>
    </w:p>
    <w:p w14:paraId="1AC87B16" w14:textId="77777777" w:rsid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lastRenderedPageBreak/>
        <w:t>الخطأ العمدي</w:t>
      </w:r>
      <w:r w:rsidRPr="00F73CA3">
        <w:rPr>
          <w:rFonts w:ascii="Sakkal Majalla" w:hAnsi="Sakkal Majalla" w:cs="Sakkal Majalla"/>
          <w:sz w:val="32"/>
          <w:szCs w:val="32"/>
          <w:rtl/>
          <w:lang w:bidi="ar-EG"/>
        </w:rPr>
        <w:t>: ويقع عندما تتجه إرادة الشخص إلى إحداث الضرر أو يكون عالمًا بالنتائج الضارة المترتبة على فعله.</w:t>
      </w:r>
    </w:p>
    <w:p w14:paraId="1EDCEF99" w14:textId="666D320E" w:rsidR="00AD44D6" w:rsidRPr="00F73CA3" w:rsidRDefault="00AD44D6" w:rsidP="00F73CA3">
      <w:pPr>
        <w:pStyle w:val="ListParagraph"/>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غير العمدي:</w:t>
      </w:r>
      <w:r w:rsidRPr="00F73CA3">
        <w:rPr>
          <w:rFonts w:ascii="Sakkal Majalla" w:hAnsi="Sakkal Majalla" w:cs="Sakkal Majalla"/>
          <w:sz w:val="32"/>
          <w:szCs w:val="32"/>
          <w:rtl/>
          <w:lang w:bidi="ar-EG"/>
        </w:rPr>
        <w:t xml:space="preserve"> ويقع نتيجة الإهمال أو قلة الاحتياط أو الرعونة أو عدم مراعاة الأنظمة والتعليمات دون وجود نية للإضرار بالغير.</w:t>
      </w:r>
    </w:p>
    <w:p w14:paraId="6E99D650" w14:textId="5D5B2278" w:rsidR="00330B20" w:rsidRDefault="00AD44D6" w:rsidP="00330B20">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كما قد يتمثل الخطأ في صورة فعل إيجابي كإجراء عمل غير مشروع، أو في صورة امتناع عن القيام بواجب يفرضه القانون أو العقد أو طبيعة النشاط الذي يمارسه الشخص</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ويعد معيار تقدير الخطأ من المسائل الجوهرية في المسؤولية المدنية</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ثار خلاف فقهي حول ما إذا كان ينبغي الاعتماد على معيار شخصي يراعي الظروف الخاصة بمرتكب الخطأ أم معيار موضوعي يستند إلى سلوك الشخص المعتاد. إلا أن الاتجاه الغالب في الفقه والقضاء استقر على الأخذ بالمعيار الموضوعي، وذلك تحقيقًا للاستقرار القانوني والمساواة بين الأفراد</w:t>
      </w:r>
      <w:r w:rsidR="00F768CE">
        <w:rPr>
          <w:rStyle w:val="FootnoteReference"/>
          <w:rFonts w:ascii="Sakkal Majalla" w:hAnsi="Sakkal Majalla" w:cs="Sakkal Majalla"/>
          <w:sz w:val="32"/>
          <w:szCs w:val="32"/>
          <w:rtl/>
          <w:lang w:bidi="ar-EG"/>
        </w:rPr>
        <w:footnoteReference w:id="185"/>
      </w:r>
      <w:r w:rsidRPr="00AD44D6">
        <w:rPr>
          <w:rFonts w:ascii="Sakkal Majalla" w:hAnsi="Sakkal Majalla" w:cs="Sakkal Majalla"/>
          <w:sz w:val="32"/>
          <w:szCs w:val="32"/>
          <w:rtl/>
          <w:lang w:bidi="ar-EG"/>
        </w:rPr>
        <w:t>.</w:t>
      </w:r>
    </w:p>
    <w:p w14:paraId="47A369DC" w14:textId="61ED7B23" w:rsidR="00AD44D6" w:rsidRPr="00AD44D6" w:rsidRDefault="00AD44D6" w:rsidP="00330B20">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ويقوم المعيار الموضوعي على مقارنة سلوك الشخص محل المساءلة بسلوك شخص معتاد يوجد في الظروف ذاتها ويتمتع بقدر معقول من الحيطة والحذر والخبرة. فإذا تبين أن الشخص قد انحرف عن هذا السلوك المألوف عُدَّ مخطئًا قانونًا بصرف النظر عن ظروفه الشخصية أو قدراته الفردية.</w:t>
      </w:r>
    </w:p>
    <w:p w14:paraId="05452A62" w14:textId="3380FFB4"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وتزداد أهمية هذا المعيار في المجالات التقنية والمهنية المتخصصة حيث يقاس السلوك بسلوك المهني المعتاد في ذات التخصص فخطأ الطبيب يقاس بسلوك الطبيب المعتاد وخطأ المهندس يقاس بسلوك المهندس المعتاد، وخطأ المبرمج أو مطور الأنظمة الذكية يقاس بما يتوقع من متخصص في هذا المجال من حرص وكفاءة فنية</w:t>
      </w:r>
      <w:r w:rsidR="00F768CE">
        <w:rPr>
          <w:rStyle w:val="FootnoteReference"/>
          <w:rFonts w:ascii="Sakkal Majalla" w:hAnsi="Sakkal Majalla" w:cs="Sakkal Majalla"/>
          <w:sz w:val="32"/>
          <w:szCs w:val="32"/>
          <w:rtl/>
          <w:lang w:bidi="ar-EG"/>
        </w:rPr>
        <w:footnoteReference w:id="186"/>
      </w:r>
      <w:r w:rsidRPr="00AD44D6">
        <w:rPr>
          <w:rFonts w:ascii="Sakkal Majalla" w:hAnsi="Sakkal Majalla" w:cs="Sakkal Majalla"/>
          <w:sz w:val="32"/>
          <w:szCs w:val="32"/>
          <w:rtl/>
          <w:lang w:bidi="ar-EG"/>
        </w:rPr>
        <w:t>.</w:t>
      </w:r>
    </w:p>
    <w:p w14:paraId="78B480BB" w14:textId="6E746FE9"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lastRenderedPageBreak/>
        <w:t>وفي بيئة الذكاء الاصطناعي يكتسب مفهوم الخطأ أبعادًا جديدة تختلف عن صور الخطأ التقليدية فالأضرار الناشئة عن الأنظمة الذكية قد لا تكون نتيجة مباشرة لسلوك بشري ظاهر</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بل قد تنتج عن عمليات معقدة تتعلق بتصميم الخوارزميات أو تدريب النماذج أو معالجة البيانات أو تشغيل النظام في بيئة معينة. ولذلك يثور التساؤل حول الشخص الذي يمكن نسبة الخطأ إليه في مثل هذه الحالات</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يظهر الخطأ في مجال الذكاء الاصطناعي في عدة صور، من أبرزها</w:t>
      </w:r>
      <w:r w:rsidR="00F768CE">
        <w:rPr>
          <w:rStyle w:val="FootnoteReference"/>
          <w:rFonts w:ascii="Sakkal Majalla" w:hAnsi="Sakkal Majalla" w:cs="Sakkal Majalla"/>
          <w:sz w:val="32"/>
          <w:szCs w:val="32"/>
          <w:rtl/>
          <w:lang w:bidi="ar-EG"/>
        </w:rPr>
        <w:footnoteReference w:id="187"/>
      </w:r>
      <w:r w:rsidRPr="00AD44D6">
        <w:rPr>
          <w:rFonts w:ascii="Sakkal Majalla" w:hAnsi="Sakkal Majalla" w:cs="Sakkal Majalla"/>
          <w:sz w:val="32"/>
          <w:szCs w:val="32"/>
          <w:rtl/>
          <w:lang w:bidi="ar-EG"/>
        </w:rPr>
        <w:t>:</w:t>
      </w:r>
    </w:p>
    <w:p w14:paraId="3FBB7547"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تصميم خوارزمية معيبة تؤدي إلى نتائج غير دقيقة أو غير عادلة.</w:t>
      </w:r>
    </w:p>
    <w:p w14:paraId="158EFBA3"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تدريب النظام على بيانات ناقصة أو متحيزة تؤدي إلى قرارات تمييزية أو غير صحيحة.</w:t>
      </w:r>
    </w:p>
    <w:p w14:paraId="295863B3"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إهمال اختبار النظام قبل تشغيله بصورة فعلية.</w:t>
      </w:r>
    </w:p>
    <w:p w14:paraId="3EF58871"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عدم تحديث النظام لمعالجة الثغرات الأمنية أو الأخطاء المكتشفة.</w:t>
      </w:r>
    </w:p>
    <w:p w14:paraId="6C803CA7" w14:textId="77777777"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تشغيل النظام في بيئة غير مناسبة أو دون توفير الرقابة اللازمة.</w:t>
      </w:r>
    </w:p>
    <w:p w14:paraId="63A1DA87" w14:textId="77777777" w:rsid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تجاهل التحذيرات الفنية المتعلقة بأداء النظام أو مخاطره المحتملة.</w:t>
      </w:r>
    </w:p>
    <w:p w14:paraId="39DE34CD" w14:textId="10B38658" w:rsidR="00AD44D6" w:rsidRPr="00EE7AED" w:rsidRDefault="00AD44D6" w:rsidP="00EE7AED">
      <w:pPr>
        <w:pStyle w:val="ListParagraph"/>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الإخلال بالمعايير المهنية المعتمدة في تطوير وتشغيل الأنظمة الذكية</w:t>
      </w:r>
      <w:r w:rsidR="00F768CE">
        <w:rPr>
          <w:rStyle w:val="FootnoteReference"/>
          <w:rFonts w:ascii="Sakkal Majalla" w:hAnsi="Sakkal Majalla" w:cs="Sakkal Majalla"/>
          <w:sz w:val="32"/>
          <w:szCs w:val="32"/>
          <w:rtl/>
          <w:lang w:bidi="ar-EG"/>
        </w:rPr>
        <w:footnoteReference w:id="188"/>
      </w:r>
      <w:r w:rsidRPr="00EE7AED">
        <w:rPr>
          <w:rFonts w:ascii="Sakkal Majalla" w:hAnsi="Sakkal Majalla" w:cs="Sakkal Majalla"/>
          <w:sz w:val="32"/>
          <w:szCs w:val="32"/>
          <w:rtl/>
          <w:lang w:bidi="ar-EG"/>
        </w:rPr>
        <w:t>.</w:t>
      </w:r>
    </w:p>
    <w:p w14:paraId="7CEC0098" w14:textId="463B6647" w:rsidR="00AD44D6" w:rsidRPr="00EE7AED"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وتزداد الإشكالية تعقيدًا عندما يكون الضرر ناتجًا عن نظام يعتمد على التعلم الذاتي أو التعلم العميق، حيث قد يصدر القرار الضار نتيجة عمليات تحليل داخلية لم تكن متوقعة بصورة كاملة من قبل المبرمج أو المشغل وفي هذه الحالة يصعب تحديد ما إذا كان الخطأ يرجع إلى المطور أو المستخدم أو المشغل أو إلى طبيعة </w:t>
      </w:r>
      <w:r w:rsidRPr="00AD44D6">
        <w:rPr>
          <w:rFonts w:ascii="Sakkal Majalla" w:hAnsi="Sakkal Majalla" w:cs="Sakkal Majalla"/>
          <w:sz w:val="32"/>
          <w:szCs w:val="32"/>
          <w:rtl/>
          <w:lang w:bidi="ar-EG"/>
        </w:rPr>
        <w:lastRenderedPageBreak/>
        <w:t>النظام نفسه وهو ما دفع العديد من الفقهاء إلى التساؤل حول مدى كفاية نظرية الخطأ التقليدية كأساس وحيد للمسؤولية المدنية في مجال الذكاء الاصطناعي</w:t>
      </w:r>
      <w:r w:rsidR="00F768CE">
        <w:rPr>
          <w:rStyle w:val="FootnoteReference"/>
          <w:rFonts w:ascii="Sakkal Majalla" w:hAnsi="Sakkal Majalla" w:cs="Sakkal Majalla"/>
          <w:sz w:val="32"/>
          <w:szCs w:val="32"/>
          <w:rtl/>
          <w:lang w:bidi="ar-EG"/>
        </w:rPr>
        <w:footnoteReference w:id="189"/>
      </w:r>
      <w:r w:rsidRPr="00AD44D6">
        <w:rPr>
          <w:rFonts w:ascii="Sakkal Majalla" w:hAnsi="Sakkal Majalla" w:cs="Sakkal Majalla"/>
          <w:sz w:val="32"/>
          <w:szCs w:val="32"/>
          <w:rtl/>
          <w:lang w:bidi="ar-EG"/>
        </w:rPr>
        <w:t>.</w:t>
      </w:r>
    </w:p>
    <w:p w14:paraId="5B3E7219" w14:textId="0F31DE64" w:rsidR="00AD44D6" w:rsidRDefault="00AD44D6" w:rsidP="00D501B1">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وعلى الرغم من هذه التحديات لا تزال نظرية الخطأ تمثل الأساس الرئيس للمسؤولية المدنية في معظم الأنظمة القانونية بما في ذلك النظام السعودي، إلا أن التطورات التقنية الحديثة تفرض إعادة النظر في بعض آليات تطبيقها بما يضمن تحقيق التوازن بين تشجيع الابتكار التقني وتوفير الحماية القانونية الكافية للمتضررين من استخدام أنظمة الذكاء الاصطناعي.</w:t>
      </w:r>
    </w:p>
    <w:p w14:paraId="1877CBF1" w14:textId="56F34619" w:rsidR="00AD44D6" w:rsidRPr="00AD44D6" w:rsidRDefault="00AD44D6" w:rsidP="00D501B1">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الثاني: صعوبة إثبات الخطأ في أنظمة الذكاء الاصطناعي</w:t>
      </w:r>
      <w:r>
        <w:rPr>
          <w:rFonts w:ascii="Sakkal Majalla" w:hAnsi="Sakkal Majalla" w:cs="Sakkal Majalla" w:hint="cs"/>
          <w:b/>
          <w:bCs/>
          <w:sz w:val="32"/>
          <w:szCs w:val="32"/>
          <w:rtl/>
          <w:lang w:bidi="ar-EG"/>
        </w:rPr>
        <w:t>.</w:t>
      </w:r>
    </w:p>
    <w:p w14:paraId="49DF615F" w14:textId="56F9BDE9" w:rsidR="00EE7AED" w:rsidRDefault="00413F3D" w:rsidP="00EE7AED">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t>تعد مسألة إثبات الخطأ من أكثر الإشكاليات القانونية تعقيدًا في مجال الذكاء الاصطناعي، إذ تقوم نظرية المسؤولية المدنية التقليدية على ضرورة إثبات الخطأ المنسوب إلى المسؤول باعتباره الركن الأساسي لقيام المسؤولية غير أن التطورات التقنية التي شهدتها أنظمة الذكاء الاصطناعي خلال السنوات الأخيرة أفرزت واقعًا جديدًا يختلف بصورة جوهرية عن البيئات التقليدية التي نشأت فيها قواعد المسؤولية المدنية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فقد أصبحت العديد من الأنظمة الذكية تعتمد على خوارزميات معقدة قادرة على التعلم الذاتي وتحليل كميات هائلة من البيانات واتخاذ قرارات بصورة قد يصعب على الإنسان فهمها أو تفسيرها بشكل كامل، الأمر الذي جعل إثبات الخطأ وتحديد مصدره مسألة قانونية وفنية بالغة الصعوبة</w:t>
      </w:r>
      <w:r w:rsidR="00F768CE">
        <w:rPr>
          <w:rStyle w:val="FootnoteReference"/>
          <w:rFonts w:ascii="Sakkal Majalla" w:hAnsi="Sakkal Majalla" w:cs="Sakkal Majalla"/>
          <w:sz w:val="32"/>
          <w:szCs w:val="32"/>
          <w:rtl/>
          <w:lang w:bidi="ar-EG"/>
        </w:rPr>
        <w:footnoteReference w:id="190"/>
      </w:r>
      <w:r w:rsidRPr="00413F3D">
        <w:rPr>
          <w:rFonts w:ascii="Sakkal Majalla" w:hAnsi="Sakkal Majalla" w:cs="Sakkal Majalla"/>
          <w:sz w:val="32"/>
          <w:szCs w:val="32"/>
          <w:rtl/>
          <w:lang w:bidi="ar-EG"/>
        </w:rPr>
        <w:t>.</w:t>
      </w:r>
    </w:p>
    <w:p w14:paraId="45D20E32" w14:textId="4F49DA99" w:rsidR="00413F3D" w:rsidRPr="00413F3D" w:rsidRDefault="00413F3D" w:rsidP="00EE7AED">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وتبدأ هذه الصعوبة من الطبيعة المعقدة للخوارزميات الحديثة التي تعتمد عليها أنظمة الذكاء الاصطناعي</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 xml:space="preserve">فالخوارزمية هي مجموعة من التعليمات والأوامر الرياضية والمنطقية التي تمكن النظام من معالجة البيانات </w:t>
      </w:r>
      <w:r w:rsidRPr="00413F3D">
        <w:rPr>
          <w:rFonts w:ascii="Sakkal Majalla" w:hAnsi="Sakkal Majalla" w:cs="Sakkal Majalla"/>
          <w:sz w:val="32"/>
          <w:szCs w:val="32"/>
          <w:rtl/>
          <w:lang w:bidi="ar-EG"/>
        </w:rPr>
        <w:lastRenderedPageBreak/>
        <w:t>والوصول إلى نتائج أو قرارات معينة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ومع تطور تقنيات التعلم الآلي (</w:t>
      </w:r>
      <w:r w:rsidRPr="00413F3D">
        <w:rPr>
          <w:rFonts w:ascii="Sakkal Majalla" w:hAnsi="Sakkal Majalla" w:cs="Sakkal Majalla"/>
          <w:sz w:val="32"/>
          <w:szCs w:val="32"/>
          <w:lang w:bidi="ar-EG"/>
        </w:rPr>
        <w:t>Machine Learning</w:t>
      </w:r>
      <w:r w:rsidRPr="00413F3D">
        <w:rPr>
          <w:rFonts w:ascii="Sakkal Majalla" w:hAnsi="Sakkal Majalla" w:cs="Sakkal Majalla"/>
          <w:sz w:val="32"/>
          <w:szCs w:val="32"/>
          <w:rtl/>
          <w:lang w:bidi="ar-EG"/>
        </w:rPr>
        <w:t>) والتعلم العميق (</w:t>
      </w:r>
      <w:r w:rsidRPr="00413F3D">
        <w:rPr>
          <w:rFonts w:ascii="Sakkal Majalla" w:hAnsi="Sakkal Majalla" w:cs="Sakkal Majalla"/>
          <w:sz w:val="32"/>
          <w:szCs w:val="32"/>
          <w:lang w:bidi="ar-EG"/>
        </w:rPr>
        <w:t>Deep Learning</w:t>
      </w:r>
      <w:r w:rsidRPr="00413F3D">
        <w:rPr>
          <w:rFonts w:ascii="Sakkal Majalla" w:hAnsi="Sakkal Majalla" w:cs="Sakkal Majalla"/>
          <w:sz w:val="32"/>
          <w:szCs w:val="32"/>
          <w:rtl/>
          <w:lang w:bidi="ar-EG"/>
        </w:rPr>
        <w:t>)، لم تعد الخوارزميات مجرد أوامر ثابتة يضعها المبرمج بصورة مباشرة، بل أصبحت قادرة على تطوير أنماط عملها بناءً على البيانات التي تتلقاها أثناء التشغيل</w:t>
      </w:r>
      <w:r w:rsidR="00F768CE">
        <w:rPr>
          <w:rStyle w:val="FootnoteReference"/>
          <w:rFonts w:ascii="Sakkal Majalla" w:hAnsi="Sakkal Majalla" w:cs="Sakkal Majalla"/>
          <w:sz w:val="32"/>
          <w:szCs w:val="32"/>
          <w:rtl/>
          <w:lang w:bidi="ar-EG"/>
        </w:rPr>
        <w:footnoteReference w:id="191"/>
      </w:r>
      <w:r w:rsidRPr="00413F3D">
        <w:rPr>
          <w:rFonts w:ascii="Sakkal Majalla" w:hAnsi="Sakkal Majalla" w:cs="Sakkal Majalla"/>
          <w:sz w:val="32"/>
          <w:szCs w:val="32"/>
          <w:rtl/>
          <w:lang w:bidi="ar-EG"/>
        </w:rPr>
        <w:t>.</w:t>
      </w:r>
    </w:p>
    <w:p w14:paraId="4F95C498" w14:textId="553825DA"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ذلك أن بعض الأنظمة الذكية قد تصل إلى نتائج معينة من خلال ملايين العمليات الحسابية والعلاقات الرياضية المعقدة التي يصعب على المبرمج ذاته تتبعها أو تفسيرها بصورة دقيقة</w:t>
      </w:r>
      <w:r w:rsidR="00B20B8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ويطلق الفقه التقني على هذه الظاهرة مصطلح "الصندوق الأسود" (</w:t>
      </w:r>
      <w:r w:rsidRPr="00413F3D">
        <w:rPr>
          <w:rFonts w:ascii="Sakkal Majalla" w:hAnsi="Sakkal Majalla" w:cs="Sakkal Majalla"/>
          <w:sz w:val="32"/>
          <w:szCs w:val="32"/>
          <w:lang w:bidi="ar-EG"/>
        </w:rPr>
        <w:t>Black Box</w:t>
      </w:r>
      <w:r w:rsidRPr="00413F3D">
        <w:rPr>
          <w:rFonts w:ascii="Sakkal Majalla" w:hAnsi="Sakkal Majalla" w:cs="Sakkal Majalla"/>
          <w:sz w:val="32"/>
          <w:szCs w:val="32"/>
          <w:rtl/>
          <w:lang w:bidi="ar-EG"/>
        </w:rPr>
        <w:t>) ويقصد بها الحالة التي يكون فيها القرار النهائي للنظام معروفًا، بينما تبقى الآلية الداخلية التي أدت إلى اتخاذ هذا القرار غير واضحة أو غير قابلة للتفسير بسهولة.</w:t>
      </w:r>
    </w:p>
    <w:p w14:paraId="0C09086D" w14:textId="6C594A1E"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وتزداد المشكلة تعقيدًا بسبب استقلالية الأنظمة الذكية في اتخاذ القرار. فالكثير من تطبيقات الذكاء الاصطناعي الحديثة لا تكتفي بتنفيذ أوامر محددة مسبقًا، وإنما تقوم بتحليل البيانات والتعلم منها واختيار البدائل واتخاذ القرارات استنادًا إلى الخبرات المكتسبة أثناء التشغيل</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ويظهر ذلك بصورة واضحة في المركبات ذاتية القيادة، وأنظمة التشخيص الطبي، وأنظمة التداول المالي المؤتمت، والروبوتات الصناعية الذكية</w:t>
      </w:r>
      <w:r w:rsidR="00F768CE">
        <w:rPr>
          <w:rStyle w:val="FootnoteReference"/>
          <w:rFonts w:ascii="Sakkal Majalla" w:hAnsi="Sakkal Majalla" w:cs="Sakkal Majalla"/>
          <w:sz w:val="32"/>
          <w:szCs w:val="32"/>
          <w:rtl/>
          <w:lang w:bidi="ar-EG"/>
        </w:rPr>
        <w:footnoteReference w:id="192"/>
      </w:r>
      <w:r w:rsidRPr="00413F3D">
        <w:rPr>
          <w:rFonts w:ascii="Sakkal Majalla" w:hAnsi="Sakkal Majalla" w:cs="Sakkal Majalla"/>
          <w:sz w:val="32"/>
          <w:szCs w:val="32"/>
          <w:rtl/>
          <w:lang w:bidi="ar-EG"/>
        </w:rPr>
        <w:t>.</w:t>
      </w:r>
    </w:p>
    <w:p w14:paraId="024D619F" w14:textId="4EB9B750" w:rsidR="00413F3D" w:rsidRPr="007E6480" w:rsidRDefault="00413F3D" w:rsidP="007E6480">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 xml:space="preserve">وفي هذه الحالات قد يقع الضرر نتيجة قرار اتخذه النظام الذكي دون تدخل بشري مباشر في اللحظة التي وقع فيها الضرر، مما يثير التساؤل حول الشخص الذي يمكن نسبة الخطأ إليه. فهل يعد المبرمج مسؤولًا عن جميع القرارات التي يتخذها النظام مستقبلًا؟ أم أن المسؤولية تقع على المشغل الذي سمح باستمرار تشغيل </w:t>
      </w:r>
      <w:r w:rsidRPr="00413F3D">
        <w:rPr>
          <w:rFonts w:ascii="Sakkal Majalla" w:hAnsi="Sakkal Majalla" w:cs="Sakkal Majalla"/>
          <w:sz w:val="32"/>
          <w:szCs w:val="32"/>
          <w:rtl/>
          <w:lang w:bidi="ar-EG"/>
        </w:rPr>
        <w:lastRenderedPageBreak/>
        <w:t>النظام؟ أم على المستخدم الذي اعتمد على مخرجاته؟ أم أن الضرر يعد نتيجة طبيعية لعملية التعلم الذاتي التي يقوم بها النظام؟</w:t>
      </w:r>
      <w:r w:rsidR="00F768CE">
        <w:rPr>
          <w:rStyle w:val="FootnoteReference"/>
          <w:rFonts w:ascii="Sakkal Majalla" w:hAnsi="Sakkal Majalla" w:cs="Sakkal Majalla"/>
          <w:sz w:val="32"/>
          <w:szCs w:val="32"/>
          <w:rtl/>
          <w:lang w:bidi="ar-EG"/>
        </w:rPr>
        <w:footnoteReference w:id="193"/>
      </w:r>
    </w:p>
    <w:p w14:paraId="0D3808F3" w14:textId="0F06AE51" w:rsidR="00413F3D" w:rsidRPr="00413F3D" w:rsidRDefault="00413F3D" w:rsidP="00702108">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وتؤدي هذه الإشكالية إلى ظهور مشكلة قانونية أخرى تتمثل في صعوبة تحديد مصدر الخطأ</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ففي التطبيقات التقليدية يكون الخطأ غالبًا مرتبطًا بسلوك شخص معين يمكن تحديده بسهولة</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أما في أنظمة الذكاء الاصطناعي فإن الضرر قد يكون نتيجة تفاعل مجموعة كبيرة من العوامل والأطراف في الوقت نفسه</w:t>
      </w:r>
      <w:r w:rsidR="00702108">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وقد يرجع الضرر إلى أحد الأسباب الآتية:</w:t>
      </w:r>
    </w:p>
    <w:p w14:paraId="7F9F92FA"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تصميم الخوارزمية الأساسية.</w:t>
      </w:r>
    </w:p>
    <w:p w14:paraId="27D67CE7"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قصور في مرحلة تدريب النموذج الذكي.</w:t>
      </w:r>
    </w:p>
    <w:p w14:paraId="6A827BF6"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استخدام بيانات تدريب غير دقيقة أو متحيزة.</w:t>
      </w:r>
    </w:p>
    <w:p w14:paraId="2ADA889A"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إهمال في اختبار النظام قبل تشغيله.</w:t>
      </w:r>
    </w:p>
    <w:p w14:paraId="1CB73591"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التحديثات البرمجية اللاحقة.</w:t>
      </w:r>
    </w:p>
    <w:p w14:paraId="3B8EC94D"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سوء استخدام النظام من قبل المستخدم النهائي.</w:t>
      </w:r>
    </w:p>
    <w:p w14:paraId="6FCD6FB4" w14:textId="77777777"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تقصير المشغل في الرقابة والإشراف.</w:t>
      </w:r>
    </w:p>
    <w:p w14:paraId="28FB7647" w14:textId="447E083A" w:rsidR="00413F3D" w:rsidRPr="00702108" w:rsidRDefault="00413F3D" w:rsidP="00702108">
      <w:pPr>
        <w:pStyle w:val="ListParagraph"/>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خلل في البيئة التقنية أو البنية التحتية الرقمية التي يعمل من خلالها النظام</w:t>
      </w:r>
      <w:r w:rsidR="00F768CE">
        <w:rPr>
          <w:rStyle w:val="FootnoteReference"/>
          <w:rFonts w:ascii="Sakkal Majalla" w:hAnsi="Sakkal Majalla" w:cs="Sakkal Majalla"/>
          <w:sz w:val="32"/>
          <w:szCs w:val="32"/>
          <w:rtl/>
          <w:lang w:bidi="ar-EG"/>
        </w:rPr>
        <w:footnoteReference w:id="194"/>
      </w:r>
      <w:r w:rsidRPr="00702108">
        <w:rPr>
          <w:rFonts w:ascii="Sakkal Majalla" w:hAnsi="Sakkal Majalla" w:cs="Sakkal Majalla"/>
          <w:sz w:val="32"/>
          <w:szCs w:val="32"/>
          <w:rtl/>
          <w:lang w:bidi="ar-EG"/>
        </w:rPr>
        <w:t>.</w:t>
      </w:r>
    </w:p>
    <w:p w14:paraId="4C8CCA3D" w14:textId="50B09B6D" w:rsidR="00413F3D" w:rsidRPr="00413F3D" w:rsidRDefault="00413F3D" w:rsidP="00F768CE">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وفي كثير من الحالات قد تتداخل هذه الأسباب جميعها في إنتاج الضرر مما يجعل تحديد الطرف المسؤول أمرًا بالغ التعقيد وقد يترتب على ذلك تضارب في المسؤوليات بين المنتج والمطور والمبرمج والمشغل والمستخدم، وهو ما يزيد من صعوبة تطبيق القواعد التقليدية للمسؤولية القائمة على الخطأ.</w:t>
      </w:r>
    </w:p>
    <w:p w14:paraId="78D20181" w14:textId="22477958"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كما أن عبء الإثبات يمثل عقبة إضافية أمام المضرور. فوفقًا للقواعد العامة للمسؤولية المدنية، يقع على عاتق المضرور إثبات الخطأ والضرر والعلاقة السببية بينهما. وقد أكد المنظم السعودي هذا المبدأ من خلال المادة (120) من نظام المعاملات المدنية التي تنص على أن: «كل خطأ سبب ضررًا للغير يلزم من ارتكبه بالتعويض»</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ويفهم من هذا النص أن إثبات الخطأ يعد شرطًا أساسيًا للحكم بالتعويض في إطار المسؤولية القائمة على الخطأ</w:t>
      </w:r>
      <w:r w:rsidR="00F768CE">
        <w:rPr>
          <w:rStyle w:val="FootnoteReference"/>
          <w:rFonts w:ascii="Sakkal Majalla" w:hAnsi="Sakkal Majalla" w:cs="Sakkal Majalla"/>
          <w:sz w:val="32"/>
          <w:szCs w:val="32"/>
          <w:rtl/>
          <w:lang w:bidi="ar-EG"/>
        </w:rPr>
        <w:footnoteReference w:id="195"/>
      </w:r>
      <w:r w:rsidRPr="00413F3D">
        <w:rPr>
          <w:rFonts w:ascii="Sakkal Majalla" w:hAnsi="Sakkal Majalla" w:cs="Sakkal Majalla"/>
          <w:sz w:val="32"/>
          <w:szCs w:val="32"/>
          <w:rtl/>
          <w:lang w:bidi="ar-EG"/>
        </w:rPr>
        <w:t>.</w:t>
      </w:r>
    </w:p>
    <w:p w14:paraId="66854518" w14:textId="0FE71483"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غير أن المضرور في قضايا الذكاء الاصطناعي قد لا يمتلك المعرفة التقنية أو الإمكانات الفنية التي تمكنه من إثبات مصدر الخطأ أو تحديد كيفية حدوثه كما أن البيانات الفنية الخاصة بالخوارزميات والبرمجيات تكون غالبًا في حيازة الشركات المطورة أو الجهات المشغلة، مما يؤدي إلى اختلال واضح في التوازن بين المضرور والطرف المسؤول.</w:t>
      </w:r>
    </w:p>
    <w:p w14:paraId="419B5417" w14:textId="23D8630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هذه الصعوبات آثار مهمة تتعلق بحماية المضرور. فكلما ازدادت صعوبة إثبات الخطأ، ازدادت احتمالية حرمان المتضرر من الحصول على التعويض رغم وقوع الضرر بصورة فعلية. وقد يؤدي ذلك إلى إضعاف الثقة في الأنظمة القانونية وإلى تقليل الحماية المدنية المقررة للأفراد المتضررين من استخدام تقنيات الذكاء الاصطناعي</w:t>
      </w:r>
      <w:r w:rsidR="00F768CE">
        <w:rPr>
          <w:rStyle w:val="FootnoteReference"/>
          <w:rFonts w:ascii="Sakkal Majalla" w:hAnsi="Sakkal Majalla" w:cs="Sakkal Majalla"/>
          <w:sz w:val="32"/>
          <w:szCs w:val="32"/>
          <w:rtl/>
          <w:lang w:bidi="ar-EG"/>
        </w:rPr>
        <w:footnoteReference w:id="196"/>
      </w:r>
      <w:r w:rsidRPr="00413F3D">
        <w:rPr>
          <w:rFonts w:ascii="Sakkal Majalla" w:hAnsi="Sakkal Majalla" w:cs="Sakkal Majalla"/>
          <w:sz w:val="32"/>
          <w:szCs w:val="32"/>
          <w:rtl/>
          <w:lang w:bidi="ar-EG"/>
        </w:rPr>
        <w:t>.</w:t>
      </w:r>
    </w:p>
    <w:p w14:paraId="54CC919A" w14:textId="77777777" w:rsidR="00974A7B" w:rsidRDefault="00413F3D" w:rsidP="00974A7B">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lastRenderedPageBreak/>
        <w:t>كما أن اشتراط إثبات الخطأ في جميع الحالات قد يؤدي إلى نتائج غير عادلة، خاصة في التطبيقات عالية الخطورة التي يصعب فيها الوصول إلى الأدلة الفنية اللازمة لإثبات المسؤولية ومن ثم يرى جانب من الفقه أن تحميل المضرور عبء الإثبات الكامل في هذا النوع من القضايا قد لا ينسجم مع اعتبارات العدالة وحماية الطرف الأضعف في العلاقة القانونية.</w:t>
      </w:r>
    </w:p>
    <w:p w14:paraId="52A76C48" w14:textId="5F3F0ED0"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ولهذا السبب ظهرت اتجاهات فقهية حديثة تدعو إلى التخفيف من عبء الإثبات في منازعات الذكاء الاصطناعي من خلال عدة وسائل، من أبرزها</w:t>
      </w:r>
      <w:r w:rsidR="00F768CE">
        <w:rPr>
          <w:rStyle w:val="FootnoteReference"/>
          <w:rFonts w:ascii="Sakkal Majalla" w:hAnsi="Sakkal Majalla" w:cs="Sakkal Majalla"/>
          <w:sz w:val="32"/>
          <w:szCs w:val="32"/>
          <w:rtl/>
          <w:lang w:bidi="ar-EG"/>
        </w:rPr>
        <w:footnoteReference w:id="197"/>
      </w:r>
      <w:r w:rsidRPr="00413F3D">
        <w:rPr>
          <w:rFonts w:ascii="Sakkal Majalla" w:hAnsi="Sakkal Majalla" w:cs="Sakkal Majalla"/>
          <w:sz w:val="32"/>
          <w:szCs w:val="32"/>
          <w:rtl/>
          <w:lang w:bidi="ar-EG"/>
        </w:rPr>
        <w:t>:</w:t>
      </w:r>
    </w:p>
    <w:p w14:paraId="7BF1E47D"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افتراض الخطأ في جانب المنتج أو المشغل متى ثبت وقوع الضرر.</w:t>
      </w:r>
    </w:p>
    <w:p w14:paraId="09D7838D"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نقل عبء الإثبات إلى الجهة التي تملك المعلومات التقنية المتعلقة بالنظام.</w:t>
      </w:r>
    </w:p>
    <w:p w14:paraId="2BDE80AE"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التوسع في تطبيق المسؤولية عن الأشياء الخطرة.</w:t>
      </w:r>
    </w:p>
    <w:p w14:paraId="11FB5F7E" w14:textId="7777777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الأخذ بالمسؤولية الموضوعية في بعض التطبيقات عالية الخطورة.</w:t>
      </w:r>
    </w:p>
    <w:p w14:paraId="39A9E6DF" w14:textId="0AA85C97" w:rsidR="00413F3D" w:rsidRPr="00974A7B" w:rsidRDefault="00413F3D" w:rsidP="00974A7B">
      <w:pPr>
        <w:pStyle w:val="ListParagraph"/>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إنشاء أنظمة تأمين إلزامية لتغطية الأضرار الناشئة عن الذكاء الاصطناعي.</w:t>
      </w:r>
    </w:p>
    <w:p w14:paraId="27E04B86" w14:textId="6756B480" w:rsidR="00413F3D" w:rsidRPr="00974A7B"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وفي ضوء هذه التحديات يثور التساؤل حول مدى كفاية نظرية الخطأ لمواجهة مخاطر الذكاء الاصطناعي</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ويرى الاتجاه التقليدي أن نظرية الخطأ ما تزال قادرة على استيعاب هذه التطورات إذا ما تم تطوير قواعد الإثبات والاستعانة بالخبرة الفنية والتقنية الحديثة</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ويستند هذا الرأي إلى أن المسؤولية القائمة على الخطأ تحقق التوازن بين حماية المضرور وعدم تحميل الأشخاص تبعة أضرار لم يسهموا في إحداثها</w:t>
      </w:r>
      <w:r w:rsidR="00F768CE">
        <w:rPr>
          <w:rStyle w:val="FootnoteReference"/>
          <w:rFonts w:ascii="Sakkal Majalla" w:hAnsi="Sakkal Majalla" w:cs="Sakkal Majalla"/>
          <w:sz w:val="32"/>
          <w:szCs w:val="32"/>
          <w:rtl/>
          <w:lang w:bidi="ar-EG"/>
        </w:rPr>
        <w:footnoteReference w:id="198"/>
      </w:r>
      <w:r w:rsidRPr="00413F3D">
        <w:rPr>
          <w:rFonts w:ascii="Sakkal Majalla" w:hAnsi="Sakkal Majalla" w:cs="Sakkal Majalla"/>
          <w:sz w:val="32"/>
          <w:szCs w:val="32"/>
          <w:rtl/>
          <w:lang w:bidi="ar-EG"/>
        </w:rPr>
        <w:t>.</w:t>
      </w:r>
    </w:p>
    <w:p w14:paraId="3410628F" w14:textId="5C6954B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في المقابل يرى اتجاه فقهي متزايد أن نظرية الخطأ لم تعد كافية وحدها لمواجهة المخاطر المستحدثة للأنظمة الذكية، وذلك بسبب الصعوبات العملية المرتبطة بإثبات الخطأ وتحديد المسؤول عنه</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ويذهب أصحاب هذا الاتجاه إلى أن التطور التقني يستدعي الانتقال التدريجي نحو نماذج أكثر مرونة، كالمسؤولية الموضوعية أو المسؤولية المشتركة أو أنظمة التعويض القائمة على التأمين الإجباري</w:t>
      </w:r>
      <w:r w:rsidR="00A03597">
        <w:rPr>
          <w:rStyle w:val="FootnoteReference"/>
          <w:rFonts w:ascii="Sakkal Majalla" w:hAnsi="Sakkal Majalla" w:cs="Sakkal Majalla"/>
          <w:sz w:val="32"/>
          <w:szCs w:val="32"/>
          <w:rtl/>
          <w:lang w:bidi="ar-EG"/>
        </w:rPr>
        <w:footnoteReference w:id="199"/>
      </w:r>
      <w:r w:rsidRPr="00413F3D">
        <w:rPr>
          <w:rFonts w:ascii="Sakkal Majalla" w:hAnsi="Sakkal Majalla" w:cs="Sakkal Majalla"/>
          <w:sz w:val="32"/>
          <w:szCs w:val="32"/>
          <w:rtl/>
          <w:lang w:bidi="ar-EG"/>
        </w:rPr>
        <w:t>.</w:t>
      </w:r>
    </w:p>
    <w:p w14:paraId="02C1C042" w14:textId="7ED3A2E7" w:rsidR="00AD44D6" w:rsidRPr="00AD44D6"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ويبدو أن الاتجاه الأكثر ملاءمة في الوقت الراهن يتمثل في الإبقاء على نظرية الخطأ باعتبارها الأساس العام للمسؤولية المدنية مع تطوير قواعد الإثبات وتبني حلول تشريعية خاصة لبعض تطبيقات الذكاء الاصطناعي عالية الخطورة، بما يحقق التوازن بين تشجيع الابتكار التقني وضمان الحماية القانونية الفعالة للمضرورين. فالتحدي الحقيقي لا يكمن في التخلي عن نظرية الخطأ بصورة كاملة، وإنما في تكييفها بما يتوافق مع الخصائص الفريدة للأنظمة الذكية والتطورات التقنية المتسارعة التي يشهدها هذا المجال</w:t>
      </w:r>
      <w:r w:rsidR="00AD44D6" w:rsidRPr="00AD44D6">
        <w:rPr>
          <w:rFonts w:ascii="Sakkal Majalla" w:hAnsi="Sakkal Majalla" w:cs="Sakkal Majalla"/>
          <w:sz w:val="32"/>
          <w:szCs w:val="32"/>
          <w:rtl/>
          <w:lang w:bidi="ar-EG"/>
        </w:rPr>
        <w:t>.</w:t>
      </w:r>
    </w:p>
    <w:p w14:paraId="5DF954FA" w14:textId="77777777" w:rsidR="00AD44D6" w:rsidRPr="00413F3D" w:rsidRDefault="00AD44D6" w:rsidP="00D501B1">
      <w:pPr>
        <w:bidi/>
        <w:spacing w:line="360" w:lineRule="auto"/>
        <w:jc w:val="lowKashida"/>
        <w:rPr>
          <w:rFonts w:ascii="Sakkal Majalla" w:hAnsi="Sakkal Majalla" w:cs="Sakkal Majalla"/>
          <w:b/>
          <w:bCs/>
          <w:sz w:val="32"/>
          <w:szCs w:val="32"/>
          <w:u w:val="single"/>
          <w:lang w:bidi="ar-EG"/>
        </w:rPr>
      </w:pPr>
      <w:r w:rsidRPr="00413F3D">
        <w:rPr>
          <w:rFonts w:ascii="Sakkal Majalla" w:hAnsi="Sakkal Majalla" w:cs="Sakkal Majalla"/>
          <w:b/>
          <w:bCs/>
          <w:sz w:val="32"/>
          <w:szCs w:val="32"/>
          <w:u w:val="single"/>
          <w:rtl/>
          <w:lang w:bidi="ar-EG"/>
        </w:rPr>
        <w:t>المطلب الثاني: المسؤولية الموضوعية عن أفعال الذكاء الاصطناعي</w:t>
      </w:r>
    </w:p>
    <w:p w14:paraId="17A17E90" w14:textId="1ABC30EF" w:rsidR="003E72AC" w:rsidRPr="003E72AC" w:rsidRDefault="003E72AC" w:rsidP="003E72AC">
      <w:pPr>
        <w:bidi/>
        <w:spacing w:line="360" w:lineRule="auto"/>
        <w:jc w:val="lowKashida"/>
        <w:rPr>
          <w:rFonts w:ascii="Sakkal Majalla" w:hAnsi="Sakkal Majalla" w:cs="Sakkal Majalla"/>
          <w:sz w:val="32"/>
          <w:szCs w:val="32"/>
          <w:lang w:bidi="ar-EG"/>
        </w:rPr>
      </w:pPr>
      <w:r w:rsidRPr="003E72AC">
        <w:rPr>
          <w:rFonts w:ascii="Sakkal Majalla" w:hAnsi="Sakkal Majalla" w:cs="Sakkal Majalla"/>
          <w:sz w:val="32"/>
          <w:szCs w:val="32"/>
          <w:rtl/>
          <w:lang w:bidi="ar-EG"/>
        </w:rPr>
        <w:t>أدى التطور المتسارع للذكاء الاصطناعي إلى إثارة تساؤلات حول مدى كفاية المسؤولية القائمة على الخطأ لمواجهة الأضرار الناشئة عن الأنظمة الذكية خاصة في الحالات التي يصعب فيها تحديد مصدر الخطأ أو إثباته</w:t>
      </w:r>
      <w:r>
        <w:rPr>
          <w:rFonts w:ascii="Sakkal Majalla" w:hAnsi="Sakkal Majalla" w:cs="Sakkal Majalla" w:hint="cs"/>
          <w:sz w:val="32"/>
          <w:szCs w:val="32"/>
          <w:rtl/>
          <w:lang w:bidi="ar-EG"/>
        </w:rPr>
        <w:t xml:space="preserve"> </w:t>
      </w:r>
      <w:r w:rsidRPr="003E72AC">
        <w:rPr>
          <w:rFonts w:ascii="Sakkal Majalla" w:hAnsi="Sakkal Majalla" w:cs="Sakkal Majalla"/>
          <w:sz w:val="32"/>
          <w:szCs w:val="32"/>
          <w:rtl/>
          <w:lang w:bidi="ar-EG"/>
        </w:rPr>
        <w:t>وقد دفع ذلك جانبًا من الفقه إلى الدعوة للأخذ بالمسؤولية الموضوعية التي تقوم على تعويض المضرور بمجرد تحقق الضرر وعلاقته بالنشاط أو النظام المسبب له دون اشتراط إثبات الخطأ.</w:t>
      </w:r>
      <w:r w:rsidR="00F768CE">
        <w:rPr>
          <w:rStyle w:val="FootnoteReference"/>
          <w:rFonts w:ascii="Sakkal Majalla" w:hAnsi="Sakkal Majalla" w:cs="Sakkal Majalla"/>
          <w:sz w:val="32"/>
          <w:szCs w:val="32"/>
          <w:rtl/>
          <w:lang w:bidi="ar-EG"/>
        </w:rPr>
        <w:footnoteReference w:id="200"/>
      </w:r>
    </w:p>
    <w:p w14:paraId="5CF5950B" w14:textId="6FC88D7D" w:rsidR="003E72AC" w:rsidRDefault="003E72AC" w:rsidP="003E72AC">
      <w:pPr>
        <w:bidi/>
        <w:spacing w:line="360" w:lineRule="auto"/>
        <w:jc w:val="lowKashida"/>
        <w:rPr>
          <w:rFonts w:ascii="Sakkal Majalla" w:hAnsi="Sakkal Majalla" w:cs="Sakkal Majalla"/>
          <w:sz w:val="32"/>
          <w:szCs w:val="32"/>
          <w:rtl/>
          <w:lang w:bidi="ar-EG"/>
        </w:rPr>
      </w:pPr>
      <w:r w:rsidRPr="003E72AC">
        <w:rPr>
          <w:rFonts w:ascii="Sakkal Majalla" w:hAnsi="Sakkal Majalla" w:cs="Sakkal Majalla"/>
          <w:sz w:val="32"/>
          <w:szCs w:val="32"/>
          <w:rtl/>
          <w:lang w:bidi="ar-EG"/>
        </w:rPr>
        <w:t xml:space="preserve">وتزداد أهمية هذا الاتجاه في ظل تعقيد الخوارزميات وتعدد الأطراف المتدخلة في تصميم وتشغيل الأنظمة الذكية الأمر الذي جعل المسؤولية الموضوعية تُطرح كأحد الحلول القانونية المناسبة لمواجهة المخاطر </w:t>
      </w:r>
      <w:r w:rsidRPr="003E72AC">
        <w:rPr>
          <w:rFonts w:ascii="Sakkal Majalla" w:hAnsi="Sakkal Majalla" w:cs="Sakkal Majalla"/>
          <w:sz w:val="32"/>
          <w:szCs w:val="32"/>
          <w:rtl/>
          <w:lang w:bidi="ar-EG"/>
        </w:rPr>
        <w:lastRenderedPageBreak/>
        <w:t>المستحدثة ومن ثم يتناول هذا المطلب مفهوم المسؤولية الموضوعية وأساسها القانوني، ومدى ملاءمة تطبيقها على أنظمة الذكاء الاصطناعي في ضوء الاتجاهات الفقهية والتشريعية الحديثة.</w:t>
      </w:r>
    </w:p>
    <w:p w14:paraId="413DF315" w14:textId="592E36B5" w:rsidR="00AD44D6" w:rsidRDefault="00AD44D6" w:rsidP="003E72AC">
      <w:pPr>
        <w:bidi/>
        <w:spacing w:line="360" w:lineRule="auto"/>
        <w:jc w:val="lowKashida"/>
        <w:rPr>
          <w:rFonts w:ascii="Sakkal Majalla" w:hAnsi="Sakkal Majalla" w:cs="Sakkal Majalla"/>
          <w:b/>
          <w:bCs/>
          <w:sz w:val="32"/>
          <w:szCs w:val="32"/>
          <w:rtl/>
          <w:lang w:bidi="ar-EG"/>
        </w:rPr>
      </w:pPr>
      <w:r w:rsidRPr="00413F3D">
        <w:rPr>
          <w:rFonts w:ascii="Sakkal Majalla" w:hAnsi="Sakkal Majalla" w:cs="Sakkal Majalla"/>
          <w:b/>
          <w:bCs/>
          <w:sz w:val="32"/>
          <w:szCs w:val="32"/>
          <w:rtl/>
          <w:lang w:bidi="ar-EG"/>
        </w:rPr>
        <w:t>الفرع الأول: ماهية المسؤولية الموضوعية وأساسها القانوني</w:t>
      </w:r>
      <w:r w:rsidR="00413F3D">
        <w:rPr>
          <w:rFonts w:ascii="Sakkal Majalla" w:hAnsi="Sakkal Majalla" w:cs="Sakkal Majalla" w:hint="cs"/>
          <w:b/>
          <w:bCs/>
          <w:sz w:val="32"/>
          <w:szCs w:val="32"/>
          <w:rtl/>
          <w:lang w:bidi="ar-EG"/>
        </w:rPr>
        <w:t>.</w:t>
      </w:r>
    </w:p>
    <w:p w14:paraId="676E819D" w14:textId="079849A0" w:rsidR="003E72AC" w:rsidRDefault="00180DC7" w:rsidP="003E72AC">
      <w:pPr>
        <w:bidi/>
        <w:spacing w:line="360" w:lineRule="auto"/>
        <w:jc w:val="lowKashida"/>
        <w:rPr>
          <w:rFonts w:ascii="Sakkal Majalla" w:hAnsi="Sakkal Majalla" w:cs="Sakkal Majalla"/>
          <w:sz w:val="32"/>
          <w:szCs w:val="32"/>
          <w:rtl/>
          <w:lang w:bidi="ar-EG"/>
        </w:rPr>
      </w:pPr>
      <w:r w:rsidRPr="00180DC7">
        <w:rPr>
          <w:rFonts w:ascii="Sakkal Majalla" w:hAnsi="Sakkal Majalla" w:cs="Sakkal Majalla"/>
          <w:sz w:val="32"/>
          <w:szCs w:val="32"/>
          <w:rtl/>
          <w:lang w:bidi="ar-EG"/>
        </w:rPr>
        <w:t>تعد المسؤولية الموضوعية (</w:t>
      </w:r>
      <w:r w:rsidRPr="00180DC7">
        <w:rPr>
          <w:rFonts w:ascii="Sakkal Majalla" w:hAnsi="Sakkal Majalla" w:cs="Sakkal Majalla"/>
          <w:sz w:val="32"/>
          <w:szCs w:val="32"/>
          <w:lang w:bidi="ar-EG"/>
        </w:rPr>
        <w:t>Strict Liability</w:t>
      </w:r>
      <w:r w:rsidRPr="00180DC7">
        <w:rPr>
          <w:rFonts w:ascii="Sakkal Majalla" w:hAnsi="Sakkal Majalla" w:cs="Sakkal Majalla"/>
          <w:sz w:val="32"/>
          <w:szCs w:val="32"/>
          <w:rtl/>
          <w:lang w:bidi="ar-EG"/>
        </w:rPr>
        <w:t>) من أبرز النظريات القانونية الحديثة التي ظهرت نتيجة التطور الصناعي والتكنولوجي وما صاحبه من زيادة في الأنشطة الخطرة التي قد تترتب عليها أضرار جسيمة يصعب في كثير من الأحيان إثبات الخطأ المسبب لها</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وقد جاءت هذه النظرية استجابة للحاجة إلى توفير حماية أكثر فعالية للمضرورين، من خلال تخفيف عبء الإثبات الواقع عليهم وعدم اشتراط إثبات الخطأ كركن أساسي للمطالبة بالتعويض</w:t>
      </w:r>
      <w:r w:rsidR="00F768CE">
        <w:rPr>
          <w:rStyle w:val="FootnoteReference"/>
          <w:rFonts w:ascii="Sakkal Majalla" w:hAnsi="Sakkal Majalla" w:cs="Sakkal Majalla"/>
          <w:sz w:val="32"/>
          <w:szCs w:val="32"/>
          <w:rtl/>
          <w:lang w:bidi="ar-EG"/>
        </w:rPr>
        <w:footnoteReference w:id="201"/>
      </w:r>
      <w:r w:rsidRPr="00180DC7">
        <w:rPr>
          <w:rFonts w:ascii="Sakkal Majalla" w:hAnsi="Sakkal Majalla" w:cs="Sakkal Majalla"/>
          <w:sz w:val="32"/>
          <w:szCs w:val="32"/>
          <w:rtl/>
          <w:lang w:bidi="ar-EG"/>
        </w:rPr>
        <w:t>.</w:t>
      </w:r>
    </w:p>
    <w:p w14:paraId="5BAF261D" w14:textId="1C9F0385" w:rsidR="00180DC7" w:rsidRPr="00180DC7" w:rsidRDefault="00180DC7" w:rsidP="003E72AC">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ويقصد بالمسؤولية الموضوعية تلك المسؤولية التي تقوم بمجرد تحقق الضرر ووجود علاقة سببية بين الضرر والنشاط أو الشيء المسبب له دون حاجة إلى إثبات خطأ من جانب المسؤول</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وبمعنى آخر، فإن الشخص قد يلتزم بالتعويض رغم عدم ثبوت ارتكابه لأي خطأ، متى كان الضرر قد نتج عن نشاط يخضع لرقابته أو عن شيء يسيطر عليه أو ينتفع به.</w:t>
      </w:r>
    </w:p>
    <w:p w14:paraId="4640FA53" w14:textId="4288C5A9" w:rsidR="00180DC7" w:rsidRPr="00180DC7" w:rsidRDefault="00180DC7" w:rsidP="00826B1E">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وقد نشأت هذه النظرية في البداية في إطار المسؤولية عن الأنشطة الصناعية الخطرة والآلات الميكانيكية ووسائل النقل الحديثة ثم امتد تطبيقها تدريجيًا ليشمل العديد من المجالات التي يصعب فيها إثبات الخطأ أو التي تنطوي بطبيعتها على مخاطر استثنائية، مثل المسؤولية عن المنتجات المعيبة والمسؤولية البيئية </w:t>
      </w:r>
      <w:r w:rsidRPr="00180DC7">
        <w:rPr>
          <w:rFonts w:ascii="Sakkal Majalla" w:hAnsi="Sakkal Majalla" w:cs="Sakkal Majalla"/>
          <w:sz w:val="32"/>
          <w:szCs w:val="32"/>
          <w:rtl/>
          <w:lang w:bidi="ar-EG"/>
        </w:rPr>
        <w:lastRenderedPageBreak/>
        <w:t>والمسؤولية النووية وبعض تطبيقات التكنولوجيا الحديثة</w:t>
      </w:r>
      <w:r w:rsidR="00826B1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وتتميز المسؤولية الموضوعية بعدد من الخصائص التي تجعلها مختلفة عن المسؤولية التقليدية القائمة على الخطأ، ومن أهم هذه الخصائص</w:t>
      </w:r>
      <w:r w:rsidR="00F768CE">
        <w:rPr>
          <w:rStyle w:val="FootnoteReference"/>
          <w:rFonts w:ascii="Sakkal Majalla" w:hAnsi="Sakkal Majalla" w:cs="Sakkal Majalla"/>
          <w:sz w:val="32"/>
          <w:szCs w:val="32"/>
          <w:rtl/>
          <w:lang w:bidi="ar-EG"/>
        </w:rPr>
        <w:footnoteReference w:id="202"/>
      </w:r>
      <w:r w:rsidRPr="00180DC7">
        <w:rPr>
          <w:rFonts w:ascii="Sakkal Majalla" w:hAnsi="Sakkal Majalla" w:cs="Sakkal Majalla"/>
          <w:sz w:val="32"/>
          <w:szCs w:val="32"/>
          <w:rtl/>
          <w:lang w:bidi="ar-EG"/>
        </w:rPr>
        <w:t>:</w:t>
      </w:r>
    </w:p>
    <w:p w14:paraId="45D015FF"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عدم اشتراط إثبات الخطأ لقيام المسؤولية.</w:t>
      </w:r>
    </w:p>
    <w:p w14:paraId="5AE8BB4A"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التركيز على الضرر وعلاقته بالنشاط المسبب له.</w:t>
      </w:r>
    </w:p>
    <w:p w14:paraId="2D65F60D"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تخفيف عبء الإثبات عن المضرور.</w:t>
      </w:r>
    </w:p>
    <w:p w14:paraId="3B9D2757"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تعزيز الحماية القانونية للمتضررين.</w:t>
      </w:r>
    </w:p>
    <w:p w14:paraId="16FB0D8C" w14:textId="77777777"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ارتباطها غالبًا بالأنشطة الخطرة أو ذات المخاطر المرتفعة.</w:t>
      </w:r>
    </w:p>
    <w:p w14:paraId="105E17B2" w14:textId="594404F2" w:rsidR="00180DC7" w:rsidRPr="00636A13" w:rsidRDefault="00180DC7" w:rsidP="00636A13">
      <w:pPr>
        <w:pStyle w:val="ListParagraph"/>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سهولة حصول المضرور على التعويض مقارنة بالمسؤولية القائمة على الخطأ.</w:t>
      </w:r>
      <w:r w:rsidR="00F768CE">
        <w:rPr>
          <w:rStyle w:val="FootnoteReference"/>
          <w:rFonts w:ascii="Sakkal Majalla" w:hAnsi="Sakkal Majalla" w:cs="Sakkal Majalla"/>
          <w:sz w:val="32"/>
          <w:szCs w:val="32"/>
          <w:rtl/>
          <w:lang w:bidi="ar-EG"/>
        </w:rPr>
        <w:footnoteReference w:id="203"/>
      </w:r>
    </w:p>
    <w:p w14:paraId="4DD0DF57" w14:textId="33A7EC86" w:rsidR="00180DC7" w:rsidRPr="00180DC7"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ويترتب على هذه الخصائص أن دور المضرور يقتصر غالبًا على إثبات وقوع الضرر وإثبات العلاقة السببية بين الضرر والنشاط أو الشيء محل المسؤولية دون الحاجة إلى الخوض في إثبات أوجه الإهمال أو التقصير أو الرعونة التي قد يكون من الصعب الوصول إليها من الناحية العملية.</w:t>
      </w:r>
    </w:p>
    <w:p w14:paraId="7A550F86" w14:textId="61DEB352" w:rsidR="00180DC7" w:rsidRPr="00372968"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وتظهر أهمية المسؤولية الموضوعية بصورة خاصة في المجالات التقنية المعقدة حيث قد يكون الضرر ثابتًا وواضحًا بينما يكون إثبات الخطأ مسألة شديدة التعقيد بسبب الطبيعة الفنية للنشاط أو التكنولوجيا المستخدمة.</w:t>
      </w:r>
    </w:p>
    <w:p w14:paraId="6566448B" w14:textId="1405441D"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ويختلف نظام المسؤولية الموضوعية عن المسؤولية القائمة على الخطأ في عدة جوانب جوهرية. فالمسؤولية القائمة على الخطأ تستند إلى فكرة شخصية مفادها أن الإنسان لا يتحمل تبعة الضرر إلا إذا ثبت أنه انحرف </w:t>
      </w:r>
      <w:r w:rsidRPr="00180DC7">
        <w:rPr>
          <w:rFonts w:ascii="Sakkal Majalla" w:hAnsi="Sakkal Majalla" w:cs="Sakkal Majalla"/>
          <w:sz w:val="32"/>
          <w:szCs w:val="32"/>
          <w:rtl/>
          <w:lang w:bidi="ar-EG"/>
        </w:rPr>
        <w:lastRenderedPageBreak/>
        <w:t>عن السلوك المألوف أو أخل بواجب قانوني يقع على عاتقه</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ولذلك فإن إثبات الخطأ يمثل الركن الأساسي الذي تقوم عليه هذه المسؤولية</w:t>
      </w:r>
      <w:r w:rsidR="00F768CE">
        <w:rPr>
          <w:rStyle w:val="FootnoteReference"/>
          <w:rFonts w:ascii="Sakkal Majalla" w:hAnsi="Sakkal Majalla" w:cs="Sakkal Majalla"/>
          <w:sz w:val="32"/>
          <w:szCs w:val="32"/>
          <w:rtl/>
          <w:lang w:bidi="ar-EG"/>
        </w:rPr>
        <w:footnoteReference w:id="204"/>
      </w:r>
      <w:r w:rsidRPr="00180DC7">
        <w:rPr>
          <w:rFonts w:ascii="Sakkal Majalla" w:hAnsi="Sakkal Majalla" w:cs="Sakkal Majalla"/>
          <w:sz w:val="32"/>
          <w:szCs w:val="32"/>
          <w:rtl/>
          <w:lang w:bidi="ar-EG"/>
        </w:rPr>
        <w:t>.</w:t>
      </w:r>
    </w:p>
    <w:p w14:paraId="5A664E73" w14:textId="69CD162A"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المسؤولية الموضوعية فتنطلق من فكرة مختلفة تقوم على تحمل تبعة المخاطر المرتبطة بالنشاط أو الشيء المسبب للضرر. فالشخص الذي ينتفع من نشاط معين أو يسيطر على وسيلة تنطوي على مخاطر خاصة يجب أن يتحمل نتائج هذه المخاطر متى تحققت، حتى لو لم يثبت ارتكابه لأي خطأ</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ويمكن إبراز أهم الفروق بين المسؤوليتين فيما يأتي:</w:t>
      </w:r>
      <w:r w:rsidR="00F768CE">
        <w:rPr>
          <w:rStyle w:val="FootnoteReference"/>
          <w:rFonts w:ascii="Sakkal Majalla" w:hAnsi="Sakkal Majalla" w:cs="Sakkal Majalla"/>
          <w:sz w:val="32"/>
          <w:szCs w:val="32"/>
          <w:rtl/>
          <w:lang w:bidi="ar-EG"/>
        </w:rPr>
        <w:footnoteReference w:id="205"/>
      </w:r>
    </w:p>
    <w:p w14:paraId="21DC7B6E"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تتطلب إثبات الخطأ، بينما المسؤولية الموضوعية لا تشترط ذلك.</w:t>
      </w:r>
    </w:p>
    <w:p w14:paraId="2277E2C9"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عبء الإثبات في المسؤولية القائمة على الخطأ يقع أساسًا على المضرور، أما في المسؤولية الموضوعية فيقتصر غالبًا على إثبات الضرر والعلاقة السببية.</w:t>
      </w:r>
    </w:p>
    <w:p w14:paraId="6C43F8DB"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تقوم على فكرة الجزاء المترتب على السلوك غير المشروع، بينما تقوم المسؤولية الموضوعية على فكرة تحمل المخاطر.</w:t>
      </w:r>
    </w:p>
    <w:p w14:paraId="06AEE079" w14:textId="77777777"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توفر المسؤولية الموضوعية حماية أكبر للمضرور مقارنة بالمسؤولية التقليدية.</w:t>
      </w:r>
    </w:p>
    <w:p w14:paraId="0523A369" w14:textId="2A56292C" w:rsidR="00180DC7" w:rsidRPr="00321E16" w:rsidRDefault="00180DC7" w:rsidP="00321E16">
      <w:pPr>
        <w:pStyle w:val="ListParagraph"/>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تزداد أهمية المسؤولية الموضوعية كلما زادت الصعوبات المرتبطة بإثبات الخطأ</w:t>
      </w:r>
      <w:r w:rsidR="00F768CE">
        <w:rPr>
          <w:rStyle w:val="FootnoteReference"/>
          <w:rFonts w:ascii="Sakkal Majalla" w:hAnsi="Sakkal Majalla" w:cs="Sakkal Majalla"/>
          <w:sz w:val="32"/>
          <w:szCs w:val="32"/>
          <w:rtl/>
          <w:lang w:bidi="ar-EG"/>
        </w:rPr>
        <w:footnoteReference w:id="206"/>
      </w:r>
      <w:r w:rsidRPr="00321E16">
        <w:rPr>
          <w:rFonts w:ascii="Sakkal Majalla" w:hAnsi="Sakkal Majalla" w:cs="Sakkal Majalla"/>
          <w:sz w:val="32"/>
          <w:szCs w:val="32"/>
          <w:rtl/>
          <w:lang w:bidi="ar-EG"/>
        </w:rPr>
        <w:t>.</w:t>
      </w:r>
    </w:p>
    <w:p w14:paraId="24785A16" w14:textId="173DF5D6"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من الناحية الفلسفية فقد ارتبطت المسؤولية الموضوعية بنظرية تحمل التبعة أو تحمل المخاطر (</w:t>
      </w:r>
      <w:r w:rsidRPr="00180DC7">
        <w:rPr>
          <w:rFonts w:ascii="Sakkal Majalla" w:hAnsi="Sakkal Majalla" w:cs="Sakkal Majalla"/>
          <w:sz w:val="32"/>
          <w:szCs w:val="32"/>
          <w:lang w:bidi="ar-EG"/>
        </w:rPr>
        <w:t>Risk Theory</w:t>
      </w:r>
      <w:r w:rsidRPr="00180DC7">
        <w:rPr>
          <w:rFonts w:ascii="Sakkal Majalla" w:hAnsi="Sakkal Majalla" w:cs="Sakkal Majalla"/>
          <w:sz w:val="32"/>
          <w:szCs w:val="32"/>
          <w:rtl/>
          <w:lang w:bidi="ar-EG"/>
        </w:rPr>
        <w:t xml:space="preserve">) والتي تقوم على أساس أن من يجني فوائد نشاط معين يجب أن يتحمل كذلك الأضرار التي قد تنشأ </w:t>
      </w:r>
      <w:r w:rsidRPr="00180DC7">
        <w:rPr>
          <w:rFonts w:ascii="Sakkal Majalla" w:hAnsi="Sakkal Majalla" w:cs="Sakkal Majalla"/>
          <w:sz w:val="32"/>
          <w:szCs w:val="32"/>
          <w:rtl/>
          <w:lang w:bidi="ar-EG"/>
        </w:rPr>
        <w:lastRenderedPageBreak/>
        <w:t>عنه فإذا كان الشخص أو المؤسسة يستفيد اقتصاديًا أو مهنيًا من نشاط معين، فمن العدل أن يتحمل نتائج المخاطر المرتبطة بهذا النشاط بدلًا من تحميلها للمضرور الذي لم يسهم في وقوعها.</w:t>
      </w:r>
    </w:p>
    <w:p w14:paraId="78171C72" w14:textId="683552A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وقد تطورت هذه الفكرة نتيجة الانتقادات التي وُجهت لنظرية الخطأ التقليدية، حيث تبين أن اشتراط إثبات الخطأ في بعض المجالات يؤدي عمليًا إلى حرمان العديد من المتضررين من الحصول على التعويض، رغم ثبوت وقوع الضرر بصورة واضحة ولذلك اتجه الفقه الحديث إلى البحث عن أسس قانونية تحقق قدرًا أكبر من العدالة الاجتماعية وتحمي الطرف الأضعف في العلاقة القانونية</w:t>
      </w:r>
      <w:r w:rsidR="00F768CE">
        <w:rPr>
          <w:rStyle w:val="FootnoteReference"/>
          <w:rFonts w:ascii="Sakkal Majalla" w:hAnsi="Sakkal Majalla" w:cs="Sakkal Majalla"/>
          <w:sz w:val="32"/>
          <w:szCs w:val="32"/>
          <w:rtl/>
          <w:lang w:bidi="ar-EG"/>
        </w:rPr>
        <w:footnoteReference w:id="207"/>
      </w:r>
      <w:r w:rsidRPr="00180DC7">
        <w:rPr>
          <w:rFonts w:ascii="Sakkal Majalla" w:hAnsi="Sakkal Majalla" w:cs="Sakkal Majalla"/>
          <w:sz w:val="32"/>
          <w:szCs w:val="32"/>
          <w:rtl/>
          <w:lang w:bidi="ar-EG"/>
        </w:rPr>
        <w:t>.</w:t>
      </w:r>
    </w:p>
    <w:p w14:paraId="27F033F1" w14:textId="78146D19"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ومن الناحية القانونية تستند المسؤولية الموضوعية في العديد من الأنظمة المقارنة إلى نصوص خاصة تنظم بعض الأنشطة أو المنتجات الخطرة كما تظهر بعض صورها بصورة غير مباشرة في المسؤولية عن الأشياء والمسؤولية عن المنتجات المعيبة والمسؤولية الناشئة عن الأنشطة ذات المخاطر الاستثنائية.</w:t>
      </w:r>
    </w:p>
    <w:p w14:paraId="7E6FB844" w14:textId="51C78B5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في النظام السعودي</w:t>
      </w:r>
      <w:r w:rsidR="002E2153">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فإن الأصل العام للمسؤولية المدنية ما يزال قائمًا على الخطأ وفقًا للمادة (120) من نظام المعاملات المدنية التي تنص على أن: «كل خطأ سبب ضررًا للغير يلزم من ارتكبه بالتعويض». إلا أن بعض النصوص النظامية تقترب في مضمونها من فكرة المسؤولية الموضوعية، خاصة في مجال المسؤولية عن الأشياء التي تتطلب عناية خاصة أو حراسة معينة</w:t>
      </w:r>
      <w:r w:rsidR="00F768CE">
        <w:rPr>
          <w:rStyle w:val="FootnoteReference"/>
          <w:rFonts w:ascii="Sakkal Majalla" w:hAnsi="Sakkal Majalla" w:cs="Sakkal Majalla"/>
          <w:sz w:val="32"/>
          <w:szCs w:val="32"/>
          <w:rtl/>
          <w:lang w:bidi="ar-EG"/>
        </w:rPr>
        <w:footnoteReference w:id="208"/>
      </w:r>
      <w:r w:rsidRPr="00180DC7">
        <w:rPr>
          <w:rFonts w:ascii="Sakkal Majalla" w:hAnsi="Sakkal Majalla" w:cs="Sakkal Majalla"/>
          <w:sz w:val="32"/>
          <w:szCs w:val="32"/>
          <w:rtl/>
          <w:lang w:bidi="ar-EG"/>
        </w:rPr>
        <w:t>.</w:t>
      </w:r>
    </w:p>
    <w:p w14:paraId="1EFCF700" w14:textId="707EE2AE"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ومن أبرز هذه النصوص المادة (136) من نظام المعاملات المدنية السعودي، التي تقرر مسؤولية من تكون تحت تصرفه أشياء تتطلب عناية خاصة أو حراسة آلات ميكانيكية عما تحدثه من ضرر ما لم يثبت أن وقوع الضرر كان بسبب أجنبي لا يد له فيه ويلاحظ أن هذا النص يخفف بصورة واضحة من عبء الإثبات الواقع </w:t>
      </w:r>
      <w:r w:rsidRPr="00180DC7">
        <w:rPr>
          <w:rFonts w:ascii="Sakkal Majalla" w:hAnsi="Sakkal Majalla" w:cs="Sakkal Majalla"/>
          <w:sz w:val="32"/>
          <w:szCs w:val="32"/>
          <w:rtl/>
          <w:lang w:bidi="ar-EG"/>
        </w:rPr>
        <w:lastRenderedPageBreak/>
        <w:t>على المضرور، ويقترب من فكرة تحمل تبعة المخاطر أكثر من اقترابه من المسؤولية التقليدية القائمة على إثبات الخطأ.</w:t>
      </w:r>
      <w:r w:rsidR="00F768CE">
        <w:rPr>
          <w:rStyle w:val="FootnoteReference"/>
          <w:rFonts w:ascii="Sakkal Majalla" w:hAnsi="Sakkal Majalla" w:cs="Sakkal Majalla"/>
          <w:sz w:val="32"/>
          <w:szCs w:val="32"/>
          <w:rtl/>
          <w:lang w:bidi="ar-EG"/>
        </w:rPr>
        <w:footnoteReference w:id="209"/>
      </w:r>
    </w:p>
    <w:p w14:paraId="430CC7AC" w14:textId="3DF2B0A6" w:rsidR="00180DC7" w:rsidRPr="00131739" w:rsidRDefault="00180DC7" w:rsidP="00131739">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كما أن الاتجاهات التشريعية الحديثة في العالم تتجه بصورة متزايدة نحو توسيع نطاق المسؤولية الموضوعية في المجالات التي يصعب فيها إثبات الخطأ، وهو ما يفسر تنامي الدعوات الفقهية إلى الاستفادة من هذه النظرية عند تنظيم المسؤولية المدنية الناشئة عن تطبيقات الذكاء الاصطناعي.</w:t>
      </w:r>
    </w:p>
    <w:p w14:paraId="7CF17929" w14:textId="240263CC"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وبناءً على ما تقدم فإن المسؤولية الموضوعية تمثل أحد أهم الاتجاهات القانو</w:t>
      </w:r>
      <w:r w:rsidR="00F768CE">
        <w:rPr>
          <w:rStyle w:val="FootnoteReference"/>
          <w:rFonts w:ascii="Sakkal Majalla" w:hAnsi="Sakkal Majalla" w:cs="Sakkal Majalla"/>
          <w:sz w:val="32"/>
          <w:szCs w:val="32"/>
          <w:rtl/>
          <w:lang w:bidi="ar-EG"/>
        </w:rPr>
        <w:footnoteReference w:id="210"/>
      </w:r>
      <w:r w:rsidRPr="00180DC7">
        <w:rPr>
          <w:rFonts w:ascii="Sakkal Majalla" w:hAnsi="Sakkal Majalla" w:cs="Sakkal Majalla"/>
          <w:sz w:val="32"/>
          <w:szCs w:val="32"/>
          <w:rtl/>
          <w:lang w:bidi="ar-EG"/>
        </w:rPr>
        <w:t>نية الحديثة في مجال المسؤولية المدنية، وتقوم على أساس حماية المضرور وتحقيق العدالة في الحالات التي يصبح فيها إثبات الخطأ أمرًا بالغ الصعوبة</w:t>
      </w:r>
      <w:r w:rsidR="00F768C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كما أن خصائصها وأسسها الفلسفية والقانونية تجعلها من أكثر النظريات المرشحة للتطبيق في البيئة التقنية المعاصرة، ولا سيما في مجال الذكاء الاصطناعي الذي يتسم بالتعقيد الفني وتعدد مصادر الخطر وصعوبة تحديد المسؤول عن الضرر في كثير من الحالات</w:t>
      </w:r>
    </w:p>
    <w:p w14:paraId="666D8FE8" w14:textId="77777777" w:rsidR="00AD44D6" w:rsidRPr="00180DC7" w:rsidRDefault="00AD44D6" w:rsidP="00D501B1">
      <w:pPr>
        <w:bidi/>
        <w:spacing w:line="360" w:lineRule="auto"/>
        <w:jc w:val="lowKashida"/>
        <w:rPr>
          <w:rFonts w:ascii="Sakkal Majalla" w:hAnsi="Sakkal Majalla" w:cs="Sakkal Majalla"/>
          <w:b/>
          <w:bCs/>
          <w:sz w:val="32"/>
          <w:szCs w:val="32"/>
          <w:lang w:bidi="ar-EG"/>
        </w:rPr>
      </w:pPr>
      <w:r w:rsidRPr="00180DC7">
        <w:rPr>
          <w:rFonts w:ascii="Sakkal Majalla" w:hAnsi="Sakkal Majalla" w:cs="Sakkal Majalla"/>
          <w:b/>
          <w:bCs/>
          <w:sz w:val="32"/>
          <w:szCs w:val="32"/>
          <w:rtl/>
          <w:lang w:bidi="ar-EG"/>
        </w:rPr>
        <w:t>الفرع الثاني: مدى ملاءمة المسؤولية الموضوعية للذكاء الاصطناعي</w:t>
      </w:r>
    </w:p>
    <w:p w14:paraId="15346FFC" w14:textId="7A6CE14D" w:rsidR="00153A4E" w:rsidRPr="00153A4E" w:rsidRDefault="00153A4E" w:rsidP="00644DDE">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أدى التطور الكبير في تطبيقات الذكاء الاصطناعي إلى ظهور اتجاه فقهي متزايد يدعو إلى تبني المسؤولية الموضوعية كأساس قانوني لتنظيم الأضرار الناشئة عن الأنظمة الذكية</w:t>
      </w:r>
      <w:r w:rsidR="00F768CE">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 xml:space="preserve">ويستند هذا الاتجاه إلى أن القواعد التقليدية للمسؤولية القائمة على الخطأ أصبحت تواجه صعوبات عملية متزايدة في مواكبة التطورات التقنية الحديثة، خاصة في الحالات التي يصعب فيها تحديد الشخص المسؤول عن الضرر أو إثبات الخطأ المنسوب </w:t>
      </w:r>
      <w:r w:rsidRPr="00153A4E">
        <w:rPr>
          <w:rFonts w:ascii="Sakkal Majalla" w:hAnsi="Sakkal Majalla" w:cs="Sakkal Majalla"/>
          <w:sz w:val="32"/>
          <w:szCs w:val="32"/>
          <w:rtl/>
          <w:lang w:bidi="ar-EG"/>
        </w:rPr>
        <w:lastRenderedPageBreak/>
        <w:t>إليه. ومن ثم برزت المسؤولية الموضوعية باعتبارها إحدى الآليات القانونية القادرة على توفير حماية أكثر فعالية للمضرورين في بيئة الذكاء الاصطناعي</w:t>
      </w:r>
      <w:r w:rsidR="00F768CE">
        <w:rPr>
          <w:rStyle w:val="FootnoteReference"/>
          <w:rFonts w:ascii="Sakkal Majalla" w:hAnsi="Sakkal Majalla" w:cs="Sakkal Majalla"/>
          <w:sz w:val="32"/>
          <w:szCs w:val="32"/>
          <w:rtl/>
          <w:lang w:bidi="ar-EG"/>
        </w:rPr>
        <w:footnoteReference w:id="211"/>
      </w:r>
      <w:r w:rsidRPr="00153A4E">
        <w:rPr>
          <w:rFonts w:ascii="Sakkal Majalla" w:hAnsi="Sakkal Majalla" w:cs="Sakkal Majalla"/>
          <w:sz w:val="32"/>
          <w:szCs w:val="32"/>
          <w:rtl/>
          <w:lang w:bidi="ar-EG"/>
        </w:rPr>
        <w:t>.</w:t>
      </w:r>
    </w:p>
    <w:p w14:paraId="2A97D269" w14:textId="7A47BD5B"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وتتمثل أولى مبررات تطبيق المسؤولية الموضوعية على الأنظمة الذكية في صعوبة إثبات الخطأ. فكما سبق بيانه، تعتمد العديد من تطبيقات الذكاء الاصطناعي على خوارزميات معقدة وأنظمة تعلم ذاتي يصعب تفسير آلية عملها أو تحديد السبب المباشر للقرارات التي تصدر عنها</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وقد يؤدي ذلك إلى عجز المضرور عن إثبات الخطأ رغم ثبوت وقوع الضرر بصورة واضحة، الأمر الذي يهدد بحرمانه من حقه في التعويض.</w:t>
      </w:r>
    </w:p>
    <w:p w14:paraId="1FB51B07" w14:textId="359D892C"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أن تعدد الأطراف المتدخلة في دورة حياة النظام الذكي يمثل مبررًا إضافيًا للأخذ بالمسؤولية الموضوعية. ففي كثير من الحالات يشارك في إنتاج وتشغيل النظام عدد من الأطراف، مثل المنتج والمبرمج والمطور ومزود البيانات والمشغل والمستخدم النهائي. وعندما يقع الضرر يصبح من الصعب تحديد الطرف الذي ارتكب الخطأ بصورة دقيقة بينما تسمح المسؤولية الموضوعية بتجاوز هذه العقبة والتركيز على تعويض المضرور بدلاً من الانشغال بإثبات الخطأ</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ويضاف إلى ذلك أن بعض تطبيقات الذكاء الاصطناعي تنطوي بطبيعتها على درجة مرتفعة من المخاطر، مثل</w:t>
      </w:r>
      <w:r w:rsidR="00F768CE">
        <w:rPr>
          <w:rStyle w:val="FootnoteReference"/>
          <w:rFonts w:ascii="Sakkal Majalla" w:hAnsi="Sakkal Majalla" w:cs="Sakkal Majalla"/>
          <w:sz w:val="32"/>
          <w:szCs w:val="32"/>
          <w:rtl/>
          <w:lang w:bidi="ar-EG"/>
        </w:rPr>
        <w:footnoteReference w:id="212"/>
      </w:r>
      <w:r w:rsidRPr="00153A4E">
        <w:rPr>
          <w:rFonts w:ascii="Sakkal Majalla" w:hAnsi="Sakkal Majalla" w:cs="Sakkal Majalla"/>
          <w:sz w:val="32"/>
          <w:szCs w:val="32"/>
          <w:rtl/>
          <w:lang w:bidi="ar-EG"/>
        </w:rPr>
        <w:t>:</w:t>
      </w:r>
    </w:p>
    <w:p w14:paraId="01DA91F2"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المركبات ذاتية القيادة.</w:t>
      </w:r>
    </w:p>
    <w:p w14:paraId="391D9F72"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الروبوتات الجراحية.</w:t>
      </w:r>
    </w:p>
    <w:p w14:paraId="407AAA8A"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أنظمة التشخيص الطبي المعتمدة على الذكاء الاصطناعي.</w:t>
      </w:r>
    </w:p>
    <w:p w14:paraId="3CED3D9C"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الأنظمة الصناعية المؤتمتة.</w:t>
      </w:r>
    </w:p>
    <w:p w14:paraId="74615C77" w14:textId="77777777"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تطبيقات الأمن والدفاع الذكية.</w:t>
      </w:r>
    </w:p>
    <w:p w14:paraId="6CA58401" w14:textId="5BA65F48" w:rsidR="00153A4E" w:rsidRPr="000E71B1" w:rsidRDefault="00153A4E" w:rsidP="000E71B1">
      <w:pPr>
        <w:pStyle w:val="ListParagraph"/>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lastRenderedPageBreak/>
        <w:t>أنظمة التداول المالي الآلي.</w:t>
      </w:r>
    </w:p>
    <w:p w14:paraId="5DB12D1C" w14:textId="16486618"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وتشترك هذه التطبيقات في أنها قد تؤدي إلى أضرار جسيمة تمس الأرواح أو الأموال أو البيانات الشخصية، مما يجعل فكرة تحمل تبعة المخاطر أكثر ملاءمة من اشتراط إثبات الخطأ في كل حالة على حدة</w:t>
      </w:r>
      <w:r w:rsidR="00F768CE">
        <w:rPr>
          <w:rStyle w:val="FootnoteReference"/>
          <w:rFonts w:ascii="Sakkal Majalla" w:hAnsi="Sakkal Majalla" w:cs="Sakkal Majalla"/>
          <w:sz w:val="32"/>
          <w:szCs w:val="32"/>
          <w:rtl/>
          <w:lang w:bidi="ar-EG"/>
        </w:rPr>
        <w:footnoteReference w:id="213"/>
      </w:r>
      <w:r w:rsidRPr="00153A4E">
        <w:rPr>
          <w:rFonts w:ascii="Sakkal Majalla" w:hAnsi="Sakkal Majalla" w:cs="Sakkal Majalla"/>
          <w:sz w:val="32"/>
          <w:szCs w:val="32"/>
          <w:rtl/>
          <w:lang w:bidi="ar-EG"/>
        </w:rPr>
        <w:t>.</w:t>
      </w:r>
    </w:p>
    <w:p w14:paraId="6C2D754C" w14:textId="23200F62"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ومن المبررات المهمة أيضًا حماية الثقة المشروعة للمستخدمين. فالأفراد والمؤسسات الذين يعتمدون على الأنظمة الذكية يفترضون أنها آمنة وصالحة للاستخدام، ومن ثم فإن تحميل الجهة المستفيدة اقتصاديًا من هذه الأنظمة مسؤولية الأضرار الناشئة عنها ينسجم مع اعتبارات العدالة وحماية الثقة العامة في التكنولوجيا الحديثة.</w:t>
      </w:r>
    </w:p>
    <w:p w14:paraId="5BF40F7F" w14:textId="1E22AAB5"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وقد بدأت بعض التشريعات المقارنة في تبني توجهات تقترب من المسؤولية الموضوعية عند تنظيم المسؤولية عن الذكاء الاصطناعي والمنتجات الرقمية المتقدمة ويعد الاتحاد الأوروبي من أكثر النظم القانونية اهتمامًا بهذه المسألة، حيث اتجهت المقترحات الأوروبية الحديثة إلى تشديد مسؤولية منتجي الأنظمة الذكية وتخفيف عبء الإثبات الواقع على المضرورين</w:t>
      </w:r>
      <w:r w:rsidR="00F768CE">
        <w:rPr>
          <w:rStyle w:val="FootnoteReference"/>
          <w:rFonts w:ascii="Sakkal Majalla" w:hAnsi="Sakkal Majalla" w:cs="Sakkal Majalla"/>
          <w:sz w:val="32"/>
          <w:szCs w:val="32"/>
          <w:rtl/>
          <w:lang w:bidi="ar-EG"/>
        </w:rPr>
        <w:footnoteReference w:id="214"/>
      </w:r>
      <w:r w:rsidRPr="00153A4E">
        <w:rPr>
          <w:rFonts w:ascii="Sakkal Majalla" w:hAnsi="Sakkal Majalla" w:cs="Sakkal Majalla"/>
          <w:sz w:val="32"/>
          <w:szCs w:val="32"/>
          <w:rtl/>
          <w:lang w:bidi="ar-EG"/>
        </w:rPr>
        <w:t>.</w:t>
      </w:r>
    </w:p>
    <w:p w14:paraId="47B40064" w14:textId="61C118A1" w:rsidR="00153A4E" w:rsidRPr="00153A4E"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صدر عن مؤسسات الاتحاد الأوروبي عدد من الوثائق والمقترحات القانونية التي تدعو إلى إنشاء نظام خاص للمسؤولية عن تطبيقات الذكاء الاصطناعي عالية الخطورة، يقوم على افتراض المسؤولية أو تخفيف أعباء الإثبات، وهو ما يعكس تأثر التشريعات الأوروبية بفكرة المسؤولية الموضوعية وإن لم تأخذ بها بصورة مطلقة.</w:t>
      </w:r>
      <w:r w:rsidR="00F768CE">
        <w:rPr>
          <w:rStyle w:val="FootnoteReference"/>
          <w:rFonts w:ascii="Sakkal Majalla" w:hAnsi="Sakkal Majalla" w:cs="Sakkal Majalla"/>
          <w:sz w:val="32"/>
          <w:szCs w:val="32"/>
          <w:rtl/>
          <w:lang w:bidi="ar-EG"/>
        </w:rPr>
        <w:footnoteReference w:id="215"/>
      </w:r>
    </w:p>
    <w:p w14:paraId="2DB00656" w14:textId="4A835B50" w:rsidR="000E71B1" w:rsidRDefault="00153A4E" w:rsidP="000E71B1">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lastRenderedPageBreak/>
        <w:t>وفي فرنسا وألمانيا وعدد من الأنظمة الأوروبية الأخرى</w:t>
      </w:r>
      <w:r w:rsidR="000E71B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تظهر تطبيقات مشابهة للمسؤولية الموضوعية في مجالات قريبة من الذكاء الاصطناعي، مثل المسؤولية عن المنتجات المعيبة والمسؤولية عن الأنشطة الخطرة، حيث لا يلزم المضرور بإثبات الخطأ بصورة كاملة، وإنما يكفيه إثبات الضرر وعلاقته بالمنتج أو النشاط محل المسؤولية</w:t>
      </w:r>
      <w:r w:rsidR="00F768CE">
        <w:rPr>
          <w:rStyle w:val="FootnoteReference"/>
          <w:rFonts w:ascii="Sakkal Majalla" w:hAnsi="Sakkal Majalla" w:cs="Sakkal Majalla"/>
          <w:sz w:val="32"/>
          <w:szCs w:val="32"/>
          <w:rtl/>
          <w:lang w:bidi="ar-EG"/>
        </w:rPr>
        <w:footnoteReference w:id="216"/>
      </w:r>
      <w:r w:rsidRPr="00153A4E">
        <w:rPr>
          <w:rFonts w:ascii="Sakkal Majalla" w:hAnsi="Sakkal Majalla" w:cs="Sakkal Majalla"/>
          <w:sz w:val="32"/>
          <w:szCs w:val="32"/>
          <w:rtl/>
          <w:lang w:bidi="ar-EG"/>
        </w:rPr>
        <w:t>.</w:t>
      </w:r>
    </w:p>
    <w:p w14:paraId="6550A2D7" w14:textId="60F899AF" w:rsidR="00153A4E" w:rsidRPr="00153A4E"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 الولايات المتحدة الأمريكية، فقد ساهمت قواعد المسؤولية عن المنتجات (</w:t>
      </w:r>
      <w:r w:rsidRPr="00153A4E">
        <w:rPr>
          <w:rFonts w:ascii="Sakkal Majalla" w:hAnsi="Sakkal Majalla" w:cs="Sakkal Majalla"/>
          <w:sz w:val="32"/>
          <w:szCs w:val="32"/>
          <w:lang w:bidi="ar-EG"/>
        </w:rPr>
        <w:t>Product Liability</w:t>
      </w:r>
      <w:r w:rsidRPr="00153A4E">
        <w:rPr>
          <w:rFonts w:ascii="Sakkal Majalla" w:hAnsi="Sakkal Majalla" w:cs="Sakkal Majalla"/>
          <w:sz w:val="32"/>
          <w:szCs w:val="32"/>
          <w:rtl/>
          <w:lang w:bidi="ar-EG"/>
        </w:rPr>
        <w:t>) في تطوير نماذج قانونية تقترب من المسؤولية الموضوعية خصوصًا عندما يتعلق الأمر بالمنتجات التقنية التي يصعب على المستهلك إثبات العيوب الفنية الدقيقة الكامنة فيها</w:t>
      </w:r>
      <w:r w:rsidR="00FD32A3">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ويحقق الأخذ بالمسؤولية الموضوعية في مجال الذكاء الاصطناعي العديد من المزايا القانونية والعملية، من أهمها</w:t>
      </w:r>
      <w:r w:rsidR="00F768CE">
        <w:rPr>
          <w:rStyle w:val="FootnoteReference"/>
          <w:rFonts w:ascii="Sakkal Majalla" w:hAnsi="Sakkal Majalla" w:cs="Sakkal Majalla"/>
          <w:sz w:val="32"/>
          <w:szCs w:val="32"/>
          <w:rtl/>
          <w:lang w:bidi="ar-EG"/>
        </w:rPr>
        <w:footnoteReference w:id="217"/>
      </w:r>
      <w:r w:rsidRPr="00153A4E">
        <w:rPr>
          <w:rFonts w:ascii="Sakkal Majalla" w:hAnsi="Sakkal Majalla" w:cs="Sakkal Majalla"/>
          <w:sz w:val="32"/>
          <w:szCs w:val="32"/>
          <w:rtl/>
          <w:lang w:bidi="ar-EG"/>
        </w:rPr>
        <w:t>:</w:t>
      </w:r>
    </w:p>
    <w:p w14:paraId="6183FE73"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حماية المضرورين وضمان حصولهم على التعويض.</w:t>
      </w:r>
    </w:p>
    <w:p w14:paraId="1FC574A5"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تخفيف الصعوبات المرتبطة بإثبات الخطأ.</w:t>
      </w:r>
    </w:p>
    <w:p w14:paraId="7518A2DF"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تحقيق قدر أكبر من العدالة في مواجهة المخاطر التقنية الحديثة.</w:t>
      </w:r>
    </w:p>
    <w:p w14:paraId="4D2D4969"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تشجيع الشركات المنتجة على رفع مستويات السلامة والأمان.</w:t>
      </w:r>
    </w:p>
    <w:p w14:paraId="5D66197C"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الثقة المجتمعية في تطبيقات الذكاء الاصطناعي.</w:t>
      </w:r>
    </w:p>
    <w:p w14:paraId="30EC89CE"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تقليل النزاعات المرتبطة بتحديد المسؤول عن الخطأ.</w:t>
      </w:r>
    </w:p>
    <w:p w14:paraId="7D6F82EB" w14:textId="77777777" w:rsidR="00153A4E" w:rsidRPr="00FD32A3" w:rsidRDefault="00153A4E" w:rsidP="00FD32A3">
      <w:pPr>
        <w:pStyle w:val="ListParagraph"/>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توفير إطار قانوني أكثر ملاءمة للأنظمة ذاتية التعلم.</w:t>
      </w:r>
    </w:p>
    <w:p w14:paraId="7BFEC62B" w14:textId="5244C7E6" w:rsidR="00153A4E" w:rsidRPr="00FD32A3"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تسهم المسؤولية الموضوعية في دفع الشركات المنتجة والمطورة إلى الاستثمار بصورة أكبر في اختبارات السلامة والجودة والأمن السيبراني، لأنها تعلم مسبقًا أنها قد تتحمل تبعة الأضرار الناشئة عن أنظمتها حتى في الحالات التي يتعذر فيها إثبات خطأ محدد</w:t>
      </w:r>
      <w:r w:rsidR="00F768CE">
        <w:rPr>
          <w:rStyle w:val="FootnoteReference"/>
          <w:rFonts w:ascii="Sakkal Majalla" w:hAnsi="Sakkal Majalla" w:cs="Sakkal Majalla"/>
          <w:sz w:val="32"/>
          <w:szCs w:val="32"/>
          <w:rtl/>
          <w:lang w:bidi="ar-EG"/>
        </w:rPr>
        <w:footnoteReference w:id="218"/>
      </w:r>
      <w:r w:rsidRPr="00153A4E">
        <w:rPr>
          <w:rFonts w:ascii="Sakkal Majalla" w:hAnsi="Sakkal Majalla" w:cs="Sakkal Majalla"/>
          <w:sz w:val="32"/>
          <w:szCs w:val="32"/>
          <w:rtl/>
          <w:lang w:bidi="ar-EG"/>
        </w:rPr>
        <w:t>.</w:t>
      </w:r>
    </w:p>
    <w:p w14:paraId="780567EA" w14:textId="7B7A1C35"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ورغم هذه المزايا فإن المسؤولية الموضوعية لم تسلم من الانتقادات الفقهية والقانونية. ومن أبرز هذه الانتقادات أنها قد تؤدي إلى تحميل أشخاص أو جهات مسؤولية أضرار لم يرتكبوا بشأنها أي خطأ، وهو ما قد يتعارض مع بعض المبادئ التقليدية للعدالة التي تربط المسؤولية بالسلوك الشخصي.</w:t>
      </w:r>
    </w:p>
    <w:p w14:paraId="39A2791C" w14:textId="7A3F2241"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يرى بعض الفقهاء أن التوسع في تطبيق المسؤولية الموضوعية قد يؤدي إلى إبطاء الابتكار التقني، إذ قد تتردد الشركات في تطوير تقنيات جديدة خوفًا من تحمل مسؤوليات مالية كبيرة حتى في الحالات التي لم ترتكب فيها أي تقصير أو إهمال</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ومن الانتقادات الموجهة إليها كذلك</w:t>
      </w:r>
      <w:r w:rsidR="00F768CE">
        <w:rPr>
          <w:rStyle w:val="FootnoteReference"/>
          <w:rFonts w:ascii="Sakkal Majalla" w:hAnsi="Sakkal Majalla" w:cs="Sakkal Majalla"/>
          <w:sz w:val="32"/>
          <w:szCs w:val="32"/>
          <w:rtl/>
          <w:lang w:bidi="ar-EG"/>
        </w:rPr>
        <w:footnoteReference w:id="219"/>
      </w:r>
      <w:r w:rsidRPr="00153A4E">
        <w:rPr>
          <w:rFonts w:ascii="Sakkal Majalla" w:hAnsi="Sakkal Majalla" w:cs="Sakkal Majalla"/>
          <w:sz w:val="32"/>
          <w:szCs w:val="32"/>
          <w:rtl/>
          <w:lang w:bidi="ar-EG"/>
        </w:rPr>
        <w:t>:</w:t>
      </w:r>
    </w:p>
    <w:p w14:paraId="290CFB3E"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ارتفاع تكاليف التأمين على الأنظمة الذكية.</w:t>
      </w:r>
    </w:p>
    <w:p w14:paraId="720F4BB8"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زيادة الأعباء المالية على الشركات الناشئة.</w:t>
      </w:r>
    </w:p>
    <w:p w14:paraId="4FD8B5A6"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الحد من الاستثمارات في مجال الذكاء الاصطناعي.</w:t>
      </w:r>
    </w:p>
    <w:p w14:paraId="47BD790C" w14:textId="77777777"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صعوبة تحديد نطاق التطبيقات التي تستوجب المسؤولية الموضوعية.</w:t>
      </w:r>
    </w:p>
    <w:p w14:paraId="176BF8FD" w14:textId="1C6346AC" w:rsidR="00153A4E" w:rsidRPr="000B0066" w:rsidRDefault="00153A4E" w:rsidP="000B0066">
      <w:pPr>
        <w:pStyle w:val="ListParagraph"/>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إساءة استخدام دعاوى التعويض.</w:t>
      </w:r>
    </w:p>
    <w:p w14:paraId="241A2C93" w14:textId="040E0632"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يذهب بعض الباحثين إلى أن المسؤولية الموضوعية لا تصلح لجميع تطبيقات الذكاء الاصطناعي، وإنما ينبغي قصرها على الأنظمة عالية الخطورة التي قد يترتب على أخطائها أضرار جسيمة</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مع الإبقاء على المسؤولية القائمة على الخطأ في التطبيقات العادية منخفضة المخاطر.</w:t>
      </w:r>
    </w:p>
    <w:p w14:paraId="21561A89" w14:textId="730F954F"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فيما يتعلق بإمكانية تطبيق المسؤولية الموضوعية في النظام السعودي فإن نظام المعاملات المدنية لم يتبنَّ هذه النظرية بصورة عامة وصريحة، إذ جعل الخطأ أساسًا أصيلًا للمسؤولية المدنية من خلال المادة (120) التي تنص على أن: «كل خطأ سبب ضررًا للغير يلزم من ارتكبه بالتعويض».</w:t>
      </w:r>
    </w:p>
    <w:p w14:paraId="7F44C897" w14:textId="67AE7AF1"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ومع ذلك فإن بعض النصوص النظامية تقترب من فكرة المسؤولية الموضوعية، وعلى رأسها المادة (136) من نظام المعاملات المدنية التي تقرر مسؤولية من تكون تحت تصرفه أشياء تتطلب عناية خاصة أو حراسة آلات ميكانيكية عما تحدثه من ضرر، ما لم يثبت السبب الأجنبي</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ويلاحظ أن هذا النص يخفف من عبء الإثبات الواقع على المضرور ويقوم على فكرة تحمل تبعة المخاطر المرتبطة بالشيء محل الحراسة</w:t>
      </w:r>
      <w:r w:rsidR="00F768CE">
        <w:rPr>
          <w:rStyle w:val="FootnoteReference"/>
          <w:rFonts w:ascii="Sakkal Majalla" w:hAnsi="Sakkal Majalla" w:cs="Sakkal Majalla"/>
          <w:sz w:val="32"/>
          <w:szCs w:val="32"/>
          <w:rtl/>
          <w:lang w:bidi="ar-EG"/>
        </w:rPr>
        <w:footnoteReference w:id="220"/>
      </w:r>
      <w:r w:rsidRPr="00153A4E">
        <w:rPr>
          <w:rFonts w:ascii="Sakkal Majalla" w:hAnsi="Sakkal Majalla" w:cs="Sakkal Majalla"/>
          <w:sz w:val="32"/>
          <w:szCs w:val="32"/>
          <w:rtl/>
          <w:lang w:bidi="ar-EG"/>
        </w:rPr>
        <w:t>.</w:t>
      </w:r>
    </w:p>
    <w:p w14:paraId="2594EB3D" w14:textId="77777777" w:rsidR="00584C8A" w:rsidRDefault="00153A4E" w:rsidP="00584C8A">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t>كما أن القواعد الفقهية الإسلامية التي يقوم عليها النظام السعودي، مثل قاعدة «الغُنم بالغُرم» وقاعدة «الضرر يزال» وقاعدة «من تسبب في ضرر لزمه الضمان» يمكن أن تشكل أساسًا فقهيًا يسمح بتطوير بعض صور المسؤولية الموضوعية في المجالات التقنية الحديثة متى اقتضت المصلحة ذلك.</w:t>
      </w:r>
    </w:p>
    <w:p w14:paraId="61EE01FC" w14:textId="7B273D54" w:rsidR="00180DC7" w:rsidRDefault="00153A4E" w:rsidP="00584C8A">
      <w:pPr>
        <w:bidi/>
        <w:spacing w:line="360" w:lineRule="auto"/>
        <w:jc w:val="lowKashida"/>
        <w:rPr>
          <w:rFonts w:ascii="Sakkal Majalla" w:hAnsi="Sakkal Majalla" w:cs="Sakkal Majalla"/>
          <w:sz w:val="32"/>
          <w:szCs w:val="32"/>
          <w:rtl/>
          <w:lang w:bidi="ar-EG"/>
        </w:rPr>
      </w:pPr>
      <w:r w:rsidRPr="00584C8A">
        <w:rPr>
          <w:rFonts w:ascii="Sakkal Majalla" w:hAnsi="Sakkal Majalla" w:cs="Sakkal Majalla"/>
          <w:b/>
          <w:bCs/>
          <w:sz w:val="32"/>
          <w:szCs w:val="32"/>
          <w:u w:val="single"/>
          <w:rtl/>
          <w:lang w:bidi="ar-EG"/>
        </w:rPr>
        <w:t>وفي تقدير الباحث</w:t>
      </w:r>
      <w:r w:rsidRPr="00153A4E">
        <w:rPr>
          <w:rFonts w:ascii="Sakkal Majalla" w:hAnsi="Sakkal Majalla" w:cs="Sakkal Majalla"/>
          <w:sz w:val="32"/>
          <w:szCs w:val="32"/>
          <w:rtl/>
          <w:lang w:bidi="ar-EG"/>
        </w:rPr>
        <w:t xml:space="preserve"> فإن المسؤولية الموضوعية تبدو أكثر ملاءمة للتطبيق في بعض مجالات الذكاء الاصطناعي عالية الخطورة، مثل المركبات ذاتية القيادة والأنظمة الطبية الذكية والروبوتات الصناعية، بينما يمكن الإبقاء على المسؤولية القائمة على الخطأ في التطبيقات العادية الأقل خطورة ويحقق هذا الاتجاه التوازن بين </w:t>
      </w:r>
      <w:r w:rsidRPr="00153A4E">
        <w:rPr>
          <w:rFonts w:ascii="Sakkal Majalla" w:hAnsi="Sakkal Majalla" w:cs="Sakkal Majalla"/>
          <w:sz w:val="32"/>
          <w:szCs w:val="32"/>
          <w:rtl/>
          <w:lang w:bidi="ar-EG"/>
        </w:rPr>
        <w:lastRenderedPageBreak/>
        <w:t>تشجيع الابتكار التقني من جهة، وضمان الحماية القانونية الفعالة للمتضررين من جهة أخرى، كما ينسجم مع الاتجاهات التشريعية المقارنة الحديثة ومع المبادئ العامة التي يقوم عليها النظام القانوني السعودي.</w:t>
      </w:r>
    </w:p>
    <w:p w14:paraId="353B1F56" w14:textId="7F782B12" w:rsidR="00153A4E" w:rsidRPr="007625E4" w:rsidRDefault="00153A4E" w:rsidP="00584C8A">
      <w:pPr>
        <w:bidi/>
        <w:spacing w:line="360" w:lineRule="auto"/>
        <w:jc w:val="lowKashida"/>
        <w:rPr>
          <w:rFonts w:ascii="Sakkal Majalla" w:hAnsi="Sakkal Majalla" w:cs="Sakkal Majalla"/>
          <w:b/>
          <w:bCs/>
          <w:sz w:val="32"/>
          <w:szCs w:val="32"/>
          <w:u w:val="single"/>
          <w:lang w:bidi="ar-EG"/>
        </w:rPr>
      </w:pPr>
      <w:r w:rsidRPr="007625E4">
        <w:rPr>
          <w:rFonts w:ascii="Sakkal Majalla" w:hAnsi="Sakkal Majalla" w:cs="Sakkal Majalla"/>
          <w:b/>
          <w:bCs/>
          <w:sz w:val="32"/>
          <w:szCs w:val="32"/>
          <w:u w:val="single"/>
          <w:rtl/>
          <w:lang w:bidi="ar-EG"/>
        </w:rPr>
        <w:t>المطلب الثالث: الاتجاه الراجح في تحديد أساس المسؤولية المدنية عن أفعال الذكاء الاصطناعي</w:t>
      </w:r>
      <w:r w:rsidRPr="007625E4">
        <w:rPr>
          <w:rFonts w:ascii="Sakkal Majalla" w:hAnsi="Sakkal Majalla" w:cs="Sakkal Majalla" w:hint="cs"/>
          <w:b/>
          <w:bCs/>
          <w:sz w:val="32"/>
          <w:szCs w:val="32"/>
          <w:u w:val="single"/>
          <w:rtl/>
          <w:lang w:bidi="ar-EG"/>
        </w:rPr>
        <w:t>.</w:t>
      </w:r>
    </w:p>
    <w:p w14:paraId="31A2A82E" w14:textId="59256889" w:rsidR="007625E4" w:rsidRPr="007625E4" w:rsidRDefault="007625E4" w:rsidP="00584C8A">
      <w:pPr>
        <w:bidi/>
        <w:spacing w:line="360" w:lineRule="auto"/>
        <w:jc w:val="lowKashida"/>
        <w:rPr>
          <w:rFonts w:ascii="Sakkal Majalla" w:hAnsi="Sakkal Majalla" w:cs="Sakkal Majalla"/>
          <w:sz w:val="32"/>
          <w:szCs w:val="32"/>
          <w:lang w:bidi="ar-EG"/>
        </w:rPr>
      </w:pPr>
      <w:r w:rsidRPr="007625E4">
        <w:rPr>
          <w:rFonts w:ascii="Sakkal Majalla" w:hAnsi="Sakkal Majalla" w:cs="Sakkal Majalla"/>
          <w:sz w:val="32"/>
          <w:szCs w:val="32"/>
          <w:rtl/>
          <w:lang w:bidi="ar-EG"/>
        </w:rPr>
        <w:t>أثار التطور المتسارع لتقنيات الذكاء الاصطناعي جدلًا فقهيًا حول الأساس القانوني الأنسب للمسؤولية المدنية الناشئة عن الأضرار التي تسببها الأنظمة الذكية فبينما يتمسك جانب من الفقه بنظرية الخطأ باعتبارها الأساس التقليدي للمسؤولية المدنية، يرى جانب آخر أن صعوبة إثبات الخطأ في بعض تطبيقات الذكاء الاصطناعي تستوجب الأخذ بالمسؤولية الموضوعية القائمة على تحمل التبعة دون اشتراط إثبات الخطأ</w:t>
      </w:r>
      <w:r w:rsidR="00584C8A">
        <w:rPr>
          <w:rFonts w:ascii="Sakkal Majalla" w:hAnsi="Sakkal Majalla" w:cs="Sakkal Majalla" w:hint="cs"/>
          <w:sz w:val="32"/>
          <w:szCs w:val="32"/>
          <w:rtl/>
          <w:lang w:bidi="ar-EG"/>
        </w:rPr>
        <w:t xml:space="preserve"> </w:t>
      </w:r>
      <w:r w:rsidRPr="007625E4">
        <w:rPr>
          <w:rFonts w:ascii="Sakkal Majalla" w:hAnsi="Sakkal Majalla" w:cs="Sakkal Majalla"/>
          <w:sz w:val="32"/>
          <w:szCs w:val="32"/>
          <w:rtl/>
          <w:lang w:bidi="ar-EG"/>
        </w:rPr>
        <w:t>كما ظهرت اتجاهات حديثة تدعو إلى الجمع بين النظريتين من خلال تبني حلول قانونية مرنة تراعي طبيعة الأنظمة الذكية ومستوى المخاطر المرتبطة بها، بما يحقق التوازن بين حماية المضرورين وتشجيع الابتكار التقني</w:t>
      </w:r>
      <w:r w:rsidR="00A75335">
        <w:rPr>
          <w:rStyle w:val="FootnoteReference"/>
          <w:rFonts w:ascii="Sakkal Majalla" w:hAnsi="Sakkal Majalla" w:cs="Sakkal Majalla"/>
          <w:sz w:val="32"/>
          <w:szCs w:val="32"/>
          <w:rtl/>
          <w:lang w:bidi="ar-EG"/>
        </w:rPr>
        <w:footnoteReference w:id="221"/>
      </w:r>
      <w:r w:rsidRPr="007625E4">
        <w:rPr>
          <w:rFonts w:ascii="Sakkal Majalla" w:hAnsi="Sakkal Majalla" w:cs="Sakkal Majalla"/>
          <w:sz w:val="32"/>
          <w:szCs w:val="32"/>
          <w:rtl/>
          <w:lang w:bidi="ar-EG"/>
        </w:rPr>
        <w:t>.</w:t>
      </w:r>
    </w:p>
    <w:p w14:paraId="555FC8EC" w14:textId="481ABE28" w:rsidR="00153A4E" w:rsidRDefault="007625E4" w:rsidP="00584C8A">
      <w:pPr>
        <w:bidi/>
        <w:spacing w:line="360" w:lineRule="auto"/>
        <w:jc w:val="lowKashida"/>
        <w:rPr>
          <w:rFonts w:ascii="Sakkal Majalla" w:hAnsi="Sakkal Majalla" w:cs="Sakkal Majalla"/>
          <w:sz w:val="32"/>
          <w:szCs w:val="32"/>
          <w:rtl/>
          <w:lang w:bidi="ar-EG"/>
        </w:rPr>
      </w:pPr>
      <w:r w:rsidRPr="007625E4">
        <w:rPr>
          <w:rFonts w:ascii="Sakkal Majalla" w:hAnsi="Sakkal Majalla" w:cs="Sakkal Majalla"/>
          <w:sz w:val="32"/>
          <w:szCs w:val="32"/>
          <w:rtl/>
          <w:lang w:bidi="ar-EG"/>
        </w:rPr>
        <w:t>ومن ثم تبرز أهمية دراسة الاتجاهات الفقهية الحديثة في تحديد أساس المسؤولية المدنية عن أفعال الذكاء الاصطناعي، وبيان مدى ملاءمة كل منها للتطبيق في البيئة القانونية المعاصرة، وصولًا إلى تحديد الاتجاه الأكثر توافقًا مع أحكام النظام السعودي ومتطلبات التطور التقني.</w:t>
      </w:r>
    </w:p>
    <w:p w14:paraId="382E057A" w14:textId="1086CA2D" w:rsidR="00153A4E" w:rsidRPr="007625E4" w:rsidRDefault="00153A4E" w:rsidP="00584C8A">
      <w:pPr>
        <w:bidi/>
        <w:spacing w:line="360" w:lineRule="auto"/>
        <w:jc w:val="lowKashida"/>
        <w:rPr>
          <w:rFonts w:ascii="Sakkal Majalla" w:hAnsi="Sakkal Majalla" w:cs="Sakkal Majalla"/>
          <w:b/>
          <w:bCs/>
          <w:sz w:val="32"/>
          <w:szCs w:val="32"/>
          <w:lang w:bidi="ar-EG"/>
        </w:rPr>
      </w:pPr>
      <w:r w:rsidRPr="007625E4">
        <w:rPr>
          <w:rFonts w:ascii="Sakkal Majalla" w:hAnsi="Sakkal Majalla" w:cs="Sakkal Majalla"/>
          <w:b/>
          <w:bCs/>
          <w:sz w:val="32"/>
          <w:szCs w:val="32"/>
          <w:rtl/>
          <w:lang w:bidi="ar-EG"/>
        </w:rPr>
        <w:t>الفرع الأول: الاتجاهات الفقهية الحديثة في تحديد أساس المسؤولية</w:t>
      </w:r>
      <w:r w:rsidR="007625E4">
        <w:rPr>
          <w:rFonts w:ascii="Sakkal Majalla" w:hAnsi="Sakkal Majalla" w:cs="Sakkal Majalla" w:hint="cs"/>
          <w:b/>
          <w:bCs/>
          <w:sz w:val="32"/>
          <w:szCs w:val="32"/>
          <w:rtl/>
          <w:lang w:bidi="ar-EG"/>
        </w:rPr>
        <w:t>.</w:t>
      </w:r>
    </w:p>
    <w:p w14:paraId="1ECB6E6C" w14:textId="781E551B" w:rsidR="00584C8A"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أدى التطور المتسارع لتطبيقات الذكاء الاصطناعي إلى ظهور خلاف فقهي حول الأساس القانوني الأنسب للمسؤولية المدنية الناشئة عن الأضرار التي تسببها الأنظمة الذكية ويرجع ذلك إلى أن القواعد التقليدية للمسؤولية المدنية وضعت في الأصل لمواجهة الأضرار الناتجة عن الأفعال البشرية المباشرة، بينما تتميز أنظمة </w:t>
      </w:r>
      <w:r w:rsidRPr="00AF563C">
        <w:rPr>
          <w:rFonts w:ascii="Sakkal Majalla" w:hAnsi="Sakkal Majalla" w:cs="Sakkal Majalla"/>
          <w:sz w:val="32"/>
          <w:szCs w:val="32"/>
          <w:rtl/>
          <w:lang w:bidi="ar-EG"/>
        </w:rPr>
        <w:lastRenderedPageBreak/>
        <w:t>الذكاء الاصطناعي بقدرتها على التعلم الذاتي واتخاذ القرارات بدرجات متفاوتة من الاستقلالية، الأمر الذي أثار تساؤلات حول مدى كفاية الأسس القانونية التقليدية لتنظيم المسؤولية في هذا المجال</w:t>
      </w:r>
      <w:r w:rsidR="00A75335">
        <w:rPr>
          <w:rStyle w:val="FootnoteReference"/>
          <w:rFonts w:ascii="Sakkal Majalla" w:hAnsi="Sakkal Majalla" w:cs="Sakkal Majalla"/>
          <w:sz w:val="32"/>
          <w:szCs w:val="32"/>
          <w:rtl/>
          <w:lang w:bidi="ar-EG"/>
        </w:rPr>
        <w:footnoteReference w:id="222"/>
      </w:r>
      <w:r w:rsidRPr="00AF563C">
        <w:rPr>
          <w:rFonts w:ascii="Sakkal Majalla" w:hAnsi="Sakkal Majalla" w:cs="Sakkal Majalla"/>
          <w:sz w:val="32"/>
          <w:szCs w:val="32"/>
          <w:rtl/>
          <w:lang w:bidi="ar-EG"/>
        </w:rPr>
        <w:t>.</w:t>
      </w:r>
    </w:p>
    <w:p w14:paraId="553DF2D4" w14:textId="5BC2236A" w:rsidR="00AF563C"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ويتمثل الاتجاه الأول في الاتجاه القائم على الخطأ وهو الاتجاه التقليدي السائد في أغلب الأنظمة القانونية. ويرى أنصار هذا الاتجاه أن المسؤولية المدنية لا ينبغي أن تقوم إلا إذا ثبت وجود خطأ منسوب إلى شخص معين أدى إلى وقوع الضرر ويستند هذا الرأي إلى أن الخطأ يمثل الركن الأساسي للمسؤولية المدنية، وأن العدالة تقتضي عدم تحميل الشخص تبعة ضرر لم يثبت أنه تسبب فيه بخطئه أو تقصيره</w:t>
      </w:r>
      <w:r w:rsidR="00A75335">
        <w:rPr>
          <w:rStyle w:val="FootnoteReference"/>
          <w:rFonts w:ascii="Sakkal Majalla" w:hAnsi="Sakkal Majalla" w:cs="Sakkal Majalla"/>
          <w:sz w:val="32"/>
          <w:szCs w:val="32"/>
          <w:rtl/>
          <w:lang w:bidi="ar-EG"/>
        </w:rPr>
        <w:footnoteReference w:id="223"/>
      </w:r>
      <w:r w:rsidRPr="00AF563C">
        <w:rPr>
          <w:rFonts w:ascii="Sakkal Majalla" w:hAnsi="Sakkal Majalla" w:cs="Sakkal Majalla"/>
          <w:sz w:val="32"/>
          <w:szCs w:val="32"/>
          <w:rtl/>
          <w:lang w:bidi="ar-EG"/>
        </w:rPr>
        <w:t>.</w:t>
      </w:r>
    </w:p>
    <w:p w14:paraId="1EDAFF0D" w14:textId="073A525E" w:rsidR="00AF563C" w:rsidRPr="00AF563C" w:rsidRDefault="00AF563C" w:rsidP="00A0619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الاتجاه أساسه في القواعد العامة للمسؤولية المدنية، ومنها المادة (120) من نظام المعاملات المدنية السعودي التي تنص على أن: «كل خطأ سبب ضررًا للغير يلزم من ارتكبه بالتعويض»</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وبناءً على ذلك فإن المسؤولية عن أضرار الذكاء الاصطناعي تنسب إلى الشخص الذي يثبت خطؤه، سواء كان منتج النظام أو مطوره أو مشغله أو مستخدمه</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إلا أن هذا الاتجاه تعرض لانتقادات عديدة أهمها صعوبة إثبات الخطأ في الأنظمة الذكية المعقدة، خاصة تلك التي تعتمد على التعلم الآلي والتعلم العميق، حيث قد يصعب تحديد الشخص الذي ارتكب الخطأ أو إثبات العلاقة بين سلوكه والضرر الناتج</w:t>
      </w:r>
      <w:r w:rsidR="00A06191">
        <w:rPr>
          <w:rStyle w:val="FootnoteReference"/>
          <w:rFonts w:ascii="Sakkal Majalla" w:hAnsi="Sakkal Majalla" w:cs="Sakkal Majalla"/>
          <w:sz w:val="32"/>
          <w:szCs w:val="32"/>
          <w:rtl/>
          <w:lang w:bidi="ar-EG"/>
        </w:rPr>
        <w:footnoteReference w:id="224"/>
      </w:r>
      <w:r w:rsidRPr="00AF563C">
        <w:rPr>
          <w:rFonts w:ascii="Sakkal Majalla" w:hAnsi="Sakkal Majalla" w:cs="Sakkal Majalla"/>
          <w:sz w:val="32"/>
          <w:szCs w:val="32"/>
          <w:rtl/>
          <w:lang w:bidi="ar-EG"/>
        </w:rPr>
        <w:t>.</w:t>
      </w:r>
    </w:p>
    <w:p w14:paraId="062EEBC2" w14:textId="4F4F71ED" w:rsidR="00AF563C" w:rsidRPr="00A8558C" w:rsidRDefault="00AF563C" w:rsidP="00A8558C">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القائم على المسؤولية الموضوعية فيرى أن اشتراط إثبات الخطأ لم يعد ملائمًا في بعض تطبيقات الذكاء الاصطناعي</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نظرًا لما تثيره من صعوبات فنية وقانونية ولذلك يدعو أنصار هذا الاتجاه إلى قيام المسؤولية بمجرد تحقق الضرر ووجود علاقة سببية بين الضرر والنظام الذكي، دون الحاجة إلى إثبات خطأ من جانب المسؤول</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 xml:space="preserve">ويستند هذا الاتجاه إلى فكرة تحمل التبعة أو تحمل المخاطر، ومؤداها أن من ينتفع من </w:t>
      </w:r>
      <w:r w:rsidRPr="00AF563C">
        <w:rPr>
          <w:rFonts w:ascii="Sakkal Majalla" w:hAnsi="Sakkal Majalla" w:cs="Sakkal Majalla"/>
          <w:sz w:val="32"/>
          <w:szCs w:val="32"/>
          <w:rtl/>
          <w:lang w:bidi="ar-EG"/>
        </w:rPr>
        <w:lastRenderedPageBreak/>
        <w:t>نشاط معين أو يطرح منتجًا تقنيًا متطورًا للتداول يجب أن يتحمل الأضرار التي قد تنشأ عنه، حتى لو لم يثبت ارتكابه لخطأ محدد ويرى أصحاب هذا الاتجاه أن المسؤولية الموضوعية توفر حماية أكبر للمضرورين وتنسجم مع الطبيعة التقنية المعقدة للأنظمة الذكية</w:t>
      </w:r>
      <w:r w:rsidR="00A06191">
        <w:rPr>
          <w:rStyle w:val="FootnoteReference"/>
          <w:rFonts w:ascii="Sakkal Majalla" w:hAnsi="Sakkal Majalla" w:cs="Sakkal Majalla"/>
          <w:sz w:val="32"/>
          <w:szCs w:val="32"/>
          <w:rtl/>
          <w:lang w:bidi="ar-EG"/>
        </w:rPr>
        <w:footnoteReference w:id="225"/>
      </w:r>
      <w:r w:rsidRPr="00AF563C">
        <w:rPr>
          <w:rFonts w:ascii="Sakkal Majalla" w:hAnsi="Sakkal Majalla" w:cs="Sakkal Majalla"/>
          <w:sz w:val="32"/>
          <w:szCs w:val="32"/>
          <w:rtl/>
          <w:lang w:bidi="ar-EG"/>
        </w:rPr>
        <w:t>.</w:t>
      </w:r>
    </w:p>
    <w:p w14:paraId="7EBDE426" w14:textId="62B0F958" w:rsidR="00AF563C" w:rsidRPr="00AF563C" w:rsidRDefault="00AF563C" w:rsidP="00A74C7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ورغم ما يحققه هذا الاتجاه من حماية فعالة للمضرور إلا أنه تعرض بدوره للانتقاد لأنه قد يؤدي إلى تحميل المنتج أو المطور مسؤولية أضرار لم يكن بإمكانه توقعها أو منعها الأمر الذي قد يؤثر سلبًا على الابتكار والاستثمار في مجال الذكاء الاصطناعي.</w:t>
      </w:r>
    </w:p>
    <w:p w14:paraId="55E67226" w14:textId="34FEC224" w:rsidR="00AF563C" w:rsidRPr="00AF563C" w:rsidRDefault="00AF563C" w:rsidP="00D501B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المختلط بين الخطأ وتحمل التبعة فيُعد من أحدث الاتجاهات الفقهية المعاصرة، وقد ظهر محاولةً للتوفيق بين مزايا الاتجاهين السابقين وتجنب أوجه القصور في كل منهما ويقوم هذا الاتجاه على التفرقة بين تطبيقات الذكاء الاصطناعي بحسب طبيعتها ومستوى المخاطر المرتبطة بها</w:t>
      </w:r>
      <w:r w:rsidR="00A06191">
        <w:rPr>
          <w:rStyle w:val="FootnoteReference"/>
          <w:rFonts w:ascii="Sakkal Majalla" w:hAnsi="Sakkal Majalla" w:cs="Sakkal Majalla"/>
          <w:sz w:val="32"/>
          <w:szCs w:val="32"/>
          <w:rtl/>
          <w:lang w:bidi="ar-EG"/>
        </w:rPr>
        <w:footnoteReference w:id="226"/>
      </w:r>
      <w:r w:rsidRPr="00AF563C">
        <w:rPr>
          <w:rFonts w:ascii="Sakkal Majalla" w:hAnsi="Sakkal Majalla" w:cs="Sakkal Majalla"/>
          <w:sz w:val="32"/>
          <w:szCs w:val="32"/>
          <w:rtl/>
          <w:lang w:bidi="ar-EG"/>
        </w:rPr>
        <w:t>.</w:t>
      </w:r>
    </w:p>
    <w:p w14:paraId="09D0DB34" w14:textId="5956F4D8" w:rsidR="007625E4"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ففي التطبيقات العادية أو منخفضة المخاطر يستمر تطبيق المسؤولية القائمة على الخطأ باعتبارها الأصل العام للمساءلة المدنية، أما في التطبيقات عالية الخطورة، كالمركبات ذاتية القيادة والروبوتات الطبية والأنظمة الصناعية الذكية، فيمكن الأخذ بالمسؤولية الموضوعية أو تخفيف عبء الإثبات الواقع على المضرور</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ويحظى هذا الاتجاه بتأييد متزايد في الفقه الحديث لأنه يحقق قدرًا من التوازن بين حماية المتضررين من جهة، وعدم إثقال كاهل المطورين والمنتجين بمسؤوليات غير محدودة من جهة أخرى كما أنه يتوافق مع الاتجاهات التشريعية الحديثة التي تميل إلى تبني حلول مرنة تتناسب مع طبيعة كل تطبيق من تطبيقات الذكاء الاصطناعي ومستوى المخاطر الناشئة عنه.</w:t>
      </w:r>
    </w:p>
    <w:p w14:paraId="62476569" w14:textId="77777777" w:rsidR="00153A4E" w:rsidRPr="00AF563C" w:rsidRDefault="00153A4E" w:rsidP="00D501B1">
      <w:pPr>
        <w:bidi/>
        <w:spacing w:line="360" w:lineRule="auto"/>
        <w:jc w:val="lowKashida"/>
        <w:rPr>
          <w:rFonts w:ascii="Sakkal Majalla" w:hAnsi="Sakkal Majalla" w:cs="Sakkal Majalla"/>
          <w:b/>
          <w:bCs/>
          <w:sz w:val="32"/>
          <w:szCs w:val="32"/>
          <w:lang w:bidi="ar-EG"/>
        </w:rPr>
      </w:pPr>
      <w:r w:rsidRPr="00AF563C">
        <w:rPr>
          <w:rFonts w:ascii="Sakkal Majalla" w:hAnsi="Sakkal Majalla" w:cs="Sakkal Majalla"/>
          <w:b/>
          <w:bCs/>
          <w:sz w:val="32"/>
          <w:szCs w:val="32"/>
          <w:rtl/>
          <w:lang w:bidi="ar-EG"/>
        </w:rPr>
        <w:lastRenderedPageBreak/>
        <w:t>الفرع الثاني: الرأي الراجح ومدى ملاءمته للنظام السعودي</w:t>
      </w:r>
    </w:p>
    <w:p w14:paraId="1B10A4AD" w14:textId="4DA66CF2"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يثير تحديد الأساس القانوني الأنسب للمسؤولية المدنية عن أفعال الذكاء الاصطناعي تساؤلًا مهمًا حول مدى قدرة القواعد التقليدية للمسؤولية على استيعاب الخصائص التقنية لهذه الأنظمة. فالتطور المستمر للذكاء الاصطناعي وما يتمتع به من قدرات على التعلم الذاتي واتخاذ القرارات بصورة شبه مستقلة أوجد تحديات جديدة لم تكن مطروحة عند وضع قواعد المسؤولية المدنية التقليدية الأمر الذي يستدعي تقييم مدى ملاءمة كل من المسؤولية القائمة على الخطأ والمسؤولية الموضوعية للتعامل مع هذه المستجدات</w:t>
      </w:r>
      <w:r w:rsidR="00A06191">
        <w:rPr>
          <w:rStyle w:val="FootnoteReference"/>
          <w:rFonts w:ascii="Sakkal Majalla" w:hAnsi="Sakkal Majalla" w:cs="Sakkal Majalla"/>
          <w:sz w:val="32"/>
          <w:szCs w:val="32"/>
          <w:rtl/>
          <w:lang w:bidi="ar-EG"/>
        </w:rPr>
        <w:footnoteReference w:id="227"/>
      </w:r>
      <w:r w:rsidRPr="00AF563C">
        <w:rPr>
          <w:rFonts w:ascii="Sakkal Majalla" w:hAnsi="Sakkal Majalla" w:cs="Sakkal Majalla"/>
          <w:sz w:val="32"/>
          <w:szCs w:val="32"/>
          <w:rtl/>
          <w:lang w:bidi="ar-EG"/>
        </w:rPr>
        <w:t>.</w:t>
      </w:r>
    </w:p>
    <w:p w14:paraId="1B114E4A" w14:textId="51BC34DB"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وتظل المسؤولية القائمة على الخطأ هي الأساس العام للمسؤولية المدنية في النظام السعودي، وذلك استنادًا إلى المادة (120) من نظام المعاملات المدنية التي تنص على أن: «كل خطأ سبب ضررًا للغير يلزم من ارتكبه بالتعويض»</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ويظهر هذا النص بوضوح أن الخطأ يمثل الركن الرئيس الذي تقوم عليه المسؤولية المدنية في الأصل.</w:t>
      </w:r>
    </w:p>
    <w:p w14:paraId="366B1E20" w14:textId="55470EEA"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ولا شك أن هذا الأساس ما يزال صالحًا للتطبيق في العديد من صور الذكاء الاصطناعي، خاصة عندما يكون الضرر ناتجًا عن خطأ بشري يمكن تحديده وإثباته كالأخطاء البرمجية، أو التقصير في الاختبارات الفنية، أو الإهمال في الصيانة والتحديث أو سوء استخدام النظام من قبل المستخدم أو المشغل</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ففي هذه الحالات يمكن تطبيق القواعد التقليدية للمسؤولية المدنية دون الحاجة إلى استحداث نظام قانوني جديد</w:t>
      </w:r>
      <w:r w:rsidR="00A06191">
        <w:rPr>
          <w:rStyle w:val="FootnoteReference"/>
          <w:rFonts w:ascii="Sakkal Majalla" w:hAnsi="Sakkal Majalla" w:cs="Sakkal Majalla"/>
          <w:sz w:val="32"/>
          <w:szCs w:val="32"/>
          <w:rtl/>
          <w:lang w:bidi="ar-EG"/>
        </w:rPr>
        <w:footnoteReference w:id="228"/>
      </w:r>
      <w:r w:rsidRPr="00AF563C">
        <w:rPr>
          <w:rFonts w:ascii="Sakkal Majalla" w:hAnsi="Sakkal Majalla" w:cs="Sakkal Majalla"/>
          <w:sz w:val="32"/>
          <w:szCs w:val="32"/>
          <w:rtl/>
          <w:lang w:bidi="ar-EG"/>
        </w:rPr>
        <w:t>.</w:t>
      </w:r>
    </w:p>
    <w:p w14:paraId="24BD5DF8" w14:textId="77777777" w:rsidR="00BF39B0"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 xml:space="preserve">إلا أن الاعتماد الكامل على نظرية الخطأ قد يواجه صعوبات عملية في بعض التطبيقات المتقدمة للذكاء الاصطناعي، حيث يصعب أحيانًا تحديد مصدر الخطأ أو إثباته بسبب تعقيد الخوارزميات واعتمادها على </w:t>
      </w:r>
      <w:r w:rsidRPr="00AF563C">
        <w:rPr>
          <w:rFonts w:ascii="Sakkal Majalla" w:hAnsi="Sakkal Majalla" w:cs="Sakkal Majalla"/>
          <w:sz w:val="32"/>
          <w:szCs w:val="32"/>
          <w:rtl/>
          <w:lang w:bidi="ar-EG"/>
        </w:rPr>
        <w:lastRenderedPageBreak/>
        <w:t>التعلم الذاتي</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كما أن المضرور قد يجد صعوبة كبيرة في الوصول إلى المعلومات الفنية اللازمة لإثبات الخطأ والعلاقة السببية، الأمر الذي قد يؤدي إلى إضعاف الحماية القانونية المقررة له.</w:t>
      </w:r>
    </w:p>
    <w:p w14:paraId="238201A8" w14:textId="6B32A2E2"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ومن هنا تبرز أهمية المسؤولية الموضوعية في بعض التطبيقات عالية الخطورة</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فالأخذ بهذا النوع من المسؤولية لا يعني التخلي الكامل عن نظرية الخطأ، وإنما يمثل استثناءً تبرره طبيعة بعض الأنشطة التي تنطوي على مخاطر استثنائية قد تؤدي إلى أضرار جسيمة يصعب فيها إثبات الخطأ ويظهر ذلك بصورة خاصة في المركبات ذاتية القيادة، والروبوتات الجراحية، والأنظمة الطبية الذكية، وبعض التطبيقات الصناعية والعسكرية المتقدمة.</w:t>
      </w:r>
    </w:p>
    <w:p w14:paraId="32A1E503" w14:textId="129F3951"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التوجه سندًا له في بعض النصوص النظامية التي تقترب من فكرة تحمل التبعة، ومن أبرزها المادة (136) من نظام المعاملات المدنية السعودي المتعلقة بالمسؤولية عن الأشياء التي تتطلب عناية خاصة أو حراسة معينة، حيث خفف المنظم من عبء الإثبات الواقع على المضرور وأقام المسؤولية على أساس السيطرة والحراسة أكثر من ارتباطها بإثبات الخطأ الشخصي</w:t>
      </w:r>
      <w:r w:rsidR="00A06191">
        <w:rPr>
          <w:rStyle w:val="FootnoteReference"/>
          <w:rFonts w:ascii="Sakkal Majalla" w:hAnsi="Sakkal Majalla" w:cs="Sakkal Majalla"/>
          <w:sz w:val="32"/>
          <w:szCs w:val="32"/>
          <w:rtl/>
          <w:lang w:bidi="ar-EG"/>
        </w:rPr>
        <w:footnoteReference w:id="229"/>
      </w:r>
      <w:r w:rsidRPr="00AF563C">
        <w:rPr>
          <w:rFonts w:ascii="Sakkal Majalla" w:hAnsi="Sakkal Majalla" w:cs="Sakkal Majalla"/>
          <w:sz w:val="32"/>
          <w:szCs w:val="32"/>
          <w:rtl/>
          <w:lang w:bidi="ar-EG"/>
        </w:rPr>
        <w:t>.</w:t>
      </w:r>
    </w:p>
    <w:p w14:paraId="0BA017F2" w14:textId="59AC7B76"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كما أن المبادئ العامة المستمدة من الفقه الإسلامي تدعم إمكانية الأخذ بحلول قانونية تحقق حماية فعالة للمضرور ومن ذلك قاعدة «الضرر يزال»، وقاعدة «الغُنم بالغُرم» وقاعدة «من تسبب في ضرر لزمه الضمان»</w:t>
      </w:r>
      <w:r w:rsidR="00E12D5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وهي قواعد تتيح قدرًا من المرونة في تطوير أحكام المسؤولية بما يتناسب مع المستجدات التقنية الحديثة.</w:t>
      </w:r>
    </w:p>
    <w:p w14:paraId="328CFACC" w14:textId="698F7693" w:rsidR="00AF563C" w:rsidRPr="00AF563C" w:rsidRDefault="00AF563C" w:rsidP="00861C2E">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وفي ضوء ما تقدم يرى الباحث أن التوجه الأنسب للنظام السعودي يتمثل في تبني نموذج قانوني مزدوج يجمع بين المسؤولية القائمة على الخطأ والمسؤولية الموضوعية، بحيث تظل المسؤولية القائمة على الخطأ هي الأصل العام الواجب التطبيق على أغلب تطبيقات الذكاء الاصطناعي، بينما يُلجأ إلى المسؤولية الموضوعية أو إلى </w:t>
      </w:r>
      <w:r w:rsidRPr="00AF563C">
        <w:rPr>
          <w:rFonts w:ascii="Sakkal Majalla" w:hAnsi="Sakkal Majalla" w:cs="Sakkal Majalla"/>
          <w:sz w:val="32"/>
          <w:szCs w:val="32"/>
          <w:rtl/>
          <w:lang w:bidi="ar-EG"/>
        </w:rPr>
        <w:lastRenderedPageBreak/>
        <w:t>تخفيف عبء الإثبات في التطبيقات عالية الخطورة التي يصعب فيها إثبات الخطأ أو التي قد يترتب على أخطائها أضرار جسيمة</w:t>
      </w:r>
      <w:r w:rsidR="00861C2E">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ويحقق هذا الاتجاه عدة مزايا، من أهمها</w:t>
      </w:r>
      <w:r w:rsidR="00A06191">
        <w:rPr>
          <w:rStyle w:val="FootnoteReference"/>
          <w:rFonts w:ascii="Sakkal Majalla" w:hAnsi="Sakkal Majalla" w:cs="Sakkal Majalla"/>
          <w:sz w:val="32"/>
          <w:szCs w:val="32"/>
          <w:rtl/>
          <w:lang w:bidi="ar-EG"/>
        </w:rPr>
        <w:footnoteReference w:id="230"/>
      </w:r>
      <w:r w:rsidRPr="00AF563C">
        <w:rPr>
          <w:rFonts w:ascii="Sakkal Majalla" w:hAnsi="Sakkal Majalla" w:cs="Sakkal Majalla"/>
          <w:sz w:val="32"/>
          <w:szCs w:val="32"/>
          <w:rtl/>
          <w:lang w:bidi="ar-EG"/>
        </w:rPr>
        <w:t>:</w:t>
      </w:r>
    </w:p>
    <w:p w14:paraId="657E443E"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المحافظة على القواعد العامة المستقرة للمسؤولية المدنية في النظام السعودي.</w:t>
      </w:r>
    </w:p>
    <w:p w14:paraId="380CF117"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توفير حماية قانونية أكثر فعالية للمتضررين من الأنظمة الذكية.</w:t>
      </w:r>
    </w:p>
    <w:p w14:paraId="6389CEC7"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مواكبة التطورات التقنية والتشريعية الحديثة.</w:t>
      </w:r>
    </w:p>
    <w:p w14:paraId="38CE96D0" w14:textId="77777777"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تحقيق التوازن بين حماية المضرور وتشجيع الابتكار والاستثمار في مجال الذكاء الاصطناعي.</w:t>
      </w:r>
    </w:p>
    <w:p w14:paraId="0B53FD65" w14:textId="2061E654" w:rsidR="00AF563C" w:rsidRPr="00861C2E" w:rsidRDefault="00AF563C" w:rsidP="00861C2E">
      <w:pPr>
        <w:pStyle w:val="ListParagraph"/>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الحد من المشكلات العملية المرتبطة بإثبات الخطأ والعلاقة السببية.</w:t>
      </w:r>
    </w:p>
    <w:p w14:paraId="556D5ACE" w14:textId="317CC138" w:rsidR="00D501B1" w:rsidRPr="00861C2E" w:rsidRDefault="00AF563C" w:rsidP="00861C2E">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وبناءً على ذلك فإن الاتجاه المختلط الذي يجمع بين المسؤولية القائمة على الخطأ والمسؤولية الموضوعية يعد الأكثر ملاءمة للتعامل مع الأضرار الناشئة عن الذكاء الاصطناعي في الوقت الحاضر كما أنه الأقرب إلى تحقيق التوازن بين متطلبات العدالة القانونية وحاجات التطور التقني في إطار النظام القانوني السعودي.</w:t>
      </w:r>
    </w:p>
    <w:p w14:paraId="39270211" w14:textId="77777777" w:rsidR="00BF39B0" w:rsidRDefault="00BF39B0">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15D4828B" w14:textId="43554438" w:rsidR="0044569C" w:rsidRPr="00AD44D6" w:rsidRDefault="0044569C" w:rsidP="00CB5040">
      <w:pPr>
        <w:bidi/>
        <w:spacing w:line="360" w:lineRule="auto"/>
        <w:jc w:val="center"/>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lastRenderedPageBreak/>
        <w:t>المبحث الرابع: أركان المسؤولية في بيئة الذكاء الاصطناعي</w:t>
      </w:r>
    </w:p>
    <w:p w14:paraId="77669D93" w14:textId="05BE865C"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تقوم المسؤولية المدنية بوجه عام على مجموعة من الأركان الأساسية التي لا تكتمل إلا بتوافرها مجتمعة، والمتمثلة في الفعل الضار والضرر والعلاقة السببية بينهما</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استقرت هذه الأركان في الفقه والقضاء باعتبارها الأساس الذي يبنى عليه الالتزام بالتعويض سواء في المسؤولية العقدية أم في المسؤولية التقصيرية.</w:t>
      </w:r>
    </w:p>
    <w:p w14:paraId="4AB30679" w14:textId="6F0B7891"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ومع التطور المتسارع لتقنيات الذكاء الاصطناعي، برزت العديد من التحديات القانونية المرتبطة بتطبيق هذه الأركان على الأنظمة الذكية، خاصة في ظل ما تتمتع به من قدرات على التعلم الذاتي واتخاذ القرارات بصورة قد تبدو مستقلة عن التدخل البشري المباشر</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أدى ذلك إلى إثارة تساؤلات حول طبيعة الفعل الضار الصادر عن هذه الأنظمة، ومدى إمكانية اعتبار الأضرار الرقمية والافتراضية من الأضرار القابلة للتعويض</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فضلًا عن الصعوبات المرتبطة بإثبات العلاقة السببية بين عمل النظام الذكي والضرر الناتج عنه</w:t>
      </w:r>
      <w:r w:rsidR="006D6B7A">
        <w:rPr>
          <w:rStyle w:val="FootnoteReference"/>
          <w:rFonts w:ascii="Sakkal Majalla" w:hAnsi="Sakkal Majalla" w:cs="Sakkal Majalla"/>
          <w:sz w:val="32"/>
          <w:szCs w:val="32"/>
          <w:rtl/>
          <w:lang w:bidi="ar-EG"/>
        </w:rPr>
        <w:footnoteReference w:id="231"/>
      </w:r>
      <w:r w:rsidRPr="00136344">
        <w:rPr>
          <w:rFonts w:ascii="Sakkal Majalla" w:hAnsi="Sakkal Majalla" w:cs="Sakkal Majalla"/>
          <w:sz w:val="32"/>
          <w:szCs w:val="32"/>
          <w:rtl/>
          <w:lang w:bidi="ar-EG"/>
        </w:rPr>
        <w:t>.</w:t>
      </w:r>
    </w:p>
    <w:p w14:paraId="1930D0D2" w14:textId="0542C7D5" w:rsidR="00136344" w:rsidRDefault="00136344" w:rsidP="00CB5040">
      <w:pPr>
        <w:bidi/>
        <w:spacing w:line="360" w:lineRule="auto"/>
        <w:jc w:val="lowKashida"/>
        <w:rPr>
          <w:rFonts w:ascii="Sakkal Majalla" w:hAnsi="Sakkal Majalla" w:cs="Sakkal Majalla"/>
          <w:sz w:val="32"/>
          <w:szCs w:val="32"/>
          <w:rtl/>
          <w:lang w:bidi="ar-EG"/>
        </w:rPr>
      </w:pPr>
      <w:r w:rsidRPr="00136344">
        <w:rPr>
          <w:rFonts w:ascii="Sakkal Majalla" w:hAnsi="Sakkal Majalla" w:cs="Sakkal Majalla"/>
          <w:sz w:val="32"/>
          <w:szCs w:val="32"/>
          <w:rtl/>
          <w:lang w:bidi="ar-EG"/>
        </w:rPr>
        <w:t>وتزداد أهمية دراسة أركان المسؤولية المدنية في مجال الذكاء الاصطناعي بالنظر إلى الحاجة إلى إيجاد حلول قانونية قادرة على مواكبة التطور التقني وضمان حماية المتضررين من المخاطر الناشئة عن استخدام الأنظمة الذكية. ومن ثم يتناول هذا المبحث الفعل الضار والضرر والعلاقة السببية في بيئة الذكاء الاصطناعي، مع بيان أبرز الإشكالات القانونية التي تثيرها هذه التطبيقات الحديثة</w:t>
      </w:r>
      <w:r w:rsidR="006D6B7A">
        <w:rPr>
          <w:rStyle w:val="FootnoteReference"/>
          <w:rFonts w:ascii="Sakkal Majalla" w:hAnsi="Sakkal Majalla" w:cs="Sakkal Majalla"/>
          <w:sz w:val="32"/>
          <w:szCs w:val="32"/>
          <w:rtl/>
          <w:lang w:bidi="ar-EG"/>
        </w:rPr>
        <w:footnoteReference w:id="232"/>
      </w:r>
      <w:r w:rsidRPr="00136344">
        <w:rPr>
          <w:rFonts w:ascii="Sakkal Majalla" w:hAnsi="Sakkal Majalla" w:cs="Sakkal Majalla"/>
          <w:sz w:val="32"/>
          <w:szCs w:val="32"/>
          <w:rtl/>
          <w:lang w:bidi="ar-EG"/>
        </w:rPr>
        <w:t>.</w:t>
      </w:r>
    </w:p>
    <w:p w14:paraId="1293BD56" w14:textId="2CB2F78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الأول: الفعل الضار والضرر في بيئة الذكاء الاصطناعي</w:t>
      </w:r>
      <w:r w:rsidR="00CB5040">
        <w:rPr>
          <w:rFonts w:ascii="Sakkal Majalla" w:hAnsi="Sakkal Majalla" w:cs="Sakkal Majalla" w:hint="cs"/>
          <w:b/>
          <w:bCs/>
          <w:sz w:val="32"/>
          <w:szCs w:val="32"/>
          <w:rtl/>
          <w:lang w:bidi="ar-EG"/>
        </w:rPr>
        <w:t>.</w:t>
      </w:r>
    </w:p>
    <w:p w14:paraId="0E7AC7E1" w14:textId="1E340534" w:rsidR="00CB5040" w:rsidRPr="00F20E8E" w:rsidRDefault="00CB5040" w:rsidP="00F20E8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يعد الفعل الضار والضرر من الأركان الأساسية التي تقوم عليها المسؤولية المدنية، إذ لا يمكن تصور قيام المسؤولية دون وجود سلوك أو واقعة أدت إلى إلحاق ضرر بشخص آخر وقد استقرت القواعد القانونية </w:t>
      </w:r>
      <w:r w:rsidRPr="00CB5040">
        <w:rPr>
          <w:rFonts w:ascii="Sakkal Majalla" w:hAnsi="Sakkal Majalla" w:cs="Sakkal Majalla"/>
          <w:sz w:val="32"/>
          <w:szCs w:val="32"/>
          <w:rtl/>
          <w:lang w:bidi="ar-EG"/>
        </w:rPr>
        <w:lastRenderedPageBreak/>
        <w:t>التقليدية على أن الفعل الضار يصدر عن شخص طبيعي أو اعتباري يمكن تحديده ومساءلته، إلا أن التطور التقني الذي صاحب ظهور أنظمة الذكاء الاصطناعي أوجد صورًا جديدة للأفعال الضارة تختلف عن النماذج التقليدية المعروفة.</w:t>
      </w:r>
    </w:p>
    <w:p w14:paraId="48D34C15" w14:textId="1E49866E"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أن الأضرار الناشئة عن الأنظمة الذكية لم تعد تقتصر على الأضرار المادية أو المعنوية التقليدية، بل امتدت لتشمل أضرارًا رقمية وتقنية مستحدثة ترتبط بالبيانات والخصوصية والأنظمة الإلكترونية ومن ثم تبرز أهمية دراسة طبيعة الفعل الضار في بيئة الذكاء الاصطناعي وصور الضرر المترتبة عليه، مع بيان الشروط القانونية اللازمة لاستحقاق التعويض عن هذه الأضرار</w:t>
      </w:r>
      <w:r w:rsidR="006D6B7A">
        <w:rPr>
          <w:rStyle w:val="FootnoteReference"/>
          <w:rFonts w:ascii="Sakkal Majalla" w:hAnsi="Sakkal Majalla" w:cs="Sakkal Majalla"/>
          <w:sz w:val="32"/>
          <w:szCs w:val="32"/>
          <w:rtl/>
          <w:lang w:bidi="ar-EG"/>
        </w:rPr>
        <w:footnoteReference w:id="233"/>
      </w:r>
      <w:r w:rsidRPr="00CB5040">
        <w:rPr>
          <w:rFonts w:ascii="Sakkal Majalla" w:hAnsi="Sakkal Majalla" w:cs="Sakkal Majalla"/>
          <w:sz w:val="32"/>
          <w:szCs w:val="32"/>
          <w:rtl/>
          <w:lang w:bidi="ar-EG"/>
        </w:rPr>
        <w:t>.</w:t>
      </w:r>
    </w:p>
    <w:p w14:paraId="6D1A922D" w14:textId="4CB86F83" w:rsidR="00AF563C" w:rsidRPr="00F20E8E" w:rsidRDefault="00AF563C" w:rsidP="00CB5040">
      <w:pPr>
        <w:bidi/>
        <w:spacing w:line="360" w:lineRule="auto"/>
        <w:jc w:val="lowKashida"/>
        <w:rPr>
          <w:rFonts w:ascii="Sakkal Majalla" w:hAnsi="Sakkal Majalla" w:cs="Sakkal Majalla"/>
          <w:b/>
          <w:bCs/>
          <w:sz w:val="32"/>
          <w:szCs w:val="32"/>
          <w:lang w:bidi="ar-EG"/>
        </w:rPr>
      </w:pPr>
      <w:r w:rsidRPr="00F20E8E">
        <w:rPr>
          <w:rFonts w:ascii="Sakkal Majalla" w:hAnsi="Sakkal Majalla" w:cs="Sakkal Majalla"/>
          <w:b/>
          <w:bCs/>
          <w:sz w:val="32"/>
          <w:szCs w:val="32"/>
          <w:rtl/>
          <w:lang w:bidi="ar-EG"/>
        </w:rPr>
        <w:t>الفرع الأول: الفعل الضار في الأنظمة الذكية</w:t>
      </w:r>
      <w:r w:rsidR="00F20E8E">
        <w:rPr>
          <w:rFonts w:ascii="Sakkal Majalla" w:hAnsi="Sakkal Majalla" w:cs="Sakkal Majalla" w:hint="cs"/>
          <w:b/>
          <w:bCs/>
          <w:sz w:val="32"/>
          <w:szCs w:val="32"/>
          <w:rtl/>
          <w:lang w:bidi="ar-EG"/>
        </w:rPr>
        <w:t>.</w:t>
      </w:r>
    </w:p>
    <w:p w14:paraId="3DD4BEF6" w14:textId="4E6CB270"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الفعل الضار الركن الأول لقيام المسؤولية المدنية، ويقصد به كل سلوك أو تصرف غير مشروع يترتب عليه إلحاق ضرر بالغير</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سواء صدر في صورة فعل إيجابي أم امتناع عن القيام بواجب يفرضه القانون. وقد استقرت القواعد العامة للمسؤولية المدنية على ضرورة وجود فعل ضار يمكن نسبته إلى شخص معين حتى تنشأ مسؤوليته عن التعويض، إذ لا يكفي مجرد وقوع الضرر ما لم يكن نتيجة لسلوك غير مشروع</w:t>
      </w:r>
      <w:r w:rsidR="006D6B7A">
        <w:rPr>
          <w:rStyle w:val="FootnoteReference"/>
          <w:rFonts w:ascii="Sakkal Majalla" w:hAnsi="Sakkal Majalla" w:cs="Sakkal Majalla"/>
          <w:sz w:val="32"/>
          <w:szCs w:val="32"/>
          <w:rtl/>
          <w:lang w:bidi="ar-EG"/>
        </w:rPr>
        <w:footnoteReference w:id="234"/>
      </w:r>
      <w:r w:rsidRPr="00CB5040">
        <w:rPr>
          <w:rFonts w:ascii="Sakkal Majalla" w:hAnsi="Sakkal Majalla" w:cs="Sakkal Majalla"/>
          <w:sz w:val="32"/>
          <w:szCs w:val="32"/>
          <w:rtl/>
          <w:lang w:bidi="ar-EG"/>
        </w:rPr>
        <w:t>.</w:t>
      </w:r>
    </w:p>
    <w:p w14:paraId="39E2BFD8" w14:textId="323E3FE8"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وقد أخذ المنظم السعودي بهذا المبدأ من خلال المادة (120) من نظام المعاملات المدنية التي تنص على أن: «كل خطأ سبب ضررًا للغير يلزم من ارتكبه بالتعويض»، وهو ما يدل على ارتباط الفعل الضار بفكرة الخطأ </w:t>
      </w:r>
      <w:r w:rsidRPr="00CB5040">
        <w:rPr>
          <w:rFonts w:ascii="Sakkal Majalla" w:hAnsi="Sakkal Majalla" w:cs="Sakkal Majalla"/>
          <w:sz w:val="32"/>
          <w:szCs w:val="32"/>
          <w:rtl/>
          <w:lang w:bidi="ar-EG"/>
        </w:rPr>
        <w:lastRenderedPageBreak/>
        <w:t>والنتيجة الضارة المترتبة عليه. ويشمل الفعل الضار مختلف صور السلوك التي تؤدي إلى الاعتداء على حق أو مصلحة مشروعة للغير.</w:t>
      </w:r>
    </w:p>
    <w:p w14:paraId="092F166A" w14:textId="19267EBA"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مجال الذكاء الاصطناعي يكتسب مفهوم الفعل الضار خصوصية تختلف عن صور المسؤولية التقليدية، إذ قد ينشأ الضرر نتيجة قرارات أو تصرفات تصدر عن أنظمة ذكية تعمل بدرجة معينة من الاستقلالية. فبعض تطبيقات الذكاء الاصطناعي أصبحت قادرة على تحليل البيانات والتعلم منها واتخاذ قرارات دون تدخل بشري مباشر، كما هو الحال في المركبات ذاتية القيادة والروبوتات الصناعية والأنظمة الطبية الذكية.</w:t>
      </w:r>
    </w:p>
    <w:p w14:paraId="1495CB7B" w14:textId="35F8B0B1"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هنا ظهر مفهوم الأفعال المستقلة للذكاء الاصطناعي، ويقصد بها الأفعال أو القرارات التي تصدر عن النظام الذكي نتيجة عمليات التعلم والتحليل الذاتي التي يقوم بها أثناء التشغيل. وتتمثل أهم الإشكالات القانونية المرتبطة بهذه الأفعال في صعوبة تحديد الشخص المسؤول عنها</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خاصة عندما لا يكون الضرر نتيجة أمر مباشر صادر من المستخدم أو المشغل</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وقد دفع ذلك جانبًا من الفقه إلى المطالبة بتطوير قواعد المسؤولية المدنية بما يتلاءم مع الطبيعة الخاصة لهذه الأنظمة</w:t>
      </w:r>
      <w:r w:rsidR="006D6B7A">
        <w:rPr>
          <w:rStyle w:val="FootnoteReference"/>
          <w:rFonts w:ascii="Sakkal Majalla" w:hAnsi="Sakkal Majalla" w:cs="Sakkal Majalla"/>
          <w:sz w:val="32"/>
          <w:szCs w:val="32"/>
          <w:rtl/>
          <w:lang w:bidi="ar-EG"/>
        </w:rPr>
        <w:footnoteReference w:id="235"/>
      </w:r>
      <w:r w:rsidRPr="00CB5040">
        <w:rPr>
          <w:rFonts w:ascii="Sakkal Majalla" w:hAnsi="Sakkal Majalla" w:cs="Sakkal Majalla"/>
          <w:sz w:val="32"/>
          <w:szCs w:val="32"/>
          <w:rtl/>
          <w:lang w:bidi="ar-EG"/>
        </w:rPr>
        <w:t>.</w:t>
      </w:r>
    </w:p>
    <w:p w14:paraId="18962E58" w14:textId="33B58D77"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المقابل قد يكون الفعل الضار ناتجًا عن خلل برمجي داخل النظام الذكي، وهو ما يعد من أكثر صور الأضرار شيوعًا في تطبيقات الذكاء الاصطناعي. فالخطأ في تصميم الخوارزميات أو قصور عمليات الاختبار أو وجود ثغرات تقنية قد يؤدي إلى صدور قرارات خاطئة أو نتائج غير دقيقة تلحق أضرارًا بالأفراد أو المؤسسات. وفي هذه الحالة يكون الضرر مرتبطًا بعيب فني أو برمجي يمكن إرجاعه إلى المبرمج أو المطور أو الجهة المنتجة للنظام بحسب ظروف كل حالة</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وتشمل صور الخلل البرمجي على وجه الخصوص</w:t>
      </w:r>
      <w:r w:rsidR="006D6B7A">
        <w:rPr>
          <w:rStyle w:val="FootnoteReference"/>
          <w:rFonts w:ascii="Sakkal Majalla" w:hAnsi="Sakkal Majalla" w:cs="Sakkal Majalla"/>
          <w:sz w:val="32"/>
          <w:szCs w:val="32"/>
          <w:rtl/>
          <w:lang w:bidi="ar-EG"/>
        </w:rPr>
        <w:footnoteReference w:id="236"/>
      </w:r>
      <w:r w:rsidRPr="00CB5040">
        <w:rPr>
          <w:rFonts w:ascii="Sakkal Majalla" w:hAnsi="Sakkal Majalla" w:cs="Sakkal Majalla"/>
          <w:sz w:val="32"/>
          <w:szCs w:val="32"/>
          <w:rtl/>
          <w:lang w:bidi="ar-EG"/>
        </w:rPr>
        <w:t>:</w:t>
      </w:r>
    </w:p>
    <w:p w14:paraId="547CA9A1"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lastRenderedPageBreak/>
        <w:t>أخطاء تصميم الخوارزميات.</w:t>
      </w:r>
    </w:p>
    <w:p w14:paraId="4D846027"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قصور بيانات التدريب أو تحيزها.</w:t>
      </w:r>
    </w:p>
    <w:p w14:paraId="6A6989C3"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فشل التحديثات البرمجية.</w:t>
      </w:r>
    </w:p>
    <w:p w14:paraId="6DD6F69F" w14:textId="77777777"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الثغرات الأمنية.</w:t>
      </w:r>
    </w:p>
    <w:p w14:paraId="692A2F68" w14:textId="3EB85FE6" w:rsidR="00CB5040" w:rsidRPr="00095A23" w:rsidRDefault="00CB5040" w:rsidP="00095A23">
      <w:pPr>
        <w:pStyle w:val="ListParagraph"/>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أخطاء معالجة البيانات أو تحليلها.</w:t>
      </w:r>
    </w:p>
    <w:p w14:paraId="6A2FA9A7" w14:textId="418C4F66" w:rsidR="00CB5040"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وبذلك يتخذ الفعل الضار في بيئة الذكاء الاصطناعي صورًا متعددة تتراوح بين الأفعال المستقلة الصادرة عن الأنظمة الذكية والأفعال الناتجة عن الأخطاء والعيوب البرمجية، الأمر الذي يجعل تحديد المسؤولية المدنية أكثر تعقيدًا مقارنة بالصور التقليدية للمسؤولية.</w:t>
      </w:r>
    </w:p>
    <w:p w14:paraId="464D327F" w14:textId="7E4E4F95"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الضرر وشروط التعويض عنه</w:t>
      </w:r>
      <w:r w:rsidR="00095A23">
        <w:rPr>
          <w:rFonts w:ascii="Sakkal Majalla" w:hAnsi="Sakkal Majalla" w:cs="Sakkal Majalla" w:hint="cs"/>
          <w:b/>
          <w:bCs/>
          <w:sz w:val="32"/>
          <w:szCs w:val="32"/>
          <w:rtl/>
          <w:lang w:bidi="ar-EG"/>
        </w:rPr>
        <w:t>.</w:t>
      </w:r>
    </w:p>
    <w:p w14:paraId="09B339C3" w14:textId="550F68B3"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الضرر الركن الثاني من أركان المسؤولية المدنية، وهو الأثر الذي يترتب على الفعل الضار ويصيب المضرور في حق من حقوقه أو مصلحة مشروعة له</w:t>
      </w:r>
      <w:r w:rsidR="008B3BB2">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وجود خطأ أو فعل غير مشروع لقيام المسؤولية، بل يجب أن يترتب عليه ضرر حقيقي يستوجب الحماية القانونية وقد أكد المنظم السعودي هذا المبدأ في المادة (120) من نظام المعاملات المدنية التي تقضي بأن: «كل خطأ سبب ضررًا للغير يلزم من ارتكبه بالتعويض»</w:t>
      </w:r>
      <w:r w:rsidR="006D6B7A">
        <w:rPr>
          <w:rStyle w:val="FootnoteReference"/>
          <w:rFonts w:ascii="Sakkal Majalla" w:hAnsi="Sakkal Majalla" w:cs="Sakkal Majalla"/>
          <w:sz w:val="32"/>
          <w:szCs w:val="32"/>
          <w:rtl/>
          <w:lang w:bidi="ar-EG"/>
        </w:rPr>
        <w:footnoteReference w:id="237"/>
      </w:r>
      <w:r w:rsidRPr="00CB5040">
        <w:rPr>
          <w:rFonts w:ascii="Sakkal Majalla" w:hAnsi="Sakkal Majalla" w:cs="Sakkal Majalla"/>
          <w:sz w:val="32"/>
          <w:szCs w:val="32"/>
          <w:rtl/>
          <w:lang w:bidi="ar-EG"/>
        </w:rPr>
        <w:t>.</w:t>
      </w:r>
    </w:p>
    <w:p w14:paraId="291147A0" w14:textId="13A88DEE"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ويتخذ الضرر في بيئة الذكاء الاصطناعي صورًا متعددة، يأتي في مقدمتها الضرر المادي الذي يتمثل في الخسائر المالية أو إتلاف الأموال والممتلكات أو تعطيل الأنظمة والأجهزة نتيجة أخطاء الأنظمة الذكية أو القرارات الآلية الخاطئة كما قد يكون الضرر معنويًا إذا ترتب على استخدام الذكاء الاصطناعي المساس بسمعة </w:t>
      </w:r>
      <w:r w:rsidRPr="00CB5040">
        <w:rPr>
          <w:rFonts w:ascii="Sakkal Majalla" w:hAnsi="Sakkal Majalla" w:cs="Sakkal Majalla"/>
          <w:sz w:val="32"/>
          <w:szCs w:val="32"/>
          <w:rtl/>
          <w:lang w:bidi="ar-EG"/>
        </w:rPr>
        <w:lastRenderedPageBreak/>
        <w:t>الشخص أو خصوصيته أو اعتباره أو إلحاق أذى نفسي به نتيجة المعلومات أو القرارات الصادرة عن النظام الذكي</w:t>
      </w:r>
      <w:r w:rsidR="006D6B7A">
        <w:rPr>
          <w:rStyle w:val="FootnoteReference"/>
          <w:rFonts w:ascii="Sakkal Majalla" w:hAnsi="Sakkal Majalla" w:cs="Sakkal Majalla"/>
          <w:sz w:val="32"/>
          <w:szCs w:val="32"/>
          <w:rtl/>
          <w:lang w:bidi="ar-EG"/>
        </w:rPr>
        <w:footnoteReference w:id="238"/>
      </w:r>
      <w:r w:rsidRPr="00CB5040">
        <w:rPr>
          <w:rFonts w:ascii="Sakkal Majalla" w:hAnsi="Sakkal Majalla" w:cs="Sakkal Majalla"/>
          <w:sz w:val="32"/>
          <w:szCs w:val="32"/>
          <w:rtl/>
          <w:lang w:bidi="ar-EG"/>
        </w:rPr>
        <w:t>.</w:t>
      </w:r>
    </w:p>
    <w:p w14:paraId="3D070CD9" w14:textId="77777777" w:rsidR="00CB3EE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وإلى جانب ذلك برزت صورة حديثة تعرف بـ الضرر الرقمي والذي يتمثل في فقدان البيانات أو تسريبها أو التلاعب بها أو اختراق الأنظمة الإلكترونية أو إساءة استخدام المعلومات الشخصية وهي من الأضرار التي أصبحت أكثر شيوعًا مع التوسع في الاعتماد على التقنيات الذكية والبيانات الضخمة.</w:t>
      </w:r>
    </w:p>
    <w:p w14:paraId="68B545FD" w14:textId="5284BF2A" w:rsidR="00CB504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ولكي يكون الضرر مستوجبًا للتعويض</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يشترط أن يكون ضررًا محققًا أو مؤكد الوقوع، وأن يكون مباشرًا ومترتبًا على الفعل الضار وأن يمس حقًا أو مصلحة مشروعة يحميها القانون وأن يكون شخصيًا بالنسبة للمضرور</w:t>
      </w:r>
      <w:r>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وتعد هذه الشروط الضابط القانوني الذي يحدد نطاق الحماية المدنية ويضمن حصول المتضرر على تعويض عادل عن الأضرار التي لحقت به نتيجة استخدام أنظمة الذكاء الاصطناعي.</w:t>
      </w:r>
    </w:p>
    <w:p w14:paraId="72DBDB7D" w14:textId="08921ED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24406B58" w14:textId="517D75A0" w:rsidR="00CB5040" w:rsidRPr="00CB3EE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الذي يربط بين الفعل الضار والضرر، فلا يكفي وقوع الفعل أو تحقق الضرر لقيام المسؤولية المدنية ما لم يثبت أن الضرر كان نتيجة مباشرة لذلك الفعل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ولذلك تحتل السببية أهمية خاصة في دعاوى المسؤولية المدنية، إذ يترتب على ثبوتها أو انتفائها تقرير المسؤولية أو نفيها</w:t>
      </w:r>
      <w:r w:rsidR="006D6B7A">
        <w:rPr>
          <w:rStyle w:val="FootnoteReference"/>
          <w:rFonts w:ascii="Sakkal Majalla" w:hAnsi="Sakkal Majalla" w:cs="Sakkal Majalla"/>
          <w:sz w:val="32"/>
          <w:szCs w:val="32"/>
          <w:rtl/>
          <w:lang w:bidi="ar-EG"/>
        </w:rPr>
        <w:footnoteReference w:id="239"/>
      </w:r>
      <w:r w:rsidRPr="00CB5040">
        <w:rPr>
          <w:rFonts w:ascii="Sakkal Majalla" w:hAnsi="Sakkal Majalla" w:cs="Sakkal Majalla"/>
          <w:sz w:val="32"/>
          <w:szCs w:val="32"/>
          <w:rtl/>
          <w:lang w:bidi="ar-EG"/>
        </w:rPr>
        <w:t>.</w:t>
      </w:r>
    </w:p>
    <w:p w14:paraId="2B258366" w14:textId="232FA69C"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غير أن إثبات العلاقة السببية في مجال الذكاء الاصطناعي يثير العديد من التحديات القانونية والفنية، نتيجة تعقيد الخوارزميات واعتماد بعض الأنظمة على التعلم الذاتي واتخاذ القرارات بصورة شبه مستقلة. </w:t>
      </w:r>
      <w:r w:rsidRPr="00CB5040">
        <w:rPr>
          <w:rFonts w:ascii="Sakkal Majalla" w:hAnsi="Sakkal Majalla" w:cs="Sakkal Majalla"/>
          <w:sz w:val="32"/>
          <w:szCs w:val="32"/>
          <w:rtl/>
          <w:lang w:bidi="ar-EG"/>
        </w:rPr>
        <w:lastRenderedPageBreak/>
        <w:t>كما أن صعوبة فهم الآلية الداخلية لبعض الأنظمة الذكية وما يعرف بمشكلة "الصندوق الأسود" جعلت من تحديد السبب الحقيقي للضرر مسألة أكثر تعقيدًا مقارنة بصور المسؤولية المدنية التقليدية</w:t>
      </w:r>
      <w:r w:rsidR="006D6B7A">
        <w:rPr>
          <w:rStyle w:val="FootnoteReference"/>
          <w:rFonts w:ascii="Sakkal Majalla" w:hAnsi="Sakkal Majalla" w:cs="Sakkal Majalla"/>
          <w:sz w:val="32"/>
          <w:szCs w:val="32"/>
          <w:rtl/>
          <w:lang w:bidi="ar-EG"/>
        </w:rPr>
        <w:footnoteReference w:id="240"/>
      </w:r>
      <w:r w:rsidRPr="00CB5040">
        <w:rPr>
          <w:rFonts w:ascii="Sakkal Majalla" w:hAnsi="Sakkal Majalla" w:cs="Sakkal Majalla"/>
          <w:sz w:val="32"/>
          <w:szCs w:val="32"/>
          <w:rtl/>
          <w:lang w:bidi="ar-EG"/>
        </w:rPr>
        <w:t>.</w:t>
      </w:r>
    </w:p>
    <w:p w14:paraId="77803E2C" w14:textId="0E1B18E8"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ثم تبرز الحاجة إلى دراسة مفهوم العلاقة السببية والصعوبات المرتبطة بإثباتها في بيئة الذكاء الاصطناعي مع بيان أبرز الحلول الفقهية والقانونية الحديثة التي تهدف إلى تحقيق التوازن بين حماية المتضررين ومواكبة التطور التقني المتسارع.</w:t>
      </w:r>
    </w:p>
    <w:p w14:paraId="1E91D9AB" w14:textId="742236C7"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الأول: مفهوم العلاقة السببية وصعوبات إثباتها</w:t>
      </w:r>
      <w:r w:rsidR="00CB5040">
        <w:rPr>
          <w:rFonts w:ascii="Sakkal Majalla" w:hAnsi="Sakkal Majalla" w:cs="Sakkal Majalla" w:hint="cs"/>
          <w:b/>
          <w:bCs/>
          <w:sz w:val="32"/>
          <w:szCs w:val="32"/>
          <w:rtl/>
          <w:lang w:bidi="ar-EG"/>
        </w:rPr>
        <w:t>.</w:t>
      </w:r>
    </w:p>
    <w:p w14:paraId="54A65363" w14:textId="79DFE2F3"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الثالث من أركان المسؤولية المدنية، ويقصد بها الرابطة القانونية التي تربط بين الفعل الضار والضرر الواقع، بحيث يكون الضرر نتيجة مباشرة للفعل المنسوب إلى المسؤول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ثبوت الخطأ أو تحقق الضرر لقيام المسؤولية بل يجب إثبات أن الضرر ما كان ليقع لولا الفعل الضار. ولهذا تُعد العلاقة السببية الوسيلة التي يتم من خلالها إسناد نتائج الفعل إلى مرتكبه وتحميله الالتزام بالتعويض</w:t>
      </w:r>
      <w:r w:rsidR="006D6B7A">
        <w:rPr>
          <w:rStyle w:val="FootnoteReference"/>
          <w:rFonts w:ascii="Sakkal Majalla" w:hAnsi="Sakkal Majalla" w:cs="Sakkal Majalla"/>
          <w:sz w:val="32"/>
          <w:szCs w:val="32"/>
          <w:rtl/>
          <w:lang w:bidi="ar-EG"/>
        </w:rPr>
        <w:footnoteReference w:id="241"/>
      </w:r>
      <w:r w:rsidRPr="00CB5040">
        <w:rPr>
          <w:rFonts w:ascii="Sakkal Majalla" w:hAnsi="Sakkal Majalla" w:cs="Sakkal Majalla"/>
          <w:sz w:val="32"/>
          <w:szCs w:val="32"/>
          <w:rtl/>
          <w:lang w:bidi="ar-EG"/>
        </w:rPr>
        <w:t>.</w:t>
      </w:r>
    </w:p>
    <w:p w14:paraId="4003E3A5" w14:textId="14B49471"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وقد أخذ المنظم السعودي بهذا المبدأ من خلال المادة (120) من نظام المعاملات المدنية التي نصت على أن: «كل خطأ سبب ضررًا للغير يلزم من ارتكبه بالتعويض»، حيث يتضح من النص أن التعويض لا يترتب على مجرد الخطأ أو مجرد الضرر وإنما يشترط وجود رابطة سببية بينهما. ولذلك يقع على عاتق المضرور إثبات أن الضرر الذي لحق به كان نتيجة مباشرة للفعل أو الخطأ المنسوب إلى المسؤول</w:t>
      </w:r>
      <w:r w:rsidR="006D6B7A">
        <w:rPr>
          <w:rStyle w:val="FootnoteReference"/>
          <w:rFonts w:ascii="Sakkal Majalla" w:hAnsi="Sakkal Majalla" w:cs="Sakkal Majalla"/>
          <w:sz w:val="32"/>
          <w:szCs w:val="32"/>
          <w:rtl/>
          <w:lang w:bidi="ar-EG"/>
        </w:rPr>
        <w:footnoteReference w:id="242"/>
      </w:r>
      <w:r w:rsidRPr="00CB5040">
        <w:rPr>
          <w:rFonts w:ascii="Sakkal Majalla" w:hAnsi="Sakkal Majalla" w:cs="Sakkal Majalla"/>
          <w:sz w:val="32"/>
          <w:szCs w:val="32"/>
          <w:rtl/>
          <w:lang w:bidi="ar-EG"/>
        </w:rPr>
        <w:t>.</w:t>
      </w:r>
    </w:p>
    <w:p w14:paraId="0A13AEA9" w14:textId="335BF14A"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وفي البيئة التقليدية للمسؤولية المدنية غالبًا ما يكون إثبات العلاقة السببية أمرًا ممكنًا من خلال الوقائع والأدلة المتاحة إلا أن الأمر يختلف في مجال الذكاء الاصطناعي بسبب الطبيعة التقنية المعقدة للأنظمة </w:t>
      </w:r>
      <w:r w:rsidRPr="00CB5040">
        <w:rPr>
          <w:rFonts w:ascii="Sakkal Majalla" w:hAnsi="Sakkal Majalla" w:cs="Sakkal Majalla"/>
          <w:sz w:val="32"/>
          <w:szCs w:val="32"/>
          <w:rtl/>
          <w:lang w:bidi="ar-EG"/>
        </w:rPr>
        <w:lastRenderedPageBreak/>
        <w:t>الذكية فهذه الأنظمة تعتمد على خوارزميات متطورة وقدرات تعلم ذاتي تمكنها من معالجة كميات ضخمة من البيانات واتخاذ قرارات قد لا يكون الإنسان قادرًا على تفسيرها أو تتبع جميع مراحلها</w:t>
      </w:r>
      <w:r w:rsidR="006D6B7A">
        <w:rPr>
          <w:rStyle w:val="FootnoteReference"/>
          <w:rFonts w:ascii="Sakkal Majalla" w:hAnsi="Sakkal Majalla" w:cs="Sakkal Majalla"/>
          <w:sz w:val="32"/>
          <w:szCs w:val="32"/>
          <w:rtl/>
          <w:lang w:bidi="ar-EG"/>
        </w:rPr>
        <w:footnoteReference w:id="243"/>
      </w:r>
      <w:r w:rsidRPr="00CB5040">
        <w:rPr>
          <w:rFonts w:ascii="Sakkal Majalla" w:hAnsi="Sakkal Majalla" w:cs="Sakkal Majalla"/>
          <w:sz w:val="32"/>
          <w:szCs w:val="32"/>
          <w:rtl/>
          <w:lang w:bidi="ar-EG"/>
        </w:rPr>
        <w:t>.</w:t>
      </w:r>
    </w:p>
    <w:p w14:paraId="5F590DDB" w14:textId="55FFC5DF"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أبرز الإشكالات التي تواجه إثبات العلاقة السببية في هذا المجال ما يعرف بمشكلة الصندوق الأسود (</w:t>
      </w:r>
      <w:r w:rsidRPr="00CB5040">
        <w:rPr>
          <w:rFonts w:ascii="Sakkal Majalla" w:hAnsi="Sakkal Majalla" w:cs="Sakkal Majalla"/>
          <w:sz w:val="32"/>
          <w:szCs w:val="32"/>
          <w:lang w:bidi="ar-EG"/>
        </w:rPr>
        <w:t>Black Box</w:t>
      </w:r>
      <w:r w:rsidRPr="00CB5040">
        <w:rPr>
          <w:rFonts w:ascii="Sakkal Majalla" w:hAnsi="Sakkal Majalla" w:cs="Sakkal Majalla"/>
          <w:sz w:val="32"/>
          <w:szCs w:val="32"/>
          <w:rtl/>
          <w:lang w:bidi="ar-EG"/>
        </w:rPr>
        <w:t>)، وهي من أكثر المشكلات القانونية والتقنية إثارة للجدل في تطبيقات الذكاء الاصطناعي الحديثة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ويقصد بها الحالة التي يمكن فيها معرفة البيانات المدخلة والنتائج التي توصل إليها النظام، بينما تبقى الآلية الداخلية التي أدت إلى اتخاذ القرار غير واضحة أو غير قابلة للتفسير بصورة دقيقة.</w:t>
      </w:r>
    </w:p>
    <w:p w14:paraId="44F051F2" w14:textId="48D86A64"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وتظهر هذه المشكلة بصورة خاصة في أنظمة التعلم العميق (</w:t>
      </w:r>
      <w:r w:rsidRPr="00CB5040">
        <w:rPr>
          <w:rFonts w:ascii="Sakkal Majalla" w:hAnsi="Sakkal Majalla" w:cs="Sakkal Majalla"/>
          <w:sz w:val="32"/>
          <w:szCs w:val="32"/>
          <w:lang w:bidi="ar-EG"/>
        </w:rPr>
        <w:t>Deep Learning</w:t>
      </w:r>
      <w:r w:rsidRPr="00CB5040">
        <w:rPr>
          <w:rFonts w:ascii="Sakkal Majalla" w:hAnsi="Sakkal Majalla" w:cs="Sakkal Majalla"/>
          <w:sz w:val="32"/>
          <w:szCs w:val="32"/>
          <w:rtl/>
          <w:lang w:bidi="ar-EG"/>
        </w:rPr>
        <w:t>) حيث تقوم الخوارزميات بإجراء ملايين العمليات الحسابية والربط بين عدد هائل من المتغيرات، مما يجعل من الصعب حتى على مطوري النظام أنفسهم تفسير الكيفية التي وصل بها النظام إلى النتيجة النهائية. ونتيجة لذلك قد يقع الضرر دون إمكانية تحديد الحلقة التي حدث فيها الخلل أو الشخص المسؤول عنه بصورة قاطعة</w:t>
      </w:r>
      <w:r w:rsidR="006D6B7A">
        <w:rPr>
          <w:rStyle w:val="FootnoteReference"/>
          <w:rFonts w:ascii="Sakkal Majalla" w:hAnsi="Sakkal Majalla" w:cs="Sakkal Majalla"/>
          <w:sz w:val="32"/>
          <w:szCs w:val="32"/>
          <w:rtl/>
          <w:lang w:bidi="ar-EG"/>
        </w:rPr>
        <w:footnoteReference w:id="244"/>
      </w:r>
      <w:r w:rsidRPr="00CB5040">
        <w:rPr>
          <w:rFonts w:ascii="Sakkal Majalla" w:hAnsi="Sakkal Majalla" w:cs="Sakkal Majalla"/>
          <w:sz w:val="32"/>
          <w:szCs w:val="32"/>
          <w:rtl/>
          <w:lang w:bidi="ar-EG"/>
        </w:rPr>
        <w:t>.</w:t>
      </w:r>
    </w:p>
    <w:p w14:paraId="467F9F32" w14:textId="4A693808"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تزداد صعوبة إثبات العلاقة السببية عندما تتعدد الأطراف المتدخلة في تشغيل النظام الذكي، إذ قد يشارك في إنتاج النتيجة الضارة كل من المنتج والمبرمج ومزود البيانات والمشغل والمستخدم</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ففي هذه الحالة يصبح من العسير تحديد ما إذا كان الضرر قد نشأ بسبب خطأ في البرمجة، أو قصور في البيانات المستخدمة، أو سوء تشغيل النظام أو نتيجة قرار ذاتي اتخذه النظام أثناء عملية التعلم</w:t>
      </w:r>
      <w:r w:rsidR="006D6B7A">
        <w:rPr>
          <w:rStyle w:val="FootnoteReference"/>
          <w:rFonts w:ascii="Sakkal Majalla" w:hAnsi="Sakkal Majalla" w:cs="Sakkal Majalla"/>
          <w:sz w:val="32"/>
          <w:szCs w:val="32"/>
          <w:rtl/>
          <w:lang w:bidi="ar-EG"/>
        </w:rPr>
        <w:footnoteReference w:id="245"/>
      </w:r>
      <w:r w:rsidRPr="00CB5040">
        <w:rPr>
          <w:rFonts w:ascii="Sakkal Majalla" w:hAnsi="Sakkal Majalla" w:cs="Sakkal Majalla"/>
          <w:sz w:val="32"/>
          <w:szCs w:val="32"/>
          <w:rtl/>
          <w:lang w:bidi="ar-EG"/>
        </w:rPr>
        <w:t>.</w:t>
      </w:r>
    </w:p>
    <w:p w14:paraId="290B23D9" w14:textId="77777777"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وتظهر هذه الإشكالية بوضوح في تطبيقات المركبات ذاتية القيادة والأنظمة الطبية الذكية والأنظمة المالية المؤتمتة، حيث قد يكون الضرر ناتجًا عن سلسلة معقدة من القرارات التقنية المتتابعة يصعب معها إثبات السبب المباشر للضرر وفق المفاهيم التقليدية للسببية.</w:t>
      </w:r>
    </w:p>
    <w:p w14:paraId="237D828C" w14:textId="28527029"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ويترتب على هذه الصعوبات آثار قانونية مهمة، إذ قد يعجز المضرور عن إثبات العلاقة السببية رغم وقوع الضرر بصورة مؤكدة مما يؤدي إلى عدم تمكنه من الحصول على التعويض</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كما أن تعقيد الأنظمة الذكية قد يؤدي إلى تضارب آراء الخبراء الفنيين بشأن تحديد السبب الحقيقي للضرر، وهو ما يزيد من صعوبة الفصل في المنازعات المتعلقة بالذكاء الاصطناعي</w:t>
      </w:r>
      <w:r w:rsidR="006D6B7A">
        <w:rPr>
          <w:rStyle w:val="FootnoteReference"/>
          <w:rFonts w:ascii="Sakkal Majalla" w:hAnsi="Sakkal Majalla" w:cs="Sakkal Majalla"/>
          <w:sz w:val="32"/>
          <w:szCs w:val="32"/>
          <w:rtl/>
          <w:lang w:bidi="ar-EG"/>
        </w:rPr>
        <w:footnoteReference w:id="246"/>
      </w:r>
      <w:r w:rsidRPr="00CB5040">
        <w:rPr>
          <w:rFonts w:ascii="Sakkal Majalla" w:hAnsi="Sakkal Majalla" w:cs="Sakkal Majalla"/>
          <w:sz w:val="32"/>
          <w:szCs w:val="32"/>
          <w:rtl/>
          <w:lang w:bidi="ar-EG"/>
        </w:rPr>
        <w:t>.</w:t>
      </w:r>
    </w:p>
    <w:p w14:paraId="7D595B95" w14:textId="2418C115" w:rsidR="00AF563C"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ولذلك يرى جانب من الفقه أن قواعد السببية التقليدية قد لا تكون كافية وحدها لمواجهة التحديات التي تفرضها الأنظمة الذكية الحديثة الأمر الذي دفع إلى البحث عن حلول فقهية وتشريعية جديدة تهدف إلى تخفيف عبء الإثبات على المضرور وتطوير وسائل أكثر فاعلية لإثبات العلاقة السببية في بيئة الذكاء الاصطناعي</w:t>
      </w:r>
      <w:r w:rsidR="00AF563C" w:rsidRPr="00AF563C">
        <w:rPr>
          <w:rFonts w:ascii="Sakkal Majalla" w:hAnsi="Sakkal Majalla" w:cs="Sakkal Majalla"/>
          <w:sz w:val="32"/>
          <w:szCs w:val="32"/>
          <w:rtl/>
          <w:lang w:bidi="ar-EG"/>
        </w:rPr>
        <w:t>.</w:t>
      </w:r>
    </w:p>
    <w:p w14:paraId="681B505F" w14:textId="42EF0D92"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الحلول الفقهية والقانونية الحديثة</w:t>
      </w:r>
      <w:r w:rsidR="00CB5040">
        <w:rPr>
          <w:rFonts w:ascii="Sakkal Majalla" w:hAnsi="Sakkal Majalla" w:cs="Sakkal Majalla" w:hint="cs"/>
          <w:b/>
          <w:bCs/>
          <w:sz w:val="32"/>
          <w:szCs w:val="32"/>
          <w:rtl/>
          <w:lang w:bidi="ar-EG"/>
        </w:rPr>
        <w:t>.</w:t>
      </w:r>
    </w:p>
    <w:p w14:paraId="4A9316BD" w14:textId="1FBDDE61"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أمام الصعوبات التي تثيرها أنظمة الذكاء الاصطناعي في إثبات العلاقة السببية اتجه الفقه القانوني الحديث إلى البحث عن حلول تضمن حماية المضرور دون الإخلال بمبادئ العدالة القانونية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وقد انطلقت هذه الجهود من إدراك أن القواعد التقليدية للسببية وعبء الإثبات قد لا تكون كافية في مواجهة الأنظمة الذكية المعقدة التي تعتمد على التعلم الذاتي والخوارزميات غير القابلة للتفسير بسهولة</w:t>
      </w:r>
      <w:r w:rsidR="006D6B7A">
        <w:rPr>
          <w:rStyle w:val="FootnoteReference"/>
          <w:rFonts w:ascii="Sakkal Majalla" w:hAnsi="Sakkal Majalla" w:cs="Sakkal Majalla"/>
          <w:sz w:val="32"/>
          <w:szCs w:val="32"/>
          <w:rtl/>
          <w:lang w:bidi="ar-EG"/>
        </w:rPr>
        <w:footnoteReference w:id="247"/>
      </w:r>
      <w:r w:rsidRPr="00CB5040">
        <w:rPr>
          <w:rFonts w:ascii="Sakkal Majalla" w:hAnsi="Sakkal Majalla" w:cs="Sakkal Majalla"/>
          <w:sz w:val="32"/>
          <w:szCs w:val="32"/>
          <w:rtl/>
          <w:lang w:bidi="ar-EG"/>
        </w:rPr>
        <w:t>.</w:t>
      </w:r>
    </w:p>
    <w:p w14:paraId="24F27B31" w14:textId="4B5E8F71"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ومن أبرز الاتجاهات الفقهية الحديثة الدعوة إلى تخفيف عبء الإثبات الواقع على المضرور، بحيث لا يُلزم بإثبات جميع التفاصيل الفنية المتعلقة بعمل النظام الذكي وإنما يكتفى بإثبات وقوع الضرر ووجود ارتباط معقول بين الضرر والنظام محل النزاع. كما دعا بعض الفقه إلى الأخذ بقرائن قانونية تفترض قيام العلاقة السببية متى ثبت أن الضرر نشأ أثناء تشغيل نظام ذكاء اصطناعي عالي الخطورة، مع منح المسؤول حق إثبات العكس</w:t>
      </w:r>
      <w:r w:rsidR="006D6B7A">
        <w:rPr>
          <w:rStyle w:val="FootnoteReference"/>
          <w:rFonts w:ascii="Sakkal Majalla" w:hAnsi="Sakkal Majalla" w:cs="Sakkal Majalla"/>
          <w:sz w:val="32"/>
          <w:szCs w:val="32"/>
          <w:rtl/>
          <w:lang w:bidi="ar-EG"/>
        </w:rPr>
        <w:footnoteReference w:id="248"/>
      </w:r>
      <w:r w:rsidRPr="00CB5040">
        <w:rPr>
          <w:rFonts w:ascii="Sakkal Majalla" w:hAnsi="Sakkal Majalla" w:cs="Sakkal Majalla"/>
          <w:sz w:val="32"/>
          <w:szCs w:val="32"/>
          <w:rtl/>
          <w:lang w:bidi="ar-EG"/>
        </w:rPr>
        <w:t>.</w:t>
      </w:r>
    </w:p>
    <w:p w14:paraId="3846FB0D" w14:textId="2AC3FBBD"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برزت أهمية وسائل الإثبات التقنية في معالجة إشكالية السببية، حيث أصبحت السجلات الإلكترونية وبيانات التشغيل وتقارير الأنظمة الذكية وأدلة الأمن السيبراني من الوسائل الأساسية التي تساعد في تتبع القرارات الصادرة عن النظام وتحديد مصدر الخلل كذلك أسهمت تقنيات الذكاء الاصطناعي القابل للتفسير (</w:t>
      </w:r>
      <w:r w:rsidRPr="00CB5040">
        <w:rPr>
          <w:rFonts w:ascii="Sakkal Majalla" w:hAnsi="Sakkal Majalla" w:cs="Sakkal Majalla"/>
          <w:sz w:val="32"/>
          <w:szCs w:val="32"/>
          <w:lang w:bidi="ar-EG"/>
        </w:rPr>
        <w:t>Explainable AI</w:t>
      </w:r>
      <w:r w:rsidRPr="00CB5040">
        <w:rPr>
          <w:rFonts w:ascii="Sakkal Majalla" w:hAnsi="Sakkal Majalla" w:cs="Sakkal Majalla"/>
          <w:sz w:val="32"/>
          <w:szCs w:val="32"/>
          <w:rtl/>
          <w:lang w:bidi="ar-EG"/>
        </w:rPr>
        <w:t>) في تعزيز القدرة على فهم آلية اتخاذ القرار داخل بعض الأنظمة الحديثة، مما يسهل إثبات العلاقة بين الفعل الضار والضرر الناتج عنه</w:t>
      </w:r>
      <w:r w:rsidR="006D6B7A">
        <w:rPr>
          <w:rStyle w:val="FootnoteReference"/>
          <w:rFonts w:ascii="Sakkal Majalla" w:hAnsi="Sakkal Majalla" w:cs="Sakkal Majalla"/>
          <w:sz w:val="32"/>
          <w:szCs w:val="32"/>
          <w:rtl/>
          <w:lang w:bidi="ar-EG"/>
        </w:rPr>
        <w:footnoteReference w:id="249"/>
      </w:r>
      <w:r w:rsidRPr="00CB5040">
        <w:rPr>
          <w:rFonts w:ascii="Sakkal Majalla" w:hAnsi="Sakkal Majalla" w:cs="Sakkal Majalla"/>
          <w:sz w:val="32"/>
          <w:szCs w:val="32"/>
          <w:rtl/>
          <w:lang w:bidi="ar-EG"/>
        </w:rPr>
        <w:t>.</w:t>
      </w:r>
    </w:p>
    <w:p w14:paraId="6351D450" w14:textId="77777777" w:rsidR="00861C2E" w:rsidRPr="005000F7"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 xml:space="preserve">وعلى المستوى التشريعي اتجهت بعض الأنظمة القانونية المقارنة، ولا سيما في الاتحاد الأوروبي، إلى تبني قواعد خاصة لتخفيف أعباء الإثبات في منازعات الذكاء الاصطناعي، مع التوسع في مسؤولية المنتج أو المشغل في بعض التطبيقات عالية الخطورة. كما ظهرت مقترحات تشريعية تدعو إلى إنشاء أنظمة خاصة للتعويض أو التأمين الإلزامي لتغطية الأضرار الناشئة عن الأنظمة الذكية، بما يضمن حصول المتضررين على التعويض </w:t>
      </w:r>
      <w:r w:rsidRPr="005000F7">
        <w:rPr>
          <w:rFonts w:ascii="Sakkal Majalla" w:hAnsi="Sakkal Majalla" w:cs="Sakkal Majalla"/>
          <w:sz w:val="32"/>
          <w:szCs w:val="32"/>
          <w:rtl/>
          <w:lang w:bidi="ar-EG"/>
        </w:rPr>
        <w:t>حتى في الحالات التي يصعب فيها إثبات السببية بصورة تقليدية.</w:t>
      </w:r>
    </w:p>
    <w:p w14:paraId="53568B8E" w14:textId="762CFA4D" w:rsidR="0030729A" w:rsidRPr="005000F7" w:rsidRDefault="0030729A" w:rsidP="0030729A">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b/>
          <w:bCs/>
          <w:sz w:val="32"/>
          <w:szCs w:val="32"/>
          <w:u w:val="single"/>
          <w:rtl/>
          <w:lang w:bidi="ar-EG"/>
        </w:rPr>
        <w:t>وفي تقدير الباحث</w:t>
      </w:r>
      <w:r w:rsidRPr="005000F7">
        <w:rPr>
          <w:rFonts w:ascii="Sakkal Majalla" w:hAnsi="Sakkal Majalla" w:cs="Sakkal Majalla"/>
          <w:sz w:val="32"/>
          <w:szCs w:val="32"/>
          <w:rtl/>
          <w:lang w:bidi="ar-EG"/>
        </w:rPr>
        <w:t xml:space="preserve"> فإن معالجة صعوبة إثبات العلاقة السببية في أضرار الذكاء الاصطناعي لا ينبغي أن تقتصر على تطوير قواعد الإثبات، بل يجب أن تمتد إلى تبني آليات قانونية عملية تكفل تعويض المتضررين. </w:t>
      </w:r>
      <w:r w:rsidRPr="005000F7">
        <w:rPr>
          <w:rFonts w:ascii="Sakkal Majalla" w:hAnsi="Sakkal Majalla" w:cs="Sakkal Majalla"/>
          <w:sz w:val="32"/>
          <w:szCs w:val="32"/>
          <w:rtl/>
          <w:lang w:bidi="ar-EG"/>
        </w:rPr>
        <w:lastRenderedPageBreak/>
        <w:t>ومن أبرز هذه الآليات فرض التأمين الإجباري ضد أخطار أنظمة الذكاء الاصطناعي عالية الخطورة، بحيث يلتزم المنتج أو المطور أو المشغل بإبرام وثيقة تأمين تغطي الأضرار التي قد تنشأ عن تشغيل النظام، وبما يضمن حصول المضرور على التعويض دون توقف ذلك على إثبات الخطأ الفني الدقيق أو تحديد المسؤول من بين الأطراف المتعددة.</w:t>
      </w:r>
    </w:p>
    <w:p w14:paraId="10B33EFF" w14:textId="17204CEE" w:rsidR="0030729A" w:rsidRPr="005000F7" w:rsidRDefault="0030729A" w:rsidP="0030729A">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كما يمكن إنشاء صناديق خاصة لتعويض الأضرار الرقمية الناشئة عن الذكاء الاصطناعي، تمول من مساهمات الجهات المنتجة والمطورة والمشغلة لهذه الأنظمة، وتتولى تعويض المضرور في الحالات التي يتعذر فيها تحديد المسؤول، أو يثبت عجزه عن الوفاء بالتعويض، أو تكون الأضرار ناتجة عن تداخل أخطاء تقنية متعددة يصعب الفصل بينها ويمكن قصر هذه الصناديق على الأنظمة عالية الخطورة أو الأضرار الجسيمة التي تمس الحياة أو الصحة أو الأموال أو البيانات الشخصية.</w:t>
      </w:r>
    </w:p>
    <w:p w14:paraId="55EE07AD" w14:textId="7AE80BBA" w:rsidR="00AF563C" w:rsidRDefault="0030729A" w:rsidP="0030729A">
      <w:pPr>
        <w:bidi/>
        <w:spacing w:line="360" w:lineRule="auto"/>
        <w:jc w:val="lowKashida"/>
        <w:rPr>
          <w:rFonts w:ascii="Sakkal Majalla" w:hAnsi="Sakkal Majalla" w:cs="Sakkal Majalla"/>
          <w:sz w:val="32"/>
          <w:szCs w:val="32"/>
          <w:rtl/>
          <w:lang w:bidi="ar-EG"/>
        </w:rPr>
      </w:pPr>
      <w:r w:rsidRPr="005000F7">
        <w:rPr>
          <w:rFonts w:ascii="Sakkal Majalla" w:hAnsi="Sakkal Majalla" w:cs="Sakkal Majalla"/>
          <w:sz w:val="32"/>
          <w:szCs w:val="32"/>
          <w:rtl/>
          <w:lang w:bidi="ar-EG"/>
        </w:rPr>
        <w:t>ويقتضي نجاح هذه الآليات إلزام الأنظمة عالية الخطورة بالتسجيل والترخيص، وتحديد الحد الأدنى للتغطية التأمينية بحسب مستوى مخاطر النظام ومجال استخدامه، مع احتفاظ شركة التأمين أو صندوق التعويض بحق الرجوع على المنتج أو المطور أو المشغل إذا ثبت أن الضرر نشأ عن عيب في التصميم أو البرمجة، أو عن إهمال في التحديث أو الرقابة أو اتخاذ تدابير الأمن السيبراني. ومن شأن الجمع بين التأمين الإجباري وصناديق التعويض أن يحقق حماية أكثر فاعلية للمضرورين، ويوزع المخاطر المالية بين الأطراف المستفيدة من التقنية، دون أن يؤدي ذلك إلى إعفاء المسؤول الفعلي من تبعة خطئه</w:t>
      </w:r>
      <w:r w:rsidR="00CB5040" w:rsidRPr="005000F7">
        <w:rPr>
          <w:rFonts w:ascii="Sakkal Majalla" w:hAnsi="Sakkal Majalla" w:cs="Sakkal Majalla"/>
          <w:sz w:val="32"/>
          <w:szCs w:val="32"/>
          <w:rtl/>
          <w:lang w:bidi="ar-EG"/>
        </w:rPr>
        <w:t>.</w:t>
      </w:r>
      <w:r w:rsidR="00D378D9">
        <w:rPr>
          <w:rFonts w:ascii="Sakkal Majalla" w:hAnsi="Sakkal Majalla" w:cs="Sakkal Majalla"/>
          <w:sz w:val="32"/>
          <w:szCs w:val="32"/>
          <w:lang w:bidi="ar-EG"/>
        </w:rPr>
        <w:t xml:space="preserve"> </w:t>
      </w:r>
    </w:p>
    <w:sectPr w:rsidR="00AF563C" w:rsidSect="00B7509F">
      <w:footerReference w:type="default" r:id="rId9"/>
      <w:footnotePr>
        <w:numRestart w:val="eachPage"/>
      </w:footnotePr>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39817" w14:textId="77777777" w:rsidR="00933AC7" w:rsidRDefault="00933AC7" w:rsidP="00FF4137">
      <w:pPr>
        <w:spacing w:after="0" w:line="240" w:lineRule="auto"/>
      </w:pPr>
      <w:r>
        <w:separator/>
      </w:r>
    </w:p>
  </w:endnote>
  <w:endnote w:type="continuationSeparator" w:id="0">
    <w:p w14:paraId="0F8FB4D6" w14:textId="77777777" w:rsidR="00933AC7" w:rsidRDefault="00933AC7" w:rsidP="00FF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859535"/>
      <w:docPartObj>
        <w:docPartGallery w:val="Page Numbers (Bottom of Page)"/>
        <w:docPartUnique/>
      </w:docPartObj>
    </w:sdtPr>
    <w:sdtEndPr>
      <w:rPr>
        <w:noProof/>
      </w:rPr>
    </w:sdtEndPr>
    <w:sdtContent>
      <w:p w14:paraId="4C67084D" w14:textId="414907FC" w:rsidR="00B7509F" w:rsidRDefault="00B750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9CE02D" w14:textId="77777777" w:rsidR="00B7509F" w:rsidRDefault="00B75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9A1B7" w14:textId="77777777" w:rsidR="00933AC7" w:rsidRDefault="00933AC7" w:rsidP="00FF4137">
      <w:pPr>
        <w:spacing w:after="0" w:line="240" w:lineRule="auto"/>
      </w:pPr>
      <w:r>
        <w:separator/>
      </w:r>
    </w:p>
  </w:footnote>
  <w:footnote w:type="continuationSeparator" w:id="0">
    <w:p w14:paraId="2A1833B3" w14:textId="77777777" w:rsidR="00933AC7" w:rsidRDefault="00933AC7" w:rsidP="00FF4137">
      <w:pPr>
        <w:spacing w:after="0" w:line="240" w:lineRule="auto"/>
      </w:pPr>
      <w:r>
        <w:continuationSeparator/>
      </w:r>
    </w:p>
  </w:footnote>
  <w:footnote w:id="1">
    <w:p w14:paraId="392BB42D"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المعيبد، عمر إبراهيم، "المسؤوليَّة الجزائيَّة الناجمة عن استخدام تقنيات الذكاء الاصطناعي في النظام السعودي: دراسة تحليلية مقارنة"، المجلة العربية للدراسات الأمنية،مج (40)، ع (2)، (2023)، ص 144.</w:t>
      </w:r>
    </w:p>
  </w:footnote>
  <w:footnote w:id="2">
    <w:p w14:paraId="5CABF1C5"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tl/>
        </w:rPr>
        <w:t xml:space="preserve">  </w:t>
      </w:r>
      <w:r w:rsidRPr="003126C4">
        <w:rPr>
          <w:rFonts w:ascii="Sakkal Majalla" w:hAnsi="Sakkal Majalla" w:cs="Sakkal Majalla"/>
          <w:sz w:val="24"/>
          <w:szCs w:val="24"/>
          <w:rtl/>
        </w:rPr>
        <w:t xml:space="preserve">المالكي، </w:t>
      </w:r>
      <w:r w:rsidRPr="003126C4">
        <w:rPr>
          <w:rFonts w:ascii="Sakkal Majalla" w:hAnsi="Sakkal Majalla" w:cs="Sakkal Majalla"/>
          <w:sz w:val="24"/>
          <w:szCs w:val="24"/>
          <w:rtl/>
        </w:rPr>
        <w:t>خالد بن عبد الرحيم بن جابر، "المسؤولية المدنية عن فعل الذكاء الاصطناعي في النظام السعودي دراسة تحليلية تأصيلية"، مجلة البحوث الفقهية والقانونية، مج (47)، ع (47)، (2024)، ص 1771.</w:t>
      </w:r>
    </w:p>
  </w:footnote>
  <w:footnote w:id="3">
    <w:p w14:paraId="4B670116"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التونسي، </w:t>
      </w:r>
      <w:r w:rsidRPr="003126C4">
        <w:rPr>
          <w:rFonts w:ascii="Sakkal Majalla" w:hAnsi="Sakkal Majalla" w:cs="Sakkal Majalla"/>
          <w:sz w:val="24"/>
          <w:szCs w:val="24"/>
          <w:rtl/>
        </w:rPr>
        <w:t>آيات بنت أحمد، "القواعد والإجراءات المنظمة لاستخدامات الذكاء الاصطناعي بالمملكة العربية السعودية وآثارها القانونية (دراسة تحليلية مقارنة)"، المجلة العربية للنشر العلمي، مج (7)، ع (73)، (2024)، ص 370.</w:t>
      </w:r>
    </w:p>
  </w:footnote>
  <w:footnote w:id="4">
    <w:p w14:paraId="49A17FC2" w14:textId="77777777" w:rsidR="00BA5115" w:rsidRPr="003126C4" w:rsidRDefault="00BA5115" w:rsidP="00BA5115">
      <w:pPr>
        <w:pStyle w:val="FootnoteText"/>
        <w:bidi/>
        <w:jc w:val="lowKashida"/>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داغر، </w:t>
      </w:r>
      <w:r w:rsidRPr="003126C4">
        <w:rPr>
          <w:rFonts w:ascii="Sakkal Majalla" w:hAnsi="Sakkal Majalla" w:cs="Sakkal Majalla"/>
          <w:sz w:val="24"/>
          <w:szCs w:val="24"/>
          <w:rtl/>
        </w:rPr>
        <w:t>سارة محمد، "المسؤولية المدنية عن اضرار الروبوت: دراسة مقارنة"، جامعة ميسان، كلية القانون قسم القانون الخاص، (2023)، ص 24.</w:t>
      </w:r>
    </w:p>
  </w:footnote>
  <w:footnote w:id="5">
    <w:p w14:paraId="34019817" w14:textId="28742379" w:rsidR="00FF4137" w:rsidRPr="003126C4" w:rsidRDefault="00FF4137" w:rsidP="00FF4137">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تحفة، </w:t>
      </w:r>
      <w:r w:rsidRPr="003126C4">
        <w:rPr>
          <w:rFonts w:ascii="Sakkal Majalla" w:hAnsi="Sakkal Majalla" w:cs="Sakkal Majalla"/>
          <w:sz w:val="24"/>
          <w:szCs w:val="24"/>
          <w:rtl/>
        </w:rPr>
        <w:t>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 ص 32</w:t>
      </w:r>
    </w:p>
  </w:footnote>
  <w:footnote w:id="6">
    <w:p w14:paraId="5A883189" w14:textId="62B017F5"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الحسبان، </w:t>
      </w:r>
      <w:r w:rsidRPr="003126C4">
        <w:rPr>
          <w:rFonts w:ascii="Sakkal Majalla" w:hAnsi="Sakkal Majalla" w:cs="Sakkal Majalla"/>
          <w:sz w:val="24"/>
          <w:szCs w:val="24"/>
          <w:rtl/>
        </w:rPr>
        <w:t>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6507351A" w14:textId="26A314BD"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الطائي، </w:t>
      </w:r>
      <w:r w:rsidRPr="003126C4">
        <w:rPr>
          <w:rFonts w:ascii="Sakkal Majalla" w:hAnsi="Sakkal Majalla" w:cs="Sakkal Majalla"/>
          <w:sz w:val="24"/>
          <w:szCs w:val="24"/>
          <w:rtl/>
        </w:rPr>
        <w:t>سميرة حسين محيسن، وعبدالحسن، إيمان حسين (2025) الطبيعة القانونية للذكاء الاصطناعي. مجلة الكوفة للعلوم القانونية والسياسية، 18(1)، ص230</w:t>
      </w:r>
    </w:p>
  </w:footnote>
  <w:footnote w:id="8">
    <w:p w14:paraId="3835EC2E" w14:textId="1B09C20D" w:rsidR="00FF4137" w:rsidRPr="003126C4" w:rsidRDefault="00FF4137" w:rsidP="00FF413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w:t>
      </w:r>
      <w:r w:rsidRPr="003126C4">
        <w:rPr>
          <w:rFonts w:ascii="Sakkal Majalla" w:hAnsi="Sakkal Majalla" w:cs="Sakkal Majalla"/>
          <w:sz w:val="24"/>
          <w:szCs w:val="24"/>
          <w:rtl/>
        </w:rPr>
        <w:t>نصار، ريا جمال (2025) إشكالية تحديد الطبيعة القانونية لأنظمة الذكاء الاصطناعي ، مجلة المنارة للبحوث والدراسات: سلسلة العلوم السياسية والقانون، 42(3)، 252</w:t>
      </w:r>
    </w:p>
  </w:footnote>
  <w:footnote w:id="9">
    <w:p w14:paraId="1E66A080" w14:textId="43D63E9A" w:rsidR="00C71EE0" w:rsidRPr="003126C4" w:rsidRDefault="00C71EE0" w:rsidP="00C71EE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فارس، </w:t>
      </w:r>
      <w:r w:rsidRPr="003126C4">
        <w:rPr>
          <w:rFonts w:ascii="Sakkal Majalla" w:hAnsi="Sakkal Majalla" w:cs="Sakkal Majalla"/>
          <w:sz w:val="24"/>
          <w:szCs w:val="24"/>
          <w:rtl/>
        </w:rPr>
        <w:t>محمد السيد (2024) نحو مفهوم جديد للذكاء الاصطناعي ومحاولة تنظيمه القانوني: دراسة مقارنة ،  مجلة التشريع والقانون، 43، ص 1858</w:t>
      </w:r>
    </w:p>
  </w:footnote>
  <w:footnote w:id="10">
    <w:p w14:paraId="0256E759" w14:textId="0C154A62" w:rsidR="00C71EE0" w:rsidRPr="003126C4" w:rsidRDefault="00C71EE0" w:rsidP="00C71EE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آل </w:t>
      </w:r>
      <w:r w:rsidRPr="003126C4">
        <w:rPr>
          <w:rFonts w:ascii="Sakkal Majalla" w:hAnsi="Sakkal Majalla" w:cs="Sakkal Majalla"/>
          <w:sz w:val="24"/>
          <w:szCs w:val="24"/>
          <w:rtl/>
        </w:rPr>
        <w:t>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 ص1202</w:t>
      </w:r>
    </w:p>
  </w:footnote>
  <w:footnote w:id="11">
    <w:p w14:paraId="10183B81" w14:textId="59AEF2C5"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w:t>
      </w:r>
      <w:r w:rsidRPr="003126C4">
        <w:rPr>
          <w:rFonts w:ascii="Sakkal Majalla" w:hAnsi="Sakkal Majalla" w:cs="Sakkal Majalla"/>
          <w:sz w:val="24"/>
          <w:szCs w:val="24"/>
          <w:rtl/>
        </w:rPr>
        <w:t xml:space="preserve">نصار، ريا جمال (2025) إشكالية تحديد الطبيعة القانونية لأنظمة الذكاء الاصطناعي ، مجلة المنارة للبحوث والدراسات: سلسلة العلوم السياسية والقانون، 42(3)، </w:t>
      </w:r>
      <w:r w:rsidRPr="003126C4">
        <w:rPr>
          <w:rFonts w:ascii="Sakkal Majalla" w:hAnsi="Sakkal Majalla" w:cs="Sakkal Majalla"/>
          <w:sz w:val="24"/>
          <w:szCs w:val="24"/>
          <w:rtl/>
          <w:lang w:bidi="ar-EG"/>
        </w:rPr>
        <w:t>ص 252</w:t>
      </w:r>
    </w:p>
  </w:footnote>
  <w:footnote w:id="12">
    <w:p w14:paraId="3DF252CE" w14:textId="61F2DF85"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3">
    <w:p w14:paraId="102B36B2" w14:textId="7A54A354"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عبدالله، </w:t>
      </w:r>
      <w:r w:rsidRPr="003126C4">
        <w:rPr>
          <w:rFonts w:ascii="Sakkal Majalla" w:hAnsi="Sakkal Majalla" w:cs="Sakkal Majalla"/>
          <w:sz w:val="24"/>
          <w:szCs w:val="24"/>
          <w:rtl/>
        </w:rPr>
        <w:t>شيماء عبدالرضي (2025) إشكالية المساءلة الجنائية لجرائم الروبوتات الذكية في ضوء تطور تقنيات الذكاء الاصطناعي ، مجلة كلية الشريعة والقانون بطنطا، 40(2)، 920</w:t>
      </w:r>
    </w:p>
  </w:footnote>
  <w:footnote w:id="14">
    <w:p w14:paraId="00228FE4" w14:textId="00D66C22" w:rsidR="00A679CC" w:rsidRPr="003126C4" w:rsidRDefault="00A679CC" w:rsidP="00A679CC">
      <w:pPr>
        <w:pStyle w:val="FootnoteText"/>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OECD. (2024). Explanatory memorandum on the updated OECD definition of an AI system. OECD Publishing</w:t>
      </w:r>
    </w:p>
  </w:footnote>
  <w:footnote w:id="15">
    <w:p w14:paraId="1F61A4FB" w14:textId="066E9911"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679CC" w:rsidRPr="003126C4">
        <w:rPr>
          <w:rFonts w:ascii="Sakkal Majalla" w:hAnsi="Sakkal Majalla" w:cs="Sakkal Majalla"/>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ص550</w:t>
      </w:r>
    </w:p>
  </w:footnote>
  <w:footnote w:id="16">
    <w:p w14:paraId="316195B4" w14:textId="05CBB104" w:rsidR="00C71EE0" w:rsidRPr="003126C4" w:rsidRDefault="00C71EE0" w:rsidP="00C71EE0">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محفوظ، </w:t>
      </w:r>
      <w:r w:rsidRPr="003126C4">
        <w:rPr>
          <w:rFonts w:ascii="Sakkal Majalla" w:hAnsi="Sakkal Majalla" w:cs="Sakkal Majalla"/>
          <w:sz w:val="24"/>
          <w:szCs w:val="24"/>
          <w:rtl/>
        </w:rPr>
        <w:t>أسماء عبدالسلام (2025) الإشكاليات القانونية للذكاء الاصطناعي ، مجلة المنتدى الأكاديمي للعلوم الإنسانية، 9(1)، ص 735</w:t>
      </w:r>
    </w:p>
  </w:footnote>
  <w:footnote w:id="17">
    <w:p w14:paraId="224DD17A" w14:textId="79ED6533" w:rsidR="00E96748" w:rsidRPr="003126C4" w:rsidRDefault="00E96748" w:rsidP="00E9674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الدسوقي، </w:t>
      </w:r>
      <w:r w:rsidR="0054009E" w:rsidRPr="003126C4">
        <w:rPr>
          <w:rFonts w:ascii="Sakkal Majalla" w:hAnsi="Sakkal Majalla" w:cs="Sakkal Majalla"/>
          <w:sz w:val="24"/>
          <w:szCs w:val="24"/>
          <w:rtl/>
        </w:rPr>
        <w:t>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18">
    <w:p w14:paraId="09187E48" w14:textId="59546803" w:rsidR="00E96748" w:rsidRPr="003126C4" w:rsidRDefault="00E96748" w:rsidP="00E9674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أبو </w:t>
      </w:r>
      <w:r w:rsidR="0054009E" w:rsidRPr="003126C4">
        <w:rPr>
          <w:rFonts w:ascii="Sakkal Majalla" w:hAnsi="Sakkal Majalla" w:cs="Sakkal Majalla"/>
          <w:sz w:val="24"/>
          <w:szCs w:val="24"/>
          <w:rtl/>
        </w:rPr>
        <w:t xml:space="preserve">نصار، ريا جمال (2025) </w:t>
      </w:r>
      <w:r w:rsidR="0054009E" w:rsidRPr="003126C4">
        <w:rPr>
          <w:rFonts w:ascii="Sakkal Majalla" w:hAnsi="Sakkal Majalla" w:cs="Sakkal Majalla"/>
          <w:b/>
          <w:bCs/>
          <w:sz w:val="24"/>
          <w:szCs w:val="24"/>
          <w:u w:val="single"/>
          <w:rtl/>
        </w:rPr>
        <w:t>مرجع سابق</w:t>
      </w:r>
      <w:r w:rsidR="0054009E" w:rsidRPr="003126C4">
        <w:rPr>
          <w:rFonts w:ascii="Sakkal Majalla" w:hAnsi="Sakkal Majalla" w:cs="Sakkal Majalla"/>
          <w:sz w:val="24"/>
          <w:szCs w:val="24"/>
          <w:rtl/>
        </w:rPr>
        <w:t xml:space="preserve"> ، </w:t>
      </w:r>
      <w:r w:rsidR="0054009E" w:rsidRPr="003126C4">
        <w:rPr>
          <w:rFonts w:ascii="Sakkal Majalla" w:hAnsi="Sakkal Majalla" w:cs="Sakkal Majalla"/>
          <w:sz w:val="24"/>
          <w:szCs w:val="24"/>
          <w:rtl/>
          <w:lang w:bidi="ar-EG"/>
        </w:rPr>
        <w:t>ص 256</w:t>
      </w:r>
    </w:p>
  </w:footnote>
  <w:footnote w:id="19">
    <w:p w14:paraId="730C150E" w14:textId="29640457" w:rsidR="0054009E" w:rsidRPr="003126C4" w:rsidRDefault="0054009E" w:rsidP="0054009E">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20">
    <w:p w14:paraId="40F1BFD5" w14:textId="2984851B" w:rsidR="0054009E" w:rsidRPr="003126C4" w:rsidRDefault="0054009E"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العسلاوي، </w:t>
      </w:r>
      <w:r w:rsidRPr="003126C4">
        <w:rPr>
          <w:rFonts w:ascii="Sakkal Majalla" w:hAnsi="Sakkal Majalla" w:cs="Sakkal Majalla"/>
          <w:sz w:val="24"/>
          <w:szCs w:val="24"/>
          <w:rtl/>
        </w:rPr>
        <w:t>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21">
    <w:p w14:paraId="2A97D96A" w14:textId="6BD2C70B" w:rsidR="0054009E" w:rsidRPr="003126C4" w:rsidRDefault="0054009E"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rPr>
        <w:t xml:space="preserve">أحمد، </w:t>
      </w:r>
      <w:r w:rsidR="007F0671" w:rsidRPr="003126C4">
        <w:rPr>
          <w:rFonts w:ascii="Sakkal Majalla" w:hAnsi="Sakkal Majalla" w:cs="Sakkal Majalla"/>
          <w:sz w:val="24"/>
          <w:szCs w:val="24"/>
          <w:rtl/>
        </w:rPr>
        <w:t>غادة حلمي (2025) المسؤولية الجنائية لتقنيات الذكاء الاصطناعي. المجلة الجنائية القومية، 68(2)، ص 112</w:t>
      </w:r>
    </w:p>
  </w:footnote>
  <w:footnote w:id="22">
    <w:p w14:paraId="06E31779" w14:textId="0F194CDC" w:rsidR="00E96748" w:rsidRPr="003126C4" w:rsidRDefault="00E96748" w:rsidP="0054009E">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3">
    <w:p w14:paraId="792CCCA8" w14:textId="3B00C876" w:rsidR="00E96748" w:rsidRPr="003126C4" w:rsidRDefault="00E96748" w:rsidP="007F067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عمار، عادل محمود أحمد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 ص 115</w:t>
      </w:r>
    </w:p>
  </w:footnote>
  <w:footnote w:id="24">
    <w:p w14:paraId="6E2001C0" w14:textId="7DCC76DA" w:rsidR="007F0671" w:rsidRPr="003126C4" w:rsidRDefault="007F0671" w:rsidP="007F067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فارس، </w:t>
      </w:r>
      <w:r w:rsidR="00481FBB" w:rsidRPr="003126C4">
        <w:rPr>
          <w:rFonts w:ascii="Sakkal Majalla" w:hAnsi="Sakkal Majalla" w:cs="Sakkal Majalla"/>
          <w:sz w:val="24"/>
          <w:szCs w:val="24"/>
          <w:rtl/>
        </w:rPr>
        <w:t xml:space="preserve">محمد السيد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w:t>
      </w:r>
      <w:r w:rsidR="00481FBB" w:rsidRPr="003126C4">
        <w:rPr>
          <w:rFonts w:ascii="Sakkal Majalla" w:hAnsi="Sakkal Majalla" w:cs="Sakkal Majalla"/>
          <w:sz w:val="24"/>
          <w:szCs w:val="24"/>
          <w:rtl/>
          <w:lang w:bidi="ar-EG"/>
        </w:rPr>
        <w:t xml:space="preserve"> ،ص 1901</w:t>
      </w:r>
    </w:p>
  </w:footnote>
  <w:footnote w:id="25">
    <w:p w14:paraId="4EEFAC2E" w14:textId="0245BD90"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 xml:space="preserve">بوكراري، </w:t>
      </w:r>
      <w:r w:rsidRPr="003126C4">
        <w:rPr>
          <w:rFonts w:ascii="Sakkal Majalla" w:hAnsi="Sakkal Majalla" w:cs="Sakkal Majalla"/>
          <w:sz w:val="24"/>
          <w:szCs w:val="24"/>
          <w:rtl/>
          <w:lang w:bidi="ar-EG"/>
        </w:rPr>
        <w:t>عبد المجيد، ومسعود، داود (2024) الأنظمة الذكية مفهوم أوسع لتطبيقات الذكاء الاصطناعي في مجال التعليم ، مجلة الباحث، 2(6)، ص710</w:t>
      </w:r>
    </w:p>
  </w:footnote>
  <w:footnote w:id="26">
    <w:p w14:paraId="4426451B" w14:textId="69F8C079"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الطائي، سميرة حسين محيسن، وعبدالحسن، إيمان حسين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ص239</w:t>
      </w:r>
    </w:p>
  </w:footnote>
  <w:footnote w:id="27">
    <w:p w14:paraId="723F65DD" w14:textId="2AA73A96"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أحمد، </w:t>
      </w:r>
      <w:r w:rsidR="00B422DD" w:rsidRPr="003126C4">
        <w:rPr>
          <w:rFonts w:ascii="Sakkal Majalla" w:hAnsi="Sakkal Majalla" w:cs="Sakkal Majalla"/>
          <w:sz w:val="24"/>
          <w:szCs w:val="24"/>
          <w:rtl/>
        </w:rPr>
        <w:t xml:space="preserve">غادة حلمي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 </w:t>
      </w:r>
      <w:r w:rsidR="00B422DD" w:rsidRPr="003126C4">
        <w:rPr>
          <w:rFonts w:ascii="Sakkal Majalla" w:hAnsi="Sakkal Majalla" w:cs="Sakkal Majalla"/>
          <w:sz w:val="24"/>
          <w:szCs w:val="24"/>
          <w:rtl/>
          <w:lang w:bidi="ar-EG"/>
        </w:rPr>
        <w:t>118</w:t>
      </w:r>
    </w:p>
  </w:footnote>
  <w:footnote w:id="28">
    <w:p w14:paraId="57119D54" w14:textId="59F070AB"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 xml:space="preserve">فارس، محمد السيد (2024)  </w:t>
      </w:r>
      <w:r w:rsidR="005632CE" w:rsidRPr="003126C4">
        <w:rPr>
          <w:rFonts w:ascii="Sakkal Majalla" w:hAnsi="Sakkal Majalla" w:cs="Sakkal Majalla"/>
          <w:b/>
          <w:bCs/>
          <w:sz w:val="24"/>
          <w:szCs w:val="24"/>
          <w:u w:val="single"/>
          <w:rtl/>
        </w:rPr>
        <w:t>مرجع سابق</w:t>
      </w:r>
      <w:r w:rsidR="005632CE" w:rsidRPr="003126C4">
        <w:rPr>
          <w:rFonts w:ascii="Sakkal Majalla" w:hAnsi="Sakkal Majalla" w:cs="Sakkal Majalla"/>
          <w:sz w:val="24"/>
          <w:szCs w:val="24"/>
          <w:rtl/>
        </w:rPr>
        <w:t xml:space="preserve"> ، ص 1898</w:t>
      </w:r>
    </w:p>
  </w:footnote>
  <w:footnote w:id="29">
    <w:p w14:paraId="57FB2306" w14:textId="3AF3ADD5"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 xml:space="preserve">دره </w:t>
      </w:r>
      <w:r w:rsidR="005632CE" w:rsidRPr="003126C4">
        <w:rPr>
          <w:rFonts w:ascii="Sakkal Majalla" w:hAnsi="Sakkal Majalla" w:cs="Sakkal Majalla"/>
          <w:sz w:val="24"/>
          <w:szCs w:val="24"/>
          <w:rtl/>
        </w:rPr>
        <w:t>، سماح أحمد محمد (2025) المسؤولية الجنائية لمبرمجي أجهزة الذكاء الاصطناعي: دراسة تحليلية ، مجلة الفكر القانوني والاقتصادي، 11(3)، ص 23</w:t>
      </w:r>
    </w:p>
  </w:footnote>
  <w:footnote w:id="30">
    <w:p w14:paraId="4AA8E4EE" w14:textId="7E3E4677" w:rsidR="00011CFC" w:rsidRPr="003126C4" w:rsidRDefault="00011CFC" w:rsidP="00011CF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 xml:space="preserve">عبدالعزيز، </w:t>
      </w:r>
      <w:r w:rsidR="005632CE" w:rsidRPr="003126C4">
        <w:rPr>
          <w:rFonts w:ascii="Sakkal Majalla" w:hAnsi="Sakkal Majalla" w:cs="Sakkal Majalla"/>
          <w:sz w:val="24"/>
          <w:szCs w:val="24"/>
          <w:rtl/>
        </w:rPr>
        <w:t>هبة تيسير علي (2024) الآثار القانونية المترتبة على الاعتراف بالشخصية القانونية للذكاء الاصطناعي (رسالة ماجستير، جامعة فيلادلفيا) ، ص  38</w:t>
      </w:r>
    </w:p>
  </w:footnote>
  <w:footnote w:id="31">
    <w:p w14:paraId="401BB925" w14:textId="16CA06F9" w:rsidR="007C2A11" w:rsidRPr="003126C4" w:rsidRDefault="007C2A11" w:rsidP="007C2A1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الدسوقي، </w:t>
      </w:r>
      <w:r w:rsidR="00DB42B7" w:rsidRPr="003126C4">
        <w:rPr>
          <w:rFonts w:ascii="Sakkal Majalla" w:hAnsi="Sakkal Majalla" w:cs="Sakkal Majalla"/>
          <w:sz w:val="24"/>
          <w:szCs w:val="24"/>
          <w:rtl/>
        </w:rPr>
        <w:t>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32">
    <w:p w14:paraId="32BC429A" w14:textId="4B78361D" w:rsidR="00011CFC" w:rsidRPr="003126C4" w:rsidRDefault="00011CFC" w:rsidP="007C2A1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أبو </w:t>
      </w:r>
      <w:r w:rsidR="00DB42B7" w:rsidRPr="003126C4">
        <w:rPr>
          <w:rFonts w:ascii="Sakkal Majalla" w:hAnsi="Sakkal Majalla" w:cs="Sakkal Majalla"/>
          <w:sz w:val="24"/>
          <w:szCs w:val="24"/>
          <w:rtl/>
        </w:rPr>
        <w:t xml:space="preserve">نصار، ريا جمال (2025) </w:t>
      </w:r>
      <w:r w:rsidR="00DB42B7" w:rsidRPr="003126C4">
        <w:rPr>
          <w:rFonts w:ascii="Sakkal Majalla" w:hAnsi="Sakkal Majalla" w:cs="Sakkal Majalla"/>
          <w:b/>
          <w:bCs/>
          <w:sz w:val="24"/>
          <w:szCs w:val="24"/>
          <w:u w:val="single"/>
          <w:rtl/>
        </w:rPr>
        <w:t>مرجع سابق</w:t>
      </w:r>
      <w:r w:rsidR="00DB42B7" w:rsidRPr="003126C4">
        <w:rPr>
          <w:rFonts w:ascii="Sakkal Majalla" w:hAnsi="Sakkal Majalla" w:cs="Sakkal Majalla"/>
          <w:sz w:val="24"/>
          <w:szCs w:val="24"/>
          <w:rtl/>
        </w:rPr>
        <w:t xml:space="preserve"> ، </w:t>
      </w:r>
      <w:r w:rsidR="00DB42B7" w:rsidRPr="003126C4">
        <w:rPr>
          <w:rFonts w:ascii="Sakkal Majalla" w:hAnsi="Sakkal Majalla" w:cs="Sakkal Majalla"/>
          <w:sz w:val="24"/>
          <w:szCs w:val="24"/>
          <w:rtl/>
          <w:lang w:bidi="ar-EG"/>
        </w:rPr>
        <w:t>ص 256</w:t>
      </w:r>
    </w:p>
  </w:footnote>
  <w:footnote w:id="33">
    <w:p w14:paraId="391928D8" w14:textId="6BAF3992" w:rsidR="007C2A11" w:rsidRPr="003126C4" w:rsidRDefault="007C2A11" w:rsidP="0062094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34">
    <w:p w14:paraId="1A467E2A" w14:textId="2CD9F588" w:rsidR="00876D0D" w:rsidRPr="003126C4" w:rsidRDefault="00876D0D" w:rsidP="00620947">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 xml:space="preserve">العسلاوي، </w:t>
      </w:r>
      <w:r w:rsidR="00A32D35" w:rsidRPr="003126C4">
        <w:rPr>
          <w:rFonts w:ascii="Sakkal Majalla" w:hAnsi="Sakkal Majalla" w:cs="Sakkal Majalla"/>
          <w:sz w:val="24"/>
          <w:szCs w:val="24"/>
          <w:rtl/>
        </w:rPr>
        <w:t>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35">
    <w:p w14:paraId="199EE0B4" w14:textId="7EA0CB2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 xml:space="preserve">أحمد، </w:t>
      </w:r>
      <w:r w:rsidR="004E66E8" w:rsidRPr="003126C4">
        <w:rPr>
          <w:rFonts w:ascii="Sakkal Majalla" w:hAnsi="Sakkal Majalla" w:cs="Sakkal Majalla"/>
          <w:sz w:val="24"/>
          <w:szCs w:val="24"/>
          <w:rtl/>
        </w:rPr>
        <w:t>غادة حلمي (2025) المسؤولية الجنائية لتقنيات الذكاء الاصطناعي. المجلة الجنائية القومية، 68(2)، ص 112</w:t>
      </w:r>
    </w:p>
  </w:footnote>
  <w:footnote w:id="36">
    <w:p w14:paraId="12367870" w14:textId="65987371"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 xml:space="preserve">عبدالله، </w:t>
      </w:r>
      <w:r w:rsidR="004E66E8" w:rsidRPr="003126C4">
        <w:rPr>
          <w:rFonts w:ascii="Sakkal Majalla" w:hAnsi="Sakkal Majalla" w:cs="Sakkal Majalla"/>
          <w:sz w:val="24"/>
          <w:szCs w:val="24"/>
          <w:rtl/>
        </w:rPr>
        <w:t xml:space="preserve">شيماء عبدالرضي (2025) </w:t>
      </w:r>
      <w:r w:rsidR="004E66E8" w:rsidRPr="003126C4">
        <w:rPr>
          <w:rFonts w:ascii="Sakkal Majalla" w:hAnsi="Sakkal Majalla" w:cs="Sakkal Majalla"/>
          <w:b/>
          <w:bCs/>
          <w:sz w:val="24"/>
          <w:szCs w:val="24"/>
          <w:u w:val="single"/>
          <w:rtl/>
        </w:rPr>
        <w:t>مرجع سابق</w:t>
      </w:r>
      <w:r w:rsidR="004E66E8" w:rsidRPr="003126C4">
        <w:rPr>
          <w:rFonts w:ascii="Sakkal Majalla" w:hAnsi="Sakkal Majalla" w:cs="Sakkal Majalla"/>
          <w:sz w:val="24"/>
          <w:szCs w:val="24"/>
          <w:rtl/>
        </w:rPr>
        <w:t xml:space="preserve"> ، ص 925</w:t>
      </w:r>
    </w:p>
  </w:footnote>
  <w:footnote w:id="37">
    <w:p w14:paraId="11223821" w14:textId="3B0EB2B5"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36A93" w:rsidRPr="003126C4">
        <w:rPr>
          <w:rFonts w:ascii="Sakkal Majalla" w:hAnsi="Sakkal Majalla" w:cs="Sakkal Majalla"/>
          <w:sz w:val="24"/>
          <w:szCs w:val="24"/>
          <w:rtl/>
        </w:rPr>
        <w:t xml:space="preserve">دره </w:t>
      </w:r>
      <w:r w:rsidR="00C36A93" w:rsidRPr="003126C4">
        <w:rPr>
          <w:rFonts w:ascii="Sakkal Majalla" w:hAnsi="Sakkal Majalla" w:cs="Sakkal Majalla"/>
          <w:sz w:val="24"/>
          <w:szCs w:val="24"/>
          <w:rtl/>
        </w:rPr>
        <w:t xml:space="preserve">، سماح أحمد محمد (2025) </w:t>
      </w:r>
      <w:r w:rsidR="00C36A93" w:rsidRPr="003126C4">
        <w:rPr>
          <w:rFonts w:ascii="Sakkal Majalla" w:hAnsi="Sakkal Majalla" w:cs="Sakkal Majalla"/>
          <w:b/>
          <w:bCs/>
          <w:sz w:val="24"/>
          <w:szCs w:val="24"/>
          <w:u w:val="single"/>
          <w:rtl/>
        </w:rPr>
        <w:t>مرجع سابق</w:t>
      </w:r>
      <w:r w:rsidR="00C36A93" w:rsidRPr="003126C4">
        <w:rPr>
          <w:rFonts w:ascii="Sakkal Majalla" w:hAnsi="Sakkal Majalla" w:cs="Sakkal Majalla"/>
          <w:sz w:val="24"/>
          <w:szCs w:val="24"/>
          <w:rtl/>
        </w:rPr>
        <w:t xml:space="preserve"> ،  ص 26</w:t>
      </w:r>
    </w:p>
  </w:footnote>
  <w:footnote w:id="38">
    <w:p w14:paraId="6E13316E" w14:textId="13F96032" w:rsidR="00A32D35" w:rsidRPr="003126C4" w:rsidRDefault="00A32D35" w:rsidP="006E06C2">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E06C2" w:rsidRPr="003126C4">
        <w:rPr>
          <w:rFonts w:ascii="Sakkal Majalla" w:hAnsi="Sakkal Majalla" w:cs="Sakkal Majalla"/>
          <w:sz w:val="24"/>
          <w:szCs w:val="24"/>
        </w:rPr>
        <w:t xml:space="preserve">GAGNÉ, « La protection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de la </w:t>
      </w:r>
      <w:proofErr w:type="spellStart"/>
      <w:r w:rsidR="006E06C2" w:rsidRPr="003126C4">
        <w:rPr>
          <w:rFonts w:ascii="Sakkal Majalla" w:hAnsi="Sakkal Majalla" w:cs="Sakkal Majalla"/>
          <w:sz w:val="24"/>
          <w:szCs w:val="24"/>
        </w:rPr>
        <w:t>réalité</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virtuelle</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ou</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l'imbroglio</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dans </w:t>
      </w:r>
      <w:proofErr w:type="spellStart"/>
      <w:r w:rsidR="006E06C2" w:rsidRPr="003126C4">
        <w:rPr>
          <w:rFonts w:ascii="Sakkal Majalla" w:hAnsi="Sakkal Majalla" w:cs="Sakkal Majalla"/>
          <w:sz w:val="24"/>
          <w:szCs w:val="24"/>
        </w:rPr>
        <w:t>l'univers</w:t>
      </w:r>
      <w:proofErr w:type="spellEnd"/>
      <w:r w:rsidR="006E06C2" w:rsidRPr="003126C4">
        <w:rPr>
          <w:rFonts w:ascii="Sakkal Majalla" w:hAnsi="Sakkal Majalla" w:cs="Sakkal Majalla"/>
          <w:sz w:val="24"/>
          <w:szCs w:val="24"/>
        </w:rPr>
        <w:t xml:space="preserve"> de </w:t>
      </w:r>
      <w:proofErr w:type="spellStart"/>
      <w:r w:rsidR="006E06C2" w:rsidRPr="003126C4">
        <w:rPr>
          <w:rFonts w:ascii="Sakkal Majalla" w:hAnsi="Sakkal Majalla" w:cs="Sakkal Majalla"/>
          <w:sz w:val="24"/>
          <w:szCs w:val="24"/>
        </w:rPr>
        <w:t>l'électro</w:t>
      </w:r>
      <w:proofErr w:type="spellEnd"/>
      <w:r w:rsidR="006E06C2" w:rsidRPr="003126C4">
        <w:rPr>
          <w:rFonts w:ascii="Sakkal Majalla" w:hAnsi="Sakkal Majalla" w:cs="Sakkal Majalla"/>
          <w:sz w:val="24"/>
          <w:szCs w:val="24"/>
        </w:rPr>
        <w:t xml:space="preserve">-bohème », Cah. propr. </w:t>
      </w:r>
      <w:proofErr w:type="spellStart"/>
      <w:r w:rsidR="006E06C2" w:rsidRPr="003126C4">
        <w:rPr>
          <w:rFonts w:ascii="Sakkal Majalla" w:hAnsi="Sakkal Majalla" w:cs="Sakkal Majalla"/>
          <w:sz w:val="24"/>
          <w:szCs w:val="24"/>
        </w:rPr>
        <w:t>intell</w:t>
      </w:r>
      <w:proofErr w:type="spellEnd"/>
      <w:r w:rsidR="006E06C2" w:rsidRPr="003126C4">
        <w:rPr>
          <w:rFonts w:ascii="Sakkal Majalla" w:hAnsi="Sakkal Majalla" w:cs="Sakkal Majalla"/>
          <w:sz w:val="24"/>
          <w:szCs w:val="24"/>
        </w:rPr>
        <w:t>. 1994, vol. 7, no 2, p. 181</w:t>
      </w:r>
      <w:r w:rsidR="006E06C2" w:rsidRPr="003126C4">
        <w:rPr>
          <w:rFonts w:ascii="Sakkal Majalla" w:hAnsi="Sakkal Majalla" w:cs="Sakkal Majalla"/>
          <w:sz w:val="24"/>
          <w:szCs w:val="24"/>
          <w:rtl/>
        </w:rPr>
        <w:t>.</w:t>
      </w:r>
    </w:p>
  </w:footnote>
  <w:footnote w:id="39">
    <w:p w14:paraId="38240A7A" w14:textId="21D7215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 ، ص 19</w:t>
      </w:r>
    </w:p>
  </w:footnote>
  <w:footnote w:id="40">
    <w:p w14:paraId="50C09BA4" w14:textId="0CA80D5F"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rPr>
        <w:t xml:space="preserve">غازي، خديجة (2024) الطبيعة القانونية للذكاء الاصطناعي. مجلة التراث، 14(2)، </w:t>
      </w:r>
      <w:r w:rsidR="00EA7AF6"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ص 75</w:t>
      </w:r>
    </w:p>
  </w:footnote>
  <w:footnote w:id="41">
    <w:p w14:paraId="17133957" w14:textId="5B05F20B" w:rsidR="00A32D35" w:rsidRPr="003126C4" w:rsidRDefault="00A32D35" w:rsidP="00A32D3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 xml:space="preserve">عفيفي، </w:t>
      </w:r>
      <w:r w:rsidR="00EA7AF6" w:rsidRPr="003126C4">
        <w:rPr>
          <w:rFonts w:ascii="Sakkal Majalla" w:hAnsi="Sakkal Majalla" w:cs="Sakkal Majalla"/>
          <w:sz w:val="24"/>
          <w:szCs w:val="24"/>
          <w:rtl/>
          <w:lang w:bidi="ar-EG"/>
        </w:rPr>
        <w:t>جهاد (2015) الذكاء الاصطناعي والأنظمة الخبيرة (الطبعة الأولى). أمجد للنشر والتوزيع ، ص 75</w:t>
      </w:r>
    </w:p>
  </w:footnote>
  <w:footnote w:id="42">
    <w:p w14:paraId="3B7B4E88" w14:textId="018229A2" w:rsidR="00A32D35" w:rsidRPr="003126C4" w:rsidRDefault="00A32D35" w:rsidP="00E6129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 xml:space="preserve">الخولي، </w:t>
      </w:r>
      <w:r w:rsidR="00E61291" w:rsidRPr="003126C4">
        <w:rPr>
          <w:rFonts w:ascii="Sakkal Majalla" w:hAnsi="Sakkal Majalla" w:cs="Sakkal Majalla"/>
          <w:sz w:val="24"/>
          <w:szCs w:val="24"/>
          <w:rtl/>
          <w:lang w:bidi="ar-EG"/>
        </w:rPr>
        <w:t>أحمد فتحي (2021 ) المسؤولية المدنية الناتجة عن الاستخدام غير المشروع لتطبيقات الذكاء الاصطناعي: الديب فيك نموذجًا. مجلة البحوث الفقهية والقانونية، (36) ، ص3</w:t>
      </w:r>
    </w:p>
  </w:footnote>
  <w:footnote w:id="43">
    <w:p w14:paraId="692FDE7E" w14:textId="10EBB70E" w:rsidR="000D33A9" w:rsidRPr="003126C4" w:rsidRDefault="000D33A9" w:rsidP="000D33A9">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المملكة العربية السعودية. (1440هـ). الأمر الملكي رقم (أ/471) بتاريخ 29/12/1440هـ بشأن إنشاء الهيئة السعودية للبيانات والذكاء الاصطناعي</w:t>
      </w:r>
    </w:p>
  </w:footnote>
  <w:footnote w:id="44">
    <w:p w14:paraId="1F14DC65" w14:textId="708001BE" w:rsidR="000D33A9" w:rsidRPr="003126C4" w:rsidRDefault="000D33A9" w:rsidP="004E66E8">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ا</w:t>
      </w:r>
      <w:r w:rsidR="00E61291"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 xml:space="preserve">بو نصار، ريا جمال (2025) </w:t>
      </w:r>
      <w:r w:rsidR="00E61291" w:rsidRPr="003126C4">
        <w:rPr>
          <w:rFonts w:ascii="Sakkal Majalla" w:hAnsi="Sakkal Majalla" w:cs="Sakkal Majalla"/>
          <w:b/>
          <w:bCs/>
          <w:sz w:val="24"/>
          <w:szCs w:val="24"/>
          <w:u w:val="single"/>
          <w:rtl/>
        </w:rPr>
        <w:t>مرجع سابق</w:t>
      </w:r>
      <w:r w:rsidR="00E61291" w:rsidRPr="003126C4">
        <w:rPr>
          <w:rFonts w:ascii="Sakkal Majalla" w:hAnsi="Sakkal Majalla" w:cs="Sakkal Majalla"/>
          <w:sz w:val="24"/>
          <w:szCs w:val="24"/>
          <w:rtl/>
        </w:rPr>
        <w:t xml:space="preserve"> ، </w:t>
      </w:r>
      <w:r w:rsidR="00E61291" w:rsidRPr="003126C4">
        <w:rPr>
          <w:rFonts w:ascii="Sakkal Majalla" w:hAnsi="Sakkal Majalla" w:cs="Sakkal Majalla"/>
          <w:sz w:val="24"/>
          <w:szCs w:val="24"/>
          <w:rtl/>
          <w:lang w:bidi="ar-EG"/>
        </w:rPr>
        <w:t>ص 262</w:t>
      </w:r>
    </w:p>
  </w:footnote>
  <w:footnote w:id="45">
    <w:p w14:paraId="696FBD4C" w14:textId="26A52314" w:rsidR="000D33A9" w:rsidRPr="003126C4" w:rsidRDefault="000D33A9" w:rsidP="004E66E8">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 xml:space="preserve">سلامة، </w:t>
      </w:r>
      <w:r w:rsidR="00E61291" w:rsidRPr="003126C4">
        <w:rPr>
          <w:rFonts w:ascii="Sakkal Majalla" w:hAnsi="Sakkal Majalla" w:cs="Sakkal Majalla"/>
          <w:sz w:val="24"/>
          <w:szCs w:val="24"/>
          <w:rtl/>
          <w:lang w:bidi="ar-EG"/>
        </w:rPr>
        <w:t>صفاء، وأبو قورة، خليل (2014) تحديات عصر الروبوتات وأخلاقياتها (الطبعة الأولى) مركز الإمارات للدراسات والبحوث الاستراتيجية ، ص40</w:t>
      </w:r>
    </w:p>
  </w:footnote>
  <w:footnote w:id="46">
    <w:p w14:paraId="2989C619" w14:textId="6584BB79" w:rsidR="000D33A9" w:rsidRPr="003126C4" w:rsidRDefault="000D33A9" w:rsidP="00E61291">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A5DE4" w:rsidRPr="003126C4">
        <w:rPr>
          <w:rFonts w:ascii="Sakkal Majalla" w:hAnsi="Sakkal Majalla" w:cs="Sakkal Majalla"/>
          <w:sz w:val="24"/>
          <w:szCs w:val="24"/>
          <w:rtl/>
        </w:rPr>
        <w:t xml:space="preserve">دره ، سماح أحمد محمد (2025) </w:t>
      </w:r>
      <w:r w:rsidR="00FA5DE4" w:rsidRPr="003126C4">
        <w:rPr>
          <w:rFonts w:ascii="Sakkal Majalla" w:hAnsi="Sakkal Majalla" w:cs="Sakkal Majalla"/>
          <w:b/>
          <w:bCs/>
          <w:sz w:val="24"/>
          <w:szCs w:val="24"/>
          <w:u w:val="single"/>
          <w:rtl/>
        </w:rPr>
        <w:t>مرجع سابق</w:t>
      </w:r>
      <w:r w:rsidR="00FA5DE4" w:rsidRPr="003126C4">
        <w:rPr>
          <w:rFonts w:ascii="Sakkal Majalla" w:hAnsi="Sakkal Majalla" w:cs="Sakkal Majalla"/>
          <w:sz w:val="24"/>
          <w:szCs w:val="24"/>
          <w:rtl/>
        </w:rPr>
        <w:t xml:space="preserve"> ،  ص 32</w:t>
      </w:r>
    </w:p>
  </w:footnote>
  <w:footnote w:id="47">
    <w:p w14:paraId="46FF95C0" w14:textId="0A187025" w:rsidR="00093BEB" w:rsidRPr="003126C4" w:rsidRDefault="00093BEB" w:rsidP="00966B9F">
      <w:pPr>
        <w:bidi/>
        <w:spacing w:after="0" w:line="240" w:lineRule="auto"/>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 xml:space="preserve">حسني، </w:t>
      </w:r>
      <w:r w:rsidR="00966B9F" w:rsidRPr="003126C4">
        <w:rPr>
          <w:rFonts w:ascii="Sakkal Majalla" w:hAnsi="Sakkal Majalla" w:cs="Sakkal Majalla"/>
          <w:sz w:val="24"/>
          <w:szCs w:val="24"/>
          <w:rtl/>
        </w:rPr>
        <w:t>محمود نجيب (1982) شرح قانون العقوبات: القسم العام. دار النهضة العربية، ص 670.</w:t>
      </w:r>
    </w:p>
  </w:footnote>
  <w:footnote w:id="48">
    <w:p w14:paraId="7EBFA05E" w14:textId="6692F55C" w:rsidR="00093BEB" w:rsidRPr="003126C4" w:rsidRDefault="00093BEB" w:rsidP="00D242A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 xml:space="preserve">سرور، </w:t>
      </w:r>
      <w:r w:rsidR="00966B9F" w:rsidRPr="003126C4">
        <w:rPr>
          <w:rFonts w:ascii="Sakkal Majalla" w:hAnsi="Sakkal Majalla" w:cs="Sakkal Majalla"/>
          <w:sz w:val="24"/>
          <w:szCs w:val="24"/>
          <w:rtl/>
        </w:rPr>
        <w:t>أحمد فتحي. (1989). الوسيط في قانون العقوبات. دار النهضة العربية، ص 85.</w:t>
      </w:r>
    </w:p>
  </w:footnote>
  <w:footnote w:id="49">
    <w:p w14:paraId="3BABA410" w14:textId="23C292BC" w:rsidR="00B5091F" w:rsidRPr="003126C4" w:rsidRDefault="00B5091F" w:rsidP="00B5091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راشد، </w:t>
      </w:r>
      <w:r w:rsidR="00160126" w:rsidRPr="003126C4">
        <w:rPr>
          <w:rFonts w:ascii="Sakkal Majalla" w:hAnsi="Sakkal Majalla" w:cs="Sakkal Majalla"/>
          <w:sz w:val="24"/>
          <w:szCs w:val="24"/>
          <w:rtl/>
        </w:rPr>
        <w:t>حامد (2017) النظرية العامة للجريمة ، دار أبو المجد للطباعة، ص 15.</w:t>
      </w:r>
    </w:p>
  </w:footnote>
  <w:footnote w:id="50">
    <w:p w14:paraId="356B1B44" w14:textId="2489909C" w:rsidR="00B5091F" w:rsidRPr="003126C4" w:rsidRDefault="00B5091F" w:rsidP="00B5091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وزير، </w:t>
      </w:r>
      <w:r w:rsidR="00160126" w:rsidRPr="003126C4">
        <w:rPr>
          <w:rFonts w:ascii="Sakkal Majalla" w:hAnsi="Sakkal Majalla" w:cs="Sakkal Majalla"/>
          <w:sz w:val="24"/>
          <w:szCs w:val="24"/>
          <w:rtl/>
        </w:rPr>
        <w:t>عبد العظيم (2009) النظرية العامة للجريمة ، دار النهضة العربية، ص 188.</w:t>
      </w:r>
    </w:p>
  </w:footnote>
  <w:footnote w:id="51">
    <w:p w14:paraId="15229DAE" w14:textId="48076FC3" w:rsidR="00B5091F" w:rsidRPr="003126C4" w:rsidRDefault="00B5091F" w:rsidP="006131A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الطائي، </w:t>
      </w:r>
      <w:r w:rsidR="00160126" w:rsidRPr="003126C4">
        <w:rPr>
          <w:rFonts w:ascii="Sakkal Majalla" w:hAnsi="Sakkal Majalla" w:cs="Sakkal Majalla"/>
          <w:sz w:val="24"/>
          <w:szCs w:val="24"/>
          <w:rtl/>
        </w:rPr>
        <w:t xml:space="preserve">سميرة حسين محيسن، وعبدالحسن، إيمان حسين (2025) </w:t>
      </w:r>
      <w:r w:rsidR="00160126" w:rsidRPr="003126C4">
        <w:rPr>
          <w:rFonts w:ascii="Sakkal Majalla" w:hAnsi="Sakkal Majalla" w:cs="Sakkal Majalla"/>
          <w:b/>
          <w:bCs/>
          <w:sz w:val="24"/>
          <w:szCs w:val="24"/>
          <w:u w:val="single"/>
          <w:rtl/>
        </w:rPr>
        <w:t>مرجع سابق</w:t>
      </w:r>
      <w:r w:rsidR="00160126" w:rsidRPr="003126C4">
        <w:rPr>
          <w:rFonts w:ascii="Sakkal Majalla" w:hAnsi="Sakkal Majalla" w:cs="Sakkal Majalla"/>
          <w:sz w:val="24"/>
          <w:szCs w:val="24"/>
          <w:rtl/>
        </w:rPr>
        <w:t xml:space="preserve"> ،  ص2</w:t>
      </w:r>
      <w:r w:rsidR="00160126" w:rsidRPr="003126C4">
        <w:rPr>
          <w:rFonts w:ascii="Sakkal Majalla" w:hAnsi="Sakkal Majalla" w:cs="Sakkal Majalla"/>
          <w:sz w:val="24"/>
          <w:szCs w:val="24"/>
          <w:rtl/>
          <w:lang w:bidi="ar-EG"/>
        </w:rPr>
        <w:t>49</w:t>
      </w:r>
    </w:p>
  </w:footnote>
  <w:footnote w:id="52">
    <w:p w14:paraId="507960A1" w14:textId="7268D285" w:rsidR="00B5091F" w:rsidRPr="003126C4" w:rsidRDefault="00B5091F" w:rsidP="00160126">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Pr>
        <w:t xml:space="preserve">E. SADIN, </w:t>
      </w:r>
      <w:proofErr w:type="spellStart"/>
      <w:r w:rsidR="00160126" w:rsidRPr="003126C4">
        <w:rPr>
          <w:rFonts w:ascii="Sakkal Majalla" w:hAnsi="Sakkal Majalla" w:cs="Sakkal Majalla"/>
          <w:sz w:val="24"/>
          <w:szCs w:val="24"/>
        </w:rPr>
        <w:t>L’intelligence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artificielle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ou</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l’enjeu</w:t>
      </w:r>
      <w:proofErr w:type="spellEnd"/>
      <w:r w:rsidR="00160126" w:rsidRPr="003126C4">
        <w:rPr>
          <w:rFonts w:ascii="Sakkal Majalla" w:hAnsi="Sakkal Majalla" w:cs="Sakkal Majalla"/>
          <w:sz w:val="24"/>
          <w:szCs w:val="24"/>
        </w:rPr>
        <w:t xml:space="preserve"> du siècle. </w:t>
      </w:r>
      <w:proofErr w:type="spellStart"/>
      <w:r w:rsidR="00160126" w:rsidRPr="003126C4">
        <w:rPr>
          <w:rFonts w:ascii="Sakkal Majalla" w:hAnsi="Sakkal Majalla" w:cs="Sakkal Majalla"/>
          <w:sz w:val="24"/>
          <w:szCs w:val="24"/>
        </w:rPr>
        <w:t>Anatomie</w:t>
      </w:r>
      <w:proofErr w:type="spellEnd"/>
      <w:r w:rsidR="00160126" w:rsidRPr="003126C4">
        <w:rPr>
          <w:rFonts w:ascii="Sakkal Majalla" w:hAnsi="Sakkal Majalla" w:cs="Sakkal Majalla"/>
          <w:sz w:val="24"/>
          <w:szCs w:val="24"/>
        </w:rPr>
        <w:t xml:space="preserve"> d’un </w:t>
      </w:r>
      <w:proofErr w:type="spellStart"/>
      <w:r w:rsidR="00160126" w:rsidRPr="003126C4">
        <w:rPr>
          <w:rFonts w:ascii="Sakkal Majalla" w:hAnsi="Sakkal Majalla" w:cs="Sakkal Majalla"/>
          <w:sz w:val="24"/>
          <w:szCs w:val="24"/>
        </w:rPr>
        <w:t>antihumanisme</w:t>
      </w:r>
      <w:proofErr w:type="spellEnd"/>
      <w:r w:rsidR="00160126" w:rsidRPr="003126C4">
        <w:rPr>
          <w:rFonts w:ascii="Sakkal Majalla" w:hAnsi="Sakkal Majalla" w:cs="Sakkal Majalla"/>
          <w:sz w:val="24"/>
          <w:szCs w:val="24"/>
        </w:rPr>
        <w:t xml:space="preserve"> radical, </w:t>
      </w:r>
      <w:proofErr w:type="spellStart"/>
      <w:r w:rsidR="00160126" w:rsidRPr="003126C4">
        <w:rPr>
          <w:rFonts w:ascii="Sakkal Majalla" w:hAnsi="Sakkal Majalla" w:cs="Sakkal Majalla"/>
          <w:sz w:val="24"/>
          <w:szCs w:val="24"/>
        </w:rPr>
        <w:t>préc</w:t>
      </w:r>
      <w:proofErr w:type="spellEnd"/>
      <w:r w:rsidR="00160126" w:rsidRPr="003126C4">
        <w:rPr>
          <w:rFonts w:ascii="Sakkal Majalla" w:hAnsi="Sakkal Majalla" w:cs="Sakkal Majalla"/>
          <w:sz w:val="24"/>
          <w:szCs w:val="24"/>
        </w:rPr>
        <w:t>., p. 13.</w:t>
      </w:r>
    </w:p>
  </w:footnote>
  <w:footnote w:id="53">
    <w:p w14:paraId="0EDCD2B5" w14:textId="19B595DE" w:rsidR="00B5091F" w:rsidRPr="003126C4" w:rsidRDefault="00B5091F" w:rsidP="006131A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شمس الدين، أشرف توفيق. (2012) شرح قانون الإجراءات الجنائية: مرحلة ما قبل المحاكمة. جامعة بنها، ص 43.</w:t>
      </w:r>
    </w:p>
  </w:footnote>
  <w:footnote w:id="54">
    <w:p w14:paraId="59000151" w14:textId="7FE3D414" w:rsidR="005318BC" w:rsidRPr="003126C4" w:rsidRDefault="005318BC" w:rsidP="005318B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دهشان، </w:t>
      </w:r>
      <w:r w:rsidR="00575117" w:rsidRPr="003126C4">
        <w:rPr>
          <w:rFonts w:ascii="Sakkal Majalla" w:hAnsi="Sakkal Majalla" w:cs="Sakkal Majalla"/>
          <w:sz w:val="24"/>
          <w:szCs w:val="24"/>
          <w:rtl/>
        </w:rPr>
        <w:t>يحيى إبراهيم</w:t>
      </w:r>
      <w:r w:rsidR="00575117"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 (2020</w:t>
      </w:r>
      <w:r w:rsidR="00575117" w:rsidRPr="003126C4">
        <w:rPr>
          <w:rFonts w:ascii="Sakkal Majalla" w:hAnsi="Sakkal Majalla" w:cs="Sakkal Majalla"/>
          <w:sz w:val="24"/>
          <w:szCs w:val="24"/>
        </w:rPr>
        <w:t>(</w:t>
      </w:r>
      <w:r w:rsidR="00575117" w:rsidRPr="003126C4">
        <w:rPr>
          <w:rFonts w:ascii="Sakkal Majalla" w:hAnsi="Sakkal Majalla" w:cs="Sakkal Majalla"/>
          <w:sz w:val="24"/>
          <w:szCs w:val="24"/>
          <w:rtl/>
        </w:rPr>
        <w:t xml:space="preserve"> المسؤولية الجنائية عن جرائم الذكاء الاصطناعي ، مجلة الشريعة والقانون – كلية القانون، جامعة الإمارات العربية المتحدة، 34(82)،</w:t>
      </w:r>
      <w:r w:rsidR="00575117" w:rsidRPr="003126C4">
        <w:rPr>
          <w:rFonts w:ascii="Sakkal Majalla" w:hAnsi="Sakkal Majalla" w:cs="Sakkal Majalla"/>
          <w:sz w:val="24"/>
          <w:szCs w:val="24"/>
          <w:rtl/>
          <w:lang w:bidi="ar-EG"/>
        </w:rPr>
        <w:t>ص</w:t>
      </w:r>
      <w:r w:rsidR="00575117" w:rsidRPr="003126C4">
        <w:rPr>
          <w:rFonts w:ascii="Sakkal Majalla" w:hAnsi="Sakkal Majalla" w:cs="Sakkal Majalla"/>
          <w:sz w:val="24"/>
          <w:szCs w:val="24"/>
          <w:rtl/>
        </w:rPr>
        <w:t xml:space="preserve"> 100</w:t>
      </w:r>
    </w:p>
  </w:footnote>
  <w:footnote w:id="55">
    <w:p w14:paraId="07FB3544" w14:textId="59DB1BA1" w:rsidR="005318BC" w:rsidRPr="003126C4" w:rsidRDefault="005318BC" w:rsidP="00595EEA">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Pr>
        <w:t xml:space="preserve">Hallevy, Gabriel. (2015). Liability for Crimes Involving Artificial Intelligence Systems. Springer International </w:t>
      </w:r>
      <w:proofErr w:type="gramStart"/>
      <w:r w:rsidR="00595EEA" w:rsidRPr="003126C4">
        <w:rPr>
          <w:rFonts w:ascii="Sakkal Majalla" w:hAnsi="Sakkal Majalla" w:cs="Sakkal Majalla"/>
          <w:sz w:val="24"/>
          <w:szCs w:val="24"/>
        </w:rPr>
        <w:t>Publishing .</w:t>
      </w:r>
      <w:proofErr w:type="gramEnd"/>
      <w:r w:rsidR="00595EEA" w:rsidRPr="003126C4">
        <w:rPr>
          <w:rFonts w:ascii="Sakkal Majalla" w:hAnsi="Sakkal Majalla" w:cs="Sakkal Majalla"/>
          <w:sz w:val="24"/>
          <w:szCs w:val="24"/>
        </w:rPr>
        <w:t xml:space="preserve"> p7</w:t>
      </w:r>
    </w:p>
  </w:footnote>
  <w:footnote w:id="56">
    <w:p w14:paraId="02A5E6E9" w14:textId="224C00E5" w:rsidR="005318BC" w:rsidRPr="003126C4" w:rsidRDefault="005318BC" w:rsidP="005318BC">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دهشان، يحيى إبراهيم (2019</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lang w:bidi="ar-EG"/>
        </w:rPr>
        <w:t>)</w:t>
      </w:r>
      <w:r w:rsidR="00595EEA" w:rsidRPr="003126C4">
        <w:rPr>
          <w:rFonts w:ascii="Sakkal Majalla" w:hAnsi="Sakkal Majalla" w:cs="Sakkal Majalla"/>
          <w:sz w:val="24"/>
          <w:szCs w:val="24"/>
          <w:rtl/>
        </w:rPr>
        <w:t xml:space="preserve"> المسؤولية الجنائية عن جرائم الذكاء الاصطناعي. مجلة الشريعة والقانون، جامعة الإمارات، ص 106.</w:t>
      </w:r>
    </w:p>
  </w:footnote>
  <w:footnote w:id="57">
    <w:p w14:paraId="5694C4C6" w14:textId="17EE0992" w:rsidR="007E23D6" w:rsidRPr="007E23D6" w:rsidRDefault="007E23D6" w:rsidP="007E23D6">
      <w:pPr>
        <w:pStyle w:val="FootnoteText"/>
        <w:bidi/>
        <w:rPr>
          <w:rtl/>
          <w:lang w:bidi="ar-EG"/>
        </w:rPr>
      </w:pPr>
      <w:r>
        <w:rPr>
          <w:rStyle w:val="FootnoteReference"/>
        </w:rPr>
        <w:footnoteRef/>
      </w:r>
      <w:r>
        <w:t xml:space="preserve"> </w:t>
      </w:r>
      <w:r w:rsidRPr="003126C4">
        <w:rPr>
          <w:rFonts w:ascii="Sakkal Majalla" w:hAnsi="Sakkal Majalla" w:cs="Sakkal Majalla"/>
          <w:sz w:val="24"/>
          <w:szCs w:val="24"/>
          <w:rtl/>
        </w:rPr>
        <w:t>الح</w:t>
      </w:r>
      <w:r w:rsidRPr="003126C4">
        <w:rPr>
          <w:rFonts w:ascii="Sakkal Majalla" w:hAnsi="Sakkal Majalla" w:cs="Sakkal Majalla"/>
          <w:sz w:val="24"/>
          <w:szCs w:val="24"/>
          <w:rtl/>
          <w:lang w:bidi="ar-EG"/>
        </w:rPr>
        <w:t>جي</w:t>
      </w:r>
      <w:r w:rsidRPr="003126C4">
        <w:rPr>
          <w:rFonts w:ascii="Sakkal Majalla" w:hAnsi="Sakkal Majalla" w:cs="Sakkal Majalla"/>
          <w:sz w:val="24"/>
          <w:szCs w:val="24"/>
          <w:rtl/>
        </w:rPr>
        <w:t>لي، محمد عمر (2024) النظام القانوني لحقوق الملكية الفكرية في مجال الذكاء الاصطناعي. مجلة جامعة الأبار للعلوم القانونية والسياسية ،ص 389</w:t>
      </w:r>
    </w:p>
  </w:footnote>
  <w:footnote w:id="58">
    <w:p w14:paraId="7EEC70D7" w14:textId="5D3D110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 xml:space="preserve">عميش، </w:t>
      </w:r>
      <w:r w:rsidR="00595EEA" w:rsidRPr="003126C4">
        <w:rPr>
          <w:rFonts w:ascii="Sakkal Majalla" w:hAnsi="Sakkal Majalla" w:cs="Sakkal Majalla"/>
          <w:sz w:val="24"/>
          <w:szCs w:val="24"/>
          <w:rtl/>
        </w:rPr>
        <w:t>رحاب علي (2021</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المسؤولية الجنائية عن جرائم الذكاء الاصطناعي. مجلة البحوث القانونية والاقتصادية – كلية الحقوق، جامعة المنصورة، عدد خاص، 7</w:t>
      </w:r>
      <w:r w:rsidR="00595EEA" w:rsidRPr="003126C4">
        <w:rPr>
          <w:rFonts w:ascii="Sakkal Majalla" w:hAnsi="Sakkal Majalla" w:cs="Sakkal Majalla"/>
          <w:sz w:val="24"/>
          <w:szCs w:val="24"/>
          <w:rtl/>
          <w:lang w:bidi="ar-EG"/>
        </w:rPr>
        <w:t>27</w:t>
      </w:r>
    </w:p>
  </w:footnote>
  <w:footnote w:id="59">
    <w:p w14:paraId="0854D82C" w14:textId="2FBF02AF"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عميش، رحاب علي (2021)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  728</w:t>
      </w:r>
    </w:p>
  </w:footnote>
  <w:footnote w:id="60">
    <w:p w14:paraId="699D135E" w14:textId="72DFA98E"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محمد، </w:t>
      </w:r>
      <w:r w:rsidR="005D6DE4" w:rsidRPr="003126C4">
        <w:rPr>
          <w:rFonts w:ascii="Sakkal Majalla" w:hAnsi="Sakkal Majalla" w:cs="Sakkal Majalla"/>
          <w:sz w:val="24"/>
          <w:szCs w:val="24"/>
          <w:rtl/>
        </w:rPr>
        <w:t>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61">
    <w:p w14:paraId="7EE986DB" w14:textId="6B111923" w:rsidR="00362ADF" w:rsidRPr="003126C4" w:rsidRDefault="00362ADF" w:rsidP="005D6DE4">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Pr>
        <w:t xml:space="preserve">J. GASNAULT, « Les </w:t>
      </w:r>
      <w:proofErr w:type="spellStart"/>
      <w:r w:rsidR="005D6DE4" w:rsidRPr="003126C4">
        <w:rPr>
          <w:rFonts w:ascii="Sakkal Majalla" w:hAnsi="Sakkal Majalla" w:cs="Sakkal Majalla"/>
          <w:sz w:val="24"/>
          <w:szCs w:val="24"/>
        </w:rPr>
        <w:t>problèmes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juridiques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suscités</w:t>
      </w:r>
      <w:proofErr w:type="spellEnd"/>
      <w:r w:rsidR="005D6DE4" w:rsidRPr="003126C4">
        <w:rPr>
          <w:rFonts w:ascii="Sakkal Majalla" w:hAnsi="Sakkal Majalla" w:cs="Sakkal Majalla"/>
          <w:sz w:val="24"/>
          <w:szCs w:val="24"/>
        </w:rPr>
        <w:t xml:space="preserve"> par les </w:t>
      </w:r>
      <w:proofErr w:type="spellStart"/>
      <w:r w:rsidR="005D6DE4" w:rsidRPr="003126C4">
        <w:rPr>
          <w:rFonts w:ascii="Sakkal Majalla" w:hAnsi="Sakkal Majalla" w:cs="Sakkal Majalla"/>
          <w:sz w:val="24"/>
          <w:szCs w:val="24"/>
        </w:rPr>
        <w:t>systèmes</w:t>
      </w:r>
      <w:proofErr w:type="spellEnd"/>
      <w:r w:rsidR="005D6DE4" w:rsidRPr="003126C4">
        <w:rPr>
          <w:rFonts w:ascii="Sakkal Majalla" w:hAnsi="Sakkal Majalla" w:cs="Sakkal Majalla"/>
          <w:sz w:val="24"/>
          <w:szCs w:val="24"/>
        </w:rPr>
        <w:t xml:space="preserve"> </w:t>
      </w:r>
      <w:proofErr w:type="gramStart"/>
      <w:r w:rsidR="005D6DE4" w:rsidRPr="003126C4">
        <w:rPr>
          <w:rFonts w:ascii="Sakkal Majalla" w:hAnsi="Sakkal Majalla" w:cs="Sakkal Majalla"/>
          <w:sz w:val="24"/>
          <w:szCs w:val="24"/>
        </w:rPr>
        <w:t>experts</w:t>
      </w:r>
      <w:proofErr w:type="gram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ou</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d'aide</w:t>
      </w:r>
      <w:proofErr w:type="spellEnd"/>
      <w:r w:rsidR="005D6DE4" w:rsidRPr="003126C4">
        <w:rPr>
          <w:rFonts w:ascii="Sakkal Majalla" w:hAnsi="Sakkal Majalla" w:cs="Sakkal Majalla"/>
          <w:sz w:val="24"/>
          <w:szCs w:val="24"/>
        </w:rPr>
        <w:t xml:space="preserve"> à la </w:t>
      </w:r>
      <w:proofErr w:type="spellStart"/>
      <w:r w:rsidR="005D6DE4" w:rsidRPr="003126C4">
        <w:rPr>
          <w:rFonts w:ascii="Sakkal Majalla" w:hAnsi="Sakkal Majalla" w:cs="Sakkal Majalla"/>
          <w:sz w:val="24"/>
          <w:szCs w:val="24"/>
        </w:rPr>
        <w:t>décision</w:t>
      </w:r>
      <w:proofErr w:type="spellEnd"/>
      <w:r w:rsidR="005D6DE4" w:rsidRPr="003126C4">
        <w:rPr>
          <w:rFonts w:ascii="Sakkal Majalla" w:hAnsi="Sakkal Majalla" w:cs="Sakkal Majalla"/>
          <w:sz w:val="24"/>
          <w:szCs w:val="24"/>
        </w:rPr>
        <w:t xml:space="preserve"> », op. cit., p. 155.</w:t>
      </w:r>
    </w:p>
  </w:footnote>
  <w:footnote w:id="62">
    <w:p w14:paraId="6BE530A6" w14:textId="25781C8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الح</w:t>
      </w:r>
      <w:r w:rsidR="005D6DE4" w:rsidRPr="003126C4">
        <w:rPr>
          <w:rFonts w:ascii="Sakkal Majalla" w:hAnsi="Sakkal Majalla" w:cs="Sakkal Majalla"/>
          <w:sz w:val="24"/>
          <w:szCs w:val="24"/>
          <w:rtl/>
          <w:lang w:bidi="ar-EG"/>
        </w:rPr>
        <w:t>جي</w:t>
      </w:r>
      <w:r w:rsidR="005D6DE4" w:rsidRPr="003126C4">
        <w:rPr>
          <w:rFonts w:ascii="Sakkal Majalla" w:hAnsi="Sakkal Majalla" w:cs="Sakkal Majalla"/>
          <w:sz w:val="24"/>
          <w:szCs w:val="24"/>
          <w:rtl/>
        </w:rPr>
        <w:t xml:space="preserve">لي، محمد عمر (2024)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،ص 392</w:t>
      </w:r>
    </w:p>
  </w:footnote>
  <w:footnote w:id="63">
    <w:p w14:paraId="477ABE3A" w14:textId="6D5654F2"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لطفي، </w:t>
      </w:r>
      <w:r w:rsidR="005D6DE4" w:rsidRPr="003126C4">
        <w:rPr>
          <w:rFonts w:ascii="Sakkal Majalla" w:hAnsi="Sakkal Majalla" w:cs="Sakkal Majalla"/>
          <w:sz w:val="24"/>
          <w:szCs w:val="24"/>
          <w:rtl/>
        </w:rPr>
        <w:t>خالد حسن أحمد (2021) الذكاء الاصطناعي وحمايته من الناحية المدنية والجنائية (الطبعة الأولى). دار الفكر الجامعي، ص 100.</w:t>
      </w:r>
    </w:p>
  </w:footnote>
  <w:footnote w:id="64">
    <w:p w14:paraId="08CDA504" w14:textId="4F942B3D"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65">
    <w:p w14:paraId="373520B9" w14:textId="226880B4"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rPr>
        <w:t xml:space="preserve">شمس الدين، أشرف توفيق. (2012) </w:t>
      </w:r>
      <w:r w:rsidR="007D6A05" w:rsidRPr="003126C4">
        <w:rPr>
          <w:rFonts w:ascii="Sakkal Majalla" w:hAnsi="Sakkal Majalla" w:cs="Sakkal Majalla"/>
          <w:b/>
          <w:bCs/>
          <w:sz w:val="24"/>
          <w:szCs w:val="24"/>
          <w:u w:val="single"/>
          <w:rtl/>
        </w:rPr>
        <w:t>مرجع سابق</w:t>
      </w:r>
      <w:r w:rsidR="007D6A05" w:rsidRPr="003126C4">
        <w:rPr>
          <w:rFonts w:ascii="Sakkal Majalla" w:hAnsi="Sakkal Majalla" w:cs="Sakkal Majalla"/>
          <w:sz w:val="24"/>
          <w:szCs w:val="24"/>
          <w:rtl/>
        </w:rPr>
        <w:t xml:space="preserve"> ، ص 4</w:t>
      </w:r>
      <w:r w:rsidR="007D6A05" w:rsidRPr="003126C4">
        <w:rPr>
          <w:rFonts w:ascii="Sakkal Majalla" w:hAnsi="Sakkal Majalla" w:cs="Sakkal Majalla"/>
          <w:sz w:val="24"/>
          <w:szCs w:val="24"/>
          <w:rtl/>
          <w:lang w:bidi="ar-EG"/>
        </w:rPr>
        <w:t>8</w:t>
      </w:r>
    </w:p>
  </w:footnote>
  <w:footnote w:id="66">
    <w:p w14:paraId="1FB918C2" w14:textId="250DE9E9"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فريدة ، بن عثمان (2020) فريدة الذكاء الاصطناعي: مقاربة قانونية. مجلة دفاتر السياسة والقانون، كلية الحقوق والعلوم السياسية، جامعة ورقلة، ص 159.</w:t>
      </w:r>
    </w:p>
  </w:footnote>
  <w:footnote w:id="67">
    <w:p w14:paraId="18F572A4" w14:textId="273008CD" w:rsidR="00362ADF" w:rsidRPr="003126C4" w:rsidRDefault="00362ADF" w:rsidP="00362AD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 xml:space="preserve">دهشان، </w:t>
      </w:r>
      <w:r w:rsidR="0001606F" w:rsidRPr="003126C4">
        <w:rPr>
          <w:rFonts w:ascii="Sakkal Majalla" w:hAnsi="Sakkal Majalla" w:cs="Sakkal Majalla"/>
          <w:sz w:val="24"/>
          <w:szCs w:val="24"/>
          <w:rtl/>
        </w:rPr>
        <w:t xml:space="preserve">أحمد إبراهيم (2019) </w:t>
      </w:r>
      <w:r w:rsidR="0001606F" w:rsidRPr="003126C4">
        <w:rPr>
          <w:rFonts w:ascii="Sakkal Majalla" w:hAnsi="Sakkal Majalla" w:cs="Sakkal Majalla"/>
          <w:b/>
          <w:bCs/>
          <w:sz w:val="24"/>
          <w:szCs w:val="24"/>
          <w:u w:val="single"/>
          <w:rtl/>
        </w:rPr>
        <w:t>مرجع سابق</w:t>
      </w:r>
      <w:r w:rsidR="0001606F" w:rsidRPr="003126C4">
        <w:rPr>
          <w:rFonts w:ascii="Sakkal Majalla" w:hAnsi="Sakkal Majalla" w:cs="Sakkal Majalla"/>
          <w:sz w:val="24"/>
          <w:szCs w:val="24"/>
          <w:rtl/>
        </w:rPr>
        <w:t xml:space="preserve"> ، ص 32</w:t>
      </w:r>
    </w:p>
  </w:footnote>
  <w:footnote w:id="68">
    <w:p w14:paraId="6F3BCF9C" w14:textId="19EB05C8" w:rsidR="00026877" w:rsidRDefault="00026877">
      <w:pPr>
        <w:pStyle w:val="FootnoteText"/>
        <w:rPr>
          <w:rtl/>
          <w:lang w:bidi="ar-EG"/>
        </w:rPr>
      </w:pPr>
      <w:r w:rsidRPr="00143BCD">
        <w:rPr>
          <w:rStyle w:val="FootnoteReference"/>
        </w:rPr>
        <w:footnoteRef/>
      </w:r>
      <w:r w:rsidRPr="00143BCD">
        <w:t xml:space="preserve"> United Nations Office on Drugs and Crime (UNODC), Cybercrime Module 5: Cybercrime Investigation – Obstacles to Cybercrime Investigations, Education for Justice (E4J), United Nations</w:t>
      </w:r>
    </w:p>
  </w:footnote>
  <w:footnote w:id="69">
    <w:p w14:paraId="14120F7E" w14:textId="222235D7" w:rsidR="0001606F" w:rsidRPr="003126C4" w:rsidRDefault="0001606F" w:rsidP="0001606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tl/>
        </w:rPr>
        <w:t>الح</w:t>
      </w:r>
      <w:r w:rsidR="005E3775" w:rsidRPr="003126C4">
        <w:rPr>
          <w:rFonts w:ascii="Sakkal Majalla" w:hAnsi="Sakkal Majalla" w:cs="Sakkal Majalla"/>
          <w:sz w:val="24"/>
          <w:szCs w:val="24"/>
          <w:rtl/>
          <w:lang w:bidi="ar-EG"/>
        </w:rPr>
        <w:t>جي</w:t>
      </w:r>
      <w:r w:rsidR="005E3775" w:rsidRPr="003126C4">
        <w:rPr>
          <w:rFonts w:ascii="Sakkal Majalla" w:hAnsi="Sakkal Majalla" w:cs="Sakkal Majalla"/>
          <w:sz w:val="24"/>
          <w:szCs w:val="24"/>
          <w:rtl/>
        </w:rPr>
        <w:t>لي، محمد عمر (2024) مرجع سابق  ،ص 395</w:t>
      </w:r>
    </w:p>
  </w:footnote>
  <w:footnote w:id="70">
    <w:p w14:paraId="23142DC4" w14:textId="4D801530" w:rsidR="00362ADF" w:rsidRPr="003126C4" w:rsidRDefault="00362ADF" w:rsidP="005E3775">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Pr>
        <w:t>Hallevy, Gabriel (2015), Liability for Crimes Involving Artificial Intelligence Systems, op. cit.</w:t>
      </w:r>
      <w:r w:rsidR="005E3775" w:rsidRPr="003126C4">
        <w:rPr>
          <w:rFonts w:ascii="Sakkal Majalla" w:hAnsi="Sakkal Majalla" w:cs="Sakkal Majalla"/>
          <w:sz w:val="24"/>
          <w:szCs w:val="24"/>
          <w:rtl/>
        </w:rPr>
        <w:t xml:space="preserve"> </w:t>
      </w:r>
      <w:r w:rsidR="005E3775" w:rsidRPr="003126C4">
        <w:rPr>
          <w:rFonts w:ascii="Sakkal Majalla" w:hAnsi="Sakkal Majalla" w:cs="Sakkal Majalla"/>
          <w:sz w:val="24"/>
          <w:szCs w:val="24"/>
        </w:rPr>
        <w:t>p. 16</w:t>
      </w:r>
    </w:p>
  </w:footnote>
  <w:footnote w:id="71">
    <w:p w14:paraId="38C686CF" w14:textId="0A81DB8E" w:rsidR="00362ADF" w:rsidRPr="003126C4" w:rsidRDefault="00362ADF" w:rsidP="005E377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القوصي، همام (2019</w:t>
      </w:r>
      <w:r w:rsidR="001C5F30" w:rsidRPr="003126C4">
        <w:rPr>
          <w:rFonts w:ascii="Sakkal Majalla" w:hAnsi="Sakkal Majalla" w:cs="Sakkal Majalla"/>
          <w:sz w:val="24"/>
          <w:szCs w:val="24"/>
          <w:rtl/>
          <w:lang w:bidi="ar-EG"/>
        </w:rPr>
        <w:t>)</w:t>
      </w:r>
      <w:r w:rsidR="001C5F30" w:rsidRPr="003126C4">
        <w:rPr>
          <w:rFonts w:ascii="Sakkal Majalla" w:hAnsi="Sakkal Majalla" w:cs="Sakkal Majalla"/>
          <w:sz w:val="24"/>
          <w:szCs w:val="24"/>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72">
    <w:p w14:paraId="155F1AFD" w14:textId="2584F32C" w:rsidR="005E3775" w:rsidRPr="003126C4" w:rsidRDefault="005E3775" w:rsidP="005E3775">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محمد، </w:t>
      </w:r>
      <w:r w:rsidR="001C5F30" w:rsidRPr="003126C4">
        <w:rPr>
          <w:rFonts w:ascii="Sakkal Majalla" w:hAnsi="Sakkal Majalla" w:cs="Sakkal Majalla"/>
          <w:sz w:val="24"/>
          <w:szCs w:val="24"/>
          <w:rtl/>
        </w:rPr>
        <w:t xml:space="preserve">محمد شاكر محمود (2022)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632</w:t>
      </w:r>
    </w:p>
  </w:footnote>
  <w:footnote w:id="73">
    <w:p w14:paraId="1525FC39" w14:textId="029C726D" w:rsidR="00362ADF" w:rsidRPr="003126C4" w:rsidRDefault="00362ADF"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شمس </w:t>
      </w:r>
      <w:r w:rsidR="001C5F30" w:rsidRPr="003126C4">
        <w:rPr>
          <w:rFonts w:ascii="Sakkal Majalla" w:hAnsi="Sakkal Majalla" w:cs="Sakkal Majalla"/>
          <w:sz w:val="24"/>
          <w:szCs w:val="24"/>
          <w:rtl/>
        </w:rPr>
        <w:t xml:space="preserve">الدين، أشرف توفيق. (2012)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52</w:t>
      </w:r>
    </w:p>
  </w:footnote>
  <w:footnote w:id="74">
    <w:p w14:paraId="5C555D37" w14:textId="33405513" w:rsidR="00362ADF" w:rsidRPr="003126C4" w:rsidRDefault="00362ADF"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الخطيب، </w:t>
      </w:r>
      <w:r w:rsidR="00FC655F" w:rsidRPr="003126C4">
        <w:rPr>
          <w:rFonts w:ascii="Sakkal Majalla" w:hAnsi="Sakkal Majalla" w:cs="Sakkal Majalla"/>
          <w:sz w:val="24"/>
          <w:szCs w:val="24"/>
          <w:rtl/>
        </w:rPr>
        <w:t>محمد عرفان (2018</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المركز القانوني للإنسان الآلة (</w:t>
      </w:r>
      <w:r w:rsidR="00FC655F" w:rsidRPr="003126C4">
        <w:rPr>
          <w:rFonts w:ascii="Sakkal Majalla" w:hAnsi="Sakkal Majalla" w:cs="Sakkal Majalla"/>
          <w:sz w:val="24"/>
          <w:szCs w:val="24"/>
        </w:rPr>
        <w:t>Robots</w:t>
      </w:r>
      <w:r w:rsidR="00FC655F" w:rsidRPr="003126C4">
        <w:rPr>
          <w:rFonts w:ascii="Sakkal Majalla" w:hAnsi="Sakkal Majalla" w:cs="Sakkal Majalla"/>
          <w:sz w:val="24"/>
          <w:szCs w:val="24"/>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lang w:bidi="ar-EG"/>
        </w:rPr>
        <w:t>، ص122</w:t>
      </w:r>
    </w:p>
  </w:footnote>
  <w:footnote w:id="75">
    <w:p w14:paraId="3DAE0CDD" w14:textId="561ECA86" w:rsidR="00A70643" w:rsidRPr="003126C4" w:rsidRDefault="00A70643" w:rsidP="00A7064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كيرة، حسن (197</w:t>
      </w:r>
      <w:r w:rsidR="00FC655F" w:rsidRPr="003126C4">
        <w:rPr>
          <w:rFonts w:ascii="Sakkal Majalla" w:hAnsi="Sakkal Majalla" w:cs="Sakkal Majalla"/>
          <w:sz w:val="24"/>
          <w:szCs w:val="24"/>
          <w:rtl/>
          <w:lang w:bidi="ar-EG"/>
        </w:rPr>
        <w:t>1</w:t>
      </w:r>
      <w:r w:rsidR="00FC655F" w:rsidRPr="003126C4">
        <w:rPr>
          <w:rFonts w:ascii="Sakkal Majalla" w:hAnsi="Sakkal Majalla" w:cs="Sakkal Majalla"/>
          <w:sz w:val="24"/>
          <w:szCs w:val="24"/>
          <w:rtl/>
        </w:rPr>
        <w:t>) المدخل إلى القانون (الطبعة الخامسة). منشأة المعارف، ص 514.</w:t>
      </w:r>
    </w:p>
  </w:footnote>
  <w:footnote w:id="76">
    <w:p w14:paraId="1DB18E6B" w14:textId="1E4ACDC8" w:rsidR="001C5F30" w:rsidRPr="003126C4" w:rsidRDefault="001C5F30" w:rsidP="001C5F3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دهشان، </w:t>
      </w:r>
      <w:r w:rsidR="00FC655F" w:rsidRPr="003126C4">
        <w:rPr>
          <w:rFonts w:ascii="Sakkal Majalla" w:hAnsi="Sakkal Majalla" w:cs="Sakkal Majalla"/>
          <w:sz w:val="24"/>
          <w:szCs w:val="24"/>
          <w:rtl/>
        </w:rPr>
        <w:t>يحيى إبراهيم</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 (2020</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w:t>
      </w:r>
      <w:r w:rsidR="00FC655F" w:rsidRPr="003126C4">
        <w:rPr>
          <w:rFonts w:ascii="Sakkal Majalla" w:hAnsi="Sakkal Majalla" w:cs="Sakkal Majalla"/>
          <w:b/>
          <w:bCs/>
          <w:sz w:val="24"/>
          <w:szCs w:val="24"/>
          <w:u w:val="single"/>
          <w:rtl/>
        </w:rPr>
        <w:t>مرجع سابق</w:t>
      </w:r>
      <w:r w:rsidR="00FC655F" w:rsidRPr="003126C4">
        <w:rPr>
          <w:rFonts w:ascii="Sakkal Majalla" w:hAnsi="Sakkal Majalla" w:cs="Sakkal Majalla"/>
          <w:sz w:val="24"/>
          <w:szCs w:val="24"/>
          <w:rtl/>
        </w:rPr>
        <w:t xml:space="preserve"> ، ص118</w:t>
      </w:r>
    </w:p>
  </w:footnote>
  <w:footnote w:id="77">
    <w:p w14:paraId="6AF73DD6" w14:textId="48C31ACC" w:rsidR="00CD54A1" w:rsidRPr="003126C4" w:rsidRDefault="00CD54A1" w:rsidP="00CD54A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السحلي، </w:t>
      </w:r>
      <w:r w:rsidR="00FC655F" w:rsidRPr="003126C4">
        <w:rPr>
          <w:rFonts w:ascii="Sakkal Majalla" w:hAnsi="Sakkal Majalla" w:cs="Sakkal Majalla"/>
          <w:sz w:val="24"/>
          <w:szCs w:val="24"/>
          <w:rtl/>
        </w:rPr>
        <w:t>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78">
    <w:p w14:paraId="10D2485E" w14:textId="1EF67ED3" w:rsidR="00CD54A1" w:rsidRPr="003126C4" w:rsidRDefault="00CD54A1" w:rsidP="00CD54A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82DF1" w:rsidRPr="003126C4">
        <w:rPr>
          <w:rFonts w:ascii="Sakkal Majalla" w:hAnsi="Sakkal Majalla" w:cs="Sakkal Majalla"/>
          <w:sz w:val="24"/>
          <w:szCs w:val="24"/>
          <w:rtl/>
        </w:rPr>
        <w:t>الح</w:t>
      </w:r>
      <w:r w:rsidR="00882DF1" w:rsidRPr="003126C4">
        <w:rPr>
          <w:rFonts w:ascii="Sakkal Majalla" w:hAnsi="Sakkal Majalla" w:cs="Sakkal Majalla"/>
          <w:sz w:val="24"/>
          <w:szCs w:val="24"/>
          <w:rtl/>
          <w:lang w:bidi="ar-EG"/>
        </w:rPr>
        <w:t>جي</w:t>
      </w:r>
      <w:r w:rsidR="00882DF1" w:rsidRPr="003126C4">
        <w:rPr>
          <w:rFonts w:ascii="Sakkal Majalla" w:hAnsi="Sakkal Majalla" w:cs="Sakkal Majalla"/>
          <w:sz w:val="24"/>
          <w:szCs w:val="24"/>
          <w:rtl/>
        </w:rPr>
        <w:t>لي، محمد عمر (2024) مرجع سابق  ،ص 398</w:t>
      </w:r>
    </w:p>
  </w:footnote>
  <w:footnote w:id="79">
    <w:p w14:paraId="39E4B00A" w14:textId="37C2EB09" w:rsidR="00184B72" w:rsidRPr="003126C4" w:rsidRDefault="00184B72" w:rsidP="00597473">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Pr>
        <w:t>Hallevy, Gabriel (2015), Liability for Crimes Involving Artificial Intelligence Systems, op. cit., p. 17</w:t>
      </w:r>
    </w:p>
  </w:footnote>
  <w:footnote w:id="80">
    <w:p w14:paraId="64F51D15" w14:textId="1141D421"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tl/>
        </w:rPr>
        <w:t xml:space="preserve">عميش، رحاب علي (2021 </w:t>
      </w:r>
      <w:r w:rsidR="00597473" w:rsidRPr="003126C4">
        <w:rPr>
          <w:rFonts w:ascii="Sakkal Majalla" w:hAnsi="Sakkal Majalla" w:cs="Sakkal Majalla"/>
          <w:sz w:val="24"/>
          <w:szCs w:val="24"/>
        </w:rPr>
        <w:t>(</w:t>
      </w:r>
      <w:r w:rsidR="00597473" w:rsidRPr="003126C4">
        <w:rPr>
          <w:rFonts w:ascii="Sakkal Majalla" w:hAnsi="Sakkal Majalla" w:cs="Sakkal Majalla"/>
          <w:sz w:val="24"/>
          <w:szCs w:val="24"/>
          <w:rtl/>
        </w:rPr>
        <w:t xml:space="preserve"> </w:t>
      </w:r>
      <w:r w:rsidR="00597473" w:rsidRPr="003126C4">
        <w:rPr>
          <w:rFonts w:ascii="Sakkal Majalla" w:hAnsi="Sakkal Majalla" w:cs="Sakkal Majalla"/>
          <w:b/>
          <w:bCs/>
          <w:sz w:val="24"/>
          <w:szCs w:val="24"/>
          <w:u w:val="single"/>
          <w:rtl/>
        </w:rPr>
        <w:t>مرجع سابق</w:t>
      </w:r>
      <w:r w:rsidR="00597473" w:rsidRPr="003126C4">
        <w:rPr>
          <w:rFonts w:ascii="Sakkal Majalla" w:hAnsi="Sakkal Majalla" w:cs="Sakkal Majalla"/>
          <w:sz w:val="24"/>
          <w:szCs w:val="24"/>
          <w:rtl/>
        </w:rPr>
        <w:t xml:space="preserve">  ،ص  7</w:t>
      </w:r>
      <w:r w:rsidR="00597473" w:rsidRPr="003126C4">
        <w:rPr>
          <w:rFonts w:ascii="Sakkal Majalla" w:hAnsi="Sakkal Majalla" w:cs="Sakkal Majalla"/>
          <w:sz w:val="24"/>
          <w:szCs w:val="24"/>
          <w:rtl/>
          <w:lang w:bidi="ar-EG"/>
        </w:rPr>
        <w:t>38</w:t>
      </w:r>
    </w:p>
  </w:footnote>
  <w:footnote w:id="81">
    <w:p w14:paraId="22D2975E" w14:textId="25790E05"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أبو زيد رضوان(1970) مفهوم الشخصية المعنوية بين الحقيقة والخيال، مجلة العلوم القانونية والاقتصادية، كلية الحقوق جامعة عين شمس، مجلد 12، العدد 1، ص 168</w:t>
      </w:r>
    </w:p>
  </w:footnote>
  <w:footnote w:id="82">
    <w:p w14:paraId="665810B7" w14:textId="4CE0C0E5"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lang w:bidi="ar-EG"/>
        </w:rPr>
        <w:t xml:space="preserve">الفلاوري، عمار كريم، والمشهدي، علي عبد الجبار رحيم. (2022) </w:t>
      </w:r>
      <w:r w:rsidR="008715C2" w:rsidRPr="003126C4">
        <w:rPr>
          <w:rFonts w:ascii="Sakkal Majalla" w:hAnsi="Sakkal Majalla" w:cs="Sakkal Majalla"/>
          <w:b/>
          <w:bCs/>
          <w:sz w:val="24"/>
          <w:szCs w:val="24"/>
          <w:u w:val="single"/>
          <w:rtl/>
          <w:lang w:bidi="ar-EG"/>
        </w:rPr>
        <w:t>مرجع سابق</w:t>
      </w:r>
      <w:r w:rsidR="008715C2" w:rsidRPr="003126C4">
        <w:rPr>
          <w:rFonts w:ascii="Sakkal Majalla" w:hAnsi="Sakkal Majalla" w:cs="Sakkal Majalla"/>
          <w:sz w:val="24"/>
          <w:szCs w:val="24"/>
          <w:rtl/>
          <w:lang w:bidi="ar-EG"/>
        </w:rPr>
        <w:t>، ص 32</w:t>
      </w:r>
    </w:p>
  </w:footnote>
  <w:footnote w:id="83">
    <w:p w14:paraId="176DAA3A" w14:textId="7CF11C38" w:rsidR="00184B72" w:rsidRPr="003126C4" w:rsidRDefault="00184B72" w:rsidP="00184B7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84">
    <w:p w14:paraId="0CE39350" w14:textId="529F4836" w:rsidR="00810978" w:rsidRPr="00B34860" w:rsidRDefault="00810978">
      <w:pPr>
        <w:pStyle w:val="FootnoteText"/>
        <w:rPr>
          <w:rtl/>
          <w:lang w:bidi="ar-EG"/>
        </w:rPr>
      </w:pPr>
      <w:r w:rsidRPr="00143BCD">
        <w:rPr>
          <w:rStyle w:val="FootnoteReference"/>
        </w:rPr>
        <w:footnoteRef/>
      </w:r>
      <w:r w:rsidRPr="00143BCD">
        <w:t xml:space="preserve"> </w:t>
      </w:r>
      <w:r w:rsidR="00B34860" w:rsidRPr="00143BCD">
        <w:t>Council of Europe &amp; International Association of Prosecutors. (2020). Effective Access to Electronic Evidence: Towards a New Protocol to the Budapest Convention. Council of Europe</w:t>
      </w:r>
      <w:r w:rsidR="00D42F15">
        <w:rPr>
          <w:rFonts w:hint="cs"/>
          <w:rtl/>
        </w:rPr>
        <w:t xml:space="preserve"> </w:t>
      </w:r>
    </w:p>
  </w:footnote>
  <w:footnote w:id="85">
    <w:p w14:paraId="32F4DF85" w14:textId="5FB4E637"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الخطيب، محمد عرفان (2018</w:t>
      </w:r>
      <w:r w:rsidR="00391BCC" w:rsidRPr="003126C4">
        <w:rPr>
          <w:rFonts w:ascii="Sakkal Majalla" w:hAnsi="Sakkal Majalla" w:cs="Sakkal Majalla"/>
          <w:sz w:val="24"/>
          <w:szCs w:val="24"/>
        </w:rPr>
        <w:t>(</w:t>
      </w:r>
      <w:r w:rsidR="00391BCC" w:rsidRPr="003126C4">
        <w:rPr>
          <w:rFonts w:ascii="Sakkal Majalla" w:hAnsi="Sakkal Majalla" w:cs="Sakkal Majalla"/>
          <w:sz w:val="24"/>
          <w:szCs w:val="24"/>
          <w:rtl/>
        </w:rPr>
        <w:t xml:space="preserve"> المركز القانوني للإنسان الآلة (</w:t>
      </w:r>
      <w:r w:rsidR="00391BCC" w:rsidRPr="003126C4">
        <w:rPr>
          <w:rFonts w:ascii="Sakkal Majalla" w:hAnsi="Sakkal Majalla" w:cs="Sakkal Majalla"/>
          <w:sz w:val="24"/>
          <w:szCs w:val="24"/>
        </w:rPr>
        <w:t>Robots</w:t>
      </w:r>
      <w:r w:rsidR="00391BCC" w:rsidRPr="003126C4">
        <w:rPr>
          <w:rFonts w:ascii="Sakkal Majalla" w:hAnsi="Sakkal Majalla" w:cs="Sakkal Majalla"/>
          <w:sz w:val="24"/>
          <w:szCs w:val="24"/>
          <w:rtl/>
        </w:rPr>
        <w:t xml:space="preserve">): مرجع سابق </w:t>
      </w:r>
      <w:r w:rsidR="00391BCC"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lang w:bidi="ar-EG"/>
        </w:rPr>
        <w:t>، ص125</w:t>
      </w:r>
    </w:p>
  </w:footnote>
  <w:footnote w:id="86">
    <w:p w14:paraId="0E8C76E5" w14:textId="78076C03" w:rsidR="007B6239" w:rsidRPr="003126C4" w:rsidRDefault="007B6239" w:rsidP="00391BCC">
      <w:pPr>
        <w:bidi/>
        <w:spacing w:after="0" w:line="240" w:lineRule="auto"/>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footnote>
  <w:footnote w:id="87">
    <w:p w14:paraId="3D85D207" w14:textId="1DE0693D"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F5F5D" w:rsidRPr="003126C4">
        <w:rPr>
          <w:rFonts w:ascii="Sakkal Majalla" w:hAnsi="Sakkal Majalla" w:cs="Sakkal Majalla"/>
          <w:sz w:val="24"/>
          <w:szCs w:val="24"/>
          <w:rtl/>
        </w:rPr>
        <w:t xml:space="preserve">سرور، </w:t>
      </w:r>
      <w:r w:rsidR="003F5F5D" w:rsidRPr="003126C4">
        <w:rPr>
          <w:rFonts w:ascii="Sakkal Majalla" w:hAnsi="Sakkal Majalla" w:cs="Sakkal Majalla"/>
          <w:sz w:val="24"/>
          <w:szCs w:val="24"/>
          <w:rtl/>
        </w:rPr>
        <w:t>أحمد فتحي (2002) القانون الجنائي الدستوري ، دار الشروق، ص 197.</w:t>
      </w:r>
    </w:p>
  </w:footnote>
  <w:footnote w:id="88">
    <w:p w14:paraId="3E22EE9D" w14:textId="18194DA7"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06E6A" w:rsidRPr="003126C4">
        <w:rPr>
          <w:rFonts w:ascii="Sakkal Majalla" w:hAnsi="Sakkal Majalla" w:cs="Sakkal Majalla"/>
          <w:sz w:val="24"/>
          <w:szCs w:val="24"/>
          <w:rtl/>
        </w:rPr>
        <w:t xml:space="preserve">عميش، </w:t>
      </w:r>
      <w:r w:rsidR="00B06E6A" w:rsidRPr="003126C4">
        <w:rPr>
          <w:rFonts w:ascii="Sakkal Majalla" w:hAnsi="Sakkal Majalla" w:cs="Sakkal Majalla"/>
          <w:sz w:val="24"/>
          <w:szCs w:val="24"/>
          <w:rtl/>
        </w:rPr>
        <w:t xml:space="preserve">رحاب علي (2021 </w:t>
      </w:r>
      <w:r w:rsidR="00B06E6A" w:rsidRPr="003126C4">
        <w:rPr>
          <w:rFonts w:ascii="Sakkal Majalla" w:hAnsi="Sakkal Majalla" w:cs="Sakkal Majalla"/>
          <w:sz w:val="24"/>
          <w:szCs w:val="24"/>
        </w:rPr>
        <w:t>(</w:t>
      </w:r>
      <w:r w:rsidR="00B06E6A" w:rsidRPr="003126C4">
        <w:rPr>
          <w:rFonts w:ascii="Sakkal Majalla" w:hAnsi="Sakkal Majalla" w:cs="Sakkal Majalla"/>
          <w:sz w:val="24"/>
          <w:szCs w:val="24"/>
          <w:rtl/>
        </w:rPr>
        <w:t xml:space="preserve"> </w:t>
      </w:r>
      <w:r w:rsidR="00B06E6A" w:rsidRPr="003126C4">
        <w:rPr>
          <w:rFonts w:ascii="Sakkal Majalla" w:hAnsi="Sakkal Majalla" w:cs="Sakkal Majalla"/>
          <w:b/>
          <w:bCs/>
          <w:sz w:val="24"/>
          <w:szCs w:val="24"/>
          <w:u w:val="single"/>
          <w:rtl/>
        </w:rPr>
        <w:t>مرجع سابق</w:t>
      </w:r>
      <w:r w:rsidR="00B06E6A" w:rsidRPr="003126C4">
        <w:rPr>
          <w:rFonts w:ascii="Sakkal Majalla" w:hAnsi="Sakkal Majalla" w:cs="Sakkal Majalla"/>
          <w:sz w:val="24"/>
          <w:szCs w:val="24"/>
          <w:rtl/>
        </w:rPr>
        <w:t xml:space="preserve">  ،ص  7</w:t>
      </w:r>
      <w:r w:rsidR="00B06E6A" w:rsidRPr="003126C4">
        <w:rPr>
          <w:rFonts w:ascii="Sakkal Majalla" w:hAnsi="Sakkal Majalla" w:cs="Sakkal Majalla"/>
          <w:sz w:val="24"/>
          <w:szCs w:val="24"/>
          <w:rtl/>
          <w:lang w:bidi="ar-EG"/>
        </w:rPr>
        <w:t>42</w:t>
      </w:r>
    </w:p>
  </w:footnote>
  <w:footnote w:id="89">
    <w:p w14:paraId="6E217A80" w14:textId="218D02E3" w:rsidR="007B6239" w:rsidRPr="003126C4" w:rsidRDefault="007B6239" w:rsidP="007B623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مجبوب، نوال</w:t>
      </w:r>
      <w:r w:rsidR="00BD443B"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90">
    <w:p w14:paraId="57D8CD08" w14:textId="28AE9F3E" w:rsidR="00952054" w:rsidRPr="003126C4" w:rsidRDefault="00952054" w:rsidP="00952054">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الح</w:t>
      </w:r>
      <w:r w:rsidR="00BD443B" w:rsidRPr="003126C4">
        <w:rPr>
          <w:rFonts w:ascii="Sakkal Majalla" w:hAnsi="Sakkal Majalla" w:cs="Sakkal Majalla"/>
          <w:sz w:val="24"/>
          <w:szCs w:val="24"/>
          <w:rtl/>
          <w:lang w:bidi="ar-EG"/>
        </w:rPr>
        <w:t>جي</w:t>
      </w:r>
      <w:r w:rsidR="00BD443B" w:rsidRPr="003126C4">
        <w:rPr>
          <w:rFonts w:ascii="Sakkal Majalla" w:hAnsi="Sakkal Majalla" w:cs="Sakkal Majalla"/>
          <w:sz w:val="24"/>
          <w:szCs w:val="24"/>
          <w:rtl/>
        </w:rPr>
        <w:t xml:space="preserve">لي، محمد عمر (2024)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،ص 401</w:t>
      </w:r>
    </w:p>
  </w:footnote>
  <w:footnote w:id="91">
    <w:p w14:paraId="31E2B5A3" w14:textId="18DAD4CC" w:rsidR="00952054" w:rsidRPr="003126C4" w:rsidRDefault="00952054" w:rsidP="00BD443B">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Pr>
        <w:t>Hallevy, Gabriel (2015), Liability for Crimes Involving Artificial Intelligence Systems, op. cit., p. 18</w:t>
      </w:r>
    </w:p>
  </w:footnote>
  <w:footnote w:id="92">
    <w:p w14:paraId="404D20A5" w14:textId="78E67B63" w:rsidR="00952054" w:rsidRPr="003126C4" w:rsidRDefault="00952054" w:rsidP="00952054">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 xml:space="preserve">العبد، رضا محمود (2023)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 ص 242</w:t>
      </w:r>
    </w:p>
  </w:footnote>
  <w:footnote w:id="93">
    <w:p w14:paraId="4B0CACE0" w14:textId="52DDF4FC" w:rsidR="007C2369" w:rsidRPr="003126C4" w:rsidRDefault="007C2369" w:rsidP="007C2369">
      <w:pPr>
        <w:pStyle w:val="FootnoteText"/>
        <w:bidi/>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 xml:space="preserve">السنهوري، </w:t>
      </w:r>
      <w:r w:rsidR="007B6A12" w:rsidRPr="003126C4">
        <w:rPr>
          <w:rFonts w:ascii="Sakkal Majalla" w:hAnsi="Sakkal Majalla" w:cs="Sakkal Majalla"/>
          <w:sz w:val="24"/>
          <w:szCs w:val="24"/>
          <w:rtl/>
        </w:rPr>
        <w:t>عبد الرزاق أحمد</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(د.ت.)</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lang w:bidi="ar-EG"/>
        </w:rPr>
        <w:t>ا</w:t>
      </w:r>
      <w:r w:rsidR="007B6A12" w:rsidRPr="003126C4">
        <w:rPr>
          <w:rFonts w:ascii="Sakkal Majalla" w:hAnsi="Sakkal Majalla" w:cs="Sakkal Majalla"/>
          <w:sz w:val="24"/>
          <w:szCs w:val="24"/>
          <w:rtl/>
        </w:rPr>
        <w:t>لوجيز في شرح القانون المدني الجديد: مصادر الالتزام (المجلد الثاني). لبنان: منشورات الحلبي ، ص 976</w:t>
      </w:r>
    </w:p>
  </w:footnote>
  <w:footnote w:id="94">
    <w:p w14:paraId="4879DD05" w14:textId="499F394A" w:rsidR="007C2369" w:rsidRPr="003126C4" w:rsidRDefault="007C2369" w:rsidP="007C2369">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 xml:space="preserve">شريف، </w:t>
      </w:r>
      <w:r w:rsidR="007B6A12" w:rsidRPr="003126C4">
        <w:rPr>
          <w:rFonts w:ascii="Sakkal Majalla" w:hAnsi="Sakkal Majalla" w:cs="Sakkal Majalla"/>
          <w:sz w:val="24"/>
          <w:szCs w:val="24"/>
          <w:rtl/>
        </w:rPr>
        <w:t>إبراهيم محمد (1989) الضرر المعنوي وتعويضه في المسؤولية التقصيرية: دراسة مقارنة (رسالة ماجستير) كلية القانون، جامعة بغداد، العراق ، ص 69.</w:t>
      </w:r>
    </w:p>
  </w:footnote>
  <w:footnote w:id="95">
    <w:p w14:paraId="68D52DC9" w14:textId="242F7BD5" w:rsidR="00A10CBA" w:rsidRPr="003126C4" w:rsidRDefault="00A10CBA"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D2649" w:rsidRPr="003126C4">
        <w:rPr>
          <w:rFonts w:ascii="Sakkal Majalla" w:hAnsi="Sakkal Majalla" w:cs="Sakkal Majalla"/>
          <w:sz w:val="24"/>
          <w:szCs w:val="24"/>
          <w:rtl/>
        </w:rPr>
        <w:t xml:space="preserve">بطيخ، </w:t>
      </w:r>
      <w:r w:rsidR="00CD2649" w:rsidRPr="003126C4">
        <w:rPr>
          <w:rFonts w:ascii="Sakkal Majalla" w:hAnsi="Sakkal Majalla" w:cs="Sakkal Majalla"/>
          <w:sz w:val="24"/>
          <w:szCs w:val="24"/>
          <w:rtl/>
        </w:rPr>
        <w:t xml:space="preserve">مها رمضان محمد (2021) المسؤولية المدنية عن أضرار أنظمة الذكاء الاصطناعي: دراسة تحليلية مقارنة ،  المجلة القانونية، 5(مؤتمر)، </w:t>
      </w:r>
      <w:r w:rsidR="00CD2649" w:rsidRPr="003126C4">
        <w:rPr>
          <w:rFonts w:ascii="Sakkal Majalla" w:hAnsi="Sakkal Majalla" w:cs="Sakkal Majalla"/>
          <w:sz w:val="24"/>
          <w:szCs w:val="24"/>
          <w:rtl/>
          <w:lang w:bidi="ar-EG"/>
        </w:rPr>
        <w:t>ص 1521.</w:t>
      </w:r>
    </w:p>
  </w:footnote>
  <w:footnote w:id="96">
    <w:p w14:paraId="07CD2F6E" w14:textId="609399A1" w:rsidR="00BD0177" w:rsidRPr="003126C4" w:rsidRDefault="00661E4F"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D0177" w:rsidRPr="003126C4">
        <w:rPr>
          <w:rFonts w:ascii="Sakkal Majalla" w:hAnsi="Sakkal Majalla" w:cs="Sakkal Majalla"/>
          <w:sz w:val="24"/>
          <w:szCs w:val="24"/>
          <w:rtl/>
        </w:rPr>
        <w:t xml:space="preserve">آل سعود، نواف بدر فهد </w:t>
      </w:r>
      <w:r w:rsidRPr="003126C4">
        <w:rPr>
          <w:rFonts w:ascii="Sakkal Majalla" w:hAnsi="Sakkal Majalla" w:cs="Sakkal Majalla"/>
          <w:sz w:val="24"/>
          <w:szCs w:val="24"/>
          <w:rtl/>
        </w:rPr>
        <w:t xml:space="preserve">(2025) </w:t>
      </w:r>
      <w:r w:rsidR="00BD0177" w:rsidRPr="003126C4">
        <w:rPr>
          <w:rFonts w:ascii="Sakkal Majalla" w:hAnsi="Sakkal Majalla" w:cs="Sakkal Majalla"/>
          <w:b/>
          <w:bCs/>
          <w:sz w:val="24"/>
          <w:szCs w:val="24"/>
          <w:u w:val="single"/>
          <w:rtl/>
          <w:lang w:bidi="ar-EG"/>
        </w:rPr>
        <w:t>مرجع سابق</w:t>
      </w:r>
      <w:r w:rsidR="00BD0177" w:rsidRPr="003126C4">
        <w:rPr>
          <w:rFonts w:ascii="Sakkal Majalla" w:hAnsi="Sakkal Majalla" w:cs="Sakkal Majalla"/>
          <w:sz w:val="24"/>
          <w:szCs w:val="24"/>
          <w:rtl/>
          <w:lang w:bidi="ar-EG"/>
        </w:rPr>
        <w:t xml:space="preserve"> ،ص 1215.</w:t>
      </w:r>
    </w:p>
  </w:footnote>
  <w:footnote w:id="97">
    <w:p w14:paraId="0127EB5D" w14:textId="49C44527" w:rsidR="005F4AC1" w:rsidRPr="003126C4" w:rsidRDefault="005F4AC1"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نظرية الحق – مقدمة القانون المدني، مكتبة كلية الحقوق، جامعة عين شمس ، ص 158.</w:t>
      </w:r>
    </w:p>
  </w:footnote>
  <w:footnote w:id="98">
    <w:p w14:paraId="5137F51B" w14:textId="1A299A31"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عبدالنور، </w:t>
      </w:r>
      <w:r w:rsidR="005049A6" w:rsidRPr="003126C4">
        <w:rPr>
          <w:rFonts w:ascii="Sakkal Majalla" w:hAnsi="Sakkal Majalla" w:cs="Sakkal Majalla"/>
          <w:sz w:val="24"/>
          <w:szCs w:val="24"/>
          <w:rtl/>
        </w:rPr>
        <w:t>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(2005) مدخل إلى عالم الذكاء الاصطناعي. المملكة العربية السعودية: مدينة الملك عبدالعزيز للعلوم والتقنية</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23</w:t>
      </w:r>
    </w:p>
  </w:footnote>
  <w:footnote w:id="99">
    <w:p w14:paraId="70761A9F" w14:textId="65BBC596" w:rsidR="00CD2649" w:rsidRPr="003126C4" w:rsidRDefault="00CD2649"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فتح الباب، محمد ربيع أنور (2021) الطبيعة القانونية للمسؤولية المدنية عن أضرار الروبوتات: دراسة تحليلية مقارنة. مجلة البحوث القانونية والاقتصادية، عدد خاص، 54–101</w:t>
      </w:r>
    </w:p>
  </w:footnote>
  <w:footnote w:id="100">
    <w:p w14:paraId="0ACFEB4C" w14:textId="1D62ABCE"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rPr>
        <w:t xml:space="preserve">الصغير، </w:t>
      </w:r>
      <w:r w:rsidR="009B1EEE" w:rsidRPr="003126C4">
        <w:rPr>
          <w:rFonts w:ascii="Sakkal Majalla" w:hAnsi="Sakkal Majalla" w:cs="Sakkal Majalla"/>
          <w:sz w:val="24"/>
          <w:szCs w:val="24"/>
          <w:rtl/>
        </w:rPr>
        <w:t>جميل عبدالباقي (2002) الإنترنت والقانون الجنائي: الأحكام الموضوعية للجرائم المتعلقة بالإنترنت. القاهرة، مصر: دار النهضة العربية</w:t>
      </w:r>
      <w:r w:rsidR="009B1EEE"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lang w:bidi="ar-EG"/>
        </w:rPr>
        <w:t xml:space="preserve"> ، ص 176.</w:t>
      </w:r>
    </w:p>
  </w:footnote>
  <w:footnote w:id="101">
    <w:p w14:paraId="35DB88A1" w14:textId="377D2F35" w:rsidR="00383726" w:rsidRPr="003126C4" w:rsidRDefault="00383726" w:rsidP="00AB2D3F">
      <w:pPr>
        <w:pStyle w:val="FootnoteText"/>
        <w:bidi/>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دروس في أصول القانون: نظرية الحق</w:t>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 xml:space="preserve">، </w:t>
      </w:r>
      <w:r w:rsidRPr="003126C4">
        <w:rPr>
          <w:rFonts w:ascii="Sakkal Majalla" w:hAnsi="Sakkal Majalla" w:cs="Sakkal Majalla"/>
          <w:sz w:val="24"/>
          <w:szCs w:val="24"/>
          <w:rtl/>
        </w:rPr>
        <w:t xml:space="preserve"> القاهرة، مصر: دار النهضة العربية ، ص352 .</w:t>
      </w:r>
    </w:p>
  </w:footnote>
  <w:footnote w:id="102">
    <w:p w14:paraId="47FEBC52" w14:textId="35B81210"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المادة (136).</w:t>
      </w:r>
    </w:p>
  </w:footnote>
  <w:footnote w:id="103">
    <w:p w14:paraId="78F65F56" w14:textId="1C6E0B1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 xml:space="preserve">غنام، </w:t>
      </w:r>
      <w:r w:rsidR="007B0BE1" w:rsidRPr="003126C4">
        <w:rPr>
          <w:rFonts w:ascii="Sakkal Majalla" w:hAnsi="Sakkal Majalla" w:cs="Sakkal Majalla"/>
          <w:sz w:val="24"/>
          <w:szCs w:val="24"/>
          <w:rtl/>
        </w:rPr>
        <w:t>شريف محمد</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(2008)</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التنظيم القانوني للإعلانات التجارية عبر شبكة الإنترنت. الإسكندرية، مصر: دار الجامعة الجديدة</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lang w:bidi="ar-EG"/>
        </w:rPr>
        <w:t xml:space="preserve"> ، ص 149.</w:t>
      </w:r>
    </w:p>
  </w:footnote>
  <w:footnote w:id="104">
    <w:p w14:paraId="4F04C669" w14:textId="2059BB7C" w:rsidR="005F4AC1" w:rsidRPr="003126C4" w:rsidRDefault="005F4AC1" w:rsidP="00AB2D3F">
      <w:pPr>
        <w:pStyle w:val="FootnoteText"/>
        <w:bidi/>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مرجع سابق ، ص 160.</w:t>
      </w:r>
    </w:p>
  </w:footnote>
  <w:footnote w:id="105">
    <w:p w14:paraId="629F5AF3" w14:textId="64A0DE30" w:rsidR="00A1336D" w:rsidRPr="003126C4" w:rsidRDefault="00A1336D" w:rsidP="00F45571">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45571" w:rsidRPr="003126C4">
        <w:rPr>
          <w:rFonts w:ascii="Sakkal Majalla" w:hAnsi="Sakkal Majalla" w:cs="Sakkal Majalla"/>
          <w:sz w:val="24"/>
          <w:szCs w:val="24"/>
        </w:rPr>
        <w:t xml:space="preserve">DOSQUET (E.), DOSQUET (F.), MOYSAN (Y.), et SCIBETTA (F.): </w:t>
      </w:r>
      <w:proofErr w:type="spellStart"/>
      <w:r w:rsidR="00F45571" w:rsidRPr="003126C4">
        <w:rPr>
          <w:rFonts w:ascii="Sakkal Majalla" w:hAnsi="Sakkal Majalla" w:cs="Sakkal Majalla"/>
          <w:sz w:val="24"/>
          <w:szCs w:val="24"/>
        </w:rPr>
        <w:t>L'internet</w:t>
      </w:r>
      <w:proofErr w:type="spellEnd"/>
      <w:r w:rsidR="00F45571" w:rsidRPr="003126C4">
        <w:rPr>
          <w:rFonts w:ascii="Sakkal Majalla" w:hAnsi="Sakkal Majalla" w:cs="Sakkal Majalla"/>
          <w:sz w:val="24"/>
          <w:szCs w:val="24"/>
        </w:rPr>
        <w:t xml:space="preserve"> des </w:t>
      </w:r>
      <w:proofErr w:type="spellStart"/>
      <w:r w:rsidR="00F45571" w:rsidRPr="003126C4">
        <w:rPr>
          <w:rFonts w:ascii="Sakkal Majalla" w:hAnsi="Sakkal Majalla" w:cs="Sakkal Majalla"/>
          <w:sz w:val="24"/>
          <w:szCs w:val="24"/>
        </w:rPr>
        <w:t>objets</w:t>
      </w:r>
      <w:proofErr w:type="spellEnd"/>
      <w:r w:rsidR="00F45571" w:rsidRPr="003126C4">
        <w:rPr>
          <w:rFonts w:ascii="Sakkal Majalla" w:hAnsi="Sakkal Majalla" w:cs="Sakkal Majalla"/>
          <w:sz w:val="24"/>
          <w:szCs w:val="24"/>
        </w:rPr>
        <w:t xml:space="preserve"> et la data, L.G.D.J., </w:t>
      </w:r>
      <w:r w:rsidR="00F45571" w:rsidRPr="003126C4">
        <w:rPr>
          <w:rFonts w:ascii="Sakkal Majalla" w:hAnsi="Sakkal Majalla" w:cs="Sakkal Majalla"/>
          <w:sz w:val="24"/>
          <w:szCs w:val="24"/>
          <w:lang w:bidi="ar-EG"/>
        </w:rPr>
        <w:t>2018</w:t>
      </w:r>
      <w:r w:rsidR="00F45571" w:rsidRPr="003126C4">
        <w:rPr>
          <w:rFonts w:ascii="Sakkal Majalla" w:hAnsi="Sakkal Majalla" w:cs="Sakkal Majalla"/>
          <w:sz w:val="24"/>
          <w:szCs w:val="24"/>
        </w:rPr>
        <w:t xml:space="preserve"> P. 7 et s.</w:t>
      </w:r>
    </w:p>
  </w:footnote>
  <w:footnote w:id="106">
    <w:p w14:paraId="44090FE1" w14:textId="65840EA9"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w:t>
      </w:r>
      <w:r w:rsidR="005049A6" w:rsidRPr="003126C4">
        <w:rPr>
          <w:rFonts w:ascii="Sakkal Majalla" w:hAnsi="Sakkal Majalla" w:cs="Sakkal Majalla"/>
          <w:b/>
          <w:bCs/>
          <w:sz w:val="24"/>
          <w:szCs w:val="24"/>
          <w:u w:val="single"/>
          <w:rtl/>
        </w:rPr>
        <w:t>مرجع سابق</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24</w:t>
      </w:r>
    </w:p>
  </w:footnote>
  <w:footnote w:id="107">
    <w:p w14:paraId="1C7BE554" w14:textId="319DF170" w:rsidR="005A4017" w:rsidRDefault="005A4017" w:rsidP="005A4017">
      <w:pPr>
        <w:pStyle w:val="FootnoteText"/>
        <w:bidi/>
        <w:rPr>
          <w:rtl/>
          <w:lang w:bidi="ar-EG"/>
        </w:rPr>
      </w:pPr>
      <w:r>
        <w:rPr>
          <w:rStyle w:val="FootnoteReference"/>
        </w:rPr>
        <w:footnoteRef/>
      </w:r>
      <w:r>
        <w:t xml:space="preserve"> </w:t>
      </w:r>
      <w:r w:rsidRPr="005A4017">
        <w:rPr>
          <w:rFonts w:cs="Arial"/>
          <w:rtl/>
        </w:rPr>
        <w:t>نظام المعاملات المدنية السعودي، الصادر بالمرسوم الملكي رقم (م/191) بتاريخ 29/11/1444هـ، المادتان (118)، (120)</w:t>
      </w:r>
      <w:r>
        <w:rPr>
          <w:rFonts w:cs="Arial" w:hint="cs"/>
          <w:rtl/>
        </w:rPr>
        <w:t>.</w:t>
      </w:r>
    </w:p>
  </w:footnote>
  <w:footnote w:id="108">
    <w:p w14:paraId="04FE5961" w14:textId="2F51BA2B" w:rsidR="00383726" w:rsidRPr="003126C4" w:rsidRDefault="00383726"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ص354</w:t>
      </w:r>
    </w:p>
  </w:footnote>
  <w:footnote w:id="109">
    <w:p w14:paraId="10251364" w14:textId="77777777" w:rsidR="00C412D1" w:rsidRPr="003126C4" w:rsidRDefault="00C412D1"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المادة (120).</w:t>
      </w:r>
    </w:p>
    <w:p w14:paraId="75672186" w14:textId="796598D3" w:rsidR="00C412D1" w:rsidRPr="003126C4" w:rsidRDefault="00C412D1" w:rsidP="00AB2D3F">
      <w:pPr>
        <w:pStyle w:val="FootnoteText"/>
        <w:bidi/>
        <w:rPr>
          <w:rFonts w:ascii="Sakkal Majalla" w:hAnsi="Sakkal Majalla" w:cs="Sakkal Majalla"/>
          <w:sz w:val="24"/>
          <w:szCs w:val="24"/>
          <w:rtl/>
          <w:lang w:bidi="ar-EG"/>
        </w:rPr>
      </w:pPr>
    </w:p>
  </w:footnote>
  <w:footnote w:id="110">
    <w:p w14:paraId="25B0C1D4" w14:textId="49E65A6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w:t>
      </w:r>
      <w:r w:rsidR="007C7BC3" w:rsidRPr="003126C4">
        <w:rPr>
          <w:rFonts w:ascii="Sakkal Majalla" w:hAnsi="Sakkal Majalla" w:cs="Sakkal Majalla"/>
          <w:sz w:val="24"/>
          <w:szCs w:val="24"/>
          <w:rtl/>
        </w:rPr>
        <w:t xml:space="preserve">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180.</w:t>
      </w:r>
    </w:p>
  </w:footnote>
  <w:footnote w:id="111">
    <w:p w14:paraId="00DA1607" w14:textId="118110B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A4499" w:rsidRPr="003126C4">
        <w:rPr>
          <w:rFonts w:ascii="Sakkal Majalla" w:hAnsi="Sakkal Majalla" w:cs="Sakkal Majalla"/>
          <w:sz w:val="24"/>
          <w:szCs w:val="24"/>
          <w:rtl/>
        </w:rPr>
        <w:t xml:space="preserve">منصور، </w:t>
      </w:r>
      <w:r w:rsidR="00DA4499" w:rsidRPr="003126C4">
        <w:rPr>
          <w:rFonts w:ascii="Sakkal Majalla" w:hAnsi="Sakkal Majalla" w:cs="Sakkal Majalla"/>
          <w:sz w:val="24"/>
          <w:szCs w:val="24"/>
          <w:rtl/>
        </w:rPr>
        <w:t>محمد حسين. (2003) المسؤولية الإلكترونية. الإسكندرية، مصر: دار الجامعة الجديدة ، ص 207.</w:t>
      </w:r>
    </w:p>
  </w:footnote>
  <w:footnote w:id="112">
    <w:p w14:paraId="727A1823" w14:textId="553E3708" w:rsidR="00A1336D" w:rsidRPr="003126C4" w:rsidRDefault="00A1336D" w:rsidP="00046B4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غنام، </w:t>
      </w:r>
      <w:r w:rsidR="00046B41" w:rsidRPr="003126C4">
        <w:rPr>
          <w:rFonts w:ascii="Sakkal Majalla" w:hAnsi="Sakkal Majalla" w:cs="Sakkal Majalla"/>
          <w:sz w:val="24"/>
          <w:szCs w:val="24"/>
          <w:rtl/>
        </w:rPr>
        <w:t>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152</w:t>
      </w:r>
    </w:p>
  </w:footnote>
  <w:footnote w:id="113">
    <w:p w14:paraId="60AF852E" w14:textId="2A07EE7A"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الجرائم الناشئة عن استخدام الحاسب الآلي (رسالة دكتوراه غير منشورة). كلية الحقوق، جامعة طنطا، مصر ، ص 89.</w:t>
      </w:r>
    </w:p>
  </w:footnote>
  <w:footnote w:id="114">
    <w:p w14:paraId="08112FBC" w14:textId="37560518"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w:t>
      </w:r>
      <w:r w:rsidR="00DC6B17" w:rsidRPr="003126C4">
        <w:rPr>
          <w:rFonts w:ascii="Sakkal Majalla" w:hAnsi="Sakkal Majalla" w:cs="Sakkal Majalla"/>
          <w:sz w:val="24"/>
          <w:szCs w:val="24"/>
          <w:rtl/>
        </w:rPr>
        <w:t>عبد الرؤوف (2017) تكنولوجيا الذكاء الاصطناعي وتطبيقاته في التعليم (ط1). القاهرة، مصر: عالم الكتاب ، ص 41.</w:t>
      </w:r>
    </w:p>
  </w:footnote>
  <w:footnote w:id="115">
    <w:p w14:paraId="50F98F96" w14:textId="54731CD5"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طه، </w:t>
      </w:r>
      <w:r w:rsidR="00046B41" w:rsidRPr="003126C4">
        <w:rPr>
          <w:rFonts w:ascii="Sakkal Majalla" w:hAnsi="Sakkal Majalla" w:cs="Sakkal Majalla"/>
          <w:sz w:val="24"/>
          <w:szCs w:val="24"/>
          <w:rtl/>
        </w:rPr>
        <w:t>أحمد حسام (2000) مرجع سابق ، ص 91</w:t>
      </w:r>
    </w:p>
  </w:footnote>
  <w:footnote w:id="116">
    <w:p w14:paraId="53522F31" w14:textId="0C2B1A27"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F240F" w:rsidRPr="003126C4">
        <w:rPr>
          <w:rFonts w:ascii="Sakkal Majalla" w:hAnsi="Sakkal Majalla" w:cs="Sakkal Majalla"/>
          <w:sz w:val="24"/>
          <w:szCs w:val="24"/>
          <w:rtl/>
        </w:rPr>
        <w:t xml:space="preserve">منصور، </w:t>
      </w:r>
      <w:r w:rsidR="00EF240F" w:rsidRPr="003126C4">
        <w:rPr>
          <w:rFonts w:ascii="Sakkal Majalla" w:hAnsi="Sakkal Majalla" w:cs="Sakkal Majalla"/>
          <w:sz w:val="24"/>
          <w:szCs w:val="24"/>
          <w:rtl/>
        </w:rPr>
        <w:t>محمد حسين. (2003) مرجع سابق ،  ص 209</w:t>
      </w:r>
    </w:p>
  </w:footnote>
  <w:footnote w:id="117">
    <w:p w14:paraId="42B8F39D" w14:textId="19A0757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عبدالنور، </w:t>
      </w:r>
      <w:r w:rsidR="005049A6" w:rsidRPr="003126C4">
        <w:rPr>
          <w:rFonts w:ascii="Sakkal Majalla" w:hAnsi="Sakkal Majalla" w:cs="Sakkal Majalla"/>
          <w:sz w:val="24"/>
          <w:szCs w:val="24"/>
          <w:rtl/>
        </w:rPr>
        <w:t>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مرجع سابق </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26</w:t>
      </w:r>
    </w:p>
  </w:footnote>
  <w:footnote w:id="118">
    <w:p w14:paraId="24A58221" w14:textId="627232C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181</w:t>
      </w:r>
    </w:p>
  </w:footnote>
  <w:footnote w:id="119">
    <w:p w14:paraId="47AB5EC0" w14:textId="628D7F2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C7958" w:rsidRPr="003126C4">
        <w:rPr>
          <w:rFonts w:ascii="Sakkal Majalla" w:hAnsi="Sakkal Majalla" w:cs="Sakkal Majalla"/>
          <w:sz w:val="24"/>
          <w:szCs w:val="24"/>
          <w:rtl/>
        </w:rPr>
        <w:t xml:space="preserve">البرلمان </w:t>
      </w:r>
      <w:r w:rsidR="002C7958" w:rsidRPr="003126C4">
        <w:rPr>
          <w:rFonts w:ascii="Sakkal Majalla" w:hAnsi="Sakkal Majalla" w:cs="Sakkal Majalla"/>
          <w:sz w:val="24"/>
          <w:szCs w:val="24"/>
          <w:rtl/>
        </w:rPr>
        <w:t>الأوروبي، قرار البرلمان الأوروبي الصادر في 16 فبراير 2017 المتضمن توصيات إلى المفوضية الأوروبية بشأن القواعد المدنية الخاصة بالروبوتات (2015/2103</w:t>
      </w:r>
      <w:r w:rsidR="002C7958" w:rsidRPr="003126C4">
        <w:rPr>
          <w:rFonts w:ascii="Sakkal Majalla" w:hAnsi="Sakkal Majalla" w:cs="Sakkal Majalla"/>
          <w:sz w:val="24"/>
          <w:szCs w:val="24"/>
        </w:rPr>
        <w:t>(INL)</w:t>
      </w:r>
      <w:r w:rsidR="002C7958" w:rsidRPr="003126C4">
        <w:rPr>
          <w:rFonts w:ascii="Sakkal Majalla" w:hAnsi="Sakkal Majalla" w:cs="Sakkal Majalla"/>
          <w:sz w:val="24"/>
          <w:szCs w:val="24"/>
          <w:rtl/>
        </w:rPr>
        <w:t xml:space="preserve">)، الوثيقة رقم </w:t>
      </w:r>
      <w:r w:rsidR="002C7958" w:rsidRPr="003126C4">
        <w:rPr>
          <w:rFonts w:ascii="Sakkal Majalla" w:hAnsi="Sakkal Majalla" w:cs="Sakkal Majalla"/>
          <w:sz w:val="24"/>
          <w:szCs w:val="24"/>
        </w:rPr>
        <w:t>P8_TA(2017)0051</w:t>
      </w:r>
      <w:r w:rsidR="002C7958" w:rsidRPr="003126C4">
        <w:rPr>
          <w:rFonts w:ascii="Sakkal Majalla" w:hAnsi="Sakkal Majalla" w:cs="Sakkal Majalla"/>
          <w:sz w:val="24"/>
          <w:szCs w:val="24"/>
          <w:rtl/>
        </w:rPr>
        <w:t>، الصادرة بتاريخ 16 فبراير 2017، الفقرة 59 (و) من الملحق الخاص بالتوصيات</w:t>
      </w:r>
    </w:p>
  </w:footnote>
  <w:footnote w:id="120">
    <w:p w14:paraId="09229494" w14:textId="5CFA748F"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w:t>
      </w:r>
      <w:r w:rsidR="00DC6B17" w:rsidRPr="003126C4">
        <w:rPr>
          <w:rFonts w:ascii="Sakkal Majalla" w:hAnsi="Sakkal Majalla" w:cs="Sakkal Majalla"/>
          <w:sz w:val="24"/>
          <w:szCs w:val="24"/>
          <w:rtl/>
        </w:rPr>
        <w:t xml:space="preserve">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43</w:t>
      </w:r>
    </w:p>
  </w:footnote>
  <w:footnote w:id="121">
    <w:p w14:paraId="2D1BB052" w14:textId="17A82F13"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w:t>
      </w:r>
      <w:r w:rsidR="00277152" w:rsidRPr="003126C4">
        <w:rPr>
          <w:rFonts w:ascii="Sakkal Majalla" w:hAnsi="Sakkal Majalla" w:cs="Sakkal Majalla"/>
          <w:sz w:val="24"/>
          <w:szCs w:val="24"/>
          <w:rtl/>
        </w:rPr>
        <w:t>عبد الفتاح محمود (2011) المسؤولية المدنية الناشئة عن المعاملات الإلكترونية عبر الإنترنت (رسالة دكتوراه). الإسكندرية، مصر: دار الجامعة الجديدة ، ص108</w:t>
      </w:r>
    </w:p>
  </w:footnote>
  <w:footnote w:id="122">
    <w:p w14:paraId="2F7043A5" w14:textId="60AE4DDD"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E7368" w:rsidRPr="003126C4">
        <w:rPr>
          <w:rFonts w:ascii="Sakkal Majalla" w:hAnsi="Sakkal Majalla" w:cs="Sakkal Majalla"/>
          <w:sz w:val="24"/>
          <w:szCs w:val="24"/>
          <w:rtl/>
        </w:rPr>
        <w:t xml:space="preserve">منصور، </w:t>
      </w:r>
      <w:r w:rsidR="001E7368" w:rsidRPr="003126C4">
        <w:rPr>
          <w:rFonts w:ascii="Sakkal Majalla" w:hAnsi="Sakkal Majalla" w:cs="Sakkal Majalla"/>
          <w:sz w:val="24"/>
          <w:szCs w:val="24"/>
          <w:rtl/>
        </w:rPr>
        <w:t>محمد حسين. (2003) مرجع سابق ،  ص 211.</w:t>
      </w:r>
    </w:p>
  </w:footnote>
  <w:footnote w:id="123">
    <w:p w14:paraId="43724F2F" w14:textId="0236BCBC"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B273B" w:rsidRPr="003126C4">
        <w:rPr>
          <w:rFonts w:ascii="Sakkal Majalla" w:hAnsi="Sakkal Majalla" w:cs="Sakkal Majalla"/>
          <w:sz w:val="24"/>
          <w:szCs w:val="24"/>
          <w:rtl/>
        </w:rPr>
        <w:t xml:space="preserve">إبراهيم، </w:t>
      </w:r>
      <w:r w:rsidR="006B273B" w:rsidRPr="003126C4">
        <w:rPr>
          <w:rFonts w:ascii="Sakkal Majalla" w:hAnsi="Sakkal Majalla" w:cs="Sakkal Majalla"/>
          <w:sz w:val="24"/>
          <w:szCs w:val="24"/>
          <w:rtl/>
        </w:rPr>
        <w:t>خالد ممدوح (2007 ) حماية المستهلك في المعاملات الإلكترونية: دراسة مقارنة. الإسكندرية، مصر: الدار الجامعية ، ص 123.</w:t>
      </w:r>
    </w:p>
  </w:footnote>
  <w:footnote w:id="124">
    <w:p w14:paraId="5E7FD746" w14:textId="50AB0666" w:rsidR="00A1336D" w:rsidRPr="003126C4" w:rsidRDefault="00A1336D" w:rsidP="006455FF">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55FF" w:rsidRPr="003126C4">
        <w:rPr>
          <w:rFonts w:ascii="Sakkal Majalla" w:hAnsi="Sakkal Majalla" w:cs="Sakkal Majalla"/>
          <w:sz w:val="24"/>
          <w:szCs w:val="24"/>
        </w:rPr>
        <w:t xml:space="preserve">DOSQUET (E.), DOSQUET (F.), MOYSAN (Y.) et SCIBETTA (F.), </w:t>
      </w:r>
      <w:proofErr w:type="spellStart"/>
      <w:r w:rsidR="006455FF" w:rsidRPr="003126C4">
        <w:rPr>
          <w:rFonts w:ascii="Sakkal Majalla" w:hAnsi="Sakkal Majalla" w:cs="Sakkal Majalla"/>
          <w:sz w:val="24"/>
          <w:szCs w:val="24"/>
        </w:rPr>
        <w:t>L'internet</w:t>
      </w:r>
      <w:proofErr w:type="spellEnd"/>
      <w:r w:rsidR="006455FF" w:rsidRPr="003126C4">
        <w:rPr>
          <w:rFonts w:ascii="Sakkal Majalla" w:hAnsi="Sakkal Majalla" w:cs="Sakkal Majalla"/>
          <w:sz w:val="24"/>
          <w:szCs w:val="24"/>
        </w:rPr>
        <w:t xml:space="preserve"> des </w:t>
      </w:r>
      <w:proofErr w:type="spellStart"/>
      <w:r w:rsidR="006455FF" w:rsidRPr="003126C4">
        <w:rPr>
          <w:rFonts w:ascii="Sakkal Majalla" w:hAnsi="Sakkal Majalla" w:cs="Sakkal Majalla"/>
          <w:sz w:val="24"/>
          <w:szCs w:val="24"/>
        </w:rPr>
        <w:t>objets</w:t>
      </w:r>
      <w:proofErr w:type="spellEnd"/>
      <w:r w:rsidR="006455FF" w:rsidRPr="003126C4">
        <w:rPr>
          <w:rFonts w:ascii="Sakkal Majalla" w:hAnsi="Sakkal Majalla" w:cs="Sakkal Majalla"/>
          <w:sz w:val="24"/>
          <w:szCs w:val="24"/>
        </w:rPr>
        <w:t xml:space="preserve"> et la data, op. cit., p. 8.</w:t>
      </w:r>
    </w:p>
  </w:footnote>
  <w:footnote w:id="125">
    <w:p w14:paraId="0C4BFAAD" w14:textId="2D81732C" w:rsidR="00A1336D" w:rsidRPr="003126C4" w:rsidRDefault="00A1336D" w:rsidP="00046B4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153</w:t>
      </w:r>
    </w:p>
  </w:footnote>
  <w:footnote w:id="126">
    <w:p w14:paraId="12B150F5" w14:textId="01851757"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عبد الفتاح محمود (2011) </w:t>
      </w:r>
      <w:r w:rsidR="00277152" w:rsidRPr="003126C4">
        <w:rPr>
          <w:rFonts w:ascii="Sakkal Majalla" w:hAnsi="Sakkal Majalla" w:cs="Sakkal Majalla"/>
          <w:b/>
          <w:bCs/>
          <w:sz w:val="24"/>
          <w:szCs w:val="24"/>
          <w:u w:val="single"/>
          <w:rtl/>
        </w:rPr>
        <w:t>مرجع سابق</w:t>
      </w:r>
      <w:r w:rsidR="00277152" w:rsidRPr="003126C4">
        <w:rPr>
          <w:rFonts w:ascii="Sakkal Majalla" w:hAnsi="Sakkal Majalla" w:cs="Sakkal Majalla"/>
          <w:sz w:val="24"/>
          <w:szCs w:val="24"/>
          <w:rtl/>
        </w:rPr>
        <w:t xml:space="preserve"> ،  ص110</w:t>
      </w:r>
    </w:p>
  </w:footnote>
  <w:footnote w:id="127">
    <w:p w14:paraId="5BA71666" w14:textId="2CD86516" w:rsidR="00277152" w:rsidRPr="003126C4" w:rsidRDefault="00277152" w:rsidP="00277152">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كيلاني، </w:t>
      </w:r>
      <w:r w:rsidRPr="003126C4">
        <w:rPr>
          <w:rFonts w:ascii="Sakkal Majalla" w:hAnsi="Sakkal Majalla" w:cs="Sakkal Majalla"/>
          <w:sz w:val="24"/>
          <w:szCs w:val="24"/>
          <w:rtl/>
        </w:rPr>
        <w:t xml:space="preserve">عبد الفتاح محمود (2011)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ص111</w:t>
      </w:r>
    </w:p>
  </w:footnote>
  <w:footnote w:id="128">
    <w:p w14:paraId="679823D1" w14:textId="0CB9A866"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طه، </w:t>
      </w:r>
      <w:r w:rsidR="00046B41" w:rsidRPr="003126C4">
        <w:rPr>
          <w:rFonts w:ascii="Sakkal Majalla" w:hAnsi="Sakkal Majalla" w:cs="Sakkal Majalla"/>
          <w:sz w:val="24"/>
          <w:szCs w:val="24"/>
          <w:rtl/>
        </w:rPr>
        <w:t>أحمد حسام (2000) مرجع سابق ، ص 94</w:t>
      </w:r>
    </w:p>
  </w:footnote>
  <w:footnote w:id="129">
    <w:p w14:paraId="157B3983" w14:textId="5E86394E" w:rsidR="00A1336D" w:rsidRPr="003126C4" w:rsidRDefault="00A1336D" w:rsidP="00AB2D3F">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w:t>
      </w:r>
      <w:r w:rsidR="00DC6B17" w:rsidRPr="003126C4">
        <w:rPr>
          <w:rFonts w:ascii="Sakkal Majalla" w:hAnsi="Sakkal Majalla" w:cs="Sakkal Majalla"/>
          <w:sz w:val="24"/>
          <w:szCs w:val="24"/>
          <w:rtl/>
        </w:rPr>
        <w:t xml:space="preserve">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46</w:t>
      </w:r>
    </w:p>
  </w:footnote>
  <w:footnote w:id="130">
    <w:p w14:paraId="50EFFCD3" w14:textId="6C268BDD" w:rsidR="00E22E83" w:rsidRPr="003126C4" w:rsidRDefault="00E22E83" w:rsidP="003541B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92311" w:rsidRPr="003126C4">
        <w:rPr>
          <w:rFonts w:ascii="Sakkal Majalla" w:hAnsi="Sakkal Majalla" w:cs="Sakkal Majalla"/>
          <w:sz w:val="24"/>
          <w:szCs w:val="24"/>
          <w:rtl/>
        </w:rPr>
        <w:t xml:space="preserve">أبو </w:t>
      </w:r>
      <w:r w:rsidR="00F92311" w:rsidRPr="003126C4">
        <w:rPr>
          <w:rFonts w:ascii="Sakkal Majalla" w:hAnsi="Sakkal Majalla" w:cs="Sakkal Majalla"/>
          <w:sz w:val="24"/>
          <w:szCs w:val="24"/>
          <w:rtl/>
        </w:rPr>
        <w:t xml:space="preserve">رحاب، محمد جمال عزاز </w:t>
      </w:r>
      <w:r w:rsidR="003541B1" w:rsidRPr="003126C4">
        <w:rPr>
          <w:rFonts w:ascii="Sakkal Majalla" w:hAnsi="Sakkal Majalla" w:cs="Sakkal Majalla"/>
          <w:sz w:val="24"/>
          <w:szCs w:val="24"/>
          <w:rtl/>
        </w:rPr>
        <w:t>(2025)</w:t>
      </w:r>
      <w:r w:rsidR="00A56A5B" w:rsidRPr="003126C4">
        <w:rPr>
          <w:rFonts w:ascii="Sakkal Majalla" w:hAnsi="Sakkal Majalla" w:cs="Sakkal Majalla"/>
          <w:sz w:val="24"/>
          <w:szCs w:val="24"/>
        </w:rPr>
        <w:t xml:space="preserve"> </w:t>
      </w:r>
      <w:r w:rsidR="003541B1" w:rsidRPr="003126C4">
        <w:rPr>
          <w:rFonts w:ascii="Sakkal Majalla" w:hAnsi="Sakkal Majalla" w:cs="Sakkal Majalla"/>
          <w:sz w:val="24"/>
          <w:szCs w:val="24"/>
          <w:rtl/>
        </w:rPr>
        <w:t xml:space="preserve">المسؤولية المدنية الدولية الناشئة عن قرارات الذكاء الاصطناعي: إشكالية الفعل الضار العابر للحدود. مجلة البحوث القانونية والاقتصادية، 37(2)، </w:t>
      </w:r>
      <w:r w:rsidR="00F92311" w:rsidRPr="003126C4">
        <w:rPr>
          <w:rFonts w:ascii="Sakkal Majalla" w:hAnsi="Sakkal Majalla" w:cs="Sakkal Majalla"/>
          <w:sz w:val="24"/>
          <w:szCs w:val="24"/>
          <w:rtl/>
        </w:rPr>
        <w:t>ص 340.</w:t>
      </w:r>
    </w:p>
  </w:footnote>
  <w:footnote w:id="131">
    <w:p w14:paraId="695B269B" w14:textId="16C75764" w:rsidR="00E22E83" w:rsidRPr="003126C4" w:rsidRDefault="00E22E83" w:rsidP="00295D06">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J., Minsky, M. L., Rochester, N., &amp; Shannon, C. E. (2006). A proposal for the Dartmouth summer research project on artificial intelligence. AI Magazine, 27(4), p.3</w:t>
      </w:r>
    </w:p>
  </w:footnote>
  <w:footnote w:id="132">
    <w:p w14:paraId="7EF46012" w14:textId="3D787781" w:rsidR="00E22E83" w:rsidRPr="003126C4" w:rsidRDefault="00E22E83" w:rsidP="00654E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الذكاء الاصطناعي: ثورة في تقنية المعلومات (ط1). الرياض، المملكة العربية السعودية: مكتبة الملك فهد الوطنية</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ص46</w:t>
      </w:r>
    </w:p>
  </w:footnote>
  <w:footnote w:id="133">
    <w:p w14:paraId="40B75882" w14:textId="0EBF1FAF" w:rsidR="00E22E83" w:rsidRPr="003126C4" w:rsidRDefault="00E22E83" w:rsidP="008545C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134</w:t>
      </w:r>
    </w:p>
  </w:footnote>
  <w:footnote w:id="134">
    <w:p w14:paraId="61DCC01F" w14:textId="6AEF062D" w:rsidR="00E22E83" w:rsidRPr="003126C4" w:rsidRDefault="00E22E83" w:rsidP="00E22E8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 xml:space="preserve">أبو </w:t>
      </w:r>
      <w:r w:rsidR="00654EF9" w:rsidRPr="003126C4">
        <w:rPr>
          <w:rFonts w:ascii="Sakkal Majalla" w:hAnsi="Sakkal Majalla" w:cs="Sakkal Majalla"/>
          <w:sz w:val="24"/>
          <w:szCs w:val="24"/>
          <w:rtl/>
        </w:rPr>
        <w:t>رحاب، محمد جمال عزاز (2025). مرجع سابق، ص 342</w:t>
      </w:r>
    </w:p>
  </w:footnote>
  <w:footnote w:id="135">
    <w:p w14:paraId="78D7A876" w14:textId="6EA72F8C" w:rsidR="00E22E83" w:rsidRPr="003126C4" w:rsidRDefault="00E22E83" w:rsidP="00E22E83">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المادة (41).</w:t>
      </w:r>
    </w:p>
  </w:footnote>
  <w:footnote w:id="136">
    <w:p w14:paraId="47769468" w14:textId="3098BD69" w:rsidR="00E22E83" w:rsidRPr="003126C4" w:rsidRDefault="00E22E83" w:rsidP="00E22E83">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المادة (107).</w:t>
      </w:r>
    </w:p>
  </w:footnote>
  <w:footnote w:id="137">
    <w:p w14:paraId="5DFFD741" w14:textId="16691C15" w:rsidR="00E22E83" w:rsidRPr="003126C4" w:rsidRDefault="00E22E83" w:rsidP="00CA04C7">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A04C7" w:rsidRPr="003126C4">
        <w:rPr>
          <w:rFonts w:ascii="Sakkal Majalla" w:hAnsi="Sakkal Majalla" w:cs="Sakkal Majalla"/>
          <w:sz w:val="24"/>
          <w:szCs w:val="24"/>
        </w:rPr>
        <w:t>Russell, S. J., &amp; Norvig, P. (2021). Artificial intelligence: A modern approach (4th ed.). Pearson</w:t>
      </w:r>
      <w:r w:rsidR="00CA04C7" w:rsidRPr="003126C4">
        <w:rPr>
          <w:rFonts w:ascii="Sakkal Majalla" w:hAnsi="Sakkal Majalla" w:cs="Sakkal Majalla"/>
          <w:sz w:val="24"/>
          <w:szCs w:val="24"/>
          <w:rtl/>
        </w:rPr>
        <w:t>.</w:t>
      </w:r>
      <w:r w:rsidR="00CA04C7" w:rsidRPr="003126C4">
        <w:rPr>
          <w:rFonts w:ascii="Sakkal Majalla" w:hAnsi="Sakkal Majalla" w:cs="Sakkal Majalla"/>
          <w:sz w:val="24"/>
          <w:szCs w:val="24"/>
        </w:rPr>
        <w:t>p.3</w:t>
      </w:r>
    </w:p>
  </w:footnote>
  <w:footnote w:id="138">
    <w:p w14:paraId="5B8E4F09" w14:textId="7F1E6FF6" w:rsidR="00E22E83" w:rsidRPr="003126C4" w:rsidRDefault="00E22E83" w:rsidP="00654E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مرجع سابق</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ص48</w:t>
      </w:r>
    </w:p>
  </w:footnote>
  <w:footnote w:id="139">
    <w:p w14:paraId="7E5694DF" w14:textId="2EDBFC9B" w:rsidR="00E22E83" w:rsidRPr="003126C4" w:rsidRDefault="00E22E83" w:rsidP="00EE2C1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المشهداني، عمار سعدون ( 2014)  تنازع الاختصاص القضائي الدولي في المسائل المدنية والتجارية عبر الإنترنت، منشورات زين الحقوقية، بيروت ، ص 201.</w:t>
      </w:r>
    </w:p>
  </w:footnote>
  <w:footnote w:id="140">
    <w:p w14:paraId="37FEF7D6" w14:textId="04683377" w:rsidR="003541B1" w:rsidRPr="003126C4" w:rsidRDefault="003541B1" w:rsidP="00A56A5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00827DBB"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00827DBB" w:rsidRPr="003126C4">
        <w:rPr>
          <w:rFonts w:ascii="Sakkal Majalla" w:hAnsi="Sakkal Majalla" w:cs="Sakkal Majalla"/>
          <w:sz w:val="24"/>
          <w:szCs w:val="24"/>
          <w:rtl/>
        </w:rPr>
        <w:t>بو الوفا، أحمد ( 2009)  الوسيط في قانون القضاء المدني، دار المطبوعات الجامعية، الإسكندرية ، ص 162 .</w:t>
      </w:r>
    </w:p>
  </w:footnote>
  <w:footnote w:id="141">
    <w:p w14:paraId="48FA52C1" w14:textId="05A4A1A5" w:rsidR="00E22E83" w:rsidRPr="003126C4" w:rsidRDefault="00E22E83" w:rsidP="00A56A5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E3968" w:rsidRPr="003126C4">
        <w:rPr>
          <w:rFonts w:ascii="Sakkal Majalla" w:hAnsi="Sakkal Majalla" w:cs="Sakkal Majalla"/>
          <w:sz w:val="24"/>
          <w:szCs w:val="24"/>
          <w:rtl/>
        </w:rPr>
        <w:t xml:space="preserve">أبو </w:t>
      </w:r>
      <w:r w:rsidR="00AE3968" w:rsidRPr="003126C4">
        <w:rPr>
          <w:rFonts w:ascii="Sakkal Majalla" w:hAnsi="Sakkal Majalla" w:cs="Sakkal Majalla"/>
          <w:sz w:val="24"/>
          <w:szCs w:val="24"/>
          <w:rtl/>
        </w:rPr>
        <w:t>رحاب، محمد جمال عزاز (2025). مرجع سابق، ص 345</w:t>
      </w:r>
    </w:p>
  </w:footnote>
  <w:footnote w:id="142">
    <w:p w14:paraId="1FF57FAA" w14:textId="4BED2998" w:rsidR="00A56A5B" w:rsidRPr="003126C4" w:rsidRDefault="00A56A5B">
      <w:pPr>
        <w:pStyle w:val="FootnoteText"/>
        <w:rPr>
          <w:rFonts w:ascii="Sakkal Majalla" w:hAnsi="Sakkal Majalla" w:cs="Sakkal Majalla"/>
          <w:sz w:val="24"/>
          <w:szCs w:val="24"/>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et al., op. cit., p. 6.</w:t>
      </w:r>
    </w:p>
  </w:footnote>
  <w:footnote w:id="143">
    <w:p w14:paraId="38EF6213" w14:textId="490B8E2C" w:rsidR="00813C7B" w:rsidRPr="003126C4" w:rsidRDefault="00813C7B" w:rsidP="00295D0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89</w:t>
      </w:r>
    </w:p>
  </w:footnote>
  <w:footnote w:id="144">
    <w:p w14:paraId="358CBDBE" w14:textId="68960A03" w:rsidR="00827DBB" w:rsidRPr="003126C4" w:rsidRDefault="00827DBB" w:rsidP="00827DB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بو الوفا، أحمد ( 2009)  مرجع سابق ، ص 165.</w:t>
      </w:r>
    </w:p>
  </w:footnote>
  <w:footnote w:id="145">
    <w:p w14:paraId="0365556B" w14:textId="79D5D7B1" w:rsidR="00813C7B" w:rsidRPr="003126C4" w:rsidRDefault="00813C7B" w:rsidP="00295D0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 xml:space="preserve">المشهداني، </w:t>
      </w:r>
      <w:r w:rsidR="00EE2C1A" w:rsidRPr="003126C4">
        <w:rPr>
          <w:rFonts w:ascii="Sakkal Majalla" w:hAnsi="Sakkal Majalla" w:cs="Sakkal Majalla"/>
          <w:sz w:val="24"/>
          <w:szCs w:val="24"/>
          <w:rtl/>
        </w:rPr>
        <w:t>عمار سعدون ( 2014)  مرجع سابق ، ص 207</w:t>
      </w:r>
    </w:p>
  </w:footnote>
  <w:footnote w:id="146">
    <w:p w14:paraId="1FB4C468" w14:textId="7AD1935F" w:rsidR="00654EF9" w:rsidRPr="003126C4" w:rsidRDefault="00654E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 xml:space="preserve">حلمي، </w:t>
      </w:r>
      <w:r w:rsidR="004600D5" w:rsidRPr="003126C4">
        <w:rPr>
          <w:rFonts w:ascii="Sakkal Majalla" w:hAnsi="Sakkal Majalla" w:cs="Sakkal Majalla"/>
          <w:sz w:val="24"/>
          <w:szCs w:val="24"/>
          <w:rtl/>
        </w:rPr>
        <w:t>رشا علي الدين (2021) مرجع سابق ،  ص 136</w:t>
      </w:r>
    </w:p>
  </w:footnote>
  <w:footnote w:id="147">
    <w:p w14:paraId="2827F8BA" w14:textId="5D432AEB" w:rsidR="00DF3AD3" w:rsidRPr="003126C4" w:rsidRDefault="00DF3AD3" w:rsidP="00197801">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(2015). Robotics and the lessons of cyberlaw. California Law Review, 103(3), 513</w:t>
      </w:r>
    </w:p>
  </w:footnote>
  <w:footnote w:id="148">
    <w:p w14:paraId="055036F8" w14:textId="07D33C42" w:rsidR="00DF3AD3" w:rsidRPr="003126C4" w:rsidRDefault="00DF3AD3"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إشكالية علاقة السببية في مسؤولية أضرار الذكاء الاصطناعي. مجلة القانون والأعمال الدولية، (15)، ص44.</w:t>
      </w:r>
    </w:p>
  </w:footnote>
  <w:footnote w:id="149">
    <w:p w14:paraId="66B9ED72" w14:textId="5D5DF78E" w:rsidR="00F15A16" w:rsidRPr="003126C4" w:rsidRDefault="00F15A16" w:rsidP="00F15A1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حلمي، </w:t>
      </w:r>
      <w:r w:rsidRPr="003126C4">
        <w:rPr>
          <w:rFonts w:ascii="Sakkal Majalla" w:hAnsi="Sakkal Majalla" w:cs="Sakkal Majalla"/>
          <w:sz w:val="24"/>
          <w:szCs w:val="24"/>
          <w:rtl/>
        </w:rPr>
        <w:t>رشا علي الدين. (2021) مرجع سابق ، ص 92</w:t>
      </w:r>
    </w:p>
  </w:footnote>
  <w:footnote w:id="150">
    <w:p w14:paraId="2F1D8DB7" w14:textId="26060BEB" w:rsidR="00CE519A" w:rsidRPr="003126C4" w:rsidRDefault="00CE519A" w:rsidP="00CE519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E5E1F" w:rsidRPr="003126C4">
        <w:rPr>
          <w:rFonts w:ascii="Sakkal Majalla" w:hAnsi="Sakkal Majalla" w:cs="Sakkal Majalla"/>
          <w:sz w:val="24"/>
          <w:szCs w:val="24"/>
          <w:rtl/>
        </w:rPr>
        <w:t xml:space="preserve">الأشباه </w:t>
      </w:r>
      <w:r w:rsidR="00AE5E1F" w:rsidRPr="003126C4">
        <w:rPr>
          <w:rFonts w:ascii="Sakkal Majalla" w:hAnsi="Sakkal Majalla" w:cs="Sakkal Majalla"/>
          <w:sz w:val="24"/>
          <w:szCs w:val="24"/>
          <w:rtl/>
        </w:rPr>
        <w:t>والنظائر، تحقيق: محمد المعتصم بالله البغدادي، دار الكتاب العربي، بيروت، 1998، ص 83؛ وسنن ابن ماجه، كتاب الأحكام، باب من بنى في حقه ما يضر بجاره، حديث رقم (2340)، صححه محمد ناصر الدين الألباني في إرواء الغليل؛ وانظر أيضًا: المدخل الفقهي العام، دار القلم، دمشق، ط1، 1998، ج2، ص 977-980.</w:t>
      </w:r>
    </w:p>
  </w:footnote>
  <w:footnote w:id="151">
    <w:p w14:paraId="606ABAE4" w14:textId="7168C2E7" w:rsidR="00DF3AD3" w:rsidRPr="003126C4" w:rsidRDefault="00DF3AD3" w:rsidP="002162F9">
      <w:pPr>
        <w:pStyle w:val="FootnoteText"/>
        <w:bidi/>
        <w:rPr>
          <w:rFonts w:ascii="Sakkal Majalla" w:hAnsi="Sakkal Majalla" w:cs="Sakkal Majalla"/>
          <w:sz w:val="24"/>
          <w:szCs w:val="24"/>
          <w:rtl/>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المادة (120)، المادة (121).</w:t>
      </w:r>
    </w:p>
  </w:footnote>
  <w:footnote w:id="152">
    <w:p w14:paraId="6D592768" w14:textId="1A6F7A5B" w:rsidR="00DF3AD3" w:rsidRPr="003126C4" w:rsidRDefault="00DF3AD3"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نظام </w:t>
      </w:r>
      <w:r w:rsidRPr="003126C4">
        <w:rPr>
          <w:rFonts w:ascii="Sakkal Majalla" w:hAnsi="Sakkal Majalla" w:cs="Sakkal Majalla"/>
          <w:sz w:val="24"/>
          <w:szCs w:val="24"/>
          <w:rtl/>
        </w:rPr>
        <w:t>المعاملات المدنية السعودي، المرجع السابق، المادة (136).</w:t>
      </w:r>
    </w:p>
  </w:footnote>
  <w:footnote w:id="153">
    <w:p w14:paraId="1DB6D9E6" w14:textId="1A989E37" w:rsidR="002162F9" w:rsidRPr="003126C4" w:rsidRDefault="002162F9" w:rsidP="002120B3">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Pr>
        <w:t>McCarthy et al., op. cit., p. 6.</w:t>
      </w:r>
    </w:p>
  </w:footnote>
  <w:footnote w:id="154">
    <w:p w14:paraId="7B82C251" w14:textId="216A63E9"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tl/>
        </w:rPr>
        <w:t xml:space="preserve">شحاته، أحمد عبد الكريم (2020) الشخصية القانونية للروبوتات الذكية: دراسة تحليلية في ضوء قواعد المسؤولية المدنية. مجلة البحوث القانونية والاقتصادية، (70) ، ص  214 </w:t>
      </w:r>
    </w:p>
  </w:footnote>
  <w:footnote w:id="155">
    <w:p w14:paraId="3C2567A4" w14:textId="00E4ED7B"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 xml:space="preserve">حلمي، </w:t>
      </w:r>
      <w:r w:rsidR="004600D5" w:rsidRPr="003126C4">
        <w:rPr>
          <w:rFonts w:ascii="Sakkal Majalla" w:hAnsi="Sakkal Majalla" w:cs="Sakkal Majalla"/>
          <w:sz w:val="24"/>
          <w:szCs w:val="24"/>
          <w:rtl/>
        </w:rPr>
        <w:t>رشا علي الدين (2021) مرجع سابق ،  ص 138</w:t>
      </w:r>
    </w:p>
  </w:footnote>
  <w:footnote w:id="156">
    <w:p w14:paraId="3172EB21" w14:textId="114FEED9" w:rsidR="002162F9" w:rsidRPr="003126C4" w:rsidRDefault="002162F9" w:rsidP="00197801">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"Robotics and the Lessons of Cyberlaw," op. cit., p. 20</w:t>
      </w:r>
    </w:p>
  </w:footnote>
  <w:footnote w:id="157">
    <w:p w14:paraId="08A160A3" w14:textId="417C63D2"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مرجع سابق ، ص 93</w:t>
      </w:r>
    </w:p>
  </w:footnote>
  <w:footnote w:id="158">
    <w:p w14:paraId="682877B7" w14:textId="56C0D4E8" w:rsidR="009D6C6D" w:rsidRPr="003126C4" w:rsidRDefault="009D6C6D"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 xml:space="preserve">الأحدب، </w:t>
      </w:r>
      <w:r w:rsidR="00197801" w:rsidRPr="003126C4">
        <w:rPr>
          <w:rFonts w:ascii="Sakkal Majalla" w:hAnsi="Sakkal Majalla" w:cs="Sakkal Majalla"/>
          <w:sz w:val="24"/>
          <w:szCs w:val="24"/>
          <w:rtl/>
        </w:rPr>
        <w:t>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القانون الدولي الخاص: الجنسية والموطن ومركز الأجانب وتنازع القوانين (ط3). بيروت، لبنان: منشورات الحلبي الحقوقية</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ص652.</w:t>
      </w:r>
    </w:p>
  </w:footnote>
  <w:footnote w:id="159">
    <w:p w14:paraId="10546433" w14:textId="4992BA49" w:rsidR="009D6C6D" w:rsidRPr="003126C4" w:rsidRDefault="009D6C6D" w:rsidP="006467C0">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مرجع سابق  ، 46.</w:t>
      </w:r>
    </w:p>
  </w:footnote>
  <w:footnote w:id="160">
    <w:p w14:paraId="7589F6F2" w14:textId="6FF914DC" w:rsidR="006467C0" w:rsidRPr="003126C4" w:rsidRDefault="006467C0">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Matthias, A. (2004). The responsibility gap: Ascribing responsibility for the actions of learning automata. Ethics and Information Technology, 6(3), 175</w:t>
      </w:r>
      <w:r w:rsidRPr="003126C4">
        <w:rPr>
          <w:rFonts w:ascii="Sakkal Majalla" w:hAnsi="Sakkal Majalla" w:cs="Sakkal Majalla"/>
          <w:sz w:val="24"/>
          <w:szCs w:val="24"/>
          <w:rtl/>
        </w:rPr>
        <w:t>.</w:t>
      </w:r>
    </w:p>
  </w:footnote>
  <w:footnote w:id="161">
    <w:p w14:paraId="7488DBDF" w14:textId="12BEDDE4" w:rsidR="00AC7FEA" w:rsidRPr="003126C4" w:rsidRDefault="00AC7FEA" w:rsidP="00AC7FE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بو الوفا، أحمد ( 2009)  مرجع سابق ، ص 167.</w:t>
      </w:r>
    </w:p>
  </w:footnote>
  <w:footnote w:id="162">
    <w:p w14:paraId="270B4E8B" w14:textId="725DC371"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 xml:space="preserve">النشاوي، </w:t>
      </w:r>
      <w:r w:rsidR="00E1508D" w:rsidRPr="003126C4">
        <w:rPr>
          <w:rFonts w:ascii="Sakkal Majalla" w:hAnsi="Sakkal Majalla" w:cs="Sakkal Majalla"/>
          <w:sz w:val="24"/>
          <w:szCs w:val="24"/>
          <w:rtl/>
        </w:rPr>
        <w:t>محمد لبيب (2005) شرح أحكام الخطأ في نطاق المسؤولية التقصيرية: دراسة مقارنة بالفقه الإسلامي. القاهرة، مصر: دار النهضة العربية ، ص 76.</w:t>
      </w:r>
    </w:p>
  </w:footnote>
  <w:footnote w:id="163">
    <w:p w14:paraId="03FCA96F" w14:textId="260C1D0D" w:rsidR="007D5F1B" w:rsidRPr="003126C4" w:rsidRDefault="007D5F1B" w:rsidP="006C5B25">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(2016). The liability problem for autonomous artificial agents. In AAAI Spring Symposium: Ethical and Legal Issues in AI. P.191</w:t>
      </w:r>
    </w:p>
  </w:footnote>
  <w:footnote w:id="164">
    <w:p w14:paraId="356C6377" w14:textId="35FF1325" w:rsidR="007D5F1B" w:rsidRPr="003126C4" w:rsidRDefault="007D5F1B"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5">
    <w:p w14:paraId="71622D11" w14:textId="052C19A8" w:rsidR="00F15A16" w:rsidRPr="003126C4" w:rsidRDefault="00F15A16" w:rsidP="00F15A16">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tl/>
        </w:rPr>
        <w:t>نظام المعاملات المدنية السعودي، المادة (41) ، المادة (120)</w:t>
      </w:r>
    </w:p>
  </w:footnote>
  <w:footnote w:id="166">
    <w:p w14:paraId="047768C2" w14:textId="3B2B862F" w:rsidR="007D5F1B" w:rsidRPr="003126C4" w:rsidRDefault="007D5F1B">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"The Liability Problem for Autonomous Artificial Agents," op. cit., p. 200.</w:t>
      </w:r>
    </w:p>
  </w:footnote>
  <w:footnote w:id="167">
    <w:p w14:paraId="66C27121" w14:textId="6DAE6FD3" w:rsidR="007D5F1B" w:rsidRPr="003126C4" w:rsidRDefault="007D5F1B" w:rsidP="00197801">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8">
    <w:p w14:paraId="34952D27" w14:textId="3F1FEE21"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التنظيم القانوني للذكاء الاصطناعي: بين متطلبات الحاضر وتحديات المستقبل. القاهرة، مصر: دار النهضة العربية ، ص 152</w:t>
      </w:r>
    </w:p>
  </w:footnote>
  <w:footnote w:id="169">
    <w:p w14:paraId="31B2987C" w14:textId="2058453B"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 xml:space="preserve">النشاوي، </w:t>
      </w:r>
      <w:r w:rsidR="00E1508D" w:rsidRPr="003126C4">
        <w:rPr>
          <w:rFonts w:ascii="Sakkal Majalla" w:hAnsi="Sakkal Majalla" w:cs="Sakkal Majalla"/>
          <w:sz w:val="24"/>
          <w:szCs w:val="24"/>
          <w:rtl/>
        </w:rPr>
        <w:t>محمد لبيب (2005) مرجع سابق  ، ص 77</w:t>
      </w:r>
    </w:p>
  </w:footnote>
  <w:footnote w:id="170">
    <w:p w14:paraId="6C4A8F7D" w14:textId="03E7903E" w:rsidR="002162F9" w:rsidRPr="003126C4" w:rsidRDefault="002162F9" w:rsidP="00E1508D">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(2014). Machines without principals: Liability rules and artificial intelligence. Washington Law Review, 89(1), 118</w:t>
      </w:r>
    </w:p>
  </w:footnote>
  <w:footnote w:id="171">
    <w:p w14:paraId="4CA8F4D3" w14:textId="2F9FBE20" w:rsidR="008545C8" w:rsidRPr="003126C4" w:rsidRDefault="008545C8" w:rsidP="008545C8">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 ، المادة (107)</w:t>
      </w:r>
    </w:p>
  </w:footnote>
  <w:footnote w:id="172">
    <w:p w14:paraId="59E20A7E" w14:textId="26C1EB34" w:rsidR="002162F9" w:rsidRPr="003126C4" w:rsidRDefault="002162F9" w:rsidP="006467C0">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Pr>
        <w:t>Matthias, A., "The Responsibility Gap: Ascribing Responsibility for the Actions of Learning Automata," op. cit., p. 178.</w:t>
      </w:r>
    </w:p>
  </w:footnote>
  <w:footnote w:id="173">
    <w:p w14:paraId="5A85691F" w14:textId="02B94D48"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155</w:t>
      </w:r>
    </w:p>
  </w:footnote>
  <w:footnote w:id="174">
    <w:p w14:paraId="6CA2C2BF" w14:textId="6E2F7947"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545C8" w:rsidRPr="003126C4">
        <w:rPr>
          <w:rFonts w:ascii="Sakkal Majalla" w:hAnsi="Sakkal Majalla" w:cs="Sakkal Majalla"/>
          <w:sz w:val="24"/>
          <w:szCs w:val="24"/>
          <w:rtl/>
        </w:rPr>
        <w:t xml:space="preserve">النشاوي، </w:t>
      </w:r>
      <w:r w:rsidR="008545C8" w:rsidRPr="003126C4">
        <w:rPr>
          <w:rFonts w:ascii="Sakkal Majalla" w:hAnsi="Sakkal Majalla" w:cs="Sakkal Majalla"/>
          <w:sz w:val="24"/>
          <w:szCs w:val="24"/>
          <w:rtl/>
        </w:rPr>
        <w:t xml:space="preserve">محمد لبيب (2005) مرجع سابق ، ص </w:t>
      </w:r>
      <w:r w:rsidR="008545C8" w:rsidRPr="003126C4">
        <w:rPr>
          <w:rFonts w:ascii="Sakkal Majalla" w:hAnsi="Sakkal Majalla" w:cs="Sakkal Majalla"/>
          <w:sz w:val="24"/>
          <w:szCs w:val="24"/>
          <w:rtl/>
          <w:lang w:bidi="ar-EG"/>
        </w:rPr>
        <w:t>80</w:t>
      </w:r>
    </w:p>
  </w:footnote>
  <w:footnote w:id="175">
    <w:p w14:paraId="1B255DEA" w14:textId="6A875371" w:rsidR="002162F9" w:rsidRPr="003126C4" w:rsidRDefault="002162F9" w:rsidP="00E1508D">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"Machines Without Principals: Liability Rules and Artificial Intelligence," op. cit., p. 119.</w:t>
      </w:r>
    </w:p>
  </w:footnote>
  <w:footnote w:id="176">
    <w:p w14:paraId="274E7D04" w14:textId="32B78B3D" w:rsidR="002162F9" w:rsidRPr="003126C4" w:rsidRDefault="002162F9" w:rsidP="002162F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156</w:t>
      </w:r>
    </w:p>
  </w:footnote>
  <w:footnote w:id="177">
    <w:p w14:paraId="3A088231" w14:textId="10D365C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w:t>
      </w:r>
      <w:r w:rsidR="008431DA" w:rsidRPr="003126C4">
        <w:rPr>
          <w:rFonts w:ascii="Sakkal Majalla" w:hAnsi="Sakkal Majalla" w:cs="Sakkal Majalla"/>
          <w:sz w:val="24"/>
          <w:szCs w:val="24"/>
          <w:rtl/>
        </w:rPr>
        <w:t xml:space="preserve">خالد بن عبدالرحيم بن جابر (2024). المسؤولية المدنية عن فعل الذكاء الاصطناعي في النظام السعودي: دراسة تحليلية تأصيلية. مجلة البحوث الفقهية والقانونية، 44(44)، </w:t>
      </w:r>
      <w:r w:rsidR="008431DA" w:rsidRPr="003126C4">
        <w:rPr>
          <w:rFonts w:ascii="Sakkal Majalla" w:hAnsi="Sakkal Majalla" w:cs="Sakkal Majalla"/>
          <w:sz w:val="24"/>
          <w:szCs w:val="24"/>
          <w:rtl/>
          <w:lang w:bidi="ar-EG"/>
        </w:rPr>
        <w:t>ص 1780</w:t>
      </w:r>
    </w:p>
  </w:footnote>
  <w:footnote w:id="178">
    <w:p w14:paraId="52D16937" w14:textId="755ED0F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الذكاء الاصطناعي: مستقبل الحياة البشرية في ظل التطورات التكنولوجية (ط1). القاهرة، مصر: الهيئة المصرية العامة للكتاب ، ص 26</w:t>
      </w:r>
    </w:p>
  </w:footnote>
  <w:footnote w:id="179">
    <w:p w14:paraId="494B55EA" w14:textId="532B25B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w:t>
      </w:r>
      <w:r w:rsidR="00A03597" w:rsidRPr="003126C4">
        <w:rPr>
          <w:rFonts w:ascii="Sakkal Majalla" w:hAnsi="Sakkal Majalla" w:cs="Sakkal Majalla"/>
          <w:sz w:val="24"/>
          <w:szCs w:val="24"/>
          <w:rtl/>
        </w:rPr>
        <w:t>خالد محمد. (2023) نظام التأمين الإلزامي كآلية لضمان تعويض ضحايا أضرار الذكاء الاصطناعي. مجلة الدراسات القانونية والاقتصادية، (12)، 188</w:t>
      </w:r>
    </w:p>
  </w:footnote>
  <w:footnote w:id="180">
    <w:p w14:paraId="235E8940" w14:textId="6343F8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w:t>
      </w:r>
      <w:r w:rsidR="000305B2" w:rsidRPr="003126C4">
        <w:rPr>
          <w:rFonts w:ascii="Sakkal Majalla" w:hAnsi="Sakkal Majalla" w:cs="Sakkal Majalla"/>
          <w:sz w:val="24"/>
          <w:szCs w:val="24"/>
          <w:rtl/>
        </w:rPr>
        <w:t>منصور، يوسف (2020) الذكاء الاصطناعي وأبعاده الأمنية. الرياض، المملكة العربية السعودية: جامعة نايف العربية للعلوم الأمنية ، ص75</w:t>
      </w:r>
    </w:p>
  </w:footnote>
  <w:footnote w:id="181">
    <w:p w14:paraId="7F4746E0" w14:textId="47C38F67"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w:t>
      </w:r>
      <w:r w:rsidR="008431DA" w:rsidRPr="003126C4">
        <w:rPr>
          <w:rFonts w:ascii="Sakkal Majalla" w:hAnsi="Sakkal Majalla" w:cs="Sakkal Majalla"/>
          <w:sz w:val="24"/>
          <w:szCs w:val="24"/>
          <w:rtl/>
        </w:rPr>
        <w:t xml:space="preserve">خالد بن عبدالرحيم بن جابر (2024) مرجع سابق ، </w:t>
      </w:r>
      <w:r w:rsidR="008431DA" w:rsidRPr="003126C4">
        <w:rPr>
          <w:rFonts w:ascii="Sakkal Majalla" w:hAnsi="Sakkal Majalla" w:cs="Sakkal Majalla"/>
          <w:sz w:val="24"/>
          <w:szCs w:val="24"/>
          <w:rtl/>
          <w:lang w:bidi="ar-EG"/>
        </w:rPr>
        <w:t>ص 1782</w:t>
      </w:r>
    </w:p>
  </w:footnote>
  <w:footnote w:id="182">
    <w:p w14:paraId="014E7C5D" w14:textId="33178DB6"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مرجع سابق ،  ص 27</w:t>
      </w:r>
    </w:p>
  </w:footnote>
  <w:footnote w:id="183">
    <w:p w14:paraId="032C5987" w14:textId="40912E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w:t>
      </w:r>
      <w:r w:rsidR="00B52D70" w:rsidRPr="003126C4">
        <w:rPr>
          <w:rFonts w:ascii="Sakkal Majalla" w:hAnsi="Sakkal Majalla" w:cs="Sakkal Majalla"/>
          <w:sz w:val="24"/>
          <w:szCs w:val="24"/>
          <w:rtl/>
        </w:rPr>
        <w:t>مصطفى أبو مندور موسى (2022) مدى كفاية القواعد العامة للمسؤولية المدنية في تعويض أضرار الذكاء الاصطناعي: دراسة تحليلية تأصيلية مقارنة. مجلة حقوق دمياط للدراسات القانونية والاقتصادية. كلية الحقوق، جامعة دمياط  ، ص 382.</w:t>
      </w:r>
    </w:p>
  </w:footnote>
  <w:footnote w:id="184">
    <w:p w14:paraId="7DC9EE52" w14:textId="2B0FB3D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w:t>
      </w:r>
      <w:r w:rsidR="00A03597" w:rsidRPr="003126C4">
        <w:rPr>
          <w:rFonts w:ascii="Sakkal Majalla" w:hAnsi="Sakkal Majalla" w:cs="Sakkal Majalla"/>
          <w:sz w:val="24"/>
          <w:szCs w:val="24"/>
          <w:rtl/>
        </w:rPr>
        <w:t>خالد محمد. (2023) مرجع سابق ،  190</w:t>
      </w:r>
    </w:p>
  </w:footnote>
  <w:footnote w:id="185">
    <w:p w14:paraId="0C4646AA" w14:textId="7792A234"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008F32A9" w:rsidRPr="003126C4">
        <w:rPr>
          <w:rFonts w:ascii="Sakkal Majalla" w:hAnsi="Sakkal Majalla" w:cs="Sakkal Majalla"/>
          <w:sz w:val="24"/>
          <w:szCs w:val="24"/>
          <w:rtl/>
        </w:rPr>
        <w:t xml:space="preserve">سلامة، </w:t>
      </w:r>
      <w:r w:rsidR="008F32A9" w:rsidRPr="003126C4">
        <w:rPr>
          <w:rFonts w:ascii="Sakkal Majalla" w:hAnsi="Sakkal Majalla" w:cs="Sakkal Majalla"/>
          <w:sz w:val="24"/>
          <w:szCs w:val="24"/>
          <w:rtl/>
        </w:rPr>
        <w:t>صفوت، وأبو قورة، خليل. (2014)  تحديات عصر الروبوتات وأخلاقياته. ، ص 47.</w:t>
      </w:r>
    </w:p>
  </w:footnote>
  <w:footnote w:id="186">
    <w:p w14:paraId="76DE5D93" w14:textId="345FC20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w:t>
      </w:r>
      <w:r w:rsidR="000305B2" w:rsidRPr="003126C4">
        <w:rPr>
          <w:rFonts w:ascii="Sakkal Majalla" w:hAnsi="Sakkal Majalla" w:cs="Sakkal Majalla"/>
          <w:sz w:val="24"/>
          <w:szCs w:val="24"/>
          <w:rtl/>
        </w:rPr>
        <w:t>منصور، يوسف (2020) مرجع سابق ،  ص78</w:t>
      </w:r>
    </w:p>
  </w:footnote>
  <w:footnote w:id="187">
    <w:p w14:paraId="03F6335C" w14:textId="0E7135A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w:t>
      </w:r>
      <w:r w:rsidR="00B52D70" w:rsidRPr="003126C4">
        <w:rPr>
          <w:rFonts w:ascii="Sakkal Majalla" w:hAnsi="Sakkal Majalla" w:cs="Sakkal Majalla"/>
          <w:sz w:val="24"/>
          <w:szCs w:val="24"/>
          <w:rtl/>
        </w:rPr>
        <w:t>مصطفى أبو مندور موسى (2022) مرجع سابق  ، ص 385</w:t>
      </w:r>
    </w:p>
  </w:footnote>
  <w:footnote w:id="188">
    <w:p w14:paraId="5235A467" w14:textId="7D31C1FD"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w:t>
      </w:r>
      <w:r w:rsidR="00DD40E9" w:rsidRPr="003126C4">
        <w:rPr>
          <w:rFonts w:ascii="Sakkal Majalla" w:hAnsi="Sakkal Majalla" w:cs="Sakkal Majalla"/>
          <w:sz w:val="24"/>
          <w:szCs w:val="24"/>
          <w:rtl/>
        </w:rPr>
        <w:t>ايهاب (2020). مرجع سابق ،  ص 30</w:t>
      </w:r>
    </w:p>
  </w:footnote>
  <w:footnote w:id="189">
    <w:p w14:paraId="6FCF82DD" w14:textId="37AE738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w:t>
      </w:r>
      <w:r w:rsidR="008431DA" w:rsidRPr="003126C4">
        <w:rPr>
          <w:rFonts w:ascii="Sakkal Majalla" w:hAnsi="Sakkal Majalla" w:cs="Sakkal Majalla"/>
          <w:sz w:val="24"/>
          <w:szCs w:val="24"/>
          <w:rtl/>
        </w:rPr>
        <w:t xml:space="preserve">خالد بن عبدالرحيم بن جابر (2024) مرجع سابق ، </w:t>
      </w:r>
      <w:r w:rsidR="008431DA" w:rsidRPr="003126C4">
        <w:rPr>
          <w:rFonts w:ascii="Sakkal Majalla" w:hAnsi="Sakkal Majalla" w:cs="Sakkal Majalla"/>
          <w:sz w:val="24"/>
          <w:szCs w:val="24"/>
          <w:rtl/>
          <w:lang w:bidi="ar-EG"/>
        </w:rPr>
        <w:t>ص 1785</w:t>
      </w:r>
    </w:p>
  </w:footnote>
  <w:footnote w:id="190">
    <w:p w14:paraId="45F777AC" w14:textId="590C1658"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الذكاء الاصطناعي: القوة التنافسية الجديدة. دبي، الإمارات العربية المتحدة: مركز استشراف المستقبل ودعم اتخاذ القرار ، العدد 299 ، الامارات ، ص5 </w:t>
      </w:r>
    </w:p>
  </w:footnote>
  <w:footnote w:id="191">
    <w:p w14:paraId="5F53FF1D" w14:textId="456E71A5"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162AC" w:rsidRPr="003126C4">
        <w:rPr>
          <w:rFonts w:ascii="Sakkal Majalla" w:hAnsi="Sakkal Majalla" w:cs="Sakkal Majalla"/>
          <w:sz w:val="24"/>
          <w:szCs w:val="24"/>
          <w:rtl/>
        </w:rPr>
        <w:t xml:space="preserve">حسن، </w:t>
      </w:r>
      <w:r w:rsidR="009162AC" w:rsidRPr="003126C4">
        <w:rPr>
          <w:rFonts w:ascii="Sakkal Majalla" w:hAnsi="Sakkal Majalla" w:cs="Sakkal Majalla"/>
          <w:sz w:val="24"/>
          <w:szCs w:val="24"/>
          <w:rtl/>
        </w:rPr>
        <w:t>عجام إبراهيم محمد (2018) الذكاء الاصطناعي وانعكاساته على المنظمات عالية الأداء: دراسة استطلاعية في وزارة العلوم والتكنولوجيا</w:t>
      </w:r>
      <w:r w:rsidR="00CC5D90" w:rsidRPr="003126C4">
        <w:rPr>
          <w:rFonts w:ascii="Sakkal Majalla" w:hAnsi="Sakkal Majalla" w:cs="Sakkal Majalla"/>
          <w:sz w:val="24"/>
          <w:szCs w:val="24"/>
          <w:rtl/>
        </w:rPr>
        <w:t xml:space="preserve"> ، </w:t>
      </w:r>
      <w:r w:rsidR="009162AC" w:rsidRPr="003126C4">
        <w:rPr>
          <w:rFonts w:ascii="Sakkal Majalla" w:hAnsi="Sakkal Majalla" w:cs="Sakkal Majalla"/>
          <w:sz w:val="24"/>
          <w:szCs w:val="24"/>
          <w:rtl/>
        </w:rPr>
        <w:t>مجلة الإدارة والاقتصاد، 41(115)، ص 132.</w:t>
      </w:r>
    </w:p>
  </w:footnote>
  <w:footnote w:id="192">
    <w:p w14:paraId="387D53EA" w14:textId="32372A4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w:t>
      </w:r>
      <w:r w:rsidR="008F32A9" w:rsidRPr="003126C4">
        <w:rPr>
          <w:rFonts w:ascii="Sakkal Majalla" w:hAnsi="Sakkal Majalla" w:cs="Sakkal Majalla"/>
          <w:sz w:val="24"/>
          <w:szCs w:val="24"/>
          <w:rtl/>
        </w:rPr>
        <w:t>صفوت، وأبو قورة، خليل. (2014) مرجع سابق، ص 50</w:t>
      </w:r>
    </w:p>
  </w:footnote>
  <w:footnote w:id="193">
    <w:p w14:paraId="45BA4A2F" w14:textId="20616FF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w:t>
      </w:r>
      <w:r w:rsidR="00A03597" w:rsidRPr="003126C4">
        <w:rPr>
          <w:rFonts w:ascii="Sakkal Majalla" w:hAnsi="Sakkal Majalla" w:cs="Sakkal Majalla"/>
          <w:sz w:val="24"/>
          <w:szCs w:val="24"/>
          <w:rtl/>
        </w:rPr>
        <w:t>خالد محمد. (2023) مرجع سابق ، ص192</w:t>
      </w:r>
    </w:p>
  </w:footnote>
  <w:footnote w:id="194">
    <w:p w14:paraId="320E7648" w14:textId="52C517D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w:t>
      </w:r>
      <w:r w:rsidR="000305B2" w:rsidRPr="003126C4">
        <w:rPr>
          <w:rFonts w:ascii="Sakkal Majalla" w:hAnsi="Sakkal Majalla" w:cs="Sakkal Majalla"/>
          <w:sz w:val="24"/>
          <w:szCs w:val="24"/>
          <w:rtl/>
        </w:rPr>
        <w:t>منصور، يوسف (2020) مرجع سابق ،  ص80</w:t>
      </w:r>
    </w:p>
  </w:footnote>
  <w:footnote w:id="195">
    <w:p w14:paraId="2B06E928" w14:textId="24DDE68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w:t>
      </w:r>
      <w:r w:rsidR="00B52D70" w:rsidRPr="003126C4">
        <w:rPr>
          <w:rFonts w:ascii="Sakkal Majalla" w:hAnsi="Sakkal Majalla" w:cs="Sakkal Majalla"/>
          <w:sz w:val="24"/>
          <w:szCs w:val="24"/>
          <w:rtl/>
        </w:rPr>
        <w:t>مصطفى أبو مندور موسى (2022) مرجع سابق  ، ص 386</w:t>
      </w:r>
    </w:p>
  </w:footnote>
  <w:footnote w:id="196">
    <w:p w14:paraId="3F5C7D21" w14:textId="1C54D5FB"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197">
    <w:p w14:paraId="11281868" w14:textId="319F6FA1"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ص7</w:t>
      </w:r>
    </w:p>
  </w:footnote>
  <w:footnote w:id="198">
    <w:p w14:paraId="04577808" w14:textId="552B965E"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w:t>
      </w:r>
      <w:r w:rsidR="002F1F52" w:rsidRPr="003126C4">
        <w:rPr>
          <w:rFonts w:ascii="Sakkal Majalla" w:hAnsi="Sakkal Majalla" w:cs="Sakkal Majalla"/>
          <w:sz w:val="24"/>
          <w:szCs w:val="24"/>
          <w:rtl/>
        </w:rPr>
        <w:t>عجام إبراهيم محمد (2018) مرجع سابق ،  ص 135</w:t>
      </w:r>
    </w:p>
  </w:footnote>
  <w:footnote w:id="199">
    <w:p w14:paraId="4FE49706" w14:textId="5F356A88" w:rsidR="00A03597" w:rsidRPr="003126C4" w:rsidRDefault="00A03597" w:rsidP="00DD40E9">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w:t>
      </w:r>
      <w:r w:rsidR="00DD40E9" w:rsidRPr="003126C4">
        <w:rPr>
          <w:rFonts w:ascii="Sakkal Majalla" w:hAnsi="Sakkal Majalla" w:cs="Sakkal Majalla"/>
          <w:sz w:val="24"/>
          <w:szCs w:val="24"/>
          <w:rtl/>
        </w:rPr>
        <w:t>ايهاب (2020). مرجع سابق ،  ص 31</w:t>
      </w:r>
    </w:p>
  </w:footnote>
  <w:footnote w:id="200">
    <w:p w14:paraId="40AE004A" w14:textId="410EBEBE"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w:t>
      </w:r>
      <w:r w:rsidR="00701D0E" w:rsidRPr="003126C4">
        <w:rPr>
          <w:rFonts w:ascii="Sakkal Majalla" w:hAnsi="Sakkal Majalla" w:cs="Sakkal Majalla"/>
          <w:sz w:val="24"/>
          <w:szCs w:val="24"/>
          <w:rtl/>
        </w:rPr>
        <w:t>أيمن محمد سيد مصطفى (د.ت.) حماية التصرفات القانونية عبر تطبيق الذكاء الاصطناعي. مجلة الباحث العربي،ص 209</w:t>
      </w:r>
    </w:p>
  </w:footnote>
  <w:footnote w:id="201">
    <w:p w14:paraId="784D3778" w14:textId="7893E29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w:t>
      </w:r>
      <w:r w:rsidR="00A03597" w:rsidRPr="003126C4">
        <w:rPr>
          <w:rFonts w:ascii="Sakkal Majalla" w:hAnsi="Sakkal Majalla" w:cs="Sakkal Majalla"/>
          <w:sz w:val="24"/>
          <w:szCs w:val="24"/>
          <w:rtl/>
        </w:rPr>
        <w:t>خالد محمد. (2023) مرجع سابق ، ص192</w:t>
      </w:r>
    </w:p>
  </w:footnote>
  <w:footnote w:id="202">
    <w:p w14:paraId="1413AD4E" w14:textId="454A2CF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w:t>
      </w:r>
      <w:r w:rsidR="00B52D70" w:rsidRPr="003126C4">
        <w:rPr>
          <w:rFonts w:ascii="Sakkal Majalla" w:hAnsi="Sakkal Majalla" w:cs="Sakkal Majalla"/>
          <w:sz w:val="24"/>
          <w:szCs w:val="24"/>
          <w:rtl/>
        </w:rPr>
        <w:t>مصطفى أبو مندور موسى (2022) مرجع سابق  ، ص 390</w:t>
      </w:r>
    </w:p>
  </w:footnote>
  <w:footnote w:id="203">
    <w:p w14:paraId="217EA071" w14:textId="5800FBDF"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r w:rsidR="00A03597" w:rsidRPr="003126C4">
        <w:rPr>
          <w:rFonts w:ascii="Sakkal Majalla" w:hAnsi="Sakkal Majalla" w:cs="Sakkal Majalla"/>
          <w:sz w:val="24"/>
          <w:szCs w:val="24"/>
          <w:rtl/>
        </w:rPr>
        <w:t>.</w:t>
      </w:r>
    </w:p>
  </w:footnote>
  <w:footnote w:id="204">
    <w:p w14:paraId="2912D897" w14:textId="5FE2F350"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w:t>
      </w:r>
      <w:r w:rsidR="00B241D5" w:rsidRPr="003126C4">
        <w:rPr>
          <w:rFonts w:ascii="Sakkal Majalla" w:hAnsi="Sakkal Majalla" w:cs="Sakkal Majalla"/>
          <w:sz w:val="24"/>
          <w:szCs w:val="24"/>
          <w:rtl/>
        </w:rPr>
        <w:t>سعد خلفان (2017) مرجع سابق ، ص7</w:t>
      </w:r>
    </w:p>
  </w:footnote>
  <w:footnote w:id="205">
    <w:p w14:paraId="7BD8372D" w14:textId="2B6C527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w:t>
      </w:r>
      <w:r w:rsidR="00701D0E" w:rsidRPr="003126C4">
        <w:rPr>
          <w:rFonts w:ascii="Sakkal Majalla" w:hAnsi="Sakkal Majalla" w:cs="Sakkal Majalla"/>
          <w:sz w:val="24"/>
          <w:szCs w:val="24"/>
          <w:rtl/>
        </w:rPr>
        <w:t>أيمن محمد سيد مصطفى (د.ت.)  مرجع سابق ،ص 212</w:t>
      </w:r>
    </w:p>
  </w:footnote>
  <w:footnote w:id="206">
    <w:p w14:paraId="46764FC8" w14:textId="721A4796"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w:t>
      </w:r>
      <w:r w:rsidR="002F1F52" w:rsidRPr="003126C4">
        <w:rPr>
          <w:rFonts w:ascii="Sakkal Majalla" w:hAnsi="Sakkal Majalla" w:cs="Sakkal Majalla"/>
          <w:sz w:val="24"/>
          <w:szCs w:val="24"/>
          <w:rtl/>
        </w:rPr>
        <w:t>عجام إبراهيم محمد (2018) مرجع سابق ،  ص 136</w:t>
      </w:r>
    </w:p>
  </w:footnote>
  <w:footnote w:id="207">
    <w:p w14:paraId="60B1016C" w14:textId="5DD9681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w:t>
      </w:r>
      <w:r w:rsidR="008F32A9" w:rsidRPr="003126C4">
        <w:rPr>
          <w:rFonts w:ascii="Sakkal Majalla" w:hAnsi="Sakkal Majalla" w:cs="Sakkal Majalla"/>
          <w:sz w:val="24"/>
          <w:szCs w:val="24"/>
          <w:rtl/>
        </w:rPr>
        <w:t xml:space="preserve">صفوت، وأبو قورة، خليل. (2014)  </w:t>
      </w:r>
      <w:r w:rsidR="009162AC" w:rsidRPr="003126C4">
        <w:rPr>
          <w:rFonts w:ascii="Sakkal Majalla" w:hAnsi="Sakkal Majalla" w:cs="Sakkal Majalla"/>
          <w:sz w:val="24"/>
          <w:szCs w:val="24"/>
          <w:rtl/>
        </w:rPr>
        <w:t>مرجع سابق</w:t>
      </w:r>
      <w:r w:rsidR="008F32A9" w:rsidRPr="003126C4">
        <w:rPr>
          <w:rFonts w:ascii="Sakkal Majalla" w:hAnsi="Sakkal Majalla" w:cs="Sakkal Majalla"/>
          <w:sz w:val="24"/>
          <w:szCs w:val="24"/>
          <w:rtl/>
        </w:rPr>
        <w:t xml:space="preserve"> ، ص 51</w:t>
      </w:r>
    </w:p>
  </w:footnote>
  <w:footnote w:id="208">
    <w:p w14:paraId="6F39C05D" w14:textId="50C68DFA"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w:t>
      </w:r>
      <w:r w:rsidR="000305B2" w:rsidRPr="003126C4">
        <w:rPr>
          <w:rFonts w:ascii="Sakkal Majalla" w:hAnsi="Sakkal Majalla" w:cs="Sakkal Majalla"/>
          <w:sz w:val="24"/>
          <w:szCs w:val="24"/>
          <w:rtl/>
        </w:rPr>
        <w:t>منصور، يوسف (2020) مرجع سابق ،  ص80</w:t>
      </w:r>
    </w:p>
  </w:footnote>
  <w:footnote w:id="209">
    <w:p w14:paraId="4ECB14B0" w14:textId="5A5AC89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w:t>
      </w:r>
      <w:r w:rsidR="00D010D8" w:rsidRPr="003126C4">
        <w:rPr>
          <w:rFonts w:ascii="Sakkal Majalla" w:hAnsi="Sakkal Majalla" w:cs="Sakkal Majalla"/>
          <w:sz w:val="24"/>
          <w:szCs w:val="24"/>
          <w:rtl/>
        </w:rPr>
        <w:t>سامية شهي، وآخرون (2018) الذكاء الاصطناعي بين الواقع والمأمول: دراسة تقنية وميدانية ، ص16</w:t>
      </w:r>
    </w:p>
  </w:footnote>
  <w:footnote w:id="210">
    <w:p w14:paraId="0ABB42BC" w14:textId="1CC88F68" w:rsidR="00F768CE" w:rsidRPr="003126C4" w:rsidRDefault="00F768CE" w:rsidP="00A03597">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211">
    <w:p w14:paraId="659C73CF" w14:textId="05646FBA"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 نظم المعلومات والذكاء الاصطناعي (ط1). عمّان، الأردن: دار المناهج للنشر والتوزيع ، ص 16</w:t>
      </w:r>
    </w:p>
  </w:footnote>
  <w:footnote w:id="212">
    <w:p w14:paraId="77A43CE4" w14:textId="5C00A722"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w:t>
      </w:r>
      <w:r w:rsidR="00701D0E" w:rsidRPr="003126C4">
        <w:rPr>
          <w:rFonts w:ascii="Sakkal Majalla" w:hAnsi="Sakkal Majalla" w:cs="Sakkal Majalla"/>
          <w:sz w:val="24"/>
          <w:szCs w:val="24"/>
          <w:rtl/>
        </w:rPr>
        <w:t>أيمن محمد سيد مصطفى (د.ت.)  مرجع سابق ،ص 214</w:t>
      </w:r>
    </w:p>
  </w:footnote>
  <w:footnote w:id="213">
    <w:p w14:paraId="728164AF" w14:textId="274FE7EF"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w:t>
      </w:r>
      <w:r w:rsidR="00B241D5" w:rsidRPr="003126C4">
        <w:rPr>
          <w:rFonts w:ascii="Sakkal Majalla" w:hAnsi="Sakkal Majalla" w:cs="Sakkal Majalla"/>
          <w:sz w:val="24"/>
          <w:szCs w:val="24"/>
          <w:rtl/>
        </w:rPr>
        <w:t>سعد خلفان (2017) مرجع سابق ، ص10</w:t>
      </w:r>
    </w:p>
  </w:footnote>
  <w:footnote w:id="214">
    <w:p w14:paraId="32FBAAF6" w14:textId="1E2B6345" w:rsidR="00F768CE" w:rsidRPr="003126C4" w:rsidRDefault="00F768CE" w:rsidP="00E00926">
      <w:pPr>
        <w:pStyle w:val="FootnoteText"/>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596</w:t>
      </w:r>
    </w:p>
  </w:footnote>
  <w:footnote w:id="215">
    <w:p w14:paraId="47DAB9BF" w14:textId="6D03EA5B"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138</w:t>
      </w:r>
    </w:p>
  </w:footnote>
  <w:footnote w:id="216">
    <w:p w14:paraId="2C52FACF" w14:textId="2FAD57A9"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88710E" w:rsidRPr="003126C4">
        <w:rPr>
          <w:rFonts w:ascii="Sakkal Majalla" w:hAnsi="Sakkal Majalla" w:cs="Sakkal Majalla"/>
          <w:sz w:val="24"/>
          <w:szCs w:val="24"/>
          <w:rtl/>
        </w:rPr>
        <w:t xml:space="preserve">غانم، </w:t>
      </w:r>
      <w:r w:rsidR="0088710E" w:rsidRPr="003126C4">
        <w:rPr>
          <w:rFonts w:ascii="Sakkal Majalla" w:hAnsi="Sakkal Majalla" w:cs="Sakkal Majalla"/>
          <w:sz w:val="24"/>
          <w:szCs w:val="24"/>
          <w:rtl/>
        </w:rPr>
        <w:t>وائل. (2022) الحوكمة الخوارزمية: التنظيم القانوني للذكاء الاصطناعي في عصر البيانات الضخمة. الإسكندرية، مصر: دار الفكر الجامعي ، ص 272 .</w:t>
      </w:r>
    </w:p>
  </w:footnote>
  <w:footnote w:id="217">
    <w:p w14:paraId="3C2CA93D" w14:textId="23D7EEA3"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w:t>
      </w:r>
      <w:r w:rsidR="000305B2" w:rsidRPr="003126C4">
        <w:rPr>
          <w:rFonts w:ascii="Sakkal Majalla" w:hAnsi="Sakkal Majalla" w:cs="Sakkal Majalla"/>
          <w:sz w:val="24"/>
          <w:szCs w:val="24"/>
          <w:rtl/>
        </w:rPr>
        <w:t>منصور، يوسف (2020) مرجع سابق ،  ص82</w:t>
      </w:r>
    </w:p>
  </w:footnote>
  <w:footnote w:id="218">
    <w:p w14:paraId="33B5B44C" w14:textId="060DD6FC"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 xml:space="preserve">عبد </w:t>
      </w:r>
      <w:r w:rsidR="003E25E7" w:rsidRPr="003126C4">
        <w:rPr>
          <w:rFonts w:ascii="Sakkal Majalla" w:hAnsi="Sakkal Majalla" w:cs="Sakkal Majalla"/>
          <w:sz w:val="24"/>
          <w:szCs w:val="24"/>
          <w:rtl/>
        </w:rPr>
        <w:t>الرازق، علاء. (1999).مرجع سابق ، ص 18</w:t>
      </w:r>
    </w:p>
  </w:footnote>
  <w:footnote w:id="219">
    <w:p w14:paraId="6311FEDD" w14:textId="2D4502C7"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w:t>
      </w:r>
      <w:r w:rsidR="00D010D8" w:rsidRPr="003126C4">
        <w:rPr>
          <w:rFonts w:ascii="Sakkal Majalla" w:hAnsi="Sakkal Majalla" w:cs="Sakkal Majalla"/>
          <w:sz w:val="24"/>
          <w:szCs w:val="24"/>
          <w:rtl/>
        </w:rPr>
        <w:t>سامية شهي، وآخرون (2018) مرجع سابق،  ص20</w:t>
      </w:r>
    </w:p>
  </w:footnote>
  <w:footnote w:id="220">
    <w:p w14:paraId="2BAF51DC" w14:textId="3AAAE714" w:rsidR="00F768CE" w:rsidRPr="003126C4" w:rsidRDefault="00F768CE"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w:t>
      </w:r>
      <w:r w:rsidR="00701D0E" w:rsidRPr="003126C4">
        <w:rPr>
          <w:rFonts w:ascii="Sakkal Majalla" w:hAnsi="Sakkal Majalla" w:cs="Sakkal Majalla"/>
          <w:sz w:val="24"/>
          <w:szCs w:val="24"/>
          <w:rtl/>
        </w:rPr>
        <w:t>أيمن محمد سيد مصطفى (د.ت.)  مرجع سابق ،ص 220</w:t>
      </w:r>
    </w:p>
  </w:footnote>
  <w:footnote w:id="221">
    <w:p w14:paraId="0B283108" w14:textId="6BF1CD92"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 xml:space="preserve">الزبني، </w:t>
      </w:r>
      <w:r w:rsidR="00E66540" w:rsidRPr="003126C4">
        <w:rPr>
          <w:rFonts w:ascii="Sakkal Majalla" w:hAnsi="Sakkal Majalla" w:cs="Sakkal Majalla"/>
          <w:sz w:val="24"/>
          <w:szCs w:val="24"/>
          <w:rtl/>
        </w:rPr>
        <w:t>علي صادق (2023) نحو اتفاقية دولية بشأن المسؤولية المدنية عن أضرار الذكاء الاصطناعي. مجلة التحكيم الدولي، (35)، ص 88</w:t>
      </w:r>
    </w:p>
  </w:footnote>
  <w:footnote w:id="222">
    <w:p w14:paraId="3EB3EECF" w14:textId="237FE645"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 xml:space="preserve">جهلول، </w:t>
      </w:r>
      <w:r w:rsidR="00742B05" w:rsidRPr="003126C4">
        <w:rPr>
          <w:rFonts w:ascii="Sakkal Majalla" w:hAnsi="Sakkal Majalla" w:cs="Sakkal Majalla"/>
          <w:sz w:val="24"/>
          <w:szCs w:val="24"/>
          <w:rtl/>
        </w:rPr>
        <w:t>الكرار حبيب، وعودة، حسام عيسى (2019) المسؤولية عن الأضرار التي يسببها الروبوت. مجلة كلية الإمام الكاظم، (6)، ص 74</w:t>
      </w:r>
    </w:p>
  </w:footnote>
  <w:footnote w:id="223">
    <w:p w14:paraId="41D58435" w14:textId="2819DA50" w:rsidR="00A75335" w:rsidRPr="003126C4" w:rsidRDefault="00A75335"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 xml:space="preserve">عبد </w:t>
      </w:r>
      <w:r w:rsidR="003E25E7" w:rsidRPr="003126C4">
        <w:rPr>
          <w:rFonts w:ascii="Sakkal Majalla" w:hAnsi="Sakkal Majalla" w:cs="Sakkal Majalla"/>
          <w:sz w:val="24"/>
          <w:szCs w:val="24"/>
          <w:rtl/>
        </w:rPr>
        <w:t>الرازق، علاء. (1999).مرجع سابق ، ص 21</w:t>
      </w:r>
    </w:p>
  </w:footnote>
  <w:footnote w:id="224">
    <w:p w14:paraId="63768370" w14:textId="75ACA284"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w:t>
      </w:r>
      <w:r w:rsidR="00D010D8" w:rsidRPr="003126C4">
        <w:rPr>
          <w:rFonts w:ascii="Sakkal Majalla" w:hAnsi="Sakkal Majalla" w:cs="Sakkal Majalla"/>
          <w:sz w:val="24"/>
          <w:szCs w:val="24"/>
          <w:rtl/>
        </w:rPr>
        <w:t>سامية شهي، وآخرون (2018) مرجع سابق،  ص21</w:t>
      </w:r>
    </w:p>
  </w:footnote>
  <w:footnote w:id="225">
    <w:p w14:paraId="35D27C9F" w14:textId="64BACB0B"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 xml:space="preserve">الزبني، </w:t>
      </w:r>
      <w:r w:rsidR="00E66540" w:rsidRPr="003126C4">
        <w:rPr>
          <w:rFonts w:ascii="Sakkal Majalla" w:hAnsi="Sakkal Majalla" w:cs="Sakkal Majalla"/>
          <w:sz w:val="24"/>
          <w:szCs w:val="24"/>
          <w:rtl/>
        </w:rPr>
        <w:t>علي صادق (2023) مرجع سابق ، ص 90.</w:t>
      </w:r>
    </w:p>
  </w:footnote>
  <w:footnote w:id="226">
    <w:p w14:paraId="2C6AB7B8" w14:textId="792009C4" w:rsidR="00A06191" w:rsidRPr="003126C4" w:rsidRDefault="00A06191" w:rsidP="00E00926">
      <w:pPr>
        <w:pStyle w:val="FootnoteText"/>
        <w:rPr>
          <w:rFonts w:ascii="Sakkal Majalla" w:hAnsi="Sakkal Majalla" w:cs="Sakkal Majalla"/>
          <w:sz w:val="24"/>
          <w:szCs w:val="24"/>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600</w:t>
      </w:r>
    </w:p>
  </w:footnote>
  <w:footnote w:id="227">
    <w:p w14:paraId="04AE5DA7" w14:textId="506CFB14"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F308C2" w:rsidRPr="003126C4">
        <w:rPr>
          <w:rFonts w:ascii="Sakkal Majalla" w:hAnsi="Sakkal Majalla" w:cs="Sakkal Majalla"/>
          <w:sz w:val="24"/>
          <w:szCs w:val="24"/>
          <w:rtl/>
        </w:rPr>
        <w:t>ال</w:t>
      </w:r>
      <w:r w:rsidR="00F308C2" w:rsidRPr="003126C4">
        <w:rPr>
          <w:rFonts w:ascii="Sakkal Majalla" w:hAnsi="Sakkal Majalla" w:cs="Sakkal Majalla"/>
          <w:sz w:val="24"/>
          <w:szCs w:val="24"/>
          <w:rtl/>
          <w:lang w:bidi="ar-EG"/>
        </w:rPr>
        <w:t>ع</w:t>
      </w:r>
      <w:r w:rsidR="00F308C2" w:rsidRPr="003126C4">
        <w:rPr>
          <w:rFonts w:ascii="Sakkal Majalla" w:hAnsi="Sakkal Majalla" w:cs="Sakkal Majalla"/>
          <w:sz w:val="24"/>
          <w:szCs w:val="24"/>
          <w:rtl/>
        </w:rPr>
        <w:t>زاوي، نجم الدين (2022) التنظيم القانوني للذكاء الاصطناعي في الاتحاد الأوروبي وأثره على التشريعات العربية. مجلة القانون المقارن، (78)، ص 301</w:t>
      </w:r>
    </w:p>
  </w:footnote>
  <w:footnote w:id="228">
    <w:p w14:paraId="2213FB74" w14:textId="33FF8ACD"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 xml:space="preserve">جهلول، </w:t>
      </w:r>
      <w:r w:rsidR="00742B05" w:rsidRPr="003126C4">
        <w:rPr>
          <w:rFonts w:ascii="Sakkal Majalla" w:hAnsi="Sakkal Majalla" w:cs="Sakkal Majalla"/>
          <w:sz w:val="24"/>
          <w:szCs w:val="24"/>
          <w:rtl/>
        </w:rPr>
        <w:t>الكرار حبيب، وعودة، حسام عيسى (2019) مرجع سابق ، ص 75</w:t>
      </w:r>
    </w:p>
  </w:footnote>
  <w:footnote w:id="229">
    <w:p w14:paraId="01669C2A" w14:textId="6ABF2C01"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w:t>
      </w:r>
      <w:r w:rsidR="00D010D8" w:rsidRPr="003126C4">
        <w:rPr>
          <w:rFonts w:ascii="Sakkal Majalla" w:hAnsi="Sakkal Majalla" w:cs="Sakkal Majalla"/>
          <w:sz w:val="24"/>
          <w:szCs w:val="24"/>
          <w:rtl/>
        </w:rPr>
        <w:t xml:space="preserve">سامية شهي، وآخرون (2018) </w:t>
      </w:r>
      <w:r w:rsidR="00D010D8" w:rsidRPr="003126C4">
        <w:rPr>
          <w:rFonts w:ascii="Sakkal Majalla" w:hAnsi="Sakkal Majalla" w:cs="Sakkal Majalla"/>
          <w:b/>
          <w:bCs/>
          <w:sz w:val="24"/>
          <w:szCs w:val="24"/>
          <w:u w:val="single"/>
          <w:rtl/>
        </w:rPr>
        <w:t>مرجع سابق</w:t>
      </w:r>
      <w:r w:rsidR="00D010D8" w:rsidRPr="003126C4">
        <w:rPr>
          <w:rFonts w:ascii="Sakkal Majalla" w:hAnsi="Sakkal Majalla" w:cs="Sakkal Majalla"/>
          <w:sz w:val="24"/>
          <w:szCs w:val="24"/>
          <w:rtl/>
        </w:rPr>
        <w:t>،  ص22</w:t>
      </w:r>
    </w:p>
  </w:footnote>
  <w:footnote w:id="230">
    <w:p w14:paraId="3FC4D293" w14:textId="3243FE8F" w:rsidR="00A06191" w:rsidRPr="003126C4" w:rsidRDefault="00A06191" w:rsidP="00355AAB">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937FB" w:rsidRPr="003126C4">
        <w:rPr>
          <w:rFonts w:ascii="Sakkal Majalla" w:hAnsi="Sakkal Majalla" w:cs="Sakkal Majalla"/>
          <w:sz w:val="24"/>
          <w:szCs w:val="24"/>
          <w:rtl/>
        </w:rPr>
        <w:t xml:space="preserve">جهلول، </w:t>
      </w:r>
      <w:r w:rsidR="009937FB" w:rsidRPr="003126C4">
        <w:rPr>
          <w:rFonts w:ascii="Sakkal Majalla" w:hAnsi="Sakkal Majalla" w:cs="Sakkal Majalla"/>
          <w:sz w:val="24"/>
          <w:szCs w:val="24"/>
          <w:rtl/>
        </w:rPr>
        <w:t>الكرار حبيب، وعودة، حسام عيسى (2019) مرجع سابق ، ص 78</w:t>
      </w:r>
    </w:p>
  </w:footnote>
  <w:footnote w:id="231">
    <w:p w14:paraId="261D5162" w14:textId="2D3208A1"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المسؤولية المدنية عن أعمال الذكاء الاصطناعي. مجلة الحقوق الكويتية، (2)،  ص 93.</w:t>
      </w:r>
    </w:p>
  </w:footnote>
  <w:footnote w:id="232">
    <w:p w14:paraId="6DF8FC36" w14:textId="7A4EEB4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 xml:space="preserve">خاطر </w:t>
      </w:r>
      <w:r w:rsidR="002F7564" w:rsidRPr="003126C4">
        <w:rPr>
          <w:rFonts w:ascii="Sakkal Majalla" w:hAnsi="Sakkal Majalla" w:cs="Sakkal Majalla"/>
          <w:sz w:val="24"/>
          <w:szCs w:val="24"/>
          <w:rtl/>
        </w:rPr>
        <w:t>، صبري حمد (2001) تطور فكرة المسؤولية التقصيرية ، بحث منشور في مجلة دراسات القانونية ، عدد1 ، بيت الحكمة ، ص67.</w:t>
      </w:r>
    </w:p>
  </w:footnote>
  <w:footnote w:id="233">
    <w:p w14:paraId="05B6DECA" w14:textId="388BBE9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7B6E1A" w:rsidRPr="003126C4">
        <w:rPr>
          <w:rFonts w:ascii="Sakkal Majalla" w:hAnsi="Sakkal Majalla" w:cs="Sakkal Majalla"/>
          <w:sz w:val="24"/>
          <w:szCs w:val="24"/>
          <w:rtl/>
        </w:rPr>
        <w:t xml:space="preserve">الحكيم، </w:t>
      </w:r>
      <w:r w:rsidR="007B6E1A" w:rsidRPr="003126C4">
        <w:rPr>
          <w:rFonts w:ascii="Sakkal Majalla" w:hAnsi="Sakkal Majalla" w:cs="Sakkal Majalla"/>
          <w:sz w:val="24"/>
          <w:szCs w:val="24"/>
          <w:rtl/>
        </w:rPr>
        <w:t>عبد المجيد، والبكري، عبد الباقي، والبشير، محمد طه (2012) الوجيز في نظرية الالتزام في القانون المدني العراقي: مصادر الالتزام (ط1). بغداد، العراق: مكتبة السنهوري ، ص 215.</w:t>
      </w:r>
    </w:p>
  </w:footnote>
  <w:footnote w:id="234">
    <w:p w14:paraId="3B064BED" w14:textId="2D6022DA"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 xml:space="preserve">حجازي، </w:t>
      </w:r>
      <w:r w:rsidR="00172EDE" w:rsidRPr="003126C4">
        <w:rPr>
          <w:rFonts w:ascii="Sakkal Majalla" w:hAnsi="Sakkal Majalla" w:cs="Sakkal Majalla"/>
          <w:sz w:val="24"/>
          <w:szCs w:val="24"/>
          <w:rtl/>
        </w:rPr>
        <w:t>دعاء علي، والزعبي، عماد عبد السلام، وعمران، منى السيد محمد. (2025). المسؤولية المدنية عن الخطأ في الفريق الطبي الجراحي: دراسة تحليلية. مجلة الشرق الأوسط للدراسات القانونية والفقهية، 1(1)، 57</w:t>
      </w:r>
    </w:p>
  </w:footnote>
  <w:footnote w:id="235">
    <w:p w14:paraId="209F3ED5" w14:textId="5D4EAC5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 xml:space="preserve">خاطر </w:t>
      </w:r>
      <w:r w:rsidR="002F7564" w:rsidRPr="003126C4">
        <w:rPr>
          <w:rFonts w:ascii="Sakkal Majalla" w:hAnsi="Sakkal Majalla" w:cs="Sakkal Majalla"/>
          <w:sz w:val="24"/>
          <w:szCs w:val="24"/>
          <w:rtl/>
        </w:rPr>
        <w:t>، صبري حمد (2001) مرجع سابق، ص71</w:t>
      </w:r>
    </w:p>
  </w:footnote>
  <w:footnote w:id="236">
    <w:p w14:paraId="5700E1D9" w14:textId="702425F0"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مرجع سابق ، ص  94.</w:t>
      </w:r>
    </w:p>
  </w:footnote>
  <w:footnote w:id="237">
    <w:p w14:paraId="4B308A4C" w14:textId="7EE7CFC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E474A" w:rsidRPr="003126C4">
        <w:rPr>
          <w:rFonts w:ascii="Sakkal Majalla" w:hAnsi="Sakkal Majalla" w:cs="Sakkal Majalla"/>
          <w:sz w:val="24"/>
          <w:szCs w:val="24"/>
          <w:rtl/>
        </w:rPr>
        <w:t xml:space="preserve">عبيد، </w:t>
      </w:r>
      <w:r w:rsidR="009E474A" w:rsidRPr="003126C4">
        <w:rPr>
          <w:rFonts w:ascii="Sakkal Majalla" w:hAnsi="Sakkal Majalla" w:cs="Sakkal Majalla"/>
          <w:sz w:val="24"/>
          <w:szCs w:val="24"/>
          <w:rtl/>
        </w:rPr>
        <w:t>أنور محمد (2018).عقد الإنماء العقاري: دراسة مقارنة (رسالة ماجستير) كلية القانون، جامعة القادسية ، ص 96.</w:t>
      </w:r>
    </w:p>
  </w:footnote>
  <w:footnote w:id="238">
    <w:p w14:paraId="4459A579" w14:textId="4B2D7D2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 xml:space="preserve">حجازي، </w:t>
      </w:r>
      <w:r w:rsidR="00172EDE" w:rsidRPr="003126C4">
        <w:rPr>
          <w:rFonts w:ascii="Sakkal Majalla" w:hAnsi="Sakkal Majalla" w:cs="Sakkal Majalla"/>
          <w:sz w:val="24"/>
          <w:szCs w:val="24"/>
          <w:rtl/>
        </w:rPr>
        <w:t>دعاء علي، والزعبي، عماد عبد السلام، وعمران، منى السيد محمد. (2025). مرجع سابق، 59</w:t>
      </w:r>
    </w:p>
  </w:footnote>
  <w:footnote w:id="239">
    <w:p w14:paraId="55164E39" w14:textId="4EB8948C"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 xml:space="preserve">الشرفي، </w:t>
      </w:r>
      <w:r w:rsidR="003D3EC2" w:rsidRPr="003126C4">
        <w:rPr>
          <w:rFonts w:ascii="Sakkal Majalla" w:hAnsi="Sakkal Majalla" w:cs="Sakkal Majalla"/>
          <w:sz w:val="24"/>
          <w:szCs w:val="24"/>
          <w:rtl/>
        </w:rPr>
        <w:t>عدنان هاشم جواد (2014) المسؤولية المدنية الناشئة عن الإخلال بعقد الامتياز التجاري: دراسة مقارنة (أطروحة دكتوراه غير منشورة). كلية القانون، جامعة كربلاء ،  ص54.</w:t>
      </w:r>
    </w:p>
  </w:footnote>
  <w:footnote w:id="240">
    <w:p w14:paraId="76178463" w14:textId="71B83232"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 xml:space="preserve">خاطر </w:t>
      </w:r>
      <w:r w:rsidR="002F7564" w:rsidRPr="003126C4">
        <w:rPr>
          <w:rFonts w:ascii="Sakkal Majalla" w:hAnsi="Sakkal Majalla" w:cs="Sakkal Majalla"/>
          <w:sz w:val="24"/>
          <w:szCs w:val="24"/>
          <w:rtl/>
        </w:rPr>
        <w:t>، صبري حمد (2001) مرجع سابق، ص71</w:t>
      </w:r>
    </w:p>
  </w:footnote>
  <w:footnote w:id="241">
    <w:p w14:paraId="1D127B1E" w14:textId="37054C4D"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9132DA" w:rsidRPr="003126C4">
        <w:rPr>
          <w:rFonts w:ascii="Sakkal Majalla" w:hAnsi="Sakkal Majalla" w:cs="Sakkal Majalla"/>
          <w:sz w:val="24"/>
          <w:szCs w:val="24"/>
          <w:rtl/>
        </w:rPr>
        <w:t xml:space="preserve">الذنون، </w:t>
      </w:r>
      <w:r w:rsidR="009132DA" w:rsidRPr="003126C4">
        <w:rPr>
          <w:rFonts w:ascii="Sakkal Majalla" w:hAnsi="Sakkal Majalla" w:cs="Sakkal Majalla"/>
          <w:sz w:val="24"/>
          <w:szCs w:val="24"/>
          <w:rtl/>
        </w:rPr>
        <w:t>حسن علي (2012) النظرية العامة للالتزامات: مصادر الالتزام. بغداد، العراق: مكتبة السنهوري ، ص 178.</w:t>
      </w:r>
    </w:p>
  </w:footnote>
  <w:footnote w:id="242">
    <w:p w14:paraId="6EAF6B65" w14:textId="28995065"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31C48" w:rsidRPr="003126C4">
        <w:rPr>
          <w:rFonts w:ascii="Sakkal Majalla" w:hAnsi="Sakkal Majalla" w:cs="Sakkal Majalla"/>
          <w:sz w:val="24"/>
          <w:szCs w:val="24"/>
          <w:rtl/>
        </w:rPr>
        <w:t xml:space="preserve">حجازي، </w:t>
      </w:r>
      <w:r w:rsidR="00C31C48" w:rsidRPr="003126C4">
        <w:rPr>
          <w:rFonts w:ascii="Sakkal Majalla" w:hAnsi="Sakkal Majalla" w:cs="Sakkal Majalla"/>
          <w:sz w:val="24"/>
          <w:szCs w:val="24"/>
          <w:rtl/>
        </w:rPr>
        <w:t>دعاء علي، والزعبي، عماد عبد السلام، وعمران، منى السيد محمد. (2025). مرجع سابق، 61</w:t>
      </w:r>
    </w:p>
  </w:footnote>
  <w:footnote w:id="243">
    <w:p w14:paraId="69446CC9" w14:textId="11C20F76"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مرجع سابق ، ص  95</w:t>
      </w:r>
    </w:p>
  </w:footnote>
  <w:footnote w:id="244">
    <w:p w14:paraId="31764BD8" w14:textId="1DBC32DF"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 xml:space="preserve">الحكيم، </w:t>
      </w:r>
      <w:r w:rsidR="00C23080" w:rsidRPr="003126C4">
        <w:rPr>
          <w:rFonts w:ascii="Sakkal Majalla" w:hAnsi="Sakkal Majalla" w:cs="Sakkal Majalla"/>
          <w:sz w:val="24"/>
          <w:szCs w:val="24"/>
          <w:rtl/>
        </w:rPr>
        <w:t>عبد المجيد، والبكري، عبد الباقي، والبشير، محمد طه (2012) مرجع سابق ، ص 218</w:t>
      </w:r>
    </w:p>
  </w:footnote>
  <w:footnote w:id="245">
    <w:p w14:paraId="41975AB5" w14:textId="2A696ED2"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 xml:space="preserve">الشرفي، </w:t>
      </w:r>
      <w:r w:rsidR="003D3EC2" w:rsidRPr="003126C4">
        <w:rPr>
          <w:rFonts w:ascii="Sakkal Majalla" w:hAnsi="Sakkal Majalla" w:cs="Sakkal Majalla"/>
          <w:sz w:val="24"/>
          <w:szCs w:val="24"/>
          <w:rtl/>
        </w:rPr>
        <w:t>عدنان هاشم جواد (2014) مرجع سابق،  ص56</w:t>
      </w:r>
    </w:p>
  </w:footnote>
  <w:footnote w:id="246">
    <w:p w14:paraId="7DA5AC2F" w14:textId="1769B1B6"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577016" w:rsidRPr="003126C4">
        <w:rPr>
          <w:rFonts w:ascii="Sakkal Majalla" w:hAnsi="Sakkal Majalla" w:cs="Sakkal Majalla"/>
          <w:sz w:val="24"/>
          <w:szCs w:val="24"/>
          <w:rtl/>
        </w:rPr>
        <w:t xml:space="preserve">عبيد، </w:t>
      </w:r>
      <w:r w:rsidR="00577016" w:rsidRPr="003126C4">
        <w:rPr>
          <w:rFonts w:ascii="Sakkal Majalla" w:hAnsi="Sakkal Majalla" w:cs="Sakkal Majalla"/>
          <w:sz w:val="24"/>
          <w:szCs w:val="24"/>
          <w:rtl/>
        </w:rPr>
        <w:t>أنور محمد (2018) مرجع سابق ، ص 96</w:t>
      </w:r>
    </w:p>
  </w:footnote>
  <w:footnote w:id="247">
    <w:p w14:paraId="5208FFA3" w14:textId="0C6A4890"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 xml:space="preserve">الحكيم، </w:t>
      </w:r>
      <w:r w:rsidR="00C23080" w:rsidRPr="003126C4">
        <w:rPr>
          <w:rFonts w:ascii="Sakkal Majalla" w:hAnsi="Sakkal Majalla" w:cs="Sakkal Majalla"/>
          <w:sz w:val="24"/>
          <w:szCs w:val="24"/>
          <w:rtl/>
        </w:rPr>
        <w:t>عبد المجيد، والبكري، عبد الباقي، والبشير، محمد طه (2012) مرجع سابق ، ص 221</w:t>
      </w:r>
    </w:p>
  </w:footnote>
  <w:footnote w:id="248">
    <w:p w14:paraId="05B1C389" w14:textId="4A38EFEB"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D271CF" w:rsidRPr="003126C4">
        <w:rPr>
          <w:rFonts w:ascii="Sakkal Majalla" w:hAnsi="Sakkal Majalla" w:cs="Sakkal Majalla"/>
          <w:sz w:val="24"/>
          <w:szCs w:val="24"/>
          <w:rtl/>
        </w:rPr>
        <w:t xml:space="preserve">الذنون، </w:t>
      </w:r>
      <w:r w:rsidR="00D271CF" w:rsidRPr="003126C4">
        <w:rPr>
          <w:rFonts w:ascii="Sakkal Majalla" w:hAnsi="Sakkal Majalla" w:cs="Sakkal Majalla"/>
          <w:sz w:val="24"/>
          <w:szCs w:val="24"/>
          <w:rtl/>
        </w:rPr>
        <w:t>حسن علي (2012) مرجع سابق ، ص 180</w:t>
      </w:r>
    </w:p>
  </w:footnote>
  <w:footnote w:id="249">
    <w:p w14:paraId="3B9D3F7A" w14:textId="32300B71" w:rsidR="006D6B7A" w:rsidRPr="003126C4" w:rsidRDefault="006D6B7A" w:rsidP="006D6B7A">
      <w:pPr>
        <w:pStyle w:val="FootnoteText"/>
        <w:bidi/>
        <w:rPr>
          <w:rFonts w:ascii="Sakkal Majalla" w:hAnsi="Sakkal Majalla" w:cs="Sakkal Majalla"/>
          <w:sz w:val="24"/>
          <w:szCs w:val="24"/>
          <w:rtl/>
          <w:lang w:bidi="ar-EG"/>
        </w:rPr>
      </w:pPr>
      <w:r w:rsidRPr="003126C4">
        <w:rPr>
          <w:rStyle w:val="FootnoteReference"/>
          <w:rFonts w:ascii="Sakkal Majalla" w:hAnsi="Sakkal Majalla" w:cs="Sakkal Majalla"/>
          <w:sz w:val="24"/>
          <w:szCs w:val="24"/>
        </w:rPr>
        <w:footnoteRef/>
      </w:r>
      <w:r w:rsidRPr="003126C4">
        <w:rPr>
          <w:rFonts w:ascii="Sakkal Majalla" w:hAnsi="Sakkal Majalla" w:cs="Sakkal Majalla"/>
          <w:sz w:val="24"/>
          <w:szCs w:val="24"/>
        </w:rPr>
        <w:t xml:space="preserve"> </w:t>
      </w:r>
      <w:r w:rsidR="00AF6093" w:rsidRPr="003126C4">
        <w:rPr>
          <w:rFonts w:ascii="Sakkal Majalla" w:hAnsi="Sakkal Majalla" w:cs="Sakkal Majalla"/>
          <w:sz w:val="24"/>
          <w:szCs w:val="24"/>
          <w:rtl/>
        </w:rPr>
        <w:t xml:space="preserve">الشرفي، </w:t>
      </w:r>
      <w:r w:rsidR="00AF6093" w:rsidRPr="003126C4">
        <w:rPr>
          <w:rFonts w:ascii="Sakkal Majalla" w:hAnsi="Sakkal Majalla" w:cs="Sakkal Majalla"/>
          <w:sz w:val="24"/>
          <w:szCs w:val="24"/>
          <w:rtl/>
        </w:rPr>
        <w:t>عدنان هاشم جواد (2014) مرجع سابق،  ص58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BE2"/>
    <w:multiLevelType w:val="hybridMultilevel"/>
    <w:tmpl w:val="C060B7D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05CC6"/>
    <w:multiLevelType w:val="hybridMultilevel"/>
    <w:tmpl w:val="930493F4"/>
    <w:lvl w:ilvl="0" w:tplc="E8221E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2653F"/>
    <w:multiLevelType w:val="hybridMultilevel"/>
    <w:tmpl w:val="489029B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F3876"/>
    <w:multiLevelType w:val="hybridMultilevel"/>
    <w:tmpl w:val="70A86CE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64600"/>
    <w:multiLevelType w:val="hybridMultilevel"/>
    <w:tmpl w:val="D2488B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B215FE"/>
    <w:multiLevelType w:val="hybridMultilevel"/>
    <w:tmpl w:val="C916DED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C7BEA"/>
    <w:multiLevelType w:val="hybridMultilevel"/>
    <w:tmpl w:val="34645A6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B0E29"/>
    <w:multiLevelType w:val="hybridMultilevel"/>
    <w:tmpl w:val="E7DC6F6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7E2"/>
    <w:multiLevelType w:val="hybridMultilevel"/>
    <w:tmpl w:val="09E290D0"/>
    <w:lvl w:ilvl="0" w:tplc="9DB6B92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22FF7"/>
    <w:multiLevelType w:val="hybridMultilevel"/>
    <w:tmpl w:val="B20C298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37CFE"/>
    <w:multiLevelType w:val="hybridMultilevel"/>
    <w:tmpl w:val="FC0E3BD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F125E3"/>
    <w:multiLevelType w:val="hybridMultilevel"/>
    <w:tmpl w:val="CA8E459A"/>
    <w:lvl w:ilvl="0" w:tplc="4E929C1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092E21"/>
    <w:multiLevelType w:val="hybridMultilevel"/>
    <w:tmpl w:val="AEE88B8E"/>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30726"/>
    <w:multiLevelType w:val="hybridMultilevel"/>
    <w:tmpl w:val="44A612EE"/>
    <w:lvl w:ilvl="0" w:tplc="31B66A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60539"/>
    <w:multiLevelType w:val="hybridMultilevel"/>
    <w:tmpl w:val="0F266C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91103C"/>
    <w:multiLevelType w:val="hybridMultilevel"/>
    <w:tmpl w:val="F664F528"/>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600F79"/>
    <w:multiLevelType w:val="hybridMultilevel"/>
    <w:tmpl w:val="8BC8F4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4B16D2"/>
    <w:multiLevelType w:val="hybridMultilevel"/>
    <w:tmpl w:val="32183180"/>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F6B4F"/>
    <w:multiLevelType w:val="hybridMultilevel"/>
    <w:tmpl w:val="DB9EE67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593F60"/>
    <w:multiLevelType w:val="hybridMultilevel"/>
    <w:tmpl w:val="DD9E9346"/>
    <w:lvl w:ilvl="0" w:tplc="0F269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350B5"/>
    <w:multiLevelType w:val="hybridMultilevel"/>
    <w:tmpl w:val="052A9C4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22310"/>
    <w:multiLevelType w:val="hybridMultilevel"/>
    <w:tmpl w:val="C5725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49547D"/>
    <w:multiLevelType w:val="hybridMultilevel"/>
    <w:tmpl w:val="1D6C187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A70D4"/>
    <w:multiLevelType w:val="hybridMultilevel"/>
    <w:tmpl w:val="9CFAA27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C271D"/>
    <w:multiLevelType w:val="hybridMultilevel"/>
    <w:tmpl w:val="39D88C88"/>
    <w:lvl w:ilvl="0" w:tplc="36D4B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F6EE2"/>
    <w:multiLevelType w:val="hybridMultilevel"/>
    <w:tmpl w:val="3DB6BAF4"/>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249C0"/>
    <w:multiLevelType w:val="hybridMultilevel"/>
    <w:tmpl w:val="1FBE382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0B4053"/>
    <w:multiLevelType w:val="hybridMultilevel"/>
    <w:tmpl w:val="C1205C3A"/>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546EAF"/>
    <w:multiLevelType w:val="hybridMultilevel"/>
    <w:tmpl w:val="1E4A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0F5B52"/>
    <w:multiLevelType w:val="hybridMultilevel"/>
    <w:tmpl w:val="3092CEBE"/>
    <w:lvl w:ilvl="0" w:tplc="E416B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93264"/>
    <w:multiLevelType w:val="hybridMultilevel"/>
    <w:tmpl w:val="A180243C"/>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486CEF"/>
    <w:multiLevelType w:val="hybridMultilevel"/>
    <w:tmpl w:val="9A66A314"/>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A7207"/>
    <w:multiLevelType w:val="hybridMultilevel"/>
    <w:tmpl w:val="9A96E7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E6061"/>
    <w:multiLevelType w:val="hybridMultilevel"/>
    <w:tmpl w:val="71D2F5B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632B25"/>
    <w:multiLevelType w:val="hybridMultilevel"/>
    <w:tmpl w:val="AC863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45A80"/>
    <w:multiLevelType w:val="hybridMultilevel"/>
    <w:tmpl w:val="5F4C77B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AE47D9"/>
    <w:multiLevelType w:val="hybridMultilevel"/>
    <w:tmpl w:val="1A5A36A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02691F"/>
    <w:multiLevelType w:val="hybridMultilevel"/>
    <w:tmpl w:val="08027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8C0544"/>
    <w:multiLevelType w:val="hybridMultilevel"/>
    <w:tmpl w:val="50368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E31D37"/>
    <w:multiLevelType w:val="hybridMultilevel"/>
    <w:tmpl w:val="1DFA79C0"/>
    <w:lvl w:ilvl="0" w:tplc="DCB494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F501969"/>
    <w:multiLevelType w:val="hybridMultilevel"/>
    <w:tmpl w:val="C03AFC68"/>
    <w:lvl w:ilvl="0" w:tplc="877AC01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3B4157B"/>
    <w:multiLevelType w:val="hybridMultilevel"/>
    <w:tmpl w:val="69D814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1D60A1"/>
    <w:multiLevelType w:val="hybridMultilevel"/>
    <w:tmpl w:val="783069F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C36895"/>
    <w:multiLevelType w:val="hybridMultilevel"/>
    <w:tmpl w:val="CF580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090DA0"/>
    <w:multiLevelType w:val="hybridMultilevel"/>
    <w:tmpl w:val="875405A2"/>
    <w:lvl w:ilvl="0" w:tplc="40BE1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A965C7"/>
    <w:multiLevelType w:val="hybridMultilevel"/>
    <w:tmpl w:val="B880B7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95600">
    <w:abstractNumId w:val="2"/>
  </w:num>
  <w:num w:numId="2" w16cid:durableId="1879472173">
    <w:abstractNumId w:val="14"/>
  </w:num>
  <w:num w:numId="3" w16cid:durableId="720135826">
    <w:abstractNumId w:val="43"/>
  </w:num>
  <w:num w:numId="4" w16cid:durableId="379135626">
    <w:abstractNumId w:val="11"/>
  </w:num>
  <w:num w:numId="5" w16cid:durableId="835420040">
    <w:abstractNumId w:val="28"/>
  </w:num>
  <w:num w:numId="6" w16cid:durableId="948661699">
    <w:abstractNumId w:val="4"/>
  </w:num>
  <w:num w:numId="7" w16cid:durableId="1242981260">
    <w:abstractNumId w:val="24"/>
  </w:num>
  <w:num w:numId="8" w16cid:durableId="34474371">
    <w:abstractNumId w:val="9"/>
  </w:num>
  <w:num w:numId="9" w16cid:durableId="1118178627">
    <w:abstractNumId w:val="30"/>
  </w:num>
  <w:num w:numId="10" w16cid:durableId="970551376">
    <w:abstractNumId w:val="42"/>
  </w:num>
  <w:num w:numId="11" w16cid:durableId="569388035">
    <w:abstractNumId w:val="26"/>
  </w:num>
  <w:num w:numId="12" w16cid:durableId="730079715">
    <w:abstractNumId w:val="17"/>
  </w:num>
  <w:num w:numId="13" w16cid:durableId="377901671">
    <w:abstractNumId w:val="46"/>
  </w:num>
  <w:num w:numId="14" w16cid:durableId="755899812">
    <w:abstractNumId w:val="22"/>
  </w:num>
  <w:num w:numId="15" w16cid:durableId="666443244">
    <w:abstractNumId w:val="12"/>
  </w:num>
  <w:num w:numId="16" w16cid:durableId="1877155483">
    <w:abstractNumId w:val="8"/>
  </w:num>
  <w:num w:numId="17" w16cid:durableId="1192960645">
    <w:abstractNumId w:val="48"/>
  </w:num>
  <w:num w:numId="18" w16cid:durableId="574627640">
    <w:abstractNumId w:val="41"/>
  </w:num>
  <w:num w:numId="19" w16cid:durableId="1586721678">
    <w:abstractNumId w:val="37"/>
  </w:num>
  <w:num w:numId="20" w16cid:durableId="80378682">
    <w:abstractNumId w:val="47"/>
  </w:num>
  <w:num w:numId="21" w16cid:durableId="232665189">
    <w:abstractNumId w:val="31"/>
  </w:num>
  <w:num w:numId="22" w16cid:durableId="1205019695">
    <w:abstractNumId w:val="40"/>
  </w:num>
  <w:num w:numId="23" w16cid:durableId="962615372">
    <w:abstractNumId w:val="15"/>
  </w:num>
  <w:num w:numId="24" w16cid:durableId="607934919">
    <w:abstractNumId w:val="32"/>
  </w:num>
  <w:num w:numId="25" w16cid:durableId="1730418492">
    <w:abstractNumId w:val="20"/>
  </w:num>
  <w:num w:numId="26" w16cid:durableId="69890003">
    <w:abstractNumId w:val="19"/>
  </w:num>
  <w:num w:numId="27" w16cid:durableId="347027962">
    <w:abstractNumId w:val="45"/>
  </w:num>
  <w:num w:numId="28" w16cid:durableId="432286345">
    <w:abstractNumId w:val="5"/>
  </w:num>
  <w:num w:numId="29" w16cid:durableId="896164999">
    <w:abstractNumId w:val="34"/>
  </w:num>
  <w:num w:numId="30" w16cid:durableId="89589085">
    <w:abstractNumId w:val="35"/>
  </w:num>
  <w:num w:numId="31" w16cid:durableId="2066487896">
    <w:abstractNumId w:val="36"/>
  </w:num>
  <w:num w:numId="32" w16cid:durableId="659037614">
    <w:abstractNumId w:val="25"/>
  </w:num>
  <w:num w:numId="33" w16cid:durableId="464857049">
    <w:abstractNumId w:val="38"/>
  </w:num>
  <w:num w:numId="34" w16cid:durableId="1237937254">
    <w:abstractNumId w:val="21"/>
  </w:num>
  <w:num w:numId="35" w16cid:durableId="723872872">
    <w:abstractNumId w:val="13"/>
  </w:num>
  <w:num w:numId="36" w16cid:durableId="1710495849">
    <w:abstractNumId w:val="7"/>
  </w:num>
  <w:num w:numId="37" w16cid:durableId="677929739">
    <w:abstractNumId w:val="33"/>
  </w:num>
  <w:num w:numId="38" w16cid:durableId="1004937093">
    <w:abstractNumId w:val="1"/>
  </w:num>
  <w:num w:numId="39" w16cid:durableId="1230724143">
    <w:abstractNumId w:val="27"/>
  </w:num>
  <w:num w:numId="40" w16cid:durableId="1955093101">
    <w:abstractNumId w:val="18"/>
  </w:num>
  <w:num w:numId="41" w16cid:durableId="717319116">
    <w:abstractNumId w:val="23"/>
  </w:num>
  <w:num w:numId="42" w16cid:durableId="103774406">
    <w:abstractNumId w:val="6"/>
  </w:num>
  <w:num w:numId="43" w16cid:durableId="574706070">
    <w:abstractNumId w:val="10"/>
  </w:num>
  <w:num w:numId="44" w16cid:durableId="1323658418">
    <w:abstractNumId w:val="16"/>
  </w:num>
  <w:num w:numId="45" w16cid:durableId="951473839">
    <w:abstractNumId w:val="29"/>
  </w:num>
  <w:num w:numId="46" w16cid:durableId="943802452">
    <w:abstractNumId w:val="3"/>
  </w:num>
  <w:num w:numId="47" w16cid:durableId="500970649">
    <w:abstractNumId w:val="0"/>
  </w:num>
  <w:num w:numId="48" w16cid:durableId="482890326">
    <w:abstractNumId w:val="44"/>
  </w:num>
  <w:num w:numId="49" w16cid:durableId="15514547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7"/>
    <w:rsid w:val="00003936"/>
    <w:rsid w:val="00010B0A"/>
    <w:rsid w:val="00011CFC"/>
    <w:rsid w:val="00014C48"/>
    <w:rsid w:val="0001606F"/>
    <w:rsid w:val="00026877"/>
    <w:rsid w:val="000305B2"/>
    <w:rsid w:val="00046B41"/>
    <w:rsid w:val="00076E98"/>
    <w:rsid w:val="00077C8B"/>
    <w:rsid w:val="00093BEB"/>
    <w:rsid w:val="00095A23"/>
    <w:rsid w:val="000A030E"/>
    <w:rsid w:val="000B0066"/>
    <w:rsid w:val="000B13DC"/>
    <w:rsid w:val="000C106F"/>
    <w:rsid w:val="000C629F"/>
    <w:rsid w:val="000D0C8D"/>
    <w:rsid w:val="000D33A9"/>
    <w:rsid w:val="000E71B1"/>
    <w:rsid w:val="00116C63"/>
    <w:rsid w:val="00125E53"/>
    <w:rsid w:val="00131739"/>
    <w:rsid w:val="00136344"/>
    <w:rsid w:val="00141D07"/>
    <w:rsid w:val="00143BCD"/>
    <w:rsid w:val="00153A4E"/>
    <w:rsid w:val="00160126"/>
    <w:rsid w:val="001659F5"/>
    <w:rsid w:val="00172EDE"/>
    <w:rsid w:val="00173905"/>
    <w:rsid w:val="00180DC7"/>
    <w:rsid w:val="00184B72"/>
    <w:rsid w:val="00191E18"/>
    <w:rsid w:val="001972C5"/>
    <w:rsid w:val="00197801"/>
    <w:rsid w:val="001A10A8"/>
    <w:rsid w:val="001B14E5"/>
    <w:rsid w:val="001B7E82"/>
    <w:rsid w:val="001C5C03"/>
    <w:rsid w:val="001C5F30"/>
    <w:rsid w:val="001E2074"/>
    <w:rsid w:val="001E7368"/>
    <w:rsid w:val="00200212"/>
    <w:rsid w:val="00200C3E"/>
    <w:rsid w:val="002120B3"/>
    <w:rsid w:val="002162F9"/>
    <w:rsid w:val="0022388B"/>
    <w:rsid w:val="00277152"/>
    <w:rsid w:val="00286E7E"/>
    <w:rsid w:val="002936BF"/>
    <w:rsid w:val="00295D06"/>
    <w:rsid w:val="002B2989"/>
    <w:rsid w:val="002C7958"/>
    <w:rsid w:val="002D0A8F"/>
    <w:rsid w:val="002D5EAC"/>
    <w:rsid w:val="002D63D8"/>
    <w:rsid w:val="002D63E8"/>
    <w:rsid w:val="002E06B5"/>
    <w:rsid w:val="002E2153"/>
    <w:rsid w:val="002F1F52"/>
    <w:rsid w:val="002F7564"/>
    <w:rsid w:val="00302CF0"/>
    <w:rsid w:val="0030729A"/>
    <w:rsid w:val="00310E15"/>
    <w:rsid w:val="003126C4"/>
    <w:rsid w:val="003137E9"/>
    <w:rsid w:val="00321E16"/>
    <w:rsid w:val="0032211B"/>
    <w:rsid w:val="00330B20"/>
    <w:rsid w:val="00336714"/>
    <w:rsid w:val="0034086B"/>
    <w:rsid w:val="003409AF"/>
    <w:rsid w:val="00351D0B"/>
    <w:rsid w:val="003541B1"/>
    <w:rsid w:val="00355AAB"/>
    <w:rsid w:val="00362ADF"/>
    <w:rsid w:val="00371E1A"/>
    <w:rsid w:val="00372968"/>
    <w:rsid w:val="00374B5E"/>
    <w:rsid w:val="003767EA"/>
    <w:rsid w:val="00383726"/>
    <w:rsid w:val="00391BCC"/>
    <w:rsid w:val="003A08CC"/>
    <w:rsid w:val="003A481C"/>
    <w:rsid w:val="003D3EC2"/>
    <w:rsid w:val="003E25E7"/>
    <w:rsid w:val="003E72AC"/>
    <w:rsid w:val="003F503E"/>
    <w:rsid w:val="003F5F5D"/>
    <w:rsid w:val="0040261E"/>
    <w:rsid w:val="0040336E"/>
    <w:rsid w:val="00413887"/>
    <w:rsid w:val="00413F3D"/>
    <w:rsid w:val="00422E37"/>
    <w:rsid w:val="0044569C"/>
    <w:rsid w:val="00447257"/>
    <w:rsid w:val="004600D5"/>
    <w:rsid w:val="00481FBB"/>
    <w:rsid w:val="00496975"/>
    <w:rsid w:val="004D0DBD"/>
    <w:rsid w:val="004D1AF3"/>
    <w:rsid w:val="004E0966"/>
    <w:rsid w:val="004E1375"/>
    <w:rsid w:val="004E28A0"/>
    <w:rsid w:val="004E66E8"/>
    <w:rsid w:val="005000F7"/>
    <w:rsid w:val="005049A6"/>
    <w:rsid w:val="0052036D"/>
    <w:rsid w:val="005318BC"/>
    <w:rsid w:val="0054009E"/>
    <w:rsid w:val="005613DA"/>
    <w:rsid w:val="005632CE"/>
    <w:rsid w:val="0056424E"/>
    <w:rsid w:val="00575117"/>
    <w:rsid w:val="00577016"/>
    <w:rsid w:val="00584C8A"/>
    <w:rsid w:val="00586C8F"/>
    <w:rsid w:val="00595EEA"/>
    <w:rsid w:val="005966C8"/>
    <w:rsid w:val="00597473"/>
    <w:rsid w:val="0059766B"/>
    <w:rsid w:val="005A0AB0"/>
    <w:rsid w:val="005A4017"/>
    <w:rsid w:val="005A6150"/>
    <w:rsid w:val="005C0639"/>
    <w:rsid w:val="005D5F10"/>
    <w:rsid w:val="005D6DE4"/>
    <w:rsid w:val="005E0B56"/>
    <w:rsid w:val="005E3775"/>
    <w:rsid w:val="005F4AC1"/>
    <w:rsid w:val="006131AF"/>
    <w:rsid w:val="00620947"/>
    <w:rsid w:val="00622FCA"/>
    <w:rsid w:val="00632091"/>
    <w:rsid w:val="00636A13"/>
    <w:rsid w:val="00641ED6"/>
    <w:rsid w:val="00644B67"/>
    <w:rsid w:val="00644DDE"/>
    <w:rsid w:val="006455FF"/>
    <w:rsid w:val="006467C0"/>
    <w:rsid w:val="00654EF9"/>
    <w:rsid w:val="00654F07"/>
    <w:rsid w:val="00661E4F"/>
    <w:rsid w:val="00673FED"/>
    <w:rsid w:val="006766EC"/>
    <w:rsid w:val="0068293C"/>
    <w:rsid w:val="00684AAE"/>
    <w:rsid w:val="00693C46"/>
    <w:rsid w:val="006A315A"/>
    <w:rsid w:val="006B273B"/>
    <w:rsid w:val="006B28E0"/>
    <w:rsid w:val="006B5E24"/>
    <w:rsid w:val="006C5B25"/>
    <w:rsid w:val="006D6B7A"/>
    <w:rsid w:val="006E06C2"/>
    <w:rsid w:val="006E7B2F"/>
    <w:rsid w:val="006F6AD1"/>
    <w:rsid w:val="00701D0E"/>
    <w:rsid w:val="00702108"/>
    <w:rsid w:val="00711EBA"/>
    <w:rsid w:val="00725BA7"/>
    <w:rsid w:val="00731857"/>
    <w:rsid w:val="007338F1"/>
    <w:rsid w:val="00742B05"/>
    <w:rsid w:val="00756754"/>
    <w:rsid w:val="00756CDB"/>
    <w:rsid w:val="007625E4"/>
    <w:rsid w:val="00776978"/>
    <w:rsid w:val="007A6BF4"/>
    <w:rsid w:val="007B0BE1"/>
    <w:rsid w:val="007B232F"/>
    <w:rsid w:val="007B6239"/>
    <w:rsid w:val="007B6A12"/>
    <w:rsid w:val="007B6E1A"/>
    <w:rsid w:val="007C04B3"/>
    <w:rsid w:val="007C2369"/>
    <w:rsid w:val="007C2A11"/>
    <w:rsid w:val="007C7BC3"/>
    <w:rsid w:val="007D0833"/>
    <w:rsid w:val="007D5F1B"/>
    <w:rsid w:val="007D6A05"/>
    <w:rsid w:val="007E082D"/>
    <w:rsid w:val="007E23D6"/>
    <w:rsid w:val="007E6480"/>
    <w:rsid w:val="007F0671"/>
    <w:rsid w:val="007F21F7"/>
    <w:rsid w:val="007F2A92"/>
    <w:rsid w:val="008008A7"/>
    <w:rsid w:val="00805F20"/>
    <w:rsid w:val="00810978"/>
    <w:rsid w:val="00812DD9"/>
    <w:rsid w:val="00813C7B"/>
    <w:rsid w:val="00826B1E"/>
    <w:rsid w:val="00827DBB"/>
    <w:rsid w:val="008333FF"/>
    <w:rsid w:val="008431DA"/>
    <w:rsid w:val="00847049"/>
    <w:rsid w:val="008545C8"/>
    <w:rsid w:val="00861C2E"/>
    <w:rsid w:val="008715C2"/>
    <w:rsid w:val="00876D0D"/>
    <w:rsid w:val="00882DF1"/>
    <w:rsid w:val="0088710E"/>
    <w:rsid w:val="008A5B33"/>
    <w:rsid w:val="008A5C04"/>
    <w:rsid w:val="008B3BB2"/>
    <w:rsid w:val="008F1741"/>
    <w:rsid w:val="008F32A9"/>
    <w:rsid w:val="008F3510"/>
    <w:rsid w:val="008F73AC"/>
    <w:rsid w:val="00911084"/>
    <w:rsid w:val="009132DA"/>
    <w:rsid w:val="009162AC"/>
    <w:rsid w:val="009322B5"/>
    <w:rsid w:val="00933362"/>
    <w:rsid w:val="00933AC7"/>
    <w:rsid w:val="0094742C"/>
    <w:rsid w:val="00952054"/>
    <w:rsid w:val="00961C2A"/>
    <w:rsid w:val="00964B4D"/>
    <w:rsid w:val="00966B9F"/>
    <w:rsid w:val="00974A7B"/>
    <w:rsid w:val="009812EB"/>
    <w:rsid w:val="00984795"/>
    <w:rsid w:val="009937FB"/>
    <w:rsid w:val="009B1EEE"/>
    <w:rsid w:val="009D6C6D"/>
    <w:rsid w:val="009E474A"/>
    <w:rsid w:val="00A03597"/>
    <w:rsid w:val="00A06191"/>
    <w:rsid w:val="00A06DD8"/>
    <w:rsid w:val="00A10CBA"/>
    <w:rsid w:val="00A12FD9"/>
    <w:rsid w:val="00A1336D"/>
    <w:rsid w:val="00A23988"/>
    <w:rsid w:val="00A2404D"/>
    <w:rsid w:val="00A32D35"/>
    <w:rsid w:val="00A56A5B"/>
    <w:rsid w:val="00A679CC"/>
    <w:rsid w:val="00A70643"/>
    <w:rsid w:val="00A74C71"/>
    <w:rsid w:val="00A75335"/>
    <w:rsid w:val="00A8020A"/>
    <w:rsid w:val="00A82A8D"/>
    <w:rsid w:val="00A8558C"/>
    <w:rsid w:val="00A86380"/>
    <w:rsid w:val="00A9146E"/>
    <w:rsid w:val="00AA1E4D"/>
    <w:rsid w:val="00AB2D3F"/>
    <w:rsid w:val="00AB64D9"/>
    <w:rsid w:val="00AC7FEA"/>
    <w:rsid w:val="00AD309F"/>
    <w:rsid w:val="00AD44D6"/>
    <w:rsid w:val="00AE3968"/>
    <w:rsid w:val="00AE5E1F"/>
    <w:rsid w:val="00AF22EA"/>
    <w:rsid w:val="00AF563C"/>
    <w:rsid w:val="00AF5F88"/>
    <w:rsid w:val="00AF6093"/>
    <w:rsid w:val="00B03183"/>
    <w:rsid w:val="00B06E6A"/>
    <w:rsid w:val="00B20B8D"/>
    <w:rsid w:val="00B241D5"/>
    <w:rsid w:val="00B31002"/>
    <w:rsid w:val="00B32C7C"/>
    <w:rsid w:val="00B34707"/>
    <w:rsid w:val="00B34860"/>
    <w:rsid w:val="00B422DD"/>
    <w:rsid w:val="00B44012"/>
    <w:rsid w:val="00B5091F"/>
    <w:rsid w:val="00B52D70"/>
    <w:rsid w:val="00B62589"/>
    <w:rsid w:val="00B62AA1"/>
    <w:rsid w:val="00B703F7"/>
    <w:rsid w:val="00B7509F"/>
    <w:rsid w:val="00B84097"/>
    <w:rsid w:val="00B915B0"/>
    <w:rsid w:val="00B9263B"/>
    <w:rsid w:val="00BA5115"/>
    <w:rsid w:val="00BB2CE5"/>
    <w:rsid w:val="00BD0177"/>
    <w:rsid w:val="00BD443B"/>
    <w:rsid w:val="00BF1D56"/>
    <w:rsid w:val="00BF39B0"/>
    <w:rsid w:val="00BF64B3"/>
    <w:rsid w:val="00BF66F8"/>
    <w:rsid w:val="00C2192A"/>
    <w:rsid w:val="00C23080"/>
    <w:rsid w:val="00C31C48"/>
    <w:rsid w:val="00C36A93"/>
    <w:rsid w:val="00C412D1"/>
    <w:rsid w:val="00C47184"/>
    <w:rsid w:val="00C54D6E"/>
    <w:rsid w:val="00C71EE0"/>
    <w:rsid w:val="00C84F4D"/>
    <w:rsid w:val="00CA04C7"/>
    <w:rsid w:val="00CB3EE0"/>
    <w:rsid w:val="00CB5040"/>
    <w:rsid w:val="00CC5D90"/>
    <w:rsid w:val="00CD2649"/>
    <w:rsid w:val="00CD40A1"/>
    <w:rsid w:val="00CD54A1"/>
    <w:rsid w:val="00CE1244"/>
    <w:rsid w:val="00CE519A"/>
    <w:rsid w:val="00CF4567"/>
    <w:rsid w:val="00D010D8"/>
    <w:rsid w:val="00D242A6"/>
    <w:rsid w:val="00D271CF"/>
    <w:rsid w:val="00D3041F"/>
    <w:rsid w:val="00D3315F"/>
    <w:rsid w:val="00D35ECF"/>
    <w:rsid w:val="00D378D9"/>
    <w:rsid w:val="00D42F15"/>
    <w:rsid w:val="00D501B1"/>
    <w:rsid w:val="00D73836"/>
    <w:rsid w:val="00D7732A"/>
    <w:rsid w:val="00D854A8"/>
    <w:rsid w:val="00DA4499"/>
    <w:rsid w:val="00DB38DE"/>
    <w:rsid w:val="00DB42B7"/>
    <w:rsid w:val="00DB682A"/>
    <w:rsid w:val="00DC6B17"/>
    <w:rsid w:val="00DD40E9"/>
    <w:rsid w:val="00DD492E"/>
    <w:rsid w:val="00DE1103"/>
    <w:rsid w:val="00DE6D91"/>
    <w:rsid w:val="00DF3AD3"/>
    <w:rsid w:val="00E00926"/>
    <w:rsid w:val="00E12D51"/>
    <w:rsid w:val="00E1508D"/>
    <w:rsid w:val="00E22E83"/>
    <w:rsid w:val="00E27CDC"/>
    <w:rsid w:val="00E501F8"/>
    <w:rsid w:val="00E53827"/>
    <w:rsid w:val="00E61291"/>
    <w:rsid w:val="00E63792"/>
    <w:rsid w:val="00E66540"/>
    <w:rsid w:val="00E84BF6"/>
    <w:rsid w:val="00E96748"/>
    <w:rsid w:val="00EA7AF6"/>
    <w:rsid w:val="00EC073A"/>
    <w:rsid w:val="00ED5103"/>
    <w:rsid w:val="00ED68EA"/>
    <w:rsid w:val="00EE15D7"/>
    <w:rsid w:val="00EE1994"/>
    <w:rsid w:val="00EE2C1A"/>
    <w:rsid w:val="00EE31B7"/>
    <w:rsid w:val="00EE4221"/>
    <w:rsid w:val="00EE7AED"/>
    <w:rsid w:val="00EF240F"/>
    <w:rsid w:val="00F00EF0"/>
    <w:rsid w:val="00F068B2"/>
    <w:rsid w:val="00F11E7A"/>
    <w:rsid w:val="00F1264D"/>
    <w:rsid w:val="00F15A16"/>
    <w:rsid w:val="00F20E8E"/>
    <w:rsid w:val="00F25D5A"/>
    <w:rsid w:val="00F308C2"/>
    <w:rsid w:val="00F45571"/>
    <w:rsid w:val="00F57B68"/>
    <w:rsid w:val="00F71DAD"/>
    <w:rsid w:val="00F73CA3"/>
    <w:rsid w:val="00F768CE"/>
    <w:rsid w:val="00F92311"/>
    <w:rsid w:val="00FA5DE4"/>
    <w:rsid w:val="00FC13D6"/>
    <w:rsid w:val="00FC655F"/>
    <w:rsid w:val="00FD32A3"/>
    <w:rsid w:val="00FE3BB2"/>
    <w:rsid w:val="00FE3D75"/>
    <w:rsid w:val="00FF4137"/>
    <w:rsid w:val="00FF59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BB60"/>
  <w15:chartTrackingRefBased/>
  <w15:docId w15:val="{933690E3-0B5B-4EF9-90D2-B1A03C32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37"/>
    <w:pPr>
      <w:spacing w:line="259" w:lineRule="auto"/>
    </w:pPr>
    <w:rPr>
      <w:kern w:val="0"/>
      <w:sz w:val="22"/>
      <w:szCs w:val="22"/>
      <w14:ligatures w14:val="none"/>
    </w:rPr>
  </w:style>
  <w:style w:type="paragraph" w:styleId="Heading1">
    <w:name w:val="heading 1"/>
    <w:basedOn w:val="Normal"/>
    <w:next w:val="Normal"/>
    <w:link w:val="Heading1Char"/>
    <w:uiPriority w:val="9"/>
    <w:qFormat/>
    <w:rsid w:val="00CF4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4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45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45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45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4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5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45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45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45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45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4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567"/>
    <w:rPr>
      <w:rFonts w:eastAsiaTheme="majorEastAsia" w:cstheme="majorBidi"/>
      <w:color w:val="272727" w:themeColor="text1" w:themeTint="D8"/>
    </w:rPr>
  </w:style>
  <w:style w:type="paragraph" w:styleId="Title">
    <w:name w:val="Title"/>
    <w:basedOn w:val="Normal"/>
    <w:next w:val="Normal"/>
    <w:link w:val="TitleChar"/>
    <w:uiPriority w:val="10"/>
    <w:qFormat/>
    <w:rsid w:val="00CF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567"/>
    <w:pPr>
      <w:spacing w:before="160"/>
      <w:jc w:val="center"/>
    </w:pPr>
    <w:rPr>
      <w:i/>
      <w:iCs/>
      <w:color w:val="404040" w:themeColor="text1" w:themeTint="BF"/>
    </w:rPr>
  </w:style>
  <w:style w:type="character" w:customStyle="1" w:styleId="QuoteChar">
    <w:name w:val="Quote Char"/>
    <w:basedOn w:val="DefaultParagraphFont"/>
    <w:link w:val="Quote"/>
    <w:uiPriority w:val="29"/>
    <w:rsid w:val="00CF4567"/>
    <w:rPr>
      <w:i/>
      <w:iCs/>
      <w:color w:val="404040" w:themeColor="text1" w:themeTint="BF"/>
    </w:rPr>
  </w:style>
  <w:style w:type="paragraph" w:styleId="ListParagraph">
    <w:name w:val="List Paragraph"/>
    <w:basedOn w:val="Normal"/>
    <w:uiPriority w:val="34"/>
    <w:qFormat/>
    <w:rsid w:val="00CF4567"/>
    <w:pPr>
      <w:ind w:left="720"/>
      <w:contextualSpacing/>
    </w:pPr>
  </w:style>
  <w:style w:type="character" w:styleId="IntenseEmphasis">
    <w:name w:val="Intense Emphasis"/>
    <w:basedOn w:val="DefaultParagraphFont"/>
    <w:uiPriority w:val="21"/>
    <w:qFormat/>
    <w:rsid w:val="00CF4567"/>
    <w:rPr>
      <w:i/>
      <w:iCs/>
      <w:color w:val="2F5496" w:themeColor="accent1" w:themeShade="BF"/>
    </w:rPr>
  </w:style>
  <w:style w:type="paragraph" w:styleId="IntenseQuote">
    <w:name w:val="Intense Quote"/>
    <w:basedOn w:val="Normal"/>
    <w:next w:val="Normal"/>
    <w:link w:val="IntenseQuoteChar"/>
    <w:uiPriority w:val="30"/>
    <w:qFormat/>
    <w:rsid w:val="00CF4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4567"/>
    <w:rPr>
      <w:i/>
      <w:iCs/>
      <w:color w:val="2F5496" w:themeColor="accent1" w:themeShade="BF"/>
    </w:rPr>
  </w:style>
  <w:style w:type="character" w:styleId="IntenseReference">
    <w:name w:val="Intense Reference"/>
    <w:basedOn w:val="DefaultParagraphFont"/>
    <w:uiPriority w:val="32"/>
    <w:qFormat/>
    <w:rsid w:val="00CF4567"/>
    <w:rPr>
      <w:b/>
      <w:bCs/>
      <w:smallCaps/>
      <w:color w:val="2F5496" w:themeColor="accent1" w:themeShade="BF"/>
      <w:spacing w:val="5"/>
    </w:rPr>
  </w:style>
  <w:style w:type="paragraph" w:styleId="FootnoteText">
    <w:name w:val="footnote text"/>
    <w:basedOn w:val="Normal"/>
    <w:link w:val="FootnoteTextChar"/>
    <w:uiPriority w:val="99"/>
    <w:unhideWhenUsed/>
    <w:rsid w:val="00FF4137"/>
    <w:pPr>
      <w:spacing w:after="0" w:line="240" w:lineRule="auto"/>
    </w:pPr>
    <w:rPr>
      <w:sz w:val="20"/>
      <w:szCs w:val="20"/>
    </w:rPr>
  </w:style>
  <w:style w:type="character" w:customStyle="1" w:styleId="FootnoteTextChar">
    <w:name w:val="Footnote Text Char"/>
    <w:basedOn w:val="DefaultParagraphFont"/>
    <w:link w:val="FootnoteText"/>
    <w:uiPriority w:val="99"/>
    <w:rsid w:val="00FF4137"/>
    <w:rPr>
      <w:kern w:val="0"/>
      <w:sz w:val="20"/>
      <w:szCs w:val="20"/>
      <w14:ligatures w14:val="none"/>
    </w:rPr>
  </w:style>
  <w:style w:type="character" w:styleId="FootnoteReference">
    <w:name w:val="footnote reference"/>
    <w:basedOn w:val="DefaultParagraphFont"/>
    <w:uiPriority w:val="99"/>
    <w:semiHidden/>
    <w:unhideWhenUsed/>
    <w:rsid w:val="00FF4137"/>
    <w:rPr>
      <w:vertAlign w:val="superscript"/>
    </w:rPr>
  </w:style>
  <w:style w:type="paragraph" w:styleId="Header">
    <w:name w:val="header"/>
    <w:basedOn w:val="Normal"/>
    <w:link w:val="HeaderChar"/>
    <w:uiPriority w:val="99"/>
    <w:unhideWhenUsed/>
    <w:rsid w:val="007D0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0833"/>
    <w:rPr>
      <w:kern w:val="0"/>
      <w:sz w:val="22"/>
      <w:szCs w:val="22"/>
      <w14:ligatures w14:val="none"/>
    </w:rPr>
  </w:style>
  <w:style w:type="paragraph" w:styleId="Footer">
    <w:name w:val="footer"/>
    <w:basedOn w:val="Normal"/>
    <w:link w:val="FooterChar"/>
    <w:uiPriority w:val="99"/>
    <w:unhideWhenUsed/>
    <w:rsid w:val="007D0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0833"/>
    <w:rPr>
      <w:kern w:val="0"/>
      <w:sz w:val="22"/>
      <w:szCs w:val="22"/>
      <w14:ligatures w14:val="none"/>
    </w:rPr>
  </w:style>
  <w:style w:type="character" w:styleId="CommentReference">
    <w:name w:val="annotation reference"/>
    <w:basedOn w:val="DefaultParagraphFont"/>
    <w:uiPriority w:val="99"/>
    <w:semiHidden/>
    <w:unhideWhenUsed/>
    <w:rsid w:val="00116C63"/>
    <w:rPr>
      <w:sz w:val="16"/>
      <w:szCs w:val="16"/>
    </w:rPr>
  </w:style>
  <w:style w:type="paragraph" w:styleId="CommentText">
    <w:name w:val="annotation text"/>
    <w:basedOn w:val="Normal"/>
    <w:link w:val="CommentTextChar"/>
    <w:uiPriority w:val="99"/>
    <w:unhideWhenUsed/>
    <w:rsid w:val="00116C63"/>
    <w:pPr>
      <w:spacing w:line="240" w:lineRule="auto"/>
    </w:pPr>
    <w:rPr>
      <w:sz w:val="20"/>
      <w:szCs w:val="20"/>
    </w:rPr>
  </w:style>
  <w:style w:type="character" w:customStyle="1" w:styleId="CommentTextChar">
    <w:name w:val="Comment Text Char"/>
    <w:basedOn w:val="DefaultParagraphFont"/>
    <w:link w:val="CommentText"/>
    <w:uiPriority w:val="99"/>
    <w:rsid w:val="00116C63"/>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16C63"/>
    <w:rPr>
      <w:b/>
      <w:bCs/>
    </w:rPr>
  </w:style>
  <w:style w:type="character" w:customStyle="1" w:styleId="CommentSubjectChar">
    <w:name w:val="Comment Subject Char"/>
    <w:basedOn w:val="CommentTextChar"/>
    <w:link w:val="CommentSubject"/>
    <w:uiPriority w:val="99"/>
    <w:semiHidden/>
    <w:rsid w:val="00116C6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7D97-C20B-49F7-86D8-F75127FA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139</Pages>
  <Words>25383</Words>
  <Characters>144687</Characters>
  <DocSecurity>0</DocSecurity>
  <Lines>1205</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2026-07-26T20:12:00Z</dcterms:created>
  <dcterms:modified xsi:type="dcterms:W3CDTF">2026-08-19T12:44:00Z</dcterms:modified>
</cp:coreProperties>
</file>