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CBC2" w14:textId="29C136CB" w:rsidR="00340B1C" w:rsidRPr="00780DA0" w:rsidRDefault="00F81CDB" w:rsidP="00780DA0">
      <w:pPr>
        <w:bidi w:val="0"/>
        <w:spacing w:before="120" w:after="120" w:line="240" w:lineRule="auto"/>
        <w:jc w:val="both"/>
        <w:rPr>
          <w:rFonts w:asciiTheme="majorBidi" w:hAnsiTheme="majorBidi" w:cstheme="majorBidi"/>
          <w:color w:val="000000" w:themeColor="text1"/>
          <w:sz w:val="28"/>
          <w:szCs w:val="28"/>
        </w:rPr>
      </w:pPr>
      <w:r w:rsidRPr="00780DA0">
        <w:rPr>
          <w:rFonts w:asciiTheme="majorBidi" w:hAnsiTheme="majorBidi" w:cstheme="majorBidi"/>
          <w:noProof/>
          <w:color w:val="000000" w:themeColor="text1"/>
          <w:sz w:val="28"/>
          <w:szCs w:val="28"/>
        </w:rPr>
        <w:drawing>
          <wp:anchor distT="0" distB="0" distL="114300" distR="114300" simplePos="0" relativeHeight="251660288" behindDoc="0" locked="0" layoutInCell="1" allowOverlap="1" wp14:anchorId="69692091" wp14:editId="409EA5D6">
            <wp:simplePos x="0" y="0"/>
            <wp:positionH relativeFrom="column">
              <wp:posOffset>3686175</wp:posOffset>
            </wp:positionH>
            <wp:positionV relativeFrom="paragraph">
              <wp:posOffset>-603885</wp:posOffset>
            </wp:positionV>
            <wp:extent cx="2226945" cy="2066925"/>
            <wp:effectExtent l="0" t="0" r="1905" b="9525"/>
            <wp:wrapNone/>
            <wp:docPr id="10513937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40B1C" w:rsidRPr="00780DA0">
        <w:rPr>
          <w:rFonts w:asciiTheme="majorBidi" w:hAnsiTheme="majorBidi" w:cstheme="majorBidi"/>
          <w:color w:val="000000" w:themeColor="text1"/>
          <w:sz w:val="28"/>
          <w:szCs w:val="28"/>
        </w:rPr>
        <w:t>Midocean University</w:t>
      </w:r>
    </w:p>
    <w:p w14:paraId="084E8F5F" w14:textId="41DB069C" w:rsidR="00340B1C" w:rsidRPr="00780DA0" w:rsidRDefault="00340B1C" w:rsidP="00500D11">
      <w:pPr>
        <w:bidi w:val="0"/>
        <w:spacing w:before="120" w:after="120" w:line="240" w:lineRule="auto"/>
        <w:jc w:val="both"/>
        <w:rPr>
          <w:rFonts w:asciiTheme="majorBidi" w:hAnsiTheme="majorBidi" w:cstheme="majorBidi"/>
          <w:color w:val="000000" w:themeColor="text1"/>
          <w:sz w:val="28"/>
          <w:szCs w:val="28"/>
        </w:rPr>
      </w:pPr>
      <w:r w:rsidRPr="00780DA0">
        <w:rPr>
          <w:rFonts w:asciiTheme="majorBidi" w:hAnsiTheme="majorBidi" w:cstheme="majorBidi"/>
          <w:color w:val="000000" w:themeColor="text1"/>
          <w:sz w:val="28"/>
          <w:szCs w:val="28"/>
        </w:rPr>
        <w:t xml:space="preserve">College of </w:t>
      </w:r>
      <w:r w:rsidR="00500D11" w:rsidRPr="00500D11">
        <w:rPr>
          <w:rFonts w:asciiTheme="majorBidi" w:hAnsiTheme="majorBidi" w:cstheme="majorBidi"/>
          <w:color w:val="000000" w:themeColor="text1"/>
          <w:sz w:val="28"/>
          <w:szCs w:val="28"/>
        </w:rPr>
        <w:t>Management</w:t>
      </w:r>
    </w:p>
    <w:p w14:paraId="48DEE456" w14:textId="0BA54379" w:rsidR="00340B1C" w:rsidRPr="00780DA0" w:rsidRDefault="006D7CF3" w:rsidP="00500D11">
      <w:pPr>
        <w:bidi w:val="0"/>
        <w:spacing w:before="120" w:after="120" w:line="24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Department </w:t>
      </w:r>
      <w:r w:rsidR="00500D11">
        <w:rPr>
          <w:rFonts w:asciiTheme="majorBidi" w:hAnsiTheme="majorBidi" w:cstheme="majorBidi"/>
          <w:color w:val="000000" w:themeColor="text1"/>
          <w:sz w:val="28"/>
          <w:szCs w:val="28"/>
        </w:rPr>
        <w:t>Business Administration</w:t>
      </w:r>
    </w:p>
    <w:p w14:paraId="29EA9341" w14:textId="55C373CF" w:rsidR="00340B1C" w:rsidRPr="00780DA0" w:rsidRDefault="00340B1C" w:rsidP="007C1322">
      <w:pPr>
        <w:bidi w:val="0"/>
        <w:spacing w:before="120" w:after="120" w:line="240" w:lineRule="auto"/>
        <w:ind w:firstLine="720"/>
        <w:jc w:val="both"/>
        <w:rPr>
          <w:rFonts w:asciiTheme="majorBidi" w:hAnsiTheme="majorBidi" w:cstheme="majorBidi"/>
          <w:color w:val="000000" w:themeColor="text1"/>
          <w:sz w:val="28"/>
          <w:szCs w:val="28"/>
          <w:rtl/>
        </w:rPr>
      </w:pPr>
    </w:p>
    <w:p w14:paraId="0AA1D746" w14:textId="77219E2C" w:rsidR="00340B1C" w:rsidRPr="00780DA0" w:rsidRDefault="00340B1C" w:rsidP="007C1322">
      <w:pPr>
        <w:bidi w:val="0"/>
        <w:spacing w:before="120" w:after="120" w:line="240" w:lineRule="auto"/>
        <w:ind w:firstLine="720"/>
        <w:jc w:val="both"/>
        <w:rPr>
          <w:rFonts w:asciiTheme="majorBidi" w:hAnsiTheme="majorBidi" w:cstheme="majorBidi"/>
          <w:color w:val="000000" w:themeColor="text1"/>
          <w:sz w:val="28"/>
          <w:szCs w:val="28"/>
          <w:rtl/>
        </w:rPr>
      </w:pPr>
    </w:p>
    <w:p w14:paraId="0BD66977" w14:textId="7C0BD021" w:rsidR="00F81CDB" w:rsidRDefault="00F81CDB" w:rsidP="00F81CDB">
      <w:pPr>
        <w:bidi w:val="0"/>
        <w:spacing w:before="120" w:after="120" w:line="240" w:lineRule="auto"/>
        <w:ind w:firstLine="720"/>
        <w:jc w:val="both"/>
        <w:rPr>
          <w:rFonts w:asciiTheme="majorBidi" w:hAnsiTheme="majorBidi" w:cstheme="majorBidi"/>
          <w:color w:val="000000" w:themeColor="text1"/>
          <w:sz w:val="28"/>
          <w:szCs w:val="28"/>
        </w:rPr>
      </w:pPr>
    </w:p>
    <w:p w14:paraId="6C3C7873" w14:textId="77777777" w:rsidR="006D7CF3" w:rsidRPr="00780DA0" w:rsidRDefault="006D7CF3" w:rsidP="006D7CF3">
      <w:pPr>
        <w:bidi w:val="0"/>
        <w:spacing w:before="120" w:after="120" w:line="240" w:lineRule="auto"/>
        <w:ind w:firstLine="720"/>
        <w:jc w:val="both"/>
        <w:rPr>
          <w:rFonts w:asciiTheme="majorBidi" w:hAnsiTheme="majorBidi" w:cstheme="majorBidi"/>
          <w:color w:val="000000" w:themeColor="text1"/>
          <w:sz w:val="28"/>
          <w:szCs w:val="28"/>
        </w:rPr>
      </w:pPr>
    </w:p>
    <w:p w14:paraId="2875F58D" w14:textId="77777777" w:rsidR="006D7CF3" w:rsidRDefault="006D7CF3" w:rsidP="006D7CF3">
      <w:pPr>
        <w:bidi w:val="0"/>
        <w:spacing w:before="120" w:after="120" w:line="240" w:lineRule="auto"/>
        <w:rPr>
          <w:rFonts w:asciiTheme="majorBidi" w:hAnsiTheme="majorBidi" w:cstheme="majorBidi"/>
          <w:color w:val="000000" w:themeColor="text1"/>
          <w:sz w:val="28"/>
          <w:szCs w:val="28"/>
        </w:rPr>
      </w:pPr>
    </w:p>
    <w:p w14:paraId="29691131" w14:textId="77777777" w:rsidR="006D7CF3" w:rsidRPr="006D7CF3" w:rsidRDefault="00340B1C" w:rsidP="006D7CF3">
      <w:pPr>
        <w:bidi w:val="0"/>
        <w:spacing w:before="120" w:after="120" w:line="240" w:lineRule="auto"/>
        <w:jc w:val="center"/>
        <w:rPr>
          <w:rFonts w:asciiTheme="majorBidi" w:hAnsiTheme="majorBidi" w:cstheme="majorBidi"/>
          <w:b/>
          <w:bCs/>
          <w:color w:val="000000" w:themeColor="text1"/>
          <w:sz w:val="28"/>
          <w:szCs w:val="28"/>
        </w:rPr>
      </w:pPr>
      <w:r w:rsidRPr="006D7CF3">
        <w:rPr>
          <w:rFonts w:asciiTheme="majorBidi" w:hAnsiTheme="majorBidi" w:cstheme="majorBidi"/>
          <w:b/>
          <w:bCs/>
          <w:color w:val="000000" w:themeColor="text1"/>
          <w:sz w:val="28"/>
          <w:szCs w:val="28"/>
        </w:rPr>
        <w:t>Research Title:</w:t>
      </w:r>
    </w:p>
    <w:p w14:paraId="2231D9D9" w14:textId="77A90C90" w:rsidR="00780DA0" w:rsidRPr="006D7CF3" w:rsidRDefault="006D7CF3" w:rsidP="006D7CF3">
      <w:pPr>
        <w:bidi w:val="0"/>
        <w:spacing w:before="120" w:after="120" w:line="240" w:lineRule="auto"/>
        <w:jc w:val="center"/>
        <w:rPr>
          <w:rFonts w:asciiTheme="majorBidi" w:hAnsiTheme="majorBidi" w:cstheme="majorBidi"/>
          <w:color w:val="000000" w:themeColor="text1"/>
          <w:sz w:val="28"/>
          <w:szCs w:val="28"/>
        </w:rPr>
      </w:pPr>
      <w:r w:rsidRPr="006D7CF3">
        <w:rPr>
          <w:rFonts w:asciiTheme="majorBidi" w:hAnsiTheme="majorBidi" w:cs="Times New Roman"/>
          <w:b/>
          <w:bCs/>
          <w:color w:val="000000" w:themeColor="text1"/>
          <w:sz w:val="28"/>
          <w:szCs w:val="28"/>
        </w:rPr>
        <w:t>Understanding obstacles and factors that affect Green Logistics Strategies aimed at enhancing environmental sustainability within supply chain management</w:t>
      </w:r>
      <w:r>
        <w:rPr>
          <w:rFonts w:asciiTheme="majorBidi" w:hAnsiTheme="majorBidi" w:cs="Times New Roman"/>
          <w:b/>
          <w:bCs/>
          <w:color w:val="000000" w:themeColor="text1"/>
          <w:sz w:val="28"/>
          <w:szCs w:val="28"/>
        </w:rPr>
        <w:t xml:space="preserve">: </w:t>
      </w:r>
      <w:r w:rsidRPr="006D7CF3">
        <w:rPr>
          <w:rFonts w:asciiTheme="majorBidi" w:hAnsiTheme="majorBidi" w:cs="Times New Roman"/>
          <w:b/>
          <w:bCs/>
          <w:color w:val="000000" w:themeColor="text1"/>
          <w:sz w:val="28"/>
          <w:szCs w:val="28"/>
        </w:rPr>
        <w:t>Towards an integrated conceptual framework</w:t>
      </w:r>
    </w:p>
    <w:p w14:paraId="526C922B" w14:textId="77777777" w:rsidR="006D7CF3" w:rsidRPr="00780DA0" w:rsidRDefault="006D7CF3" w:rsidP="006D7CF3">
      <w:pPr>
        <w:bidi w:val="0"/>
        <w:spacing w:before="120" w:after="120" w:line="240" w:lineRule="auto"/>
        <w:ind w:firstLine="720"/>
        <w:jc w:val="center"/>
        <w:rPr>
          <w:rFonts w:asciiTheme="majorBidi" w:hAnsiTheme="majorBidi" w:cstheme="majorBidi"/>
          <w:color w:val="000000" w:themeColor="text1"/>
          <w:sz w:val="28"/>
          <w:szCs w:val="28"/>
          <w:rtl/>
          <w:lang w:bidi="ar-EG"/>
        </w:rPr>
      </w:pPr>
    </w:p>
    <w:p w14:paraId="34623009" w14:textId="17D8998B" w:rsidR="006D7CF3" w:rsidRDefault="006D7CF3" w:rsidP="006D7CF3">
      <w:pPr>
        <w:bidi w:val="0"/>
        <w:spacing w:before="120" w:after="120" w:line="240" w:lineRule="auto"/>
        <w:rPr>
          <w:rFonts w:asciiTheme="majorBidi" w:hAnsiTheme="majorBidi" w:cstheme="majorBidi"/>
          <w:color w:val="000000" w:themeColor="text1"/>
          <w:sz w:val="28"/>
          <w:szCs w:val="28"/>
          <w:lang w:bidi="ar-EG"/>
        </w:rPr>
      </w:pPr>
    </w:p>
    <w:p w14:paraId="6B871B19" w14:textId="77777777" w:rsidR="006D7CF3" w:rsidRDefault="006D7CF3" w:rsidP="006D7CF3">
      <w:pPr>
        <w:bidi w:val="0"/>
        <w:spacing w:before="120" w:after="120" w:line="240" w:lineRule="auto"/>
        <w:rPr>
          <w:rFonts w:asciiTheme="majorBidi" w:hAnsiTheme="majorBidi" w:cstheme="majorBidi"/>
          <w:color w:val="000000" w:themeColor="text1"/>
          <w:sz w:val="28"/>
          <w:szCs w:val="28"/>
          <w:lang w:bidi="ar-EG"/>
        </w:rPr>
      </w:pPr>
    </w:p>
    <w:p w14:paraId="59CB6DEF" w14:textId="77777777" w:rsidR="006D7CF3" w:rsidRDefault="00340B1C" w:rsidP="006D7CF3">
      <w:pPr>
        <w:bidi w:val="0"/>
        <w:spacing w:before="120" w:after="120" w:line="240" w:lineRule="auto"/>
        <w:jc w:val="center"/>
        <w:rPr>
          <w:rFonts w:asciiTheme="majorBidi" w:hAnsiTheme="majorBidi" w:cstheme="majorBidi"/>
          <w:b/>
          <w:bCs/>
          <w:color w:val="000000" w:themeColor="text1"/>
          <w:sz w:val="28"/>
          <w:szCs w:val="28"/>
        </w:rPr>
      </w:pPr>
      <w:r w:rsidRPr="00780DA0">
        <w:rPr>
          <w:rFonts w:asciiTheme="majorBidi" w:hAnsiTheme="majorBidi" w:cstheme="majorBidi"/>
          <w:b/>
          <w:bCs/>
          <w:color w:val="000000" w:themeColor="text1"/>
          <w:sz w:val="28"/>
          <w:szCs w:val="28"/>
        </w:rPr>
        <w:t>Prepared by:</w:t>
      </w:r>
    </w:p>
    <w:p w14:paraId="73D802D6" w14:textId="7F9934CC" w:rsidR="00780DA0" w:rsidRDefault="00500D11" w:rsidP="00500D11">
      <w:pPr>
        <w:bidi w:val="0"/>
        <w:spacing w:before="120" w:after="120" w:line="240" w:lineRule="auto"/>
        <w:jc w:val="center"/>
        <w:rPr>
          <w:rFonts w:asciiTheme="majorBidi" w:hAnsiTheme="majorBidi" w:cstheme="majorBidi"/>
          <w:color w:val="000000" w:themeColor="text1"/>
          <w:sz w:val="28"/>
          <w:szCs w:val="28"/>
        </w:rPr>
      </w:pPr>
      <w:r w:rsidRPr="00500D11">
        <w:rPr>
          <w:rFonts w:asciiTheme="majorBidi" w:hAnsiTheme="majorBidi" w:cstheme="majorBidi"/>
          <w:color w:val="000000" w:themeColor="text1"/>
          <w:sz w:val="28"/>
          <w:szCs w:val="28"/>
        </w:rPr>
        <w:t>Sahar Jameel</w:t>
      </w:r>
      <w:r>
        <w:rPr>
          <w:rFonts w:asciiTheme="majorBidi" w:hAnsiTheme="majorBidi" w:cstheme="majorBidi"/>
          <w:color w:val="000000" w:themeColor="text1"/>
          <w:sz w:val="28"/>
          <w:szCs w:val="28"/>
        </w:rPr>
        <w:t xml:space="preserve"> Abdullah</w:t>
      </w:r>
      <w:r w:rsidRPr="00500D11">
        <w:rPr>
          <w:rFonts w:asciiTheme="majorBidi" w:hAnsiTheme="majorBidi" w:cstheme="majorBidi"/>
          <w:color w:val="000000" w:themeColor="text1"/>
          <w:sz w:val="28"/>
          <w:szCs w:val="28"/>
        </w:rPr>
        <w:t xml:space="preserve"> </w:t>
      </w:r>
      <w:proofErr w:type="spellStart"/>
      <w:r w:rsidRPr="00500D11">
        <w:rPr>
          <w:rFonts w:asciiTheme="majorBidi" w:hAnsiTheme="majorBidi" w:cstheme="majorBidi"/>
          <w:color w:val="000000" w:themeColor="text1"/>
          <w:sz w:val="28"/>
          <w:szCs w:val="28"/>
        </w:rPr>
        <w:t>Melebary</w:t>
      </w:r>
      <w:proofErr w:type="spellEnd"/>
    </w:p>
    <w:p w14:paraId="027C86A7" w14:textId="77777777" w:rsidR="006D7CF3" w:rsidRDefault="006D7CF3" w:rsidP="006D7CF3">
      <w:pPr>
        <w:bidi w:val="0"/>
        <w:spacing w:before="120" w:after="120" w:line="240" w:lineRule="auto"/>
        <w:ind w:firstLine="720"/>
        <w:jc w:val="center"/>
        <w:rPr>
          <w:rFonts w:asciiTheme="majorBidi" w:hAnsiTheme="majorBidi" w:cstheme="majorBidi"/>
          <w:color w:val="000000" w:themeColor="text1"/>
          <w:sz w:val="28"/>
          <w:szCs w:val="28"/>
        </w:rPr>
      </w:pPr>
    </w:p>
    <w:p w14:paraId="37461D23" w14:textId="77777777" w:rsidR="006D7CF3" w:rsidRDefault="006D7CF3" w:rsidP="006D7CF3">
      <w:pPr>
        <w:bidi w:val="0"/>
        <w:spacing w:before="120" w:after="120" w:line="240" w:lineRule="auto"/>
        <w:ind w:firstLine="720"/>
        <w:jc w:val="center"/>
        <w:rPr>
          <w:rFonts w:asciiTheme="majorBidi" w:hAnsiTheme="majorBidi" w:cstheme="majorBidi"/>
          <w:color w:val="000000" w:themeColor="text1"/>
          <w:sz w:val="28"/>
          <w:szCs w:val="28"/>
        </w:rPr>
      </w:pPr>
    </w:p>
    <w:p w14:paraId="4FC4DFAF" w14:textId="77777777" w:rsidR="006D7CF3" w:rsidRPr="00780DA0" w:rsidRDefault="006D7CF3" w:rsidP="006D7CF3">
      <w:pPr>
        <w:bidi w:val="0"/>
        <w:spacing w:before="120" w:after="120" w:line="240" w:lineRule="auto"/>
        <w:ind w:firstLine="720"/>
        <w:jc w:val="center"/>
        <w:rPr>
          <w:rFonts w:asciiTheme="majorBidi" w:hAnsiTheme="majorBidi" w:cstheme="majorBidi"/>
          <w:color w:val="000000" w:themeColor="text1"/>
          <w:sz w:val="28"/>
          <w:szCs w:val="28"/>
          <w:rtl/>
        </w:rPr>
      </w:pPr>
    </w:p>
    <w:p w14:paraId="42AE1825" w14:textId="77777777" w:rsidR="006D7CF3" w:rsidRDefault="00340B1C" w:rsidP="006D7CF3">
      <w:pPr>
        <w:bidi w:val="0"/>
        <w:spacing w:before="120" w:after="120" w:line="240" w:lineRule="auto"/>
        <w:jc w:val="center"/>
        <w:rPr>
          <w:rFonts w:asciiTheme="majorBidi" w:hAnsiTheme="majorBidi" w:cstheme="majorBidi"/>
          <w:b/>
          <w:bCs/>
          <w:color w:val="000000" w:themeColor="text1"/>
          <w:sz w:val="28"/>
          <w:szCs w:val="28"/>
        </w:rPr>
      </w:pPr>
      <w:r w:rsidRPr="00780DA0">
        <w:rPr>
          <w:rFonts w:asciiTheme="majorBidi" w:hAnsiTheme="majorBidi" w:cstheme="majorBidi"/>
          <w:b/>
          <w:bCs/>
          <w:color w:val="000000" w:themeColor="text1"/>
          <w:sz w:val="28"/>
          <w:szCs w:val="28"/>
        </w:rPr>
        <w:t>Supervised by:</w:t>
      </w:r>
    </w:p>
    <w:p w14:paraId="647AE62D" w14:textId="77777777" w:rsidR="00500D11" w:rsidRPr="00500D11" w:rsidRDefault="00500D11" w:rsidP="00500D11">
      <w:pPr>
        <w:bidi w:val="0"/>
        <w:spacing w:before="120" w:after="120" w:line="240" w:lineRule="auto"/>
        <w:jc w:val="center"/>
        <w:rPr>
          <w:rFonts w:ascii="Times New Roman" w:hAnsi="Times New Roman" w:cs="Times New Roman"/>
          <w:color w:val="000000" w:themeColor="text1"/>
          <w:kern w:val="0"/>
          <w:sz w:val="24"/>
          <w:szCs w:val="24"/>
          <w14:ligatures w14:val="none"/>
        </w:rPr>
      </w:pPr>
      <w:r w:rsidRPr="00500D11">
        <w:rPr>
          <w:rFonts w:ascii="Times New Roman" w:hAnsi="Times New Roman" w:cs="Times New Roman"/>
          <w:color w:val="000000" w:themeColor="text1"/>
          <w:kern w:val="0"/>
          <w:sz w:val="24"/>
          <w:szCs w:val="24"/>
          <w14:ligatures w14:val="none"/>
        </w:rPr>
        <w:t>Dr. Al-Faisal Abdulhamid</w:t>
      </w:r>
    </w:p>
    <w:p w14:paraId="3458CDB8" w14:textId="59DD3F96" w:rsidR="00340B1C" w:rsidRPr="00780DA0" w:rsidRDefault="00500D11" w:rsidP="00500D11">
      <w:pPr>
        <w:bidi w:val="0"/>
        <w:spacing w:before="120" w:after="120" w:line="240" w:lineRule="auto"/>
        <w:jc w:val="center"/>
        <w:rPr>
          <w:rFonts w:asciiTheme="majorBidi" w:hAnsiTheme="majorBidi" w:cstheme="majorBidi"/>
          <w:color w:val="000000" w:themeColor="text1"/>
          <w:sz w:val="28"/>
          <w:szCs w:val="28"/>
        </w:rPr>
      </w:pPr>
      <w:r w:rsidRPr="00500D11">
        <w:rPr>
          <w:rFonts w:ascii="Times New Roman" w:hAnsi="Times New Roman" w:cs="Times New Roman"/>
          <w:color w:val="000000" w:themeColor="text1"/>
          <w:kern w:val="0"/>
          <w:sz w:val="24"/>
          <w:szCs w:val="24"/>
          <w14:ligatures w14:val="none"/>
        </w:rPr>
        <w:t xml:space="preserve">Dr. </w:t>
      </w:r>
      <w:proofErr w:type="spellStart"/>
      <w:r w:rsidRPr="00500D11">
        <w:rPr>
          <w:rFonts w:ascii="Times New Roman" w:hAnsi="Times New Roman" w:cs="Times New Roman"/>
          <w:color w:val="000000" w:themeColor="text1"/>
          <w:kern w:val="0"/>
          <w:sz w:val="24"/>
          <w:szCs w:val="24"/>
          <w14:ligatures w14:val="none"/>
        </w:rPr>
        <w:t>Fayes</w:t>
      </w:r>
      <w:proofErr w:type="spellEnd"/>
      <w:r w:rsidRPr="00500D11">
        <w:rPr>
          <w:rFonts w:ascii="Times New Roman" w:hAnsi="Times New Roman" w:cs="Times New Roman"/>
          <w:color w:val="000000" w:themeColor="text1"/>
          <w:kern w:val="0"/>
          <w:sz w:val="24"/>
          <w:szCs w:val="24"/>
          <w14:ligatures w14:val="none"/>
        </w:rPr>
        <w:t xml:space="preserve"> Jarad</w:t>
      </w:r>
    </w:p>
    <w:p w14:paraId="7F8BCE22" w14:textId="77777777" w:rsidR="008C2904" w:rsidRPr="00780DA0" w:rsidRDefault="008C2904" w:rsidP="008C2904">
      <w:pPr>
        <w:bidi w:val="0"/>
        <w:spacing w:before="120" w:after="120" w:line="240" w:lineRule="auto"/>
        <w:ind w:firstLine="720"/>
        <w:jc w:val="center"/>
        <w:rPr>
          <w:rFonts w:asciiTheme="majorBidi" w:hAnsiTheme="majorBidi" w:cstheme="majorBidi"/>
          <w:color w:val="000000" w:themeColor="text1"/>
          <w:sz w:val="28"/>
          <w:szCs w:val="28"/>
          <w:rtl/>
        </w:rPr>
      </w:pPr>
    </w:p>
    <w:p w14:paraId="7A57CC98" w14:textId="77777777" w:rsidR="00F81CDB" w:rsidRPr="00780DA0" w:rsidRDefault="00F81CDB" w:rsidP="00F81CDB">
      <w:pPr>
        <w:bidi w:val="0"/>
        <w:spacing w:before="120" w:after="120" w:line="240" w:lineRule="auto"/>
        <w:ind w:firstLine="720"/>
        <w:jc w:val="center"/>
        <w:rPr>
          <w:rFonts w:asciiTheme="majorBidi" w:hAnsiTheme="majorBidi" w:cstheme="majorBidi"/>
          <w:color w:val="000000" w:themeColor="text1"/>
          <w:sz w:val="28"/>
          <w:szCs w:val="28"/>
          <w:rtl/>
        </w:rPr>
      </w:pPr>
    </w:p>
    <w:p w14:paraId="6AF988E7" w14:textId="77777777" w:rsidR="006D7CF3" w:rsidRDefault="00340B1C" w:rsidP="006D7CF3">
      <w:pPr>
        <w:bidi w:val="0"/>
        <w:spacing w:before="120" w:after="120" w:line="240" w:lineRule="auto"/>
        <w:jc w:val="center"/>
        <w:rPr>
          <w:rFonts w:asciiTheme="majorBidi" w:hAnsiTheme="majorBidi" w:cstheme="majorBidi"/>
          <w:b/>
          <w:bCs/>
          <w:color w:val="000000" w:themeColor="text1"/>
          <w:sz w:val="28"/>
          <w:szCs w:val="28"/>
        </w:rPr>
      </w:pPr>
      <w:r w:rsidRPr="00780DA0">
        <w:rPr>
          <w:rFonts w:asciiTheme="majorBidi" w:hAnsiTheme="majorBidi" w:cstheme="majorBidi"/>
          <w:b/>
          <w:bCs/>
          <w:color w:val="000000" w:themeColor="text1"/>
          <w:sz w:val="28"/>
          <w:szCs w:val="28"/>
        </w:rPr>
        <w:t>Academic Year:</w:t>
      </w:r>
    </w:p>
    <w:p w14:paraId="05D15FFD" w14:textId="512E8464" w:rsidR="006D7CF3" w:rsidRPr="00702B6D" w:rsidRDefault="00340B1C" w:rsidP="00702B6D">
      <w:pPr>
        <w:bidi w:val="0"/>
        <w:spacing w:before="120" w:after="120" w:line="240" w:lineRule="auto"/>
        <w:jc w:val="center"/>
        <w:rPr>
          <w:rFonts w:asciiTheme="majorBidi" w:hAnsiTheme="majorBidi" w:cstheme="majorBidi"/>
          <w:b/>
          <w:bCs/>
          <w:color w:val="000000" w:themeColor="text1"/>
          <w:sz w:val="28"/>
          <w:szCs w:val="28"/>
          <w:rtl/>
        </w:rPr>
        <w:sectPr w:rsidR="006D7CF3" w:rsidRPr="00702B6D" w:rsidSect="006D7CF3">
          <w:pgSz w:w="11906" w:h="16838"/>
          <w:pgMar w:top="1440" w:right="1440" w:bottom="1440" w:left="1440" w:header="706" w:footer="706" w:gutter="0"/>
          <w:pgNumType w:start="1"/>
          <w:cols w:space="708"/>
          <w:bidi/>
          <w:rtlGutter/>
          <w:docGrid w:linePitch="360"/>
        </w:sectPr>
      </w:pPr>
      <w:r w:rsidRPr="00780DA0">
        <w:rPr>
          <w:rFonts w:asciiTheme="majorBidi" w:hAnsiTheme="majorBidi" w:cstheme="majorBidi"/>
          <w:color w:val="000000" w:themeColor="text1"/>
          <w:sz w:val="28"/>
          <w:szCs w:val="28"/>
        </w:rPr>
        <w:t>202</w:t>
      </w:r>
      <w:r w:rsidR="00702B6D">
        <w:rPr>
          <w:rFonts w:asciiTheme="majorBidi" w:hAnsiTheme="majorBidi" w:cstheme="majorBidi"/>
          <w:color w:val="000000" w:themeColor="text1"/>
          <w:sz w:val="28"/>
          <w:szCs w:val="28"/>
        </w:rPr>
        <w:t>5</w:t>
      </w:r>
    </w:p>
    <w:p w14:paraId="5883E352" w14:textId="77777777" w:rsidR="00B01824" w:rsidRPr="00B01824" w:rsidRDefault="00B01824" w:rsidP="00B01824">
      <w:pPr>
        <w:spacing w:line="480" w:lineRule="auto"/>
        <w:jc w:val="both"/>
        <w:rPr>
          <w:rFonts w:asciiTheme="majorBidi" w:hAnsiTheme="majorBidi" w:cstheme="majorBidi" w:hint="cs"/>
          <w:sz w:val="24"/>
          <w:szCs w:val="24"/>
        </w:rPr>
      </w:pPr>
    </w:p>
    <w:p w14:paraId="54DF8774" w14:textId="2D6E7030" w:rsidR="000B6AD6" w:rsidRPr="00B01824" w:rsidRDefault="000B6AD6" w:rsidP="00B01824">
      <w:pPr>
        <w:pStyle w:val="1"/>
        <w:bidi w:val="0"/>
        <w:spacing w:line="480" w:lineRule="auto"/>
        <w:jc w:val="center"/>
        <w:rPr>
          <w:rFonts w:asciiTheme="majorBidi" w:hAnsiTheme="majorBidi"/>
          <w:b/>
          <w:bCs/>
          <w:sz w:val="36"/>
          <w:szCs w:val="36"/>
        </w:rPr>
      </w:pPr>
      <w:bookmarkStart w:id="0" w:name="_Toc213479318"/>
      <w:r w:rsidRPr="00B01824">
        <w:rPr>
          <w:rFonts w:asciiTheme="majorBidi" w:hAnsiTheme="majorBidi"/>
          <w:b/>
          <w:bCs/>
          <w:sz w:val="36"/>
          <w:szCs w:val="36"/>
        </w:rPr>
        <w:t>CHAPTER 1: INTRODUCTION</w:t>
      </w:r>
      <w:bookmarkEnd w:id="0"/>
    </w:p>
    <w:p w14:paraId="2CCF6257" w14:textId="572B2FEA" w:rsidR="000B6AD6" w:rsidRPr="00B01824" w:rsidRDefault="000B6AD6" w:rsidP="00B01824">
      <w:pPr>
        <w:pStyle w:val="2"/>
        <w:bidi w:val="0"/>
        <w:spacing w:line="480" w:lineRule="auto"/>
        <w:rPr>
          <w:rFonts w:asciiTheme="majorBidi" w:hAnsiTheme="majorBidi"/>
          <w:b/>
          <w:bCs/>
          <w:sz w:val="24"/>
          <w:szCs w:val="24"/>
        </w:rPr>
      </w:pPr>
      <w:bookmarkStart w:id="1" w:name="_Toc213479319"/>
      <w:r w:rsidRPr="00B01824">
        <w:rPr>
          <w:rFonts w:asciiTheme="majorBidi" w:hAnsiTheme="majorBidi"/>
          <w:b/>
          <w:bCs/>
          <w:sz w:val="24"/>
          <w:szCs w:val="24"/>
        </w:rPr>
        <w:t>Background</w:t>
      </w:r>
      <w:bookmarkEnd w:id="1"/>
    </w:p>
    <w:p w14:paraId="1E5C6242" w14:textId="00D2A9F9"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rate at which the environmental demands and green supply chain decision-making are converging has put green logistics in the center of the modern sustainability scholarship and practice. The concept of green logistics, which can be described as the combination of planning, operational and strategic interventions designed to </w:t>
      </w:r>
      <w:proofErr w:type="spellStart"/>
      <w:r w:rsidRPr="00B01824">
        <w:rPr>
          <w:rFonts w:asciiTheme="majorBidi" w:hAnsiTheme="majorBidi" w:cstheme="majorBidi"/>
          <w:sz w:val="24"/>
          <w:szCs w:val="24"/>
        </w:rPr>
        <w:t>minimise</w:t>
      </w:r>
      <w:proofErr w:type="spellEnd"/>
      <w:r w:rsidRPr="00B01824">
        <w:rPr>
          <w:rFonts w:asciiTheme="majorBidi" w:hAnsiTheme="majorBidi" w:cstheme="majorBidi"/>
          <w:sz w:val="24"/>
          <w:szCs w:val="24"/>
        </w:rPr>
        <w:t xml:space="preserve"> the environmental footprint of logistics operations, </w:t>
      </w:r>
      <w:proofErr w:type="gramStart"/>
      <w:r w:rsidRPr="00B01824">
        <w:rPr>
          <w:rFonts w:asciiTheme="majorBidi" w:hAnsiTheme="majorBidi" w:cstheme="majorBidi"/>
          <w:sz w:val="24"/>
          <w:szCs w:val="24"/>
        </w:rPr>
        <w:t>is getting</w:t>
      </w:r>
      <w:proofErr w:type="gramEnd"/>
      <w:r w:rsidRPr="00B01824">
        <w:rPr>
          <w:rFonts w:asciiTheme="majorBidi" w:hAnsiTheme="majorBidi" w:cstheme="majorBidi"/>
          <w:sz w:val="24"/>
          <w:szCs w:val="24"/>
        </w:rPr>
        <w:t xml:space="preserve"> recognized not only as an operational improvement but a strategic tool to influence corporate environmental performance and social wellbeing (Blanco &amp; Sheffi, 2024; Nagy &amp; Szentesi, 2024). This shift indicates a greater regulatory pressure, stakeholder scrutiny, and economic risks of climate change, which compel companies to reconsider procurement, distribution, reverse logistics and transportation decisions through the prism of ecology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Bukhari et al., 2023). Although there is a general agreement on the significance of green logistics, empirical research has shown that it is currently being implemented in a piecemeal and uneven fashion across industries and </w:t>
      </w:r>
      <w:proofErr w:type="gramStart"/>
      <w:r w:rsidRPr="00B01824">
        <w:rPr>
          <w:rFonts w:asciiTheme="majorBidi" w:hAnsiTheme="majorBidi" w:cstheme="majorBidi"/>
          <w:sz w:val="24"/>
          <w:szCs w:val="24"/>
        </w:rPr>
        <w:t>geographies, and</w:t>
      </w:r>
      <w:proofErr w:type="gramEnd"/>
      <w:r w:rsidRPr="00B01824">
        <w:rPr>
          <w:rFonts w:asciiTheme="majorBidi" w:hAnsiTheme="majorBidi" w:cstheme="majorBidi"/>
          <w:sz w:val="24"/>
          <w:szCs w:val="24"/>
        </w:rPr>
        <w:t xml:space="preserve"> therefore necessitating the need to appreciate the barriers and enabling factors that govern its implementation.</w:t>
      </w:r>
    </w:p>
    <w:p w14:paraId="59322DC8" w14:textId="77777777" w:rsidR="000B6AD6" w:rsidRPr="00B01824" w:rsidRDefault="000B6AD6" w:rsidP="00B01824">
      <w:pPr>
        <w:bidi w:val="0"/>
        <w:spacing w:line="480" w:lineRule="auto"/>
        <w:jc w:val="both"/>
        <w:rPr>
          <w:rFonts w:asciiTheme="majorBidi" w:hAnsiTheme="majorBidi" w:cstheme="majorBidi"/>
          <w:sz w:val="24"/>
          <w:szCs w:val="24"/>
          <w:rtl/>
        </w:rPr>
      </w:pPr>
      <w:r w:rsidRPr="00B01824">
        <w:rPr>
          <w:rFonts w:asciiTheme="majorBidi" w:hAnsiTheme="majorBidi" w:cstheme="majorBidi"/>
          <w:sz w:val="24"/>
          <w:szCs w:val="24"/>
        </w:rPr>
        <w:t xml:space="preserve">Green logistics at the technical and systems level is closely connected to the principles of the closed-loop supply chain design that </w:t>
      </w:r>
      <w:proofErr w:type="spellStart"/>
      <w:r w:rsidRPr="00B01824">
        <w:rPr>
          <w:rFonts w:asciiTheme="majorBidi" w:hAnsiTheme="majorBidi" w:cstheme="majorBidi"/>
          <w:sz w:val="24"/>
          <w:szCs w:val="24"/>
        </w:rPr>
        <w:t>prioritises</w:t>
      </w:r>
      <w:proofErr w:type="spellEnd"/>
      <w:r w:rsidRPr="00B01824">
        <w:rPr>
          <w:rFonts w:asciiTheme="majorBidi" w:hAnsiTheme="majorBidi" w:cstheme="majorBidi"/>
          <w:sz w:val="24"/>
          <w:szCs w:val="24"/>
        </w:rPr>
        <w:t xml:space="preserve"> the recirculation of materials, </w:t>
      </w:r>
      <w:proofErr w:type="spellStart"/>
      <w:r w:rsidRPr="00B01824">
        <w:rPr>
          <w:rFonts w:asciiTheme="majorBidi" w:hAnsiTheme="majorBidi" w:cstheme="majorBidi"/>
          <w:sz w:val="24"/>
          <w:szCs w:val="24"/>
        </w:rPr>
        <w:t>minimisation</w:t>
      </w:r>
      <w:proofErr w:type="spellEnd"/>
      <w:r w:rsidRPr="00B01824">
        <w:rPr>
          <w:rFonts w:asciiTheme="majorBidi" w:hAnsiTheme="majorBidi" w:cstheme="majorBidi"/>
          <w:sz w:val="24"/>
          <w:szCs w:val="24"/>
        </w:rPr>
        <w:t xml:space="preserve"> of waste and the responsibility of the life cycle of a product (Andrushchak, 2018; de Jesus, Alves, and Mendes, 2024). The possibility of environmentally sustainable network design, such as reverse logistics design and order allocation systems, to reduce emissions and resource use in the face of uncertainty has been demonstrated through optimization and robust modelling studies (Ahmed et al., 2020; Mirzaee, </w:t>
      </w:r>
      <w:proofErr w:type="spellStart"/>
      <w:r w:rsidRPr="00B01824">
        <w:rPr>
          <w:rFonts w:asciiTheme="majorBidi" w:hAnsiTheme="majorBidi" w:cstheme="majorBidi"/>
          <w:sz w:val="24"/>
          <w:szCs w:val="24"/>
        </w:rPr>
        <w:t>Samarghandi</w:t>
      </w:r>
      <w:proofErr w:type="spellEnd"/>
      <w:r w:rsidRPr="00B01824">
        <w:rPr>
          <w:rFonts w:asciiTheme="majorBidi" w:hAnsiTheme="majorBidi" w:cstheme="majorBidi"/>
          <w:sz w:val="24"/>
          <w:szCs w:val="24"/>
        </w:rPr>
        <w:t xml:space="preserve">, and Willoughby, 2023). These quantitative </w:t>
      </w:r>
      <w:r w:rsidRPr="00B01824">
        <w:rPr>
          <w:rFonts w:asciiTheme="majorBidi" w:hAnsiTheme="majorBidi" w:cstheme="majorBidi"/>
          <w:sz w:val="24"/>
          <w:szCs w:val="24"/>
        </w:rPr>
        <w:lastRenderedPageBreak/>
        <w:t>contributions cannot be ignored to prove that it is feasible and inform policy tools (e.g. cap-and-trade) that transform procurement and distribution decisions (Mirzaee et al., 2023; Ahmed et al., 2020). Nevertheless, technical feasibility does not necessarily translate into practical implementation: socio-</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w:t>
      </w:r>
      <w:proofErr w:type="spellStart"/>
      <w:r w:rsidRPr="00B01824">
        <w:rPr>
          <w:rFonts w:asciiTheme="majorBidi" w:hAnsiTheme="majorBidi" w:cstheme="majorBidi"/>
          <w:sz w:val="24"/>
          <w:szCs w:val="24"/>
        </w:rPr>
        <w:t>behavioural</w:t>
      </w:r>
      <w:proofErr w:type="spellEnd"/>
      <w:r w:rsidRPr="00B01824">
        <w:rPr>
          <w:rFonts w:asciiTheme="majorBidi" w:hAnsiTheme="majorBidi" w:cstheme="majorBidi"/>
          <w:sz w:val="24"/>
          <w:szCs w:val="24"/>
        </w:rPr>
        <w:t xml:space="preserve"> and institutional factors often intervene in the translation into finance, implementation and scale of technically optimal configurations (de Jesus et al., 2024).</w:t>
      </w:r>
    </w:p>
    <w:p w14:paraId="7513272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complementary empirical studies have recorded the operational and environmental advantage that will accrue upon successfully introducing green logistics practices in the management of the supply chain. Research indicates that traceability systems, coherent performance measurement systems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logistics orientations increase transparency in overall material flows and emissions, which allows targeted interventions to increase both sustainability and performance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Khoa et al., 2024). Specifically, supply chain traceability enables engagement and corrective response with suppliers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management redefines decision criteria to internalize environmental externalities in the logistics plan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-Mensah et al., 2021). However, these benefits are also dependent on the firm-level ability, market structures and maturity of the infrastructure that supports them, meaning that the gains observed are often context-dependent (Blanco and Sheffi, 2024; Khoa et al., 2024).</w:t>
      </w:r>
    </w:p>
    <w:p w14:paraId="7AD1C04E"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Another strong literature has also listed the frequent obstacles limiting the implementation of green logistics. Financial reasons, particularly, steep initial capital investments needed to support low-emission technologies and infrastructure, are a common characteristic and so is the lack of managerial interest, technical competence and regulatory complexity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&amp;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&amp; Narwal, 2016). Comparative studies show that companies in emerging or transitional economies encounter more faced challenges in accessing finance and regulatory support, and companies in more regulated markets have to deal with compliance burdens and </w:t>
      </w:r>
      <w:r w:rsidRPr="00B01824">
        <w:rPr>
          <w:rFonts w:asciiTheme="majorBidi" w:hAnsiTheme="majorBidi" w:cstheme="majorBidi"/>
          <w:sz w:val="24"/>
          <w:szCs w:val="24"/>
        </w:rPr>
        <w:lastRenderedPageBreak/>
        <w:t xml:space="preserve">competitive pressures which can either motivate or hinder the process of green transitions (Esen &amp; El Barky, 2017;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These works underscore the idea that the barriers are multifaceted and interdependent and that they create path-dependent adoption patterns, which cannot be readily explained as causal.</w:t>
      </w:r>
    </w:p>
    <w:p w14:paraId="5BCB78EE"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Transport and delivery systems represent a unique and acute bunch of challenges. Technological </w:t>
      </w:r>
      <w:proofErr w:type="spellStart"/>
      <w:r w:rsidRPr="00B01824">
        <w:rPr>
          <w:rFonts w:asciiTheme="majorBidi" w:hAnsiTheme="majorBidi" w:cstheme="majorBidi"/>
          <w:sz w:val="24"/>
          <w:szCs w:val="24"/>
        </w:rPr>
        <w:t>immaturety</w:t>
      </w:r>
      <w:proofErr w:type="spellEnd"/>
      <w:r w:rsidRPr="00B01824">
        <w:rPr>
          <w:rFonts w:asciiTheme="majorBidi" w:hAnsiTheme="majorBidi" w:cstheme="majorBidi"/>
          <w:sz w:val="24"/>
          <w:szCs w:val="24"/>
        </w:rPr>
        <w:t xml:space="preserve"> of zero-emission vehicles, incomplete charging and </w:t>
      </w:r>
      <w:proofErr w:type="spellStart"/>
      <w:r w:rsidRPr="00B01824">
        <w:rPr>
          <w:rFonts w:asciiTheme="majorBidi" w:hAnsiTheme="majorBidi" w:cstheme="majorBidi"/>
          <w:sz w:val="24"/>
          <w:szCs w:val="24"/>
        </w:rPr>
        <w:t>refuelling</w:t>
      </w:r>
      <w:proofErr w:type="spellEnd"/>
      <w:r w:rsidRPr="00B01824">
        <w:rPr>
          <w:rFonts w:asciiTheme="majorBidi" w:hAnsiTheme="majorBidi" w:cstheme="majorBidi"/>
          <w:sz w:val="24"/>
          <w:szCs w:val="24"/>
        </w:rPr>
        <w:t xml:space="preserve"> systems, and the division of the provider networks all present a challenge to the logistics and transport industry when trying to </w:t>
      </w:r>
      <w:proofErr w:type="spellStart"/>
      <w:r w:rsidRPr="00B01824">
        <w:rPr>
          <w:rFonts w:asciiTheme="majorBidi" w:hAnsiTheme="majorBidi" w:cstheme="majorBidi"/>
          <w:sz w:val="24"/>
          <w:szCs w:val="24"/>
        </w:rPr>
        <w:t>decarbonise</w:t>
      </w:r>
      <w:proofErr w:type="spellEnd"/>
      <w:r w:rsidRPr="00B01824">
        <w:rPr>
          <w:rFonts w:asciiTheme="majorBidi" w:hAnsiTheme="majorBidi" w:cstheme="majorBidi"/>
          <w:sz w:val="24"/>
          <w:szCs w:val="24"/>
        </w:rPr>
        <w:t xml:space="preserve"> the travel industry (Bukhari et al., 2023). Logistics service providers are on a trade-off between reliability in delivery, cost competitiveness and environmental performance, and demand patterns by clients and aversion of managers to risk determine the rate of green innovation adoption (Isaksson, </w:t>
      </w:r>
      <w:proofErr w:type="spellStart"/>
      <w:r w:rsidRPr="00B01824">
        <w:rPr>
          <w:rFonts w:asciiTheme="majorBidi" w:hAnsiTheme="majorBidi" w:cstheme="majorBidi"/>
          <w:sz w:val="24"/>
          <w:szCs w:val="24"/>
        </w:rPr>
        <w:t>Bjornklund</w:t>
      </w:r>
      <w:proofErr w:type="spellEnd"/>
      <w:r w:rsidRPr="00B01824">
        <w:rPr>
          <w:rFonts w:asciiTheme="majorBidi" w:hAnsiTheme="majorBidi" w:cstheme="majorBidi"/>
          <w:sz w:val="24"/>
          <w:szCs w:val="24"/>
        </w:rPr>
        <w:t>, Evangelista, and Huge-Brodin, 2011). The policy tools, including carbon pricing and cap-and-trade, also complicate the choice of suppliers and routing in that requiring integrated models and multi-stakeholder coordinated efforts to balance competing goals (Mirzaee et al., 2023; Ahmed et al., 2020).</w:t>
      </w:r>
    </w:p>
    <w:p w14:paraId="27EB216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Reviews and meta-analyses of the literature highlight a gap in the methodological and </w:t>
      </w:r>
      <w:proofErr w:type="spellStart"/>
      <w:r w:rsidRPr="00B01824">
        <w:rPr>
          <w:rFonts w:asciiTheme="majorBidi" w:hAnsiTheme="majorBidi" w:cstheme="majorBidi"/>
          <w:sz w:val="24"/>
          <w:szCs w:val="24"/>
        </w:rPr>
        <w:t>conceptualisation</w:t>
      </w:r>
      <w:proofErr w:type="spellEnd"/>
      <w:r w:rsidRPr="00B01824">
        <w:rPr>
          <w:rFonts w:asciiTheme="majorBidi" w:hAnsiTheme="majorBidi" w:cstheme="majorBidi"/>
          <w:sz w:val="24"/>
          <w:szCs w:val="24"/>
        </w:rPr>
        <w:t xml:space="preserve"> since the current corpus is abundant in technical models and descriptive lists of drivers and barriers, but it does not offer integrative frameworks by which the interaction of technical,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and contextual determinants between levels of analysis can be mapped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&amp; Narwal, 2016; de Jesus et al., 2024). Optimization studies help to understand what can be done under controlled assumptions (Ahmed et al., 2020; Mirzaee et al., 2023), whereas empirical reviews demonstrate recurrent obstacles and facilitators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However, there is a relative lack of agreement concerning the configurational arrangements - combinations of capabilities, governance structures and </w:t>
      </w:r>
      <w:r w:rsidRPr="00B01824">
        <w:rPr>
          <w:rFonts w:asciiTheme="majorBidi" w:hAnsiTheme="majorBidi" w:cstheme="majorBidi"/>
          <w:sz w:val="24"/>
          <w:szCs w:val="24"/>
        </w:rPr>
        <w:lastRenderedPageBreak/>
        <w:t>external supports - that are repeatedly present whenever successful green logistics transitions occur in varied contexts (Nagy &amp; Szentesi, 2024).</w:t>
      </w:r>
    </w:p>
    <w:p w14:paraId="026CFED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Considering this background, this paper will take qualitative descriptive as a research design to further understand the barriers and issues that affect the green logistics strategies and also develop a coherent conceptual framework that will be used to inform theory and practice. The methodological suitability of qualitative descriptive approach is that it is able to make systematic, context-related description of the stakeholder experiences, decision heuristics and institutional constraint without the restrictive theoretical preconceptions (de Jesus et al., 2024). The study takes a synthesis of insights on optimization and closed-loop modelling, empirical evaluations of traceability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practices, as well as an extensive literature on drivers and barriers to give a rich empirical description (Ahmed et al., 2020;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&amp;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and Narwal, 2016).</w:t>
      </w:r>
    </w:p>
    <w:p w14:paraId="2A79BEE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Finally, such a study aims at making a practical </w:t>
      </w:r>
      <w:proofErr w:type="spellStart"/>
      <w:r w:rsidRPr="00B01824">
        <w:rPr>
          <w:rFonts w:asciiTheme="majorBidi" w:hAnsiTheme="majorBidi" w:cstheme="majorBidi"/>
          <w:sz w:val="24"/>
          <w:szCs w:val="24"/>
        </w:rPr>
        <w:t>conceptualisation</w:t>
      </w:r>
      <w:proofErr w:type="spellEnd"/>
      <w:r w:rsidRPr="00B01824">
        <w:rPr>
          <w:rFonts w:asciiTheme="majorBidi" w:hAnsiTheme="majorBidi" w:cstheme="majorBidi"/>
          <w:sz w:val="24"/>
          <w:szCs w:val="24"/>
        </w:rPr>
        <w:t xml:space="preserve"> to bridge the gap between technical opportunities and socio-institutional realities that help managers, </w:t>
      </w:r>
      <w:proofErr w:type="gramStart"/>
      <w:r w:rsidRPr="00B01824">
        <w:rPr>
          <w:rFonts w:asciiTheme="majorBidi" w:hAnsiTheme="majorBidi" w:cstheme="majorBidi"/>
          <w:sz w:val="24"/>
          <w:szCs w:val="24"/>
        </w:rPr>
        <w:t>policy-makers</w:t>
      </w:r>
      <w:proofErr w:type="gramEnd"/>
      <w:r w:rsidRPr="00B01824">
        <w:rPr>
          <w:rFonts w:asciiTheme="majorBidi" w:hAnsiTheme="majorBidi" w:cstheme="majorBidi"/>
          <w:sz w:val="24"/>
          <w:szCs w:val="24"/>
        </w:rPr>
        <w:t xml:space="preserve"> and logistics service providers leverage points </w:t>
      </w:r>
      <w:proofErr w:type="gramStart"/>
      <w:r w:rsidRPr="00B01824">
        <w:rPr>
          <w:rFonts w:asciiTheme="majorBidi" w:hAnsiTheme="majorBidi" w:cstheme="majorBidi"/>
          <w:sz w:val="24"/>
          <w:szCs w:val="24"/>
        </w:rPr>
        <w:t>in an attempt to</w:t>
      </w:r>
      <w:proofErr w:type="gramEnd"/>
      <w:r w:rsidRPr="00B01824">
        <w:rPr>
          <w:rFonts w:asciiTheme="majorBidi" w:hAnsiTheme="majorBidi" w:cstheme="majorBidi"/>
          <w:sz w:val="24"/>
          <w:szCs w:val="24"/>
        </w:rPr>
        <w:t xml:space="preserve"> hasten the process towards sustainability. Combining the results of various strands of literature - such as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cyclic economy connections, empirical performance literature and comparative barrier examinations - the study hopes to provide a consistent map on how logistics activities can be transformed in a way that can be environmentally efficient and operationally feasible (Andrushchak, 2018; Blanco et al., 2024; Bukhari et al., 2023; Isaksson et al., 2011; Khoa et al., 2024; Mirzaee et al</w:t>
      </w:r>
    </w:p>
    <w:p w14:paraId="1B9D3EE6" w14:textId="77777777" w:rsidR="000B6AD6" w:rsidRPr="00B01824" w:rsidRDefault="000B6AD6" w:rsidP="00B01824">
      <w:pPr>
        <w:pStyle w:val="2"/>
        <w:bidi w:val="0"/>
        <w:spacing w:line="480" w:lineRule="auto"/>
        <w:rPr>
          <w:rFonts w:asciiTheme="majorBidi" w:hAnsiTheme="majorBidi"/>
          <w:b/>
          <w:bCs/>
          <w:sz w:val="24"/>
          <w:szCs w:val="24"/>
        </w:rPr>
      </w:pPr>
      <w:bookmarkStart w:id="2" w:name="_Toc213479320"/>
      <w:r w:rsidRPr="00B01824">
        <w:rPr>
          <w:rFonts w:asciiTheme="majorBidi" w:hAnsiTheme="majorBidi"/>
          <w:b/>
          <w:bCs/>
          <w:sz w:val="24"/>
          <w:szCs w:val="24"/>
        </w:rPr>
        <w:t>Problem Statement</w:t>
      </w:r>
      <w:bookmarkEnd w:id="2"/>
    </w:p>
    <w:p w14:paraId="7A82B0A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gap that led to the problem of this work is </w:t>
      </w:r>
      <w:proofErr w:type="gramStart"/>
      <w:r w:rsidRPr="00B01824">
        <w:rPr>
          <w:rFonts w:asciiTheme="majorBidi" w:hAnsiTheme="majorBidi" w:cstheme="majorBidi"/>
          <w:sz w:val="24"/>
          <w:szCs w:val="24"/>
        </w:rPr>
        <w:t>due to the fact that</w:t>
      </w:r>
      <w:proofErr w:type="gramEnd"/>
      <w:r w:rsidRPr="00B01824">
        <w:rPr>
          <w:rFonts w:asciiTheme="majorBidi" w:hAnsiTheme="majorBidi" w:cstheme="majorBidi"/>
          <w:sz w:val="24"/>
          <w:szCs w:val="24"/>
        </w:rPr>
        <w:t xml:space="preserve"> despite the consistent theoretical advances in green logistics, there is a continuous and consequential disparity </w:t>
      </w:r>
      <w:r w:rsidRPr="00B01824">
        <w:rPr>
          <w:rFonts w:asciiTheme="majorBidi" w:hAnsiTheme="majorBidi" w:cstheme="majorBidi"/>
          <w:sz w:val="24"/>
          <w:szCs w:val="24"/>
        </w:rPr>
        <w:lastRenderedPageBreak/>
        <w:t xml:space="preserve">between the theoretical advances and the uneven and sometimes limited application of such advancements in operational supply chain. In recent years, researchers have developed advanced models and actionable prescriptions of closed-loop network design, reverse logistics, and low-emission transportation solution, which theoretically can help achieve large amounts of environmental externalities reduction. However, in </w:t>
      </w:r>
      <w:proofErr w:type="gramStart"/>
      <w:r w:rsidRPr="00B01824">
        <w:rPr>
          <w:rFonts w:asciiTheme="majorBidi" w:hAnsiTheme="majorBidi" w:cstheme="majorBidi"/>
          <w:sz w:val="24"/>
          <w:szCs w:val="24"/>
        </w:rPr>
        <w:t>most of the</w:t>
      </w:r>
      <w:proofErr w:type="gramEnd"/>
      <w:r w:rsidRPr="00B01824">
        <w:rPr>
          <w:rFonts w:asciiTheme="majorBidi" w:hAnsiTheme="majorBidi" w:cstheme="majorBidi"/>
          <w:sz w:val="24"/>
          <w:szCs w:val="24"/>
        </w:rPr>
        <w:t xml:space="preserve"> real-life situations these solutions are still partial, fragmented or limited to pilot projects instead of being extended to standard procedures within firms and industries. This disjunction cannot be simply described as technical; it represents an intricate complex of financial, institutional, organizational and infrastructural circumstances which limit the process of transferring technically viable designs into enduring managerial practice and system-wide alteration.</w:t>
      </w:r>
    </w:p>
    <w:p w14:paraId="02BFF23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Probably one of the most common-mentioned restrictions are financial factors: organizations, especially small and medium enterprises, must find reasons as to why investing capital in green automobiles, warehouse modernization, digital traceability infrastructure, or redone distribution networks would be cost-effective. The problematic aspect of these investments also include the uncertainty of returns, inconsistent planning horizons as well as operational priorities that encourage minimum costs in the long-term environmental gains. The problem is exacerbated by institutional and regulatory ambiguity; where policy regimes are either weak, inconsistent or even </w:t>
      </w:r>
      <w:proofErr w:type="gramStart"/>
      <w:r w:rsidRPr="00B01824">
        <w:rPr>
          <w:rFonts w:asciiTheme="majorBidi" w:hAnsiTheme="majorBidi" w:cstheme="majorBidi"/>
          <w:sz w:val="24"/>
          <w:szCs w:val="24"/>
        </w:rPr>
        <w:t>evolving</w:t>
      </w:r>
      <w:proofErr w:type="gramEnd"/>
      <w:r w:rsidRPr="00B01824">
        <w:rPr>
          <w:rFonts w:asciiTheme="majorBidi" w:hAnsiTheme="majorBidi" w:cstheme="majorBidi"/>
          <w:sz w:val="24"/>
          <w:szCs w:val="24"/>
        </w:rPr>
        <w:t xml:space="preserve"> rapidly, then the company risks more by putting resources into green logistics projects. On the other hand, when the new compliance costs outweigh the new compliance costs, and yet there are no incentives or subsidies to cover these costs, companies can just comply with the new regulations in a superficial manner, instead of making meaningful changes on the operational front.</w:t>
      </w:r>
    </w:p>
    <w:p w14:paraId="18BC62C8"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Management and organizational aspects also have a determining influence. The green implementation of logistics system may need cross functional integration, procurement practice modification and new performance measures, which combine both the environmental </w:t>
      </w:r>
      <w:r w:rsidRPr="00B01824">
        <w:rPr>
          <w:rFonts w:asciiTheme="majorBidi" w:hAnsiTheme="majorBidi" w:cstheme="majorBidi"/>
          <w:sz w:val="24"/>
          <w:szCs w:val="24"/>
        </w:rPr>
        <w:lastRenderedPageBreak/>
        <w:t>goal and the traditional efficiency goals. Even where the technological options are present, resistance to change, lack of managerial experience in sustainability practices, as well as internal champions can paralyze initiatives. There is also the second dimension of complexity imposed by supplier networks: supply chains are systems of interdependence where the ability of a focal firm to adopt green logistics is dependent upon the capacity and goodwill of suppliers, logistic suppliers, and downstream partners to converge around some set of common practices and information standards. Disintegration in these networks can be of a geographic nature, technological nature, or contractual nature, and hence can produce bottlenecks in them, which will dilute the potential benefits of green strategies.</w:t>
      </w:r>
    </w:p>
    <w:p w14:paraId="0E263F9E"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mediation of the viability of green logistics is further by infrastructure and sectoral characteristics. Examples of such supportive infrastructures include charging points, alternative fuel distribution networks and integrated capital logistics hubs are necessary to </w:t>
      </w:r>
      <w:proofErr w:type="spellStart"/>
      <w:r w:rsidRPr="00B01824">
        <w:rPr>
          <w:rFonts w:asciiTheme="majorBidi" w:hAnsiTheme="majorBidi" w:cstheme="majorBidi"/>
          <w:sz w:val="24"/>
          <w:szCs w:val="24"/>
        </w:rPr>
        <w:t>decarbonise</w:t>
      </w:r>
      <w:proofErr w:type="spellEnd"/>
      <w:r w:rsidRPr="00B01824">
        <w:rPr>
          <w:rFonts w:asciiTheme="majorBidi" w:hAnsiTheme="majorBidi" w:cstheme="majorBidi"/>
          <w:sz w:val="24"/>
          <w:szCs w:val="24"/>
        </w:rPr>
        <w:t xml:space="preserve"> transport. This infrastructure is also either incomplete or does not cover the full range of a region, which leads to a limitation in the operation of large-scale switching to the low-emission fleets. Also, the non-homogeneity of industries i.e. variations in the life cycle, reusing, and regulatory sensitivity of products imply that it is not practical to have one-size fits-all approach but instead have industry tailored strategies, although tailoring complicates and is costly.</w:t>
      </w:r>
    </w:p>
    <w:p w14:paraId="6C635A4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Put together, these aspects suggest that the major concern is not that there are no technical alternatives to green logistics, but that there are a series of multidimensional barriers that make such alternatives inaccessible, incompatible, and inefficient. To solve this issue, an analytic prism that transcends technical solutions in isolated form is needed to study how financial incentives, institutional structures, managerial behaviour, relationships with suppliers and infrastructural realities co-operate or not to support sustainable logistics changes. It is in the absence of </w:t>
      </w:r>
      <w:proofErr w:type="gramStart"/>
      <w:r w:rsidRPr="00B01824">
        <w:rPr>
          <w:rFonts w:asciiTheme="majorBidi" w:hAnsiTheme="majorBidi" w:cstheme="majorBidi"/>
          <w:sz w:val="24"/>
          <w:szCs w:val="24"/>
        </w:rPr>
        <w:t>such a</w:t>
      </w:r>
      <w:proofErr w:type="gramEnd"/>
      <w:r w:rsidRPr="00B01824">
        <w:rPr>
          <w:rFonts w:asciiTheme="majorBidi" w:hAnsiTheme="majorBidi" w:cstheme="majorBidi"/>
          <w:sz w:val="24"/>
          <w:szCs w:val="24"/>
        </w:rPr>
        <w:t xml:space="preserve"> comprehensive knowledge that policies and managerial interventions run the </w:t>
      </w:r>
      <w:r w:rsidRPr="00B01824">
        <w:rPr>
          <w:rFonts w:asciiTheme="majorBidi" w:hAnsiTheme="majorBidi" w:cstheme="majorBidi"/>
          <w:sz w:val="24"/>
          <w:szCs w:val="24"/>
        </w:rPr>
        <w:lastRenderedPageBreak/>
        <w:t>risk of being disengaged with the systemic barriers that they are supposed to address and thus their limitations to accomplishments.</w:t>
      </w:r>
    </w:p>
    <w:p w14:paraId="3A8B3361"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The study problem is reflected in the following question:</w:t>
      </w:r>
    </w:p>
    <w:p w14:paraId="093EE523"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What are the major barriers and facilitating circumstances that influence the adoption, assimilation, and expansion of green logistics strategies to improve environmental sustainability in the context of supply chain management and how can they be combined in a cohesive conceptual model?</w:t>
      </w:r>
    </w:p>
    <w:p w14:paraId="4CE91B79" w14:textId="77777777" w:rsidR="000B6AD6" w:rsidRPr="00B01824" w:rsidRDefault="000B6AD6" w:rsidP="00B01824">
      <w:pPr>
        <w:pStyle w:val="2"/>
        <w:bidi w:val="0"/>
        <w:spacing w:line="480" w:lineRule="auto"/>
        <w:rPr>
          <w:rFonts w:asciiTheme="majorBidi" w:hAnsiTheme="majorBidi"/>
          <w:b/>
          <w:bCs/>
          <w:sz w:val="24"/>
          <w:szCs w:val="24"/>
        </w:rPr>
      </w:pPr>
      <w:bookmarkStart w:id="3" w:name="_Toc213479321"/>
      <w:r w:rsidRPr="00B01824">
        <w:rPr>
          <w:rFonts w:asciiTheme="majorBidi" w:hAnsiTheme="majorBidi"/>
          <w:b/>
          <w:bCs/>
          <w:sz w:val="24"/>
          <w:szCs w:val="24"/>
        </w:rPr>
        <w:t>Significance of the Study</w:t>
      </w:r>
      <w:bookmarkEnd w:id="3"/>
      <w:r w:rsidRPr="00B01824">
        <w:rPr>
          <w:rFonts w:asciiTheme="majorBidi" w:hAnsiTheme="majorBidi"/>
          <w:b/>
          <w:bCs/>
          <w:sz w:val="24"/>
          <w:szCs w:val="24"/>
        </w:rPr>
        <w:t xml:space="preserve"> </w:t>
      </w:r>
    </w:p>
    <w:p w14:paraId="25CFCDCC" w14:textId="77777777" w:rsidR="000B6AD6" w:rsidRPr="00B01824" w:rsidRDefault="000B6AD6" w:rsidP="00B01824">
      <w:pPr>
        <w:pStyle w:val="3"/>
        <w:bidi w:val="0"/>
        <w:spacing w:line="480" w:lineRule="auto"/>
        <w:rPr>
          <w:rFonts w:asciiTheme="majorBidi" w:hAnsiTheme="majorBidi"/>
          <w:b/>
          <w:bCs/>
        </w:rPr>
      </w:pPr>
      <w:bookmarkStart w:id="4" w:name="_Toc213479322"/>
      <w:r w:rsidRPr="00B01824">
        <w:rPr>
          <w:rFonts w:asciiTheme="majorBidi" w:hAnsiTheme="majorBidi"/>
          <w:b/>
          <w:bCs/>
        </w:rPr>
        <w:t>Theoretical significance</w:t>
      </w:r>
      <w:bookmarkEnd w:id="4"/>
      <w:r w:rsidRPr="00B01824">
        <w:rPr>
          <w:rFonts w:asciiTheme="majorBidi" w:hAnsiTheme="majorBidi"/>
          <w:b/>
          <w:bCs/>
        </w:rPr>
        <w:t xml:space="preserve"> </w:t>
      </w:r>
    </w:p>
    <w:p w14:paraId="3016C09C"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Hypothetically, the proposed study advances the available literature by advancing an integrative knowledge on the joint development and success of green logistics strategies due to interplay of technical,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and contextual determinants. The current literature is vast but disjointed: the concept of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and closed-loop network models can be used to describe technically viable solutions to reverse logistics and supplier selection (Ahmed et al., 2020; Mirzaee, </w:t>
      </w:r>
      <w:proofErr w:type="spellStart"/>
      <w:r w:rsidRPr="00B01824">
        <w:rPr>
          <w:rFonts w:asciiTheme="majorBidi" w:hAnsiTheme="majorBidi" w:cstheme="majorBidi"/>
          <w:sz w:val="24"/>
          <w:szCs w:val="24"/>
        </w:rPr>
        <w:t>Samarghandi</w:t>
      </w:r>
      <w:proofErr w:type="spellEnd"/>
      <w:r w:rsidRPr="00B01824">
        <w:rPr>
          <w:rFonts w:asciiTheme="majorBidi" w:hAnsiTheme="majorBidi" w:cstheme="majorBidi"/>
          <w:sz w:val="24"/>
          <w:szCs w:val="24"/>
        </w:rPr>
        <w:t>, and Willoughby, 2023), and the results of empirical investigations and comparative research provide a record of how often certain causes and obstacles to green supply chain operations appear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and Narwal, 2016; Heb Nevertheless, a conceptual gap persists in mapping the interactions between these strands in their configurations, i.e. how such solutions interact with institutional incentives, managerial capabilities and infrastructural limitations in order to bring about different adoption results (de Jesus, Alves, and Mendes, 2024; Nagy and Szentesi, 2024). By considering obstacles and enabling factors as mutually dependent elements in a multi-level frame of analysis, the current research streamlines theoretical accounts of the adoption </w:t>
      </w:r>
      <w:r w:rsidRPr="00B01824">
        <w:rPr>
          <w:rFonts w:asciiTheme="majorBidi" w:hAnsiTheme="majorBidi" w:cstheme="majorBidi"/>
          <w:sz w:val="24"/>
          <w:szCs w:val="24"/>
        </w:rPr>
        <w:lastRenderedPageBreak/>
        <w:t>processes and provides suggestions regarding the processes that mediate the conversion of the technical options into habitual practice.</w:t>
      </w:r>
    </w:p>
    <w:p w14:paraId="73E7EEA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Additionally, the paper applies theory like traceability and </w:t>
      </w:r>
      <w:proofErr w:type="spellStart"/>
      <w:r w:rsidRPr="00B01824">
        <w:rPr>
          <w:rFonts w:asciiTheme="majorBidi" w:hAnsiTheme="majorBidi" w:cstheme="majorBidi"/>
          <w:sz w:val="24"/>
          <w:szCs w:val="24"/>
        </w:rPr>
        <w:t>ecocentricity</w:t>
      </w:r>
      <w:proofErr w:type="spellEnd"/>
      <w:r w:rsidRPr="00B01824">
        <w:rPr>
          <w:rFonts w:asciiTheme="majorBidi" w:hAnsiTheme="majorBidi" w:cstheme="majorBidi"/>
          <w:sz w:val="24"/>
          <w:szCs w:val="24"/>
        </w:rPr>
        <w:t xml:space="preserve"> into the contexts of wider governance and networks. Empirical studies indicate that traceability systems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management orientations enhance sustainability performance in cases where they are integrated into coordinated network of </w:t>
      </w:r>
      <w:proofErr w:type="gramStart"/>
      <w:r w:rsidRPr="00B01824">
        <w:rPr>
          <w:rFonts w:asciiTheme="majorBidi" w:hAnsiTheme="majorBidi" w:cstheme="majorBidi"/>
          <w:sz w:val="24"/>
          <w:szCs w:val="24"/>
        </w:rPr>
        <w:t>suppliers, and</w:t>
      </w:r>
      <w:proofErr w:type="gramEnd"/>
      <w:r w:rsidRPr="00B01824">
        <w:rPr>
          <w:rFonts w:asciiTheme="majorBidi" w:hAnsiTheme="majorBidi" w:cstheme="majorBidi"/>
          <w:sz w:val="24"/>
          <w:szCs w:val="24"/>
        </w:rPr>
        <w:t xml:space="preserve"> are accompanied by proper measurement regimes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Khoa et al., 2024). The study expands on the above-mentioned insights by explaining the conditions that these </w:t>
      </w:r>
      <w:proofErr w:type="gramStart"/>
      <w:r w:rsidRPr="00B01824">
        <w:rPr>
          <w:rFonts w:asciiTheme="majorBidi" w:hAnsiTheme="majorBidi" w:cstheme="majorBidi"/>
          <w:sz w:val="24"/>
          <w:szCs w:val="24"/>
        </w:rPr>
        <w:t>constructs</w:t>
      </w:r>
      <w:proofErr w:type="gramEnd"/>
      <w:r w:rsidRPr="00B01824">
        <w:rPr>
          <w:rFonts w:asciiTheme="majorBidi" w:hAnsiTheme="majorBidi" w:cstheme="majorBidi"/>
          <w:sz w:val="24"/>
          <w:szCs w:val="24"/>
        </w:rPr>
        <w:t xml:space="preserve"> need to be effective under, thus allowing the creation of more specific hypotheses to be tested later quantitatively. The study further connects transport-focused literary works on zero-emission delivery and provider capacity (Bukhari et al., 2023; Isaksson, Bjorklund, Evangelista, and Huge-Brodin, 2011) to literature on </w:t>
      </w:r>
      <w:proofErr w:type="spellStart"/>
      <w:r w:rsidRPr="00B01824">
        <w:rPr>
          <w:rFonts w:asciiTheme="majorBidi" w:hAnsiTheme="majorBidi" w:cstheme="majorBidi"/>
          <w:sz w:val="24"/>
          <w:szCs w:val="24"/>
        </w:rPr>
        <w:t>organisations</w:t>
      </w:r>
      <w:proofErr w:type="spellEnd"/>
      <w:r w:rsidRPr="00B01824">
        <w:rPr>
          <w:rFonts w:asciiTheme="majorBidi" w:hAnsiTheme="majorBidi" w:cstheme="majorBidi"/>
          <w:sz w:val="24"/>
          <w:szCs w:val="24"/>
        </w:rPr>
        <w:t xml:space="preserve"> change, thus contributing to the theory of innovation diffusion in logistics.</w:t>
      </w:r>
    </w:p>
    <w:p w14:paraId="23BC19B2"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suggested comprehensive conceptual framework is methodologically valuable to the discipline, as it illustrates how qualitative descriptive methods can be valuable in </w:t>
      </w:r>
      <w:proofErr w:type="spellStart"/>
      <w:r w:rsidRPr="00B01824">
        <w:rPr>
          <w:rFonts w:asciiTheme="majorBidi" w:hAnsiTheme="majorBidi" w:cstheme="majorBidi"/>
          <w:sz w:val="24"/>
          <w:szCs w:val="24"/>
        </w:rPr>
        <w:t>synthesising</w:t>
      </w:r>
      <w:proofErr w:type="spellEnd"/>
      <w:r w:rsidRPr="00B01824">
        <w:rPr>
          <w:rFonts w:asciiTheme="majorBidi" w:hAnsiTheme="majorBidi" w:cstheme="majorBidi"/>
          <w:sz w:val="24"/>
          <w:szCs w:val="24"/>
        </w:rPr>
        <w:t xml:space="preserve"> evidence of </w:t>
      </w:r>
      <w:proofErr w:type="spellStart"/>
      <w:r w:rsidRPr="00B01824">
        <w:rPr>
          <w:rFonts w:asciiTheme="majorBidi" w:hAnsiTheme="majorBidi" w:cstheme="majorBidi"/>
          <w:sz w:val="24"/>
          <w:szCs w:val="24"/>
        </w:rPr>
        <w:t>synthesising</w:t>
      </w:r>
      <w:proofErr w:type="spellEnd"/>
      <w:r w:rsidRPr="00B01824">
        <w:rPr>
          <w:rFonts w:asciiTheme="majorBidi" w:hAnsiTheme="majorBidi" w:cstheme="majorBidi"/>
          <w:sz w:val="24"/>
          <w:szCs w:val="24"/>
        </w:rPr>
        <w:t xml:space="preserve"> technical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results with socio-institutional evidence (Ahmed et al., 2020; Mirzaee et al., 2023; Andrushchak, 2018). The descriptively rich middle-range propositions prompted by the theoretically informed and highly </w:t>
      </w:r>
      <w:proofErr w:type="spellStart"/>
      <w:r w:rsidRPr="00B01824">
        <w:rPr>
          <w:rFonts w:asciiTheme="majorBidi" w:hAnsiTheme="majorBidi" w:cstheme="majorBidi"/>
          <w:sz w:val="24"/>
          <w:szCs w:val="24"/>
        </w:rPr>
        <w:t>contextualised</w:t>
      </w:r>
      <w:proofErr w:type="spellEnd"/>
      <w:r w:rsidRPr="00B01824">
        <w:rPr>
          <w:rFonts w:asciiTheme="majorBidi" w:hAnsiTheme="majorBidi" w:cstheme="majorBidi"/>
          <w:sz w:val="24"/>
          <w:szCs w:val="24"/>
        </w:rPr>
        <w:t xml:space="preserve"> descriptions elucidate the cause and effects relationships and guide the design of mixed-methods follow-up studies. By so doing, the study enhances the theoretical premises required to make cumulative advancement in comprehending how green logistics can be technically sound and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viable.</w:t>
      </w:r>
    </w:p>
    <w:p w14:paraId="02329A02" w14:textId="77777777" w:rsidR="000B6AD6" w:rsidRPr="00B01824" w:rsidRDefault="000B6AD6" w:rsidP="00B01824">
      <w:pPr>
        <w:pStyle w:val="3"/>
        <w:bidi w:val="0"/>
        <w:spacing w:line="480" w:lineRule="auto"/>
        <w:rPr>
          <w:rFonts w:asciiTheme="majorBidi" w:hAnsiTheme="majorBidi"/>
          <w:b/>
          <w:bCs/>
        </w:rPr>
      </w:pPr>
      <w:bookmarkStart w:id="5" w:name="_Toc213479323"/>
      <w:r w:rsidRPr="00B01824">
        <w:rPr>
          <w:rFonts w:asciiTheme="majorBidi" w:hAnsiTheme="majorBidi"/>
          <w:b/>
          <w:bCs/>
        </w:rPr>
        <w:lastRenderedPageBreak/>
        <w:t>Practical significance</w:t>
      </w:r>
      <w:bookmarkEnd w:id="5"/>
      <w:r w:rsidRPr="00B01824">
        <w:rPr>
          <w:rFonts w:asciiTheme="majorBidi" w:hAnsiTheme="majorBidi"/>
          <w:b/>
          <w:bCs/>
        </w:rPr>
        <w:t xml:space="preserve"> </w:t>
      </w:r>
    </w:p>
    <w:p w14:paraId="6A4AF81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In practice, the research provides practical implications to managers, providers of logistics services, and policy-makers who aim at promoting the swift implementation and expansion of green logistics interventions. To begin with, by finding out the most binding constraints, be it financial, infrastructural, regulatory or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the research enables the practitioners to make a priority on interventions and distribute resources more efficiently. As an example, the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literature illustrates the potential benefits of closed-loop design and cap-and-trade-conscious procurement (Ahmed et al., 2020; Mirzaee et al., 2023), and managers need an understanding on how these models can be financed, the payback period and willingness to </w:t>
      </w:r>
      <w:proofErr w:type="spellStart"/>
      <w:r w:rsidRPr="00B01824">
        <w:rPr>
          <w:rFonts w:asciiTheme="majorBidi" w:hAnsiTheme="majorBidi" w:cstheme="majorBidi"/>
          <w:sz w:val="24"/>
          <w:szCs w:val="24"/>
        </w:rPr>
        <w:t>operationalise</w:t>
      </w:r>
      <w:proofErr w:type="spellEnd"/>
      <w:r w:rsidRPr="00B01824">
        <w:rPr>
          <w:rFonts w:asciiTheme="majorBidi" w:hAnsiTheme="majorBidi" w:cstheme="majorBidi"/>
          <w:sz w:val="24"/>
          <w:szCs w:val="24"/>
        </w:rPr>
        <w:t xml:space="preserve"> them by the supplier. The focus of the study on configurational analysis thus provides practical advice on what subset of investments (e.g., traceability platforms, supplier development, and targeted infrastructure partnerships) will most likely have synergistic results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-Mensah et al., 2021; Khoa et al., 2024).</w:t>
      </w:r>
    </w:p>
    <w:p w14:paraId="591D9C59"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Second, the integrated framework provides policy relevant suggestions because it clarifies the interaction between regulatory instruments and incentive structures and firm capabilities. Comparative evidence reveals that unclear or inconsistent laws may suffocatingly undermine its intensive application, but coherent policy bundles (subsidies, standards and market mechanism) can stimulate system transformation (Esen and El Barky, 2017;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By elucidating these dynamics, the study informs the design of specific policy levers, including infrastructure co-investment of zero-emission fleets or compliance phase-based entry, that mitigate a perceived risk and reduce entry barriers to SMEs and logistics providers (Bukhari et al., 2023; Isaksson et al., 2011).</w:t>
      </w:r>
    </w:p>
    <w:p w14:paraId="6003E011"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Third, the research provides practical suggestions to logistics service providers and targeted companies that should balance the environmental and business goals. The details about managerial impediments such as change resistance, the absence of sustainability knowledge, </w:t>
      </w:r>
      <w:r w:rsidRPr="00B01824">
        <w:rPr>
          <w:rFonts w:asciiTheme="majorBidi" w:hAnsiTheme="majorBidi" w:cstheme="majorBidi"/>
          <w:sz w:val="24"/>
          <w:szCs w:val="24"/>
        </w:rPr>
        <w:lastRenderedPageBreak/>
        <w:t xml:space="preserve">and imbalanced performance indicators imply that such aspects can be approached with such solutions as cross-functional governance, sustainability training, and the updated KPI systems that would </w:t>
      </w:r>
      <w:proofErr w:type="spellStart"/>
      <w:r w:rsidRPr="00B01824">
        <w:rPr>
          <w:rFonts w:asciiTheme="majorBidi" w:hAnsiTheme="majorBidi" w:cstheme="majorBidi"/>
          <w:sz w:val="24"/>
          <w:szCs w:val="24"/>
        </w:rPr>
        <w:t>internalise</w:t>
      </w:r>
      <w:proofErr w:type="spellEnd"/>
      <w:r w:rsidRPr="00B01824">
        <w:rPr>
          <w:rFonts w:asciiTheme="majorBidi" w:hAnsiTheme="majorBidi" w:cstheme="majorBidi"/>
          <w:sz w:val="24"/>
          <w:szCs w:val="24"/>
        </w:rPr>
        <w:t xml:space="preserve"> environmental externalities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&amp;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and Narwal, 2016). Lastly, the study identifies the prospects of intercity cooperation and networked solutions (e.g., joint urban consolidation </w:t>
      </w:r>
      <w:proofErr w:type="spellStart"/>
      <w:r w:rsidRPr="00B01824">
        <w:rPr>
          <w:rFonts w:asciiTheme="majorBidi" w:hAnsiTheme="majorBidi" w:cstheme="majorBidi"/>
          <w:sz w:val="24"/>
          <w:szCs w:val="24"/>
        </w:rPr>
        <w:t>centres</w:t>
      </w:r>
      <w:proofErr w:type="spellEnd"/>
      <w:r w:rsidRPr="00B01824">
        <w:rPr>
          <w:rFonts w:asciiTheme="majorBidi" w:hAnsiTheme="majorBidi" w:cstheme="majorBidi"/>
          <w:sz w:val="24"/>
          <w:szCs w:val="24"/>
        </w:rPr>
        <w:t>, shared charging infrastructure) that would resolve infrastructural fragmentation and facilitate scalable and low-carbon models of delivery (Andrushchak, 2018; de Jesus et al., 2024). Altogether, these works will help turn the theoretical knowledge into specific directions on how to proceed with the green logistics in various real-life contexts.</w:t>
      </w:r>
    </w:p>
    <w:p w14:paraId="0FB7CEEF" w14:textId="77777777" w:rsidR="000B6AD6" w:rsidRPr="00B01824" w:rsidRDefault="000B6AD6" w:rsidP="00B01824">
      <w:pPr>
        <w:pStyle w:val="2"/>
        <w:bidi w:val="0"/>
        <w:spacing w:line="480" w:lineRule="auto"/>
        <w:rPr>
          <w:rFonts w:asciiTheme="majorBidi" w:hAnsiTheme="majorBidi"/>
          <w:b/>
          <w:bCs/>
          <w:sz w:val="24"/>
          <w:szCs w:val="24"/>
        </w:rPr>
      </w:pPr>
      <w:bookmarkStart w:id="6" w:name="_Toc213479324"/>
      <w:r w:rsidRPr="00B01824">
        <w:rPr>
          <w:rFonts w:asciiTheme="majorBidi" w:hAnsiTheme="majorBidi"/>
          <w:b/>
          <w:bCs/>
          <w:sz w:val="24"/>
          <w:szCs w:val="24"/>
        </w:rPr>
        <w:t>Research Questions</w:t>
      </w:r>
      <w:bookmarkEnd w:id="6"/>
    </w:p>
    <w:p w14:paraId="198A69BD"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 xml:space="preserve">Main Research Question </w:t>
      </w:r>
    </w:p>
    <w:p w14:paraId="6E073300" w14:textId="77777777" w:rsidR="000B6AD6" w:rsidRPr="00B01824" w:rsidRDefault="000B6AD6" w:rsidP="000341EF">
      <w:pPr>
        <w:pStyle w:val="a5"/>
        <w:numPr>
          <w:ilvl w:val="0"/>
          <w:numId w:val="1"/>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What is the interaction among technical, organizational and contextual factors and how they affect the adoption and integration and effectiveness of green logistics strategies in supply chain management?</w:t>
      </w:r>
    </w:p>
    <w:p w14:paraId="253C81CF"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 xml:space="preserve">Sub-questions </w:t>
      </w:r>
    </w:p>
    <w:p w14:paraId="1D4CB0F4" w14:textId="77777777" w:rsidR="000B6AD6" w:rsidRPr="00B01824" w:rsidRDefault="000B6AD6" w:rsidP="000341EF">
      <w:pPr>
        <w:pStyle w:val="a5"/>
        <w:numPr>
          <w:ilvl w:val="0"/>
          <w:numId w:val="2"/>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Which technical and infrastructural obstacles (e.g. vehicle technology, charging/</w:t>
      </w:r>
      <w:proofErr w:type="spellStart"/>
      <w:r w:rsidRPr="00B01824">
        <w:rPr>
          <w:rFonts w:asciiTheme="majorBidi" w:hAnsiTheme="majorBidi" w:cstheme="majorBidi"/>
          <w:sz w:val="24"/>
          <w:szCs w:val="24"/>
        </w:rPr>
        <w:t>refuelling</w:t>
      </w:r>
      <w:proofErr w:type="spellEnd"/>
      <w:r w:rsidRPr="00B01824">
        <w:rPr>
          <w:rFonts w:asciiTheme="majorBidi" w:hAnsiTheme="majorBidi" w:cstheme="majorBidi"/>
          <w:sz w:val="24"/>
          <w:szCs w:val="24"/>
        </w:rPr>
        <w:t xml:space="preserve"> networks, digital traceability) are the biggest impediments to the implementation of green logistics?</w:t>
      </w:r>
    </w:p>
    <w:p w14:paraId="222D3072" w14:textId="77777777" w:rsidR="000B6AD6" w:rsidRPr="00B01824" w:rsidRDefault="000B6AD6" w:rsidP="000341EF">
      <w:pPr>
        <w:pStyle w:val="a5"/>
        <w:numPr>
          <w:ilvl w:val="0"/>
          <w:numId w:val="2"/>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What role in green logistics adoption do managerial attitudes, organizational structure, and internal governance (e.g., leadership commitment, cross-functional coordination, KPIs) play?</w:t>
      </w:r>
    </w:p>
    <w:p w14:paraId="3AA85AE8" w14:textId="77777777" w:rsidR="000B6AD6" w:rsidRPr="00B01824" w:rsidRDefault="000B6AD6" w:rsidP="000341EF">
      <w:pPr>
        <w:pStyle w:val="a5"/>
        <w:numPr>
          <w:ilvl w:val="0"/>
          <w:numId w:val="2"/>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How does the external contextual conditioning, including regulatory, market and stakeholder conditions influence the choices of firms with regard to green logistics practices?</w:t>
      </w:r>
    </w:p>
    <w:p w14:paraId="67B459C9" w14:textId="77777777" w:rsidR="000B6AD6" w:rsidRPr="00B01824" w:rsidRDefault="000B6AD6" w:rsidP="000341EF">
      <w:pPr>
        <w:pStyle w:val="a5"/>
        <w:numPr>
          <w:ilvl w:val="0"/>
          <w:numId w:val="2"/>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lastRenderedPageBreak/>
        <w:t xml:space="preserve">What are the relationships between supplier network attributes and inter-firm cooperation and the scalability and operational efficiency of green logistics </w:t>
      </w:r>
      <w:proofErr w:type="spellStart"/>
      <w:r w:rsidRPr="00B01824">
        <w:rPr>
          <w:rFonts w:asciiTheme="majorBidi" w:hAnsiTheme="majorBidi" w:cstheme="majorBidi"/>
          <w:sz w:val="24"/>
          <w:szCs w:val="24"/>
        </w:rPr>
        <w:t>programmes</w:t>
      </w:r>
      <w:proofErr w:type="spellEnd"/>
      <w:r w:rsidRPr="00B01824">
        <w:rPr>
          <w:rFonts w:asciiTheme="majorBidi" w:hAnsiTheme="majorBidi" w:cstheme="majorBidi"/>
          <w:sz w:val="24"/>
          <w:szCs w:val="24"/>
        </w:rPr>
        <w:t>?</w:t>
      </w:r>
    </w:p>
    <w:p w14:paraId="0CE55641" w14:textId="77777777" w:rsidR="000B6AD6" w:rsidRPr="00B01824" w:rsidRDefault="000B6AD6" w:rsidP="00B01824">
      <w:pPr>
        <w:pStyle w:val="2"/>
        <w:bidi w:val="0"/>
        <w:spacing w:line="480" w:lineRule="auto"/>
        <w:rPr>
          <w:rFonts w:asciiTheme="majorBidi" w:hAnsiTheme="majorBidi"/>
          <w:b/>
          <w:bCs/>
          <w:sz w:val="24"/>
          <w:szCs w:val="24"/>
        </w:rPr>
      </w:pPr>
      <w:bookmarkStart w:id="7" w:name="_Toc213479325"/>
      <w:r w:rsidRPr="00B01824">
        <w:rPr>
          <w:rFonts w:asciiTheme="majorBidi" w:hAnsiTheme="majorBidi"/>
          <w:b/>
          <w:bCs/>
          <w:sz w:val="24"/>
          <w:szCs w:val="24"/>
        </w:rPr>
        <w:t>Research Objectives</w:t>
      </w:r>
      <w:bookmarkEnd w:id="7"/>
      <w:r w:rsidRPr="00B01824">
        <w:rPr>
          <w:rFonts w:asciiTheme="majorBidi" w:hAnsiTheme="majorBidi"/>
          <w:b/>
          <w:bCs/>
          <w:sz w:val="24"/>
          <w:szCs w:val="24"/>
        </w:rPr>
        <w:t xml:space="preserve"> </w:t>
      </w:r>
    </w:p>
    <w:p w14:paraId="552AB41C" w14:textId="77777777" w:rsidR="000B6AD6" w:rsidRPr="00B01824" w:rsidRDefault="000B6AD6" w:rsidP="000341EF">
      <w:pPr>
        <w:pStyle w:val="a5"/>
        <w:numPr>
          <w:ilvl w:val="0"/>
          <w:numId w:val="3"/>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To determine and classify key technical and infrastructural hurdles which restrict the adoption of green logistics policies.</w:t>
      </w:r>
    </w:p>
    <w:p w14:paraId="624C6E5C" w14:textId="77777777" w:rsidR="000B6AD6" w:rsidRPr="00B01824" w:rsidRDefault="000B6AD6" w:rsidP="000341EF">
      <w:pPr>
        <w:pStyle w:val="a5"/>
        <w:numPr>
          <w:ilvl w:val="0"/>
          <w:numId w:val="3"/>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To test the hypotheses of how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variables (leadership, culture, governance and performance metrics) influence the internal adoption of sustainable logistics practices.</w:t>
      </w:r>
    </w:p>
    <w:p w14:paraId="2932B79C" w14:textId="77777777" w:rsidR="000B6AD6" w:rsidRPr="00B01824" w:rsidRDefault="000B6AD6" w:rsidP="000341EF">
      <w:pPr>
        <w:pStyle w:val="a5"/>
        <w:numPr>
          <w:ilvl w:val="0"/>
          <w:numId w:val="3"/>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To identify how regulatory tools, economic incentives and stakeholder expectation affect the green logistics choices of firms.</w:t>
      </w:r>
    </w:p>
    <w:p w14:paraId="19BA9CA3" w14:textId="77777777" w:rsidR="000B6AD6" w:rsidRPr="00B01824" w:rsidRDefault="000B6AD6" w:rsidP="000341EF">
      <w:pPr>
        <w:pStyle w:val="a5"/>
        <w:numPr>
          <w:ilvl w:val="0"/>
          <w:numId w:val="3"/>
        </w:num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To determine the importance of supplier capabilities and inter-</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cooperation in the facilitation of closed-loop and low-carbon logistics solutions.</w:t>
      </w:r>
    </w:p>
    <w:p w14:paraId="2717DF33" w14:textId="77777777" w:rsidR="000B6AD6" w:rsidRPr="00B01824" w:rsidRDefault="000B6AD6" w:rsidP="00B01824">
      <w:pPr>
        <w:pStyle w:val="2"/>
        <w:bidi w:val="0"/>
        <w:spacing w:line="480" w:lineRule="auto"/>
        <w:rPr>
          <w:rFonts w:asciiTheme="majorBidi" w:hAnsiTheme="majorBidi"/>
          <w:b/>
          <w:bCs/>
          <w:sz w:val="24"/>
          <w:szCs w:val="24"/>
        </w:rPr>
      </w:pPr>
      <w:bookmarkStart w:id="8" w:name="_Toc213479326"/>
      <w:r w:rsidRPr="00B01824">
        <w:rPr>
          <w:rFonts w:asciiTheme="majorBidi" w:hAnsiTheme="majorBidi"/>
          <w:b/>
          <w:bCs/>
          <w:sz w:val="24"/>
          <w:szCs w:val="24"/>
        </w:rPr>
        <w:t>Research Hypotheses</w:t>
      </w:r>
      <w:bookmarkEnd w:id="8"/>
      <w:r w:rsidRPr="00B01824">
        <w:rPr>
          <w:rFonts w:asciiTheme="majorBidi" w:hAnsiTheme="majorBidi"/>
          <w:b/>
          <w:bCs/>
          <w:sz w:val="24"/>
          <w:szCs w:val="24"/>
        </w:rPr>
        <w:t xml:space="preserve"> </w:t>
      </w:r>
    </w:p>
    <w:p w14:paraId="59DA740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b/>
          <w:bCs/>
          <w:sz w:val="24"/>
          <w:szCs w:val="24"/>
        </w:rPr>
        <w:t xml:space="preserve">H1: </w:t>
      </w:r>
      <w:r w:rsidRPr="00B01824">
        <w:rPr>
          <w:rFonts w:asciiTheme="majorBidi" w:hAnsiTheme="majorBidi" w:cstheme="majorBidi"/>
          <w:sz w:val="24"/>
          <w:szCs w:val="24"/>
        </w:rPr>
        <w:t xml:space="preserve">The more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commitment towards sustainability (in the form of leadership support, dedicated resources, and aligned KPIs), the more successful in green logistics strategy implementation.</w:t>
      </w:r>
    </w:p>
    <w:p w14:paraId="2CA21BD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b/>
          <w:bCs/>
          <w:sz w:val="24"/>
          <w:szCs w:val="24"/>
        </w:rPr>
        <w:t xml:space="preserve">H2: </w:t>
      </w:r>
      <w:r w:rsidRPr="00B01824">
        <w:rPr>
          <w:rFonts w:asciiTheme="majorBidi" w:hAnsiTheme="majorBidi" w:cstheme="majorBidi"/>
          <w:sz w:val="24"/>
          <w:szCs w:val="24"/>
        </w:rPr>
        <w:t>Sufficient technical facilities and technological preparedness (e.g., the presence of low-emission cars, charging/</w:t>
      </w:r>
      <w:proofErr w:type="spellStart"/>
      <w:r w:rsidRPr="00B01824">
        <w:rPr>
          <w:rFonts w:asciiTheme="majorBidi" w:hAnsiTheme="majorBidi" w:cstheme="majorBidi"/>
          <w:sz w:val="24"/>
          <w:szCs w:val="24"/>
        </w:rPr>
        <w:t>refuelling</w:t>
      </w:r>
      <w:proofErr w:type="spellEnd"/>
      <w:r w:rsidRPr="00B01824">
        <w:rPr>
          <w:rFonts w:asciiTheme="majorBidi" w:hAnsiTheme="majorBidi" w:cstheme="majorBidi"/>
          <w:sz w:val="24"/>
          <w:szCs w:val="24"/>
        </w:rPr>
        <w:t xml:space="preserve"> points, electronic traceability systems) has a positive impact on the operational efficiency of green logistics practices.</w:t>
      </w:r>
    </w:p>
    <w:p w14:paraId="6212E524"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b/>
          <w:bCs/>
          <w:sz w:val="24"/>
          <w:szCs w:val="24"/>
        </w:rPr>
        <w:t>H3:</w:t>
      </w:r>
      <w:r w:rsidRPr="00B01824">
        <w:rPr>
          <w:rFonts w:asciiTheme="majorBidi" w:hAnsiTheme="majorBidi" w:cstheme="majorBidi"/>
          <w:sz w:val="24"/>
          <w:szCs w:val="24"/>
        </w:rPr>
        <w:t xml:space="preserve"> Regulatory frameworks and economic incentives (grants, subsidies, and carbon pricing schemes) are clear, consistent and supportive, and positively influence the rate of green logistics initiative adoption.</w:t>
      </w:r>
    </w:p>
    <w:p w14:paraId="09ED6E59"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b/>
          <w:bCs/>
          <w:sz w:val="24"/>
          <w:szCs w:val="24"/>
        </w:rPr>
        <w:lastRenderedPageBreak/>
        <w:t>H4:</w:t>
      </w:r>
      <w:r w:rsidRPr="00B01824">
        <w:rPr>
          <w:rFonts w:asciiTheme="majorBidi" w:hAnsiTheme="majorBidi" w:cstheme="majorBidi"/>
          <w:sz w:val="24"/>
          <w:szCs w:val="24"/>
        </w:rPr>
        <w:t xml:space="preserve"> The probability of scaling closed-loop and reverse logistics solutions is significantly high in case of higher supplier readiness and collaborative governance in the supply networks.</w:t>
      </w:r>
    </w:p>
    <w:p w14:paraId="74AEFEC2" w14:textId="77777777" w:rsidR="000B6AD6"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b/>
          <w:bCs/>
          <w:sz w:val="24"/>
          <w:szCs w:val="24"/>
        </w:rPr>
        <w:t xml:space="preserve">H5: </w:t>
      </w:r>
      <w:r w:rsidRPr="00B01824">
        <w:rPr>
          <w:rFonts w:asciiTheme="majorBidi" w:hAnsiTheme="majorBidi" w:cstheme="majorBidi"/>
          <w:sz w:val="24"/>
          <w:szCs w:val="24"/>
        </w:rPr>
        <w:t xml:space="preserve">Managerial awareness and specific capacity-building (training, cross-functional teams, sustainability competencies) lessen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resistance and have a positive influence on adopting the green logistics practices.</w:t>
      </w:r>
    </w:p>
    <w:p w14:paraId="25C613DE" w14:textId="77777777" w:rsidR="00702B6D" w:rsidRPr="00B01824" w:rsidRDefault="00702B6D" w:rsidP="00702B6D">
      <w:pPr>
        <w:bidi w:val="0"/>
        <w:spacing w:line="480" w:lineRule="auto"/>
        <w:jc w:val="both"/>
        <w:rPr>
          <w:rFonts w:asciiTheme="majorBidi" w:hAnsiTheme="majorBidi" w:cstheme="majorBidi"/>
          <w:sz w:val="24"/>
          <w:szCs w:val="24"/>
        </w:rPr>
      </w:pPr>
    </w:p>
    <w:p w14:paraId="309D8928" w14:textId="77777777" w:rsidR="00D25552" w:rsidRDefault="00D25552">
      <w:pPr>
        <w:bidi w:val="0"/>
        <w:rPr>
          <w:rFonts w:asciiTheme="majorBidi" w:eastAsiaTheme="majorEastAsia" w:hAnsiTheme="majorBidi" w:cstheme="majorBidi"/>
          <w:b/>
          <w:bCs/>
          <w:color w:val="2F5496" w:themeColor="accent1" w:themeShade="BF"/>
          <w:sz w:val="36"/>
          <w:szCs w:val="36"/>
        </w:rPr>
      </w:pPr>
      <w:bookmarkStart w:id="9" w:name="_Toc213479327"/>
      <w:r>
        <w:rPr>
          <w:rFonts w:asciiTheme="majorBidi" w:hAnsiTheme="majorBidi"/>
          <w:b/>
          <w:bCs/>
          <w:sz w:val="36"/>
          <w:szCs w:val="36"/>
        </w:rPr>
        <w:br w:type="page"/>
      </w:r>
    </w:p>
    <w:p w14:paraId="4614EDAD" w14:textId="77B68873" w:rsidR="000B6AD6" w:rsidRPr="00B01824" w:rsidRDefault="000B6AD6" w:rsidP="00B01824">
      <w:pPr>
        <w:pStyle w:val="1"/>
        <w:bidi w:val="0"/>
        <w:spacing w:line="480" w:lineRule="auto"/>
        <w:jc w:val="center"/>
        <w:rPr>
          <w:rFonts w:asciiTheme="majorBidi" w:hAnsiTheme="majorBidi"/>
          <w:b/>
          <w:bCs/>
          <w:sz w:val="36"/>
          <w:szCs w:val="36"/>
        </w:rPr>
      </w:pPr>
      <w:r w:rsidRPr="00B01824">
        <w:rPr>
          <w:rFonts w:asciiTheme="majorBidi" w:hAnsiTheme="majorBidi"/>
          <w:b/>
          <w:bCs/>
          <w:sz w:val="36"/>
          <w:szCs w:val="36"/>
        </w:rPr>
        <w:lastRenderedPageBreak/>
        <w:t>CHAPTER 2: THEORETICAL FRAMEWORK AND PREVIOUS STUDIES</w:t>
      </w:r>
      <w:bookmarkEnd w:id="9"/>
    </w:p>
    <w:p w14:paraId="78703BAE" w14:textId="0336ED0B" w:rsidR="000B6AD6" w:rsidRPr="00B01824" w:rsidRDefault="000B6AD6" w:rsidP="00B01824">
      <w:pPr>
        <w:pStyle w:val="2"/>
        <w:bidi w:val="0"/>
        <w:spacing w:line="480" w:lineRule="auto"/>
        <w:rPr>
          <w:rFonts w:asciiTheme="majorBidi" w:hAnsiTheme="majorBidi"/>
          <w:b/>
          <w:bCs/>
          <w:sz w:val="24"/>
          <w:szCs w:val="24"/>
        </w:rPr>
      </w:pPr>
      <w:bookmarkStart w:id="10" w:name="_Toc213479328"/>
      <w:r w:rsidRPr="00B01824">
        <w:rPr>
          <w:rFonts w:asciiTheme="majorBidi" w:hAnsiTheme="majorBidi"/>
          <w:b/>
          <w:bCs/>
          <w:sz w:val="24"/>
          <w:szCs w:val="24"/>
        </w:rPr>
        <w:t>Theoretical Framework</w:t>
      </w:r>
      <w:bookmarkEnd w:id="10"/>
      <w:r w:rsidRPr="00B01824">
        <w:rPr>
          <w:rFonts w:asciiTheme="majorBidi" w:hAnsiTheme="majorBidi"/>
          <w:b/>
          <w:bCs/>
          <w:sz w:val="24"/>
          <w:szCs w:val="24"/>
        </w:rPr>
        <w:t xml:space="preserve"> </w:t>
      </w:r>
    </w:p>
    <w:p w14:paraId="04AE6EF0" w14:textId="77777777" w:rsidR="000B6AD6" w:rsidRPr="00B01824" w:rsidRDefault="000B6AD6" w:rsidP="00B01824">
      <w:pPr>
        <w:pStyle w:val="3"/>
        <w:bidi w:val="0"/>
        <w:spacing w:line="480" w:lineRule="auto"/>
        <w:rPr>
          <w:rFonts w:asciiTheme="majorBidi" w:hAnsiTheme="majorBidi"/>
          <w:b/>
          <w:bCs/>
        </w:rPr>
      </w:pPr>
      <w:bookmarkStart w:id="11" w:name="_Toc213479329"/>
      <w:r w:rsidRPr="00B01824">
        <w:rPr>
          <w:rFonts w:asciiTheme="majorBidi" w:hAnsiTheme="majorBidi"/>
          <w:b/>
          <w:bCs/>
        </w:rPr>
        <w:t>Introduction</w:t>
      </w:r>
      <w:bookmarkEnd w:id="11"/>
    </w:p>
    <w:p w14:paraId="32E28FE1"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To comprehend the complex nature of the phenomenon of green logistics, it is necessary to use a theoretical architecture that can reflect the technical design decisions,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capabilities, institutional forces, and the dynamics of the inter-</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network. There is no single theoretical perspective that can be used to explain the scenarios of adoption of technically feasible green logistics solutions in one situation and </w:t>
      </w:r>
      <w:proofErr w:type="spellStart"/>
      <w:r w:rsidRPr="00B01824">
        <w:rPr>
          <w:rFonts w:asciiTheme="majorBidi" w:hAnsiTheme="majorBidi" w:cstheme="majorBidi"/>
          <w:sz w:val="24"/>
          <w:szCs w:val="24"/>
        </w:rPr>
        <w:t>nonadoption</w:t>
      </w:r>
      <w:proofErr w:type="spellEnd"/>
      <w:r w:rsidRPr="00B01824">
        <w:rPr>
          <w:rFonts w:asciiTheme="majorBidi" w:hAnsiTheme="majorBidi" w:cstheme="majorBidi"/>
          <w:sz w:val="24"/>
          <w:szCs w:val="24"/>
        </w:rPr>
        <w:t xml:space="preserve"> in another. Therefore, the current research follows a pluralistic paradigm that integrates the resource-based viewpoints, institutional- and stakeholder-theories, socio-technical systems thinking, configurational and contingency logic, and the transaction/network theories. Every strand has complementary explanatory power: the technical foundations of the feasibility of supply chain closed-loop </w:t>
      </w:r>
      <w:proofErr w:type="spellStart"/>
      <w:r w:rsidRPr="00B01824">
        <w:rPr>
          <w:rFonts w:asciiTheme="majorBidi" w:hAnsiTheme="majorBidi" w:cstheme="majorBidi"/>
          <w:sz w:val="24"/>
          <w:szCs w:val="24"/>
        </w:rPr>
        <w:t>decarbonisation</w:t>
      </w:r>
      <w:proofErr w:type="spellEnd"/>
      <w:r w:rsidRPr="00B01824">
        <w:rPr>
          <w:rFonts w:asciiTheme="majorBidi" w:hAnsiTheme="majorBidi" w:cstheme="majorBidi"/>
          <w:sz w:val="24"/>
          <w:szCs w:val="24"/>
        </w:rPr>
        <w:t xml:space="preserve"> and </w:t>
      </w:r>
      <w:proofErr w:type="spellStart"/>
      <w:r w:rsidRPr="00B01824">
        <w:rPr>
          <w:rFonts w:asciiTheme="majorBidi" w:hAnsiTheme="majorBidi" w:cstheme="majorBidi"/>
          <w:sz w:val="24"/>
          <w:szCs w:val="24"/>
        </w:rPr>
        <w:t>operationalisation</w:t>
      </w:r>
      <w:proofErr w:type="spellEnd"/>
      <w:r w:rsidRPr="00B01824">
        <w:rPr>
          <w:rFonts w:asciiTheme="majorBidi" w:hAnsiTheme="majorBidi" w:cstheme="majorBidi"/>
          <w:sz w:val="24"/>
          <w:szCs w:val="24"/>
        </w:rPr>
        <w:t xml:space="preserve"> are laid out in the literature of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and closed-loop supply chains (Ahmed et al., 2020; Mirzaee, </w:t>
      </w:r>
      <w:proofErr w:type="spellStart"/>
      <w:r w:rsidRPr="00B01824">
        <w:rPr>
          <w:rFonts w:asciiTheme="majorBidi" w:hAnsiTheme="majorBidi" w:cstheme="majorBidi"/>
          <w:sz w:val="24"/>
          <w:szCs w:val="24"/>
        </w:rPr>
        <w:t>Samarghandi</w:t>
      </w:r>
      <w:proofErr w:type="spellEnd"/>
      <w:r w:rsidRPr="00B01824">
        <w:rPr>
          <w:rFonts w:asciiTheme="majorBidi" w:hAnsiTheme="majorBidi" w:cstheme="majorBidi"/>
          <w:sz w:val="24"/>
          <w:szCs w:val="24"/>
        </w:rPr>
        <w:t>, and Willoughby, 2023), the drivers and obstacles are identified in empirical studies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and Narwal, 2016;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 Combining these insights creates a more complete explanatory frame that is appropriate to the qualitative descriptive design that the study has.</w:t>
      </w:r>
    </w:p>
    <w:p w14:paraId="38B68866" w14:textId="77777777" w:rsidR="000B6AD6" w:rsidRPr="00B01824" w:rsidRDefault="000B6AD6" w:rsidP="00B01824">
      <w:pPr>
        <w:pStyle w:val="3"/>
        <w:bidi w:val="0"/>
        <w:spacing w:line="480" w:lineRule="auto"/>
        <w:rPr>
          <w:rFonts w:asciiTheme="majorBidi" w:hAnsiTheme="majorBidi"/>
          <w:b/>
          <w:bCs/>
        </w:rPr>
      </w:pPr>
      <w:bookmarkStart w:id="12" w:name="_Toc213479330"/>
      <w:r w:rsidRPr="00B01824">
        <w:rPr>
          <w:rFonts w:asciiTheme="majorBidi" w:hAnsiTheme="majorBidi"/>
          <w:b/>
          <w:bCs/>
        </w:rPr>
        <w:t xml:space="preserve">Resource-Based View and </w:t>
      </w:r>
      <w:proofErr w:type="spellStart"/>
      <w:r w:rsidRPr="00B01824">
        <w:rPr>
          <w:rFonts w:asciiTheme="majorBidi" w:hAnsiTheme="majorBidi"/>
          <w:b/>
          <w:bCs/>
        </w:rPr>
        <w:t>Organisational</w:t>
      </w:r>
      <w:proofErr w:type="spellEnd"/>
      <w:r w:rsidRPr="00B01824">
        <w:rPr>
          <w:rFonts w:asciiTheme="majorBidi" w:hAnsiTheme="majorBidi"/>
          <w:b/>
          <w:bCs/>
        </w:rPr>
        <w:t xml:space="preserve"> Capabilities</w:t>
      </w:r>
      <w:bookmarkEnd w:id="12"/>
    </w:p>
    <w:p w14:paraId="4D9B8CD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Resource-Based View (RBV) is a school of thought that argues that the strategic success of the firm depends on its distinct bundles of resources and capabilities. RBV in green logistics focuses on tangible and intangible resources - financial capital, technological traceability solutions, human skills in the reverse logistics, low-emission </w:t>
      </w:r>
      <w:proofErr w:type="gramStart"/>
      <w:r w:rsidRPr="00B01824">
        <w:rPr>
          <w:rFonts w:asciiTheme="majorBidi" w:hAnsiTheme="majorBidi" w:cstheme="majorBidi"/>
          <w:sz w:val="24"/>
          <w:szCs w:val="24"/>
        </w:rPr>
        <w:t>suppliers</w:t>
      </w:r>
      <w:proofErr w:type="gramEnd"/>
      <w:r w:rsidRPr="00B01824">
        <w:rPr>
          <w:rFonts w:asciiTheme="majorBidi" w:hAnsiTheme="majorBidi" w:cstheme="majorBidi"/>
          <w:sz w:val="24"/>
          <w:szCs w:val="24"/>
        </w:rPr>
        <w:t xml:space="preserve"> relationships, and </w:t>
      </w:r>
      <w:r w:rsidRPr="00B01824">
        <w:rPr>
          <w:rFonts w:asciiTheme="majorBidi" w:hAnsiTheme="majorBidi" w:cstheme="majorBidi"/>
          <w:sz w:val="24"/>
          <w:szCs w:val="24"/>
        </w:rPr>
        <w:lastRenderedPageBreak/>
        <w:t xml:space="preserve">process specific </w:t>
      </w:r>
      <w:proofErr w:type="spellStart"/>
      <w:r w:rsidRPr="00B01824">
        <w:rPr>
          <w:rFonts w:asciiTheme="majorBidi" w:hAnsiTheme="majorBidi" w:cstheme="majorBidi"/>
          <w:sz w:val="24"/>
          <w:szCs w:val="24"/>
        </w:rPr>
        <w:t>organisation</w:t>
      </w:r>
      <w:proofErr w:type="spellEnd"/>
      <w:r w:rsidRPr="00B01824">
        <w:rPr>
          <w:rFonts w:asciiTheme="majorBidi" w:hAnsiTheme="majorBidi" w:cstheme="majorBidi"/>
          <w:sz w:val="24"/>
          <w:szCs w:val="24"/>
        </w:rPr>
        <w:t xml:space="preserve"> capabilities - which help </w:t>
      </w:r>
      <w:proofErr w:type="spellStart"/>
      <w:r w:rsidRPr="00B01824">
        <w:rPr>
          <w:rFonts w:asciiTheme="majorBidi" w:hAnsiTheme="majorBidi" w:cstheme="majorBidi"/>
          <w:sz w:val="24"/>
          <w:szCs w:val="24"/>
        </w:rPr>
        <w:t>organisations</w:t>
      </w:r>
      <w:proofErr w:type="spellEnd"/>
      <w:r w:rsidRPr="00B01824">
        <w:rPr>
          <w:rFonts w:asciiTheme="majorBidi" w:hAnsiTheme="majorBidi" w:cstheme="majorBidi"/>
          <w:sz w:val="24"/>
          <w:szCs w:val="24"/>
        </w:rPr>
        <w:t xml:space="preserve"> transformation of ecological goals into operational practices. The implication of the RBV is supported by </w:t>
      </w:r>
      <w:proofErr w:type="gramStart"/>
      <w:r w:rsidRPr="00B01824">
        <w:rPr>
          <w:rFonts w:asciiTheme="majorBidi" w:hAnsiTheme="majorBidi" w:cstheme="majorBidi"/>
          <w:sz w:val="24"/>
          <w:szCs w:val="24"/>
        </w:rPr>
        <w:t>the empirical</w:t>
      </w:r>
      <w:proofErr w:type="gramEnd"/>
      <w:r w:rsidRPr="00B01824">
        <w:rPr>
          <w:rFonts w:asciiTheme="majorBidi" w:hAnsiTheme="majorBidi" w:cstheme="majorBidi"/>
          <w:sz w:val="24"/>
          <w:szCs w:val="24"/>
        </w:rPr>
        <w:t xml:space="preserve"> evidence: companies that invested in traceability platforms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management strategies demonstrate a better sustainability performance, which indicates that such investments act as profitable and inimitable abilities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Khoa et al., 2024). Similarly, the literature on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assumes differences between the abilities of firms to use cap-and-trade-sensitive ordering and closed-loop designs; models that prove to be feasible have this assumption but assume that focal firms possess the necessary resources to apply the model-recommended solutions (Ahmed et al., 2020; Mirzaee et al., 2023). In the current work, RBV offers the analytic terms to study the way in which resource endowments precondition the adoption pathways and to determine the identification of the internal capabilities that ought to be addressed by managerial actions.</w:t>
      </w:r>
    </w:p>
    <w:p w14:paraId="63770180" w14:textId="77777777" w:rsidR="000B6AD6" w:rsidRPr="00B01824" w:rsidRDefault="000B6AD6" w:rsidP="00B01824">
      <w:pPr>
        <w:pStyle w:val="3"/>
        <w:bidi w:val="0"/>
        <w:spacing w:line="480" w:lineRule="auto"/>
        <w:rPr>
          <w:rFonts w:asciiTheme="majorBidi" w:hAnsiTheme="majorBidi"/>
          <w:b/>
          <w:bCs/>
        </w:rPr>
      </w:pPr>
      <w:bookmarkStart w:id="13" w:name="_Toc213479331"/>
      <w:r w:rsidRPr="00B01824">
        <w:rPr>
          <w:rFonts w:asciiTheme="majorBidi" w:hAnsiTheme="majorBidi"/>
          <w:b/>
          <w:bCs/>
        </w:rPr>
        <w:t>Institutional Theory and Stakeholder Pressures</w:t>
      </w:r>
      <w:bookmarkEnd w:id="13"/>
    </w:p>
    <w:p w14:paraId="67816CD4" w14:textId="77777777" w:rsidR="000B6AD6" w:rsidRPr="00B01824" w:rsidRDefault="000B6AD6" w:rsidP="00B01824">
      <w:pPr>
        <w:bidi w:val="0"/>
        <w:spacing w:line="480" w:lineRule="auto"/>
        <w:jc w:val="both"/>
        <w:rPr>
          <w:rFonts w:asciiTheme="majorBidi" w:hAnsiTheme="majorBidi" w:cstheme="majorBidi"/>
          <w:sz w:val="24"/>
          <w:szCs w:val="24"/>
        </w:rPr>
      </w:pPr>
      <w:proofErr w:type="gramStart"/>
      <w:r w:rsidRPr="00B01824">
        <w:rPr>
          <w:rFonts w:asciiTheme="majorBidi" w:hAnsiTheme="majorBidi" w:cstheme="majorBidi"/>
          <w:sz w:val="24"/>
          <w:szCs w:val="24"/>
        </w:rPr>
        <w:t>The regulative</w:t>
      </w:r>
      <w:proofErr w:type="gramEnd"/>
      <w:r w:rsidRPr="00B01824">
        <w:rPr>
          <w:rFonts w:asciiTheme="majorBidi" w:hAnsiTheme="majorBidi" w:cstheme="majorBidi"/>
          <w:sz w:val="24"/>
          <w:szCs w:val="24"/>
        </w:rPr>
        <w:t xml:space="preserve">, normative and cognitive pressures that influence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behavior are anticipated by </w:t>
      </w:r>
      <w:proofErr w:type="gramStart"/>
      <w:r w:rsidRPr="00B01824">
        <w:rPr>
          <w:rFonts w:asciiTheme="majorBidi" w:hAnsiTheme="majorBidi" w:cstheme="majorBidi"/>
          <w:sz w:val="24"/>
          <w:szCs w:val="24"/>
        </w:rPr>
        <w:t>the institutional</w:t>
      </w:r>
      <w:proofErr w:type="gramEnd"/>
      <w:r w:rsidRPr="00B01824">
        <w:rPr>
          <w:rFonts w:asciiTheme="majorBidi" w:hAnsiTheme="majorBidi" w:cstheme="majorBidi"/>
          <w:sz w:val="24"/>
          <w:szCs w:val="24"/>
        </w:rPr>
        <w:t xml:space="preserve"> theory. The adoption of green logistics is institutionalized: environmental policies and logistics industry standards, certification regimes and stakeholder </w:t>
      </w:r>
      <w:proofErr w:type="gramStart"/>
      <w:r w:rsidRPr="00B01824">
        <w:rPr>
          <w:rFonts w:asciiTheme="majorBidi" w:hAnsiTheme="majorBidi" w:cstheme="majorBidi"/>
          <w:sz w:val="24"/>
          <w:szCs w:val="24"/>
        </w:rPr>
        <w:t>demands</w:t>
      </w:r>
      <w:proofErr w:type="gramEnd"/>
      <w:r w:rsidRPr="00B01824">
        <w:rPr>
          <w:rFonts w:asciiTheme="majorBidi" w:hAnsiTheme="majorBidi" w:cstheme="majorBidi"/>
          <w:sz w:val="24"/>
          <w:szCs w:val="24"/>
        </w:rPr>
        <w:t xml:space="preserve"> provide incentives and limitations to logistics innovation (Esen and El Barky, 2017;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Stakeholder theory is an extension of this view to highlight that there are numerous actors such as consumers, regulators, investors, NGOs, and municipal authorities who have a voice in logistics decisions and investments in infrastructures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The zero-emission delivery sectoral analyses show how municipal policies and market players collaborate to affect the distribution of charging infrastructure and the spread of low-emission vehicles (Bukhari et al., 2023; Isaksson et al., 2011). </w:t>
      </w:r>
    </w:p>
    <w:p w14:paraId="6B38FF58" w14:textId="77777777" w:rsidR="000B6AD6" w:rsidRPr="00B01824" w:rsidRDefault="000B6AD6" w:rsidP="00B01824">
      <w:pPr>
        <w:pStyle w:val="3"/>
        <w:bidi w:val="0"/>
        <w:spacing w:line="480" w:lineRule="auto"/>
        <w:rPr>
          <w:rFonts w:asciiTheme="majorBidi" w:hAnsiTheme="majorBidi"/>
          <w:b/>
          <w:bCs/>
        </w:rPr>
      </w:pPr>
      <w:bookmarkStart w:id="14" w:name="_Toc213479332"/>
      <w:r w:rsidRPr="00B01824">
        <w:rPr>
          <w:rFonts w:asciiTheme="majorBidi" w:hAnsiTheme="majorBidi"/>
          <w:b/>
          <w:bCs/>
        </w:rPr>
        <w:lastRenderedPageBreak/>
        <w:t xml:space="preserve">Socio-Technical Systems and </w:t>
      </w:r>
      <w:proofErr w:type="spellStart"/>
      <w:r w:rsidRPr="00B01824">
        <w:rPr>
          <w:rFonts w:asciiTheme="majorBidi" w:hAnsiTheme="majorBidi"/>
          <w:b/>
          <w:bCs/>
        </w:rPr>
        <w:t>Organisational</w:t>
      </w:r>
      <w:proofErr w:type="spellEnd"/>
      <w:r w:rsidRPr="00B01824">
        <w:rPr>
          <w:rFonts w:asciiTheme="majorBidi" w:hAnsiTheme="majorBidi"/>
          <w:b/>
          <w:bCs/>
        </w:rPr>
        <w:t xml:space="preserve"> Change</w:t>
      </w:r>
      <w:bookmarkEnd w:id="14"/>
    </w:p>
    <w:p w14:paraId="04A8B641"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Green logistics is a socio-technical change: the technological innovation in vehicles, supply chain IT in reverse logistics, and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algorithms need to be incorporated into </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management, governance systems, and the skills of the workforce. The socio-technical theory is focused on the need to have the technologies and human, cultural, and infrastructural components that support them aligned (Andrushchak, 2018; Blanco and Sheffi, 2024). The studies of the obstacles and drivers continuously report that managerial commitment, cross-functional coordination, training, and measurement regimes are needed as complements to technological adoption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w:t>
      </w:r>
      <w:proofErr w:type="spellStart"/>
      <w:r w:rsidRPr="00B01824">
        <w:rPr>
          <w:rFonts w:asciiTheme="majorBidi" w:hAnsiTheme="majorBidi" w:cstheme="majorBidi"/>
          <w:sz w:val="24"/>
          <w:szCs w:val="24"/>
        </w:rPr>
        <w:t>Dhull</w:t>
      </w:r>
      <w:proofErr w:type="spellEnd"/>
      <w:r w:rsidRPr="00B01824">
        <w:rPr>
          <w:rFonts w:asciiTheme="majorBidi" w:hAnsiTheme="majorBidi" w:cstheme="majorBidi"/>
          <w:sz w:val="24"/>
          <w:szCs w:val="24"/>
        </w:rPr>
        <w:t xml:space="preserve"> and Narwal, 2016). Furthermore, transport research underlines that infrastructural preparedness, such as charging networks, consolidation centers, and urban logistics locations, is something that mediates the functional feasibility of zero-emission delivery (Bukhari et al., 2023). </w:t>
      </w:r>
    </w:p>
    <w:p w14:paraId="576482A6" w14:textId="77777777" w:rsidR="000B6AD6" w:rsidRPr="00B01824" w:rsidRDefault="000B6AD6" w:rsidP="00B01824">
      <w:pPr>
        <w:pStyle w:val="3"/>
        <w:bidi w:val="0"/>
        <w:spacing w:line="480" w:lineRule="auto"/>
        <w:rPr>
          <w:rFonts w:asciiTheme="majorBidi" w:hAnsiTheme="majorBidi"/>
          <w:b/>
          <w:bCs/>
        </w:rPr>
      </w:pPr>
      <w:bookmarkStart w:id="15" w:name="_Toc213479333"/>
      <w:r w:rsidRPr="00B01824">
        <w:rPr>
          <w:rFonts w:asciiTheme="majorBidi" w:hAnsiTheme="majorBidi"/>
          <w:b/>
          <w:bCs/>
        </w:rPr>
        <w:t>Configurational and Contingency Perspectives.</w:t>
      </w:r>
      <w:bookmarkEnd w:id="15"/>
    </w:p>
    <w:p w14:paraId="45F50C7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scheduling and contingency theories believe that the performance of an </w:t>
      </w:r>
      <w:proofErr w:type="spellStart"/>
      <w:r w:rsidRPr="00B01824">
        <w:rPr>
          <w:rFonts w:asciiTheme="majorBidi" w:hAnsiTheme="majorBidi" w:cstheme="majorBidi"/>
          <w:sz w:val="24"/>
          <w:szCs w:val="24"/>
        </w:rPr>
        <w:t>organisation</w:t>
      </w:r>
      <w:proofErr w:type="spellEnd"/>
      <w:r w:rsidRPr="00B01824">
        <w:rPr>
          <w:rFonts w:asciiTheme="majorBidi" w:hAnsiTheme="majorBidi" w:cstheme="majorBidi"/>
          <w:sz w:val="24"/>
          <w:szCs w:val="24"/>
        </w:rPr>
        <w:t xml:space="preserve"> is conditional on the alignment of the strategic decisions and internal/external environment. The non-homogenous empirical findings observed in green logistics research suggest that, in no case, there is a single best practice, but, in certain combinations or arrangements of factors, such as technical preparedness, managerial governance, supplier competences, and policy supports, one can achieve positive results (de Jesus, Alves, and Mendes, 2024; Nagy and Szentesi, 2024). Such contingency is implicitly considered to be necessary in robust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and closed-loop models: even theoretically optimal network design cannot be made viable in practice without compatible institutional and infrastructural conditions (Ahmed et al., 2020; Mirzaee et al., 2023). </w:t>
      </w:r>
    </w:p>
    <w:p w14:paraId="64ED3715" w14:textId="77777777" w:rsidR="000B6AD6" w:rsidRPr="00B01824" w:rsidRDefault="000B6AD6" w:rsidP="00B01824">
      <w:pPr>
        <w:pStyle w:val="3"/>
        <w:bidi w:val="0"/>
        <w:spacing w:line="480" w:lineRule="auto"/>
        <w:rPr>
          <w:rFonts w:asciiTheme="majorBidi" w:hAnsiTheme="majorBidi"/>
          <w:b/>
          <w:bCs/>
        </w:rPr>
      </w:pPr>
      <w:bookmarkStart w:id="16" w:name="_Toc213479334"/>
      <w:r w:rsidRPr="00B01824">
        <w:rPr>
          <w:rFonts w:asciiTheme="majorBidi" w:hAnsiTheme="majorBidi"/>
          <w:b/>
          <w:bCs/>
        </w:rPr>
        <w:lastRenderedPageBreak/>
        <w:t>Transaction Cost, Network and Governance Theories.</w:t>
      </w:r>
      <w:bookmarkEnd w:id="16"/>
    </w:p>
    <w:p w14:paraId="7B66FD63"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The network governance and transaction cost economics theories help to understand the inter-</w:t>
      </w:r>
      <w:proofErr w:type="spellStart"/>
      <w:r w:rsidRPr="00B01824">
        <w:rPr>
          <w:rFonts w:asciiTheme="majorBidi" w:hAnsiTheme="majorBidi" w:cstheme="majorBidi"/>
          <w:sz w:val="24"/>
          <w:szCs w:val="24"/>
        </w:rPr>
        <w:t>organisational</w:t>
      </w:r>
      <w:proofErr w:type="spellEnd"/>
      <w:r w:rsidRPr="00B01824">
        <w:rPr>
          <w:rFonts w:asciiTheme="majorBidi" w:hAnsiTheme="majorBidi" w:cstheme="majorBidi"/>
          <w:sz w:val="24"/>
          <w:szCs w:val="24"/>
        </w:rPr>
        <w:t xml:space="preserve"> coordination issues in green logistics. Governance arrangements are required to mitigate the complexities of a contract, lack of trust, asymmetric information, and sharing risks among supply chain content (Isaksson et al., 2011; Andrushchak, 2018). Recent advances in supplier selection and order allocation cap-and-trade-awareness indicate that negotiated agreements and co-operative systems are imperative to allocating costs and benefits among network participants (Mirzaee et al., 2023; Ahmed et al., 2020). To conduct the study, transaction and network theories will be used to guide the analysis towards governance arrangements like formal contracts, collaborative platforms, public-private partnerships, which facilitate the inter-firm alignment as well as minimizing transaction costs that hinder the adoption of green logistics.</w:t>
      </w:r>
    </w:p>
    <w:p w14:paraId="3913BA39" w14:textId="77777777" w:rsidR="000B6AD6" w:rsidRPr="00B01824" w:rsidRDefault="000B6AD6" w:rsidP="00B01824">
      <w:pPr>
        <w:pStyle w:val="3"/>
        <w:bidi w:val="0"/>
        <w:spacing w:line="480" w:lineRule="auto"/>
        <w:rPr>
          <w:rFonts w:asciiTheme="majorBidi" w:hAnsiTheme="majorBidi"/>
          <w:b/>
          <w:bCs/>
        </w:rPr>
      </w:pPr>
      <w:bookmarkStart w:id="17" w:name="_Toc213479335"/>
      <w:r w:rsidRPr="00B01824">
        <w:rPr>
          <w:rFonts w:asciiTheme="majorBidi" w:hAnsiTheme="majorBidi"/>
          <w:b/>
          <w:bCs/>
        </w:rPr>
        <w:t>Mechanisms of Change and Integrative Theoretical Synthesis.</w:t>
      </w:r>
      <w:bookmarkEnd w:id="17"/>
    </w:p>
    <w:p w14:paraId="44DBEEE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By uniting such theoretical strands, one is able to articulate middle level mechanisms that quite plausibly link antecedent conditions to the outcome of green logistics. As an illustration, the RBV predicts that internal capabilities are created by investing in traceability systems; institutional theory shows that regulatory incentives or stakeholder pressure can make such investments valuable; socio-technical views demonstrate that cross-functional governance and training is necessary to </w:t>
      </w:r>
      <w:proofErr w:type="spellStart"/>
      <w:r w:rsidRPr="00B01824">
        <w:rPr>
          <w:rFonts w:asciiTheme="majorBidi" w:hAnsiTheme="majorBidi" w:cstheme="majorBidi"/>
          <w:sz w:val="24"/>
          <w:szCs w:val="24"/>
        </w:rPr>
        <w:t>operationalise</w:t>
      </w:r>
      <w:proofErr w:type="spellEnd"/>
      <w:r w:rsidRPr="00B01824">
        <w:rPr>
          <w:rFonts w:asciiTheme="majorBidi" w:hAnsiTheme="majorBidi" w:cstheme="majorBidi"/>
          <w:sz w:val="24"/>
          <w:szCs w:val="24"/>
        </w:rPr>
        <w:t xml:space="preserve"> traceability tools; transaction/network theories predict that the scale of capabilities is created by supplier collaboration at the scale of the supply chain. These mechanisms have their supporting empirical reviews and sectoral analysis: traceability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management has enhanced sustainability performance, when it is underpinned by consistent institutional structures and networks of collaboration (</w:t>
      </w:r>
      <w:proofErr w:type="spellStart"/>
      <w:r w:rsidRPr="00B01824">
        <w:rPr>
          <w:rFonts w:asciiTheme="majorBidi" w:hAnsiTheme="majorBidi" w:cstheme="majorBidi"/>
          <w:sz w:val="24"/>
          <w:szCs w:val="24"/>
        </w:rPr>
        <w:t>Agyabeng</w:t>
      </w:r>
      <w:proofErr w:type="spellEnd"/>
      <w:r w:rsidRPr="00B01824">
        <w:rPr>
          <w:rFonts w:asciiTheme="majorBidi" w:hAnsiTheme="majorBidi" w:cstheme="majorBidi"/>
          <w:sz w:val="24"/>
          <w:szCs w:val="24"/>
        </w:rPr>
        <w:t xml:space="preserve">-Mensah et al., 2021; Khoa et al., 2024; de Jesus et al., 2024). </w:t>
      </w:r>
    </w:p>
    <w:p w14:paraId="4468F7B9" w14:textId="77777777" w:rsidR="000B6AD6" w:rsidRPr="00B01824" w:rsidRDefault="000B6AD6" w:rsidP="00B01824">
      <w:pPr>
        <w:pStyle w:val="3"/>
        <w:bidi w:val="0"/>
        <w:spacing w:line="480" w:lineRule="auto"/>
        <w:rPr>
          <w:rFonts w:asciiTheme="majorBidi" w:hAnsiTheme="majorBidi"/>
          <w:b/>
          <w:bCs/>
        </w:rPr>
      </w:pPr>
      <w:bookmarkStart w:id="18" w:name="_Toc213479336"/>
      <w:r w:rsidRPr="00B01824">
        <w:rPr>
          <w:rFonts w:asciiTheme="majorBidi" w:hAnsiTheme="majorBidi"/>
          <w:b/>
          <w:bCs/>
        </w:rPr>
        <w:lastRenderedPageBreak/>
        <w:t>Practical Implications of the Theory: Theory as Research Design and Analysis.</w:t>
      </w:r>
      <w:bookmarkEnd w:id="18"/>
    </w:p>
    <w:p w14:paraId="09F44BF4"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Applying theory to empirical research, the qualitative descriptive design of the study provides the advantages of using the pluralistic theoretical frame to structure the data collection, coding, and analytic synthesis. RBV guides interview guidelines that focus on attracting information regarding resource endowments, investment priorities and capability development. The institutional and stakeholder theories imply questions regarding experiences with regulation, certification and external pressure. The socio-technical theory encourages the study of the process transformation, training, and technology-work practice fit, and the configurational approaches encourage the recognition of contextual patterns between the cases. The transaction and network theories shall focus on contractual agreements, partnership frameworks and collaborative infrastructures. The combination of these theoretical grounds allows the study to create a conceptual framework, showing respect to technical modelling understanding (Ahmed et al., 2020; Mirzaee et al., 2023).</w:t>
      </w:r>
    </w:p>
    <w:p w14:paraId="7C1277A6" w14:textId="77777777" w:rsidR="000B6AD6" w:rsidRPr="00B01824" w:rsidRDefault="000B6AD6" w:rsidP="00B01824">
      <w:pPr>
        <w:pStyle w:val="3"/>
        <w:bidi w:val="0"/>
        <w:spacing w:line="480" w:lineRule="auto"/>
        <w:rPr>
          <w:rFonts w:asciiTheme="majorBidi" w:hAnsiTheme="majorBidi"/>
          <w:b/>
          <w:bCs/>
        </w:rPr>
      </w:pPr>
      <w:bookmarkStart w:id="19" w:name="_Toc213479337"/>
      <w:r w:rsidRPr="00B01824">
        <w:rPr>
          <w:rFonts w:asciiTheme="majorBidi" w:hAnsiTheme="majorBidi"/>
          <w:b/>
          <w:bCs/>
        </w:rPr>
        <w:t>Knowledge and Practice Contribution.</w:t>
      </w:r>
      <w:bookmarkEnd w:id="19"/>
    </w:p>
    <w:p w14:paraId="6B851B5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Theoretical synthesis is not only conducive to vigorous empirical study, but also helps in building cumulative knowledge by providing the mid-range propositions regarding how particular resource, institutional support, forms of governance, and socio-technical match-ups result in effective green logistics outcomes. These propositions can guide the design of policy, as they are able to clarify what regulatory instruments are more likely to complement the capabilities of firms, as well as the managerial practice, as they are able to inform decision-makers on what type of internal capabilities to focus on in order to have a scalable impact (Blanco et al., 2024; Nagy et al., 2024). In addition, the connection between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studies and closed-loop modelling and socio-technical and institutional analysis can assist in closing the long-standing gap between what is technically feasible and what is feasible in an </w:t>
      </w:r>
      <w:proofErr w:type="spellStart"/>
      <w:r w:rsidRPr="00B01824">
        <w:rPr>
          <w:rFonts w:asciiTheme="majorBidi" w:hAnsiTheme="majorBidi" w:cstheme="majorBidi"/>
          <w:sz w:val="24"/>
          <w:szCs w:val="24"/>
        </w:rPr>
        <w:t>organisation</w:t>
      </w:r>
      <w:proofErr w:type="spellEnd"/>
      <w:r w:rsidRPr="00B01824">
        <w:rPr>
          <w:rFonts w:asciiTheme="majorBidi" w:hAnsiTheme="majorBidi" w:cstheme="majorBidi"/>
          <w:sz w:val="24"/>
          <w:szCs w:val="24"/>
        </w:rPr>
        <w:t xml:space="preserve">, thus providing a route toward the translation of scholarly models into the </w:t>
      </w:r>
      <w:r w:rsidRPr="00B01824">
        <w:rPr>
          <w:rFonts w:asciiTheme="majorBidi" w:hAnsiTheme="majorBidi" w:cstheme="majorBidi"/>
          <w:sz w:val="24"/>
          <w:szCs w:val="24"/>
        </w:rPr>
        <w:lastRenderedPageBreak/>
        <w:t>operating strategies that can lead to quantifiable environmental improvements (Ahmed et al., 2020; Mirzaee et al., 2023; Bukhari et al., 2023).</w:t>
      </w:r>
    </w:p>
    <w:p w14:paraId="6C775C3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Overall, the theoretical framework of the current study is an integration of RBV, institutional and stakeholder theory, socio-technical systems thinking, configurational logic and transaction/network governance into a consistent analytic architecture. This pluralistic synthesis based on the literature of empirical and modelling literature available, that is, traceability and </w:t>
      </w:r>
      <w:proofErr w:type="spellStart"/>
      <w:r w:rsidRPr="00B01824">
        <w:rPr>
          <w:rFonts w:asciiTheme="majorBidi" w:hAnsiTheme="majorBidi" w:cstheme="majorBidi"/>
          <w:sz w:val="24"/>
          <w:szCs w:val="24"/>
        </w:rPr>
        <w:t>ecocentric</w:t>
      </w:r>
      <w:proofErr w:type="spellEnd"/>
      <w:r w:rsidRPr="00B01824">
        <w:rPr>
          <w:rFonts w:asciiTheme="majorBidi" w:hAnsiTheme="majorBidi" w:cstheme="majorBidi"/>
          <w:sz w:val="24"/>
          <w:szCs w:val="24"/>
        </w:rPr>
        <w:t xml:space="preserve"> management literature, to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and zero-emission transport literature, is the ground that can be used to develop a refined, practical conceptual framework. A framework like this aims to provide answers not only to the question of the technical feasibility of the green logistics strategies, but also the motivations behind their adoption, their </w:t>
      </w:r>
      <w:proofErr w:type="spellStart"/>
      <w:r w:rsidRPr="00B01824">
        <w:rPr>
          <w:rFonts w:asciiTheme="majorBidi" w:hAnsiTheme="majorBidi" w:cstheme="majorBidi"/>
          <w:sz w:val="24"/>
          <w:szCs w:val="24"/>
        </w:rPr>
        <w:t>operationalisation</w:t>
      </w:r>
      <w:proofErr w:type="spellEnd"/>
      <w:r w:rsidRPr="00B01824">
        <w:rPr>
          <w:rFonts w:asciiTheme="majorBidi" w:hAnsiTheme="majorBidi" w:cstheme="majorBidi"/>
          <w:sz w:val="24"/>
          <w:szCs w:val="24"/>
        </w:rPr>
        <w:t>, and the formations under which they can be extended to generate systemic environmental benefits to the management of the supply chain.</w:t>
      </w:r>
    </w:p>
    <w:p w14:paraId="3A1A2C1C" w14:textId="77777777" w:rsidR="000B6AD6" w:rsidRPr="00B01824" w:rsidRDefault="000B6AD6" w:rsidP="00B01824">
      <w:pPr>
        <w:pStyle w:val="2"/>
        <w:bidi w:val="0"/>
        <w:spacing w:line="480" w:lineRule="auto"/>
        <w:rPr>
          <w:rFonts w:asciiTheme="majorBidi" w:hAnsiTheme="majorBidi"/>
          <w:b/>
          <w:bCs/>
          <w:sz w:val="24"/>
          <w:szCs w:val="24"/>
        </w:rPr>
      </w:pPr>
      <w:bookmarkStart w:id="20" w:name="_Toc213479338"/>
      <w:r w:rsidRPr="00B01824">
        <w:rPr>
          <w:rFonts w:asciiTheme="majorBidi" w:hAnsiTheme="majorBidi"/>
          <w:b/>
          <w:bCs/>
          <w:sz w:val="24"/>
          <w:szCs w:val="24"/>
        </w:rPr>
        <w:t>Previous Studies</w:t>
      </w:r>
      <w:bookmarkEnd w:id="20"/>
    </w:p>
    <w:p w14:paraId="191AFE93" w14:textId="77777777" w:rsidR="000B6AD6" w:rsidRPr="00B01824" w:rsidRDefault="000B6AD6" w:rsidP="00B01824">
      <w:pPr>
        <w:pStyle w:val="2"/>
        <w:bidi w:val="0"/>
        <w:spacing w:line="480" w:lineRule="auto"/>
        <w:rPr>
          <w:rFonts w:asciiTheme="majorBidi" w:hAnsiTheme="majorBidi"/>
          <w:b/>
          <w:bCs/>
          <w:sz w:val="24"/>
          <w:szCs w:val="24"/>
        </w:rPr>
      </w:pPr>
      <w:bookmarkStart w:id="21" w:name="_Toc213479339"/>
      <w:r w:rsidRPr="00B01824">
        <w:rPr>
          <w:rFonts w:asciiTheme="majorBidi" w:hAnsiTheme="majorBidi"/>
          <w:b/>
          <w:bCs/>
          <w:sz w:val="24"/>
          <w:szCs w:val="24"/>
        </w:rPr>
        <w:t>Introduction</w:t>
      </w:r>
      <w:bookmarkEnd w:id="21"/>
      <w:r w:rsidRPr="00B01824">
        <w:rPr>
          <w:rFonts w:asciiTheme="majorBidi" w:hAnsiTheme="majorBidi"/>
          <w:b/>
          <w:bCs/>
          <w:sz w:val="24"/>
          <w:szCs w:val="24"/>
        </w:rPr>
        <w:t xml:space="preserve"> </w:t>
      </w:r>
    </w:p>
    <w:p w14:paraId="3BA4FD0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literature review is a background element of the present study, as it provides an in-depth insight into the barriers and facilitating circumstances that predetermine the implementation of green approaches to logistics in the context of the supply chain management. Published works present a rich assortment of research designs, ranging in approach between systematic literature reviews (i.e. identifying drivers and barriers, such as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&amp; Oulfarsi and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&amp; Sohani) to context-specific research that demonstrates cultural and institutional differences (i.e. Esen &amp; El Barky and Nagy &amp; Szentesi). Even more recent studies have added to the discussion the practices of a circular economy and low-emission logistics technologies, which </w:t>
      </w:r>
      <w:proofErr w:type="gramStart"/>
      <w:r w:rsidRPr="00B01824">
        <w:rPr>
          <w:rFonts w:asciiTheme="majorBidi" w:hAnsiTheme="majorBidi" w:cstheme="majorBidi"/>
          <w:sz w:val="24"/>
          <w:szCs w:val="24"/>
        </w:rPr>
        <w:t>expands</w:t>
      </w:r>
      <w:proofErr w:type="gramEnd"/>
      <w:r w:rsidRPr="00B01824">
        <w:rPr>
          <w:rFonts w:asciiTheme="majorBidi" w:hAnsiTheme="majorBidi" w:cstheme="majorBidi"/>
          <w:sz w:val="24"/>
          <w:szCs w:val="24"/>
        </w:rPr>
        <w:t xml:space="preserve"> the boundaries of environmental sustainability considerations as a part of logistics operations.</w:t>
      </w:r>
    </w:p>
    <w:p w14:paraId="438CF001"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lastRenderedPageBreak/>
        <w:t>A cross analysis of the studies conducted in the past reveals some common themes and conceptual tensions. Several of the above factors found can be dualistic and may act as motivators or restrictions based on the organizational condition, availability of resources and regulatory conditions. Moreover, although previous quantitative and review-based reports offer useful classifications and general trends, they do not have much idea about the lived experiences, perceptions, and operation practices of logistics managers. The existence of this gap highlights the necessity to conduct qualitative descriptive research that would be in a position to describe the subtle realities and decision-making patterns that determine the adoption of green logistics strategies.</w:t>
      </w:r>
    </w:p>
    <w:p w14:paraId="10E0421D"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In this regard, the current research tends to combine and generalize the available information by elaborating a unified conceptual framework based on the multidimensional and dynamic characteristics of the green logistics adoption. The study aims to unite fragmented empirical evidence, elucidate conditional associations between drivers and obstacles, and include moderators of the context to increase the explanatory value of the model through the qualitative descriptive design. This chapter on past literature thus offers a systematic review of the current evidence, a critical analysis of gaps in methodology and conceptualization and justification of the relevance of the contemporary study.</w:t>
      </w:r>
    </w:p>
    <w:p w14:paraId="615C5FBC" w14:textId="0E72CD4F" w:rsidR="000B6AD6" w:rsidRPr="00B01824" w:rsidRDefault="000B6AD6" w:rsidP="00B01824">
      <w:pPr>
        <w:pStyle w:val="3"/>
        <w:bidi w:val="0"/>
        <w:spacing w:line="480" w:lineRule="auto"/>
        <w:rPr>
          <w:rFonts w:asciiTheme="majorBidi" w:hAnsiTheme="majorBidi"/>
          <w:b/>
          <w:bCs/>
        </w:rPr>
      </w:pPr>
      <w:bookmarkStart w:id="22" w:name="_Toc213479340"/>
      <w:r w:rsidRPr="00B01824">
        <w:rPr>
          <w:rFonts w:asciiTheme="majorBidi" w:hAnsiTheme="majorBidi"/>
          <w:b/>
          <w:bCs/>
        </w:rPr>
        <w:t>Analysis</w:t>
      </w:r>
      <w:bookmarkEnd w:id="22"/>
    </w:p>
    <w:p w14:paraId="06550DA8" w14:textId="77777777" w:rsidR="000B6AD6" w:rsidRPr="00B01824" w:rsidRDefault="000B6AD6" w:rsidP="00B01824">
      <w:pPr>
        <w:bidi w:val="0"/>
        <w:spacing w:line="480" w:lineRule="auto"/>
        <w:jc w:val="both"/>
        <w:rPr>
          <w:rFonts w:asciiTheme="majorBidi" w:hAnsiTheme="majorBidi" w:cstheme="majorBidi"/>
          <w:b/>
          <w:bCs/>
          <w:sz w:val="24"/>
          <w:szCs w:val="24"/>
        </w:rPr>
      </w:pPr>
      <w:proofErr w:type="spellStart"/>
      <w:r w:rsidRPr="00B01824">
        <w:rPr>
          <w:rFonts w:asciiTheme="majorBidi" w:hAnsiTheme="majorBidi" w:cstheme="majorBidi"/>
          <w:b/>
          <w:bCs/>
          <w:sz w:val="24"/>
          <w:szCs w:val="24"/>
        </w:rPr>
        <w:t>Hebaz</w:t>
      </w:r>
      <w:proofErr w:type="spellEnd"/>
      <w:r w:rsidRPr="00B01824">
        <w:rPr>
          <w:rFonts w:asciiTheme="majorBidi" w:hAnsiTheme="majorBidi" w:cstheme="majorBidi"/>
          <w:b/>
          <w:bCs/>
          <w:sz w:val="24"/>
          <w:szCs w:val="24"/>
        </w:rPr>
        <w:t xml:space="preserve"> and Oulfarsi (2021)</w:t>
      </w:r>
    </w:p>
    <w:p w14:paraId="07F9A593"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literature review about drivers and barriers to GSCM in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is systematic and gives a dense and helpful map of the conceptual terrain. They make their analysis based on sixty decisive factors that come to play when a green supply chain practice is being adopted, with a total of twenty-eight of them being defined as drivers and thirty-two as barriers. The usefulness of this broad catalogue is not in its simplification into one cause that </w:t>
      </w:r>
      <w:r w:rsidRPr="00B01824">
        <w:rPr>
          <w:rFonts w:asciiTheme="majorBidi" w:hAnsiTheme="majorBidi" w:cstheme="majorBidi"/>
          <w:sz w:val="24"/>
          <w:szCs w:val="24"/>
        </w:rPr>
        <w:lastRenderedPageBreak/>
        <w:t>is dominant but its revelation of the multiplicity and interdependency of forces that facilitate and hinder organizational change. One of the most important contributions of their review is the fact that a number of high-salience variables, including the consideration of financial costs, customer expectations, and regulatory requirements, do not act in a unidirectional fashion. As opposed to that, it is possible that these aspects can be enablers in certain situations and inhibitors in other situations, based on the institutional environment, firm competencies, and time dynamics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&amp; Oulfarsi, 2021). This dualistic view confronts simplistic descriptions of drivers and barriers (as discrete and mutually exclusive categories), and promotes the attention of researchers and practitioners to contextual moderators and processes.</w:t>
      </w:r>
    </w:p>
    <w:p w14:paraId="0F51AD15"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review are carried out in a methodological way, combining different strands of empirical and theoretical research to demonstrate those patterns that cannot be immediately identified in studies conducted </w:t>
      </w:r>
      <w:proofErr w:type="gramStart"/>
      <w:r w:rsidRPr="00B01824">
        <w:rPr>
          <w:rFonts w:asciiTheme="majorBidi" w:hAnsiTheme="majorBidi" w:cstheme="majorBidi"/>
          <w:sz w:val="24"/>
          <w:szCs w:val="24"/>
        </w:rPr>
        <w:t>at</w:t>
      </w:r>
      <w:proofErr w:type="gramEnd"/>
      <w:r w:rsidRPr="00B01824">
        <w:rPr>
          <w:rFonts w:asciiTheme="majorBidi" w:hAnsiTheme="majorBidi" w:cstheme="majorBidi"/>
          <w:sz w:val="24"/>
          <w:szCs w:val="24"/>
        </w:rPr>
        <w:t xml:space="preserve"> an individual case or in an individual country. Their taxonomy helps in building up cumulative knowledge by classifying empirical regularities in analytically manageable groups: financial, regulatory, technological, managerial, and market-related factors, and agrees upon cross-cutting themes: institutional ambiguity and resource constraints. To develop theory, the review highlights the necessity of frameworks that can be used to implement conditional causality and interactions between determinants; the fact that factors are dualistic suggests an explanatory model needs to specify under what conditions a specific factor will become a promoter or inhibitor of adoption. </w:t>
      </w:r>
    </w:p>
    <w:p w14:paraId="4B69A65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direct implications to green logistics studies as presented by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are as follows. Since logistics activities: transportation, warehousing, distribution and reverse logistics are part and parcel of supply chains, drivers and barriers of their review are exerted on logistics choices with special effectiveness. As an example, capital-intensity and infrastructure dependence imply that transport decarbonization plans are urgently vulnerable to financial and regulatory interactions, and traceability technologies engage both managerial </w:t>
      </w:r>
      <w:r w:rsidRPr="00B01824">
        <w:rPr>
          <w:rFonts w:asciiTheme="majorBidi" w:hAnsiTheme="majorBidi" w:cstheme="majorBidi"/>
          <w:sz w:val="24"/>
          <w:szCs w:val="24"/>
        </w:rPr>
        <w:lastRenderedPageBreak/>
        <w:t>ability and customer-led requirements of transparency. That review hence offers an empirically based checklist of problems that any coherent conceptual framework needs to take into consideration in case it is to describe variation in the adoption of green logistics by different firms and situations.</w:t>
      </w:r>
    </w:p>
    <w:p w14:paraId="2F1F3BC9"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Esen and El Barky (2017)</w:t>
      </w:r>
    </w:p>
    <w:p w14:paraId="5C45623D"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Esen and El Barky (2017) supplement general syntheses with specific empirical evidence that is based on interviews with managers of Turkish and Egyptian multinational firms operating in Egypt. Their chapter preempts the necessity of local, institutional and organizational particularity in determining the outcome of GSCM demonstrating that the regionally contingent phenomena can significantly change the salience and practical sense of drivers and barriers. The authors report various barriers such as ignorance or low awareness by managers, insufficient governmental encouragement, poor implementation of environmental regulations and technological limitations which repeatedly frustrate the processes of green transitions </w:t>
      </w:r>
      <w:proofErr w:type="gramStart"/>
      <w:r w:rsidRPr="00B01824">
        <w:rPr>
          <w:rFonts w:asciiTheme="majorBidi" w:hAnsiTheme="majorBidi" w:cstheme="majorBidi"/>
          <w:sz w:val="24"/>
          <w:szCs w:val="24"/>
        </w:rPr>
        <w:t>in the area of</w:t>
      </w:r>
      <w:proofErr w:type="gramEnd"/>
      <w:r w:rsidRPr="00B01824">
        <w:rPr>
          <w:rFonts w:asciiTheme="majorBidi" w:hAnsiTheme="majorBidi" w:cstheme="majorBidi"/>
          <w:sz w:val="24"/>
          <w:szCs w:val="24"/>
        </w:rPr>
        <w:t xml:space="preserve"> study. These results reveal the disproportionate abilities between the firms and the state institutions to gain global sustainability norms into a viable local practice.</w:t>
      </w:r>
    </w:p>
    <w:p w14:paraId="6CD69E4A"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main strength of the work by Esen and El Barky lies in its focus on the issue of global pressure towards sustainability and the need of multinational enterprises to adapt to the local conditions of operations. The interviews indicate that though MNEs can introduce superior policies and technical capacities into the host nations, green practices transfer and adoption are usually hindered by inadequate infrastructures of such countries, immaturity of suppliers, or lack of uniformity of stakeholder expectations. Thus, the authors suggest specific policy measures and cross-sectoral cooperation, that is, the alignment of government agencies, commercial enterprises, industry organizations and </w:t>
      </w:r>
      <w:proofErr w:type="gramStart"/>
      <w:r w:rsidRPr="00B01824">
        <w:rPr>
          <w:rFonts w:asciiTheme="majorBidi" w:hAnsiTheme="majorBidi" w:cstheme="majorBidi"/>
          <w:sz w:val="24"/>
          <w:szCs w:val="24"/>
        </w:rPr>
        <w:t>the civil</w:t>
      </w:r>
      <w:proofErr w:type="gramEnd"/>
      <w:r w:rsidRPr="00B01824">
        <w:rPr>
          <w:rFonts w:asciiTheme="majorBidi" w:hAnsiTheme="majorBidi" w:cstheme="majorBidi"/>
          <w:sz w:val="24"/>
          <w:szCs w:val="24"/>
        </w:rPr>
        <w:t xml:space="preserve"> society to create the institutional framework under which green logistics can be anchored. Based on their findings, collaborative </w:t>
      </w:r>
      <w:r w:rsidRPr="00B01824">
        <w:rPr>
          <w:rFonts w:asciiTheme="majorBidi" w:hAnsiTheme="majorBidi" w:cstheme="majorBidi"/>
          <w:sz w:val="24"/>
          <w:szCs w:val="24"/>
        </w:rPr>
        <w:lastRenderedPageBreak/>
        <w:t>governance frameworks and capacity-building programs are commonly inseparable supplements to top-down regulatory requirements.</w:t>
      </w:r>
    </w:p>
    <w:p w14:paraId="00837ED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In a pragmatic perspective, Esen and El Barky demonstrate that localized interventions, like the localized training programs, co-investment in infrastructure by the government and the business, and the cultural sensitivity of the stakeholder dialogue, can lead to a decrease in informational and organizational barriers. The implication of their recommendations is that policy-makers must be flexible in policy design: that is, instead of providing homogenous standards, regulators and international actors must adapt incentives and compliance mechanisms to local absorptive capacities and market structures. The chapter thus gives real landmarks on how an organic conceptual framework can be operationalized to bring about context-sensitive change leverages, particularly in emerging-market settings where institutional and infrastructural gaps are most eminent.</w:t>
      </w:r>
    </w:p>
    <w:p w14:paraId="4FA4A3D7" w14:textId="77777777" w:rsidR="000B6AD6" w:rsidRPr="00B01824" w:rsidRDefault="000B6AD6" w:rsidP="00B01824">
      <w:pPr>
        <w:bidi w:val="0"/>
        <w:spacing w:line="480" w:lineRule="auto"/>
        <w:jc w:val="both"/>
        <w:rPr>
          <w:rFonts w:asciiTheme="majorBidi" w:hAnsiTheme="majorBidi" w:cstheme="majorBidi"/>
          <w:b/>
          <w:bCs/>
          <w:sz w:val="24"/>
          <w:szCs w:val="24"/>
        </w:rPr>
      </w:pPr>
      <w:proofErr w:type="spellStart"/>
      <w:r w:rsidRPr="00B01824">
        <w:rPr>
          <w:rFonts w:asciiTheme="majorBidi" w:hAnsiTheme="majorBidi" w:cstheme="majorBidi"/>
          <w:b/>
          <w:bCs/>
          <w:sz w:val="24"/>
          <w:szCs w:val="24"/>
        </w:rPr>
        <w:t>Dashore</w:t>
      </w:r>
      <w:proofErr w:type="spellEnd"/>
      <w:r w:rsidRPr="00B01824">
        <w:rPr>
          <w:rFonts w:asciiTheme="majorBidi" w:hAnsiTheme="majorBidi" w:cstheme="majorBidi"/>
          <w:b/>
          <w:bCs/>
          <w:sz w:val="24"/>
          <w:szCs w:val="24"/>
        </w:rPr>
        <w:t xml:space="preserve"> and Sohani (2013)</w:t>
      </w:r>
    </w:p>
    <w:p w14:paraId="7A2E445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detailed survey by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gives one of the first systematic reviews of the drivers and barriers that have significant effects on the introduction of Green Supply Chain Management (GSCM) in the various industrial and organizational environments. Their publication is a synthesis of the results of the numerous academic studies and the viewpoints of scholars, which provides a unified perception of the twenty significant barriers and sixteen significant drivers that influence the application of GSCM. The advantage of the review is that it combines theoretical implications and empirical evidence, which unveils the fact that the shift towards environmentally sustainable practices is frequently limited by technological and economic factors, as well as behavioral and organizational inertia.</w:t>
      </w:r>
    </w:p>
    <w:p w14:paraId="5C01F0F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barriers that have been reported as the most common are the high initial investment cost, organizational change resistance, poor infrastructure, and poor technological preparedness </w:t>
      </w:r>
      <w:r w:rsidRPr="00B01824">
        <w:rPr>
          <w:rFonts w:asciiTheme="majorBidi" w:hAnsiTheme="majorBidi" w:cstheme="majorBidi"/>
          <w:sz w:val="24"/>
          <w:szCs w:val="24"/>
        </w:rPr>
        <w:lastRenderedPageBreak/>
        <w:t>(</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All these impediments demonstrate that the idea of </w:t>
      </w:r>
      <w:proofErr w:type="gramStart"/>
      <w:r w:rsidRPr="00B01824">
        <w:rPr>
          <w:rFonts w:asciiTheme="majorBidi" w:hAnsiTheme="majorBidi" w:cstheme="majorBidi"/>
          <w:sz w:val="24"/>
          <w:szCs w:val="24"/>
        </w:rPr>
        <w:t>the sustainability</w:t>
      </w:r>
      <w:proofErr w:type="gramEnd"/>
      <w:r w:rsidRPr="00B01824">
        <w:rPr>
          <w:rFonts w:asciiTheme="majorBidi" w:hAnsiTheme="majorBidi" w:cstheme="majorBidi"/>
          <w:sz w:val="24"/>
          <w:szCs w:val="24"/>
        </w:rPr>
        <w:t xml:space="preserve"> can be largely supported in theory, but the practical version of the green </w:t>
      </w:r>
      <w:proofErr w:type="gramStart"/>
      <w:r w:rsidRPr="00B01824">
        <w:rPr>
          <w:rFonts w:asciiTheme="majorBidi" w:hAnsiTheme="majorBidi" w:cstheme="majorBidi"/>
          <w:sz w:val="24"/>
          <w:szCs w:val="24"/>
        </w:rPr>
        <w:t>practices</w:t>
      </w:r>
      <w:proofErr w:type="gramEnd"/>
      <w:r w:rsidRPr="00B01824">
        <w:rPr>
          <w:rFonts w:asciiTheme="majorBidi" w:hAnsiTheme="majorBidi" w:cstheme="majorBidi"/>
          <w:sz w:val="24"/>
          <w:szCs w:val="24"/>
        </w:rPr>
        <w:t xml:space="preserve"> implementation is usually much more complicated. As an example, small and medium-size companies can be unable to afford the financial burden of implementing the latest green technologies, whereas bigger companies can struggle with the impact of the established procedures or the shortage of human resources that can facilitate sustainable changes.</w:t>
      </w:r>
    </w:p>
    <w:p w14:paraId="51850DEA"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On the other hand, their discussion reveals that there are various driving forces that can hasten the use of GSCM. These are long run cost savings made through better resource efficiency, better brand image and reputation and increased environmental awareness among consumers, suppliers and other stakeholders. These are some of the reasons why companies should incorporate sustainability in their businesses. The paper also mentions that external pressure on businesses to be environmentally responsible has been increasing due to the increasing global concern on the issue of climate change and depletion of resources. Nonetheless, short-term profitability and long-term sustainability </w:t>
      </w:r>
      <w:proofErr w:type="gramStart"/>
      <w:r w:rsidRPr="00B01824">
        <w:rPr>
          <w:rFonts w:asciiTheme="majorBidi" w:hAnsiTheme="majorBidi" w:cstheme="majorBidi"/>
          <w:sz w:val="24"/>
          <w:szCs w:val="24"/>
        </w:rPr>
        <w:t>still remain</w:t>
      </w:r>
      <w:proofErr w:type="gramEnd"/>
      <w:r w:rsidRPr="00B01824">
        <w:rPr>
          <w:rFonts w:asciiTheme="majorBidi" w:hAnsiTheme="majorBidi" w:cstheme="majorBidi"/>
          <w:sz w:val="24"/>
          <w:szCs w:val="24"/>
        </w:rPr>
        <w:t xml:space="preserve"> a decisive factor when it comes to determining the rate at which green is adopted.</w:t>
      </w:r>
    </w:p>
    <w:p w14:paraId="7873A4F8"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One of the more thought-provoking additions made by the work of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is the acknowledgement of the gap in willingness and operational abilities that organizational willingness always has. They claim that, most companies make rhetorical declarations of sustainability to the environment yet do not translate these declarations into real action because of the short run financial pressures and uncertainties in their operations. This gap highlights the need to have institutional backing, industry standards, and joint efforts to reduce risks and reduce the barrier to entry into green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&amp; Sohani, 2013). The authors support the development of enabling policy framework, financial incentives and cross-sectoral partnerships that may render the implementation of GSCM feasible and appealing.</w:t>
      </w:r>
    </w:p>
    <w:p w14:paraId="078CAB91"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lastRenderedPageBreak/>
        <w:t>Nagy and Szentesi (2024):</w:t>
      </w:r>
    </w:p>
    <w:p w14:paraId="3A9E9BB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Nagy and Szentesi (2024) increase the area of discussion beyond green supply chains to the more operationally specific and operationally intensive area of green logistics. Their study places logistics not as a supportive aspect of supply chains but as a key field of environmental change and systemic sustainability. The authors discuss the potential of logistics, which is traditionally regarded as the high-emission and energy-consuming industry, to transform into the driver of sustainability by implementing green logistics practices that include energy-saving warehousing, low-emission transportation, and sustainable packaging. Based on the combination of case studies and data on the industry level, Nagy and Szentesi examine the modern situation, issues, and new tendencies in green logistic.</w:t>
      </w:r>
    </w:p>
    <w:p w14:paraId="71C789B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Their results indicate that the level of awareness regarding the principles of green logistics is increasing, but the large-scale applications are not that numerous. This disparity has been mainly explained by the high cost of operation, technical factors, and unreliable regulation systems. The high expense of the shift towards cleaner technologies, i.e., electric vehicles fleet, renewable energy-based storage systems, recyclable packaging, etc., can hardly motivate companies to switch to them. Moreover, the absence of unified sustainability indicators, as well as the inconsistency in the application of the environmental laws in different areas, leads to fragmentation and inefficiency. Consequently, there are numerous organizations that are torn between the desire to be sustainable and the reality of budget, infrastructure and compliance.</w:t>
      </w:r>
    </w:p>
    <w:p w14:paraId="0EFC6A49"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One of the main ideas of the study by Nagy and Szentesi is that the effectiveness of green logistics programs is predetermined by the systemic correspondence of strategic vision, operational capability, and regulatory incentives. Sustainability in logistics cannot be attained by individual technological upgrades or ad-hoc interventions within the policies; but one needs to have a concerted effort that incorporates the environmental objectives within the main </w:t>
      </w:r>
      <w:r w:rsidRPr="00B01824">
        <w:rPr>
          <w:rFonts w:asciiTheme="majorBidi" w:hAnsiTheme="majorBidi" w:cstheme="majorBidi"/>
          <w:sz w:val="24"/>
          <w:szCs w:val="24"/>
        </w:rPr>
        <w:lastRenderedPageBreak/>
        <w:t xml:space="preserve">organizational strategy. The authors note that companies that have a well-defined sustainability vision, accompanied by sufficient investment and governmental incentives, have higher chances of responding to the reductions in environmental impact in a meaningful way. </w:t>
      </w:r>
    </w:p>
    <w:p w14:paraId="04863CC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The implications of the work performed by Nagy and Szentesi are especially applicable to the present study that aims to develop an integrated framework of the green logistics adoption. Their discussion shows that the process of logistics transformation is multidimensional in nature, and it is necessary to take into account economical, technological, policy, and behavioral factors. Another significant aspect of the study is that the governments should play a role in offering fiscal incentives and creating a sense of regulatory certainty to promote a long-term sustainability investment.</w:t>
      </w:r>
    </w:p>
    <w:p w14:paraId="2CD651FF"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Strategically, the study by Nagy and Szentesi (2024) supports the need to have systemic coordination between the corporate actors, policymakers, and technological innovators. They claim that only corporate actions, however well-intended, cannot bring about sustainable change without the help of facilitating ecosystems. Due to this reason, their work favors the incorporation of the concept of public-private collaborations, joint infrastructure investments, and regional cooperation as the essential elements of the effective green logistics framework.</w:t>
      </w:r>
    </w:p>
    <w:p w14:paraId="351463DA"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De Jesus, Alves, and Mendes (2024)</w:t>
      </w:r>
    </w:p>
    <w:p w14:paraId="6A476F38"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De Jesus, Alves, and Mendes (2024) develop the thesis that green logistics is not a peripheral component of sustainability policies but a core operation tool to implement the principles of a circular economy (CE) in the industrial value chains. The authors empirically examine how circular business models are adopted using a quantitative, comparative methodology, involving firms in Brazil and Portugal, and aimed at testing the validity of the hypothesis that logistics practices, including the reverse flows, recirculation of the materials, the alignment of the logistics with eco-design, and the traceability of the logistics, enable the adoption of the circular </w:t>
      </w:r>
      <w:r w:rsidRPr="00B01824">
        <w:rPr>
          <w:rFonts w:asciiTheme="majorBidi" w:hAnsiTheme="majorBidi" w:cstheme="majorBidi"/>
          <w:sz w:val="24"/>
          <w:szCs w:val="24"/>
        </w:rPr>
        <w:lastRenderedPageBreak/>
        <w:t>business models. Their comparison reveals that companies with a systematic approach to using mechanisms of green logistics are more likely to have high levels of CE adoption, which can be measured using material reuse, product life-extension activities, and closed-loop operations (de Jesus et al., 2024). This experimental finding supports the theoretical assumptions regarding the central role of logistics as the connective tissue that connects product design, collection systems, and downstream processing in circular systems.</w:t>
      </w:r>
    </w:p>
    <w:p w14:paraId="5182AD0E"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methodological approach of using cross-national firm data would allow one to identify trends which are not due to any idiosyncratic institutional </w:t>
      </w:r>
      <w:proofErr w:type="gramStart"/>
      <w:r w:rsidRPr="00B01824">
        <w:rPr>
          <w:rFonts w:asciiTheme="majorBidi" w:hAnsiTheme="majorBidi" w:cstheme="majorBidi"/>
          <w:sz w:val="24"/>
          <w:szCs w:val="24"/>
        </w:rPr>
        <w:t>context, yet</w:t>
      </w:r>
      <w:proofErr w:type="gramEnd"/>
      <w:r w:rsidRPr="00B01824">
        <w:rPr>
          <w:rFonts w:asciiTheme="majorBidi" w:hAnsiTheme="majorBidi" w:cstheme="majorBidi"/>
          <w:sz w:val="24"/>
          <w:szCs w:val="24"/>
        </w:rPr>
        <w:t xml:space="preserve"> be sensitive to the differences in infrastructural and market specificities across regions. Brazilian and Portuguese settings offer opposing sceneries of industrial </w:t>
      </w:r>
      <w:proofErr w:type="spellStart"/>
      <w:r w:rsidRPr="00B01824">
        <w:rPr>
          <w:rFonts w:asciiTheme="majorBidi" w:hAnsiTheme="majorBidi" w:cstheme="majorBidi"/>
          <w:sz w:val="24"/>
          <w:szCs w:val="24"/>
        </w:rPr>
        <w:t>organisation</w:t>
      </w:r>
      <w:proofErr w:type="spellEnd"/>
      <w:r w:rsidRPr="00B01824">
        <w:rPr>
          <w:rFonts w:asciiTheme="majorBidi" w:hAnsiTheme="majorBidi" w:cstheme="majorBidi"/>
          <w:sz w:val="24"/>
          <w:szCs w:val="24"/>
        </w:rPr>
        <w:t xml:space="preserve">, policy, and logistics infrastructures, and the identification of a positive relationship between green logistics and circularity is especially relevant: it indicates that there may be a level of </w:t>
      </w:r>
      <w:proofErr w:type="spellStart"/>
      <w:r w:rsidRPr="00B01824">
        <w:rPr>
          <w:rFonts w:asciiTheme="majorBidi" w:hAnsiTheme="majorBidi" w:cstheme="majorBidi"/>
          <w:sz w:val="24"/>
          <w:szCs w:val="24"/>
        </w:rPr>
        <w:t>generalisability</w:t>
      </w:r>
      <w:proofErr w:type="spellEnd"/>
      <w:r w:rsidRPr="00B01824">
        <w:rPr>
          <w:rFonts w:asciiTheme="majorBidi" w:hAnsiTheme="majorBidi" w:cstheme="majorBidi"/>
          <w:sz w:val="24"/>
          <w:szCs w:val="24"/>
        </w:rPr>
        <w:t xml:space="preserve"> to the argument that logistics capabilities are both a necessary but not always a sufficient condition of CE implementation (de Jesus et al., 2024). Furthermore, the authors emphasize the fact that green logistics brings both environmental and strategic advantages; in addition to a decrease in material throughput and waste, companies have reported operational resilience, input cost reduction through recycling and reuse, and a better market positioning through sustainability-based differentiation.</w:t>
      </w:r>
    </w:p>
    <w:p w14:paraId="1D35D9A4"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These findings have two implications to both scholars and managers. In theory, de Jesus et al. (2024) allow filling a significant theoretical gap by practically connecting logistics activities with the results of the circular economy, which in turn will offer a basis to models that combine the life-cycle view with the design of logistics networks. In practice, the research highlights that investments in reverse logistics, traceability technologies, and collaborative collection networks can be used to generate competitive advantages. </w:t>
      </w:r>
    </w:p>
    <w:p w14:paraId="35EB1D1B"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lastRenderedPageBreak/>
        <w:t>Bukhari et al. (2023)</w:t>
      </w:r>
    </w:p>
    <w:p w14:paraId="17C854F3"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Bukhari et al. (2023) address the sustainability issue through the prism of transport and delivery and raise questions of the technical and policy feasibility and research frontiers of zero-emission logistics. It is significant that their contribution addresses in detail the modern and new technologies: battery electric vehicles (BEVs), hydrogen fuel cell systems, autonomous delivery drones, and last-mile micro-mobility solutions, and places them in the context of the wider ecosystem of smart logistics made possible by </w:t>
      </w:r>
      <w:proofErr w:type="spellStart"/>
      <w:r w:rsidRPr="00B01824">
        <w:rPr>
          <w:rFonts w:asciiTheme="majorBidi" w:hAnsiTheme="majorBidi" w:cstheme="majorBidi"/>
          <w:sz w:val="24"/>
          <w:szCs w:val="24"/>
        </w:rPr>
        <w:t>digitalisation</w:t>
      </w:r>
      <w:proofErr w:type="spellEnd"/>
      <w:r w:rsidRPr="00B01824">
        <w:rPr>
          <w:rFonts w:asciiTheme="majorBidi" w:hAnsiTheme="majorBidi" w:cstheme="majorBidi"/>
          <w:sz w:val="24"/>
          <w:szCs w:val="24"/>
        </w:rPr>
        <w:t xml:space="preserve"> and artificial intelligence. The authors combine technological evaluations with policy and infrastructural evaluations to demonstrate that, despite the fact that the potential decreases in emissions brought about by zero-emission modalities are large, achieving such advantages at scale demands combined efforts across multiple areas (Bukhari et al., 2023).</w:t>
      </w:r>
    </w:p>
    <w:p w14:paraId="7B6FB455"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One of the key findings Bukhari et al. (2023) make is the disproportion between technological readiness and systemic readiness. Although battery and fuel-cell technologies have developed to the level of pilot and partial implementation in most urban logistics settings, the infrastructure supporting them–pervasive charging systems, robust grid capacity, hydrogen distribution chains and urban consolidation </w:t>
      </w:r>
      <w:proofErr w:type="spellStart"/>
      <w:r w:rsidRPr="00B01824">
        <w:rPr>
          <w:rFonts w:asciiTheme="majorBidi" w:hAnsiTheme="majorBidi" w:cstheme="majorBidi"/>
          <w:sz w:val="24"/>
          <w:szCs w:val="24"/>
        </w:rPr>
        <w:t>centres</w:t>
      </w:r>
      <w:proofErr w:type="spellEnd"/>
      <w:r w:rsidRPr="00B01824">
        <w:rPr>
          <w:rFonts w:asciiTheme="majorBidi" w:hAnsiTheme="majorBidi" w:cstheme="majorBidi"/>
          <w:sz w:val="24"/>
          <w:szCs w:val="24"/>
        </w:rPr>
        <w:t xml:space="preserve"> is disproportionate and in many cases insufficient. This infrastructure deficiency increases operational risk and total cost of ownership to logistics operators, drying up investment rationale although long-term </w:t>
      </w:r>
      <w:proofErr w:type="spellStart"/>
      <w:r w:rsidRPr="00B01824">
        <w:rPr>
          <w:rFonts w:asciiTheme="majorBidi" w:hAnsiTheme="majorBidi" w:cstheme="majorBidi"/>
          <w:sz w:val="24"/>
          <w:szCs w:val="24"/>
        </w:rPr>
        <w:t>decarbonisation</w:t>
      </w:r>
      <w:proofErr w:type="spellEnd"/>
      <w:r w:rsidRPr="00B01824">
        <w:rPr>
          <w:rFonts w:asciiTheme="majorBidi" w:hAnsiTheme="majorBidi" w:cstheme="majorBidi"/>
          <w:sz w:val="24"/>
          <w:szCs w:val="24"/>
        </w:rPr>
        <w:t xml:space="preserve"> curves are </w:t>
      </w:r>
      <w:proofErr w:type="spellStart"/>
      <w:r w:rsidRPr="00B01824">
        <w:rPr>
          <w:rFonts w:asciiTheme="majorBidi" w:hAnsiTheme="majorBidi" w:cstheme="majorBidi"/>
          <w:sz w:val="24"/>
          <w:szCs w:val="24"/>
        </w:rPr>
        <w:t>favourable</w:t>
      </w:r>
      <w:proofErr w:type="spellEnd"/>
      <w:r w:rsidRPr="00B01824">
        <w:rPr>
          <w:rFonts w:asciiTheme="majorBidi" w:hAnsiTheme="majorBidi" w:cstheme="majorBidi"/>
          <w:sz w:val="24"/>
          <w:szCs w:val="24"/>
        </w:rPr>
        <w:t xml:space="preserve">. The authors also explain how the operational nature of logistics, including high asset </w:t>
      </w:r>
      <w:proofErr w:type="spellStart"/>
      <w:r w:rsidRPr="00B01824">
        <w:rPr>
          <w:rFonts w:asciiTheme="majorBidi" w:hAnsiTheme="majorBidi" w:cstheme="majorBidi"/>
          <w:sz w:val="24"/>
          <w:szCs w:val="24"/>
        </w:rPr>
        <w:t>utilisation</w:t>
      </w:r>
      <w:proofErr w:type="spellEnd"/>
      <w:r w:rsidRPr="00B01824">
        <w:rPr>
          <w:rFonts w:asciiTheme="majorBidi" w:hAnsiTheme="majorBidi" w:cstheme="majorBidi"/>
          <w:sz w:val="24"/>
          <w:szCs w:val="24"/>
        </w:rPr>
        <w:t>, narrow delivery windows and fragmented fleet ownership, makes easy replacement of conventional vehicles with zero-emission vehicles more difficult, which is why new business models like fleet pooling, service contracting and municipal partnership schemes are required (Bukhari et al., 2023).</w:t>
      </w:r>
    </w:p>
    <w:p w14:paraId="07661AB7" w14:textId="77777777" w:rsidR="000B6AD6" w:rsidRPr="00B01824" w:rsidRDefault="000B6AD6" w:rsidP="00B01824">
      <w:pPr>
        <w:bidi w:val="0"/>
        <w:spacing w:line="480" w:lineRule="auto"/>
        <w:jc w:val="both"/>
        <w:rPr>
          <w:rFonts w:asciiTheme="majorBidi" w:hAnsiTheme="majorBidi" w:cstheme="majorBidi"/>
          <w:sz w:val="24"/>
          <w:szCs w:val="24"/>
          <w:rtl/>
        </w:rPr>
      </w:pPr>
      <w:r w:rsidRPr="00B01824">
        <w:rPr>
          <w:rFonts w:asciiTheme="majorBidi" w:hAnsiTheme="majorBidi" w:cstheme="majorBidi"/>
          <w:sz w:val="24"/>
          <w:szCs w:val="24"/>
        </w:rPr>
        <w:lastRenderedPageBreak/>
        <w:t xml:space="preserve">In addition to the automotive technologies, Bukhari et al. (2023) </w:t>
      </w:r>
      <w:proofErr w:type="gramStart"/>
      <w:r w:rsidRPr="00B01824">
        <w:rPr>
          <w:rFonts w:asciiTheme="majorBidi" w:hAnsiTheme="majorBidi" w:cstheme="majorBidi"/>
          <w:sz w:val="24"/>
          <w:szCs w:val="24"/>
        </w:rPr>
        <w:t>highlight</w:t>
      </w:r>
      <w:proofErr w:type="gramEnd"/>
      <w:r w:rsidRPr="00B01824">
        <w:rPr>
          <w:rFonts w:asciiTheme="majorBidi" w:hAnsiTheme="majorBidi" w:cstheme="majorBidi"/>
          <w:sz w:val="24"/>
          <w:szCs w:val="24"/>
        </w:rPr>
        <w:t xml:space="preserve"> the revolutionary nature of AI-based </w:t>
      </w:r>
      <w:proofErr w:type="spellStart"/>
      <w:r w:rsidRPr="00B01824">
        <w:rPr>
          <w:rFonts w:asciiTheme="majorBidi" w:hAnsiTheme="majorBidi" w:cstheme="majorBidi"/>
          <w:sz w:val="24"/>
          <w:szCs w:val="24"/>
        </w:rPr>
        <w:t>optimisation</w:t>
      </w:r>
      <w:proofErr w:type="spellEnd"/>
      <w:r w:rsidRPr="00B01824">
        <w:rPr>
          <w:rFonts w:asciiTheme="majorBidi" w:hAnsiTheme="majorBidi" w:cstheme="majorBidi"/>
          <w:sz w:val="24"/>
          <w:szCs w:val="24"/>
        </w:rPr>
        <w:t xml:space="preserve">, route-planning, and demand forecasts to cut down on empty miles and </w:t>
      </w:r>
      <w:proofErr w:type="spellStart"/>
      <w:r w:rsidRPr="00B01824">
        <w:rPr>
          <w:rFonts w:asciiTheme="majorBidi" w:hAnsiTheme="majorBidi" w:cstheme="majorBidi"/>
          <w:sz w:val="24"/>
          <w:szCs w:val="24"/>
        </w:rPr>
        <w:t>optimise</w:t>
      </w:r>
      <w:proofErr w:type="spellEnd"/>
      <w:r w:rsidRPr="00B01824">
        <w:rPr>
          <w:rFonts w:asciiTheme="majorBidi" w:hAnsiTheme="majorBidi" w:cstheme="majorBidi"/>
          <w:sz w:val="24"/>
          <w:szCs w:val="24"/>
        </w:rPr>
        <w:t xml:space="preserve"> vehicle </w:t>
      </w:r>
      <w:proofErr w:type="spellStart"/>
      <w:r w:rsidRPr="00B01824">
        <w:rPr>
          <w:rFonts w:asciiTheme="majorBidi" w:hAnsiTheme="majorBidi" w:cstheme="majorBidi"/>
          <w:sz w:val="24"/>
          <w:szCs w:val="24"/>
        </w:rPr>
        <w:t>utilisation</w:t>
      </w:r>
      <w:proofErr w:type="spellEnd"/>
      <w:r w:rsidRPr="00B01824">
        <w:rPr>
          <w:rFonts w:asciiTheme="majorBidi" w:hAnsiTheme="majorBidi" w:cstheme="majorBidi"/>
          <w:sz w:val="24"/>
          <w:szCs w:val="24"/>
        </w:rPr>
        <w:t xml:space="preserve">-measures that can multiply the environmental impact of any propulsion technology. However, such digital solutions involve financial investments in data infrastructure, interoperability guidelines, and human resources with the ability to operate complex socio-technical systems. </w:t>
      </w:r>
    </w:p>
    <w:p w14:paraId="731B9F71" w14:textId="77777777" w:rsidR="000B6AD6" w:rsidRPr="00B01824" w:rsidRDefault="000B6AD6" w:rsidP="00B01824">
      <w:pPr>
        <w:pStyle w:val="3"/>
        <w:bidi w:val="0"/>
        <w:spacing w:line="480" w:lineRule="auto"/>
        <w:rPr>
          <w:rFonts w:asciiTheme="majorBidi" w:hAnsiTheme="majorBidi"/>
          <w:b/>
          <w:bCs/>
        </w:rPr>
      </w:pPr>
      <w:bookmarkStart w:id="23" w:name="_Toc213479341"/>
      <w:r w:rsidRPr="00B01824">
        <w:rPr>
          <w:rFonts w:asciiTheme="majorBidi" w:hAnsiTheme="majorBidi"/>
          <w:b/>
          <w:bCs/>
        </w:rPr>
        <w:t>Benefits drawn from the prior studies</w:t>
      </w:r>
      <w:bookmarkEnd w:id="23"/>
    </w:p>
    <w:p w14:paraId="05C09E67"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How earlier work informs our conceptual framework</w:t>
      </w:r>
    </w:p>
    <w:p w14:paraId="49897BB5"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acquired previous research provides a strong empirical and theoretical background that has a direct advantage to the current research.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and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provide systematic literature reviews that provide extensive taxonomies of drivers and barriers that can be repurposed as an initial set of variables to use in our interviews and coding scheme. By classifying them into financial, regulatory, technological and market related factors, they are able to ensure that our data collection retrieves constructs that are widely recognized hence increasing construct validity and comparability to existing literature.</w:t>
      </w:r>
    </w:p>
    <w:p w14:paraId="3A5BA1A0"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Regional and contextual intelligence.</w:t>
      </w:r>
    </w:p>
    <w:p w14:paraId="68544CEA"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The contextual nuance on the role of cultural, institutional, and sectoral specifics in forming green logistics adoption is presented </w:t>
      </w:r>
      <w:proofErr w:type="gramStart"/>
      <w:r w:rsidRPr="00B01824">
        <w:rPr>
          <w:rFonts w:asciiTheme="majorBidi" w:hAnsiTheme="majorBidi" w:cstheme="majorBidi"/>
          <w:sz w:val="24"/>
          <w:szCs w:val="24"/>
        </w:rPr>
        <w:t>on the basis of</w:t>
      </w:r>
      <w:proofErr w:type="gramEnd"/>
      <w:r w:rsidRPr="00B01824">
        <w:rPr>
          <w:rFonts w:asciiTheme="majorBidi" w:hAnsiTheme="majorBidi" w:cstheme="majorBidi"/>
          <w:sz w:val="24"/>
          <w:szCs w:val="24"/>
        </w:rPr>
        <w:t xml:space="preserve"> the empirical contribution of Esen and El Barky (2017) and the case-based analyses in Nagy and Szentesi (2024). These analyses enable our qualitative design to reflect context-sensitive prompts and probes (e.g., policy support, institutional inertia, local supplier capabilities) and, therefore, further enhances the ecological validity of our results and facilitates more insightful analysis of interview data.</w:t>
      </w:r>
    </w:p>
    <w:p w14:paraId="0517AC64"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Gaps in methodological precedents.</w:t>
      </w:r>
    </w:p>
    <w:p w14:paraId="783D23B5"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lastRenderedPageBreak/>
        <w:t>Methodological trade-offs and gaps are explained by prior methodological decisions, such as those between literature synthesis and interviews and mixed-methods surveys. As an illustration, the fact that most of the studies are review studies and quantitative surveys creates a possibility of in-depth, descriptive qualitative research; this is the reason why we decided to adopt qualitative descriptive research. The lessons (methodological) on sampling frames, shared interview themes, and thematic categories simplify the process of instrument development and analytic processes and circumvent the shortcomings that have been previously noted, including reliance on cross-sectional quantitative indicators.</w:t>
      </w:r>
    </w:p>
    <w:p w14:paraId="5C8FDD79"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Thematic extensions: circular economy and zero-emission logistics</w:t>
      </w:r>
    </w:p>
    <w:p w14:paraId="16305B94"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Recent research connecting green logistics with the principles of a circular economy (de Jesus et al., 2024) and research addressing the issues of electrification and new methods of delivery (Bukhari et al., 2023) broadens the substantive scope that our research can rely on. They support introducing new technological and systemic issues (reverse logistics, product life-extension, electric fleets, drone logistics) as possible candidate themes, which expands the coverage of our proposed integrated framework both in theory and policy implications.</w:t>
      </w:r>
    </w:p>
    <w:p w14:paraId="2856EBCF" w14:textId="77777777" w:rsidR="000B6AD6" w:rsidRPr="00B01824" w:rsidRDefault="000B6AD6" w:rsidP="00B01824">
      <w:pPr>
        <w:pStyle w:val="3"/>
        <w:bidi w:val="0"/>
        <w:spacing w:line="480" w:lineRule="auto"/>
        <w:rPr>
          <w:rFonts w:asciiTheme="majorBidi" w:hAnsiTheme="majorBidi"/>
          <w:b/>
          <w:bCs/>
        </w:rPr>
      </w:pPr>
      <w:bookmarkStart w:id="24" w:name="_Toc213479342"/>
      <w:r w:rsidRPr="00B01824">
        <w:rPr>
          <w:rFonts w:asciiTheme="majorBidi" w:hAnsiTheme="majorBidi"/>
          <w:b/>
          <w:bCs/>
        </w:rPr>
        <w:t>Similarities between our study and previous studies</w:t>
      </w:r>
      <w:bookmarkEnd w:id="24"/>
    </w:p>
    <w:p w14:paraId="29A1313A"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Shared focus on drivers and barriers</w:t>
      </w:r>
    </w:p>
    <w:p w14:paraId="27EA4D6C"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Our work is consistent with </w:t>
      </w:r>
      <w:proofErr w:type="spellStart"/>
      <w:r w:rsidRPr="00B01824">
        <w:rPr>
          <w:rFonts w:asciiTheme="majorBidi" w:hAnsiTheme="majorBidi" w:cstheme="majorBidi"/>
          <w:sz w:val="24"/>
          <w:szCs w:val="24"/>
        </w:rPr>
        <w:t>Hebaz</w:t>
      </w:r>
      <w:proofErr w:type="spellEnd"/>
      <w:r w:rsidRPr="00B01824">
        <w:rPr>
          <w:rFonts w:asciiTheme="majorBidi" w:hAnsiTheme="majorBidi" w:cstheme="majorBidi"/>
          <w:sz w:val="24"/>
          <w:szCs w:val="24"/>
        </w:rPr>
        <w:t xml:space="preserve"> and Oulfarsi (2021) and </w:t>
      </w:r>
      <w:proofErr w:type="spellStart"/>
      <w:r w:rsidRPr="00B01824">
        <w:rPr>
          <w:rFonts w:asciiTheme="majorBidi" w:hAnsiTheme="majorBidi" w:cstheme="majorBidi"/>
          <w:sz w:val="24"/>
          <w:szCs w:val="24"/>
        </w:rPr>
        <w:t>Dashore</w:t>
      </w:r>
      <w:proofErr w:type="spellEnd"/>
      <w:r w:rsidRPr="00B01824">
        <w:rPr>
          <w:rFonts w:asciiTheme="majorBidi" w:hAnsiTheme="majorBidi" w:cstheme="majorBidi"/>
          <w:sz w:val="24"/>
          <w:szCs w:val="24"/>
        </w:rPr>
        <w:t xml:space="preserve"> and Sohani (2013) in predicting the dual nature of the analysis of the drivers and barriers to greening supply chains. Similar to such reviews, we consider enablers and inhibitors complementary constructs whose interaction determines organizational outcomes.</w:t>
      </w:r>
    </w:p>
    <w:p w14:paraId="62A8E96C"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 xml:space="preserve">Focus on the domain of logistics </w:t>
      </w:r>
    </w:p>
    <w:p w14:paraId="050FAF2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lastRenderedPageBreak/>
        <w:t>Similar to Nagy and Szentesi (2024), we discuss logistics as a strategic tool to enhance environmental performance with the focus on transport, warehousing, and packaging interventions.</w:t>
      </w:r>
    </w:p>
    <w:p w14:paraId="45BE1EC3"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Awareness of financial limitations</w:t>
      </w:r>
    </w:p>
    <w:p w14:paraId="29AF0B43"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In line with several earlier studies, our research recognizes the pressure of costs and investment as the major obstacles; we explore the short-term financial strains as well as the long-term economic gains, which are similar to the previous empirical results.</w:t>
      </w:r>
    </w:p>
    <w:p w14:paraId="3B4FDCD0"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Focus on regulatory and market pressures</w:t>
      </w:r>
    </w:p>
    <w:p w14:paraId="01D6D861"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Similar to Esen and El Barky (2017), we use regulatory demands and stakeholder demands (customers, suppliers, regulators) as an external force that preconditions organizational decisions in green logistics.</w:t>
      </w:r>
    </w:p>
    <w:p w14:paraId="2A37B949"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The recurrence of technological readiness</w:t>
      </w:r>
    </w:p>
    <w:p w14:paraId="36CBFA44"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Similar to Bukhari et al. (2023), we consider technological feasibility and infrastructure preparedness - including fleet electrification, information systems, and others - as fundamental determinants of implementation success.</w:t>
      </w:r>
    </w:p>
    <w:p w14:paraId="4A4CDDE4"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Methodological affinity: qualitative enquiry</w:t>
      </w:r>
    </w:p>
    <w:p w14:paraId="4C7123E7" w14:textId="2B7B29BD" w:rsidR="00B01824"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Our method of qualitative description resembles the qualitative elements in some previous studies (e.g., interviews by Esen and El Barky), and has a similar focus on the perceptions of managers and the situational descriptions.</w:t>
      </w:r>
    </w:p>
    <w:p w14:paraId="6EA8C70A"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Multidimensional, systemic point of view</w:t>
      </w:r>
    </w:p>
    <w:p w14:paraId="5BE8C5F7"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lastRenderedPageBreak/>
        <w:t>We share the multidimensional framing of Nagy and Szentesi (2024) and de Jesus et al. (2024): strategic alignment between vision, operations, and regulation is a product of implementation and not a single technical solution.</w:t>
      </w:r>
    </w:p>
    <w:p w14:paraId="0BFF84E7"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Circularity and innovation interest</w:t>
      </w:r>
    </w:p>
    <w:p w14:paraId="649A422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Our thematic focus overlaps with de Jesus et al. (2024) and Bukhari et al. (2023) by examining the topics of circular economy practices and zero-emission innovations as logical developments of the green logistics strategy.</w:t>
      </w:r>
    </w:p>
    <w:p w14:paraId="0CE96AED" w14:textId="77777777" w:rsidR="000B6AD6" w:rsidRPr="00B01824" w:rsidRDefault="000B6AD6" w:rsidP="00B01824">
      <w:pPr>
        <w:pStyle w:val="3"/>
        <w:bidi w:val="0"/>
        <w:spacing w:line="480" w:lineRule="auto"/>
        <w:rPr>
          <w:rFonts w:asciiTheme="majorBidi" w:hAnsiTheme="majorBidi"/>
          <w:b/>
          <w:bCs/>
        </w:rPr>
      </w:pPr>
      <w:bookmarkStart w:id="25" w:name="_Toc213479343"/>
      <w:r w:rsidRPr="00B01824">
        <w:rPr>
          <w:rFonts w:asciiTheme="majorBidi" w:hAnsiTheme="majorBidi"/>
          <w:b/>
          <w:bCs/>
        </w:rPr>
        <w:t>Distinctive contributions of our study</w:t>
      </w:r>
      <w:bookmarkEnd w:id="25"/>
    </w:p>
    <w:p w14:paraId="71B7D0E0"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A targeted, integrative conceptualization</w:t>
      </w:r>
    </w:p>
    <w:p w14:paraId="33D505DB"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Where most of the past research lists the drivers or presents the case results, our study openly attempts to bring together those scattered ideas into one integrated conceptual framework that is specifically concerned with green logistics strategies. This integrative goal extends beyond enumerating the factors by formalizing relationships, moderating conditions, and possible feedback loops between drivers and barriers.</w:t>
      </w:r>
    </w:p>
    <w:p w14:paraId="0E4E6C5E"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Logistics strategy-specific qualitative descriptive depth</w:t>
      </w:r>
    </w:p>
    <w:p w14:paraId="71A0026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It is a qualitative descriptive design, unlike broad GSCM reviews or quantitative survey, and focuses on granular and practice-oriented narratives of logistics decision-makers. This allows the elicitation of subtle strategic thought, informal behavior and ad hoc adaptations that are commonly </w:t>
      </w:r>
      <w:proofErr w:type="gramStart"/>
      <w:r w:rsidRPr="00B01824">
        <w:rPr>
          <w:rFonts w:asciiTheme="majorBidi" w:hAnsiTheme="majorBidi" w:cstheme="majorBidi"/>
          <w:sz w:val="24"/>
          <w:szCs w:val="24"/>
        </w:rPr>
        <w:t>obscured</w:t>
      </w:r>
      <w:proofErr w:type="gramEnd"/>
      <w:r w:rsidRPr="00B01824">
        <w:rPr>
          <w:rFonts w:asciiTheme="majorBidi" w:hAnsiTheme="majorBidi" w:cstheme="majorBidi"/>
          <w:sz w:val="24"/>
          <w:szCs w:val="24"/>
        </w:rPr>
        <w:t xml:space="preserve"> in large-scale quantitative datasets.</w:t>
      </w:r>
    </w:p>
    <w:p w14:paraId="2289025C"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Accents on the dynamic and dualistic aspects</w:t>
      </w:r>
    </w:p>
    <w:p w14:paraId="7D2C4E46"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 xml:space="preserve">Our examination anticipates the paradoxical quality of some of the determinants (e.g. regulation as both incentive and burden; cost as both obstacle and long run gain) and represents </w:t>
      </w:r>
      <w:r w:rsidRPr="00B01824">
        <w:rPr>
          <w:rFonts w:asciiTheme="majorBidi" w:hAnsiTheme="majorBidi" w:cstheme="majorBidi"/>
          <w:sz w:val="24"/>
          <w:szCs w:val="24"/>
        </w:rPr>
        <w:lastRenderedPageBreak/>
        <w:t>it as a dynamical context-dependent variable. This conceptual perfection goes beyond antecedent binary treatments by outlining conditional pathways.</w:t>
      </w:r>
    </w:p>
    <w:p w14:paraId="27C3BEE1"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Contextual sensitivity and relative relevance</w:t>
      </w:r>
    </w:p>
    <w:p w14:paraId="1B7E838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Although previous research has provided regional snapshots or sectoral cases, our model explicitly addresses the contextual moderators such as institutional support, cultural norms, firm size, and supply chain position, which makes results more generalizable and diagnostically applicable to a wide variety of contexts.</w:t>
      </w:r>
    </w:p>
    <w:p w14:paraId="5F877D18"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Connecting operational strategy and circularity</w:t>
      </w:r>
    </w:p>
    <w:p w14:paraId="6BD6F960" w14:textId="77777777" w:rsidR="000B6AD6" w:rsidRPr="00B01824"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We apply the principles of the circular economy to logistics strategy (reverse flows, remanufacturing linkages, packaging reuse) in a unique way and explain how the two intersect with decarbonization of transport, thus bridging two bodies of literature that have not been historically addressed jointly.</w:t>
      </w:r>
    </w:p>
    <w:p w14:paraId="3129DB27" w14:textId="77777777" w:rsidR="000B6AD6" w:rsidRPr="00B01824" w:rsidRDefault="000B6AD6" w:rsidP="00B01824">
      <w:pPr>
        <w:bidi w:val="0"/>
        <w:spacing w:line="480" w:lineRule="auto"/>
        <w:jc w:val="both"/>
        <w:rPr>
          <w:rFonts w:asciiTheme="majorBidi" w:hAnsiTheme="majorBidi" w:cstheme="majorBidi"/>
          <w:b/>
          <w:bCs/>
          <w:sz w:val="24"/>
          <w:szCs w:val="24"/>
        </w:rPr>
      </w:pPr>
      <w:r w:rsidRPr="00B01824">
        <w:rPr>
          <w:rFonts w:asciiTheme="majorBidi" w:hAnsiTheme="majorBidi" w:cstheme="majorBidi"/>
          <w:b/>
          <w:bCs/>
          <w:sz w:val="24"/>
          <w:szCs w:val="24"/>
        </w:rPr>
        <w:t>Existing diagnostic instruments and policy levers.</w:t>
      </w:r>
    </w:p>
    <w:p w14:paraId="2DC923A3" w14:textId="77777777" w:rsidR="000B6AD6" w:rsidRDefault="000B6AD6" w:rsidP="00B01824">
      <w:pPr>
        <w:bidi w:val="0"/>
        <w:spacing w:line="480" w:lineRule="auto"/>
        <w:jc w:val="both"/>
        <w:rPr>
          <w:rFonts w:asciiTheme="majorBidi" w:hAnsiTheme="majorBidi" w:cstheme="majorBidi"/>
          <w:sz w:val="24"/>
          <w:szCs w:val="24"/>
        </w:rPr>
      </w:pPr>
      <w:r w:rsidRPr="00B01824">
        <w:rPr>
          <w:rFonts w:asciiTheme="majorBidi" w:hAnsiTheme="majorBidi" w:cstheme="majorBidi"/>
          <w:sz w:val="24"/>
          <w:szCs w:val="24"/>
        </w:rPr>
        <w:t>In addition to the theoretical contribution, our research will suggest practical deliverables: evidence-based diagnostic checklist to firms, prioritization matrix of investments, and customized policy suggestions that will be mapping incentives to profiles of barriers. These instruments fill the gap in how to that was prevalent in the previous research.</w:t>
      </w:r>
    </w:p>
    <w:p w14:paraId="3B61C685" w14:textId="77777777" w:rsidR="00B01824" w:rsidRDefault="00B01824" w:rsidP="00B01824">
      <w:pPr>
        <w:bidi w:val="0"/>
        <w:spacing w:line="480" w:lineRule="auto"/>
        <w:jc w:val="both"/>
        <w:rPr>
          <w:rFonts w:asciiTheme="majorBidi" w:hAnsiTheme="majorBidi" w:cstheme="majorBidi"/>
          <w:sz w:val="24"/>
          <w:szCs w:val="24"/>
        </w:rPr>
      </w:pPr>
    </w:p>
    <w:p w14:paraId="5CDD2B5B" w14:textId="77777777" w:rsidR="00B01824" w:rsidRDefault="00B01824" w:rsidP="00B01824">
      <w:pPr>
        <w:bidi w:val="0"/>
        <w:spacing w:line="480" w:lineRule="auto"/>
        <w:jc w:val="both"/>
        <w:rPr>
          <w:rFonts w:asciiTheme="majorBidi" w:hAnsiTheme="majorBidi" w:cstheme="majorBidi"/>
          <w:sz w:val="24"/>
          <w:szCs w:val="24"/>
        </w:rPr>
      </w:pPr>
    </w:p>
    <w:p w14:paraId="52A55868" w14:textId="77777777" w:rsidR="00B01824" w:rsidRPr="00B01824" w:rsidRDefault="00B01824" w:rsidP="00B01824">
      <w:pPr>
        <w:bidi w:val="0"/>
        <w:spacing w:line="480" w:lineRule="auto"/>
        <w:jc w:val="both"/>
        <w:rPr>
          <w:rFonts w:asciiTheme="majorBidi" w:hAnsiTheme="majorBidi" w:cstheme="majorBidi"/>
          <w:sz w:val="24"/>
          <w:szCs w:val="24"/>
        </w:rPr>
      </w:pPr>
    </w:p>
    <w:p w14:paraId="7AC36A8F" w14:textId="1EF562A6" w:rsidR="000B6AD6" w:rsidRPr="00B01824" w:rsidRDefault="000B6AD6" w:rsidP="00B01824">
      <w:pPr>
        <w:bidi w:val="0"/>
        <w:spacing w:before="120" w:after="120" w:line="240" w:lineRule="auto"/>
        <w:jc w:val="center"/>
        <w:rPr>
          <w:rFonts w:asciiTheme="majorBidi" w:hAnsiTheme="majorBidi" w:cstheme="majorBidi"/>
          <w:b/>
          <w:bCs/>
          <w:color w:val="000000" w:themeColor="text1"/>
          <w:sz w:val="28"/>
          <w:szCs w:val="28"/>
        </w:rPr>
      </w:pPr>
    </w:p>
    <w:sectPr w:rsidR="000B6AD6" w:rsidRPr="00B01824" w:rsidSect="006D7CF3">
      <w:footerReference w:type="default" r:id="rId9"/>
      <w:pgSz w:w="11906" w:h="16838"/>
      <w:pgMar w:top="1440" w:right="1440" w:bottom="1440" w:left="1440"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6C3E" w14:textId="77777777" w:rsidR="00837B56" w:rsidRDefault="00837B56" w:rsidP="009125CE">
      <w:pPr>
        <w:spacing w:after="0" w:line="240" w:lineRule="auto"/>
      </w:pPr>
      <w:r>
        <w:separator/>
      </w:r>
    </w:p>
  </w:endnote>
  <w:endnote w:type="continuationSeparator" w:id="0">
    <w:p w14:paraId="73982717" w14:textId="77777777" w:rsidR="00837B56" w:rsidRDefault="00837B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5194997"/>
      <w:docPartObj>
        <w:docPartGallery w:val="Page Numbers (Bottom of Page)"/>
        <w:docPartUnique/>
      </w:docPartObj>
    </w:sdtPr>
    <w:sdtEndPr>
      <w:rPr>
        <w:color w:val="7F7F7F" w:themeColor="background1" w:themeShade="7F"/>
        <w:spacing w:val="60"/>
      </w:rPr>
    </w:sdtEndPr>
    <w:sdtContent>
      <w:p w14:paraId="49E1B666" w14:textId="12DB0DEA" w:rsidR="006D7CF3" w:rsidRDefault="006D7CF3">
        <w:pPr>
          <w:pStyle w:val="a4"/>
          <w:pBdr>
            <w:top w:val="single" w:sz="4" w:space="1" w:color="D9D9D9" w:themeColor="background1" w:themeShade="D9"/>
          </w:pBdr>
          <w:rPr>
            <w:b/>
            <w:bCs/>
          </w:rPr>
        </w:pPr>
        <w:r>
          <w:fldChar w:fldCharType="begin"/>
        </w:r>
        <w:r>
          <w:instrText xml:space="preserve"> PAGE   \* MERGEFORMAT </w:instrText>
        </w:r>
        <w:r>
          <w:fldChar w:fldCharType="separate"/>
        </w:r>
        <w:r w:rsidR="00E53E75" w:rsidRPr="00E53E75">
          <w:rPr>
            <w:b/>
            <w:bCs/>
            <w:noProof/>
            <w:rtl/>
          </w:rPr>
          <w:t>2</w:t>
        </w:r>
        <w:r>
          <w:rPr>
            <w:b/>
            <w:bCs/>
            <w:noProof/>
          </w:rPr>
          <w:fldChar w:fldCharType="end"/>
        </w:r>
        <w:r>
          <w:rPr>
            <w:b/>
            <w:bCs/>
          </w:rPr>
          <w:t xml:space="preserve"> | </w:t>
        </w:r>
        <w:r>
          <w:rPr>
            <w:color w:val="7F7F7F" w:themeColor="background1" w:themeShade="7F"/>
            <w:spacing w:val="60"/>
          </w:rPr>
          <w:t>Page</w:t>
        </w:r>
      </w:p>
    </w:sdtContent>
  </w:sdt>
  <w:p w14:paraId="2A5B5CAA" w14:textId="77777777" w:rsidR="006D7CF3" w:rsidRDefault="006D7C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5D1E9" w14:textId="77777777" w:rsidR="00837B56" w:rsidRDefault="00837B56" w:rsidP="009125CE">
      <w:pPr>
        <w:spacing w:after="0" w:line="240" w:lineRule="auto"/>
      </w:pPr>
      <w:r>
        <w:separator/>
      </w:r>
    </w:p>
  </w:footnote>
  <w:footnote w:type="continuationSeparator" w:id="0">
    <w:p w14:paraId="6E1423AE" w14:textId="77777777" w:rsidR="00837B56" w:rsidRDefault="00837B5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534EB"/>
    <w:multiLevelType w:val="hybridMultilevel"/>
    <w:tmpl w:val="D0AE2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F022EE"/>
    <w:multiLevelType w:val="hybridMultilevel"/>
    <w:tmpl w:val="96720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700185"/>
    <w:multiLevelType w:val="hybridMultilevel"/>
    <w:tmpl w:val="0EB48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5473422">
    <w:abstractNumId w:val="0"/>
  </w:num>
  <w:num w:numId="2" w16cid:durableId="29763302">
    <w:abstractNumId w:val="1"/>
  </w:num>
  <w:num w:numId="3" w16cid:durableId="32620413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0342"/>
    <w:rsid w:val="000341EF"/>
    <w:rsid w:val="00063DDA"/>
    <w:rsid w:val="000829A7"/>
    <w:rsid w:val="00084307"/>
    <w:rsid w:val="000B6AD6"/>
    <w:rsid w:val="000F44B4"/>
    <w:rsid w:val="00104E5B"/>
    <w:rsid w:val="001400C8"/>
    <w:rsid w:val="0014778B"/>
    <w:rsid w:val="00186FBD"/>
    <w:rsid w:val="001902DB"/>
    <w:rsid w:val="001C2162"/>
    <w:rsid w:val="002B6FC0"/>
    <w:rsid w:val="002C4ACE"/>
    <w:rsid w:val="00315F82"/>
    <w:rsid w:val="00322E1F"/>
    <w:rsid w:val="00340B1C"/>
    <w:rsid w:val="0035176D"/>
    <w:rsid w:val="003F200A"/>
    <w:rsid w:val="0046129A"/>
    <w:rsid w:val="004D130D"/>
    <w:rsid w:val="004F0A4B"/>
    <w:rsid w:val="00500D11"/>
    <w:rsid w:val="005066D4"/>
    <w:rsid w:val="005241CF"/>
    <w:rsid w:val="005401E9"/>
    <w:rsid w:val="00544B52"/>
    <w:rsid w:val="00590B27"/>
    <w:rsid w:val="00596A98"/>
    <w:rsid w:val="00625A50"/>
    <w:rsid w:val="0062761F"/>
    <w:rsid w:val="0063637B"/>
    <w:rsid w:val="00644FB6"/>
    <w:rsid w:val="006948DE"/>
    <w:rsid w:val="006D7CF3"/>
    <w:rsid w:val="006E1956"/>
    <w:rsid w:val="006F04D3"/>
    <w:rsid w:val="006F78A8"/>
    <w:rsid w:val="00702B6D"/>
    <w:rsid w:val="00703475"/>
    <w:rsid w:val="007155C8"/>
    <w:rsid w:val="00750193"/>
    <w:rsid w:val="00770A74"/>
    <w:rsid w:val="00780DA0"/>
    <w:rsid w:val="007A2B61"/>
    <w:rsid w:val="007B0E54"/>
    <w:rsid w:val="007C1322"/>
    <w:rsid w:val="007C3523"/>
    <w:rsid w:val="007C6D65"/>
    <w:rsid w:val="007D0C77"/>
    <w:rsid w:val="007E1B29"/>
    <w:rsid w:val="007E3A20"/>
    <w:rsid w:val="007E63E2"/>
    <w:rsid w:val="00802CB5"/>
    <w:rsid w:val="00816D5E"/>
    <w:rsid w:val="00837B56"/>
    <w:rsid w:val="00860DB2"/>
    <w:rsid w:val="008615C2"/>
    <w:rsid w:val="00877AAC"/>
    <w:rsid w:val="008C2904"/>
    <w:rsid w:val="008F1EAE"/>
    <w:rsid w:val="009125CE"/>
    <w:rsid w:val="009159FB"/>
    <w:rsid w:val="00991471"/>
    <w:rsid w:val="00996C38"/>
    <w:rsid w:val="009B6888"/>
    <w:rsid w:val="009C0161"/>
    <w:rsid w:val="009D108D"/>
    <w:rsid w:val="009E1436"/>
    <w:rsid w:val="009E5668"/>
    <w:rsid w:val="00A06314"/>
    <w:rsid w:val="00A74F76"/>
    <w:rsid w:val="00A95338"/>
    <w:rsid w:val="00AA79E9"/>
    <w:rsid w:val="00AB0A70"/>
    <w:rsid w:val="00AC30D0"/>
    <w:rsid w:val="00B01824"/>
    <w:rsid w:val="00B55620"/>
    <w:rsid w:val="00B608F5"/>
    <w:rsid w:val="00B63B0F"/>
    <w:rsid w:val="00B7678A"/>
    <w:rsid w:val="00B829D6"/>
    <w:rsid w:val="00BE4F5A"/>
    <w:rsid w:val="00C04D0B"/>
    <w:rsid w:val="00C65CF8"/>
    <w:rsid w:val="00C71E18"/>
    <w:rsid w:val="00C80FB6"/>
    <w:rsid w:val="00C8768D"/>
    <w:rsid w:val="00C91A78"/>
    <w:rsid w:val="00CA04A1"/>
    <w:rsid w:val="00CB7BF4"/>
    <w:rsid w:val="00D22171"/>
    <w:rsid w:val="00D25552"/>
    <w:rsid w:val="00D676BA"/>
    <w:rsid w:val="00D957D0"/>
    <w:rsid w:val="00DA42AD"/>
    <w:rsid w:val="00DC0751"/>
    <w:rsid w:val="00E53E75"/>
    <w:rsid w:val="00E638DE"/>
    <w:rsid w:val="00E71C79"/>
    <w:rsid w:val="00E80FD9"/>
    <w:rsid w:val="00E92085"/>
    <w:rsid w:val="00EA6B5D"/>
    <w:rsid w:val="00ED28B8"/>
    <w:rsid w:val="00EF063F"/>
    <w:rsid w:val="00F47B6F"/>
    <w:rsid w:val="00F546CE"/>
    <w:rsid w:val="00F81CDB"/>
    <w:rsid w:val="00FD54BC"/>
    <w:rsid w:val="00FE4F03"/>
    <w:rsid w:val="00FF3A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964E0DA-8B8E-46F6-B5EB-BF8BE362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40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315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42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E19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D54BC"/>
    <w:pPr>
      <w:ind w:left="720"/>
      <w:contextualSpacing/>
    </w:pPr>
  </w:style>
  <w:style w:type="character" w:styleId="Hyperlink">
    <w:name w:val="Hyperlink"/>
    <w:basedOn w:val="a0"/>
    <w:uiPriority w:val="99"/>
    <w:unhideWhenUsed/>
    <w:rsid w:val="007C6D65"/>
    <w:rPr>
      <w:color w:val="0563C1" w:themeColor="hyperlink"/>
      <w:u w:val="single"/>
    </w:rPr>
  </w:style>
  <w:style w:type="character" w:customStyle="1" w:styleId="10">
    <w:name w:val="إشارة لم يتم حلها1"/>
    <w:basedOn w:val="a0"/>
    <w:uiPriority w:val="99"/>
    <w:semiHidden/>
    <w:unhideWhenUsed/>
    <w:rsid w:val="007C6D65"/>
    <w:rPr>
      <w:color w:val="605E5C"/>
      <w:shd w:val="clear" w:color="auto" w:fill="E1DFDD"/>
    </w:rPr>
  </w:style>
  <w:style w:type="character" w:customStyle="1" w:styleId="4Char">
    <w:name w:val="عنوان 4 Char"/>
    <w:basedOn w:val="a0"/>
    <w:link w:val="4"/>
    <w:uiPriority w:val="9"/>
    <w:semiHidden/>
    <w:rsid w:val="006E1956"/>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DA42AD"/>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1400C8"/>
    <w:rPr>
      <w:rFonts w:asciiTheme="majorHAnsi" w:eastAsiaTheme="majorEastAsia" w:hAnsiTheme="majorHAnsi" w:cstheme="majorBidi"/>
      <w:color w:val="2F5496" w:themeColor="accent1" w:themeShade="BF"/>
      <w:sz w:val="32"/>
      <w:szCs w:val="32"/>
    </w:rPr>
  </w:style>
  <w:style w:type="table" w:styleId="a6">
    <w:name w:val="Table Grid"/>
    <w:basedOn w:val="a1"/>
    <w:uiPriority w:val="39"/>
    <w:rsid w:val="003517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35176D"/>
    <w:rPr>
      <w:b/>
      <w:bCs/>
    </w:rPr>
  </w:style>
  <w:style w:type="paragraph" w:styleId="a8">
    <w:name w:val="TOC Heading"/>
    <w:basedOn w:val="1"/>
    <w:next w:val="a"/>
    <w:uiPriority w:val="39"/>
    <w:unhideWhenUsed/>
    <w:qFormat/>
    <w:rsid w:val="007C1322"/>
    <w:pPr>
      <w:bidi w:val="0"/>
      <w:outlineLvl w:val="9"/>
    </w:pPr>
    <w:rPr>
      <w:kern w:val="0"/>
      <w14:ligatures w14:val="none"/>
    </w:rPr>
  </w:style>
  <w:style w:type="character" w:customStyle="1" w:styleId="2Char">
    <w:name w:val="عنوان 2 Char"/>
    <w:basedOn w:val="a0"/>
    <w:link w:val="2"/>
    <w:uiPriority w:val="9"/>
    <w:semiHidden/>
    <w:rsid w:val="00315F82"/>
    <w:rPr>
      <w:rFonts w:asciiTheme="majorHAnsi" w:eastAsiaTheme="majorEastAsia" w:hAnsiTheme="majorHAnsi" w:cstheme="majorBidi"/>
      <w:color w:val="2F5496" w:themeColor="accent1" w:themeShade="BF"/>
      <w:sz w:val="26"/>
      <w:szCs w:val="26"/>
    </w:rPr>
  </w:style>
  <w:style w:type="paragraph" w:styleId="a9">
    <w:name w:val="caption"/>
    <w:basedOn w:val="a"/>
    <w:next w:val="a"/>
    <w:uiPriority w:val="35"/>
    <w:unhideWhenUsed/>
    <w:qFormat/>
    <w:rsid w:val="00315F82"/>
    <w:pPr>
      <w:spacing w:after="200" w:line="240" w:lineRule="auto"/>
    </w:pPr>
    <w:rPr>
      <w:i/>
      <w:iCs/>
      <w:color w:val="44546A" w:themeColor="text2"/>
      <w:sz w:val="18"/>
      <w:szCs w:val="18"/>
    </w:rPr>
  </w:style>
  <w:style w:type="paragraph" w:styleId="11">
    <w:name w:val="toc 1"/>
    <w:basedOn w:val="a"/>
    <w:next w:val="a"/>
    <w:autoRedefine/>
    <w:uiPriority w:val="39"/>
    <w:unhideWhenUsed/>
    <w:rsid w:val="007A2B61"/>
    <w:pPr>
      <w:tabs>
        <w:tab w:val="right" w:leader="dot" w:pos="9016"/>
      </w:tabs>
      <w:bidi w:val="0"/>
      <w:spacing w:after="100"/>
    </w:pPr>
  </w:style>
  <w:style w:type="paragraph" w:styleId="20">
    <w:name w:val="toc 2"/>
    <w:basedOn w:val="a"/>
    <w:next w:val="a"/>
    <w:autoRedefine/>
    <w:uiPriority w:val="39"/>
    <w:unhideWhenUsed/>
    <w:rsid w:val="00CA04A1"/>
    <w:pPr>
      <w:spacing w:after="100"/>
      <w:ind w:left="220"/>
    </w:pPr>
  </w:style>
  <w:style w:type="paragraph" w:styleId="30">
    <w:name w:val="toc 3"/>
    <w:basedOn w:val="a"/>
    <w:next w:val="a"/>
    <w:autoRedefine/>
    <w:uiPriority w:val="39"/>
    <w:unhideWhenUsed/>
    <w:rsid w:val="00CA04A1"/>
    <w:pPr>
      <w:spacing w:after="100"/>
      <w:ind w:left="440"/>
    </w:pPr>
  </w:style>
  <w:style w:type="paragraph" w:styleId="aa">
    <w:name w:val="table of figures"/>
    <w:basedOn w:val="a"/>
    <w:next w:val="a"/>
    <w:uiPriority w:val="99"/>
    <w:unhideWhenUsed/>
    <w:rsid w:val="00CA04A1"/>
    <w:pPr>
      <w:spacing w:after="0"/>
    </w:pPr>
  </w:style>
  <w:style w:type="character" w:styleId="ab">
    <w:name w:val="FollowedHyperlink"/>
    <w:basedOn w:val="a0"/>
    <w:uiPriority w:val="99"/>
    <w:semiHidden/>
    <w:unhideWhenUsed/>
    <w:rsid w:val="006D7C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572">
      <w:bodyDiv w:val="1"/>
      <w:marLeft w:val="0"/>
      <w:marRight w:val="0"/>
      <w:marTop w:val="0"/>
      <w:marBottom w:val="0"/>
      <w:divBdr>
        <w:top w:val="none" w:sz="0" w:space="0" w:color="auto"/>
        <w:left w:val="none" w:sz="0" w:space="0" w:color="auto"/>
        <w:bottom w:val="none" w:sz="0" w:space="0" w:color="auto"/>
        <w:right w:val="none" w:sz="0" w:space="0" w:color="auto"/>
      </w:divBdr>
    </w:div>
    <w:div w:id="62148458">
      <w:bodyDiv w:val="1"/>
      <w:marLeft w:val="0"/>
      <w:marRight w:val="0"/>
      <w:marTop w:val="0"/>
      <w:marBottom w:val="0"/>
      <w:divBdr>
        <w:top w:val="none" w:sz="0" w:space="0" w:color="auto"/>
        <w:left w:val="none" w:sz="0" w:space="0" w:color="auto"/>
        <w:bottom w:val="none" w:sz="0" w:space="0" w:color="auto"/>
        <w:right w:val="none" w:sz="0" w:space="0" w:color="auto"/>
      </w:divBdr>
    </w:div>
    <w:div w:id="79832311">
      <w:bodyDiv w:val="1"/>
      <w:marLeft w:val="0"/>
      <w:marRight w:val="0"/>
      <w:marTop w:val="0"/>
      <w:marBottom w:val="0"/>
      <w:divBdr>
        <w:top w:val="none" w:sz="0" w:space="0" w:color="auto"/>
        <w:left w:val="none" w:sz="0" w:space="0" w:color="auto"/>
        <w:bottom w:val="none" w:sz="0" w:space="0" w:color="auto"/>
        <w:right w:val="none" w:sz="0" w:space="0" w:color="auto"/>
      </w:divBdr>
    </w:div>
    <w:div w:id="119886128">
      <w:bodyDiv w:val="1"/>
      <w:marLeft w:val="0"/>
      <w:marRight w:val="0"/>
      <w:marTop w:val="0"/>
      <w:marBottom w:val="0"/>
      <w:divBdr>
        <w:top w:val="none" w:sz="0" w:space="0" w:color="auto"/>
        <w:left w:val="none" w:sz="0" w:space="0" w:color="auto"/>
        <w:bottom w:val="none" w:sz="0" w:space="0" w:color="auto"/>
        <w:right w:val="none" w:sz="0" w:space="0" w:color="auto"/>
      </w:divBdr>
    </w:div>
    <w:div w:id="280379178">
      <w:bodyDiv w:val="1"/>
      <w:marLeft w:val="0"/>
      <w:marRight w:val="0"/>
      <w:marTop w:val="0"/>
      <w:marBottom w:val="0"/>
      <w:divBdr>
        <w:top w:val="none" w:sz="0" w:space="0" w:color="auto"/>
        <w:left w:val="none" w:sz="0" w:space="0" w:color="auto"/>
        <w:bottom w:val="none" w:sz="0" w:space="0" w:color="auto"/>
        <w:right w:val="none" w:sz="0" w:space="0" w:color="auto"/>
      </w:divBdr>
    </w:div>
    <w:div w:id="310065238">
      <w:bodyDiv w:val="1"/>
      <w:marLeft w:val="0"/>
      <w:marRight w:val="0"/>
      <w:marTop w:val="0"/>
      <w:marBottom w:val="0"/>
      <w:divBdr>
        <w:top w:val="none" w:sz="0" w:space="0" w:color="auto"/>
        <w:left w:val="none" w:sz="0" w:space="0" w:color="auto"/>
        <w:bottom w:val="none" w:sz="0" w:space="0" w:color="auto"/>
        <w:right w:val="none" w:sz="0" w:space="0" w:color="auto"/>
      </w:divBdr>
    </w:div>
    <w:div w:id="346837273">
      <w:bodyDiv w:val="1"/>
      <w:marLeft w:val="0"/>
      <w:marRight w:val="0"/>
      <w:marTop w:val="0"/>
      <w:marBottom w:val="0"/>
      <w:divBdr>
        <w:top w:val="none" w:sz="0" w:space="0" w:color="auto"/>
        <w:left w:val="none" w:sz="0" w:space="0" w:color="auto"/>
        <w:bottom w:val="none" w:sz="0" w:space="0" w:color="auto"/>
        <w:right w:val="none" w:sz="0" w:space="0" w:color="auto"/>
      </w:divBdr>
    </w:div>
    <w:div w:id="357588092">
      <w:bodyDiv w:val="1"/>
      <w:marLeft w:val="0"/>
      <w:marRight w:val="0"/>
      <w:marTop w:val="0"/>
      <w:marBottom w:val="0"/>
      <w:divBdr>
        <w:top w:val="none" w:sz="0" w:space="0" w:color="auto"/>
        <w:left w:val="none" w:sz="0" w:space="0" w:color="auto"/>
        <w:bottom w:val="none" w:sz="0" w:space="0" w:color="auto"/>
        <w:right w:val="none" w:sz="0" w:space="0" w:color="auto"/>
      </w:divBdr>
    </w:div>
    <w:div w:id="402291153">
      <w:bodyDiv w:val="1"/>
      <w:marLeft w:val="0"/>
      <w:marRight w:val="0"/>
      <w:marTop w:val="0"/>
      <w:marBottom w:val="0"/>
      <w:divBdr>
        <w:top w:val="none" w:sz="0" w:space="0" w:color="auto"/>
        <w:left w:val="none" w:sz="0" w:space="0" w:color="auto"/>
        <w:bottom w:val="none" w:sz="0" w:space="0" w:color="auto"/>
        <w:right w:val="none" w:sz="0" w:space="0" w:color="auto"/>
      </w:divBdr>
    </w:div>
    <w:div w:id="403837498">
      <w:bodyDiv w:val="1"/>
      <w:marLeft w:val="0"/>
      <w:marRight w:val="0"/>
      <w:marTop w:val="0"/>
      <w:marBottom w:val="0"/>
      <w:divBdr>
        <w:top w:val="none" w:sz="0" w:space="0" w:color="auto"/>
        <w:left w:val="none" w:sz="0" w:space="0" w:color="auto"/>
        <w:bottom w:val="none" w:sz="0" w:space="0" w:color="auto"/>
        <w:right w:val="none" w:sz="0" w:space="0" w:color="auto"/>
      </w:divBdr>
    </w:div>
    <w:div w:id="414472654">
      <w:bodyDiv w:val="1"/>
      <w:marLeft w:val="0"/>
      <w:marRight w:val="0"/>
      <w:marTop w:val="0"/>
      <w:marBottom w:val="0"/>
      <w:divBdr>
        <w:top w:val="none" w:sz="0" w:space="0" w:color="auto"/>
        <w:left w:val="none" w:sz="0" w:space="0" w:color="auto"/>
        <w:bottom w:val="none" w:sz="0" w:space="0" w:color="auto"/>
        <w:right w:val="none" w:sz="0" w:space="0" w:color="auto"/>
      </w:divBdr>
    </w:div>
    <w:div w:id="432827792">
      <w:bodyDiv w:val="1"/>
      <w:marLeft w:val="0"/>
      <w:marRight w:val="0"/>
      <w:marTop w:val="0"/>
      <w:marBottom w:val="0"/>
      <w:divBdr>
        <w:top w:val="none" w:sz="0" w:space="0" w:color="auto"/>
        <w:left w:val="none" w:sz="0" w:space="0" w:color="auto"/>
        <w:bottom w:val="none" w:sz="0" w:space="0" w:color="auto"/>
        <w:right w:val="none" w:sz="0" w:space="0" w:color="auto"/>
      </w:divBdr>
    </w:div>
    <w:div w:id="440607078">
      <w:bodyDiv w:val="1"/>
      <w:marLeft w:val="0"/>
      <w:marRight w:val="0"/>
      <w:marTop w:val="0"/>
      <w:marBottom w:val="0"/>
      <w:divBdr>
        <w:top w:val="none" w:sz="0" w:space="0" w:color="auto"/>
        <w:left w:val="none" w:sz="0" w:space="0" w:color="auto"/>
        <w:bottom w:val="none" w:sz="0" w:space="0" w:color="auto"/>
        <w:right w:val="none" w:sz="0" w:space="0" w:color="auto"/>
      </w:divBdr>
    </w:div>
    <w:div w:id="464543162">
      <w:bodyDiv w:val="1"/>
      <w:marLeft w:val="0"/>
      <w:marRight w:val="0"/>
      <w:marTop w:val="0"/>
      <w:marBottom w:val="0"/>
      <w:divBdr>
        <w:top w:val="none" w:sz="0" w:space="0" w:color="auto"/>
        <w:left w:val="none" w:sz="0" w:space="0" w:color="auto"/>
        <w:bottom w:val="none" w:sz="0" w:space="0" w:color="auto"/>
        <w:right w:val="none" w:sz="0" w:space="0" w:color="auto"/>
      </w:divBdr>
    </w:div>
    <w:div w:id="465242688">
      <w:bodyDiv w:val="1"/>
      <w:marLeft w:val="0"/>
      <w:marRight w:val="0"/>
      <w:marTop w:val="0"/>
      <w:marBottom w:val="0"/>
      <w:divBdr>
        <w:top w:val="none" w:sz="0" w:space="0" w:color="auto"/>
        <w:left w:val="none" w:sz="0" w:space="0" w:color="auto"/>
        <w:bottom w:val="none" w:sz="0" w:space="0" w:color="auto"/>
        <w:right w:val="none" w:sz="0" w:space="0" w:color="auto"/>
      </w:divBdr>
    </w:div>
    <w:div w:id="508561961">
      <w:bodyDiv w:val="1"/>
      <w:marLeft w:val="0"/>
      <w:marRight w:val="0"/>
      <w:marTop w:val="0"/>
      <w:marBottom w:val="0"/>
      <w:divBdr>
        <w:top w:val="none" w:sz="0" w:space="0" w:color="auto"/>
        <w:left w:val="none" w:sz="0" w:space="0" w:color="auto"/>
        <w:bottom w:val="none" w:sz="0" w:space="0" w:color="auto"/>
        <w:right w:val="none" w:sz="0" w:space="0" w:color="auto"/>
      </w:divBdr>
    </w:div>
    <w:div w:id="538783727">
      <w:bodyDiv w:val="1"/>
      <w:marLeft w:val="0"/>
      <w:marRight w:val="0"/>
      <w:marTop w:val="0"/>
      <w:marBottom w:val="0"/>
      <w:divBdr>
        <w:top w:val="none" w:sz="0" w:space="0" w:color="auto"/>
        <w:left w:val="none" w:sz="0" w:space="0" w:color="auto"/>
        <w:bottom w:val="none" w:sz="0" w:space="0" w:color="auto"/>
        <w:right w:val="none" w:sz="0" w:space="0" w:color="auto"/>
      </w:divBdr>
    </w:div>
    <w:div w:id="559099044">
      <w:bodyDiv w:val="1"/>
      <w:marLeft w:val="0"/>
      <w:marRight w:val="0"/>
      <w:marTop w:val="0"/>
      <w:marBottom w:val="0"/>
      <w:divBdr>
        <w:top w:val="none" w:sz="0" w:space="0" w:color="auto"/>
        <w:left w:val="none" w:sz="0" w:space="0" w:color="auto"/>
        <w:bottom w:val="none" w:sz="0" w:space="0" w:color="auto"/>
        <w:right w:val="none" w:sz="0" w:space="0" w:color="auto"/>
      </w:divBdr>
    </w:div>
    <w:div w:id="560943508">
      <w:bodyDiv w:val="1"/>
      <w:marLeft w:val="0"/>
      <w:marRight w:val="0"/>
      <w:marTop w:val="0"/>
      <w:marBottom w:val="0"/>
      <w:divBdr>
        <w:top w:val="none" w:sz="0" w:space="0" w:color="auto"/>
        <w:left w:val="none" w:sz="0" w:space="0" w:color="auto"/>
        <w:bottom w:val="none" w:sz="0" w:space="0" w:color="auto"/>
        <w:right w:val="none" w:sz="0" w:space="0" w:color="auto"/>
      </w:divBdr>
    </w:div>
    <w:div w:id="622274458">
      <w:bodyDiv w:val="1"/>
      <w:marLeft w:val="0"/>
      <w:marRight w:val="0"/>
      <w:marTop w:val="0"/>
      <w:marBottom w:val="0"/>
      <w:divBdr>
        <w:top w:val="none" w:sz="0" w:space="0" w:color="auto"/>
        <w:left w:val="none" w:sz="0" w:space="0" w:color="auto"/>
        <w:bottom w:val="none" w:sz="0" w:space="0" w:color="auto"/>
        <w:right w:val="none" w:sz="0" w:space="0" w:color="auto"/>
      </w:divBdr>
    </w:div>
    <w:div w:id="638874849">
      <w:bodyDiv w:val="1"/>
      <w:marLeft w:val="0"/>
      <w:marRight w:val="0"/>
      <w:marTop w:val="0"/>
      <w:marBottom w:val="0"/>
      <w:divBdr>
        <w:top w:val="none" w:sz="0" w:space="0" w:color="auto"/>
        <w:left w:val="none" w:sz="0" w:space="0" w:color="auto"/>
        <w:bottom w:val="none" w:sz="0" w:space="0" w:color="auto"/>
        <w:right w:val="none" w:sz="0" w:space="0" w:color="auto"/>
      </w:divBdr>
    </w:div>
    <w:div w:id="651981788">
      <w:bodyDiv w:val="1"/>
      <w:marLeft w:val="0"/>
      <w:marRight w:val="0"/>
      <w:marTop w:val="0"/>
      <w:marBottom w:val="0"/>
      <w:divBdr>
        <w:top w:val="none" w:sz="0" w:space="0" w:color="auto"/>
        <w:left w:val="none" w:sz="0" w:space="0" w:color="auto"/>
        <w:bottom w:val="none" w:sz="0" w:space="0" w:color="auto"/>
        <w:right w:val="none" w:sz="0" w:space="0" w:color="auto"/>
      </w:divBdr>
    </w:div>
    <w:div w:id="656959013">
      <w:bodyDiv w:val="1"/>
      <w:marLeft w:val="0"/>
      <w:marRight w:val="0"/>
      <w:marTop w:val="0"/>
      <w:marBottom w:val="0"/>
      <w:divBdr>
        <w:top w:val="none" w:sz="0" w:space="0" w:color="auto"/>
        <w:left w:val="none" w:sz="0" w:space="0" w:color="auto"/>
        <w:bottom w:val="none" w:sz="0" w:space="0" w:color="auto"/>
        <w:right w:val="none" w:sz="0" w:space="0" w:color="auto"/>
      </w:divBdr>
    </w:div>
    <w:div w:id="665060574">
      <w:bodyDiv w:val="1"/>
      <w:marLeft w:val="0"/>
      <w:marRight w:val="0"/>
      <w:marTop w:val="0"/>
      <w:marBottom w:val="0"/>
      <w:divBdr>
        <w:top w:val="none" w:sz="0" w:space="0" w:color="auto"/>
        <w:left w:val="none" w:sz="0" w:space="0" w:color="auto"/>
        <w:bottom w:val="none" w:sz="0" w:space="0" w:color="auto"/>
        <w:right w:val="none" w:sz="0" w:space="0" w:color="auto"/>
      </w:divBdr>
    </w:div>
    <w:div w:id="768699760">
      <w:bodyDiv w:val="1"/>
      <w:marLeft w:val="0"/>
      <w:marRight w:val="0"/>
      <w:marTop w:val="0"/>
      <w:marBottom w:val="0"/>
      <w:divBdr>
        <w:top w:val="none" w:sz="0" w:space="0" w:color="auto"/>
        <w:left w:val="none" w:sz="0" w:space="0" w:color="auto"/>
        <w:bottom w:val="none" w:sz="0" w:space="0" w:color="auto"/>
        <w:right w:val="none" w:sz="0" w:space="0" w:color="auto"/>
      </w:divBdr>
    </w:div>
    <w:div w:id="769199018">
      <w:bodyDiv w:val="1"/>
      <w:marLeft w:val="0"/>
      <w:marRight w:val="0"/>
      <w:marTop w:val="0"/>
      <w:marBottom w:val="0"/>
      <w:divBdr>
        <w:top w:val="none" w:sz="0" w:space="0" w:color="auto"/>
        <w:left w:val="none" w:sz="0" w:space="0" w:color="auto"/>
        <w:bottom w:val="none" w:sz="0" w:space="0" w:color="auto"/>
        <w:right w:val="none" w:sz="0" w:space="0" w:color="auto"/>
      </w:divBdr>
    </w:div>
    <w:div w:id="817502680">
      <w:bodyDiv w:val="1"/>
      <w:marLeft w:val="0"/>
      <w:marRight w:val="0"/>
      <w:marTop w:val="0"/>
      <w:marBottom w:val="0"/>
      <w:divBdr>
        <w:top w:val="none" w:sz="0" w:space="0" w:color="auto"/>
        <w:left w:val="none" w:sz="0" w:space="0" w:color="auto"/>
        <w:bottom w:val="none" w:sz="0" w:space="0" w:color="auto"/>
        <w:right w:val="none" w:sz="0" w:space="0" w:color="auto"/>
      </w:divBdr>
    </w:div>
    <w:div w:id="876506836">
      <w:bodyDiv w:val="1"/>
      <w:marLeft w:val="0"/>
      <w:marRight w:val="0"/>
      <w:marTop w:val="0"/>
      <w:marBottom w:val="0"/>
      <w:divBdr>
        <w:top w:val="none" w:sz="0" w:space="0" w:color="auto"/>
        <w:left w:val="none" w:sz="0" w:space="0" w:color="auto"/>
        <w:bottom w:val="none" w:sz="0" w:space="0" w:color="auto"/>
        <w:right w:val="none" w:sz="0" w:space="0" w:color="auto"/>
      </w:divBdr>
    </w:div>
    <w:div w:id="907033067">
      <w:bodyDiv w:val="1"/>
      <w:marLeft w:val="0"/>
      <w:marRight w:val="0"/>
      <w:marTop w:val="0"/>
      <w:marBottom w:val="0"/>
      <w:divBdr>
        <w:top w:val="none" w:sz="0" w:space="0" w:color="auto"/>
        <w:left w:val="none" w:sz="0" w:space="0" w:color="auto"/>
        <w:bottom w:val="none" w:sz="0" w:space="0" w:color="auto"/>
        <w:right w:val="none" w:sz="0" w:space="0" w:color="auto"/>
      </w:divBdr>
    </w:div>
    <w:div w:id="956984560">
      <w:bodyDiv w:val="1"/>
      <w:marLeft w:val="0"/>
      <w:marRight w:val="0"/>
      <w:marTop w:val="0"/>
      <w:marBottom w:val="0"/>
      <w:divBdr>
        <w:top w:val="none" w:sz="0" w:space="0" w:color="auto"/>
        <w:left w:val="none" w:sz="0" w:space="0" w:color="auto"/>
        <w:bottom w:val="none" w:sz="0" w:space="0" w:color="auto"/>
        <w:right w:val="none" w:sz="0" w:space="0" w:color="auto"/>
      </w:divBdr>
    </w:div>
    <w:div w:id="1022780464">
      <w:bodyDiv w:val="1"/>
      <w:marLeft w:val="0"/>
      <w:marRight w:val="0"/>
      <w:marTop w:val="0"/>
      <w:marBottom w:val="0"/>
      <w:divBdr>
        <w:top w:val="none" w:sz="0" w:space="0" w:color="auto"/>
        <w:left w:val="none" w:sz="0" w:space="0" w:color="auto"/>
        <w:bottom w:val="none" w:sz="0" w:space="0" w:color="auto"/>
        <w:right w:val="none" w:sz="0" w:space="0" w:color="auto"/>
      </w:divBdr>
    </w:div>
    <w:div w:id="1099369525">
      <w:bodyDiv w:val="1"/>
      <w:marLeft w:val="0"/>
      <w:marRight w:val="0"/>
      <w:marTop w:val="0"/>
      <w:marBottom w:val="0"/>
      <w:divBdr>
        <w:top w:val="none" w:sz="0" w:space="0" w:color="auto"/>
        <w:left w:val="none" w:sz="0" w:space="0" w:color="auto"/>
        <w:bottom w:val="none" w:sz="0" w:space="0" w:color="auto"/>
        <w:right w:val="none" w:sz="0" w:space="0" w:color="auto"/>
      </w:divBdr>
    </w:div>
    <w:div w:id="1115563984">
      <w:bodyDiv w:val="1"/>
      <w:marLeft w:val="0"/>
      <w:marRight w:val="0"/>
      <w:marTop w:val="0"/>
      <w:marBottom w:val="0"/>
      <w:divBdr>
        <w:top w:val="none" w:sz="0" w:space="0" w:color="auto"/>
        <w:left w:val="none" w:sz="0" w:space="0" w:color="auto"/>
        <w:bottom w:val="none" w:sz="0" w:space="0" w:color="auto"/>
        <w:right w:val="none" w:sz="0" w:space="0" w:color="auto"/>
      </w:divBdr>
    </w:div>
    <w:div w:id="1125386406">
      <w:bodyDiv w:val="1"/>
      <w:marLeft w:val="0"/>
      <w:marRight w:val="0"/>
      <w:marTop w:val="0"/>
      <w:marBottom w:val="0"/>
      <w:divBdr>
        <w:top w:val="none" w:sz="0" w:space="0" w:color="auto"/>
        <w:left w:val="none" w:sz="0" w:space="0" w:color="auto"/>
        <w:bottom w:val="none" w:sz="0" w:space="0" w:color="auto"/>
        <w:right w:val="none" w:sz="0" w:space="0" w:color="auto"/>
      </w:divBdr>
    </w:div>
    <w:div w:id="1137841827">
      <w:bodyDiv w:val="1"/>
      <w:marLeft w:val="0"/>
      <w:marRight w:val="0"/>
      <w:marTop w:val="0"/>
      <w:marBottom w:val="0"/>
      <w:divBdr>
        <w:top w:val="none" w:sz="0" w:space="0" w:color="auto"/>
        <w:left w:val="none" w:sz="0" w:space="0" w:color="auto"/>
        <w:bottom w:val="none" w:sz="0" w:space="0" w:color="auto"/>
        <w:right w:val="none" w:sz="0" w:space="0" w:color="auto"/>
      </w:divBdr>
    </w:div>
    <w:div w:id="1174765500">
      <w:bodyDiv w:val="1"/>
      <w:marLeft w:val="0"/>
      <w:marRight w:val="0"/>
      <w:marTop w:val="0"/>
      <w:marBottom w:val="0"/>
      <w:divBdr>
        <w:top w:val="none" w:sz="0" w:space="0" w:color="auto"/>
        <w:left w:val="none" w:sz="0" w:space="0" w:color="auto"/>
        <w:bottom w:val="none" w:sz="0" w:space="0" w:color="auto"/>
        <w:right w:val="none" w:sz="0" w:space="0" w:color="auto"/>
      </w:divBdr>
    </w:div>
    <w:div w:id="1182547906">
      <w:bodyDiv w:val="1"/>
      <w:marLeft w:val="0"/>
      <w:marRight w:val="0"/>
      <w:marTop w:val="0"/>
      <w:marBottom w:val="0"/>
      <w:divBdr>
        <w:top w:val="none" w:sz="0" w:space="0" w:color="auto"/>
        <w:left w:val="none" w:sz="0" w:space="0" w:color="auto"/>
        <w:bottom w:val="none" w:sz="0" w:space="0" w:color="auto"/>
        <w:right w:val="none" w:sz="0" w:space="0" w:color="auto"/>
      </w:divBdr>
    </w:div>
    <w:div w:id="1185284565">
      <w:bodyDiv w:val="1"/>
      <w:marLeft w:val="0"/>
      <w:marRight w:val="0"/>
      <w:marTop w:val="0"/>
      <w:marBottom w:val="0"/>
      <w:divBdr>
        <w:top w:val="none" w:sz="0" w:space="0" w:color="auto"/>
        <w:left w:val="none" w:sz="0" w:space="0" w:color="auto"/>
        <w:bottom w:val="none" w:sz="0" w:space="0" w:color="auto"/>
        <w:right w:val="none" w:sz="0" w:space="0" w:color="auto"/>
      </w:divBdr>
    </w:div>
    <w:div w:id="1195919638">
      <w:bodyDiv w:val="1"/>
      <w:marLeft w:val="0"/>
      <w:marRight w:val="0"/>
      <w:marTop w:val="0"/>
      <w:marBottom w:val="0"/>
      <w:divBdr>
        <w:top w:val="none" w:sz="0" w:space="0" w:color="auto"/>
        <w:left w:val="none" w:sz="0" w:space="0" w:color="auto"/>
        <w:bottom w:val="none" w:sz="0" w:space="0" w:color="auto"/>
        <w:right w:val="none" w:sz="0" w:space="0" w:color="auto"/>
      </w:divBdr>
    </w:div>
    <w:div w:id="1223713967">
      <w:bodyDiv w:val="1"/>
      <w:marLeft w:val="0"/>
      <w:marRight w:val="0"/>
      <w:marTop w:val="0"/>
      <w:marBottom w:val="0"/>
      <w:divBdr>
        <w:top w:val="none" w:sz="0" w:space="0" w:color="auto"/>
        <w:left w:val="none" w:sz="0" w:space="0" w:color="auto"/>
        <w:bottom w:val="none" w:sz="0" w:space="0" w:color="auto"/>
        <w:right w:val="none" w:sz="0" w:space="0" w:color="auto"/>
      </w:divBdr>
    </w:div>
    <w:div w:id="1245340971">
      <w:bodyDiv w:val="1"/>
      <w:marLeft w:val="0"/>
      <w:marRight w:val="0"/>
      <w:marTop w:val="0"/>
      <w:marBottom w:val="0"/>
      <w:divBdr>
        <w:top w:val="none" w:sz="0" w:space="0" w:color="auto"/>
        <w:left w:val="none" w:sz="0" w:space="0" w:color="auto"/>
        <w:bottom w:val="none" w:sz="0" w:space="0" w:color="auto"/>
        <w:right w:val="none" w:sz="0" w:space="0" w:color="auto"/>
      </w:divBdr>
    </w:div>
    <w:div w:id="1344362053">
      <w:bodyDiv w:val="1"/>
      <w:marLeft w:val="0"/>
      <w:marRight w:val="0"/>
      <w:marTop w:val="0"/>
      <w:marBottom w:val="0"/>
      <w:divBdr>
        <w:top w:val="none" w:sz="0" w:space="0" w:color="auto"/>
        <w:left w:val="none" w:sz="0" w:space="0" w:color="auto"/>
        <w:bottom w:val="none" w:sz="0" w:space="0" w:color="auto"/>
        <w:right w:val="none" w:sz="0" w:space="0" w:color="auto"/>
      </w:divBdr>
    </w:div>
    <w:div w:id="1394426318">
      <w:bodyDiv w:val="1"/>
      <w:marLeft w:val="0"/>
      <w:marRight w:val="0"/>
      <w:marTop w:val="0"/>
      <w:marBottom w:val="0"/>
      <w:divBdr>
        <w:top w:val="none" w:sz="0" w:space="0" w:color="auto"/>
        <w:left w:val="none" w:sz="0" w:space="0" w:color="auto"/>
        <w:bottom w:val="none" w:sz="0" w:space="0" w:color="auto"/>
        <w:right w:val="none" w:sz="0" w:space="0" w:color="auto"/>
      </w:divBdr>
    </w:div>
    <w:div w:id="1439639224">
      <w:bodyDiv w:val="1"/>
      <w:marLeft w:val="0"/>
      <w:marRight w:val="0"/>
      <w:marTop w:val="0"/>
      <w:marBottom w:val="0"/>
      <w:divBdr>
        <w:top w:val="none" w:sz="0" w:space="0" w:color="auto"/>
        <w:left w:val="none" w:sz="0" w:space="0" w:color="auto"/>
        <w:bottom w:val="none" w:sz="0" w:space="0" w:color="auto"/>
        <w:right w:val="none" w:sz="0" w:space="0" w:color="auto"/>
      </w:divBdr>
    </w:div>
    <w:div w:id="1448157446">
      <w:bodyDiv w:val="1"/>
      <w:marLeft w:val="0"/>
      <w:marRight w:val="0"/>
      <w:marTop w:val="0"/>
      <w:marBottom w:val="0"/>
      <w:divBdr>
        <w:top w:val="none" w:sz="0" w:space="0" w:color="auto"/>
        <w:left w:val="none" w:sz="0" w:space="0" w:color="auto"/>
        <w:bottom w:val="none" w:sz="0" w:space="0" w:color="auto"/>
        <w:right w:val="none" w:sz="0" w:space="0" w:color="auto"/>
      </w:divBdr>
    </w:div>
    <w:div w:id="1505584253">
      <w:bodyDiv w:val="1"/>
      <w:marLeft w:val="0"/>
      <w:marRight w:val="0"/>
      <w:marTop w:val="0"/>
      <w:marBottom w:val="0"/>
      <w:divBdr>
        <w:top w:val="none" w:sz="0" w:space="0" w:color="auto"/>
        <w:left w:val="none" w:sz="0" w:space="0" w:color="auto"/>
        <w:bottom w:val="none" w:sz="0" w:space="0" w:color="auto"/>
        <w:right w:val="none" w:sz="0" w:space="0" w:color="auto"/>
      </w:divBdr>
    </w:div>
    <w:div w:id="1569539708">
      <w:bodyDiv w:val="1"/>
      <w:marLeft w:val="0"/>
      <w:marRight w:val="0"/>
      <w:marTop w:val="0"/>
      <w:marBottom w:val="0"/>
      <w:divBdr>
        <w:top w:val="none" w:sz="0" w:space="0" w:color="auto"/>
        <w:left w:val="none" w:sz="0" w:space="0" w:color="auto"/>
        <w:bottom w:val="none" w:sz="0" w:space="0" w:color="auto"/>
        <w:right w:val="none" w:sz="0" w:space="0" w:color="auto"/>
      </w:divBdr>
    </w:div>
    <w:div w:id="1571307366">
      <w:bodyDiv w:val="1"/>
      <w:marLeft w:val="0"/>
      <w:marRight w:val="0"/>
      <w:marTop w:val="0"/>
      <w:marBottom w:val="0"/>
      <w:divBdr>
        <w:top w:val="none" w:sz="0" w:space="0" w:color="auto"/>
        <w:left w:val="none" w:sz="0" w:space="0" w:color="auto"/>
        <w:bottom w:val="none" w:sz="0" w:space="0" w:color="auto"/>
        <w:right w:val="none" w:sz="0" w:space="0" w:color="auto"/>
      </w:divBdr>
    </w:div>
    <w:div w:id="1577664000">
      <w:bodyDiv w:val="1"/>
      <w:marLeft w:val="0"/>
      <w:marRight w:val="0"/>
      <w:marTop w:val="0"/>
      <w:marBottom w:val="0"/>
      <w:divBdr>
        <w:top w:val="none" w:sz="0" w:space="0" w:color="auto"/>
        <w:left w:val="none" w:sz="0" w:space="0" w:color="auto"/>
        <w:bottom w:val="none" w:sz="0" w:space="0" w:color="auto"/>
        <w:right w:val="none" w:sz="0" w:space="0" w:color="auto"/>
      </w:divBdr>
    </w:div>
    <w:div w:id="1655452709">
      <w:bodyDiv w:val="1"/>
      <w:marLeft w:val="0"/>
      <w:marRight w:val="0"/>
      <w:marTop w:val="0"/>
      <w:marBottom w:val="0"/>
      <w:divBdr>
        <w:top w:val="none" w:sz="0" w:space="0" w:color="auto"/>
        <w:left w:val="none" w:sz="0" w:space="0" w:color="auto"/>
        <w:bottom w:val="none" w:sz="0" w:space="0" w:color="auto"/>
        <w:right w:val="none" w:sz="0" w:space="0" w:color="auto"/>
      </w:divBdr>
    </w:div>
    <w:div w:id="1660189781">
      <w:bodyDiv w:val="1"/>
      <w:marLeft w:val="0"/>
      <w:marRight w:val="0"/>
      <w:marTop w:val="0"/>
      <w:marBottom w:val="0"/>
      <w:divBdr>
        <w:top w:val="none" w:sz="0" w:space="0" w:color="auto"/>
        <w:left w:val="none" w:sz="0" w:space="0" w:color="auto"/>
        <w:bottom w:val="none" w:sz="0" w:space="0" w:color="auto"/>
        <w:right w:val="none" w:sz="0" w:space="0" w:color="auto"/>
      </w:divBdr>
    </w:div>
    <w:div w:id="1670870563">
      <w:bodyDiv w:val="1"/>
      <w:marLeft w:val="0"/>
      <w:marRight w:val="0"/>
      <w:marTop w:val="0"/>
      <w:marBottom w:val="0"/>
      <w:divBdr>
        <w:top w:val="none" w:sz="0" w:space="0" w:color="auto"/>
        <w:left w:val="none" w:sz="0" w:space="0" w:color="auto"/>
        <w:bottom w:val="none" w:sz="0" w:space="0" w:color="auto"/>
        <w:right w:val="none" w:sz="0" w:space="0" w:color="auto"/>
      </w:divBdr>
    </w:div>
    <w:div w:id="1712919732">
      <w:bodyDiv w:val="1"/>
      <w:marLeft w:val="0"/>
      <w:marRight w:val="0"/>
      <w:marTop w:val="0"/>
      <w:marBottom w:val="0"/>
      <w:divBdr>
        <w:top w:val="none" w:sz="0" w:space="0" w:color="auto"/>
        <w:left w:val="none" w:sz="0" w:space="0" w:color="auto"/>
        <w:bottom w:val="none" w:sz="0" w:space="0" w:color="auto"/>
        <w:right w:val="none" w:sz="0" w:space="0" w:color="auto"/>
      </w:divBdr>
    </w:div>
    <w:div w:id="1768892053">
      <w:bodyDiv w:val="1"/>
      <w:marLeft w:val="0"/>
      <w:marRight w:val="0"/>
      <w:marTop w:val="0"/>
      <w:marBottom w:val="0"/>
      <w:divBdr>
        <w:top w:val="none" w:sz="0" w:space="0" w:color="auto"/>
        <w:left w:val="none" w:sz="0" w:space="0" w:color="auto"/>
        <w:bottom w:val="none" w:sz="0" w:space="0" w:color="auto"/>
        <w:right w:val="none" w:sz="0" w:space="0" w:color="auto"/>
      </w:divBdr>
    </w:div>
    <w:div w:id="1781145451">
      <w:bodyDiv w:val="1"/>
      <w:marLeft w:val="0"/>
      <w:marRight w:val="0"/>
      <w:marTop w:val="0"/>
      <w:marBottom w:val="0"/>
      <w:divBdr>
        <w:top w:val="none" w:sz="0" w:space="0" w:color="auto"/>
        <w:left w:val="none" w:sz="0" w:space="0" w:color="auto"/>
        <w:bottom w:val="none" w:sz="0" w:space="0" w:color="auto"/>
        <w:right w:val="none" w:sz="0" w:space="0" w:color="auto"/>
      </w:divBdr>
    </w:div>
    <w:div w:id="1792900035">
      <w:bodyDiv w:val="1"/>
      <w:marLeft w:val="0"/>
      <w:marRight w:val="0"/>
      <w:marTop w:val="0"/>
      <w:marBottom w:val="0"/>
      <w:divBdr>
        <w:top w:val="none" w:sz="0" w:space="0" w:color="auto"/>
        <w:left w:val="none" w:sz="0" w:space="0" w:color="auto"/>
        <w:bottom w:val="none" w:sz="0" w:space="0" w:color="auto"/>
        <w:right w:val="none" w:sz="0" w:space="0" w:color="auto"/>
      </w:divBdr>
    </w:div>
    <w:div w:id="1817800934">
      <w:bodyDiv w:val="1"/>
      <w:marLeft w:val="0"/>
      <w:marRight w:val="0"/>
      <w:marTop w:val="0"/>
      <w:marBottom w:val="0"/>
      <w:divBdr>
        <w:top w:val="none" w:sz="0" w:space="0" w:color="auto"/>
        <w:left w:val="none" w:sz="0" w:space="0" w:color="auto"/>
        <w:bottom w:val="none" w:sz="0" w:space="0" w:color="auto"/>
        <w:right w:val="none" w:sz="0" w:space="0" w:color="auto"/>
      </w:divBdr>
    </w:div>
    <w:div w:id="1851991357">
      <w:bodyDiv w:val="1"/>
      <w:marLeft w:val="0"/>
      <w:marRight w:val="0"/>
      <w:marTop w:val="0"/>
      <w:marBottom w:val="0"/>
      <w:divBdr>
        <w:top w:val="none" w:sz="0" w:space="0" w:color="auto"/>
        <w:left w:val="none" w:sz="0" w:space="0" w:color="auto"/>
        <w:bottom w:val="none" w:sz="0" w:space="0" w:color="auto"/>
        <w:right w:val="none" w:sz="0" w:space="0" w:color="auto"/>
      </w:divBdr>
    </w:div>
    <w:div w:id="1852333325">
      <w:bodyDiv w:val="1"/>
      <w:marLeft w:val="0"/>
      <w:marRight w:val="0"/>
      <w:marTop w:val="0"/>
      <w:marBottom w:val="0"/>
      <w:divBdr>
        <w:top w:val="none" w:sz="0" w:space="0" w:color="auto"/>
        <w:left w:val="none" w:sz="0" w:space="0" w:color="auto"/>
        <w:bottom w:val="none" w:sz="0" w:space="0" w:color="auto"/>
        <w:right w:val="none" w:sz="0" w:space="0" w:color="auto"/>
      </w:divBdr>
    </w:div>
    <w:div w:id="1901818854">
      <w:bodyDiv w:val="1"/>
      <w:marLeft w:val="0"/>
      <w:marRight w:val="0"/>
      <w:marTop w:val="0"/>
      <w:marBottom w:val="0"/>
      <w:divBdr>
        <w:top w:val="none" w:sz="0" w:space="0" w:color="auto"/>
        <w:left w:val="none" w:sz="0" w:space="0" w:color="auto"/>
        <w:bottom w:val="none" w:sz="0" w:space="0" w:color="auto"/>
        <w:right w:val="none" w:sz="0" w:space="0" w:color="auto"/>
      </w:divBdr>
    </w:div>
    <w:div w:id="1924143148">
      <w:bodyDiv w:val="1"/>
      <w:marLeft w:val="0"/>
      <w:marRight w:val="0"/>
      <w:marTop w:val="0"/>
      <w:marBottom w:val="0"/>
      <w:divBdr>
        <w:top w:val="none" w:sz="0" w:space="0" w:color="auto"/>
        <w:left w:val="none" w:sz="0" w:space="0" w:color="auto"/>
        <w:bottom w:val="none" w:sz="0" w:space="0" w:color="auto"/>
        <w:right w:val="none" w:sz="0" w:space="0" w:color="auto"/>
      </w:divBdr>
    </w:div>
    <w:div w:id="2026712862">
      <w:bodyDiv w:val="1"/>
      <w:marLeft w:val="0"/>
      <w:marRight w:val="0"/>
      <w:marTop w:val="0"/>
      <w:marBottom w:val="0"/>
      <w:divBdr>
        <w:top w:val="none" w:sz="0" w:space="0" w:color="auto"/>
        <w:left w:val="none" w:sz="0" w:space="0" w:color="auto"/>
        <w:bottom w:val="none" w:sz="0" w:space="0" w:color="auto"/>
        <w:right w:val="none" w:sz="0" w:space="0" w:color="auto"/>
      </w:divBdr>
    </w:div>
    <w:div w:id="2037075594">
      <w:bodyDiv w:val="1"/>
      <w:marLeft w:val="0"/>
      <w:marRight w:val="0"/>
      <w:marTop w:val="0"/>
      <w:marBottom w:val="0"/>
      <w:divBdr>
        <w:top w:val="none" w:sz="0" w:space="0" w:color="auto"/>
        <w:left w:val="none" w:sz="0" w:space="0" w:color="auto"/>
        <w:bottom w:val="none" w:sz="0" w:space="0" w:color="auto"/>
        <w:right w:val="none" w:sz="0" w:space="0" w:color="auto"/>
      </w:divBdr>
    </w:div>
    <w:div w:id="2087724736">
      <w:bodyDiv w:val="1"/>
      <w:marLeft w:val="0"/>
      <w:marRight w:val="0"/>
      <w:marTop w:val="0"/>
      <w:marBottom w:val="0"/>
      <w:divBdr>
        <w:top w:val="none" w:sz="0" w:space="0" w:color="auto"/>
        <w:left w:val="none" w:sz="0" w:space="0" w:color="auto"/>
        <w:bottom w:val="none" w:sz="0" w:space="0" w:color="auto"/>
        <w:right w:val="none" w:sz="0" w:space="0" w:color="auto"/>
      </w:divBdr>
    </w:div>
    <w:div w:id="2107730241">
      <w:bodyDiv w:val="1"/>
      <w:marLeft w:val="0"/>
      <w:marRight w:val="0"/>
      <w:marTop w:val="0"/>
      <w:marBottom w:val="0"/>
      <w:divBdr>
        <w:top w:val="none" w:sz="0" w:space="0" w:color="auto"/>
        <w:left w:val="none" w:sz="0" w:space="0" w:color="auto"/>
        <w:bottom w:val="none" w:sz="0" w:space="0" w:color="auto"/>
        <w:right w:val="none" w:sz="0" w:space="0" w:color="auto"/>
      </w:divBdr>
    </w:div>
    <w:div w:id="2119325884">
      <w:bodyDiv w:val="1"/>
      <w:marLeft w:val="0"/>
      <w:marRight w:val="0"/>
      <w:marTop w:val="0"/>
      <w:marBottom w:val="0"/>
      <w:divBdr>
        <w:top w:val="none" w:sz="0" w:space="0" w:color="auto"/>
        <w:left w:val="none" w:sz="0" w:space="0" w:color="auto"/>
        <w:bottom w:val="none" w:sz="0" w:space="0" w:color="auto"/>
        <w:right w:val="none" w:sz="0" w:space="0" w:color="auto"/>
      </w:divBdr>
    </w:div>
    <w:div w:id="2134211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7D9AF-A56E-4319-B191-56CCA6AE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9108</Words>
  <Characters>51919</Characters>
  <Application>Microsoft Office Word</Application>
  <DocSecurity>0</DocSecurity>
  <Lines>432</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Jojo em</cp:lastModifiedBy>
  <cp:revision>4</cp:revision>
  <cp:lastPrinted>2025-11-22T00:56:00Z</cp:lastPrinted>
  <dcterms:created xsi:type="dcterms:W3CDTF">2025-11-22T01:15:00Z</dcterms:created>
  <dcterms:modified xsi:type="dcterms:W3CDTF">2025-11-22T01:19:00Z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