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87E30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737E4">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7F8E85E" w14:textId="77777777" w:rsidR="00DF70E8" w:rsidRPr="00DF70E8" w:rsidRDefault="00DF70E8" w:rsidP="00DF70E8">
      <w:pPr>
        <w:jc w:val="center"/>
        <w:rPr>
          <w:rFonts w:ascii="Sakkal Majalla" w:hAnsi="Sakkal Majalla" w:cs="Sakkal Majalla"/>
          <w:b/>
          <w:bCs/>
          <w:sz w:val="28"/>
          <w:szCs w:val="28"/>
          <w:rtl/>
        </w:rPr>
      </w:pPr>
      <w:r w:rsidRPr="00DF70E8">
        <w:rPr>
          <w:rFonts w:ascii="Sakkal Majalla" w:hAnsi="Sakkal Majalla" w:cs="Sakkal Majalla" w:hint="cs"/>
          <w:b/>
          <w:bCs/>
          <w:sz w:val="28"/>
          <w:szCs w:val="28"/>
          <w:rtl/>
        </w:rPr>
        <w:t>تحليل</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فعالية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النماذج</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الهجينة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في</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إدارة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مشاريع</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ذات</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طبيعة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متغيرة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ضمن</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بيئات</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تنظيمية</w:t>
      </w:r>
      <w:r w:rsidRPr="00DF70E8">
        <w:rPr>
          <w:rFonts w:ascii="Sakkal Majalla" w:hAnsi="Sakkal Majalla" w:cs="Sakkal Majalla"/>
          <w:b/>
          <w:bCs/>
          <w:sz w:val="28"/>
          <w:szCs w:val="28"/>
          <w:rtl/>
        </w:rPr>
        <w:t xml:space="preserve"> </w:t>
      </w:r>
      <w:r w:rsidRPr="00DF70E8">
        <w:rPr>
          <w:rFonts w:ascii="Sakkal Majalla" w:hAnsi="Sakkal Majalla" w:cs="Sakkal Majalla" w:hint="cs"/>
          <w:b/>
          <w:bCs/>
          <w:sz w:val="28"/>
          <w:szCs w:val="28"/>
          <w:rtl/>
        </w:rPr>
        <w:t>صارمة</w:t>
      </w:r>
    </w:p>
    <w:p w14:paraId="52F73A16" w14:textId="77777777" w:rsidR="00DF70E8" w:rsidRPr="00DF70E8" w:rsidRDefault="00DF70E8" w:rsidP="00DF70E8">
      <w:pPr>
        <w:jc w:val="center"/>
        <w:rPr>
          <w:rFonts w:ascii="Sakkal Majalla" w:hAnsi="Sakkal Majalla" w:cs="Sakkal Majalla"/>
          <w:b/>
          <w:bCs/>
          <w:sz w:val="28"/>
          <w:szCs w:val="28"/>
          <w:lang w:bidi="ar-EG"/>
        </w:rPr>
      </w:pPr>
      <w:r w:rsidRPr="00DF70E8">
        <w:rPr>
          <w:rFonts w:ascii="Sakkal Majalla" w:hAnsi="Sakkal Majalla" w:cs="Sakkal Majalla"/>
          <w:b/>
          <w:bCs/>
          <w:sz w:val="28"/>
          <w:szCs w:val="28"/>
          <w:lang w:bidi="ar-EG"/>
        </w:rPr>
        <w:t>Analyzing the effectiveness of hybrid models in managing projects of a changing nature within strict regulatory environments</w:t>
      </w:r>
    </w:p>
    <w:p w14:paraId="15C28831" w14:textId="77777777" w:rsidR="009125CE" w:rsidRPr="00DF70E8"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BD100AE" w:rsidR="009125CE" w:rsidRPr="001902DB" w:rsidRDefault="00DF70E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F77647B" w14:textId="1946EE3C" w:rsidR="00DF70E8" w:rsidRPr="00DF70E8" w:rsidRDefault="00F737E4" w:rsidP="00DF70E8">
      <w:pPr>
        <w:jc w:val="center"/>
        <w:rPr>
          <w:rFonts w:ascii="Sakkal Majalla" w:hAnsi="Sakkal Majalla" w:cs="Sakkal Majalla"/>
          <w:b/>
          <w:bCs/>
          <w:sz w:val="28"/>
          <w:szCs w:val="28"/>
          <w:rtl/>
        </w:rPr>
      </w:pPr>
      <w:r w:rsidRPr="00DF70E8">
        <w:rPr>
          <w:rFonts w:ascii="Sakkal Majalla" w:hAnsi="Sakkal Majalla" w:cs="Sakkal Majalla" w:hint="cs"/>
          <w:b/>
          <w:bCs/>
          <w:sz w:val="28"/>
          <w:szCs w:val="28"/>
          <w:rtl/>
        </w:rPr>
        <w:t xml:space="preserve">ماهر </w:t>
      </w:r>
      <w:r>
        <w:rPr>
          <w:rFonts w:ascii="Sakkal Majalla" w:hAnsi="Sakkal Majalla" w:cs="Sakkal Majalla" w:hint="cs"/>
          <w:b/>
          <w:bCs/>
          <w:sz w:val="28"/>
          <w:szCs w:val="28"/>
          <w:rtl/>
        </w:rPr>
        <w:t xml:space="preserve">بن </w:t>
      </w:r>
      <w:r w:rsidR="00DF70E8" w:rsidRPr="00DF70E8">
        <w:rPr>
          <w:rFonts w:ascii="Sakkal Majalla" w:hAnsi="Sakkal Majalla" w:cs="Sakkal Majalla" w:hint="cs"/>
          <w:b/>
          <w:bCs/>
          <w:sz w:val="28"/>
          <w:szCs w:val="28"/>
          <w:rtl/>
        </w:rPr>
        <w:t>سالم</w:t>
      </w:r>
      <w:r w:rsidR="00DF70E8" w:rsidRPr="00DF70E8">
        <w:rPr>
          <w:rFonts w:ascii="Sakkal Majalla" w:hAnsi="Sakkal Majalla" w:cs="Sakkal Majalla"/>
          <w:b/>
          <w:bCs/>
          <w:sz w:val="28"/>
          <w:szCs w:val="28"/>
          <w:rtl/>
        </w:rPr>
        <w:t xml:space="preserve"> </w:t>
      </w:r>
      <w:r w:rsidR="00DF70E8" w:rsidRPr="00DF70E8">
        <w:rPr>
          <w:rFonts w:ascii="Sakkal Majalla" w:hAnsi="Sakkal Majalla" w:cs="Sakkal Majalla" w:hint="cs"/>
          <w:b/>
          <w:bCs/>
          <w:sz w:val="28"/>
          <w:szCs w:val="28"/>
          <w:rtl/>
        </w:rPr>
        <w:t>المولد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DF70E8">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B962516" w14:textId="77777777" w:rsidR="00F737E4" w:rsidRPr="000A70AF" w:rsidRDefault="00F737E4" w:rsidP="00F737E4">
      <w:pPr>
        <w:jc w:val="center"/>
        <w:rPr>
          <w:rFonts w:ascii="Sakkal Majalla" w:hAnsi="Sakkal Majalla" w:cs="Sakkal Majalla"/>
          <w:b/>
          <w:bCs/>
          <w:sz w:val="28"/>
          <w:szCs w:val="28"/>
          <w:lang w:bidi="ar-EG"/>
        </w:rPr>
      </w:pPr>
      <w:r w:rsidRPr="000A70AF">
        <w:rPr>
          <w:rFonts w:ascii="Sakkal Majalla" w:hAnsi="Sakkal Majalla" w:cs="Sakkal Majalla" w:hint="cs"/>
          <w:b/>
          <w:bCs/>
          <w:sz w:val="28"/>
          <w:szCs w:val="28"/>
          <w:rtl/>
          <w:lang w:bidi="ar-EG"/>
        </w:rPr>
        <w:t>د. الفيص</w:t>
      </w:r>
      <w:r w:rsidRPr="000A70AF">
        <w:rPr>
          <w:rFonts w:ascii="Sakkal Majalla" w:hAnsi="Sakkal Majalla" w:cs="Sakkal Majalla" w:hint="eastAsia"/>
          <w:b/>
          <w:bCs/>
          <w:sz w:val="28"/>
          <w:szCs w:val="28"/>
          <w:rtl/>
          <w:lang w:bidi="ar-EG"/>
        </w:rPr>
        <w:t>ل</w:t>
      </w:r>
      <w:r w:rsidRPr="000A70AF">
        <w:rPr>
          <w:rFonts w:ascii="Sakkal Majalla" w:hAnsi="Sakkal Majalla" w:cs="Sakkal Majalla"/>
          <w:b/>
          <w:bCs/>
          <w:sz w:val="28"/>
          <w:szCs w:val="28"/>
          <w:rtl/>
          <w:lang w:bidi="ar-EG"/>
        </w:rPr>
        <w:t xml:space="preserve"> عبد الحميد</w:t>
      </w:r>
      <w:r w:rsidRPr="000A70AF">
        <w:rPr>
          <w:rFonts w:ascii="Sakkal Majalla" w:hAnsi="Sakkal Majalla" w:cs="Sakkal Majalla"/>
          <w:b/>
          <w:bCs/>
          <w:sz w:val="28"/>
          <w:szCs w:val="28"/>
          <w:rtl/>
          <w:lang w:bidi="ar-EG"/>
        </w:rPr>
        <w:br/>
      </w:r>
      <w:r w:rsidRPr="000A70AF">
        <w:rPr>
          <w:rFonts w:ascii="Sakkal Majalla" w:hAnsi="Sakkal Majalla" w:cs="Sakkal Majalla" w:hint="cs"/>
          <w:b/>
          <w:bCs/>
          <w:sz w:val="28"/>
          <w:szCs w:val="28"/>
          <w:rtl/>
          <w:lang w:bidi="ar-EG"/>
        </w:rPr>
        <w:t>د. فاي</w:t>
      </w:r>
      <w:r w:rsidRPr="000A70AF">
        <w:rPr>
          <w:rFonts w:ascii="Sakkal Majalla" w:hAnsi="Sakkal Majalla" w:cs="Sakkal Majalla" w:hint="eastAsia"/>
          <w:b/>
          <w:bCs/>
          <w:sz w:val="28"/>
          <w:szCs w:val="28"/>
          <w:rtl/>
          <w:lang w:bidi="ar-EG"/>
        </w:rPr>
        <w:t>ز</w:t>
      </w:r>
      <w:r w:rsidRPr="000A70AF">
        <w:rPr>
          <w:rFonts w:ascii="Sakkal Majalla" w:hAnsi="Sakkal Majalla" w:cs="Sakkal Majalla"/>
          <w:b/>
          <w:bCs/>
          <w:sz w:val="28"/>
          <w:szCs w:val="28"/>
          <w:rtl/>
          <w:lang w:bidi="ar-EG"/>
        </w:rPr>
        <w:t xml:space="preserve"> جراد</w:t>
      </w:r>
    </w:p>
    <w:p w14:paraId="16CF2D6A" w14:textId="77777777" w:rsidR="009125CE" w:rsidRPr="00F737E4"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F60AC99" w:rsidR="009125CE" w:rsidRPr="001902DB" w:rsidRDefault="009125CE" w:rsidP="00DF70E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F70E8">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1ACA4AFE" w14:textId="77777777" w:rsidR="00DF70E8" w:rsidRPr="001902DB" w:rsidRDefault="00DF70E8" w:rsidP="009125CE">
      <w:pPr>
        <w:jc w:val="center"/>
        <w:rPr>
          <w:rFonts w:ascii="Sakkal Majalla" w:hAnsi="Sakkal Majalla" w:cs="Sakkal Majalla"/>
          <w:b/>
          <w:bCs/>
          <w:sz w:val="28"/>
          <w:szCs w:val="28"/>
          <w:rtl/>
          <w:lang w:bidi="ar-EG"/>
        </w:rPr>
      </w:pPr>
    </w:p>
    <w:p w14:paraId="035BF540" w14:textId="73E5C5C3" w:rsidR="009125CE" w:rsidRPr="00DF70E8" w:rsidRDefault="009125CE" w:rsidP="00DF70E8">
      <w:pPr>
        <w:jc w:val="lowKashida"/>
        <w:rPr>
          <w:rFonts w:ascii="Simplified Arabic" w:hAnsi="Simplified Arabic" w:cs="Simplified Arabic"/>
          <w:sz w:val="28"/>
          <w:szCs w:val="28"/>
          <w:u w:val="single"/>
          <w:rtl/>
          <w:lang w:bidi="ar-EG"/>
        </w:rPr>
      </w:pPr>
      <w:r w:rsidRPr="00DF70E8">
        <w:rPr>
          <w:rFonts w:ascii="Simplified Arabic" w:hAnsi="Simplified Arabic" w:cs="Simplified Arabic"/>
          <w:sz w:val="28"/>
          <w:szCs w:val="28"/>
          <w:u w:val="single"/>
          <w:rtl/>
          <w:lang w:bidi="ar-EG"/>
        </w:rPr>
        <w:t xml:space="preserve">فهرس </w:t>
      </w:r>
      <w:proofErr w:type="spellStart"/>
      <w:r w:rsidRPr="00DF70E8">
        <w:rPr>
          <w:rFonts w:ascii="Simplified Arabic" w:hAnsi="Simplified Arabic" w:cs="Simplified Arabic"/>
          <w:sz w:val="28"/>
          <w:szCs w:val="28"/>
          <w:u w:val="single"/>
          <w:rtl/>
          <w:lang w:bidi="ar-EG"/>
        </w:rPr>
        <w:t>المحتوى</w:t>
      </w:r>
      <w:r w:rsidR="00D52480" w:rsidRPr="00DF70E8">
        <w:rPr>
          <w:rFonts w:ascii="Simplified Arabic" w:hAnsi="Simplified Arabic" w:cs="Simplified Arabic"/>
          <w:sz w:val="28"/>
          <w:szCs w:val="28"/>
          <w:u w:val="single"/>
          <w:rtl/>
          <w:lang w:bidi="ar-EG"/>
        </w:rPr>
        <w:t>ات</w:t>
      </w:r>
      <w:proofErr w:type="spellEnd"/>
      <w:r w:rsidRPr="00DF70E8">
        <w:rPr>
          <w:rFonts w:ascii="Simplified Arabic" w:hAnsi="Simplified Arabic" w:cs="Simplified Arabic"/>
          <w:sz w:val="28"/>
          <w:szCs w:val="28"/>
          <w:u w:val="single"/>
          <w:rtl/>
          <w:lang w:bidi="ar-EG"/>
        </w:rPr>
        <w:t>:</w:t>
      </w:r>
    </w:p>
    <w:sdt>
      <w:sdtPr>
        <w:rPr>
          <w:rFonts w:ascii="Simplified Arabic" w:eastAsiaTheme="minorHAnsi" w:hAnsi="Simplified Arabic" w:cs="Simplified Arabic"/>
          <w:color w:val="auto"/>
          <w:kern w:val="2"/>
          <w:sz w:val="28"/>
          <w:szCs w:val="28"/>
          <w14:ligatures w14:val="standardContextual"/>
        </w:rPr>
        <w:id w:val="1473480653"/>
        <w:docPartObj>
          <w:docPartGallery w:val="Table of Contents"/>
          <w:docPartUnique/>
        </w:docPartObj>
      </w:sdtPr>
      <w:sdtEndPr>
        <w:rPr>
          <w:rtl/>
        </w:rPr>
      </w:sdtEndPr>
      <w:sdtContent>
        <w:p w14:paraId="3EE6F6C7" w14:textId="419390FF" w:rsidR="00DF70E8" w:rsidRPr="00DF70E8" w:rsidRDefault="00DF70E8" w:rsidP="00DF70E8">
          <w:pPr>
            <w:pStyle w:val="TOCHeading"/>
            <w:jc w:val="lowKashida"/>
            <w:rPr>
              <w:rFonts w:ascii="Simplified Arabic" w:hAnsi="Simplified Arabic" w:cs="Simplified Arabic"/>
              <w:sz w:val="28"/>
              <w:szCs w:val="28"/>
            </w:rPr>
          </w:pPr>
        </w:p>
        <w:p w14:paraId="47083023"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r w:rsidRPr="00DF70E8">
            <w:rPr>
              <w:rFonts w:ascii="Simplified Arabic" w:hAnsi="Simplified Arabic" w:cs="Simplified Arabic"/>
              <w:sz w:val="28"/>
              <w:szCs w:val="28"/>
            </w:rPr>
            <w:fldChar w:fldCharType="begin"/>
          </w:r>
          <w:r w:rsidRPr="00DF70E8">
            <w:rPr>
              <w:rFonts w:ascii="Simplified Arabic" w:hAnsi="Simplified Arabic" w:cs="Simplified Arabic"/>
              <w:sz w:val="28"/>
              <w:szCs w:val="28"/>
            </w:rPr>
            <w:instrText xml:space="preserve"> TOC \o "1-3" \h \z \u </w:instrText>
          </w:r>
          <w:r w:rsidRPr="00DF70E8">
            <w:rPr>
              <w:rFonts w:ascii="Simplified Arabic" w:hAnsi="Simplified Arabic" w:cs="Simplified Arabic"/>
              <w:sz w:val="28"/>
              <w:szCs w:val="28"/>
            </w:rPr>
            <w:fldChar w:fldCharType="separate"/>
          </w:r>
          <w:hyperlink w:anchor="_Toc201508179" w:history="1">
            <w:r w:rsidRPr="00DF70E8">
              <w:rPr>
                <w:rStyle w:val="Hyperlink"/>
                <w:rFonts w:ascii="Simplified Arabic" w:hAnsi="Simplified Arabic" w:cs="Simplified Arabic"/>
                <w:noProof/>
                <w:sz w:val="28"/>
                <w:szCs w:val="28"/>
                <w:rtl/>
                <w:lang w:bidi="ar-EG"/>
              </w:rPr>
              <w:t>الفصل الأول: الاطار العام للدراسة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Toc201508179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4</w:t>
            </w:r>
            <w:r w:rsidRPr="00DF70E8">
              <w:rPr>
                <w:rStyle w:val="Hyperlink"/>
                <w:rFonts w:ascii="Simplified Arabic" w:hAnsi="Simplified Arabic" w:cs="Simplified Arabic"/>
                <w:noProof/>
                <w:sz w:val="28"/>
                <w:szCs w:val="28"/>
                <w:rtl/>
              </w:rPr>
              <w:fldChar w:fldCharType="end"/>
            </w:r>
          </w:hyperlink>
        </w:p>
        <w:p w14:paraId="202B7B5E"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0" w:history="1">
            <w:r w:rsidRPr="00DF70E8">
              <w:rPr>
                <w:rStyle w:val="Hyperlink"/>
                <w:rFonts w:ascii="Simplified Arabic" w:hAnsi="Simplified Arabic" w:cs="Simplified Arabic"/>
                <w:noProof/>
                <w:sz w:val="28"/>
                <w:szCs w:val="28"/>
                <w:rtl/>
              </w:rPr>
              <w:t>المقدمة: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Toc201508180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4</w:t>
            </w:r>
            <w:r w:rsidRPr="00DF70E8">
              <w:rPr>
                <w:rStyle w:val="Hyperlink"/>
                <w:rFonts w:ascii="Simplified Arabic" w:hAnsi="Simplified Arabic" w:cs="Simplified Arabic"/>
                <w:noProof/>
                <w:sz w:val="28"/>
                <w:szCs w:val="28"/>
                <w:rtl/>
              </w:rPr>
              <w:fldChar w:fldCharType="end"/>
            </w:r>
          </w:hyperlink>
        </w:p>
        <w:p w14:paraId="3F289805"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1" w:history="1">
            <w:r w:rsidRPr="00DF70E8">
              <w:rPr>
                <w:rStyle w:val="Hyperlink"/>
                <w:rFonts w:ascii="Simplified Arabic" w:hAnsi="Simplified Arabic" w:cs="Simplified Arabic"/>
                <w:noProof/>
                <w:sz w:val="28"/>
                <w:szCs w:val="28"/>
                <w:rtl/>
              </w:rPr>
              <w:t>-مشكلة الدراسة.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Toc201508181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5</w:t>
            </w:r>
            <w:r w:rsidRPr="00DF70E8">
              <w:rPr>
                <w:rStyle w:val="Hyperlink"/>
                <w:rFonts w:ascii="Simplified Arabic" w:hAnsi="Simplified Arabic" w:cs="Simplified Arabic"/>
                <w:noProof/>
                <w:sz w:val="28"/>
                <w:szCs w:val="28"/>
                <w:rtl/>
              </w:rPr>
              <w:fldChar w:fldCharType="end"/>
            </w:r>
          </w:hyperlink>
        </w:p>
        <w:p w14:paraId="135CCD9D"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2" w:history="1">
            <w:r w:rsidRPr="00DF70E8">
              <w:rPr>
                <w:rStyle w:val="Hyperlink"/>
                <w:rFonts w:ascii="Simplified Arabic" w:hAnsi="Simplified Arabic" w:cs="Simplified Arabic"/>
                <w:noProof/>
                <w:sz w:val="28"/>
                <w:szCs w:val="28"/>
                <w:rtl/>
              </w:rPr>
              <w:t>-أهمية الدراسة.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Toc201508182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5</w:t>
            </w:r>
            <w:r w:rsidRPr="00DF70E8">
              <w:rPr>
                <w:rStyle w:val="Hyperlink"/>
                <w:rFonts w:ascii="Simplified Arabic" w:hAnsi="Simplified Arabic" w:cs="Simplified Arabic"/>
                <w:noProof/>
                <w:sz w:val="28"/>
                <w:szCs w:val="28"/>
                <w:rtl/>
              </w:rPr>
              <w:fldChar w:fldCharType="end"/>
            </w:r>
          </w:hyperlink>
        </w:p>
        <w:p w14:paraId="6A48B2AF" w14:textId="77777777" w:rsidR="00DF70E8" w:rsidRPr="00DF70E8" w:rsidRDefault="00DF70E8" w:rsidP="00DF70E8">
          <w:pPr>
            <w:pStyle w:val="TOC2"/>
            <w:tabs>
              <w:tab w:val="right" w:leader="dot" w:pos="8822"/>
            </w:tabs>
            <w:jc w:val="lowKashida"/>
            <w:rPr>
              <w:rFonts w:ascii="Simplified Arabic" w:hAnsi="Simplified Arabic" w:cs="Simplified Arabic"/>
              <w:noProof/>
              <w:sz w:val="28"/>
              <w:szCs w:val="28"/>
              <w:rtl/>
            </w:rPr>
          </w:pPr>
          <w:hyperlink w:anchor="_Toc201508183" w:history="1">
            <w:r w:rsidRPr="00DF70E8">
              <w:rPr>
                <w:rStyle w:val="Hyperlink"/>
                <w:rFonts w:ascii="Simplified Arabic" w:hAnsi="Simplified Arabic" w:cs="Simplified Arabic"/>
                <w:noProof/>
                <w:sz w:val="28"/>
                <w:szCs w:val="28"/>
                <w:rtl/>
              </w:rPr>
              <w:t>أ. الأهمية العلمية</w:t>
            </w:r>
            <w:r w:rsidRPr="00DF70E8">
              <w:rPr>
                <w:rStyle w:val="Hyperlink"/>
                <w:rFonts w:ascii="Simplified Arabic" w:hAnsi="Simplified Arabic" w:cs="Simplified Arabic"/>
                <w:noProof/>
                <w:sz w:val="28"/>
                <w:szCs w:val="28"/>
              </w:rPr>
              <w:t>:</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Toc201508183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5</w:t>
            </w:r>
            <w:r w:rsidRPr="00DF70E8">
              <w:rPr>
                <w:rStyle w:val="Hyperlink"/>
                <w:rFonts w:ascii="Simplified Arabic" w:hAnsi="Simplified Arabic" w:cs="Simplified Arabic"/>
                <w:noProof/>
                <w:sz w:val="28"/>
                <w:szCs w:val="28"/>
                <w:rtl/>
              </w:rPr>
              <w:fldChar w:fldCharType="end"/>
            </w:r>
          </w:hyperlink>
        </w:p>
        <w:p w14:paraId="01FBDBB0" w14:textId="77777777" w:rsidR="00DF70E8" w:rsidRPr="00DF70E8" w:rsidRDefault="00DF70E8" w:rsidP="00DF70E8">
          <w:pPr>
            <w:pStyle w:val="TOC2"/>
            <w:tabs>
              <w:tab w:val="right" w:leader="dot" w:pos="8822"/>
            </w:tabs>
            <w:jc w:val="lowKashida"/>
            <w:rPr>
              <w:rFonts w:ascii="Simplified Arabic" w:hAnsi="Simplified Arabic" w:cs="Simplified Arabic"/>
              <w:noProof/>
              <w:sz w:val="28"/>
              <w:szCs w:val="28"/>
              <w:rtl/>
            </w:rPr>
          </w:pPr>
          <w:hyperlink w:anchor="_Toc201508184" w:history="1">
            <w:r w:rsidRPr="00DF70E8">
              <w:rPr>
                <w:rStyle w:val="Hyperlink"/>
                <w:rFonts w:ascii="Simplified Arabic" w:hAnsi="Simplified Arabic" w:cs="Simplified Arabic"/>
                <w:noProof/>
                <w:sz w:val="28"/>
                <w:szCs w:val="28"/>
                <w:rtl/>
              </w:rPr>
              <w:t>ب. الأهمية العملية</w:t>
            </w:r>
            <w:r w:rsidRPr="00DF70E8">
              <w:rPr>
                <w:rStyle w:val="Hyperlink"/>
                <w:rFonts w:ascii="Simplified Arabic" w:hAnsi="Simplified Arabic" w:cs="Simplified Arabic"/>
                <w:noProof/>
                <w:sz w:val="28"/>
                <w:szCs w:val="28"/>
              </w:rPr>
              <w:t>:</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Toc201508184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6</w:t>
            </w:r>
            <w:r w:rsidRPr="00DF70E8">
              <w:rPr>
                <w:rStyle w:val="Hyperlink"/>
                <w:rFonts w:ascii="Simplified Arabic" w:hAnsi="Simplified Arabic" w:cs="Simplified Arabic"/>
                <w:noProof/>
                <w:sz w:val="28"/>
                <w:szCs w:val="28"/>
                <w:rtl/>
              </w:rPr>
              <w:fldChar w:fldCharType="end"/>
            </w:r>
          </w:hyperlink>
        </w:p>
        <w:p w14:paraId="3627A8EF"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5" w:history="1">
            <w:r w:rsidRPr="00DF70E8">
              <w:rPr>
                <w:rStyle w:val="Hyperlink"/>
                <w:rFonts w:ascii="Simplified Arabic" w:hAnsi="Simplified Arabic" w:cs="Simplified Arabic"/>
                <w:noProof/>
                <w:sz w:val="28"/>
                <w:szCs w:val="28"/>
                <w:rtl/>
              </w:rPr>
              <w:t>-أهداف الدراسة.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Toc201508185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6</w:t>
            </w:r>
            <w:r w:rsidRPr="00DF70E8">
              <w:rPr>
                <w:rStyle w:val="Hyperlink"/>
                <w:rFonts w:ascii="Simplified Arabic" w:hAnsi="Simplified Arabic" w:cs="Simplified Arabic"/>
                <w:noProof/>
                <w:sz w:val="28"/>
                <w:szCs w:val="28"/>
                <w:rtl/>
              </w:rPr>
              <w:fldChar w:fldCharType="end"/>
            </w:r>
          </w:hyperlink>
        </w:p>
        <w:p w14:paraId="2A88A2EF"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6" w:history="1">
            <w:r w:rsidRPr="00DF70E8">
              <w:rPr>
                <w:rStyle w:val="Hyperlink"/>
                <w:rFonts w:ascii="Simplified Arabic" w:hAnsi="Simplified Arabic" w:cs="Simplified Arabic"/>
                <w:noProof/>
                <w:sz w:val="28"/>
                <w:szCs w:val="28"/>
                <w:rtl/>
              </w:rPr>
              <w:t>-تساؤلات الدراسة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Toc201508186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6</w:t>
            </w:r>
            <w:r w:rsidRPr="00DF70E8">
              <w:rPr>
                <w:rStyle w:val="Hyperlink"/>
                <w:rFonts w:ascii="Simplified Arabic" w:hAnsi="Simplified Arabic" w:cs="Simplified Arabic"/>
                <w:noProof/>
                <w:sz w:val="28"/>
                <w:szCs w:val="28"/>
                <w:rtl/>
              </w:rPr>
              <w:fldChar w:fldCharType="end"/>
            </w:r>
          </w:hyperlink>
        </w:p>
        <w:p w14:paraId="56DF6797"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7" w:history="1">
            <w:r w:rsidRPr="00DF70E8">
              <w:rPr>
                <w:rStyle w:val="Hyperlink"/>
                <w:rFonts w:ascii="Simplified Arabic" w:hAnsi="Simplified Arabic" w:cs="Simplified Arabic"/>
                <w:noProof/>
                <w:sz w:val="28"/>
                <w:szCs w:val="28"/>
                <w:rtl/>
              </w:rPr>
              <w:t>- فروض الدراسة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Toc201508187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6</w:t>
            </w:r>
            <w:r w:rsidRPr="00DF70E8">
              <w:rPr>
                <w:rStyle w:val="Hyperlink"/>
                <w:rFonts w:ascii="Simplified Arabic" w:hAnsi="Simplified Arabic" w:cs="Simplified Arabic"/>
                <w:noProof/>
                <w:sz w:val="28"/>
                <w:szCs w:val="28"/>
                <w:rtl/>
              </w:rPr>
              <w:fldChar w:fldCharType="end"/>
            </w:r>
          </w:hyperlink>
        </w:p>
        <w:p w14:paraId="5395F19B"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8" w:history="1">
            <w:r w:rsidRPr="00DF70E8">
              <w:rPr>
                <w:rStyle w:val="Hyperlink"/>
                <w:rFonts w:ascii="Simplified Arabic" w:hAnsi="Simplified Arabic" w:cs="Simplified Arabic"/>
                <w:noProof/>
                <w:sz w:val="28"/>
                <w:szCs w:val="28"/>
                <w:rtl/>
              </w:rPr>
              <w:t>-النظرية العلمية المتبعة  لإعداد البحث</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Toc201508188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7</w:t>
            </w:r>
            <w:r w:rsidRPr="00DF70E8">
              <w:rPr>
                <w:rStyle w:val="Hyperlink"/>
                <w:rFonts w:ascii="Simplified Arabic" w:hAnsi="Simplified Arabic" w:cs="Simplified Arabic"/>
                <w:noProof/>
                <w:sz w:val="28"/>
                <w:szCs w:val="28"/>
                <w:rtl/>
              </w:rPr>
              <w:fldChar w:fldCharType="end"/>
            </w:r>
          </w:hyperlink>
        </w:p>
        <w:p w14:paraId="3A62BAC6" w14:textId="77777777" w:rsidR="00DF70E8" w:rsidRPr="00DF70E8" w:rsidRDefault="00DF70E8" w:rsidP="00DF70E8">
          <w:pPr>
            <w:pStyle w:val="TOC1"/>
            <w:tabs>
              <w:tab w:val="right" w:leader="dot" w:pos="8822"/>
            </w:tabs>
            <w:jc w:val="lowKashida"/>
            <w:rPr>
              <w:rFonts w:ascii="Simplified Arabic" w:hAnsi="Simplified Arabic" w:cs="Simplified Arabic"/>
              <w:noProof/>
              <w:sz w:val="28"/>
              <w:szCs w:val="28"/>
              <w:rtl/>
            </w:rPr>
          </w:pPr>
          <w:hyperlink w:anchor="_Toc201508189" w:history="1">
            <w:r w:rsidRPr="00DF70E8">
              <w:rPr>
                <w:rStyle w:val="Hyperlink"/>
                <w:rFonts w:ascii="Simplified Arabic" w:hAnsi="Simplified Arabic" w:cs="Simplified Arabic"/>
                <w:noProof/>
                <w:sz w:val="28"/>
                <w:szCs w:val="28"/>
                <w:rtl/>
              </w:rPr>
              <w:t>المراجع</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Toc201508189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24</w:t>
            </w:r>
            <w:r w:rsidRPr="00DF70E8">
              <w:rPr>
                <w:rStyle w:val="Hyperlink"/>
                <w:rFonts w:ascii="Simplified Arabic" w:hAnsi="Simplified Arabic" w:cs="Simplified Arabic"/>
                <w:noProof/>
                <w:sz w:val="28"/>
                <w:szCs w:val="28"/>
                <w:rtl/>
              </w:rPr>
              <w:fldChar w:fldCharType="end"/>
            </w:r>
          </w:hyperlink>
        </w:p>
        <w:p w14:paraId="78A4143E" w14:textId="77777777" w:rsidR="00DF70E8" w:rsidRPr="00DF70E8" w:rsidRDefault="00DF70E8" w:rsidP="00DF70E8">
          <w:pPr>
            <w:pStyle w:val="TOC2"/>
            <w:tabs>
              <w:tab w:val="right" w:leader="dot" w:pos="8822"/>
            </w:tabs>
            <w:jc w:val="lowKashida"/>
            <w:rPr>
              <w:rFonts w:ascii="Simplified Arabic" w:hAnsi="Simplified Arabic" w:cs="Simplified Arabic"/>
              <w:noProof/>
              <w:sz w:val="28"/>
              <w:szCs w:val="28"/>
              <w:rtl/>
            </w:rPr>
          </w:pPr>
          <w:hyperlink w:anchor="_Toc201508190" w:history="1">
            <w:r w:rsidRPr="00DF70E8">
              <w:rPr>
                <w:rStyle w:val="Hyperlink"/>
                <w:rFonts w:ascii="Simplified Arabic" w:hAnsi="Simplified Arabic" w:cs="Simplified Arabic"/>
                <w:noProof/>
                <w:sz w:val="28"/>
                <w:szCs w:val="28"/>
                <w:rtl/>
              </w:rPr>
              <w:t>-المراجع العربية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Toc201508190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24</w:t>
            </w:r>
            <w:r w:rsidRPr="00DF70E8">
              <w:rPr>
                <w:rStyle w:val="Hyperlink"/>
                <w:rFonts w:ascii="Simplified Arabic" w:hAnsi="Simplified Arabic" w:cs="Simplified Arabic"/>
                <w:noProof/>
                <w:sz w:val="28"/>
                <w:szCs w:val="28"/>
                <w:rtl/>
              </w:rPr>
              <w:fldChar w:fldCharType="end"/>
            </w:r>
          </w:hyperlink>
        </w:p>
        <w:p w14:paraId="49A99851" w14:textId="77777777" w:rsidR="00DF70E8" w:rsidRPr="00DF70E8" w:rsidRDefault="00DF70E8" w:rsidP="00DF70E8">
          <w:pPr>
            <w:pStyle w:val="TOC2"/>
            <w:tabs>
              <w:tab w:val="right" w:leader="dot" w:pos="8822"/>
            </w:tabs>
            <w:jc w:val="lowKashida"/>
            <w:rPr>
              <w:rFonts w:ascii="Simplified Arabic" w:hAnsi="Simplified Arabic" w:cs="Simplified Arabic"/>
              <w:noProof/>
              <w:sz w:val="28"/>
              <w:szCs w:val="28"/>
              <w:rtl/>
            </w:rPr>
          </w:pPr>
          <w:hyperlink w:anchor="_Toc201508191" w:history="1">
            <w:r w:rsidRPr="00DF70E8">
              <w:rPr>
                <w:rStyle w:val="Hyperlink"/>
                <w:rFonts w:ascii="Simplified Arabic" w:hAnsi="Simplified Arabic" w:cs="Simplified Arabic"/>
                <w:noProof/>
                <w:sz w:val="28"/>
                <w:szCs w:val="28"/>
                <w:rtl/>
              </w:rPr>
              <w:t>-المراجع الأجنبية</w:t>
            </w:r>
            <w:r w:rsidRPr="00DF70E8">
              <w:rPr>
                <w:rFonts w:ascii="Simplified Arabic" w:hAnsi="Simplified Arabic" w:cs="Simplified Arabic"/>
                <w:noProof/>
                <w:webHidden/>
                <w:sz w:val="28"/>
                <w:szCs w:val="28"/>
                <w:rtl/>
              </w:rPr>
              <w:tab/>
            </w:r>
            <w:r w:rsidRPr="00DF70E8">
              <w:rPr>
                <w:rStyle w:val="Hyperlink"/>
                <w:rFonts w:ascii="Simplified Arabic" w:hAnsi="Simplified Arabic" w:cs="Simplified Arabic"/>
                <w:noProof/>
                <w:sz w:val="28"/>
                <w:szCs w:val="28"/>
                <w:rtl/>
              </w:rPr>
              <w:fldChar w:fldCharType="begin"/>
            </w:r>
            <w:r w:rsidRPr="00DF70E8">
              <w:rPr>
                <w:rFonts w:ascii="Simplified Arabic" w:hAnsi="Simplified Arabic" w:cs="Simplified Arabic"/>
                <w:noProof/>
                <w:webHidden/>
                <w:sz w:val="28"/>
                <w:szCs w:val="28"/>
                <w:rtl/>
              </w:rPr>
              <w:instrText xml:space="preserve"> </w:instrText>
            </w:r>
            <w:r w:rsidRPr="00DF70E8">
              <w:rPr>
                <w:rFonts w:ascii="Simplified Arabic" w:hAnsi="Simplified Arabic" w:cs="Simplified Arabic"/>
                <w:noProof/>
                <w:webHidden/>
                <w:sz w:val="28"/>
                <w:szCs w:val="28"/>
              </w:rPr>
              <w:instrText>PAGEREF</w:instrText>
            </w:r>
            <w:r w:rsidRPr="00DF70E8">
              <w:rPr>
                <w:rFonts w:ascii="Simplified Arabic" w:hAnsi="Simplified Arabic" w:cs="Simplified Arabic"/>
                <w:noProof/>
                <w:webHidden/>
                <w:sz w:val="28"/>
                <w:szCs w:val="28"/>
                <w:rtl/>
              </w:rPr>
              <w:instrText xml:space="preserve"> _</w:instrText>
            </w:r>
            <w:r w:rsidRPr="00DF70E8">
              <w:rPr>
                <w:rFonts w:ascii="Simplified Arabic" w:hAnsi="Simplified Arabic" w:cs="Simplified Arabic"/>
                <w:noProof/>
                <w:webHidden/>
                <w:sz w:val="28"/>
                <w:szCs w:val="28"/>
              </w:rPr>
              <w:instrText>Toc201508191 \h</w:instrText>
            </w:r>
            <w:r w:rsidRPr="00DF70E8">
              <w:rPr>
                <w:rFonts w:ascii="Simplified Arabic" w:hAnsi="Simplified Arabic" w:cs="Simplified Arabic"/>
                <w:noProof/>
                <w:webHidden/>
                <w:sz w:val="28"/>
                <w:szCs w:val="28"/>
                <w:rtl/>
              </w:rPr>
              <w:instrText xml:space="preserve"> </w:instrText>
            </w:r>
            <w:r w:rsidRPr="00DF70E8">
              <w:rPr>
                <w:rStyle w:val="Hyperlink"/>
                <w:rFonts w:ascii="Simplified Arabic" w:hAnsi="Simplified Arabic" w:cs="Simplified Arabic"/>
                <w:noProof/>
                <w:sz w:val="28"/>
                <w:szCs w:val="28"/>
                <w:rtl/>
              </w:rPr>
            </w:r>
            <w:r w:rsidRPr="00DF70E8">
              <w:rPr>
                <w:rStyle w:val="Hyperlink"/>
                <w:rFonts w:ascii="Simplified Arabic" w:hAnsi="Simplified Arabic" w:cs="Simplified Arabic"/>
                <w:noProof/>
                <w:sz w:val="28"/>
                <w:szCs w:val="28"/>
                <w:rtl/>
              </w:rPr>
              <w:fldChar w:fldCharType="separate"/>
            </w:r>
            <w:r w:rsidR="00A17FBC">
              <w:rPr>
                <w:rFonts w:ascii="Simplified Arabic" w:hAnsi="Simplified Arabic" w:cs="Simplified Arabic"/>
                <w:noProof/>
                <w:webHidden/>
                <w:sz w:val="28"/>
                <w:szCs w:val="28"/>
                <w:rtl/>
              </w:rPr>
              <w:t>24</w:t>
            </w:r>
            <w:r w:rsidRPr="00DF70E8">
              <w:rPr>
                <w:rStyle w:val="Hyperlink"/>
                <w:rFonts w:ascii="Simplified Arabic" w:hAnsi="Simplified Arabic" w:cs="Simplified Arabic"/>
                <w:noProof/>
                <w:sz w:val="28"/>
                <w:szCs w:val="28"/>
                <w:rtl/>
              </w:rPr>
              <w:fldChar w:fldCharType="end"/>
            </w:r>
          </w:hyperlink>
        </w:p>
        <w:p w14:paraId="3D960F87" w14:textId="0A4536C4"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b/>
              <w:bCs/>
              <w:noProof/>
              <w:sz w:val="28"/>
              <w:szCs w:val="28"/>
            </w:rPr>
            <w:fldChar w:fldCharType="end"/>
          </w:r>
        </w:p>
      </w:sdtContent>
    </w:sdt>
    <w:p w14:paraId="37503B94" w14:textId="77777777" w:rsidR="009125CE" w:rsidRPr="00DF70E8" w:rsidRDefault="009125CE" w:rsidP="00DF70E8">
      <w:pPr>
        <w:jc w:val="lowKashida"/>
        <w:rPr>
          <w:rFonts w:ascii="Simplified Arabic" w:hAnsi="Simplified Arabic" w:cs="Simplified Arabic"/>
          <w:sz w:val="28"/>
          <w:szCs w:val="28"/>
          <w:u w:val="single"/>
          <w:rtl/>
          <w:lang w:bidi="ar-EG"/>
        </w:rPr>
      </w:pPr>
    </w:p>
    <w:p w14:paraId="566F8142" w14:textId="77777777" w:rsidR="009125CE" w:rsidRPr="00DF70E8" w:rsidRDefault="009125CE" w:rsidP="00DF70E8">
      <w:pPr>
        <w:jc w:val="lowKashida"/>
        <w:rPr>
          <w:rFonts w:ascii="Simplified Arabic" w:hAnsi="Simplified Arabic" w:cs="Simplified Arabic"/>
          <w:sz w:val="28"/>
          <w:szCs w:val="28"/>
          <w:u w:val="single"/>
          <w:rtl/>
          <w:lang w:bidi="ar-EG"/>
        </w:rPr>
      </w:pPr>
    </w:p>
    <w:p w14:paraId="43234021" w14:textId="77777777" w:rsidR="009125CE" w:rsidRPr="00DF70E8" w:rsidRDefault="009125CE" w:rsidP="00DF70E8">
      <w:pPr>
        <w:jc w:val="lowKashida"/>
        <w:rPr>
          <w:rFonts w:ascii="Simplified Arabic" w:hAnsi="Simplified Arabic" w:cs="Simplified Arabic"/>
          <w:sz w:val="28"/>
          <w:szCs w:val="28"/>
          <w:u w:val="single"/>
          <w:rtl/>
          <w:lang w:bidi="ar-EG"/>
        </w:rPr>
      </w:pPr>
    </w:p>
    <w:p w14:paraId="12988B58" w14:textId="77777777" w:rsidR="009125CE" w:rsidRPr="00DF70E8" w:rsidRDefault="009125CE" w:rsidP="00DF70E8">
      <w:pPr>
        <w:jc w:val="lowKashida"/>
        <w:rPr>
          <w:rFonts w:ascii="Simplified Arabic" w:hAnsi="Simplified Arabic" w:cs="Simplified Arabic"/>
          <w:sz w:val="28"/>
          <w:szCs w:val="28"/>
          <w:u w:val="single"/>
          <w:rtl/>
          <w:lang w:bidi="ar-EG"/>
        </w:rPr>
      </w:pPr>
    </w:p>
    <w:p w14:paraId="3AE026F6" w14:textId="77777777" w:rsidR="009125CE" w:rsidRPr="00DF70E8" w:rsidRDefault="009125CE" w:rsidP="00DF70E8">
      <w:pPr>
        <w:jc w:val="lowKashida"/>
        <w:rPr>
          <w:rFonts w:ascii="Simplified Arabic" w:hAnsi="Simplified Arabic" w:cs="Simplified Arabic"/>
          <w:sz w:val="28"/>
          <w:szCs w:val="28"/>
          <w:u w:val="single"/>
          <w:rtl/>
          <w:lang w:bidi="ar-EG"/>
        </w:rPr>
      </w:pPr>
    </w:p>
    <w:p w14:paraId="6F038C3F" w14:textId="77777777" w:rsidR="009125CE" w:rsidRPr="00DF70E8" w:rsidRDefault="009125CE" w:rsidP="00DF70E8">
      <w:pPr>
        <w:jc w:val="lowKashida"/>
        <w:rPr>
          <w:rFonts w:ascii="Simplified Arabic" w:hAnsi="Simplified Arabic" w:cs="Simplified Arabic"/>
          <w:sz w:val="28"/>
          <w:szCs w:val="28"/>
          <w:u w:val="single"/>
          <w:rtl/>
          <w:lang w:bidi="ar-EG"/>
        </w:rPr>
      </w:pPr>
    </w:p>
    <w:p w14:paraId="0272E512" w14:textId="77777777" w:rsidR="009125CE" w:rsidRPr="00DF70E8" w:rsidRDefault="009125CE" w:rsidP="00DF70E8">
      <w:pPr>
        <w:jc w:val="lowKashida"/>
        <w:rPr>
          <w:rFonts w:ascii="Simplified Arabic" w:hAnsi="Simplified Arabic" w:cs="Simplified Arabic"/>
          <w:sz w:val="28"/>
          <w:szCs w:val="28"/>
          <w:u w:val="single"/>
          <w:rtl/>
          <w:lang w:bidi="ar-EG"/>
        </w:rPr>
      </w:pPr>
    </w:p>
    <w:p w14:paraId="4F614853" w14:textId="77777777" w:rsidR="009125CE" w:rsidRPr="00DF70E8" w:rsidRDefault="009125CE" w:rsidP="00DF70E8">
      <w:pPr>
        <w:jc w:val="lowKashida"/>
        <w:rPr>
          <w:rFonts w:ascii="Simplified Arabic" w:hAnsi="Simplified Arabic" w:cs="Simplified Arabic"/>
          <w:sz w:val="28"/>
          <w:szCs w:val="28"/>
          <w:u w:val="single"/>
          <w:rtl/>
          <w:lang w:bidi="ar-EG"/>
        </w:rPr>
      </w:pPr>
    </w:p>
    <w:p w14:paraId="14FAE9D5" w14:textId="77777777" w:rsidR="009125CE" w:rsidRPr="00DF70E8" w:rsidRDefault="009125CE" w:rsidP="00DF70E8">
      <w:pPr>
        <w:jc w:val="lowKashida"/>
        <w:rPr>
          <w:rFonts w:ascii="Simplified Arabic" w:hAnsi="Simplified Arabic" w:cs="Simplified Arabic"/>
          <w:sz w:val="28"/>
          <w:szCs w:val="28"/>
          <w:u w:val="single"/>
          <w:rtl/>
          <w:lang w:bidi="ar-EG"/>
        </w:rPr>
      </w:pPr>
    </w:p>
    <w:p w14:paraId="1C492465" w14:textId="77777777" w:rsidR="009125CE" w:rsidRPr="00DF70E8" w:rsidRDefault="009125CE" w:rsidP="00DF70E8">
      <w:pPr>
        <w:jc w:val="lowKashida"/>
        <w:rPr>
          <w:rFonts w:ascii="Simplified Arabic" w:hAnsi="Simplified Arabic" w:cs="Simplified Arabic"/>
          <w:sz w:val="28"/>
          <w:szCs w:val="28"/>
          <w:u w:val="single"/>
        </w:rPr>
      </w:pPr>
    </w:p>
    <w:p w14:paraId="6DC9CDB1" w14:textId="77777777" w:rsidR="009125CE" w:rsidRPr="00DF70E8" w:rsidRDefault="009125CE" w:rsidP="00DF70E8">
      <w:pPr>
        <w:jc w:val="lowKashida"/>
        <w:rPr>
          <w:rFonts w:ascii="Simplified Arabic" w:hAnsi="Simplified Arabic" w:cs="Simplified Arabic"/>
          <w:sz w:val="28"/>
          <w:szCs w:val="28"/>
          <w:u w:val="single"/>
          <w:rtl/>
        </w:rPr>
      </w:pPr>
    </w:p>
    <w:p w14:paraId="79B4C366" w14:textId="77777777" w:rsidR="009125CE" w:rsidRPr="00DF70E8" w:rsidRDefault="009125CE" w:rsidP="00DF70E8">
      <w:pPr>
        <w:jc w:val="lowKashida"/>
        <w:rPr>
          <w:rFonts w:ascii="Simplified Arabic" w:hAnsi="Simplified Arabic" w:cs="Simplified Arabic"/>
          <w:sz w:val="28"/>
          <w:szCs w:val="28"/>
          <w:u w:val="single"/>
          <w:rtl/>
        </w:rPr>
      </w:pPr>
    </w:p>
    <w:p w14:paraId="272E54B1" w14:textId="77777777" w:rsidR="009125CE" w:rsidRPr="00DF70E8" w:rsidRDefault="009125CE" w:rsidP="00DF70E8">
      <w:pPr>
        <w:jc w:val="lowKashida"/>
        <w:rPr>
          <w:rFonts w:ascii="Simplified Arabic" w:hAnsi="Simplified Arabic" w:cs="Simplified Arabic"/>
          <w:sz w:val="28"/>
          <w:szCs w:val="28"/>
          <w:u w:val="single"/>
          <w:rtl/>
        </w:rPr>
      </w:pPr>
    </w:p>
    <w:p w14:paraId="700D5866" w14:textId="4BB3DE7B" w:rsidR="009125CE" w:rsidRPr="00DF70E8" w:rsidRDefault="009125CE" w:rsidP="00DF70E8">
      <w:pPr>
        <w:jc w:val="center"/>
        <w:rPr>
          <w:rFonts w:ascii="Simplified Arabic" w:hAnsi="Simplified Arabic" w:cs="Simplified Arabic"/>
          <w:b/>
          <w:bCs/>
          <w:sz w:val="40"/>
          <w:szCs w:val="40"/>
          <w:rtl/>
        </w:rPr>
      </w:pPr>
      <w:r w:rsidRPr="00DF70E8">
        <w:rPr>
          <w:rFonts w:ascii="Simplified Arabic" w:hAnsi="Simplified Arabic" w:cs="Simplified Arabic"/>
          <w:b/>
          <w:bCs/>
          <w:sz w:val="40"/>
          <w:szCs w:val="40"/>
          <w:rtl/>
        </w:rPr>
        <w:t>الفصل الأول</w:t>
      </w:r>
      <w:r w:rsidR="00DF70E8" w:rsidRPr="00DF70E8">
        <w:rPr>
          <w:rFonts w:ascii="Simplified Arabic" w:hAnsi="Simplified Arabic" w:cs="Simplified Arabic"/>
          <w:b/>
          <w:bCs/>
          <w:sz w:val="40"/>
          <w:szCs w:val="40"/>
          <w:rtl/>
        </w:rPr>
        <w:t>: الاطار العام للدراسة</w:t>
      </w:r>
    </w:p>
    <w:p w14:paraId="231E38BB" w14:textId="77777777" w:rsidR="009125CE" w:rsidRPr="00DF70E8" w:rsidRDefault="009125CE" w:rsidP="00DF70E8">
      <w:pPr>
        <w:jc w:val="lowKashida"/>
        <w:rPr>
          <w:rFonts w:ascii="Simplified Arabic" w:hAnsi="Simplified Arabic" w:cs="Simplified Arabic"/>
          <w:sz w:val="28"/>
          <w:szCs w:val="28"/>
          <w:u w:val="single"/>
          <w:rtl/>
        </w:rPr>
      </w:pPr>
    </w:p>
    <w:p w14:paraId="2EA6585C" w14:textId="77777777" w:rsidR="009125CE" w:rsidRPr="00DF70E8" w:rsidRDefault="009125CE" w:rsidP="00DF70E8">
      <w:pPr>
        <w:jc w:val="lowKashida"/>
        <w:rPr>
          <w:rFonts w:ascii="Simplified Arabic" w:hAnsi="Simplified Arabic" w:cs="Simplified Arabic"/>
          <w:sz w:val="28"/>
          <w:szCs w:val="28"/>
          <w:u w:val="single"/>
          <w:rtl/>
        </w:rPr>
      </w:pPr>
    </w:p>
    <w:p w14:paraId="7F3B8E80" w14:textId="77777777" w:rsidR="009125CE" w:rsidRPr="00DF70E8" w:rsidRDefault="009125CE" w:rsidP="00DF70E8">
      <w:pPr>
        <w:jc w:val="lowKashida"/>
        <w:rPr>
          <w:rFonts w:ascii="Simplified Arabic" w:hAnsi="Simplified Arabic" w:cs="Simplified Arabic"/>
          <w:sz w:val="28"/>
          <w:szCs w:val="28"/>
          <w:u w:val="single"/>
          <w:rtl/>
        </w:rPr>
      </w:pPr>
    </w:p>
    <w:p w14:paraId="0BA12696" w14:textId="77777777" w:rsidR="009125CE" w:rsidRPr="00DF70E8" w:rsidRDefault="009125CE" w:rsidP="00DF70E8">
      <w:pPr>
        <w:jc w:val="lowKashida"/>
        <w:rPr>
          <w:rFonts w:ascii="Simplified Arabic" w:hAnsi="Simplified Arabic" w:cs="Simplified Arabic"/>
          <w:sz w:val="28"/>
          <w:szCs w:val="28"/>
          <w:u w:val="single"/>
          <w:rtl/>
        </w:rPr>
      </w:pPr>
    </w:p>
    <w:p w14:paraId="26F6AB57" w14:textId="77777777" w:rsidR="009125CE" w:rsidRPr="00DF70E8" w:rsidRDefault="009125CE" w:rsidP="00DF70E8">
      <w:pPr>
        <w:jc w:val="lowKashida"/>
        <w:rPr>
          <w:rFonts w:ascii="Simplified Arabic" w:hAnsi="Simplified Arabic" w:cs="Simplified Arabic"/>
          <w:sz w:val="28"/>
          <w:szCs w:val="28"/>
          <w:u w:val="single"/>
          <w:rtl/>
        </w:rPr>
      </w:pPr>
    </w:p>
    <w:p w14:paraId="137908B8" w14:textId="77777777" w:rsidR="009125CE" w:rsidRPr="00DF70E8" w:rsidRDefault="009125CE" w:rsidP="00DF70E8">
      <w:pPr>
        <w:jc w:val="lowKashida"/>
        <w:rPr>
          <w:rFonts w:ascii="Simplified Arabic" w:hAnsi="Simplified Arabic" w:cs="Simplified Arabic"/>
          <w:sz w:val="28"/>
          <w:szCs w:val="28"/>
          <w:u w:val="single"/>
          <w:rtl/>
        </w:rPr>
      </w:pPr>
    </w:p>
    <w:p w14:paraId="11EDDBDE" w14:textId="77777777" w:rsidR="009125CE" w:rsidRPr="00DF70E8" w:rsidRDefault="009125CE" w:rsidP="00DF70E8">
      <w:pPr>
        <w:jc w:val="lowKashida"/>
        <w:rPr>
          <w:rFonts w:ascii="Simplified Arabic" w:hAnsi="Simplified Arabic" w:cs="Simplified Arabic"/>
          <w:sz w:val="28"/>
          <w:szCs w:val="28"/>
          <w:u w:val="single"/>
          <w:rtl/>
        </w:rPr>
      </w:pPr>
    </w:p>
    <w:p w14:paraId="614C8510" w14:textId="77777777" w:rsidR="009125CE" w:rsidRPr="00DF70E8" w:rsidRDefault="009125CE" w:rsidP="00DF70E8">
      <w:pPr>
        <w:jc w:val="lowKashida"/>
        <w:rPr>
          <w:rFonts w:ascii="Simplified Arabic" w:hAnsi="Simplified Arabic" w:cs="Simplified Arabic"/>
          <w:sz w:val="28"/>
          <w:szCs w:val="28"/>
          <w:u w:val="single"/>
          <w:rtl/>
        </w:rPr>
      </w:pPr>
    </w:p>
    <w:p w14:paraId="530F942A" w14:textId="77777777" w:rsidR="009125CE" w:rsidRPr="00DF70E8" w:rsidRDefault="009125CE" w:rsidP="00DF70E8">
      <w:pPr>
        <w:jc w:val="lowKashida"/>
        <w:rPr>
          <w:rFonts w:ascii="Simplified Arabic" w:hAnsi="Simplified Arabic" w:cs="Simplified Arabic"/>
          <w:sz w:val="28"/>
          <w:szCs w:val="28"/>
          <w:u w:val="single"/>
          <w:rtl/>
        </w:rPr>
      </w:pPr>
    </w:p>
    <w:p w14:paraId="6D55667E" w14:textId="77777777" w:rsidR="009125CE" w:rsidRPr="00DF70E8" w:rsidRDefault="009125CE" w:rsidP="00DF70E8">
      <w:pPr>
        <w:jc w:val="lowKashida"/>
        <w:rPr>
          <w:rFonts w:ascii="Simplified Arabic" w:hAnsi="Simplified Arabic" w:cs="Simplified Arabic"/>
          <w:sz w:val="28"/>
          <w:szCs w:val="28"/>
          <w:u w:val="single"/>
          <w:rtl/>
        </w:rPr>
      </w:pPr>
    </w:p>
    <w:p w14:paraId="2B944917" w14:textId="77777777" w:rsidR="009125CE" w:rsidRPr="00DF70E8" w:rsidRDefault="009125CE" w:rsidP="00DF70E8">
      <w:pPr>
        <w:jc w:val="lowKashida"/>
        <w:rPr>
          <w:rFonts w:ascii="Simplified Arabic" w:hAnsi="Simplified Arabic" w:cs="Simplified Arabic"/>
          <w:sz w:val="28"/>
          <w:szCs w:val="28"/>
          <w:u w:val="single"/>
          <w:rtl/>
        </w:rPr>
      </w:pPr>
    </w:p>
    <w:p w14:paraId="03806C64" w14:textId="77777777" w:rsidR="009125CE" w:rsidRPr="00DF70E8" w:rsidRDefault="009125CE" w:rsidP="00DF70E8">
      <w:pPr>
        <w:jc w:val="lowKashida"/>
        <w:rPr>
          <w:rFonts w:ascii="Simplified Arabic" w:hAnsi="Simplified Arabic" w:cs="Simplified Arabic"/>
          <w:sz w:val="28"/>
          <w:szCs w:val="28"/>
          <w:u w:val="single"/>
          <w:rtl/>
        </w:rPr>
      </w:pPr>
    </w:p>
    <w:p w14:paraId="32CDDAA2" w14:textId="77777777" w:rsidR="009125CE" w:rsidRPr="00DF70E8" w:rsidRDefault="009125CE" w:rsidP="00DF70E8">
      <w:pPr>
        <w:jc w:val="lowKashida"/>
        <w:rPr>
          <w:rFonts w:ascii="Simplified Arabic" w:hAnsi="Simplified Arabic" w:cs="Simplified Arabic"/>
          <w:sz w:val="28"/>
          <w:szCs w:val="28"/>
          <w:u w:val="single"/>
          <w:rtl/>
        </w:rPr>
      </w:pPr>
    </w:p>
    <w:p w14:paraId="782D9243" w14:textId="51A79556" w:rsidR="00DF70E8" w:rsidRPr="00DF70E8" w:rsidRDefault="00DF70E8" w:rsidP="00DF70E8">
      <w:pPr>
        <w:pStyle w:val="Heading1"/>
        <w:jc w:val="center"/>
        <w:rPr>
          <w:rFonts w:ascii="Simplified Arabic" w:hAnsi="Simplified Arabic" w:cs="Simplified Arabic"/>
          <w:sz w:val="28"/>
          <w:szCs w:val="28"/>
          <w:rtl/>
          <w:lang w:bidi="ar-EG"/>
        </w:rPr>
      </w:pPr>
      <w:bookmarkStart w:id="0" w:name="_Toc201508179"/>
      <w:r w:rsidRPr="00DF70E8">
        <w:rPr>
          <w:rFonts w:ascii="Simplified Arabic" w:hAnsi="Simplified Arabic" w:cs="Simplified Arabic"/>
          <w:sz w:val="28"/>
          <w:szCs w:val="28"/>
          <w:rtl/>
          <w:lang w:bidi="ar-EG"/>
        </w:rPr>
        <w:t>الفصل الأول: الاطار العام للدراسة</w:t>
      </w:r>
      <w:bookmarkEnd w:id="0"/>
    </w:p>
    <w:p w14:paraId="1817352F" w14:textId="29EE36ED" w:rsidR="009125CE" w:rsidRPr="00DF70E8" w:rsidRDefault="009125CE" w:rsidP="00DF70E8">
      <w:pPr>
        <w:pStyle w:val="Heading1"/>
        <w:jc w:val="lowKashida"/>
        <w:rPr>
          <w:rFonts w:ascii="Simplified Arabic" w:hAnsi="Simplified Arabic" w:cs="Simplified Arabic"/>
          <w:sz w:val="28"/>
          <w:szCs w:val="28"/>
          <w:rtl/>
        </w:rPr>
      </w:pPr>
      <w:bookmarkStart w:id="1" w:name="_Toc201508180"/>
      <w:r w:rsidRPr="00DF70E8">
        <w:rPr>
          <w:rFonts w:ascii="Simplified Arabic" w:hAnsi="Simplified Arabic" w:cs="Simplified Arabic"/>
          <w:sz w:val="28"/>
          <w:szCs w:val="28"/>
          <w:rtl/>
        </w:rPr>
        <w:t>المقدمة:</w:t>
      </w:r>
      <w:bookmarkEnd w:id="1"/>
    </w:p>
    <w:p w14:paraId="70B20616"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تتميز المشاريع الحديثة بطبيعة ديناميكية تتسم بالتعقيد والتغير المستمر، مما يجعل من الصعب تطبيق المنهجيات التقليدية لإدارة المشاريع (مثل المنهج الكلاسيكي "الخطوة بخطوة") بشكل فعال (الشهري، محمد، 2018، ص 35). ويُعزى ذلك إلى التغيرات السريعة التي تطرأ على المتطلبات والاحتياجات، والتي تفرض على الفرق المعنية الاستجابة بسرعة وفعالية دون التفريط في الجودة أو السيطرة الإدارية</w:t>
      </w:r>
      <w:r w:rsidRPr="00DF70E8">
        <w:rPr>
          <w:rFonts w:ascii="Simplified Arabic" w:hAnsi="Simplified Arabic" w:cs="Simplified Arabic"/>
          <w:sz w:val="28"/>
          <w:szCs w:val="28"/>
        </w:rPr>
        <w:t xml:space="preserve"> (Smith, John, 2016</w:t>
      </w:r>
      <w:r w:rsidRPr="00DF70E8">
        <w:rPr>
          <w:rFonts w:ascii="Simplified Arabic" w:hAnsi="Simplified Arabic" w:cs="Simplified Arabic"/>
          <w:sz w:val="28"/>
          <w:szCs w:val="28"/>
          <w:rtl/>
        </w:rPr>
        <w:t>، ص 112). وفي هذا السياق، برزت الحاجة إلى نهج جديد في إدارة المشاريع يمكنه الجمع بين الانضباط التنظيمي والمرونة التشغيلية، وهو ما قاد إلى ظهور ما يُعرف بـ"النماذج الهجينة" في إدارة المشاريع (العسيري، عبد الله، 2020، ص 78</w:t>
      </w:r>
      <w:r w:rsidRPr="00DF70E8">
        <w:rPr>
          <w:rFonts w:ascii="Simplified Arabic" w:hAnsi="Simplified Arabic" w:cs="Simplified Arabic"/>
          <w:sz w:val="28"/>
          <w:szCs w:val="28"/>
        </w:rPr>
        <w:t>).</w:t>
      </w:r>
    </w:p>
    <w:p w14:paraId="78A067D5"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ومن المعروف أن البيئات التنظيمية الصارمة – التي تعتمد على التسلسل الهرمي والإجراءات الرسمية والهيكل الإداري الثابت – تشكل تحدياً كبيراً أمام تبني منهجيات أكثر مرونة مثل المنهجيات الرشيقة</w:t>
      </w:r>
      <w:r w:rsidRPr="00DF70E8">
        <w:rPr>
          <w:rFonts w:ascii="Simplified Arabic" w:hAnsi="Simplified Arabic" w:cs="Simplified Arabic"/>
          <w:sz w:val="28"/>
          <w:szCs w:val="28"/>
        </w:rPr>
        <w:t xml:space="preserve"> (Agile) </w:t>
      </w:r>
      <w:r w:rsidRPr="00DF70E8">
        <w:rPr>
          <w:rFonts w:ascii="Simplified Arabic" w:hAnsi="Simplified Arabic" w:cs="Simplified Arabic"/>
          <w:sz w:val="28"/>
          <w:szCs w:val="28"/>
          <w:rtl/>
        </w:rPr>
        <w:t>التي تعتمد على العمل التشاركي والتطوير التدريجي</w:t>
      </w:r>
      <w:r w:rsidRPr="00DF70E8">
        <w:rPr>
          <w:rFonts w:ascii="Simplified Arabic" w:hAnsi="Simplified Arabic" w:cs="Simplified Arabic"/>
          <w:sz w:val="28"/>
          <w:szCs w:val="28"/>
        </w:rPr>
        <w:t xml:space="preserve"> (Brown, Thomas &amp; Lee, David, 2019</w:t>
      </w:r>
      <w:r w:rsidRPr="00DF70E8">
        <w:rPr>
          <w:rFonts w:ascii="Simplified Arabic" w:hAnsi="Simplified Arabic" w:cs="Simplified Arabic"/>
          <w:sz w:val="28"/>
          <w:szCs w:val="28"/>
          <w:rtl/>
        </w:rPr>
        <w:t>، ص 45). ومع ذلك، فإن العديد من المؤسسات الحكومية والشركات الكبرى لا تزال بحاجة إلى الحفاظ على هذه البنية التنظيمية الصارمة لأسباب تتعلق بإدارة المخاطر، والامتثال التنظيمي، وتوزيع السلطات (البدر، ناصر، 2021، ص 102). وعليه، فإن التساؤل الذي يطرح نفسه بقوة هو: كيف يمكن لهذه المؤسسات تحقيق التوازن بين ضرورة الالتزام بالأنظمة الرسمية من جهة، والقدرة على التعامل مع المشاريع ذات الطبيعة المتغيرة من جهة أخرى؟</w:t>
      </w:r>
    </w:p>
    <w:p w14:paraId="3CBC61AC"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ويرى بعض الباحثين</w:t>
      </w:r>
      <w:r w:rsidRPr="00DF70E8">
        <w:rPr>
          <w:rFonts w:ascii="Simplified Arabic" w:hAnsi="Simplified Arabic" w:cs="Simplified Arabic"/>
          <w:sz w:val="28"/>
          <w:szCs w:val="28"/>
        </w:rPr>
        <w:t xml:space="preserve"> (Wilson, Sarah, 2017</w:t>
      </w:r>
      <w:r w:rsidRPr="00DF70E8">
        <w:rPr>
          <w:rFonts w:ascii="Simplified Arabic" w:hAnsi="Simplified Arabic" w:cs="Simplified Arabic"/>
          <w:sz w:val="28"/>
          <w:szCs w:val="28"/>
          <w:rtl/>
        </w:rPr>
        <w:t>، ص 88) أن الحل يكمن في اعتماد نماذج هجينة في إدارة المشاريع، أي الجمع بين منهجيات تقليدية (مثل</w:t>
      </w:r>
      <w:r w:rsidRPr="00DF70E8">
        <w:rPr>
          <w:rFonts w:ascii="Simplified Arabic" w:hAnsi="Simplified Arabic" w:cs="Simplified Arabic"/>
          <w:sz w:val="28"/>
          <w:szCs w:val="28"/>
        </w:rPr>
        <w:t xml:space="preserve"> PMBOK </w:t>
      </w:r>
      <w:r w:rsidRPr="00DF70E8">
        <w:rPr>
          <w:rFonts w:ascii="Simplified Arabic" w:hAnsi="Simplified Arabic" w:cs="Simplified Arabic"/>
          <w:sz w:val="28"/>
          <w:szCs w:val="28"/>
          <w:rtl/>
        </w:rPr>
        <w:t>و</w:t>
      </w:r>
      <w:r w:rsidRPr="00DF70E8">
        <w:rPr>
          <w:rFonts w:ascii="Simplified Arabic" w:hAnsi="Simplified Arabic" w:cs="Simplified Arabic"/>
          <w:sz w:val="28"/>
          <w:szCs w:val="28"/>
        </w:rPr>
        <w:t xml:space="preserve">PRINCE2) </w:t>
      </w:r>
      <w:r w:rsidRPr="00DF70E8">
        <w:rPr>
          <w:rFonts w:ascii="Simplified Arabic" w:hAnsi="Simplified Arabic" w:cs="Simplified Arabic"/>
          <w:sz w:val="28"/>
          <w:szCs w:val="28"/>
          <w:rtl/>
        </w:rPr>
        <w:t>ومنهجيات رشيقة (مثل</w:t>
      </w:r>
      <w:r w:rsidRPr="00DF70E8">
        <w:rPr>
          <w:rFonts w:ascii="Simplified Arabic" w:hAnsi="Simplified Arabic" w:cs="Simplified Arabic"/>
          <w:sz w:val="28"/>
          <w:szCs w:val="28"/>
        </w:rPr>
        <w:t xml:space="preserve"> Scrum </w:t>
      </w:r>
      <w:r w:rsidRPr="00DF70E8">
        <w:rPr>
          <w:rFonts w:ascii="Simplified Arabic" w:hAnsi="Simplified Arabic" w:cs="Simplified Arabic"/>
          <w:sz w:val="28"/>
          <w:szCs w:val="28"/>
          <w:rtl/>
        </w:rPr>
        <w:t>و</w:t>
      </w:r>
      <w:r w:rsidRPr="00DF70E8">
        <w:rPr>
          <w:rFonts w:ascii="Simplified Arabic" w:hAnsi="Simplified Arabic" w:cs="Simplified Arabic"/>
          <w:sz w:val="28"/>
          <w:szCs w:val="28"/>
        </w:rPr>
        <w:t xml:space="preserve">Kanban) </w:t>
      </w:r>
      <w:r w:rsidRPr="00DF70E8">
        <w:rPr>
          <w:rFonts w:ascii="Simplified Arabic" w:hAnsi="Simplified Arabic" w:cs="Simplified Arabic"/>
          <w:sz w:val="28"/>
          <w:szCs w:val="28"/>
          <w:rtl/>
        </w:rPr>
        <w:t>بطريقة مدروسة تتناسب مع طبيعة المشروع والبيئة التنظيمية المحيطة. وقد أظهرت دراسات حديثة (الزهراني، خالد، 2022، ص 134) أن هذه النماذج قد ساعدت العديد من المؤسسات في تحسين كفاءة تنفيذ المشاريع، وتقليل الوقت المطلوب للتنفيذ، وزيادة مستوى رضا أصحاب المصلحة، خاصة في المشاريع التي تتطلب استجابات سريعة للتغيرات</w:t>
      </w:r>
      <w:r w:rsidRPr="00DF70E8">
        <w:rPr>
          <w:rFonts w:ascii="Simplified Arabic" w:hAnsi="Simplified Arabic" w:cs="Simplified Arabic"/>
          <w:sz w:val="28"/>
          <w:szCs w:val="28"/>
        </w:rPr>
        <w:t>.</w:t>
      </w:r>
    </w:p>
    <w:p w14:paraId="21FBD0BD"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lastRenderedPageBreak/>
        <w:t>ومن هنا تأتي أهمية البحث الحالي، الذي يسعى إلى تحليل مدى فعالية هذه النماذج الهجينة في إدارة مشاريع ذات طبيعة متغيرة داخل بيئة تنظيمية صارمة. ويشير الباحثون</w:t>
      </w:r>
      <w:r w:rsidRPr="00DF70E8">
        <w:rPr>
          <w:rFonts w:ascii="Simplified Arabic" w:hAnsi="Simplified Arabic" w:cs="Simplified Arabic"/>
          <w:sz w:val="28"/>
          <w:szCs w:val="28"/>
        </w:rPr>
        <w:t xml:space="preserve"> (Anderson, Michael, 2020</w:t>
      </w:r>
      <w:r w:rsidRPr="00DF70E8">
        <w:rPr>
          <w:rFonts w:ascii="Simplified Arabic" w:hAnsi="Simplified Arabic" w:cs="Simplified Arabic"/>
          <w:sz w:val="28"/>
          <w:szCs w:val="28"/>
          <w:rtl/>
        </w:rPr>
        <w:t>، ص 67) إلى أن هذه القضية لم تُدرس بشكل كافٍ في السياقات العربية والمؤسسات ذات الثقافة التنظيمية المحافظة، مما يجعل من هذا البحث مساهمة مهمة على المستوى النظري والتطبيقي</w:t>
      </w:r>
      <w:r w:rsidRPr="00DF70E8">
        <w:rPr>
          <w:rFonts w:ascii="Simplified Arabic" w:hAnsi="Simplified Arabic" w:cs="Simplified Arabic"/>
          <w:sz w:val="28"/>
          <w:szCs w:val="28"/>
        </w:rPr>
        <w:t>.</w:t>
      </w:r>
    </w:p>
    <w:p w14:paraId="5483A08D"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ويهدف البحث إلى التعرف على أبرز النماذج الهجينة المستخدمة حالياً، وتحليل تحديات تطبيقها في البيئات التنظيمية الصارمة، وتقييم مدى فعاليتها في تحقيق الأهداف المشتركة بين المرونة والانضباط الإداري. كما يتطرق البحث إلى تقديم توصيات عملية يمكن أن تسهم في تحسين تبني هذه النماذج في المستقبل (الحميد، أحمد، 2019، ص 95). وتجدر الإشارة إلى أن هذا البحث يستند إلى مجموعة من النظريات العلمية المرتبطة بإدارة المشاريع، منها نظرية الإدارة الرشيقة، ونظرية النظم المغلقة والمفتوحة، ونظرية التكيف التنظيمي</w:t>
      </w:r>
      <w:r w:rsidRPr="00DF70E8">
        <w:rPr>
          <w:rFonts w:ascii="Simplified Arabic" w:hAnsi="Simplified Arabic" w:cs="Simplified Arabic"/>
          <w:sz w:val="28"/>
          <w:szCs w:val="28"/>
        </w:rPr>
        <w:t xml:space="preserve"> (Thomas, Robert, 2018</w:t>
      </w:r>
      <w:r w:rsidRPr="00DF70E8">
        <w:rPr>
          <w:rFonts w:ascii="Simplified Arabic" w:hAnsi="Simplified Arabic" w:cs="Simplified Arabic"/>
          <w:sz w:val="28"/>
          <w:szCs w:val="28"/>
          <w:rtl/>
        </w:rPr>
        <w:t>، ص 121)، وهي نظريات ستُستخدم كأساس لتحليل موضوع البحث وفهم العلاقة بين المتغيرات المختلفة</w:t>
      </w:r>
      <w:r w:rsidRPr="00DF70E8">
        <w:rPr>
          <w:rFonts w:ascii="Simplified Arabic" w:hAnsi="Simplified Arabic" w:cs="Simplified Arabic"/>
          <w:sz w:val="28"/>
          <w:szCs w:val="28"/>
        </w:rPr>
        <w:t>.</w:t>
      </w:r>
    </w:p>
    <w:p w14:paraId="1D104B3C" w14:textId="2518F1DD" w:rsidR="00DF70E8" w:rsidRPr="00DF70E8" w:rsidRDefault="00DF70E8" w:rsidP="00DF70E8">
      <w:p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وبالتالي، فإن هذا البحث يُعد خطوة نحو فهم أفضل لكيفية إدارة المشاريع في بيئات معقدة ومتغيرة، وكيف يمكن للنماذج الهجينة أن تلعب دوراً محورياً في تجاوز التحديات التنظيمية والتقنية التي تواجه المؤسسات اليوم</w:t>
      </w:r>
      <w:r w:rsidRPr="00DF70E8">
        <w:rPr>
          <w:rFonts w:ascii="Simplified Arabic" w:hAnsi="Simplified Arabic" w:cs="Simplified Arabic"/>
          <w:sz w:val="28"/>
          <w:szCs w:val="28"/>
        </w:rPr>
        <w:t>.</w:t>
      </w:r>
    </w:p>
    <w:p w14:paraId="59041654" w14:textId="2590ACA8" w:rsidR="00D22171" w:rsidRPr="00DF70E8" w:rsidRDefault="00D22171" w:rsidP="00DF70E8">
      <w:pPr>
        <w:pStyle w:val="Heading1"/>
        <w:jc w:val="lowKashida"/>
        <w:rPr>
          <w:rFonts w:ascii="Simplified Arabic" w:hAnsi="Simplified Arabic" w:cs="Simplified Arabic"/>
          <w:sz w:val="28"/>
          <w:szCs w:val="28"/>
          <w:rtl/>
        </w:rPr>
      </w:pPr>
      <w:bookmarkStart w:id="2" w:name="_Toc201508181"/>
      <w:r w:rsidRPr="00DF70E8">
        <w:rPr>
          <w:rFonts w:ascii="Simplified Arabic" w:hAnsi="Simplified Arabic" w:cs="Simplified Arabic"/>
          <w:sz w:val="28"/>
          <w:szCs w:val="28"/>
          <w:rtl/>
        </w:rPr>
        <w:t>-مشكلة الدراسة.</w:t>
      </w:r>
      <w:bookmarkEnd w:id="2"/>
      <w:r w:rsidRPr="00DF70E8">
        <w:rPr>
          <w:rFonts w:ascii="Simplified Arabic" w:hAnsi="Simplified Arabic" w:cs="Simplified Arabic"/>
          <w:sz w:val="28"/>
          <w:szCs w:val="28"/>
          <w:rtl/>
        </w:rPr>
        <w:t xml:space="preserve"> </w:t>
      </w:r>
    </w:p>
    <w:p w14:paraId="54B7B558" w14:textId="2FDB8EDA" w:rsidR="00DF70E8" w:rsidRPr="00DF70E8" w:rsidRDefault="00DF70E8" w:rsidP="00DF70E8">
      <w:p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تتميز المشاريع الحديثة بطبيعة ديناميكية تتسم بالتعقيد والتغير المستمر، مما يجعل من الصعب تطبيق المنهجيات التقليدية لإدارة المشاريع (مثل المنهج الكلاسيكي "الخطوة بخطوة") بشكل فعال. وعلي الجانب الآخر، تُعد البيئات التنظيمية الصارمة – التي تعتمد على التسلسل الهرمي والإجراءات الرسمية – تحدياً إضافياً أمام تبني نهج أكثر مرونة مثل المنهجيات الرشيقة (</w:t>
      </w:r>
      <w:r w:rsidRPr="00DF70E8">
        <w:rPr>
          <w:rFonts w:ascii="Simplified Arabic" w:hAnsi="Simplified Arabic" w:cs="Simplified Arabic"/>
          <w:sz w:val="28"/>
          <w:szCs w:val="28"/>
        </w:rPr>
        <w:t>Agile</w:t>
      </w:r>
      <w:r w:rsidRPr="00DF70E8">
        <w:rPr>
          <w:rFonts w:ascii="Simplified Arabic" w:hAnsi="Simplified Arabic" w:cs="Simplified Arabic"/>
          <w:sz w:val="28"/>
          <w:szCs w:val="28"/>
          <w:rtl/>
        </w:rPr>
        <w:t>). ومن هنا تظهر الحاجة إلى استخدام نماذج هجينة تجمع بين المرونة والهيكلية، لتلبية احتياجات المشاريع المتغيرة ضمن هذه البيئات. و من ثم تتمثل مشكلة البحث في محاولة الاجابة علي التساؤل الرئيسي التالي ما هو اثر تحليل فعالية النماذج الهجينة في إدارة مشاريع ذات طبيعة متغيرة ضمن بيئات تنظيمية صارمة</w:t>
      </w:r>
    </w:p>
    <w:p w14:paraId="0CD972EE" w14:textId="73CBF37C" w:rsidR="00D22171" w:rsidRPr="00DF70E8" w:rsidRDefault="00D22171" w:rsidP="00DF70E8">
      <w:pPr>
        <w:pStyle w:val="Heading1"/>
        <w:jc w:val="lowKashida"/>
        <w:rPr>
          <w:rFonts w:ascii="Simplified Arabic" w:hAnsi="Simplified Arabic" w:cs="Simplified Arabic"/>
          <w:sz w:val="28"/>
          <w:szCs w:val="28"/>
          <w:rtl/>
        </w:rPr>
      </w:pPr>
      <w:bookmarkStart w:id="3" w:name="_Toc201508182"/>
      <w:r w:rsidRPr="00DF70E8">
        <w:rPr>
          <w:rFonts w:ascii="Simplified Arabic" w:hAnsi="Simplified Arabic" w:cs="Simplified Arabic"/>
          <w:sz w:val="28"/>
          <w:szCs w:val="28"/>
          <w:rtl/>
        </w:rPr>
        <w:t>-أهمية الدراسة.</w:t>
      </w:r>
      <w:bookmarkEnd w:id="3"/>
      <w:r w:rsidRPr="00DF70E8">
        <w:rPr>
          <w:rFonts w:ascii="Simplified Arabic" w:hAnsi="Simplified Arabic" w:cs="Simplified Arabic"/>
          <w:sz w:val="28"/>
          <w:szCs w:val="28"/>
          <w:rtl/>
        </w:rPr>
        <w:t xml:space="preserve"> </w:t>
      </w:r>
    </w:p>
    <w:p w14:paraId="32394132" w14:textId="77777777" w:rsidR="00DF70E8" w:rsidRPr="00DF70E8" w:rsidRDefault="00DF70E8" w:rsidP="00DF70E8">
      <w:pPr>
        <w:pStyle w:val="Heading2"/>
        <w:jc w:val="lowKashida"/>
        <w:rPr>
          <w:rFonts w:ascii="Simplified Arabic" w:hAnsi="Simplified Arabic" w:cs="Simplified Arabic"/>
          <w:sz w:val="28"/>
          <w:szCs w:val="28"/>
        </w:rPr>
      </w:pPr>
      <w:bookmarkStart w:id="4" w:name="_Toc201508183"/>
      <w:r w:rsidRPr="00DF70E8">
        <w:rPr>
          <w:rFonts w:ascii="Simplified Arabic" w:hAnsi="Simplified Arabic" w:cs="Simplified Arabic"/>
          <w:sz w:val="28"/>
          <w:szCs w:val="28"/>
          <w:rtl/>
        </w:rPr>
        <w:t>أ. الأهمية العلمية</w:t>
      </w:r>
      <w:r w:rsidRPr="00DF70E8">
        <w:rPr>
          <w:rFonts w:ascii="Simplified Arabic" w:hAnsi="Simplified Arabic" w:cs="Simplified Arabic"/>
          <w:sz w:val="28"/>
          <w:szCs w:val="28"/>
        </w:rPr>
        <w:t>:</w:t>
      </w:r>
      <w:bookmarkEnd w:id="4"/>
    </w:p>
    <w:p w14:paraId="5986F84C"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 xml:space="preserve">تظهر الأهمية العلمية لهذا البحث في أنه يساهم في توسيع المعرفة النظرية حول استخدام النماذج الهجينة في إدارة المشاريع، خصوصاً في سياقات لم يتم دراستها بشكل كافٍ سابقاً، مثل المشاريع ذات </w:t>
      </w:r>
      <w:r w:rsidRPr="00DF70E8">
        <w:rPr>
          <w:rFonts w:ascii="Simplified Arabic" w:hAnsi="Simplified Arabic" w:cs="Simplified Arabic"/>
          <w:sz w:val="28"/>
          <w:szCs w:val="28"/>
          <w:rtl/>
        </w:rPr>
        <w:lastRenderedPageBreak/>
        <w:t>الطبيعة المتغيرة داخل المنظمات ذات الثقافة التنظيمية الصارمة. كما يفتح هذا البحث المجال لتطوير أدوات ونماذج جديدة قابلة للتطبيق في مجال إدارة المشاريع</w:t>
      </w:r>
      <w:r w:rsidRPr="00DF70E8">
        <w:rPr>
          <w:rFonts w:ascii="Simplified Arabic" w:hAnsi="Simplified Arabic" w:cs="Simplified Arabic"/>
          <w:sz w:val="28"/>
          <w:szCs w:val="28"/>
        </w:rPr>
        <w:t>.</w:t>
      </w:r>
    </w:p>
    <w:p w14:paraId="29F07359" w14:textId="77777777" w:rsidR="00DF70E8" w:rsidRPr="00DF70E8" w:rsidRDefault="00DF70E8" w:rsidP="00DF70E8">
      <w:pPr>
        <w:pStyle w:val="Heading2"/>
        <w:jc w:val="lowKashida"/>
        <w:rPr>
          <w:rFonts w:ascii="Simplified Arabic" w:hAnsi="Simplified Arabic" w:cs="Simplified Arabic"/>
          <w:sz w:val="28"/>
          <w:szCs w:val="28"/>
        </w:rPr>
      </w:pPr>
      <w:bookmarkStart w:id="5" w:name="_Toc201508184"/>
      <w:r w:rsidRPr="00DF70E8">
        <w:rPr>
          <w:rFonts w:ascii="Simplified Arabic" w:hAnsi="Simplified Arabic" w:cs="Simplified Arabic"/>
          <w:sz w:val="28"/>
          <w:szCs w:val="28"/>
          <w:rtl/>
        </w:rPr>
        <w:t>ب. الأهمية العملية</w:t>
      </w:r>
      <w:r w:rsidRPr="00DF70E8">
        <w:rPr>
          <w:rFonts w:ascii="Simplified Arabic" w:hAnsi="Simplified Arabic" w:cs="Simplified Arabic"/>
          <w:sz w:val="28"/>
          <w:szCs w:val="28"/>
        </w:rPr>
        <w:t>:</w:t>
      </w:r>
      <w:bookmarkEnd w:id="5"/>
    </w:p>
    <w:p w14:paraId="0885DADA"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أما من الناحية العملية، فيقدم البحث مرجعاً مهماً للممارسين وإدارات المشروعات في المؤسسات الكبرى، حيث يمكنهم من خلاله فهم كيفية اختيار النموذج الهجين المناسب، وتصميم آليات تنفيذ فعالة تضمن تحقيق الأهداف مع الحفاظ على الانضباط التنظيمي</w:t>
      </w:r>
      <w:r w:rsidRPr="00DF70E8">
        <w:rPr>
          <w:rFonts w:ascii="Simplified Arabic" w:hAnsi="Simplified Arabic" w:cs="Simplified Arabic"/>
          <w:sz w:val="28"/>
          <w:szCs w:val="28"/>
        </w:rPr>
        <w:t>.</w:t>
      </w:r>
    </w:p>
    <w:p w14:paraId="0D1AC2D8" w14:textId="157F81A9" w:rsidR="00D22171" w:rsidRPr="00DF70E8" w:rsidRDefault="00D22171" w:rsidP="00DF70E8">
      <w:pPr>
        <w:pStyle w:val="Heading1"/>
        <w:jc w:val="lowKashida"/>
        <w:rPr>
          <w:rFonts w:ascii="Simplified Arabic" w:hAnsi="Simplified Arabic" w:cs="Simplified Arabic"/>
          <w:sz w:val="28"/>
          <w:szCs w:val="28"/>
          <w:rtl/>
        </w:rPr>
      </w:pPr>
      <w:bookmarkStart w:id="6" w:name="_Toc201508185"/>
      <w:r w:rsidRPr="00DF70E8">
        <w:rPr>
          <w:rFonts w:ascii="Simplified Arabic" w:hAnsi="Simplified Arabic" w:cs="Simplified Arabic"/>
          <w:sz w:val="28"/>
          <w:szCs w:val="28"/>
          <w:rtl/>
        </w:rPr>
        <w:t>-أهداف الدراسة.</w:t>
      </w:r>
      <w:bookmarkEnd w:id="6"/>
      <w:r w:rsidRPr="00DF70E8">
        <w:rPr>
          <w:rFonts w:ascii="Simplified Arabic" w:hAnsi="Simplified Arabic" w:cs="Simplified Arabic"/>
          <w:sz w:val="28"/>
          <w:szCs w:val="28"/>
          <w:rtl/>
        </w:rPr>
        <w:t xml:space="preserve"> </w:t>
      </w:r>
    </w:p>
    <w:p w14:paraId="630744C8"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يهدف البحث الحالي إلى التعرف على مدى فعالية النماذج الهجينة في إدارة المشاريع ذات الطبيعة المتغيرة ضمن البيئات التنظيمية الصارمة. ولتحقيق هذا الهدف العام، تتفرع منه الأهداف البحثية التالية</w:t>
      </w:r>
      <w:r w:rsidRPr="00DF70E8">
        <w:rPr>
          <w:rFonts w:ascii="Simplified Arabic" w:hAnsi="Simplified Arabic" w:cs="Simplified Arabic"/>
          <w:sz w:val="28"/>
          <w:szCs w:val="28"/>
        </w:rPr>
        <w:t>:</w:t>
      </w:r>
    </w:p>
    <w:p w14:paraId="28E69688" w14:textId="77777777" w:rsidR="00DF70E8" w:rsidRPr="00DF70E8" w:rsidRDefault="00DF70E8" w:rsidP="00DF70E8">
      <w:pPr>
        <w:numPr>
          <w:ilvl w:val="0"/>
          <w:numId w:val="1"/>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التعرف على أبرز النماذج الهجينة المستخدمة في إدارة المشاريع</w:t>
      </w:r>
      <w:r w:rsidRPr="00DF70E8">
        <w:rPr>
          <w:rFonts w:ascii="Simplified Arabic" w:hAnsi="Simplified Arabic" w:cs="Simplified Arabic"/>
          <w:sz w:val="28"/>
          <w:szCs w:val="28"/>
        </w:rPr>
        <w:t>.</w:t>
      </w:r>
    </w:p>
    <w:p w14:paraId="3129AC22" w14:textId="77777777" w:rsidR="00DF70E8" w:rsidRPr="00DF70E8" w:rsidRDefault="00DF70E8" w:rsidP="00DF70E8">
      <w:pPr>
        <w:numPr>
          <w:ilvl w:val="0"/>
          <w:numId w:val="1"/>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تحديد الخصائص الأساسية للمشاريع ذات الطبيعة المتغيرة</w:t>
      </w:r>
      <w:r w:rsidRPr="00DF70E8">
        <w:rPr>
          <w:rFonts w:ascii="Simplified Arabic" w:hAnsi="Simplified Arabic" w:cs="Simplified Arabic"/>
          <w:sz w:val="28"/>
          <w:szCs w:val="28"/>
        </w:rPr>
        <w:t>.</w:t>
      </w:r>
    </w:p>
    <w:p w14:paraId="26BD6E31" w14:textId="77777777" w:rsidR="00DF70E8" w:rsidRPr="00DF70E8" w:rsidRDefault="00DF70E8" w:rsidP="00DF70E8">
      <w:pPr>
        <w:numPr>
          <w:ilvl w:val="0"/>
          <w:numId w:val="1"/>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تحليل التحديات التي تواجه تطبيق النماذج الهجينة في البيئات التنظيمية الصارمة</w:t>
      </w:r>
      <w:r w:rsidRPr="00DF70E8">
        <w:rPr>
          <w:rFonts w:ascii="Simplified Arabic" w:hAnsi="Simplified Arabic" w:cs="Simplified Arabic"/>
          <w:sz w:val="28"/>
          <w:szCs w:val="28"/>
        </w:rPr>
        <w:t>.</w:t>
      </w:r>
    </w:p>
    <w:p w14:paraId="4C391F79" w14:textId="77777777" w:rsidR="00DF70E8" w:rsidRPr="00DF70E8" w:rsidRDefault="00DF70E8" w:rsidP="00DF70E8">
      <w:pPr>
        <w:numPr>
          <w:ilvl w:val="0"/>
          <w:numId w:val="1"/>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تقييم مدى فعالية هذه النماذج في تحقيق أهداف المشاريع تحت ظروف متغيرة</w:t>
      </w:r>
      <w:r w:rsidRPr="00DF70E8">
        <w:rPr>
          <w:rFonts w:ascii="Simplified Arabic" w:hAnsi="Simplified Arabic" w:cs="Simplified Arabic"/>
          <w:sz w:val="28"/>
          <w:szCs w:val="28"/>
        </w:rPr>
        <w:t>.</w:t>
      </w:r>
    </w:p>
    <w:p w14:paraId="15F193CF" w14:textId="0F2B7DC8" w:rsidR="00DF70E8" w:rsidRPr="00DF70E8" w:rsidRDefault="00DF70E8" w:rsidP="00DF70E8">
      <w:pPr>
        <w:numPr>
          <w:ilvl w:val="0"/>
          <w:numId w:val="1"/>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تقديم توصيات عملية لتحسين تبني النماذج الهجينة في مثل هذه البيئات</w:t>
      </w:r>
      <w:r w:rsidRPr="00DF70E8">
        <w:rPr>
          <w:rFonts w:ascii="Simplified Arabic" w:hAnsi="Simplified Arabic" w:cs="Simplified Arabic"/>
          <w:sz w:val="28"/>
          <w:szCs w:val="28"/>
        </w:rPr>
        <w:t>.</w:t>
      </w:r>
    </w:p>
    <w:p w14:paraId="56B19CA7" w14:textId="3A525AC1" w:rsidR="00D22171" w:rsidRPr="00DF70E8" w:rsidRDefault="00D22171" w:rsidP="00DF70E8">
      <w:pPr>
        <w:pStyle w:val="Heading1"/>
        <w:jc w:val="lowKashida"/>
        <w:rPr>
          <w:rFonts w:ascii="Simplified Arabic" w:hAnsi="Simplified Arabic" w:cs="Simplified Arabic"/>
          <w:sz w:val="28"/>
          <w:szCs w:val="28"/>
          <w:rtl/>
        </w:rPr>
      </w:pPr>
      <w:bookmarkStart w:id="7" w:name="_Toc201508186"/>
      <w:r w:rsidRPr="00DF70E8">
        <w:rPr>
          <w:rFonts w:ascii="Simplified Arabic" w:hAnsi="Simplified Arabic" w:cs="Simplified Arabic"/>
          <w:sz w:val="28"/>
          <w:szCs w:val="28"/>
          <w:rtl/>
        </w:rPr>
        <w:t>-تساؤلات الدراسة</w:t>
      </w:r>
      <w:bookmarkEnd w:id="7"/>
      <w:r w:rsidRPr="00DF70E8">
        <w:rPr>
          <w:rFonts w:ascii="Simplified Arabic" w:hAnsi="Simplified Arabic" w:cs="Simplified Arabic"/>
          <w:sz w:val="28"/>
          <w:szCs w:val="28"/>
          <w:rtl/>
        </w:rPr>
        <w:t xml:space="preserve"> </w:t>
      </w:r>
    </w:p>
    <w:p w14:paraId="3741A659"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يرتكز البحث حول مجموعة من التساؤلات الفرعية التي تساعد في الإجابة عن السؤال الرئيسي، ومن أبرزها</w:t>
      </w:r>
      <w:r w:rsidRPr="00DF70E8">
        <w:rPr>
          <w:rFonts w:ascii="Simplified Arabic" w:hAnsi="Simplified Arabic" w:cs="Simplified Arabic"/>
          <w:sz w:val="28"/>
          <w:szCs w:val="28"/>
        </w:rPr>
        <w:t>:</w:t>
      </w:r>
    </w:p>
    <w:p w14:paraId="6C97703B" w14:textId="77777777" w:rsidR="00DF70E8" w:rsidRPr="00DF70E8" w:rsidRDefault="00DF70E8" w:rsidP="00DF70E8">
      <w:pPr>
        <w:numPr>
          <w:ilvl w:val="0"/>
          <w:numId w:val="2"/>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ما هي أبرز النماذج الهجينة المستخدمة حالياً في إدارة المشاريع؟</w:t>
      </w:r>
    </w:p>
    <w:p w14:paraId="08B987B7" w14:textId="77777777" w:rsidR="00DF70E8" w:rsidRPr="00DF70E8" w:rsidRDefault="00DF70E8" w:rsidP="00DF70E8">
      <w:pPr>
        <w:numPr>
          <w:ilvl w:val="0"/>
          <w:numId w:val="2"/>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كيف تؤثر طبيعة المشروع المتغيرة على اختيار النموذج الأنسب لإدارته؟</w:t>
      </w:r>
    </w:p>
    <w:p w14:paraId="509829C2" w14:textId="77777777" w:rsidR="00DF70E8" w:rsidRPr="00DF70E8" w:rsidRDefault="00DF70E8" w:rsidP="00DF70E8">
      <w:pPr>
        <w:numPr>
          <w:ilvl w:val="0"/>
          <w:numId w:val="2"/>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ما هي التحديات التنظيمية التي تواجه تطبيق النماذج الهجينة؟</w:t>
      </w:r>
    </w:p>
    <w:p w14:paraId="7886CCBE" w14:textId="77777777" w:rsidR="00DF70E8" w:rsidRPr="00DF70E8" w:rsidRDefault="00DF70E8" w:rsidP="00DF70E8">
      <w:pPr>
        <w:numPr>
          <w:ilvl w:val="0"/>
          <w:numId w:val="2"/>
        </w:numPr>
        <w:jc w:val="lowKashida"/>
        <w:rPr>
          <w:rFonts w:ascii="Simplified Arabic" w:hAnsi="Simplified Arabic" w:cs="Simplified Arabic"/>
          <w:sz w:val="28"/>
          <w:szCs w:val="28"/>
        </w:rPr>
      </w:pPr>
      <w:r w:rsidRPr="00DF70E8">
        <w:rPr>
          <w:rFonts w:ascii="Simplified Arabic" w:hAnsi="Simplified Arabic" w:cs="Simplified Arabic"/>
          <w:sz w:val="28"/>
          <w:szCs w:val="28"/>
          <w:rtl/>
        </w:rPr>
        <w:t>هل يمكن للنماذج الهجينة تحقيق التوازن بين المرونة والانضباط التنظيمي؟</w:t>
      </w:r>
    </w:p>
    <w:p w14:paraId="128510F0" w14:textId="6E5D02DB" w:rsidR="00DF70E8" w:rsidRPr="00DF70E8" w:rsidRDefault="00DF70E8" w:rsidP="00DF70E8">
      <w:pPr>
        <w:numPr>
          <w:ilvl w:val="0"/>
          <w:numId w:val="2"/>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ما المعوقات الرئيسية أمام اعتماد النماذج الهجينة في البيئات التنظيمية الصارمة؟</w:t>
      </w:r>
    </w:p>
    <w:p w14:paraId="7ABDDD95" w14:textId="3336B6EF" w:rsidR="00D52480" w:rsidRPr="00DF70E8" w:rsidRDefault="00D52480" w:rsidP="00DF70E8">
      <w:pPr>
        <w:pStyle w:val="Heading1"/>
        <w:jc w:val="lowKashida"/>
        <w:rPr>
          <w:rFonts w:ascii="Simplified Arabic" w:hAnsi="Simplified Arabic" w:cs="Simplified Arabic"/>
          <w:sz w:val="28"/>
          <w:szCs w:val="28"/>
          <w:rtl/>
        </w:rPr>
      </w:pPr>
      <w:bookmarkStart w:id="8" w:name="_Toc201508187"/>
      <w:r w:rsidRPr="00DF70E8">
        <w:rPr>
          <w:rFonts w:ascii="Simplified Arabic" w:hAnsi="Simplified Arabic" w:cs="Simplified Arabic"/>
          <w:sz w:val="28"/>
          <w:szCs w:val="28"/>
          <w:rtl/>
        </w:rPr>
        <w:lastRenderedPageBreak/>
        <w:t>- فروض الدراسة</w:t>
      </w:r>
      <w:bookmarkEnd w:id="8"/>
    </w:p>
    <w:p w14:paraId="56820031"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بناءً على طبيعة المشكلة والأهداف، تم صياغة الفروض التالية</w:t>
      </w:r>
      <w:r w:rsidRPr="00DF70E8">
        <w:rPr>
          <w:rFonts w:ascii="Simplified Arabic" w:hAnsi="Simplified Arabic" w:cs="Simplified Arabic"/>
          <w:sz w:val="28"/>
          <w:szCs w:val="28"/>
        </w:rPr>
        <w:t>:</w:t>
      </w:r>
    </w:p>
    <w:p w14:paraId="544E38AF" w14:textId="1205FB0A" w:rsidR="00DF70E8" w:rsidRPr="00DF70E8" w:rsidRDefault="00DF70E8" w:rsidP="00DF70E8">
      <w:pPr>
        <w:ind w:left="360"/>
        <w:jc w:val="lowKashida"/>
        <w:rPr>
          <w:rFonts w:ascii="Simplified Arabic" w:hAnsi="Simplified Arabic" w:cs="Simplified Arabic"/>
          <w:sz w:val="28"/>
          <w:szCs w:val="28"/>
        </w:rPr>
      </w:pPr>
      <w:r w:rsidRPr="00DF70E8">
        <w:rPr>
          <w:rFonts w:ascii="Simplified Arabic" w:hAnsi="Simplified Arabic" w:cs="Simplified Arabic"/>
          <w:sz w:val="28"/>
          <w:szCs w:val="28"/>
        </w:rPr>
        <w:t xml:space="preserve"> :H</w:t>
      </w:r>
      <w:r w:rsidRPr="00DF70E8">
        <w:rPr>
          <w:rFonts w:ascii="Cambria Math" w:hAnsi="Cambria Math" w:cs="Cambria Math"/>
          <w:sz w:val="28"/>
          <w:szCs w:val="28"/>
        </w:rPr>
        <w:t>₀</w:t>
      </w:r>
      <w:r w:rsidRPr="00DF70E8">
        <w:rPr>
          <w:rFonts w:ascii="Simplified Arabic" w:hAnsi="Simplified Arabic" w:cs="Simplified Arabic"/>
          <w:sz w:val="28"/>
          <w:szCs w:val="28"/>
          <w:rtl/>
        </w:rPr>
        <w:t>لا توجد علاقة ذات دلالة إحصائية بين استخدام النماذج الهجينة وفعالية إدارة المشاريع المتغيرة</w:t>
      </w:r>
      <w:r w:rsidRPr="00DF70E8">
        <w:rPr>
          <w:rFonts w:ascii="Simplified Arabic" w:hAnsi="Simplified Arabic" w:cs="Simplified Arabic"/>
          <w:sz w:val="28"/>
          <w:szCs w:val="28"/>
        </w:rPr>
        <w:t>.</w:t>
      </w:r>
    </w:p>
    <w:p w14:paraId="014390B6" w14:textId="49037B29" w:rsidR="00DF70E8" w:rsidRPr="00DF70E8" w:rsidRDefault="00DF70E8" w:rsidP="00DF70E8">
      <w:pPr>
        <w:ind w:left="360"/>
        <w:jc w:val="lowKashida"/>
        <w:rPr>
          <w:rFonts w:ascii="Simplified Arabic" w:hAnsi="Simplified Arabic" w:cs="Simplified Arabic"/>
          <w:sz w:val="28"/>
          <w:szCs w:val="28"/>
          <w:rtl/>
        </w:rPr>
      </w:pPr>
      <w:r w:rsidRPr="00DF70E8">
        <w:rPr>
          <w:rFonts w:ascii="Simplified Arabic" w:hAnsi="Simplified Arabic" w:cs="Simplified Arabic"/>
          <w:sz w:val="28"/>
          <w:szCs w:val="28"/>
        </w:rPr>
        <w:t>:H</w:t>
      </w:r>
      <w:r w:rsidRPr="00DF70E8">
        <w:rPr>
          <w:rFonts w:ascii="Cambria Math" w:hAnsi="Cambria Math" w:cs="Cambria Math"/>
          <w:sz w:val="28"/>
          <w:szCs w:val="28"/>
        </w:rPr>
        <w:t>₁</w:t>
      </w:r>
      <w:r w:rsidRPr="00DF70E8">
        <w:rPr>
          <w:rFonts w:ascii="Simplified Arabic" w:hAnsi="Simplified Arabic" w:cs="Simplified Arabic"/>
          <w:sz w:val="28"/>
          <w:szCs w:val="28"/>
          <w:rtl/>
        </w:rPr>
        <w:t>هناك علاقة ذات دلالة إحصائية بين استخدام النماذج الهجينة وزيادة فعالية إدارة المشاريع المتغيرة</w:t>
      </w:r>
      <w:r w:rsidRPr="00DF70E8">
        <w:rPr>
          <w:rFonts w:ascii="Simplified Arabic" w:hAnsi="Simplified Arabic" w:cs="Simplified Arabic"/>
          <w:sz w:val="28"/>
          <w:szCs w:val="28"/>
        </w:rPr>
        <w:t>.</w:t>
      </w:r>
    </w:p>
    <w:p w14:paraId="693808E8" w14:textId="5DC74316" w:rsidR="00F925D0" w:rsidRPr="00DF70E8" w:rsidRDefault="00F925D0" w:rsidP="00DF70E8">
      <w:pPr>
        <w:pStyle w:val="Heading1"/>
        <w:jc w:val="lowKashida"/>
        <w:rPr>
          <w:rFonts w:ascii="Simplified Arabic" w:hAnsi="Simplified Arabic" w:cs="Simplified Arabic"/>
          <w:sz w:val="28"/>
          <w:szCs w:val="28"/>
          <w:rtl/>
        </w:rPr>
      </w:pPr>
      <w:bookmarkStart w:id="9" w:name="_Toc201508188"/>
      <w:r w:rsidRPr="00DF70E8">
        <w:rPr>
          <w:rFonts w:ascii="Simplified Arabic" w:hAnsi="Simplified Arabic" w:cs="Simplified Arabic"/>
          <w:sz w:val="28"/>
          <w:szCs w:val="28"/>
          <w:rtl/>
        </w:rPr>
        <w:t>-النظرية العلمية المتبعة  لإعداد البحث</w:t>
      </w:r>
      <w:bookmarkEnd w:id="9"/>
    </w:p>
    <w:p w14:paraId="6DEF2F78"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تقوم منهجية البحث الحالية على أسس نظرية مستمدة من عدة مدارس علمية تتناول مختلف جوانب إدارة المشاريع، خاصة في البيئات المعقدة والمتغيرة. وتكمن قوة هذا البحث في اعتماده على إطار نظري متكامل يجمع بين عدد من النظريات الأساسية التي تقدم رؤى واضحة حول كيفية تصميم وتنفيذ وتحليل فعالية النماذج الهجينة في إدارة مشاريع ذات طبيعة متغيرة ضمن بيئات تنظيمية صارمة. وقد تم اختيار هذه النظريات بناءً على مدى توافقها مع موضوع البحث وطبيعة المتغيرات المراد دراستها، حيث تمثل كل نظرية منها بعداً أساسياً في فهم سلوك المشروعات وتفاعلها مع البيئة التنظيمية المحيطة بها</w:t>
      </w:r>
      <w:r w:rsidRPr="00DF70E8">
        <w:rPr>
          <w:rFonts w:ascii="Simplified Arabic" w:hAnsi="Simplified Arabic" w:cs="Simplified Arabic"/>
          <w:sz w:val="28"/>
          <w:szCs w:val="28"/>
        </w:rPr>
        <w:t>.</w:t>
      </w:r>
    </w:p>
    <w:p w14:paraId="0BFCF686" w14:textId="77777777" w:rsidR="00DF70E8" w:rsidRPr="00DF70E8" w:rsidRDefault="00DF70E8" w:rsidP="00DF70E8">
      <w:pPr>
        <w:jc w:val="lowKashida"/>
        <w:rPr>
          <w:rFonts w:ascii="Simplified Arabic" w:hAnsi="Simplified Arabic" w:cs="Simplified Arabic"/>
          <w:b/>
          <w:bCs/>
          <w:sz w:val="28"/>
          <w:szCs w:val="28"/>
        </w:rPr>
      </w:pPr>
      <w:r w:rsidRPr="00DF70E8">
        <w:rPr>
          <w:rFonts w:ascii="Simplified Arabic" w:hAnsi="Simplified Arabic" w:cs="Simplified Arabic"/>
          <w:b/>
          <w:bCs/>
          <w:sz w:val="28"/>
          <w:szCs w:val="28"/>
          <w:rtl/>
        </w:rPr>
        <w:t>أولاً: نظرية إدارة المشاريع التقليدية</w:t>
      </w:r>
      <w:r w:rsidRPr="00DF70E8">
        <w:rPr>
          <w:rFonts w:ascii="Simplified Arabic" w:hAnsi="Simplified Arabic" w:cs="Simplified Arabic"/>
          <w:b/>
          <w:bCs/>
          <w:sz w:val="28"/>
          <w:szCs w:val="28"/>
        </w:rPr>
        <w:t xml:space="preserve"> (Traditional Project Management)</w:t>
      </w:r>
    </w:p>
    <w:p w14:paraId="028A23C3"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تشكل نظرية إدارة المشاريع التقليدية الحجر الأساس في تحليل المنهجيات المستخدمة في تخطيط وتنفيذ المشاريع، وتُعد واحدة من أقدم النظريات التي طُورت لفهم عمليات إدارة المشروعات بكفاءة وفعالية. وتتميز هذه النظرية بتركيزها على التسلسل المنطقي للأنشطة، والتخطيط المسبق الدقيق، والتحكم في الموارد، وتقييم الأداء وفق مؤشرات محددة مسبقاً (الشهري، محمد، 2018، ص 45). ومن بين أهم المنهجيات التي تعتمد عليها هذه النظرية هي منهجية</w:t>
      </w:r>
      <w:r w:rsidRPr="00DF70E8">
        <w:rPr>
          <w:rFonts w:ascii="Simplified Arabic" w:hAnsi="Simplified Arabic" w:cs="Simplified Arabic"/>
          <w:sz w:val="28"/>
          <w:szCs w:val="28"/>
        </w:rPr>
        <w:t xml:space="preserve"> PMBOK (Project Management Body of Knowledge) </w:t>
      </w:r>
      <w:r w:rsidRPr="00DF70E8">
        <w:rPr>
          <w:rFonts w:ascii="Simplified Arabic" w:hAnsi="Simplified Arabic" w:cs="Simplified Arabic"/>
          <w:sz w:val="28"/>
          <w:szCs w:val="28"/>
          <w:rtl/>
        </w:rPr>
        <w:t>و</w:t>
      </w:r>
      <w:r w:rsidRPr="00DF70E8">
        <w:rPr>
          <w:rFonts w:ascii="Simplified Arabic" w:hAnsi="Simplified Arabic" w:cs="Simplified Arabic"/>
          <w:sz w:val="28"/>
          <w:szCs w:val="28"/>
        </w:rPr>
        <w:t>PRINCE2 (Projects IN Controlled Environments).</w:t>
      </w:r>
    </w:p>
    <w:p w14:paraId="088AA258"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ووفقاً لما ذكره الباحثون</w:t>
      </w:r>
      <w:r w:rsidRPr="00DF70E8">
        <w:rPr>
          <w:rFonts w:ascii="Simplified Arabic" w:hAnsi="Simplified Arabic" w:cs="Simplified Arabic"/>
          <w:sz w:val="28"/>
          <w:szCs w:val="28"/>
        </w:rPr>
        <w:t xml:space="preserve"> (Kerzner, Harold, 2017</w:t>
      </w:r>
      <w:r w:rsidRPr="00DF70E8">
        <w:rPr>
          <w:rFonts w:ascii="Simplified Arabic" w:hAnsi="Simplified Arabic" w:cs="Simplified Arabic"/>
          <w:sz w:val="28"/>
          <w:szCs w:val="28"/>
          <w:rtl/>
        </w:rPr>
        <w:t xml:space="preserve">، ص 112)، فإن نظرية إدارة المشاريع التقليدية تناسب إلى حد كبير المشاريع ذات الطبيعة الثابتة، والتي يمكن تحديد متطلباتها بدقة منذ البداية، وتتميز بغياب التغييرات الكبيرة خلال مراحل التنفيذ. وفي هذا السياق، تشير نتائج الدراسات إلى أن </w:t>
      </w:r>
      <w:r w:rsidRPr="00DF70E8">
        <w:rPr>
          <w:rFonts w:ascii="Simplified Arabic" w:hAnsi="Simplified Arabic" w:cs="Simplified Arabic"/>
          <w:sz w:val="28"/>
          <w:szCs w:val="28"/>
          <w:rtl/>
        </w:rPr>
        <w:lastRenderedPageBreak/>
        <w:t>هذه النظرية توفر بنية إدارية قوية تساعد في تحقيق السيطرة على الجدول الزمني والميزانية وجودة المنتج النهائي (الحميد، أحمد، 2019، ص 67). ومع ذلك، تُظهر العديد من الدراسات أن هذه النظرية تواجه تحديات كبيرة عند تطبيقها في المشاريع ذات الطبيعة المتغيرة، حيث يكون من الصعب الالتزام بتخطيط ثابت نتيجة للتغيرات السريعة في المتطلبات أو في البيئة الخارجية</w:t>
      </w:r>
      <w:r w:rsidRPr="00DF70E8">
        <w:rPr>
          <w:rFonts w:ascii="Simplified Arabic" w:hAnsi="Simplified Arabic" w:cs="Simplified Arabic"/>
          <w:sz w:val="28"/>
          <w:szCs w:val="28"/>
        </w:rPr>
        <w:t xml:space="preserve"> (Turner, J. Rodney &amp; Crawford, Lynn H., 2020</w:t>
      </w:r>
      <w:r w:rsidRPr="00DF70E8">
        <w:rPr>
          <w:rFonts w:ascii="Simplified Arabic" w:hAnsi="Simplified Arabic" w:cs="Simplified Arabic"/>
          <w:sz w:val="28"/>
          <w:szCs w:val="28"/>
          <w:rtl/>
        </w:rPr>
        <w:t>، ص 203</w:t>
      </w:r>
      <w:r w:rsidRPr="00DF70E8">
        <w:rPr>
          <w:rFonts w:ascii="Simplified Arabic" w:hAnsi="Simplified Arabic" w:cs="Simplified Arabic"/>
          <w:sz w:val="28"/>
          <w:szCs w:val="28"/>
        </w:rPr>
        <w:t>).</w:t>
      </w:r>
    </w:p>
    <w:p w14:paraId="4982CDC8"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ومن هنا جاء اختيار هذه النظرية كأحد الأسس النظرية الرئيسية في البحث الحالي، ليس فقط لأنها ما زالت تُستخدم على نطاق واسع في المؤسسات الكبرى ذات الثقافة التنظيمية الصارمة، ولكن أيضاً لأنها تمثل أحد العمودين الأساسيين في النماذج الهجينة التي تهدف إلى الجمع بين الانضباط الإداري والمرونة التشغيلية (الزهراني، خالد، 2022، ص 145). ولذلك، فإن فهم الآليات التي تعتمدها هذه النظرية ضروري لتحديد نقاط القوة والضعف فيها، وكيف يمكن دمجها مع منهجيات أكثر مرونة لتحقيق أفضل النتائج</w:t>
      </w:r>
      <w:r w:rsidRPr="00DF70E8">
        <w:rPr>
          <w:rFonts w:ascii="Simplified Arabic" w:hAnsi="Simplified Arabic" w:cs="Simplified Arabic"/>
          <w:sz w:val="28"/>
          <w:szCs w:val="28"/>
        </w:rPr>
        <w:t>.</w:t>
      </w:r>
    </w:p>
    <w:p w14:paraId="3A1D4AE3" w14:textId="77777777" w:rsidR="00DF70E8" w:rsidRPr="00DF70E8" w:rsidRDefault="00DF70E8" w:rsidP="00DF70E8">
      <w:pPr>
        <w:jc w:val="lowKashida"/>
        <w:rPr>
          <w:rFonts w:ascii="Simplified Arabic" w:hAnsi="Simplified Arabic" w:cs="Simplified Arabic"/>
          <w:b/>
          <w:bCs/>
          <w:sz w:val="28"/>
          <w:szCs w:val="28"/>
        </w:rPr>
      </w:pPr>
      <w:r w:rsidRPr="00DF70E8">
        <w:rPr>
          <w:rFonts w:ascii="Simplified Arabic" w:hAnsi="Simplified Arabic" w:cs="Simplified Arabic"/>
          <w:b/>
          <w:bCs/>
          <w:sz w:val="28"/>
          <w:szCs w:val="28"/>
          <w:rtl/>
        </w:rPr>
        <w:t>ثانياً: نظرية الإدارة الرشيقة</w:t>
      </w:r>
      <w:r w:rsidRPr="00DF70E8">
        <w:rPr>
          <w:rFonts w:ascii="Simplified Arabic" w:hAnsi="Simplified Arabic" w:cs="Simplified Arabic"/>
          <w:b/>
          <w:bCs/>
          <w:sz w:val="28"/>
          <w:szCs w:val="28"/>
        </w:rPr>
        <w:t xml:space="preserve"> (Agile Management Theory)</w:t>
      </w:r>
    </w:p>
    <w:p w14:paraId="10CEBDD6"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على النقيض من نظرية الإدارة التقليدية، تركز نظرية الإدارة الرشيقة على المرونة، والسرعة، والتفاعل المستمر مع أصحاب المصلحة، وقدرة الفريق على التكيف مع التغيرات السريعة أثناء مراحل تنفيذ المشروع. وقد ظهرت هذه النظرية كرد فعل طبيعي على العيوب التي كانت موجودة في المنهجيات التقليدية، وخاصة فيما يتعلق ببطء الاستجابة للتغيرات و</w:t>
      </w:r>
      <w:r w:rsidRPr="00DF70E8">
        <w:rPr>
          <w:rFonts w:ascii="Simplified Arabic" w:hAnsi="Simplified Arabic" w:cs="Simplified Arabic"/>
          <w:sz w:val="28"/>
          <w:szCs w:val="28"/>
        </w:rPr>
        <w:t xml:space="preserve"> rigidity </w:t>
      </w:r>
      <w:r w:rsidRPr="00DF70E8">
        <w:rPr>
          <w:rFonts w:ascii="Simplified Arabic" w:hAnsi="Simplified Arabic" w:cs="Simplified Arabic"/>
          <w:sz w:val="28"/>
          <w:szCs w:val="28"/>
          <w:rtl/>
        </w:rPr>
        <w:t>في البنية الإدارية</w:t>
      </w:r>
      <w:r w:rsidRPr="00DF70E8">
        <w:rPr>
          <w:rFonts w:ascii="Simplified Arabic" w:hAnsi="Simplified Arabic" w:cs="Simplified Arabic"/>
          <w:sz w:val="28"/>
          <w:szCs w:val="28"/>
        </w:rPr>
        <w:t xml:space="preserve"> (Smith, John, 2016</w:t>
      </w:r>
      <w:r w:rsidRPr="00DF70E8">
        <w:rPr>
          <w:rFonts w:ascii="Simplified Arabic" w:hAnsi="Simplified Arabic" w:cs="Simplified Arabic"/>
          <w:sz w:val="28"/>
          <w:szCs w:val="28"/>
          <w:rtl/>
        </w:rPr>
        <w:t>، ص 118). ومن أبرز المنهجيات التي تستند إليها هذه النظرية كل من</w:t>
      </w:r>
      <w:r w:rsidRPr="00DF70E8">
        <w:rPr>
          <w:rFonts w:ascii="Simplified Arabic" w:hAnsi="Simplified Arabic" w:cs="Simplified Arabic"/>
          <w:sz w:val="28"/>
          <w:szCs w:val="28"/>
        </w:rPr>
        <w:t xml:space="preserve"> Scrum </w:t>
      </w:r>
      <w:r w:rsidRPr="00DF70E8">
        <w:rPr>
          <w:rFonts w:ascii="Simplified Arabic" w:hAnsi="Simplified Arabic" w:cs="Simplified Arabic"/>
          <w:sz w:val="28"/>
          <w:szCs w:val="28"/>
          <w:rtl/>
        </w:rPr>
        <w:t>و</w:t>
      </w:r>
      <w:r w:rsidRPr="00DF70E8">
        <w:rPr>
          <w:rFonts w:ascii="Simplified Arabic" w:hAnsi="Simplified Arabic" w:cs="Simplified Arabic"/>
          <w:sz w:val="28"/>
          <w:szCs w:val="28"/>
        </w:rPr>
        <w:t xml:space="preserve">Kanban </w:t>
      </w:r>
      <w:r w:rsidRPr="00DF70E8">
        <w:rPr>
          <w:rFonts w:ascii="Simplified Arabic" w:hAnsi="Simplified Arabic" w:cs="Simplified Arabic"/>
          <w:sz w:val="28"/>
          <w:szCs w:val="28"/>
          <w:rtl/>
        </w:rPr>
        <w:t>و</w:t>
      </w:r>
      <w:r w:rsidRPr="00DF70E8">
        <w:rPr>
          <w:rFonts w:ascii="Simplified Arabic" w:hAnsi="Simplified Arabic" w:cs="Simplified Arabic"/>
          <w:sz w:val="28"/>
          <w:szCs w:val="28"/>
        </w:rPr>
        <w:t>Lean.</w:t>
      </w:r>
    </w:p>
    <w:p w14:paraId="66556646"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ويؤكد الباحثون</w:t>
      </w:r>
      <w:r w:rsidRPr="00DF70E8">
        <w:rPr>
          <w:rFonts w:ascii="Simplified Arabic" w:hAnsi="Simplified Arabic" w:cs="Simplified Arabic"/>
          <w:sz w:val="28"/>
          <w:szCs w:val="28"/>
        </w:rPr>
        <w:t xml:space="preserve"> (Schwaber, Ken &amp; Sutherland, Jeff, 2020</w:t>
      </w:r>
      <w:r w:rsidRPr="00DF70E8">
        <w:rPr>
          <w:rFonts w:ascii="Simplified Arabic" w:hAnsi="Simplified Arabic" w:cs="Simplified Arabic"/>
          <w:sz w:val="28"/>
          <w:szCs w:val="28"/>
          <w:rtl/>
        </w:rPr>
        <w:t>، ص 33) أن نظرية الإدارة الرشيقة تقوم على مجموعة من القيم الأساسية مثل التعاون بين الأفراد، والتفاعل المباشر، والاستجابة للتغيير، وتقديم قيمة عملاء عالية الجودة باستمرار. ويشير بعض الباحثين العرب (البدر، ناصر، 2021، ص 110) إلى أن هذه النظرية قد حققت انتشاراً واسعاً في مجال تكنولوجيا المعلومات، حيث تكون طبيعة المشاريع فيها متغيرة وسريعة التطور، مما يجعل من الضروري استخدام منهجيات قادرة على التفاعل السريع مع المتطلبات الجديدة</w:t>
      </w:r>
      <w:r w:rsidRPr="00DF70E8">
        <w:rPr>
          <w:rFonts w:ascii="Simplified Arabic" w:hAnsi="Simplified Arabic" w:cs="Simplified Arabic"/>
          <w:sz w:val="28"/>
          <w:szCs w:val="28"/>
        </w:rPr>
        <w:t>.</w:t>
      </w:r>
    </w:p>
    <w:p w14:paraId="754179B9"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ومع ذلك، يرى العديد من الخبراء</w:t>
      </w:r>
      <w:r w:rsidRPr="00DF70E8">
        <w:rPr>
          <w:rFonts w:ascii="Simplified Arabic" w:hAnsi="Simplified Arabic" w:cs="Simplified Arabic"/>
          <w:sz w:val="28"/>
          <w:szCs w:val="28"/>
        </w:rPr>
        <w:t xml:space="preserve"> (</w:t>
      </w:r>
      <w:proofErr w:type="spellStart"/>
      <w:r w:rsidRPr="00DF70E8">
        <w:rPr>
          <w:rFonts w:ascii="Simplified Arabic" w:hAnsi="Simplified Arabic" w:cs="Simplified Arabic"/>
          <w:sz w:val="28"/>
          <w:szCs w:val="28"/>
        </w:rPr>
        <w:t>Dingsøyr</w:t>
      </w:r>
      <w:proofErr w:type="spellEnd"/>
      <w:r w:rsidRPr="00DF70E8">
        <w:rPr>
          <w:rFonts w:ascii="Simplified Arabic" w:hAnsi="Simplified Arabic" w:cs="Simplified Arabic"/>
          <w:sz w:val="28"/>
          <w:szCs w:val="28"/>
        </w:rPr>
        <w:t>, Torgeir et al., 2018</w:t>
      </w:r>
      <w:r w:rsidRPr="00DF70E8">
        <w:rPr>
          <w:rFonts w:ascii="Simplified Arabic" w:hAnsi="Simplified Arabic" w:cs="Simplified Arabic"/>
          <w:sz w:val="28"/>
          <w:szCs w:val="28"/>
          <w:rtl/>
        </w:rPr>
        <w:t xml:space="preserve">، ص 78) أن هذه النظرية تواجه تحديات كبيرة عند تطبيقها في البيئات التنظيمية الصارمة، حيث تكون هناك حاجة إلى وجود </w:t>
      </w:r>
      <w:r w:rsidRPr="00DF70E8">
        <w:rPr>
          <w:rFonts w:ascii="Simplified Arabic" w:hAnsi="Simplified Arabic" w:cs="Simplified Arabic"/>
          <w:sz w:val="28"/>
          <w:szCs w:val="28"/>
          <w:rtl/>
        </w:rPr>
        <w:lastRenderedPageBreak/>
        <w:t>آليات رسمية للرقابة والإشراف، وإلى توثيق شامل لكل مراحل العمل، وهو ما لا يتماشى دائماً مع مبادئ الإدارة الرشيقة التي تفضل التخفيض من الروتين الإداري الرسمي. وبالتالي، فإن دور هذه النظرية في البحث الحالي هو تقديم الفهم اللازم لكيفية تحقيق المرونة المطلوبة في المشاريع المتغيرة، وكيف يمكن التغلب على التحديات التنظيمية التي قد تعيق تبنيها بشكل كامل، مما يؤدي إلى الحاجة إلى نماذج هجينة</w:t>
      </w:r>
      <w:r w:rsidRPr="00DF70E8">
        <w:rPr>
          <w:rFonts w:ascii="Simplified Arabic" w:hAnsi="Simplified Arabic" w:cs="Simplified Arabic"/>
          <w:sz w:val="28"/>
          <w:szCs w:val="28"/>
        </w:rPr>
        <w:t>.</w:t>
      </w:r>
    </w:p>
    <w:p w14:paraId="6BE7966E" w14:textId="77777777" w:rsidR="00DF70E8" w:rsidRPr="00DF70E8" w:rsidRDefault="00DF70E8" w:rsidP="00DF70E8">
      <w:pPr>
        <w:jc w:val="lowKashida"/>
        <w:rPr>
          <w:rFonts w:ascii="Simplified Arabic" w:hAnsi="Simplified Arabic" w:cs="Simplified Arabic"/>
          <w:b/>
          <w:bCs/>
          <w:sz w:val="28"/>
          <w:szCs w:val="28"/>
        </w:rPr>
      </w:pPr>
      <w:r w:rsidRPr="00DF70E8">
        <w:rPr>
          <w:rFonts w:ascii="Simplified Arabic" w:hAnsi="Simplified Arabic" w:cs="Simplified Arabic"/>
          <w:b/>
          <w:bCs/>
          <w:sz w:val="28"/>
          <w:szCs w:val="28"/>
          <w:rtl/>
        </w:rPr>
        <w:t>ثالثاً: نظرية النظم المفتوقة والمغلقة</w:t>
      </w:r>
      <w:r w:rsidRPr="00DF70E8">
        <w:rPr>
          <w:rFonts w:ascii="Simplified Arabic" w:hAnsi="Simplified Arabic" w:cs="Simplified Arabic"/>
          <w:b/>
          <w:bCs/>
          <w:sz w:val="28"/>
          <w:szCs w:val="28"/>
        </w:rPr>
        <w:t xml:space="preserve"> (Open and Closed Systems Theory)</w:t>
      </w:r>
    </w:p>
    <w:p w14:paraId="2E82ED47"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تنصب تركيز نظرية النظم المفتوقة والمغلقة على العلاقة بين النظام الداخلي (المشروع) والبيئة الخارجية التي يعمل ضمنها. ووفقاً لهذه النظرية، فإن أي مشروع لا يمكن فصله عن البيئة التي يعيش فيها، بل يجب اعتباره نظاماً مفتوحاً يتلقى مدخلات من البيئة ويصدر مخرجات إليها</w:t>
      </w:r>
      <w:r w:rsidRPr="00DF70E8">
        <w:rPr>
          <w:rFonts w:ascii="Simplified Arabic" w:hAnsi="Simplified Arabic" w:cs="Simplified Arabic"/>
          <w:sz w:val="28"/>
          <w:szCs w:val="28"/>
        </w:rPr>
        <w:t xml:space="preserve"> (Schein, Edgar H., 2019</w:t>
      </w:r>
      <w:r w:rsidRPr="00DF70E8">
        <w:rPr>
          <w:rFonts w:ascii="Simplified Arabic" w:hAnsi="Simplified Arabic" w:cs="Simplified Arabic"/>
          <w:sz w:val="28"/>
          <w:szCs w:val="28"/>
          <w:rtl/>
        </w:rPr>
        <w:t>، ص 94). وتشير الدراسات إلى أن هذه النظرية تقدم إطاراً مهماً لفهم كيفية تفاعل المشاريع مع العوامل الخارجية مثل السوق، والسياسات التنظيمية، والضغوط الاقتصادية، والتغيرات التكنولوجية (العسيري، عبد الله، 2020، ص 85</w:t>
      </w:r>
      <w:r w:rsidRPr="00DF70E8">
        <w:rPr>
          <w:rFonts w:ascii="Simplified Arabic" w:hAnsi="Simplified Arabic" w:cs="Simplified Arabic"/>
          <w:sz w:val="28"/>
          <w:szCs w:val="28"/>
        </w:rPr>
        <w:t>).</w:t>
      </w:r>
    </w:p>
    <w:p w14:paraId="6FD5853F"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ومن وجهة نظر الباحثين</w:t>
      </w:r>
      <w:r w:rsidRPr="00DF70E8">
        <w:rPr>
          <w:rFonts w:ascii="Simplified Arabic" w:hAnsi="Simplified Arabic" w:cs="Simplified Arabic"/>
          <w:sz w:val="28"/>
          <w:szCs w:val="28"/>
        </w:rPr>
        <w:t xml:space="preserve"> (Cummings, Thomas G. &amp; Worley, Christopher G., 2021</w:t>
      </w:r>
      <w:r w:rsidRPr="00DF70E8">
        <w:rPr>
          <w:rFonts w:ascii="Simplified Arabic" w:hAnsi="Simplified Arabic" w:cs="Simplified Arabic"/>
          <w:sz w:val="28"/>
          <w:szCs w:val="28"/>
          <w:rtl/>
        </w:rPr>
        <w:t>، ص 156)، فإن استخدام هذه النظرية في سياق إدارة المشاريع يساعد في تفسير كيف يمكن للمشاريع أن تتأثر بالعوامل البيئية المختلفة، وكيف يمكن لها التكيف مع هذه العوامل لتبقى فعالة. كما تشير الأدلة إلى أن النماذج الهجينة تحتاج إلى الاعتماد على هذه النظرية بشكل خاص، لأنها تتعامل مع مشاريع تتغير طبيعتها باستمرار بسبب تأثيرات خارجية، وبالتالي فإن فهم هذه التفاعلات يساهم في تحسين تصميم النموذج الإداري المناسب (البنا، يوسف، 2022، ص 127</w:t>
      </w:r>
      <w:r w:rsidRPr="00DF70E8">
        <w:rPr>
          <w:rFonts w:ascii="Simplified Arabic" w:hAnsi="Simplified Arabic" w:cs="Simplified Arabic"/>
          <w:sz w:val="28"/>
          <w:szCs w:val="28"/>
        </w:rPr>
        <w:t>).</w:t>
      </w:r>
    </w:p>
    <w:p w14:paraId="6D65B486"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وعلاوة على ذلك، فإن هذه النظرية تقدم تفسيراً لسبب فشل بعض المنهجيات في البيئات التنظيمية الصارمة، حيث تكون هناك مقاومة داخلية للاستجابة للتغيرات الخارجية، وهو ما يؤدي إلى انقطاع التواصل بين المشروع والبيئة المحيطة به، وبالتالي عدم تحقيق الأهداف المرجوة</w:t>
      </w:r>
      <w:r w:rsidRPr="00DF70E8">
        <w:rPr>
          <w:rFonts w:ascii="Simplified Arabic" w:hAnsi="Simplified Arabic" w:cs="Simplified Arabic"/>
          <w:sz w:val="28"/>
          <w:szCs w:val="28"/>
        </w:rPr>
        <w:t xml:space="preserve"> (Morgan, Gareth, 2018</w:t>
      </w:r>
      <w:r w:rsidRPr="00DF70E8">
        <w:rPr>
          <w:rFonts w:ascii="Simplified Arabic" w:hAnsi="Simplified Arabic" w:cs="Simplified Arabic"/>
          <w:sz w:val="28"/>
          <w:szCs w:val="28"/>
          <w:rtl/>
        </w:rPr>
        <w:t>، ص 102). لذلك، فإن استخدام هذه النظرية في البحث الحالي يساعد على فهم كيف يمكن للنماذج الهجينة أن تعمل كجسر بين النظام الداخلي للمشروع والبيئة الخارجية، بحيث تتيح استقبال المدخلات والتغيرات بسلاسة، وتحويلها إلى مخرجات فعالة</w:t>
      </w:r>
      <w:r w:rsidRPr="00DF70E8">
        <w:rPr>
          <w:rFonts w:ascii="Simplified Arabic" w:hAnsi="Simplified Arabic" w:cs="Simplified Arabic"/>
          <w:sz w:val="28"/>
          <w:szCs w:val="28"/>
        </w:rPr>
        <w:t>.</w:t>
      </w:r>
    </w:p>
    <w:p w14:paraId="71CB7595" w14:textId="77777777" w:rsidR="00DF70E8" w:rsidRPr="00DF70E8" w:rsidRDefault="00DF70E8" w:rsidP="00DF70E8">
      <w:pPr>
        <w:jc w:val="lowKashida"/>
        <w:rPr>
          <w:rFonts w:ascii="Simplified Arabic" w:hAnsi="Simplified Arabic" w:cs="Simplified Arabic"/>
          <w:b/>
          <w:bCs/>
          <w:sz w:val="28"/>
          <w:szCs w:val="28"/>
        </w:rPr>
      </w:pPr>
      <w:r w:rsidRPr="00DF70E8">
        <w:rPr>
          <w:rFonts w:ascii="Simplified Arabic" w:hAnsi="Simplified Arabic" w:cs="Simplified Arabic"/>
          <w:b/>
          <w:bCs/>
          <w:sz w:val="28"/>
          <w:szCs w:val="28"/>
          <w:rtl/>
        </w:rPr>
        <w:t>رابعاً: نظرية التكيف التنظيمي</w:t>
      </w:r>
      <w:r w:rsidRPr="00DF70E8">
        <w:rPr>
          <w:rFonts w:ascii="Simplified Arabic" w:hAnsi="Simplified Arabic" w:cs="Simplified Arabic"/>
          <w:b/>
          <w:bCs/>
          <w:sz w:val="28"/>
          <w:szCs w:val="28"/>
        </w:rPr>
        <w:t xml:space="preserve"> (Organizational Adaptation Theory)</w:t>
      </w:r>
    </w:p>
    <w:p w14:paraId="256ACD8A"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lastRenderedPageBreak/>
        <w:t>تُعد نظرية التكيف التنظيمي من النظريات الحديثة التي تتناول قدرة المنظمات على التكيف مع التغيرات الداخلية والخارجية، سواء من حيث الهيكل الإداري أو العمليات التشغيلية أو الثقافة التنظيمية. ووفقاً لهذه النظرية، فإن المنظمات التي تتمكن من التكيف بسرعة مع التغيرات ستكون أكثر قدرة على البقاء والنجاح في بيئة تنافسية تتغير باستمرار</w:t>
      </w:r>
      <w:r w:rsidRPr="00DF70E8">
        <w:rPr>
          <w:rFonts w:ascii="Simplified Arabic" w:hAnsi="Simplified Arabic" w:cs="Simplified Arabic"/>
          <w:sz w:val="28"/>
          <w:szCs w:val="28"/>
        </w:rPr>
        <w:t xml:space="preserve"> (Burns, Tom &amp; Stalker, G.M., 2020</w:t>
      </w:r>
      <w:r w:rsidRPr="00DF70E8">
        <w:rPr>
          <w:rFonts w:ascii="Simplified Arabic" w:hAnsi="Simplified Arabic" w:cs="Simplified Arabic"/>
          <w:sz w:val="28"/>
          <w:szCs w:val="28"/>
          <w:rtl/>
        </w:rPr>
        <w:t>، ص 67). ويشير الباحثون (الشهري، محمد، 2018، ص 52) إلى أن هذه النظرية تقدم إطاراً نظرياً مهماً لفهم كيفية تعديل المنظمات لأساليبها الإدارية بما يتناسب مع طبيعة المشاريع التي تديرها</w:t>
      </w:r>
      <w:r w:rsidRPr="00DF70E8">
        <w:rPr>
          <w:rFonts w:ascii="Simplified Arabic" w:hAnsi="Simplified Arabic" w:cs="Simplified Arabic"/>
          <w:sz w:val="28"/>
          <w:szCs w:val="28"/>
        </w:rPr>
        <w:t>.</w:t>
      </w:r>
    </w:p>
    <w:p w14:paraId="0D5BFD14"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ومن المعروف أن معظم المؤسسات الكبرى تعمل في بيئة تنظيمية صارمة، حيث تكون هناك قواعد وإجراءات رسمية تحكم سير العمل، وغالباً ما تكون هذه البيئة غير مرنة، مما يصعب من عملية تبني منهجيات جديدة مثل النماذج الهجينة</w:t>
      </w:r>
      <w:r w:rsidRPr="00DF70E8">
        <w:rPr>
          <w:rFonts w:ascii="Simplified Arabic" w:hAnsi="Simplified Arabic" w:cs="Simplified Arabic"/>
          <w:sz w:val="28"/>
          <w:szCs w:val="28"/>
        </w:rPr>
        <w:t xml:space="preserve"> (Brown, Thomas &amp; Lee, David, 2019</w:t>
      </w:r>
      <w:r w:rsidRPr="00DF70E8">
        <w:rPr>
          <w:rFonts w:ascii="Simplified Arabic" w:hAnsi="Simplified Arabic" w:cs="Simplified Arabic"/>
          <w:sz w:val="28"/>
          <w:szCs w:val="28"/>
          <w:rtl/>
        </w:rPr>
        <w:t xml:space="preserve">، ص 49). وهنا تأتي أهمية النظرية في أنها تقدم </w:t>
      </w:r>
      <w:proofErr w:type="spellStart"/>
      <w:r w:rsidRPr="00DF70E8">
        <w:rPr>
          <w:rFonts w:ascii="Simplified Arabic" w:hAnsi="Simplified Arabic" w:cs="Simplified Arabic"/>
          <w:sz w:val="28"/>
          <w:szCs w:val="28"/>
          <w:rtl/>
        </w:rPr>
        <w:t>حلولاًا</w:t>
      </w:r>
      <w:proofErr w:type="spellEnd"/>
      <w:r w:rsidRPr="00DF70E8">
        <w:rPr>
          <w:rFonts w:ascii="Simplified Arabic" w:hAnsi="Simplified Arabic" w:cs="Simplified Arabic"/>
          <w:sz w:val="28"/>
          <w:szCs w:val="28"/>
          <w:rtl/>
        </w:rPr>
        <w:t xml:space="preserve"> عملية لجعل المنظمة أكثر قدرة على التكيف مع التغيرات، سواء من خلال إعادة هيكلة الفرق، أو تعديل السياسات الداخلية، أو توفير بيئة ثقافية داعمة للتغيير (الحميد، أحمد، 2019، ص 101</w:t>
      </w:r>
      <w:r w:rsidRPr="00DF70E8">
        <w:rPr>
          <w:rFonts w:ascii="Simplified Arabic" w:hAnsi="Simplified Arabic" w:cs="Simplified Arabic"/>
          <w:sz w:val="28"/>
          <w:szCs w:val="28"/>
        </w:rPr>
        <w:t>).</w:t>
      </w:r>
    </w:p>
    <w:p w14:paraId="1D08A8DB"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وتضيف الأبحاث</w:t>
      </w:r>
      <w:r w:rsidRPr="00DF70E8">
        <w:rPr>
          <w:rFonts w:ascii="Simplified Arabic" w:hAnsi="Simplified Arabic" w:cs="Simplified Arabic"/>
          <w:sz w:val="28"/>
          <w:szCs w:val="28"/>
        </w:rPr>
        <w:t xml:space="preserve"> (Van der </w:t>
      </w:r>
      <w:proofErr w:type="spellStart"/>
      <w:r w:rsidRPr="00DF70E8">
        <w:rPr>
          <w:rFonts w:ascii="Simplified Arabic" w:hAnsi="Simplified Arabic" w:cs="Simplified Arabic"/>
          <w:sz w:val="28"/>
          <w:szCs w:val="28"/>
        </w:rPr>
        <w:t>Vegt</w:t>
      </w:r>
      <w:proofErr w:type="spellEnd"/>
      <w:r w:rsidRPr="00DF70E8">
        <w:rPr>
          <w:rFonts w:ascii="Simplified Arabic" w:hAnsi="Simplified Arabic" w:cs="Simplified Arabic"/>
          <w:sz w:val="28"/>
          <w:szCs w:val="28"/>
        </w:rPr>
        <w:t>, Gerben S. &amp; Janssen, Oliver, 2021</w:t>
      </w:r>
      <w:r w:rsidRPr="00DF70E8">
        <w:rPr>
          <w:rFonts w:ascii="Simplified Arabic" w:hAnsi="Simplified Arabic" w:cs="Simplified Arabic"/>
          <w:sz w:val="28"/>
          <w:szCs w:val="28"/>
          <w:rtl/>
        </w:rPr>
        <w:t>، ص 88) أن هذه النظرية تلعب دوراً محورياً في فهم كيفية تفاعل الموظفين مع التغيرات التنظيمية، وما هي العوامل النفسية والاجتماعية التي تؤثر على قبولهم للتغيير. وبالتالي، فإن استخدام هذه النظرية في البحث الحالي يساعد في تفسير كيف يمكن للمنظمات الصارمة أن تُحدث تحوّلاً داخلياً يدعم تبني النماذج الهجينة، وكيف يمكن تقليل المقاومة الداخلية التي قد تعرقل تطبيق هذه النماذج</w:t>
      </w:r>
      <w:r w:rsidRPr="00DF70E8">
        <w:rPr>
          <w:rFonts w:ascii="Simplified Arabic" w:hAnsi="Simplified Arabic" w:cs="Simplified Arabic"/>
          <w:sz w:val="28"/>
          <w:szCs w:val="28"/>
        </w:rPr>
        <w:t>.</w:t>
      </w:r>
    </w:p>
    <w:p w14:paraId="7042A310" w14:textId="77777777" w:rsidR="00DF70E8" w:rsidRPr="00DF70E8" w:rsidRDefault="00DF70E8" w:rsidP="00DF70E8">
      <w:pPr>
        <w:jc w:val="lowKashida"/>
        <w:rPr>
          <w:rFonts w:ascii="Simplified Arabic" w:hAnsi="Simplified Arabic" w:cs="Simplified Arabic"/>
          <w:b/>
          <w:bCs/>
          <w:sz w:val="28"/>
          <w:szCs w:val="28"/>
        </w:rPr>
      </w:pPr>
      <w:r w:rsidRPr="00DF70E8">
        <w:rPr>
          <w:rFonts w:ascii="Simplified Arabic" w:hAnsi="Simplified Arabic" w:cs="Simplified Arabic"/>
          <w:b/>
          <w:bCs/>
          <w:sz w:val="28"/>
          <w:szCs w:val="28"/>
          <w:rtl/>
        </w:rPr>
        <w:t>خامساً: التكامل بين النظريات في إطار البحث</w:t>
      </w:r>
    </w:p>
    <w:p w14:paraId="47767DEB"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 xml:space="preserve">بناءً على ما سبق، فإن البحث الحالي لا يعتمد على نظرية واحدة فقط، بل يستند إلى تكامل بين النظريات الأربع السابقة </w:t>
      </w:r>
      <w:r w:rsidRPr="00DF70E8">
        <w:rPr>
          <w:rFonts w:ascii="Simplified Arabic" w:hAnsi="Simplified Arabic" w:cs="Simplified Arabic"/>
          <w:sz w:val="28"/>
          <w:szCs w:val="28"/>
        </w:rPr>
        <w:t xml:space="preserve">– </w:t>
      </w:r>
      <w:r w:rsidRPr="00DF70E8">
        <w:rPr>
          <w:rFonts w:ascii="Simplified Arabic" w:hAnsi="Simplified Arabic" w:cs="Simplified Arabic"/>
          <w:sz w:val="28"/>
          <w:szCs w:val="28"/>
          <w:rtl/>
        </w:rPr>
        <w:t>نظرية إدارة المشاريع التقليدية، ونظرية الإدارة الرشيقة، ونظرية النظم المفتوقة والمغلقة، ونظرية التكيف التنظيمي – لفهم كيفية تطبيق النماذج الهجينة في بيئات معقدة ومتغيرة. ويشير الباحثون</w:t>
      </w:r>
      <w:r w:rsidRPr="00DF70E8">
        <w:rPr>
          <w:rFonts w:ascii="Simplified Arabic" w:hAnsi="Simplified Arabic" w:cs="Simplified Arabic"/>
          <w:sz w:val="28"/>
          <w:szCs w:val="28"/>
        </w:rPr>
        <w:t xml:space="preserve"> (Anderson, Michael, 2020</w:t>
      </w:r>
      <w:r w:rsidRPr="00DF70E8">
        <w:rPr>
          <w:rFonts w:ascii="Simplified Arabic" w:hAnsi="Simplified Arabic" w:cs="Simplified Arabic"/>
          <w:sz w:val="28"/>
          <w:szCs w:val="28"/>
          <w:rtl/>
        </w:rPr>
        <w:t>، ص 73) إلى أن هذا النوع من التكامل النظري يمنح البحث قوة تحليلية أكبر، ويسمح بدراسة الموضوع من عدة زوايا، مما يعزز الشمولية والعمق في الفهم</w:t>
      </w:r>
      <w:r w:rsidRPr="00DF70E8">
        <w:rPr>
          <w:rFonts w:ascii="Simplified Arabic" w:hAnsi="Simplified Arabic" w:cs="Simplified Arabic"/>
          <w:sz w:val="28"/>
          <w:szCs w:val="28"/>
        </w:rPr>
        <w:t>.</w:t>
      </w:r>
    </w:p>
    <w:p w14:paraId="27C989CC"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 xml:space="preserve">ومن وجهة نظر أخرى، يرى الباحثون العرب (البدر، ناصر، 2021، ص 115) أن هذا التكامل يعكس الواقع المعقد الذي تعمل فيه المؤسسات اليوم، حيث لا يمكن فصل مشروع عن بيئته التنظيمية، </w:t>
      </w:r>
      <w:r w:rsidRPr="00DF70E8">
        <w:rPr>
          <w:rFonts w:ascii="Simplified Arabic" w:hAnsi="Simplified Arabic" w:cs="Simplified Arabic"/>
          <w:sz w:val="28"/>
          <w:szCs w:val="28"/>
          <w:rtl/>
        </w:rPr>
        <w:lastRenderedPageBreak/>
        <w:t>ولا يمكن فهم سلوكه إلا من خلال دراسة تفاعلاته مع مختلف العوامل الداخلية والخارجية. وبالتالي، فإن استخدام هذا الإطار النظري الواسع يتيح للباحث تحديد نقاط القوة والضعف في النماذج الهجينة، وتحليل التحديات التي تواجه تطبيقها، واقتراح حلول عملية قائمة على أسس نظرية متينة</w:t>
      </w:r>
      <w:r w:rsidRPr="00DF70E8">
        <w:rPr>
          <w:rFonts w:ascii="Simplified Arabic" w:hAnsi="Simplified Arabic" w:cs="Simplified Arabic"/>
          <w:sz w:val="28"/>
          <w:szCs w:val="28"/>
        </w:rPr>
        <w:t>.</w:t>
      </w:r>
    </w:p>
    <w:p w14:paraId="79B82063" w14:textId="77777777" w:rsidR="00DF70E8" w:rsidRPr="00DF70E8" w:rsidRDefault="00DF70E8" w:rsidP="00DF70E8">
      <w:pPr>
        <w:jc w:val="lowKashida"/>
        <w:rPr>
          <w:rFonts w:ascii="Simplified Arabic" w:hAnsi="Simplified Arabic" w:cs="Simplified Arabic"/>
          <w:sz w:val="28"/>
          <w:szCs w:val="28"/>
        </w:rPr>
      </w:pPr>
      <w:r w:rsidRPr="00DF70E8">
        <w:rPr>
          <w:rFonts w:ascii="Simplified Arabic" w:hAnsi="Simplified Arabic" w:cs="Simplified Arabic"/>
          <w:sz w:val="28"/>
          <w:szCs w:val="28"/>
          <w:rtl/>
        </w:rPr>
        <w:t>وأخيراً، فإن اختيار هذه النظريات لم يكن عشوائياً، بل كان مدروساً بناءً على مدى توافقها مع طبيعة المشكلة البحثية، ووضوحها في تقديم أدوات تحليلية يمكن استخدامها في فهم سلوك المشروعات والبيئات التنظيمية المحيطة بها. وبذلك، يصبح البحث الحالي مرجعاً علمياً مهماً لأصحاب القرار والممارسين في مجال إدارة المشاريع، خاصة في المؤسسات التي تسعى إلى تبني نماذج هجينة لتحسين كفاءة تنفيذ مشاريعها في بيئة تنظيمية صارمة</w:t>
      </w:r>
      <w:r w:rsidRPr="00DF70E8">
        <w:rPr>
          <w:rFonts w:ascii="Simplified Arabic" w:hAnsi="Simplified Arabic" w:cs="Simplified Arabic"/>
          <w:sz w:val="28"/>
          <w:szCs w:val="28"/>
        </w:rPr>
        <w:t>.</w:t>
      </w:r>
    </w:p>
    <w:p w14:paraId="43765CFA" w14:textId="77777777" w:rsidR="00DF70E8" w:rsidRDefault="00DF70E8" w:rsidP="00DF70E8">
      <w:pPr>
        <w:jc w:val="lowKashida"/>
        <w:rPr>
          <w:rFonts w:ascii="Simplified Arabic" w:hAnsi="Simplified Arabic" w:cs="Simplified Arabic"/>
          <w:sz w:val="28"/>
          <w:szCs w:val="28"/>
          <w:rtl/>
        </w:rPr>
      </w:pPr>
    </w:p>
    <w:p w14:paraId="71840496" w14:textId="77777777" w:rsidR="00F4231E" w:rsidRDefault="00F4231E" w:rsidP="00DF70E8">
      <w:pPr>
        <w:jc w:val="lowKashida"/>
        <w:rPr>
          <w:rFonts w:ascii="Simplified Arabic" w:hAnsi="Simplified Arabic" w:cs="Simplified Arabic"/>
          <w:sz w:val="28"/>
          <w:szCs w:val="28"/>
          <w:rtl/>
        </w:rPr>
      </w:pPr>
    </w:p>
    <w:p w14:paraId="70B0D032" w14:textId="77777777" w:rsidR="00F4231E" w:rsidRDefault="00F4231E" w:rsidP="00DF70E8">
      <w:pPr>
        <w:jc w:val="lowKashida"/>
        <w:rPr>
          <w:rFonts w:ascii="Simplified Arabic" w:hAnsi="Simplified Arabic" w:cs="Simplified Arabic"/>
          <w:sz w:val="28"/>
          <w:szCs w:val="28"/>
          <w:rtl/>
        </w:rPr>
      </w:pPr>
    </w:p>
    <w:p w14:paraId="1A82526D" w14:textId="77777777" w:rsidR="00F4231E" w:rsidRDefault="00F4231E" w:rsidP="00DF70E8">
      <w:pPr>
        <w:jc w:val="lowKashida"/>
        <w:rPr>
          <w:rFonts w:ascii="Simplified Arabic" w:hAnsi="Simplified Arabic" w:cs="Simplified Arabic"/>
          <w:sz w:val="28"/>
          <w:szCs w:val="28"/>
          <w:rtl/>
        </w:rPr>
      </w:pPr>
    </w:p>
    <w:p w14:paraId="14A0CEBB" w14:textId="77777777" w:rsidR="00F4231E" w:rsidRDefault="00F4231E" w:rsidP="00DF70E8">
      <w:pPr>
        <w:jc w:val="lowKashida"/>
        <w:rPr>
          <w:rFonts w:ascii="Simplified Arabic" w:hAnsi="Simplified Arabic" w:cs="Simplified Arabic"/>
          <w:sz w:val="28"/>
          <w:szCs w:val="28"/>
          <w:rtl/>
        </w:rPr>
      </w:pPr>
    </w:p>
    <w:p w14:paraId="78279912" w14:textId="77777777" w:rsidR="00F4231E" w:rsidRDefault="00F4231E" w:rsidP="00DF70E8">
      <w:pPr>
        <w:jc w:val="lowKashida"/>
        <w:rPr>
          <w:rFonts w:ascii="Simplified Arabic" w:hAnsi="Simplified Arabic" w:cs="Simplified Arabic"/>
          <w:sz w:val="28"/>
          <w:szCs w:val="28"/>
          <w:rtl/>
        </w:rPr>
      </w:pPr>
    </w:p>
    <w:p w14:paraId="22285023" w14:textId="77777777" w:rsidR="00F4231E" w:rsidRDefault="00F4231E" w:rsidP="00DF70E8">
      <w:pPr>
        <w:jc w:val="lowKashida"/>
        <w:rPr>
          <w:rFonts w:ascii="Simplified Arabic" w:hAnsi="Simplified Arabic" w:cs="Simplified Arabic"/>
          <w:sz w:val="28"/>
          <w:szCs w:val="28"/>
          <w:rtl/>
        </w:rPr>
      </w:pPr>
    </w:p>
    <w:p w14:paraId="7F970748" w14:textId="77777777" w:rsidR="00F4231E" w:rsidRDefault="00F4231E" w:rsidP="00DF70E8">
      <w:pPr>
        <w:jc w:val="lowKashida"/>
        <w:rPr>
          <w:rFonts w:ascii="Simplified Arabic" w:hAnsi="Simplified Arabic" w:cs="Simplified Arabic"/>
          <w:sz w:val="28"/>
          <w:szCs w:val="28"/>
          <w:rtl/>
        </w:rPr>
      </w:pPr>
    </w:p>
    <w:p w14:paraId="5FFF5AAD" w14:textId="77777777" w:rsidR="00F4231E" w:rsidRDefault="00F4231E" w:rsidP="00DF70E8">
      <w:pPr>
        <w:jc w:val="lowKashida"/>
        <w:rPr>
          <w:rFonts w:ascii="Simplified Arabic" w:hAnsi="Simplified Arabic" w:cs="Simplified Arabic"/>
          <w:sz w:val="28"/>
          <w:szCs w:val="28"/>
          <w:rtl/>
        </w:rPr>
      </w:pPr>
    </w:p>
    <w:p w14:paraId="6246930F" w14:textId="77777777" w:rsidR="00F4231E" w:rsidRDefault="00F4231E" w:rsidP="00DF70E8">
      <w:pPr>
        <w:jc w:val="lowKashida"/>
        <w:rPr>
          <w:rFonts w:ascii="Simplified Arabic" w:hAnsi="Simplified Arabic" w:cs="Simplified Arabic"/>
          <w:sz w:val="28"/>
          <w:szCs w:val="28"/>
          <w:rtl/>
        </w:rPr>
      </w:pPr>
    </w:p>
    <w:p w14:paraId="48849C16" w14:textId="77777777" w:rsidR="00F4231E" w:rsidRDefault="00F4231E" w:rsidP="00DF70E8">
      <w:pPr>
        <w:jc w:val="lowKashida"/>
        <w:rPr>
          <w:rFonts w:ascii="Simplified Arabic" w:hAnsi="Simplified Arabic" w:cs="Simplified Arabic"/>
          <w:sz w:val="28"/>
          <w:szCs w:val="28"/>
          <w:rtl/>
        </w:rPr>
      </w:pPr>
    </w:p>
    <w:p w14:paraId="2264D894" w14:textId="77777777" w:rsidR="00F4231E" w:rsidRDefault="00F4231E" w:rsidP="00DF70E8">
      <w:pPr>
        <w:jc w:val="lowKashida"/>
        <w:rPr>
          <w:rFonts w:ascii="Simplified Arabic" w:hAnsi="Simplified Arabic" w:cs="Simplified Arabic"/>
          <w:sz w:val="28"/>
          <w:szCs w:val="28"/>
          <w:rtl/>
        </w:rPr>
      </w:pPr>
    </w:p>
    <w:p w14:paraId="11D55E6A" w14:textId="77777777" w:rsidR="00F4231E" w:rsidRDefault="00F4231E" w:rsidP="00DF70E8">
      <w:pPr>
        <w:jc w:val="lowKashida"/>
        <w:rPr>
          <w:rFonts w:ascii="Simplified Arabic" w:hAnsi="Simplified Arabic" w:cs="Simplified Arabic"/>
          <w:sz w:val="28"/>
          <w:szCs w:val="28"/>
          <w:rtl/>
        </w:rPr>
      </w:pPr>
    </w:p>
    <w:p w14:paraId="4193C846" w14:textId="77777777" w:rsidR="00F4231E" w:rsidRDefault="00F4231E" w:rsidP="00DF70E8">
      <w:pPr>
        <w:jc w:val="lowKashida"/>
        <w:rPr>
          <w:rFonts w:ascii="Simplified Arabic" w:hAnsi="Simplified Arabic" w:cs="Simplified Arabic"/>
          <w:sz w:val="28"/>
          <w:szCs w:val="28"/>
          <w:rtl/>
        </w:rPr>
      </w:pPr>
    </w:p>
    <w:p w14:paraId="5D76EF02" w14:textId="77777777" w:rsidR="00F4231E" w:rsidRDefault="00F4231E" w:rsidP="00DF70E8">
      <w:pPr>
        <w:jc w:val="lowKashida"/>
        <w:rPr>
          <w:rFonts w:ascii="Simplified Arabic" w:hAnsi="Simplified Arabic" w:cs="Simplified Arabic"/>
          <w:sz w:val="28"/>
          <w:szCs w:val="28"/>
          <w:rtl/>
        </w:rPr>
      </w:pPr>
    </w:p>
    <w:p w14:paraId="36BC07CE" w14:textId="77777777" w:rsidR="00F4231E" w:rsidRDefault="00F4231E" w:rsidP="00DF70E8">
      <w:pPr>
        <w:jc w:val="lowKashida"/>
        <w:rPr>
          <w:rFonts w:ascii="Simplified Arabic" w:hAnsi="Simplified Arabic" w:cs="Simplified Arabic"/>
          <w:sz w:val="28"/>
          <w:szCs w:val="28"/>
          <w:rtl/>
        </w:rPr>
      </w:pPr>
    </w:p>
    <w:p w14:paraId="668428C6" w14:textId="77777777" w:rsidR="00F4231E" w:rsidRDefault="00F4231E" w:rsidP="00DF70E8">
      <w:pPr>
        <w:jc w:val="lowKashida"/>
        <w:rPr>
          <w:rFonts w:ascii="Simplified Arabic" w:hAnsi="Simplified Arabic" w:cs="Simplified Arabic"/>
          <w:sz w:val="28"/>
          <w:szCs w:val="28"/>
          <w:rtl/>
        </w:rPr>
      </w:pPr>
    </w:p>
    <w:p w14:paraId="771D23F2" w14:textId="21B9602B" w:rsidR="00F4231E" w:rsidRDefault="00F4231E" w:rsidP="00A17FBC">
      <w:pPr>
        <w:jc w:val="center"/>
        <w:rPr>
          <w:rFonts w:ascii="Simplified Arabic" w:hAnsi="Simplified Arabic" w:cs="Simplified Arabic"/>
          <w:sz w:val="28"/>
          <w:szCs w:val="28"/>
          <w:rtl/>
        </w:rPr>
      </w:pPr>
      <w:r>
        <w:rPr>
          <w:rFonts w:ascii="Simplified Arabic" w:hAnsi="Simplified Arabic" w:cs="Simplified Arabic" w:hint="cs"/>
          <w:sz w:val="28"/>
          <w:szCs w:val="28"/>
          <w:rtl/>
        </w:rPr>
        <w:t>الفصل الثاني :الاطار النظري والدراسات السابقة</w:t>
      </w:r>
    </w:p>
    <w:p w14:paraId="759D19F1" w14:textId="51F36690" w:rsidR="00F4231E" w:rsidRDefault="00F4231E" w:rsidP="00DF70E8">
      <w:pPr>
        <w:jc w:val="lowKashida"/>
        <w:rPr>
          <w:rFonts w:ascii="Simplified Arabic" w:hAnsi="Simplified Arabic" w:cs="Simplified Arabic"/>
          <w:sz w:val="28"/>
          <w:szCs w:val="28"/>
          <w:rtl/>
        </w:rPr>
      </w:pPr>
      <w:r>
        <w:rPr>
          <w:rFonts w:ascii="Simplified Arabic" w:hAnsi="Simplified Arabic" w:cs="Simplified Arabic" w:hint="cs"/>
          <w:sz w:val="28"/>
          <w:szCs w:val="28"/>
          <w:rtl/>
        </w:rPr>
        <w:t>اولا:</w:t>
      </w:r>
      <w:r w:rsidRPr="00F4231E">
        <w:rPr>
          <w:rFonts w:hint="cs"/>
          <w:rtl/>
        </w:rPr>
        <w:t xml:space="preserve"> </w:t>
      </w:r>
      <w:r w:rsidRPr="00F4231E">
        <w:rPr>
          <w:rFonts w:ascii="Simplified Arabic" w:hAnsi="Simplified Arabic" w:cs="Simplified Arabic" w:hint="cs"/>
          <w:sz w:val="28"/>
          <w:szCs w:val="28"/>
          <w:rtl/>
        </w:rPr>
        <w:t>الاطار</w:t>
      </w:r>
      <w:r w:rsidRPr="00F4231E">
        <w:rPr>
          <w:rFonts w:ascii="Simplified Arabic" w:hAnsi="Simplified Arabic" w:cs="Simplified Arabic"/>
          <w:sz w:val="28"/>
          <w:szCs w:val="28"/>
          <w:rtl/>
        </w:rPr>
        <w:t xml:space="preserve"> </w:t>
      </w:r>
      <w:r w:rsidRPr="00F4231E">
        <w:rPr>
          <w:rFonts w:ascii="Simplified Arabic" w:hAnsi="Simplified Arabic" w:cs="Simplified Arabic" w:hint="cs"/>
          <w:sz w:val="28"/>
          <w:szCs w:val="28"/>
          <w:rtl/>
        </w:rPr>
        <w:t>النظري</w:t>
      </w:r>
    </w:p>
    <w:p w14:paraId="00D1C015" w14:textId="01B28A8B"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المقدمة</w:t>
      </w:r>
    </w:p>
    <w:p w14:paraId="09C29CB4"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تُعدّ إدارة المشاريع أحد أهم المجالات العلمية والتطبيقية التي تساهم في تحقيق أهداف المؤسسات بكفاءة وفعالية، خاصة في ظل البيئة الاقتصادية والتنظيمية المتغيرة بسرعة (علي، محمد، 2020، ص. 15). ومع تصاعد التعقيدات والتغيرات السريعة في طبيعة المشاريع، أصبح من الضروري اعتماد مناهج إدارية تجمع بين الاستقرار والتكيف. ومن هنا برزت الحاجة إلى استخدام النماذج الهجينة في إدارة المشاريع، والتي تمثل وسطًا بين المنهجيات التقليدية الرسمية مثل</w:t>
      </w:r>
      <w:r w:rsidRPr="00F4231E">
        <w:rPr>
          <w:rFonts w:ascii="Simplified Arabic" w:hAnsi="Simplified Arabic" w:cs="Simplified Arabic"/>
          <w:sz w:val="28"/>
          <w:szCs w:val="28"/>
        </w:rPr>
        <w:t xml:space="preserve"> PMBOK </w:t>
      </w:r>
      <w:r w:rsidRPr="00F4231E">
        <w:rPr>
          <w:rFonts w:ascii="Simplified Arabic" w:hAnsi="Simplified Arabic" w:cs="Simplified Arabic"/>
          <w:sz w:val="28"/>
          <w:szCs w:val="28"/>
          <w:rtl/>
        </w:rPr>
        <w:t>و</w:t>
      </w:r>
      <w:r w:rsidRPr="00F4231E">
        <w:rPr>
          <w:rFonts w:ascii="Simplified Arabic" w:hAnsi="Simplified Arabic" w:cs="Simplified Arabic"/>
          <w:sz w:val="28"/>
          <w:szCs w:val="28"/>
        </w:rPr>
        <w:t>PRINCE2</w:t>
      </w:r>
      <w:r w:rsidRPr="00F4231E">
        <w:rPr>
          <w:rFonts w:ascii="Simplified Arabic" w:hAnsi="Simplified Arabic" w:cs="Simplified Arabic"/>
          <w:sz w:val="28"/>
          <w:szCs w:val="28"/>
          <w:rtl/>
        </w:rPr>
        <w:t>، والمنهجيات الرشيقة مثل</w:t>
      </w:r>
      <w:r w:rsidRPr="00F4231E">
        <w:rPr>
          <w:rFonts w:ascii="Simplified Arabic" w:hAnsi="Simplified Arabic" w:cs="Simplified Arabic"/>
          <w:sz w:val="28"/>
          <w:szCs w:val="28"/>
        </w:rPr>
        <w:t xml:space="preserve"> SCRUM </w:t>
      </w:r>
      <w:r w:rsidRPr="00F4231E">
        <w:rPr>
          <w:rFonts w:ascii="Simplified Arabic" w:hAnsi="Simplified Arabic" w:cs="Simplified Arabic"/>
          <w:sz w:val="28"/>
          <w:szCs w:val="28"/>
          <w:rtl/>
        </w:rPr>
        <w:t>و</w:t>
      </w:r>
      <w:r w:rsidRPr="00F4231E">
        <w:rPr>
          <w:rFonts w:ascii="Simplified Arabic" w:hAnsi="Simplified Arabic" w:cs="Simplified Arabic"/>
          <w:sz w:val="28"/>
          <w:szCs w:val="28"/>
        </w:rPr>
        <w:t>KANBAN (Smith &amp; Taylor, 2018, p. 47).</w:t>
      </w:r>
    </w:p>
    <w:p w14:paraId="1A009854" w14:textId="09893D82"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وتشير الأبحاث الحديثة إلى أن هذه النماذج لا تحقق فقط كفاءة في التنفيذ، بل أيضًا تتماشى مع متطلبات الحوكمة والرقابة داخل المنظمات الصارمة</w:t>
      </w:r>
      <w:r w:rsidRPr="00F4231E">
        <w:rPr>
          <w:rFonts w:ascii="Simplified Arabic" w:hAnsi="Simplified Arabic" w:cs="Simplified Arabic"/>
          <w:sz w:val="28"/>
          <w:szCs w:val="28"/>
        </w:rPr>
        <w:t xml:space="preserve"> (Ahlemann et al., 2012, p. 306). </w:t>
      </w:r>
      <w:r w:rsidRPr="00F4231E">
        <w:rPr>
          <w:rFonts w:ascii="Simplified Arabic" w:hAnsi="Simplified Arabic" w:cs="Simplified Arabic"/>
          <w:sz w:val="28"/>
          <w:szCs w:val="28"/>
          <w:rtl/>
        </w:rPr>
        <w:t>ومن ثم، فإن تحليل فعاليتها يتطلب فهماً عميقاً لطبيعة المشاريع ذات الطبيعة المتغيرة، وللخصائص التنظيمية للبيئات التي تعمل فيها</w:t>
      </w:r>
      <w:r w:rsidRPr="00F4231E">
        <w:rPr>
          <w:rFonts w:ascii="Simplified Arabic" w:hAnsi="Simplified Arabic" w:cs="Simplified Arabic"/>
          <w:sz w:val="28"/>
          <w:szCs w:val="28"/>
        </w:rPr>
        <w:t>.</w:t>
      </w:r>
    </w:p>
    <w:p w14:paraId="23E09703" w14:textId="211F8249"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مفهوم إدارة المشاريع</w:t>
      </w:r>
    </w:p>
    <w:p w14:paraId="7A0E0AAB"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إدارة المشاريع تُعرَّف بأنها "التطبيق المنهجي للمعرفة والمهارات والأدوات والتقنيات لضمان تحقيق أهداف المشروع ضمن قيود زمنية وميزانية ومحددة</w:t>
      </w:r>
      <w:r w:rsidRPr="00F4231E">
        <w:rPr>
          <w:rFonts w:ascii="Simplified Arabic" w:hAnsi="Simplified Arabic" w:cs="Simplified Arabic"/>
          <w:sz w:val="28"/>
          <w:szCs w:val="28"/>
        </w:rPr>
        <w:t xml:space="preserve">" (PMI, 2017, p. 4). </w:t>
      </w:r>
      <w:r w:rsidRPr="00F4231E">
        <w:rPr>
          <w:rFonts w:ascii="Simplified Arabic" w:hAnsi="Simplified Arabic" w:cs="Simplified Arabic"/>
          <w:sz w:val="28"/>
          <w:szCs w:val="28"/>
          <w:rtl/>
        </w:rPr>
        <w:t>وتتميز المشاريع بكونها مؤقتة وفريدة، مما يعني أنها لها بداية ونهاية واضحة، وهدف محدد يجب تحقيقه (الخراشي، عبد الرحمن، 2019، ص. 22). ومع ذلك، فإن طبيعة المشاريع تختلف باختلاف القطاعات، فهناك مشاريع بنية تحتية تتطلب استقراراً كبيراً في التخطيط، وهناك مشاريع تقنية أو خدماتية تتطلب مرونة عالية في التنفيذ</w:t>
      </w:r>
      <w:r w:rsidRPr="00F4231E">
        <w:rPr>
          <w:rFonts w:ascii="Simplified Arabic" w:hAnsi="Simplified Arabic" w:cs="Simplified Arabic"/>
          <w:sz w:val="28"/>
          <w:szCs w:val="28"/>
        </w:rPr>
        <w:t>.</w:t>
      </w:r>
    </w:p>
    <w:p w14:paraId="58961679" w14:textId="3875C884" w:rsidR="00F4231E" w:rsidRPr="00F4231E" w:rsidRDefault="00F4231E" w:rsidP="00F16994">
      <w:pPr>
        <w:jc w:val="lowKashida"/>
        <w:rPr>
          <w:rFonts w:ascii="Simplified Arabic" w:hAnsi="Simplified Arabic" w:cs="Simplified Arabic"/>
          <w:sz w:val="28"/>
          <w:szCs w:val="28"/>
        </w:rPr>
      </w:pPr>
      <w:r w:rsidRPr="00F4231E">
        <w:rPr>
          <w:rFonts w:ascii="Simplified Arabic" w:hAnsi="Simplified Arabic" w:cs="Simplified Arabic"/>
          <w:sz w:val="28"/>
          <w:szCs w:val="28"/>
          <w:rtl/>
        </w:rPr>
        <w:lastRenderedPageBreak/>
        <w:t>ويشير الباحثون إلى أن فهم هذا الاختلاف ضروري لاختيار الأسلوب المناسب لإدارتها. فقد أظهرت دراسة أجراها</w:t>
      </w:r>
      <w:r w:rsidRPr="00F4231E">
        <w:rPr>
          <w:rFonts w:ascii="Simplified Arabic" w:hAnsi="Simplified Arabic" w:cs="Simplified Arabic"/>
          <w:sz w:val="28"/>
          <w:szCs w:val="28"/>
        </w:rPr>
        <w:t xml:space="preserve"> Turner and Cochrane (1993, p. 65) </w:t>
      </w:r>
      <w:r w:rsidRPr="00F4231E">
        <w:rPr>
          <w:rFonts w:ascii="Simplified Arabic" w:hAnsi="Simplified Arabic" w:cs="Simplified Arabic"/>
          <w:sz w:val="28"/>
          <w:szCs w:val="28"/>
          <w:rtl/>
        </w:rPr>
        <w:t>أن نجاح المشروع يعتمد على مدى توافق منهجية الإدارة مع طبيعة المشروع ومتطلبات أصحاب المصلحة. وقد أدت هذه الفكرة إلى ظهور العديد من المناهج المختلفة، منها التقليدية والرشيدة والهجينة</w:t>
      </w:r>
      <w:r w:rsidRPr="00F4231E">
        <w:rPr>
          <w:rFonts w:ascii="Simplified Arabic" w:hAnsi="Simplified Arabic" w:cs="Simplified Arabic"/>
          <w:sz w:val="28"/>
          <w:szCs w:val="28"/>
        </w:rPr>
        <w:t>.</w:t>
      </w:r>
    </w:p>
    <w:p w14:paraId="10E90C02" w14:textId="199A3DA8"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أنواع منهجيات إدارة المشاريع</w:t>
      </w:r>
    </w:p>
    <w:p w14:paraId="577E595B"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المنهجيات التقليدية</w:t>
      </w:r>
    </w:p>
    <w:p w14:paraId="2536CD7B"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تُعتبر المنهجيات التقليدية مثل</w:t>
      </w:r>
      <w:r w:rsidRPr="00F4231E">
        <w:rPr>
          <w:rFonts w:ascii="Simplified Arabic" w:hAnsi="Simplified Arabic" w:cs="Simplified Arabic"/>
          <w:sz w:val="28"/>
          <w:szCs w:val="28"/>
        </w:rPr>
        <w:t xml:space="preserve"> PMBOK </w:t>
      </w:r>
      <w:r w:rsidRPr="00F4231E">
        <w:rPr>
          <w:rFonts w:ascii="Simplified Arabic" w:hAnsi="Simplified Arabic" w:cs="Simplified Arabic"/>
          <w:sz w:val="28"/>
          <w:szCs w:val="28"/>
          <w:rtl/>
        </w:rPr>
        <w:t>و</w:t>
      </w:r>
      <w:r w:rsidRPr="00F4231E">
        <w:rPr>
          <w:rFonts w:ascii="Simplified Arabic" w:hAnsi="Simplified Arabic" w:cs="Simplified Arabic"/>
          <w:sz w:val="28"/>
          <w:szCs w:val="28"/>
        </w:rPr>
        <w:t xml:space="preserve">PRINCE2 </w:t>
      </w:r>
      <w:r w:rsidRPr="00F4231E">
        <w:rPr>
          <w:rFonts w:ascii="Simplified Arabic" w:hAnsi="Simplified Arabic" w:cs="Simplified Arabic"/>
          <w:sz w:val="28"/>
          <w:szCs w:val="28"/>
          <w:rtl/>
        </w:rPr>
        <w:t>من أقدم وأشهر النماذج المستخدمة في إدارة المشاريع، وهي تعتمد على نموذج خطي ينقسم إلى مراحل محددة ومغلقة (الشهري، نبيل، 2021، ص. 89). وفي هذه المنهجيات، يتم تحديد جميع المتطلبات قبل بدء العمل، ويتم الانتقال من مرحلة إلى أخرى بعد اكتمال المرحلة السابقة</w:t>
      </w:r>
      <w:r w:rsidRPr="00F4231E">
        <w:rPr>
          <w:rFonts w:ascii="Simplified Arabic" w:hAnsi="Simplified Arabic" w:cs="Simplified Arabic"/>
          <w:sz w:val="28"/>
          <w:szCs w:val="28"/>
        </w:rPr>
        <w:t xml:space="preserve"> (Schwalbe, 2015, p. 102). </w:t>
      </w:r>
      <w:r w:rsidRPr="00F4231E">
        <w:rPr>
          <w:rFonts w:ascii="Simplified Arabic" w:hAnsi="Simplified Arabic" w:cs="Simplified Arabic"/>
          <w:sz w:val="28"/>
          <w:szCs w:val="28"/>
          <w:rtl/>
        </w:rPr>
        <w:t>وتعتبر هذه المناهج مناسبة للمشاريع ذات المتطلبات الثابتة والواضحة، حيث تحتاج إلى رقابة صارمة وجودة عالية في التسليم</w:t>
      </w:r>
      <w:r w:rsidRPr="00F4231E">
        <w:rPr>
          <w:rFonts w:ascii="Simplified Arabic" w:hAnsi="Simplified Arabic" w:cs="Simplified Arabic"/>
          <w:sz w:val="28"/>
          <w:szCs w:val="28"/>
        </w:rPr>
        <w:t xml:space="preserve"> (Ali &amp; Alshawi, 2016, p. 213).</w:t>
      </w:r>
    </w:p>
    <w:p w14:paraId="42759DDB"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ومع ذلك، فإن هذه المناهج تُظهر ضعفاً في التعامل مع المشاريع ذات المتطلبات المتغيرة أو غير الواضحة، إذ أنها لا تتيح مرونة كافية للتكيّف مع التغييرات أثناء التنفيذ</w:t>
      </w:r>
      <w:r w:rsidRPr="00F4231E">
        <w:rPr>
          <w:rFonts w:ascii="Simplified Arabic" w:hAnsi="Simplified Arabic" w:cs="Simplified Arabic"/>
          <w:sz w:val="28"/>
          <w:szCs w:val="28"/>
        </w:rPr>
        <w:t xml:space="preserve"> (Khatri &amp; Fernandes, 2020, p. 45).</w:t>
      </w:r>
    </w:p>
    <w:p w14:paraId="3535C0E9"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المنهجيات الرشيدة</w:t>
      </w:r>
    </w:p>
    <w:p w14:paraId="6A368920"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في المقابل، ظهرت المنهجيات الرشيدة</w:t>
      </w:r>
      <w:r w:rsidRPr="00F4231E">
        <w:rPr>
          <w:rFonts w:ascii="Simplified Arabic" w:hAnsi="Simplified Arabic" w:cs="Simplified Arabic"/>
          <w:sz w:val="28"/>
          <w:szCs w:val="28"/>
        </w:rPr>
        <w:t xml:space="preserve"> (Agile) </w:t>
      </w:r>
      <w:r w:rsidRPr="00F4231E">
        <w:rPr>
          <w:rFonts w:ascii="Simplified Arabic" w:hAnsi="Simplified Arabic" w:cs="Simplified Arabic"/>
          <w:sz w:val="28"/>
          <w:szCs w:val="28"/>
          <w:rtl/>
        </w:rPr>
        <w:t>كرد فعل على قصور المناهج التقليدية في مواجهة التغيرات السريعة. وتُركز هذه المناهج على التعاون، والاستجابة للتغيير، والتسليم المتكرر</w:t>
      </w:r>
      <w:r w:rsidRPr="00F4231E">
        <w:rPr>
          <w:rFonts w:ascii="Simplified Arabic" w:hAnsi="Simplified Arabic" w:cs="Simplified Arabic"/>
          <w:sz w:val="28"/>
          <w:szCs w:val="28"/>
        </w:rPr>
        <w:t xml:space="preserve"> (Martin, 2003, p. 17). </w:t>
      </w:r>
      <w:r w:rsidRPr="00F4231E">
        <w:rPr>
          <w:rFonts w:ascii="Simplified Arabic" w:hAnsi="Simplified Arabic" w:cs="Simplified Arabic"/>
          <w:sz w:val="28"/>
          <w:szCs w:val="28"/>
          <w:rtl/>
        </w:rPr>
        <w:t>وتُستخدم بشكل واسع في مجال تكنولوجيا المعلومات، حيث يمكن تقسيم العمل إلى مهام صغيرة تُراجع وتُعدل بشكل مستمر</w:t>
      </w:r>
      <w:r w:rsidRPr="00F4231E">
        <w:rPr>
          <w:rFonts w:ascii="Simplified Arabic" w:hAnsi="Simplified Arabic" w:cs="Simplified Arabic"/>
          <w:sz w:val="28"/>
          <w:szCs w:val="28"/>
        </w:rPr>
        <w:t xml:space="preserve"> (Al-Tarawneh &amp; Al-Madi, 2020, p. 114).</w:t>
      </w:r>
    </w:p>
    <w:p w14:paraId="493792B3"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ولكن بالرغم من فوائدها، فإن المنهجيات الرشيدة تواجه صعوبات كبيرة عند تطبيقها في بيئات تنظيمية صارمة، بسبب غياب البنية التحتية المناسبة، وعدم التوافق مع متطلبات المحاسبية والهيكلية</w:t>
      </w:r>
      <w:r w:rsidRPr="00F4231E">
        <w:rPr>
          <w:rFonts w:ascii="Simplified Arabic" w:hAnsi="Simplified Arabic" w:cs="Simplified Arabic"/>
          <w:sz w:val="28"/>
          <w:szCs w:val="28"/>
        </w:rPr>
        <w:t xml:space="preserve"> (Svejvig &amp; Andersen, 2015, p. 397).</w:t>
      </w:r>
    </w:p>
    <w:p w14:paraId="7403C374"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النماذج الهجينة</w:t>
      </w:r>
    </w:p>
    <w:p w14:paraId="4F6E1E98"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lastRenderedPageBreak/>
        <w:t>من هنا جاءت فكرة النماذج الهجينة</w:t>
      </w:r>
      <w:r w:rsidRPr="00F4231E">
        <w:rPr>
          <w:rFonts w:ascii="Simplified Arabic" w:hAnsi="Simplified Arabic" w:cs="Simplified Arabic"/>
          <w:sz w:val="28"/>
          <w:szCs w:val="28"/>
        </w:rPr>
        <w:t xml:space="preserve"> (Hybrid Models)</w:t>
      </w:r>
      <w:r w:rsidRPr="00F4231E">
        <w:rPr>
          <w:rFonts w:ascii="Simplified Arabic" w:hAnsi="Simplified Arabic" w:cs="Simplified Arabic"/>
          <w:sz w:val="28"/>
          <w:szCs w:val="28"/>
          <w:rtl/>
        </w:rPr>
        <w:t>، والتي تهدف إلى الجمع بين أفضل ما في المنهجيتين. وتُعرف النماذج الهجينة بأنها "دمج منهجيات مختلفة لإدارة المشاريع لتحقيق التوازن بين الانضباط والتكيف</w:t>
      </w:r>
      <w:r w:rsidRPr="00F4231E">
        <w:rPr>
          <w:rFonts w:ascii="Simplified Arabic" w:hAnsi="Simplified Arabic" w:cs="Simplified Arabic"/>
          <w:sz w:val="28"/>
          <w:szCs w:val="28"/>
        </w:rPr>
        <w:t xml:space="preserve">" (Adams, 2014, p. 22). </w:t>
      </w:r>
      <w:r w:rsidRPr="00F4231E">
        <w:rPr>
          <w:rFonts w:ascii="Simplified Arabic" w:hAnsi="Simplified Arabic" w:cs="Simplified Arabic"/>
          <w:sz w:val="28"/>
          <w:szCs w:val="28"/>
          <w:rtl/>
        </w:rPr>
        <w:t>وعادةً ما تبدأ هذه النماذج بتخطيط أولي شامل، كما في النهج التقليدي، ثم تنتقل إلى تنفيذ متدرج مع مراجعة مستمرة، كما في النهج الرشيد</w:t>
      </w:r>
      <w:r w:rsidRPr="00F4231E">
        <w:rPr>
          <w:rFonts w:ascii="Simplified Arabic" w:hAnsi="Simplified Arabic" w:cs="Simplified Arabic"/>
          <w:sz w:val="28"/>
          <w:szCs w:val="28"/>
        </w:rPr>
        <w:t xml:space="preserve"> (Hoda, Noble &amp; Marshall, 2012, p. 621).</w:t>
      </w:r>
    </w:p>
    <w:p w14:paraId="4C319FBE" w14:textId="082009D9" w:rsidR="00F4231E" w:rsidRPr="00F4231E" w:rsidRDefault="00F4231E" w:rsidP="00F16994">
      <w:pPr>
        <w:jc w:val="lowKashida"/>
        <w:rPr>
          <w:rFonts w:ascii="Simplified Arabic" w:hAnsi="Simplified Arabic" w:cs="Simplified Arabic"/>
          <w:sz w:val="28"/>
          <w:szCs w:val="28"/>
          <w:rtl/>
        </w:rPr>
      </w:pPr>
      <w:r w:rsidRPr="00F4231E">
        <w:rPr>
          <w:rFonts w:ascii="Simplified Arabic" w:hAnsi="Simplified Arabic" w:cs="Simplified Arabic"/>
          <w:sz w:val="28"/>
          <w:szCs w:val="28"/>
          <w:rtl/>
        </w:rPr>
        <w:t>وقد أظهرت دراسة حديثة أجرتها هيئة</w:t>
      </w:r>
      <w:r w:rsidRPr="00F4231E">
        <w:rPr>
          <w:rFonts w:ascii="Simplified Arabic" w:hAnsi="Simplified Arabic" w:cs="Simplified Arabic"/>
          <w:sz w:val="28"/>
          <w:szCs w:val="28"/>
        </w:rPr>
        <w:t xml:space="preserve"> PMI (2020, p. 89) </w:t>
      </w:r>
      <w:r w:rsidRPr="00F4231E">
        <w:rPr>
          <w:rFonts w:ascii="Simplified Arabic" w:hAnsi="Simplified Arabic" w:cs="Simplified Arabic"/>
          <w:sz w:val="28"/>
          <w:szCs w:val="28"/>
          <w:rtl/>
        </w:rPr>
        <w:t>أن نحو 60% من المؤسسات العالمية تستخدم النماذج الهجينة في إدارة مشاريعها المعقدة، وخاصة في القطاعات الحكومية والمالية، حيث تحتاج إلى الالتزام بالأنظمة الداخلية والخارجية</w:t>
      </w:r>
      <w:r w:rsidRPr="00F4231E">
        <w:rPr>
          <w:rFonts w:ascii="Simplified Arabic" w:hAnsi="Simplified Arabic" w:cs="Simplified Arabic"/>
          <w:sz w:val="28"/>
          <w:szCs w:val="28"/>
        </w:rPr>
        <w:t>.</w:t>
      </w:r>
    </w:p>
    <w:p w14:paraId="26CA15B7" w14:textId="50267FDB"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الإطار النظري للنماذج الهجينة</w:t>
      </w:r>
    </w:p>
    <w:p w14:paraId="31AFD138"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النظرية الأساسية</w:t>
      </w:r>
    </w:p>
    <w:p w14:paraId="40FA0C9D"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تنبع فكرة النماذج الهجينة من مجموعة من النظريات الإدارية التي تفسر كيفية التفاعل بين العناصر المختلفة داخل المنظمة. من أبرز هذه النظريات</w:t>
      </w:r>
      <w:r w:rsidRPr="00F4231E">
        <w:rPr>
          <w:rFonts w:ascii="Simplified Arabic" w:hAnsi="Simplified Arabic" w:cs="Simplified Arabic"/>
          <w:sz w:val="28"/>
          <w:szCs w:val="28"/>
        </w:rPr>
        <w:t>:</w:t>
      </w:r>
    </w:p>
    <w:p w14:paraId="53C2B083" w14:textId="77777777" w:rsidR="00F4231E" w:rsidRPr="00F4231E" w:rsidRDefault="00F4231E" w:rsidP="00F4231E">
      <w:pPr>
        <w:numPr>
          <w:ilvl w:val="0"/>
          <w:numId w:val="7"/>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نظرية أنظمة الإدارة المعقدة</w:t>
      </w:r>
      <w:r w:rsidRPr="00F4231E">
        <w:rPr>
          <w:rFonts w:ascii="Simplified Arabic" w:hAnsi="Simplified Arabic" w:cs="Simplified Arabic"/>
          <w:sz w:val="28"/>
          <w:szCs w:val="28"/>
        </w:rPr>
        <w:t xml:space="preserve"> (Complexity Theory in Management):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تُشير إلى أن المنظمات ليست أنظمة خطية بسيطة، بل هي أنظمة معقدة تتكون من عناصر متفاعلة، وتتأثر بالبيئة الخارجية</w:t>
      </w:r>
      <w:r w:rsidRPr="00F4231E">
        <w:rPr>
          <w:rFonts w:ascii="Simplified Arabic" w:hAnsi="Simplified Arabic" w:cs="Simplified Arabic"/>
          <w:sz w:val="28"/>
          <w:szCs w:val="28"/>
        </w:rPr>
        <w:t xml:space="preserve"> (Lichtenstein et al., 2006, p. 109). </w:t>
      </w:r>
      <w:r w:rsidRPr="00F4231E">
        <w:rPr>
          <w:rFonts w:ascii="Simplified Arabic" w:hAnsi="Simplified Arabic" w:cs="Simplified Arabic"/>
          <w:sz w:val="28"/>
          <w:szCs w:val="28"/>
          <w:rtl/>
        </w:rPr>
        <w:t>ومن ثم، فإن أي نموذج إداري يجب أن يكون قادرًا على التعامل مع هذه التعقيدات</w:t>
      </w:r>
      <w:r w:rsidRPr="00F4231E">
        <w:rPr>
          <w:rFonts w:ascii="Simplified Arabic" w:hAnsi="Simplified Arabic" w:cs="Simplified Arabic"/>
          <w:sz w:val="28"/>
          <w:szCs w:val="28"/>
        </w:rPr>
        <w:t>.</w:t>
      </w:r>
    </w:p>
    <w:p w14:paraId="6EFA6462" w14:textId="77777777" w:rsidR="00F4231E" w:rsidRPr="00F4231E" w:rsidRDefault="00F4231E" w:rsidP="00F4231E">
      <w:pPr>
        <w:numPr>
          <w:ilvl w:val="0"/>
          <w:numId w:val="7"/>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نظرية الحوكمة المؤسسية</w:t>
      </w:r>
      <w:r w:rsidRPr="00F4231E">
        <w:rPr>
          <w:rFonts w:ascii="Simplified Arabic" w:hAnsi="Simplified Arabic" w:cs="Simplified Arabic"/>
          <w:sz w:val="28"/>
          <w:szCs w:val="28"/>
        </w:rPr>
        <w:t xml:space="preserve"> (Institutional Governance Theory):</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تُركِّز على أهمية الامتثال للسياسات والإجراءات التنظيمية، وهو ما يجعل النماذج الهجينة مناسبة لدمج هذا الإطار الصارم مع المرونة التشغيلية</w:t>
      </w:r>
      <w:r w:rsidRPr="00F4231E">
        <w:rPr>
          <w:rFonts w:ascii="Simplified Arabic" w:hAnsi="Simplified Arabic" w:cs="Simplified Arabic"/>
          <w:sz w:val="28"/>
          <w:szCs w:val="28"/>
        </w:rPr>
        <w:t xml:space="preserve"> (Scott, 2008, p. 31).</w:t>
      </w:r>
    </w:p>
    <w:p w14:paraId="16E9F8CB" w14:textId="77777777" w:rsidR="00F4231E" w:rsidRPr="00F4231E" w:rsidRDefault="00F4231E" w:rsidP="00F4231E">
      <w:pPr>
        <w:numPr>
          <w:ilvl w:val="0"/>
          <w:numId w:val="7"/>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نظرية التكيف التنظيمي</w:t>
      </w:r>
      <w:r w:rsidRPr="00F4231E">
        <w:rPr>
          <w:rFonts w:ascii="Simplified Arabic" w:hAnsi="Simplified Arabic" w:cs="Simplified Arabic"/>
          <w:sz w:val="28"/>
          <w:szCs w:val="28"/>
        </w:rPr>
        <w:t xml:space="preserve"> (Organizational Adaptation Theory):</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تشير إلى قدرة المنظمات على التكيف مع البيئة الخارجية المتغيرة، وهو ما تحققه النماذج الهجينة عبر دمج المراحل الثابتة مع عمليات التحديث المستمر</w:t>
      </w:r>
      <w:r w:rsidRPr="00F4231E">
        <w:rPr>
          <w:rFonts w:ascii="Simplified Arabic" w:hAnsi="Simplified Arabic" w:cs="Simplified Arabic"/>
          <w:sz w:val="28"/>
          <w:szCs w:val="28"/>
        </w:rPr>
        <w:t xml:space="preserve"> (Burnes, 2014, p. 230).</w:t>
      </w:r>
    </w:p>
    <w:p w14:paraId="28FA3A85"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الخصائص النظرية للنماذج الهجينة</w:t>
      </w:r>
    </w:p>
    <w:p w14:paraId="22A3D1B1" w14:textId="26EADF9D" w:rsidR="00F4231E" w:rsidRPr="00F4231E" w:rsidRDefault="00F4231E" w:rsidP="00F16994">
      <w:pPr>
        <w:numPr>
          <w:ilvl w:val="0"/>
          <w:numId w:val="8"/>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lastRenderedPageBreak/>
        <w:t>التخطيط الأولي الشامل</w:t>
      </w:r>
      <w:r w:rsidRPr="00F4231E">
        <w:rPr>
          <w:rFonts w:ascii="Simplified Arabic" w:hAnsi="Simplified Arabic" w:cs="Simplified Arabic"/>
          <w:sz w:val="28"/>
          <w:szCs w:val="28"/>
        </w:rPr>
        <w:t>:</w:t>
      </w:r>
      <w:r w:rsidR="00F16994">
        <w:rPr>
          <w:rFonts w:ascii="Simplified Arabic" w:hAnsi="Simplified Arabic" w:cs="Simplified Arabic"/>
          <w:sz w:val="28"/>
          <w:szCs w:val="28"/>
        </w:rPr>
        <w:t xml:space="preserve"> </w:t>
      </w:r>
      <w:r w:rsidRPr="00F4231E">
        <w:rPr>
          <w:rFonts w:ascii="Simplified Arabic" w:hAnsi="Simplified Arabic" w:cs="Simplified Arabic"/>
          <w:sz w:val="28"/>
          <w:szCs w:val="28"/>
          <w:rtl/>
        </w:rPr>
        <w:t>كما في النهج التقليدي، يتم تحديد الأهداف العامة والبنية الأساسية مسبقًا (الحسني، أحمد، 2022، ص. 56</w:t>
      </w:r>
      <w:r w:rsidR="00F16994">
        <w:rPr>
          <w:rFonts w:ascii="Simplified Arabic" w:hAnsi="Simplified Arabic" w:cs="Simplified Arabic"/>
          <w:sz w:val="28"/>
          <w:szCs w:val="28"/>
        </w:rPr>
        <w:t>(</w:t>
      </w:r>
    </w:p>
    <w:p w14:paraId="01B030D2" w14:textId="77777777" w:rsidR="00F4231E" w:rsidRPr="00F4231E" w:rsidRDefault="00F4231E" w:rsidP="00F4231E">
      <w:pPr>
        <w:numPr>
          <w:ilvl w:val="0"/>
          <w:numId w:val="8"/>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التنفيذ التدريجي والمراجعة المستمرة</w:t>
      </w:r>
      <w:r w:rsidRPr="00F4231E">
        <w:rPr>
          <w:rFonts w:ascii="Simplified Arabic" w:hAnsi="Simplified Arabic" w:cs="Simplified Arabic"/>
          <w:sz w:val="28"/>
          <w:szCs w:val="28"/>
        </w:rPr>
        <w: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كما في النهج الرشيد، يتم تقسيم العمل إلى مراحل صغيرة مع مراجعة مستمرة وتعديلات حسب الحاجة</w:t>
      </w:r>
      <w:r w:rsidRPr="00F4231E">
        <w:rPr>
          <w:rFonts w:ascii="Simplified Arabic" w:hAnsi="Simplified Arabic" w:cs="Simplified Arabic"/>
          <w:sz w:val="28"/>
          <w:szCs w:val="28"/>
        </w:rPr>
        <w:t xml:space="preserve"> (</w:t>
      </w:r>
      <w:proofErr w:type="spellStart"/>
      <w:r w:rsidRPr="00F4231E">
        <w:rPr>
          <w:rFonts w:ascii="Simplified Arabic" w:hAnsi="Simplified Arabic" w:cs="Simplified Arabic"/>
          <w:sz w:val="28"/>
          <w:szCs w:val="28"/>
        </w:rPr>
        <w:t>Dingsøyr</w:t>
      </w:r>
      <w:proofErr w:type="spellEnd"/>
      <w:r w:rsidRPr="00F4231E">
        <w:rPr>
          <w:rFonts w:ascii="Simplified Arabic" w:hAnsi="Simplified Arabic" w:cs="Simplified Arabic"/>
          <w:sz w:val="28"/>
          <w:szCs w:val="28"/>
        </w:rPr>
        <w:t xml:space="preserve">, </w:t>
      </w:r>
      <w:proofErr w:type="spellStart"/>
      <w:r w:rsidRPr="00F4231E">
        <w:rPr>
          <w:rFonts w:ascii="Simplified Arabic" w:hAnsi="Simplified Arabic" w:cs="Simplified Arabic"/>
          <w:sz w:val="28"/>
          <w:szCs w:val="28"/>
        </w:rPr>
        <w:t>Dybå</w:t>
      </w:r>
      <w:proofErr w:type="spellEnd"/>
      <w:r w:rsidRPr="00F4231E">
        <w:rPr>
          <w:rFonts w:ascii="Simplified Arabic" w:hAnsi="Simplified Arabic" w:cs="Simplified Arabic"/>
          <w:sz w:val="28"/>
          <w:szCs w:val="28"/>
        </w:rPr>
        <w:t xml:space="preserve"> &amp; Moe, 2012, p. 14).</w:t>
      </w:r>
    </w:p>
    <w:p w14:paraId="40185779" w14:textId="2D8D369E" w:rsidR="00F4231E" w:rsidRPr="00F16994" w:rsidRDefault="00F4231E" w:rsidP="00F16994">
      <w:pPr>
        <w:numPr>
          <w:ilvl w:val="0"/>
          <w:numId w:val="8"/>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التوازن بين التحكم والتكيّف</w:t>
      </w:r>
      <w:r w:rsidRPr="00F4231E">
        <w:rPr>
          <w:rFonts w:ascii="Simplified Arabic" w:hAnsi="Simplified Arabic" w:cs="Simplified Arabic"/>
          <w:sz w:val="28"/>
          <w:szCs w:val="28"/>
        </w:rPr>
        <w: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حيث تُحافظ المنظمة على هيكلها الإداري بينما تتيح للمشاريع التكيف مع المتطلبات الجديدة</w:t>
      </w:r>
      <w:r w:rsidRPr="00F4231E">
        <w:rPr>
          <w:rFonts w:ascii="Simplified Arabic" w:hAnsi="Simplified Arabic" w:cs="Simplified Arabic"/>
          <w:sz w:val="28"/>
          <w:szCs w:val="28"/>
        </w:rPr>
        <w:t xml:space="preserve"> (Ahlemann et al., 2012, p. 306).</w:t>
      </w:r>
    </w:p>
    <w:p w14:paraId="00E087AA" w14:textId="1D751C53"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خصائص البيئات التنظيمية الصارمة</w:t>
      </w:r>
    </w:p>
    <w:p w14:paraId="40C13BE8"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تُعرف البيئات التنظيمية الصارمة بأنها تلك التي تتميز بوجود هيكل إداري واضح، وسياسات وإجراءات رسمية، وتركيز على الامتثال والمحاسبية (الربيعي، عبد الله، 2021، ص. 102). وتشمل خصائصها الرئيسية</w:t>
      </w:r>
      <w:r w:rsidRPr="00F4231E">
        <w:rPr>
          <w:rFonts w:ascii="Simplified Arabic" w:hAnsi="Simplified Arabic" w:cs="Simplified Arabic"/>
          <w:sz w:val="28"/>
          <w:szCs w:val="28"/>
        </w:rPr>
        <w:t>:</w:t>
      </w:r>
    </w:p>
    <w:p w14:paraId="50240122" w14:textId="77777777" w:rsidR="00F4231E" w:rsidRPr="00F4231E" w:rsidRDefault="00F4231E" w:rsidP="00F4231E">
      <w:pPr>
        <w:numPr>
          <w:ilvl w:val="0"/>
          <w:numId w:val="9"/>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الهياكل الإدارية المركزية</w:t>
      </w:r>
      <w:r w:rsidRPr="00F4231E">
        <w:rPr>
          <w:rFonts w:ascii="Simplified Arabic" w:hAnsi="Simplified Arabic" w:cs="Simplified Arabic"/>
          <w:sz w:val="28"/>
          <w:szCs w:val="28"/>
        </w:rPr>
        <w:t>.</w:t>
      </w:r>
    </w:p>
    <w:p w14:paraId="104C5018" w14:textId="77777777" w:rsidR="00F4231E" w:rsidRPr="00F4231E" w:rsidRDefault="00F4231E" w:rsidP="00F4231E">
      <w:pPr>
        <w:numPr>
          <w:ilvl w:val="0"/>
          <w:numId w:val="9"/>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السياسات والإجراءات الرسمية الصارمة</w:t>
      </w:r>
      <w:r w:rsidRPr="00F4231E">
        <w:rPr>
          <w:rFonts w:ascii="Simplified Arabic" w:hAnsi="Simplified Arabic" w:cs="Simplified Arabic"/>
          <w:sz w:val="28"/>
          <w:szCs w:val="28"/>
        </w:rPr>
        <w:t>.</w:t>
      </w:r>
    </w:p>
    <w:p w14:paraId="5AA95AEB" w14:textId="77777777" w:rsidR="00F4231E" w:rsidRPr="00F4231E" w:rsidRDefault="00F4231E" w:rsidP="00F4231E">
      <w:pPr>
        <w:numPr>
          <w:ilvl w:val="0"/>
          <w:numId w:val="9"/>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التركيز على الامتثال والتوافق مع المعايير</w:t>
      </w:r>
      <w:r w:rsidRPr="00F4231E">
        <w:rPr>
          <w:rFonts w:ascii="Simplified Arabic" w:hAnsi="Simplified Arabic" w:cs="Simplified Arabic"/>
          <w:sz w:val="28"/>
          <w:szCs w:val="28"/>
        </w:rPr>
        <w:t>.</w:t>
      </w:r>
    </w:p>
    <w:p w14:paraId="2E11DE09" w14:textId="77777777" w:rsidR="00F4231E" w:rsidRPr="00F4231E" w:rsidRDefault="00F4231E" w:rsidP="00F4231E">
      <w:pPr>
        <w:numPr>
          <w:ilvl w:val="0"/>
          <w:numId w:val="9"/>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القيود الثقافية والتنظيمية على التغيير السريع</w:t>
      </w:r>
      <w:r w:rsidRPr="00F4231E">
        <w:rPr>
          <w:rFonts w:ascii="Simplified Arabic" w:hAnsi="Simplified Arabic" w:cs="Simplified Arabic"/>
          <w:sz w:val="28"/>
          <w:szCs w:val="28"/>
        </w:rPr>
        <w:t>.</w:t>
      </w:r>
    </w:p>
    <w:p w14:paraId="7E7FD1FD" w14:textId="77777777" w:rsidR="00F4231E" w:rsidRPr="00F4231E" w:rsidRDefault="00F4231E" w:rsidP="00F4231E">
      <w:pPr>
        <w:numPr>
          <w:ilvl w:val="0"/>
          <w:numId w:val="9"/>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المسؤولية الشفافة والمحاسبية العالية</w:t>
      </w:r>
      <w:r w:rsidRPr="00F4231E">
        <w:rPr>
          <w:rFonts w:ascii="Simplified Arabic" w:hAnsi="Simplified Arabic" w:cs="Simplified Arabic"/>
          <w:sz w:val="28"/>
          <w:szCs w:val="28"/>
        </w:rPr>
        <w:t>.</w:t>
      </w:r>
    </w:p>
    <w:p w14:paraId="27426452" w14:textId="2F7E4A6B" w:rsidR="00F4231E" w:rsidRPr="00F4231E" w:rsidRDefault="00F4231E" w:rsidP="00F16994">
      <w:pPr>
        <w:jc w:val="lowKashida"/>
        <w:rPr>
          <w:rFonts w:ascii="Simplified Arabic" w:hAnsi="Simplified Arabic" w:cs="Simplified Arabic"/>
          <w:sz w:val="28"/>
          <w:szCs w:val="28"/>
          <w:rtl/>
        </w:rPr>
      </w:pPr>
      <w:r w:rsidRPr="00F4231E">
        <w:rPr>
          <w:rFonts w:ascii="Simplified Arabic" w:hAnsi="Simplified Arabic" w:cs="Simplified Arabic"/>
          <w:sz w:val="28"/>
          <w:szCs w:val="28"/>
          <w:rtl/>
        </w:rPr>
        <w:t>وقد أظهرت الأبحاث أن هذه البيئات تفضل النهج الرسمي والمنظم، لكنها تواجه صعوبة في تبني منهجيات مرنة دون تعديل جذري في ثقافتها</w:t>
      </w:r>
      <w:r w:rsidRPr="00F4231E">
        <w:rPr>
          <w:rFonts w:ascii="Simplified Arabic" w:hAnsi="Simplified Arabic" w:cs="Simplified Arabic"/>
          <w:sz w:val="28"/>
          <w:szCs w:val="28"/>
        </w:rPr>
        <w:t xml:space="preserve"> (Turner &amp; Keegan, 2001, p. 54). </w:t>
      </w:r>
      <w:r w:rsidRPr="00F4231E">
        <w:rPr>
          <w:rFonts w:ascii="Simplified Arabic" w:hAnsi="Simplified Arabic" w:cs="Simplified Arabic"/>
          <w:sz w:val="28"/>
          <w:szCs w:val="28"/>
          <w:rtl/>
        </w:rPr>
        <w:t>ومن ثم، فإن النماذج الهجينة تمثل حلاً وسطاً يمكن من خلاله تحقيق المرونة دون التفريط في الضوابط التنظيمية</w:t>
      </w:r>
      <w:r w:rsidRPr="00F4231E">
        <w:rPr>
          <w:rFonts w:ascii="Simplified Arabic" w:hAnsi="Simplified Arabic" w:cs="Simplified Arabic"/>
          <w:sz w:val="28"/>
          <w:szCs w:val="28"/>
        </w:rPr>
        <w:t>.</w:t>
      </w:r>
    </w:p>
    <w:p w14:paraId="390F75C1" w14:textId="1AF9A4A5"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أهمية النماذج الهجينة في المشاريع المتغيرة</w:t>
      </w:r>
    </w:p>
    <w:p w14:paraId="21255065"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التكيف مع التغيير دون فقدان السيطرة</w:t>
      </w:r>
    </w:p>
    <w:p w14:paraId="2F8A0005"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lastRenderedPageBreak/>
        <w:t>باستخدام النماذج الهجينة، يمكن للمؤسسة إدخال تعديلات على المشروع دون التأثير على البنية الكلية أو انتهاك السياسات التنظيمية</w:t>
      </w:r>
      <w:r w:rsidRPr="00F4231E">
        <w:rPr>
          <w:rFonts w:ascii="Simplified Arabic" w:hAnsi="Simplified Arabic" w:cs="Simplified Arabic"/>
          <w:sz w:val="28"/>
          <w:szCs w:val="28"/>
        </w:rPr>
        <w:t xml:space="preserve"> (Smith &amp; Taylor, 2018, p. 47). </w:t>
      </w:r>
      <w:r w:rsidRPr="00F4231E">
        <w:rPr>
          <w:rFonts w:ascii="Simplified Arabic" w:hAnsi="Simplified Arabic" w:cs="Simplified Arabic"/>
          <w:sz w:val="28"/>
          <w:szCs w:val="28"/>
          <w:rtl/>
        </w:rPr>
        <w:t>وهذا يساعد في تقليل المخاطر المرتبطة بالتغييرات غير المتوقعة</w:t>
      </w:r>
      <w:r w:rsidRPr="00F4231E">
        <w:rPr>
          <w:rFonts w:ascii="Simplified Arabic" w:hAnsi="Simplified Arabic" w:cs="Simplified Arabic"/>
          <w:sz w:val="28"/>
          <w:szCs w:val="28"/>
        </w:rPr>
        <w:t>.</w:t>
      </w:r>
    </w:p>
    <w:p w14:paraId="5C2F84AD"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تحسين التواصل بين المستوى الاستراتيجي والتنفيذي</w:t>
      </w:r>
    </w:p>
    <w:p w14:paraId="2601B7EB"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من خلال الجمع بين التخطيط الاستراتيجي الطويل الأمد والتنفيذ القصير الأمد، تتمكن الفرق من توصيل التغييرات إلى الإدارة العليا بطريقة أكثر فعالية</w:t>
      </w:r>
      <w:r w:rsidRPr="00F4231E">
        <w:rPr>
          <w:rFonts w:ascii="Simplified Arabic" w:hAnsi="Simplified Arabic" w:cs="Simplified Arabic"/>
          <w:sz w:val="28"/>
          <w:szCs w:val="28"/>
        </w:rPr>
        <w:t xml:space="preserve"> (Ali &amp; Alshawi, 2016, p. 213).</w:t>
      </w:r>
    </w:p>
    <w:p w14:paraId="2AF96865"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تعزيز كفاءة الموارد</w:t>
      </w:r>
    </w:p>
    <w:p w14:paraId="3D26C31B"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تساعد النماذج الهجينة في تقليل الهدر الناتج عن التغييرات غير المتوقعة، من خلال تمكين الفرق من إعادة توزيع الموارد بسرعة</w:t>
      </w:r>
      <w:r w:rsidRPr="00F4231E">
        <w:rPr>
          <w:rFonts w:ascii="Simplified Arabic" w:hAnsi="Simplified Arabic" w:cs="Simplified Arabic"/>
          <w:sz w:val="28"/>
          <w:szCs w:val="28"/>
        </w:rPr>
        <w:t xml:space="preserve"> (Khatri &amp; Fernandes, 2020, p. 45).</w:t>
      </w:r>
    </w:p>
    <w:p w14:paraId="1317C98A"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الحفاظ على الامتثال التنظيمي</w:t>
      </w:r>
    </w:p>
    <w:p w14:paraId="6EE75E67" w14:textId="2A1499C8" w:rsidR="00F4231E" w:rsidRPr="00F4231E" w:rsidRDefault="00F4231E" w:rsidP="00F16994">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يمكن الحفاظ على المراقبة والتوثيق المطلوبين في البيئات الصارمة، مما يعزز من شفافية العمليات</w:t>
      </w:r>
      <w:r w:rsidRPr="00F4231E">
        <w:rPr>
          <w:rFonts w:ascii="Simplified Arabic" w:hAnsi="Simplified Arabic" w:cs="Simplified Arabic"/>
          <w:sz w:val="28"/>
          <w:szCs w:val="28"/>
        </w:rPr>
        <w:t xml:space="preserve"> (Ahlemann et al., 2012, p. 306).</w:t>
      </w:r>
    </w:p>
    <w:p w14:paraId="3D1D7DB8" w14:textId="735C55A9"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الدراسات النظرية والبحثية الداعمة</w:t>
      </w:r>
    </w:p>
    <w:p w14:paraId="2F6CCFB1"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Pr>
        <w:t>Adams (2014)</w:t>
      </w:r>
    </w:p>
    <w:p w14:paraId="7C687697"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أكد أن النماذج الهجينة تحقق توازنًا بين الاستقرار والتجديد، مما يجعلها مناسبة للمؤسسات الكبرى التي تحتاج إلى الامتثال التنظيمي والتكيف مع التغيير</w:t>
      </w:r>
      <w:r w:rsidRPr="00F4231E">
        <w:rPr>
          <w:rFonts w:ascii="Simplified Arabic" w:hAnsi="Simplified Arabic" w:cs="Simplified Arabic"/>
          <w:sz w:val="28"/>
          <w:szCs w:val="28"/>
        </w:rPr>
        <w:t xml:space="preserve"> (Adams, 2014, p. 22).</w:t>
      </w:r>
    </w:p>
    <w:p w14:paraId="4E9A6F06"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Pr>
        <w:t>Ahlemann et al. (2012)</w:t>
      </w:r>
    </w:p>
    <w:p w14:paraId="15A20FE0"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درسوا تطبيق النماذج الهجينة في المشاريع الحكومية، وأشاروا إلى أنها تساعد في تلبية متطلبات الحوكمة مع تعزيز الابتكار</w:t>
      </w:r>
      <w:r w:rsidRPr="00F4231E">
        <w:rPr>
          <w:rFonts w:ascii="Simplified Arabic" w:hAnsi="Simplified Arabic" w:cs="Simplified Arabic"/>
          <w:sz w:val="28"/>
          <w:szCs w:val="28"/>
        </w:rPr>
        <w:t xml:space="preserve"> (Ahlemann et al., 2012, p. 306).</w:t>
      </w:r>
    </w:p>
    <w:p w14:paraId="0547BDED"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Pr>
        <w:t>Svejvig &amp; Andersen (2015)</w:t>
      </w:r>
    </w:p>
    <w:p w14:paraId="2C4DCD65"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قدّموا إطارًا نظريًا لفهم كيفية اختيار منهجيات إدارة المشاريع بناءً على طبيعة المشروع والبيئة التنظيمية</w:t>
      </w:r>
      <w:r w:rsidRPr="00F4231E">
        <w:rPr>
          <w:rFonts w:ascii="Simplified Arabic" w:hAnsi="Simplified Arabic" w:cs="Simplified Arabic"/>
          <w:sz w:val="28"/>
          <w:szCs w:val="28"/>
        </w:rPr>
        <w:t xml:space="preserve"> (Svejvig &amp; Andersen, 2015, p. 397).</w:t>
      </w:r>
    </w:p>
    <w:p w14:paraId="3FCD5A2F" w14:textId="77777777"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Pr>
        <w:t>PMI (2020)</w:t>
      </w:r>
    </w:p>
    <w:p w14:paraId="3BFE4290" w14:textId="4F15209C" w:rsidR="00F4231E" w:rsidRPr="00F4231E" w:rsidRDefault="00F4231E" w:rsidP="00F16994">
      <w:pPr>
        <w:jc w:val="lowKashida"/>
        <w:rPr>
          <w:rFonts w:ascii="Simplified Arabic" w:hAnsi="Simplified Arabic" w:cs="Simplified Arabic"/>
          <w:sz w:val="28"/>
          <w:szCs w:val="28"/>
        </w:rPr>
      </w:pPr>
      <w:r w:rsidRPr="00F4231E">
        <w:rPr>
          <w:rFonts w:ascii="Simplified Arabic" w:hAnsi="Simplified Arabic" w:cs="Simplified Arabic"/>
          <w:sz w:val="28"/>
          <w:szCs w:val="28"/>
          <w:rtl/>
        </w:rPr>
        <w:lastRenderedPageBreak/>
        <w:t>أظهرت دراسة لمعهد إدارة المشاريع أن نحو 60% من المؤسسات العالمية تستخدم النماذج الهجينة في إدارة مشاريعها المعقدة</w:t>
      </w:r>
      <w:r w:rsidRPr="00F4231E">
        <w:rPr>
          <w:rFonts w:ascii="Simplified Arabic" w:hAnsi="Simplified Arabic" w:cs="Simplified Arabic"/>
          <w:sz w:val="28"/>
          <w:szCs w:val="28"/>
        </w:rPr>
        <w:t xml:space="preserve"> (PMI, 2020, p. 89).</w:t>
      </w:r>
    </w:p>
    <w:p w14:paraId="244C6D40" w14:textId="7890E8D2"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التحديات النظرية المحتملة</w:t>
      </w:r>
    </w:p>
    <w:p w14:paraId="2307E90C" w14:textId="77777777" w:rsidR="00F4231E" w:rsidRPr="00F4231E" w:rsidRDefault="00F4231E" w:rsidP="00F4231E">
      <w:pPr>
        <w:numPr>
          <w:ilvl w:val="0"/>
          <w:numId w:val="10"/>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صراع بين الثقافات التنظيمية والثقافة الرشيقة</w:t>
      </w:r>
      <w:r w:rsidRPr="00F4231E">
        <w:rPr>
          <w:rFonts w:ascii="Simplified Arabic" w:hAnsi="Simplified Arabic" w:cs="Simplified Arabic"/>
          <w:sz w:val="28"/>
          <w:szCs w:val="28"/>
        </w:rPr>
        <w: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حيث قد ترفض بعض الوحدات التنظيمية التغييرات المرنة</w:t>
      </w:r>
      <w:r w:rsidRPr="00F4231E">
        <w:rPr>
          <w:rFonts w:ascii="Simplified Arabic" w:hAnsi="Simplified Arabic" w:cs="Simplified Arabic"/>
          <w:sz w:val="28"/>
          <w:szCs w:val="28"/>
        </w:rPr>
        <w:t xml:space="preserve"> (Burnes, 2014, p. 230).</w:t>
      </w:r>
    </w:p>
    <w:p w14:paraId="01843F10" w14:textId="77777777" w:rsidR="00F4231E" w:rsidRPr="00F4231E" w:rsidRDefault="00F4231E" w:rsidP="00F4231E">
      <w:pPr>
        <w:numPr>
          <w:ilvl w:val="0"/>
          <w:numId w:val="10"/>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صعوبة تحديد مواضع التحوّل بين النهج التقليدي والرشيد</w:t>
      </w:r>
      <w:r w:rsidRPr="00F4231E">
        <w:rPr>
          <w:rFonts w:ascii="Simplified Arabic" w:hAnsi="Simplified Arabic" w:cs="Simplified Arabic"/>
          <w:sz w:val="28"/>
          <w:szCs w:val="28"/>
        </w:rPr>
        <w: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مما يؤدي إلى تشويش في تطبيق المنهجية</w:t>
      </w:r>
      <w:r w:rsidRPr="00F4231E">
        <w:rPr>
          <w:rFonts w:ascii="Simplified Arabic" w:hAnsi="Simplified Arabic" w:cs="Simplified Arabic"/>
          <w:sz w:val="28"/>
          <w:szCs w:val="28"/>
        </w:rPr>
        <w:t xml:space="preserve"> (Adams, 2014, p. 22).</w:t>
      </w:r>
    </w:p>
    <w:p w14:paraId="03B63CA2" w14:textId="76D8CE5E" w:rsidR="00F4231E" w:rsidRPr="00F16994" w:rsidRDefault="00F4231E" w:rsidP="00F16994">
      <w:pPr>
        <w:numPr>
          <w:ilvl w:val="0"/>
          <w:numId w:val="10"/>
        </w:numPr>
        <w:jc w:val="lowKashida"/>
        <w:rPr>
          <w:rFonts w:ascii="Simplified Arabic" w:hAnsi="Simplified Arabic" w:cs="Simplified Arabic"/>
          <w:sz w:val="28"/>
          <w:szCs w:val="28"/>
        </w:rPr>
      </w:pPr>
      <w:r w:rsidRPr="00F4231E">
        <w:rPr>
          <w:rFonts w:ascii="Simplified Arabic" w:hAnsi="Simplified Arabic" w:cs="Simplified Arabic"/>
          <w:sz w:val="28"/>
          <w:szCs w:val="28"/>
          <w:rtl/>
        </w:rPr>
        <w:t>نقص الخبرة في تنفيذ النماذج الهجينة بشكل فعال</w:t>
      </w:r>
      <w:r w:rsidRPr="00F4231E">
        <w:rPr>
          <w:rFonts w:ascii="Simplified Arabic" w:hAnsi="Simplified Arabic" w:cs="Simplified Arabic"/>
          <w:sz w:val="28"/>
          <w:szCs w:val="28"/>
        </w:rPr>
        <w:t>:</w:t>
      </w:r>
      <w:r w:rsidRPr="00F4231E">
        <w:rPr>
          <w:rFonts w:ascii="Simplified Arabic" w:hAnsi="Simplified Arabic" w:cs="Simplified Arabic"/>
          <w:sz w:val="28"/>
          <w:szCs w:val="28"/>
        </w:rPr>
        <w:br/>
      </w:r>
      <w:r w:rsidRPr="00F4231E">
        <w:rPr>
          <w:rFonts w:ascii="Simplified Arabic" w:hAnsi="Simplified Arabic" w:cs="Simplified Arabic"/>
          <w:sz w:val="28"/>
          <w:szCs w:val="28"/>
          <w:rtl/>
        </w:rPr>
        <w:t>حيث تحتاج إلى كوادر مدربة على كلا النوعين من المنهجيات</w:t>
      </w:r>
      <w:r w:rsidRPr="00F4231E">
        <w:rPr>
          <w:rFonts w:ascii="Simplified Arabic" w:hAnsi="Simplified Arabic" w:cs="Simplified Arabic"/>
          <w:sz w:val="28"/>
          <w:szCs w:val="28"/>
        </w:rPr>
        <w:t xml:space="preserve"> (Ali &amp; Alshawi, 2016, p. 213).</w:t>
      </w:r>
    </w:p>
    <w:p w14:paraId="0140D637" w14:textId="7671EC59" w:rsidR="00F4231E" w:rsidRPr="00F4231E" w:rsidRDefault="00F4231E" w:rsidP="00F4231E">
      <w:pPr>
        <w:jc w:val="lowKashida"/>
        <w:rPr>
          <w:rFonts w:ascii="Simplified Arabic" w:hAnsi="Simplified Arabic" w:cs="Simplified Arabic"/>
          <w:b/>
          <w:bCs/>
          <w:sz w:val="28"/>
          <w:szCs w:val="28"/>
        </w:rPr>
      </w:pPr>
      <w:r w:rsidRPr="00F4231E">
        <w:rPr>
          <w:rFonts w:ascii="Simplified Arabic" w:hAnsi="Simplified Arabic" w:cs="Simplified Arabic"/>
          <w:b/>
          <w:bCs/>
          <w:sz w:val="28"/>
          <w:szCs w:val="28"/>
          <w:rtl/>
        </w:rPr>
        <w:t>الخلاصة</w:t>
      </w:r>
    </w:p>
    <w:p w14:paraId="2F66BAC6" w14:textId="77777777" w:rsidR="00F4231E" w:rsidRPr="00F4231E" w:rsidRDefault="00F4231E" w:rsidP="00F4231E">
      <w:pPr>
        <w:jc w:val="lowKashida"/>
        <w:rPr>
          <w:rFonts w:ascii="Simplified Arabic" w:hAnsi="Simplified Arabic" w:cs="Simplified Arabic"/>
          <w:sz w:val="28"/>
          <w:szCs w:val="28"/>
        </w:rPr>
      </w:pPr>
      <w:r w:rsidRPr="00F4231E">
        <w:rPr>
          <w:rFonts w:ascii="Simplified Arabic" w:hAnsi="Simplified Arabic" w:cs="Simplified Arabic"/>
          <w:sz w:val="28"/>
          <w:szCs w:val="28"/>
          <w:rtl/>
        </w:rPr>
        <w:t>النماذج الهجينة في إدارة المشاريع تمثل تطوّرًا طبيعيًا لاستجابة المؤسسات لتحديات إدارة المشاريع المعقدة والمتغيرة ضمن بيئات تنظيمية صارمة. فهي تستفيد من المبادئ النظرية لكل من الإدارة التقليدية والرشيدة، وتقدم إطارًا متوازنًا يعزز من الفعالية التشغيلية دون التفريط في الضوابط التنظيمية والهيكلية. ولذلك، فإن استخدامها يتطلب فهماً عميقاً للبيئة التنظيمية وطبيعة المشروع واحتياجات أصحاب المصلحة</w:t>
      </w:r>
      <w:r w:rsidRPr="00F4231E">
        <w:rPr>
          <w:rFonts w:ascii="Simplified Arabic" w:hAnsi="Simplified Arabic" w:cs="Simplified Arabic"/>
          <w:sz w:val="28"/>
          <w:szCs w:val="28"/>
        </w:rPr>
        <w:t>.</w:t>
      </w:r>
    </w:p>
    <w:p w14:paraId="2FFD139B" w14:textId="1B84731F" w:rsidR="00F4231E" w:rsidRDefault="00F16994" w:rsidP="00DF70E8">
      <w:pPr>
        <w:jc w:val="lowKashida"/>
        <w:rPr>
          <w:rFonts w:ascii="Simplified Arabic" w:hAnsi="Simplified Arabic" w:cs="Simplified Arabic"/>
          <w:sz w:val="28"/>
          <w:szCs w:val="28"/>
          <w:rtl/>
        </w:rPr>
      </w:pPr>
      <w:proofErr w:type="spellStart"/>
      <w:r>
        <w:rPr>
          <w:rFonts w:ascii="Simplified Arabic" w:hAnsi="Simplified Arabic" w:cs="Simplified Arabic" w:hint="cs"/>
          <w:sz w:val="28"/>
          <w:szCs w:val="28"/>
          <w:rtl/>
        </w:rPr>
        <w:t>ثانيا:الدراسات</w:t>
      </w:r>
      <w:proofErr w:type="spellEnd"/>
      <w:r>
        <w:rPr>
          <w:rFonts w:ascii="Simplified Arabic" w:hAnsi="Simplified Arabic" w:cs="Simplified Arabic" w:hint="cs"/>
          <w:sz w:val="28"/>
          <w:szCs w:val="28"/>
          <w:rtl/>
        </w:rPr>
        <w:t xml:space="preserve"> السابقة</w:t>
      </w:r>
    </w:p>
    <w:p w14:paraId="76712A1D" w14:textId="06D84F24" w:rsidR="00F16994" w:rsidRPr="00F16994" w:rsidRDefault="00F16994" w:rsidP="00F16994">
      <w:pPr>
        <w:jc w:val="lowKashida"/>
        <w:rPr>
          <w:rFonts w:ascii="Simplified Arabic" w:hAnsi="Simplified Arabic" w:cs="Simplified Arabic"/>
          <w:b/>
          <w:bCs/>
          <w:sz w:val="28"/>
          <w:szCs w:val="28"/>
          <w:rtl/>
        </w:rPr>
      </w:pPr>
      <w:r w:rsidRPr="00F16994">
        <w:rPr>
          <w:rFonts w:ascii="Simplified Arabic" w:hAnsi="Simplified Arabic" w:cs="Simplified Arabic"/>
          <w:b/>
          <w:bCs/>
          <w:sz w:val="28"/>
          <w:szCs w:val="28"/>
          <w:rtl/>
        </w:rPr>
        <w:t>الدراسة الأولى</w:t>
      </w:r>
      <w:r>
        <w:rPr>
          <w:rFonts w:ascii="Simplified Arabic" w:hAnsi="Simplified Arabic" w:cs="Simplified Arabic" w:hint="cs"/>
          <w:b/>
          <w:bCs/>
          <w:sz w:val="28"/>
          <w:szCs w:val="28"/>
          <w:rtl/>
        </w:rPr>
        <w:t xml:space="preserve"> </w:t>
      </w:r>
      <w:r w:rsidRPr="00F16994">
        <w:rPr>
          <w:rFonts w:ascii="Simplified Arabic" w:hAnsi="Simplified Arabic" w:cs="Simplified Arabic"/>
          <w:sz w:val="28"/>
          <w:szCs w:val="28"/>
          <w:rtl/>
        </w:rPr>
        <w:t>الباحث</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أحمد الحسني</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xml:space="preserve">: </w:t>
      </w:r>
      <w:r>
        <w:rPr>
          <w:rFonts w:ascii="Simplified Arabic" w:hAnsi="Simplified Arabic" w:cs="Simplified Arabic"/>
          <w:sz w:val="28"/>
          <w:szCs w:val="28"/>
        </w:rPr>
        <w:t xml:space="preserve">2022 </w:t>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w:t>
      </w:r>
      <w:r w:rsidRPr="00F16994">
        <w:rPr>
          <w:rFonts w:ascii="Simplified Arabic" w:hAnsi="Simplified Arabic" w:cs="Simplified Arabic"/>
          <w:sz w:val="28"/>
          <w:szCs w:val="28"/>
          <w:rtl/>
        </w:rPr>
        <w:t>التحول الرقمي والإدارة الهجينة للمشاريع</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هدفت الدراسة إلى تحليل دور النماذج الهجينة في دعم التحول الرقمي داخل المؤسسات الحكومية، مع التركيز على قدرتها على التكيف مع المتغيرات السريعة والحفاظ على الضوابط التنظيمية</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اعتمد الباحث منهجاً وصفيًا تحليليًا، باستخدام الاستبيان كأداة لجمع البيانات من مجموعة من مديري المشاريع في عدد من الوزارات السعودية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النتائج أن النماذج الهجينة ساعدت بشكل كبير في تحسين استجابة المؤسسات للتغييرات التقنية، وزيادة معدلات إنجاز المشروع دون التفريط في الجودة أو الامتثال التنظيمي</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lastRenderedPageBreak/>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أوصت الدراسة بضرورة تدريب الكوادر الإدارية على النماذج الهجينة، وإنشاء وحدات خاصة لإدارة المشاريع المعتمدة على هذه النماذج داخل المؤسسات الحكومية</w:t>
      </w:r>
      <w:r w:rsidRPr="00F16994">
        <w:rPr>
          <w:rFonts w:ascii="Simplified Arabic" w:hAnsi="Simplified Arabic" w:cs="Simplified Arabic"/>
          <w:sz w:val="28"/>
          <w:szCs w:val="28"/>
        </w:rPr>
        <w:t>.</w:t>
      </w:r>
    </w:p>
    <w:p w14:paraId="6E69944B"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الثانية</w:t>
      </w:r>
    </w:p>
    <w:p w14:paraId="165AE19F" w14:textId="6A0CCA08"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الباحثون</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عبد الرحمن الخراشي وعبده علي</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2021</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w:t>
      </w:r>
      <w:r w:rsidRPr="00F16994">
        <w:rPr>
          <w:rFonts w:ascii="Simplified Arabic" w:hAnsi="Simplified Arabic" w:cs="Simplified Arabic"/>
          <w:sz w:val="28"/>
          <w:szCs w:val="28"/>
          <w:rtl/>
        </w:rPr>
        <w:t>مقارنة بين المنهجيات التقليدية والهجينة في إدارة مشاريع البنية التحتية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تهدف الدراسة إلى مقارنة فعالية النماذج التقليدية والهجينة في إدارة مشاريع البنية التحتية في البيئات التنظيمية الصارمة، مع التركيز على العوامل المؤثرة في اختيار الأسلوب المناسب</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استخدم الباحثان المنهج المقارن، حيث تم تحليل بيانات من 15 مشروع بنية تحتية في دول الخليج العربي باستخدام أدوات تحليل</w:t>
      </w:r>
      <w:r w:rsidRPr="00F16994">
        <w:rPr>
          <w:rFonts w:ascii="Simplified Arabic" w:hAnsi="Simplified Arabic" w:cs="Simplified Arabic"/>
          <w:sz w:val="28"/>
          <w:szCs w:val="28"/>
        </w:rPr>
        <w:t xml:space="preserve"> SWOT </w:t>
      </w:r>
      <w:r w:rsidRPr="00F16994">
        <w:rPr>
          <w:rFonts w:ascii="Simplified Arabic" w:hAnsi="Simplified Arabic" w:cs="Simplified Arabic"/>
          <w:sz w:val="28"/>
          <w:szCs w:val="28"/>
          <w:rtl/>
        </w:rPr>
        <w:t>و</w:t>
      </w:r>
      <w:r w:rsidRPr="00F16994">
        <w:rPr>
          <w:rFonts w:ascii="Simplified Arabic" w:hAnsi="Simplified Arabic" w:cs="Simplified Arabic"/>
          <w:sz w:val="28"/>
          <w:szCs w:val="28"/>
        </w:rPr>
        <w:t>PESTLE.</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الدراسة أن النماذج الهجينة كانت أكثر فعالية في التعامل مع التغييرات غير المتوقعة مثل التأخيرات اللوجستية أو التحولات السياسية، كما أنها ساعدت في الحفاظ على التكامل التنظيمي</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الباحثون بإدراج النماذج الهجينة في السياسات الوطنية لإدارة المشاريع الكبرى، وخاصة في القطاعات التي تتطلب مرونة مع ضمان المحاسبية</w:t>
      </w:r>
      <w:r w:rsidRPr="00F16994">
        <w:rPr>
          <w:rFonts w:ascii="Simplified Arabic" w:hAnsi="Simplified Arabic" w:cs="Simplified Arabic"/>
          <w:sz w:val="28"/>
          <w:szCs w:val="28"/>
        </w:rPr>
        <w:t>.</w:t>
      </w:r>
    </w:p>
    <w:p w14:paraId="378E419E"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الثالثة</w:t>
      </w:r>
    </w:p>
    <w:p w14:paraId="70D0C034" w14:textId="77777777" w:rsid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الباحث</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محمد الشهري</w:t>
      </w:r>
    </w:p>
    <w:p w14:paraId="03CBAF99" w14:textId="28518540" w:rsidR="00F16994" w:rsidRPr="00F16994" w:rsidRDefault="00F16994" w:rsidP="00F16994">
      <w:pPr>
        <w:jc w:val="lowKashida"/>
        <w:rPr>
          <w:rFonts w:ascii="Simplified Arabic" w:hAnsi="Simplified Arabic" w:cs="Simplified Arabic"/>
          <w:sz w:val="28"/>
          <w:szCs w:val="28"/>
          <w:rtl/>
        </w:rPr>
      </w:pP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xml:space="preserve">: </w:t>
      </w:r>
      <w:r>
        <w:rPr>
          <w:rFonts w:ascii="Simplified Arabic" w:hAnsi="Simplified Arabic" w:cs="Simplified Arabic"/>
          <w:sz w:val="28"/>
          <w:szCs w:val="28"/>
        </w:rPr>
        <w:t xml:space="preserve">2023 </w:t>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w:t>
      </w:r>
      <w:r w:rsidRPr="00F16994">
        <w:rPr>
          <w:rFonts w:ascii="Simplified Arabic" w:hAnsi="Simplified Arabic" w:cs="Simplified Arabic"/>
          <w:sz w:val="28"/>
          <w:szCs w:val="28"/>
          <w:rtl/>
        </w:rPr>
        <w:t>إدارة المشاريع في ظل التحديات الاقتصادية:</w:t>
      </w:r>
      <w:r>
        <w:rPr>
          <w:rFonts w:ascii="Simplified Arabic" w:hAnsi="Simplified Arabic" w:cs="Simplified Arabic"/>
          <w:sz w:val="28"/>
          <w:szCs w:val="28"/>
          <w:rtl/>
        </w:rPr>
        <w:t xml:space="preserve"> تحليل لأداء النماذج الهجينة في</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المؤسسات المالية</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تهدف الدراسة إلى تقييم أداء النماذج الهجينة في المؤسسات المالية العربية، والتي تتميز ببيئة تنظيمية صارمة بسبب الرقابة المالية والمحاسبية الشديدة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استخدم الباحث منهجًا تجريبيًا، عبر تطبيق نموذج هجين في أحد البنوك الكبرى في مصر، وقياس مؤشرات الأداء قبل وبعد التطبيق</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النتائج تحسنًا بنسبة 28% في الوقت المستغرق لإطلاق المنتجات الجديدة، وانخفاضًا في عدد الشكاوى المتعلقة بعدم توافق متطلبات العملاء بنسبة 19</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 بتوسيع نطاق تطبيق النماذج الهجينة في المؤسسات المالية، مع وضع إطار تنظيمي خاص ينظم استخدامها ويضمن التزامها بالأنظمة الداخلية والخارجية</w:t>
      </w:r>
      <w:r w:rsidRPr="00F16994">
        <w:rPr>
          <w:rFonts w:ascii="Simplified Arabic" w:hAnsi="Simplified Arabic" w:cs="Simplified Arabic"/>
          <w:sz w:val="28"/>
          <w:szCs w:val="28"/>
        </w:rPr>
        <w:t>.</w:t>
      </w:r>
    </w:p>
    <w:p w14:paraId="381C41B2"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الرابعة</w:t>
      </w:r>
    </w:p>
    <w:p w14:paraId="3EA8C7C1" w14:textId="55DEC007" w:rsidR="00F16994" w:rsidRPr="00F16994" w:rsidRDefault="00F16994" w:rsidP="00F16994">
      <w:pPr>
        <w:jc w:val="lowKashida"/>
        <w:rPr>
          <w:rFonts w:ascii="Simplified Arabic" w:hAnsi="Simplified Arabic" w:cs="Simplified Arabic"/>
          <w:sz w:val="28"/>
          <w:szCs w:val="28"/>
          <w:rtl/>
        </w:rPr>
      </w:pPr>
      <w:r w:rsidRPr="00F16994">
        <w:rPr>
          <w:rFonts w:ascii="Simplified Arabic" w:hAnsi="Simplified Arabic" w:cs="Simplified Arabic"/>
          <w:sz w:val="28"/>
          <w:szCs w:val="28"/>
          <w:rtl/>
        </w:rPr>
        <w:lastRenderedPageBreak/>
        <w:t>الباحثون</w:t>
      </w:r>
      <w:r w:rsidRPr="00F16994">
        <w:rPr>
          <w:rFonts w:ascii="Simplified Arabic" w:hAnsi="Simplified Arabic" w:cs="Simplified Arabic"/>
          <w:sz w:val="28"/>
          <w:szCs w:val="28"/>
        </w:rPr>
        <w:t xml:space="preserve">: </w:t>
      </w:r>
      <w:r>
        <w:rPr>
          <w:rFonts w:ascii="Simplified Arabic" w:hAnsi="Simplified Arabic" w:cs="Simplified Arabic"/>
          <w:sz w:val="28"/>
          <w:szCs w:val="28"/>
        </w:rPr>
        <w:t>Adams, A. &amp; Taylor, P.</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2018</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"Hybrid Project Management: Bridging the G</w:t>
      </w:r>
      <w:r>
        <w:rPr>
          <w:rFonts w:ascii="Simplified Arabic" w:hAnsi="Simplified Arabic" w:cs="Simplified Arabic"/>
          <w:sz w:val="28"/>
          <w:szCs w:val="28"/>
        </w:rPr>
        <w:t>ap Between Agile and Waterfall"</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تهدف الدراسة إلى تحليل كيفية تحقيق النماذج الهجينة التوازن بين المنهجيات الرشيدة والتقليدية، وكيف يمكن لهذه النماذج أن تعزز الفعالية التشغيلية في البيئات التنظيمية الصارمة</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اعتمد الباحثان على منهج تحليلي نظري، من خلال مراجعة الأدبيات وتحليل حالات دراسية من قطاعات مختلفة مثل الصحة وتكنولوجيا المعلومات والتعليم العالي</w:t>
      </w:r>
      <w:r w:rsidRPr="00F1699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أكدت الدراسة أن النماذج الهجينة تحقق نتائج أفضل في المشاريع التي تتطلب كلًا من الاستقرار التنظيمي والمرونة التشغيلية، وقدمت إطارًا نظريًا لتقييم مدى ملاءمة هذه النماذج للتطبيق في مختلف القطاعات</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الباحثان بضرورة تطوير أدوات تقييم شاملة لمساعدة المؤسسات على اختيار النموذج الهجين الأنسب لها، بناءً على طبيعة المشروع والبيئة التنظيمية</w:t>
      </w:r>
      <w:r w:rsidRPr="00F16994">
        <w:rPr>
          <w:rFonts w:ascii="Simplified Arabic" w:hAnsi="Simplified Arabic" w:cs="Simplified Arabic"/>
          <w:sz w:val="28"/>
          <w:szCs w:val="28"/>
        </w:rPr>
        <w:t>.</w:t>
      </w:r>
    </w:p>
    <w:p w14:paraId="6C03FCCB"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الخامسة</w:t>
      </w:r>
    </w:p>
    <w:p w14:paraId="2F98BBF1" w14:textId="15BE732B"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الباحثون</w:t>
      </w:r>
      <w:r w:rsidRPr="00F16994">
        <w:rPr>
          <w:rFonts w:ascii="Simplified Arabic" w:hAnsi="Simplified Arabic" w:cs="Simplified Arabic"/>
          <w:sz w:val="28"/>
          <w:szCs w:val="28"/>
        </w:rPr>
        <w:t xml:space="preserve">: </w:t>
      </w:r>
      <w:proofErr w:type="spellStart"/>
      <w:r w:rsidRPr="00F16994">
        <w:rPr>
          <w:rFonts w:ascii="Simplified Arabic" w:hAnsi="Simplified Arabic" w:cs="Simplified Arabic"/>
          <w:sz w:val="28"/>
          <w:szCs w:val="28"/>
        </w:rPr>
        <w:t>Ahlemann</w:t>
      </w:r>
      <w:proofErr w:type="spellEnd"/>
      <w:r>
        <w:rPr>
          <w:rFonts w:ascii="Simplified Arabic" w:hAnsi="Simplified Arabic" w:cs="Simplified Arabic"/>
          <w:sz w:val="28"/>
          <w:szCs w:val="28"/>
        </w:rPr>
        <w:t>, F., Stieglitz, N., &amp; Bick, M.</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2012</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"The Application of Hybrid Methods in Project Management"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تهدف الدراسة إلى فهم كيف يمكن للمنظمات الحكومية استخدام النماذج الهجينة لتحقيق التوازن بين الالتزام بالإجراءات الرسمية والاستجابة للتغييرات السريعة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استخدم الباحثون منهج الدراسة النوعية، من خلال إجراء مقابلات مع مديري مشاريع في عدد من الوزارات الألمانية</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النتائج أن النماذج الهجينة زادت من قدرة الفرق على التكيف مع المتطلبات المتغيرة، بينما حافظت على مستوى عالٍ من الشفافية والمسؤولية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الباحثون بتضمين التدريب على النماذج الهجينة في برامج التطوير المهني لمديري المشاريع الحكوميين، ووضع معايير واضحة لاعتماد هذه النماذج في المشاريع العامة</w:t>
      </w:r>
      <w:r w:rsidRPr="00F16994">
        <w:rPr>
          <w:rFonts w:ascii="Simplified Arabic" w:hAnsi="Simplified Arabic" w:cs="Simplified Arabic"/>
          <w:sz w:val="28"/>
          <w:szCs w:val="28"/>
        </w:rPr>
        <w:t>.</w:t>
      </w:r>
    </w:p>
    <w:p w14:paraId="116EC9C5"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السادسة</w:t>
      </w:r>
    </w:p>
    <w:p w14:paraId="31894328" w14:textId="78B60AE6"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الباحثون</w:t>
      </w:r>
      <w:r w:rsidRPr="00F16994">
        <w:rPr>
          <w:rFonts w:ascii="Simplified Arabic" w:hAnsi="Simplified Arabic" w:cs="Simplified Arabic"/>
          <w:sz w:val="28"/>
          <w:szCs w:val="28"/>
        </w:rPr>
        <w:t xml:space="preserve">: </w:t>
      </w:r>
      <w:r>
        <w:rPr>
          <w:rFonts w:ascii="Simplified Arabic" w:hAnsi="Simplified Arabic" w:cs="Simplified Arabic"/>
          <w:sz w:val="28"/>
          <w:szCs w:val="28"/>
        </w:rPr>
        <w:t>Svejvig, P. &amp; Andersen, P.</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2015</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"Rethinking Project Management Research: A Value-Based Perspective"</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 xml:space="preserve">تهدف الدراسة إلى إعادة النظر في منهجيات البحث في إدارة المشاريع، مع التركيز </w:t>
      </w:r>
      <w:r w:rsidRPr="00F16994">
        <w:rPr>
          <w:rFonts w:ascii="Simplified Arabic" w:hAnsi="Simplified Arabic" w:cs="Simplified Arabic"/>
          <w:sz w:val="28"/>
          <w:szCs w:val="28"/>
          <w:rtl/>
        </w:rPr>
        <w:lastRenderedPageBreak/>
        <w:t>على قيمة المشروع من وجهة نظر أصحاب المصلحة، ودور النماذج الهجينة في تحقيق هذه القيمة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استخدم الباحثان منهج التحليل النقدي للأدبيات، وقاما بتحليل أكثر من 40 دراسة سابقة حول إدارة المشاريع في القطاعات المختلفة</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الدراسة أن النماذج الهجينة أكثر قدرة على تلبية توقعات أصحاب المصلحة من حيث الجودة، والوقت، والمرونة، وأنها تساهم في تحسين القيمة المُدرَكة من المشروع</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الباحثون بضرورة ربط اختيار منهجية إدارة المشروع بالقيمة المطلوبة منه، بدلاً من الاعتماد فقط على معايير تقنية أو تنظيمية</w:t>
      </w:r>
      <w:r w:rsidRPr="00F16994">
        <w:rPr>
          <w:rFonts w:ascii="Simplified Arabic" w:hAnsi="Simplified Arabic" w:cs="Simplified Arabic"/>
          <w:sz w:val="28"/>
          <w:szCs w:val="28"/>
        </w:rPr>
        <w:t>.</w:t>
      </w:r>
    </w:p>
    <w:p w14:paraId="79E22E18"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الدراسة السابعة</w:t>
      </w:r>
    </w:p>
    <w:p w14:paraId="750F4361" w14:textId="2EB60450"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الباحثون</w:t>
      </w:r>
      <w:r w:rsidRPr="00F16994">
        <w:rPr>
          <w:rFonts w:ascii="Simplified Arabic" w:hAnsi="Simplified Arabic" w:cs="Simplified Arabic"/>
          <w:sz w:val="28"/>
          <w:szCs w:val="28"/>
        </w:rPr>
        <w:t xml:space="preserve">: </w:t>
      </w:r>
      <w:r>
        <w:rPr>
          <w:rFonts w:ascii="Simplified Arabic" w:hAnsi="Simplified Arabic" w:cs="Simplified Arabic"/>
          <w:sz w:val="28"/>
          <w:szCs w:val="28"/>
        </w:rPr>
        <w:t>Khatri, V. &amp; Fernandes, K. J.</w:t>
      </w:r>
      <w:r>
        <w:rPr>
          <w:rFonts w:ascii="Simplified Arabic" w:hAnsi="Simplified Arabic" w:cs="Simplified Arabic" w:hint="cs"/>
          <w:sz w:val="28"/>
          <w:szCs w:val="28"/>
          <w:rtl/>
        </w:rPr>
        <w:t xml:space="preserve"> </w:t>
      </w:r>
      <w:r w:rsidRPr="00F16994">
        <w:rPr>
          <w:rFonts w:ascii="Simplified Arabic" w:hAnsi="Simplified Arabic" w:cs="Simplified Arabic"/>
          <w:sz w:val="28"/>
          <w:szCs w:val="28"/>
          <w:rtl/>
        </w:rPr>
        <w:t>سنة النشر</w:t>
      </w:r>
      <w:r w:rsidRPr="00F16994">
        <w:rPr>
          <w:rFonts w:ascii="Simplified Arabic" w:hAnsi="Simplified Arabic" w:cs="Simplified Arabic"/>
          <w:sz w:val="28"/>
          <w:szCs w:val="28"/>
        </w:rPr>
        <w:t>: 2020</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عنوان الدراسة</w:t>
      </w:r>
      <w:r w:rsidRPr="00F16994">
        <w:rPr>
          <w:rFonts w:ascii="Simplified Arabic" w:hAnsi="Simplified Arabic" w:cs="Simplified Arabic"/>
          <w:sz w:val="28"/>
          <w:szCs w:val="28"/>
        </w:rPr>
        <w:t>: "Managing Change in Projects: A Comparative Study of Agile and Traditional Methods"</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هدف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تهدف الدراسة إلى مقارنة قدرة النماذج الرشيدة والهجينة والتقليدية على التعامل مع التغييرات أثناء تنفيذ المشاريع، مع التركيز على التكاليف والوقت وجودة التسليم</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منهج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استخدم الباحثان منهج المقارنة الكمية، من خلال جمع بيانات من 60 مشروعًا في قطاعات مختلفة في الهند</w:t>
      </w:r>
      <w:r>
        <w:rPr>
          <w:rFonts w:ascii="Simplified Arabic" w:hAnsi="Simplified Arabic" w:cs="Simplified Arabic"/>
          <w:sz w:val="28"/>
          <w:szCs w:val="28"/>
        </w:rPr>
        <w:t xml:space="preserve">. </w:t>
      </w:r>
      <w:r w:rsidRPr="00F16994">
        <w:rPr>
          <w:rFonts w:ascii="Simplified Arabic" w:hAnsi="Simplified Arabic" w:cs="Simplified Arabic"/>
          <w:sz w:val="28"/>
          <w:szCs w:val="28"/>
          <w:rtl/>
        </w:rPr>
        <w:t>نتائج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أظهرت النتائج أن النماذج الهجينة حققت أفضل توازن بين القدرة على التكيف مع التغييرات والحفاظ على السيطرة على التكلفة والوقت، مقارنة بالمناهج الأخرى</w:t>
      </w:r>
      <w:r w:rsidRPr="00F16994">
        <w:rPr>
          <w:rFonts w:ascii="Simplified Arabic" w:hAnsi="Simplified Arabic" w:cs="Simplified Arabic"/>
          <w:sz w:val="28"/>
          <w:szCs w:val="28"/>
        </w:rPr>
        <w:t>.</w:t>
      </w:r>
      <w:r w:rsidRPr="00F16994">
        <w:rPr>
          <w:rFonts w:ascii="Simplified Arabic" w:hAnsi="Simplified Arabic" w:cs="Simplified Arabic"/>
          <w:sz w:val="28"/>
          <w:szCs w:val="28"/>
        </w:rPr>
        <w:br/>
      </w:r>
      <w:r w:rsidRPr="00F16994">
        <w:rPr>
          <w:rFonts w:ascii="Simplified Arabic" w:hAnsi="Simplified Arabic" w:cs="Simplified Arabic"/>
          <w:sz w:val="28"/>
          <w:szCs w:val="28"/>
          <w:rtl/>
        </w:rPr>
        <w:t>توصيات الدراسة</w:t>
      </w:r>
      <w:r w:rsidRPr="00F16994">
        <w:rPr>
          <w:rFonts w:ascii="Simplified Arabic" w:hAnsi="Simplified Arabic" w:cs="Simplified Arabic"/>
          <w:sz w:val="28"/>
          <w:szCs w:val="28"/>
        </w:rPr>
        <w:t xml:space="preserve">: </w:t>
      </w:r>
      <w:r w:rsidRPr="00F16994">
        <w:rPr>
          <w:rFonts w:ascii="Simplified Arabic" w:hAnsi="Simplified Arabic" w:cs="Simplified Arabic"/>
          <w:sz w:val="28"/>
          <w:szCs w:val="28"/>
          <w:rtl/>
        </w:rPr>
        <w:t>أوصى الباحثون بأن يتم تبني النماذج الهجينة في المشاريع التي تتعرض لتغيرات متكررة ولكنها تحتاج إلى محاسبية عالية</w:t>
      </w:r>
      <w:r w:rsidRPr="00F16994">
        <w:rPr>
          <w:rFonts w:ascii="Simplified Arabic" w:hAnsi="Simplified Arabic" w:cs="Simplified Arabic"/>
          <w:sz w:val="28"/>
          <w:szCs w:val="28"/>
        </w:rPr>
        <w:t>.</w:t>
      </w:r>
    </w:p>
    <w:p w14:paraId="2C4EF212" w14:textId="77777777"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التعليق على الدراسات السابقة</w:t>
      </w:r>
    </w:p>
    <w:p w14:paraId="6BA95C00"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تُظهر مجموعة الدراسات السابقة تنوعًا ملحوظًا في الزوايا التي اهتمت بها الباحثون فيما يتعلق باستخدام النماذج الهجينة في إدارة المشاريع، خاصة في البيئات التنظيمية الصارمة. وقد حاولت هذه الدراسات تقديم رؤى نظرية وتجريبية حول مدى فعالية هذه النماذج في تحقيق التوازن بين الاستقرار التنظيمي والمرونة التشغيلية، مع التركيز على قدرة المؤسسات على التكيف مع المتغيرات السريعة</w:t>
      </w:r>
      <w:r w:rsidRPr="00F16994">
        <w:rPr>
          <w:rFonts w:ascii="Simplified Arabic" w:hAnsi="Simplified Arabic" w:cs="Simplified Arabic"/>
          <w:sz w:val="28"/>
          <w:szCs w:val="28"/>
        </w:rPr>
        <w:t>.</w:t>
      </w:r>
    </w:p>
    <w:p w14:paraId="5B3B666E" w14:textId="5D3B8A0A"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تنوع الجهات والقطاعات المستهدفة</w:t>
      </w:r>
    </w:p>
    <w:p w14:paraId="10D582AC"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من خلال استعراض الدراسات العربية والأجنبية، يتضح أن الباحثين قد غطوا عدة قطاعات مثل</w:t>
      </w:r>
      <w:r w:rsidRPr="00F16994">
        <w:rPr>
          <w:rFonts w:ascii="Simplified Arabic" w:hAnsi="Simplified Arabic" w:cs="Simplified Arabic"/>
          <w:sz w:val="28"/>
          <w:szCs w:val="28"/>
        </w:rPr>
        <w:t>:</w:t>
      </w:r>
    </w:p>
    <w:p w14:paraId="6A02CBDC" w14:textId="77777777" w:rsidR="00F16994" w:rsidRPr="00F16994" w:rsidRDefault="00F16994" w:rsidP="00F16994">
      <w:pPr>
        <w:numPr>
          <w:ilvl w:val="0"/>
          <w:numId w:val="11"/>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lastRenderedPageBreak/>
        <w:t xml:space="preserve">الحكومة والمؤسسات العامة </w:t>
      </w:r>
      <w:r w:rsidRPr="00F16994">
        <w:rPr>
          <w:rFonts w:ascii="Simplified Arabic" w:hAnsi="Simplified Arabic" w:cs="Simplified Arabic"/>
          <w:sz w:val="28"/>
          <w:szCs w:val="28"/>
        </w:rPr>
        <w:t>(</w:t>
      </w:r>
      <w:r w:rsidRPr="00F16994">
        <w:rPr>
          <w:rFonts w:ascii="Simplified Arabic" w:hAnsi="Simplified Arabic" w:cs="Simplified Arabic"/>
          <w:sz w:val="28"/>
          <w:szCs w:val="28"/>
          <w:rtl/>
        </w:rPr>
        <w:t>أحمد الحسني، 2022؛</w:t>
      </w:r>
      <w:r w:rsidRPr="00F16994">
        <w:rPr>
          <w:rFonts w:ascii="Simplified Arabic" w:hAnsi="Simplified Arabic" w:cs="Simplified Arabic"/>
          <w:sz w:val="28"/>
          <w:szCs w:val="28"/>
        </w:rPr>
        <w:t xml:space="preserve"> Ahlemann et al., 2012)</w:t>
      </w:r>
    </w:p>
    <w:p w14:paraId="0853ACCA" w14:textId="502B7EC5" w:rsidR="00F16994" w:rsidRPr="00F16994" w:rsidRDefault="00F16994" w:rsidP="00F16994">
      <w:pPr>
        <w:numPr>
          <w:ilvl w:val="0"/>
          <w:numId w:val="11"/>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المؤسسات المالية </w:t>
      </w:r>
      <w:r w:rsidRPr="00F16994">
        <w:rPr>
          <w:rFonts w:ascii="Simplified Arabic" w:hAnsi="Simplified Arabic" w:cs="Simplified Arabic"/>
          <w:sz w:val="28"/>
          <w:szCs w:val="28"/>
        </w:rPr>
        <w:t>(</w:t>
      </w:r>
      <w:r w:rsidRPr="00F16994">
        <w:rPr>
          <w:rFonts w:ascii="Simplified Arabic" w:hAnsi="Simplified Arabic" w:cs="Simplified Arabic"/>
          <w:sz w:val="28"/>
          <w:szCs w:val="28"/>
          <w:rtl/>
        </w:rPr>
        <w:t>محمد الشهري، 2023</w:t>
      </w:r>
    </w:p>
    <w:p w14:paraId="0D186A26" w14:textId="2FAB1CF1" w:rsidR="00F16994" w:rsidRPr="00F16994" w:rsidRDefault="00F16994" w:rsidP="00F16994">
      <w:pPr>
        <w:numPr>
          <w:ilvl w:val="0"/>
          <w:numId w:val="11"/>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مشاريع البنية التحتية </w:t>
      </w:r>
      <w:r w:rsidRPr="00F16994">
        <w:rPr>
          <w:rFonts w:ascii="Simplified Arabic" w:hAnsi="Simplified Arabic" w:cs="Simplified Arabic"/>
          <w:sz w:val="28"/>
          <w:szCs w:val="28"/>
        </w:rPr>
        <w:t>(</w:t>
      </w:r>
      <w:r w:rsidRPr="00F16994">
        <w:rPr>
          <w:rFonts w:ascii="Simplified Arabic" w:hAnsi="Simplified Arabic" w:cs="Simplified Arabic"/>
          <w:sz w:val="28"/>
          <w:szCs w:val="28"/>
          <w:rtl/>
        </w:rPr>
        <w:t>الخراشي وعلي، 2021</w:t>
      </w:r>
    </w:p>
    <w:p w14:paraId="7CACE015" w14:textId="77777777" w:rsidR="00F16994" w:rsidRPr="00F16994" w:rsidRDefault="00F16994" w:rsidP="00F16994">
      <w:pPr>
        <w:numPr>
          <w:ilvl w:val="0"/>
          <w:numId w:val="11"/>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التكنولوجيا والمعلومات </w:t>
      </w:r>
      <w:r w:rsidRPr="00F16994">
        <w:rPr>
          <w:rFonts w:ascii="Simplified Arabic" w:hAnsi="Simplified Arabic" w:cs="Simplified Arabic"/>
          <w:sz w:val="28"/>
          <w:szCs w:val="28"/>
        </w:rPr>
        <w:t>(Adams &amp; Taylor</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2018</w:t>
      </w:r>
      <w:r w:rsidRPr="00F16994">
        <w:rPr>
          <w:rFonts w:ascii="Simplified Arabic" w:hAnsi="Simplified Arabic" w:cs="Simplified Arabic"/>
          <w:sz w:val="28"/>
          <w:szCs w:val="28"/>
          <w:rtl/>
        </w:rPr>
        <w:t>؛</w:t>
      </w:r>
      <w:r w:rsidRPr="00F16994">
        <w:rPr>
          <w:rFonts w:ascii="Simplified Arabic" w:hAnsi="Simplified Arabic" w:cs="Simplified Arabic"/>
          <w:sz w:val="28"/>
          <w:szCs w:val="28"/>
        </w:rPr>
        <w:t xml:space="preserve"> Khatri &amp; Fernandes</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2020)</w:t>
      </w:r>
    </w:p>
    <w:p w14:paraId="0F1D933F"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وهذا التنوع يُعتبر دليلًا على اتساع نطاق استخدام النماذج الهجينة، مما يعزز من أهميتها كمنهجية مرنة ومتكاملة</w:t>
      </w:r>
      <w:r w:rsidRPr="00F16994">
        <w:rPr>
          <w:rFonts w:ascii="Simplified Arabic" w:hAnsi="Simplified Arabic" w:cs="Simplified Arabic"/>
          <w:sz w:val="28"/>
          <w:szCs w:val="28"/>
        </w:rPr>
        <w:t>.</w:t>
      </w:r>
    </w:p>
    <w:p w14:paraId="7CA6970C" w14:textId="716EE45D"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اختلاف المناهج البحثية</w:t>
      </w:r>
    </w:p>
    <w:p w14:paraId="1DFDAC49"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تنوعت المناهج المستخدمة في هذه الدراسات بين</w:t>
      </w:r>
      <w:r w:rsidRPr="00F16994">
        <w:rPr>
          <w:rFonts w:ascii="Simplified Arabic" w:hAnsi="Simplified Arabic" w:cs="Simplified Arabic"/>
          <w:sz w:val="28"/>
          <w:szCs w:val="28"/>
        </w:rPr>
        <w:t>:</w:t>
      </w:r>
    </w:p>
    <w:p w14:paraId="27C728FD" w14:textId="0DD26DDD" w:rsidR="00F16994" w:rsidRPr="00F16994" w:rsidRDefault="00F16994" w:rsidP="00F16994">
      <w:pPr>
        <w:numPr>
          <w:ilvl w:val="0"/>
          <w:numId w:val="12"/>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المنهج الوصفي التحليلي أحمد الحسني، 2022</w:t>
      </w:r>
    </w:p>
    <w:p w14:paraId="1E7C3BCB" w14:textId="1B1B9FE9" w:rsidR="00F16994" w:rsidRPr="00F16994" w:rsidRDefault="00F16994" w:rsidP="00F16994">
      <w:pPr>
        <w:numPr>
          <w:ilvl w:val="0"/>
          <w:numId w:val="12"/>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المنهج المقارن الخراشي وعلي، 2021</w:t>
      </w:r>
    </w:p>
    <w:p w14:paraId="1F0E91F8" w14:textId="5CCD5DF2" w:rsidR="00F16994" w:rsidRPr="00F16994" w:rsidRDefault="00F16994" w:rsidP="00F16994">
      <w:pPr>
        <w:numPr>
          <w:ilvl w:val="0"/>
          <w:numId w:val="12"/>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المنهج التجريبي محمد الشهري، 2023</w:t>
      </w:r>
    </w:p>
    <w:p w14:paraId="0D02ABEA" w14:textId="77777777" w:rsidR="00F16994" w:rsidRPr="00F16994" w:rsidRDefault="00F16994" w:rsidP="00F16994">
      <w:pPr>
        <w:numPr>
          <w:ilvl w:val="0"/>
          <w:numId w:val="12"/>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المنهج النوعي </w:t>
      </w:r>
      <w:r w:rsidRPr="00F16994">
        <w:rPr>
          <w:rFonts w:ascii="Simplified Arabic" w:hAnsi="Simplified Arabic" w:cs="Simplified Arabic"/>
          <w:sz w:val="28"/>
          <w:szCs w:val="28"/>
        </w:rPr>
        <w:t>(Ahlemann et al., 2012)</w:t>
      </w:r>
    </w:p>
    <w:p w14:paraId="3A89FB29" w14:textId="77777777" w:rsidR="00F16994" w:rsidRPr="00F16994" w:rsidRDefault="00F16994" w:rsidP="00F16994">
      <w:pPr>
        <w:numPr>
          <w:ilvl w:val="0"/>
          <w:numId w:val="12"/>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المنهج التحليلي للأدبيات </w:t>
      </w:r>
      <w:r w:rsidRPr="00F16994">
        <w:rPr>
          <w:rFonts w:ascii="Simplified Arabic" w:hAnsi="Simplified Arabic" w:cs="Simplified Arabic"/>
          <w:sz w:val="28"/>
          <w:szCs w:val="28"/>
        </w:rPr>
        <w:t>(Svejvig &amp; Andersen</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2015)</w:t>
      </w:r>
    </w:p>
    <w:p w14:paraId="5A7534DA"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وقد ساعد هذا التنوع في تقديم رؤى متعددة الأبعاد للظاهرة موضوع الدراسة، سواء من الجانب التطبيقي أو النظري</w:t>
      </w:r>
      <w:r w:rsidRPr="00F16994">
        <w:rPr>
          <w:rFonts w:ascii="Simplified Arabic" w:hAnsi="Simplified Arabic" w:cs="Simplified Arabic"/>
          <w:sz w:val="28"/>
          <w:szCs w:val="28"/>
        </w:rPr>
        <w:t>.</w:t>
      </w:r>
    </w:p>
    <w:p w14:paraId="5D796AAE" w14:textId="09E6AC5B"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نتائج مشتركة مؤكدة لفعالية النماذج الهجينة</w:t>
      </w:r>
    </w:p>
    <w:p w14:paraId="15FE8D19"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رغم اختلاف السياقات والمناهج، إلا أن جميع الدراسات تقريبًا خلصت إلى أن النماذج الهجينة</w:t>
      </w:r>
      <w:r w:rsidRPr="00F16994">
        <w:rPr>
          <w:rFonts w:ascii="Simplified Arabic" w:hAnsi="Simplified Arabic" w:cs="Simplified Arabic"/>
          <w:sz w:val="28"/>
          <w:szCs w:val="28"/>
        </w:rPr>
        <w:t>:</w:t>
      </w:r>
    </w:p>
    <w:p w14:paraId="02B6B9C5" w14:textId="4E969A45" w:rsidR="00F16994" w:rsidRDefault="00F16994" w:rsidP="00F16994">
      <w:pPr>
        <w:numPr>
          <w:ilvl w:val="0"/>
          <w:numId w:val="13"/>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تعزز من قدرة المؤسسة على التكيف مع التغييرات </w:t>
      </w:r>
      <w:r w:rsidRPr="00F16994">
        <w:rPr>
          <w:rFonts w:ascii="Simplified Arabic" w:hAnsi="Simplified Arabic" w:cs="Simplified Arabic"/>
          <w:sz w:val="28"/>
          <w:szCs w:val="28"/>
        </w:rPr>
        <w:t>(Khatri &amp; Fernandes</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2020</w:t>
      </w:r>
      <w:r w:rsidRPr="00F16994">
        <w:rPr>
          <w:rFonts w:ascii="Simplified Arabic" w:hAnsi="Simplified Arabic" w:cs="Simplified Arabic"/>
          <w:sz w:val="28"/>
          <w:szCs w:val="28"/>
          <w:rtl/>
        </w:rPr>
        <w:t>؛ أحمد الحسني، 2022</w:t>
      </w:r>
    </w:p>
    <w:p w14:paraId="4A95353D" w14:textId="02A9351E" w:rsidR="00F16994" w:rsidRPr="00F16994" w:rsidRDefault="00F16994" w:rsidP="00F16994">
      <w:pPr>
        <w:numPr>
          <w:ilvl w:val="0"/>
          <w:numId w:val="13"/>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 xml:space="preserve"> تحافظ على الضوابط التنظيمية والهيكلية </w:t>
      </w:r>
      <w:r w:rsidRPr="00F16994">
        <w:rPr>
          <w:rFonts w:ascii="Simplified Arabic" w:hAnsi="Simplified Arabic" w:cs="Simplified Arabic"/>
          <w:sz w:val="28"/>
          <w:szCs w:val="28"/>
        </w:rPr>
        <w:t>(Ahlemann et al., 2012</w:t>
      </w:r>
      <w:r w:rsidRPr="00F16994">
        <w:rPr>
          <w:rFonts w:ascii="Simplified Arabic" w:hAnsi="Simplified Arabic" w:cs="Simplified Arabic"/>
          <w:sz w:val="28"/>
          <w:szCs w:val="28"/>
          <w:rtl/>
        </w:rPr>
        <w:t>؛ محمد الشهري، 2023</w:t>
      </w:r>
    </w:p>
    <w:p w14:paraId="5928302A" w14:textId="30677087" w:rsidR="00F16994" w:rsidRPr="00F16994" w:rsidRDefault="00F16994" w:rsidP="00F16994">
      <w:pPr>
        <w:numPr>
          <w:ilvl w:val="0"/>
          <w:numId w:val="13"/>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lastRenderedPageBreak/>
        <w:t xml:space="preserve">تحسن من فعالية العمليات وزيادة معدلات إنجاز المشروع </w:t>
      </w:r>
      <w:r w:rsidRPr="00F16994">
        <w:rPr>
          <w:rFonts w:ascii="Simplified Arabic" w:hAnsi="Simplified Arabic" w:cs="Simplified Arabic"/>
          <w:sz w:val="28"/>
          <w:szCs w:val="28"/>
        </w:rPr>
        <w:t>(Adams &amp; Taylor</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2018</w:t>
      </w:r>
      <w:r w:rsidRPr="00F16994">
        <w:rPr>
          <w:rFonts w:ascii="Simplified Arabic" w:hAnsi="Simplified Arabic" w:cs="Simplified Arabic"/>
          <w:sz w:val="28"/>
          <w:szCs w:val="28"/>
          <w:rtl/>
        </w:rPr>
        <w:t>؛ الخراشي وعلي، 2021</w:t>
      </w:r>
    </w:p>
    <w:p w14:paraId="75CC8E47"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وهذا يدل على أن هناك توافقًا عامًا حول فعاليتها في بيئات العمل المعقدة والمتغيرة</w:t>
      </w:r>
      <w:r w:rsidRPr="00F16994">
        <w:rPr>
          <w:rFonts w:ascii="Simplified Arabic" w:hAnsi="Simplified Arabic" w:cs="Simplified Arabic"/>
          <w:sz w:val="28"/>
          <w:szCs w:val="28"/>
        </w:rPr>
        <w:t>.</w:t>
      </w:r>
    </w:p>
    <w:p w14:paraId="437B1D86" w14:textId="69B96F10"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تركيز محدود على الجوانب الثقافية والتنظيمية</w:t>
      </w:r>
    </w:p>
    <w:p w14:paraId="65286E86"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رغم الغنى النظري والتطبيقي للدراسات السابقة، فإن هناك تركيزًا أقل على الجوانب الثقافية والسلوكية داخل المنظمات، وخاصة في الدول العربية. إذ إن معظم الدراسات الأجنبية (مثل تلك التي أجراها</w:t>
      </w:r>
      <w:r w:rsidRPr="00F16994">
        <w:rPr>
          <w:rFonts w:ascii="Simplified Arabic" w:hAnsi="Simplified Arabic" w:cs="Simplified Arabic"/>
          <w:sz w:val="28"/>
          <w:szCs w:val="28"/>
        </w:rPr>
        <w:t xml:space="preserve"> Svejvig &amp; Andersen</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 xml:space="preserve">2015) </w:t>
      </w:r>
      <w:r w:rsidRPr="00F16994">
        <w:rPr>
          <w:rFonts w:ascii="Simplified Arabic" w:hAnsi="Simplified Arabic" w:cs="Simplified Arabic"/>
          <w:sz w:val="28"/>
          <w:szCs w:val="28"/>
          <w:rtl/>
        </w:rPr>
        <w:t>تناولت البيئات الغربية، بينما درست الدراسات العربية (مثل أحمد الحسني، 2022) حالات محددة دون تقديم إطار عام يمكن تعميمه</w:t>
      </w:r>
      <w:r w:rsidRPr="00F16994">
        <w:rPr>
          <w:rFonts w:ascii="Simplified Arabic" w:hAnsi="Simplified Arabic" w:cs="Simplified Arabic"/>
          <w:sz w:val="28"/>
          <w:szCs w:val="28"/>
        </w:rPr>
        <w:t>.</w:t>
      </w:r>
    </w:p>
    <w:p w14:paraId="5B250A82" w14:textId="00236A80"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نقص الدراسات الكمية الكبيرة الحجم</w:t>
      </w:r>
    </w:p>
    <w:p w14:paraId="2030E0DE" w14:textId="142C35A3" w:rsidR="00F16994" w:rsidRPr="00F16994" w:rsidRDefault="00F16994" w:rsidP="00A17FBC">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مع أن بعض الدراسات (مثل</w:t>
      </w:r>
      <w:r w:rsidRPr="00F16994">
        <w:rPr>
          <w:rFonts w:ascii="Simplified Arabic" w:hAnsi="Simplified Arabic" w:cs="Simplified Arabic"/>
          <w:sz w:val="28"/>
          <w:szCs w:val="28"/>
        </w:rPr>
        <w:t xml:space="preserve"> Khatri &amp; Fernandes</w:t>
      </w:r>
      <w:r w:rsidRPr="00F16994">
        <w:rPr>
          <w:rFonts w:ascii="Simplified Arabic" w:hAnsi="Simplified Arabic" w:cs="Simplified Arabic"/>
          <w:sz w:val="28"/>
          <w:szCs w:val="28"/>
          <w:rtl/>
        </w:rPr>
        <w:t xml:space="preserve">، </w:t>
      </w:r>
      <w:r w:rsidRPr="00F16994">
        <w:rPr>
          <w:rFonts w:ascii="Simplified Arabic" w:hAnsi="Simplified Arabic" w:cs="Simplified Arabic"/>
          <w:sz w:val="28"/>
          <w:szCs w:val="28"/>
        </w:rPr>
        <w:t xml:space="preserve">2020) </w:t>
      </w:r>
      <w:r w:rsidRPr="00F16994">
        <w:rPr>
          <w:rFonts w:ascii="Simplified Arabic" w:hAnsi="Simplified Arabic" w:cs="Simplified Arabic"/>
          <w:sz w:val="28"/>
          <w:szCs w:val="28"/>
          <w:rtl/>
        </w:rPr>
        <w:t>استخدمت منهجيات كمية، إلا أن عدد العينات كان محدودًا، مما يقلل من قابلية تعميم النتائج. كما أن هناك نقصًا في الدراسات التي تعتمد على نماذج إحصائية متقدمة لتقييم العلاقة بين استخدام النماذج الهجينة وأداء المشاريع</w:t>
      </w:r>
      <w:r w:rsidRPr="00F16994">
        <w:rPr>
          <w:rFonts w:ascii="Simplified Arabic" w:hAnsi="Simplified Arabic" w:cs="Simplified Arabic"/>
          <w:sz w:val="28"/>
          <w:szCs w:val="28"/>
        </w:rPr>
        <w:t>.</w:t>
      </w:r>
    </w:p>
    <w:p w14:paraId="0E2F7101" w14:textId="7F1267C2"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b/>
          <w:bCs/>
          <w:sz w:val="28"/>
          <w:szCs w:val="28"/>
          <w:rtl/>
        </w:rPr>
        <w:t>الفجوة البحثية</w:t>
      </w:r>
    </w:p>
    <w:p w14:paraId="4D0EEA5C"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بناءً على التعليق السابق، يمكن تحديد الفجوة البحثية في النقاط التالية</w:t>
      </w:r>
      <w:r w:rsidRPr="00F16994">
        <w:rPr>
          <w:rFonts w:ascii="Simplified Arabic" w:hAnsi="Simplified Arabic" w:cs="Simplified Arabic"/>
          <w:sz w:val="28"/>
          <w:szCs w:val="28"/>
        </w:rPr>
        <w:t>:</w:t>
      </w:r>
    </w:p>
    <w:p w14:paraId="5041B1B3" w14:textId="25AFF089"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غياب إطار شامل لقياس فعالية النماذج الهجينة في البيئات العربية</w:t>
      </w:r>
    </w:p>
    <w:p w14:paraId="034AF78C"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رغم وجود دراسات عربية تناولت تطبيق النماذج الهجينة، إلا أنها لم تقدم إطارًا موحدًا أو أدوات تقييم واضحة يمكن استخدامها عبر مختلف القطاعات والمنظمات. ومن هنا تأتي الحاجة إلى بناء نموذج محلي يأخذ في الاعتبار الخصائص الثقافية والإدارية الخاصة بالدول العربية</w:t>
      </w:r>
      <w:r w:rsidRPr="00F16994">
        <w:rPr>
          <w:rFonts w:ascii="Simplified Arabic" w:hAnsi="Simplified Arabic" w:cs="Simplified Arabic"/>
          <w:sz w:val="28"/>
          <w:szCs w:val="28"/>
        </w:rPr>
        <w:t>.</w:t>
      </w:r>
    </w:p>
    <w:p w14:paraId="6E076F54" w14:textId="74C76D4F"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قلة الدراسات التجريبية في القطاعات غير التقنية</w:t>
      </w:r>
    </w:p>
    <w:p w14:paraId="2E46CF92"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أغلب الدراسات التي تناولت النماذج الهجينة ركزت على قطاعات مثل تكنولوجيا المعلومات أو الحكومة الإلكترونية، بينما هناك حاجة إلى دراسات تختبر فعاليتها في قطاعات أخرى مثل التعليم، الرعاية الصحية، أو الصناعة التقليدية</w:t>
      </w:r>
      <w:r w:rsidRPr="00F16994">
        <w:rPr>
          <w:rFonts w:ascii="Simplified Arabic" w:hAnsi="Simplified Arabic" w:cs="Simplified Arabic"/>
          <w:sz w:val="28"/>
          <w:szCs w:val="28"/>
        </w:rPr>
        <w:t>.</w:t>
      </w:r>
    </w:p>
    <w:p w14:paraId="6D95EDBA" w14:textId="69AB8984"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عدم التركيز على العوامل البشرية والثقافية</w:t>
      </w:r>
    </w:p>
    <w:p w14:paraId="2BCDE2AC"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lastRenderedPageBreak/>
        <w:t>لم تتناول الدراسات السابقة بشكل كافٍ تأثير العوامل الإنسانية والثقافية على نجاح تبني النماذج الهجينة، خاصة في البيئات التنظيمية الصارمة التي تكون فيها المقاومة للتغيير عالية. وهذا يشمل</w:t>
      </w:r>
      <w:r w:rsidRPr="00F16994">
        <w:rPr>
          <w:rFonts w:ascii="Simplified Arabic" w:hAnsi="Simplified Arabic" w:cs="Simplified Arabic"/>
          <w:sz w:val="28"/>
          <w:szCs w:val="28"/>
        </w:rPr>
        <w:t>:</w:t>
      </w:r>
    </w:p>
    <w:p w14:paraId="147D9BC1" w14:textId="77777777" w:rsidR="00F16994" w:rsidRPr="00F16994" w:rsidRDefault="00F16994" w:rsidP="00F16994">
      <w:pPr>
        <w:numPr>
          <w:ilvl w:val="0"/>
          <w:numId w:val="14"/>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مقاومة الموظفين للتحول من منهجيات تقليدية إلى هجينة</w:t>
      </w:r>
      <w:r w:rsidRPr="00F16994">
        <w:rPr>
          <w:rFonts w:ascii="Simplified Arabic" w:hAnsi="Simplified Arabic" w:cs="Simplified Arabic"/>
          <w:sz w:val="28"/>
          <w:szCs w:val="28"/>
        </w:rPr>
        <w:t>.</w:t>
      </w:r>
    </w:p>
    <w:p w14:paraId="31CD0897" w14:textId="77777777" w:rsidR="00F16994" w:rsidRPr="00F16994" w:rsidRDefault="00F16994" w:rsidP="00F16994">
      <w:pPr>
        <w:numPr>
          <w:ilvl w:val="0"/>
          <w:numId w:val="14"/>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دور القيادة في دعم التغيير الثقافي</w:t>
      </w:r>
      <w:r w:rsidRPr="00F16994">
        <w:rPr>
          <w:rFonts w:ascii="Simplified Arabic" w:hAnsi="Simplified Arabic" w:cs="Simplified Arabic"/>
          <w:sz w:val="28"/>
          <w:szCs w:val="28"/>
        </w:rPr>
        <w:t>.</w:t>
      </w:r>
    </w:p>
    <w:p w14:paraId="21CF5BA7" w14:textId="77777777" w:rsidR="00F16994" w:rsidRPr="00F16994" w:rsidRDefault="00F16994" w:rsidP="00F16994">
      <w:pPr>
        <w:numPr>
          <w:ilvl w:val="0"/>
          <w:numId w:val="14"/>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تأثير العلاقات التنظيمية والسلوكيات على تطبيق المنهجية</w:t>
      </w:r>
      <w:r w:rsidRPr="00F16994">
        <w:rPr>
          <w:rFonts w:ascii="Simplified Arabic" w:hAnsi="Simplified Arabic" w:cs="Simplified Arabic"/>
          <w:sz w:val="28"/>
          <w:szCs w:val="28"/>
        </w:rPr>
        <w:t>.</w:t>
      </w:r>
    </w:p>
    <w:p w14:paraId="2AFBE47F" w14:textId="7DF4716A"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غياب أدوات تقييم أداء النماذج الهجينة</w:t>
      </w:r>
    </w:p>
    <w:p w14:paraId="1C7992E9"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لا توجد حتى الآن أدوات موحدة أو مؤشرات واضحة لتقييم مدى نجاح النماذج الهجينة في تحقيق أهداف المشروع. ومن هنا تبرز الحاجة إلى تطوير مؤشرات أداء مخصصة لهذه النماذج، تشمل</w:t>
      </w:r>
      <w:r w:rsidRPr="00F16994">
        <w:rPr>
          <w:rFonts w:ascii="Simplified Arabic" w:hAnsi="Simplified Arabic" w:cs="Simplified Arabic"/>
          <w:sz w:val="28"/>
          <w:szCs w:val="28"/>
        </w:rPr>
        <w:t>:</w:t>
      </w:r>
    </w:p>
    <w:p w14:paraId="7F05C603" w14:textId="77777777" w:rsidR="00F16994" w:rsidRPr="00F16994" w:rsidRDefault="00F16994" w:rsidP="00F16994">
      <w:pPr>
        <w:numPr>
          <w:ilvl w:val="0"/>
          <w:numId w:val="15"/>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سرعة الاستجابة للتغيير</w:t>
      </w:r>
      <w:r w:rsidRPr="00F16994">
        <w:rPr>
          <w:rFonts w:ascii="Simplified Arabic" w:hAnsi="Simplified Arabic" w:cs="Simplified Arabic"/>
          <w:sz w:val="28"/>
          <w:szCs w:val="28"/>
        </w:rPr>
        <w:t>.</w:t>
      </w:r>
    </w:p>
    <w:p w14:paraId="1B8A6B56" w14:textId="77777777" w:rsidR="00F16994" w:rsidRPr="00F16994" w:rsidRDefault="00F16994" w:rsidP="00F16994">
      <w:pPr>
        <w:numPr>
          <w:ilvl w:val="0"/>
          <w:numId w:val="15"/>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مستوى الانضباط التنظيمي</w:t>
      </w:r>
      <w:r w:rsidRPr="00F16994">
        <w:rPr>
          <w:rFonts w:ascii="Simplified Arabic" w:hAnsi="Simplified Arabic" w:cs="Simplified Arabic"/>
          <w:sz w:val="28"/>
          <w:szCs w:val="28"/>
        </w:rPr>
        <w:t>.</w:t>
      </w:r>
    </w:p>
    <w:p w14:paraId="28447AAA" w14:textId="77777777" w:rsidR="00F16994" w:rsidRPr="00F16994" w:rsidRDefault="00F16994" w:rsidP="00F16994">
      <w:pPr>
        <w:numPr>
          <w:ilvl w:val="0"/>
          <w:numId w:val="15"/>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جودة التواصل بين الأطراف المعنية</w:t>
      </w:r>
      <w:r w:rsidRPr="00F16994">
        <w:rPr>
          <w:rFonts w:ascii="Simplified Arabic" w:hAnsi="Simplified Arabic" w:cs="Simplified Arabic"/>
          <w:sz w:val="28"/>
          <w:szCs w:val="28"/>
        </w:rPr>
        <w:t>.</w:t>
      </w:r>
    </w:p>
    <w:p w14:paraId="66229CFA" w14:textId="77777777" w:rsidR="00F16994" w:rsidRPr="00F16994" w:rsidRDefault="00F16994" w:rsidP="00F16994">
      <w:pPr>
        <w:numPr>
          <w:ilvl w:val="0"/>
          <w:numId w:val="15"/>
        </w:numPr>
        <w:jc w:val="lowKashida"/>
        <w:rPr>
          <w:rFonts w:ascii="Simplified Arabic" w:hAnsi="Simplified Arabic" w:cs="Simplified Arabic"/>
          <w:sz w:val="28"/>
          <w:szCs w:val="28"/>
        </w:rPr>
      </w:pPr>
      <w:r w:rsidRPr="00F16994">
        <w:rPr>
          <w:rFonts w:ascii="Simplified Arabic" w:hAnsi="Simplified Arabic" w:cs="Simplified Arabic"/>
          <w:sz w:val="28"/>
          <w:szCs w:val="28"/>
          <w:rtl/>
        </w:rPr>
        <w:t>تقييم رضا أصحاب المصلحة</w:t>
      </w:r>
      <w:r w:rsidRPr="00F16994">
        <w:rPr>
          <w:rFonts w:ascii="Simplified Arabic" w:hAnsi="Simplified Arabic" w:cs="Simplified Arabic"/>
          <w:sz w:val="28"/>
          <w:szCs w:val="28"/>
        </w:rPr>
        <w:t>.</w:t>
      </w:r>
    </w:p>
    <w:p w14:paraId="58ED1F20" w14:textId="463BC4A9" w:rsidR="00F16994" w:rsidRPr="00F16994" w:rsidRDefault="00F16994" w:rsidP="00F16994">
      <w:pPr>
        <w:jc w:val="lowKashida"/>
        <w:rPr>
          <w:rFonts w:ascii="Simplified Arabic" w:hAnsi="Simplified Arabic" w:cs="Simplified Arabic"/>
          <w:b/>
          <w:bCs/>
          <w:sz w:val="28"/>
          <w:szCs w:val="28"/>
        </w:rPr>
      </w:pPr>
      <w:r w:rsidRPr="00F16994">
        <w:rPr>
          <w:rFonts w:ascii="Simplified Arabic" w:hAnsi="Simplified Arabic" w:cs="Simplified Arabic"/>
          <w:sz w:val="28"/>
          <w:szCs w:val="28"/>
          <w:rtl/>
        </w:rPr>
        <w:t>قلة الدراسات التي تقارن بين أكثر من نموذج هجين</w:t>
      </w:r>
    </w:p>
    <w:p w14:paraId="1BCFF594" w14:textId="77777777" w:rsidR="00F16994" w:rsidRPr="00F16994" w:rsidRDefault="00F16994" w:rsidP="00F16994">
      <w:pPr>
        <w:jc w:val="lowKashida"/>
        <w:rPr>
          <w:rFonts w:ascii="Simplified Arabic" w:hAnsi="Simplified Arabic" w:cs="Simplified Arabic"/>
          <w:sz w:val="28"/>
          <w:szCs w:val="28"/>
        </w:rPr>
      </w:pPr>
      <w:r w:rsidRPr="00F16994">
        <w:rPr>
          <w:rFonts w:ascii="Simplified Arabic" w:hAnsi="Simplified Arabic" w:cs="Simplified Arabic"/>
          <w:sz w:val="28"/>
          <w:szCs w:val="28"/>
          <w:rtl/>
        </w:rPr>
        <w:t>مع أن هناك العديد من النماذج الهجينة (مثل دمج</w:t>
      </w:r>
      <w:r w:rsidRPr="00F16994">
        <w:rPr>
          <w:rFonts w:ascii="Simplified Arabic" w:hAnsi="Simplified Arabic" w:cs="Simplified Arabic"/>
          <w:sz w:val="28"/>
          <w:szCs w:val="28"/>
        </w:rPr>
        <w:t xml:space="preserve"> SCRUM </w:t>
      </w:r>
      <w:r w:rsidRPr="00F16994">
        <w:rPr>
          <w:rFonts w:ascii="Simplified Arabic" w:hAnsi="Simplified Arabic" w:cs="Simplified Arabic"/>
          <w:sz w:val="28"/>
          <w:szCs w:val="28"/>
          <w:rtl/>
        </w:rPr>
        <w:t>مع</w:t>
      </w:r>
      <w:r w:rsidRPr="00F16994">
        <w:rPr>
          <w:rFonts w:ascii="Simplified Arabic" w:hAnsi="Simplified Arabic" w:cs="Simplified Arabic"/>
          <w:sz w:val="28"/>
          <w:szCs w:val="28"/>
        </w:rPr>
        <w:t xml:space="preserve"> PRINCE2</w:t>
      </w:r>
      <w:r w:rsidRPr="00F16994">
        <w:rPr>
          <w:rFonts w:ascii="Simplified Arabic" w:hAnsi="Simplified Arabic" w:cs="Simplified Arabic"/>
          <w:sz w:val="28"/>
          <w:szCs w:val="28"/>
          <w:rtl/>
        </w:rPr>
        <w:t>، أو</w:t>
      </w:r>
      <w:r w:rsidRPr="00F16994">
        <w:rPr>
          <w:rFonts w:ascii="Simplified Arabic" w:hAnsi="Simplified Arabic" w:cs="Simplified Arabic"/>
          <w:sz w:val="28"/>
          <w:szCs w:val="28"/>
        </w:rPr>
        <w:t xml:space="preserve"> KANBAN </w:t>
      </w:r>
      <w:r w:rsidRPr="00F16994">
        <w:rPr>
          <w:rFonts w:ascii="Simplified Arabic" w:hAnsi="Simplified Arabic" w:cs="Simplified Arabic"/>
          <w:sz w:val="28"/>
          <w:szCs w:val="28"/>
          <w:rtl/>
        </w:rPr>
        <w:t>مع</w:t>
      </w:r>
      <w:r w:rsidRPr="00F16994">
        <w:rPr>
          <w:rFonts w:ascii="Simplified Arabic" w:hAnsi="Simplified Arabic" w:cs="Simplified Arabic"/>
          <w:sz w:val="28"/>
          <w:szCs w:val="28"/>
        </w:rPr>
        <w:t xml:space="preserve"> PMBOK)</w:t>
      </w:r>
      <w:r w:rsidRPr="00F16994">
        <w:rPr>
          <w:rFonts w:ascii="Simplified Arabic" w:hAnsi="Simplified Arabic" w:cs="Simplified Arabic"/>
          <w:sz w:val="28"/>
          <w:szCs w:val="28"/>
          <w:rtl/>
        </w:rPr>
        <w:t>، إلا أن الدراسات لم تقارن بينها من حيث الفعالية والملاءمة للسياقات المختلفة، مما يجعل اختيار النموذج المناسب أمرًا صعبًا للممارسين</w:t>
      </w:r>
      <w:r w:rsidRPr="00F16994">
        <w:rPr>
          <w:rFonts w:ascii="Simplified Arabic" w:hAnsi="Simplified Arabic" w:cs="Simplified Arabic"/>
          <w:sz w:val="28"/>
          <w:szCs w:val="28"/>
        </w:rPr>
        <w:t>.</w:t>
      </w:r>
    </w:p>
    <w:p w14:paraId="09EE717D" w14:textId="77777777" w:rsidR="00F16994" w:rsidRPr="00F16994" w:rsidRDefault="00F16994" w:rsidP="00DF70E8">
      <w:pPr>
        <w:jc w:val="lowKashida"/>
        <w:rPr>
          <w:rFonts w:ascii="Simplified Arabic" w:hAnsi="Simplified Arabic" w:cs="Simplified Arabic"/>
          <w:sz w:val="28"/>
          <w:szCs w:val="28"/>
          <w:rtl/>
        </w:rPr>
      </w:pPr>
    </w:p>
    <w:p w14:paraId="33F8E9F5" w14:textId="77777777" w:rsidR="00F4231E" w:rsidRDefault="00F4231E" w:rsidP="00DF70E8">
      <w:pPr>
        <w:jc w:val="lowKashida"/>
        <w:rPr>
          <w:rFonts w:ascii="Simplified Arabic" w:hAnsi="Simplified Arabic" w:cs="Simplified Arabic"/>
          <w:sz w:val="28"/>
          <w:szCs w:val="28"/>
          <w:rtl/>
          <w:lang w:bidi="ar-EG"/>
        </w:rPr>
      </w:pPr>
    </w:p>
    <w:p w14:paraId="6F343D55" w14:textId="77777777" w:rsidR="00F4231E" w:rsidRDefault="00F4231E" w:rsidP="00DF70E8">
      <w:pPr>
        <w:jc w:val="lowKashida"/>
        <w:rPr>
          <w:rFonts w:ascii="Simplified Arabic" w:hAnsi="Simplified Arabic" w:cs="Simplified Arabic"/>
          <w:sz w:val="28"/>
          <w:szCs w:val="28"/>
          <w:rtl/>
        </w:rPr>
      </w:pPr>
    </w:p>
    <w:p w14:paraId="4221E435" w14:textId="77777777" w:rsidR="00F4231E" w:rsidRDefault="00F4231E" w:rsidP="00DF70E8">
      <w:pPr>
        <w:jc w:val="lowKashida"/>
        <w:rPr>
          <w:rFonts w:ascii="Simplified Arabic" w:hAnsi="Simplified Arabic" w:cs="Simplified Arabic"/>
          <w:sz w:val="28"/>
          <w:szCs w:val="28"/>
          <w:rtl/>
        </w:rPr>
      </w:pPr>
    </w:p>
    <w:p w14:paraId="293CA8AF" w14:textId="77777777" w:rsidR="00F4231E" w:rsidRDefault="00F4231E" w:rsidP="00DF70E8">
      <w:pPr>
        <w:jc w:val="lowKashida"/>
        <w:rPr>
          <w:rFonts w:ascii="Simplified Arabic" w:hAnsi="Simplified Arabic" w:cs="Simplified Arabic"/>
          <w:sz w:val="28"/>
          <w:szCs w:val="28"/>
          <w:rtl/>
        </w:rPr>
      </w:pPr>
    </w:p>
    <w:p w14:paraId="17201CD7" w14:textId="77777777" w:rsidR="00F4231E" w:rsidRDefault="00F4231E" w:rsidP="00DF70E8">
      <w:pPr>
        <w:jc w:val="lowKashida"/>
        <w:rPr>
          <w:rFonts w:ascii="Simplified Arabic" w:hAnsi="Simplified Arabic" w:cs="Simplified Arabic"/>
          <w:sz w:val="28"/>
          <w:szCs w:val="28"/>
          <w:rtl/>
        </w:rPr>
      </w:pPr>
    </w:p>
    <w:p w14:paraId="45FF20B9" w14:textId="77777777" w:rsidR="00F4231E" w:rsidRDefault="00F4231E" w:rsidP="00DF70E8">
      <w:pPr>
        <w:jc w:val="lowKashida"/>
        <w:rPr>
          <w:rFonts w:ascii="Simplified Arabic" w:hAnsi="Simplified Arabic" w:cs="Simplified Arabic"/>
          <w:sz w:val="28"/>
          <w:szCs w:val="28"/>
          <w:rtl/>
        </w:rPr>
      </w:pPr>
    </w:p>
    <w:p w14:paraId="67973105" w14:textId="77777777" w:rsidR="00F4231E" w:rsidRDefault="00F4231E" w:rsidP="00DF70E8">
      <w:pPr>
        <w:jc w:val="lowKashida"/>
        <w:rPr>
          <w:rFonts w:ascii="Simplified Arabic" w:hAnsi="Simplified Arabic" w:cs="Simplified Arabic"/>
          <w:sz w:val="28"/>
          <w:szCs w:val="28"/>
          <w:rtl/>
        </w:rPr>
      </w:pPr>
    </w:p>
    <w:p w14:paraId="2E408886" w14:textId="77777777" w:rsidR="00F4231E" w:rsidRDefault="00F4231E" w:rsidP="00DF70E8">
      <w:pPr>
        <w:jc w:val="lowKashida"/>
        <w:rPr>
          <w:rFonts w:ascii="Simplified Arabic" w:hAnsi="Simplified Arabic" w:cs="Simplified Arabic"/>
          <w:sz w:val="28"/>
          <w:szCs w:val="28"/>
          <w:rtl/>
        </w:rPr>
      </w:pPr>
    </w:p>
    <w:p w14:paraId="7CC2523F" w14:textId="77777777" w:rsidR="00F4231E" w:rsidRDefault="00F4231E" w:rsidP="00DF70E8">
      <w:pPr>
        <w:jc w:val="lowKashida"/>
        <w:rPr>
          <w:rFonts w:ascii="Simplified Arabic" w:hAnsi="Simplified Arabic" w:cs="Simplified Arabic"/>
          <w:sz w:val="28"/>
          <w:szCs w:val="28"/>
          <w:rtl/>
        </w:rPr>
      </w:pPr>
    </w:p>
    <w:p w14:paraId="45DA255C" w14:textId="77777777" w:rsidR="00F4231E" w:rsidRDefault="00F4231E" w:rsidP="00DF70E8">
      <w:pPr>
        <w:jc w:val="lowKashida"/>
        <w:rPr>
          <w:rFonts w:ascii="Simplified Arabic" w:hAnsi="Simplified Arabic" w:cs="Simplified Arabic"/>
          <w:sz w:val="28"/>
          <w:szCs w:val="28"/>
          <w:rtl/>
        </w:rPr>
      </w:pPr>
    </w:p>
    <w:p w14:paraId="5CD8189B" w14:textId="77777777" w:rsidR="00F4231E" w:rsidRDefault="00F4231E" w:rsidP="00DF70E8">
      <w:pPr>
        <w:jc w:val="lowKashida"/>
        <w:rPr>
          <w:rFonts w:ascii="Simplified Arabic" w:hAnsi="Simplified Arabic" w:cs="Simplified Arabic"/>
          <w:sz w:val="28"/>
          <w:szCs w:val="28"/>
          <w:rtl/>
        </w:rPr>
      </w:pPr>
    </w:p>
    <w:p w14:paraId="6934D882" w14:textId="77777777" w:rsidR="00F4231E" w:rsidRDefault="00F4231E" w:rsidP="00DF70E8">
      <w:pPr>
        <w:jc w:val="lowKashida"/>
        <w:rPr>
          <w:rFonts w:ascii="Simplified Arabic" w:hAnsi="Simplified Arabic" w:cs="Simplified Arabic"/>
          <w:sz w:val="28"/>
          <w:szCs w:val="28"/>
          <w:rtl/>
        </w:rPr>
      </w:pPr>
    </w:p>
    <w:p w14:paraId="2B62EA24" w14:textId="77777777" w:rsidR="00F4231E" w:rsidRPr="00DF70E8" w:rsidRDefault="00F4231E" w:rsidP="00DF70E8">
      <w:pPr>
        <w:jc w:val="lowKashida"/>
        <w:rPr>
          <w:rFonts w:ascii="Simplified Arabic" w:hAnsi="Simplified Arabic" w:cs="Simplified Arabic"/>
          <w:sz w:val="28"/>
          <w:szCs w:val="28"/>
          <w:rtl/>
        </w:rPr>
      </w:pPr>
    </w:p>
    <w:p w14:paraId="5F714398" w14:textId="4BC9B279" w:rsidR="004163C7" w:rsidRPr="00DF70E8" w:rsidRDefault="004163C7" w:rsidP="00DF70E8">
      <w:pPr>
        <w:pStyle w:val="Heading1"/>
        <w:jc w:val="center"/>
        <w:rPr>
          <w:rFonts w:ascii="Simplified Arabic" w:hAnsi="Simplified Arabic" w:cs="Simplified Arabic"/>
          <w:sz w:val="28"/>
          <w:szCs w:val="28"/>
          <w:rtl/>
        </w:rPr>
      </w:pPr>
      <w:bookmarkStart w:id="10" w:name="_Toc201508189"/>
      <w:r w:rsidRPr="00DF70E8">
        <w:rPr>
          <w:rFonts w:ascii="Simplified Arabic" w:hAnsi="Simplified Arabic" w:cs="Simplified Arabic"/>
          <w:sz w:val="28"/>
          <w:szCs w:val="28"/>
          <w:rtl/>
        </w:rPr>
        <w:t>المراجع</w:t>
      </w:r>
      <w:bookmarkEnd w:id="10"/>
    </w:p>
    <w:p w14:paraId="35509ABD" w14:textId="13D0982A" w:rsidR="00DF70E8" w:rsidRPr="00DF70E8" w:rsidRDefault="004163C7" w:rsidP="00DF70E8">
      <w:pPr>
        <w:pStyle w:val="Heading2"/>
        <w:rPr>
          <w:rFonts w:ascii="Simplified Arabic" w:hAnsi="Simplified Arabic" w:cs="Simplified Arabic"/>
          <w:sz w:val="28"/>
          <w:szCs w:val="28"/>
          <w:rtl/>
        </w:rPr>
      </w:pPr>
      <w:bookmarkStart w:id="11" w:name="_Toc201508190"/>
      <w:r w:rsidRPr="00DF70E8">
        <w:rPr>
          <w:rFonts w:ascii="Simplified Arabic" w:hAnsi="Simplified Arabic" w:cs="Simplified Arabic"/>
          <w:sz w:val="28"/>
          <w:szCs w:val="28"/>
          <w:rtl/>
        </w:rPr>
        <w:t>-المراجع العربية</w:t>
      </w:r>
      <w:bookmarkEnd w:id="11"/>
    </w:p>
    <w:p w14:paraId="704D0C84"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الشهري، محمد عبد الله. (2018). إدارة المشاريع التقليدية وتحديات البيئة الحديثة . الرياض: دار العلم للنشر.</w:t>
      </w:r>
    </w:p>
    <w:p w14:paraId="56E60536"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الحميد، أحمد سعيد. (2019). التحول الرقمي في إدارة المشاريع: دراسة مقارنة بين المنهجيات التقليدية والرشيقة . القاهرة: مركز البحوث العربية.</w:t>
      </w:r>
    </w:p>
    <w:p w14:paraId="5162B9C4"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البدر، ناصر محمد. (2021). الإدارة الرشيقة في المؤسسات الحكومية: الفرص والتحديات . دبي: مؤسسة الفكر العربي للنشر.</w:t>
      </w:r>
    </w:p>
    <w:p w14:paraId="537D632D"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العسيري، عبد الله سليمان. (2020). النظم المفتوقة والمغلقة في إدارة المشروعات الكبرى . جدة: جامعة الملك عبد العزيز – كلية إدارة الأعمال.</w:t>
      </w:r>
    </w:p>
    <w:p w14:paraId="0C52A06C"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الزهراني، خالد أحمد. (2022). النماذج الهجينة في إدارة المشاريع: تحليل تطبيقي في الشركات السعودية . الدمام: مجلة البحوث الإدارية التطبيقية.</w:t>
      </w:r>
    </w:p>
    <w:p w14:paraId="58E1185D"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البنا، يوسف محمود. (2022). نظرية النظم وتحليل بيئة العمل في المؤسسات الكبيرة . بيروت: دار المناهج للطباعة والنشر.</w:t>
      </w:r>
    </w:p>
    <w:p w14:paraId="4E708C6A" w14:textId="77777777" w:rsidR="00DF70E8"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t>البدر، ناصر محمد. (2021). الإدارة الرشيقة في المؤسسات الحكومية: الفرص والتحديات (الطبعة الثانية). دبي: مؤسسة الفكر العربي للنشر.</w:t>
      </w:r>
    </w:p>
    <w:p w14:paraId="2CD34956" w14:textId="4EC7962C" w:rsidR="004163C7" w:rsidRPr="00DF70E8" w:rsidRDefault="00DF70E8" w:rsidP="00DF70E8">
      <w:pPr>
        <w:pStyle w:val="ListParagraph"/>
        <w:numPr>
          <w:ilvl w:val="0"/>
          <w:numId w:val="5"/>
        </w:numPr>
        <w:jc w:val="lowKashida"/>
        <w:rPr>
          <w:rFonts w:ascii="Simplified Arabic" w:hAnsi="Simplified Arabic" w:cs="Simplified Arabic"/>
          <w:sz w:val="28"/>
          <w:szCs w:val="28"/>
          <w:rtl/>
        </w:rPr>
      </w:pPr>
      <w:r w:rsidRPr="00DF70E8">
        <w:rPr>
          <w:rFonts w:ascii="Simplified Arabic" w:hAnsi="Simplified Arabic" w:cs="Simplified Arabic"/>
          <w:sz w:val="28"/>
          <w:szCs w:val="28"/>
          <w:rtl/>
        </w:rPr>
        <w:lastRenderedPageBreak/>
        <w:t>البنا، يوسف محمود. (2022). نظرية النظم وتحليل بيئة العمل في المؤسسات الكبيرة (الطبعة الثالثة). بيروت: دار المناهج للطباعة والنشر.</w:t>
      </w:r>
    </w:p>
    <w:p w14:paraId="6B778ED7" w14:textId="77777777" w:rsidR="004163C7" w:rsidRPr="00DF70E8" w:rsidRDefault="004163C7" w:rsidP="00DF70E8">
      <w:pPr>
        <w:jc w:val="lowKashida"/>
        <w:rPr>
          <w:rFonts w:ascii="Simplified Arabic" w:hAnsi="Simplified Arabic" w:cs="Simplified Arabic"/>
          <w:sz w:val="28"/>
          <w:szCs w:val="28"/>
          <w:u w:val="single"/>
          <w:rtl/>
        </w:rPr>
      </w:pPr>
    </w:p>
    <w:p w14:paraId="732DCEC5" w14:textId="5E4A7ECB" w:rsidR="004163C7" w:rsidRPr="00DF70E8" w:rsidRDefault="004163C7" w:rsidP="00DF70E8">
      <w:pPr>
        <w:pStyle w:val="Heading2"/>
        <w:jc w:val="lowKashida"/>
        <w:rPr>
          <w:rFonts w:ascii="Simplified Arabic" w:hAnsi="Simplified Arabic" w:cs="Simplified Arabic"/>
          <w:sz w:val="28"/>
          <w:szCs w:val="28"/>
          <w:rtl/>
        </w:rPr>
      </w:pPr>
      <w:bookmarkStart w:id="12" w:name="_Toc201508191"/>
      <w:r w:rsidRPr="00DF70E8">
        <w:rPr>
          <w:rFonts w:ascii="Simplified Arabic" w:hAnsi="Simplified Arabic" w:cs="Simplified Arabic"/>
          <w:sz w:val="28"/>
          <w:szCs w:val="28"/>
          <w:rtl/>
        </w:rPr>
        <w:t>-المراجع الأجنبية</w:t>
      </w:r>
      <w:bookmarkEnd w:id="12"/>
    </w:p>
    <w:p w14:paraId="2E1A7E0A"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Kerzner, H. (2017). </w:t>
      </w:r>
      <w:r w:rsidRPr="00DF70E8">
        <w:rPr>
          <w:rFonts w:asciiTheme="majorBidi" w:hAnsiTheme="majorBidi" w:cstheme="majorBidi"/>
          <w:i/>
          <w:iCs/>
          <w:sz w:val="28"/>
          <w:szCs w:val="28"/>
        </w:rPr>
        <w:t xml:space="preserve">Project Management: A Systems Approach to Planning, Scheduling, and Controlling </w:t>
      </w:r>
      <w:r w:rsidRPr="00DF70E8">
        <w:rPr>
          <w:rFonts w:asciiTheme="majorBidi" w:hAnsiTheme="majorBidi" w:cstheme="majorBidi"/>
          <w:sz w:val="28"/>
          <w:szCs w:val="28"/>
        </w:rPr>
        <w:t>(12th ed.). Hoboken, NJ: Wiley.</w:t>
      </w:r>
    </w:p>
    <w:p w14:paraId="49621E6C"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Turner, J. R., &amp; Crawford, L. H. (2020). "The Guest Editors' Introduction to the Special Issue on Project Management Research." </w:t>
      </w:r>
      <w:r w:rsidRPr="00DF70E8">
        <w:rPr>
          <w:rFonts w:asciiTheme="majorBidi" w:hAnsiTheme="majorBidi" w:cstheme="majorBidi"/>
          <w:i/>
          <w:iCs/>
          <w:sz w:val="28"/>
          <w:szCs w:val="28"/>
        </w:rPr>
        <w:t xml:space="preserve">Project Management Journal </w:t>
      </w:r>
      <w:r w:rsidRPr="00DF70E8">
        <w:rPr>
          <w:rFonts w:asciiTheme="majorBidi" w:hAnsiTheme="majorBidi" w:cstheme="majorBidi"/>
          <w:sz w:val="28"/>
          <w:szCs w:val="28"/>
        </w:rPr>
        <w:t>, 51(2), 201–205.</w:t>
      </w:r>
    </w:p>
    <w:p w14:paraId="5435F870"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Smith, J. (2016). </w:t>
      </w:r>
      <w:r w:rsidRPr="00DF70E8">
        <w:rPr>
          <w:rFonts w:asciiTheme="majorBidi" w:hAnsiTheme="majorBidi" w:cstheme="majorBidi"/>
          <w:i/>
          <w:iCs/>
          <w:sz w:val="28"/>
          <w:szCs w:val="28"/>
        </w:rPr>
        <w:t xml:space="preserve">Agile Project Management: Creating Innovative Products </w:t>
      </w:r>
      <w:r w:rsidRPr="00DF70E8">
        <w:rPr>
          <w:rFonts w:asciiTheme="majorBidi" w:hAnsiTheme="majorBidi" w:cstheme="majorBidi"/>
          <w:sz w:val="28"/>
          <w:szCs w:val="28"/>
        </w:rPr>
        <w:t>(2nd ed.). Upper Saddle River, NJ: Addison-Wesley.</w:t>
      </w:r>
    </w:p>
    <w:p w14:paraId="3588CD69"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Schwaber, K., &amp; Sutherland, J. (2020). </w:t>
      </w:r>
      <w:r w:rsidRPr="00DF70E8">
        <w:rPr>
          <w:rFonts w:asciiTheme="majorBidi" w:hAnsiTheme="majorBidi" w:cstheme="majorBidi"/>
          <w:i/>
          <w:iCs/>
          <w:sz w:val="28"/>
          <w:szCs w:val="28"/>
        </w:rPr>
        <w:t xml:space="preserve">Scrum Guide™ </w:t>
      </w:r>
      <w:r w:rsidRPr="00DF70E8">
        <w:rPr>
          <w:rFonts w:asciiTheme="majorBidi" w:hAnsiTheme="majorBidi" w:cstheme="majorBidi"/>
          <w:sz w:val="28"/>
          <w:szCs w:val="28"/>
        </w:rPr>
        <w:t>. Scrum.org.</w:t>
      </w:r>
    </w:p>
    <w:p w14:paraId="5C3CFE20" w14:textId="77777777" w:rsidR="00DF70E8" w:rsidRPr="00DF70E8" w:rsidRDefault="00DF70E8" w:rsidP="00DF70E8">
      <w:pPr>
        <w:numPr>
          <w:ilvl w:val="0"/>
          <w:numId w:val="6"/>
        </w:numPr>
        <w:bidi w:val="0"/>
        <w:jc w:val="lowKashida"/>
        <w:rPr>
          <w:rFonts w:asciiTheme="majorBidi" w:hAnsiTheme="majorBidi" w:cstheme="majorBidi"/>
          <w:sz w:val="28"/>
          <w:szCs w:val="28"/>
        </w:rPr>
      </w:pPr>
      <w:proofErr w:type="spellStart"/>
      <w:r w:rsidRPr="00DF70E8">
        <w:rPr>
          <w:rFonts w:asciiTheme="majorBidi" w:hAnsiTheme="majorBidi" w:cstheme="majorBidi"/>
          <w:sz w:val="28"/>
          <w:szCs w:val="28"/>
        </w:rPr>
        <w:t>Dingsøyr</w:t>
      </w:r>
      <w:proofErr w:type="spellEnd"/>
      <w:r w:rsidRPr="00DF70E8">
        <w:rPr>
          <w:rFonts w:asciiTheme="majorBidi" w:hAnsiTheme="majorBidi" w:cstheme="majorBidi"/>
          <w:sz w:val="28"/>
          <w:szCs w:val="28"/>
        </w:rPr>
        <w:t xml:space="preserve">, T., </w:t>
      </w:r>
      <w:proofErr w:type="spellStart"/>
      <w:r w:rsidRPr="00DF70E8">
        <w:rPr>
          <w:rFonts w:asciiTheme="majorBidi" w:hAnsiTheme="majorBidi" w:cstheme="majorBidi"/>
          <w:sz w:val="28"/>
          <w:szCs w:val="28"/>
        </w:rPr>
        <w:t>Dybå</w:t>
      </w:r>
      <w:proofErr w:type="spellEnd"/>
      <w:r w:rsidRPr="00DF70E8">
        <w:rPr>
          <w:rFonts w:asciiTheme="majorBidi" w:hAnsiTheme="majorBidi" w:cstheme="majorBidi"/>
          <w:sz w:val="28"/>
          <w:szCs w:val="28"/>
        </w:rPr>
        <w:t xml:space="preserve">, T., &amp; Moe, N. B. (Eds.). (2018). </w:t>
      </w:r>
      <w:r w:rsidRPr="00DF70E8">
        <w:rPr>
          <w:rFonts w:asciiTheme="majorBidi" w:hAnsiTheme="majorBidi" w:cstheme="majorBidi"/>
          <w:i/>
          <w:iCs/>
          <w:sz w:val="28"/>
          <w:szCs w:val="28"/>
        </w:rPr>
        <w:t xml:space="preserve">Advances in Agile and Lean Software Development: 14th IFIP WG 2.13 International Conference, SAL 2018 </w:t>
      </w:r>
      <w:r w:rsidRPr="00DF70E8">
        <w:rPr>
          <w:rFonts w:asciiTheme="majorBidi" w:hAnsiTheme="majorBidi" w:cstheme="majorBidi"/>
          <w:sz w:val="28"/>
          <w:szCs w:val="28"/>
        </w:rPr>
        <w:t>. Cham: Springer.</w:t>
      </w:r>
    </w:p>
    <w:p w14:paraId="2AEDE852"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Schein, E. H. (2019). </w:t>
      </w:r>
      <w:r w:rsidRPr="00DF70E8">
        <w:rPr>
          <w:rFonts w:asciiTheme="majorBidi" w:hAnsiTheme="majorBidi" w:cstheme="majorBidi"/>
          <w:i/>
          <w:iCs/>
          <w:sz w:val="28"/>
          <w:szCs w:val="28"/>
        </w:rPr>
        <w:t xml:space="preserve">Organizational Culture and Leadership </w:t>
      </w:r>
      <w:r w:rsidRPr="00DF70E8">
        <w:rPr>
          <w:rFonts w:asciiTheme="majorBidi" w:hAnsiTheme="majorBidi" w:cstheme="majorBidi"/>
          <w:sz w:val="28"/>
          <w:szCs w:val="28"/>
        </w:rPr>
        <w:t>(5th ed.). San Francisco: Jossey-Bass.</w:t>
      </w:r>
    </w:p>
    <w:p w14:paraId="03F64B57"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Cummings, T. G., &amp; Worley, C. G. (2021). </w:t>
      </w:r>
      <w:r w:rsidRPr="00DF70E8">
        <w:rPr>
          <w:rFonts w:asciiTheme="majorBidi" w:hAnsiTheme="majorBidi" w:cstheme="majorBidi"/>
          <w:i/>
          <w:iCs/>
          <w:sz w:val="28"/>
          <w:szCs w:val="28"/>
        </w:rPr>
        <w:t xml:space="preserve">Organization Development and Change </w:t>
      </w:r>
      <w:r w:rsidRPr="00DF70E8">
        <w:rPr>
          <w:rFonts w:asciiTheme="majorBidi" w:hAnsiTheme="majorBidi" w:cstheme="majorBidi"/>
          <w:sz w:val="28"/>
          <w:szCs w:val="28"/>
        </w:rPr>
        <w:t>(12th ed.). Boston: Cengage Learning.</w:t>
      </w:r>
    </w:p>
    <w:p w14:paraId="1AB4E8E7"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Morgan, G. (2018). </w:t>
      </w:r>
      <w:r w:rsidRPr="00DF70E8">
        <w:rPr>
          <w:rFonts w:asciiTheme="majorBidi" w:hAnsiTheme="majorBidi" w:cstheme="majorBidi"/>
          <w:i/>
          <w:iCs/>
          <w:sz w:val="28"/>
          <w:szCs w:val="28"/>
        </w:rPr>
        <w:t xml:space="preserve">Images of Organization </w:t>
      </w:r>
      <w:r w:rsidRPr="00DF70E8">
        <w:rPr>
          <w:rFonts w:asciiTheme="majorBidi" w:hAnsiTheme="majorBidi" w:cstheme="majorBidi"/>
          <w:sz w:val="28"/>
          <w:szCs w:val="28"/>
        </w:rPr>
        <w:t>(Updated Edition). Thousand Oaks, CA: SAGE Publications.</w:t>
      </w:r>
    </w:p>
    <w:p w14:paraId="2957A469"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Burns, T., &amp; Stalker, G. M. (2020). </w:t>
      </w:r>
      <w:r w:rsidRPr="00DF70E8">
        <w:rPr>
          <w:rFonts w:asciiTheme="majorBidi" w:hAnsiTheme="majorBidi" w:cstheme="majorBidi"/>
          <w:i/>
          <w:iCs/>
          <w:sz w:val="28"/>
          <w:szCs w:val="28"/>
        </w:rPr>
        <w:t xml:space="preserve">The Management of Innovation </w:t>
      </w:r>
      <w:r w:rsidRPr="00DF70E8">
        <w:rPr>
          <w:rFonts w:asciiTheme="majorBidi" w:hAnsiTheme="majorBidi" w:cstheme="majorBidi"/>
          <w:sz w:val="28"/>
          <w:szCs w:val="28"/>
        </w:rPr>
        <w:t>. London: Routledge.</w:t>
      </w:r>
    </w:p>
    <w:p w14:paraId="224B165B"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Van der </w:t>
      </w:r>
      <w:proofErr w:type="spellStart"/>
      <w:r w:rsidRPr="00DF70E8">
        <w:rPr>
          <w:rFonts w:asciiTheme="majorBidi" w:hAnsiTheme="majorBidi" w:cstheme="majorBidi"/>
          <w:sz w:val="28"/>
          <w:szCs w:val="28"/>
        </w:rPr>
        <w:t>Vegt</w:t>
      </w:r>
      <w:proofErr w:type="spellEnd"/>
      <w:r w:rsidRPr="00DF70E8">
        <w:rPr>
          <w:rFonts w:asciiTheme="majorBidi" w:hAnsiTheme="majorBidi" w:cstheme="majorBidi"/>
          <w:sz w:val="28"/>
          <w:szCs w:val="28"/>
        </w:rPr>
        <w:t xml:space="preserve">, G. S., &amp; Janssen, O. (2021). "Joint Impact of Dependence on and Conflict with Leaders on Employees’ Organizational Citizenship Behavior." </w:t>
      </w:r>
      <w:r w:rsidRPr="00DF70E8">
        <w:rPr>
          <w:rFonts w:asciiTheme="majorBidi" w:hAnsiTheme="majorBidi" w:cstheme="majorBidi"/>
          <w:i/>
          <w:iCs/>
          <w:sz w:val="28"/>
          <w:szCs w:val="28"/>
        </w:rPr>
        <w:t xml:space="preserve">Journal of Applied Psychology </w:t>
      </w:r>
      <w:r w:rsidRPr="00DF70E8">
        <w:rPr>
          <w:rFonts w:asciiTheme="majorBidi" w:hAnsiTheme="majorBidi" w:cstheme="majorBidi"/>
          <w:sz w:val="28"/>
          <w:szCs w:val="28"/>
        </w:rPr>
        <w:t>, 106(5), 677–691.</w:t>
      </w:r>
    </w:p>
    <w:p w14:paraId="35A55C1A"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Anderson, M. (2020). </w:t>
      </w:r>
      <w:r w:rsidRPr="00DF70E8">
        <w:rPr>
          <w:rFonts w:asciiTheme="majorBidi" w:hAnsiTheme="majorBidi" w:cstheme="majorBidi"/>
          <w:i/>
          <w:iCs/>
          <w:sz w:val="28"/>
          <w:szCs w:val="28"/>
        </w:rPr>
        <w:t xml:space="preserve">Strategic Project Management: Aligning Projects with Strategic Objectives </w:t>
      </w:r>
      <w:r w:rsidRPr="00DF70E8">
        <w:rPr>
          <w:rFonts w:asciiTheme="majorBidi" w:hAnsiTheme="majorBidi" w:cstheme="majorBidi"/>
          <w:sz w:val="28"/>
          <w:szCs w:val="28"/>
        </w:rPr>
        <w:t>. New York: Business Expert Press.</w:t>
      </w:r>
    </w:p>
    <w:p w14:paraId="23CB3062"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Thomas, R. (2018). </w:t>
      </w:r>
      <w:r w:rsidRPr="00DF70E8">
        <w:rPr>
          <w:rFonts w:asciiTheme="majorBidi" w:hAnsiTheme="majorBidi" w:cstheme="majorBidi"/>
          <w:i/>
          <w:iCs/>
          <w:sz w:val="28"/>
          <w:szCs w:val="28"/>
        </w:rPr>
        <w:t xml:space="preserve">Theories of Project Management: Foundations and Applications </w:t>
      </w:r>
      <w:r w:rsidRPr="00DF70E8">
        <w:rPr>
          <w:rFonts w:asciiTheme="majorBidi" w:hAnsiTheme="majorBidi" w:cstheme="majorBidi"/>
          <w:sz w:val="28"/>
          <w:szCs w:val="28"/>
        </w:rPr>
        <w:t>. Cambridge: Cambridge University Press.</w:t>
      </w:r>
    </w:p>
    <w:p w14:paraId="450BD866" w14:textId="77777777" w:rsidR="00DF70E8" w:rsidRPr="00DF70E8" w:rsidRDefault="00DF70E8" w:rsidP="00DF70E8">
      <w:pPr>
        <w:numPr>
          <w:ilvl w:val="0"/>
          <w:numId w:val="6"/>
        </w:numPr>
        <w:bidi w:val="0"/>
        <w:jc w:val="lowKashida"/>
        <w:rPr>
          <w:rFonts w:asciiTheme="majorBidi" w:hAnsiTheme="majorBidi" w:cstheme="majorBidi"/>
          <w:sz w:val="28"/>
          <w:szCs w:val="28"/>
        </w:rPr>
      </w:pPr>
      <w:r w:rsidRPr="00DF70E8">
        <w:rPr>
          <w:rFonts w:asciiTheme="majorBidi" w:hAnsiTheme="majorBidi" w:cstheme="majorBidi"/>
          <w:sz w:val="28"/>
          <w:szCs w:val="28"/>
        </w:rPr>
        <w:t xml:space="preserve">Brown, T., &amp; Lee, D. (2019). </w:t>
      </w:r>
      <w:r w:rsidRPr="00DF70E8">
        <w:rPr>
          <w:rFonts w:asciiTheme="majorBidi" w:hAnsiTheme="majorBidi" w:cstheme="majorBidi"/>
          <w:i/>
          <w:iCs/>
          <w:sz w:val="28"/>
          <w:szCs w:val="28"/>
        </w:rPr>
        <w:t xml:space="preserve">Hybrid Project Management: Bridging Traditional and Agile Approaches </w:t>
      </w:r>
      <w:r w:rsidRPr="00DF70E8">
        <w:rPr>
          <w:rFonts w:asciiTheme="majorBidi" w:hAnsiTheme="majorBidi" w:cstheme="majorBidi"/>
          <w:sz w:val="28"/>
          <w:szCs w:val="28"/>
        </w:rPr>
        <w:t>. London: Kogan Page.</w:t>
      </w:r>
    </w:p>
    <w:p w14:paraId="631F350C" w14:textId="7482F8AA" w:rsidR="004163C7" w:rsidRPr="00DF70E8" w:rsidRDefault="00DF70E8" w:rsidP="00DF70E8">
      <w:pPr>
        <w:numPr>
          <w:ilvl w:val="0"/>
          <w:numId w:val="6"/>
        </w:numPr>
        <w:bidi w:val="0"/>
        <w:jc w:val="lowKashida"/>
        <w:rPr>
          <w:rFonts w:asciiTheme="majorBidi" w:hAnsiTheme="majorBidi" w:cstheme="majorBidi"/>
          <w:sz w:val="28"/>
          <w:szCs w:val="28"/>
          <w:rtl/>
        </w:rPr>
      </w:pPr>
      <w:r w:rsidRPr="00DF70E8">
        <w:rPr>
          <w:rFonts w:asciiTheme="majorBidi" w:hAnsiTheme="majorBidi" w:cstheme="majorBidi"/>
          <w:sz w:val="28"/>
          <w:szCs w:val="28"/>
        </w:rPr>
        <w:lastRenderedPageBreak/>
        <w:t xml:space="preserve">Wilson, S. (2017). </w:t>
      </w:r>
      <w:r w:rsidRPr="00DF70E8">
        <w:rPr>
          <w:rFonts w:asciiTheme="majorBidi" w:hAnsiTheme="majorBidi" w:cstheme="majorBidi"/>
          <w:i/>
          <w:iCs/>
          <w:sz w:val="28"/>
          <w:szCs w:val="28"/>
        </w:rPr>
        <w:t xml:space="preserve">Managing Complex Projects: A New Model for Analysis and Practice </w:t>
      </w:r>
      <w:r w:rsidRPr="00DF70E8">
        <w:rPr>
          <w:rFonts w:asciiTheme="majorBidi" w:hAnsiTheme="majorBidi" w:cstheme="majorBidi"/>
          <w:sz w:val="28"/>
          <w:szCs w:val="28"/>
        </w:rPr>
        <w:t>. Oxford: Butterworth-Heinemann.</w:t>
      </w:r>
    </w:p>
    <w:p w14:paraId="6E52896B" w14:textId="5811F1C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BA40E" w14:textId="77777777" w:rsidR="00952AA8" w:rsidRDefault="00952AA8" w:rsidP="009125CE">
      <w:pPr>
        <w:spacing w:after="0" w:line="240" w:lineRule="auto"/>
      </w:pPr>
      <w:r>
        <w:separator/>
      </w:r>
    </w:p>
  </w:endnote>
  <w:endnote w:type="continuationSeparator" w:id="0">
    <w:p w14:paraId="7F0D980E" w14:textId="77777777" w:rsidR="00952AA8" w:rsidRDefault="00952A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304DB" w14:textId="77777777" w:rsidR="00952AA8" w:rsidRDefault="00952AA8" w:rsidP="009125CE">
      <w:pPr>
        <w:spacing w:after="0" w:line="240" w:lineRule="auto"/>
      </w:pPr>
      <w:r>
        <w:separator/>
      </w:r>
    </w:p>
  </w:footnote>
  <w:footnote w:type="continuationSeparator" w:id="0">
    <w:p w14:paraId="604BC970" w14:textId="77777777" w:rsidR="00952AA8" w:rsidRDefault="00952A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77F47"/>
    <w:multiLevelType w:val="multilevel"/>
    <w:tmpl w:val="34D8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297CEC"/>
    <w:multiLevelType w:val="multilevel"/>
    <w:tmpl w:val="762C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54B20"/>
    <w:multiLevelType w:val="multilevel"/>
    <w:tmpl w:val="93F2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967D5F"/>
    <w:multiLevelType w:val="multilevel"/>
    <w:tmpl w:val="E5941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0E1BF8"/>
    <w:multiLevelType w:val="multilevel"/>
    <w:tmpl w:val="7742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4B2BEA"/>
    <w:multiLevelType w:val="multilevel"/>
    <w:tmpl w:val="DA800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5A3211"/>
    <w:multiLevelType w:val="multilevel"/>
    <w:tmpl w:val="EA904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F3699E"/>
    <w:multiLevelType w:val="multilevel"/>
    <w:tmpl w:val="561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EC1A93"/>
    <w:multiLevelType w:val="multilevel"/>
    <w:tmpl w:val="77E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81165D"/>
    <w:multiLevelType w:val="multilevel"/>
    <w:tmpl w:val="60B8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D87570"/>
    <w:multiLevelType w:val="hybridMultilevel"/>
    <w:tmpl w:val="599C1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373676"/>
    <w:multiLevelType w:val="multilevel"/>
    <w:tmpl w:val="2C18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5E5BAA"/>
    <w:multiLevelType w:val="multilevel"/>
    <w:tmpl w:val="833A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F711F45"/>
    <w:multiLevelType w:val="multilevel"/>
    <w:tmpl w:val="992C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9C3C8B"/>
    <w:multiLevelType w:val="multilevel"/>
    <w:tmpl w:val="CDA4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1813965">
    <w:abstractNumId w:val="4"/>
  </w:num>
  <w:num w:numId="2" w16cid:durableId="84695850">
    <w:abstractNumId w:val="14"/>
  </w:num>
  <w:num w:numId="3" w16cid:durableId="431319654">
    <w:abstractNumId w:val="6"/>
  </w:num>
  <w:num w:numId="4" w16cid:durableId="1369064239">
    <w:abstractNumId w:val="5"/>
  </w:num>
  <w:num w:numId="5" w16cid:durableId="2070302114">
    <w:abstractNumId w:val="10"/>
  </w:num>
  <w:num w:numId="6" w16cid:durableId="827867561">
    <w:abstractNumId w:val="3"/>
  </w:num>
  <w:num w:numId="7" w16cid:durableId="1445926602">
    <w:abstractNumId w:val="1"/>
  </w:num>
  <w:num w:numId="8" w16cid:durableId="1698657594">
    <w:abstractNumId w:val="9"/>
  </w:num>
  <w:num w:numId="9" w16cid:durableId="1184973586">
    <w:abstractNumId w:val="12"/>
  </w:num>
  <w:num w:numId="10" w16cid:durableId="915213359">
    <w:abstractNumId w:val="13"/>
  </w:num>
  <w:num w:numId="11" w16cid:durableId="509872070">
    <w:abstractNumId w:val="11"/>
  </w:num>
  <w:num w:numId="12" w16cid:durableId="898828937">
    <w:abstractNumId w:val="8"/>
  </w:num>
  <w:num w:numId="13" w16cid:durableId="275330510">
    <w:abstractNumId w:val="7"/>
  </w:num>
  <w:num w:numId="14" w16cid:durableId="970089527">
    <w:abstractNumId w:val="0"/>
  </w:num>
  <w:num w:numId="15" w16cid:durableId="1645305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F44B4"/>
    <w:rsid w:val="001902DB"/>
    <w:rsid w:val="001A4037"/>
    <w:rsid w:val="001C2162"/>
    <w:rsid w:val="004163C7"/>
    <w:rsid w:val="006878B6"/>
    <w:rsid w:val="006948DE"/>
    <w:rsid w:val="007B0E54"/>
    <w:rsid w:val="007E3A20"/>
    <w:rsid w:val="00877AAC"/>
    <w:rsid w:val="00896FE4"/>
    <w:rsid w:val="008F1EAE"/>
    <w:rsid w:val="009125CE"/>
    <w:rsid w:val="00946F5F"/>
    <w:rsid w:val="00952AA8"/>
    <w:rsid w:val="009B6888"/>
    <w:rsid w:val="009C0161"/>
    <w:rsid w:val="009D108D"/>
    <w:rsid w:val="009E1436"/>
    <w:rsid w:val="009E5668"/>
    <w:rsid w:val="00A17FBC"/>
    <w:rsid w:val="00AA79E9"/>
    <w:rsid w:val="00AB0A70"/>
    <w:rsid w:val="00B63B0F"/>
    <w:rsid w:val="00B7678A"/>
    <w:rsid w:val="00BC094B"/>
    <w:rsid w:val="00C72744"/>
    <w:rsid w:val="00CB2A44"/>
    <w:rsid w:val="00D04F62"/>
    <w:rsid w:val="00D22171"/>
    <w:rsid w:val="00D40383"/>
    <w:rsid w:val="00D52480"/>
    <w:rsid w:val="00DF70E8"/>
    <w:rsid w:val="00E80FD9"/>
    <w:rsid w:val="00F16994"/>
    <w:rsid w:val="00F4231E"/>
    <w:rsid w:val="00F52A3D"/>
    <w:rsid w:val="00F546CE"/>
    <w:rsid w:val="00F737E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F70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70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F70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F70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F70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70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F70E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F70E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F70E8"/>
    <w:pPr>
      <w:ind w:left="720"/>
      <w:contextualSpacing/>
    </w:pPr>
  </w:style>
  <w:style w:type="paragraph" w:styleId="TOCHeading">
    <w:name w:val="TOC Heading"/>
    <w:basedOn w:val="Heading1"/>
    <w:next w:val="Normal"/>
    <w:uiPriority w:val="39"/>
    <w:unhideWhenUsed/>
    <w:qFormat/>
    <w:rsid w:val="00DF70E8"/>
    <w:pPr>
      <w:bidi w:val="0"/>
      <w:outlineLvl w:val="9"/>
    </w:pPr>
    <w:rPr>
      <w:kern w:val="0"/>
      <w14:ligatures w14:val="none"/>
    </w:rPr>
  </w:style>
  <w:style w:type="paragraph" w:styleId="TOC1">
    <w:name w:val="toc 1"/>
    <w:basedOn w:val="Normal"/>
    <w:next w:val="Normal"/>
    <w:autoRedefine/>
    <w:uiPriority w:val="39"/>
    <w:unhideWhenUsed/>
    <w:rsid w:val="00DF70E8"/>
    <w:pPr>
      <w:spacing w:after="100"/>
    </w:pPr>
  </w:style>
  <w:style w:type="paragraph" w:styleId="TOC2">
    <w:name w:val="toc 2"/>
    <w:basedOn w:val="Normal"/>
    <w:next w:val="Normal"/>
    <w:autoRedefine/>
    <w:uiPriority w:val="39"/>
    <w:unhideWhenUsed/>
    <w:rsid w:val="00DF70E8"/>
    <w:pPr>
      <w:spacing w:after="100"/>
      <w:ind w:left="220"/>
    </w:pPr>
  </w:style>
  <w:style w:type="character" w:styleId="Hyperlink">
    <w:name w:val="Hyperlink"/>
    <w:basedOn w:val="DefaultParagraphFont"/>
    <w:uiPriority w:val="99"/>
    <w:unhideWhenUsed/>
    <w:rsid w:val="00DF70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0579">
      <w:bodyDiv w:val="1"/>
      <w:marLeft w:val="0"/>
      <w:marRight w:val="0"/>
      <w:marTop w:val="0"/>
      <w:marBottom w:val="0"/>
      <w:divBdr>
        <w:top w:val="none" w:sz="0" w:space="0" w:color="auto"/>
        <w:left w:val="none" w:sz="0" w:space="0" w:color="auto"/>
        <w:bottom w:val="none" w:sz="0" w:space="0" w:color="auto"/>
        <w:right w:val="none" w:sz="0" w:space="0" w:color="auto"/>
      </w:divBdr>
      <w:divsChild>
        <w:div w:id="14580831">
          <w:marLeft w:val="0"/>
          <w:marRight w:val="0"/>
          <w:marTop w:val="0"/>
          <w:marBottom w:val="0"/>
          <w:divBdr>
            <w:top w:val="single" w:sz="2" w:space="0" w:color="E3E3E3"/>
            <w:left w:val="single" w:sz="2" w:space="0" w:color="E3E3E3"/>
            <w:bottom w:val="single" w:sz="2" w:space="0" w:color="E3E3E3"/>
            <w:right w:val="single" w:sz="2" w:space="0" w:color="E3E3E3"/>
          </w:divBdr>
        </w:div>
        <w:div w:id="1901669354">
          <w:marLeft w:val="0"/>
          <w:marRight w:val="0"/>
          <w:marTop w:val="0"/>
          <w:marBottom w:val="0"/>
          <w:divBdr>
            <w:top w:val="single" w:sz="2" w:space="0" w:color="E3E3E3"/>
            <w:left w:val="single" w:sz="2" w:space="0" w:color="E3E3E3"/>
            <w:bottom w:val="single" w:sz="2" w:space="0" w:color="E3E3E3"/>
            <w:right w:val="single" w:sz="2" w:space="0" w:color="E3E3E3"/>
          </w:divBdr>
        </w:div>
        <w:div w:id="1385955846">
          <w:marLeft w:val="0"/>
          <w:marRight w:val="0"/>
          <w:marTop w:val="0"/>
          <w:marBottom w:val="0"/>
          <w:divBdr>
            <w:top w:val="single" w:sz="2" w:space="0" w:color="E3E3E3"/>
            <w:left w:val="single" w:sz="2" w:space="0" w:color="E3E3E3"/>
            <w:bottom w:val="single" w:sz="2" w:space="0" w:color="E3E3E3"/>
            <w:right w:val="single" w:sz="2" w:space="0" w:color="E3E3E3"/>
          </w:divBdr>
        </w:div>
        <w:div w:id="704717566">
          <w:marLeft w:val="0"/>
          <w:marRight w:val="0"/>
          <w:marTop w:val="0"/>
          <w:marBottom w:val="0"/>
          <w:divBdr>
            <w:top w:val="single" w:sz="2" w:space="0" w:color="E3E3E3"/>
            <w:left w:val="single" w:sz="2" w:space="0" w:color="E3E3E3"/>
            <w:bottom w:val="single" w:sz="2" w:space="0" w:color="E3E3E3"/>
            <w:right w:val="single" w:sz="2" w:space="0" w:color="E3E3E3"/>
          </w:divBdr>
        </w:div>
        <w:div w:id="1967395807">
          <w:marLeft w:val="0"/>
          <w:marRight w:val="0"/>
          <w:marTop w:val="0"/>
          <w:marBottom w:val="0"/>
          <w:divBdr>
            <w:top w:val="single" w:sz="2" w:space="0" w:color="E3E3E3"/>
            <w:left w:val="single" w:sz="2" w:space="0" w:color="E3E3E3"/>
            <w:bottom w:val="single" w:sz="2" w:space="0" w:color="E3E3E3"/>
            <w:right w:val="single" w:sz="2" w:space="0" w:color="E3E3E3"/>
          </w:divBdr>
        </w:div>
        <w:div w:id="18972760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04893961">
      <w:bodyDiv w:val="1"/>
      <w:marLeft w:val="0"/>
      <w:marRight w:val="0"/>
      <w:marTop w:val="0"/>
      <w:marBottom w:val="0"/>
      <w:divBdr>
        <w:top w:val="none" w:sz="0" w:space="0" w:color="auto"/>
        <w:left w:val="none" w:sz="0" w:space="0" w:color="auto"/>
        <w:bottom w:val="none" w:sz="0" w:space="0" w:color="auto"/>
        <w:right w:val="none" w:sz="0" w:space="0" w:color="auto"/>
      </w:divBdr>
    </w:div>
    <w:div w:id="423041906">
      <w:bodyDiv w:val="1"/>
      <w:marLeft w:val="0"/>
      <w:marRight w:val="0"/>
      <w:marTop w:val="0"/>
      <w:marBottom w:val="0"/>
      <w:divBdr>
        <w:top w:val="none" w:sz="0" w:space="0" w:color="auto"/>
        <w:left w:val="none" w:sz="0" w:space="0" w:color="auto"/>
        <w:bottom w:val="none" w:sz="0" w:space="0" w:color="auto"/>
        <w:right w:val="none" w:sz="0" w:space="0" w:color="auto"/>
      </w:divBdr>
    </w:div>
    <w:div w:id="627396965">
      <w:bodyDiv w:val="1"/>
      <w:marLeft w:val="0"/>
      <w:marRight w:val="0"/>
      <w:marTop w:val="0"/>
      <w:marBottom w:val="0"/>
      <w:divBdr>
        <w:top w:val="none" w:sz="0" w:space="0" w:color="auto"/>
        <w:left w:val="none" w:sz="0" w:space="0" w:color="auto"/>
        <w:bottom w:val="none" w:sz="0" w:space="0" w:color="auto"/>
        <w:right w:val="none" w:sz="0" w:space="0" w:color="auto"/>
      </w:divBdr>
      <w:divsChild>
        <w:div w:id="1804884713">
          <w:marLeft w:val="0"/>
          <w:marRight w:val="0"/>
          <w:marTop w:val="0"/>
          <w:marBottom w:val="0"/>
          <w:divBdr>
            <w:top w:val="single" w:sz="2" w:space="0" w:color="E3E3E3"/>
            <w:left w:val="single" w:sz="2" w:space="0" w:color="E3E3E3"/>
            <w:bottom w:val="single" w:sz="2" w:space="0" w:color="E3E3E3"/>
            <w:right w:val="single" w:sz="2" w:space="0" w:color="E3E3E3"/>
          </w:divBdr>
        </w:div>
        <w:div w:id="1169834942">
          <w:marLeft w:val="0"/>
          <w:marRight w:val="0"/>
          <w:marTop w:val="0"/>
          <w:marBottom w:val="0"/>
          <w:divBdr>
            <w:top w:val="single" w:sz="2" w:space="0" w:color="E3E3E3"/>
            <w:left w:val="single" w:sz="2" w:space="0" w:color="E3E3E3"/>
            <w:bottom w:val="single" w:sz="2" w:space="0" w:color="E3E3E3"/>
            <w:right w:val="single" w:sz="2" w:space="0" w:color="E3E3E3"/>
          </w:divBdr>
        </w:div>
        <w:div w:id="1997608192">
          <w:marLeft w:val="0"/>
          <w:marRight w:val="0"/>
          <w:marTop w:val="0"/>
          <w:marBottom w:val="0"/>
          <w:divBdr>
            <w:top w:val="single" w:sz="2" w:space="0" w:color="E3E3E3"/>
            <w:left w:val="single" w:sz="2" w:space="0" w:color="E3E3E3"/>
            <w:bottom w:val="single" w:sz="2" w:space="0" w:color="E3E3E3"/>
            <w:right w:val="single" w:sz="2" w:space="0" w:color="E3E3E3"/>
          </w:divBdr>
        </w:div>
        <w:div w:id="2008747932">
          <w:marLeft w:val="0"/>
          <w:marRight w:val="0"/>
          <w:marTop w:val="0"/>
          <w:marBottom w:val="0"/>
          <w:divBdr>
            <w:top w:val="single" w:sz="2" w:space="0" w:color="E3E3E3"/>
            <w:left w:val="single" w:sz="2" w:space="0" w:color="E3E3E3"/>
            <w:bottom w:val="single" w:sz="2" w:space="0" w:color="E3E3E3"/>
            <w:right w:val="single" w:sz="2" w:space="0" w:color="E3E3E3"/>
          </w:divBdr>
        </w:div>
        <w:div w:id="1563640873">
          <w:marLeft w:val="0"/>
          <w:marRight w:val="0"/>
          <w:marTop w:val="0"/>
          <w:marBottom w:val="0"/>
          <w:divBdr>
            <w:top w:val="single" w:sz="2" w:space="0" w:color="E3E3E3"/>
            <w:left w:val="single" w:sz="2" w:space="0" w:color="E3E3E3"/>
            <w:bottom w:val="single" w:sz="2" w:space="0" w:color="E3E3E3"/>
            <w:right w:val="single" w:sz="2" w:space="0" w:color="E3E3E3"/>
          </w:divBdr>
        </w:div>
        <w:div w:id="1802109824">
          <w:marLeft w:val="0"/>
          <w:marRight w:val="0"/>
          <w:marTop w:val="0"/>
          <w:marBottom w:val="0"/>
          <w:divBdr>
            <w:top w:val="single" w:sz="2" w:space="0" w:color="E3E3E3"/>
            <w:left w:val="single" w:sz="2" w:space="0" w:color="E3E3E3"/>
            <w:bottom w:val="single" w:sz="2" w:space="0" w:color="E3E3E3"/>
            <w:right w:val="single" w:sz="2" w:space="0" w:color="E3E3E3"/>
          </w:divBdr>
        </w:div>
        <w:div w:id="1095129557">
          <w:marLeft w:val="0"/>
          <w:marRight w:val="0"/>
          <w:marTop w:val="0"/>
          <w:marBottom w:val="0"/>
          <w:divBdr>
            <w:top w:val="single" w:sz="2" w:space="0" w:color="E3E3E3"/>
            <w:left w:val="single" w:sz="2" w:space="0" w:color="E3E3E3"/>
            <w:bottom w:val="single" w:sz="2" w:space="0" w:color="E3E3E3"/>
            <w:right w:val="single" w:sz="2" w:space="0" w:color="E3E3E3"/>
          </w:divBdr>
        </w:div>
        <w:div w:id="137694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28348394">
      <w:bodyDiv w:val="1"/>
      <w:marLeft w:val="0"/>
      <w:marRight w:val="0"/>
      <w:marTop w:val="0"/>
      <w:marBottom w:val="0"/>
      <w:divBdr>
        <w:top w:val="none" w:sz="0" w:space="0" w:color="auto"/>
        <w:left w:val="none" w:sz="0" w:space="0" w:color="auto"/>
        <w:bottom w:val="none" w:sz="0" w:space="0" w:color="auto"/>
        <w:right w:val="none" w:sz="0" w:space="0" w:color="auto"/>
      </w:divBdr>
    </w:div>
    <w:div w:id="1012297282">
      <w:bodyDiv w:val="1"/>
      <w:marLeft w:val="0"/>
      <w:marRight w:val="0"/>
      <w:marTop w:val="0"/>
      <w:marBottom w:val="0"/>
      <w:divBdr>
        <w:top w:val="none" w:sz="0" w:space="0" w:color="auto"/>
        <w:left w:val="none" w:sz="0" w:space="0" w:color="auto"/>
        <w:bottom w:val="none" w:sz="0" w:space="0" w:color="auto"/>
        <w:right w:val="none" w:sz="0" w:space="0" w:color="auto"/>
      </w:divBdr>
    </w:div>
    <w:div w:id="1135954893">
      <w:bodyDiv w:val="1"/>
      <w:marLeft w:val="0"/>
      <w:marRight w:val="0"/>
      <w:marTop w:val="0"/>
      <w:marBottom w:val="0"/>
      <w:divBdr>
        <w:top w:val="none" w:sz="0" w:space="0" w:color="auto"/>
        <w:left w:val="none" w:sz="0" w:space="0" w:color="auto"/>
        <w:bottom w:val="none" w:sz="0" w:space="0" w:color="auto"/>
        <w:right w:val="none" w:sz="0" w:space="0" w:color="auto"/>
      </w:divBdr>
      <w:divsChild>
        <w:div w:id="1419864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1632345">
      <w:bodyDiv w:val="1"/>
      <w:marLeft w:val="0"/>
      <w:marRight w:val="0"/>
      <w:marTop w:val="0"/>
      <w:marBottom w:val="0"/>
      <w:divBdr>
        <w:top w:val="none" w:sz="0" w:space="0" w:color="auto"/>
        <w:left w:val="none" w:sz="0" w:space="0" w:color="auto"/>
        <w:bottom w:val="none" w:sz="0" w:space="0" w:color="auto"/>
        <w:right w:val="none" w:sz="0" w:space="0" w:color="auto"/>
      </w:divBdr>
    </w:div>
    <w:div w:id="1780562964">
      <w:bodyDiv w:val="1"/>
      <w:marLeft w:val="0"/>
      <w:marRight w:val="0"/>
      <w:marTop w:val="0"/>
      <w:marBottom w:val="0"/>
      <w:divBdr>
        <w:top w:val="none" w:sz="0" w:space="0" w:color="auto"/>
        <w:left w:val="none" w:sz="0" w:space="0" w:color="auto"/>
        <w:bottom w:val="none" w:sz="0" w:space="0" w:color="auto"/>
        <w:right w:val="none" w:sz="0" w:space="0" w:color="auto"/>
      </w:divBdr>
    </w:div>
    <w:div w:id="1983382366">
      <w:bodyDiv w:val="1"/>
      <w:marLeft w:val="0"/>
      <w:marRight w:val="0"/>
      <w:marTop w:val="0"/>
      <w:marBottom w:val="0"/>
      <w:divBdr>
        <w:top w:val="none" w:sz="0" w:space="0" w:color="auto"/>
        <w:left w:val="none" w:sz="0" w:space="0" w:color="auto"/>
        <w:bottom w:val="none" w:sz="0" w:space="0" w:color="auto"/>
        <w:right w:val="none" w:sz="0" w:space="0" w:color="auto"/>
      </w:divBdr>
    </w:div>
    <w:div w:id="2035378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4DA0-3367-468E-863D-83D39616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26</Pages>
  <Words>5345</Words>
  <Characters>30471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Maher S. Almowalad ماهر المولد</cp:lastModifiedBy>
  <cp:revision>9</cp:revision>
  <cp:lastPrinted>2025-07-02T21:24:00Z</cp:lastPrinted>
  <dcterms:created xsi:type="dcterms:W3CDTF">2024-01-27T08:57:00Z</dcterms:created>
  <dcterms:modified xsi:type="dcterms:W3CDTF">2025-07-16T18:55:00Z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