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F1D73" w14:textId="2B3526C8" w:rsidR="00241BFF" w:rsidRPr="001902DB" w:rsidRDefault="00241BFF" w:rsidP="00241BFF">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5809776E" w14:textId="77777777" w:rsidR="00241BFF" w:rsidRPr="001902DB" w:rsidRDefault="00241BFF" w:rsidP="00241BFF">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1BFB1DA2" wp14:editId="0BAC9C6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E379FB3" w14:textId="77777777" w:rsidR="00241BFF" w:rsidRPr="009125CE" w:rsidRDefault="00241BFF" w:rsidP="00241BF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w:t>
      </w:r>
    </w:p>
    <w:p w14:paraId="36F68466" w14:textId="77777777" w:rsidR="00241BFF" w:rsidRPr="009125CE" w:rsidRDefault="00241BFF" w:rsidP="00241BFF">
      <w:pPr>
        <w:rPr>
          <w:rFonts w:ascii="Sakkal Majalla" w:hAnsi="Sakkal Majalla" w:cs="Sakkal Majalla"/>
          <w:sz w:val="28"/>
          <w:szCs w:val="28"/>
          <w:rtl/>
          <w:lang w:bidi="ar-EG"/>
        </w:rPr>
      </w:pPr>
    </w:p>
    <w:p w14:paraId="2A4205F6" w14:textId="77777777" w:rsidR="00241BFF" w:rsidRPr="009125CE" w:rsidRDefault="00241BFF" w:rsidP="00241BFF">
      <w:pPr>
        <w:rPr>
          <w:rFonts w:ascii="Sakkal Majalla" w:hAnsi="Sakkal Majalla" w:cs="Sakkal Majalla"/>
          <w:sz w:val="28"/>
          <w:szCs w:val="28"/>
          <w:rtl/>
          <w:lang w:bidi="ar-EG"/>
        </w:rPr>
      </w:pPr>
    </w:p>
    <w:p w14:paraId="41EB7E17" w14:textId="77777777" w:rsidR="00241BFF" w:rsidRPr="009125CE" w:rsidRDefault="00241BFF" w:rsidP="00241BFF">
      <w:pPr>
        <w:rPr>
          <w:rFonts w:ascii="Sakkal Majalla" w:hAnsi="Sakkal Majalla" w:cs="Sakkal Majalla"/>
          <w:sz w:val="28"/>
          <w:szCs w:val="28"/>
          <w:rtl/>
          <w:lang w:bidi="ar-EG"/>
        </w:rPr>
      </w:pPr>
    </w:p>
    <w:p w14:paraId="02511C64" w14:textId="77777777" w:rsidR="00241BFF" w:rsidRPr="001902DB" w:rsidRDefault="00241BFF" w:rsidP="00241BF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CBAC83F" w14:textId="77777777" w:rsidR="00241BFF" w:rsidRPr="009125CE" w:rsidRDefault="00241BFF" w:rsidP="00241BFF">
      <w:pPr>
        <w:jc w:val="center"/>
        <w:rPr>
          <w:rFonts w:ascii="Sakkal Majalla" w:hAnsi="Sakkal Majalla" w:cs="Sakkal Majalla"/>
          <w:sz w:val="28"/>
          <w:szCs w:val="28"/>
          <w:rtl/>
          <w:lang w:bidi="ar-EG"/>
        </w:rPr>
      </w:pPr>
    </w:p>
    <w:p w14:paraId="24A10144" w14:textId="55599A88" w:rsidR="00241BFF" w:rsidRPr="009125CE" w:rsidRDefault="00241BFF" w:rsidP="00241BFF">
      <w:pPr>
        <w:jc w:val="center"/>
        <w:rPr>
          <w:rFonts w:ascii="Sakkal Majalla" w:hAnsi="Sakkal Majalla" w:cs="Sakkal Majalla"/>
          <w:sz w:val="28"/>
          <w:szCs w:val="28"/>
          <w:rtl/>
          <w:lang w:bidi="ar-EG"/>
        </w:rPr>
      </w:pPr>
      <w:r w:rsidRPr="00CC0146">
        <w:rPr>
          <w:rFonts w:ascii="Sakkal Majalla" w:hAnsi="Sakkal Majalla" w:cs="Sakkal Majalla"/>
          <w:sz w:val="28"/>
          <w:szCs w:val="28"/>
          <w:rtl/>
          <w:lang w:bidi="ar-EG"/>
        </w:rPr>
        <w:t xml:space="preserve">إدارة التغيير التنظيمي: تكيّف الموظفين ومقاومتهم أثناء التحول الطاقي في </w:t>
      </w:r>
      <w:r w:rsidR="007A3869">
        <w:rPr>
          <w:rFonts w:ascii="Sakkal Majalla" w:hAnsi="Sakkal Majalla" w:cs="Sakkal Majalla" w:hint="cs"/>
          <w:sz w:val="28"/>
          <w:szCs w:val="28"/>
          <w:rtl/>
          <w:lang w:bidi="ar-EG"/>
        </w:rPr>
        <w:t>قطاع</w:t>
      </w:r>
      <w:r w:rsidRPr="00CC0146">
        <w:rPr>
          <w:rFonts w:ascii="Sakkal Majalla" w:hAnsi="Sakkal Majalla" w:cs="Sakkal Majalla"/>
          <w:sz w:val="28"/>
          <w:szCs w:val="28"/>
          <w:rtl/>
          <w:lang w:bidi="ar-EG"/>
        </w:rPr>
        <w:t xml:space="preserve"> النفط والغاز</w:t>
      </w:r>
    </w:p>
    <w:p w14:paraId="4FBA5928" w14:textId="77777777" w:rsidR="00241BFF" w:rsidRPr="009125CE" w:rsidRDefault="00241BFF" w:rsidP="00241BFF">
      <w:pPr>
        <w:jc w:val="center"/>
        <w:rPr>
          <w:rFonts w:ascii="Sakkal Majalla" w:hAnsi="Sakkal Majalla" w:cs="Sakkal Majalla"/>
          <w:sz w:val="28"/>
          <w:szCs w:val="28"/>
          <w:rtl/>
          <w:lang w:bidi="ar-EG"/>
        </w:rPr>
      </w:pPr>
    </w:p>
    <w:p w14:paraId="3AFB2A00" w14:textId="77777777" w:rsidR="00241BFF" w:rsidRPr="009125CE" w:rsidRDefault="00241BFF" w:rsidP="00241BFF">
      <w:pPr>
        <w:jc w:val="center"/>
        <w:rPr>
          <w:rFonts w:ascii="Sakkal Majalla" w:hAnsi="Sakkal Majalla" w:cs="Sakkal Majalla"/>
          <w:sz w:val="28"/>
          <w:szCs w:val="28"/>
          <w:rtl/>
          <w:lang w:bidi="ar-EG"/>
        </w:rPr>
      </w:pPr>
    </w:p>
    <w:p w14:paraId="50870D01" w14:textId="77777777" w:rsidR="00241BFF" w:rsidRPr="001902DB" w:rsidRDefault="00241BFF" w:rsidP="00241BFF">
      <w:pPr>
        <w:jc w:val="center"/>
        <w:rPr>
          <w:rFonts w:ascii="Sakkal Majalla" w:hAnsi="Sakkal Majalla" w:cs="Sakkal Majalla"/>
          <w:b/>
          <w:bCs/>
          <w:sz w:val="28"/>
          <w:szCs w:val="28"/>
          <w:rtl/>
          <w:lang w:bidi="ar-EG"/>
        </w:rPr>
      </w:pPr>
    </w:p>
    <w:p w14:paraId="680AB262" w14:textId="77777777" w:rsidR="00241BFF" w:rsidRPr="001902DB" w:rsidRDefault="00241BFF" w:rsidP="00241BF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D6A3D54" w14:textId="311D9E8C" w:rsidR="00241BFF" w:rsidRDefault="00241BFF" w:rsidP="00241BFF">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مشهور إبراهيم محمد بن زين</w:t>
      </w:r>
    </w:p>
    <w:p w14:paraId="58583D2B" w14:textId="752A0283" w:rsidR="00241BFF" w:rsidRPr="001902DB" w:rsidRDefault="00241BFF" w:rsidP="00241BFF">
      <w:pPr>
        <w:jc w:val="center"/>
        <w:rPr>
          <w:rFonts w:ascii="Sakkal Majalla" w:hAnsi="Sakkal Majalla" w:cs="Sakkal Majalla"/>
          <w:b/>
          <w:bCs/>
          <w:sz w:val="28"/>
          <w:szCs w:val="28"/>
          <w:rtl/>
        </w:rPr>
      </w:pPr>
      <w:r>
        <w:rPr>
          <w:rFonts w:ascii="Sakkal Majalla" w:hAnsi="Sakkal Majalla" w:cs="Sakkal Majalla" w:hint="cs"/>
          <w:b/>
          <w:bCs/>
          <w:sz w:val="28"/>
          <w:szCs w:val="28"/>
          <w:rtl/>
        </w:rPr>
        <w:t>رقم الطالب</w:t>
      </w:r>
      <w:r w:rsidR="00EE6287" w:rsidRPr="001902DB">
        <w:rPr>
          <w:rFonts w:ascii="Sakkal Majalla" w:hAnsi="Sakkal Majalla" w:cs="Sakkal Majalla"/>
          <w:b/>
          <w:bCs/>
          <w:sz w:val="28"/>
          <w:szCs w:val="28"/>
          <w:rtl/>
          <w:lang w:bidi="ar-EG"/>
        </w:rPr>
        <w:t>/</w:t>
      </w:r>
      <w:r>
        <w:rPr>
          <w:rFonts w:ascii="Sakkal Majalla" w:hAnsi="Sakkal Majalla" w:cs="Sakkal Majalla" w:hint="cs"/>
          <w:b/>
          <w:bCs/>
          <w:sz w:val="28"/>
          <w:szCs w:val="28"/>
          <w:rtl/>
        </w:rPr>
        <w:t xml:space="preserve"> </w:t>
      </w:r>
      <w:r w:rsidR="00EE6287">
        <w:rPr>
          <w:rFonts w:ascii="Sakkal Majalla" w:hAnsi="Sakkal Majalla" w:cs="Sakkal Majalla" w:hint="cs"/>
          <w:b/>
          <w:bCs/>
          <w:sz w:val="28"/>
          <w:szCs w:val="28"/>
          <w:rtl/>
        </w:rPr>
        <w:t>252001038</w:t>
      </w:r>
    </w:p>
    <w:p w14:paraId="6FBFB6A6" w14:textId="77777777" w:rsidR="00241BFF" w:rsidRPr="001902DB" w:rsidRDefault="00241BFF" w:rsidP="00241BFF">
      <w:pPr>
        <w:jc w:val="center"/>
        <w:rPr>
          <w:rFonts w:ascii="Sakkal Majalla" w:hAnsi="Sakkal Majalla" w:cs="Sakkal Majalla"/>
          <w:b/>
          <w:bCs/>
          <w:sz w:val="28"/>
          <w:szCs w:val="28"/>
          <w:rtl/>
          <w:lang w:bidi="ar-EG"/>
        </w:rPr>
      </w:pPr>
    </w:p>
    <w:p w14:paraId="28CEF751" w14:textId="77777777" w:rsidR="00241BFF" w:rsidRPr="001902DB" w:rsidRDefault="00241BFF" w:rsidP="00241BFF">
      <w:pPr>
        <w:jc w:val="center"/>
        <w:rPr>
          <w:rFonts w:ascii="Sakkal Majalla" w:hAnsi="Sakkal Majalla" w:cs="Sakkal Majalla"/>
          <w:b/>
          <w:bCs/>
          <w:sz w:val="28"/>
          <w:szCs w:val="28"/>
          <w:rtl/>
          <w:lang w:bidi="ar-EG"/>
        </w:rPr>
      </w:pPr>
    </w:p>
    <w:p w14:paraId="26F29F64" w14:textId="77777777" w:rsidR="00241BFF" w:rsidRPr="001902DB" w:rsidRDefault="00241BFF" w:rsidP="00241BF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4D98550" w14:textId="77777777" w:rsidR="00241BFF" w:rsidRDefault="00241BFF" w:rsidP="00241BF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01F3F19D" w14:textId="67AF4BAE" w:rsidR="00241BFF" w:rsidRPr="001902DB" w:rsidRDefault="00241BFF" w:rsidP="00EE628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0688CBB6" w14:textId="77777777" w:rsidR="00241BFF" w:rsidRPr="001902DB" w:rsidRDefault="00241BFF" w:rsidP="00241BFF">
      <w:pPr>
        <w:jc w:val="center"/>
        <w:rPr>
          <w:rFonts w:ascii="Sakkal Majalla" w:hAnsi="Sakkal Majalla" w:cs="Sakkal Majalla"/>
          <w:b/>
          <w:bCs/>
          <w:sz w:val="28"/>
          <w:szCs w:val="28"/>
          <w:rtl/>
          <w:lang w:bidi="ar-EG"/>
        </w:rPr>
      </w:pPr>
    </w:p>
    <w:p w14:paraId="48FBB706" w14:textId="77777777" w:rsidR="00241BFF" w:rsidRPr="001902DB" w:rsidRDefault="00241BFF" w:rsidP="00241BF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BA92A99" w14:textId="5516F39A" w:rsidR="00241BFF" w:rsidRPr="001902DB" w:rsidRDefault="00EE6287" w:rsidP="00241BF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71099ADB" w14:textId="77777777" w:rsidR="009125CE" w:rsidRPr="001902DB" w:rsidRDefault="009125CE" w:rsidP="00EE6287">
      <w:pP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22"/>
          <w:szCs w:val="22"/>
          <w14:ligatures w14:val="standardContextual"/>
        </w:rPr>
        <w:id w:val="-296380078"/>
        <w:docPartObj>
          <w:docPartGallery w:val="Table of Contents"/>
          <w:docPartUnique/>
        </w:docPartObj>
      </w:sdtPr>
      <w:sdtEndPr>
        <w:rPr>
          <w:b/>
          <w:bCs/>
          <w:noProof/>
          <w:rtl/>
        </w:rPr>
      </w:sdtEndPr>
      <w:sdtContent>
        <w:p w14:paraId="0EECC8A9" w14:textId="326E6DAE" w:rsidR="00EE6287" w:rsidRPr="00EE6287" w:rsidRDefault="00EE6287" w:rsidP="00EE6287">
          <w:pPr>
            <w:pStyle w:val="TOCHeading"/>
            <w:jc w:val="right"/>
            <w:rPr>
              <w:rFonts w:ascii="Sakkal Majalla" w:eastAsiaTheme="minorHAnsi" w:hAnsi="Sakkal Majalla" w:cs="Sakkal Majalla"/>
              <w:color w:val="auto"/>
              <w:kern w:val="2"/>
              <w:sz w:val="28"/>
              <w:szCs w:val="28"/>
              <w:u w:val="single"/>
              <w:lang w:bidi="ar-EG"/>
              <w14:ligatures w14:val="standardContextual"/>
            </w:rPr>
          </w:pPr>
          <w:r w:rsidRPr="00EE6287">
            <w:rPr>
              <w:rFonts w:ascii="Sakkal Majalla" w:eastAsiaTheme="minorHAnsi" w:hAnsi="Sakkal Majalla" w:cs="Sakkal Majalla"/>
              <w:color w:val="auto"/>
              <w:kern w:val="2"/>
              <w:sz w:val="28"/>
              <w:szCs w:val="28"/>
              <w:u w:val="single"/>
              <w:rtl/>
              <w:lang w:bidi="ar-EG"/>
              <w14:ligatures w14:val="standardContextual"/>
            </w:rPr>
            <w:t>فهرس المحتوىات</w:t>
          </w:r>
          <w:r>
            <w:rPr>
              <w:rFonts w:ascii="Sakkal Majalla" w:eastAsiaTheme="minorHAnsi" w:hAnsi="Sakkal Majalla" w:cs="Sakkal Majalla" w:hint="cs"/>
              <w:color w:val="auto"/>
              <w:kern w:val="2"/>
              <w:sz w:val="28"/>
              <w:szCs w:val="28"/>
              <w:u w:val="single"/>
              <w:rtl/>
              <w:lang w:bidi="ar-EG"/>
              <w14:ligatures w14:val="standardContextual"/>
            </w:rPr>
            <w:t>:</w:t>
          </w:r>
        </w:p>
        <w:p w14:paraId="05E564F3" w14:textId="14624838" w:rsidR="00A92F38" w:rsidRDefault="00EE6287">
          <w:pPr>
            <w:pStyle w:val="TOC2"/>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25314005" w:history="1">
            <w:r w:rsidR="00A92F38" w:rsidRPr="003D3380">
              <w:rPr>
                <w:rStyle w:val="Hyperlink"/>
                <w:rFonts w:ascii="Sakkal Majalla" w:hAnsi="Sakkal Majalla" w:cs="Sakkal Majalla"/>
                <w:noProof/>
                <w:rtl/>
                <w:lang w:bidi="ar-EG"/>
              </w:rPr>
              <w:t>المستخلص :</w:t>
            </w:r>
            <w:r w:rsidR="00A92F38" w:rsidRPr="003D3380">
              <w:rPr>
                <w:rStyle w:val="Hyperlink"/>
                <w:rFonts w:ascii="Sakkal Majalla" w:hAnsi="Sakkal Majalla" w:cs="Sakkal Majalla"/>
                <w:noProof/>
              </w:rPr>
              <w:t>Abstract</w:t>
            </w:r>
            <w:r w:rsidR="00A92F38">
              <w:rPr>
                <w:noProof/>
                <w:webHidden/>
                <w:rtl/>
              </w:rPr>
              <w:tab/>
            </w:r>
            <w:r w:rsidR="00A92F38">
              <w:rPr>
                <w:noProof/>
                <w:webHidden/>
                <w:rtl/>
              </w:rPr>
              <w:fldChar w:fldCharType="begin"/>
            </w:r>
            <w:r w:rsidR="00A92F38">
              <w:rPr>
                <w:noProof/>
                <w:webHidden/>
                <w:rtl/>
              </w:rPr>
              <w:instrText xml:space="preserve"> </w:instrText>
            </w:r>
            <w:r w:rsidR="00A92F38">
              <w:rPr>
                <w:noProof/>
                <w:webHidden/>
              </w:rPr>
              <w:instrText>PAGEREF</w:instrText>
            </w:r>
            <w:r w:rsidR="00A92F38">
              <w:rPr>
                <w:noProof/>
                <w:webHidden/>
                <w:rtl/>
              </w:rPr>
              <w:instrText xml:space="preserve"> _</w:instrText>
            </w:r>
            <w:r w:rsidR="00A92F38">
              <w:rPr>
                <w:noProof/>
                <w:webHidden/>
              </w:rPr>
              <w:instrText>Toc225314005 \h</w:instrText>
            </w:r>
            <w:r w:rsidR="00A92F38">
              <w:rPr>
                <w:noProof/>
                <w:webHidden/>
                <w:rtl/>
              </w:rPr>
              <w:instrText xml:space="preserve"> </w:instrText>
            </w:r>
            <w:r w:rsidR="00A92F38">
              <w:rPr>
                <w:noProof/>
                <w:webHidden/>
                <w:rtl/>
              </w:rPr>
            </w:r>
            <w:r w:rsidR="00A92F38">
              <w:rPr>
                <w:noProof/>
                <w:webHidden/>
                <w:rtl/>
              </w:rPr>
              <w:fldChar w:fldCharType="separate"/>
            </w:r>
            <w:r w:rsidR="00A92F38">
              <w:rPr>
                <w:noProof/>
                <w:webHidden/>
                <w:rtl/>
              </w:rPr>
              <w:t>4</w:t>
            </w:r>
            <w:r w:rsidR="00A92F38">
              <w:rPr>
                <w:noProof/>
                <w:webHidden/>
                <w:rtl/>
              </w:rPr>
              <w:fldChar w:fldCharType="end"/>
            </w:r>
          </w:hyperlink>
        </w:p>
        <w:p w14:paraId="4C5E6AA2" w14:textId="500E2BB2" w:rsidR="00A92F38" w:rsidRDefault="00A92F38">
          <w:pPr>
            <w:pStyle w:val="TOC1"/>
            <w:tabs>
              <w:tab w:val="right" w:leader="dot" w:pos="8822"/>
            </w:tabs>
            <w:rPr>
              <w:rFonts w:eastAsiaTheme="minorEastAsia"/>
              <w:noProof/>
              <w:kern w:val="0"/>
              <w:rtl/>
              <w14:ligatures w14:val="none"/>
            </w:rPr>
          </w:pPr>
          <w:hyperlink w:anchor="_Toc225314006" w:history="1">
            <w:r w:rsidRPr="003D3380">
              <w:rPr>
                <w:rStyle w:val="Hyperlink"/>
                <w:rFonts w:ascii="Sakkal Majalla" w:hAnsi="Sakkal Majalla" w:cs="Sakkal Majalla"/>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Toc225314006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5D2DB712" w14:textId="34B02683" w:rsidR="00A92F38" w:rsidRDefault="00A92F38">
          <w:pPr>
            <w:pStyle w:val="TOC2"/>
            <w:tabs>
              <w:tab w:val="right" w:leader="dot" w:pos="8822"/>
            </w:tabs>
            <w:rPr>
              <w:rFonts w:eastAsiaTheme="minorEastAsia"/>
              <w:noProof/>
              <w:kern w:val="0"/>
              <w:rtl/>
              <w14:ligatures w14:val="none"/>
            </w:rPr>
          </w:pPr>
          <w:hyperlink w:anchor="_Toc225314007" w:history="1">
            <w:r w:rsidRPr="003D3380">
              <w:rPr>
                <w:rStyle w:val="Hyperlink"/>
                <w:rFonts w:ascii="Sakkal Majalla" w:hAnsi="Sakkal Majalla" w:cs="Sakkal Majall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Toc225314007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DD50ECC" w14:textId="71F03D77" w:rsidR="00A92F38" w:rsidRDefault="00A92F38">
          <w:pPr>
            <w:pStyle w:val="TOC2"/>
            <w:tabs>
              <w:tab w:val="right" w:leader="dot" w:pos="8822"/>
            </w:tabs>
            <w:rPr>
              <w:rFonts w:eastAsiaTheme="minorEastAsia"/>
              <w:noProof/>
              <w:kern w:val="0"/>
              <w:rtl/>
              <w14:ligatures w14:val="none"/>
            </w:rPr>
          </w:pPr>
          <w:hyperlink w:anchor="_Toc225314008" w:history="1">
            <w:r w:rsidRPr="003D3380">
              <w:rPr>
                <w:rStyle w:val="Hyperlink"/>
                <w:rFonts w:ascii="Sakkal Majalla" w:hAnsi="Sakkal Majalla" w:cs="Sakkal Majalla"/>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Toc225314008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1A5791C" w14:textId="4DE93BCB" w:rsidR="00A92F38" w:rsidRDefault="00A92F38">
          <w:pPr>
            <w:pStyle w:val="TOC2"/>
            <w:tabs>
              <w:tab w:val="right" w:leader="dot" w:pos="8822"/>
            </w:tabs>
            <w:rPr>
              <w:rFonts w:eastAsiaTheme="minorEastAsia"/>
              <w:noProof/>
              <w:kern w:val="0"/>
              <w:rtl/>
              <w14:ligatures w14:val="none"/>
            </w:rPr>
          </w:pPr>
          <w:hyperlink w:anchor="_Toc225314009" w:history="1">
            <w:r w:rsidRPr="003D3380">
              <w:rPr>
                <w:rStyle w:val="Hyperlink"/>
                <w:rFonts w:ascii="Sakkal Majalla" w:hAnsi="Sakkal Majalla" w:cs="Sakkal Majalla"/>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Toc225314009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423E836" w14:textId="6148DDD4" w:rsidR="00A92F38" w:rsidRDefault="00A92F38">
          <w:pPr>
            <w:pStyle w:val="TOC3"/>
            <w:tabs>
              <w:tab w:val="right" w:leader="dot" w:pos="8822"/>
            </w:tabs>
            <w:rPr>
              <w:rFonts w:eastAsiaTheme="minorEastAsia"/>
              <w:noProof/>
              <w:kern w:val="0"/>
              <w:rtl/>
              <w14:ligatures w14:val="none"/>
            </w:rPr>
          </w:pPr>
          <w:hyperlink w:anchor="_Toc225314010" w:history="1">
            <w:r w:rsidRPr="003D3380">
              <w:rPr>
                <w:rStyle w:val="Hyperlink"/>
                <w:noProof/>
                <w:rtl/>
              </w:rPr>
              <w:t>أولًا: 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Toc225314010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0902C91" w14:textId="6DA3F40A" w:rsidR="00A92F38" w:rsidRDefault="00A92F38">
          <w:pPr>
            <w:pStyle w:val="TOC3"/>
            <w:tabs>
              <w:tab w:val="right" w:leader="dot" w:pos="8822"/>
            </w:tabs>
            <w:rPr>
              <w:rFonts w:eastAsiaTheme="minorEastAsia"/>
              <w:noProof/>
              <w:kern w:val="0"/>
              <w:rtl/>
              <w14:ligatures w14:val="none"/>
            </w:rPr>
          </w:pPr>
          <w:hyperlink w:anchor="_Toc225314011" w:history="1">
            <w:r w:rsidRPr="003D3380">
              <w:rPr>
                <w:rStyle w:val="Hyperlink"/>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Toc225314011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60AA56C" w14:textId="2173150F" w:rsidR="00A92F38" w:rsidRDefault="00A92F38">
          <w:pPr>
            <w:pStyle w:val="TOC3"/>
            <w:tabs>
              <w:tab w:val="right" w:leader="dot" w:pos="8822"/>
            </w:tabs>
            <w:rPr>
              <w:rFonts w:eastAsiaTheme="minorEastAsia"/>
              <w:noProof/>
              <w:kern w:val="0"/>
              <w:rtl/>
              <w14:ligatures w14:val="none"/>
            </w:rPr>
          </w:pPr>
          <w:hyperlink w:anchor="_Toc225314012" w:history="1">
            <w:r w:rsidRPr="003D3380">
              <w:rPr>
                <w:rStyle w:val="Hyperlink"/>
                <w:noProof/>
                <w:rtl/>
              </w:rPr>
              <w:t>ثالثًا: الأهمية الاقتصادية: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Toc225314012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178E58B" w14:textId="771EAC90" w:rsidR="00A92F38" w:rsidRDefault="00A92F38">
          <w:pPr>
            <w:pStyle w:val="TOC2"/>
            <w:tabs>
              <w:tab w:val="right" w:leader="dot" w:pos="8822"/>
            </w:tabs>
            <w:rPr>
              <w:rFonts w:eastAsiaTheme="minorEastAsia"/>
              <w:noProof/>
              <w:kern w:val="0"/>
              <w:rtl/>
              <w14:ligatures w14:val="none"/>
            </w:rPr>
          </w:pPr>
          <w:hyperlink w:anchor="_Toc225314013" w:history="1">
            <w:r w:rsidRPr="003D3380">
              <w:rPr>
                <w:rStyle w:val="Hyperlink"/>
                <w:rFonts w:ascii="Sakkal Majalla" w:hAnsi="Sakkal Majalla" w:cs="Sakkal Majalla"/>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Toc225314013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60AE003" w14:textId="229C8437" w:rsidR="00A92F38" w:rsidRDefault="00A92F38">
          <w:pPr>
            <w:pStyle w:val="TOC3"/>
            <w:tabs>
              <w:tab w:val="right" w:leader="dot" w:pos="8822"/>
            </w:tabs>
            <w:rPr>
              <w:rFonts w:eastAsiaTheme="minorEastAsia"/>
              <w:noProof/>
              <w:kern w:val="0"/>
              <w:rtl/>
              <w14:ligatures w14:val="none"/>
            </w:rPr>
          </w:pPr>
          <w:hyperlink w:anchor="_Toc225314014" w:history="1">
            <w:r w:rsidRPr="003D3380">
              <w:rPr>
                <w:rStyle w:val="Hyperlink"/>
                <w:noProof/>
                <w:rtl/>
              </w:rPr>
              <w:t>أولًا: الهدف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Toc225314014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A4096BF" w14:textId="69B128A0" w:rsidR="00A92F38" w:rsidRDefault="00A92F38">
          <w:pPr>
            <w:pStyle w:val="TOC3"/>
            <w:tabs>
              <w:tab w:val="right" w:leader="dot" w:pos="8822"/>
            </w:tabs>
            <w:rPr>
              <w:rFonts w:eastAsiaTheme="minorEastAsia"/>
              <w:noProof/>
              <w:kern w:val="0"/>
              <w:rtl/>
              <w14:ligatures w14:val="none"/>
            </w:rPr>
          </w:pPr>
          <w:hyperlink w:anchor="_Toc225314015" w:history="1">
            <w:r w:rsidRPr="003D3380">
              <w:rPr>
                <w:rStyle w:val="Hyperlink"/>
                <w:noProof/>
                <w:rtl/>
              </w:rPr>
              <w:t>ثانيًا: الأهداف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Toc225314015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AE41E6A" w14:textId="0C366F59" w:rsidR="00A92F38" w:rsidRDefault="00A92F38">
          <w:pPr>
            <w:pStyle w:val="TOC3"/>
            <w:tabs>
              <w:tab w:val="right" w:leader="dot" w:pos="8822"/>
            </w:tabs>
            <w:rPr>
              <w:rFonts w:eastAsiaTheme="minorEastAsia"/>
              <w:noProof/>
              <w:kern w:val="0"/>
              <w:rtl/>
              <w14:ligatures w14:val="none"/>
            </w:rPr>
          </w:pPr>
          <w:hyperlink w:anchor="_Toc225314016" w:history="1">
            <w:r w:rsidRPr="003D3380">
              <w:rPr>
                <w:rStyle w:val="Hyperlink"/>
                <w:noProof/>
                <w:rtl/>
              </w:rPr>
              <w:t>ثالثًا: تحليل نقدي للأهداف: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Toc225314016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C6F9A1B" w14:textId="6791FC4A" w:rsidR="00A92F38" w:rsidRDefault="00A92F38">
          <w:pPr>
            <w:pStyle w:val="TOC2"/>
            <w:tabs>
              <w:tab w:val="right" w:leader="dot" w:pos="8822"/>
            </w:tabs>
            <w:rPr>
              <w:rFonts w:eastAsiaTheme="minorEastAsia"/>
              <w:noProof/>
              <w:kern w:val="0"/>
              <w:rtl/>
              <w14:ligatures w14:val="none"/>
            </w:rPr>
          </w:pPr>
          <w:hyperlink w:anchor="_Toc225314017" w:history="1">
            <w:r w:rsidRPr="003D3380">
              <w:rPr>
                <w:rStyle w:val="Hyperlink"/>
                <w:rFonts w:ascii="Sakkal Majalla" w:hAnsi="Sakkal Majalla" w:cs="Sakkal Majalla"/>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Toc225314017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077D03B" w14:textId="02221398" w:rsidR="00A92F38" w:rsidRDefault="00A92F38">
          <w:pPr>
            <w:pStyle w:val="TOC3"/>
            <w:tabs>
              <w:tab w:val="right" w:leader="dot" w:pos="8822"/>
            </w:tabs>
            <w:rPr>
              <w:rFonts w:eastAsiaTheme="minorEastAsia"/>
              <w:noProof/>
              <w:kern w:val="0"/>
              <w:rtl/>
              <w14:ligatures w14:val="none"/>
            </w:rPr>
          </w:pPr>
          <w:hyperlink w:anchor="_Toc225314018" w:history="1">
            <w:r w:rsidRPr="003D3380">
              <w:rPr>
                <w:rStyle w:val="Hyperlink"/>
                <w:noProof/>
                <w:rtl/>
              </w:rPr>
              <w:t>أولًا: التساؤل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Toc225314018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F7C39C8" w14:textId="1B6501A5" w:rsidR="00A92F38" w:rsidRDefault="00A92F38">
          <w:pPr>
            <w:pStyle w:val="TOC3"/>
            <w:tabs>
              <w:tab w:val="right" w:leader="dot" w:pos="8822"/>
            </w:tabs>
            <w:rPr>
              <w:rFonts w:eastAsiaTheme="minorEastAsia"/>
              <w:noProof/>
              <w:kern w:val="0"/>
              <w:rtl/>
              <w14:ligatures w14:val="none"/>
            </w:rPr>
          </w:pPr>
          <w:hyperlink w:anchor="_Toc225314019" w:history="1">
            <w:r w:rsidRPr="003D3380">
              <w:rPr>
                <w:rStyle w:val="Hyperlink"/>
                <w:noProof/>
                <w:rtl/>
              </w:rPr>
              <w:t>ثانيًا: التساؤلات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Toc225314019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BC17908" w14:textId="6398CF8A" w:rsidR="00A92F38" w:rsidRDefault="00A92F38">
          <w:pPr>
            <w:pStyle w:val="TOC3"/>
            <w:tabs>
              <w:tab w:val="right" w:leader="dot" w:pos="8822"/>
            </w:tabs>
            <w:rPr>
              <w:rFonts w:eastAsiaTheme="minorEastAsia"/>
              <w:noProof/>
              <w:kern w:val="0"/>
              <w:rtl/>
              <w14:ligatures w14:val="none"/>
            </w:rPr>
          </w:pPr>
          <w:hyperlink w:anchor="_Toc225314020" w:history="1">
            <w:r w:rsidRPr="003D3380">
              <w:rPr>
                <w:rStyle w:val="Hyperlink"/>
                <w:noProof/>
                <w:rtl/>
              </w:rPr>
              <w:t>ثالثًا: الأبعاد التحليلية للتساؤلات: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Toc225314020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84D1DC5" w14:textId="41CFB9BE" w:rsidR="00A92F38" w:rsidRDefault="00A92F38">
          <w:pPr>
            <w:pStyle w:val="TOC3"/>
            <w:tabs>
              <w:tab w:val="right" w:leader="dot" w:pos="8822"/>
            </w:tabs>
            <w:rPr>
              <w:rFonts w:eastAsiaTheme="minorEastAsia"/>
              <w:noProof/>
              <w:kern w:val="0"/>
              <w:rtl/>
              <w14:ligatures w14:val="none"/>
            </w:rPr>
          </w:pPr>
          <w:hyperlink w:anchor="_Toc225314021" w:history="1">
            <w:r w:rsidRPr="003D3380">
              <w:rPr>
                <w:rStyle w:val="Hyperlink"/>
                <w:noProof/>
                <w:rtl/>
              </w:rPr>
              <w:t>رابعًا: تحليل نقدي للتساؤلات: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Toc225314021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17BDDC4" w14:textId="38D17DA0" w:rsidR="00A92F38" w:rsidRDefault="00A92F38">
          <w:pPr>
            <w:pStyle w:val="TOC2"/>
            <w:tabs>
              <w:tab w:val="right" w:leader="dot" w:pos="8822"/>
            </w:tabs>
            <w:rPr>
              <w:rFonts w:eastAsiaTheme="minorEastAsia"/>
              <w:noProof/>
              <w:kern w:val="0"/>
              <w:rtl/>
              <w14:ligatures w14:val="none"/>
            </w:rPr>
          </w:pPr>
          <w:hyperlink w:anchor="_Toc225314022" w:history="1">
            <w:r w:rsidRPr="003D3380">
              <w:rPr>
                <w:rStyle w:val="Hyperlink"/>
                <w:rFonts w:ascii="Sakkal Majalla" w:hAnsi="Sakkal Majalla" w:cs="Sakkal Majalla"/>
                <w:noProof/>
                <w:rtl/>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Toc225314022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17F781D2" w14:textId="53F0DAA9" w:rsidR="00A92F38" w:rsidRDefault="00A92F38">
          <w:pPr>
            <w:pStyle w:val="TOC3"/>
            <w:tabs>
              <w:tab w:val="right" w:leader="dot" w:pos="8822"/>
            </w:tabs>
            <w:rPr>
              <w:rFonts w:eastAsiaTheme="minorEastAsia"/>
              <w:noProof/>
              <w:kern w:val="0"/>
              <w:rtl/>
              <w14:ligatures w14:val="none"/>
            </w:rPr>
          </w:pPr>
          <w:hyperlink w:anchor="_Toc225314023" w:history="1">
            <w:r w:rsidRPr="003D3380">
              <w:rPr>
                <w:rStyle w:val="Hyperlink"/>
                <w:noProof/>
                <w:rtl/>
              </w:rPr>
              <w:t>أولًا: الفرضية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Toc225314023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D3C120F" w14:textId="762D33FD" w:rsidR="00A92F38" w:rsidRDefault="00A92F38">
          <w:pPr>
            <w:pStyle w:val="TOC3"/>
            <w:tabs>
              <w:tab w:val="right" w:leader="dot" w:pos="8822"/>
            </w:tabs>
            <w:rPr>
              <w:rFonts w:eastAsiaTheme="minorEastAsia"/>
              <w:noProof/>
              <w:kern w:val="0"/>
              <w:rtl/>
              <w14:ligatures w14:val="none"/>
            </w:rPr>
          </w:pPr>
          <w:hyperlink w:anchor="_Toc225314024" w:history="1">
            <w:r w:rsidRPr="003D3380">
              <w:rPr>
                <w:rStyle w:val="Hyperlink"/>
                <w:noProof/>
                <w:rtl/>
              </w:rPr>
              <w:t>ثانيًا: الفروض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Toc225314024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48D88D6" w14:textId="405CF20A" w:rsidR="00A92F38" w:rsidRDefault="00A92F38">
          <w:pPr>
            <w:pStyle w:val="TOC3"/>
            <w:tabs>
              <w:tab w:val="right" w:leader="dot" w:pos="8822"/>
            </w:tabs>
            <w:rPr>
              <w:rFonts w:eastAsiaTheme="minorEastAsia"/>
              <w:noProof/>
              <w:kern w:val="0"/>
              <w:rtl/>
              <w14:ligatures w14:val="none"/>
            </w:rPr>
          </w:pPr>
          <w:hyperlink w:anchor="_Toc225314025" w:history="1">
            <w:r w:rsidRPr="003D3380">
              <w:rPr>
                <w:rStyle w:val="Hyperlink"/>
                <w:noProof/>
                <w:rtl/>
              </w:rPr>
              <w:t>ثالثًا: نموذج العلاقات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Toc225314025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4C76D35" w14:textId="2A619D95" w:rsidR="00A92F38" w:rsidRDefault="00A92F38">
          <w:pPr>
            <w:pStyle w:val="TOC3"/>
            <w:tabs>
              <w:tab w:val="right" w:leader="dot" w:pos="8822"/>
            </w:tabs>
            <w:rPr>
              <w:rFonts w:eastAsiaTheme="minorEastAsia"/>
              <w:noProof/>
              <w:kern w:val="0"/>
              <w:rtl/>
              <w14:ligatures w14:val="none"/>
            </w:rPr>
          </w:pPr>
          <w:hyperlink w:anchor="_Toc225314026" w:history="1">
            <w:r w:rsidRPr="003D3380">
              <w:rPr>
                <w:rStyle w:val="Hyperlink"/>
                <w:noProof/>
                <w:rtl/>
              </w:rPr>
              <w:t>رابعًا: تحليل نقدي للفروض: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Toc225314026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1B56093" w14:textId="4279024D" w:rsidR="00A92F38" w:rsidRDefault="00A92F38">
          <w:pPr>
            <w:pStyle w:val="TOC3"/>
            <w:tabs>
              <w:tab w:val="right" w:leader="dot" w:pos="8822"/>
            </w:tabs>
            <w:rPr>
              <w:rFonts w:eastAsiaTheme="minorEastAsia"/>
              <w:noProof/>
              <w:kern w:val="0"/>
              <w:rtl/>
              <w14:ligatures w14:val="none"/>
            </w:rPr>
          </w:pPr>
          <w:hyperlink w:anchor="_Toc225314027" w:history="1">
            <w:r w:rsidRPr="003D3380">
              <w:rPr>
                <w:rStyle w:val="Hyperlink"/>
                <w:noProof/>
                <w:rtl/>
              </w:rPr>
              <w:t>خامسًا: الفرضيات الصفرية: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Toc225314027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646A479" w14:textId="6CDDAB41" w:rsidR="00A92F38" w:rsidRDefault="00A92F38">
          <w:pPr>
            <w:pStyle w:val="TOC2"/>
            <w:tabs>
              <w:tab w:val="right" w:leader="dot" w:pos="8822"/>
            </w:tabs>
            <w:rPr>
              <w:rFonts w:eastAsiaTheme="minorEastAsia"/>
              <w:noProof/>
              <w:kern w:val="0"/>
              <w:rtl/>
              <w14:ligatures w14:val="none"/>
            </w:rPr>
          </w:pPr>
          <w:hyperlink w:anchor="_Toc225314028" w:history="1">
            <w:r w:rsidRPr="003D3380">
              <w:rPr>
                <w:rStyle w:val="Hyperlink"/>
                <w:rFonts w:ascii="Sakkal Majalla" w:hAnsi="Sakkal Majalla" w:cs="Sakkal Majalla"/>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Toc225314028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F206ADB" w14:textId="6335915B" w:rsidR="00A92F38" w:rsidRDefault="00A92F38">
          <w:pPr>
            <w:pStyle w:val="TOC3"/>
            <w:tabs>
              <w:tab w:val="right" w:leader="dot" w:pos="8822"/>
            </w:tabs>
            <w:rPr>
              <w:rFonts w:eastAsiaTheme="minorEastAsia"/>
              <w:noProof/>
              <w:kern w:val="0"/>
              <w:rtl/>
              <w14:ligatures w14:val="none"/>
            </w:rPr>
          </w:pPr>
          <w:hyperlink w:anchor="_Toc225314029" w:history="1">
            <w:r w:rsidRPr="003D3380">
              <w:rPr>
                <w:rStyle w:val="Hyperlink"/>
                <w:noProof/>
                <w:rtl/>
              </w:rPr>
              <w:t>أولًا: الأساس النظري العام: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Toc225314029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9B04D8B" w14:textId="4E1F3C11" w:rsidR="00A92F38" w:rsidRDefault="00A92F38">
          <w:pPr>
            <w:pStyle w:val="TOC3"/>
            <w:tabs>
              <w:tab w:val="right" w:leader="dot" w:pos="8822"/>
            </w:tabs>
            <w:rPr>
              <w:rFonts w:eastAsiaTheme="minorEastAsia"/>
              <w:noProof/>
              <w:kern w:val="0"/>
              <w:rtl/>
              <w14:ligatures w14:val="none"/>
            </w:rPr>
          </w:pPr>
          <w:hyperlink w:anchor="_Toc225314030" w:history="1">
            <w:r w:rsidRPr="003D3380">
              <w:rPr>
                <w:rStyle w:val="Hyperlink"/>
                <w:noProof/>
                <w:rtl/>
              </w:rPr>
              <w:t>ثانيًا: نظرية التغيير المخطط: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Toc225314030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B9B9C40" w14:textId="51C1F027" w:rsidR="00A92F38" w:rsidRDefault="00A92F38">
          <w:pPr>
            <w:pStyle w:val="TOC3"/>
            <w:tabs>
              <w:tab w:val="right" w:leader="dot" w:pos="8822"/>
            </w:tabs>
            <w:rPr>
              <w:rFonts w:eastAsiaTheme="minorEastAsia"/>
              <w:noProof/>
              <w:kern w:val="0"/>
              <w:rtl/>
              <w14:ligatures w14:val="none"/>
            </w:rPr>
          </w:pPr>
          <w:hyperlink w:anchor="_Toc225314031" w:history="1">
            <w:r w:rsidRPr="003D3380">
              <w:rPr>
                <w:rStyle w:val="Hyperlink"/>
                <w:noProof/>
                <w:rtl/>
              </w:rPr>
              <w:t>ثالثًا: نموذج كوتر لإدارة 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Toc225314031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BC5F30E" w14:textId="4EE0992B" w:rsidR="00A92F38" w:rsidRDefault="00A92F38">
          <w:pPr>
            <w:pStyle w:val="TOC3"/>
            <w:tabs>
              <w:tab w:val="right" w:leader="dot" w:pos="8822"/>
            </w:tabs>
            <w:rPr>
              <w:rFonts w:eastAsiaTheme="minorEastAsia"/>
              <w:noProof/>
              <w:kern w:val="0"/>
              <w:rtl/>
              <w14:ligatures w14:val="none"/>
            </w:rPr>
          </w:pPr>
          <w:hyperlink w:anchor="_Toc225314032" w:history="1">
            <w:r w:rsidRPr="003D3380">
              <w:rPr>
                <w:rStyle w:val="Hyperlink"/>
                <w:noProof/>
                <w:rtl/>
              </w:rPr>
              <w:t>رابعًا: النظرية 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Toc225314032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40A3595" w14:textId="53CF49D8" w:rsidR="00A92F38" w:rsidRDefault="00A92F38">
          <w:pPr>
            <w:pStyle w:val="TOC3"/>
            <w:tabs>
              <w:tab w:val="right" w:leader="dot" w:pos="8822"/>
            </w:tabs>
            <w:rPr>
              <w:rFonts w:eastAsiaTheme="minorEastAsia"/>
              <w:noProof/>
              <w:kern w:val="0"/>
              <w:rtl/>
              <w14:ligatures w14:val="none"/>
            </w:rPr>
          </w:pPr>
          <w:hyperlink w:anchor="_Toc225314033" w:history="1">
            <w:r w:rsidRPr="003D3380">
              <w:rPr>
                <w:rStyle w:val="Hyperlink"/>
                <w:noProof/>
                <w:rtl/>
              </w:rPr>
              <w:t>خامسًا: نظرية القدرات الديناميكية: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Toc225314033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6B65246" w14:textId="129E8C94" w:rsidR="00A92F38" w:rsidRDefault="00A92F38">
          <w:pPr>
            <w:pStyle w:val="TOC3"/>
            <w:tabs>
              <w:tab w:val="right" w:leader="dot" w:pos="8822"/>
            </w:tabs>
            <w:rPr>
              <w:rFonts w:eastAsiaTheme="minorEastAsia"/>
              <w:noProof/>
              <w:kern w:val="0"/>
              <w:rtl/>
              <w14:ligatures w14:val="none"/>
            </w:rPr>
          </w:pPr>
          <w:hyperlink w:anchor="_Toc225314034" w:history="1">
            <w:r w:rsidRPr="003D3380">
              <w:rPr>
                <w:rStyle w:val="Hyperlink"/>
                <w:noProof/>
                <w:rtl/>
              </w:rPr>
              <w:t>سادسًا: نظرية الثقافة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Toc225314034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B7F034D" w14:textId="0B77A2F2" w:rsidR="00A92F38" w:rsidRDefault="00A92F38">
          <w:pPr>
            <w:pStyle w:val="TOC3"/>
            <w:tabs>
              <w:tab w:val="right" w:leader="dot" w:pos="8822"/>
            </w:tabs>
            <w:rPr>
              <w:rFonts w:eastAsiaTheme="minorEastAsia"/>
              <w:noProof/>
              <w:kern w:val="0"/>
              <w:rtl/>
              <w14:ligatures w14:val="none"/>
            </w:rPr>
          </w:pPr>
          <w:hyperlink w:anchor="_Toc225314035" w:history="1">
            <w:r w:rsidRPr="003D3380">
              <w:rPr>
                <w:rStyle w:val="Hyperlink"/>
                <w:noProof/>
                <w:rtl/>
              </w:rPr>
              <w:t>سابعًا: التكامل بين النظريات: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Toc225314035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2AE5977" w14:textId="3DB86172" w:rsidR="00A92F38" w:rsidRDefault="00A92F38">
          <w:pPr>
            <w:pStyle w:val="TOC1"/>
            <w:tabs>
              <w:tab w:val="right" w:leader="dot" w:pos="8822"/>
            </w:tabs>
            <w:rPr>
              <w:rFonts w:eastAsiaTheme="minorEastAsia"/>
              <w:noProof/>
              <w:kern w:val="0"/>
              <w:rtl/>
              <w14:ligatures w14:val="none"/>
            </w:rPr>
          </w:pPr>
          <w:hyperlink w:anchor="_Toc225314036" w:history="1">
            <w:r w:rsidRPr="003D3380">
              <w:rPr>
                <w:rStyle w:val="Hyperlink"/>
                <w:rFonts w:ascii="Sakkal Majalla" w:hAnsi="Sakkal Majalla" w:cs="Sakkal Majalla"/>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Toc225314036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5AB28C9" w14:textId="0FE9D794" w:rsidR="00A92F38" w:rsidRDefault="00A92F38">
          <w:pPr>
            <w:pStyle w:val="TOC1"/>
            <w:tabs>
              <w:tab w:val="right" w:leader="dot" w:pos="8822"/>
            </w:tabs>
            <w:rPr>
              <w:rFonts w:eastAsiaTheme="minorEastAsia"/>
              <w:noProof/>
              <w:kern w:val="0"/>
              <w:rtl/>
              <w14:ligatures w14:val="none"/>
            </w:rPr>
          </w:pPr>
          <w:hyperlink w:anchor="_Toc225314037" w:history="1">
            <w:r w:rsidRPr="003D3380">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Toc225314037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24878EB" w14:textId="0762FFB2" w:rsidR="00A92F38" w:rsidRDefault="00A92F38">
          <w:pPr>
            <w:pStyle w:val="TOC2"/>
            <w:tabs>
              <w:tab w:val="right" w:leader="dot" w:pos="8822"/>
            </w:tabs>
            <w:rPr>
              <w:rFonts w:eastAsiaTheme="minorEastAsia"/>
              <w:noProof/>
              <w:kern w:val="0"/>
              <w:rtl/>
              <w14:ligatures w14:val="none"/>
            </w:rPr>
          </w:pPr>
          <w:hyperlink w:anchor="_Toc225314038" w:history="1">
            <w:r w:rsidRPr="003D3380">
              <w:rPr>
                <w:rStyle w:val="Hyperlink"/>
                <w:rFonts w:ascii="Sakkal Majalla" w:hAnsi="Sakkal Majalla" w:cs="Sakkal Majall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Toc225314038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153974E" w14:textId="76E79D29" w:rsidR="00A92F38" w:rsidRDefault="00A92F38">
          <w:pPr>
            <w:pStyle w:val="TOC2"/>
            <w:tabs>
              <w:tab w:val="right" w:leader="dot" w:pos="8822"/>
            </w:tabs>
            <w:rPr>
              <w:rFonts w:eastAsiaTheme="minorEastAsia"/>
              <w:noProof/>
              <w:kern w:val="0"/>
              <w:rtl/>
              <w14:ligatures w14:val="none"/>
            </w:rPr>
          </w:pPr>
          <w:hyperlink w:anchor="_Toc225314039" w:history="1">
            <w:r w:rsidRPr="003D3380">
              <w:rPr>
                <w:rStyle w:val="Hyperlink"/>
                <w:rFonts w:ascii="Sakkal Majalla" w:hAnsi="Sakkal Majalla" w:cs="Sakkal Majalla"/>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Toc225314039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EE04D33" w14:textId="57674868" w:rsidR="00A92F38" w:rsidRDefault="00A92F38">
          <w:pPr>
            <w:pStyle w:val="TOC2"/>
            <w:tabs>
              <w:tab w:val="right" w:leader="dot" w:pos="8822"/>
            </w:tabs>
            <w:rPr>
              <w:rFonts w:eastAsiaTheme="minorEastAsia"/>
              <w:noProof/>
              <w:kern w:val="0"/>
              <w:rtl/>
              <w14:ligatures w14:val="none"/>
            </w:rPr>
          </w:pPr>
          <w:hyperlink w:anchor="_Toc225314040" w:history="1">
            <w:r w:rsidRPr="003D3380">
              <w:rPr>
                <w:rStyle w:val="Hyperlink"/>
                <w:rFonts w:ascii="Sakkal Majalla" w:hAnsi="Sakkal Majalla" w:cs="Sakkal Majalla"/>
                <w:noProof/>
                <w:rtl/>
              </w:rPr>
              <w:t>- التحليل العام للفجوة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Toc225314040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DAEEFEB" w14:textId="66965F33" w:rsidR="00D52480" w:rsidRPr="00A92F38" w:rsidRDefault="00EE6287" w:rsidP="00A92F38">
          <w:pPr>
            <w:rPr>
              <w:rtl/>
            </w:rPr>
          </w:pPr>
          <w:r>
            <w:rPr>
              <w:b/>
              <w:bCs/>
              <w:noProof/>
            </w:rPr>
            <w:fldChar w:fldCharType="end"/>
          </w:r>
        </w:p>
      </w:sdtContent>
    </w:sdt>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31CF1440" w:rsidR="00D52480" w:rsidRDefault="00D52480" w:rsidP="009125CE">
      <w:pPr>
        <w:rPr>
          <w:rFonts w:ascii="Sakkal Majalla" w:hAnsi="Sakkal Majalla" w:cs="Sakkal Majalla"/>
          <w:sz w:val="28"/>
          <w:szCs w:val="28"/>
          <w:u w:val="single"/>
          <w:rtl/>
          <w:lang w:bidi="ar-EG"/>
        </w:rPr>
      </w:pPr>
    </w:p>
    <w:p w14:paraId="7048A43A" w14:textId="2DD14221" w:rsidR="00A92F38" w:rsidRDefault="00A92F38" w:rsidP="009125CE">
      <w:pPr>
        <w:rPr>
          <w:rFonts w:ascii="Sakkal Majalla" w:hAnsi="Sakkal Majalla" w:cs="Sakkal Majalla"/>
          <w:sz w:val="28"/>
          <w:szCs w:val="28"/>
          <w:u w:val="single"/>
          <w:rtl/>
          <w:lang w:bidi="ar-EG"/>
        </w:rPr>
      </w:pPr>
    </w:p>
    <w:p w14:paraId="4FE2A59C" w14:textId="77777777" w:rsidR="00A92F38" w:rsidRDefault="00A92F38" w:rsidP="009125CE">
      <w:pPr>
        <w:rPr>
          <w:rFonts w:ascii="Sakkal Majalla" w:hAnsi="Sakkal Majalla" w:cs="Sakkal Majalla"/>
          <w:sz w:val="28"/>
          <w:szCs w:val="28"/>
          <w:u w:val="single"/>
          <w:rtl/>
          <w:lang w:bidi="ar-EG"/>
        </w:rPr>
      </w:pPr>
    </w:p>
    <w:p w14:paraId="58E0E162" w14:textId="77777777" w:rsidR="0032499B" w:rsidRDefault="0032499B" w:rsidP="009125CE">
      <w:pPr>
        <w:rPr>
          <w:rFonts w:ascii="Sakkal Majalla" w:hAnsi="Sakkal Majalla" w:cs="Sakkal Majalla"/>
          <w:sz w:val="28"/>
          <w:szCs w:val="28"/>
          <w:u w:val="single"/>
          <w:rtl/>
          <w:lang w:bidi="ar-EG"/>
        </w:rPr>
      </w:pPr>
    </w:p>
    <w:p w14:paraId="32DDC605" w14:textId="7A7B6FB9" w:rsidR="009125CE" w:rsidRPr="00EE6287" w:rsidRDefault="009125CE" w:rsidP="00EE6287">
      <w:pPr>
        <w:pStyle w:val="Heading2"/>
        <w:rPr>
          <w:rFonts w:ascii="Sakkal Majalla" w:hAnsi="Sakkal Majalla" w:cs="Sakkal Majalla"/>
          <w:color w:val="auto"/>
          <w:sz w:val="28"/>
          <w:szCs w:val="28"/>
          <w:u w:val="single"/>
        </w:rPr>
      </w:pPr>
      <w:bookmarkStart w:id="0" w:name="_Toc225314005"/>
      <w:r w:rsidRPr="00EE6287">
        <w:rPr>
          <w:rFonts w:ascii="Sakkal Majalla" w:hAnsi="Sakkal Majalla" w:cs="Sakkal Majalla" w:hint="cs"/>
          <w:color w:val="auto"/>
          <w:sz w:val="28"/>
          <w:szCs w:val="28"/>
          <w:u w:val="single"/>
          <w:rtl/>
          <w:lang w:bidi="ar-EG"/>
        </w:rPr>
        <w:lastRenderedPageBreak/>
        <w:t>المستخلص :</w:t>
      </w:r>
      <w:r w:rsidRPr="00EE6287">
        <w:rPr>
          <w:rFonts w:ascii="Sakkal Majalla" w:hAnsi="Sakkal Majalla" w:cs="Sakkal Majalla"/>
          <w:color w:val="auto"/>
          <w:sz w:val="28"/>
          <w:szCs w:val="28"/>
          <w:u w:val="single"/>
        </w:rPr>
        <w:t>Abstract</w:t>
      </w:r>
      <w:bookmarkEnd w:id="0"/>
      <w:r w:rsidRPr="00EE6287">
        <w:rPr>
          <w:rFonts w:ascii="Sakkal Majalla" w:hAnsi="Sakkal Majalla" w:cs="Sakkal Majalla"/>
          <w:color w:val="auto"/>
          <w:sz w:val="28"/>
          <w:szCs w:val="28"/>
          <w:u w:val="single"/>
        </w:rPr>
        <w:t xml:space="preserve"> </w:t>
      </w:r>
    </w:p>
    <w:p w14:paraId="61DEC419" w14:textId="658C98AB" w:rsidR="009841C0" w:rsidRPr="009841C0" w:rsidRDefault="009841C0" w:rsidP="009841C0">
      <w:pPr>
        <w:jc w:val="both"/>
        <w:rPr>
          <w:rFonts w:ascii="Calibri" w:hAnsi="Calibri" w:cs="Calibri"/>
          <w:kern w:val="0"/>
          <w14:ligatures w14:val="none"/>
        </w:rPr>
      </w:pPr>
      <w:r w:rsidRPr="009841C0">
        <w:rPr>
          <w:rFonts w:ascii="Calibri" w:hAnsi="Calibri" w:cs="Calibri" w:hint="cs"/>
          <w:kern w:val="0"/>
          <w:rtl/>
          <w14:ligatures w14:val="none"/>
        </w:rPr>
        <w:t>تتناول هذه الدراسة موضوع إدارة التغيير التنظيمي في سياق التحول الطاقي في قطاع النفط والغاز، في ظل التحديات المتزايدة المرتبطة بالاستدامة البيئية، وتقلبات الأسواق، واستمرار الطلب العالمي على الطاقة. وتتمثل مشكلة الدراسة في وجود فجوة واضحة بين الطروحات النظرية التي تفترض إمكانية تحقيق تحول طاقي سريع نحو مصادر الطاقة المتجددة، وبين الواقع التشغيلي الذي لا يزال يعتمد بشكل كبير على النفط والغاز كمصدرين رئيسيين للطاقة. كما تتفاقم هذه المشكلة نتيجة محدودية تطبيق ممارسات فعالة لإدارة التغيير التنظيمي داخل المؤسسات، مما يعيق قدرتها على التكيف مع متطلبات التحول.</w:t>
      </w:r>
    </w:p>
    <w:p w14:paraId="74294B76" w14:textId="5DC9CF7B" w:rsidR="009841C0" w:rsidRPr="009841C0" w:rsidRDefault="009841C0" w:rsidP="009841C0">
      <w:pPr>
        <w:jc w:val="both"/>
        <w:rPr>
          <w:rFonts w:ascii="Calibri" w:hAnsi="Calibri" w:cs="Calibri"/>
          <w:kern w:val="0"/>
          <w14:ligatures w14:val="none"/>
        </w:rPr>
      </w:pPr>
      <w:r w:rsidRPr="009841C0">
        <w:rPr>
          <w:rFonts w:ascii="Calibri" w:hAnsi="Calibri" w:cs="Calibri" w:hint="cs"/>
          <w:kern w:val="0"/>
          <w:rtl/>
          <w14:ligatures w14:val="none"/>
        </w:rPr>
        <w:t xml:space="preserve">وتنبع أهمية الدراسة من كونها تسلط الضوء على أحد أكثر التحولات تعقيدًا في الاقتصاد العالمي، حيث تجمع بين الأبعاد التقنية والاقتصادية والتنظيمية، وتسهم في تقديم إطار تحليلي يساعد المؤسسات على تحقيق توازن بين أهداف الاستدامة ومتطلبات أمن الطاقة والاستقرار الاقتصادي. كما تستند الدراسة إلى تقارير وتحليلات صادرة عن جهات دولية موثوقة مثل </w:t>
      </w:r>
      <w:r w:rsidRPr="009841C0">
        <w:rPr>
          <w:rFonts w:ascii="Calibri" w:hAnsi="Calibri" w:cs="Calibri"/>
          <w:kern w:val="0"/>
          <w14:ligatures w14:val="none"/>
        </w:rPr>
        <w:t>International Energy Agency</w:t>
      </w:r>
      <w:r w:rsidRPr="009841C0">
        <w:rPr>
          <w:rFonts w:ascii="Calibri" w:hAnsi="Calibri" w:cs="Calibri" w:hint="cs"/>
          <w:kern w:val="0"/>
          <w:rtl/>
          <w14:ligatures w14:val="none"/>
        </w:rPr>
        <w:t xml:space="preserve"> و</w:t>
      </w:r>
      <w:r w:rsidRPr="009841C0">
        <w:rPr>
          <w:rFonts w:ascii="Calibri" w:hAnsi="Calibri" w:cs="Calibri"/>
          <w:kern w:val="0"/>
          <w14:ligatures w14:val="none"/>
        </w:rPr>
        <w:t>International Renewable Energy Agency</w:t>
      </w:r>
      <w:r w:rsidRPr="009841C0">
        <w:rPr>
          <w:rFonts w:ascii="Calibri" w:hAnsi="Calibri" w:cs="Calibri" w:hint="cs"/>
          <w:kern w:val="0"/>
          <w:rtl/>
          <w14:ligatures w14:val="none"/>
        </w:rPr>
        <w:t>، مما يعزز من مصداقية نتائجها.</w:t>
      </w:r>
    </w:p>
    <w:p w14:paraId="25D7FE4B" w14:textId="22298916" w:rsidR="009841C0" w:rsidRPr="009841C0" w:rsidRDefault="009841C0" w:rsidP="009841C0">
      <w:pPr>
        <w:jc w:val="both"/>
        <w:rPr>
          <w:rFonts w:ascii="Calibri" w:hAnsi="Calibri" w:cs="Calibri"/>
          <w:kern w:val="0"/>
          <w14:ligatures w14:val="none"/>
        </w:rPr>
      </w:pPr>
      <w:r w:rsidRPr="009841C0">
        <w:rPr>
          <w:rFonts w:ascii="Calibri" w:hAnsi="Calibri" w:cs="Calibri" w:hint="cs"/>
          <w:kern w:val="0"/>
          <w:rtl/>
          <w14:ligatures w14:val="none"/>
        </w:rPr>
        <w:t xml:space="preserve">وتهدف الدراسة إلى تحليل طبيعة التحول الطاقي في قطاع النفط والغاز، وتحديد أبرز التحديات التي تواجه إدارة التغيير التنظيمي في هذا السياق، بالإضافة إلى تقييم استراتيجيات الشركات الكبرى مثل </w:t>
      </w:r>
      <w:r w:rsidRPr="009841C0">
        <w:rPr>
          <w:rFonts w:ascii="Calibri" w:hAnsi="Calibri" w:cs="Calibri"/>
          <w:kern w:val="0"/>
          <w14:ligatures w14:val="none"/>
        </w:rPr>
        <w:t>Saudi Aramco</w:t>
      </w:r>
      <w:r w:rsidRPr="009841C0">
        <w:rPr>
          <w:rFonts w:ascii="Calibri" w:hAnsi="Calibri" w:cs="Calibri" w:hint="cs"/>
          <w:kern w:val="0"/>
          <w:rtl/>
          <w14:ligatures w14:val="none"/>
        </w:rPr>
        <w:t>، واستكشاف النماذج الأكثر ملاءمة لإدارة هذا التحول في بيئة تتسم بدرجة عالية من عدم اليقين. وانطلقت الدراسة من مجموعة من التساؤلات البحثية التي تركزت حول طبيعة التحول، والتحديات المصاحبة له، ودور إدارة التغيير في تحقيقه، كما افترضت وجود علاقة ذات دلالة بين فعالية إدارة التغيير ونجاح التحول الطاقي، إضافة إلى تأثير العوامل الاقتصادية والتقنية على وتيرة هذا التحول.</w:t>
      </w:r>
    </w:p>
    <w:p w14:paraId="351D6940" w14:textId="2E7CDDF2" w:rsidR="009841C0" w:rsidRPr="009841C0" w:rsidRDefault="009841C0" w:rsidP="009841C0">
      <w:pPr>
        <w:jc w:val="both"/>
        <w:rPr>
          <w:rFonts w:ascii="Calibri" w:hAnsi="Calibri" w:cs="Calibri"/>
          <w:kern w:val="0"/>
          <w14:ligatures w14:val="none"/>
        </w:rPr>
      </w:pPr>
      <w:r w:rsidRPr="009841C0">
        <w:rPr>
          <w:rFonts w:ascii="Calibri" w:hAnsi="Calibri" w:cs="Calibri" w:hint="cs"/>
          <w:kern w:val="0"/>
          <w:rtl/>
          <w14:ligatures w14:val="none"/>
        </w:rPr>
        <w:t>واعتمدت الدراسة على المنهج الوصفي التحليلي، من خلال مراجعة الأدبيات العلمية، وتحليل تقارير دولية، ودراسة حالة تطبيقية لشركات كبرى في القطاع، إلى جانب تحليل نوعي لتصريحات القيادات التنفيذية، مثل تصريحات أمين الناصر، والتي تعكس توجهًا قائمًا على الواقعية التشغيلية في التعامل مع التحول الطاقي. وقد أظهرت نتائج الدراسة أن هذا التحول لا يتسم بالخطية أو السرعة المتوقعة، بل هو عملية تدريجية معقدة تتأثر بعوامل متعددة، من أبرزها التحديات الاقتصادية المرتبطة بارتفاع التكاليف، والتحديات التقنية مثل محدودية تقنيات التخزين، إضافة إلى استمرار نمو الطلب العالمي على الطاقة.</w:t>
      </w:r>
    </w:p>
    <w:p w14:paraId="0962F8FA" w14:textId="075B554C" w:rsidR="009841C0" w:rsidRPr="009841C0" w:rsidRDefault="009841C0" w:rsidP="009841C0">
      <w:pPr>
        <w:jc w:val="both"/>
        <w:rPr>
          <w:rFonts w:ascii="Calibri" w:hAnsi="Calibri" w:cs="Calibri"/>
          <w:kern w:val="0"/>
          <w14:ligatures w14:val="none"/>
        </w:rPr>
      </w:pPr>
      <w:r w:rsidRPr="009841C0">
        <w:rPr>
          <w:rFonts w:ascii="Calibri" w:hAnsi="Calibri" w:cs="Calibri" w:hint="cs"/>
          <w:kern w:val="0"/>
          <w:rtl/>
          <w14:ligatures w14:val="none"/>
        </w:rPr>
        <w:t>كما بينت النتائج وجود فجوة بين التوقعات النظرية والتطبيق العملي، حيث تميل الشركات الكبرى إلى تبني استراتيجيات متوازنة تجمع بين الاستمرار في استغلال الموارد التقليدية والاستثمار التدريجي في مصادر الطاقة الجديدة. وفي هذا السياق، تؤكد تصريحات أمين الناصر أن النفط والغاز سيظلان عنصرين أساسيين في مزيج الطاقة العالمي لعقود قادمة، وأن بعض السيناريوهات المتعلقة بالتحول الطاقي تفتقر إلى الواقعية، وهو ما يعزز من أهمية تبني نهج تدريجي قائم على إدارة المخاطر.</w:t>
      </w:r>
    </w:p>
    <w:p w14:paraId="690C103E" w14:textId="55E409EB" w:rsidR="009841C0" w:rsidRPr="009841C0" w:rsidRDefault="009841C0" w:rsidP="009841C0">
      <w:pPr>
        <w:jc w:val="both"/>
        <w:rPr>
          <w:rFonts w:ascii="Calibri" w:hAnsi="Calibri" w:cs="Calibri"/>
          <w:kern w:val="0"/>
          <w14:ligatures w14:val="none"/>
        </w:rPr>
      </w:pPr>
      <w:r w:rsidRPr="009841C0">
        <w:rPr>
          <w:rFonts w:ascii="Calibri" w:hAnsi="Calibri" w:cs="Calibri" w:hint="cs"/>
          <w:kern w:val="0"/>
          <w:rtl/>
          <w14:ligatures w14:val="none"/>
        </w:rPr>
        <w:t>وبناءً على هذه النتائج، توصي الدراسة بضرورة تبني نماذج مرنة لإدارة التغيير التنظيمي تعتمد على التحول التدريجي، وتعزز التكامل بين الاستدامة والأداء الاقتصادي، إلى جانب الاستثمار في تطوير مهارات القوى العاملة، وتعزيز القيادة التحويلية، وتبني استراتيجيات قائمة على السيناريوهات. كما تؤكد على أهمية الاستثمار في التقنيات منخفضة الكربون، وتحسين التنسيق بين السياسات الحكومية والاستراتيجيات المؤسسية، وتطوير مؤشرات أداء لقياس فعالية التغيير.</w:t>
      </w:r>
    </w:p>
    <w:p w14:paraId="0ED7FC4F" w14:textId="77777777" w:rsidR="009841C0" w:rsidRPr="009841C0" w:rsidRDefault="009841C0" w:rsidP="009841C0">
      <w:pPr>
        <w:jc w:val="both"/>
        <w:rPr>
          <w:rFonts w:ascii="Calibri" w:hAnsi="Calibri" w:cs="Calibri"/>
          <w:kern w:val="0"/>
          <w:rtl/>
          <w14:ligatures w14:val="none"/>
        </w:rPr>
      </w:pPr>
      <w:r w:rsidRPr="009841C0">
        <w:rPr>
          <w:rFonts w:ascii="Calibri" w:hAnsi="Calibri" w:cs="Calibri" w:hint="cs"/>
          <w:kern w:val="0"/>
          <w:rtl/>
          <w14:ligatures w14:val="none"/>
        </w:rPr>
        <w:t>وتخلص الدراسة إلى أن نجاح التحول الطاقي في قطاع النفط والغاز لا يعتمد فقط على الابتكار التكنولوجي، بل يرتبط بشكل وثيق بقدرة المؤسسات على إدارة التغيير التنظيمي بفعالية، في إطار يوازن بين الطموحات البيئية والواقع الاقتصادي، وهو ما يجعل من إدارة التغيير عنصرًا حاسمًا في تحقيق تحول طاقي مستدام وقابل للتطبيق</w:t>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0F1B2312" w14:textId="1F1D33F2" w:rsidR="00341C0D" w:rsidRDefault="00341C0D" w:rsidP="009125CE">
      <w:pPr>
        <w:rPr>
          <w:rFonts w:ascii="Sakkal Majalla" w:hAnsi="Sakkal Majalla" w:cs="Sakkal Majalla"/>
          <w:sz w:val="28"/>
          <w:szCs w:val="28"/>
          <w:u w:val="single"/>
        </w:rPr>
      </w:pPr>
    </w:p>
    <w:p w14:paraId="3E5E8C8D" w14:textId="4C42DB8F" w:rsidR="00341C0D" w:rsidRDefault="00341C0D" w:rsidP="009125CE">
      <w:pPr>
        <w:rPr>
          <w:rFonts w:ascii="Sakkal Majalla" w:hAnsi="Sakkal Majalla" w:cs="Sakkal Majalla"/>
          <w:sz w:val="28"/>
          <w:szCs w:val="28"/>
          <w:u w:val="single"/>
        </w:rPr>
      </w:pPr>
    </w:p>
    <w:p w14:paraId="3BEDCABA" w14:textId="77777777" w:rsidR="00341C0D" w:rsidRDefault="00341C0D"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EE6287" w:rsidRDefault="009125CE" w:rsidP="00EE6287">
      <w:pPr>
        <w:pStyle w:val="Heading1"/>
        <w:jc w:val="center"/>
        <w:rPr>
          <w:rFonts w:ascii="Sakkal Majalla" w:hAnsi="Sakkal Majalla" w:cs="Sakkal Majalla"/>
          <w:b/>
          <w:bCs/>
          <w:color w:val="auto"/>
          <w:sz w:val="48"/>
          <w:szCs w:val="48"/>
          <w:u w:val="single"/>
          <w:rtl/>
        </w:rPr>
      </w:pPr>
      <w:bookmarkStart w:id="1" w:name="_Toc225314006"/>
      <w:r w:rsidRPr="00EE6287">
        <w:rPr>
          <w:rFonts w:ascii="Sakkal Majalla" w:hAnsi="Sakkal Majalla" w:cs="Sakkal Majalla" w:hint="cs"/>
          <w:b/>
          <w:bCs/>
          <w:color w:val="auto"/>
          <w:sz w:val="48"/>
          <w:szCs w:val="48"/>
          <w:u w:val="single"/>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44DB923D" w14:textId="1EA78D1F" w:rsidR="009125CE" w:rsidRPr="00EE6287" w:rsidRDefault="009125CE" w:rsidP="00EE6287">
      <w:pPr>
        <w:pStyle w:val="Heading2"/>
        <w:rPr>
          <w:rFonts w:ascii="Sakkal Majalla" w:hAnsi="Sakkal Majalla" w:cs="Sakkal Majalla"/>
          <w:color w:val="auto"/>
          <w:sz w:val="28"/>
          <w:szCs w:val="28"/>
          <w:u w:val="single"/>
          <w:rtl/>
        </w:rPr>
      </w:pPr>
      <w:bookmarkStart w:id="2" w:name="_Toc225314007"/>
      <w:r w:rsidRPr="00EE6287">
        <w:rPr>
          <w:rFonts w:ascii="Sakkal Majalla" w:hAnsi="Sakkal Majalla" w:cs="Sakkal Majalla" w:hint="cs"/>
          <w:color w:val="auto"/>
          <w:sz w:val="28"/>
          <w:szCs w:val="28"/>
          <w:u w:val="single"/>
          <w:rtl/>
        </w:rPr>
        <w:lastRenderedPageBreak/>
        <w:t>المقدمة:</w:t>
      </w:r>
      <w:bookmarkEnd w:id="2"/>
    </w:p>
    <w:p w14:paraId="753E0AA6" w14:textId="2AA17E46" w:rsidR="00EE6287" w:rsidRPr="009841C0" w:rsidRDefault="00EE6287" w:rsidP="009841C0">
      <w:pPr>
        <w:jc w:val="both"/>
        <w:rPr>
          <w:rFonts w:ascii="Calibri" w:hAnsi="Calibri" w:cs="Calibri"/>
          <w:kern w:val="0"/>
          <w:rtl/>
          <w14:ligatures w14:val="none"/>
        </w:rPr>
      </w:pPr>
      <w:r w:rsidRPr="009841C0">
        <w:rPr>
          <w:rFonts w:ascii="Calibri" w:hAnsi="Calibri" w:cs="Calibri"/>
          <w:kern w:val="0"/>
          <w:rtl/>
          <w14:ligatures w14:val="none"/>
        </w:rPr>
        <w:t>تُعد مرحلة التحول الطاقي التي يشهدها العالم في الوقت الحالي من أبرز التحديات الاستراتيجية التي تواجه قطاع النفط والغاز، حيث تتسارع وتيرة التغيرات على المستوى العالمي نحو اعتماد مصادر طاقة نظيفة ومستدامة، والحد من الانبعاثات الكربونية، والتحول نحو نماذج أعمال منخفضة الكربون. وقد فرضت هذه التحولات ضغوطًا كبيرة على شركات النفط والغاز، مما اضطرها إلى إعادة النظر في نماذج عملها التقليدية، وتطوير استراتيجيات جديدة تمكنها من التكيف مع البيئة الطاقية المتغيرة. وفي هذا السياق، لم يعد التحول الطاقي يقتصر فقط على التحول التكنولوجي أو المالي، بل أصبح يشمل بُعدًا تنظيميًا وإنسانيًا أساسيًا</w:t>
      </w:r>
      <w:r w:rsidR="004B288D" w:rsidRPr="009841C0">
        <w:rPr>
          <w:rFonts w:ascii="Calibri" w:hAnsi="Calibri" w:cs="Calibri" w:hint="cs"/>
          <w:kern w:val="0"/>
          <w:rtl/>
          <w14:ligatures w14:val="none"/>
        </w:rPr>
        <w:t>.</w:t>
      </w:r>
    </w:p>
    <w:p w14:paraId="682B6D4D" w14:textId="2615BA86" w:rsidR="00EE6287" w:rsidRPr="009841C0" w:rsidRDefault="00EE6287" w:rsidP="009841C0">
      <w:pPr>
        <w:jc w:val="both"/>
        <w:rPr>
          <w:rFonts w:ascii="Calibri" w:hAnsi="Calibri" w:cs="Calibri"/>
          <w:kern w:val="0"/>
          <w:rtl/>
          <w14:ligatures w14:val="none"/>
        </w:rPr>
      </w:pPr>
      <w:r w:rsidRPr="009841C0">
        <w:rPr>
          <w:rFonts w:ascii="Calibri" w:hAnsi="Calibri" w:cs="Calibri"/>
          <w:kern w:val="0"/>
          <w:rtl/>
          <w14:ligatures w14:val="none"/>
        </w:rPr>
        <w:t>إن نجاح التحول الطاقي لا يعتمد فقط على الابتكار التكنولوجي أو التزام الشركات بالمعايير البيئية، بل يرتبط بشكل مباشر بقدرة المنظمة على إدارة التغيير التنظيمي بفعالية. فالتغيير التنظيمي في هذا السياق لا يطال فقط الهياكل الإدارية والعمليات</w:t>
      </w:r>
      <w:r w:rsidRPr="009841C0">
        <w:rPr>
          <w:rFonts w:ascii="Calibri" w:hAnsi="Calibri" w:cs="Calibri" w:hint="cs"/>
          <w:kern w:val="0"/>
          <w:rtl/>
          <w14:ligatures w14:val="none"/>
        </w:rPr>
        <w:t xml:space="preserve"> </w:t>
      </w:r>
      <w:r w:rsidRPr="009841C0">
        <w:rPr>
          <w:rFonts w:ascii="Calibri" w:hAnsi="Calibri" w:cs="Calibri"/>
          <w:kern w:val="0"/>
          <w:rtl/>
          <w14:ligatures w14:val="none"/>
        </w:rPr>
        <w:t>التشغيلية، بل يمتد إلى السلوك الوظيفي للموظفين، والثقافة المؤسسية السائدة، وقدرة القيادة على توجيه عملية التغيير. وفي ظل هذه التحولات، تظهر مقاومة الموظفين كواحدة من أبرز التحديات التي قد تعرقل تنفيذ التحول الطاقي، في حين أن تكيّفهم مع متطلبات التغيير يُعد مفتاحًا أساسيًا للنجاح</w:t>
      </w:r>
      <w:r w:rsidR="004B288D" w:rsidRPr="009841C0">
        <w:rPr>
          <w:rFonts w:ascii="Calibri" w:hAnsi="Calibri" w:cs="Calibri" w:hint="cs"/>
          <w:kern w:val="0"/>
          <w:rtl/>
          <w14:ligatures w14:val="none"/>
        </w:rPr>
        <w:t>.</w:t>
      </w:r>
    </w:p>
    <w:p w14:paraId="650D0B7F" w14:textId="77777777" w:rsidR="00EE6287" w:rsidRPr="009841C0" w:rsidRDefault="00EE6287" w:rsidP="009841C0">
      <w:pPr>
        <w:jc w:val="both"/>
        <w:rPr>
          <w:rFonts w:ascii="Calibri" w:hAnsi="Calibri" w:cs="Calibri"/>
          <w:kern w:val="0"/>
          <w:rtl/>
          <w14:ligatures w14:val="none"/>
        </w:rPr>
      </w:pPr>
      <w:r w:rsidRPr="009841C0">
        <w:rPr>
          <w:rFonts w:ascii="Calibri" w:hAnsi="Calibri" w:cs="Calibri"/>
          <w:kern w:val="0"/>
          <w:rtl/>
          <w14:ligatures w14:val="none"/>
        </w:rPr>
        <w:t>لذلك، يركّز هذا البحث على دراسة أبعاد التغيير التنظيمي في سياق التحول الطاقي داخل شركات النفط والغاز، مع التركيز على استجابة الموظفين للتغيير، وتحديد العوامل المؤثرة في مستوى التكيف أو المقاومة. كما يسعى البحث إلى تحليل دور القيادة، والتدريب، والثقافة التنظيمية في تعزيز قبول التغيير ودعم الموظفين في مواجهة التحديات المرتبطة بالتحول الطاقي. ويُعد هذا الفهم العميق لعوامل النجاح في إدارة التغيير التنظيمي ضروريًا لبناء منظمة مرنة وقادرة على التكيف مع المتطلبات المستقبلية للقطاع الطاقي العالمي.</w:t>
      </w:r>
    </w:p>
    <w:p w14:paraId="4F2CF6D3" w14:textId="77777777" w:rsidR="009125CE" w:rsidRPr="009125CE" w:rsidRDefault="009125CE" w:rsidP="009125CE">
      <w:pPr>
        <w:rPr>
          <w:rFonts w:ascii="Sakkal Majalla" w:hAnsi="Sakkal Majalla" w:cs="Sakkal Majalla"/>
          <w:sz w:val="28"/>
          <w:szCs w:val="28"/>
          <w:rtl/>
          <w:lang w:bidi="ar-EG"/>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85F851E" w14:textId="2C8709E1" w:rsidR="009125CE" w:rsidRDefault="009125CE" w:rsidP="009125CE">
      <w:pPr>
        <w:rPr>
          <w:rFonts w:ascii="Sakkal Majalla" w:hAnsi="Sakkal Majalla" w:cs="Sakkal Majalla"/>
          <w:sz w:val="28"/>
          <w:szCs w:val="28"/>
        </w:rPr>
      </w:pPr>
    </w:p>
    <w:p w14:paraId="5392BB14" w14:textId="77777777" w:rsidR="00341C0D" w:rsidRDefault="00341C0D" w:rsidP="009125CE">
      <w:pPr>
        <w:rPr>
          <w:rFonts w:ascii="Sakkal Majalla" w:hAnsi="Sakkal Majalla" w:cs="Sakkal Majalla"/>
          <w:sz w:val="28"/>
          <w:szCs w:val="28"/>
          <w:rtl/>
        </w:rPr>
      </w:pPr>
    </w:p>
    <w:p w14:paraId="14629E77" w14:textId="285D56E3" w:rsidR="006629A2" w:rsidRDefault="006629A2" w:rsidP="009125CE">
      <w:pPr>
        <w:rPr>
          <w:rFonts w:ascii="Sakkal Majalla" w:hAnsi="Sakkal Majalla" w:cs="Sakkal Majalla"/>
          <w:sz w:val="28"/>
          <w:szCs w:val="28"/>
          <w:rtl/>
        </w:rPr>
      </w:pPr>
    </w:p>
    <w:p w14:paraId="1FDB0621" w14:textId="3086D44A" w:rsidR="009841C0" w:rsidRDefault="009841C0" w:rsidP="009125CE">
      <w:pPr>
        <w:rPr>
          <w:rFonts w:ascii="Sakkal Majalla" w:hAnsi="Sakkal Majalla" w:cs="Sakkal Majalla"/>
          <w:sz w:val="28"/>
          <w:szCs w:val="28"/>
          <w:rtl/>
        </w:rPr>
      </w:pPr>
    </w:p>
    <w:p w14:paraId="3F8AEC7B" w14:textId="4F9EFD1B" w:rsidR="009841C0" w:rsidRDefault="009841C0" w:rsidP="009125CE">
      <w:pPr>
        <w:rPr>
          <w:rFonts w:ascii="Sakkal Majalla" w:hAnsi="Sakkal Majalla" w:cs="Sakkal Majalla"/>
          <w:sz w:val="28"/>
          <w:szCs w:val="28"/>
          <w:rtl/>
        </w:rPr>
      </w:pPr>
    </w:p>
    <w:p w14:paraId="2160C728" w14:textId="18C514E9" w:rsidR="009841C0" w:rsidRDefault="009841C0" w:rsidP="009125CE">
      <w:pPr>
        <w:rPr>
          <w:rFonts w:ascii="Sakkal Majalla" w:hAnsi="Sakkal Majalla" w:cs="Sakkal Majalla"/>
          <w:sz w:val="28"/>
          <w:szCs w:val="28"/>
          <w:rtl/>
        </w:rPr>
      </w:pPr>
    </w:p>
    <w:p w14:paraId="5BBFFE24" w14:textId="6F85A090" w:rsidR="009841C0" w:rsidRDefault="009841C0" w:rsidP="009125CE">
      <w:pPr>
        <w:rPr>
          <w:rFonts w:ascii="Sakkal Majalla" w:hAnsi="Sakkal Majalla" w:cs="Sakkal Majalla"/>
          <w:sz w:val="28"/>
          <w:szCs w:val="28"/>
          <w:rtl/>
        </w:rPr>
      </w:pPr>
    </w:p>
    <w:p w14:paraId="746DAD52" w14:textId="77777777" w:rsidR="009841C0" w:rsidRDefault="009841C0" w:rsidP="009125CE">
      <w:pPr>
        <w:rPr>
          <w:rFonts w:ascii="Sakkal Majalla" w:hAnsi="Sakkal Majalla" w:cs="Sakkal Majalla"/>
          <w:sz w:val="28"/>
          <w:szCs w:val="28"/>
          <w:rtl/>
        </w:rPr>
      </w:pPr>
    </w:p>
    <w:p w14:paraId="0575DFE5" w14:textId="77777777" w:rsidR="00E81858" w:rsidRPr="009125CE" w:rsidRDefault="00E81858" w:rsidP="009125CE">
      <w:pPr>
        <w:rPr>
          <w:rFonts w:ascii="Sakkal Majalla" w:hAnsi="Sakkal Majalla" w:cs="Sakkal Majalla"/>
          <w:sz w:val="28"/>
          <w:szCs w:val="28"/>
          <w:rtl/>
        </w:rPr>
      </w:pPr>
    </w:p>
    <w:p w14:paraId="59041654" w14:textId="2590ACA8" w:rsidR="00D22171" w:rsidRPr="00EE6287" w:rsidRDefault="00D22171" w:rsidP="00EE6287">
      <w:pPr>
        <w:pStyle w:val="Heading2"/>
        <w:rPr>
          <w:rFonts w:ascii="Sakkal Majalla" w:hAnsi="Sakkal Majalla" w:cs="Sakkal Majalla"/>
          <w:color w:val="auto"/>
          <w:sz w:val="28"/>
          <w:szCs w:val="28"/>
          <w:u w:val="single"/>
          <w:rtl/>
        </w:rPr>
      </w:pPr>
      <w:bookmarkStart w:id="3" w:name="_Toc225314008"/>
      <w:r w:rsidRPr="00EE6287">
        <w:rPr>
          <w:rFonts w:ascii="Sakkal Majalla" w:hAnsi="Sakkal Majalla" w:cs="Sakkal Majalla" w:hint="cs"/>
          <w:color w:val="auto"/>
          <w:sz w:val="28"/>
          <w:szCs w:val="28"/>
          <w:u w:val="single"/>
          <w:rtl/>
        </w:rPr>
        <w:lastRenderedPageBreak/>
        <w:t>-</w:t>
      </w:r>
      <w:r w:rsidRPr="00EE6287">
        <w:rPr>
          <w:rFonts w:ascii="Sakkal Majalla" w:hAnsi="Sakkal Majalla" w:cs="Sakkal Majalla"/>
          <w:color w:val="auto"/>
          <w:sz w:val="28"/>
          <w:szCs w:val="28"/>
          <w:u w:val="single"/>
          <w:rtl/>
        </w:rPr>
        <w:t>مشكلة الدراسة.</w:t>
      </w:r>
      <w:bookmarkEnd w:id="3"/>
      <w:r w:rsidRPr="00EE6287">
        <w:rPr>
          <w:rFonts w:ascii="Sakkal Majalla" w:hAnsi="Sakkal Majalla" w:cs="Sakkal Majalla"/>
          <w:color w:val="auto"/>
          <w:sz w:val="28"/>
          <w:szCs w:val="28"/>
          <w:u w:val="single"/>
          <w:rtl/>
        </w:rPr>
        <w:t xml:space="preserve"> </w:t>
      </w:r>
    </w:p>
    <w:p w14:paraId="26C18198" w14:textId="7EF1884E" w:rsidR="003014B3" w:rsidRDefault="003014B3" w:rsidP="003014B3">
      <w:pPr>
        <w:jc w:val="both"/>
        <w:rPr>
          <w:rFonts w:ascii="Calibri" w:hAnsi="Calibri" w:cs="Calibri"/>
          <w:kern w:val="0"/>
          <w:rtl/>
          <w14:ligatures w14:val="none"/>
        </w:rPr>
      </w:pPr>
      <w:r w:rsidRPr="003014B3">
        <w:rPr>
          <w:rFonts w:ascii="Calibri" w:hAnsi="Calibri" w:cs="Calibri" w:hint="cs"/>
          <w:kern w:val="0"/>
          <w:rtl/>
          <w14:ligatures w14:val="none"/>
        </w:rPr>
        <w:t xml:space="preserve">يشهد قطاع النفط والغاز تحولًا جذريًا مدفوعًا بضغوط متعددة الأبعاد، تشمل الالتزامات العالمية للحد من الانبعاثات الكربونية، والتطورات التكنولوجية المتسارعة، وتغير أنماط الطلب على الطاقة. ويُشار إلى هذا التحول في الأدبيات العلمية بمصطلح </w:t>
      </w:r>
      <w:r w:rsidRPr="003014B3">
        <w:rPr>
          <w:rFonts w:ascii="Calibri" w:hAnsi="Calibri" w:cs="Calibri"/>
          <w:kern w:val="0"/>
          <w14:ligatures w14:val="none"/>
        </w:rPr>
        <w:t>Energy Transition</w:t>
      </w:r>
      <w:r w:rsidRPr="003014B3">
        <w:rPr>
          <w:rFonts w:ascii="Calibri" w:hAnsi="Calibri" w:cs="Calibri" w:hint="cs"/>
          <w:kern w:val="0"/>
          <w:rtl/>
          <w14:ligatures w14:val="none"/>
        </w:rPr>
        <w:t>، والذي يتطلب من المؤسسات النفطية إعادة تشكيل نماذج أعمالها، واستراتيجياتها التشغيلية، وهياكلها التنظيمية. وفقًا لتقارير</w:t>
      </w:r>
      <w:r>
        <w:rPr>
          <w:rFonts w:ascii="Calibri" w:hAnsi="Calibri" w:cs="Calibri" w:hint="cs"/>
          <w:kern w:val="0"/>
          <w:rtl/>
          <w14:ligatures w14:val="none"/>
        </w:rPr>
        <w:t xml:space="preserve"> وكالات الطاقة العالمية</w:t>
      </w:r>
      <w:r w:rsidRPr="003014B3">
        <w:rPr>
          <w:rFonts w:ascii="Calibri" w:hAnsi="Calibri" w:cs="Calibri" w:hint="cs"/>
          <w:kern w:val="0"/>
          <w:rtl/>
          <w14:ligatures w14:val="none"/>
        </w:rPr>
        <w:t>، فإن التحول نحو الطاقة منخفضة الكربون لم يعد خيارًا استراتيجيًا مؤجلًا، بل ضرورة حتمية لضمان الاستدامة والتنافسية في السوق العالمية.</w:t>
      </w:r>
    </w:p>
    <w:p w14:paraId="130711DF" w14:textId="77777777" w:rsidR="00DD133D" w:rsidRPr="003014B3" w:rsidRDefault="00DD133D" w:rsidP="003014B3">
      <w:pPr>
        <w:jc w:val="both"/>
        <w:rPr>
          <w:rFonts w:ascii="Calibri" w:hAnsi="Calibri" w:cs="Calibri"/>
          <w:kern w:val="0"/>
          <w14:ligatures w14:val="none"/>
        </w:rPr>
      </w:pPr>
    </w:p>
    <w:p w14:paraId="7C80F91C" w14:textId="11456378" w:rsidR="003014B3" w:rsidRDefault="003014B3" w:rsidP="003014B3">
      <w:pPr>
        <w:jc w:val="both"/>
        <w:rPr>
          <w:rFonts w:ascii="Calibri" w:hAnsi="Calibri" w:cs="Calibri"/>
          <w:kern w:val="0"/>
          <w:rtl/>
          <w14:ligatures w14:val="none"/>
        </w:rPr>
      </w:pPr>
      <w:r w:rsidRPr="003014B3">
        <w:rPr>
          <w:rFonts w:ascii="Calibri" w:hAnsi="Calibri" w:cs="Calibri" w:hint="cs"/>
          <w:kern w:val="0"/>
          <w:rtl/>
          <w14:ligatures w14:val="none"/>
        </w:rPr>
        <w:t xml:space="preserve">على الرغم من وضوح الاتجاه العام نحو التحول الطاقي، إلا أن التحدي الحقيقي لا يكمن فقط في تبني تقنيات جديدة أو تنويع مصادر الطاقة، بل في إدارة التغيير التنظيمي المصاحب لهذا التحول. فالتغيير التنظيمي في هذا السياق يتجاوز التعديلات الهيكلية التقليدية ليشمل تحولات عميقة في الثقافة المؤسسية، وأنماط القيادة، وسلوكيات الأفراد، وآليات اتخاذ القرار. وتشير أدبيات </w:t>
      </w:r>
      <w:r w:rsidRPr="003014B3">
        <w:rPr>
          <w:rFonts w:ascii="Calibri" w:hAnsi="Calibri" w:cs="Calibri"/>
          <w:kern w:val="0"/>
          <w14:ligatures w14:val="none"/>
        </w:rPr>
        <w:t>Organizational Change Management</w:t>
      </w:r>
      <w:r w:rsidRPr="003014B3">
        <w:rPr>
          <w:rFonts w:ascii="Calibri" w:hAnsi="Calibri" w:cs="Calibri" w:hint="cs"/>
          <w:kern w:val="0"/>
          <w:rtl/>
          <w14:ligatures w14:val="none"/>
        </w:rPr>
        <w:t xml:space="preserve"> إلى أن نسبة كبيرة من مبادرات التغيير تفشل بسبب ضعف التخطيط، أو مقاومة التغيير من قبل العاملين، أو غياب الرؤية الاستراتيجية الواضحة.</w:t>
      </w:r>
    </w:p>
    <w:p w14:paraId="2E05A2B3" w14:textId="77777777" w:rsidR="00DD133D" w:rsidRPr="003014B3" w:rsidRDefault="00DD133D" w:rsidP="003014B3">
      <w:pPr>
        <w:jc w:val="both"/>
        <w:rPr>
          <w:rFonts w:ascii="Calibri" w:hAnsi="Calibri" w:cs="Calibri"/>
          <w:kern w:val="0"/>
          <w14:ligatures w14:val="none"/>
        </w:rPr>
      </w:pPr>
    </w:p>
    <w:p w14:paraId="7AE1A5CC" w14:textId="77777777" w:rsidR="003014B3" w:rsidRPr="003014B3" w:rsidRDefault="003014B3" w:rsidP="003014B3">
      <w:pPr>
        <w:jc w:val="both"/>
        <w:rPr>
          <w:rFonts w:ascii="Calibri" w:hAnsi="Calibri" w:cs="Calibri"/>
          <w:kern w:val="0"/>
          <w:rtl/>
          <w14:ligatures w14:val="none"/>
        </w:rPr>
      </w:pPr>
      <w:r w:rsidRPr="003014B3">
        <w:rPr>
          <w:rFonts w:ascii="Calibri" w:hAnsi="Calibri" w:cs="Calibri" w:hint="cs"/>
          <w:kern w:val="0"/>
          <w:rtl/>
          <w14:ligatures w14:val="none"/>
        </w:rPr>
        <w:t>تنبع مشكلة الدراسة من وجود فجوة واضحة بين الطموحات الاستراتيجية لشركات النفط والغاز في التكيف مع التحول الطاقي، وبين قدرتها الفعلية على تنفيذ تغييرات تنظيمية فعالة ومستدامة. هذه الفجوة تتجلى في عدة مظاهر، من أبرزها:</w:t>
      </w:r>
    </w:p>
    <w:p w14:paraId="3DA2826A" w14:textId="77777777" w:rsidR="003014B3" w:rsidRPr="003014B3" w:rsidRDefault="003014B3" w:rsidP="003014B3">
      <w:pPr>
        <w:jc w:val="both"/>
        <w:rPr>
          <w:rFonts w:ascii="Calibri" w:hAnsi="Calibri" w:cs="Calibri"/>
          <w:kern w:val="0"/>
          <w14:ligatures w14:val="none"/>
        </w:rPr>
      </w:pPr>
      <w:r w:rsidRPr="003014B3">
        <w:rPr>
          <w:rFonts w:ascii="Calibri" w:hAnsi="Calibri" w:cs="Calibri" w:hint="cs"/>
          <w:b/>
          <w:bCs/>
          <w:kern w:val="0"/>
          <w:rtl/>
          <w14:ligatures w14:val="none"/>
        </w:rPr>
        <w:t>مقاومة التغيير التنظيمي:</w:t>
      </w:r>
      <w:r w:rsidRPr="003014B3">
        <w:rPr>
          <w:rFonts w:ascii="Calibri" w:hAnsi="Calibri" w:cs="Calibri" w:hint="cs"/>
          <w:kern w:val="0"/>
          <w:rtl/>
          <w14:ligatures w14:val="none"/>
        </w:rPr>
        <w:t xml:space="preserve"> حيث يواجه العاملون، خصوصًا في المؤسسات ذات التاريخ الطويل في الاعتماد على الوقود الأحفوري، صعوبة في تقبل التحول نحو نماذج عمل جديدة. ويرتبط ذلك بالخوف من فقدان الوظائف، أو نقص المهارات اللازمة للعمل في مجالات الطاقة النظيفة.</w:t>
      </w:r>
    </w:p>
    <w:p w14:paraId="1E71E75D" w14:textId="77777777" w:rsidR="003014B3" w:rsidRPr="003014B3" w:rsidRDefault="003014B3" w:rsidP="003014B3">
      <w:pPr>
        <w:jc w:val="both"/>
        <w:rPr>
          <w:rFonts w:ascii="Calibri" w:hAnsi="Calibri" w:cs="Calibri"/>
          <w:kern w:val="0"/>
          <w:rtl/>
          <w14:ligatures w14:val="none"/>
        </w:rPr>
      </w:pPr>
      <w:r w:rsidRPr="003014B3">
        <w:rPr>
          <w:rFonts w:ascii="Calibri" w:hAnsi="Calibri" w:cs="Calibri" w:hint="cs"/>
          <w:b/>
          <w:bCs/>
          <w:kern w:val="0"/>
          <w:rtl/>
          <w14:ligatures w14:val="none"/>
        </w:rPr>
        <w:t>قصور في القيادة التحويلية:</w:t>
      </w:r>
      <w:r w:rsidRPr="003014B3">
        <w:rPr>
          <w:rFonts w:ascii="Calibri" w:hAnsi="Calibri" w:cs="Calibri" w:hint="cs"/>
          <w:kern w:val="0"/>
          <w:rtl/>
          <w14:ligatures w14:val="none"/>
        </w:rPr>
        <w:t xml:space="preserve"> حيث تفتقر بعض القيادات إلى القدرة على تحفيز الموظفين وتوجيههم خلال فترات التحول المعقدة، مما يؤدي إلى ضعف في تنفيذ استراتيجيات التغيير.</w:t>
      </w:r>
    </w:p>
    <w:p w14:paraId="12C59FDF" w14:textId="77777777" w:rsidR="003014B3" w:rsidRPr="003014B3" w:rsidRDefault="003014B3" w:rsidP="003014B3">
      <w:pPr>
        <w:jc w:val="both"/>
        <w:rPr>
          <w:rFonts w:ascii="Calibri" w:hAnsi="Calibri" w:cs="Calibri"/>
          <w:kern w:val="0"/>
          <w:rtl/>
          <w14:ligatures w14:val="none"/>
        </w:rPr>
      </w:pPr>
      <w:r w:rsidRPr="003014B3">
        <w:rPr>
          <w:rFonts w:ascii="Calibri" w:hAnsi="Calibri" w:cs="Calibri" w:hint="cs"/>
          <w:b/>
          <w:bCs/>
          <w:kern w:val="0"/>
          <w:rtl/>
          <w14:ligatures w14:val="none"/>
        </w:rPr>
        <w:t>عدم مواءمة الهياكل التنظيمية:</w:t>
      </w:r>
      <w:r w:rsidRPr="003014B3">
        <w:rPr>
          <w:rFonts w:ascii="Calibri" w:hAnsi="Calibri" w:cs="Calibri" w:hint="cs"/>
          <w:kern w:val="0"/>
          <w:rtl/>
          <w14:ligatures w14:val="none"/>
        </w:rPr>
        <w:t xml:space="preserve"> حيث تبقى العديد من الشركات تعمل بهياكل تقليدية لا تتناسب مع متطلبات الابتكار والمرونة التي يفرضها التحول الطاقي.</w:t>
      </w:r>
    </w:p>
    <w:p w14:paraId="1A98EACA" w14:textId="293F7808" w:rsidR="003014B3" w:rsidRDefault="003014B3" w:rsidP="003014B3">
      <w:pPr>
        <w:jc w:val="both"/>
        <w:rPr>
          <w:rFonts w:ascii="Calibri" w:hAnsi="Calibri" w:cs="Calibri"/>
          <w:kern w:val="0"/>
          <w:rtl/>
          <w14:ligatures w14:val="none"/>
        </w:rPr>
      </w:pPr>
      <w:r w:rsidRPr="003014B3">
        <w:rPr>
          <w:rFonts w:ascii="Calibri" w:hAnsi="Calibri" w:cs="Calibri" w:hint="cs"/>
          <w:b/>
          <w:bCs/>
          <w:kern w:val="0"/>
          <w:rtl/>
          <w14:ligatures w14:val="none"/>
        </w:rPr>
        <w:t>فجوات المهارات والكفاءات:</w:t>
      </w:r>
      <w:r w:rsidRPr="003014B3">
        <w:rPr>
          <w:rFonts w:ascii="Calibri" w:hAnsi="Calibri" w:cs="Calibri" w:hint="cs"/>
          <w:kern w:val="0"/>
          <w:rtl/>
          <w14:ligatures w14:val="none"/>
        </w:rPr>
        <w:t xml:space="preserve"> إذ يتطلب التحول إلى الطاقة النظيفة مهارات جديدة في مجالات مثل الطاقة المتجددة، والرقمنة، وإدارة البيانات، وهي مهارات قد لا تكون متوفرة بشكل كافٍ لدى القوى العاملة الحالية.</w:t>
      </w:r>
    </w:p>
    <w:p w14:paraId="02EC9DEE" w14:textId="77777777" w:rsidR="00DD133D" w:rsidRPr="003014B3" w:rsidRDefault="00DD133D" w:rsidP="003014B3">
      <w:pPr>
        <w:jc w:val="both"/>
        <w:rPr>
          <w:rFonts w:ascii="Calibri" w:hAnsi="Calibri" w:cs="Calibri"/>
          <w:kern w:val="0"/>
          <w:rtl/>
          <w14:ligatures w14:val="none"/>
        </w:rPr>
      </w:pPr>
    </w:p>
    <w:p w14:paraId="37601C1D" w14:textId="4A7370D4" w:rsidR="003014B3" w:rsidRDefault="003014B3" w:rsidP="003014B3">
      <w:pPr>
        <w:jc w:val="both"/>
        <w:rPr>
          <w:rFonts w:ascii="Calibri" w:hAnsi="Calibri" w:cs="Calibri"/>
          <w:kern w:val="0"/>
          <w:rtl/>
          <w14:ligatures w14:val="none"/>
        </w:rPr>
      </w:pPr>
      <w:r w:rsidRPr="003014B3">
        <w:rPr>
          <w:rFonts w:ascii="Calibri" w:hAnsi="Calibri" w:cs="Calibri" w:hint="cs"/>
          <w:kern w:val="0"/>
          <w:rtl/>
          <w14:ligatures w14:val="none"/>
        </w:rPr>
        <w:t xml:space="preserve">تشير دراسات صادرة عن </w:t>
      </w:r>
      <w:r w:rsidRPr="003014B3">
        <w:rPr>
          <w:rFonts w:ascii="Calibri" w:hAnsi="Calibri" w:cs="Calibri"/>
          <w:kern w:val="0"/>
          <w14:ligatures w14:val="none"/>
        </w:rPr>
        <w:t>McKinsey</w:t>
      </w:r>
      <w:r w:rsidRPr="003014B3">
        <w:rPr>
          <w:rFonts w:ascii="Calibri" w:hAnsi="Calibri" w:cs="Calibri" w:hint="cs"/>
          <w:kern w:val="0"/>
          <w:rtl/>
          <w14:ligatures w14:val="none"/>
        </w:rPr>
        <w:t xml:space="preserve"> إلى أن نجاح التحول في قطاع الطاقة يعتمد بشكل كبير على قدرة المؤسسات على إدارة التغيير البشري والتنظيمي، وليس فقط على الاستثمار في التكنولوجيا. كما تؤكد</w:t>
      </w:r>
      <w:r>
        <w:rPr>
          <w:rFonts w:ascii="Calibri" w:hAnsi="Calibri" w:cs="Calibri" w:hint="cs"/>
          <w:kern w:val="0"/>
          <w:rtl/>
          <w14:ligatures w14:val="none"/>
        </w:rPr>
        <w:t xml:space="preserve"> الكثير من التقارير لدى</w:t>
      </w:r>
      <w:r w:rsidRPr="003014B3">
        <w:rPr>
          <w:rFonts w:ascii="Calibri" w:hAnsi="Calibri" w:cs="Calibri" w:hint="cs"/>
          <w:kern w:val="0"/>
          <w:rtl/>
          <w14:ligatures w14:val="none"/>
        </w:rPr>
        <w:t xml:space="preserve"> </w:t>
      </w:r>
      <w:r>
        <w:rPr>
          <w:rFonts w:ascii="Calibri" w:hAnsi="Calibri" w:cs="Calibri" w:hint="cs"/>
          <w:kern w:val="0"/>
          <w:rtl/>
          <w14:ligatures w14:val="none"/>
        </w:rPr>
        <w:t>المنتدى الاقتصادي العالم</w:t>
      </w:r>
      <w:r w:rsidR="006140F8">
        <w:rPr>
          <w:rFonts w:ascii="Calibri" w:hAnsi="Calibri" w:cs="Calibri" w:hint="cs"/>
          <w:kern w:val="0"/>
          <w:rtl/>
          <w14:ligatures w14:val="none"/>
        </w:rPr>
        <w:t>ي أن</w:t>
      </w:r>
      <w:r w:rsidRPr="003014B3">
        <w:rPr>
          <w:rFonts w:ascii="Calibri" w:hAnsi="Calibri" w:cs="Calibri"/>
          <w:kern w:val="0"/>
          <w14:ligatures w14:val="none"/>
        </w:rPr>
        <w:t xml:space="preserve"> </w:t>
      </w:r>
      <w:r w:rsidRPr="003014B3">
        <w:rPr>
          <w:rFonts w:ascii="Calibri" w:hAnsi="Calibri" w:cs="Calibri" w:hint="cs"/>
          <w:kern w:val="0"/>
          <w:rtl/>
          <w14:ligatures w14:val="none"/>
        </w:rPr>
        <w:t>التحول الطاقي يتطلب إعادة تأهيل القوى العاملة وتبني نماذج قيادية مرنة تدعم الابتكار والتكيف السريع.</w:t>
      </w:r>
    </w:p>
    <w:p w14:paraId="49BC45CA" w14:textId="77777777" w:rsidR="00DD133D" w:rsidRPr="003014B3" w:rsidRDefault="00DD133D" w:rsidP="003014B3">
      <w:pPr>
        <w:jc w:val="both"/>
        <w:rPr>
          <w:rFonts w:ascii="Calibri" w:hAnsi="Calibri" w:cs="Calibri"/>
          <w:kern w:val="0"/>
          <w14:ligatures w14:val="none"/>
        </w:rPr>
      </w:pPr>
    </w:p>
    <w:p w14:paraId="4D9580D4" w14:textId="56CE3FE1" w:rsidR="003014B3" w:rsidRDefault="003014B3" w:rsidP="00DD133D">
      <w:pPr>
        <w:jc w:val="both"/>
        <w:rPr>
          <w:rFonts w:ascii="Calibri" w:hAnsi="Calibri" w:cs="Calibri"/>
          <w:kern w:val="0"/>
          <w:rtl/>
          <w14:ligatures w14:val="none"/>
        </w:rPr>
      </w:pPr>
      <w:r w:rsidRPr="003014B3">
        <w:rPr>
          <w:rFonts w:ascii="Calibri" w:hAnsi="Calibri" w:cs="Calibri" w:hint="cs"/>
          <w:kern w:val="0"/>
          <w:rtl/>
          <w14:ligatures w14:val="none"/>
        </w:rPr>
        <w:t>من منظور نقدي، يمكن القول إن العديد من الشركات تفترض ضمنيًا أن التغيير التكنولوجي سيقود تلقائيًا إلى تغيير تنظيمي ناجح، وهو افتراض غير دقيق. فالتجارب العملية تظهر أن التكنولوجيا بدون إطار تنظيمي وثقافي داعم قد تؤدي إلى نتائج محدودة أو حتى سلبية. كما أن التركيز المفرط على الجوانب التقنية قد يؤدي إلى إهمال العنصر البشري، الذي يعد العامل الحاسم في نجاح أو فشل أي مبادرة تغيير.</w:t>
      </w:r>
    </w:p>
    <w:p w14:paraId="4175915A" w14:textId="77777777" w:rsidR="00DD133D" w:rsidRPr="003014B3" w:rsidRDefault="00DD133D" w:rsidP="00DD133D">
      <w:pPr>
        <w:jc w:val="both"/>
        <w:rPr>
          <w:rFonts w:ascii="Calibri" w:hAnsi="Calibri" w:cs="Calibri"/>
          <w:kern w:val="0"/>
          <w14:ligatures w14:val="none"/>
        </w:rPr>
      </w:pPr>
    </w:p>
    <w:p w14:paraId="62821732" w14:textId="5655F1C6" w:rsidR="003014B3" w:rsidRDefault="003014B3" w:rsidP="00DD133D">
      <w:pPr>
        <w:jc w:val="both"/>
        <w:rPr>
          <w:rFonts w:ascii="Calibri" w:hAnsi="Calibri" w:cs="Calibri"/>
          <w:kern w:val="0"/>
          <w:rtl/>
          <w14:ligatures w14:val="none"/>
        </w:rPr>
      </w:pPr>
      <w:r w:rsidRPr="003014B3">
        <w:rPr>
          <w:rFonts w:ascii="Calibri" w:hAnsi="Calibri" w:cs="Calibri" w:hint="cs"/>
          <w:kern w:val="0"/>
          <w:rtl/>
          <w14:ligatures w14:val="none"/>
        </w:rPr>
        <w:t>إضافة إلى ذلك، فإن الأدبيات الحالية، رغم غناها، لا تقدم دائمًا نماذج تطبيقية واضحة تتناسب مع خصوصية قطاع النفط والغاز، الذي يتميز ببيئة تشغيلية معقدة، واستثمارات رأسمالية ضخمة، ومستوى عالٍ من المخاطر. وبالتالي، تبرز الحاجة إلى دراسة معمقة تركز على كيفية تصميم وتنفيذ استراتيجيات فعالة لإدارة التغيير التنظيمي في سياق التحول الطاقي، مع مراعاة الخصائص الفريدة لهذا القطاع.</w:t>
      </w:r>
    </w:p>
    <w:p w14:paraId="3A292F18" w14:textId="77777777" w:rsidR="00DD133D" w:rsidRPr="003014B3" w:rsidRDefault="00DD133D" w:rsidP="00DD133D">
      <w:pPr>
        <w:jc w:val="both"/>
        <w:rPr>
          <w:rFonts w:ascii="Calibri" w:hAnsi="Calibri" w:cs="Calibri"/>
          <w:kern w:val="0"/>
          <w14:ligatures w14:val="none"/>
        </w:rPr>
      </w:pPr>
    </w:p>
    <w:p w14:paraId="0609D7B9" w14:textId="030AFF29" w:rsidR="003014B3" w:rsidRPr="003014B3" w:rsidRDefault="003014B3" w:rsidP="00DD133D">
      <w:pPr>
        <w:jc w:val="both"/>
        <w:rPr>
          <w:rFonts w:ascii="Calibri" w:hAnsi="Calibri" w:cs="Calibri"/>
          <w:kern w:val="0"/>
          <w14:ligatures w14:val="none"/>
        </w:rPr>
      </w:pPr>
      <w:r w:rsidRPr="003014B3">
        <w:rPr>
          <w:rFonts w:ascii="Calibri" w:hAnsi="Calibri" w:cs="Calibri" w:hint="cs"/>
          <w:kern w:val="0"/>
          <w:rtl/>
          <w14:ligatures w14:val="none"/>
        </w:rPr>
        <w:lastRenderedPageBreak/>
        <w:t>بناءً على ما سبق، يمكن صياغة مشكلة الدراسة في التساؤل الرئيسي التالي:</w:t>
      </w:r>
    </w:p>
    <w:p w14:paraId="653BC042" w14:textId="57EB74ED" w:rsidR="003014B3" w:rsidRPr="00DD133D" w:rsidRDefault="003014B3" w:rsidP="00DD133D">
      <w:pPr>
        <w:jc w:val="both"/>
        <w:rPr>
          <w:rFonts w:ascii="Calibri" w:hAnsi="Calibri" w:cs="Calibri"/>
          <w:b/>
          <w:bCs/>
          <w:kern w:val="0"/>
          <w14:ligatures w14:val="none"/>
        </w:rPr>
      </w:pPr>
      <w:r w:rsidRPr="00DD133D">
        <w:rPr>
          <w:rFonts w:ascii="Calibri" w:hAnsi="Calibri" w:cs="Calibri" w:hint="cs"/>
          <w:b/>
          <w:bCs/>
          <w:kern w:val="0"/>
          <w:rtl/>
          <w14:ligatures w14:val="none"/>
        </w:rPr>
        <w:t>كيف يمكن لشركات النفط والغاز إدارة التغيير التنظيمي بفعالية لضمان نجاح التحول الطاقي وتحقيق الاستدامة والتنافسية في بيئة عمل متغيرة ومعقدة؟</w:t>
      </w:r>
    </w:p>
    <w:p w14:paraId="404B99B0" w14:textId="77777777" w:rsidR="003014B3" w:rsidRPr="003014B3" w:rsidRDefault="003014B3" w:rsidP="003014B3">
      <w:pPr>
        <w:jc w:val="both"/>
        <w:rPr>
          <w:rFonts w:ascii="Calibri" w:hAnsi="Calibri" w:cs="Calibri"/>
          <w:kern w:val="0"/>
          <w:rtl/>
          <w14:ligatures w14:val="none"/>
        </w:rPr>
      </w:pPr>
      <w:r w:rsidRPr="003014B3">
        <w:rPr>
          <w:rFonts w:ascii="Calibri" w:hAnsi="Calibri" w:cs="Calibri" w:hint="cs"/>
          <w:kern w:val="0"/>
          <w:rtl/>
          <w14:ligatures w14:val="none"/>
        </w:rPr>
        <w:t>ويتفرع عن هذا التساؤل عدة تساؤلات فرعية:</w:t>
      </w:r>
    </w:p>
    <w:p w14:paraId="2F53DC7D" w14:textId="77777777" w:rsidR="003014B3" w:rsidRPr="00DD133D" w:rsidRDefault="003014B3" w:rsidP="003014B3">
      <w:pPr>
        <w:jc w:val="both"/>
        <w:rPr>
          <w:rFonts w:ascii="Calibri" w:hAnsi="Calibri" w:cs="Calibri"/>
          <w:b/>
          <w:bCs/>
          <w:kern w:val="0"/>
          <w14:ligatures w14:val="none"/>
        </w:rPr>
      </w:pPr>
      <w:r w:rsidRPr="00DD133D">
        <w:rPr>
          <w:rFonts w:ascii="Calibri" w:hAnsi="Calibri" w:cs="Calibri" w:hint="cs"/>
          <w:b/>
          <w:bCs/>
          <w:kern w:val="0"/>
          <w:rtl/>
          <w14:ligatures w14:val="none"/>
        </w:rPr>
        <w:t>ما هي أبرز التحديات التنظيمية التي تواجه شركات النفط والغاز خلال التحول الطاقي؟</w:t>
      </w:r>
    </w:p>
    <w:p w14:paraId="3F3E824C" w14:textId="77777777" w:rsidR="003014B3" w:rsidRPr="00DD133D" w:rsidRDefault="003014B3" w:rsidP="003014B3">
      <w:pPr>
        <w:jc w:val="both"/>
        <w:rPr>
          <w:rFonts w:ascii="Calibri" w:hAnsi="Calibri" w:cs="Calibri"/>
          <w:b/>
          <w:bCs/>
          <w:kern w:val="0"/>
          <w:rtl/>
          <w14:ligatures w14:val="none"/>
        </w:rPr>
      </w:pPr>
      <w:r w:rsidRPr="00DD133D">
        <w:rPr>
          <w:rFonts w:ascii="Calibri" w:hAnsi="Calibri" w:cs="Calibri" w:hint="cs"/>
          <w:b/>
          <w:bCs/>
          <w:kern w:val="0"/>
          <w:rtl/>
          <w14:ligatures w14:val="none"/>
        </w:rPr>
        <w:t>ما دور القيادة التنظيمية في تعزيز أو إعاقة نجاح التغيير؟</w:t>
      </w:r>
    </w:p>
    <w:p w14:paraId="5C19841C" w14:textId="77777777" w:rsidR="003014B3" w:rsidRPr="00DD133D" w:rsidRDefault="003014B3" w:rsidP="003014B3">
      <w:pPr>
        <w:jc w:val="both"/>
        <w:rPr>
          <w:rFonts w:ascii="Calibri" w:hAnsi="Calibri" w:cs="Calibri"/>
          <w:b/>
          <w:bCs/>
          <w:kern w:val="0"/>
          <w:rtl/>
          <w14:ligatures w14:val="none"/>
        </w:rPr>
      </w:pPr>
      <w:r w:rsidRPr="00DD133D">
        <w:rPr>
          <w:rFonts w:ascii="Calibri" w:hAnsi="Calibri" w:cs="Calibri" w:hint="cs"/>
          <w:b/>
          <w:bCs/>
          <w:kern w:val="0"/>
          <w:rtl/>
          <w14:ligatures w14:val="none"/>
        </w:rPr>
        <w:t>كيف يمكن تقليل مقاومة التغيير لدى العاملين؟</w:t>
      </w:r>
    </w:p>
    <w:p w14:paraId="59EE1298" w14:textId="5900705A" w:rsidR="003014B3" w:rsidRPr="00DD133D" w:rsidRDefault="003014B3" w:rsidP="003014B3">
      <w:pPr>
        <w:jc w:val="both"/>
        <w:rPr>
          <w:rFonts w:ascii="Calibri" w:hAnsi="Calibri" w:cs="Calibri"/>
          <w:b/>
          <w:bCs/>
          <w:kern w:val="0"/>
          <w:rtl/>
          <w14:ligatures w14:val="none"/>
        </w:rPr>
      </w:pPr>
      <w:r w:rsidRPr="00DD133D">
        <w:rPr>
          <w:rFonts w:ascii="Calibri" w:hAnsi="Calibri" w:cs="Calibri" w:hint="cs"/>
          <w:b/>
          <w:bCs/>
          <w:kern w:val="0"/>
          <w:rtl/>
          <w14:ligatures w14:val="none"/>
        </w:rPr>
        <w:t>ما هي النماذج أو الأطر الأكثر فعالية لإدارة التغيير في هذا السياق</w:t>
      </w:r>
      <w:r w:rsidR="00DD133D">
        <w:rPr>
          <w:rFonts w:ascii="Calibri" w:hAnsi="Calibri" w:cs="Calibri" w:hint="cs"/>
          <w:b/>
          <w:bCs/>
          <w:kern w:val="0"/>
          <w:rtl/>
          <w14:ligatures w14:val="none"/>
        </w:rPr>
        <w:t>؟</w:t>
      </w:r>
    </w:p>
    <w:p w14:paraId="45B33108" w14:textId="77777777" w:rsidR="00F925D0" w:rsidRPr="003014B3" w:rsidRDefault="00F925D0" w:rsidP="003014B3">
      <w:pPr>
        <w:jc w:val="both"/>
        <w:rPr>
          <w:rFonts w:ascii="Calibri" w:hAnsi="Calibri" w:cs="Calibri"/>
          <w:kern w:val="0"/>
          <w:rtl/>
          <w14:ligatures w14:val="none"/>
        </w:rPr>
      </w:pPr>
    </w:p>
    <w:p w14:paraId="18FB8549" w14:textId="77777777" w:rsidR="00F925D0" w:rsidRPr="003014B3" w:rsidRDefault="00F925D0" w:rsidP="003014B3">
      <w:pPr>
        <w:jc w:val="both"/>
        <w:rPr>
          <w:rFonts w:ascii="Calibri" w:hAnsi="Calibri" w:cs="Calibri"/>
          <w:kern w:val="0"/>
          <w:rtl/>
          <w14:ligatures w14:val="none"/>
        </w:rPr>
      </w:pPr>
    </w:p>
    <w:p w14:paraId="00A1958D" w14:textId="77777777" w:rsidR="00F925D0" w:rsidRPr="003014B3" w:rsidRDefault="00F925D0" w:rsidP="003014B3">
      <w:pPr>
        <w:jc w:val="both"/>
        <w:rPr>
          <w:rFonts w:ascii="Calibri" w:hAnsi="Calibri" w:cs="Calibri"/>
          <w:kern w:val="0"/>
          <w:rtl/>
          <w14:ligatures w14:val="none"/>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22B1EE18" w14:textId="1F07E604" w:rsidR="00DD133D" w:rsidRDefault="00DD133D" w:rsidP="00D22171">
      <w:pPr>
        <w:rPr>
          <w:rFonts w:ascii="Sakkal Majalla" w:hAnsi="Sakkal Majalla" w:cs="Sakkal Majalla"/>
          <w:sz w:val="28"/>
          <w:szCs w:val="28"/>
          <w:u w:val="single"/>
          <w:rtl/>
        </w:rPr>
      </w:pPr>
    </w:p>
    <w:p w14:paraId="0D0FD786" w14:textId="77777777" w:rsidR="00DD133D" w:rsidRDefault="00DD133D" w:rsidP="00D22171">
      <w:pPr>
        <w:rPr>
          <w:rFonts w:ascii="Sakkal Majalla" w:hAnsi="Sakkal Majalla" w:cs="Sakkal Majalla"/>
          <w:sz w:val="28"/>
          <w:szCs w:val="28"/>
          <w:u w:val="single"/>
          <w:rtl/>
        </w:rPr>
      </w:pPr>
    </w:p>
    <w:p w14:paraId="0CD972EE" w14:textId="73CBF37C" w:rsidR="00D22171" w:rsidRPr="00EE6287" w:rsidRDefault="00D22171" w:rsidP="00EE6287">
      <w:pPr>
        <w:pStyle w:val="Heading2"/>
        <w:rPr>
          <w:rFonts w:ascii="Sakkal Majalla" w:hAnsi="Sakkal Majalla" w:cs="Sakkal Majalla"/>
          <w:color w:val="auto"/>
          <w:sz w:val="28"/>
          <w:szCs w:val="28"/>
          <w:u w:val="single"/>
          <w:rtl/>
        </w:rPr>
      </w:pPr>
      <w:bookmarkStart w:id="4" w:name="_Toc225314009"/>
      <w:r w:rsidRPr="00EE6287">
        <w:rPr>
          <w:rFonts w:ascii="Sakkal Majalla" w:hAnsi="Sakkal Majalla" w:cs="Sakkal Majalla"/>
          <w:color w:val="auto"/>
          <w:sz w:val="28"/>
          <w:szCs w:val="28"/>
          <w:u w:val="single"/>
          <w:rtl/>
        </w:rPr>
        <w:lastRenderedPageBreak/>
        <w:t>-أهمية الدراسة.</w:t>
      </w:r>
      <w:bookmarkEnd w:id="4"/>
      <w:r w:rsidRPr="00EE6287">
        <w:rPr>
          <w:rFonts w:ascii="Sakkal Majalla" w:hAnsi="Sakkal Majalla" w:cs="Sakkal Majalla"/>
          <w:color w:val="auto"/>
          <w:sz w:val="28"/>
          <w:szCs w:val="28"/>
          <w:u w:val="single"/>
          <w:rtl/>
        </w:rPr>
        <w:t xml:space="preserve"> </w:t>
      </w:r>
    </w:p>
    <w:p w14:paraId="5DDD3809" w14:textId="065E6A2A" w:rsidR="00E81858" w:rsidRDefault="00E81858" w:rsidP="00E81858">
      <w:pPr>
        <w:jc w:val="both"/>
        <w:rPr>
          <w:rFonts w:ascii="Calibri" w:hAnsi="Calibri" w:cs="Calibri"/>
          <w:kern w:val="0"/>
          <w:rtl/>
          <w14:ligatures w14:val="none"/>
        </w:rPr>
      </w:pPr>
      <w:r w:rsidRPr="00E81858">
        <w:rPr>
          <w:rFonts w:ascii="Calibri" w:hAnsi="Calibri" w:cs="Calibri" w:hint="cs"/>
          <w:kern w:val="0"/>
          <w:rtl/>
          <w14:ligatures w14:val="none"/>
        </w:rPr>
        <w:t>تكتسب هذه الدراسة أهميتها من السياق العالمي المتسارع الذي يشهده قطاع الطاقة، حيث لم يعد التحول الطاقي خيارًا استراتيجيًا محدود التأثير، بل أصبح ضرورة حتمية تفرضها التحديات البيئية والاقتصادية والتكنولوجية</w:t>
      </w:r>
      <w:r w:rsidRPr="00E81858">
        <w:rPr>
          <w:rFonts w:ascii="Calibri" w:hAnsi="Calibri" w:cs="Calibri"/>
          <w:kern w:val="0"/>
          <w14:ligatures w14:val="none"/>
        </w:rPr>
        <w:t xml:space="preserve"> </w:t>
      </w:r>
      <w:r w:rsidRPr="00E81858">
        <w:rPr>
          <w:rFonts w:ascii="Calibri" w:hAnsi="Calibri" w:cs="Calibri" w:hint="cs"/>
          <w:kern w:val="0"/>
          <w:rtl/>
          <w14:ligatures w14:val="none"/>
        </w:rPr>
        <w:t xml:space="preserve"> ، يشير </w:t>
      </w:r>
      <w:r>
        <w:rPr>
          <w:rFonts w:ascii="Calibri" w:hAnsi="Calibri" w:cs="Calibri" w:hint="cs"/>
          <w:kern w:val="0"/>
          <w:rtl/>
          <w14:ligatures w14:val="none"/>
        </w:rPr>
        <w:t xml:space="preserve">التحول الطاقي </w:t>
      </w:r>
      <w:r w:rsidRPr="00E81858">
        <w:rPr>
          <w:rFonts w:ascii="Calibri" w:hAnsi="Calibri" w:cs="Calibri" w:hint="cs"/>
          <w:kern w:val="0"/>
          <w:rtl/>
          <w14:ligatures w14:val="none"/>
        </w:rPr>
        <w:t>إلى الانتقال من الاعتماد على الوقود الأحفوري إلى أنظمة طاقة أكثر استدامة ومنخفضة الانبعاثات. ووفقًا لتقارير</w:t>
      </w:r>
      <w:r>
        <w:rPr>
          <w:rFonts w:ascii="Calibri" w:hAnsi="Calibri" w:cs="Calibri" w:hint="cs"/>
          <w:kern w:val="0"/>
          <w:rtl/>
          <w14:ligatures w14:val="none"/>
        </w:rPr>
        <w:t xml:space="preserve"> عالمية</w:t>
      </w:r>
      <w:r w:rsidRPr="00E81858">
        <w:rPr>
          <w:rFonts w:ascii="Calibri" w:hAnsi="Calibri" w:cs="Calibri" w:hint="cs"/>
          <w:kern w:val="0"/>
          <w:rtl/>
          <w14:ligatures w14:val="none"/>
        </w:rPr>
        <w:t xml:space="preserve"> ، فإن هذا التحول يتطلب تغييرات جذرية ليس فقط في البنية التحتية للطاقة، بل أيضًا في النماذج التشغيلية والهياكل التنظيمية للمؤسسات العاملة في قطاع النفط والغاز.</w:t>
      </w:r>
    </w:p>
    <w:p w14:paraId="31494837" w14:textId="77777777" w:rsidR="00E81858" w:rsidRPr="00E81858" w:rsidRDefault="00E81858" w:rsidP="00E81858">
      <w:pPr>
        <w:jc w:val="both"/>
        <w:rPr>
          <w:rFonts w:ascii="Calibri" w:hAnsi="Calibri" w:cs="Calibri"/>
          <w:kern w:val="0"/>
          <w14:ligatures w14:val="none"/>
        </w:rPr>
      </w:pPr>
    </w:p>
    <w:p w14:paraId="2FF9C7EB" w14:textId="2018E8B7" w:rsidR="00E81858" w:rsidRPr="00341C0D" w:rsidRDefault="00E81858" w:rsidP="00341C0D">
      <w:pPr>
        <w:pStyle w:val="Heading3"/>
        <w:bidi w:val="0"/>
        <w:jc w:val="right"/>
        <w:rPr>
          <w:rFonts w:eastAsiaTheme="minorHAnsi"/>
          <w:color w:val="4472C4" w:themeColor="accent1"/>
          <w:rtl/>
        </w:rPr>
      </w:pPr>
      <w:bookmarkStart w:id="5" w:name="_Toc225314010"/>
      <w:r w:rsidRPr="00E81858">
        <w:rPr>
          <w:rFonts w:eastAsiaTheme="minorHAnsi" w:hint="cs"/>
          <w:color w:val="4472C4" w:themeColor="accent1"/>
          <w:rtl/>
        </w:rPr>
        <w:t>أولًا: الأهمية العلمية:</w:t>
      </w:r>
      <w:bookmarkEnd w:id="5"/>
      <w:r w:rsidRPr="00E81858">
        <w:rPr>
          <w:rFonts w:eastAsiaTheme="minorHAnsi"/>
          <w:color w:val="4472C4" w:themeColor="accent1"/>
          <w:rtl/>
        </w:rPr>
        <w:t xml:space="preserve"> </w:t>
      </w:r>
    </w:p>
    <w:p w14:paraId="58084084" w14:textId="77777777" w:rsidR="00E81858" w:rsidRPr="00E81858" w:rsidRDefault="00E81858" w:rsidP="00E81858">
      <w:pPr>
        <w:jc w:val="both"/>
        <w:rPr>
          <w:rFonts w:ascii="Calibri" w:hAnsi="Calibri" w:cs="Calibri"/>
          <w:kern w:val="0"/>
          <w14:ligatures w14:val="none"/>
        </w:rPr>
      </w:pPr>
      <w:r w:rsidRPr="00E81858">
        <w:rPr>
          <w:rFonts w:ascii="Calibri" w:hAnsi="Calibri" w:cs="Calibri" w:hint="cs"/>
          <w:kern w:val="0"/>
          <w:rtl/>
          <w14:ligatures w14:val="none"/>
        </w:rPr>
        <w:t xml:space="preserve">تسهم هذه الدراسة في إثراء الأدبيات العلمية في مجال </w:t>
      </w:r>
      <w:r w:rsidRPr="00E81858">
        <w:rPr>
          <w:rFonts w:ascii="Calibri" w:hAnsi="Calibri" w:cs="Calibri"/>
          <w:kern w:val="0"/>
          <w14:ligatures w14:val="none"/>
        </w:rPr>
        <w:t>Organizational Change Management</w:t>
      </w:r>
      <w:r w:rsidRPr="00E81858">
        <w:rPr>
          <w:rFonts w:ascii="Calibri" w:hAnsi="Calibri" w:cs="Calibri" w:hint="cs"/>
          <w:kern w:val="0"/>
          <w:rtl/>
          <w14:ligatures w14:val="none"/>
        </w:rPr>
        <w:t xml:space="preserve"> من خلال ربطه بسياق تطبيقي معقد يتمثل في قطاع النفط والغاز خلال مرحلة التحول الطاقي. فعلى الرغم من وفرة الدراسات المتعلقة بإدارة التغيير بشكل عام، إلا أن هناك نقصًا نسبيًا في الأبحاث التي تتناول هذا الموضوع ضمن بيئات صناعية ذات خصائص فريدة مثل كثافة رأس المال، وتعقيد العمليات، والاعتماد التاريخي على نماذج أعمال تقليدية.</w:t>
      </w:r>
    </w:p>
    <w:p w14:paraId="4F9FE3E4" w14:textId="77777777" w:rsidR="00E81858" w:rsidRPr="00E81858" w:rsidRDefault="00E81858" w:rsidP="00E81858">
      <w:pPr>
        <w:jc w:val="both"/>
        <w:rPr>
          <w:rFonts w:ascii="Calibri" w:hAnsi="Calibri" w:cs="Calibri"/>
          <w:kern w:val="0"/>
          <w14:ligatures w14:val="none"/>
        </w:rPr>
      </w:pPr>
    </w:p>
    <w:p w14:paraId="61384933" w14:textId="4294CC71" w:rsidR="00E81858" w:rsidRPr="005C4574" w:rsidRDefault="00E81858" w:rsidP="005C4574">
      <w:pPr>
        <w:jc w:val="both"/>
        <w:rPr>
          <w:rFonts w:ascii="Calibri" w:hAnsi="Calibri" w:cs="Calibri"/>
          <w:kern w:val="0"/>
          <w14:ligatures w14:val="none"/>
        </w:rPr>
      </w:pPr>
      <w:r w:rsidRPr="00E81858">
        <w:rPr>
          <w:rFonts w:ascii="Calibri" w:hAnsi="Calibri" w:cs="Calibri" w:hint="cs"/>
          <w:kern w:val="0"/>
          <w:rtl/>
          <w14:ligatures w14:val="none"/>
        </w:rPr>
        <w:t>كما تقدم الدراسة إطارًا تحليليًا يمكن أن يساعد الباحثين على فهم التفاعل بين العوامل التنظيمية (مثل الثقافة المؤسسية، والقيادة، والهياكل التنظيمية) والعوامل الخارجية (مثل السياسات البيئية، والتقنيات الجديدة، وضغوط السوق). هذا الربط يسهم في تطوير نماذج نظرية أكثر شمولًا وواقعية، يمكن تطبيقها في دراسات مستقبلية ضمن قطاعات أخرى تواجه تحولات مشابهة.</w:t>
      </w:r>
    </w:p>
    <w:p w14:paraId="0F14EE9A" w14:textId="77777777" w:rsidR="00341C0D" w:rsidRDefault="00E81858" w:rsidP="00341C0D">
      <w:pPr>
        <w:pStyle w:val="Heading3"/>
        <w:bidi w:val="0"/>
        <w:jc w:val="right"/>
        <w:rPr>
          <w:rFonts w:eastAsiaTheme="minorHAnsi"/>
          <w:color w:val="4472C4" w:themeColor="accent1"/>
        </w:rPr>
      </w:pPr>
      <w:bookmarkStart w:id="6" w:name="_Toc225314011"/>
      <w:r w:rsidRPr="005C4574">
        <w:rPr>
          <w:rFonts w:eastAsiaTheme="minorHAnsi" w:hint="cs"/>
          <w:color w:val="4472C4" w:themeColor="accent1"/>
          <w:rtl/>
        </w:rPr>
        <w:t>ثانيًا: الأهمية التطبيقية</w:t>
      </w:r>
      <w:r w:rsidR="001F7C1A">
        <w:rPr>
          <w:rFonts w:eastAsiaTheme="minorHAnsi" w:hint="cs"/>
          <w:color w:val="4472C4" w:themeColor="accent1"/>
          <w:rtl/>
        </w:rPr>
        <w:t>:</w:t>
      </w:r>
      <w:bookmarkEnd w:id="6"/>
      <w:r w:rsidRPr="005C4574">
        <w:rPr>
          <w:rFonts w:eastAsiaTheme="minorHAnsi"/>
          <w:color w:val="4472C4" w:themeColor="accent1"/>
          <w:rtl/>
        </w:rPr>
        <w:t xml:space="preserve"> </w:t>
      </w:r>
    </w:p>
    <w:p w14:paraId="562BE0C2" w14:textId="48B62777" w:rsidR="00E81858" w:rsidRPr="00341C0D" w:rsidRDefault="00E81858" w:rsidP="00341C0D">
      <w:pPr>
        <w:jc w:val="both"/>
        <w:rPr>
          <w:rFonts w:ascii="Calibri" w:hAnsi="Calibri" w:cs="Calibri"/>
          <w:kern w:val="0"/>
          <w14:ligatures w14:val="none"/>
        </w:rPr>
      </w:pPr>
      <w:r w:rsidRPr="00341C0D">
        <w:rPr>
          <w:rFonts w:ascii="Calibri" w:hAnsi="Calibri" w:cs="Calibri" w:hint="cs"/>
          <w:kern w:val="0"/>
          <w:rtl/>
          <w14:ligatures w14:val="none"/>
        </w:rPr>
        <w:t xml:space="preserve">على المستوى العملي، توفر هذه الدراسة قيمة مضافة </w:t>
      </w:r>
      <w:r w:rsidR="005C4574" w:rsidRPr="00341C0D">
        <w:rPr>
          <w:rFonts w:ascii="Calibri" w:hAnsi="Calibri" w:cs="Calibri" w:hint="cs"/>
          <w:kern w:val="0"/>
          <w:rtl/>
          <w14:ligatures w14:val="none"/>
        </w:rPr>
        <w:t xml:space="preserve">ولو بسيطة </w:t>
      </w:r>
      <w:r w:rsidRPr="00341C0D">
        <w:rPr>
          <w:rFonts w:ascii="Calibri" w:hAnsi="Calibri" w:cs="Calibri" w:hint="cs"/>
          <w:kern w:val="0"/>
          <w:rtl/>
          <w14:ligatures w14:val="none"/>
        </w:rPr>
        <w:t xml:space="preserve">لصناع القرار في شركات النفط والغاز، من خلال تقديم رؤى </w:t>
      </w:r>
      <w:r w:rsidR="005C4574" w:rsidRPr="00341C0D">
        <w:rPr>
          <w:rFonts w:ascii="Calibri" w:hAnsi="Calibri" w:cs="Calibri" w:hint="cs"/>
          <w:kern w:val="0"/>
          <w:rtl/>
          <w14:ligatures w14:val="none"/>
        </w:rPr>
        <w:t xml:space="preserve"> </w:t>
      </w:r>
      <w:r w:rsidRPr="00341C0D">
        <w:rPr>
          <w:rFonts w:ascii="Calibri" w:hAnsi="Calibri" w:cs="Calibri" w:hint="cs"/>
          <w:kern w:val="0"/>
          <w:rtl/>
          <w14:ligatures w14:val="none"/>
        </w:rPr>
        <w:t xml:space="preserve">عملية حول كيفية إدارة التغيير التنظيمي بفعالية أثناء التحول الطاقي. وتشير </w:t>
      </w:r>
      <w:r w:rsidR="005C4574" w:rsidRPr="00341C0D">
        <w:rPr>
          <w:rFonts w:ascii="Calibri" w:hAnsi="Calibri" w:cs="Calibri" w:hint="cs"/>
          <w:kern w:val="0"/>
          <w:rtl/>
          <w14:ligatures w14:val="none"/>
        </w:rPr>
        <w:t xml:space="preserve">بعض </w:t>
      </w:r>
      <w:r w:rsidRPr="00341C0D">
        <w:rPr>
          <w:rFonts w:ascii="Calibri" w:hAnsi="Calibri" w:cs="Calibri" w:hint="cs"/>
          <w:kern w:val="0"/>
          <w:rtl/>
          <w14:ligatures w14:val="none"/>
        </w:rPr>
        <w:t>تقارير إلى أن العديد من الشركات تفشل في تحقيق أهداف التحول ليس بسبب نقص الموارد أو التكنولوجيا، بل بسبب ضعف إدارة التغيير على المستوى التنظيمي والبشري.</w:t>
      </w:r>
    </w:p>
    <w:p w14:paraId="62A10965" w14:textId="77777777" w:rsidR="00E81858" w:rsidRDefault="00E81858" w:rsidP="00E81858">
      <w:pPr>
        <w:pStyle w:val="NormalWeb"/>
        <w:jc w:val="right"/>
        <w:rPr>
          <w:rtl/>
        </w:rPr>
      </w:pPr>
      <w:r>
        <w:rPr>
          <w:rFonts w:hint="cs"/>
          <w:rtl/>
        </w:rPr>
        <w:t>من هذا المنطلق، تساعد الدراسة المؤسسات على:</w:t>
      </w:r>
    </w:p>
    <w:p w14:paraId="56F241FB" w14:textId="33872E7E" w:rsidR="00E81858" w:rsidRPr="00A04FC0" w:rsidRDefault="00E81858" w:rsidP="00F602D1">
      <w:pPr>
        <w:pStyle w:val="ListParagraph"/>
        <w:numPr>
          <w:ilvl w:val="0"/>
          <w:numId w:val="18"/>
        </w:numPr>
        <w:jc w:val="both"/>
        <w:rPr>
          <w:rFonts w:ascii="Calibri" w:hAnsi="Calibri" w:cs="Calibri"/>
          <w:kern w:val="0"/>
          <w14:ligatures w14:val="none"/>
        </w:rPr>
      </w:pPr>
      <w:r w:rsidRPr="00A04FC0">
        <w:rPr>
          <w:rFonts w:ascii="Calibri" w:hAnsi="Calibri" w:cs="Calibri" w:hint="cs"/>
          <w:kern w:val="0"/>
          <w:rtl/>
          <w14:ligatures w14:val="none"/>
        </w:rPr>
        <w:t>تحسين جاهزية التغيير: من خلال تحديد العوامل التي تعزز أو تعيق تقبل الموظفين للتغيير.</w:t>
      </w:r>
    </w:p>
    <w:p w14:paraId="26DA0F4E" w14:textId="77777777" w:rsidR="00E81858" w:rsidRPr="00A04FC0" w:rsidRDefault="00E81858" w:rsidP="00F602D1">
      <w:pPr>
        <w:pStyle w:val="ListParagraph"/>
        <w:numPr>
          <w:ilvl w:val="0"/>
          <w:numId w:val="18"/>
        </w:numPr>
        <w:jc w:val="both"/>
        <w:rPr>
          <w:rFonts w:ascii="Calibri" w:hAnsi="Calibri" w:cs="Calibri"/>
          <w:kern w:val="0"/>
          <w:rtl/>
          <w14:ligatures w14:val="none"/>
        </w:rPr>
      </w:pPr>
      <w:r w:rsidRPr="00A04FC0">
        <w:rPr>
          <w:rFonts w:ascii="Calibri" w:hAnsi="Calibri" w:cs="Calibri" w:hint="cs"/>
          <w:kern w:val="0"/>
          <w:rtl/>
          <w14:ligatures w14:val="none"/>
        </w:rPr>
        <w:t>تطوير استراتيجيات قيادية فعالة: تدعم التحول وتقلل من مقاومة العاملين.</w:t>
      </w:r>
    </w:p>
    <w:p w14:paraId="1689E400" w14:textId="77777777" w:rsidR="00E81858" w:rsidRPr="00A04FC0" w:rsidRDefault="00E81858" w:rsidP="00F602D1">
      <w:pPr>
        <w:pStyle w:val="ListParagraph"/>
        <w:numPr>
          <w:ilvl w:val="0"/>
          <w:numId w:val="18"/>
        </w:numPr>
        <w:jc w:val="both"/>
        <w:rPr>
          <w:rFonts w:ascii="Calibri" w:hAnsi="Calibri" w:cs="Calibri"/>
          <w:kern w:val="0"/>
          <w:rtl/>
          <w14:ligatures w14:val="none"/>
        </w:rPr>
      </w:pPr>
      <w:r w:rsidRPr="00A04FC0">
        <w:rPr>
          <w:rFonts w:ascii="Calibri" w:hAnsi="Calibri" w:cs="Calibri" w:hint="cs"/>
          <w:kern w:val="0"/>
          <w:rtl/>
          <w14:ligatures w14:val="none"/>
        </w:rPr>
        <w:t>إعادة تصميم الهياكل التنظيمية: بما يتناسب مع متطلبات المرونة والابتكار.</w:t>
      </w:r>
    </w:p>
    <w:p w14:paraId="713E92F1" w14:textId="656B3F1C" w:rsidR="00E81858" w:rsidRPr="00A04FC0" w:rsidRDefault="00E81858" w:rsidP="00F602D1">
      <w:pPr>
        <w:pStyle w:val="ListParagraph"/>
        <w:numPr>
          <w:ilvl w:val="0"/>
          <w:numId w:val="18"/>
        </w:numPr>
        <w:jc w:val="both"/>
        <w:rPr>
          <w:rFonts w:ascii="Calibri" w:hAnsi="Calibri" w:cs="Calibri"/>
          <w:kern w:val="0"/>
          <w:rtl/>
          <w14:ligatures w14:val="none"/>
        </w:rPr>
      </w:pPr>
      <w:r w:rsidRPr="00A04FC0">
        <w:rPr>
          <w:rFonts w:ascii="Calibri" w:hAnsi="Calibri" w:cs="Calibri" w:hint="cs"/>
          <w:kern w:val="0"/>
          <w:rtl/>
          <w14:ligatures w14:val="none"/>
        </w:rPr>
        <w:t>تخطيط وتنفيذ برامج إعادة تأهيل القوى العاملة: لمواكبة متطلبات الطاقة النظيفة والرقمنة.</w:t>
      </w:r>
    </w:p>
    <w:p w14:paraId="4CDE6F74" w14:textId="5E60EF4F" w:rsidR="00E81858" w:rsidRDefault="00E81858" w:rsidP="005C4574">
      <w:pPr>
        <w:pStyle w:val="NormalWeb"/>
        <w:jc w:val="right"/>
      </w:pPr>
      <w:r>
        <w:rPr>
          <w:rFonts w:hint="cs"/>
          <w:rtl/>
        </w:rPr>
        <w:t>كما أن النتائج المتوقعة من هذه الدراسة يمكن أن تُستخدم كمرجع عملي لتطوير سياسات داخلية تدعم التحول، وتقلل من المخاطر التشغيلية المرتبطة به.</w:t>
      </w:r>
    </w:p>
    <w:p w14:paraId="0C66931B" w14:textId="6B7EAC08" w:rsidR="00E81858" w:rsidRPr="00341C0D" w:rsidRDefault="00E81858" w:rsidP="00341C0D">
      <w:pPr>
        <w:pStyle w:val="Heading3"/>
        <w:rPr>
          <w:rFonts w:eastAsiaTheme="minorHAnsi"/>
          <w:color w:val="4472C4" w:themeColor="accent1"/>
          <w:rtl/>
        </w:rPr>
      </w:pPr>
      <w:bookmarkStart w:id="7" w:name="_Toc225314012"/>
      <w:r w:rsidRPr="005C4574">
        <w:rPr>
          <w:rFonts w:eastAsiaTheme="minorHAnsi" w:hint="cs"/>
          <w:color w:val="4472C4" w:themeColor="accent1"/>
          <w:rtl/>
        </w:rPr>
        <w:t>ثالثًا: الأهمية الاقتصادية</w:t>
      </w:r>
      <w:r w:rsidR="001F7C1A">
        <w:rPr>
          <w:rFonts w:eastAsiaTheme="minorHAnsi" w:hint="cs"/>
          <w:color w:val="4472C4" w:themeColor="accent1"/>
          <w:rtl/>
        </w:rPr>
        <w:t>:</w:t>
      </w:r>
      <w:bookmarkEnd w:id="7"/>
    </w:p>
    <w:p w14:paraId="70A51D11" w14:textId="759A9E52" w:rsidR="00341C0D" w:rsidRPr="00341C0D" w:rsidRDefault="00E81858" w:rsidP="00341C0D">
      <w:pPr>
        <w:jc w:val="both"/>
        <w:rPr>
          <w:rFonts w:ascii="Calibri" w:hAnsi="Calibri" w:cs="Calibri"/>
          <w:kern w:val="0"/>
          <w14:ligatures w14:val="none"/>
        </w:rPr>
      </w:pPr>
      <w:r w:rsidRPr="005C4574">
        <w:rPr>
          <w:rFonts w:ascii="Calibri" w:hAnsi="Calibri" w:cs="Calibri" w:hint="cs"/>
          <w:kern w:val="0"/>
          <w:rtl/>
          <w14:ligatures w14:val="none"/>
        </w:rPr>
        <w:t xml:space="preserve">يمثل قطاع النفط والغاز أحد الأعمدة الأساسية للاقتصاد العالمي، وبالتالي فإن نجاحه في إدارة التحول الطاقي له انعكاسات مباشرة على الاستقرار الاقتصادي. وتؤكد </w:t>
      </w:r>
      <w:r w:rsidR="005C4574" w:rsidRPr="005C4574">
        <w:rPr>
          <w:rFonts w:ascii="Calibri" w:hAnsi="Calibri" w:cs="Calibri" w:hint="cs"/>
          <w:kern w:val="0"/>
          <w:rtl/>
          <w14:ligatures w14:val="none"/>
        </w:rPr>
        <w:t xml:space="preserve">بعض التقارير من منتدى الاقتصاد العالمي </w:t>
      </w:r>
      <w:r w:rsidRPr="005C4574">
        <w:rPr>
          <w:rFonts w:ascii="Calibri" w:hAnsi="Calibri" w:cs="Calibri" w:hint="cs"/>
          <w:kern w:val="0"/>
          <w:rtl/>
          <w14:ligatures w14:val="none"/>
        </w:rPr>
        <w:t>أن التحول غير المُدار بشكل جيد قد يؤدي إلى خسائر مالية كبيرة، وتعطل في سلاسل الإمداد، وفقدان للوظائف.</w:t>
      </w:r>
    </w:p>
    <w:p w14:paraId="062859A9" w14:textId="057A3E87" w:rsidR="00E81858" w:rsidRDefault="00E81858" w:rsidP="005C4574">
      <w:pPr>
        <w:pStyle w:val="NormalWeb"/>
        <w:jc w:val="right"/>
        <w:rPr>
          <w:rtl/>
        </w:rPr>
      </w:pPr>
      <w:r>
        <w:rPr>
          <w:rFonts w:hint="cs"/>
          <w:rtl/>
        </w:rPr>
        <w:t>تسهم هذه الدراسة في:</w:t>
      </w:r>
    </w:p>
    <w:p w14:paraId="55044BE9" w14:textId="77777777" w:rsidR="00E81858" w:rsidRPr="00A04FC0" w:rsidRDefault="00E81858" w:rsidP="00F602D1">
      <w:pPr>
        <w:pStyle w:val="ListParagraph"/>
        <w:numPr>
          <w:ilvl w:val="0"/>
          <w:numId w:val="17"/>
        </w:numPr>
        <w:jc w:val="both"/>
        <w:rPr>
          <w:rFonts w:ascii="Calibri" w:hAnsi="Calibri" w:cs="Calibri"/>
          <w:kern w:val="0"/>
          <w14:ligatures w14:val="none"/>
        </w:rPr>
      </w:pPr>
      <w:r w:rsidRPr="00A04FC0">
        <w:rPr>
          <w:rFonts w:ascii="Calibri" w:hAnsi="Calibri" w:cs="Calibri" w:hint="cs"/>
          <w:rtl/>
        </w:rPr>
        <w:t xml:space="preserve">تقليل </w:t>
      </w:r>
      <w:r w:rsidRPr="00A04FC0">
        <w:rPr>
          <w:rFonts w:ascii="Calibri" w:hAnsi="Calibri" w:cs="Calibri" w:hint="cs"/>
          <w:kern w:val="0"/>
          <w:rtl/>
          <w14:ligatures w14:val="none"/>
        </w:rPr>
        <w:t>التكاليف الناتجة عن فشل مبادرات التغيير.</w:t>
      </w:r>
    </w:p>
    <w:p w14:paraId="20E1073B" w14:textId="77777777" w:rsidR="00E81858" w:rsidRPr="00A04FC0" w:rsidRDefault="00E81858" w:rsidP="00F602D1">
      <w:pPr>
        <w:pStyle w:val="ListParagraph"/>
        <w:numPr>
          <w:ilvl w:val="0"/>
          <w:numId w:val="17"/>
        </w:numPr>
        <w:jc w:val="both"/>
        <w:rPr>
          <w:rFonts w:ascii="Calibri" w:hAnsi="Calibri" w:cs="Calibri"/>
          <w:kern w:val="0"/>
          <w:rtl/>
          <w14:ligatures w14:val="none"/>
        </w:rPr>
      </w:pPr>
      <w:r w:rsidRPr="00A04FC0">
        <w:rPr>
          <w:rFonts w:ascii="Calibri" w:hAnsi="Calibri" w:cs="Calibri" w:hint="cs"/>
          <w:kern w:val="0"/>
          <w:rtl/>
          <w14:ligatures w14:val="none"/>
        </w:rPr>
        <w:t>تعزيز كفاءة استخدام الموارد خلال مراحل التحول.</w:t>
      </w:r>
    </w:p>
    <w:p w14:paraId="73DF3740" w14:textId="77777777" w:rsidR="00E81858" w:rsidRPr="00A04FC0" w:rsidRDefault="00E81858" w:rsidP="00F602D1">
      <w:pPr>
        <w:pStyle w:val="ListParagraph"/>
        <w:numPr>
          <w:ilvl w:val="0"/>
          <w:numId w:val="17"/>
        </w:numPr>
        <w:jc w:val="both"/>
        <w:rPr>
          <w:rFonts w:ascii="Calibri" w:hAnsi="Calibri" w:cs="Calibri"/>
          <w:kern w:val="0"/>
          <w:rtl/>
          <w14:ligatures w14:val="none"/>
        </w:rPr>
      </w:pPr>
      <w:r w:rsidRPr="00A04FC0">
        <w:rPr>
          <w:rFonts w:ascii="Calibri" w:hAnsi="Calibri" w:cs="Calibri" w:hint="cs"/>
          <w:kern w:val="0"/>
          <w:rtl/>
          <w14:ligatures w14:val="none"/>
        </w:rPr>
        <w:t>دعم استدامة الأعمال وزيادة القدرة التنافسية في الأسواق العالمية.</w:t>
      </w:r>
    </w:p>
    <w:p w14:paraId="1966D73D" w14:textId="2A05A75D" w:rsidR="00E81858" w:rsidRDefault="00E81858" w:rsidP="00F602D1">
      <w:pPr>
        <w:pStyle w:val="ListParagraph"/>
        <w:numPr>
          <w:ilvl w:val="0"/>
          <w:numId w:val="17"/>
        </w:numPr>
        <w:jc w:val="both"/>
        <w:rPr>
          <w:rFonts w:ascii="Calibri" w:hAnsi="Calibri" w:cs="Calibri"/>
          <w:kern w:val="0"/>
          <w14:ligatures w14:val="none"/>
        </w:rPr>
      </w:pPr>
      <w:r w:rsidRPr="00A04FC0">
        <w:rPr>
          <w:rFonts w:ascii="Calibri" w:hAnsi="Calibri" w:cs="Calibri" w:hint="cs"/>
          <w:kern w:val="0"/>
          <w:rtl/>
          <w14:ligatures w14:val="none"/>
        </w:rPr>
        <w:t>تمكين الشركات من التكيف مع التشريعات البيئية المتزايدة، مما يقلل من المخاطر القانونية والمالية.</w:t>
      </w:r>
    </w:p>
    <w:p w14:paraId="35F2559B" w14:textId="77777777" w:rsidR="00341C0D" w:rsidRPr="00006DF8" w:rsidRDefault="00341C0D" w:rsidP="00006DF8">
      <w:pPr>
        <w:ind w:left="360"/>
        <w:jc w:val="both"/>
        <w:rPr>
          <w:rFonts w:ascii="Calibri" w:hAnsi="Calibri" w:cs="Calibri"/>
          <w:kern w:val="0"/>
          <w:rtl/>
          <w14:ligatures w14:val="none"/>
        </w:rPr>
      </w:pPr>
    </w:p>
    <w:p w14:paraId="77C0FFB1" w14:textId="77777777" w:rsidR="00341C0D" w:rsidRPr="00341C0D" w:rsidRDefault="00E81858" w:rsidP="00341C0D">
      <w:pPr>
        <w:jc w:val="both"/>
        <w:rPr>
          <w:rFonts w:ascii="Calibri" w:hAnsi="Calibri" w:cs="Calibri"/>
          <w:kern w:val="0"/>
          <w14:ligatures w14:val="none"/>
        </w:rPr>
      </w:pPr>
      <w:r w:rsidRPr="005C4574">
        <w:rPr>
          <w:rFonts w:hint="cs"/>
          <w:color w:val="4472C4" w:themeColor="accent1"/>
          <w:rtl/>
        </w:rPr>
        <w:lastRenderedPageBreak/>
        <w:t>رابعًا: الأهمية الاجتماعية والبيئية</w:t>
      </w:r>
      <w:r w:rsidR="005C4574" w:rsidRPr="005C4574">
        <w:rPr>
          <w:rFonts w:hint="cs"/>
          <w:color w:val="4472C4" w:themeColor="accent1"/>
          <w:rtl/>
        </w:rPr>
        <w:t>:</w:t>
      </w:r>
    </w:p>
    <w:p w14:paraId="6166F747" w14:textId="1E0D1A91" w:rsidR="00E81858" w:rsidRPr="00341C0D" w:rsidRDefault="00E81858" w:rsidP="00341C0D">
      <w:pPr>
        <w:jc w:val="both"/>
        <w:rPr>
          <w:rFonts w:ascii="Calibri" w:hAnsi="Calibri" w:cs="Calibri"/>
          <w:kern w:val="0"/>
          <w14:ligatures w14:val="none"/>
        </w:rPr>
      </w:pPr>
      <w:r w:rsidRPr="005C4574">
        <w:rPr>
          <w:rFonts w:ascii="Calibri" w:hAnsi="Calibri" w:cs="Calibri" w:hint="cs"/>
          <w:kern w:val="0"/>
          <w:rtl/>
          <w14:ligatures w14:val="none"/>
        </w:rPr>
        <w:t xml:space="preserve">لا يقتصر تأثير التحول الطاقي على الجوانب الاقتصادية والتنظيمية، بل يمتد ليشمل أبعادًا اجتماعية وبيئية مهمة. فنجاح شركات النفط والغاز في إدارة هذا التحول يسهم في تقليل الانبعاثات الكربونية، وتحقيق أهداف الاستدامة العالمية، مثل تلك التي تدعمها </w:t>
      </w:r>
      <w:r w:rsidR="005C4574" w:rsidRPr="005C4574">
        <w:rPr>
          <w:rFonts w:ascii="Calibri" w:hAnsi="Calibri" w:cs="Calibri" w:hint="cs"/>
          <w:kern w:val="0"/>
          <w:rtl/>
          <w14:ligatures w14:val="none"/>
        </w:rPr>
        <w:t xml:space="preserve">منظمة الأمم المتحدة </w:t>
      </w:r>
      <w:r w:rsidRPr="005C4574">
        <w:rPr>
          <w:rFonts w:ascii="Calibri" w:hAnsi="Calibri" w:cs="Calibri" w:hint="cs"/>
          <w:kern w:val="0"/>
          <w:rtl/>
          <w14:ligatures w14:val="none"/>
        </w:rPr>
        <w:t>ضمن مبادرات التنمية المستدامة.</w:t>
      </w:r>
    </w:p>
    <w:p w14:paraId="4629581A" w14:textId="77777777" w:rsidR="00E81858" w:rsidRDefault="00E81858" w:rsidP="00E81858">
      <w:pPr>
        <w:pStyle w:val="NormalWeb"/>
        <w:jc w:val="right"/>
        <w:rPr>
          <w:rtl/>
        </w:rPr>
      </w:pPr>
      <w:r>
        <w:rPr>
          <w:rFonts w:hint="cs"/>
          <w:rtl/>
        </w:rPr>
        <w:t>من الجانب الاجتماعي، تساعد الدراسة في:</w:t>
      </w:r>
    </w:p>
    <w:p w14:paraId="3B25BA35" w14:textId="77777777" w:rsidR="00E81858" w:rsidRPr="00A04FC0" w:rsidRDefault="00E81858" w:rsidP="00F602D1">
      <w:pPr>
        <w:pStyle w:val="ListParagraph"/>
        <w:numPr>
          <w:ilvl w:val="0"/>
          <w:numId w:val="19"/>
        </w:numPr>
        <w:jc w:val="both"/>
      </w:pPr>
      <w:r w:rsidRPr="00A04FC0">
        <w:rPr>
          <w:rFonts w:hint="cs"/>
          <w:rtl/>
        </w:rPr>
        <w:t>دعم استقرار سوق العمل من خلال تقليل فقدان الوظائف عبر برامج إعادة التأهيل.</w:t>
      </w:r>
    </w:p>
    <w:p w14:paraId="31655826" w14:textId="77777777" w:rsidR="00E81858" w:rsidRPr="00A04FC0" w:rsidRDefault="00E81858" w:rsidP="00F602D1">
      <w:pPr>
        <w:pStyle w:val="ListParagraph"/>
        <w:numPr>
          <w:ilvl w:val="0"/>
          <w:numId w:val="19"/>
        </w:numPr>
        <w:jc w:val="both"/>
        <w:rPr>
          <w:rtl/>
        </w:rPr>
      </w:pPr>
      <w:r w:rsidRPr="00A04FC0">
        <w:rPr>
          <w:rFonts w:hint="cs"/>
          <w:rtl/>
        </w:rPr>
        <w:t>تحسين بيئة العمل من خلال تبني ثقافة تنظيمية أكثر مرونة وابتكارًا.</w:t>
      </w:r>
    </w:p>
    <w:p w14:paraId="72E60FEE" w14:textId="2CBD2D92" w:rsidR="00E81858" w:rsidRPr="00A04FC0" w:rsidRDefault="00E81858" w:rsidP="00F602D1">
      <w:pPr>
        <w:pStyle w:val="ListParagraph"/>
        <w:numPr>
          <w:ilvl w:val="0"/>
          <w:numId w:val="19"/>
        </w:numPr>
        <w:jc w:val="both"/>
        <w:rPr>
          <w:rtl/>
        </w:rPr>
      </w:pPr>
      <w:r w:rsidRPr="00A04FC0">
        <w:rPr>
          <w:rFonts w:hint="cs"/>
          <w:rtl/>
        </w:rPr>
        <w:t>تعزيز ثقة المجتمع في الشركات من خلال التزامها بالمسؤولية البيئية.</w:t>
      </w:r>
    </w:p>
    <w:p w14:paraId="7EFE1FAF" w14:textId="5C72D657" w:rsidR="00E81858" w:rsidRPr="00341C0D" w:rsidRDefault="00E81858" w:rsidP="00341C0D">
      <w:pPr>
        <w:jc w:val="both"/>
        <w:rPr>
          <w:rFonts w:ascii="Calibri" w:hAnsi="Calibri" w:cs="Calibri"/>
          <w:kern w:val="0"/>
          <w:rtl/>
          <w14:ligatures w14:val="none"/>
        </w:rPr>
      </w:pPr>
      <w:r w:rsidRPr="005C4574">
        <w:rPr>
          <w:rFonts w:hint="cs"/>
          <w:color w:val="4472C4" w:themeColor="accent1"/>
          <w:rtl/>
        </w:rPr>
        <w:t>خامسًا: الأهمية الاستراتيجية</w:t>
      </w:r>
      <w:r w:rsidR="005C4574" w:rsidRPr="005C4574">
        <w:rPr>
          <w:rFonts w:hint="cs"/>
          <w:color w:val="4472C4" w:themeColor="accent1"/>
          <w:rtl/>
        </w:rPr>
        <w:t>:</w:t>
      </w:r>
    </w:p>
    <w:p w14:paraId="76127116" w14:textId="77777777" w:rsidR="00E81858" w:rsidRPr="00341C0D" w:rsidRDefault="00E81858" w:rsidP="005C4574">
      <w:pPr>
        <w:jc w:val="both"/>
        <w:rPr>
          <w:rFonts w:ascii="Calibri" w:hAnsi="Calibri" w:cs="Calibri"/>
          <w:kern w:val="0"/>
          <w14:ligatures w14:val="none"/>
        </w:rPr>
      </w:pPr>
      <w:r w:rsidRPr="00341C0D">
        <w:rPr>
          <w:rFonts w:ascii="Calibri" w:hAnsi="Calibri" w:cs="Calibri" w:hint="cs"/>
          <w:kern w:val="0"/>
          <w:rtl/>
          <w14:ligatures w14:val="none"/>
        </w:rPr>
        <w:t>من منظور استراتيجي، تبرز أهمية هذه الدراسة في كونها تساعد المؤسسات على تحقيق التوازن بين متطلبات الحاضر (الاعتماد المستمر على النفط والغاز) ومتطلبات المستقبل (التحول إلى الطاقة النظيفة). هذا التوازن يُعد من أكثر التحديات تعقيدًا، ويتطلب إدارة دقيقة للتغيير التنظيمي لضمان عدم الإخلال بالأداء التشغيلي أثناء التحول.</w:t>
      </w:r>
    </w:p>
    <w:p w14:paraId="790AC91E" w14:textId="77777777" w:rsidR="00E81858" w:rsidRDefault="00E81858" w:rsidP="00E81858">
      <w:pPr>
        <w:pStyle w:val="NormalWeb"/>
        <w:jc w:val="right"/>
        <w:rPr>
          <w:rtl/>
        </w:rPr>
      </w:pPr>
      <w:r>
        <w:rPr>
          <w:rFonts w:hint="cs"/>
          <w:rtl/>
        </w:rPr>
        <w:t>تدعم الدراسة تطوير:</w:t>
      </w:r>
    </w:p>
    <w:p w14:paraId="2DD28D9E" w14:textId="77777777" w:rsidR="00E81858" w:rsidRPr="00E81858" w:rsidRDefault="00E81858" w:rsidP="00E81858">
      <w:pPr>
        <w:pStyle w:val="NormalWeb"/>
        <w:jc w:val="right"/>
      </w:pPr>
      <w:r w:rsidRPr="00E81858">
        <w:rPr>
          <w:rFonts w:hint="cs"/>
          <w:rtl/>
        </w:rPr>
        <w:t>استراتيجيات تحول متكاملة تربط بين الأهداف البيئية والاقتصادية.</w:t>
      </w:r>
    </w:p>
    <w:p w14:paraId="018FBAD9" w14:textId="77777777" w:rsidR="00E81858" w:rsidRPr="00E81858" w:rsidRDefault="00E81858" w:rsidP="00E81858">
      <w:pPr>
        <w:pStyle w:val="NormalWeb"/>
        <w:jc w:val="right"/>
        <w:rPr>
          <w:rtl/>
        </w:rPr>
      </w:pPr>
      <w:r w:rsidRPr="00E81858">
        <w:rPr>
          <w:rFonts w:hint="cs"/>
          <w:rtl/>
        </w:rPr>
        <w:t>نماذج أعمال جديدة تعتمد على التنويع في مصادر الطاقة.</w:t>
      </w:r>
    </w:p>
    <w:p w14:paraId="4B54BDA4" w14:textId="14F89664" w:rsidR="00E81858" w:rsidRDefault="00E81858" w:rsidP="005C4574">
      <w:pPr>
        <w:pStyle w:val="NormalWeb"/>
        <w:jc w:val="right"/>
        <w:rPr>
          <w:rtl/>
        </w:rPr>
      </w:pPr>
      <w:r w:rsidRPr="00E81858">
        <w:rPr>
          <w:rFonts w:hint="cs"/>
          <w:rtl/>
        </w:rPr>
        <w:t>آليات حوكمة فعالة تضمن متابعة تنفيذ التغيير وتقييم نتائجه بشكل مستمر.</w:t>
      </w:r>
    </w:p>
    <w:p w14:paraId="0CFC21B2" w14:textId="70F87667" w:rsidR="00E81858" w:rsidRDefault="00E81858" w:rsidP="005C4574">
      <w:pPr>
        <w:jc w:val="both"/>
        <w:rPr>
          <w:rtl/>
        </w:rPr>
      </w:pPr>
      <w:r>
        <w:rPr>
          <w:rFonts w:hint="cs"/>
          <w:rtl/>
        </w:rPr>
        <w:t>تحليل نقدي مختصر</w:t>
      </w:r>
      <w:r w:rsidR="005944F7">
        <w:rPr>
          <w:rFonts w:hint="cs"/>
          <w:rtl/>
        </w:rPr>
        <w:t>:</w:t>
      </w:r>
    </w:p>
    <w:p w14:paraId="579DE2BF" w14:textId="27D52EE7" w:rsidR="00F925D0" w:rsidRDefault="00E81858" w:rsidP="00A3656A">
      <w:pPr>
        <w:jc w:val="both"/>
        <w:rPr>
          <w:rtl/>
        </w:rPr>
      </w:pPr>
      <w:r>
        <w:rPr>
          <w:rFonts w:hint="cs"/>
          <w:rtl/>
        </w:rPr>
        <w:t>من المهم الإشارة إلى أن بعض الطروحات الحالية تفترض أن التحول الطاقي سيؤدي تلقائيًا إلى تحسين الأداء المؤسسي، وهو افتراض يحتاج إلى مراجعة. فبدون إدارة تغيير فعالة، قد يؤدي هذا التحول إلى نتائج عكسية، مثل انخفاض الإنتاجية أو زيادة التكاليف. لذلك، تبرز هذه الدراسة كأداة لفحص هذه الافتراضات بشكل علمي، وتقديم بدائل قائمة على الأدلة.</w:t>
      </w:r>
      <w:r w:rsidR="00A3656A">
        <w:rPr>
          <w:rFonts w:hint="cs"/>
          <w:rtl/>
        </w:rPr>
        <w:t xml:space="preserve"> لذلك </w:t>
      </w:r>
      <w:r>
        <w:rPr>
          <w:rFonts w:hint="cs"/>
          <w:rtl/>
        </w:rPr>
        <w:t>تكمن أهمية هذه الدراسة في كونها تربط بين النظرية والتطبيق، وتتناول قضية معاصرة ذات تأثير واسع على مختلف المستويات. فهي لا تسهم فقط في تطوير المعرفة العلمية، بل تقدم أيضًا أدوات عملية تساعد المؤسسات على تحقيق تحول ناجح ومستدام في بيئة تتسم بالتغير السريع والتعقيد العالي.</w:t>
      </w:r>
    </w:p>
    <w:p w14:paraId="387521FE" w14:textId="2688E8F5" w:rsidR="00A3656A" w:rsidRDefault="00A3656A" w:rsidP="00A3656A">
      <w:pPr>
        <w:jc w:val="both"/>
        <w:rPr>
          <w:rtl/>
        </w:rPr>
      </w:pPr>
    </w:p>
    <w:p w14:paraId="6D5DBF71" w14:textId="04DBBF43" w:rsidR="00A04FC0" w:rsidRDefault="00A04FC0" w:rsidP="00A3656A">
      <w:pPr>
        <w:jc w:val="both"/>
        <w:rPr>
          <w:rtl/>
        </w:rPr>
      </w:pPr>
    </w:p>
    <w:p w14:paraId="7D450F21" w14:textId="2CCAE557" w:rsidR="00A04FC0" w:rsidRDefault="00A04FC0" w:rsidP="00A3656A">
      <w:pPr>
        <w:jc w:val="both"/>
      </w:pPr>
    </w:p>
    <w:p w14:paraId="7ECCFFC3" w14:textId="2BDCF99B" w:rsidR="00341C0D" w:rsidRDefault="00341C0D" w:rsidP="00A3656A">
      <w:pPr>
        <w:jc w:val="both"/>
      </w:pPr>
    </w:p>
    <w:p w14:paraId="57607FB5" w14:textId="28F81FCC" w:rsidR="00341C0D" w:rsidRDefault="00341C0D" w:rsidP="00A3656A">
      <w:pPr>
        <w:jc w:val="both"/>
      </w:pPr>
    </w:p>
    <w:p w14:paraId="51E8903A" w14:textId="25AE197F" w:rsidR="00341C0D" w:rsidRDefault="00341C0D" w:rsidP="00A3656A">
      <w:pPr>
        <w:jc w:val="both"/>
      </w:pPr>
    </w:p>
    <w:p w14:paraId="2314DCFA" w14:textId="3626A846" w:rsidR="00341C0D" w:rsidRDefault="00341C0D" w:rsidP="00A3656A">
      <w:pPr>
        <w:jc w:val="both"/>
      </w:pPr>
    </w:p>
    <w:p w14:paraId="2406C877" w14:textId="0C286BFE" w:rsidR="00341C0D" w:rsidRDefault="00341C0D" w:rsidP="00A3656A">
      <w:pPr>
        <w:jc w:val="both"/>
      </w:pPr>
    </w:p>
    <w:p w14:paraId="05C39724" w14:textId="77777777" w:rsidR="00341C0D" w:rsidRPr="00A3656A" w:rsidRDefault="00341C0D" w:rsidP="00A3656A">
      <w:pPr>
        <w:jc w:val="both"/>
        <w:rPr>
          <w:rtl/>
        </w:rPr>
      </w:pPr>
    </w:p>
    <w:p w14:paraId="0D1AC2D8" w14:textId="157F81A9" w:rsidR="00D22171" w:rsidRPr="00EE6287" w:rsidRDefault="00D22171" w:rsidP="00EE6287">
      <w:pPr>
        <w:pStyle w:val="Heading2"/>
        <w:rPr>
          <w:rFonts w:ascii="Sakkal Majalla" w:hAnsi="Sakkal Majalla" w:cs="Sakkal Majalla"/>
          <w:color w:val="auto"/>
          <w:sz w:val="28"/>
          <w:szCs w:val="28"/>
          <w:u w:val="single"/>
          <w:rtl/>
        </w:rPr>
      </w:pPr>
      <w:bookmarkStart w:id="8" w:name="_Toc225314013"/>
      <w:r w:rsidRPr="00EE6287">
        <w:rPr>
          <w:rFonts w:ascii="Sakkal Majalla" w:hAnsi="Sakkal Majalla" w:cs="Sakkal Majalla"/>
          <w:color w:val="auto"/>
          <w:sz w:val="28"/>
          <w:szCs w:val="28"/>
          <w:u w:val="single"/>
          <w:rtl/>
        </w:rPr>
        <w:lastRenderedPageBreak/>
        <w:t>-أهداف الدراسة.</w:t>
      </w:r>
      <w:bookmarkEnd w:id="8"/>
      <w:r w:rsidRPr="00EE6287">
        <w:rPr>
          <w:rFonts w:ascii="Sakkal Majalla" w:hAnsi="Sakkal Majalla" w:cs="Sakkal Majalla"/>
          <w:color w:val="auto"/>
          <w:sz w:val="28"/>
          <w:szCs w:val="28"/>
          <w:u w:val="single"/>
          <w:rtl/>
        </w:rPr>
        <w:t xml:space="preserve"> </w:t>
      </w:r>
    </w:p>
    <w:p w14:paraId="30BA675F" w14:textId="77777777" w:rsidR="00A3656A" w:rsidRDefault="00A3656A" w:rsidP="00A3656A">
      <w:pPr>
        <w:jc w:val="both"/>
      </w:pPr>
      <w:r>
        <w:rPr>
          <w:rFonts w:hint="cs"/>
          <w:rtl/>
        </w:rPr>
        <w:t xml:space="preserve">تنطلق هذه الدراسة من الحاجة إلى فهم عميق لكيفية إدارة التحولات التنظيمية المعقدة التي تفرضها متطلبات </w:t>
      </w:r>
      <w:r>
        <w:t>Energy Transition</w:t>
      </w:r>
      <w:r>
        <w:rPr>
          <w:rFonts w:hint="cs"/>
          <w:rtl/>
        </w:rPr>
        <w:t xml:space="preserve"> في قطاع النفط والغاز. وفي ظل التغيرات المتسارعة التي يشهدها هذا القطاع، تسعى الدراسة إلى صياغة مجموعة من الأهداف العلمية والتطبيقية التي تسهم في سد الفجوة بين التوجهات الاستراتيجية والتنفيذ الفعلي للتغيير داخل المؤسسات.</w:t>
      </w:r>
    </w:p>
    <w:p w14:paraId="7A1C6B9E" w14:textId="77777777" w:rsidR="00A3656A" w:rsidRDefault="00A3656A" w:rsidP="00A3656A">
      <w:pPr>
        <w:jc w:val="both"/>
      </w:pPr>
    </w:p>
    <w:p w14:paraId="2F5990DF" w14:textId="10C2DE1A" w:rsidR="00A3656A" w:rsidRPr="001F7C1A" w:rsidRDefault="00A3656A" w:rsidP="001F7C1A">
      <w:pPr>
        <w:pStyle w:val="Heading3"/>
        <w:rPr>
          <w:rFonts w:eastAsiaTheme="minorHAnsi"/>
          <w:color w:val="4472C4" w:themeColor="accent1"/>
          <w:rtl/>
        </w:rPr>
      </w:pPr>
      <w:bookmarkStart w:id="9" w:name="_Toc225314014"/>
      <w:r w:rsidRPr="001F7C1A">
        <w:rPr>
          <w:rFonts w:eastAsiaTheme="minorHAnsi" w:hint="cs"/>
          <w:color w:val="4472C4" w:themeColor="accent1"/>
          <w:rtl/>
        </w:rPr>
        <w:t>أولًا: الهدف العام للدراسة</w:t>
      </w:r>
      <w:r w:rsidR="001F7C1A" w:rsidRPr="001F7C1A">
        <w:rPr>
          <w:rFonts w:hint="cs"/>
          <w:color w:val="4472C4" w:themeColor="accent1"/>
          <w:rtl/>
        </w:rPr>
        <w:t>:</w:t>
      </w:r>
      <w:bookmarkEnd w:id="9"/>
    </w:p>
    <w:p w14:paraId="1685378F" w14:textId="1ECF4D03" w:rsidR="00A3656A" w:rsidRDefault="00A3656A" w:rsidP="001F7C1A">
      <w:pPr>
        <w:jc w:val="both"/>
      </w:pPr>
      <w:r>
        <w:rPr>
          <w:rFonts w:hint="cs"/>
          <w:rtl/>
        </w:rPr>
        <w:t>يتمثل الهدف الرئيسي لهذه الدراسة في:</w:t>
      </w:r>
    </w:p>
    <w:p w14:paraId="3FF51D3E" w14:textId="182A034C" w:rsidR="00A3656A" w:rsidRDefault="00A3656A" w:rsidP="001F7C1A">
      <w:pPr>
        <w:jc w:val="both"/>
        <w:rPr>
          <w:rtl/>
        </w:rPr>
      </w:pPr>
      <w:r>
        <w:rPr>
          <w:rFonts w:hint="cs"/>
          <w:rtl/>
        </w:rPr>
        <w:t xml:space="preserve">تحليل وتقييم فعالية ممارسات </w:t>
      </w:r>
      <w:r>
        <w:t>Organizational Change Management</w:t>
      </w:r>
      <w:r>
        <w:rPr>
          <w:rFonts w:hint="cs"/>
          <w:rtl/>
        </w:rPr>
        <w:t xml:space="preserve"> في شركات النفط والغاز أثناء التحول الطاقي، وتطوير إطار عملي يساعد على تحسين قدرة هذه الشركات على إدارة التغيير التنظيمي بشكل ناجح ومستدام.</w:t>
      </w:r>
      <w:r w:rsidR="001F7C1A">
        <w:rPr>
          <w:rFonts w:hint="cs"/>
          <w:rtl/>
        </w:rPr>
        <w:t xml:space="preserve"> </w:t>
      </w:r>
      <w:r>
        <w:rPr>
          <w:rFonts w:hint="cs"/>
          <w:rtl/>
        </w:rPr>
        <w:t>هذا الهدف يعكس توجهًا تكامليًا يجمع بين التحليل النظري والتطبيق العملي، ويركز على فهم ديناميكيات التغيير داخل بيئة صناعية معقدة تتأثر بعوامل داخلية وخارجية متعددة.</w:t>
      </w:r>
    </w:p>
    <w:p w14:paraId="0C29BCA9" w14:textId="24040EF1" w:rsidR="00A3656A" w:rsidRPr="001F7C1A" w:rsidRDefault="00A3656A" w:rsidP="001F7C1A">
      <w:pPr>
        <w:pStyle w:val="Heading3"/>
        <w:rPr>
          <w:rFonts w:eastAsiaTheme="minorHAnsi"/>
          <w:color w:val="4472C4" w:themeColor="accent1"/>
        </w:rPr>
      </w:pPr>
      <w:bookmarkStart w:id="10" w:name="_Toc225314015"/>
      <w:r w:rsidRPr="001F7C1A">
        <w:rPr>
          <w:rFonts w:eastAsiaTheme="minorHAnsi" w:hint="cs"/>
          <w:color w:val="4472C4" w:themeColor="accent1"/>
          <w:rtl/>
        </w:rPr>
        <w:t>ثانيًا: الأهداف الفرعية</w:t>
      </w:r>
      <w:r w:rsidR="001F7C1A" w:rsidRPr="001F7C1A">
        <w:rPr>
          <w:rFonts w:hint="cs"/>
          <w:color w:val="4472C4" w:themeColor="accent1"/>
          <w:rtl/>
        </w:rPr>
        <w:t>:</w:t>
      </w:r>
      <w:bookmarkEnd w:id="10"/>
    </w:p>
    <w:p w14:paraId="38374BC1" w14:textId="66E24C43" w:rsidR="00A3656A" w:rsidRDefault="00A3656A" w:rsidP="00A3656A">
      <w:pPr>
        <w:jc w:val="both"/>
      </w:pPr>
      <w:r>
        <w:t>1</w:t>
      </w:r>
      <w:r w:rsidR="001F7C1A">
        <w:rPr>
          <w:rFonts w:hint="cs"/>
          <w:rtl/>
        </w:rPr>
        <w:t xml:space="preserve">- </w:t>
      </w:r>
      <w:r>
        <w:rPr>
          <w:rFonts w:hint="cs"/>
          <w:rtl/>
        </w:rPr>
        <w:t>تحليل طبيعة التحديات التنظيمية المرتبطة بالتحول الطاقي</w:t>
      </w:r>
      <w:r w:rsidR="001F7C1A">
        <w:rPr>
          <w:rFonts w:hint="cs"/>
          <w:rtl/>
        </w:rPr>
        <w:t>.</w:t>
      </w:r>
    </w:p>
    <w:p w14:paraId="3C61F2F8" w14:textId="77777777" w:rsidR="00A3656A" w:rsidRDefault="00A3656A" w:rsidP="00A3656A">
      <w:pPr>
        <w:jc w:val="both"/>
      </w:pPr>
      <w:r>
        <w:rPr>
          <w:rFonts w:hint="cs"/>
          <w:rtl/>
        </w:rPr>
        <w:t>تهدف الدراسة إلى تحديد وتحليل التحديات الرئيسية التي تواجه شركات النفط والغاز أثناء تنفيذ استراتيجيات التحول الطاقي، بما في ذلك:</w:t>
      </w:r>
    </w:p>
    <w:p w14:paraId="14B2F55B" w14:textId="77777777" w:rsidR="00A3656A" w:rsidRPr="00A3656A" w:rsidRDefault="00A3656A" w:rsidP="00F602D1">
      <w:pPr>
        <w:pStyle w:val="ListParagraph"/>
        <w:numPr>
          <w:ilvl w:val="0"/>
          <w:numId w:val="9"/>
        </w:numPr>
        <w:jc w:val="both"/>
      </w:pPr>
      <w:r w:rsidRPr="00A3656A">
        <w:rPr>
          <w:rFonts w:hint="cs"/>
          <w:rtl/>
        </w:rPr>
        <w:t>مقاومة التغيير من قبل العاملين.</w:t>
      </w:r>
    </w:p>
    <w:p w14:paraId="307B4EB2" w14:textId="77777777" w:rsidR="00A3656A" w:rsidRPr="00A3656A" w:rsidRDefault="00A3656A" w:rsidP="00F602D1">
      <w:pPr>
        <w:pStyle w:val="ListParagraph"/>
        <w:numPr>
          <w:ilvl w:val="0"/>
          <w:numId w:val="9"/>
        </w:numPr>
        <w:jc w:val="both"/>
        <w:rPr>
          <w:rtl/>
        </w:rPr>
      </w:pPr>
      <w:r w:rsidRPr="00A3656A">
        <w:rPr>
          <w:rFonts w:hint="cs"/>
          <w:rtl/>
        </w:rPr>
        <w:t>تعقيد الهياكل التنظيمية التقليدية.</w:t>
      </w:r>
    </w:p>
    <w:p w14:paraId="1E0E9D58" w14:textId="12948E91" w:rsidR="00A3656A" w:rsidRPr="00A3656A" w:rsidRDefault="00A3656A" w:rsidP="00F602D1">
      <w:pPr>
        <w:pStyle w:val="ListParagraph"/>
        <w:numPr>
          <w:ilvl w:val="0"/>
          <w:numId w:val="9"/>
        </w:numPr>
        <w:jc w:val="both"/>
        <w:rPr>
          <w:rtl/>
        </w:rPr>
      </w:pPr>
      <w:r w:rsidRPr="00A3656A">
        <w:rPr>
          <w:rFonts w:hint="cs"/>
          <w:rtl/>
        </w:rPr>
        <w:t>ضعف التكامل بين الإدارات المختلفة.</w:t>
      </w:r>
    </w:p>
    <w:p w14:paraId="54BB9F01" w14:textId="4C3091FF" w:rsidR="00A3656A" w:rsidRDefault="00A3656A" w:rsidP="001F7C1A">
      <w:pPr>
        <w:jc w:val="both"/>
      </w:pPr>
      <w:r>
        <w:rPr>
          <w:rFonts w:hint="cs"/>
          <w:rtl/>
        </w:rPr>
        <w:t xml:space="preserve">وتستند هذه النقطة إلى ما تشير إليه تقارير </w:t>
      </w:r>
      <w:r>
        <w:t>International Energy Agency</w:t>
      </w:r>
      <w:r>
        <w:rPr>
          <w:rFonts w:hint="cs"/>
          <w:rtl/>
        </w:rPr>
        <w:t xml:space="preserve"> حول أن التحول الطاقي لا يقتصر على البعد التقني، بل يتطلب تغييرات مؤسسية عميقة تشمل الثقافة والعمليات.</w:t>
      </w:r>
    </w:p>
    <w:p w14:paraId="3CCFC3E1" w14:textId="41098EFC" w:rsidR="00A3656A" w:rsidRDefault="001F7C1A" w:rsidP="00A3656A">
      <w:pPr>
        <w:jc w:val="both"/>
      </w:pPr>
      <w:r>
        <w:rPr>
          <w:rFonts w:hint="cs"/>
          <w:rtl/>
        </w:rPr>
        <w:t>2-</w:t>
      </w:r>
      <w:r w:rsidR="00A3656A">
        <w:t xml:space="preserve"> </w:t>
      </w:r>
      <w:r w:rsidR="00A3656A">
        <w:rPr>
          <w:rFonts w:hint="cs"/>
          <w:rtl/>
        </w:rPr>
        <w:t>تقييم دور القيادة في إدارة التغيير التنظيمي</w:t>
      </w:r>
      <w:r>
        <w:rPr>
          <w:rFonts w:hint="cs"/>
          <w:rtl/>
        </w:rPr>
        <w:t>.</w:t>
      </w:r>
    </w:p>
    <w:p w14:paraId="099A5267" w14:textId="77777777" w:rsidR="00A3656A" w:rsidRDefault="00A3656A" w:rsidP="00A3656A">
      <w:pPr>
        <w:jc w:val="both"/>
      </w:pPr>
      <w:r>
        <w:rPr>
          <w:rFonts w:hint="cs"/>
          <w:rtl/>
        </w:rPr>
        <w:t>تركز الدراسة على تحليل دور القيادة، خاصة القيادة التحويلية (</w:t>
      </w:r>
      <w:r>
        <w:t>Transformational Leadership</w:t>
      </w:r>
      <w:r>
        <w:rPr>
          <w:rFonts w:hint="cs"/>
          <w:rtl/>
        </w:rPr>
        <w:t>)، في دعم أو إعاقة نجاح التغيير التنظيمي. ويشمل ذلك:</w:t>
      </w:r>
    </w:p>
    <w:p w14:paraId="0057EDB9" w14:textId="77777777" w:rsidR="00A3656A" w:rsidRPr="00A3656A" w:rsidRDefault="00A3656A" w:rsidP="00F602D1">
      <w:pPr>
        <w:pStyle w:val="ListParagraph"/>
        <w:numPr>
          <w:ilvl w:val="0"/>
          <w:numId w:val="10"/>
        </w:numPr>
        <w:jc w:val="both"/>
      </w:pPr>
      <w:r w:rsidRPr="00A3656A">
        <w:rPr>
          <w:rFonts w:hint="cs"/>
          <w:rtl/>
        </w:rPr>
        <w:t>قدرة القادة على صياغة رؤية واضحة للتحول.</w:t>
      </w:r>
    </w:p>
    <w:p w14:paraId="48477D71" w14:textId="77777777" w:rsidR="00A3656A" w:rsidRPr="00A3656A" w:rsidRDefault="00A3656A" w:rsidP="00F602D1">
      <w:pPr>
        <w:pStyle w:val="ListParagraph"/>
        <w:numPr>
          <w:ilvl w:val="0"/>
          <w:numId w:val="10"/>
        </w:numPr>
        <w:jc w:val="both"/>
        <w:rPr>
          <w:rtl/>
        </w:rPr>
      </w:pPr>
      <w:r w:rsidRPr="00A3656A">
        <w:rPr>
          <w:rFonts w:hint="cs"/>
          <w:rtl/>
        </w:rPr>
        <w:t>مهارات التواصل والتأثير في العاملين.</w:t>
      </w:r>
    </w:p>
    <w:p w14:paraId="29FE44B1" w14:textId="27B241AE" w:rsidR="00A3656A" w:rsidRPr="00A3656A" w:rsidRDefault="00A3656A" w:rsidP="00F602D1">
      <w:pPr>
        <w:pStyle w:val="ListParagraph"/>
        <w:numPr>
          <w:ilvl w:val="0"/>
          <w:numId w:val="10"/>
        </w:numPr>
        <w:jc w:val="both"/>
        <w:rPr>
          <w:rtl/>
        </w:rPr>
      </w:pPr>
      <w:r w:rsidRPr="00A3656A">
        <w:rPr>
          <w:rFonts w:hint="cs"/>
          <w:rtl/>
        </w:rPr>
        <w:t>إدارة مقاومة التغيير.</w:t>
      </w:r>
    </w:p>
    <w:p w14:paraId="3A979BDC" w14:textId="7C5C27E1" w:rsidR="00A3656A" w:rsidRDefault="00A3656A" w:rsidP="001F7C1A">
      <w:pPr>
        <w:jc w:val="both"/>
      </w:pPr>
      <w:r>
        <w:rPr>
          <w:rFonts w:hint="cs"/>
          <w:rtl/>
        </w:rPr>
        <w:t xml:space="preserve">وتشير </w:t>
      </w:r>
      <w:r w:rsidR="001F7C1A">
        <w:rPr>
          <w:rFonts w:hint="cs"/>
          <w:rtl/>
        </w:rPr>
        <w:t xml:space="preserve">بعض </w:t>
      </w:r>
      <w:r>
        <w:rPr>
          <w:rFonts w:hint="cs"/>
          <w:rtl/>
        </w:rPr>
        <w:t xml:space="preserve">دراسات </w:t>
      </w:r>
      <w:r>
        <w:t>McKinsey</w:t>
      </w:r>
      <w:r>
        <w:rPr>
          <w:rFonts w:hint="cs"/>
          <w:rtl/>
        </w:rPr>
        <w:t xml:space="preserve"> إلى أن القيادة الفعالة تُعد من أهم العوامل الحاسمة في نجاح التحولات الكبرى داخل المؤسسات.</w:t>
      </w:r>
    </w:p>
    <w:p w14:paraId="65430D21" w14:textId="58333F20" w:rsidR="00A3656A" w:rsidRDefault="001F7C1A" w:rsidP="00A3656A">
      <w:pPr>
        <w:jc w:val="both"/>
      </w:pPr>
      <w:r>
        <w:rPr>
          <w:rFonts w:hint="cs"/>
          <w:rtl/>
        </w:rPr>
        <w:t>3-</w:t>
      </w:r>
      <w:r w:rsidR="00A3656A">
        <w:t xml:space="preserve"> </w:t>
      </w:r>
      <w:r w:rsidR="00A3656A">
        <w:rPr>
          <w:rFonts w:hint="cs"/>
          <w:rtl/>
        </w:rPr>
        <w:t>دراسة تأثير الثقافة التنظيمية على نجاح التحول</w:t>
      </w:r>
      <w:r>
        <w:rPr>
          <w:rFonts w:hint="cs"/>
          <w:rtl/>
        </w:rPr>
        <w:t>.</w:t>
      </w:r>
    </w:p>
    <w:p w14:paraId="585B8C65" w14:textId="77777777" w:rsidR="00A3656A" w:rsidRDefault="00A3656A" w:rsidP="00A3656A">
      <w:pPr>
        <w:jc w:val="both"/>
      </w:pPr>
      <w:r>
        <w:rPr>
          <w:rFonts w:hint="cs"/>
          <w:rtl/>
        </w:rPr>
        <w:t>تسعى الدراسة إلى فهم كيفية تأثير الثقافة التنظيمية السائدة في شركات النفط والغاز على تبني التغيير، من خلال:</w:t>
      </w:r>
    </w:p>
    <w:p w14:paraId="4B25DDA0" w14:textId="77777777" w:rsidR="00A3656A" w:rsidRPr="00A3656A" w:rsidRDefault="00A3656A" w:rsidP="00F602D1">
      <w:pPr>
        <w:pStyle w:val="ListParagraph"/>
        <w:numPr>
          <w:ilvl w:val="0"/>
          <w:numId w:val="11"/>
        </w:numPr>
        <w:jc w:val="both"/>
      </w:pPr>
      <w:r w:rsidRPr="00A3656A">
        <w:rPr>
          <w:rFonts w:hint="cs"/>
          <w:rtl/>
        </w:rPr>
        <w:t>تحليل القيم والمعتقدات المؤسسية.</w:t>
      </w:r>
    </w:p>
    <w:p w14:paraId="06B4224A" w14:textId="77777777" w:rsidR="00A3656A" w:rsidRPr="00A3656A" w:rsidRDefault="00A3656A" w:rsidP="00F602D1">
      <w:pPr>
        <w:pStyle w:val="ListParagraph"/>
        <w:numPr>
          <w:ilvl w:val="0"/>
          <w:numId w:val="11"/>
        </w:numPr>
        <w:jc w:val="both"/>
        <w:rPr>
          <w:rtl/>
        </w:rPr>
      </w:pPr>
      <w:r w:rsidRPr="00A3656A">
        <w:rPr>
          <w:rFonts w:hint="cs"/>
          <w:rtl/>
        </w:rPr>
        <w:t>تقييم مدى دعم الثقافة للابتكار والتجديد.</w:t>
      </w:r>
    </w:p>
    <w:p w14:paraId="1772040C" w14:textId="0DC789CC" w:rsidR="00A3656A" w:rsidRPr="00A3656A" w:rsidRDefault="00A3656A" w:rsidP="00F602D1">
      <w:pPr>
        <w:pStyle w:val="ListParagraph"/>
        <w:numPr>
          <w:ilvl w:val="0"/>
          <w:numId w:val="11"/>
        </w:numPr>
        <w:jc w:val="both"/>
        <w:rPr>
          <w:rtl/>
        </w:rPr>
      </w:pPr>
      <w:r w:rsidRPr="00A3656A">
        <w:rPr>
          <w:rFonts w:hint="cs"/>
          <w:rtl/>
        </w:rPr>
        <w:t>تحديد الفجوات بين الثقافة الحالية والمستهدفة.</w:t>
      </w:r>
    </w:p>
    <w:p w14:paraId="0C1202D3" w14:textId="50148187" w:rsidR="00A3656A" w:rsidRDefault="001F7C1A" w:rsidP="00A3656A">
      <w:pPr>
        <w:jc w:val="both"/>
      </w:pPr>
      <w:r>
        <w:rPr>
          <w:rFonts w:hint="cs"/>
          <w:rtl/>
        </w:rPr>
        <w:t xml:space="preserve">4- </w:t>
      </w:r>
      <w:r w:rsidR="00A3656A">
        <w:rPr>
          <w:rFonts w:hint="cs"/>
          <w:rtl/>
        </w:rPr>
        <w:t>تحليل جاهزية القوى العاملة</w:t>
      </w:r>
      <w:r>
        <w:rPr>
          <w:rFonts w:hint="cs"/>
          <w:rtl/>
        </w:rPr>
        <w:t>.</w:t>
      </w:r>
    </w:p>
    <w:p w14:paraId="2A03108D" w14:textId="77777777" w:rsidR="00A3656A" w:rsidRDefault="00A3656A" w:rsidP="00A3656A">
      <w:pPr>
        <w:jc w:val="both"/>
      </w:pPr>
      <w:r>
        <w:rPr>
          <w:rFonts w:hint="cs"/>
          <w:rtl/>
        </w:rPr>
        <w:t>يُعد العنصر البشري محورًا أساسيًا في أي عملية تغيير، لذلك تهدف الدراسة إلى:</w:t>
      </w:r>
    </w:p>
    <w:p w14:paraId="529EB807" w14:textId="77777777" w:rsidR="00A3656A" w:rsidRPr="00A3656A" w:rsidRDefault="00A3656A" w:rsidP="00F602D1">
      <w:pPr>
        <w:pStyle w:val="ListParagraph"/>
        <w:numPr>
          <w:ilvl w:val="0"/>
          <w:numId w:val="12"/>
        </w:numPr>
        <w:jc w:val="both"/>
      </w:pPr>
      <w:r w:rsidRPr="00A3656A">
        <w:rPr>
          <w:rFonts w:hint="cs"/>
          <w:rtl/>
        </w:rPr>
        <w:t>تقييم مستوى المهارات الحالية لدى العاملين.</w:t>
      </w:r>
    </w:p>
    <w:p w14:paraId="2E06D756" w14:textId="77777777" w:rsidR="00A3656A" w:rsidRPr="00A3656A" w:rsidRDefault="00A3656A" w:rsidP="00F602D1">
      <w:pPr>
        <w:pStyle w:val="ListParagraph"/>
        <w:numPr>
          <w:ilvl w:val="0"/>
          <w:numId w:val="12"/>
        </w:numPr>
        <w:jc w:val="both"/>
        <w:rPr>
          <w:rtl/>
        </w:rPr>
      </w:pPr>
      <w:r w:rsidRPr="00A3656A">
        <w:rPr>
          <w:rFonts w:hint="cs"/>
          <w:rtl/>
        </w:rPr>
        <w:t>تحديد الفجوات في المهارات المطلوبة لمواكبة التحول.</w:t>
      </w:r>
    </w:p>
    <w:p w14:paraId="5A641F69" w14:textId="594ABAF8" w:rsidR="00A3656A" w:rsidRPr="00A3656A" w:rsidRDefault="00A3656A" w:rsidP="00F602D1">
      <w:pPr>
        <w:pStyle w:val="ListParagraph"/>
        <w:numPr>
          <w:ilvl w:val="0"/>
          <w:numId w:val="12"/>
        </w:numPr>
        <w:jc w:val="both"/>
        <w:rPr>
          <w:rtl/>
        </w:rPr>
      </w:pPr>
      <w:r w:rsidRPr="00A3656A">
        <w:rPr>
          <w:rFonts w:hint="cs"/>
          <w:rtl/>
        </w:rPr>
        <w:t>اقتراح استراتيجيات لإعادة التأهيل والتطوير.</w:t>
      </w:r>
    </w:p>
    <w:p w14:paraId="36E75095" w14:textId="75E5A254" w:rsidR="00A3656A" w:rsidRDefault="00A3656A" w:rsidP="001F7C1A">
      <w:pPr>
        <w:jc w:val="both"/>
      </w:pPr>
      <w:r>
        <w:rPr>
          <w:rFonts w:hint="cs"/>
          <w:rtl/>
        </w:rPr>
        <w:t xml:space="preserve">وتؤكد </w:t>
      </w:r>
      <w:r>
        <w:t>World Economic Forum</w:t>
      </w:r>
      <w:r>
        <w:rPr>
          <w:rFonts w:hint="cs"/>
          <w:rtl/>
        </w:rPr>
        <w:t xml:space="preserve"> أن إعادة تأهيل القوى العاملة تُعد عنصرًا أساسيًا لضمان انتقال عادل وفعال نحو الطاقة المستدامة.</w:t>
      </w:r>
    </w:p>
    <w:p w14:paraId="630B3593" w14:textId="527EFE0E" w:rsidR="00A3656A" w:rsidRDefault="001F7C1A" w:rsidP="00A3656A">
      <w:pPr>
        <w:jc w:val="both"/>
      </w:pPr>
      <w:r>
        <w:rPr>
          <w:rFonts w:hint="cs"/>
          <w:rtl/>
        </w:rPr>
        <w:lastRenderedPageBreak/>
        <w:t>5-</w:t>
      </w:r>
      <w:r w:rsidR="00A3656A">
        <w:t xml:space="preserve"> </w:t>
      </w:r>
      <w:r w:rsidR="00A3656A">
        <w:rPr>
          <w:rFonts w:hint="cs"/>
          <w:rtl/>
        </w:rPr>
        <w:t>تقييم فعالية النماذج الحالية لإدارة التغيير</w:t>
      </w:r>
      <w:r>
        <w:rPr>
          <w:rFonts w:hint="cs"/>
          <w:rtl/>
        </w:rPr>
        <w:t>.</w:t>
      </w:r>
    </w:p>
    <w:p w14:paraId="40133340" w14:textId="56261337" w:rsidR="00A3656A" w:rsidRDefault="00A3656A" w:rsidP="00A3656A">
      <w:pPr>
        <w:jc w:val="both"/>
      </w:pPr>
      <w:r>
        <w:rPr>
          <w:rFonts w:hint="cs"/>
          <w:rtl/>
        </w:rPr>
        <w:t xml:space="preserve">تهدف الدراسة إلى مراجعة وتحليل </w:t>
      </w:r>
      <w:r w:rsidR="001F7C1A">
        <w:rPr>
          <w:rFonts w:hint="cs"/>
          <w:rtl/>
        </w:rPr>
        <w:t xml:space="preserve">بعض </w:t>
      </w:r>
      <w:r>
        <w:rPr>
          <w:rFonts w:hint="cs"/>
          <w:rtl/>
        </w:rPr>
        <w:t>النماذج والنظريات المستخدمة في إدارة التغيير، مثل:</w:t>
      </w:r>
    </w:p>
    <w:p w14:paraId="3BA1F8D7" w14:textId="77777777" w:rsidR="00A3656A" w:rsidRPr="00A3656A" w:rsidRDefault="00A3656A" w:rsidP="00F602D1">
      <w:pPr>
        <w:pStyle w:val="ListParagraph"/>
        <w:numPr>
          <w:ilvl w:val="0"/>
          <w:numId w:val="13"/>
        </w:numPr>
        <w:jc w:val="both"/>
      </w:pPr>
      <w:r w:rsidRPr="00A3656A">
        <w:rPr>
          <w:rFonts w:hint="cs"/>
          <w:rtl/>
        </w:rPr>
        <w:t>نماذج التغيير التدريجي مقابل التغيير الجذري.</w:t>
      </w:r>
    </w:p>
    <w:p w14:paraId="171274D8" w14:textId="0DBC0438" w:rsidR="00A3656A" w:rsidRPr="00A3656A" w:rsidRDefault="00A3656A" w:rsidP="00F602D1">
      <w:pPr>
        <w:pStyle w:val="ListParagraph"/>
        <w:numPr>
          <w:ilvl w:val="0"/>
          <w:numId w:val="13"/>
        </w:numPr>
        <w:jc w:val="both"/>
        <w:rPr>
          <w:rtl/>
        </w:rPr>
      </w:pPr>
      <w:r w:rsidRPr="00A3656A">
        <w:rPr>
          <w:rFonts w:hint="cs"/>
          <w:rtl/>
        </w:rPr>
        <w:t>أطر إدارة التغيير المعتمدة في المؤسسات الكبرى.</w:t>
      </w:r>
    </w:p>
    <w:p w14:paraId="7309842A" w14:textId="260C71E3" w:rsidR="00A3656A" w:rsidRDefault="00A3656A" w:rsidP="001F7C1A">
      <w:pPr>
        <w:jc w:val="both"/>
      </w:pPr>
      <w:r>
        <w:rPr>
          <w:rFonts w:hint="cs"/>
          <w:rtl/>
        </w:rPr>
        <w:t>وذلك بهدف تحديد مدى ملاءمتها لقطاع النفط والغاز خلال التحول الطاقي، والكشف عن أوجه القصور فيها.</w:t>
      </w:r>
    </w:p>
    <w:p w14:paraId="4F20235D" w14:textId="3A638407" w:rsidR="00A3656A" w:rsidRDefault="001F7C1A" w:rsidP="00A3656A">
      <w:pPr>
        <w:jc w:val="both"/>
      </w:pPr>
      <w:r>
        <w:rPr>
          <w:rFonts w:hint="cs"/>
          <w:rtl/>
        </w:rPr>
        <w:t>6-</w:t>
      </w:r>
      <w:r w:rsidR="00A3656A">
        <w:t xml:space="preserve"> </w:t>
      </w:r>
      <w:r w:rsidR="00A3656A">
        <w:rPr>
          <w:rFonts w:hint="cs"/>
          <w:rtl/>
        </w:rPr>
        <w:t>تطوير إطار عملي لإدارة التغيير في سياق التحول الطاقي</w:t>
      </w:r>
      <w:r>
        <w:rPr>
          <w:rFonts w:hint="cs"/>
          <w:rtl/>
        </w:rPr>
        <w:t>.</w:t>
      </w:r>
    </w:p>
    <w:p w14:paraId="1EF9740A" w14:textId="77777777" w:rsidR="00A3656A" w:rsidRDefault="00A3656A" w:rsidP="00A3656A">
      <w:pPr>
        <w:jc w:val="both"/>
      </w:pPr>
      <w:r>
        <w:rPr>
          <w:rFonts w:hint="cs"/>
          <w:rtl/>
        </w:rPr>
        <w:t>أحد الأهداف الرئيسية للدراسة هو تقديم نموذج أو إطار تطبيقي يمكن أن تستخدمه الشركات لإدارة التغيير بشكل أكثر فعالية، بحيث يتضمن:</w:t>
      </w:r>
    </w:p>
    <w:p w14:paraId="62E56186" w14:textId="77777777" w:rsidR="00A3656A" w:rsidRPr="00A3656A" w:rsidRDefault="00A3656A" w:rsidP="00A3656A">
      <w:pPr>
        <w:jc w:val="both"/>
      </w:pPr>
      <w:r w:rsidRPr="00A3656A">
        <w:rPr>
          <w:rFonts w:hint="cs"/>
          <w:rtl/>
        </w:rPr>
        <w:t>خطوات واضحة لتنفيذ التغيير.</w:t>
      </w:r>
    </w:p>
    <w:p w14:paraId="14DB2CDF" w14:textId="77777777" w:rsidR="00A3656A" w:rsidRPr="00A3656A" w:rsidRDefault="00A3656A" w:rsidP="00F602D1">
      <w:pPr>
        <w:pStyle w:val="ListParagraph"/>
        <w:numPr>
          <w:ilvl w:val="0"/>
          <w:numId w:val="14"/>
        </w:numPr>
        <w:jc w:val="both"/>
        <w:rPr>
          <w:rtl/>
        </w:rPr>
      </w:pPr>
      <w:r w:rsidRPr="00A3656A">
        <w:rPr>
          <w:rFonts w:hint="cs"/>
          <w:rtl/>
        </w:rPr>
        <w:t>أدوات لقياس الأداء والتقدم.</w:t>
      </w:r>
    </w:p>
    <w:p w14:paraId="57395B55" w14:textId="4A81232E" w:rsidR="00A3656A" w:rsidRPr="00A3656A" w:rsidRDefault="00A3656A" w:rsidP="00F602D1">
      <w:pPr>
        <w:pStyle w:val="ListParagraph"/>
        <w:numPr>
          <w:ilvl w:val="0"/>
          <w:numId w:val="14"/>
        </w:numPr>
        <w:jc w:val="both"/>
        <w:rPr>
          <w:rtl/>
        </w:rPr>
      </w:pPr>
      <w:r w:rsidRPr="00A3656A">
        <w:rPr>
          <w:rFonts w:hint="cs"/>
          <w:rtl/>
        </w:rPr>
        <w:t>آليات لإدارة المخاطر المرتبطة بالتحول.</w:t>
      </w:r>
    </w:p>
    <w:p w14:paraId="4E71A0D9" w14:textId="70DBF43D" w:rsidR="00A3656A" w:rsidRDefault="001F7C1A" w:rsidP="00A3656A">
      <w:pPr>
        <w:jc w:val="both"/>
      </w:pPr>
      <w:r>
        <w:rPr>
          <w:rFonts w:hint="cs"/>
          <w:rtl/>
        </w:rPr>
        <w:t>7-</w:t>
      </w:r>
      <w:r w:rsidR="00A3656A">
        <w:t xml:space="preserve"> </w:t>
      </w:r>
      <w:r w:rsidR="00A3656A">
        <w:rPr>
          <w:rFonts w:hint="cs"/>
          <w:rtl/>
        </w:rPr>
        <w:t>دراسة العلاقة بين إدارة التغيير والأداء المؤسسي</w:t>
      </w:r>
      <w:r>
        <w:rPr>
          <w:rFonts w:hint="cs"/>
          <w:rtl/>
        </w:rPr>
        <w:t>.</w:t>
      </w:r>
    </w:p>
    <w:p w14:paraId="78347DEB" w14:textId="77777777" w:rsidR="00A3656A" w:rsidRDefault="00A3656A" w:rsidP="00A3656A">
      <w:pPr>
        <w:jc w:val="both"/>
      </w:pPr>
      <w:r>
        <w:rPr>
          <w:rFonts w:hint="cs"/>
          <w:rtl/>
        </w:rPr>
        <w:t>تهدف الدراسة إلى تحليل تأثير ممارسات إدارة التغيير على مؤشرات الأداء الرئيسية، مثل:</w:t>
      </w:r>
    </w:p>
    <w:p w14:paraId="10CF9F74" w14:textId="77777777" w:rsidR="00A3656A" w:rsidRPr="00A3656A" w:rsidRDefault="00A3656A" w:rsidP="00F602D1">
      <w:pPr>
        <w:pStyle w:val="ListParagraph"/>
        <w:numPr>
          <w:ilvl w:val="0"/>
          <w:numId w:val="15"/>
        </w:numPr>
        <w:jc w:val="both"/>
      </w:pPr>
      <w:r w:rsidRPr="00A3656A">
        <w:rPr>
          <w:rFonts w:hint="cs"/>
          <w:rtl/>
        </w:rPr>
        <w:t>الإنتاجية.</w:t>
      </w:r>
    </w:p>
    <w:p w14:paraId="0824DB05" w14:textId="77777777" w:rsidR="00A3656A" w:rsidRPr="00A3656A" w:rsidRDefault="00A3656A" w:rsidP="00F602D1">
      <w:pPr>
        <w:pStyle w:val="ListParagraph"/>
        <w:numPr>
          <w:ilvl w:val="0"/>
          <w:numId w:val="15"/>
        </w:numPr>
        <w:jc w:val="both"/>
        <w:rPr>
          <w:rtl/>
        </w:rPr>
      </w:pPr>
      <w:r w:rsidRPr="00A3656A">
        <w:rPr>
          <w:rFonts w:hint="cs"/>
          <w:rtl/>
        </w:rPr>
        <w:t>الكفاءة التشغيلية.</w:t>
      </w:r>
    </w:p>
    <w:p w14:paraId="08F2F2EF" w14:textId="77777777" w:rsidR="00A3656A" w:rsidRPr="00A3656A" w:rsidRDefault="00A3656A" w:rsidP="00F602D1">
      <w:pPr>
        <w:pStyle w:val="ListParagraph"/>
        <w:numPr>
          <w:ilvl w:val="0"/>
          <w:numId w:val="15"/>
        </w:numPr>
        <w:jc w:val="both"/>
        <w:rPr>
          <w:rtl/>
        </w:rPr>
      </w:pPr>
      <w:r w:rsidRPr="00A3656A">
        <w:rPr>
          <w:rFonts w:hint="cs"/>
          <w:rtl/>
        </w:rPr>
        <w:t>الربحية.</w:t>
      </w:r>
    </w:p>
    <w:p w14:paraId="23E4ED2D" w14:textId="618B756C" w:rsidR="00A3656A" w:rsidRPr="00A3656A" w:rsidRDefault="00A3656A" w:rsidP="00F602D1">
      <w:pPr>
        <w:pStyle w:val="ListParagraph"/>
        <w:numPr>
          <w:ilvl w:val="0"/>
          <w:numId w:val="15"/>
        </w:numPr>
        <w:jc w:val="both"/>
        <w:rPr>
          <w:rtl/>
        </w:rPr>
      </w:pPr>
      <w:r w:rsidRPr="00A3656A">
        <w:rPr>
          <w:rFonts w:hint="cs"/>
          <w:rtl/>
        </w:rPr>
        <w:t>الاستدامة.</w:t>
      </w:r>
    </w:p>
    <w:p w14:paraId="5CB8E448" w14:textId="1ED9BE26" w:rsidR="00A3656A" w:rsidRDefault="00A3656A" w:rsidP="00C4191B">
      <w:pPr>
        <w:jc w:val="both"/>
      </w:pPr>
      <w:r>
        <w:rPr>
          <w:rFonts w:hint="cs"/>
          <w:rtl/>
        </w:rPr>
        <w:t>وذلك لفهم ما إذا كانت إدارة التغيير الفعالة تسهم بشكل مباشر في تحسين الأداء خلال مراحل التحول.</w:t>
      </w:r>
    </w:p>
    <w:p w14:paraId="3C1A949E" w14:textId="6DE79001" w:rsidR="00A3656A" w:rsidRDefault="00C4191B" w:rsidP="00A3656A">
      <w:pPr>
        <w:jc w:val="both"/>
      </w:pPr>
      <w:r>
        <w:rPr>
          <w:rFonts w:hint="cs"/>
          <w:rtl/>
        </w:rPr>
        <w:t>8-</w:t>
      </w:r>
      <w:r w:rsidR="00A3656A">
        <w:t xml:space="preserve"> </w:t>
      </w:r>
      <w:r w:rsidR="00A3656A">
        <w:rPr>
          <w:rFonts w:hint="cs"/>
          <w:rtl/>
        </w:rPr>
        <w:t>تقديم توصيات استراتيجية لصناع القرار</w:t>
      </w:r>
      <w:r>
        <w:rPr>
          <w:rFonts w:hint="cs"/>
          <w:rtl/>
        </w:rPr>
        <w:t>.</w:t>
      </w:r>
    </w:p>
    <w:p w14:paraId="62C451E7" w14:textId="77777777" w:rsidR="00A3656A" w:rsidRDefault="00A3656A" w:rsidP="00A3656A">
      <w:pPr>
        <w:jc w:val="both"/>
      </w:pPr>
      <w:r>
        <w:rPr>
          <w:rFonts w:hint="cs"/>
          <w:rtl/>
        </w:rPr>
        <w:t>تسعى الدراسة في نهايتها إلى تقديم مجموعة من التوصيات العملية التي يمكن أن يستفيد منها:</w:t>
      </w:r>
    </w:p>
    <w:p w14:paraId="20870953" w14:textId="77777777" w:rsidR="00A3656A" w:rsidRPr="00A3656A" w:rsidRDefault="00A3656A" w:rsidP="00F602D1">
      <w:pPr>
        <w:pStyle w:val="ListParagraph"/>
        <w:numPr>
          <w:ilvl w:val="0"/>
          <w:numId w:val="16"/>
        </w:numPr>
        <w:jc w:val="both"/>
      </w:pPr>
      <w:r w:rsidRPr="00A3656A">
        <w:rPr>
          <w:rFonts w:hint="cs"/>
          <w:rtl/>
        </w:rPr>
        <w:t>صناع القرار في شركات النفط والغاز.</w:t>
      </w:r>
    </w:p>
    <w:p w14:paraId="777D7909" w14:textId="77777777" w:rsidR="00A3656A" w:rsidRPr="00A3656A" w:rsidRDefault="00A3656A" w:rsidP="00F602D1">
      <w:pPr>
        <w:pStyle w:val="ListParagraph"/>
        <w:numPr>
          <w:ilvl w:val="0"/>
          <w:numId w:val="16"/>
        </w:numPr>
        <w:jc w:val="both"/>
        <w:rPr>
          <w:rtl/>
        </w:rPr>
      </w:pPr>
      <w:r w:rsidRPr="00A3656A">
        <w:rPr>
          <w:rFonts w:hint="cs"/>
          <w:rtl/>
        </w:rPr>
        <w:t>مدراء المشاريع.</w:t>
      </w:r>
    </w:p>
    <w:p w14:paraId="48E6266A" w14:textId="678C6BA0" w:rsidR="00A3656A" w:rsidRPr="00A3656A" w:rsidRDefault="00A3656A" w:rsidP="00F602D1">
      <w:pPr>
        <w:pStyle w:val="ListParagraph"/>
        <w:numPr>
          <w:ilvl w:val="0"/>
          <w:numId w:val="16"/>
        </w:numPr>
        <w:jc w:val="both"/>
        <w:rPr>
          <w:rtl/>
        </w:rPr>
      </w:pPr>
      <w:r w:rsidRPr="00A3656A">
        <w:rPr>
          <w:rFonts w:hint="cs"/>
          <w:rtl/>
        </w:rPr>
        <w:t>واضعو السياسات في قطاع الطاقة.</w:t>
      </w:r>
    </w:p>
    <w:p w14:paraId="394E28D7" w14:textId="3DB02D8E" w:rsidR="00A3656A" w:rsidRDefault="00A3656A" w:rsidP="00F602D1">
      <w:pPr>
        <w:pStyle w:val="ListParagraph"/>
        <w:numPr>
          <w:ilvl w:val="0"/>
          <w:numId w:val="16"/>
        </w:numPr>
        <w:jc w:val="both"/>
      </w:pPr>
      <w:r>
        <w:rPr>
          <w:rFonts w:hint="cs"/>
          <w:rtl/>
        </w:rPr>
        <w:t>بحيث تكون هذه التوصيات مبنية على نتائج تحليلية مدعومة بالأدلة.</w:t>
      </w:r>
    </w:p>
    <w:p w14:paraId="06819AC6" w14:textId="2665E604" w:rsidR="00A3656A" w:rsidRPr="00C4191B" w:rsidRDefault="00A3656A" w:rsidP="00C4191B">
      <w:pPr>
        <w:pStyle w:val="Heading3"/>
        <w:rPr>
          <w:rFonts w:eastAsiaTheme="minorHAnsi"/>
          <w:color w:val="4472C4" w:themeColor="accent1"/>
        </w:rPr>
      </w:pPr>
      <w:bookmarkStart w:id="11" w:name="_Toc225314016"/>
      <w:r w:rsidRPr="00C4191B">
        <w:rPr>
          <w:rFonts w:eastAsiaTheme="minorHAnsi" w:hint="cs"/>
          <w:color w:val="4472C4" w:themeColor="accent1"/>
          <w:rtl/>
        </w:rPr>
        <w:t>ثالثًا: تحليل نقدي للأهداف</w:t>
      </w:r>
      <w:r w:rsidR="006629A2">
        <w:rPr>
          <w:rFonts w:eastAsiaTheme="minorHAnsi" w:hint="cs"/>
          <w:color w:val="4472C4" w:themeColor="accent1"/>
          <w:rtl/>
        </w:rPr>
        <w:t>:</w:t>
      </w:r>
      <w:bookmarkEnd w:id="11"/>
    </w:p>
    <w:p w14:paraId="351B492A" w14:textId="77777777" w:rsidR="00A3656A" w:rsidRDefault="00A3656A" w:rsidP="00A3656A">
      <w:pPr>
        <w:jc w:val="both"/>
      </w:pPr>
      <w:r>
        <w:rPr>
          <w:rFonts w:hint="cs"/>
          <w:rtl/>
        </w:rPr>
        <w:t>من المهم التحقق من بعض الافتراضات الضمنية التي قد تؤثر على صياغة هذه الأهداف:</w:t>
      </w:r>
    </w:p>
    <w:p w14:paraId="72D2A2AD" w14:textId="77777777" w:rsidR="00A3656A" w:rsidRPr="00A3656A" w:rsidRDefault="00A3656A" w:rsidP="00A3656A">
      <w:pPr>
        <w:jc w:val="both"/>
      </w:pPr>
      <w:r w:rsidRPr="00D1081B">
        <w:rPr>
          <w:rFonts w:hint="cs"/>
          <w:b/>
          <w:bCs/>
          <w:rtl/>
        </w:rPr>
        <w:t>افتراض قابلية التعميم:</w:t>
      </w:r>
      <w:r w:rsidRPr="00A3656A">
        <w:rPr>
          <w:rFonts w:hint="cs"/>
          <w:rtl/>
        </w:rPr>
        <w:t xml:space="preserve"> قد تفترض الدراسة أن جميع شركات النفط والغاز تواجه نفس التحديات، وهو أمر غير دقيق نظرًا لاختلاف البيئات التنظيمية والجغرافية.</w:t>
      </w:r>
    </w:p>
    <w:p w14:paraId="15B7BF8F" w14:textId="77777777" w:rsidR="00A3656A" w:rsidRPr="00A3656A" w:rsidRDefault="00A3656A" w:rsidP="00A3656A">
      <w:pPr>
        <w:jc w:val="both"/>
        <w:rPr>
          <w:rtl/>
        </w:rPr>
      </w:pPr>
      <w:r w:rsidRPr="00D1081B">
        <w:rPr>
          <w:rFonts w:hint="cs"/>
          <w:b/>
          <w:bCs/>
          <w:rtl/>
        </w:rPr>
        <w:t>افتراض جاهزية البيانات:</w:t>
      </w:r>
      <w:r w:rsidRPr="00A3656A">
        <w:rPr>
          <w:rFonts w:hint="cs"/>
          <w:rtl/>
        </w:rPr>
        <w:t xml:space="preserve"> تحقيق بعض الأهداف، مثل قياس الأداء أو الثقافة التنظيمية، يتطلب توفر بيانات دقيقة، وهو ما قد يمثل تحديًا في بعض المؤسسات.</w:t>
      </w:r>
    </w:p>
    <w:p w14:paraId="4148F1E3" w14:textId="30D4D6C1" w:rsidR="00A3656A" w:rsidRPr="00A3656A" w:rsidRDefault="00A3656A" w:rsidP="00D1081B">
      <w:pPr>
        <w:jc w:val="both"/>
        <w:rPr>
          <w:rtl/>
        </w:rPr>
      </w:pPr>
      <w:r w:rsidRPr="00D1081B">
        <w:rPr>
          <w:rFonts w:hint="cs"/>
          <w:b/>
          <w:bCs/>
          <w:rtl/>
        </w:rPr>
        <w:t>افتراض العلاقة السببية المباشرة:</w:t>
      </w:r>
      <w:r w:rsidRPr="00A3656A">
        <w:rPr>
          <w:rFonts w:hint="cs"/>
          <w:rtl/>
        </w:rPr>
        <w:t xml:space="preserve"> الربط بين إدارة التغيير وتحسين الأداء قد يكون أكثر تعقيدًا، حيث تتداخل عوامل أخرى مثل السوق والتكنولوجيا.</w:t>
      </w:r>
    </w:p>
    <w:p w14:paraId="590C3A9D" w14:textId="4BA84800" w:rsidR="00A3656A" w:rsidRDefault="00A3656A" w:rsidP="00D1081B">
      <w:pPr>
        <w:jc w:val="both"/>
      </w:pPr>
      <w:r>
        <w:rPr>
          <w:rFonts w:hint="cs"/>
          <w:rtl/>
        </w:rPr>
        <w:t>بالتالي، يجب التعامل مع هذه الأهداف بمرونة منهجية، مع مراعاة القيود الواقعية أثناء التطبيق.</w:t>
      </w:r>
    </w:p>
    <w:p w14:paraId="168C3BFB" w14:textId="403CEA96" w:rsidR="00A3656A" w:rsidRDefault="00D1081B" w:rsidP="00D1081B">
      <w:pPr>
        <w:jc w:val="both"/>
      </w:pPr>
      <w:r>
        <w:rPr>
          <w:rFonts w:hint="cs"/>
          <w:rtl/>
        </w:rPr>
        <w:t>ال</w:t>
      </w:r>
      <w:r w:rsidR="00A3656A">
        <w:rPr>
          <w:rFonts w:hint="cs"/>
          <w:rtl/>
        </w:rPr>
        <w:t>خلاصة</w:t>
      </w:r>
    </w:p>
    <w:p w14:paraId="047082E5" w14:textId="1818F793" w:rsidR="00F925D0" w:rsidRPr="00A04FC0" w:rsidRDefault="00A3656A" w:rsidP="00A04FC0">
      <w:pPr>
        <w:jc w:val="both"/>
        <w:rPr>
          <w:rtl/>
        </w:rPr>
      </w:pPr>
      <w:r>
        <w:rPr>
          <w:rFonts w:hint="cs"/>
          <w:rtl/>
        </w:rPr>
        <w:t>تم تصميم أهداف هذه الدراسة لتكون شاملة ومترابطة، حيث تغطي الجوانب التنظيمية، والبشرية، والاستراتيجية للتحول الطاقي في قطاع النفط والغاز. وهي لا تقتصر على التحليل النظري، بل تمتد لتقديم حلول عملية قابلة للتطبيق، مما يعزز من قيمة الدراسة على المستويين الأكاديمي والمهني.</w:t>
      </w:r>
    </w:p>
    <w:p w14:paraId="56B19CA7" w14:textId="3A525AC1" w:rsidR="00D22171" w:rsidRPr="00EE6287" w:rsidRDefault="00D22171" w:rsidP="00EE6287">
      <w:pPr>
        <w:pStyle w:val="Heading2"/>
        <w:rPr>
          <w:rFonts w:ascii="Sakkal Majalla" w:hAnsi="Sakkal Majalla" w:cs="Sakkal Majalla"/>
          <w:color w:val="auto"/>
          <w:sz w:val="28"/>
          <w:szCs w:val="28"/>
          <w:u w:val="single"/>
          <w:rtl/>
        </w:rPr>
      </w:pPr>
      <w:bookmarkStart w:id="12" w:name="_Toc225314017"/>
      <w:r w:rsidRPr="00EE6287">
        <w:rPr>
          <w:rFonts w:ascii="Sakkal Majalla" w:hAnsi="Sakkal Majalla" w:cs="Sakkal Majalla"/>
          <w:color w:val="auto"/>
          <w:sz w:val="28"/>
          <w:szCs w:val="28"/>
          <w:u w:val="single"/>
          <w:rtl/>
        </w:rPr>
        <w:lastRenderedPageBreak/>
        <w:t>-تساؤلات الدراسة</w:t>
      </w:r>
      <w:bookmarkEnd w:id="12"/>
      <w:r w:rsidRPr="00EE6287">
        <w:rPr>
          <w:rFonts w:ascii="Sakkal Majalla" w:hAnsi="Sakkal Majalla" w:cs="Sakkal Majalla"/>
          <w:color w:val="auto"/>
          <w:sz w:val="28"/>
          <w:szCs w:val="28"/>
          <w:u w:val="single"/>
          <w:rtl/>
        </w:rPr>
        <w:t xml:space="preserve"> </w:t>
      </w:r>
    </w:p>
    <w:p w14:paraId="2FDFC5D2" w14:textId="00E8A69A" w:rsidR="00D1081B" w:rsidRDefault="00D1081B" w:rsidP="00D1081B">
      <w:pPr>
        <w:jc w:val="both"/>
      </w:pPr>
      <w:r>
        <w:rPr>
          <w:rFonts w:hint="cs"/>
          <w:rtl/>
        </w:rPr>
        <w:t xml:space="preserve">في ظل التحولات المتسارعة التي يشهدها قطاع النفط والغاز نتيجة متطلبات </w:t>
      </w:r>
      <w:r>
        <w:t>Energy Transition</w:t>
      </w:r>
      <w:r>
        <w:rPr>
          <w:rFonts w:hint="cs"/>
          <w:rtl/>
        </w:rPr>
        <w:t>، تبرز الحاجة إلى صياغة تساؤلات بحثية دقيقة تعكس تعقيد هذا التحول وتداخله مع الأبعاد التنظيمية والبشرية والاستراتيجية. فالتساؤلات البحثية لا تُعد مجرد عناصر شكلية في الدراسة، بل تمثل الإطار الذي يوجه عملية البحث، ويحدد نوع البيانات المطلوبة، ومنهجية التحليل، وحدود الاستنتاجات الممكنة.</w:t>
      </w:r>
    </w:p>
    <w:p w14:paraId="555790B3" w14:textId="1BE12AC3" w:rsidR="00D1081B" w:rsidRDefault="00D1081B" w:rsidP="00D1081B">
      <w:pPr>
        <w:jc w:val="both"/>
      </w:pPr>
      <w:r>
        <w:rPr>
          <w:rFonts w:hint="cs"/>
          <w:rtl/>
        </w:rPr>
        <w:t xml:space="preserve">تعتمد هذه الدراسة على مجموعة من التساؤلات التي تنبثق من الإشكالية الرئيسية المرتبطة بفعالية </w:t>
      </w:r>
      <w:r>
        <w:t>Organizational Change Management</w:t>
      </w:r>
      <w:r>
        <w:rPr>
          <w:rFonts w:hint="cs"/>
          <w:rtl/>
        </w:rPr>
        <w:t xml:space="preserve"> في سياق التحول الطاقي، مع مراعاة الخصائص الفريدة لقطاع النفط والغاز.</w:t>
      </w:r>
    </w:p>
    <w:p w14:paraId="774E92DB" w14:textId="5D086319" w:rsidR="00D1081B" w:rsidRPr="00D1081B" w:rsidRDefault="00D1081B" w:rsidP="00D1081B">
      <w:pPr>
        <w:pStyle w:val="Heading3"/>
        <w:rPr>
          <w:rFonts w:eastAsiaTheme="minorHAnsi"/>
          <w:color w:val="4472C4" w:themeColor="accent1"/>
        </w:rPr>
      </w:pPr>
      <w:bookmarkStart w:id="13" w:name="_Toc225314018"/>
      <w:r w:rsidRPr="00D1081B">
        <w:rPr>
          <w:rFonts w:eastAsiaTheme="minorHAnsi" w:hint="cs"/>
          <w:color w:val="4472C4" w:themeColor="accent1"/>
          <w:rtl/>
        </w:rPr>
        <w:t>أولًا: التساؤل الرئيسي</w:t>
      </w:r>
      <w:r w:rsidRPr="00D1081B">
        <w:rPr>
          <w:rFonts w:hint="cs"/>
          <w:color w:val="4472C4" w:themeColor="accent1"/>
          <w:rtl/>
        </w:rPr>
        <w:t>:</w:t>
      </w:r>
      <w:bookmarkEnd w:id="13"/>
    </w:p>
    <w:p w14:paraId="61CE965A" w14:textId="5A3A8372" w:rsidR="00D1081B" w:rsidRDefault="00D1081B" w:rsidP="00D1081B">
      <w:pPr>
        <w:jc w:val="both"/>
      </w:pPr>
      <w:r>
        <w:rPr>
          <w:rFonts w:hint="cs"/>
          <w:rtl/>
        </w:rPr>
        <w:t>كيف يمكن لشركات النفط والغاز إدارة التغيير التنظيمي بفعالية لضمان نجاح التحول الطاقي وتحقيق الاستدامة والتنافسية في بيئة تشغيلية معقدة ومتغيرة؟</w:t>
      </w:r>
    </w:p>
    <w:p w14:paraId="16150132" w14:textId="313FF8F2" w:rsidR="00D1081B" w:rsidRDefault="00D1081B" w:rsidP="00D1081B">
      <w:pPr>
        <w:jc w:val="both"/>
      </w:pPr>
      <w:r>
        <w:rPr>
          <w:rFonts w:hint="cs"/>
          <w:rtl/>
        </w:rPr>
        <w:t>هذا التساؤل يعكس جوهر الدراسة، ويركز على العلاقة بين إدارة التغيير ونجاح التحول، مع الأخذ في الاعتبار العوامل الداخلية (التنظيمية والبشرية) والعوامل الخارجية (الاقتصادية والتشريعية والتكنولوجية).</w:t>
      </w:r>
    </w:p>
    <w:p w14:paraId="08945466" w14:textId="698F5F68" w:rsidR="00D1081B" w:rsidRPr="00D1081B" w:rsidRDefault="00D1081B" w:rsidP="00D1081B">
      <w:pPr>
        <w:pStyle w:val="Heading3"/>
        <w:rPr>
          <w:rFonts w:eastAsiaTheme="minorHAnsi"/>
          <w:color w:val="4472C4" w:themeColor="accent1"/>
        </w:rPr>
      </w:pPr>
      <w:bookmarkStart w:id="14" w:name="_Toc225314019"/>
      <w:r w:rsidRPr="00D1081B">
        <w:rPr>
          <w:rFonts w:eastAsiaTheme="minorHAnsi" w:hint="cs"/>
          <w:color w:val="4472C4" w:themeColor="accent1"/>
          <w:rtl/>
        </w:rPr>
        <w:t>ثانيًا: التساؤلات الفرعية</w:t>
      </w:r>
      <w:r w:rsidRPr="00D1081B">
        <w:rPr>
          <w:rFonts w:hint="cs"/>
          <w:color w:val="4472C4" w:themeColor="accent1"/>
          <w:rtl/>
        </w:rPr>
        <w:t>:</w:t>
      </w:r>
      <w:bookmarkEnd w:id="14"/>
    </w:p>
    <w:p w14:paraId="3D768BD8" w14:textId="4158D194" w:rsidR="00D1081B" w:rsidRDefault="00D1081B" w:rsidP="00D1081B">
      <w:pPr>
        <w:jc w:val="both"/>
      </w:pPr>
      <w:r>
        <w:rPr>
          <w:rFonts w:hint="cs"/>
          <w:rtl/>
        </w:rPr>
        <w:t>1-</w:t>
      </w:r>
      <w:r>
        <w:t xml:space="preserve"> </w:t>
      </w:r>
      <w:r>
        <w:rPr>
          <w:rFonts w:hint="cs"/>
          <w:rtl/>
        </w:rPr>
        <w:t>ما طبيعة التحديات التنظيمية التي تواجه شركات النفط والغاز أثناء التحول الطاقي؟</w:t>
      </w:r>
    </w:p>
    <w:p w14:paraId="07DFBF8E" w14:textId="77777777" w:rsidR="00D1081B" w:rsidRDefault="00D1081B" w:rsidP="00D1081B">
      <w:pPr>
        <w:jc w:val="both"/>
      </w:pPr>
      <w:r>
        <w:rPr>
          <w:rFonts w:hint="cs"/>
          <w:rtl/>
        </w:rPr>
        <w:t>يهدف هذا التساؤل إلى استكشاف العوائق التي تعرقل تنفيذ التغيير، مثل:</w:t>
      </w:r>
    </w:p>
    <w:p w14:paraId="2DC45526" w14:textId="77777777" w:rsidR="00D1081B" w:rsidRPr="00D1081B" w:rsidRDefault="00D1081B" w:rsidP="00F602D1">
      <w:pPr>
        <w:pStyle w:val="ListParagraph"/>
        <w:numPr>
          <w:ilvl w:val="0"/>
          <w:numId w:val="8"/>
        </w:numPr>
        <w:jc w:val="both"/>
      </w:pPr>
      <w:r w:rsidRPr="00D1081B">
        <w:rPr>
          <w:rFonts w:hint="cs"/>
          <w:rtl/>
        </w:rPr>
        <w:t>مقاومة التغيير من قبل العاملين.</w:t>
      </w:r>
    </w:p>
    <w:p w14:paraId="60034CDF" w14:textId="4874631A" w:rsidR="00D1081B" w:rsidRPr="00D1081B" w:rsidRDefault="00D1081B" w:rsidP="00F602D1">
      <w:pPr>
        <w:pStyle w:val="ListParagraph"/>
        <w:numPr>
          <w:ilvl w:val="0"/>
          <w:numId w:val="8"/>
        </w:numPr>
        <w:jc w:val="both"/>
        <w:rPr>
          <w:rtl/>
        </w:rPr>
      </w:pPr>
      <w:r w:rsidRPr="00D1081B">
        <w:rPr>
          <w:rFonts w:hint="cs"/>
          <w:rtl/>
        </w:rPr>
        <w:t>الجمود التنظيمي</w:t>
      </w:r>
      <w:r w:rsidR="005267BD">
        <w:rPr>
          <w:rFonts w:hint="cs"/>
          <w:rtl/>
        </w:rPr>
        <w:t>.</w:t>
      </w:r>
    </w:p>
    <w:p w14:paraId="633649C8" w14:textId="340AA93F" w:rsidR="00D1081B" w:rsidRPr="00D1081B" w:rsidRDefault="00D1081B" w:rsidP="00F602D1">
      <w:pPr>
        <w:pStyle w:val="ListParagraph"/>
        <w:numPr>
          <w:ilvl w:val="0"/>
          <w:numId w:val="8"/>
        </w:numPr>
        <w:jc w:val="both"/>
        <w:rPr>
          <w:rtl/>
        </w:rPr>
      </w:pPr>
      <w:r w:rsidRPr="00D1081B">
        <w:rPr>
          <w:rFonts w:hint="cs"/>
          <w:rtl/>
        </w:rPr>
        <w:t>تعقيد العمليات التشغيلية.</w:t>
      </w:r>
    </w:p>
    <w:p w14:paraId="48948FD2" w14:textId="146C9838" w:rsidR="00D1081B" w:rsidRDefault="00D1081B" w:rsidP="005267BD">
      <w:pPr>
        <w:jc w:val="both"/>
      </w:pPr>
      <w:r>
        <w:rPr>
          <w:rFonts w:hint="cs"/>
          <w:rtl/>
        </w:rPr>
        <w:t xml:space="preserve">وتشير تقارير </w:t>
      </w:r>
      <w:r>
        <w:t>International Energy Agency</w:t>
      </w:r>
      <w:r>
        <w:rPr>
          <w:rFonts w:hint="cs"/>
          <w:rtl/>
        </w:rPr>
        <w:t xml:space="preserve"> إلى أن التحديات التنظيمية تمثل أحد أكبر العوائق أمام تحقيق أهداف التحول الطاقي، إلى جانب التحديات التقنية والاقتصادية.</w:t>
      </w:r>
    </w:p>
    <w:p w14:paraId="065E4F52" w14:textId="2CCC8A80" w:rsidR="00D1081B" w:rsidRDefault="005267BD" w:rsidP="00D1081B">
      <w:pPr>
        <w:jc w:val="both"/>
      </w:pPr>
      <w:r>
        <w:rPr>
          <w:rFonts w:hint="cs"/>
          <w:rtl/>
        </w:rPr>
        <w:t xml:space="preserve">2- </w:t>
      </w:r>
      <w:r w:rsidR="00D1081B">
        <w:rPr>
          <w:rFonts w:hint="cs"/>
          <w:rtl/>
        </w:rPr>
        <w:t>ما دور القيادة التنظيمية في إنجاح أو فشل مبادرات التغيير؟</w:t>
      </w:r>
    </w:p>
    <w:p w14:paraId="6B15C312" w14:textId="77777777" w:rsidR="00D1081B" w:rsidRDefault="00D1081B" w:rsidP="00D1081B">
      <w:pPr>
        <w:jc w:val="both"/>
      </w:pPr>
      <w:r>
        <w:rPr>
          <w:rFonts w:hint="cs"/>
          <w:rtl/>
        </w:rPr>
        <w:t>يركز هذا التساؤل على تحليل دور القيادات العليا والوسطى في:</w:t>
      </w:r>
    </w:p>
    <w:p w14:paraId="3CE971EA" w14:textId="77777777" w:rsidR="00D1081B" w:rsidRPr="00D1081B" w:rsidRDefault="00D1081B" w:rsidP="00F602D1">
      <w:pPr>
        <w:pStyle w:val="ListParagraph"/>
        <w:numPr>
          <w:ilvl w:val="0"/>
          <w:numId w:val="7"/>
        </w:numPr>
        <w:jc w:val="both"/>
      </w:pPr>
      <w:r w:rsidRPr="00D1081B">
        <w:rPr>
          <w:rFonts w:hint="cs"/>
          <w:rtl/>
        </w:rPr>
        <w:t>صياغة رؤية واضحة للتحول.</w:t>
      </w:r>
    </w:p>
    <w:p w14:paraId="62C3F8E5" w14:textId="77777777" w:rsidR="00D1081B" w:rsidRPr="00D1081B" w:rsidRDefault="00D1081B" w:rsidP="00F602D1">
      <w:pPr>
        <w:pStyle w:val="ListParagraph"/>
        <w:numPr>
          <w:ilvl w:val="0"/>
          <w:numId w:val="7"/>
        </w:numPr>
        <w:jc w:val="both"/>
        <w:rPr>
          <w:rtl/>
        </w:rPr>
      </w:pPr>
      <w:r w:rsidRPr="00D1081B">
        <w:rPr>
          <w:rFonts w:hint="cs"/>
          <w:rtl/>
        </w:rPr>
        <w:t>تحفيز الموظفين ودعمهم.</w:t>
      </w:r>
    </w:p>
    <w:p w14:paraId="3F6E25B9" w14:textId="3DEA1FC6" w:rsidR="00D1081B" w:rsidRPr="00D1081B" w:rsidRDefault="00D1081B" w:rsidP="00F602D1">
      <w:pPr>
        <w:pStyle w:val="ListParagraph"/>
        <w:numPr>
          <w:ilvl w:val="0"/>
          <w:numId w:val="7"/>
        </w:numPr>
        <w:jc w:val="both"/>
        <w:rPr>
          <w:rtl/>
        </w:rPr>
      </w:pPr>
      <w:r w:rsidRPr="00D1081B">
        <w:rPr>
          <w:rFonts w:hint="cs"/>
          <w:rtl/>
        </w:rPr>
        <w:t>إدارة مقاومة التغيير.</w:t>
      </w:r>
    </w:p>
    <w:p w14:paraId="3775BD06" w14:textId="5CF09BCA" w:rsidR="00D1081B" w:rsidRDefault="00D1081B" w:rsidP="005267BD">
      <w:pPr>
        <w:jc w:val="both"/>
      </w:pPr>
      <w:r>
        <w:rPr>
          <w:rFonts w:hint="cs"/>
          <w:rtl/>
        </w:rPr>
        <w:t xml:space="preserve">وتؤكد </w:t>
      </w:r>
      <w:r w:rsidR="005267BD">
        <w:rPr>
          <w:rFonts w:hint="cs"/>
          <w:rtl/>
        </w:rPr>
        <w:t xml:space="preserve">بعض </w:t>
      </w:r>
      <w:r>
        <w:rPr>
          <w:rFonts w:hint="cs"/>
          <w:rtl/>
        </w:rPr>
        <w:t xml:space="preserve">دراسات </w:t>
      </w:r>
      <w:r>
        <w:t>McKinsey</w:t>
      </w:r>
      <w:r>
        <w:rPr>
          <w:rFonts w:hint="cs"/>
          <w:rtl/>
        </w:rPr>
        <w:t xml:space="preserve"> أن القيادة الفعالة تُعد العامل الأكثر تأثيرًا في نجاح التحولات المؤسسية الكبرى.</w:t>
      </w:r>
    </w:p>
    <w:p w14:paraId="3AE16DAA" w14:textId="2AA65E98" w:rsidR="00D1081B" w:rsidRDefault="005267BD" w:rsidP="00D1081B">
      <w:pPr>
        <w:jc w:val="both"/>
      </w:pPr>
      <w:r>
        <w:rPr>
          <w:rFonts w:hint="cs"/>
          <w:rtl/>
        </w:rPr>
        <w:t>3-</w:t>
      </w:r>
      <w:r w:rsidR="00D1081B">
        <w:t xml:space="preserve"> </w:t>
      </w:r>
      <w:r w:rsidR="00D1081B">
        <w:rPr>
          <w:rFonts w:hint="cs"/>
          <w:rtl/>
        </w:rPr>
        <w:t>كيف تؤثر الثقافة التنظيمية على تبني التغيير في شركات النفط والغاز؟</w:t>
      </w:r>
    </w:p>
    <w:p w14:paraId="7538EE78" w14:textId="77777777" w:rsidR="00D1081B" w:rsidRDefault="00D1081B" w:rsidP="00F602D1">
      <w:pPr>
        <w:pStyle w:val="ListParagraph"/>
        <w:numPr>
          <w:ilvl w:val="0"/>
          <w:numId w:val="6"/>
        </w:numPr>
        <w:jc w:val="both"/>
      </w:pPr>
      <w:r>
        <w:rPr>
          <w:rFonts w:hint="cs"/>
          <w:rtl/>
        </w:rPr>
        <w:t>يستهدف هذا التساؤل فهم العلاقة بين الثقافة المؤسسية ونجاح التغيير، من خلال:</w:t>
      </w:r>
    </w:p>
    <w:p w14:paraId="24215806" w14:textId="77777777" w:rsidR="00D1081B" w:rsidRPr="00D1081B" w:rsidRDefault="00D1081B" w:rsidP="00F602D1">
      <w:pPr>
        <w:pStyle w:val="ListParagraph"/>
        <w:numPr>
          <w:ilvl w:val="0"/>
          <w:numId w:val="6"/>
        </w:numPr>
        <w:jc w:val="both"/>
      </w:pPr>
      <w:r w:rsidRPr="00D1081B">
        <w:rPr>
          <w:rFonts w:hint="cs"/>
          <w:rtl/>
        </w:rPr>
        <w:t>تحليل القيم والمعتقدات السائدة.</w:t>
      </w:r>
    </w:p>
    <w:p w14:paraId="2E3A9D58" w14:textId="77777777" w:rsidR="00D1081B" w:rsidRPr="00D1081B" w:rsidRDefault="00D1081B" w:rsidP="00F602D1">
      <w:pPr>
        <w:pStyle w:val="ListParagraph"/>
        <w:numPr>
          <w:ilvl w:val="0"/>
          <w:numId w:val="6"/>
        </w:numPr>
        <w:jc w:val="both"/>
        <w:rPr>
          <w:rtl/>
        </w:rPr>
      </w:pPr>
      <w:r w:rsidRPr="00D1081B">
        <w:rPr>
          <w:rFonts w:hint="cs"/>
          <w:rtl/>
        </w:rPr>
        <w:t>تقييم مدى تقبل الابتكار.</w:t>
      </w:r>
    </w:p>
    <w:p w14:paraId="069A78BA" w14:textId="3062B95A" w:rsidR="00D1081B" w:rsidRPr="00D1081B" w:rsidRDefault="00D1081B" w:rsidP="00F602D1">
      <w:pPr>
        <w:pStyle w:val="ListParagraph"/>
        <w:numPr>
          <w:ilvl w:val="0"/>
          <w:numId w:val="6"/>
        </w:numPr>
        <w:jc w:val="both"/>
        <w:rPr>
          <w:rtl/>
        </w:rPr>
      </w:pPr>
      <w:r w:rsidRPr="00D1081B">
        <w:rPr>
          <w:rFonts w:hint="cs"/>
          <w:rtl/>
        </w:rPr>
        <w:t>تحديد الفجوة بين الثقافة الحالية والمطلوبة.</w:t>
      </w:r>
    </w:p>
    <w:p w14:paraId="6F163383" w14:textId="62A6B98D" w:rsidR="00D1081B" w:rsidRDefault="005267BD" w:rsidP="00D1081B">
      <w:pPr>
        <w:jc w:val="both"/>
      </w:pPr>
      <w:r>
        <w:rPr>
          <w:rFonts w:hint="cs"/>
          <w:rtl/>
        </w:rPr>
        <w:t>4-</w:t>
      </w:r>
      <w:r w:rsidR="00D1081B">
        <w:t xml:space="preserve"> </w:t>
      </w:r>
      <w:r w:rsidR="00D1081B">
        <w:rPr>
          <w:rFonts w:hint="cs"/>
          <w:rtl/>
        </w:rPr>
        <w:t>ما مستوى جاهزية القوى العاملة لمتطلبات التحول الطاقي؟</w:t>
      </w:r>
    </w:p>
    <w:p w14:paraId="41C30E6B" w14:textId="77777777" w:rsidR="00D1081B" w:rsidRDefault="00D1081B" w:rsidP="00D1081B">
      <w:pPr>
        <w:jc w:val="both"/>
      </w:pPr>
      <w:r>
        <w:rPr>
          <w:rFonts w:hint="cs"/>
          <w:rtl/>
        </w:rPr>
        <w:t>يهدف هذا التساؤل إلى تقييم قدرة الموارد البشرية على التكيف مع التغيير، ويشمل:</w:t>
      </w:r>
    </w:p>
    <w:p w14:paraId="730CF303" w14:textId="77777777" w:rsidR="00D1081B" w:rsidRPr="00D1081B" w:rsidRDefault="00D1081B" w:rsidP="00F602D1">
      <w:pPr>
        <w:pStyle w:val="ListParagraph"/>
        <w:numPr>
          <w:ilvl w:val="0"/>
          <w:numId w:val="5"/>
        </w:numPr>
        <w:jc w:val="both"/>
      </w:pPr>
      <w:r w:rsidRPr="00D1081B">
        <w:rPr>
          <w:rFonts w:hint="cs"/>
          <w:rtl/>
        </w:rPr>
        <w:t>توفر المهارات التقنية الجديدة.</w:t>
      </w:r>
    </w:p>
    <w:p w14:paraId="52D3B99E" w14:textId="77777777" w:rsidR="00D1081B" w:rsidRPr="00D1081B" w:rsidRDefault="00D1081B" w:rsidP="00F602D1">
      <w:pPr>
        <w:pStyle w:val="ListParagraph"/>
        <w:numPr>
          <w:ilvl w:val="0"/>
          <w:numId w:val="5"/>
        </w:numPr>
        <w:jc w:val="both"/>
        <w:rPr>
          <w:rtl/>
        </w:rPr>
      </w:pPr>
      <w:r w:rsidRPr="00D1081B">
        <w:rPr>
          <w:rFonts w:hint="cs"/>
          <w:rtl/>
        </w:rPr>
        <w:t>الاستعداد النفسي والسلوكي للتغيير.</w:t>
      </w:r>
    </w:p>
    <w:p w14:paraId="431C377C" w14:textId="17CF7816" w:rsidR="00D1081B" w:rsidRPr="00D1081B" w:rsidRDefault="00D1081B" w:rsidP="00F602D1">
      <w:pPr>
        <w:pStyle w:val="ListParagraph"/>
        <w:numPr>
          <w:ilvl w:val="0"/>
          <w:numId w:val="5"/>
        </w:numPr>
        <w:jc w:val="both"/>
        <w:rPr>
          <w:rtl/>
        </w:rPr>
      </w:pPr>
      <w:r w:rsidRPr="00D1081B">
        <w:rPr>
          <w:rFonts w:hint="cs"/>
          <w:rtl/>
        </w:rPr>
        <w:t>فعالية برامج التدريب والتأهيل.</w:t>
      </w:r>
    </w:p>
    <w:p w14:paraId="30F4A104" w14:textId="10DE7907" w:rsidR="00D1081B" w:rsidRDefault="00D1081B" w:rsidP="00A04FC0">
      <w:pPr>
        <w:jc w:val="both"/>
        <w:rPr>
          <w:rtl/>
        </w:rPr>
      </w:pPr>
      <w:r>
        <w:rPr>
          <w:rFonts w:hint="cs"/>
          <w:rtl/>
        </w:rPr>
        <w:t xml:space="preserve">وتشير تقارير </w:t>
      </w:r>
      <w:r>
        <w:t>World Economic Forum</w:t>
      </w:r>
      <w:r>
        <w:rPr>
          <w:rFonts w:hint="cs"/>
          <w:rtl/>
        </w:rPr>
        <w:t xml:space="preserve"> إلى أن فجوة المهارات تُعد من أبرز التحديات التي تواجه قطاع الطاقة في المستقبل.</w:t>
      </w:r>
    </w:p>
    <w:p w14:paraId="41D5C4FB" w14:textId="77777777" w:rsidR="00A04FC0" w:rsidRDefault="00A04FC0" w:rsidP="00A04FC0">
      <w:pPr>
        <w:jc w:val="both"/>
      </w:pPr>
    </w:p>
    <w:p w14:paraId="33D1D505" w14:textId="7F0762EF" w:rsidR="00D1081B" w:rsidRDefault="00A04FC0" w:rsidP="00D1081B">
      <w:pPr>
        <w:jc w:val="both"/>
      </w:pPr>
      <w:r>
        <w:rPr>
          <w:rFonts w:hint="cs"/>
          <w:rtl/>
        </w:rPr>
        <w:lastRenderedPageBreak/>
        <w:t>5-</w:t>
      </w:r>
      <w:r w:rsidR="00D1081B">
        <w:t xml:space="preserve"> </w:t>
      </w:r>
      <w:r w:rsidR="00D1081B">
        <w:rPr>
          <w:rFonts w:hint="cs"/>
          <w:rtl/>
        </w:rPr>
        <w:t>ما مدى ملاءمة نماذج إدارة التغيير التقليدية لقطاع النفط والغاز في ظل التحول الطاقي؟</w:t>
      </w:r>
    </w:p>
    <w:p w14:paraId="13E5EDFF" w14:textId="77777777" w:rsidR="00D1081B" w:rsidRDefault="00D1081B" w:rsidP="00D1081B">
      <w:pPr>
        <w:jc w:val="both"/>
      </w:pPr>
      <w:r>
        <w:rPr>
          <w:rFonts w:hint="cs"/>
          <w:rtl/>
        </w:rPr>
        <w:t>يركز هذا التساؤل على تقييم الأطر النظرية المستخدمة حاليًا، من خلال:</w:t>
      </w:r>
    </w:p>
    <w:p w14:paraId="76E8068E" w14:textId="77777777" w:rsidR="00D1081B" w:rsidRPr="00D1081B" w:rsidRDefault="00D1081B" w:rsidP="00F602D1">
      <w:pPr>
        <w:pStyle w:val="ListParagraph"/>
        <w:numPr>
          <w:ilvl w:val="0"/>
          <w:numId w:val="4"/>
        </w:numPr>
        <w:jc w:val="both"/>
      </w:pPr>
      <w:r w:rsidRPr="00D1081B">
        <w:rPr>
          <w:rFonts w:hint="cs"/>
          <w:rtl/>
        </w:rPr>
        <w:t>تحليل نقاط القوة والضعف في هذه النماذج.</w:t>
      </w:r>
    </w:p>
    <w:p w14:paraId="3E507B42" w14:textId="77777777" w:rsidR="00D1081B" w:rsidRPr="00D1081B" w:rsidRDefault="00D1081B" w:rsidP="00F602D1">
      <w:pPr>
        <w:pStyle w:val="ListParagraph"/>
        <w:numPr>
          <w:ilvl w:val="0"/>
          <w:numId w:val="4"/>
        </w:numPr>
        <w:jc w:val="both"/>
        <w:rPr>
          <w:rtl/>
        </w:rPr>
      </w:pPr>
      <w:r w:rsidRPr="00D1081B">
        <w:rPr>
          <w:rFonts w:hint="cs"/>
          <w:rtl/>
        </w:rPr>
        <w:t>اختبار قابليتها للتطبيق في بيئات صناعية معقدة.</w:t>
      </w:r>
    </w:p>
    <w:p w14:paraId="6FC15C7E" w14:textId="06077F1F" w:rsidR="00D1081B" w:rsidRPr="00D1081B" w:rsidRDefault="00D1081B" w:rsidP="00F602D1">
      <w:pPr>
        <w:pStyle w:val="ListParagraph"/>
        <w:numPr>
          <w:ilvl w:val="0"/>
          <w:numId w:val="4"/>
        </w:numPr>
        <w:jc w:val="both"/>
        <w:rPr>
          <w:rtl/>
        </w:rPr>
      </w:pPr>
      <w:r w:rsidRPr="00D1081B">
        <w:rPr>
          <w:rFonts w:hint="cs"/>
          <w:rtl/>
        </w:rPr>
        <w:t>تحديد الحاجة إلى تطوير نماذج جديدة أو معدلة.</w:t>
      </w:r>
    </w:p>
    <w:p w14:paraId="68063758" w14:textId="77777777" w:rsidR="00D1081B" w:rsidRDefault="00D1081B" w:rsidP="00D1081B">
      <w:pPr>
        <w:jc w:val="both"/>
      </w:pPr>
      <w:r>
        <w:t xml:space="preserve">6. </w:t>
      </w:r>
      <w:r>
        <w:rPr>
          <w:rFonts w:hint="cs"/>
          <w:rtl/>
        </w:rPr>
        <w:t>ما العلاقة بين فعالية إدارة التغيير والأداء المؤسسي خلال التحول؟</w:t>
      </w:r>
    </w:p>
    <w:p w14:paraId="5186289F" w14:textId="77777777" w:rsidR="00D1081B" w:rsidRDefault="00D1081B" w:rsidP="00D1081B">
      <w:pPr>
        <w:jc w:val="both"/>
      </w:pPr>
      <w:r>
        <w:rPr>
          <w:rFonts w:hint="cs"/>
          <w:rtl/>
        </w:rPr>
        <w:t>يهدف هذا التساؤل إلى اختبار العلاقة بين إدارة التغيير ومؤشرات الأداء، مثل:</w:t>
      </w:r>
    </w:p>
    <w:p w14:paraId="22D14D0E" w14:textId="77777777" w:rsidR="00D1081B" w:rsidRPr="00D1081B" w:rsidRDefault="00D1081B" w:rsidP="00F602D1">
      <w:pPr>
        <w:pStyle w:val="ListParagraph"/>
        <w:numPr>
          <w:ilvl w:val="0"/>
          <w:numId w:val="20"/>
        </w:numPr>
        <w:jc w:val="both"/>
      </w:pPr>
      <w:r w:rsidRPr="00D1081B">
        <w:rPr>
          <w:rFonts w:hint="cs"/>
          <w:rtl/>
        </w:rPr>
        <w:t>الإنتاجية.</w:t>
      </w:r>
    </w:p>
    <w:p w14:paraId="5285DE23" w14:textId="77777777" w:rsidR="00D1081B" w:rsidRPr="00D1081B" w:rsidRDefault="00D1081B" w:rsidP="00F602D1">
      <w:pPr>
        <w:pStyle w:val="ListParagraph"/>
        <w:numPr>
          <w:ilvl w:val="0"/>
          <w:numId w:val="20"/>
        </w:numPr>
        <w:jc w:val="both"/>
        <w:rPr>
          <w:rtl/>
        </w:rPr>
      </w:pPr>
      <w:r w:rsidRPr="00D1081B">
        <w:rPr>
          <w:rFonts w:hint="cs"/>
          <w:rtl/>
        </w:rPr>
        <w:t>الكفاءة التشغيلية.</w:t>
      </w:r>
    </w:p>
    <w:p w14:paraId="74A7CC90" w14:textId="77777777" w:rsidR="00D1081B" w:rsidRPr="00D1081B" w:rsidRDefault="00D1081B" w:rsidP="00F602D1">
      <w:pPr>
        <w:pStyle w:val="ListParagraph"/>
        <w:numPr>
          <w:ilvl w:val="0"/>
          <w:numId w:val="20"/>
        </w:numPr>
        <w:jc w:val="both"/>
        <w:rPr>
          <w:rtl/>
        </w:rPr>
      </w:pPr>
      <w:r w:rsidRPr="00D1081B">
        <w:rPr>
          <w:rFonts w:hint="cs"/>
          <w:rtl/>
        </w:rPr>
        <w:t>الربحية.</w:t>
      </w:r>
    </w:p>
    <w:p w14:paraId="449959FF" w14:textId="4A248784" w:rsidR="00D1081B" w:rsidRPr="00D1081B" w:rsidRDefault="00D1081B" w:rsidP="00F602D1">
      <w:pPr>
        <w:pStyle w:val="ListParagraph"/>
        <w:numPr>
          <w:ilvl w:val="0"/>
          <w:numId w:val="20"/>
        </w:numPr>
        <w:jc w:val="both"/>
        <w:rPr>
          <w:rtl/>
        </w:rPr>
      </w:pPr>
      <w:r w:rsidRPr="00D1081B">
        <w:rPr>
          <w:rFonts w:hint="cs"/>
          <w:rtl/>
        </w:rPr>
        <w:t>الاستدامة.</w:t>
      </w:r>
    </w:p>
    <w:p w14:paraId="0975BE86" w14:textId="36784B95" w:rsidR="00D1081B" w:rsidRDefault="00D1081B" w:rsidP="00A04FC0">
      <w:pPr>
        <w:jc w:val="both"/>
      </w:pPr>
      <w:r>
        <w:rPr>
          <w:rFonts w:hint="cs"/>
          <w:rtl/>
        </w:rPr>
        <w:t>وهنا يجب الانتباه إلى أن العلاقة قد لا تكون خطية أو مباشرة، بل تتأثر بعوامل وسيطة متعددة.</w:t>
      </w:r>
    </w:p>
    <w:p w14:paraId="051AD62D" w14:textId="48A84821" w:rsidR="00D1081B" w:rsidRDefault="00A04FC0" w:rsidP="00D1081B">
      <w:pPr>
        <w:jc w:val="both"/>
      </w:pPr>
      <w:r>
        <w:rPr>
          <w:rFonts w:hint="cs"/>
          <w:rtl/>
        </w:rPr>
        <w:t xml:space="preserve">7- </w:t>
      </w:r>
      <w:r w:rsidR="00D1081B">
        <w:rPr>
          <w:rFonts w:hint="cs"/>
          <w:rtl/>
        </w:rPr>
        <w:t>كيف يمكن تقليل مقاومة التغيير وتعزيز القبول التنظيمي؟</w:t>
      </w:r>
    </w:p>
    <w:p w14:paraId="7197385D" w14:textId="77777777" w:rsidR="00D1081B" w:rsidRDefault="00D1081B" w:rsidP="00D1081B">
      <w:pPr>
        <w:jc w:val="both"/>
      </w:pPr>
      <w:r>
        <w:rPr>
          <w:rFonts w:hint="cs"/>
          <w:rtl/>
        </w:rPr>
        <w:t>يركز هذا التساؤل على الجوانب التطبيقية، من خلال:</w:t>
      </w:r>
    </w:p>
    <w:p w14:paraId="515A3495" w14:textId="77777777" w:rsidR="00D1081B" w:rsidRPr="00D1081B" w:rsidRDefault="00D1081B" w:rsidP="00F602D1">
      <w:pPr>
        <w:pStyle w:val="ListParagraph"/>
        <w:numPr>
          <w:ilvl w:val="0"/>
          <w:numId w:val="21"/>
        </w:numPr>
        <w:jc w:val="both"/>
      </w:pPr>
      <w:r w:rsidRPr="00D1081B">
        <w:rPr>
          <w:rFonts w:hint="cs"/>
          <w:rtl/>
        </w:rPr>
        <w:t>تحديد أسباب مقاومة التغيير.</w:t>
      </w:r>
    </w:p>
    <w:p w14:paraId="0CA00815" w14:textId="77777777" w:rsidR="00D1081B" w:rsidRPr="00D1081B" w:rsidRDefault="00D1081B" w:rsidP="00F602D1">
      <w:pPr>
        <w:pStyle w:val="ListParagraph"/>
        <w:numPr>
          <w:ilvl w:val="0"/>
          <w:numId w:val="21"/>
        </w:numPr>
        <w:jc w:val="both"/>
        <w:rPr>
          <w:rtl/>
        </w:rPr>
      </w:pPr>
      <w:r w:rsidRPr="00D1081B">
        <w:rPr>
          <w:rFonts w:hint="cs"/>
          <w:rtl/>
        </w:rPr>
        <w:t>تطوير استراتيجيات للتعامل معها.</w:t>
      </w:r>
    </w:p>
    <w:p w14:paraId="50802706" w14:textId="3D29EAF3" w:rsidR="00D1081B" w:rsidRPr="00D1081B" w:rsidRDefault="00D1081B" w:rsidP="00F602D1">
      <w:pPr>
        <w:pStyle w:val="ListParagraph"/>
        <w:numPr>
          <w:ilvl w:val="0"/>
          <w:numId w:val="21"/>
        </w:numPr>
        <w:jc w:val="both"/>
        <w:rPr>
          <w:rtl/>
        </w:rPr>
      </w:pPr>
      <w:r w:rsidRPr="00D1081B">
        <w:rPr>
          <w:rFonts w:hint="cs"/>
          <w:rtl/>
        </w:rPr>
        <w:t>تعزيز المشاركة والتواصل داخل المنظمة.</w:t>
      </w:r>
    </w:p>
    <w:p w14:paraId="5F65FAC1" w14:textId="63CA4082" w:rsidR="00D1081B" w:rsidRDefault="001957C3" w:rsidP="00D1081B">
      <w:pPr>
        <w:jc w:val="both"/>
      </w:pPr>
      <w:r>
        <w:rPr>
          <w:rFonts w:hint="cs"/>
          <w:rtl/>
        </w:rPr>
        <w:t xml:space="preserve">8- </w:t>
      </w:r>
      <w:r w:rsidR="00D1081B">
        <w:rPr>
          <w:rFonts w:hint="cs"/>
          <w:rtl/>
        </w:rPr>
        <w:t>ما الاستراتيجيات الأكثر فعالية لإدارة التغيير في سياق التحول الطاقي؟</w:t>
      </w:r>
    </w:p>
    <w:p w14:paraId="66519554" w14:textId="77777777" w:rsidR="00D1081B" w:rsidRDefault="00D1081B" w:rsidP="00D1081B">
      <w:pPr>
        <w:jc w:val="both"/>
      </w:pPr>
      <w:r>
        <w:rPr>
          <w:rFonts w:hint="cs"/>
          <w:rtl/>
        </w:rPr>
        <w:t>يهدف هذا التساؤل إلى استخلاص أفضل الممارسات، من خلال:</w:t>
      </w:r>
    </w:p>
    <w:p w14:paraId="62DAA1D6" w14:textId="77777777" w:rsidR="00D1081B" w:rsidRPr="00D1081B" w:rsidRDefault="00D1081B" w:rsidP="00F602D1">
      <w:pPr>
        <w:pStyle w:val="ListParagraph"/>
        <w:numPr>
          <w:ilvl w:val="0"/>
          <w:numId w:val="22"/>
        </w:numPr>
        <w:jc w:val="both"/>
      </w:pPr>
      <w:r w:rsidRPr="00D1081B">
        <w:rPr>
          <w:rFonts w:hint="cs"/>
          <w:rtl/>
        </w:rPr>
        <w:t>مقارنة تجارب شركات مختلفة.</w:t>
      </w:r>
    </w:p>
    <w:p w14:paraId="787F8547" w14:textId="77777777" w:rsidR="00D1081B" w:rsidRPr="00D1081B" w:rsidRDefault="00D1081B" w:rsidP="00F602D1">
      <w:pPr>
        <w:pStyle w:val="ListParagraph"/>
        <w:numPr>
          <w:ilvl w:val="0"/>
          <w:numId w:val="22"/>
        </w:numPr>
        <w:jc w:val="both"/>
        <w:rPr>
          <w:rtl/>
        </w:rPr>
      </w:pPr>
      <w:r w:rsidRPr="00D1081B">
        <w:rPr>
          <w:rFonts w:hint="cs"/>
          <w:rtl/>
        </w:rPr>
        <w:t>تحليل دراسات حالة ناجحة وفاشلة.</w:t>
      </w:r>
    </w:p>
    <w:p w14:paraId="6D97170F" w14:textId="5A644567" w:rsidR="00D1081B" w:rsidRPr="00D1081B" w:rsidRDefault="00D1081B" w:rsidP="00F602D1">
      <w:pPr>
        <w:pStyle w:val="ListParagraph"/>
        <w:numPr>
          <w:ilvl w:val="0"/>
          <w:numId w:val="22"/>
        </w:numPr>
        <w:jc w:val="both"/>
        <w:rPr>
          <w:rtl/>
        </w:rPr>
      </w:pPr>
      <w:r w:rsidRPr="00D1081B">
        <w:rPr>
          <w:rFonts w:hint="cs"/>
          <w:rtl/>
        </w:rPr>
        <w:t>تقديم توصيات قابلة للتطبيق.</w:t>
      </w:r>
    </w:p>
    <w:p w14:paraId="7175438E" w14:textId="25E93918" w:rsidR="00D1081B" w:rsidRPr="001957C3" w:rsidRDefault="00D1081B" w:rsidP="001957C3">
      <w:pPr>
        <w:pStyle w:val="Heading3"/>
        <w:rPr>
          <w:rFonts w:eastAsiaTheme="minorHAnsi"/>
          <w:color w:val="4472C4" w:themeColor="accent1"/>
        </w:rPr>
      </w:pPr>
      <w:bookmarkStart w:id="15" w:name="_Toc225314020"/>
      <w:r w:rsidRPr="001957C3">
        <w:rPr>
          <w:rFonts w:eastAsiaTheme="minorHAnsi" w:hint="cs"/>
          <w:color w:val="4472C4" w:themeColor="accent1"/>
          <w:rtl/>
        </w:rPr>
        <w:t>ثالثًا: الأبعاد التحليلية للتساؤلات</w:t>
      </w:r>
      <w:r w:rsidR="001957C3">
        <w:rPr>
          <w:rFonts w:eastAsiaTheme="minorHAnsi" w:hint="cs"/>
          <w:color w:val="4472C4" w:themeColor="accent1"/>
          <w:rtl/>
        </w:rPr>
        <w:t>:</w:t>
      </w:r>
      <w:bookmarkEnd w:id="15"/>
    </w:p>
    <w:p w14:paraId="3AAD9C51" w14:textId="77777777" w:rsidR="00D1081B" w:rsidRDefault="00D1081B" w:rsidP="00D1081B">
      <w:pPr>
        <w:jc w:val="both"/>
      </w:pPr>
      <w:r>
        <w:rPr>
          <w:rFonts w:hint="cs"/>
          <w:rtl/>
        </w:rPr>
        <w:t>يمكن تصنيف التساؤلات السابقة إلى عدة أبعاد رئيسية:</w:t>
      </w:r>
    </w:p>
    <w:p w14:paraId="3152A179" w14:textId="77777777" w:rsidR="00D1081B" w:rsidRPr="00D1081B" w:rsidRDefault="00D1081B" w:rsidP="00F602D1">
      <w:pPr>
        <w:pStyle w:val="ListParagraph"/>
        <w:numPr>
          <w:ilvl w:val="0"/>
          <w:numId w:val="23"/>
        </w:numPr>
        <w:jc w:val="both"/>
      </w:pPr>
      <w:r w:rsidRPr="00D1081B">
        <w:rPr>
          <w:rFonts w:hint="cs"/>
          <w:rtl/>
        </w:rPr>
        <w:t>البعد التنظيمي: يشمل الهياكل، والعمليات، والثقافة.</w:t>
      </w:r>
    </w:p>
    <w:p w14:paraId="4A0974D3" w14:textId="77777777" w:rsidR="00D1081B" w:rsidRPr="00D1081B" w:rsidRDefault="00D1081B" w:rsidP="00F602D1">
      <w:pPr>
        <w:pStyle w:val="ListParagraph"/>
        <w:numPr>
          <w:ilvl w:val="0"/>
          <w:numId w:val="23"/>
        </w:numPr>
        <w:jc w:val="both"/>
        <w:rPr>
          <w:rtl/>
        </w:rPr>
      </w:pPr>
      <w:r w:rsidRPr="00D1081B">
        <w:rPr>
          <w:rFonts w:hint="cs"/>
          <w:rtl/>
        </w:rPr>
        <w:t>البعد البشري: يشمل القيادة، والموارد البشرية، وسلوك الأفراد.</w:t>
      </w:r>
    </w:p>
    <w:p w14:paraId="67D3A2A2" w14:textId="77777777" w:rsidR="00D1081B" w:rsidRPr="00D1081B" w:rsidRDefault="00D1081B" w:rsidP="00F602D1">
      <w:pPr>
        <w:pStyle w:val="ListParagraph"/>
        <w:numPr>
          <w:ilvl w:val="0"/>
          <w:numId w:val="23"/>
        </w:numPr>
        <w:jc w:val="both"/>
        <w:rPr>
          <w:rtl/>
        </w:rPr>
      </w:pPr>
      <w:r w:rsidRPr="00D1081B">
        <w:rPr>
          <w:rFonts w:hint="cs"/>
          <w:rtl/>
        </w:rPr>
        <w:t>البعد الاستراتيجي: يشمل الرؤية، والتخطيط، واتخاذ القرار.</w:t>
      </w:r>
    </w:p>
    <w:p w14:paraId="20135CD7" w14:textId="46429CA3" w:rsidR="00D1081B" w:rsidRPr="00D1081B" w:rsidRDefault="00D1081B" w:rsidP="00F602D1">
      <w:pPr>
        <w:pStyle w:val="ListParagraph"/>
        <w:numPr>
          <w:ilvl w:val="0"/>
          <w:numId w:val="23"/>
        </w:numPr>
        <w:jc w:val="both"/>
        <w:rPr>
          <w:rtl/>
        </w:rPr>
      </w:pPr>
      <w:r w:rsidRPr="00D1081B">
        <w:rPr>
          <w:rFonts w:hint="cs"/>
          <w:rtl/>
        </w:rPr>
        <w:t>البعد الأدائي: يشمل مؤشرات الأداء والنتائج المتحققة.</w:t>
      </w:r>
    </w:p>
    <w:p w14:paraId="4652BFD3" w14:textId="047FEB91" w:rsidR="00D1081B" w:rsidRDefault="00D1081B" w:rsidP="001957C3">
      <w:pPr>
        <w:jc w:val="both"/>
      </w:pPr>
      <w:r>
        <w:rPr>
          <w:rFonts w:hint="cs"/>
          <w:rtl/>
        </w:rPr>
        <w:t>هذا التصنيف يساعد على تنظيم عملية البحث، وضمان شمولية التحليل.</w:t>
      </w:r>
    </w:p>
    <w:p w14:paraId="60BF3D37" w14:textId="5EAC5BCC" w:rsidR="00D1081B" w:rsidRPr="001957C3" w:rsidRDefault="00D1081B" w:rsidP="001957C3">
      <w:pPr>
        <w:pStyle w:val="Heading3"/>
        <w:rPr>
          <w:rFonts w:eastAsiaTheme="minorHAnsi"/>
          <w:color w:val="4472C4" w:themeColor="accent1"/>
        </w:rPr>
      </w:pPr>
      <w:bookmarkStart w:id="16" w:name="_Toc225314021"/>
      <w:r w:rsidRPr="001957C3">
        <w:rPr>
          <w:rFonts w:eastAsiaTheme="minorHAnsi" w:hint="cs"/>
          <w:color w:val="4472C4" w:themeColor="accent1"/>
          <w:rtl/>
        </w:rPr>
        <w:t>رابعًا: تحليل نقدي للتساؤلات</w:t>
      </w:r>
      <w:r w:rsidR="001957C3">
        <w:rPr>
          <w:rFonts w:eastAsiaTheme="minorHAnsi" w:hint="cs"/>
          <w:color w:val="4472C4" w:themeColor="accent1"/>
          <w:rtl/>
        </w:rPr>
        <w:t>:</w:t>
      </w:r>
      <w:bookmarkEnd w:id="16"/>
    </w:p>
    <w:p w14:paraId="239C4983" w14:textId="77777777" w:rsidR="00D1081B" w:rsidRDefault="00D1081B" w:rsidP="00D1081B">
      <w:pPr>
        <w:jc w:val="both"/>
      </w:pPr>
      <w:r>
        <w:rPr>
          <w:rFonts w:hint="cs"/>
          <w:rtl/>
        </w:rPr>
        <w:t>من المهم فحص الافتراضات الضمنية التي تستند إليها هذه التساؤلات:</w:t>
      </w:r>
    </w:p>
    <w:p w14:paraId="3DBCFAF6" w14:textId="77777777" w:rsidR="00D1081B" w:rsidRPr="00D1081B" w:rsidRDefault="00D1081B" w:rsidP="00D1081B">
      <w:pPr>
        <w:jc w:val="both"/>
      </w:pPr>
      <w:r w:rsidRPr="00D1081B">
        <w:rPr>
          <w:rFonts w:hint="cs"/>
          <w:rtl/>
        </w:rPr>
        <w:t>افتراض وجود علاقة مباشرة بين التغيير والأداء: قد تكون العلاقة أكثر تعقيدًا، وتتأثر بعوامل خارجية مثل تقلبات السوق.</w:t>
      </w:r>
    </w:p>
    <w:p w14:paraId="15F47714" w14:textId="77777777" w:rsidR="00D1081B" w:rsidRPr="00D1081B" w:rsidRDefault="00D1081B" w:rsidP="00D1081B">
      <w:pPr>
        <w:jc w:val="both"/>
        <w:rPr>
          <w:rtl/>
        </w:rPr>
      </w:pPr>
      <w:r w:rsidRPr="00D1081B">
        <w:rPr>
          <w:rFonts w:hint="cs"/>
          <w:rtl/>
        </w:rPr>
        <w:t>افتراض قابلية القياس: بعض المفاهيم مثل الثقافة التنظيمية أو مقاومة التغيير يصعب قياسها بدقة.</w:t>
      </w:r>
    </w:p>
    <w:p w14:paraId="451B4EF2" w14:textId="4EB4CB39" w:rsidR="00D1081B" w:rsidRPr="00D1081B" w:rsidRDefault="00D1081B" w:rsidP="005C3D00">
      <w:pPr>
        <w:jc w:val="both"/>
        <w:rPr>
          <w:rtl/>
        </w:rPr>
      </w:pPr>
      <w:r w:rsidRPr="00D1081B">
        <w:rPr>
          <w:rFonts w:hint="cs"/>
          <w:rtl/>
        </w:rPr>
        <w:t>افتراض التجانس القطاعي: تختلف شركات النفط والغاز في الحجم، والموقع، والاستراتيجية، مما قد يؤثر على تعميم النتائج.</w:t>
      </w:r>
    </w:p>
    <w:p w14:paraId="27358BAF" w14:textId="60106F01" w:rsidR="00D1081B" w:rsidRDefault="00D1081B" w:rsidP="005C3D00">
      <w:pPr>
        <w:jc w:val="both"/>
      </w:pPr>
      <w:r>
        <w:rPr>
          <w:rFonts w:hint="cs"/>
          <w:rtl/>
        </w:rPr>
        <w:t>بالتالي، يجب تصميم المنهجية البحثية بطريقة تأخذ هذه التحديات في الاعتبار.</w:t>
      </w: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EE6287" w:rsidRDefault="00D52480" w:rsidP="00EE6287">
      <w:pPr>
        <w:pStyle w:val="Heading2"/>
        <w:rPr>
          <w:rFonts w:ascii="Sakkal Majalla" w:hAnsi="Sakkal Majalla" w:cs="Sakkal Majalla"/>
          <w:color w:val="auto"/>
          <w:sz w:val="28"/>
          <w:szCs w:val="28"/>
          <w:u w:val="single"/>
          <w:rtl/>
        </w:rPr>
      </w:pPr>
      <w:bookmarkStart w:id="17" w:name="_Toc225314022"/>
      <w:r w:rsidRPr="00EE6287">
        <w:rPr>
          <w:rFonts w:ascii="Sakkal Majalla" w:hAnsi="Sakkal Majalla" w:cs="Sakkal Majalla" w:hint="cs"/>
          <w:color w:val="auto"/>
          <w:sz w:val="28"/>
          <w:szCs w:val="28"/>
          <w:u w:val="single"/>
          <w:rtl/>
        </w:rPr>
        <w:lastRenderedPageBreak/>
        <w:t>- فروض الدراسة</w:t>
      </w:r>
      <w:bookmarkEnd w:id="17"/>
    </w:p>
    <w:p w14:paraId="3F33FAC8" w14:textId="77777777" w:rsidR="005C3D00" w:rsidRDefault="005C3D00" w:rsidP="005C3D00">
      <w:pPr>
        <w:jc w:val="both"/>
      </w:pPr>
      <w:r>
        <w:rPr>
          <w:rFonts w:hint="cs"/>
          <w:rtl/>
        </w:rPr>
        <w:t xml:space="preserve">تُعد فروض الدراسة عنصرًا محوريًا في البناء المنهجي للبحث العلمي، حيث تمثل روابط منطقية قابلة للاختبار بين المتغيرات المختلفة. وفي سياق هذه الدراسة، يتم تطوير الفروض استنادًا إلى الأدبيات المرتبطة بـ </w:t>
      </w:r>
      <w:r>
        <w:t>Energy Transition</w:t>
      </w:r>
      <w:r>
        <w:rPr>
          <w:rFonts w:hint="cs"/>
          <w:rtl/>
        </w:rPr>
        <w:t xml:space="preserve">، وكذلك نظريات </w:t>
      </w:r>
      <w:r>
        <w:t>Organizational Change Management</w:t>
      </w:r>
      <w:r>
        <w:rPr>
          <w:rFonts w:hint="cs"/>
          <w:rtl/>
        </w:rPr>
        <w:t>، بهدف تفسير وتحليل كيفية تأثير ممارسات التغيير التنظيمي على نجاح التحول في قطاع النفط والغاز.</w:t>
      </w:r>
    </w:p>
    <w:p w14:paraId="48289B6E" w14:textId="77777777" w:rsidR="005C3D00" w:rsidRDefault="005C3D00" w:rsidP="005C3D00">
      <w:pPr>
        <w:jc w:val="both"/>
      </w:pPr>
    </w:p>
    <w:p w14:paraId="15A86AD2" w14:textId="392DF7B9" w:rsidR="005C3D00" w:rsidRDefault="005C3D00" w:rsidP="00DB7B69">
      <w:pPr>
        <w:jc w:val="both"/>
      </w:pPr>
      <w:r>
        <w:rPr>
          <w:rFonts w:hint="cs"/>
          <w:rtl/>
        </w:rPr>
        <w:t>تعكس هذه الفروض محاولة منهجية لاختبار العلاقات السببية أو الارتباطية بين مجموعة من المتغيرات المستقلة (مثل القيادة، الثقافة التنظيمية، جاهزية القوى العاملة) والمتغيرات التابعة (مثل الأداء المؤسسي، نجاح التحول، مستوى الاستدامة).</w:t>
      </w:r>
    </w:p>
    <w:p w14:paraId="7916C18B" w14:textId="09A48540" w:rsidR="005C3D00" w:rsidRPr="00DB7B69" w:rsidRDefault="005C3D00" w:rsidP="00DB7B69">
      <w:pPr>
        <w:pStyle w:val="Heading3"/>
        <w:rPr>
          <w:rFonts w:eastAsiaTheme="minorHAnsi"/>
          <w:color w:val="4472C4" w:themeColor="accent1"/>
        </w:rPr>
      </w:pPr>
      <w:bookmarkStart w:id="18" w:name="_Toc225314023"/>
      <w:r w:rsidRPr="00DB7B69">
        <w:rPr>
          <w:rFonts w:eastAsiaTheme="minorHAnsi" w:hint="cs"/>
          <w:color w:val="4472C4" w:themeColor="accent1"/>
          <w:rtl/>
        </w:rPr>
        <w:t>أولًا: الفرضية الرئيسية</w:t>
      </w:r>
      <w:r w:rsidR="00DB7B69" w:rsidRPr="00DB7B69">
        <w:rPr>
          <w:rFonts w:hint="cs"/>
          <w:color w:val="4472C4" w:themeColor="accent1"/>
          <w:rtl/>
        </w:rPr>
        <w:t>:</w:t>
      </w:r>
      <w:bookmarkEnd w:id="18"/>
    </w:p>
    <w:p w14:paraId="3AA435C7" w14:textId="0798AC5D" w:rsidR="005C3D00" w:rsidRDefault="005C3D00" w:rsidP="00DB7B69">
      <w:pPr>
        <w:jc w:val="both"/>
      </w:pPr>
      <w:r>
        <w:rPr>
          <w:rFonts w:hint="cs"/>
          <w:rtl/>
        </w:rPr>
        <w:t>توجد علاقة ذات دلالة إحصائية بين فعالية إدارة التغيير التنظيمي ونجاح التحول الطاقي في شركات النفط والغاز.</w:t>
      </w:r>
    </w:p>
    <w:p w14:paraId="1C82CD0F" w14:textId="6A74F7A3" w:rsidR="005C3D00" w:rsidRDefault="005C3D00" w:rsidP="00DB7B69">
      <w:pPr>
        <w:jc w:val="both"/>
      </w:pPr>
      <w:r>
        <w:rPr>
          <w:rFonts w:hint="cs"/>
          <w:rtl/>
        </w:rPr>
        <w:t xml:space="preserve">تشير هذه الفرضية إلى أن المؤسسات التي تطبق ممارسات فعالة في إدارة التغيير تكون أكثر قدرة على تحقيق أهداف التحول، سواء من حيث الاستدامة أو التنافسية. وتدعم تقارير </w:t>
      </w:r>
      <w:r>
        <w:t>International Energy Agency</w:t>
      </w:r>
      <w:r>
        <w:rPr>
          <w:rFonts w:hint="cs"/>
          <w:rtl/>
        </w:rPr>
        <w:t xml:space="preserve"> هذا الطرح، حيث تؤكد أن نجاح التحول لا يعتمد فقط على الاستثمار في التكنولوجيا، بل على القدرة المؤسسية على التكيف.</w:t>
      </w:r>
    </w:p>
    <w:p w14:paraId="0E039B5E" w14:textId="501B4E98" w:rsidR="005C3D00" w:rsidRPr="00DB7B69" w:rsidRDefault="005C3D00" w:rsidP="00DB7B69">
      <w:pPr>
        <w:pStyle w:val="Heading3"/>
        <w:rPr>
          <w:rFonts w:eastAsiaTheme="minorHAnsi"/>
          <w:color w:val="4472C4" w:themeColor="accent1"/>
        </w:rPr>
      </w:pPr>
      <w:bookmarkStart w:id="19" w:name="_Toc225314024"/>
      <w:r w:rsidRPr="00DB7B69">
        <w:rPr>
          <w:rFonts w:eastAsiaTheme="minorHAnsi" w:hint="cs"/>
          <w:color w:val="4472C4" w:themeColor="accent1"/>
          <w:rtl/>
        </w:rPr>
        <w:t>ثانيًا: الفروض الفرعية</w:t>
      </w:r>
      <w:r w:rsidR="00DB7B69" w:rsidRPr="00DB7B69">
        <w:rPr>
          <w:rFonts w:hint="cs"/>
          <w:color w:val="4472C4" w:themeColor="accent1"/>
          <w:rtl/>
        </w:rPr>
        <w:t>:</w:t>
      </w:r>
      <w:bookmarkEnd w:id="19"/>
    </w:p>
    <w:p w14:paraId="3FA884E3" w14:textId="4EE27291" w:rsidR="005C3D00" w:rsidRDefault="00DB7B69" w:rsidP="00DB7B69">
      <w:pPr>
        <w:jc w:val="both"/>
      </w:pPr>
      <w:r>
        <w:rPr>
          <w:rFonts w:hint="cs"/>
          <w:rtl/>
        </w:rPr>
        <w:t xml:space="preserve">1- </w:t>
      </w:r>
      <w:r w:rsidR="005C3D00">
        <w:rPr>
          <w:rFonts w:hint="cs"/>
          <w:rtl/>
        </w:rPr>
        <w:t>القيادة التحويلية ونجاح التغيير</w:t>
      </w:r>
    </w:p>
    <w:p w14:paraId="52A5972F" w14:textId="60520675" w:rsidR="005C3D00" w:rsidRPr="00DB7B69" w:rsidRDefault="005C3D00" w:rsidP="00DB7B69">
      <w:pPr>
        <w:jc w:val="both"/>
      </w:pPr>
      <w:r>
        <w:rPr>
          <w:rFonts w:hint="cs"/>
          <w:rtl/>
        </w:rPr>
        <w:t>توجد علاقة إيجابية بين تبني أساليب القيادة التحويلية ونجاح إدارة التغيير التنظيمي.</w:t>
      </w:r>
    </w:p>
    <w:p w14:paraId="36BCB7C5" w14:textId="20C0AEED" w:rsidR="005C3D00" w:rsidRDefault="005C3D00" w:rsidP="00DB7B69">
      <w:pPr>
        <w:jc w:val="both"/>
      </w:pPr>
      <w:r>
        <w:rPr>
          <w:rFonts w:hint="cs"/>
          <w:rtl/>
        </w:rPr>
        <w:t xml:space="preserve">تفترض هذه العلاقة أن القادة الذين يمتلكون رؤية واضحة، وقدرة على التأثير والتحفيز، يسهمون بشكل مباشر في تقليل مقاومة التغيير وتعزيز التزام العاملين. وتشير دراسات </w:t>
      </w:r>
      <w:r>
        <w:t>McKinsey</w:t>
      </w:r>
      <w:r>
        <w:rPr>
          <w:rFonts w:hint="cs"/>
          <w:rtl/>
        </w:rPr>
        <w:t xml:space="preserve"> &amp; </w:t>
      </w:r>
      <w:r>
        <w:t>Company</w:t>
      </w:r>
      <w:r>
        <w:rPr>
          <w:rFonts w:hint="cs"/>
          <w:rtl/>
        </w:rPr>
        <w:t xml:space="preserve"> إلى أن القيادة الفعالة تُعد العامل الأكثر تأثيرًا في نجاح التحولات المؤسسية.</w:t>
      </w:r>
    </w:p>
    <w:p w14:paraId="190A0328" w14:textId="13CBB383" w:rsidR="005C3D00" w:rsidRDefault="00DB7B69" w:rsidP="00DB7B69">
      <w:pPr>
        <w:jc w:val="both"/>
      </w:pPr>
      <w:r>
        <w:rPr>
          <w:rFonts w:hint="cs"/>
          <w:rtl/>
        </w:rPr>
        <w:t>2-</w:t>
      </w:r>
      <w:r w:rsidR="005C3D00">
        <w:t xml:space="preserve"> </w:t>
      </w:r>
      <w:r w:rsidR="005C3D00">
        <w:rPr>
          <w:rFonts w:hint="cs"/>
          <w:rtl/>
        </w:rPr>
        <w:t>الثقافة التنظيمية ودعم التحول</w:t>
      </w:r>
    </w:p>
    <w:p w14:paraId="01994BEE" w14:textId="08B26416" w:rsidR="005C3D00" w:rsidRPr="00DB7B69" w:rsidRDefault="005C3D00" w:rsidP="00DB7B69">
      <w:pPr>
        <w:jc w:val="both"/>
      </w:pPr>
      <w:r>
        <w:rPr>
          <w:rFonts w:hint="cs"/>
          <w:rtl/>
        </w:rPr>
        <w:t>تؤثر الثقافة التنظيمية الداعمة للابتكار بشكل إيجابي على فعالية إدارة التغيير التنظيمي.</w:t>
      </w:r>
    </w:p>
    <w:p w14:paraId="0BB76B86" w14:textId="74F4A585" w:rsidR="005C3D00" w:rsidRDefault="005C3D00" w:rsidP="00DB7B69">
      <w:pPr>
        <w:jc w:val="both"/>
      </w:pPr>
      <w:r>
        <w:rPr>
          <w:rFonts w:hint="cs"/>
          <w:rtl/>
        </w:rPr>
        <w:t>تفترض هذه الفرضية أن المؤسسات التي تتبنى ثقافة مرنة ومفتوحة للتجديد تكون أكثر قدرة على استيعاب التغيير، مقارنة بالمؤسسات ذات الثقافة التقليدية التي تميل إلى الاستقرار والجمود.</w:t>
      </w:r>
    </w:p>
    <w:p w14:paraId="4784E5FE" w14:textId="3F5490C7" w:rsidR="005C3D00" w:rsidRPr="00DB7B69" w:rsidRDefault="00DB7B69" w:rsidP="00DB7B69">
      <w:pPr>
        <w:jc w:val="both"/>
      </w:pPr>
      <w:r>
        <w:rPr>
          <w:rFonts w:hint="cs"/>
          <w:rtl/>
        </w:rPr>
        <w:t xml:space="preserve">3- </w:t>
      </w:r>
      <w:r w:rsidR="005C3D00">
        <w:rPr>
          <w:rFonts w:hint="cs"/>
          <w:rtl/>
        </w:rPr>
        <w:t>جاهزية القوى العاملة ونجاح التحول</w:t>
      </w:r>
    </w:p>
    <w:p w14:paraId="2CD720A3" w14:textId="2A42E6DB" w:rsidR="005C3D00" w:rsidRPr="00DB7B69" w:rsidRDefault="005C3D00" w:rsidP="00DB7B69">
      <w:pPr>
        <w:jc w:val="both"/>
      </w:pPr>
      <w:r>
        <w:rPr>
          <w:rFonts w:hint="cs"/>
          <w:rtl/>
        </w:rPr>
        <w:t>توجد علاقة إيجابية بين مستوى جاهزية القوى العاملة ونجاح تنفيذ استراتيجيات التحول الطاقي.</w:t>
      </w:r>
    </w:p>
    <w:p w14:paraId="653EF1B1" w14:textId="69D2249E" w:rsidR="005C3D00" w:rsidRDefault="005C3D00" w:rsidP="00DB7B69">
      <w:pPr>
        <w:jc w:val="both"/>
      </w:pPr>
      <w:r>
        <w:rPr>
          <w:rFonts w:hint="cs"/>
          <w:rtl/>
        </w:rPr>
        <w:t xml:space="preserve">تشمل الجاهزية هنا المهارات التقنية، والاستعداد النفسي، والقدرة على التكيف. وتؤكد </w:t>
      </w:r>
      <w:r>
        <w:t>World Economic Forum</w:t>
      </w:r>
      <w:r>
        <w:rPr>
          <w:rFonts w:hint="cs"/>
          <w:rtl/>
        </w:rPr>
        <w:t xml:space="preserve"> أن فجوة المهارات تُعد من أبرز التحديات التي تواجه التحول في قطاع الطاقة.</w:t>
      </w:r>
    </w:p>
    <w:p w14:paraId="17120314" w14:textId="3ADF43C7" w:rsidR="005C3D00" w:rsidRPr="00DB7B69" w:rsidRDefault="00DB7B69" w:rsidP="00DB7B69">
      <w:pPr>
        <w:jc w:val="both"/>
      </w:pPr>
      <w:r>
        <w:rPr>
          <w:rFonts w:hint="cs"/>
          <w:rtl/>
        </w:rPr>
        <w:t xml:space="preserve">4- </w:t>
      </w:r>
      <w:r w:rsidR="005C3D00">
        <w:rPr>
          <w:rFonts w:hint="cs"/>
          <w:rtl/>
        </w:rPr>
        <w:t>مقاومة التغيير وتأثيرها على الأداء</w:t>
      </w:r>
    </w:p>
    <w:p w14:paraId="6D4AB12C" w14:textId="2237EB02" w:rsidR="005C3D00" w:rsidRPr="00DB7B69" w:rsidRDefault="005C3D00" w:rsidP="00DB7B69">
      <w:pPr>
        <w:jc w:val="both"/>
      </w:pPr>
      <w:r>
        <w:rPr>
          <w:rFonts w:hint="cs"/>
          <w:rtl/>
        </w:rPr>
        <w:t>تؤثر مقاومة التغيير سلبًا على فعالية إدارة التغيير التنظيمي والأداء المؤسسي.</w:t>
      </w:r>
    </w:p>
    <w:p w14:paraId="5AFD8C3D" w14:textId="59EBEBC6" w:rsidR="005C3D00" w:rsidRDefault="005C3D00" w:rsidP="00DB7B69">
      <w:pPr>
        <w:jc w:val="both"/>
      </w:pPr>
      <w:r>
        <w:rPr>
          <w:rFonts w:hint="cs"/>
          <w:rtl/>
        </w:rPr>
        <w:t>تفترض هذه الفرضية أن ارتفاع مستوى المقاومة داخل المنظمة يؤدي إلى تأخير تنفيذ المبادرات، وزيادة التكاليف، وانخفاض الإنتاجية.</w:t>
      </w:r>
    </w:p>
    <w:p w14:paraId="4C0A59B7" w14:textId="45E2620E" w:rsidR="005C3D00" w:rsidRPr="00DB7B69" w:rsidRDefault="00DB7B69" w:rsidP="00DB7B69">
      <w:pPr>
        <w:jc w:val="both"/>
      </w:pPr>
      <w:r>
        <w:rPr>
          <w:rFonts w:hint="cs"/>
          <w:rtl/>
        </w:rPr>
        <w:t>5-</w:t>
      </w:r>
      <w:r w:rsidR="005C3D00">
        <w:t xml:space="preserve"> </w:t>
      </w:r>
      <w:r w:rsidR="005C3D00">
        <w:rPr>
          <w:rFonts w:hint="cs"/>
          <w:rtl/>
        </w:rPr>
        <w:t>الهياكل التنظيمية المرنة ونجاح التغيير</w:t>
      </w:r>
    </w:p>
    <w:p w14:paraId="30529D37" w14:textId="18D89AF0" w:rsidR="005C3D00" w:rsidRPr="00DB7B69" w:rsidRDefault="005C3D00" w:rsidP="00DB7B69">
      <w:pPr>
        <w:jc w:val="both"/>
      </w:pPr>
      <w:r>
        <w:rPr>
          <w:rFonts w:hint="cs"/>
          <w:rtl/>
        </w:rPr>
        <w:t>توجد علاقة إيجابية بين مرونة الهيكل التنظيمي وفعالية إدارة التغيير التنظيمي.</w:t>
      </w:r>
    </w:p>
    <w:p w14:paraId="2284E6CD" w14:textId="77243077" w:rsidR="005C3D00" w:rsidRDefault="005C3D00" w:rsidP="00DB7B69">
      <w:pPr>
        <w:jc w:val="both"/>
        <w:rPr>
          <w:rtl/>
        </w:rPr>
      </w:pPr>
      <w:r>
        <w:rPr>
          <w:rFonts w:hint="cs"/>
          <w:rtl/>
        </w:rPr>
        <w:t>تشير هذه الفرضية إلى أن الهياكل اللامركزية والمرنة تدعم سرعة اتخاذ القرار، وتعزز القدرة على التكيف مع التغيرات البيئية.</w:t>
      </w:r>
    </w:p>
    <w:p w14:paraId="426439AB" w14:textId="1A053974" w:rsidR="00DB7B69" w:rsidRDefault="00DB7B69" w:rsidP="00DB7B69">
      <w:pPr>
        <w:jc w:val="both"/>
        <w:rPr>
          <w:rtl/>
        </w:rPr>
      </w:pPr>
    </w:p>
    <w:p w14:paraId="5579D2EF" w14:textId="77777777" w:rsidR="00DB7B69" w:rsidRDefault="00DB7B69" w:rsidP="00DB7B69">
      <w:pPr>
        <w:jc w:val="both"/>
      </w:pPr>
    </w:p>
    <w:p w14:paraId="436EF25B" w14:textId="3D9DF2B7" w:rsidR="005C3D00" w:rsidRDefault="00DB7B69" w:rsidP="00DB7B69">
      <w:pPr>
        <w:jc w:val="both"/>
      </w:pPr>
      <w:r>
        <w:rPr>
          <w:rFonts w:hint="cs"/>
          <w:rtl/>
        </w:rPr>
        <w:lastRenderedPageBreak/>
        <w:t xml:space="preserve">6- </w:t>
      </w:r>
      <w:r w:rsidR="005C3D00">
        <w:rPr>
          <w:rFonts w:hint="cs"/>
          <w:rtl/>
        </w:rPr>
        <w:t>فعالية إدارة التغيير والأداء المؤسسي</w:t>
      </w:r>
    </w:p>
    <w:p w14:paraId="4AF6977C" w14:textId="6F7532CA" w:rsidR="005C3D00" w:rsidRPr="00DB7B69" w:rsidRDefault="005C3D00" w:rsidP="00DB7B69">
      <w:pPr>
        <w:jc w:val="both"/>
      </w:pPr>
      <w:r>
        <w:rPr>
          <w:rFonts w:hint="cs"/>
          <w:rtl/>
        </w:rPr>
        <w:t>تؤثر فعالية إدارة التغيير التنظيمي بشكل إيجابي على مؤشرات الأداء المؤسسي.</w:t>
      </w:r>
    </w:p>
    <w:p w14:paraId="711E51AD" w14:textId="77777777" w:rsidR="005C3D00" w:rsidRDefault="005C3D00" w:rsidP="005C3D00">
      <w:pPr>
        <w:jc w:val="both"/>
        <w:rPr>
          <w:rtl/>
        </w:rPr>
      </w:pPr>
      <w:r>
        <w:rPr>
          <w:rFonts w:hint="cs"/>
          <w:rtl/>
        </w:rPr>
        <w:t>تشمل هذه المؤشرات:</w:t>
      </w:r>
    </w:p>
    <w:p w14:paraId="33304DB0" w14:textId="77777777" w:rsidR="005C3D00" w:rsidRPr="005C3D00" w:rsidRDefault="005C3D00" w:rsidP="00F602D1">
      <w:pPr>
        <w:pStyle w:val="ListParagraph"/>
        <w:numPr>
          <w:ilvl w:val="0"/>
          <w:numId w:val="24"/>
        </w:numPr>
        <w:jc w:val="both"/>
      </w:pPr>
      <w:r w:rsidRPr="005C3D00">
        <w:rPr>
          <w:rFonts w:hint="cs"/>
          <w:rtl/>
        </w:rPr>
        <w:t>الإنتاجية</w:t>
      </w:r>
    </w:p>
    <w:p w14:paraId="5F212BE2" w14:textId="77777777" w:rsidR="005C3D00" w:rsidRPr="005C3D00" w:rsidRDefault="005C3D00" w:rsidP="00F602D1">
      <w:pPr>
        <w:pStyle w:val="ListParagraph"/>
        <w:numPr>
          <w:ilvl w:val="0"/>
          <w:numId w:val="24"/>
        </w:numPr>
        <w:jc w:val="both"/>
        <w:rPr>
          <w:rtl/>
        </w:rPr>
      </w:pPr>
      <w:r w:rsidRPr="005C3D00">
        <w:rPr>
          <w:rFonts w:hint="cs"/>
          <w:rtl/>
        </w:rPr>
        <w:t>الكفاءة التشغيلية</w:t>
      </w:r>
    </w:p>
    <w:p w14:paraId="169D59DE" w14:textId="77777777" w:rsidR="005C3D00" w:rsidRPr="005C3D00" w:rsidRDefault="005C3D00" w:rsidP="00F602D1">
      <w:pPr>
        <w:pStyle w:val="ListParagraph"/>
        <w:numPr>
          <w:ilvl w:val="0"/>
          <w:numId w:val="24"/>
        </w:numPr>
        <w:jc w:val="both"/>
        <w:rPr>
          <w:rtl/>
        </w:rPr>
      </w:pPr>
      <w:r w:rsidRPr="005C3D00">
        <w:rPr>
          <w:rFonts w:hint="cs"/>
          <w:rtl/>
        </w:rPr>
        <w:t>الربحية</w:t>
      </w:r>
    </w:p>
    <w:p w14:paraId="2016DED6" w14:textId="38C23F31" w:rsidR="005C3D00" w:rsidRPr="005C3D00" w:rsidRDefault="005C3D00" w:rsidP="00F602D1">
      <w:pPr>
        <w:pStyle w:val="ListParagraph"/>
        <w:numPr>
          <w:ilvl w:val="0"/>
          <w:numId w:val="24"/>
        </w:numPr>
        <w:jc w:val="both"/>
        <w:rPr>
          <w:rtl/>
        </w:rPr>
      </w:pPr>
      <w:r w:rsidRPr="005C3D00">
        <w:rPr>
          <w:rFonts w:hint="cs"/>
          <w:rtl/>
        </w:rPr>
        <w:t>الاستدامة</w:t>
      </w:r>
    </w:p>
    <w:p w14:paraId="55E40FD7" w14:textId="6B5A42A7" w:rsidR="005C3D00" w:rsidRDefault="005C3D00" w:rsidP="00DB7B69">
      <w:pPr>
        <w:jc w:val="both"/>
      </w:pPr>
      <w:r>
        <w:rPr>
          <w:rFonts w:hint="cs"/>
          <w:rtl/>
        </w:rPr>
        <w:t>وهنا تفترض الدراسة وجود علاقة تأثير مباشر أو غير مباشر بين جودة إدارة التغيير وتحسن النتائج المؤسسية.</w:t>
      </w:r>
    </w:p>
    <w:p w14:paraId="2F329BCE" w14:textId="538F605A" w:rsidR="005C3D00" w:rsidRPr="00DB7B69" w:rsidRDefault="00DB7B69" w:rsidP="00DB7B69">
      <w:pPr>
        <w:jc w:val="both"/>
      </w:pPr>
      <w:r>
        <w:rPr>
          <w:rFonts w:hint="cs"/>
          <w:rtl/>
        </w:rPr>
        <w:t xml:space="preserve">7- </w:t>
      </w:r>
      <w:r w:rsidR="005C3D00">
        <w:rPr>
          <w:rFonts w:hint="cs"/>
          <w:rtl/>
        </w:rPr>
        <w:t>التواصل التنظيمي وتقليل مقاومة التغيير</w:t>
      </w:r>
    </w:p>
    <w:p w14:paraId="0749CC1C" w14:textId="3E703736" w:rsidR="005C3D00" w:rsidRPr="00DB7B69" w:rsidRDefault="005C3D00" w:rsidP="00DB7B69">
      <w:pPr>
        <w:jc w:val="both"/>
      </w:pPr>
      <w:r>
        <w:rPr>
          <w:rFonts w:hint="cs"/>
          <w:rtl/>
        </w:rPr>
        <w:t>يسهم التواصل الفعال داخل المنظمة في تقليل مقاومة التغيير وتعزيز قبوله.</w:t>
      </w:r>
    </w:p>
    <w:p w14:paraId="5B9D45EC" w14:textId="71E33C74" w:rsidR="005C3D00" w:rsidRDefault="005C3D00" w:rsidP="00DB7B69">
      <w:pPr>
        <w:jc w:val="both"/>
      </w:pPr>
      <w:r>
        <w:rPr>
          <w:rFonts w:hint="cs"/>
          <w:rtl/>
        </w:rPr>
        <w:t>تفترض هذه الفرضية أن الشفافية، وتوضيح الأهداف، وإشراك العاملين في عملية التغيير، تقلل من القلق وتزيد من الالتزام.</w:t>
      </w:r>
    </w:p>
    <w:p w14:paraId="2BEEE20A" w14:textId="3ADE7750" w:rsidR="005C3D00" w:rsidRPr="00DB7B69" w:rsidRDefault="00DB7B69" w:rsidP="00DB7B69">
      <w:pPr>
        <w:jc w:val="both"/>
      </w:pPr>
      <w:r>
        <w:rPr>
          <w:rFonts w:hint="cs"/>
          <w:rtl/>
        </w:rPr>
        <w:t>8-</w:t>
      </w:r>
      <w:r w:rsidR="005C3D00">
        <w:t xml:space="preserve"> </w:t>
      </w:r>
      <w:r w:rsidR="005C3D00">
        <w:rPr>
          <w:rFonts w:hint="cs"/>
          <w:rtl/>
        </w:rPr>
        <w:t>استخدام التكنولوجيا ودعم التغيير التنظيمي</w:t>
      </w:r>
    </w:p>
    <w:p w14:paraId="0565AF24" w14:textId="039400E6" w:rsidR="005C3D00" w:rsidRPr="00DB7B69" w:rsidRDefault="005C3D00" w:rsidP="00DB7B69">
      <w:pPr>
        <w:jc w:val="both"/>
      </w:pPr>
      <w:r>
        <w:rPr>
          <w:rFonts w:hint="cs"/>
          <w:rtl/>
        </w:rPr>
        <w:t>يسهم تبني التقنيات الحديثة في تعزيز فعالية إدارة التغيير التنظيمي خلال التحول الطاقي.</w:t>
      </w:r>
    </w:p>
    <w:p w14:paraId="7E03D2A3" w14:textId="0C374111" w:rsidR="005C3D00" w:rsidRDefault="005C3D00" w:rsidP="00DB7B69">
      <w:pPr>
        <w:jc w:val="both"/>
      </w:pPr>
      <w:r>
        <w:rPr>
          <w:rFonts w:hint="cs"/>
          <w:rtl/>
        </w:rPr>
        <w:t>لكن هذه الفرضية تتضمن ضمنيًا شرطًا مهمًا: أن يتم دمج التكنولوجيا ضمن إطار تنظيمي وثقافي مناسب، وليس بشكل منفصل.</w:t>
      </w:r>
    </w:p>
    <w:p w14:paraId="765D9C15" w14:textId="2E35F66E" w:rsidR="005C3D00" w:rsidRPr="00DB7B69" w:rsidRDefault="005C3D00" w:rsidP="00DB7B69">
      <w:pPr>
        <w:pStyle w:val="Heading3"/>
        <w:rPr>
          <w:rFonts w:eastAsiaTheme="minorHAnsi"/>
          <w:color w:val="4472C4" w:themeColor="accent1"/>
        </w:rPr>
      </w:pPr>
      <w:bookmarkStart w:id="20" w:name="_Toc225314025"/>
      <w:r w:rsidRPr="00DB7B69">
        <w:rPr>
          <w:rFonts w:eastAsiaTheme="minorHAnsi" w:hint="cs"/>
          <w:color w:val="4472C4" w:themeColor="accent1"/>
          <w:rtl/>
        </w:rPr>
        <w:t>ثالثًا: نموذج العلاقات بين المتغيرات</w:t>
      </w:r>
      <w:r w:rsidR="006629A2">
        <w:rPr>
          <w:rFonts w:eastAsiaTheme="minorHAnsi" w:hint="cs"/>
          <w:color w:val="4472C4" w:themeColor="accent1"/>
          <w:rtl/>
        </w:rPr>
        <w:t>:</w:t>
      </w:r>
      <w:bookmarkEnd w:id="20"/>
    </w:p>
    <w:p w14:paraId="0039C04D" w14:textId="77777777" w:rsidR="005C3D00" w:rsidRDefault="005C3D00" w:rsidP="005C3D00">
      <w:pPr>
        <w:jc w:val="both"/>
      </w:pPr>
      <w:r>
        <w:rPr>
          <w:rFonts w:hint="cs"/>
          <w:rtl/>
        </w:rPr>
        <w:t>يمكن تصور الفروض السابقة ضمن نموذج تحليلي يتضمن:</w:t>
      </w:r>
    </w:p>
    <w:p w14:paraId="42930863" w14:textId="77777777" w:rsidR="005C3D00" w:rsidRPr="005C3D00" w:rsidRDefault="005C3D00" w:rsidP="005C3D00">
      <w:pPr>
        <w:jc w:val="both"/>
      </w:pPr>
      <w:r w:rsidRPr="005C3D00">
        <w:rPr>
          <w:rFonts w:hint="cs"/>
          <w:rtl/>
        </w:rPr>
        <w:t>المتغيرات المستقلة:</w:t>
      </w:r>
    </w:p>
    <w:p w14:paraId="1DB5A392" w14:textId="77777777" w:rsidR="005C3D00" w:rsidRPr="005C3D00" w:rsidRDefault="005C3D00" w:rsidP="005C3D00">
      <w:pPr>
        <w:jc w:val="both"/>
        <w:rPr>
          <w:rtl/>
        </w:rPr>
      </w:pPr>
      <w:r>
        <w:rPr>
          <w:rFonts w:hint="cs"/>
          <w:rtl/>
        </w:rPr>
        <w:t>القيادة، الثقافة التنظيمية، جاهزية القوى العاملة، الهيكل التنظيمي، التواصل، التكنولوجيا.</w:t>
      </w:r>
    </w:p>
    <w:p w14:paraId="5C50E597" w14:textId="77777777" w:rsidR="005C3D00" w:rsidRPr="005C3D00" w:rsidRDefault="005C3D00" w:rsidP="005C3D00">
      <w:pPr>
        <w:jc w:val="both"/>
        <w:rPr>
          <w:rtl/>
        </w:rPr>
      </w:pPr>
      <w:r w:rsidRPr="005C3D00">
        <w:rPr>
          <w:rFonts w:hint="cs"/>
          <w:rtl/>
        </w:rPr>
        <w:t>المتغير الوسيط:</w:t>
      </w:r>
    </w:p>
    <w:p w14:paraId="2684AB9F" w14:textId="77777777" w:rsidR="005C3D00" w:rsidRPr="005C3D00" w:rsidRDefault="005C3D00" w:rsidP="005C3D00">
      <w:pPr>
        <w:jc w:val="both"/>
        <w:rPr>
          <w:rtl/>
        </w:rPr>
      </w:pPr>
      <w:r>
        <w:rPr>
          <w:rFonts w:hint="cs"/>
          <w:rtl/>
        </w:rPr>
        <w:t>فعالية إدارة التغيير التنظيمي.</w:t>
      </w:r>
    </w:p>
    <w:p w14:paraId="4AB8BD77" w14:textId="77777777" w:rsidR="005C3D00" w:rsidRPr="005C3D00" w:rsidRDefault="005C3D00" w:rsidP="005C3D00">
      <w:pPr>
        <w:jc w:val="both"/>
        <w:rPr>
          <w:rtl/>
        </w:rPr>
      </w:pPr>
      <w:r w:rsidRPr="005C3D00">
        <w:rPr>
          <w:rFonts w:hint="cs"/>
          <w:rtl/>
        </w:rPr>
        <w:t>المتغيرات التابعة:</w:t>
      </w:r>
    </w:p>
    <w:p w14:paraId="155155E0" w14:textId="172BE487" w:rsidR="005C3D00" w:rsidRDefault="005C3D00" w:rsidP="00DB7B69">
      <w:pPr>
        <w:jc w:val="both"/>
        <w:rPr>
          <w:rtl/>
        </w:rPr>
      </w:pPr>
      <w:r>
        <w:rPr>
          <w:rFonts w:hint="cs"/>
          <w:rtl/>
        </w:rPr>
        <w:t>الأداء المؤسسي، نجاح التحول الطاقي.</w:t>
      </w:r>
    </w:p>
    <w:p w14:paraId="10DB5DE4" w14:textId="117114BF" w:rsidR="005C3D00" w:rsidRDefault="005C3D00" w:rsidP="00DB7B69">
      <w:pPr>
        <w:jc w:val="both"/>
      </w:pPr>
      <w:r>
        <w:rPr>
          <w:rFonts w:hint="cs"/>
          <w:rtl/>
        </w:rPr>
        <w:t>هذا النموذج يسمح باختبار العلاقات المباشرة وغير المباشرة، ويوفر فهمًا أعمق لديناميكيات التغيير.</w:t>
      </w:r>
    </w:p>
    <w:p w14:paraId="03C163F5" w14:textId="673B9EAB" w:rsidR="005C3D00" w:rsidRPr="00DB7B69" w:rsidRDefault="005C3D00" w:rsidP="00DB7B69">
      <w:pPr>
        <w:pStyle w:val="Heading3"/>
        <w:rPr>
          <w:rFonts w:eastAsiaTheme="minorHAnsi"/>
          <w:color w:val="4472C4" w:themeColor="accent1"/>
        </w:rPr>
      </w:pPr>
      <w:bookmarkStart w:id="21" w:name="_Toc225314026"/>
      <w:r w:rsidRPr="00DB7B69">
        <w:rPr>
          <w:rFonts w:eastAsiaTheme="minorHAnsi" w:hint="cs"/>
          <w:color w:val="4472C4" w:themeColor="accent1"/>
          <w:rtl/>
        </w:rPr>
        <w:t>رابعًا: تحليل نقدي للفروض</w:t>
      </w:r>
      <w:r w:rsidR="006629A2">
        <w:rPr>
          <w:rFonts w:eastAsiaTheme="minorHAnsi" w:hint="cs"/>
          <w:color w:val="4472C4" w:themeColor="accent1"/>
          <w:rtl/>
        </w:rPr>
        <w:t>:</w:t>
      </w:r>
      <w:bookmarkEnd w:id="21"/>
    </w:p>
    <w:p w14:paraId="2D247377" w14:textId="77777777" w:rsidR="005C3D00" w:rsidRDefault="005C3D00" w:rsidP="005C3D00">
      <w:pPr>
        <w:jc w:val="both"/>
      </w:pPr>
      <w:r>
        <w:rPr>
          <w:rFonts w:hint="cs"/>
          <w:rtl/>
        </w:rPr>
        <w:t>رغم أهمية هذه الفروض، إلا أنها تستند إلى مجموعة من الافتراضات التي يجب التعامل معها بحذر:</w:t>
      </w:r>
    </w:p>
    <w:p w14:paraId="6A6E5E51" w14:textId="77777777" w:rsidR="005C3D00" w:rsidRPr="005C3D00" w:rsidRDefault="005C3D00" w:rsidP="005C3D00">
      <w:pPr>
        <w:jc w:val="both"/>
      </w:pPr>
      <w:r w:rsidRPr="005C3D00">
        <w:rPr>
          <w:rFonts w:hint="cs"/>
          <w:rtl/>
        </w:rPr>
        <w:t>افتراض الخطية في العلاقات: الواقع التنظيمي غالبًا ما يكون أكثر تعقيدًا، وقد تتداخل العوامل بشكل غير خطي.</w:t>
      </w:r>
    </w:p>
    <w:p w14:paraId="27252B36" w14:textId="77777777" w:rsidR="005C3D00" w:rsidRPr="005C3D00" w:rsidRDefault="005C3D00" w:rsidP="005C3D00">
      <w:pPr>
        <w:jc w:val="both"/>
        <w:rPr>
          <w:rtl/>
        </w:rPr>
      </w:pPr>
      <w:r w:rsidRPr="005C3D00">
        <w:rPr>
          <w:rFonts w:hint="cs"/>
          <w:rtl/>
        </w:rPr>
        <w:t>افتراض إمكانية القياس: بعض المتغيرات مثل الثقافة التنظيمية أو القيادة قد يصعب قياسها بدقة.</w:t>
      </w:r>
    </w:p>
    <w:p w14:paraId="49EA49AD" w14:textId="35342A98" w:rsidR="005C3D00" w:rsidRPr="005C3D00" w:rsidRDefault="005C3D00" w:rsidP="00DB7B69">
      <w:pPr>
        <w:jc w:val="both"/>
        <w:rPr>
          <w:rtl/>
        </w:rPr>
      </w:pPr>
      <w:r w:rsidRPr="005C3D00">
        <w:rPr>
          <w:rFonts w:hint="cs"/>
          <w:rtl/>
        </w:rPr>
        <w:t>افتراض التعميم: نتائج اختبار هذه الفروض قد لا تنطبق على جميع الشركات بسبب اختلاف السياقات الجغرافية والتنظيمية.</w:t>
      </w:r>
    </w:p>
    <w:p w14:paraId="2FEFA254" w14:textId="60FCFB30" w:rsidR="005C3D00" w:rsidRDefault="005C3D00" w:rsidP="00DB7B69">
      <w:pPr>
        <w:jc w:val="both"/>
      </w:pPr>
      <w:r>
        <w:rPr>
          <w:rFonts w:hint="cs"/>
          <w:rtl/>
        </w:rPr>
        <w:t>كما أن بعض الفروض، مثل العلاقة بين التكنولوجيا وإدارة التغيير، قد تكون مشروطة بعوامل وسيطة مثل مستوى النضج الرقمي للمؤسسة.</w:t>
      </w:r>
    </w:p>
    <w:p w14:paraId="24064A43" w14:textId="666DFAF2" w:rsidR="005C3D00" w:rsidRPr="00DB7B69" w:rsidRDefault="005C3D00" w:rsidP="00DB7B69">
      <w:pPr>
        <w:pStyle w:val="Heading3"/>
        <w:rPr>
          <w:rFonts w:eastAsiaTheme="minorHAnsi"/>
          <w:color w:val="4472C4" w:themeColor="accent1"/>
        </w:rPr>
      </w:pPr>
      <w:bookmarkStart w:id="22" w:name="_Toc225314027"/>
      <w:r w:rsidRPr="00DB7B69">
        <w:rPr>
          <w:rFonts w:eastAsiaTheme="minorHAnsi" w:hint="cs"/>
          <w:color w:val="4472C4" w:themeColor="accent1"/>
          <w:rtl/>
        </w:rPr>
        <w:t>خامسًا: الفرضيات الصفرية</w:t>
      </w:r>
      <w:r w:rsidR="00DB7B69" w:rsidRPr="00DB7B69">
        <w:rPr>
          <w:rFonts w:hint="cs"/>
          <w:color w:val="4472C4" w:themeColor="accent1"/>
          <w:rtl/>
        </w:rPr>
        <w:t>:</w:t>
      </w:r>
      <w:bookmarkEnd w:id="22"/>
    </w:p>
    <w:p w14:paraId="205BA7D6" w14:textId="77777777" w:rsidR="005C3D00" w:rsidRDefault="005C3D00" w:rsidP="005C3D00">
      <w:pPr>
        <w:jc w:val="both"/>
      </w:pPr>
      <w:r>
        <w:rPr>
          <w:rFonts w:hint="cs"/>
          <w:rtl/>
        </w:rPr>
        <w:t>لأغراض التحليل الإحصائي، يمكن صياغة الفرضيات الصفرية المقابلة، مثل:</w:t>
      </w:r>
    </w:p>
    <w:p w14:paraId="774278C2" w14:textId="77777777" w:rsidR="005C3D00" w:rsidRPr="005C3D00" w:rsidRDefault="005C3D00" w:rsidP="005C3D00">
      <w:pPr>
        <w:jc w:val="both"/>
      </w:pPr>
      <w:r w:rsidRPr="005C3D00">
        <w:rPr>
          <w:rFonts w:hint="cs"/>
          <w:rtl/>
        </w:rPr>
        <w:t>لا توجد علاقة ذات دلالة إحصائية بين فعالية إدارة التغيير التنظيمي ونجاح التحول الطاقي.</w:t>
      </w:r>
    </w:p>
    <w:p w14:paraId="4C1F9746" w14:textId="77777777" w:rsidR="005C3D00" w:rsidRPr="005C3D00" w:rsidRDefault="005C3D00" w:rsidP="005C3D00">
      <w:pPr>
        <w:jc w:val="both"/>
        <w:rPr>
          <w:rtl/>
        </w:rPr>
      </w:pPr>
      <w:r w:rsidRPr="005C3D00">
        <w:rPr>
          <w:rFonts w:hint="cs"/>
          <w:rtl/>
        </w:rPr>
        <w:t>لا توجد علاقة بين القيادة التحويلية ونجاح التغيير.</w:t>
      </w:r>
    </w:p>
    <w:p w14:paraId="2848E3D0" w14:textId="6C28FA8A" w:rsidR="005C3D00" w:rsidRPr="005C3D00" w:rsidRDefault="005C3D00" w:rsidP="00DB7B69">
      <w:pPr>
        <w:jc w:val="both"/>
        <w:rPr>
          <w:rtl/>
        </w:rPr>
      </w:pPr>
      <w:r w:rsidRPr="005C3D00">
        <w:rPr>
          <w:rFonts w:hint="cs"/>
          <w:rtl/>
        </w:rPr>
        <w:lastRenderedPageBreak/>
        <w:t>لا تؤثر الثقافة التنظيمية على فعالية إدارة التغيير.</w:t>
      </w:r>
    </w:p>
    <w:p w14:paraId="4BE683EC" w14:textId="285157FE" w:rsidR="005C3D00" w:rsidRDefault="005C3D00" w:rsidP="000E6F33">
      <w:pPr>
        <w:jc w:val="both"/>
      </w:pPr>
      <w:r>
        <w:rPr>
          <w:rFonts w:hint="cs"/>
          <w:rtl/>
        </w:rPr>
        <w:t>يتم اختبار هذه الفرضيات باستخدام أدوات إحصائية مناسبة (مثل الانحدار، وتحليل التباين)، بهدف قبولها أو رفضها بناءً على البيانات.</w:t>
      </w:r>
    </w:p>
    <w:p w14:paraId="5C1BA7DD" w14:textId="0D6208EE" w:rsidR="00F925D0" w:rsidRDefault="00DB7B69" w:rsidP="00136028">
      <w:pPr>
        <w:jc w:val="both"/>
        <w:rPr>
          <w:rtl/>
        </w:rPr>
      </w:pPr>
      <w:r>
        <w:rPr>
          <w:rFonts w:hint="cs"/>
          <w:rtl/>
        </w:rPr>
        <w:t>ال</w:t>
      </w:r>
      <w:r w:rsidR="005C3D00">
        <w:rPr>
          <w:rFonts w:hint="cs"/>
          <w:rtl/>
        </w:rPr>
        <w:t>خلاصة</w:t>
      </w:r>
      <w:r>
        <w:rPr>
          <w:rFonts w:hint="cs"/>
          <w:rtl/>
        </w:rPr>
        <w:t xml:space="preserve"> </w:t>
      </w:r>
      <w:r w:rsidR="005C3D00">
        <w:rPr>
          <w:rFonts w:hint="cs"/>
          <w:rtl/>
        </w:rPr>
        <w:t>تمثل فروض الدراسة إطارًا تحليليًا متكاملًا يساعد على فهم العلاقات المعقدة بين العوامل التنظيمية والبشرية والاستراتيجية في سياق التحول الطاقي. وهي مصممة لتكون قابلة للاختبار، ومرتبطة بشكل مباشر بأهداف وتساؤلات الدراسة، مما يعزز من قوة التصميم البحثي ودقته.</w:t>
      </w:r>
    </w:p>
    <w:p w14:paraId="04FD4A70" w14:textId="7875E573" w:rsidR="00136028" w:rsidRDefault="00136028" w:rsidP="00136028">
      <w:pPr>
        <w:jc w:val="both"/>
        <w:rPr>
          <w:rtl/>
        </w:rPr>
      </w:pPr>
    </w:p>
    <w:p w14:paraId="5DF071C6" w14:textId="4C9B84E1" w:rsidR="00136028" w:rsidRDefault="00136028" w:rsidP="00136028">
      <w:pPr>
        <w:jc w:val="both"/>
        <w:rPr>
          <w:rtl/>
        </w:rPr>
      </w:pPr>
    </w:p>
    <w:p w14:paraId="054586B5" w14:textId="7B592A87" w:rsidR="008A77A8" w:rsidRDefault="008A77A8" w:rsidP="00136028">
      <w:pPr>
        <w:jc w:val="both"/>
        <w:rPr>
          <w:rtl/>
        </w:rPr>
      </w:pPr>
    </w:p>
    <w:p w14:paraId="26C18710" w14:textId="7D54C42C" w:rsidR="008A77A8" w:rsidRDefault="008A77A8" w:rsidP="00136028">
      <w:pPr>
        <w:jc w:val="both"/>
        <w:rPr>
          <w:rtl/>
        </w:rPr>
      </w:pPr>
    </w:p>
    <w:p w14:paraId="37F6BDE0" w14:textId="5324E1CF" w:rsidR="008A77A8" w:rsidRDefault="008A77A8" w:rsidP="00136028">
      <w:pPr>
        <w:jc w:val="both"/>
        <w:rPr>
          <w:rtl/>
        </w:rPr>
      </w:pPr>
    </w:p>
    <w:p w14:paraId="48F7A27B" w14:textId="64CC093B" w:rsidR="008A77A8" w:rsidRDefault="008A77A8" w:rsidP="00136028">
      <w:pPr>
        <w:jc w:val="both"/>
        <w:rPr>
          <w:rtl/>
        </w:rPr>
      </w:pPr>
    </w:p>
    <w:p w14:paraId="028B1299" w14:textId="15AB3E9E" w:rsidR="008A77A8" w:rsidRDefault="008A77A8" w:rsidP="00136028">
      <w:pPr>
        <w:jc w:val="both"/>
        <w:rPr>
          <w:rtl/>
        </w:rPr>
      </w:pPr>
    </w:p>
    <w:p w14:paraId="658E019F" w14:textId="125D965E" w:rsidR="008A77A8" w:rsidRDefault="008A77A8" w:rsidP="00136028">
      <w:pPr>
        <w:jc w:val="both"/>
        <w:rPr>
          <w:rtl/>
        </w:rPr>
      </w:pPr>
    </w:p>
    <w:p w14:paraId="2B5E424E" w14:textId="75AF6353" w:rsidR="008A77A8" w:rsidRDefault="008A77A8" w:rsidP="00136028">
      <w:pPr>
        <w:jc w:val="both"/>
        <w:rPr>
          <w:rtl/>
        </w:rPr>
      </w:pPr>
    </w:p>
    <w:p w14:paraId="64826D32" w14:textId="11003216" w:rsidR="008A77A8" w:rsidRDefault="008A77A8" w:rsidP="00136028">
      <w:pPr>
        <w:jc w:val="both"/>
        <w:rPr>
          <w:rtl/>
        </w:rPr>
      </w:pPr>
    </w:p>
    <w:p w14:paraId="4F8E3BF9" w14:textId="70E32D06" w:rsidR="008A77A8" w:rsidRDefault="008A77A8" w:rsidP="00136028">
      <w:pPr>
        <w:jc w:val="both"/>
        <w:rPr>
          <w:rtl/>
        </w:rPr>
      </w:pPr>
    </w:p>
    <w:p w14:paraId="56433DE2" w14:textId="11182E81" w:rsidR="008A77A8" w:rsidRDefault="008A77A8" w:rsidP="00136028">
      <w:pPr>
        <w:jc w:val="both"/>
        <w:rPr>
          <w:rtl/>
        </w:rPr>
      </w:pPr>
    </w:p>
    <w:p w14:paraId="67BCB845" w14:textId="3C208AE0" w:rsidR="008A77A8" w:rsidRDefault="008A77A8" w:rsidP="00136028">
      <w:pPr>
        <w:jc w:val="both"/>
        <w:rPr>
          <w:rtl/>
        </w:rPr>
      </w:pPr>
    </w:p>
    <w:p w14:paraId="477C8FE9" w14:textId="78FF3CF9" w:rsidR="008A77A8" w:rsidRDefault="008A77A8" w:rsidP="00136028">
      <w:pPr>
        <w:jc w:val="both"/>
        <w:rPr>
          <w:rtl/>
        </w:rPr>
      </w:pPr>
    </w:p>
    <w:p w14:paraId="72D302E2" w14:textId="0DB956EA" w:rsidR="008A77A8" w:rsidRDefault="008A77A8" w:rsidP="00136028">
      <w:pPr>
        <w:jc w:val="both"/>
        <w:rPr>
          <w:rtl/>
        </w:rPr>
      </w:pPr>
    </w:p>
    <w:p w14:paraId="1A4806D5" w14:textId="370453C9" w:rsidR="008A77A8" w:rsidRDefault="008A77A8" w:rsidP="00136028">
      <w:pPr>
        <w:jc w:val="both"/>
        <w:rPr>
          <w:rtl/>
        </w:rPr>
      </w:pPr>
    </w:p>
    <w:p w14:paraId="3C0F0556" w14:textId="5629D31E" w:rsidR="008A77A8" w:rsidRDefault="008A77A8" w:rsidP="00136028">
      <w:pPr>
        <w:jc w:val="both"/>
        <w:rPr>
          <w:rtl/>
        </w:rPr>
      </w:pPr>
    </w:p>
    <w:p w14:paraId="1D9504AF" w14:textId="50558FC0" w:rsidR="008A77A8" w:rsidRDefault="008A77A8" w:rsidP="00136028">
      <w:pPr>
        <w:jc w:val="both"/>
        <w:rPr>
          <w:rtl/>
        </w:rPr>
      </w:pPr>
    </w:p>
    <w:p w14:paraId="7D78894B" w14:textId="4991F726" w:rsidR="008A77A8" w:rsidRDefault="008A77A8" w:rsidP="00136028">
      <w:pPr>
        <w:jc w:val="both"/>
        <w:rPr>
          <w:rtl/>
        </w:rPr>
      </w:pPr>
    </w:p>
    <w:p w14:paraId="7FC33EFF" w14:textId="09C59025" w:rsidR="008A77A8" w:rsidRDefault="008A77A8" w:rsidP="00136028">
      <w:pPr>
        <w:jc w:val="both"/>
        <w:rPr>
          <w:rtl/>
        </w:rPr>
      </w:pPr>
    </w:p>
    <w:p w14:paraId="7B379D26" w14:textId="683F24B7" w:rsidR="008A77A8" w:rsidRDefault="008A77A8" w:rsidP="00136028">
      <w:pPr>
        <w:jc w:val="both"/>
        <w:rPr>
          <w:rtl/>
        </w:rPr>
      </w:pPr>
    </w:p>
    <w:p w14:paraId="597061A9" w14:textId="68BBC312" w:rsidR="008A77A8" w:rsidRDefault="008A77A8" w:rsidP="00136028">
      <w:pPr>
        <w:jc w:val="both"/>
        <w:rPr>
          <w:rtl/>
        </w:rPr>
      </w:pPr>
    </w:p>
    <w:p w14:paraId="06377BCF" w14:textId="0BBE5562" w:rsidR="008A77A8" w:rsidRDefault="008A77A8" w:rsidP="00136028">
      <w:pPr>
        <w:jc w:val="both"/>
      </w:pPr>
    </w:p>
    <w:p w14:paraId="1FDE564A" w14:textId="77777777" w:rsidR="007A3869" w:rsidRPr="007A3869" w:rsidRDefault="007A3869" w:rsidP="00136028">
      <w:pPr>
        <w:jc w:val="both"/>
        <w:rPr>
          <w:rtl/>
        </w:rPr>
      </w:pPr>
    </w:p>
    <w:p w14:paraId="21FABA2F" w14:textId="439C784B" w:rsidR="008A77A8" w:rsidRDefault="008A77A8" w:rsidP="00136028">
      <w:pPr>
        <w:jc w:val="both"/>
        <w:rPr>
          <w:rtl/>
        </w:rPr>
      </w:pPr>
    </w:p>
    <w:p w14:paraId="64BFBEAB" w14:textId="77777777" w:rsidR="008A77A8" w:rsidRPr="00136028" w:rsidRDefault="008A77A8" w:rsidP="00136028">
      <w:pPr>
        <w:jc w:val="both"/>
        <w:rPr>
          <w:rtl/>
        </w:rPr>
      </w:pPr>
    </w:p>
    <w:p w14:paraId="693808E8" w14:textId="5DC74316" w:rsidR="00F925D0" w:rsidRPr="00EE6287" w:rsidRDefault="00F925D0" w:rsidP="00EE6287">
      <w:pPr>
        <w:pStyle w:val="Heading2"/>
        <w:rPr>
          <w:rFonts w:ascii="Sakkal Majalla" w:hAnsi="Sakkal Majalla" w:cs="Sakkal Majalla"/>
          <w:color w:val="auto"/>
          <w:sz w:val="28"/>
          <w:szCs w:val="28"/>
          <w:u w:val="single"/>
          <w:rtl/>
        </w:rPr>
      </w:pPr>
      <w:bookmarkStart w:id="23" w:name="_Toc225314028"/>
      <w:r w:rsidRPr="00EE6287">
        <w:rPr>
          <w:rFonts w:ascii="Sakkal Majalla" w:hAnsi="Sakkal Majalla" w:cs="Sakkal Majalla" w:hint="cs"/>
          <w:color w:val="auto"/>
          <w:sz w:val="28"/>
          <w:szCs w:val="28"/>
          <w:u w:val="single"/>
          <w:rtl/>
        </w:rPr>
        <w:lastRenderedPageBreak/>
        <w:t>-النظرية العلمية المتبعة  لإعداد البحث</w:t>
      </w:r>
      <w:bookmarkEnd w:id="23"/>
    </w:p>
    <w:p w14:paraId="79382C22" w14:textId="775870CD" w:rsidR="006629A2" w:rsidRDefault="006629A2" w:rsidP="006629A2">
      <w:pPr>
        <w:jc w:val="both"/>
      </w:pPr>
      <w:r>
        <w:rPr>
          <w:rFonts w:hint="cs"/>
          <w:rtl/>
        </w:rPr>
        <w:t xml:space="preserve">يعتمد هذا البحث على إطار نظري متكامل يجمع بين مفاهيم </w:t>
      </w:r>
      <w:r>
        <w:t>Energy Transition</w:t>
      </w:r>
      <w:r>
        <w:rPr>
          <w:rFonts w:hint="cs"/>
          <w:rtl/>
        </w:rPr>
        <w:t xml:space="preserve"> ونظريات </w:t>
      </w:r>
      <w:r>
        <w:t>Organizational Change Management</w:t>
      </w:r>
      <w:r>
        <w:rPr>
          <w:rFonts w:hint="cs"/>
          <w:rtl/>
        </w:rPr>
        <w:t>، بهدف تفسير وتحليل كيفية تفاعل العوامل التنظيمية والبشرية مع متطلبات التحول الطاقي في قطاع النفط والغاز. ويستند هذا الإطار إلى مجموعة من النظريات الكلاسيكية والمعاصرة التي تفسر ديناميكيات التغيير داخل المؤسسات، مع تكييفها لتناسب طبيعة هذا القطاع المعقد.</w:t>
      </w:r>
    </w:p>
    <w:p w14:paraId="17FB52DC" w14:textId="0DBC8E42" w:rsidR="006629A2" w:rsidRPr="006629A2" w:rsidRDefault="006629A2" w:rsidP="006629A2">
      <w:pPr>
        <w:pStyle w:val="Heading3"/>
        <w:rPr>
          <w:rFonts w:eastAsiaTheme="minorHAnsi"/>
          <w:color w:val="4472C4" w:themeColor="accent1"/>
        </w:rPr>
      </w:pPr>
      <w:bookmarkStart w:id="24" w:name="_Toc225314029"/>
      <w:r w:rsidRPr="006629A2">
        <w:rPr>
          <w:rFonts w:eastAsiaTheme="minorHAnsi" w:hint="cs"/>
          <w:color w:val="4472C4" w:themeColor="accent1"/>
          <w:rtl/>
        </w:rPr>
        <w:t>أولًا: الأساس النظري العام</w:t>
      </w:r>
      <w:r w:rsidRPr="006629A2">
        <w:rPr>
          <w:rFonts w:hint="cs"/>
          <w:color w:val="4472C4" w:themeColor="accent1"/>
          <w:rtl/>
        </w:rPr>
        <w:t>:</w:t>
      </w:r>
      <w:bookmarkEnd w:id="24"/>
    </w:p>
    <w:p w14:paraId="4F8B2062" w14:textId="60972ED4" w:rsidR="006629A2" w:rsidRPr="006629A2" w:rsidRDefault="006629A2" w:rsidP="006629A2">
      <w:pPr>
        <w:jc w:val="both"/>
      </w:pPr>
      <w:r>
        <w:rPr>
          <w:rFonts w:hint="cs"/>
          <w:rtl/>
        </w:rPr>
        <w:t>يرتكز البحث على فرضية أن التحول الطاقي ليس مجرد تحول تقني، بل هو تحول نظامي يتطلب إعادة تشكيل شاملة للهياكل التنظيمية، والثقافة المؤسسية، وأنماط القيادة. ومن هذا المنطلق، يتم توظيف نظريات متعددة لفهم هذا التحول من زوايا مختلفة، بدل الاعتماد على نموذج نظري واحد.</w:t>
      </w:r>
    </w:p>
    <w:p w14:paraId="147BEF4C" w14:textId="609CBA6D" w:rsidR="006629A2" w:rsidRDefault="006629A2" w:rsidP="006629A2">
      <w:pPr>
        <w:jc w:val="both"/>
      </w:pPr>
      <w:r>
        <w:rPr>
          <w:rFonts w:hint="cs"/>
          <w:rtl/>
        </w:rPr>
        <w:t xml:space="preserve">ويعكس هذا التوجه ما تشير إليه تقارير </w:t>
      </w:r>
      <w:r>
        <w:t>International Energy Agency</w:t>
      </w:r>
      <w:r>
        <w:rPr>
          <w:rFonts w:hint="cs"/>
          <w:rtl/>
        </w:rPr>
        <w:t>، التي تؤكد أن نجاح التحول في قطاع الطاقة يعتمد على التكامل بين التكنولوجيا، والسياسات، والقدرات المؤسسية.</w:t>
      </w:r>
    </w:p>
    <w:p w14:paraId="6BA023CD" w14:textId="305EE7F6" w:rsidR="006629A2" w:rsidRPr="006629A2" w:rsidRDefault="006629A2" w:rsidP="006629A2">
      <w:pPr>
        <w:pStyle w:val="Heading3"/>
        <w:rPr>
          <w:rFonts w:eastAsiaTheme="minorHAnsi"/>
          <w:color w:val="4472C4" w:themeColor="accent1"/>
        </w:rPr>
      </w:pPr>
      <w:bookmarkStart w:id="25" w:name="_Toc225314030"/>
      <w:r w:rsidRPr="006629A2">
        <w:rPr>
          <w:rFonts w:eastAsiaTheme="minorHAnsi" w:hint="cs"/>
          <w:color w:val="4472C4" w:themeColor="accent1"/>
          <w:rtl/>
        </w:rPr>
        <w:t>ثانيًا: نظرية التغيير المخطط</w:t>
      </w:r>
      <w:r w:rsidRPr="006629A2">
        <w:rPr>
          <w:rFonts w:hint="cs"/>
          <w:color w:val="4472C4" w:themeColor="accent1"/>
          <w:rtl/>
        </w:rPr>
        <w:t>:</w:t>
      </w:r>
      <w:bookmarkEnd w:id="25"/>
    </w:p>
    <w:p w14:paraId="798A59CB" w14:textId="77777777" w:rsidR="006629A2" w:rsidRDefault="006629A2" w:rsidP="006629A2">
      <w:pPr>
        <w:jc w:val="both"/>
      </w:pPr>
      <w:r>
        <w:rPr>
          <w:rFonts w:hint="cs"/>
          <w:rtl/>
        </w:rPr>
        <w:t xml:space="preserve">تُعد نظرية التغيير المخطط من أبرز النظريات المستخدمة في هذا البحث، حيث تركز على أن التغيير التنظيمي يجب أن يتم بشكل منهجي ومدروس. ومن أشهر نماذجها نموذج </w:t>
      </w:r>
      <w:r>
        <w:t>Kurt Lewin</w:t>
      </w:r>
      <w:r>
        <w:rPr>
          <w:rFonts w:hint="cs"/>
          <w:rtl/>
        </w:rPr>
        <w:t xml:space="preserve"> الذي يتكون من ثلاث مراحل:</w:t>
      </w:r>
    </w:p>
    <w:p w14:paraId="4BA3B75B" w14:textId="77777777" w:rsidR="006629A2" w:rsidRPr="006629A2" w:rsidRDefault="006629A2" w:rsidP="00F602D1">
      <w:pPr>
        <w:pStyle w:val="ListParagraph"/>
        <w:numPr>
          <w:ilvl w:val="0"/>
          <w:numId w:val="25"/>
        </w:numPr>
        <w:jc w:val="both"/>
      </w:pPr>
      <w:r w:rsidRPr="006629A2">
        <w:rPr>
          <w:rFonts w:hint="cs"/>
          <w:rtl/>
        </w:rPr>
        <w:t>إذابة الجليد (</w:t>
      </w:r>
      <w:r w:rsidRPr="006629A2">
        <w:t>Unfreezing</w:t>
      </w:r>
      <w:r w:rsidRPr="006629A2">
        <w:rPr>
          <w:rFonts w:hint="cs"/>
          <w:rtl/>
        </w:rPr>
        <w:t>):</w:t>
      </w:r>
    </w:p>
    <w:p w14:paraId="62BE0C93" w14:textId="77777777" w:rsidR="006629A2" w:rsidRPr="006629A2" w:rsidRDefault="006629A2" w:rsidP="006629A2">
      <w:pPr>
        <w:jc w:val="both"/>
        <w:rPr>
          <w:rtl/>
        </w:rPr>
      </w:pPr>
      <w:r>
        <w:rPr>
          <w:rFonts w:hint="cs"/>
          <w:rtl/>
        </w:rPr>
        <w:t>تتضمن تهيئة المنظمة للتغيير من خلال خلق وعي بضرورة التحول الطاقي، وتحدي الوضع القائم.</w:t>
      </w:r>
    </w:p>
    <w:p w14:paraId="2FF56089" w14:textId="77777777" w:rsidR="006629A2" w:rsidRPr="006629A2" w:rsidRDefault="006629A2" w:rsidP="00F602D1">
      <w:pPr>
        <w:pStyle w:val="ListParagraph"/>
        <w:numPr>
          <w:ilvl w:val="0"/>
          <w:numId w:val="25"/>
        </w:numPr>
        <w:jc w:val="both"/>
        <w:rPr>
          <w:rtl/>
        </w:rPr>
      </w:pPr>
      <w:r w:rsidRPr="006629A2">
        <w:rPr>
          <w:rFonts w:hint="cs"/>
          <w:rtl/>
        </w:rPr>
        <w:t>التغيير (</w:t>
      </w:r>
      <w:r w:rsidRPr="006629A2">
        <w:t>Changing</w:t>
      </w:r>
      <w:r w:rsidRPr="006629A2">
        <w:rPr>
          <w:rFonts w:hint="cs"/>
          <w:rtl/>
        </w:rPr>
        <w:t>):</w:t>
      </w:r>
    </w:p>
    <w:p w14:paraId="73852848" w14:textId="77777777" w:rsidR="006629A2" w:rsidRPr="006629A2" w:rsidRDefault="006629A2" w:rsidP="006629A2">
      <w:pPr>
        <w:jc w:val="both"/>
        <w:rPr>
          <w:rtl/>
        </w:rPr>
      </w:pPr>
      <w:r>
        <w:rPr>
          <w:rFonts w:hint="cs"/>
          <w:rtl/>
        </w:rPr>
        <w:t>يتم خلالها تنفيذ المبادرات الجديدة، مثل إدخال تقنيات الطاقة النظيفة أو إعادة هيكلة العمليات.</w:t>
      </w:r>
    </w:p>
    <w:p w14:paraId="56673B0E" w14:textId="77777777" w:rsidR="006629A2" w:rsidRPr="006629A2" w:rsidRDefault="006629A2" w:rsidP="00F602D1">
      <w:pPr>
        <w:pStyle w:val="ListParagraph"/>
        <w:numPr>
          <w:ilvl w:val="0"/>
          <w:numId w:val="25"/>
        </w:numPr>
        <w:jc w:val="both"/>
        <w:rPr>
          <w:rtl/>
        </w:rPr>
      </w:pPr>
      <w:r w:rsidRPr="006629A2">
        <w:rPr>
          <w:rFonts w:hint="cs"/>
          <w:rtl/>
        </w:rPr>
        <w:t>إعادة التجميد (</w:t>
      </w:r>
      <w:r w:rsidRPr="006629A2">
        <w:t>Refreezing</w:t>
      </w:r>
      <w:r w:rsidRPr="006629A2">
        <w:rPr>
          <w:rFonts w:hint="cs"/>
          <w:rtl/>
        </w:rPr>
        <w:t>):</w:t>
      </w:r>
    </w:p>
    <w:p w14:paraId="3BDB7F1D" w14:textId="6F02F02C" w:rsidR="006629A2" w:rsidRDefault="006629A2" w:rsidP="006629A2">
      <w:pPr>
        <w:jc w:val="both"/>
        <w:rPr>
          <w:rtl/>
        </w:rPr>
      </w:pPr>
      <w:r>
        <w:rPr>
          <w:rFonts w:hint="cs"/>
          <w:rtl/>
        </w:rPr>
        <w:t>تهدف إلى تثبيت التغييرات وجعلها جزءًا من الثقافة التنظيمية.</w:t>
      </w:r>
    </w:p>
    <w:p w14:paraId="6EA84856" w14:textId="77777777" w:rsidR="006629A2" w:rsidRDefault="006629A2" w:rsidP="006629A2">
      <w:pPr>
        <w:jc w:val="both"/>
        <w:rPr>
          <w:rtl/>
        </w:rPr>
      </w:pPr>
      <w:r>
        <w:rPr>
          <w:rFonts w:hint="cs"/>
          <w:rtl/>
        </w:rPr>
        <w:t>تُستخدم هذه النظرية في البحث لتفسير كيفية انتقال شركات النفط والغاز من نماذج تقليدية إلى نماذج أكثر استدامة، مع التركيز على إدارة مقاومة التغيير.</w:t>
      </w:r>
    </w:p>
    <w:p w14:paraId="48EBEC0D" w14:textId="254F043E" w:rsidR="006629A2" w:rsidRDefault="006629A2" w:rsidP="006629A2">
      <w:pPr>
        <w:jc w:val="both"/>
      </w:pPr>
    </w:p>
    <w:p w14:paraId="226B6332" w14:textId="0A475765" w:rsidR="006629A2" w:rsidRPr="00407802" w:rsidRDefault="006629A2" w:rsidP="00407802">
      <w:pPr>
        <w:pStyle w:val="Heading3"/>
        <w:rPr>
          <w:rFonts w:eastAsiaTheme="minorHAnsi"/>
          <w:color w:val="4472C4" w:themeColor="accent1"/>
        </w:rPr>
      </w:pPr>
      <w:bookmarkStart w:id="26" w:name="_Toc225314031"/>
      <w:r w:rsidRPr="00407802">
        <w:rPr>
          <w:rFonts w:eastAsiaTheme="minorHAnsi" w:hint="cs"/>
          <w:color w:val="4472C4" w:themeColor="accent1"/>
          <w:rtl/>
        </w:rPr>
        <w:t>ثالثًا: نموذج كوتر لإدارة التغيير</w:t>
      </w:r>
      <w:r w:rsidR="00407802">
        <w:rPr>
          <w:rFonts w:eastAsiaTheme="minorHAnsi" w:hint="cs"/>
          <w:color w:val="4472C4" w:themeColor="accent1"/>
          <w:rtl/>
        </w:rPr>
        <w:t>:</w:t>
      </w:r>
      <w:bookmarkEnd w:id="26"/>
    </w:p>
    <w:p w14:paraId="0CC93FDF" w14:textId="77777777" w:rsidR="006629A2" w:rsidRDefault="006629A2" w:rsidP="006629A2">
      <w:pPr>
        <w:jc w:val="both"/>
      </w:pPr>
      <w:r>
        <w:rPr>
          <w:rFonts w:hint="cs"/>
          <w:rtl/>
        </w:rPr>
        <w:t xml:space="preserve">يعتمد البحث أيضًا على نموذج </w:t>
      </w:r>
      <w:r>
        <w:t>John Kotter</w:t>
      </w:r>
      <w:r>
        <w:rPr>
          <w:rFonts w:hint="cs"/>
          <w:rtl/>
        </w:rPr>
        <w:t>، الذي يُعد من أكثر النماذج تطبيقًا في إدارة التغيير المؤسسي. ويتكون من ثماني خطوات رئيسية، منها:</w:t>
      </w:r>
    </w:p>
    <w:p w14:paraId="1FA40529" w14:textId="77777777" w:rsidR="006629A2" w:rsidRPr="006629A2" w:rsidRDefault="006629A2" w:rsidP="00F602D1">
      <w:pPr>
        <w:pStyle w:val="ListParagraph"/>
        <w:numPr>
          <w:ilvl w:val="0"/>
          <w:numId w:val="26"/>
        </w:numPr>
        <w:jc w:val="both"/>
      </w:pPr>
      <w:r w:rsidRPr="006629A2">
        <w:rPr>
          <w:rFonts w:hint="cs"/>
          <w:rtl/>
        </w:rPr>
        <w:t>خلق إحساس بالإلحاح (</w:t>
      </w:r>
      <w:r w:rsidRPr="006629A2">
        <w:t>Sense of Urgency</w:t>
      </w:r>
      <w:r w:rsidRPr="006629A2">
        <w:rPr>
          <w:rFonts w:hint="cs"/>
          <w:rtl/>
        </w:rPr>
        <w:t>)</w:t>
      </w:r>
    </w:p>
    <w:p w14:paraId="7266C3BE" w14:textId="77777777" w:rsidR="006629A2" w:rsidRPr="006629A2" w:rsidRDefault="006629A2" w:rsidP="00F602D1">
      <w:pPr>
        <w:pStyle w:val="ListParagraph"/>
        <w:numPr>
          <w:ilvl w:val="0"/>
          <w:numId w:val="26"/>
        </w:numPr>
        <w:jc w:val="both"/>
        <w:rPr>
          <w:rtl/>
        </w:rPr>
      </w:pPr>
      <w:r w:rsidRPr="006629A2">
        <w:rPr>
          <w:rFonts w:hint="cs"/>
          <w:rtl/>
        </w:rPr>
        <w:t>تشكيل تحالف قيادي (</w:t>
      </w:r>
      <w:r w:rsidRPr="006629A2">
        <w:t>Guiding Coalition</w:t>
      </w:r>
      <w:r w:rsidRPr="006629A2">
        <w:rPr>
          <w:rFonts w:hint="cs"/>
          <w:rtl/>
        </w:rPr>
        <w:t>)</w:t>
      </w:r>
    </w:p>
    <w:p w14:paraId="6B7045A9" w14:textId="77777777" w:rsidR="006629A2" w:rsidRPr="006629A2" w:rsidRDefault="006629A2" w:rsidP="00F602D1">
      <w:pPr>
        <w:pStyle w:val="ListParagraph"/>
        <w:numPr>
          <w:ilvl w:val="0"/>
          <w:numId w:val="26"/>
        </w:numPr>
        <w:jc w:val="both"/>
        <w:rPr>
          <w:rtl/>
        </w:rPr>
      </w:pPr>
      <w:r w:rsidRPr="006629A2">
        <w:rPr>
          <w:rFonts w:hint="cs"/>
          <w:rtl/>
        </w:rPr>
        <w:t>تطوير رؤية واستراتيجية واضحة</w:t>
      </w:r>
    </w:p>
    <w:p w14:paraId="4D2D4520" w14:textId="77777777" w:rsidR="006629A2" w:rsidRPr="006629A2" w:rsidRDefault="006629A2" w:rsidP="00F602D1">
      <w:pPr>
        <w:pStyle w:val="ListParagraph"/>
        <w:numPr>
          <w:ilvl w:val="0"/>
          <w:numId w:val="26"/>
        </w:numPr>
        <w:jc w:val="both"/>
        <w:rPr>
          <w:rtl/>
        </w:rPr>
      </w:pPr>
      <w:r w:rsidRPr="006629A2">
        <w:rPr>
          <w:rFonts w:hint="cs"/>
          <w:rtl/>
        </w:rPr>
        <w:t>تمكين العاملين وإزالة العوائق</w:t>
      </w:r>
    </w:p>
    <w:p w14:paraId="1161A3CC" w14:textId="59DAD54D" w:rsidR="006629A2" w:rsidRPr="006629A2" w:rsidRDefault="006629A2" w:rsidP="00F602D1">
      <w:pPr>
        <w:pStyle w:val="ListParagraph"/>
        <w:numPr>
          <w:ilvl w:val="0"/>
          <w:numId w:val="26"/>
        </w:numPr>
        <w:jc w:val="both"/>
        <w:rPr>
          <w:rtl/>
        </w:rPr>
      </w:pPr>
      <w:r w:rsidRPr="006629A2">
        <w:rPr>
          <w:rFonts w:hint="cs"/>
          <w:rtl/>
        </w:rPr>
        <w:t>تحقيق مكاسب قصيرة المدى</w:t>
      </w:r>
    </w:p>
    <w:p w14:paraId="40E7F7D5" w14:textId="18C6717F" w:rsidR="006629A2" w:rsidRDefault="006629A2" w:rsidP="00407802">
      <w:pPr>
        <w:jc w:val="both"/>
      </w:pPr>
      <w:r>
        <w:rPr>
          <w:rFonts w:hint="cs"/>
          <w:rtl/>
        </w:rPr>
        <w:t>يتميز هذا النموذج بتركيزه على البعد القيادي والتواصلي، وهو ما يجعله مناسبًا لدراسة التحولات الكبرى مثل التحول الطاقي، حيث تتطلب هذه التحولات دعمًا قويًا من القيادة العليا.</w:t>
      </w:r>
    </w:p>
    <w:p w14:paraId="20D62D39" w14:textId="5D3C9283" w:rsidR="006629A2" w:rsidRPr="00407802" w:rsidRDefault="006629A2" w:rsidP="00407802">
      <w:pPr>
        <w:pStyle w:val="Heading3"/>
        <w:rPr>
          <w:rFonts w:eastAsiaTheme="minorHAnsi"/>
          <w:color w:val="4472C4" w:themeColor="accent1"/>
        </w:rPr>
      </w:pPr>
      <w:bookmarkStart w:id="27" w:name="_Toc225314032"/>
      <w:r w:rsidRPr="00407802">
        <w:rPr>
          <w:rFonts w:eastAsiaTheme="minorHAnsi" w:hint="cs"/>
          <w:color w:val="4472C4" w:themeColor="accent1"/>
          <w:rtl/>
        </w:rPr>
        <w:t>رابعًا: النظرية المؤسسية</w:t>
      </w:r>
      <w:r w:rsidR="00407802">
        <w:rPr>
          <w:rFonts w:eastAsiaTheme="minorHAnsi" w:hint="cs"/>
          <w:color w:val="4472C4" w:themeColor="accent1"/>
          <w:rtl/>
        </w:rPr>
        <w:t>:</w:t>
      </w:r>
      <w:bookmarkEnd w:id="27"/>
    </w:p>
    <w:p w14:paraId="5391B168" w14:textId="77777777" w:rsidR="006629A2" w:rsidRDefault="006629A2" w:rsidP="006629A2">
      <w:pPr>
        <w:jc w:val="both"/>
      </w:pPr>
      <w:r>
        <w:rPr>
          <w:rFonts w:hint="cs"/>
          <w:rtl/>
        </w:rPr>
        <w:t>تُستخدم النظرية المؤسسية لتفسير تأثير البيئة الخارجية على سلوك المؤسسات. ووفقًا لهذه النظرية، فإن الشركات لا تتغير فقط بناءً على اعتبارات داخلية، بل أيضًا استجابة لضغوط خارجية، مثل:</w:t>
      </w:r>
    </w:p>
    <w:p w14:paraId="174FCA7C" w14:textId="77777777" w:rsidR="006629A2" w:rsidRPr="006629A2" w:rsidRDefault="006629A2" w:rsidP="00F602D1">
      <w:pPr>
        <w:pStyle w:val="ListParagraph"/>
        <w:numPr>
          <w:ilvl w:val="0"/>
          <w:numId w:val="27"/>
        </w:numPr>
        <w:jc w:val="both"/>
      </w:pPr>
      <w:r w:rsidRPr="006629A2">
        <w:rPr>
          <w:rFonts w:hint="cs"/>
          <w:rtl/>
        </w:rPr>
        <w:t>التشريعات البيئية</w:t>
      </w:r>
    </w:p>
    <w:p w14:paraId="6B17B982" w14:textId="77777777" w:rsidR="006629A2" w:rsidRPr="006629A2" w:rsidRDefault="006629A2" w:rsidP="00F602D1">
      <w:pPr>
        <w:pStyle w:val="ListParagraph"/>
        <w:numPr>
          <w:ilvl w:val="0"/>
          <w:numId w:val="27"/>
        </w:numPr>
        <w:jc w:val="both"/>
        <w:rPr>
          <w:rtl/>
        </w:rPr>
      </w:pPr>
      <w:r w:rsidRPr="006629A2">
        <w:rPr>
          <w:rFonts w:hint="cs"/>
          <w:rtl/>
        </w:rPr>
        <w:t>توقعات المستثمرين</w:t>
      </w:r>
    </w:p>
    <w:p w14:paraId="634B185E" w14:textId="75DD014B" w:rsidR="006629A2" w:rsidRPr="006629A2" w:rsidRDefault="006629A2" w:rsidP="00F602D1">
      <w:pPr>
        <w:pStyle w:val="ListParagraph"/>
        <w:numPr>
          <w:ilvl w:val="0"/>
          <w:numId w:val="27"/>
        </w:numPr>
        <w:jc w:val="both"/>
        <w:rPr>
          <w:rtl/>
        </w:rPr>
      </w:pPr>
      <w:r w:rsidRPr="006629A2">
        <w:rPr>
          <w:rFonts w:hint="cs"/>
          <w:rtl/>
        </w:rPr>
        <w:t>المعايير الدولية</w:t>
      </w:r>
    </w:p>
    <w:p w14:paraId="423785AD" w14:textId="7E4E6A2E" w:rsidR="006629A2" w:rsidRDefault="006629A2" w:rsidP="00407802">
      <w:pPr>
        <w:jc w:val="both"/>
      </w:pPr>
      <w:r>
        <w:rPr>
          <w:rFonts w:hint="cs"/>
          <w:rtl/>
        </w:rPr>
        <w:lastRenderedPageBreak/>
        <w:t>في سياق هذا البحث، تساعد هذه النظرية على فهم لماذا تتجه شركات النفط والغاز نحو تبني استراتيجيات التحول الطاقي، حتى في الحالات التي قد لا تكون فيها هذه الاستراتيجيات مربحة على المدى القصير.</w:t>
      </w:r>
    </w:p>
    <w:p w14:paraId="70C55CF5" w14:textId="5F9E4B6A" w:rsidR="006629A2" w:rsidRPr="00407802" w:rsidRDefault="006629A2" w:rsidP="00407802">
      <w:pPr>
        <w:pStyle w:val="Heading3"/>
        <w:rPr>
          <w:rFonts w:eastAsiaTheme="minorHAnsi"/>
          <w:color w:val="4472C4" w:themeColor="accent1"/>
        </w:rPr>
      </w:pPr>
      <w:bookmarkStart w:id="28" w:name="_Toc225314033"/>
      <w:r w:rsidRPr="00407802">
        <w:rPr>
          <w:rFonts w:eastAsiaTheme="minorHAnsi" w:hint="cs"/>
          <w:color w:val="4472C4" w:themeColor="accent1"/>
          <w:rtl/>
        </w:rPr>
        <w:t>خامسًا: نظرية القدرات الديناميكية</w:t>
      </w:r>
      <w:r w:rsidR="00407802">
        <w:rPr>
          <w:rFonts w:eastAsiaTheme="minorHAnsi" w:hint="cs"/>
          <w:color w:val="4472C4" w:themeColor="accent1"/>
          <w:rtl/>
        </w:rPr>
        <w:t>:</w:t>
      </w:r>
      <w:bookmarkEnd w:id="28"/>
    </w:p>
    <w:p w14:paraId="5E8C22D4" w14:textId="77777777" w:rsidR="006629A2" w:rsidRDefault="006629A2" w:rsidP="006629A2">
      <w:pPr>
        <w:jc w:val="both"/>
      </w:pPr>
      <w:r>
        <w:rPr>
          <w:rFonts w:hint="cs"/>
          <w:rtl/>
        </w:rPr>
        <w:t>تُعد هذه النظرية من النظريات الحديثة التي تركز على قدرة المؤسسة على التكيف مع التغيرات البيئية. وتشير إلى أن النجاح لا يعتمد فقط على الموارد المتاحة، بل على قدرة المؤسسة على:</w:t>
      </w:r>
    </w:p>
    <w:p w14:paraId="41211AB9" w14:textId="77777777" w:rsidR="006629A2" w:rsidRPr="006629A2" w:rsidRDefault="006629A2" w:rsidP="00F602D1">
      <w:pPr>
        <w:pStyle w:val="ListParagraph"/>
        <w:numPr>
          <w:ilvl w:val="0"/>
          <w:numId w:val="28"/>
        </w:numPr>
        <w:jc w:val="both"/>
      </w:pPr>
      <w:r w:rsidRPr="006629A2">
        <w:rPr>
          <w:rFonts w:hint="cs"/>
          <w:rtl/>
        </w:rPr>
        <w:t>استشعار الفرص والتهديدات</w:t>
      </w:r>
    </w:p>
    <w:p w14:paraId="2E0B00C7" w14:textId="77777777" w:rsidR="006629A2" w:rsidRPr="006629A2" w:rsidRDefault="006629A2" w:rsidP="00F602D1">
      <w:pPr>
        <w:pStyle w:val="ListParagraph"/>
        <w:numPr>
          <w:ilvl w:val="0"/>
          <w:numId w:val="28"/>
        </w:numPr>
        <w:jc w:val="both"/>
        <w:rPr>
          <w:rtl/>
        </w:rPr>
      </w:pPr>
      <w:r w:rsidRPr="006629A2">
        <w:rPr>
          <w:rFonts w:hint="cs"/>
          <w:rtl/>
        </w:rPr>
        <w:t>اغتنام الفرص</w:t>
      </w:r>
    </w:p>
    <w:p w14:paraId="117BCB88" w14:textId="31E18891" w:rsidR="006629A2" w:rsidRPr="006629A2" w:rsidRDefault="006629A2" w:rsidP="00F602D1">
      <w:pPr>
        <w:pStyle w:val="ListParagraph"/>
        <w:numPr>
          <w:ilvl w:val="0"/>
          <w:numId w:val="28"/>
        </w:numPr>
        <w:jc w:val="both"/>
        <w:rPr>
          <w:rtl/>
        </w:rPr>
      </w:pPr>
      <w:r w:rsidRPr="006629A2">
        <w:rPr>
          <w:rFonts w:hint="cs"/>
          <w:rtl/>
        </w:rPr>
        <w:t>إعادة تشكيل الموارد</w:t>
      </w:r>
    </w:p>
    <w:p w14:paraId="740B4D76" w14:textId="3C3564D9" w:rsidR="006629A2" w:rsidRDefault="006629A2" w:rsidP="00407802">
      <w:pPr>
        <w:jc w:val="both"/>
      </w:pPr>
      <w:r>
        <w:rPr>
          <w:rFonts w:hint="cs"/>
          <w:rtl/>
        </w:rPr>
        <w:t>في هذا البحث، تُستخدم هذه النظرية لتحليل قدرة شركات النفط والغاز على التكيف مع متطلبات التحول الطاقي، خاصة في ظل التغيرات السريعة في التكنولوجيا والأسواق.</w:t>
      </w:r>
    </w:p>
    <w:p w14:paraId="669D7DB0" w14:textId="598FADC5" w:rsidR="006629A2" w:rsidRPr="00407802" w:rsidRDefault="006629A2" w:rsidP="00407802">
      <w:pPr>
        <w:pStyle w:val="Heading3"/>
        <w:rPr>
          <w:rFonts w:eastAsiaTheme="minorHAnsi"/>
          <w:color w:val="4472C4" w:themeColor="accent1"/>
        </w:rPr>
      </w:pPr>
      <w:bookmarkStart w:id="29" w:name="_Toc225314034"/>
      <w:r w:rsidRPr="00407802">
        <w:rPr>
          <w:rFonts w:eastAsiaTheme="minorHAnsi" w:hint="cs"/>
          <w:color w:val="4472C4" w:themeColor="accent1"/>
          <w:rtl/>
        </w:rPr>
        <w:t>سادسًا: نظرية الثقافة التنظيمية</w:t>
      </w:r>
      <w:r w:rsidR="00407802">
        <w:rPr>
          <w:rFonts w:eastAsiaTheme="minorHAnsi" w:hint="cs"/>
          <w:color w:val="4472C4" w:themeColor="accent1"/>
          <w:rtl/>
        </w:rPr>
        <w:t>:</w:t>
      </w:r>
      <w:bookmarkEnd w:id="29"/>
    </w:p>
    <w:p w14:paraId="42EBAAB8" w14:textId="77777777" w:rsidR="006629A2" w:rsidRDefault="006629A2" w:rsidP="006629A2">
      <w:pPr>
        <w:jc w:val="both"/>
      </w:pPr>
      <w:r>
        <w:rPr>
          <w:rFonts w:hint="cs"/>
          <w:rtl/>
        </w:rPr>
        <w:t>تلعب الثقافة التنظيمية دورًا حاسمًا في نجاح أو فشل التغيير. وتعتمد هذه الدراسة على مفاهيم هذه النظرية لتحليل:</w:t>
      </w:r>
    </w:p>
    <w:p w14:paraId="66013041" w14:textId="77777777" w:rsidR="006629A2" w:rsidRPr="006629A2" w:rsidRDefault="006629A2" w:rsidP="00F602D1">
      <w:pPr>
        <w:pStyle w:val="ListParagraph"/>
        <w:numPr>
          <w:ilvl w:val="0"/>
          <w:numId w:val="29"/>
        </w:numPr>
        <w:jc w:val="both"/>
      </w:pPr>
      <w:r w:rsidRPr="006629A2">
        <w:rPr>
          <w:rFonts w:hint="cs"/>
          <w:rtl/>
        </w:rPr>
        <w:t>مدى تقبل العاملين للتغيير</w:t>
      </w:r>
    </w:p>
    <w:p w14:paraId="56A51E87" w14:textId="77777777" w:rsidR="006629A2" w:rsidRPr="006629A2" w:rsidRDefault="006629A2" w:rsidP="00F602D1">
      <w:pPr>
        <w:pStyle w:val="ListParagraph"/>
        <w:numPr>
          <w:ilvl w:val="0"/>
          <w:numId w:val="29"/>
        </w:numPr>
        <w:jc w:val="both"/>
        <w:rPr>
          <w:rtl/>
        </w:rPr>
      </w:pPr>
      <w:r w:rsidRPr="006629A2">
        <w:rPr>
          <w:rFonts w:hint="cs"/>
          <w:rtl/>
        </w:rPr>
        <w:t>تأثير القيم المؤسسية على الابتكار</w:t>
      </w:r>
    </w:p>
    <w:p w14:paraId="342B7147" w14:textId="241A3E7D" w:rsidR="006629A2" w:rsidRPr="006629A2" w:rsidRDefault="006629A2" w:rsidP="00F602D1">
      <w:pPr>
        <w:pStyle w:val="ListParagraph"/>
        <w:numPr>
          <w:ilvl w:val="0"/>
          <w:numId w:val="29"/>
        </w:numPr>
        <w:jc w:val="both"/>
        <w:rPr>
          <w:rtl/>
        </w:rPr>
      </w:pPr>
      <w:r w:rsidRPr="006629A2">
        <w:rPr>
          <w:rFonts w:hint="cs"/>
          <w:rtl/>
        </w:rPr>
        <w:t>دور الثقافة في تعزيز أو إعاقة التحول</w:t>
      </w:r>
    </w:p>
    <w:p w14:paraId="45122E0D" w14:textId="1E286DC8" w:rsidR="006629A2" w:rsidRDefault="006629A2" w:rsidP="00407802">
      <w:pPr>
        <w:jc w:val="both"/>
      </w:pPr>
      <w:r>
        <w:rPr>
          <w:rFonts w:hint="cs"/>
          <w:rtl/>
        </w:rPr>
        <w:t>وتُظهر الأدبيات أن المؤسسات ذات الثقافة المرنة تكون أكثر قدرة على التكيف مع التحولات الكبرى.</w:t>
      </w:r>
    </w:p>
    <w:p w14:paraId="1C3A3D9D" w14:textId="0C0E01A8" w:rsidR="006629A2" w:rsidRPr="00407802" w:rsidRDefault="006629A2" w:rsidP="00407802">
      <w:pPr>
        <w:pStyle w:val="Heading3"/>
        <w:rPr>
          <w:rFonts w:eastAsiaTheme="minorHAnsi"/>
          <w:color w:val="4472C4" w:themeColor="accent1"/>
        </w:rPr>
      </w:pPr>
      <w:bookmarkStart w:id="30" w:name="_Toc225314035"/>
      <w:r w:rsidRPr="00407802">
        <w:rPr>
          <w:rFonts w:eastAsiaTheme="minorHAnsi" w:hint="cs"/>
          <w:color w:val="4472C4" w:themeColor="accent1"/>
          <w:rtl/>
        </w:rPr>
        <w:t>سابعًا: التكامل بين النظريات</w:t>
      </w:r>
      <w:r w:rsidR="00407802" w:rsidRPr="00407802">
        <w:rPr>
          <w:rFonts w:hint="cs"/>
          <w:color w:val="4472C4" w:themeColor="accent1"/>
          <w:rtl/>
        </w:rPr>
        <w:t>:</w:t>
      </w:r>
      <w:bookmarkEnd w:id="30"/>
    </w:p>
    <w:p w14:paraId="015A6E74" w14:textId="77777777" w:rsidR="006629A2" w:rsidRDefault="006629A2" w:rsidP="006629A2">
      <w:pPr>
        <w:jc w:val="both"/>
      </w:pPr>
      <w:r>
        <w:rPr>
          <w:rFonts w:hint="cs"/>
          <w:rtl/>
        </w:rPr>
        <w:t>بدل الاعتماد على نظرية واحدة، يعتمد هذا البحث على تكامل بين النظريات السابقة، بحيث يتم:</w:t>
      </w:r>
    </w:p>
    <w:p w14:paraId="054C1762" w14:textId="77777777" w:rsidR="006629A2" w:rsidRPr="006629A2" w:rsidRDefault="006629A2" w:rsidP="006629A2">
      <w:pPr>
        <w:jc w:val="both"/>
      </w:pPr>
      <w:r w:rsidRPr="006629A2">
        <w:rPr>
          <w:rFonts w:hint="cs"/>
          <w:rtl/>
        </w:rPr>
        <w:t xml:space="preserve">استخدام نظرية </w:t>
      </w:r>
      <w:r w:rsidRPr="006629A2">
        <w:t>Kurt Lewin</w:t>
      </w:r>
      <w:r w:rsidRPr="006629A2">
        <w:rPr>
          <w:rFonts w:hint="cs"/>
          <w:rtl/>
        </w:rPr>
        <w:t xml:space="preserve"> لتفسير مراحل التغيير.</w:t>
      </w:r>
    </w:p>
    <w:p w14:paraId="5329C9C4" w14:textId="77777777" w:rsidR="006629A2" w:rsidRPr="006629A2" w:rsidRDefault="006629A2" w:rsidP="006629A2">
      <w:pPr>
        <w:jc w:val="both"/>
        <w:rPr>
          <w:rtl/>
        </w:rPr>
      </w:pPr>
      <w:r w:rsidRPr="006629A2">
        <w:rPr>
          <w:rFonts w:hint="cs"/>
          <w:rtl/>
        </w:rPr>
        <w:t xml:space="preserve">توظيف نموذج </w:t>
      </w:r>
      <w:r w:rsidRPr="006629A2">
        <w:t>John Kotter</w:t>
      </w:r>
      <w:r w:rsidRPr="006629A2">
        <w:rPr>
          <w:rFonts w:hint="cs"/>
          <w:rtl/>
        </w:rPr>
        <w:t xml:space="preserve"> لتحليل دور القيادة.</w:t>
      </w:r>
    </w:p>
    <w:p w14:paraId="052E4E43" w14:textId="77777777" w:rsidR="006629A2" w:rsidRPr="006629A2" w:rsidRDefault="006629A2" w:rsidP="006629A2">
      <w:pPr>
        <w:jc w:val="both"/>
        <w:rPr>
          <w:rtl/>
        </w:rPr>
      </w:pPr>
      <w:r w:rsidRPr="006629A2">
        <w:rPr>
          <w:rFonts w:hint="cs"/>
          <w:rtl/>
        </w:rPr>
        <w:t>الاستفادة من النظرية المؤسسية لفهم الضغوط الخارجية.</w:t>
      </w:r>
    </w:p>
    <w:p w14:paraId="5C7D23B3" w14:textId="77777777" w:rsidR="006629A2" w:rsidRPr="006629A2" w:rsidRDefault="006629A2" w:rsidP="006629A2">
      <w:pPr>
        <w:jc w:val="both"/>
        <w:rPr>
          <w:rtl/>
        </w:rPr>
      </w:pPr>
      <w:r w:rsidRPr="006629A2">
        <w:rPr>
          <w:rFonts w:hint="cs"/>
          <w:rtl/>
        </w:rPr>
        <w:t>تطبيق نظرية القدرات الديناميكية لتحليل التكيف الاستراتيجي.</w:t>
      </w:r>
    </w:p>
    <w:p w14:paraId="7BE919CA" w14:textId="517B4D3B" w:rsidR="006629A2" w:rsidRPr="006629A2" w:rsidRDefault="006629A2" w:rsidP="00407802">
      <w:pPr>
        <w:jc w:val="both"/>
        <w:rPr>
          <w:rtl/>
        </w:rPr>
      </w:pPr>
      <w:r w:rsidRPr="006629A2">
        <w:rPr>
          <w:rFonts w:hint="cs"/>
          <w:rtl/>
        </w:rPr>
        <w:t>استخدام نظرية الثقافة التنظيمية لفهم البعد البشري.</w:t>
      </w:r>
    </w:p>
    <w:p w14:paraId="6D3CED8D" w14:textId="1E79D605" w:rsidR="006629A2" w:rsidRDefault="006629A2" w:rsidP="00407802">
      <w:pPr>
        <w:jc w:val="both"/>
      </w:pPr>
      <w:r>
        <w:rPr>
          <w:rFonts w:hint="cs"/>
          <w:rtl/>
        </w:rPr>
        <w:t>هذا التكامل يوفر إطارًا تحليليًا شاملًا يراعي تعقيد الظاهرة المدروسة.</w:t>
      </w:r>
    </w:p>
    <w:p w14:paraId="18E7E88E" w14:textId="791B6E43" w:rsidR="006629A2" w:rsidRPr="00407802" w:rsidRDefault="006629A2" w:rsidP="00407802">
      <w:pPr>
        <w:jc w:val="both"/>
        <w:rPr>
          <w:color w:val="4472C4" w:themeColor="accent1"/>
        </w:rPr>
      </w:pPr>
      <w:r w:rsidRPr="00407802">
        <w:rPr>
          <w:rFonts w:hint="cs"/>
          <w:color w:val="4472C4" w:themeColor="accent1"/>
          <w:rtl/>
        </w:rPr>
        <w:t>ثامنًا: تحليل نقدي للإطار النظري</w:t>
      </w:r>
      <w:r w:rsidR="00407802">
        <w:rPr>
          <w:rFonts w:hint="cs"/>
          <w:color w:val="4472C4" w:themeColor="accent1"/>
          <w:rtl/>
        </w:rPr>
        <w:t>:</w:t>
      </w:r>
    </w:p>
    <w:p w14:paraId="13D13FFE" w14:textId="77777777" w:rsidR="006629A2" w:rsidRDefault="006629A2" w:rsidP="006629A2">
      <w:pPr>
        <w:jc w:val="both"/>
      </w:pPr>
      <w:r>
        <w:rPr>
          <w:rFonts w:hint="cs"/>
          <w:rtl/>
        </w:rPr>
        <w:t>رغم قوة الإطار النظري المستخدم، إلا أن هناك بعض التحديات:</w:t>
      </w:r>
    </w:p>
    <w:p w14:paraId="5D90B3C9" w14:textId="77777777" w:rsidR="006629A2" w:rsidRPr="006629A2" w:rsidRDefault="006629A2" w:rsidP="00F602D1">
      <w:pPr>
        <w:pStyle w:val="ListParagraph"/>
        <w:numPr>
          <w:ilvl w:val="0"/>
          <w:numId w:val="30"/>
        </w:numPr>
        <w:jc w:val="both"/>
      </w:pPr>
      <w:r w:rsidRPr="006629A2">
        <w:rPr>
          <w:rFonts w:hint="cs"/>
          <w:rtl/>
        </w:rPr>
        <w:t>محدودية النماذج الكلاسيكية:</w:t>
      </w:r>
    </w:p>
    <w:p w14:paraId="134E0EEC" w14:textId="77777777" w:rsidR="006629A2" w:rsidRPr="006629A2" w:rsidRDefault="006629A2" w:rsidP="006629A2">
      <w:pPr>
        <w:jc w:val="both"/>
        <w:rPr>
          <w:rtl/>
        </w:rPr>
      </w:pPr>
      <w:r>
        <w:rPr>
          <w:rFonts w:hint="cs"/>
          <w:rtl/>
        </w:rPr>
        <w:t xml:space="preserve">بعض النماذج مثل نموذج </w:t>
      </w:r>
      <w:r>
        <w:t>Lewin</w:t>
      </w:r>
      <w:r>
        <w:rPr>
          <w:rFonts w:hint="cs"/>
          <w:rtl/>
        </w:rPr>
        <w:t xml:space="preserve"> قد لا تعكس التعقيد الديناميكي للتحولات الحديثة.</w:t>
      </w:r>
    </w:p>
    <w:p w14:paraId="349F329A" w14:textId="77777777" w:rsidR="006629A2" w:rsidRPr="006629A2" w:rsidRDefault="006629A2" w:rsidP="00F602D1">
      <w:pPr>
        <w:pStyle w:val="ListParagraph"/>
        <w:numPr>
          <w:ilvl w:val="0"/>
          <w:numId w:val="30"/>
        </w:numPr>
        <w:jc w:val="both"/>
        <w:rPr>
          <w:rtl/>
        </w:rPr>
      </w:pPr>
      <w:r w:rsidRPr="006629A2">
        <w:rPr>
          <w:rFonts w:hint="cs"/>
          <w:rtl/>
        </w:rPr>
        <w:t>التركيز على السياقات الغربية:</w:t>
      </w:r>
    </w:p>
    <w:p w14:paraId="5A6500A1" w14:textId="77777777" w:rsidR="006629A2" w:rsidRPr="006629A2" w:rsidRDefault="006629A2" w:rsidP="006629A2">
      <w:pPr>
        <w:jc w:val="both"/>
        <w:rPr>
          <w:rtl/>
        </w:rPr>
      </w:pPr>
      <w:r>
        <w:rPr>
          <w:rFonts w:hint="cs"/>
          <w:rtl/>
        </w:rPr>
        <w:t>معظم هذه النظريات تم تطويرها في بيئات غربية، وقد تحتاج إلى تكييف لتناسب سياقات مختلفة مثل الشرق الأوسط.</w:t>
      </w:r>
    </w:p>
    <w:p w14:paraId="6FD613A7" w14:textId="77777777" w:rsidR="006629A2" w:rsidRPr="006629A2" w:rsidRDefault="006629A2" w:rsidP="00F602D1">
      <w:pPr>
        <w:pStyle w:val="ListParagraph"/>
        <w:numPr>
          <w:ilvl w:val="0"/>
          <w:numId w:val="30"/>
        </w:numPr>
        <w:jc w:val="both"/>
        <w:rPr>
          <w:rtl/>
        </w:rPr>
      </w:pPr>
      <w:r w:rsidRPr="006629A2">
        <w:rPr>
          <w:rFonts w:hint="cs"/>
          <w:rtl/>
        </w:rPr>
        <w:t>افتراض الاستقرار النسبي:</w:t>
      </w:r>
    </w:p>
    <w:p w14:paraId="2049EBE0" w14:textId="60817EFC" w:rsidR="006629A2" w:rsidRDefault="006629A2" w:rsidP="00A7787D">
      <w:pPr>
        <w:jc w:val="both"/>
        <w:rPr>
          <w:rtl/>
        </w:rPr>
      </w:pPr>
      <w:r>
        <w:rPr>
          <w:rFonts w:hint="cs"/>
          <w:rtl/>
        </w:rPr>
        <w:t>العديد من النظريات تفترض بيئة مستقرة نسبيًا، بينما التحول الطاقي يتم في بيئة شديدة التقلب.</w:t>
      </w:r>
    </w:p>
    <w:p w14:paraId="190D3395" w14:textId="1B47582A" w:rsidR="00F925D0" w:rsidRDefault="006629A2" w:rsidP="00A7787D">
      <w:pPr>
        <w:jc w:val="both"/>
        <w:rPr>
          <w:rtl/>
        </w:rPr>
      </w:pPr>
      <w:r>
        <w:rPr>
          <w:rFonts w:hint="cs"/>
          <w:rtl/>
        </w:rPr>
        <w:t>لذلك، يتبنى البحث منهجًا نقديًا يهدف إلى اختبار مدى ملاءمة هذه النظريات وتعديلها عند الحاجة.</w:t>
      </w:r>
    </w:p>
    <w:p w14:paraId="1B0E0400" w14:textId="77777777" w:rsidR="00A7787D" w:rsidRPr="00A7787D" w:rsidRDefault="00A7787D" w:rsidP="00A7787D">
      <w:pPr>
        <w:jc w:val="both"/>
        <w:rPr>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EE6287" w:rsidRDefault="00F925D0" w:rsidP="00EE6287">
      <w:pPr>
        <w:pStyle w:val="Heading1"/>
        <w:jc w:val="center"/>
        <w:rPr>
          <w:rFonts w:ascii="Sakkal Majalla" w:hAnsi="Sakkal Majalla" w:cs="Sakkal Majalla"/>
          <w:b/>
          <w:bCs/>
          <w:color w:val="auto"/>
          <w:sz w:val="48"/>
          <w:szCs w:val="48"/>
          <w:u w:val="single"/>
          <w:rtl/>
        </w:rPr>
      </w:pPr>
      <w:bookmarkStart w:id="31" w:name="_Toc225314036"/>
      <w:r w:rsidRPr="00EE6287">
        <w:rPr>
          <w:rFonts w:ascii="Sakkal Majalla" w:hAnsi="Sakkal Majalla" w:cs="Sakkal Majalla" w:hint="cs"/>
          <w:b/>
          <w:bCs/>
          <w:color w:val="auto"/>
          <w:sz w:val="48"/>
          <w:szCs w:val="48"/>
          <w:u w:val="single"/>
          <w:rtl/>
        </w:rPr>
        <w:t>الفصل الثاني</w:t>
      </w:r>
      <w:bookmarkEnd w:id="31"/>
    </w:p>
    <w:p w14:paraId="6AAFE107" w14:textId="425BDF2C" w:rsidR="00F925D0" w:rsidRPr="009125CE" w:rsidRDefault="00F925D0" w:rsidP="00EE6287">
      <w:pPr>
        <w:pStyle w:val="Heading1"/>
        <w:jc w:val="center"/>
        <w:rPr>
          <w:rFonts w:ascii="Sakkal Majalla" w:hAnsi="Sakkal Majalla" w:cs="Sakkal Majalla"/>
          <w:b/>
          <w:bCs/>
          <w:sz w:val="48"/>
          <w:szCs w:val="48"/>
          <w:u w:val="single"/>
          <w:rtl/>
        </w:rPr>
      </w:pPr>
      <w:bookmarkStart w:id="32" w:name="_Toc225314037"/>
      <w:r w:rsidRPr="00EE6287">
        <w:rPr>
          <w:rFonts w:ascii="Sakkal Majalla" w:hAnsi="Sakkal Majalla" w:cs="Sakkal Majalla" w:hint="cs"/>
          <w:b/>
          <w:bCs/>
          <w:color w:val="auto"/>
          <w:sz w:val="48"/>
          <w:szCs w:val="48"/>
          <w:u w:val="single"/>
          <w:rtl/>
        </w:rPr>
        <w:t>الدراسات السابقة</w:t>
      </w:r>
      <w:bookmarkEnd w:id="32"/>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3B89F0F8" w:rsidR="00F925D0" w:rsidRDefault="00F925D0" w:rsidP="00D22171">
      <w:pPr>
        <w:rPr>
          <w:rFonts w:ascii="Sakkal Majalla" w:hAnsi="Sakkal Majalla" w:cs="Sakkal Majalla"/>
          <w:sz w:val="28"/>
          <w:szCs w:val="28"/>
          <w:u w:val="single"/>
        </w:rPr>
      </w:pPr>
    </w:p>
    <w:p w14:paraId="35EE34B8" w14:textId="77777777" w:rsidR="00341C0D" w:rsidRDefault="00341C0D"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Pr="00EE6287" w:rsidRDefault="00F925D0" w:rsidP="00EE6287">
      <w:pPr>
        <w:pStyle w:val="Heading2"/>
        <w:rPr>
          <w:rFonts w:ascii="Sakkal Majalla" w:hAnsi="Sakkal Majalla" w:cs="Sakkal Majalla"/>
          <w:color w:val="auto"/>
          <w:sz w:val="28"/>
          <w:szCs w:val="28"/>
          <w:u w:val="single"/>
          <w:rtl/>
        </w:rPr>
      </w:pPr>
      <w:bookmarkStart w:id="33" w:name="_Toc225314038"/>
      <w:r w:rsidRPr="00EE6287">
        <w:rPr>
          <w:rFonts w:ascii="Sakkal Majalla" w:hAnsi="Sakkal Majalla" w:cs="Sakkal Majalla" w:hint="cs"/>
          <w:color w:val="auto"/>
          <w:sz w:val="28"/>
          <w:szCs w:val="28"/>
          <w:u w:val="single"/>
          <w:rtl/>
        </w:rPr>
        <w:lastRenderedPageBreak/>
        <w:t>-مقدمة</w:t>
      </w:r>
      <w:bookmarkEnd w:id="33"/>
    </w:p>
    <w:p w14:paraId="22D91F32" w14:textId="63381783" w:rsidR="00C93D39" w:rsidRDefault="00C357F5" w:rsidP="00C93D39">
      <w:pPr>
        <w:jc w:val="both"/>
      </w:pPr>
      <w:r>
        <w:rPr>
          <w:rFonts w:hint="cs"/>
          <w:rtl/>
        </w:rPr>
        <w:t>ي</w:t>
      </w:r>
      <w:r w:rsidR="00C93D39">
        <w:rPr>
          <w:rFonts w:hint="cs"/>
          <w:rtl/>
        </w:rPr>
        <w:t>عد استعراض الدراسات السابقة أحد المكونات الأساسية في أي بحث علمي، لأنه يتيح للباحث بناء فهمٍ أعمق لموضوع الدراسة، وتحديد ما توصّل إليه الباحثون السابقون، والكشف عن الفجوات العلمية التي ما زالت بحاجة إلى بحث وتحليل. كما يساعد هذا القسم على وضع الدراسة الحالية ضمن سياقها العلمي الصحيح، من خلال ربطها بالأطر النظرية والنتائج التطبيقية التي تناولت موضوع التحول الطاقي وإدارة التغيير التنظيمي في قطاع النفط والغاز. ومن ثم، فإن عرض الدراسات السابقة لا يقتصر على تلخيص ما كُتب في الموضوع، بل يتجاوز ذلك إلى المقارنة والتحليل والنقد، بما يوضح أوجه الاتفاق والاختلاف بين الدراسات، ويُبرز الإضافة العلمية التي تسعى إليها الدراسة الحالية.</w:t>
      </w:r>
    </w:p>
    <w:p w14:paraId="7E8E75AF" w14:textId="77777777" w:rsidR="00C93D39" w:rsidRDefault="00C93D39" w:rsidP="00C93D39">
      <w:pPr>
        <w:jc w:val="both"/>
      </w:pPr>
    </w:p>
    <w:p w14:paraId="3A45C771" w14:textId="77777777" w:rsidR="00C93D39" w:rsidRDefault="00C93D39" w:rsidP="00C93D39">
      <w:pPr>
        <w:jc w:val="both"/>
        <w:rPr>
          <w:rtl/>
        </w:rPr>
      </w:pPr>
      <w:r>
        <w:rPr>
          <w:rFonts w:hint="cs"/>
          <w:rtl/>
        </w:rPr>
        <w:t>وفي سياق هذه الدراسة، تكتسب الدراسات السابقة أهمية خاصة؛ لأنها تتناول موضوعًا شديد التعقيد يرتبط بتحول الشركات النفطية الكبرى من نماذج عمل تقليدية تعتمد على الهيدروكربونات إلى نماذج أكثر مرونة وتنوعًا واستجابة لمتطلبات الاستدامة العالمية. لذلك، فإن مراجعة الأدبيات العلمية ذات الصلة تساعد على فهم كيفية تعامل الشركات مع ضغوط التحول الطاقي، وما إذا كانت هذه التحولات قد اقتصرت على تعديل الخطاب المؤسسي، أم امتدت إلى إعادة هيكلة فعلية في التنظيم، والقيادة، والثقافة، والموارد البشرية، والاستراتيجية. كما يتيح هذا القسم التعرف على أبرز التحديات التي واجهتها الشركات النفطية في تطبيق التغيير، وعلى العوامل التي ساعدت بعضها على النجاح أو الإخفاق.</w:t>
      </w:r>
    </w:p>
    <w:p w14:paraId="2201001C" w14:textId="77777777" w:rsidR="00C93D39" w:rsidRDefault="00C93D39" w:rsidP="00C93D39">
      <w:pPr>
        <w:jc w:val="both"/>
      </w:pPr>
    </w:p>
    <w:p w14:paraId="1B6E05A5" w14:textId="77777777" w:rsidR="00C93D39" w:rsidRDefault="00C93D39" w:rsidP="00C93D39">
      <w:pPr>
        <w:jc w:val="both"/>
        <w:rPr>
          <w:rtl/>
        </w:rPr>
      </w:pPr>
      <w:r>
        <w:rPr>
          <w:rFonts w:hint="cs"/>
          <w:rtl/>
        </w:rPr>
        <w:t>وعليه، سيتم في هذا القسم تناول مجموعة من الدراسات العربية والأجنبية التي عالجت موضوع التحول الطاقي، وإدارة التغيير التنظيمي، وإعادة الهيكلة المؤسسية في شركات النفط والغاز، مع تحليل نتائجها وتحليل اتجاهاتها البحثية، ثم استخلاص الفجوة العلمية التي تبرر إجراء هذه الدراسة. وبذلك يشكّل هذا القسم قاعدة معرفية ومنهجية تُسهم في دعم بناء الإطار النظري وصياغة مشكلة الدراسة وأهدافها وتساؤلاتها وفروضها بصورة أكثر دقة وعمقًا</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7077FDA5" w14:textId="13D80135" w:rsidR="00C357F5" w:rsidRDefault="00C357F5" w:rsidP="00D22171">
      <w:pPr>
        <w:rPr>
          <w:rFonts w:ascii="Sakkal Majalla" w:hAnsi="Sakkal Majalla" w:cs="Sakkal Majalla"/>
          <w:sz w:val="28"/>
          <w:szCs w:val="28"/>
          <w:u w:val="single"/>
          <w:rtl/>
        </w:rPr>
      </w:pPr>
    </w:p>
    <w:p w14:paraId="60B31668" w14:textId="526DD437" w:rsidR="008A77A8" w:rsidRDefault="008A77A8" w:rsidP="00D22171">
      <w:pPr>
        <w:rPr>
          <w:rFonts w:ascii="Sakkal Majalla" w:hAnsi="Sakkal Majalla" w:cs="Sakkal Majalla"/>
          <w:sz w:val="28"/>
          <w:szCs w:val="28"/>
          <w:u w:val="single"/>
          <w:rtl/>
        </w:rPr>
      </w:pPr>
    </w:p>
    <w:p w14:paraId="5A732735" w14:textId="0EB4054F" w:rsidR="008A77A8" w:rsidRDefault="008A77A8" w:rsidP="00D22171">
      <w:pPr>
        <w:rPr>
          <w:rFonts w:ascii="Sakkal Majalla" w:hAnsi="Sakkal Majalla" w:cs="Sakkal Majalla"/>
          <w:sz w:val="28"/>
          <w:szCs w:val="28"/>
          <w:u w:val="single"/>
          <w:rtl/>
        </w:rPr>
      </w:pPr>
    </w:p>
    <w:p w14:paraId="2B3C4E24" w14:textId="438E7586" w:rsidR="008A77A8" w:rsidRDefault="008A77A8" w:rsidP="00D22171">
      <w:pPr>
        <w:rPr>
          <w:rFonts w:ascii="Sakkal Majalla" w:hAnsi="Sakkal Majalla" w:cs="Sakkal Majalla"/>
          <w:sz w:val="28"/>
          <w:szCs w:val="28"/>
          <w:u w:val="single"/>
          <w:rtl/>
        </w:rPr>
      </w:pPr>
    </w:p>
    <w:p w14:paraId="4B3F633B" w14:textId="59CEA832" w:rsidR="008A77A8" w:rsidRDefault="008A77A8" w:rsidP="00D22171">
      <w:pPr>
        <w:rPr>
          <w:rFonts w:ascii="Sakkal Majalla" w:hAnsi="Sakkal Majalla" w:cs="Sakkal Majalla"/>
          <w:sz w:val="28"/>
          <w:szCs w:val="28"/>
          <w:u w:val="single"/>
          <w:rtl/>
        </w:rPr>
      </w:pPr>
    </w:p>
    <w:p w14:paraId="6817773B" w14:textId="77777777" w:rsidR="008A77A8" w:rsidRDefault="008A77A8" w:rsidP="00D22171">
      <w:pPr>
        <w:rPr>
          <w:rFonts w:ascii="Sakkal Majalla" w:hAnsi="Sakkal Majalla" w:cs="Sakkal Majalla"/>
          <w:sz w:val="28"/>
          <w:szCs w:val="28"/>
          <w:u w:val="single"/>
          <w:rtl/>
        </w:rPr>
      </w:pPr>
    </w:p>
    <w:p w14:paraId="4124F337" w14:textId="77777777" w:rsidR="00D0521D" w:rsidRDefault="00D0521D" w:rsidP="00D22171">
      <w:pPr>
        <w:rPr>
          <w:rFonts w:ascii="Sakkal Majalla" w:hAnsi="Sakkal Majalla" w:cs="Sakkal Majalla"/>
          <w:sz w:val="28"/>
          <w:szCs w:val="28"/>
          <w:u w:val="single"/>
          <w:rtl/>
        </w:rPr>
      </w:pPr>
    </w:p>
    <w:p w14:paraId="6F8A6CA3" w14:textId="33E540F2" w:rsidR="00F925D0" w:rsidRPr="00EE6287" w:rsidRDefault="00F925D0" w:rsidP="00EE6287">
      <w:pPr>
        <w:pStyle w:val="Heading2"/>
        <w:rPr>
          <w:rFonts w:ascii="Sakkal Majalla" w:hAnsi="Sakkal Majalla" w:cs="Sakkal Majalla"/>
          <w:color w:val="auto"/>
          <w:sz w:val="28"/>
          <w:szCs w:val="28"/>
          <w:u w:val="single"/>
          <w:rtl/>
        </w:rPr>
      </w:pPr>
      <w:bookmarkStart w:id="34" w:name="_Toc225314039"/>
      <w:r w:rsidRPr="00EE6287">
        <w:rPr>
          <w:rFonts w:ascii="Sakkal Majalla" w:hAnsi="Sakkal Majalla" w:cs="Sakkal Majalla" w:hint="cs"/>
          <w:color w:val="auto"/>
          <w:sz w:val="28"/>
          <w:szCs w:val="28"/>
          <w:u w:val="single"/>
          <w:rtl/>
        </w:rPr>
        <w:lastRenderedPageBreak/>
        <w:t>-الدراسات السابقة</w:t>
      </w:r>
      <w:bookmarkEnd w:id="34"/>
    </w:p>
    <w:p w14:paraId="40F0F435" w14:textId="77777777" w:rsidR="00C93D39" w:rsidRDefault="00C93D39" w:rsidP="00C93D39">
      <w:pPr>
        <w:jc w:val="both"/>
      </w:pPr>
      <w:r>
        <w:rPr>
          <w:rFonts w:hint="cs"/>
          <w:rtl/>
        </w:rPr>
        <w:t xml:space="preserve">تتناول الدراسات الحديثة موضوع التحول الطاقي في قطاع النفط والغاز من زوايا متعددة، لكن القاسم المشترك بينها هو أن التحول لا ينجح بالتقنية وحدها؛ بل يتطلب تغييرًا في الاستراتيجية، والحوكمة، والثقافة التنظيمية، والمهارات، وطريقة إدارة العلاقة بين الشركة والدولة والسوق. كما تُظهر الأدبيات أن الشركات النفطية تواجه ضغطًا متزايدًا لإثبات قدرتها على المساهمة في خفض الانبعاثات، مع المحافظة في الوقت نفسه على أمن الإمدادات والربحية.  </w:t>
      </w:r>
    </w:p>
    <w:p w14:paraId="76D5693F" w14:textId="77777777" w:rsidR="00C93D39" w:rsidRDefault="00C93D39" w:rsidP="00C93D39">
      <w:pPr>
        <w:jc w:val="both"/>
      </w:pPr>
    </w:p>
    <w:p w14:paraId="7433877A" w14:textId="77777777" w:rsidR="00C93D39" w:rsidRDefault="00C93D39" w:rsidP="00C93D39">
      <w:pPr>
        <w:jc w:val="both"/>
        <w:rPr>
          <w:rtl/>
        </w:rPr>
      </w:pPr>
      <w:r>
        <w:rPr>
          <w:rFonts w:hint="cs"/>
          <w:rtl/>
        </w:rPr>
        <w:t xml:space="preserve">أولًا، تشير تقارير وكالة الطاقة الدولية إلى أن شركات النفط والغاز تواجه مطالب متزايدة لتوضيح كيف ستتعامل مع آثار التحول الطاقي على نماذج أعمالها، وأن الوصول إلى مسار صافي الصفر يتطلب تسارعًا كبيرًا في نشر التقنيات النظيفة وتقليصًا أسرع في استخدام النفط والغاز. كما يوضح تقرير 2023 أن شركات النفط والغاز والاقتصادات المنتجة يجب أن يكون لها “حصة حقيقية” في الاقتصاد النظيف، لا أن تبقى على هامشه. هذا يعطينا قاعدة مهمة لفهم الدراسات اللاحقة: التحول الطاقي ليس خيارًا تجميليًا، بل إعادة تموضع هيكلي طويل الأمد.  </w:t>
      </w:r>
    </w:p>
    <w:p w14:paraId="77E13B3E" w14:textId="77777777" w:rsidR="00C93D39" w:rsidRDefault="00C93D39" w:rsidP="00C93D39">
      <w:pPr>
        <w:jc w:val="both"/>
      </w:pPr>
    </w:p>
    <w:p w14:paraId="16AAB755" w14:textId="77777777" w:rsidR="00C93D39" w:rsidRDefault="00C93D39" w:rsidP="00C93D39">
      <w:pPr>
        <w:jc w:val="both"/>
        <w:rPr>
          <w:rtl/>
        </w:rPr>
      </w:pPr>
      <w:r>
        <w:rPr>
          <w:rFonts w:hint="cs"/>
          <w:rtl/>
        </w:rPr>
        <w:t xml:space="preserve">ثانيًا، من بين الدراسات الأكثر أهمية دراسة </w:t>
      </w:r>
      <w:r>
        <w:t>Landoni</w:t>
      </w:r>
      <w:r>
        <w:rPr>
          <w:rFonts w:hint="cs"/>
          <w:rtl/>
        </w:rPr>
        <w:t xml:space="preserve"> (2023) التي تناولت التحول الطاقي داخل مؤسسة حكومية كبيرة. وتتميز هذه الدراسة بأنها لا تنظر إلى التحول باعتباره قرارًا استثماريًا فقط، بل بوصفه عملية تغيير تنظيمي تتطلب إعادة صياغة الهوية المؤسسية. توصلت الدراسة إلى أن التغيير التنظيمي شرط مسبق للتحول الطاقي، وأن التواصل بين المستويات الإدارية كان عنصرًا حاسمًا، وأن إعادة تفسير الهوية المؤسسية سهّلت عملية التغيير. أهمية هذه الدراسة أنها تنقل النقاش من “ما الذي يجب أن تفعله الشركة؟” إلى “كيف تغيّر الشركة نفسها كي تستطيع الفعل؟”.  </w:t>
      </w:r>
    </w:p>
    <w:p w14:paraId="2E47EA75" w14:textId="77777777" w:rsidR="00C93D39" w:rsidRDefault="00C93D39" w:rsidP="00C93D39">
      <w:pPr>
        <w:jc w:val="both"/>
      </w:pPr>
    </w:p>
    <w:p w14:paraId="17FA5549" w14:textId="77777777" w:rsidR="00C93D39" w:rsidRDefault="00C93D39" w:rsidP="00C93D39">
      <w:pPr>
        <w:jc w:val="both"/>
        <w:rPr>
          <w:rtl/>
        </w:rPr>
      </w:pPr>
      <w:r>
        <w:rPr>
          <w:rFonts w:hint="cs"/>
          <w:rtl/>
        </w:rPr>
        <w:t xml:space="preserve">ثالثًا، تقدم مراجعة </w:t>
      </w:r>
      <w:r>
        <w:t>Herzog-Hawelka</w:t>
      </w:r>
      <w:r>
        <w:rPr>
          <w:rFonts w:hint="cs"/>
          <w:rtl/>
        </w:rPr>
        <w:t xml:space="preserve"> و</w:t>
      </w:r>
      <w:r>
        <w:t>Gupta</w:t>
      </w:r>
      <w:r>
        <w:rPr>
          <w:rFonts w:hint="cs"/>
          <w:rtl/>
        </w:rPr>
        <w:t xml:space="preserve"> (2023) رؤية نقدية مهمة، إذ خلصت إلى أن شركات النفط والغاز تشارك في التحول الطاقي عبر التنويع، وإدارة السمعة، والضغط السياسي، لكن هذا لا يعني بالضرورة انخفاضًا في إنتاج الوقود الأحفوري. وتؤكد المراجعة أن التنويع غالبًا ما يكون محدودًا، ويتمثل في استثمارات صغيرة نسبيًا في الطاقة المتجددة أو الكفاءة أو البتروكيماويات، وأن كثيرًا من الشركات تفضّل التقنيات التي لا تستبدل بنيتها التحتية أو خبراتها أو موظفيها بالكامل. هذه النتيجة مهمّة لأنها تكشف أن بعض استراتيجيات التحول قد تكون استباقية في الخطاب، محافظة في الجوهر.  </w:t>
      </w:r>
    </w:p>
    <w:p w14:paraId="79A68FA2" w14:textId="77777777" w:rsidR="00C93D39" w:rsidRDefault="00C93D39" w:rsidP="00C93D39">
      <w:pPr>
        <w:jc w:val="both"/>
      </w:pPr>
    </w:p>
    <w:p w14:paraId="05E129F3" w14:textId="77777777" w:rsidR="00C93D39" w:rsidRDefault="00C93D39" w:rsidP="00C93D39">
      <w:pPr>
        <w:jc w:val="both"/>
        <w:rPr>
          <w:rtl/>
        </w:rPr>
      </w:pPr>
      <w:r>
        <w:rPr>
          <w:rFonts w:hint="cs"/>
          <w:rtl/>
        </w:rPr>
        <w:t xml:space="preserve">رابعًا، تُضيف دراسة </w:t>
      </w:r>
      <w:r>
        <w:t>Ye</w:t>
      </w:r>
      <w:r>
        <w:rPr>
          <w:rFonts w:hint="cs"/>
          <w:rtl/>
        </w:rPr>
        <w:t xml:space="preserve"> وآخرين (2023) بعدًا آخر مهمًا، هو القدرة التنظيمية على الصمود والتكيّف أثناء الأزمات. وتخلص الدراسة إلى أن الشركات النفطية الوطنية ذات الحوكمة الأكثر مركزية تمتلك قدرة أعلى على التماسك أثناء الأزمات، لكنها تتأخر نسبيًا في القدرات التكيفية والتحويلية مقارنة بالشركات ذات الحوكمة الأقرب للسوق. وهذا يفسر لماذا قد تكون بعض الشركات قادرة على الاستجابة السريعة للصدمات، لكنها أبطأ في إعادة الهيكلة الاستراتيجية بعيدة المدى. بعبارة أخرى، القوة في الاستجابة القصيرة لا تعني بالضرورة القدرة على التحول العميق.  </w:t>
      </w:r>
    </w:p>
    <w:p w14:paraId="2A12F891" w14:textId="77777777" w:rsidR="00C93D39" w:rsidRDefault="00C93D39" w:rsidP="00C93D39">
      <w:pPr>
        <w:jc w:val="both"/>
      </w:pPr>
    </w:p>
    <w:p w14:paraId="34D68960" w14:textId="1B0975B5" w:rsidR="00C93D39" w:rsidRDefault="00C93D39" w:rsidP="00C93D39">
      <w:pPr>
        <w:jc w:val="both"/>
        <w:rPr>
          <w:rtl/>
        </w:rPr>
      </w:pPr>
      <w:r>
        <w:rPr>
          <w:rFonts w:hint="cs"/>
          <w:rtl/>
        </w:rPr>
        <w:t xml:space="preserve">خامسًا، هناك مجموعة من الدراسات التي تركز على سوق العمل والمهارات بوصفها قلبًا حقيقيًا للتحول. دراسة </w:t>
      </w:r>
      <w:r>
        <w:t>Greenspon</w:t>
      </w:r>
      <w:r>
        <w:rPr>
          <w:rFonts w:hint="cs"/>
          <w:rtl/>
        </w:rPr>
        <w:t xml:space="preserve"> (2024) وجدت أن مهارات العاملين في الوظائف المرتبطة بالوقود الأحفوري تختلف غالبًا عن المهارات المطلوبة في الوظائف الأسرع نموًا، حتى عندما تكون الأجور متقاربة، وأن الوظائف الجديدة تتطلب كثيرًا من المهارات الخدمية والإدارية إضافة إلى المهارات التقنية. دراسة </w:t>
      </w:r>
      <w:r>
        <w:t>Bray</w:t>
      </w:r>
      <w:r>
        <w:rPr>
          <w:rFonts w:hint="cs"/>
          <w:rtl/>
        </w:rPr>
        <w:t xml:space="preserve"> (2022) تؤكد أن التحول العادل يحتاج إلى إعادة توزيع مهارات واضحة، وأن فروق المهارات بين المناطق قد تخلق فجوات وعدم عدالة ما لم تُدعَم ببرامج تدريب محلية وآليات حوكمة أقرب إلى المجتمعات. هذا يعني أن التغيير التنظيمي في شركات الطاقة لا ينفصل عن إعادة تأهيل القوى العاملة وإدارة الانتقال الوظيفي.  </w:t>
      </w:r>
    </w:p>
    <w:p w14:paraId="2560F248" w14:textId="77777777" w:rsidR="00C93D39" w:rsidRDefault="00C93D39" w:rsidP="00C93D39">
      <w:pPr>
        <w:jc w:val="both"/>
      </w:pPr>
    </w:p>
    <w:p w14:paraId="6B22CB14" w14:textId="16EEA817" w:rsidR="00C93D39" w:rsidRDefault="00C93D39" w:rsidP="003A523E">
      <w:pPr>
        <w:jc w:val="both"/>
      </w:pPr>
      <w:r>
        <w:rPr>
          <w:rFonts w:hint="cs"/>
          <w:rtl/>
        </w:rPr>
        <w:t xml:space="preserve">سادسًا، تعطي دراسة </w:t>
      </w:r>
      <w:r>
        <w:t>Krawchenko</w:t>
      </w:r>
      <w:r>
        <w:rPr>
          <w:rFonts w:hint="cs"/>
          <w:rtl/>
        </w:rPr>
        <w:t xml:space="preserve"> و</w:t>
      </w:r>
      <w:r>
        <w:t>Gordon</w:t>
      </w:r>
      <w:r>
        <w:rPr>
          <w:rFonts w:hint="cs"/>
          <w:rtl/>
        </w:rPr>
        <w:t xml:space="preserve"> (2022) بعدًا إقليميًا مهمًا، إذ تبيّن أن انتقال مناطق النفط والغاز يتسم بخصائص مكانية خاصة، وأن السياسات العامة يجب أن تراعي العمال والمجتمعات والبنية الاقتصادية المحلية. كما تعرض ثلاث مسارات ممكنة: التصفية التدريجية مع حلول احتجاز الكربون، أو تطور الصناعة نحو أنشطة أقل كربونًا، أو التحول الكامل إلى قطاعات أخرى عبر التنويع الاقتصادي. هذه الدراسة مهمة لأنها تبيّن أن التحول التنظيمي داخل الشركة لا يكفي وحده؛ فلا بد من بيئة سياسة عامة ومؤسسات محلية داعمة.  </w:t>
      </w:r>
    </w:p>
    <w:p w14:paraId="30D5B268" w14:textId="77777777" w:rsidR="00C93D39" w:rsidRDefault="00C93D39" w:rsidP="00C93D39">
      <w:pPr>
        <w:jc w:val="both"/>
        <w:rPr>
          <w:rtl/>
        </w:rPr>
      </w:pPr>
      <w:r>
        <w:rPr>
          <w:rFonts w:hint="cs"/>
          <w:rtl/>
        </w:rPr>
        <w:lastRenderedPageBreak/>
        <w:t xml:space="preserve">سابعًا، من زاوية الدول المنتجة للنفط، توضح دراسة </w:t>
      </w:r>
      <w:r>
        <w:t>Dongo</w:t>
      </w:r>
      <w:r>
        <w:rPr>
          <w:rFonts w:hint="cs"/>
          <w:rtl/>
        </w:rPr>
        <w:t xml:space="preserve"> و</w:t>
      </w:r>
      <w:r>
        <w:t>Relvas</w:t>
      </w:r>
      <w:r>
        <w:rPr>
          <w:rFonts w:hint="cs"/>
          <w:rtl/>
        </w:rPr>
        <w:t xml:space="preserve"> (2024) أن الأدبيات حول التحول الطاقي في الدول المنتجة ما تزال محدودة نسبيًا، وأن معظم الأبحاث تتركز على البعد التكنولوجي، بينما تحظى الأبعاد الاجتماعية والاقتصادية والسياسية والمؤسسية بنصيب أقل. وتُظهر الدراسة أيضًا أن هناك ستة أبعاد ينبغي التعامل معها: الاجتماعي، الاقتصادي، البيئي، التكنولوجي، السياسي، والمؤسسي/الحوكمي. هذه النتيجة تكشف فجوة واضحة في الأدبيات: الدراسات التقنية كثيرة، لكن الدراسات التي تربط التحول بعلم التنظيم وإدارة التغيير أقل عددًا.  </w:t>
      </w:r>
    </w:p>
    <w:p w14:paraId="112A083D" w14:textId="77777777" w:rsidR="00C93D39" w:rsidRDefault="00C93D39" w:rsidP="00C93D39">
      <w:pPr>
        <w:jc w:val="both"/>
      </w:pPr>
    </w:p>
    <w:p w14:paraId="148AD871" w14:textId="6191665A" w:rsidR="00C93D39" w:rsidRDefault="00C93D39" w:rsidP="00C93D39">
      <w:pPr>
        <w:jc w:val="both"/>
        <w:rPr>
          <w:rtl/>
        </w:rPr>
      </w:pPr>
      <w:r>
        <w:rPr>
          <w:rFonts w:hint="cs"/>
          <w:rtl/>
        </w:rPr>
        <w:t xml:space="preserve">ثامنًا، في السياق السعودي تحديدًا، تقدم دراسة </w:t>
      </w:r>
      <w:r>
        <w:t>Islam</w:t>
      </w:r>
      <w:r w:rsidR="008C69DD">
        <w:rPr>
          <w:rFonts w:hint="cs"/>
          <w:rtl/>
        </w:rPr>
        <w:t xml:space="preserve"> </w:t>
      </w:r>
      <w:r>
        <w:rPr>
          <w:rFonts w:hint="cs"/>
          <w:rtl/>
        </w:rPr>
        <w:t xml:space="preserve">(2024) إطارًا مفاهيميًا للتحول الأخضر في السعودية متسقًا مع رؤية 2030، وتؤكد أن التقدم في التحول يتطلب تعاونًا إقليميًا وعبر القطاعات، وبناء رأس المال البشري، وتعزيز المشاركة العامة، والابتكار التكنولوجي، والحفاظ على الموارد وحماية البيئة. هذه الدراسة مهمة لأنها تربط التحول في السعودية بعوامل اجتماعية واقتصادية وبيئية، لا بالطاقة وحدها، ما يجعلها ملائمة جدًا لتحليل أرامكو بوصفها فاعلًا مركزيًا ضمن منظومة وطنية أوسع.  </w:t>
      </w:r>
    </w:p>
    <w:p w14:paraId="2D9E1715" w14:textId="77777777" w:rsidR="00C93D39" w:rsidRDefault="00C93D39" w:rsidP="00C93D39">
      <w:pPr>
        <w:jc w:val="both"/>
      </w:pPr>
    </w:p>
    <w:p w14:paraId="24E844AA" w14:textId="5DDE2C2D" w:rsidR="00C93D39" w:rsidRPr="008C69DD" w:rsidRDefault="00136028" w:rsidP="008C69DD">
      <w:pPr>
        <w:pStyle w:val="Heading2"/>
        <w:rPr>
          <w:rFonts w:ascii="Sakkal Majalla" w:hAnsi="Sakkal Majalla" w:cs="Sakkal Majalla"/>
          <w:color w:val="auto"/>
          <w:sz w:val="28"/>
          <w:szCs w:val="28"/>
          <w:u w:val="single"/>
          <w:rtl/>
        </w:rPr>
      </w:pPr>
      <w:bookmarkStart w:id="35" w:name="_Toc225314040"/>
      <w:r>
        <w:rPr>
          <w:rFonts w:ascii="Sakkal Majalla" w:hAnsi="Sakkal Majalla" w:cs="Sakkal Majalla" w:hint="cs"/>
          <w:color w:val="auto"/>
          <w:sz w:val="28"/>
          <w:szCs w:val="28"/>
          <w:u w:val="single"/>
          <w:rtl/>
        </w:rPr>
        <w:t xml:space="preserve">- </w:t>
      </w:r>
      <w:r w:rsidR="00C93D39" w:rsidRPr="008C69DD">
        <w:rPr>
          <w:rFonts w:ascii="Sakkal Majalla" w:hAnsi="Sakkal Majalla" w:cs="Sakkal Majalla" w:hint="cs"/>
          <w:color w:val="auto"/>
          <w:sz w:val="28"/>
          <w:szCs w:val="28"/>
          <w:u w:val="single"/>
          <w:rtl/>
        </w:rPr>
        <w:t>التحليل العام للفجوة البحثية</w:t>
      </w:r>
      <w:bookmarkEnd w:id="35"/>
    </w:p>
    <w:p w14:paraId="7D9F04E5" w14:textId="77777777" w:rsidR="00C93D39" w:rsidRDefault="00C93D39" w:rsidP="00C93D39">
      <w:pPr>
        <w:jc w:val="both"/>
      </w:pPr>
    </w:p>
    <w:p w14:paraId="588BCEE9" w14:textId="77777777" w:rsidR="00C93D39" w:rsidRDefault="00C93D39" w:rsidP="00C93D39">
      <w:pPr>
        <w:jc w:val="both"/>
      </w:pPr>
      <w:r>
        <w:rPr>
          <w:rFonts w:hint="cs"/>
          <w:rtl/>
        </w:rPr>
        <w:t xml:space="preserve">عند جمع هذه الدراسات، تظهر ثلاث فجوات رئيسية. الأولى أن كثيرًا من الأدبيات يتناول التحول من زاوية الاستراتيجية أو التكنولوجيا أكثر من زاوية إدارة التغيير التنظيمي الداخلية. الثانية أن الدراسات التي تتناول الشركات الوطنية أو الشركات في الدول المنتجة للنفط ما تزال أقل من الدراسات المتعلقة بالشركات الدولية الكبرى. الثالثة أن موضوع الهوية المؤسسية، والاتصال الداخلي، وإعادة تأهيل القوى العاملة لا يزال بحاجة إلى مزيد من التعمق، رغم أنه يبدو حاسمًا في نجاح التحول.  </w:t>
      </w:r>
    </w:p>
    <w:p w14:paraId="068D9518" w14:textId="77777777" w:rsidR="00C93D39" w:rsidRDefault="00C93D39" w:rsidP="00C93D39">
      <w:pPr>
        <w:jc w:val="both"/>
      </w:pPr>
    </w:p>
    <w:p w14:paraId="28BF2479" w14:textId="6225F4B4" w:rsidR="00F925D0" w:rsidRPr="00136028" w:rsidRDefault="00C93D39" w:rsidP="00136028">
      <w:pPr>
        <w:jc w:val="both"/>
        <w:rPr>
          <w:rtl/>
        </w:rPr>
      </w:pPr>
      <w:r>
        <w:rPr>
          <w:rFonts w:hint="cs"/>
          <w:rtl/>
        </w:rPr>
        <w:t xml:space="preserve">وبناءً على ذلك، يمكن القول إن </w:t>
      </w:r>
      <w:r w:rsidR="00136028">
        <w:rPr>
          <w:rFonts w:hint="cs"/>
          <w:rtl/>
        </w:rPr>
        <w:t>هذه الدراسة</w:t>
      </w:r>
      <w:r>
        <w:rPr>
          <w:rFonts w:hint="cs"/>
          <w:rtl/>
        </w:rPr>
        <w:t xml:space="preserve"> تضيف قيمة واضحة </w:t>
      </w:r>
      <w:r w:rsidR="00136028">
        <w:rPr>
          <w:rFonts w:hint="cs"/>
          <w:rtl/>
        </w:rPr>
        <w:t>حول تركيزها</w:t>
      </w:r>
      <w:r>
        <w:rPr>
          <w:rFonts w:hint="cs"/>
          <w:rtl/>
        </w:rPr>
        <w:t xml:space="preserve"> على أن التحول الطاقي في شركات النفط والغاز هو في جوهره مشروع لإعادة هندسة المنظمة نفسها: هيكلًا، وهويةً، ومهارات، وحوكمة، وعلاقات مع الدولة والسوق. هذه الزاوية لا تُكمل الأدبيات السابقة فحسب، بل تساعد أيضًا على تفسير لماذا تنجح بعض الشركات في التحول الجزئي بينما تتعثر أخرى رغم امتلاكها الموارد نفسها.  </w:t>
      </w: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6E52896B" w14:textId="1C230AF1" w:rsidR="009125CE" w:rsidRPr="009125CE" w:rsidRDefault="009125CE" w:rsidP="00D974CC">
      <w:pPr>
        <w:jc w:val="center"/>
        <w:rPr>
          <w:rFonts w:ascii="Sakkal Majalla" w:hAnsi="Sakkal Majalla" w:cs="Sakkal Majalla"/>
          <w:b/>
          <w:bCs/>
          <w:sz w:val="28"/>
          <w:szCs w:val="28"/>
        </w:rPr>
      </w:pPr>
    </w:p>
    <w:sectPr w:rsidR="009125CE" w:rsidRPr="009125CE" w:rsidSect="00877AAC">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7630A" w14:textId="77777777" w:rsidR="00997C6A" w:rsidRDefault="00997C6A" w:rsidP="009125CE">
      <w:pPr>
        <w:spacing w:after="0" w:line="240" w:lineRule="auto"/>
      </w:pPr>
      <w:r>
        <w:separator/>
      </w:r>
    </w:p>
  </w:endnote>
  <w:endnote w:type="continuationSeparator" w:id="0">
    <w:p w14:paraId="3CD4DE54" w14:textId="77777777" w:rsidR="00997C6A" w:rsidRDefault="00997C6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E24E4" w14:textId="2E7FF980" w:rsidR="00241BFF" w:rsidRDefault="00241BFF">
    <w:pPr>
      <w:pStyle w:val="Footer"/>
    </w:pPr>
    <w:r>
      <w:rPr>
        <w:noProof/>
      </w:rPr>
      <mc:AlternateContent>
        <mc:Choice Requires="wps">
          <w:drawing>
            <wp:anchor distT="0" distB="0" distL="114300" distR="114300" simplePos="0" relativeHeight="251660288" behindDoc="0" locked="0" layoutInCell="0" allowOverlap="1" wp14:anchorId="7E937E3C" wp14:editId="4A83CA52">
              <wp:simplePos x="0" y="0"/>
              <wp:positionH relativeFrom="page">
                <wp:posOffset>0</wp:posOffset>
              </wp:positionH>
              <wp:positionV relativeFrom="page">
                <wp:posOffset>10234930</wp:posOffset>
              </wp:positionV>
              <wp:extent cx="7560310" cy="266700"/>
              <wp:effectExtent l="0" t="0" r="0" b="0"/>
              <wp:wrapNone/>
              <wp:docPr id="2" name="MSIPCM751843fd9d521ff4d6717ee7" descr="{&quot;HashCode&quot;:536009075,&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349288D" w14:textId="157C8057" w:rsidR="00241BFF" w:rsidRPr="00C646A5" w:rsidRDefault="00C646A5" w:rsidP="00C646A5">
                          <w:pPr>
                            <w:spacing w:after="0"/>
                            <w:jc w:val="right"/>
                            <w:rPr>
                              <w:rFonts w:ascii="Arial" w:hAnsi="Arial" w:cs="Arial"/>
                              <w:color w:val="000000"/>
                              <w:sz w:val="20"/>
                            </w:rPr>
                          </w:pPr>
                          <w:r w:rsidRPr="00C646A5">
                            <w:rPr>
                              <w:rFonts w:ascii="Arial" w:hAnsi="Arial" w:cs="Arial"/>
                              <w:color w:val="000000"/>
                              <w:sz w:val="20"/>
                            </w:rPr>
                            <w:t>Non-Business Use</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7E937E3C" id="_x0000_t202" coordsize="21600,21600" o:spt="202" path="m,l,21600r21600,l21600,xe">
              <v:stroke joinstyle="miter"/>
              <v:path gradientshapeok="t" o:connecttype="rect"/>
            </v:shapetype>
            <v:shape id="MSIPCM751843fd9d521ff4d6717ee7" o:spid="_x0000_s1027" type="#_x0000_t202" alt="{&quot;HashCode&quot;:536009075,&quot;Height&quot;:841.0,&quot;Width&quot;:595.0,&quot;Placement&quot;:&quot;Footer&quot;,&quot;Index&quot;:&quot;Primary&quot;,&quot;Section&quot;:1,&quot;Top&quot;:0.0,&quot;Left&quot;:0.0}" style="position:absolute;left:0;text-align:left;margin-left:0;margin-top:805.9pt;width:595.3pt;height:2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" o:allowincell="f" filled="f" stroked="f" strokeweight=".5pt">
              <v:textbox inset="20pt,0,,0">
                <w:txbxContent>
                  <w:p w14:paraId="1349288D" w14:textId="157C8057" w:rsidR="00241BFF" w:rsidRPr="00C646A5" w:rsidRDefault="00C646A5" w:rsidP="00C646A5">
                    <w:pPr>
                      <w:spacing w:after="0"/>
                      <w:jc w:val="right"/>
                      <w:rPr>
                        <w:rFonts w:ascii="Arial" w:hAnsi="Arial" w:cs="Arial"/>
                        <w:color w:val="000000"/>
                        <w:sz w:val="20"/>
                      </w:rPr>
                    </w:pPr>
                    <w:r w:rsidRPr="00C646A5">
                      <w:rPr>
                        <w:rFonts w:ascii="Arial" w:hAnsi="Arial" w:cs="Arial"/>
                        <w:color w:val="000000"/>
                        <w:sz w:val="20"/>
                      </w:rPr>
                      <w:t>Non-Business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FC19B" w14:textId="77777777" w:rsidR="00997C6A" w:rsidRDefault="00997C6A" w:rsidP="009125CE">
      <w:pPr>
        <w:spacing w:after="0" w:line="240" w:lineRule="auto"/>
      </w:pPr>
      <w:r>
        <w:separator/>
      </w:r>
    </w:p>
  </w:footnote>
  <w:footnote w:type="continuationSeparator" w:id="0">
    <w:p w14:paraId="70B84F70" w14:textId="77777777" w:rsidR="00997C6A" w:rsidRDefault="00997C6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207CE" w14:textId="505803BE" w:rsidR="00241BFF" w:rsidRDefault="00241BFF">
    <w:pPr>
      <w:pStyle w:val="Header"/>
    </w:pPr>
    <w:r>
      <w:rPr>
        <w:noProof/>
      </w:rPr>
      <mc:AlternateContent>
        <mc:Choice Requires="wps">
          <w:drawing>
            <wp:anchor distT="0" distB="0" distL="114300" distR="114300" simplePos="0" relativeHeight="251659264" behindDoc="0" locked="0" layoutInCell="0" allowOverlap="1" wp14:anchorId="5B948031" wp14:editId="425B1FC1">
              <wp:simplePos x="0" y="0"/>
              <wp:positionH relativeFrom="page">
                <wp:posOffset>0</wp:posOffset>
              </wp:positionH>
              <wp:positionV relativeFrom="page">
                <wp:posOffset>190500</wp:posOffset>
              </wp:positionV>
              <wp:extent cx="7560310" cy="307340"/>
              <wp:effectExtent l="0" t="0" r="0" b="0"/>
              <wp:wrapNone/>
              <wp:docPr id="1" name="MSIPCMf2ac4d67b66be0ce0425aa9d" descr="{&quot;HashCode&quot;:1503687135,&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30734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4743B08" w14:textId="10A91A22" w:rsidR="00241BFF" w:rsidRPr="00241BFF" w:rsidRDefault="00241BFF" w:rsidP="00241BFF">
                          <w:pPr>
                            <w:spacing w:after="0"/>
                            <w:jc w:val="right"/>
                            <w:rPr>
                              <w:rFonts w:ascii="Arial" w:hAnsi="Arial" w:cs="Arial"/>
                              <w:color w:val="000000"/>
                              <w:sz w:val="2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5B948031" id="_x0000_t202" coordsize="21600,21600" o:spt="202" path="m,l,21600r21600,l21600,xe">
              <v:stroke joinstyle="miter"/>
              <v:path gradientshapeok="t" o:connecttype="rect"/>
            </v:shapetype>
            <v:shape id="MSIPCMf2ac4d67b66be0ce0425aa9d" o:spid="_x0000_s1026" type="#_x0000_t202" alt="{&quot;HashCode&quot;:1503687135,&quot;Height&quot;:841.0,&quot;Width&quot;:595.0,&quot;Placement&quot;:&quot;Header&quot;,&quot;Index&quot;:&quot;Primary&quot;,&quot;Section&quot;:1,&quot;Top&quot;:0.0,&quot;Left&quot;:0.0}" style="position:absolute;left:0;text-align:left;margin-left:0;margin-top:15pt;width:595.3pt;height:24.2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" o:allowincell="f" filled="f" stroked="f" strokeweight=".5pt">
              <v:textbox inset="20pt,0,,0">
                <w:txbxContent>
                  <w:p w14:paraId="34743B08" w14:textId="10A91A22" w:rsidR="00241BFF" w:rsidRPr="00241BFF" w:rsidRDefault="00241BFF" w:rsidP="00241BFF">
                    <w:pPr>
                      <w:spacing w:after="0"/>
                      <w:jc w:val="right"/>
                      <w:rPr>
                        <w:rFonts w:ascii="Arial" w:hAnsi="Arial" w:cs="Arial"/>
                        <w:color w:val="000000"/>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7C55"/>
    <w:multiLevelType w:val="hybridMultilevel"/>
    <w:tmpl w:val="57D4D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8686A"/>
    <w:multiLevelType w:val="multilevel"/>
    <w:tmpl w:val="BF22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C6A05"/>
    <w:multiLevelType w:val="multilevel"/>
    <w:tmpl w:val="BF22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71939"/>
    <w:multiLevelType w:val="hybridMultilevel"/>
    <w:tmpl w:val="A7A63D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145DC3"/>
    <w:multiLevelType w:val="multilevel"/>
    <w:tmpl w:val="BF22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B67E0C"/>
    <w:multiLevelType w:val="hybridMultilevel"/>
    <w:tmpl w:val="BD6A3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504ECB"/>
    <w:multiLevelType w:val="multilevel"/>
    <w:tmpl w:val="BF22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55684E"/>
    <w:multiLevelType w:val="hybridMultilevel"/>
    <w:tmpl w:val="6A9E9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9F7FA6"/>
    <w:multiLevelType w:val="hybridMultilevel"/>
    <w:tmpl w:val="CBC49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87149E"/>
    <w:multiLevelType w:val="multilevel"/>
    <w:tmpl w:val="BF22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2D048A"/>
    <w:multiLevelType w:val="multilevel"/>
    <w:tmpl w:val="7DD8486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59E763E"/>
    <w:multiLevelType w:val="hybridMultilevel"/>
    <w:tmpl w:val="D284A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355587"/>
    <w:multiLevelType w:val="hybridMultilevel"/>
    <w:tmpl w:val="D0609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BF61D6"/>
    <w:multiLevelType w:val="hybridMultilevel"/>
    <w:tmpl w:val="22D6A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FA1DCE"/>
    <w:multiLevelType w:val="hybridMultilevel"/>
    <w:tmpl w:val="4C9EC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5C6664"/>
    <w:multiLevelType w:val="hybridMultilevel"/>
    <w:tmpl w:val="92902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927403"/>
    <w:multiLevelType w:val="multilevel"/>
    <w:tmpl w:val="BF22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AB2295"/>
    <w:multiLevelType w:val="hybridMultilevel"/>
    <w:tmpl w:val="D60C3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DB5FF0"/>
    <w:multiLevelType w:val="multilevel"/>
    <w:tmpl w:val="BF22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A57FC6"/>
    <w:multiLevelType w:val="hybridMultilevel"/>
    <w:tmpl w:val="23D2A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922A96"/>
    <w:multiLevelType w:val="hybridMultilevel"/>
    <w:tmpl w:val="EC1CA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395ABA"/>
    <w:multiLevelType w:val="hybridMultilevel"/>
    <w:tmpl w:val="C74AF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DC5D72"/>
    <w:multiLevelType w:val="hybridMultilevel"/>
    <w:tmpl w:val="7164A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467C78"/>
    <w:multiLevelType w:val="hybridMultilevel"/>
    <w:tmpl w:val="CF688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0C7BB8"/>
    <w:multiLevelType w:val="hybridMultilevel"/>
    <w:tmpl w:val="26E46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627A94"/>
    <w:multiLevelType w:val="hybridMultilevel"/>
    <w:tmpl w:val="993E5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F540F4"/>
    <w:multiLevelType w:val="hybridMultilevel"/>
    <w:tmpl w:val="24A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0C6F29"/>
    <w:multiLevelType w:val="hybridMultilevel"/>
    <w:tmpl w:val="94806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C236C7"/>
    <w:multiLevelType w:val="hybridMultilevel"/>
    <w:tmpl w:val="6D304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723510"/>
    <w:multiLevelType w:val="multilevel"/>
    <w:tmpl w:val="BF22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DB5C41"/>
    <w:multiLevelType w:val="hybridMultilevel"/>
    <w:tmpl w:val="CB980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E0523A"/>
    <w:multiLevelType w:val="hybridMultilevel"/>
    <w:tmpl w:val="A7B8E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BF20C3"/>
    <w:multiLevelType w:val="hybridMultilevel"/>
    <w:tmpl w:val="1570D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F659D7"/>
    <w:multiLevelType w:val="multilevel"/>
    <w:tmpl w:val="BF22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ED10FE"/>
    <w:multiLevelType w:val="hybridMultilevel"/>
    <w:tmpl w:val="1BDE8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EB79DC"/>
    <w:multiLevelType w:val="multilevel"/>
    <w:tmpl w:val="BF22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E06BE7"/>
    <w:multiLevelType w:val="hybridMultilevel"/>
    <w:tmpl w:val="7D466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182F18"/>
    <w:multiLevelType w:val="hybridMultilevel"/>
    <w:tmpl w:val="F1107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42B1CBE"/>
    <w:multiLevelType w:val="hybridMultilevel"/>
    <w:tmpl w:val="B12C9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FC40B9"/>
    <w:multiLevelType w:val="hybridMultilevel"/>
    <w:tmpl w:val="62EA1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76D018B"/>
    <w:multiLevelType w:val="hybridMultilevel"/>
    <w:tmpl w:val="C87CC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D05236"/>
    <w:multiLevelType w:val="hybridMultilevel"/>
    <w:tmpl w:val="5E882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1E3D9A"/>
    <w:multiLevelType w:val="hybridMultilevel"/>
    <w:tmpl w:val="04D84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B545624"/>
    <w:multiLevelType w:val="hybridMultilevel"/>
    <w:tmpl w:val="B6741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0653451"/>
    <w:multiLevelType w:val="hybridMultilevel"/>
    <w:tmpl w:val="72628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0A946AC"/>
    <w:multiLevelType w:val="hybridMultilevel"/>
    <w:tmpl w:val="15C8E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5633920"/>
    <w:multiLevelType w:val="hybridMultilevel"/>
    <w:tmpl w:val="8AA8E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CC2413"/>
    <w:multiLevelType w:val="hybridMultilevel"/>
    <w:tmpl w:val="6A025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8093F9A"/>
    <w:multiLevelType w:val="hybridMultilevel"/>
    <w:tmpl w:val="611E5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97D159A"/>
    <w:multiLevelType w:val="multilevel"/>
    <w:tmpl w:val="BF22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C104DC6"/>
    <w:multiLevelType w:val="multilevel"/>
    <w:tmpl w:val="BF22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C744E4A"/>
    <w:multiLevelType w:val="hybridMultilevel"/>
    <w:tmpl w:val="640EE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251D91"/>
    <w:multiLevelType w:val="multilevel"/>
    <w:tmpl w:val="BF22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8E3788"/>
    <w:multiLevelType w:val="hybridMultilevel"/>
    <w:tmpl w:val="4EC41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7"/>
  </w:num>
  <w:num w:numId="4">
    <w:abstractNumId w:val="29"/>
  </w:num>
  <w:num w:numId="5">
    <w:abstractNumId w:val="9"/>
  </w:num>
  <w:num w:numId="6">
    <w:abstractNumId w:val="6"/>
  </w:num>
  <w:num w:numId="7">
    <w:abstractNumId w:val="52"/>
  </w:num>
  <w:num w:numId="8">
    <w:abstractNumId w:val="49"/>
  </w:num>
  <w:num w:numId="9">
    <w:abstractNumId w:val="18"/>
  </w:num>
  <w:num w:numId="10">
    <w:abstractNumId w:val="16"/>
  </w:num>
  <w:num w:numId="11">
    <w:abstractNumId w:val="1"/>
  </w:num>
  <w:num w:numId="12">
    <w:abstractNumId w:val="33"/>
  </w:num>
  <w:num w:numId="13">
    <w:abstractNumId w:val="50"/>
  </w:num>
  <w:num w:numId="14">
    <w:abstractNumId w:val="35"/>
  </w:num>
  <w:num w:numId="15">
    <w:abstractNumId w:val="2"/>
  </w:num>
  <w:num w:numId="16">
    <w:abstractNumId w:val="4"/>
  </w:num>
  <w:num w:numId="17">
    <w:abstractNumId w:val="44"/>
  </w:num>
  <w:num w:numId="18">
    <w:abstractNumId w:val="20"/>
  </w:num>
  <w:num w:numId="19">
    <w:abstractNumId w:val="42"/>
  </w:num>
  <w:num w:numId="20">
    <w:abstractNumId w:val="25"/>
  </w:num>
  <w:num w:numId="21">
    <w:abstractNumId w:val="8"/>
  </w:num>
  <w:num w:numId="22">
    <w:abstractNumId w:val="37"/>
  </w:num>
  <w:num w:numId="23">
    <w:abstractNumId w:val="13"/>
  </w:num>
  <w:num w:numId="24">
    <w:abstractNumId w:val="40"/>
  </w:num>
  <w:num w:numId="25">
    <w:abstractNumId w:val="26"/>
  </w:num>
  <w:num w:numId="26">
    <w:abstractNumId w:val="21"/>
  </w:num>
  <w:num w:numId="27">
    <w:abstractNumId w:val="47"/>
  </w:num>
  <w:num w:numId="28">
    <w:abstractNumId w:val="32"/>
  </w:num>
  <w:num w:numId="29">
    <w:abstractNumId w:val="48"/>
  </w:num>
  <w:num w:numId="30">
    <w:abstractNumId w:val="15"/>
  </w:num>
  <w:num w:numId="31">
    <w:abstractNumId w:val="10"/>
  </w:num>
  <w:num w:numId="32">
    <w:abstractNumId w:val="31"/>
  </w:num>
  <w:num w:numId="33">
    <w:abstractNumId w:val="51"/>
  </w:num>
  <w:num w:numId="34">
    <w:abstractNumId w:val="43"/>
  </w:num>
  <w:num w:numId="35">
    <w:abstractNumId w:val="27"/>
  </w:num>
  <w:num w:numId="36">
    <w:abstractNumId w:val="38"/>
  </w:num>
  <w:num w:numId="37">
    <w:abstractNumId w:val="5"/>
  </w:num>
  <w:num w:numId="38">
    <w:abstractNumId w:val="0"/>
  </w:num>
  <w:num w:numId="39">
    <w:abstractNumId w:val="28"/>
  </w:num>
  <w:num w:numId="40">
    <w:abstractNumId w:val="17"/>
  </w:num>
  <w:num w:numId="41">
    <w:abstractNumId w:val="24"/>
  </w:num>
  <w:num w:numId="42">
    <w:abstractNumId w:val="11"/>
  </w:num>
  <w:num w:numId="43">
    <w:abstractNumId w:val="36"/>
  </w:num>
  <w:num w:numId="44">
    <w:abstractNumId w:val="46"/>
  </w:num>
  <w:num w:numId="45">
    <w:abstractNumId w:val="19"/>
  </w:num>
  <w:num w:numId="46">
    <w:abstractNumId w:val="34"/>
  </w:num>
  <w:num w:numId="47">
    <w:abstractNumId w:val="41"/>
  </w:num>
  <w:num w:numId="48">
    <w:abstractNumId w:val="30"/>
  </w:num>
  <w:num w:numId="49">
    <w:abstractNumId w:val="23"/>
  </w:num>
  <w:num w:numId="50">
    <w:abstractNumId w:val="12"/>
  </w:num>
  <w:num w:numId="51">
    <w:abstractNumId w:val="22"/>
  </w:num>
  <w:num w:numId="52">
    <w:abstractNumId w:val="53"/>
  </w:num>
  <w:num w:numId="53">
    <w:abstractNumId w:val="45"/>
  </w:num>
  <w:num w:numId="54">
    <w:abstractNumId w:val="3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535"/>
    <w:rsid w:val="00006DF8"/>
    <w:rsid w:val="000206C5"/>
    <w:rsid w:val="00090F21"/>
    <w:rsid w:val="000A2A4B"/>
    <w:rsid w:val="000B23BA"/>
    <w:rsid w:val="000E6F33"/>
    <w:rsid w:val="000F44B4"/>
    <w:rsid w:val="00136028"/>
    <w:rsid w:val="001902DB"/>
    <w:rsid w:val="001957C3"/>
    <w:rsid w:val="001B44B6"/>
    <w:rsid w:val="001C2162"/>
    <w:rsid w:val="001F7C1A"/>
    <w:rsid w:val="00207EE2"/>
    <w:rsid w:val="00220C69"/>
    <w:rsid w:val="002309D1"/>
    <w:rsid w:val="00241BFF"/>
    <w:rsid w:val="00253F68"/>
    <w:rsid w:val="00293CB3"/>
    <w:rsid w:val="00296A00"/>
    <w:rsid w:val="002C1682"/>
    <w:rsid w:val="003014B3"/>
    <w:rsid w:val="003058A0"/>
    <w:rsid w:val="003061E9"/>
    <w:rsid w:val="0032499B"/>
    <w:rsid w:val="00341C0D"/>
    <w:rsid w:val="003671D0"/>
    <w:rsid w:val="003A523E"/>
    <w:rsid w:val="003D4654"/>
    <w:rsid w:val="003E1666"/>
    <w:rsid w:val="003E5149"/>
    <w:rsid w:val="00407802"/>
    <w:rsid w:val="004163C7"/>
    <w:rsid w:val="00425448"/>
    <w:rsid w:val="0043202E"/>
    <w:rsid w:val="0045056F"/>
    <w:rsid w:val="00463F96"/>
    <w:rsid w:val="00482472"/>
    <w:rsid w:val="00484E63"/>
    <w:rsid w:val="004B288D"/>
    <w:rsid w:val="004F5E04"/>
    <w:rsid w:val="005267BD"/>
    <w:rsid w:val="005920AF"/>
    <w:rsid w:val="005944F7"/>
    <w:rsid w:val="005B4971"/>
    <w:rsid w:val="005C1754"/>
    <w:rsid w:val="005C3D00"/>
    <w:rsid w:val="005C4574"/>
    <w:rsid w:val="005C619E"/>
    <w:rsid w:val="005E46FF"/>
    <w:rsid w:val="006140F8"/>
    <w:rsid w:val="0061794D"/>
    <w:rsid w:val="00634C10"/>
    <w:rsid w:val="006629A2"/>
    <w:rsid w:val="006878B6"/>
    <w:rsid w:val="006948DE"/>
    <w:rsid w:val="00697680"/>
    <w:rsid w:val="006B294F"/>
    <w:rsid w:val="006D52A3"/>
    <w:rsid w:val="006D7BEB"/>
    <w:rsid w:val="007025C3"/>
    <w:rsid w:val="007453A1"/>
    <w:rsid w:val="007465EA"/>
    <w:rsid w:val="00756810"/>
    <w:rsid w:val="0076754A"/>
    <w:rsid w:val="007769F0"/>
    <w:rsid w:val="00776C68"/>
    <w:rsid w:val="007A3869"/>
    <w:rsid w:val="007B0E54"/>
    <w:rsid w:val="007E3A20"/>
    <w:rsid w:val="008426C5"/>
    <w:rsid w:val="00877AAC"/>
    <w:rsid w:val="0088225D"/>
    <w:rsid w:val="00896FE4"/>
    <w:rsid w:val="008A5447"/>
    <w:rsid w:val="008A77A8"/>
    <w:rsid w:val="008C69DD"/>
    <w:rsid w:val="008F1EAE"/>
    <w:rsid w:val="009125CE"/>
    <w:rsid w:val="00946F5F"/>
    <w:rsid w:val="00962FF9"/>
    <w:rsid w:val="00964115"/>
    <w:rsid w:val="00980712"/>
    <w:rsid w:val="009841C0"/>
    <w:rsid w:val="00997C6A"/>
    <w:rsid w:val="009B6888"/>
    <w:rsid w:val="009C0161"/>
    <w:rsid w:val="009C56B7"/>
    <w:rsid w:val="009D108D"/>
    <w:rsid w:val="009E1436"/>
    <w:rsid w:val="009E5668"/>
    <w:rsid w:val="00A04FC0"/>
    <w:rsid w:val="00A3656A"/>
    <w:rsid w:val="00A7787D"/>
    <w:rsid w:val="00A91DD1"/>
    <w:rsid w:val="00A92F38"/>
    <w:rsid w:val="00AA30B7"/>
    <w:rsid w:val="00AA79E9"/>
    <w:rsid w:val="00AB0A70"/>
    <w:rsid w:val="00AD67F3"/>
    <w:rsid w:val="00AE016E"/>
    <w:rsid w:val="00AF13E3"/>
    <w:rsid w:val="00B254D5"/>
    <w:rsid w:val="00B63B0F"/>
    <w:rsid w:val="00B670FE"/>
    <w:rsid w:val="00B7678A"/>
    <w:rsid w:val="00B83877"/>
    <w:rsid w:val="00B84792"/>
    <w:rsid w:val="00B87D53"/>
    <w:rsid w:val="00BB10D3"/>
    <w:rsid w:val="00BC094B"/>
    <w:rsid w:val="00C357F5"/>
    <w:rsid w:val="00C4191B"/>
    <w:rsid w:val="00C62331"/>
    <w:rsid w:val="00C646A5"/>
    <w:rsid w:val="00C72744"/>
    <w:rsid w:val="00C93D39"/>
    <w:rsid w:val="00CB2A44"/>
    <w:rsid w:val="00D01F09"/>
    <w:rsid w:val="00D04E1A"/>
    <w:rsid w:val="00D04F62"/>
    <w:rsid w:val="00D0521D"/>
    <w:rsid w:val="00D1081B"/>
    <w:rsid w:val="00D22171"/>
    <w:rsid w:val="00D24F36"/>
    <w:rsid w:val="00D36ACE"/>
    <w:rsid w:val="00D52480"/>
    <w:rsid w:val="00D53010"/>
    <w:rsid w:val="00D974CC"/>
    <w:rsid w:val="00DB7B69"/>
    <w:rsid w:val="00DD133D"/>
    <w:rsid w:val="00E06A9F"/>
    <w:rsid w:val="00E23B31"/>
    <w:rsid w:val="00E24079"/>
    <w:rsid w:val="00E26ED6"/>
    <w:rsid w:val="00E6575B"/>
    <w:rsid w:val="00E80DFB"/>
    <w:rsid w:val="00E80FD9"/>
    <w:rsid w:val="00E81858"/>
    <w:rsid w:val="00E84792"/>
    <w:rsid w:val="00EA3EF9"/>
    <w:rsid w:val="00EB4212"/>
    <w:rsid w:val="00EE6287"/>
    <w:rsid w:val="00F24D79"/>
    <w:rsid w:val="00F546CE"/>
    <w:rsid w:val="00F602D1"/>
    <w:rsid w:val="00F7228C"/>
    <w:rsid w:val="00F73BD4"/>
    <w:rsid w:val="00F925D0"/>
    <w:rsid w:val="00FB1099"/>
    <w:rsid w:val="00FC23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E62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62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13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8185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3656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EE628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6287"/>
    <w:pPr>
      <w:bidi w:val="0"/>
      <w:outlineLvl w:val="9"/>
    </w:pPr>
    <w:rPr>
      <w:kern w:val="0"/>
      <w14:ligatures w14:val="none"/>
    </w:rPr>
  </w:style>
  <w:style w:type="character" w:customStyle="1" w:styleId="Heading2Char">
    <w:name w:val="Heading 2 Char"/>
    <w:basedOn w:val="DefaultParagraphFont"/>
    <w:link w:val="Heading2"/>
    <w:uiPriority w:val="9"/>
    <w:rsid w:val="00EE628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E6287"/>
    <w:pPr>
      <w:spacing w:after="100"/>
      <w:ind w:left="220"/>
    </w:pPr>
  </w:style>
  <w:style w:type="paragraph" w:styleId="TOC1">
    <w:name w:val="toc 1"/>
    <w:basedOn w:val="Normal"/>
    <w:next w:val="Normal"/>
    <w:autoRedefine/>
    <w:uiPriority w:val="39"/>
    <w:unhideWhenUsed/>
    <w:rsid w:val="00EE6287"/>
    <w:pPr>
      <w:spacing w:after="100"/>
    </w:pPr>
  </w:style>
  <w:style w:type="character" w:styleId="Hyperlink">
    <w:name w:val="Hyperlink"/>
    <w:basedOn w:val="DefaultParagraphFont"/>
    <w:uiPriority w:val="99"/>
    <w:unhideWhenUsed/>
    <w:rsid w:val="00EE6287"/>
    <w:rPr>
      <w:color w:val="0563C1" w:themeColor="hyperlink"/>
      <w:u w:val="single"/>
    </w:rPr>
  </w:style>
  <w:style w:type="paragraph" w:styleId="NormalWeb">
    <w:name w:val="Normal (Web)"/>
    <w:basedOn w:val="Normal"/>
    <w:uiPriority w:val="99"/>
    <w:unhideWhenUsed/>
    <w:rsid w:val="00EE6287"/>
    <w:pPr>
      <w:bidi w:val="0"/>
      <w:spacing w:before="100" w:beforeAutospacing="1" w:after="100" w:afterAutospacing="1" w:line="240" w:lineRule="auto"/>
    </w:pPr>
    <w:rPr>
      <w:rFonts w:ascii="Calibri" w:hAnsi="Calibri" w:cs="Calibri"/>
      <w:kern w:val="0"/>
      <w14:ligatures w14:val="none"/>
    </w:rPr>
  </w:style>
  <w:style w:type="paragraph" w:styleId="ListParagraph">
    <w:name w:val="List Paragraph"/>
    <w:basedOn w:val="Normal"/>
    <w:uiPriority w:val="34"/>
    <w:qFormat/>
    <w:rsid w:val="004B288D"/>
    <w:pPr>
      <w:ind w:left="720"/>
      <w:contextualSpacing/>
    </w:pPr>
  </w:style>
  <w:style w:type="character" w:customStyle="1" w:styleId="Heading3Char">
    <w:name w:val="Heading 3 Char"/>
    <w:basedOn w:val="DefaultParagraphFont"/>
    <w:link w:val="Heading3"/>
    <w:uiPriority w:val="9"/>
    <w:rsid w:val="00DD133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C238E"/>
    <w:pPr>
      <w:spacing w:after="100"/>
      <w:ind w:left="440"/>
    </w:pPr>
  </w:style>
  <w:style w:type="table" w:styleId="GridTable4-Accent5">
    <w:name w:val="Grid Table 4 Accent 5"/>
    <w:basedOn w:val="TableNormal"/>
    <w:uiPriority w:val="49"/>
    <w:rsid w:val="00FC238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5">
    <w:name w:val="Plain Table 5"/>
    <w:basedOn w:val="TableNormal"/>
    <w:uiPriority w:val="45"/>
    <w:rsid w:val="00FC238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4Char">
    <w:name w:val="Heading 4 Char"/>
    <w:basedOn w:val="DefaultParagraphFont"/>
    <w:link w:val="Heading4"/>
    <w:uiPriority w:val="9"/>
    <w:semiHidden/>
    <w:rsid w:val="00E8185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3656A"/>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9C56B7"/>
    <w:rPr>
      <w:b/>
      <w:bCs/>
    </w:rPr>
  </w:style>
  <w:style w:type="character" w:styleId="UnresolvedMention">
    <w:name w:val="Unresolved Mention"/>
    <w:basedOn w:val="DefaultParagraphFont"/>
    <w:uiPriority w:val="99"/>
    <w:semiHidden/>
    <w:unhideWhenUsed/>
    <w:rsid w:val="0043202E"/>
    <w:rPr>
      <w:color w:val="605E5C"/>
      <w:shd w:val="clear" w:color="auto" w:fill="E1DFDD"/>
    </w:rPr>
  </w:style>
  <w:style w:type="paragraph" w:styleId="HTMLPreformatted">
    <w:name w:val="HTML Preformatted"/>
    <w:basedOn w:val="Normal"/>
    <w:link w:val="HTMLPreformattedChar"/>
    <w:uiPriority w:val="99"/>
    <w:semiHidden/>
    <w:unhideWhenUsed/>
    <w:rsid w:val="007A3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7A3869"/>
    <w:rPr>
      <w:rFonts w:ascii="Courier New" w:eastAsia="Times New Roman" w:hAnsi="Courier New" w:cs="Courier New"/>
      <w:kern w:val="0"/>
      <w:sz w:val="20"/>
      <w:szCs w:val="20"/>
      <w14:ligatures w14:val="none"/>
    </w:rPr>
  </w:style>
  <w:style w:type="character" w:customStyle="1" w:styleId="y2iqfc">
    <w:name w:val="y2iqfc"/>
    <w:basedOn w:val="DefaultParagraphFont"/>
    <w:rsid w:val="007A3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59519">
      <w:bodyDiv w:val="1"/>
      <w:marLeft w:val="0"/>
      <w:marRight w:val="0"/>
      <w:marTop w:val="0"/>
      <w:marBottom w:val="0"/>
      <w:divBdr>
        <w:top w:val="none" w:sz="0" w:space="0" w:color="auto"/>
        <w:left w:val="none" w:sz="0" w:space="0" w:color="auto"/>
        <w:bottom w:val="none" w:sz="0" w:space="0" w:color="auto"/>
        <w:right w:val="none" w:sz="0" w:space="0" w:color="auto"/>
      </w:divBdr>
    </w:div>
    <w:div w:id="207882601">
      <w:bodyDiv w:val="1"/>
      <w:marLeft w:val="0"/>
      <w:marRight w:val="0"/>
      <w:marTop w:val="0"/>
      <w:marBottom w:val="0"/>
      <w:divBdr>
        <w:top w:val="none" w:sz="0" w:space="0" w:color="auto"/>
        <w:left w:val="none" w:sz="0" w:space="0" w:color="auto"/>
        <w:bottom w:val="none" w:sz="0" w:space="0" w:color="auto"/>
        <w:right w:val="none" w:sz="0" w:space="0" w:color="auto"/>
      </w:divBdr>
    </w:div>
    <w:div w:id="236288542">
      <w:bodyDiv w:val="1"/>
      <w:marLeft w:val="0"/>
      <w:marRight w:val="0"/>
      <w:marTop w:val="0"/>
      <w:marBottom w:val="0"/>
      <w:divBdr>
        <w:top w:val="none" w:sz="0" w:space="0" w:color="auto"/>
        <w:left w:val="none" w:sz="0" w:space="0" w:color="auto"/>
        <w:bottom w:val="none" w:sz="0" w:space="0" w:color="auto"/>
        <w:right w:val="none" w:sz="0" w:space="0" w:color="auto"/>
      </w:divBdr>
    </w:div>
    <w:div w:id="265433007">
      <w:bodyDiv w:val="1"/>
      <w:marLeft w:val="0"/>
      <w:marRight w:val="0"/>
      <w:marTop w:val="0"/>
      <w:marBottom w:val="0"/>
      <w:divBdr>
        <w:top w:val="none" w:sz="0" w:space="0" w:color="auto"/>
        <w:left w:val="none" w:sz="0" w:space="0" w:color="auto"/>
        <w:bottom w:val="none" w:sz="0" w:space="0" w:color="auto"/>
        <w:right w:val="none" w:sz="0" w:space="0" w:color="auto"/>
      </w:divBdr>
    </w:div>
    <w:div w:id="331764768">
      <w:bodyDiv w:val="1"/>
      <w:marLeft w:val="0"/>
      <w:marRight w:val="0"/>
      <w:marTop w:val="0"/>
      <w:marBottom w:val="0"/>
      <w:divBdr>
        <w:top w:val="none" w:sz="0" w:space="0" w:color="auto"/>
        <w:left w:val="none" w:sz="0" w:space="0" w:color="auto"/>
        <w:bottom w:val="none" w:sz="0" w:space="0" w:color="auto"/>
        <w:right w:val="none" w:sz="0" w:space="0" w:color="auto"/>
      </w:divBdr>
    </w:div>
    <w:div w:id="536477840">
      <w:bodyDiv w:val="1"/>
      <w:marLeft w:val="0"/>
      <w:marRight w:val="0"/>
      <w:marTop w:val="0"/>
      <w:marBottom w:val="0"/>
      <w:divBdr>
        <w:top w:val="none" w:sz="0" w:space="0" w:color="auto"/>
        <w:left w:val="none" w:sz="0" w:space="0" w:color="auto"/>
        <w:bottom w:val="none" w:sz="0" w:space="0" w:color="auto"/>
        <w:right w:val="none" w:sz="0" w:space="0" w:color="auto"/>
      </w:divBdr>
    </w:div>
    <w:div w:id="579172199">
      <w:bodyDiv w:val="1"/>
      <w:marLeft w:val="0"/>
      <w:marRight w:val="0"/>
      <w:marTop w:val="0"/>
      <w:marBottom w:val="0"/>
      <w:divBdr>
        <w:top w:val="none" w:sz="0" w:space="0" w:color="auto"/>
        <w:left w:val="none" w:sz="0" w:space="0" w:color="auto"/>
        <w:bottom w:val="none" w:sz="0" w:space="0" w:color="auto"/>
        <w:right w:val="none" w:sz="0" w:space="0" w:color="auto"/>
      </w:divBdr>
    </w:div>
    <w:div w:id="654068254">
      <w:bodyDiv w:val="1"/>
      <w:marLeft w:val="0"/>
      <w:marRight w:val="0"/>
      <w:marTop w:val="0"/>
      <w:marBottom w:val="0"/>
      <w:divBdr>
        <w:top w:val="none" w:sz="0" w:space="0" w:color="auto"/>
        <w:left w:val="none" w:sz="0" w:space="0" w:color="auto"/>
        <w:bottom w:val="none" w:sz="0" w:space="0" w:color="auto"/>
        <w:right w:val="none" w:sz="0" w:space="0" w:color="auto"/>
      </w:divBdr>
    </w:div>
    <w:div w:id="673993880">
      <w:bodyDiv w:val="1"/>
      <w:marLeft w:val="0"/>
      <w:marRight w:val="0"/>
      <w:marTop w:val="0"/>
      <w:marBottom w:val="0"/>
      <w:divBdr>
        <w:top w:val="none" w:sz="0" w:space="0" w:color="auto"/>
        <w:left w:val="none" w:sz="0" w:space="0" w:color="auto"/>
        <w:bottom w:val="none" w:sz="0" w:space="0" w:color="auto"/>
        <w:right w:val="none" w:sz="0" w:space="0" w:color="auto"/>
      </w:divBdr>
    </w:div>
    <w:div w:id="699159624">
      <w:bodyDiv w:val="1"/>
      <w:marLeft w:val="0"/>
      <w:marRight w:val="0"/>
      <w:marTop w:val="0"/>
      <w:marBottom w:val="0"/>
      <w:divBdr>
        <w:top w:val="none" w:sz="0" w:space="0" w:color="auto"/>
        <w:left w:val="none" w:sz="0" w:space="0" w:color="auto"/>
        <w:bottom w:val="none" w:sz="0" w:space="0" w:color="auto"/>
        <w:right w:val="none" w:sz="0" w:space="0" w:color="auto"/>
      </w:divBdr>
    </w:div>
    <w:div w:id="800614364">
      <w:bodyDiv w:val="1"/>
      <w:marLeft w:val="0"/>
      <w:marRight w:val="0"/>
      <w:marTop w:val="0"/>
      <w:marBottom w:val="0"/>
      <w:divBdr>
        <w:top w:val="none" w:sz="0" w:space="0" w:color="auto"/>
        <w:left w:val="none" w:sz="0" w:space="0" w:color="auto"/>
        <w:bottom w:val="none" w:sz="0" w:space="0" w:color="auto"/>
        <w:right w:val="none" w:sz="0" w:space="0" w:color="auto"/>
      </w:divBdr>
    </w:div>
    <w:div w:id="843594705">
      <w:bodyDiv w:val="1"/>
      <w:marLeft w:val="0"/>
      <w:marRight w:val="0"/>
      <w:marTop w:val="0"/>
      <w:marBottom w:val="0"/>
      <w:divBdr>
        <w:top w:val="none" w:sz="0" w:space="0" w:color="auto"/>
        <w:left w:val="none" w:sz="0" w:space="0" w:color="auto"/>
        <w:bottom w:val="none" w:sz="0" w:space="0" w:color="auto"/>
        <w:right w:val="none" w:sz="0" w:space="0" w:color="auto"/>
      </w:divBdr>
    </w:div>
    <w:div w:id="897328519">
      <w:bodyDiv w:val="1"/>
      <w:marLeft w:val="0"/>
      <w:marRight w:val="0"/>
      <w:marTop w:val="0"/>
      <w:marBottom w:val="0"/>
      <w:divBdr>
        <w:top w:val="none" w:sz="0" w:space="0" w:color="auto"/>
        <w:left w:val="none" w:sz="0" w:space="0" w:color="auto"/>
        <w:bottom w:val="none" w:sz="0" w:space="0" w:color="auto"/>
        <w:right w:val="none" w:sz="0" w:space="0" w:color="auto"/>
      </w:divBdr>
    </w:div>
    <w:div w:id="940376971">
      <w:bodyDiv w:val="1"/>
      <w:marLeft w:val="0"/>
      <w:marRight w:val="0"/>
      <w:marTop w:val="0"/>
      <w:marBottom w:val="0"/>
      <w:divBdr>
        <w:top w:val="none" w:sz="0" w:space="0" w:color="auto"/>
        <w:left w:val="none" w:sz="0" w:space="0" w:color="auto"/>
        <w:bottom w:val="none" w:sz="0" w:space="0" w:color="auto"/>
        <w:right w:val="none" w:sz="0" w:space="0" w:color="auto"/>
      </w:divBdr>
    </w:div>
    <w:div w:id="1075786930">
      <w:bodyDiv w:val="1"/>
      <w:marLeft w:val="0"/>
      <w:marRight w:val="0"/>
      <w:marTop w:val="0"/>
      <w:marBottom w:val="0"/>
      <w:divBdr>
        <w:top w:val="none" w:sz="0" w:space="0" w:color="auto"/>
        <w:left w:val="none" w:sz="0" w:space="0" w:color="auto"/>
        <w:bottom w:val="none" w:sz="0" w:space="0" w:color="auto"/>
        <w:right w:val="none" w:sz="0" w:space="0" w:color="auto"/>
      </w:divBdr>
    </w:div>
    <w:div w:id="1118912361">
      <w:bodyDiv w:val="1"/>
      <w:marLeft w:val="0"/>
      <w:marRight w:val="0"/>
      <w:marTop w:val="0"/>
      <w:marBottom w:val="0"/>
      <w:divBdr>
        <w:top w:val="none" w:sz="0" w:space="0" w:color="auto"/>
        <w:left w:val="none" w:sz="0" w:space="0" w:color="auto"/>
        <w:bottom w:val="none" w:sz="0" w:space="0" w:color="auto"/>
        <w:right w:val="none" w:sz="0" w:space="0" w:color="auto"/>
      </w:divBdr>
    </w:div>
    <w:div w:id="1131165897">
      <w:bodyDiv w:val="1"/>
      <w:marLeft w:val="0"/>
      <w:marRight w:val="0"/>
      <w:marTop w:val="0"/>
      <w:marBottom w:val="0"/>
      <w:divBdr>
        <w:top w:val="none" w:sz="0" w:space="0" w:color="auto"/>
        <w:left w:val="none" w:sz="0" w:space="0" w:color="auto"/>
        <w:bottom w:val="none" w:sz="0" w:space="0" w:color="auto"/>
        <w:right w:val="none" w:sz="0" w:space="0" w:color="auto"/>
      </w:divBdr>
    </w:div>
    <w:div w:id="1143619328">
      <w:bodyDiv w:val="1"/>
      <w:marLeft w:val="0"/>
      <w:marRight w:val="0"/>
      <w:marTop w:val="0"/>
      <w:marBottom w:val="0"/>
      <w:divBdr>
        <w:top w:val="none" w:sz="0" w:space="0" w:color="auto"/>
        <w:left w:val="none" w:sz="0" w:space="0" w:color="auto"/>
        <w:bottom w:val="none" w:sz="0" w:space="0" w:color="auto"/>
        <w:right w:val="none" w:sz="0" w:space="0" w:color="auto"/>
      </w:divBdr>
    </w:div>
    <w:div w:id="1168254451">
      <w:bodyDiv w:val="1"/>
      <w:marLeft w:val="0"/>
      <w:marRight w:val="0"/>
      <w:marTop w:val="0"/>
      <w:marBottom w:val="0"/>
      <w:divBdr>
        <w:top w:val="none" w:sz="0" w:space="0" w:color="auto"/>
        <w:left w:val="none" w:sz="0" w:space="0" w:color="auto"/>
        <w:bottom w:val="none" w:sz="0" w:space="0" w:color="auto"/>
        <w:right w:val="none" w:sz="0" w:space="0" w:color="auto"/>
      </w:divBdr>
    </w:div>
    <w:div w:id="1195387701">
      <w:bodyDiv w:val="1"/>
      <w:marLeft w:val="0"/>
      <w:marRight w:val="0"/>
      <w:marTop w:val="0"/>
      <w:marBottom w:val="0"/>
      <w:divBdr>
        <w:top w:val="none" w:sz="0" w:space="0" w:color="auto"/>
        <w:left w:val="none" w:sz="0" w:space="0" w:color="auto"/>
        <w:bottom w:val="none" w:sz="0" w:space="0" w:color="auto"/>
        <w:right w:val="none" w:sz="0" w:space="0" w:color="auto"/>
      </w:divBdr>
    </w:div>
    <w:div w:id="1332294921">
      <w:bodyDiv w:val="1"/>
      <w:marLeft w:val="0"/>
      <w:marRight w:val="0"/>
      <w:marTop w:val="0"/>
      <w:marBottom w:val="0"/>
      <w:divBdr>
        <w:top w:val="none" w:sz="0" w:space="0" w:color="auto"/>
        <w:left w:val="none" w:sz="0" w:space="0" w:color="auto"/>
        <w:bottom w:val="none" w:sz="0" w:space="0" w:color="auto"/>
        <w:right w:val="none" w:sz="0" w:space="0" w:color="auto"/>
      </w:divBdr>
    </w:div>
    <w:div w:id="1345740774">
      <w:bodyDiv w:val="1"/>
      <w:marLeft w:val="0"/>
      <w:marRight w:val="0"/>
      <w:marTop w:val="0"/>
      <w:marBottom w:val="0"/>
      <w:divBdr>
        <w:top w:val="none" w:sz="0" w:space="0" w:color="auto"/>
        <w:left w:val="none" w:sz="0" w:space="0" w:color="auto"/>
        <w:bottom w:val="none" w:sz="0" w:space="0" w:color="auto"/>
        <w:right w:val="none" w:sz="0" w:space="0" w:color="auto"/>
      </w:divBdr>
    </w:div>
    <w:div w:id="1375960751">
      <w:bodyDiv w:val="1"/>
      <w:marLeft w:val="0"/>
      <w:marRight w:val="0"/>
      <w:marTop w:val="0"/>
      <w:marBottom w:val="0"/>
      <w:divBdr>
        <w:top w:val="none" w:sz="0" w:space="0" w:color="auto"/>
        <w:left w:val="none" w:sz="0" w:space="0" w:color="auto"/>
        <w:bottom w:val="none" w:sz="0" w:space="0" w:color="auto"/>
        <w:right w:val="none" w:sz="0" w:space="0" w:color="auto"/>
      </w:divBdr>
    </w:div>
    <w:div w:id="1376275023">
      <w:bodyDiv w:val="1"/>
      <w:marLeft w:val="0"/>
      <w:marRight w:val="0"/>
      <w:marTop w:val="0"/>
      <w:marBottom w:val="0"/>
      <w:divBdr>
        <w:top w:val="none" w:sz="0" w:space="0" w:color="auto"/>
        <w:left w:val="none" w:sz="0" w:space="0" w:color="auto"/>
        <w:bottom w:val="none" w:sz="0" w:space="0" w:color="auto"/>
        <w:right w:val="none" w:sz="0" w:space="0" w:color="auto"/>
      </w:divBdr>
    </w:div>
    <w:div w:id="1433087680">
      <w:bodyDiv w:val="1"/>
      <w:marLeft w:val="0"/>
      <w:marRight w:val="0"/>
      <w:marTop w:val="0"/>
      <w:marBottom w:val="0"/>
      <w:divBdr>
        <w:top w:val="none" w:sz="0" w:space="0" w:color="auto"/>
        <w:left w:val="none" w:sz="0" w:space="0" w:color="auto"/>
        <w:bottom w:val="none" w:sz="0" w:space="0" w:color="auto"/>
        <w:right w:val="none" w:sz="0" w:space="0" w:color="auto"/>
      </w:divBdr>
    </w:div>
    <w:div w:id="1489595204">
      <w:bodyDiv w:val="1"/>
      <w:marLeft w:val="0"/>
      <w:marRight w:val="0"/>
      <w:marTop w:val="0"/>
      <w:marBottom w:val="0"/>
      <w:divBdr>
        <w:top w:val="none" w:sz="0" w:space="0" w:color="auto"/>
        <w:left w:val="none" w:sz="0" w:space="0" w:color="auto"/>
        <w:bottom w:val="none" w:sz="0" w:space="0" w:color="auto"/>
        <w:right w:val="none" w:sz="0" w:space="0" w:color="auto"/>
      </w:divBdr>
    </w:div>
    <w:div w:id="1496341704">
      <w:bodyDiv w:val="1"/>
      <w:marLeft w:val="0"/>
      <w:marRight w:val="0"/>
      <w:marTop w:val="0"/>
      <w:marBottom w:val="0"/>
      <w:divBdr>
        <w:top w:val="none" w:sz="0" w:space="0" w:color="auto"/>
        <w:left w:val="none" w:sz="0" w:space="0" w:color="auto"/>
        <w:bottom w:val="none" w:sz="0" w:space="0" w:color="auto"/>
        <w:right w:val="none" w:sz="0" w:space="0" w:color="auto"/>
      </w:divBdr>
    </w:div>
    <w:div w:id="1543127594">
      <w:bodyDiv w:val="1"/>
      <w:marLeft w:val="0"/>
      <w:marRight w:val="0"/>
      <w:marTop w:val="0"/>
      <w:marBottom w:val="0"/>
      <w:divBdr>
        <w:top w:val="none" w:sz="0" w:space="0" w:color="auto"/>
        <w:left w:val="none" w:sz="0" w:space="0" w:color="auto"/>
        <w:bottom w:val="none" w:sz="0" w:space="0" w:color="auto"/>
        <w:right w:val="none" w:sz="0" w:space="0" w:color="auto"/>
      </w:divBdr>
    </w:div>
    <w:div w:id="1594125883">
      <w:bodyDiv w:val="1"/>
      <w:marLeft w:val="0"/>
      <w:marRight w:val="0"/>
      <w:marTop w:val="0"/>
      <w:marBottom w:val="0"/>
      <w:divBdr>
        <w:top w:val="none" w:sz="0" w:space="0" w:color="auto"/>
        <w:left w:val="none" w:sz="0" w:space="0" w:color="auto"/>
        <w:bottom w:val="none" w:sz="0" w:space="0" w:color="auto"/>
        <w:right w:val="none" w:sz="0" w:space="0" w:color="auto"/>
      </w:divBdr>
    </w:div>
    <w:div w:id="1630431339">
      <w:bodyDiv w:val="1"/>
      <w:marLeft w:val="0"/>
      <w:marRight w:val="0"/>
      <w:marTop w:val="0"/>
      <w:marBottom w:val="0"/>
      <w:divBdr>
        <w:top w:val="none" w:sz="0" w:space="0" w:color="auto"/>
        <w:left w:val="none" w:sz="0" w:space="0" w:color="auto"/>
        <w:bottom w:val="none" w:sz="0" w:space="0" w:color="auto"/>
        <w:right w:val="none" w:sz="0" w:space="0" w:color="auto"/>
      </w:divBdr>
    </w:div>
    <w:div w:id="1658417809">
      <w:bodyDiv w:val="1"/>
      <w:marLeft w:val="0"/>
      <w:marRight w:val="0"/>
      <w:marTop w:val="0"/>
      <w:marBottom w:val="0"/>
      <w:divBdr>
        <w:top w:val="none" w:sz="0" w:space="0" w:color="auto"/>
        <w:left w:val="none" w:sz="0" w:space="0" w:color="auto"/>
        <w:bottom w:val="none" w:sz="0" w:space="0" w:color="auto"/>
        <w:right w:val="none" w:sz="0" w:space="0" w:color="auto"/>
      </w:divBdr>
    </w:div>
    <w:div w:id="1736272255">
      <w:bodyDiv w:val="1"/>
      <w:marLeft w:val="0"/>
      <w:marRight w:val="0"/>
      <w:marTop w:val="0"/>
      <w:marBottom w:val="0"/>
      <w:divBdr>
        <w:top w:val="none" w:sz="0" w:space="0" w:color="auto"/>
        <w:left w:val="none" w:sz="0" w:space="0" w:color="auto"/>
        <w:bottom w:val="none" w:sz="0" w:space="0" w:color="auto"/>
        <w:right w:val="none" w:sz="0" w:space="0" w:color="auto"/>
      </w:divBdr>
    </w:div>
    <w:div w:id="1812285235">
      <w:bodyDiv w:val="1"/>
      <w:marLeft w:val="0"/>
      <w:marRight w:val="0"/>
      <w:marTop w:val="0"/>
      <w:marBottom w:val="0"/>
      <w:divBdr>
        <w:top w:val="none" w:sz="0" w:space="0" w:color="auto"/>
        <w:left w:val="none" w:sz="0" w:space="0" w:color="auto"/>
        <w:bottom w:val="none" w:sz="0" w:space="0" w:color="auto"/>
        <w:right w:val="none" w:sz="0" w:space="0" w:color="auto"/>
      </w:divBdr>
    </w:div>
    <w:div w:id="1840462232">
      <w:bodyDiv w:val="1"/>
      <w:marLeft w:val="0"/>
      <w:marRight w:val="0"/>
      <w:marTop w:val="0"/>
      <w:marBottom w:val="0"/>
      <w:divBdr>
        <w:top w:val="none" w:sz="0" w:space="0" w:color="auto"/>
        <w:left w:val="none" w:sz="0" w:space="0" w:color="auto"/>
        <w:bottom w:val="none" w:sz="0" w:space="0" w:color="auto"/>
        <w:right w:val="none" w:sz="0" w:space="0" w:color="auto"/>
      </w:divBdr>
    </w:div>
    <w:div w:id="1931160544">
      <w:bodyDiv w:val="1"/>
      <w:marLeft w:val="0"/>
      <w:marRight w:val="0"/>
      <w:marTop w:val="0"/>
      <w:marBottom w:val="0"/>
      <w:divBdr>
        <w:top w:val="none" w:sz="0" w:space="0" w:color="auto"/>
        <w:left w:val="none" w:sz="0" w:space="0" w:color="auto"/>
        <w:bottom w:val="none" w:sz="0" w:space="0" w:color="auto"/>
        <w:right w:val="none" w:sz="0" w:space="0" w:color="auto"/>
      </w:divBdr>
    </w:div>
    <w:div w:id="1980188616">
      <w:bodyDiv w:val="1"/>
      <w:marLeft w:val="0"/>
      <w:marRight w:val="0"/>
      <w:marTop w:val="0"/>
      <w:marBottom w:val="0"/>
      <w:divBdr>
        <w:top w:val="none" w:sz="0" w:space="0" w:color="auto"/>
        <w:left w:val="none" w:sz="0" w:space="0" w:color="auto"/>
        <w:bottom w:val="none" w:sz="0" w:space="0" w:color="auto"/>
        <w:right w:val="none" w:sz="0" w:space="0" w:color="auto"/>
      </w:divBdr>
    </w:div>
    <w:div w:id="2020497945">
      <w:bodyDiv w:val="1"/>
      <w:marLeft w:val="0"/>
      <w:marRight w:val="0"/>
      <w:marTop w:val="0"/>
      <w:marBottom w:val="0"/>
      <w:divBdr>
        <w:top w:val="none" w:sz="0" w:space="0" w:color="auto"/>
        <w:left w:val="none" w:sz="0" w:space="0" w:color="auto"/>
        <w:bottom w:val="none" w:sz="0" w:space="0" w:color="auto"/>
        <w:right w:val="none" w:sz="0" w:space="0" w:color="auto"/>
      </w:divBdr>
    </w:div>
    <w:div w:id="2053768112">
      <w:bodyDiv w:val="1"/>
      <w:marLeft w:val="0"/>
      <w:marRight w:val="0"/>
      <w:marTop w:val="0"/>
      <w:marBottom w:val="0"/>
      <w:divBdr>
        <w:top w:val="none" w:sz="0" w:space="0" w:color="auto"/>
        <w:left w:val="none" w:sz="0" w:space="0" w:color="auto"/>
        <w:bottom w:val="none" w:sz="0" w:space="0" w:color="auto"/>
        <w:right w:val="none" w:sz="0" w:space="0" w:color="auto"/>
      </w:divBdr>
    </w:div>
    <w:div w:id="2134711716">
      <w:bodyDiv w:val="1"/>
      <w:marLeft w:val="0"/>
      <w:marRight w:val="0"/>
      <w:marTop w:val="0"/>
      <w:marBottom w:val="0"/>
      <w:divBdr>
        <w:top w:val="none" w:sz="0" w:space="0" w:color="auto"/>
        <w:left w:val="none" w:sz="0" w:space="0" w:color="auto"/>
        <w:bottom w:val="none" w:sz="0" w:space="0" w:color="auto"/>
        <w:right w:val="none" w:sz="0" w:space="0" w:color="auto"/>
      </w:divBdr>
    </w:div>
    <w:div w:id="21384524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9DAA4-DA82-471A-8F54-B9D633468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Pages>
  <Words>6239</Words>
  <Characters>35568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Bin Zain, Mashhour I</cp:lastModifiedBy>
  <cp:revision>93</cp:revision>
  <cp:lastPrinted>2026-03-25T03:48:00Z</cp:lastPrinted>
  <dcterms:created xsi:type="dcterms:W3CDTF">2024-01-27T08:57:00Z</dcterms:created>
  <dcterms:modified xsi:type="dcterms:W3CDTF">2026-03-25T03:53:00Z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f82541eb-7d60-4d7e-9994-a4817acf050d_Enabled">
    <vt:lpwstr>True</vt:lpwstr>
  </property>
  <property fmtid="{D5CDD505-2E9C-101B-9397-08002B2CF9AE}" pid="4" name="MSIP_Label_f82541eb-7d60-4d7e-9994-a4817acf050d_SiteId">
    <vt:lpwstr>5a1e0c10-68b1-4667-974b-f394ba989c51</vt:lpwstr>
  </property>
  <property fmtid="{D5CDD505-2E9C-101B-9397-08002B2CF9AE}" pid="5" name="MSIP_Label_f82541eb-7d60-4d7e-9994-a4817acf050d_Owner">
    <vt:lpwstr>binzaimi@aramco.com</vt:lpwstr>
  </property>
  <property fmtid="{D5CDD505-2E9C-101B-9397-08002B2CF9AE}" pid="6" name="MSIP_Label_f82541eb-7d60-4d7e-9994-a4817acf050d_SetDate">
    <vt:lpwstr>2026-03-25T01:32:03.4697301Z</vt:lpwstr>
  </property>
  <property fmtid="{D5CDD505-2E9C-101B-9397-08002B2CF9AE}" pid="7" name="MSIP_Label_f82541eb-7d60-4d7e-9994-a4817acf050d_Name">
    <vt:lpwstr>Non-Business Use</vt:lpwstr>
  </property>
  <property fmtid="{D5CDD505-2E9C-101B-9397-08002B2CF9AE}" pid="8" name="MSIP_Label_f82541eb-7d60-4d7e-9994-a4817acf050d_Application">
    <vt:lpwstr>Microsoft Azure Information Protection</vt:lpwstr>
  </property>
  <property fmtid="{D5CDD505-2E9C-101B-9397-08002B2CF9AE}" pid="9" name="MSIP_Label_f82541eb-7d60-4d7e-9994-a4817acf050d_ActionId">
    <vt:lpwstr>326352d0-9a7d-4297-95ea-5988f0c91ad4</vt:lpwstr>
  </property>
  <property fmtid="{D5CDD505-2E9C-101B-9397-08002B2CF9AE}" pid="10" name="MSIP_Label_f82541eb-7d60-4d7e-9994-a4817acf050d_Extended_MSFT_Method">
    <vt:lpwstr>Manual</vt:lpwstr>
  </property>
  <property fmtid="{D5CDD505-2E9C-101B-9397-08002B2CF9AE}" pid="11" name="Sensitivity">
    <vt:lpwstr>Non-Business Use</vt:lpwstr>
  </property>
</Properties>
</file>