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1FF98" w14:textId="77777777" w:rsidR="003375B4" w:rsidRPr="003375B4" w:rsidRDefault="00000000" w:rsidP="003375B4">
      <w:pPr>
        <w:bidi/>
        <w:jc w:val="center"/>
        <w:rPr>
          <w:bCs/>
          <w:sz w:val="28"/>
          <w:rtl/>
        </w:rPr>
      </w:pPr>
      <w:r w:rsidRPr="003375B4">
        <w:rPr>
          <w:bCs/>
          <w:sz w:val="28"/>
          <w:rtl/>
        </w:rPr>
        <w:t>التقرير النهائي لمراجعة الفصل الثاني</w:t>
      </w:r>
    </w:p>
    <w:p w14:paraId="09BBA089" w14:textId="44DFDB04" w:rsidR="00FA5518" w:rsidRPr="003375B4" w:rsidRDefault="00000000" w:rsidP="003375B4">
      <w:pPr>
        <w:bidi/>
        <w:jc w:val="center"/>
        <w:rPr>
          <w:bCs/>
        </w:rPr>
      </w:pPr>
      <w:r w:rsidRPr="003375B4">
        <w:rPr>
          <w:bCs/>
          <w:sz w:val="28"/>
          <w:rtl/>
        </w:rPr>
        <w:br/>
        <w:t>الإطار النظري والدراسات السابقة</w:t>
      </w:r>
    </w:p>
    <w:tbl>
      <w:tblPr>
        <w:tblStyle w:val="TableGrid"/>
        <w:tblW w:w="0" w:type="auto"/>
        <w:tblLook w:val="04A0" w:firstRow="1" w:lastRow="0" w:firstColumn="1" w:lastColumn="0" w:noHBand="0" w:noVBand="1"/>
      </w:tblPr>
      <w:tblGrid>
        <w:gridCol w:w="8019"/>
        <w:gridCol w:w="1717"/>
      </w:tblGrid>
      <w:tr w:rsidR="00FA5518" w14:paraId="6F3138F0" w14:textId="77777777" w:rsidTr="003375B4">
        <w:tc>
          <w:tcPr>
            <w:tcW w:w="8028" w:type="dxa"/>
            <w:vAlign w:val="center"/>
          </w:tcPr>
          <w:p w14:paraId="7E0A6B47" w14:textId="77777777" w:rsidR="00FA5518" w:rsidRDefault="00000000" w:rsidP="003375B4">
            <w:pPr>
              <w:bidi/>
              <w:jc w:val="both"/>
            </w:pPr>
            <w:r>
              <w:rPr>
                <w:rtl/>
              </w:rPr>
              <w:t>فيصل العنزي</w:t>
            </w:r>
          </w:p>
        </w:tc>
        <w:tc>
          <w:tcPr>
            <w:tcW w:w="1718" w:type="dxa"/>
            <w:vAlign w:val="center"/>
          </w:tcPr>
          <w:p w14:paraId="70C275E1" w14:textId="77777777" w:rsidR="00FA5518" w:rsidRPr="003375B4" w:rsidRDefault="00000000" w:rsidP="003375B4">
            <w:pPr>
              <w:bidi/>
              <w:jc w:val="both"/>
              <w:rPr>
                <w:bCs/>
              </w:rPr>
            </w:pPr>
            <w:r w:rsidRPr="003375B4">
              <w:rPr>
                <w:bCs/>
                <w:rtl/>
              </w:rPr>
              <w:t>اسم الطالب</w:t>
            </w:r>
          </w:p>
        </w:tc>
      </w:tr>
      <w:tr w:rsidR="00FA5518" w14:paraId="1F8BEA12" w14:textId="77777777" w:rsidTr="003375B4">
        <w:tc>
          <w:tcPr>
            <w:tcW w:w="8028" w:type="dxa"/>
            <w:vAlign w:val="center"/>
          </w:tcPr>
          <w:p w14:paraId="4E62474C" w14:textId="77777777" w:rsidR="00FA5518" w:rsidRDefault="00000000" w:rsidP="003375B4">
            <w:pPr>
              <w:bidi/>
              <w:jc w:val="both"/>
            </w:pPr>
            <w:r>
              <w:rPr>
                <w:rtl/>
              </w:rPr>
              <w:t>أثر ممارسات إدارة الموارد البشرية الإلكترونية على التميز المؤسسي: دراسة تطبيقية على القطاع الصحي السعودي</w:t>
            </w:r>
          </w:p>
        </w:tc>
        <w:tc>
          <w:tcPr>
            <w:tcW w:w="1718" w:type="dxa"/>
            <w:vAlign w:val="center"/>
          </w:tcPr>
          <w:p w14:paraId="2B560F0B" w14:textId="77777777" w:rsidR="00FA5518" w:rsidRPr="003375B4" w:rsidRDefault="00000000" w:rsidP="003375B4">
            <w:pPr>
              <w:bidi/>
              <w:jc w:val="both"/>
              <w:rPr>
                <w:bCs/>
              </w:rPr>
            </w:pPr>
            <w:r w:rsidRPr="003375B4">
              <w:rPr>
                <w:bCs/>
                <w:rtl/>
              </w:rPr>
              <w:t>موضوع الرسالة</w:t>
            </w:r>
          </w:p>
        </w:tc>
      </w:tr>
      <w:tr w:rsidR="00FA5518" w14:paraId="7621820E" w14:textId="77777777" w:rsidTr="003375B4">
        <w:tc>
          <w:tcPr>
            <w:tcW w:w="8028" w:type="dxa"/>
            <w:vAlign w:val="center"/>
          </w:tcPr>
          <w:p w14:paraId="559F7C8B" w14:textId="77777777" w:rsidR="00FA5518" w:rsidRDefault="00000000" w:rsidP="003375B4">
            <w:pPr>
              <w:bidi/>
              <w:jc w:val="both"/>
            </w:pPr>
            <w:r>
              <w:rPr>
                <w:rtl/>
              </w:rPr>
              <w:t>مقارنة بين التقرير السابق (التسليم الثالث) والنسخة الحالية (التسليم الرابع) للفصل الثاني</w:t>
            </w:r>
          </w:p>
        </w:tc>
        <w:tc>
          <w:tcPr>
            <w:tcW w:w="1718" w:type="dxa"/>
            <w:vAlign w:val="center"/>
          </w:tcPr>
          <w:p w14:paraId="6279CFB0" w14:textId="77777777" w:rsidR="00FA5518" w:rsidRPr="003375B4" w:rsidRDefault="00000000" w:rsidP="003375B4">
            <w:pPr>
              <w:bidi/>
              <w:jc w:val="both"/>
              <w:rPr>
                <w:bCs/>
              </w:rPr>
            </w:pPr>
            <w:r w:rsidRPr="003375B4">
              <w:rPr>
                <w:bCs/>
                <w:rtl/>
              </w:rPr>
              <w:t>نوع المراجعة</w:t>
            </w:r>
          </w:p>
        </w:tc>
      </w:tr>
      <w:tr w:rsidR="00FA5518" w14:paraId="66838CE3" w14:textId="77777777" w:rsidTr="003375B4">
        <w:tc>
          <w:tcPr>
            <w:tcW w:w="8028" w:type="dxa"/>
            <w:vAlign w:val="center"/>
          </w:tcPr>
          <w:p w14:paraId="7E873B3C" w14:textId="77777777" w:rsidR="00FA5518" w:rsidRDefault="00000000" w:rsidP="003375B4">
            <w:pPr>
              <w:bidi/>
              <w:jc w:val="both"/>
            </w:pPr>
            <w:r>
              <w:rPr>
                <w:rtl/>
              </w:rPr>
              <w:t>مقبول مع تعديلات بسيطة</w:t>
            </w:r>
          </w:p>
        </w:tc>
        <w:tc>
          <w:tcPr>
            <w:tcW w:w="1718" w:type="dxa"/>
            <w:vAlign w:val="center"/>
          </w:tcPr>
          <w:p w14:paraId="24F85938" w14:textId="77777777" w:rsidR="00FA5518" w:rsidRPr="003375B4" w:rsidRDefault="00000000" w:rsidP="003375B4">
            <w:pPr>
              <w:bidi/>
              <w:jc w:val="both"/>
              <w:rPr>
                <w:bCs/>
              </w:rPr>
            </w:pPr>
            <w:r w:rsidRPr="003375B4">
              <w:rPr>
                <w:bCs/>
                <w:rtl/>
              </w:rPr>
              <w:t>قرار المراجعة</w:t>
            </w:r>
          </w:p>
        </w:tc>
      </w:tr>
    </w:tbl>
    <w:p w14:paraId="5FC0CE9C" w14:textId="77777777" w:rsidR="00FA5518" w:rsidRDefault="00FA5518" w:rsidP="003375B4">
      <w:pPr>
        <w:bidi/>
        <w:jc w:val="both"/>
      </w:pPr>
    </w:p>
    <w:p w14:paraId="02C310F7" w14:textId="77777777" w:rsidR="00FA5518" w:rsidRPr="003375B4" w:rsidRDefault="00000000" w:rsidP="003375B4">
      <w:pPr>
        <w:bidi/>
        <w:jc w:val="both"/>
        <w:rPr>
          <w:bCs/>
        </w:rPr>
      </w:pPr>
      <w:r w:rsidRPr="003375B4">
        <w:rPr>
          <w:bCs/>
          <w:sz w:val="26"/>
          <w:rtl/>
        </w:rPr>
        <w:t>أولًا: التقدير العام</w:t>
      </w:r>
    </w:p>
    <w:p w14:paraId="106E827D" w14:textId="77777777" w:rsidR="00FA5518" w:rsidRDefault="00000000" w:rsidP="003375B4">
      <w:pPr>
        <w:bidi/>
        <w:jc w:val="both"/>
      </w:pPr>
      <w:r>
        <w:rPr>
          <w:rtl/>
        </w:rPr>
        <w:t>تُظهر النسخة الحالية (التسليم الرابع) استجابة أفضل للملاحظات الواردة في التقرير السابق؛ إذ أصبحت فقرة منهج مراجعة الأدبيات أكثر اكتمالًا من حيث قواعد البيانات والفترة الزمنية والكلمات المفتاحية، كما أصبح توظيف نظرية الموارد القائمة على المنظمة أوضح داخل بناء العلاقة بين ممارسات إدارة الموارد البشرية الإلكترونية والتميز المؤسسي، وظهر تحسن إضافي في عرض التعريفات والقياس وتنظيم الأدبيات. ويعني ذلك أن أغلب الملاحظات السابقة قد تقلصت، ولم يتبقَّ سوى عدد محدود من النقاط التحسينية النهائية.</w:t>
      </w:r>
    </w:p>
    <w:p w14:paraId="7A90B613" w14:textId="062702FA" w:rsidR="00FA5518" w:rsidRPr="003375B4" w:rsidRDefault="00000000" w:rsidP="003375B4">
      <w:pPr>
        <w:bidi/>
        <w:jc w:val="both"/>
        <w:rPr>
          <w:bCs/>
        </w:rPr>
      </w:pPr>
      <w:r w:rsidRPr="003375B4">
        <w:rPr>
          <w:bCs/>
          <w:sz w:val="26"/>
          <w:rtl/>
        </w:rPr>
        <w:t>ثانيًا: الملاحظات التي ما تزال قائمة</w:t>
      </w:r>
    </w:p>
    <w:tbl>
      <w:tblPr>
        <w:tblStyle w:val="TableGrid"/>
        <w:tblW w:w="0" w:type="auto"/>
        <w:tblLook w:val="04A0" w:firstRow="1" w:lastRow="0" w:firstColumn="1" w:lastColumn="0" w:noHBand="0" w:noVBand="1"/>
      </w:tblPr>
      <w:tblGrid>
        <w:gridCol w:w="6579"/>
        <w:gridCol w:w="2518"/>
        <w:gridCol w:w="639"/>
      </w:tblGrid>
      <w:tr w:rsidR="00FA5518" w14:paraId="2BA02E1B" w14:textId="77777777" w:rsidTr="003375B4">
        <w:tc>
          <w:tcPr>
            <w:tcW w:w="6588" w:type="dxa"/>
            <w:vAlign w:val="center"/>
          </w:tcPr>
          <w:p w14:paraId="1CA5DE61" w14:textId="77777777" w:rsidR="00FA5518" w:rsidRDefault="00000000" w:rsidP="003375B4">
            <w:pPr>
              <w:bidi/>
              <w:jc w:val="both"/>
            </w:pPr>
            <w:r>
              <w:rPr>
                <w:b/>
                <w:rtl/>
              </w:rPr>
              <w:t>الحكم المختصر</w:t>
            </w:r>
          </w:p>
        </w:tc>
        <w:tc>
          <w:tcPr>
            <w:tcW w:w="2520" w:type="dxa"/>
            <w:vAlign w:val="center"/>
          </w:tcPr>
          <w:p w14:paraId="2251033C" w14:textId="77777777" w:rsidR="00FA5518" w:rsidRDefault="00000000" w:rsidP="003375B4">
            <w:pPr>
              <w:bidi/>
              <w:jc w:val="both"/>
            </w:pPr>
            <w:r>
              <w:rPr>
                <w:b/>
                <w:rtl/>
              </w:rPr>
              <w:t>الملاحظة الجوهرية</w:t>
            </w:r>
          </w:p>
        </w:tc>
        <w:tc>
          <w:tcPr>
            <w:tcW w:w="639" w:type="dxa"/>
            <w:vAlign w:val="center"/>
          </w:tcPr>
          <w:p w14:paraId="18F5E007" w14:textId="77777777" w:rsidR="00FA5518" w:rsidRDefault="00000000" w:rsidP="003375B4">
            <w:pPr>
              <w:bidi/>
              <w:jc w:val="both"/>
            </w:pPr>
            <w:r>
              <w:rPr>
                <w:b/>
                <w:rtl/>
              </w:rPr>
              <w:t>م</w:t>
            </w:r>
          </w:p>
        </w:tc>
      </w:tr>
      <w:tr w:rsidR="00FA5518" w14:paraId="042E9F28" w14:textId="77777777" w:rsidTr="003375B4">
        <w:tc>
          <w:tcPr>
            <w:tcW w:w="6588" w:type="dxa"/>
            <w:vAlign w:val="center"/>
          </w:tcPr>
          <w:p w14:paraId="3B15992D" w14:textId="77777777" w:rsidR="00FA5518" w:rsidRDefault="00000000" w:rsidP="003375B4">
            <w:pPr>
              <w:bidi/>
              <w:jc w:val="both"/>
            </w:pPr>
            <w:r>
              <w:rPr>
                <w:rtl/>
              </w:rPr>
              <w:t>أصبح العرض أكثر ترتيبًا من السابق، لكنه ما يزال يستفيد من مزيد من المقارنة التحليلية بين النتائج والحدود المنهجية والسياقية بدل الاقتصار على العرض بحسب المتغيرات.</w:t>
            </w:r>
          </w:p>
        </w:tc>
        <w:tc>
          <w:tcPr>
            <w:tcW w:w="2520" w:type="dxa"/>
            <w:vAlign w:val="center"/>
          </w:tcPr>
          <w:p w14:paraId="46A2253F" w14:textId="77777777" w:rsidR="00FA5518" w:rsidRDefault="00000000" w:rsidP="003375B4">
            <w:pPr>
              <w:bidi/>
              <w:jc w:val="both"/>
            </w:pPr>
            <w:r>
              <w:rPr>
                <w:rtl/>
              </w:rPr>
              <w:t>التوليف النقدي للدراسات السابقة</w:t>
            </w:r>
          </w:p>
        </w:tc>
        <w:tc>
          <w:tcPr>
            <w:tcW w:w="639" w:type="dxa"/>
            <w:vAlign w:val="center"/>
          </w:tcPr>
          <w:p w14:paraId="557BA9D1" w14:textId="77777777" w:rsidR="00FA5518" w:rsidRDefault="00000000" w:rsidP="003375B4">
            <w:pPr>
              <w:bidi/>
              <w:jc w:val="both"/>
            </w:pPr>
            <w:r>
              <w:rPr>
                <w:rtl/>
              </w:rPr>
              <w:t>1</w:t>
            </w:r>
          </w:p>
        </w:tc>
      </w:tr>
      <w:tr w:rsidR="00FA5518" w14:paraId="19B8E190" w14:textId="77777777" w:rsidTr="003375B4">
        <w:tc>
          <w:tcPr>
            <w:tcW w:w="6588" w:type="dxa"/>
            <w:vAlign w:val="center"/>
          </w:tcPr>
          <w:p w14:paraId="0B9C680C" w14:textId="77777777" w:rsidR="00FA5518" w:rsidRDefault="00000000" w:rsidP="003375B4">
            <w:pPr>
              <w:bidi/>
              <w:jc w:val="both"/>
            </w:pPr>
            <w:r>
              <w:rPr>
                <w:rtl/>
              </w:rPr>
              <w:t>تحسنت الفجوة البحثية، غير أن الفصل سيصبح أقوى إذا صيغت خاتمة أكثر تركيزًا تربط الفجوة بصورة مباشرة بالفرضيات ومسارات النموذج المفاهيمي.</w:t>
            </w:r>
          </w:p>
        </w:tc>
        <w:tc>
          <w:tcPr>
            <w:tcW w:w="2520" w:type="dxa"/>
            <w:vAlign w:val="center"/>
          </w:tcPr>
          <w:p w14:paraId="0A5055C6" w14:textId="77777777" w:rsidR="00FA5518" w:rsidRDefault="00000000" w:rsidP="003375B4">
            <w:pPr>
              <w:bidi/>
              <w:jc w:val="both"/>
            </w:pPr>
            <w:r>
              <w:rPr>
                <w:rtl/>
              </w:rPr>
              <w:t>الربط النهائي بين الفجوة والنموذج</w:t>
            </w:r>
          </w:p>
        </w:tc>
        <w:tc>
          <w:tcPr>
            <w:tcW w:w="639" w:type="dxa"/>
            <w:vAlign w:val="center"/>
          </w:tcPr>
          <w:p w14:paraId="46F7565C" w14:textId="77777777" w:rsidR="00FA5518" w:rsidRDefault="00000000" w:rsidP="003375B4">
            <w:pPr>
              <w:bidi/>
              <w:jc w:val="both"/>
            </w:pPr>
            <w:r>
              <w:rPr>
                <w:rtl/>
              </w:rPr>
              <w:t>2</w:t>
            </w:r>
          </w:p>
        </w:tc>
      </w:tr>
      <w:tr w:rsidR="00FA5518" w14:paraId="2F4988E0" w14:textId="77777777" w:rsidTr="003375B4">
        <w:tc>
          <w:tcPr>
            <w:tcW w:w="6588" w:type="dxa"/>
            <w:vAlign w:val="center"/>
          </w:tcPr>
          <w:p w14:paraId="64B2187E" w14:textId="77777777" w:rsidR="00FA5518" w:rsidRDefault="00000000" w:rsidP="003375B4">
            <w:pPr>
              <w:bidi/>
              <w:jc w:val="both"/>
            </w:pPr>
            <w:r>
              <w:rPr>
                <w:rtl/>
              </w:rPr>
              <w:t>تحتاج النسخة إلى تدقيق ختامي للغة والتوثيق والاتساق بين التعريفات والأبعاد وأداة القياس بصيغتها النهائية.</w:t>
            </w:r>
          </w:p>
        </w:tc>
        <w:tc>
          <w:tcPr>
            <w:tcW w:w="2520" w:type="dxa"/>
            <w:vAlign w:val="center"/>
          </w:tcPr>
          <w:p w14:paraId="1F62890B" w14:textId="77777777" w:rsidR="00FA5518" w:rsidRDefault="00000000" w:rsidP="003375B4">
            <w:pPr>
              <w:bidi/>
              <w:jc w:val="both"/>
            </w:pPr>
            <w:r>
              <w:rPr>
                <w:rtl/>
              </w:rPr>
              <w:t>المراجعة الشكلية النهائية</w:t>
            </w:r>
          </w:p>
        </w:tc>
        <w:tc>
          <w:tcPr>
            <w:tcW w:w="639" w:type="dxa"/>
            <w:vAlign w:val="center"/>
          </w:tcPr>
          <w:p w14:paraId="22303AB9" w14:textId="77777777" w:rsidR="00FA5518" w:rsidRDefault="00000000" w:rsidP="003375B4">
            <w:pPr>
              <w:bidi/>
              <w:jc w:val="both"/>
            </w:pPr>
            <w:r>
              <w:rPr>
                <w:rtl/>
              </w:rPr>
              <w:t>3</w:t>
            </w:r>
          </w:p>
        </w:tc>
      </w:tr>
    </w:tbl>
    <w:p w14:paraId="3314BFA9" w14:textId="77777777" w:rsidR="00FA5518" w:rsidRDefault="00FA5518" w:rsidP="003375B4">
      <w:pPr>
        <w:bidi/>
        <w:jc w:val="both"/>
      </w:pPr>
    </w:p>
    <w:p w14:paraId="3E097868" w14:textId="77777777" w:rsidR="00FA5518" w:rsidRPr="003375B4" w:rsidRDefault="00000000" w:rsidP="003375B4">
      <w:pPr>
        <w:bidi/>
        <w:jc w:val="both"/>
        <w:rPr>
          <w:bCs/>
        </w:rPr>
      </w:pPr>
      <w:r w:rsidRPr="003375B4">
        <w:rPr>
          <w:bCs/>
          <w:sz w:val="26"/>
          <w:rtl/>
        </w:rPr>
        <w:t>ثالثًا: إرشادات الإغلاق</w:t>
      </w:r>
    </w:p>
    <w:p w14:paraId="0C5D0899" w14:textId="77777777" w:rsidR="00FA5518" w:rsidRDefault="00000000" w:rsidP="003375B4">
      <w:pPr>
        <w:pStyle w:val="ListBullet"/>
        <w:bidi/>
        <w:jc w:val="both"/>
      </w:pPr>
      <w:r>
        <w:rPr>
          <w:rtl/>
        </w:rPr>
        <w:t>تعزيز التوليف الختامي للدراسات السابقة بإبراز النتائج المتسقة والمتعارضة والحدود المشتركة بين الأدبيات.</w:t>
      </w:r>
    </w:p>
    <w:p w14:paraId="681F8EC0" w14:textId="77777777" w:rsidR="00FA5518" w:rsidRDefault="00000000" w:rsidP="003375B4">
      <w:pPr>
        <w:pStyle w:val="ListBullet"/>
        <w:bidi/>
        <w:jc w:val="both"/>
      </w:pPr>
      <w:r>
        <w:rPr>
          <w:rtl/>
        </w:rPr>
        <w:t>إعادة صياغة خاتمة الفجوة البحثية بصورة أكثر إحكامًا وربطها صراحة بالفرضيات والنموذج المفاهيمي.</w:t>
      </w:r>
    </w:p>
    <w:p w14:paraId="1DB44C4B" w14:textId="77777777" w:rsidR="00FA5518" w:rsidRDefault="00000000" w:rsidP="003375B4">
      <w:pPr>
        <w:pStyle w:val="ListBullet"/>
        <w:bidi/>
        <w:jc w:val="both"/>
      </w:pPr>
      <w:r>
        <w:rPr>
          <w:rtl/>
        </w:rPr>
        <w:t>تنفيذ مراجعة نهائية للغة والتوثيق والاتساق بين التعريفات والأبعاد وأداة القياس.</w:t>
      </w:r>
    </w:p>
    <w:p w14:paraId="28DFAC58" w14:textId="77777777" w:rsidR="00FA5518" w:rsidRDefault="00FA5518" w:rsidP="003375B4">
      <w:pPr>
        <w:bidi/>
        <w:jc w:val="both"/>
      </w:pPr>
    </w:p>
    <w:p w14:paraId="27E3704E" w14:textId="77777777" w:rsidR="00FA5518" w:rsidRPr="003375B4" w:rsidRDefault="00000000" w:rsidP="003375B4">
      <w:pPr>
        <w:bidi/>
        <w:jc w:val="both"/>
        <w:rPr>
          <w:bCs/>
        </w:rPr>
      </w:pPr>
      <w:r w:rsidRPr="003375B4">
        <w:rPr>
          <w:bCs/>
          <w:sz w:val="26"/>
          <w:rtl/>
        </w:rPr>
        <w:t>رابعًا: الخلاصة التقويمية</w:t>
      </w:r>
    </w:p>
    <w:p w14:paraId="5B582CFC" w14:textId="77777777" w:rsidR="00FA5518" w:rsidRDefault="00000000" w:rsidP="003375B4">
      <w:pPr>
        <w:bidi/>
        <w:jc w:val="both"/>
      </w:pPr>
      <w:r>
        <w:rPr>
          <w:rtl/>
        </w:rPr>
        <w:t>استنادًا إلى المقارنة بين التقرير السابق والنسخة الحالية (التسليم الرابع)، يتبين أن الطالب أجرى تحسينات جيدة ومباشرة على الفصل الثاني، وأن الملاحظات الجوهرية السابقة قد تراجعت بدرجة ملحوظة. وعليه، أوصي باعتماد الفصل بعد استكمال التعديلات البسيطة المذكورة أعلاه، بوصفها تحسينات ختامية لا إعادة بناء.</w:t>
      </w:r>
    </w:p>
    <w:sectPr w:rsidR="00FA5518" w:rsidSect="00034616">
      <w:pgSz w:w="12240" w:h="15840"/>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66137891">
    <w:abstractNumId w:val="8"/>
  </w:num>
  <w:num w:numId="2" w16cid:durableId="1501848576">
    <w:abstractNumId w:val="6"/>
  </w:num>
  <w:num w:numId="3" w16cid:durableId="1600523133">
    <w:abstractNumId w:val="5"/>
  </w:num>
  <w:num w:numId="4" w16cid:durableId="1822849723">
    <w:abstractNumId w:val="4"/>
  </w:num>
  <w:num w:numId="5" w16cid:durableId="1508713869">
    <w:abstractNumId w:val="7"/>
  </w:num>
  <w:num w:numId="6" w16cid:durableId="2060471718">
    <w:abstractNumId w:val="3"/>
  </w:num>
  <w:num w:numId="7" w16cid:durableId="1332220323">
    <w:abstractNumId w:val="2"/>
  </w:num>
  <w:num w:numId="8" w16cid:durableId="549223700">
    <w:abstractNumId w:val="1"/>
  </w:num>
  <w:num w:numId="9" w16cid:durableId="1232502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3NTMxMDUxMjMzNzVV0lEKTi0uzszPAykwqgUAvYkcBSwAAAA="/>
  </w:docVars>
  <w:rsids>
    <w:rsidRoot w:val="00B47730"/>
    <w:rsid w:val="00034616"/>
    <w:rsid w:val="0006063C"/>
    <w:rsid w:val="0015074B"/>
    <w:rsid w:val="0029639D"/>
    <w:rsid w:val="002A4252"/>
    <w:rsid w:val="00326F90"/>
    <w:rsid w:val="003375B4"/>
    <w:rsid w:val="00407999"/>
    <w:rsid w:val="009106D8"/>
    <w:rsid w:val="00AA1D8D"/>
    <w:rsid w:val="00B47730"/>
    <w:rsid w:val="00CB0664"/>
    <w:rsid w:val="00FA551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4FD77E"/>
  <w14:defaultImageDpi w14:val="300"/>
  <w15:docId w15:val="{3C54FE7F-D02C-41B5-8584-8E6757CF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309</Words>
  <Characters>1765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2026-04-27T09:43:00Z</dcterms:created>
  <dcterms:modified xsi:type="dcterms:W3CDTF">2026-04-27T09:43:00Z</dcterms:modified>
  <cp:category/>
</cp:coreProperties>
</file>