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F69" w:rsidRPr="003F0F69" w:rsidRDefault="003F0F69" w:rsidP="003F0F69">
      <w:pPr>
        <w:rPr>
          <w:rFonts w:asciiTheme="minorBidi" w:eastAsiaTheme="majorEastAsia" w:hAnsiTheme="minorBidi"/>
          <w:b/>
          <w:bCs/>
          <w:color w:val="365F91" w:themeColor="accent1" w:themeShade="BF"/>
          <w:sz w:val="28"/>
          <w:szCs w:val="28"/>
        </w:rPr>
      </w:pPr>
      <w:bookmarkStart w:id="0" w:name="_GoBack"/>
      <w:r w:rsidRPr="003F0F69">
        <w:rPr>
          <w:rFonts w:asciiTheme="minorBidi" w:eastAsiaTheme="majorEastAsia" w:hAnsiTheme="minorBidi"/>
          <w:b/>
          <w:bCs/>
          <w:color w:val="365F91" w:themeColor="accent1" w:themeShade="BF"/>
          <w:sz w:val="28"/>
          <w:szCs w:val="28"/>
        </w:rPr>
        <w:t>Problem Statement</w:t>
      </w:r>
    </w:p>
    <w:p w:rsidR="003F0F69" w:rsidRPr="003F0F69" w:rsidRDefault="003F0F69" w:rsidP="003F0F69">
      <w:pPr>
        <w:rPr>
          <w:rFonts w:asciiTheme="minorBidi" w:eastAsiaTheme="majorEastAsia" w:hAnsiTheme="minorBidi"/>
          <w:sz w:val="24"/>
          <w:szCs w:val="24"/>
        </w:rPr>
      </w:pPr>
      <w:r w:rsidRPr="003F0F69">
        <w:rPr>
          <w:rFonts w:asciiTheme="minorBidi" w:eastAsiaTheme="majorEastAsia" w:hAnsiTheme="minorBidi"/>
          <w:sz w:val="24"/>
          <w:szCs w:val="24"/>
        </w:rPr>
        <w:t>Although AI increasingly becomes a relevant part of important sectors such as healthcare, hiring, and criminal justice, the ethical challenges challenged by AI-driven decision-making-on bias, opacity, and accountability- become more critical. In fact, both researchers and policymakers acknowledge this (</w:t>
      </w:r>
      <w:proofErr w:type="spellStart"/>
      <w:r w:rsidRPr="003F0F69">
        <w:rPr>
          <w:rFonts w:asciiTheme="minorBidi" w:eastAsiaTheme="majorEastAsia" w:hAnsiTheme="minorBidi"/>
          <w:sz w:val="24"/>
          <w:szCs w:val="24"/>
        </w:rPr>
        <w:t>Baracas</w:t>
      </w:r>
      <w:proofErr w:type="spellEnd"/>
      <w:r w:rsidRPr="003F0F69">
        <w:rPr>
          <w:rFonts w:asciiTheme="minorBidi" w:eastAsiaTheme="majorEastAsia" w:hAnsiTheme="minorBidi"/>
          <w:sz w:val="24"/>
          <w:szCs w:val="24"/>
        </w:rPr>
        <w:t xml:space="preserve"> &amp; </w:t>
      </w:r>
      <w:proofErr w:type="spellStart"/>
      <w:r w:rsidRPr="003F0F69">
        <w:rPr>
          <w:rFonts w:asciiTheme="minorBidi" w:eastAsiaTheme="majorEastAsia" w:hAnsiTheme="minorBidi"/>
          <w:sz w:val="24"/>
          <w:szCs w:val="24"/>
        </w:rPr>
        <w:t>Selbst</w:t>
      </w:r>
      <w:proofErr w:type="spellEnd"/>
      <w:r w:rsidRPr="003F0F69">
        <w:rPr>
          <w:rFonts w:asciiTheme="minorBidi" w:eastAsiaTheme="majorEastAsia" w:hAnsiTheme="minorBidi"/>
          <w:sz w:val="24"/>
          <w:szCs w:val="24"/>
        </w:rPr>
        <w:t xml:space="preserve">, 2016; </w:t>
      </w:r>
      <w:proofErr w:type="spellStart"/>
      <w:r w:rsidRPr="003F0F69">
        <w:rPr>
          <w:rFonts w:asciiTheme="minorBidi" w:eastAsiaTheme="majorEastAsia" w:hAnsiTheme="minorBidi"/>
          <w:sz w:val="24"/>
          <w:szCs w:val="24"/>
        </w:rPr>
        <w:t>Mittelstadt</w:t>
      </w:r>
      <w:proofErr w:type="spellEnd"/>
      <w:r w:rsidRPr="003F0F69">
        <w:rPr>
          <w:rFonts w:asciiTheme="minorBidi" w:eastAsiaTheme="majorEastAsia" w:hAnsiTheme="minorBidi"/>
          <w:sz w:val="24"/>
          <w:szCs w:val="24"/>
        </w:rPr>
        <w:t xml:space="preserve"> et al., 2016); however, present-day solutions yielded are almost entirely theoretical and fragmented. For example, ethical principles were proposed by AI4People (</w:t>
      </w:r>
      <w:proofErr w:type="spellStart"/>
      <w:r w:rsidRPr="003F0F69">
        <w:rPr>
          <w:rFonts w:asciiTheme="minorBidi" w:eastAsiaTheme="majorEastAsia" w:hAnsiTheme="minorBidi"/>
          <w:sz w:val="24"/>
          <w:szCs w:val="24"/>
        </w:rPr>
        <w:t>Floridi</w:t>
      </w:r>
      <w:proofErr w:type="spellEnd"/>
      <w:r w:rsidRPr="003F0F69">
        <w:rPr>
          <w:rFonts w:asciiTheme="minorBidi" w:eastAsiaTheme="majorEastAsia" w:hAnsiTheme="minorBidi"/>
          <w:sz w:val="24"/>
          <w:szCs w:val="24"/>
        </w:rPr>
        <w:t xml:space="preserve"> et al., 2018), but what they lack is an action framework toward the real world. Like global ethics guidelines put emphasis on transparency and fairness (</w:t>
      </w:r>
      <w:proofErr w:type="spellStart"/>
      <w:r w:rsidRPr="003F0F69">
        <w:rPr>
          <w:rFonts w:asciiTheme="minorBidi" w:eastAsiaTheme="majorEastAsia" w:hAnsiTheme="minorBidi"/>
          <w:sz w:val="24"/>
          <w:szCs w:val="24"/>
        </w:rPr>
        <w:t>Jobin</w:t>
      </w:r>
      <w:proofErr w:type="spellEnd"/>
      <w:r w:rsidRPr="003F0F69">
        <w:rPr>
          <w:rFonts w:asciiTheme="minorBidi" w:eastAsiaTheme="majorEastAsia" w:hAnsiTheme="minorBidi"/>
          <w:sz w:val="24"/>
          <w:szCs w:val="24"/>
        </w:rPr>
        <w:t xml:space="preserve"> et al., 2019), their enforcement mechanisms are weak, creating the gap of policy and practice. Many technical solutions-for instance, those bias mitigation algorithms (</w:t>
      </w:r>
      <w:proofErr w:type="spellStart"/>
      <w:r w:rsidRPr="003F0F69">
        <w:rPr>
          <w:rFonts w:asciiTheme="minorBidi" w:eastAsiaTheme="majorEastAsia" w:hAnsiTheme="minorBidi"/>
          <w:sz w:val="24"/>
          <w:szCs w:val="24"/>
        </w:rPr>
        <w:t>Mehrabi</w:t>
      </w:r>
      <w:proofErr w:type="spellEnd"/>
      <w:r w:rsidRPr="003F0F69">
        <w:rPr>
          <w:rFonts w:asciiTheme="minorBidi" w:eastAsiaTheme="majorEastAsia" w:hAnsiTheme="minorBidi"/>
          <w:sz w:val="24"/>
          <w:szCs w:val="24"/>
        </w:rPr>
        <w:t xml:space="preserve"> et al., 2021)-do not address sociocultural contexts, which means that it is oversimplified systems that will increase inequality (</w:t>
      </w:r>
      <w:proofErr w:type="spellStart"/>
      <w:r w:rsidRPr="003F0F69">
        <w:rPr>
          <w:rFonts w:asciiTheme="minorBidi" w:eastAsiaTheme="majorEastAsia" w:hAnsiTheme="minorBidi"/>
          <w:sz w:val="24"/>
          <w:szCs w:val="24"/>
        </w:rPr>
        <w:t>Selbst</w:t>
      </w:r>
      <w:proofErr w:type="spellEnd"/>
      <w:r w:rsidRPr="003F0F69">
        <w:rPr>
          <w:rFonts w:asciiTheme="minorBidi" w:eastAsiaTheme="majorEastAsia" w:hAnsiTheme="minorBidi"/>
          <w:sz w:val="24"/>
          <w:szCs w:val="24"/>
        </w:rPr>
        <w:t xml:space="preserve"> et al., 2019). And, as if that weren't enough, systems of universal standard for measuring fairness are still lacking. This fact signifies the urgent need for interdisciplinary approaches to practical engineering that will ensure ethics in AI systems and compliance with complex real-life conditions.</w:t>
      </w:r>
    </w:p>
    <w:p w:rsidR="003F0F69" w:rsidRPr="003F0F69" w:rsidRDefault="003F0F69" w:rsidP="003F0F69">
      <w:pPr>
        <w:rPr>
          <w:rFonts w:asciiTheme="minorBidi" w:eastAsiaTheme="majorEastAsia" w:hAnsiTheme="minorBidi"/>
          <w:b/>
          <w:bCs/>
          <w:color w:val="365F91" w:themeColor="accent1" w:themeShade="BF"/>
          <w:sz w:val="28"/>
          <w:szCs w:val="28"/>
        </w:rPr>
      </w:pPr>
    </w:p>
    <w:p w:rsidR="003F0F69" w:rsidRPr="003F0F69" w:rsidRDefault="003F0F69" w:rsidP="003F0F69">
      <w:pPr>
        <w:rPr>
          <w:rFonts w:asciiTheme="minorBidi" w:eastAsiaTheme="majorEastAsia" w:hAnsiTheme="minorBidi"/>
          <w:b/>
          <w:bCs/>
          <w:color w:val="365F91" w:themeColor="accent1" w:themeShade="BF"/>
          <w:sz w:val="28"/>
          <w:szCs w:val="28"/>
        </w:rPr>
      </w:pPr>
      <w:r w:rsidRPr="003F0F69">
        <w:rPr>
          <w:rFonts w:asciiTheme="minorBidi" w:eastAsiaTheme="majorEastAsia" w:hAnsiTheme="minorBidi"/>
          <w:b/>
          <w:bCs/>
          <w:color w:val="365F91" w:themeColor="accent1" w:themeShade="BF"/>
          <w:sz w:val="28"/>
          <w:szCs w:val="28"/>
        </w:rPr>
        <w:t>Research Objectives</w:t>
      </w:r>
    </w:p>
    <w:p w:rsidR="003F0F69" w:rsidRPr="003F0F69" w:rsidRDefault="003F0F69" w:rsidP="003F0F69">
      <w:pPr>
        <w:rPr>
          <w:rFonts w:asciiTheme="minorBidi" w:eastAsiaTheme="majorEastAsia" w:hAnsiTheme="minorBidi"/>
          <w:sz w:val="24"/>
          <w:szCs w:val="24"/>
        </w:rPr>
      </w:pPr>
      <w:r w:rsidRPr="003F0F69">
        <w:rPr>
          <w:rFonts w:asciiTheme="minorBidi" w:eastAsiaTheme="majorEastAsia" w:hAnsiTheme="minorBidi"/>
          <w:sz w:val="24"/>
          <w:szCs w:val="24"/>
        </w:rPr>
        <w:t xml:space="preserve">    Integrate Technical, Ethical, and Policy Perspectives: A framework that is holistic to address AI's ethical challenges identifies a combination of technical solutions (e.g., bias mitigation), ethical principles (e.g., transparency), and enforceable policies developed as a comprehensive effort.</w:t>
      </w:r>
    </w:p>
    <w:p w:rsidR="003F0F69" w:rsidRPr="003F0F69" w:rsidRDefault="003F0F69" w:rsidP="003F0F69">
      <w:pPr>
        <w:rPr>
          <w:rFonts w:asciiTheme="minorBidi" w:eastAsiaTheme="majorEastAsia" w:hAnsiTheme="minorBidi"/>
          <w:sz w:val="24"/>
          <w:szCs w:val="24"/>
        </w:rPr>
      </w:pPr>
      <w:r w:rsidRPr="003F0F69">
        <w:rPr>
          <w:rFonts w:asciiTheme="minorBidi" w:eastAsiaTheme="majorEastAsia" w:hAnsiTheme="minorBidi"/>
          <w:sz w:val="24"/>
          <w:szCs w:val="24"/>
        </w:rPr>
        <w:t xml:space="preserve">    Bridge the Implementation Gap: Provide practical steps that turn theoretical ethical regulations (like </w:t>
      </w:r>
      <w:proofErr w:type="gramStart"/>
      <w:r w:rsidRPr="003F0F69">
        <w:rPr>
          <w:rFonts w:asciiTheme="minorBidi" w:eastAsiaTheme="majorEastAsia" w:hAnsiTheme="minorBidi"/>
          <w:sz w:val="24"/>
          <w:szCs w:val="24"/>
        </w:rPr>
        <w:t>the those</w:t>
      </w:r>
      <w:proofErr w:type="gramEnd"/>
      <w:r w:rsidRPr="003F0F69">
        <w:rPr>
          <w:rFonts w:asciiTheme="minorBidi" w:eastAsiaTheme="majorEastAsia" w:hAnsiTheme="minorBidi"/>
          <w:sz w:val="24"/>
          <w:szCs w:val="24"/>
        </w:rPr>
        <w:t xml:space="preserve"> in the EU AI directive) into tangible tools for developers and organizations.</w:t>
      </w:r>
    </w:p>
    <w:p w:rsidR="003F0F69" w:rsidRPr="003F0F69" w:rsidRDefault="003F0F69" w:rsidP="003F0F69">
      <w:pPr>
        <w:rPr>
          <w:rFonts w:asciiTheme="minorBidi" w:eastAsiaTheme="majorEastAsia" w:hAnsiTheme="minorBidi"/>
          <w:sz w:val="24"/>
          <w:szCs w:val="24"/>
        </w:rPr>
      </w:pPr>
      <w:r w:rsidRPr="003F0F69">
        <w:rPr>
          <w:rFonts w:asciiTheme="minorBidi" w:eastAsiaTheme="majorEastAsia" w:hAnsiTheme="minorBidi"/>
          <w:sz w:val="24"/>
          <w:szCs w:val="24"/>
        </w:rPr>
        <w:t xml:space="preserve">    Contextualize Fairness Metrics: Create adaptive fairness assessment standards considering sociocultural variables (e.g., historical discrimination) to guarantee equitable outcomes across diverse populations.</w:t>
      </w:r>
    </w:p>
    <w:p w:rsidR="003F0F69" w:rsidRPr="003F0F69" w:rsidRDefault="003F0F69" w:rsidP="003F0F69">
      <w:pPr>
        <w:rPr>
          <w:rFonts w:asciiTheme="minorBidi" w:eastAsiaTheme="majorEastAsia" w:hAnsiTheme="minorBidi"/>
          <w:sz w:val="24"/>
          <w:szCs w:val="24"/>
        </w:rPr>
      </w:pPr>
      <w:r w:rsidRPr="003F0F69">
        <w:rPr>
          <w:rFonts w:asciiTheme="minorBidi" w:eastAsiaTheme="majorEastAsia" w:hAnsiTheme="minorBidi"/>
          <w:sz w:val="24"/>
          <w:szCs w:val="24"/>
        </w:rPr>
        <w:t xml:space="preserve">    Evaluate Real-World Impact: Examining existing solutions and frameworks (like the AI4People framework) with given case studies to understand the barriers that remain for implementation and improvement of scale-up strategies to meet this need.</w:t>
      </w:r>
    </w:p>
    <w:p w:rsidR="003F0F69" w:rsidRPr="003F0F69" w:rsidRDefault="003F0F69" w:rsidP="003F0F69">
      <w:pPr>
        <w:rPr>
          <w:rFonts w:asciiTheme="minorBidi" w:eastAsiaTheme="majorEastAsia" w:hAnsiTheme="minorBidi"/>
          <w:sz w:val="28"/>
          <w:szCs w:val="28"/>
        </w:rPr>
      </w:pPr>
    </w:p>
    <w:p w:rsidR="003F0F69" w:rsidRPr="003F0F69" w:rsidRDefault="003F0F69" w:rsidP="003F0F69">
      <w:pPr>
        <w:rPr>
          <w:rFonts w:asciiTheme="minorBidi" w:eastAsiaTheme="majorEastAsia" w:hAnsiTheme="minorBidi"/>
          <w:b/>
          <w:bCs/>
          <w:color w:val="365F91" w:themeColor="accent1" w:themeShade="BF"/>
          <w:sz w:val="28"/>
          <w:szCs w:val="28"/>
        </w:rPr>
      </w:pPr>
      <w:r w:rsidRPr="003F0F69">
        <w:rPr>
          <w:rFonts w:asciiTheme="minorBidi" w:eastAsiaTheme="majorEastAsia" w:hAnsiTheme="minorBidi"/>
          <w:b/>
          <w:bCs/>
          <w:color w:val="365F91" w:themeColor="accent1" w:themeShade="BF"/>
          <w:sz w:val="28"/>
          <w:szCs w:val="28"/>
        </w:rPr>
        <w:t>Justification for Research</w:t>
      </w:r>
    </w:p>
    <w:p w:rsidR="004B522A" w:rsidRPr="003F0F69" w:rsidRDefault="003F0F69" w:rsidP="003F0F69">
      <w:pPr>
        <w:rPr>
          <w:rFonts w:asciiTheme="minorBidi" w:hAnsiTheme="minorBidi"/>
          <w:sz w:val="20"/>
          <w:szCs w:val="20"/>
        </w:rPr>
      </w:pPr>
      <w:r w:rsidRPr="003F0F69">
        <w:rPr>
          <w:rFonts w:asciiTheme="minorBidi" w:eastAsiaTheme="majorEastAsia" w:hAnsiTheme="minorBidi"/>
          <w:sz w:val="24"/>
          <w:szCs w:val="24"/>
        </w:rPr>
        <w:lastRenderedPageBreak/>
        <w:t xml:space="preserve">There is no current approach that establishes a relationship between technical limitations, ethical principles, and societal context. For instance, </w:t>
      </w:r>
      <w:proofErr w:type="spellStart"/>
      <w:r w:rsidRPr="003F0F69">
        <w:rPr>
          <w:rFonts w:asciiTheme="minorBidi" w:eastAsiaTheme="majorEastAsia" w:hAnsiTheme="minorBidi"/>
          <w:sz w:val="24"/>
          <w:szCs w:val="24"/>
        </w:rPr>
        <w:t>Mehrabi</w:t>
      </w:r>
      <w:proofErr w:type="spellEnd"/>
      <w:r w:rsidRPr="003F0F69">
        <w:rPr>
          <w:rFonts w:asciiTheme="minorBidi" w:eastAsiaTheme="majorEastAsia" w:hAnsiTheme="minorBidi"/>
          <w:sz w:val="24"/>
          <w:szCs w:val="24"/>
        </w:rPr>
        <w:t xml:space="preserve"> et al. (2021) established several sources of bias but did not provide a universal fairness metric. Similarly, </w:t>
      </w:r>
      <w:proofErr w:type="spellStart"/>
      <w:r w:rsidRPr="003F0F69">
        <w:rPr>
          <w:rFonts w:asciiTheme="minorBidi" w:eastAsiaTheme="majorEastAsia" w:hAnsiTheme="minorBidi"/>
          <w:sz w:val="24"/>
          <w:szCs w:val="24"/>
        </w:rPr>
        <w:t>Selbst</w:t>
      </w:r>
      <w:proofErr w:type="spellEnd"/>
      <w:r w:rsidRPr="003F0F69">
        <w:rPr>
          <w:rFonts w:asciiTheme="minorBidi" w:eastAsiaTheme="majorEastAsia" w:hAnsiTheme="minorBidi"/>
          <w:sz w:val="24"/>
          <w:szCs w:val="24"/>
        </w:rPr>
        <w:t xml:space="preserve"> et al. (2019) criticized oversimplified data regarding social factors by means of their thesis but did not offer tools for cohesively incorporating these social factors. This research aims to fill this lacuna by providing actionable, interdisciplinary solutions that will help establish ethical AI systems that are technically robust as well as socially equitable.</w:t>
      </w:r>
    </w:p>
    <w:p w:rsidR="003F0F69" w:rsidRPr="003F0F69" w:rsidRDefault="004B522A" w:rsidP="003F0F69">
      <w:pPr>
        <w:pStyle w:val="Heading1"/>
        <w:rPr>
          <w:rFonts w:asciiTheme="minorBidi" w:eastAsia="Times New Roman" w:hAnsiTheme="minorBidi" w:cstheme="minorBidi"/>
          <w:sz w:val="24"/>
          <w:szCs w:val="24"/>
        </w:rPr>
      </w:pPr>
      <w:r w:rsidRPr="003F0F69">
        <w:rPr>
          <w:rStyle w:val="Strong"/>
          <w:rFonts w:asciiTheme="minorBidi" w:hAnsiTheme="minorBidi" w:cstheme="minorBidi"/>
          <w:b/>
          <w:bCs/>
        </w:rPr>
        <w:t>References</w:t>
      </w:r>
      <w:r w:rsidR="003F0F69" w:rsidRPr="003F0F69">
        <w:rPr>
          <w:rFonts w:asciiTheme="minorBidi" w:eastAsia="Times New Roman" w:hAnsiTheme="minorBidi" w:cstheme="minorBidi"/>
          <w:sz w:val="24"/>
          <w:szCs w:val="24"/>
        </w:rPr>
        <w:t>:</w:t>
      </w:r>
    </w:p>
    <w:p w:rsidR="003F0F69" w:rsidRPr="003F0F69" w:rsidRDefault="003F0F69" w:rsidP="003F0F69">
      <w:pPr>
        <w:pStyle w:val="NoSpacing"/>
      </w:pPr>
      <w:r w:rsidRPr="003F0F69">
        <w:t xml:space="preserve"> 1. </w:t>
      </w:r>
      <w:proofErr w:type="spellStart"/>
      <w:r w:rsidRPr="003F0F69">
        <w:t>Baracas</w:t>
      </w:r>
      <w:proofErr w:type="spellEnd"/>
      <w:r w:rsidRPr="003F0F69">
        <w:t xml:space="preserve">, S., &amp; </w:t>
      </w:r>
      <w:proofErr w:type="spellStart"/>
      <w:r w:rsidRPr="003F0F69">
        <w:t>Selbst</w:t>
      </w:r>
      <w:proofErr w:type="spellEnd"/>
      <w:r w:rsidRPr="003F0F69">
        <w:t xml:space="preserve">, A. D. (2016). </w:t>
      </w:r>
      <w:proofErr w:type="gramStart"/>
      <w:r w:rsidRPr="003F0F69">
        <w:t>The Disparate Impact of Big Data.</w:t>
      </w:r>
      <w:proofErr w:type="gramEnd"/>
      <w:r w:rsidRPr="003F0F69">
        <w:t xml:space="preserve"> </w:t>
      </w:r>
      <w:proofErr w:type="gramStart"/>
      <w:r w:rsidRPr="003F0F69">
        <w:t>California Law Review.</w:t>
      </w:r>
      <w:proofErr w:type="gramEnd"/>
      <w:r w:rsidRPr="003F0F69">
        <w:t xml:space="preserve"> </w:t>
      </w:r>
      <w:hyperlink r:id="rId6" w:history="1">
        <w:r w:rsidRPr="003F0F69">
          <w:rPr>
            <w:rStyle w:val="Hyperlink"/>
            <w:rFonts w:asciiTheme="minorBidi" w:eastAsia="Times New Roman" w:hAnsiTheme="minorBidi"/>
            <w:b/>
            <w:bCs/>
            <w:color w:val="auto"/>
            <w:sz w:val="24"/>
            <w:szCs w:val="24"/>
          </w:rPr>
          <w:t>https://doi.org/10.15779/Z38BG31</w:t>
        </w:r>
      </w:hyperlink>
    </w:p>
    <w:p w:rsidR="003F0F69" w:rsidRPr="003F0F69" w:rsidRDefault="003F0F69" w:rsidP="003F0F69">
      <w:pPr>
        <w:pStyle w:val="NoSpacing"/>
      </w:pPr>
      <w:r w:rsidRPr="003F0F69">
        <w:t xml:space="preserve"> 2. </w:t>
      </w:r>
      <w:proofErr w:type="spellStart"/>
      <w:proofErr w:type="gramStart"/>
      <w:r w:rsidRPr="003F0F69">
        <w:t>Floridi</w:t>
      </w:r>
      <w:proofErr w:type="spellEnd"/>
      <w:r w:rsidRPr="003F0F69">
        <w:t xml:space="preserve"> ,</w:t>
      </w:r>
      <w:proofErr w:type="gramEnd"/>
      <w:r w:rsidRPr="003F0F69">
        <w:t xml:space="preserve"> L, et al. (2018). </w:t>
      </w:r>
      <w:proofErr w:type="gramStart"/>
      <w:r w:rsidRPr="003F0F69">
        <w:t>AI4People- An Ethical Framework.</w:t>
      </w:r>
      <w:proofErr w:type="gramEnd"/>
      <w:r w:rsidRPr="003F0F69">
        <w:t xml:space="preserve"> </w:t>
      </w:r>
      <w:proofErr w:type="gramStart"/>
      <w:r w:rsidRPr="003F0F69">
        <w:t>Minds and Machines.</w:t>
      </w:r>
      <w:proofErr w:type="gramEnd"/>
      <w:r w:rsidRPr="003F0F69">
        <w:t xml:space="preserve"> </w:t>
      </w:r>
      <w:hyperlink r:id="rId7" w:history="1">
        <w:r w:rsidRPr="003F0F69">
          <w:rPr>
            <w:rStyle w:val="Hyperlink"/>
            <w:rFonts w:asciiTheme="minorBidi" w:eastAsia="Times New Roman" w:hAnsiTheme="minorBidi"/>
            <w:b/>
            <w:bCs/>
            <w:color w:val="auto"/>
            <w:sz w:val="24"/>
            <w:szCs w:val="24"/>
          </w:rPr>
          <w:t>https://doi.org/10.1007/s11023-018-9482-5</w:t>
        </w:r>
      </w:hyperlink>
      <w:r w:rsidRPr="003F0F69">
        <w:t>.</w:t>
      </w:r>
    </w:p>
    <w:p w:rsidR="003F0F69" w:rsidRPr="003F0F69" w:rsidRDefault="003F0F69" w:rsidP="003F0F69">
      <w:pPr>
        <w:pStyle w:val="NoSpacing"/>
      </w:pPr>
      <w:r w:rsidRPr="003F0F69">
        <w:t xml:space="preserve">3. </w:t>
      </w:r>
      <w:proofErr w:type="spellStart"/>
      <w:r w:rsidRPr="003F0F69">
        <w:t>Jobin</w:t>
      </w:r>
      <w:proofErr w:type="spellEnd"/>
      <w:r w:rsidRPr="003F0F69">
        <w:t xml:space="preserve">, A, et al. (2019). </w:t>
      </w:r>
      <w:proofErr w:type="gramStart"/>
      <w:r w:rsidRPr="003F0F69">
        <w:t>The Global Landscape of AI Ethics Guidelines.</w:t>
      </w:r>
      <w:proofErr w:type="gramEnd"/>
      <w:r w:rsidRPr="003F0F69">
        <w:t xml:space="preserve"> </w:t>
      </w:r>
      <w:proofErr w:type="gramStart"/>
      <w:r w:rsidRPr="003F0F69">
        <w:t>Nature Machine Intelligence.</w:t>
      </w:r>
      <w:proofErr w:type="gramEnd"/>
      <w:r w:rsidRPr="003F0F69">
        <w:t xml:space="preserve"> </w:t>
      </w:r>
      <w:hyperlink r:id="rId8" w:history="1">
        <w:r w:rsidRPr="003F0F69">
          <w:rPr>
            <w:rStyle w:val="Hyperlink"/>
            <w:rFonts w:asciiTheme="minorBidi" w:eastAsia="Times New Roman" w:hAnsiTheme="minorBidi"/>
            <w:b/>
            <w:bCs/>
            <w:color w:val="auto"/>
            <w:sz w:val="24"/>
            <w:szCs w:val="24"/>
          </w:rPr>
          <w:t>https://doi.org/10.1038/s42256-019-00</w:t>
        </w:r>
        <w:r w:rsidRPr="003F0F69">
          <w:rPr>
            <w:rStyle w:val="Hyperlink"/>
            <w:rFonts w:asciiTheme="minorBidi" w:eastAsia="Times New Roman" w:hAnsiTheme="minorBidi"/>
            <w:b/>
            <w:bCs/>
            <w:color w:val="auto"/>
            <w:sz w:val="24"/>
            <w:szCs w:val="24"/>
          </w:rPr>
          <w:t>8</w:t>
        </w:r>
        <w:r w:rsidRPr="003F0F69">
          <w:rPr>
            <w:rStyle w:val="Hyperlink"/>
            <w:rFonts w:asciiTheme="minorBidi" w:eastAsia="Times New Roman" w:hAnsiTheme="minorBidi"/>
            <w:b/>
            <w:bCs/>
            <w:color w:val="auto"/>
            <w:sz w:val="24"/>
            <w:szCs w:val="24"/>
          </w:rPr>
          <w:t>8-2</w:t>
        </w:r>
      </w:hyperlink>
      <w:r w:rsidRPr="003F0F69">
        <w:t>.</w:t>
      </w:r>
    </w:p>
    <w:p w:rsidR="003F0F69" w:rsidRPr="003F0F69" w:rsidRDefault="003F0F69" w:rsidP="003F0F69">
      <w:pPr>
        <w:pStyle w:val="NoSpacing"/>
      </w:pPr>
      <w:r w:rsidRPr="003F0F69">
        <w:t xml:space="preserve"> 4. </w:t>
      </w:r>
      <w:proofErr w:type="spellStart"/>
      <w:r w:rsidRPr="003F0F69">
        <w:t>Mehrabi</w:t>
      </w:r>
      <w:proofErr w:type="spellEnd"/>
      <w:r w:rsidRPr="003F0F69">
        <w:t xml:space="preserve">, N, et al. (2021). </w:t>
      </w:r>
      <w:proofErr w:type="gramStart"/>
      <w:r w:rsidRPr="003F0F69">
        <w:t>A Survey on Bias and Fairness in Machine Learning.</w:t>
      </w:r>
      <w:proofErr w:type="gramEnd"/>
      <w:r w:rsidRPr="003F0F69">
        <w:t xml:space="preserve"> </w:t>
      </w:r>
      <w:proofErr w:type="gramStart"/>
      <w:r w:rsidRPr="003F0F69">
        <w:t>ACM Computing Surveys.</w:t>
      </w:r>
      <w:proofErr w:type="gramEnd"/>
      <w:r w:rsidRPr="003F0F69">
        <w:t xml:space="preserve"> </w:t>
      </w:r>
      <w:hyperlink r:id="rId9" w:history="1">
        <w:r w:rsidRPr="003F0F69">
          <w:rPr>
            <w:rStyle w:val="Hyperlink"/>
            <w:rFonts w:asciiTheme="minorBidi" w:eastAsia="Times New Roman" w:hAnsiTheme="minorBidi"/>
            <w:b/>
            <w:bCs/>
            <w:color w:val="auto"/>
            <w:sz w:val="24"/>
            <w:szCs w:val="24"/>
          </w:rPr>
          <w:t>https://doi.org/10.1145/3457607</w:t>
        </w:r>
      </w:hyperlink>
      <w:r w:rsidRPr="003F0F69">
        <w:t>.</w:t>
      </w:r>
    </w:p>
    <w:p w:rsidR="004B522A" w:rsidRPr="003F0F69" w:rsidRDefault="003F0F69" w:rsidP="003F0F69">
      <w:pPr>
        <w:pStyle w:val="NoSpacing"/>
      </w:pPr>
      <w:r w:rsidRPr="003F0F69">
        <w:t xml:space="preserve"> 5. </w:t>
      </w:r>
      <w:proofErr w:type="spellStart"/>
      <w:r w:rsidRPr="003F0F69">
        <w:t>Selbst</w:t>
      </w:r>
      <w:proofErr w:type="spellEnd"/>
      <w:r w:rsidRPr="003F0F69">
        <w:t xml:space="preserve">, A. D, et al. (2019). </w:t>
      </w:r>
      <w:proofErr w:type="gramStart"/>
      <w:r w:rsidRPr="003F0F69">
        <w:t>Fairness and Abstraction in Sociotechnical Systems.</w:t>
      </w:r>
      <w:proofErr w:type="gramEnd"/>
      <w:r w:rsidRPr="003F0F69">
        <w:t xml:space="preserve"> </w:t>
      </w:r>
      <w:proofErr w:type="gramStart"/>
      <w:r w:rsidRPr="003F0F69">
        <w:t>FAT Conference.</w:t>
      </w:r>
      <w:proofErr w:type="gramEnd"/>
      <w:r w:rsidRPr="003F0F69">
        <w:t xml:space="preserve"> </w:t>
      </w:r>
      <w:hyperlink r:id="rId10" w:history="1">
        <w:r w:rsidRPr="003F0F69">
          <w:rPr>
            <w:rStyle w:val="Hyperlink"/>
            <w:rFonts w:asciiTheme="minorBidi" w:eastAsia="Times New Roman" w:hAnsiTheme="minorBidi"/>
            <w:b/>
            <w:bCs/>
            <w:color w:val="auto"/>
            <w:sz w:val="24"/>
            <w:szCs w:val="24"/>
          </w:rPr>
          <w:t>https://doi.org/10.1145/3287560.3287598</w:t>
        </w:r>
      </w:hyperlink>
      <w:r w:rsidRPr="003F0F69">
        <w:t xml:space="preserve">. </w:t>
      </w:r>
      <w:bookmarkEnd w:id="0"/>
    </w:p>
    <w:sectPr w:rsidR="004B522A" w:rsidRPr="003F0F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A0D6F"/>
    <w:multiLevelType w:val="multilevel"/>
    <w:tmpl w:val="11FC5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000"/>
    <w:rsid w:val="003F0F69"/>
    <w:rsid w:val="004B522A"/>
    <w:rsid w:val="00567BCE"/>
    <w:rsid w:val="009E0436"/>
    <w:rsid w:val="00DB60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52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522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22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B522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4B52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522A"/>
    <w:rPr>
      <w:b/>
      <w:bCs/>
    </w:rPr>
  </w:style>
  <w:style w:type="character" w:styleId="Emphasis">
    <w:name w:val="Emphasis"/>
    <w:basedOn w:val="DefaultParagraphFont"/>
    <w:uiPriority w:val="20"/>
    <w:qFormat/>
    <w:rsid w:val="004B522A"/>
    <w:rPr>
      <w:i/>
      <w:iCs/>
    </w:rPr>
  </w:style>
  <w:style w:type="character" w:styleId="Hyperlink">
    <w:name w:val="Hyperlink"/>
    <w:basedOn w:val="DefaultParagraphFont"/>
    <w:uiPriority w:val="99"/>
    <w:unhideWhenUsed/>
    <w:rsid w:val="004B522A"/>
    <w:rPr>
      <w:color w:val="0000FF"/>
      <w:u w:val="single"/>
    </w:rPr>
  </w:style>
  <w:style w:type="character" w:styleId="FollowedHyperlink">
    <w:name w:val="FollowedHyperlink"/>
    <w:basedOn w:val="DefaultParagraphFont"/>
    <w:uiPriority w:val="99"/>
    <w:semiHidden/>
    <w:unhideWhenUsed/>
    <w:rsid w:val="003F0F69"/>
    <w:rPr>
      <w:color w:val="800080" w:themeColor="followedHyperlink"/>
      <w:u w:val="single"/>
    </w:rPr>
  </w:style>
  <w:style w:type="paragraph" w:styleId="NoSpacing">
    <w:name w:val="No Spacing"/>
    <w:uiPriority w:val="1"/>
    <w:qFormat/>
    <w:rsid w:val="003F0F6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52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522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22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B522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4B52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522A"/>
    <w:rPr>
      <w:b/>
      <w:bCs/>
    </w:rPr>
  </w:style>
  <w:style w:type="character" w:styleId="Emphasis">
    <w:name w:val="Emphasis"/>
    <w:basedOn w:val="DefaultParagraphFont"/>
    <w:uiPriority w:val="20"/>
    <w:qFormat/>
    <w:rsid w:val="004B522A"/>
    <w:rPr>
      <w:i/>
      <w:iCs/>
    </w:rPr>
  </w:style>
  <w:style w:type="character" w:styleId="Hyperlink">
    <w:name w:val="Hyperlink"/>
    <w:basedOn w:val="DefaultParagraphFont"/>
    <w:uiPriority w:val="99"/>
    <w:unhideWhenUsed/>
    <w:rsid w:val="004B522A"/>
    <w:rPr>
      <w:color w:val="0000FF"/>
      <w:u w:val="single"/>
    </w:rPr>
  </w:style>
  <w:style w:type="character" w:styleId="FollowedHyperlink">
    <w:name w:val="FollowedHyperlink"/>
    <w:basedOn w:val="DefaultParagraphFont"/>
    <w:uiPriority w:val="99"/>
    <w:semiHidden/>
    <w:unhideWhenUsed/>
    <w:rsid w:val="003F0F69"/>
    <w:rPr>
      <w:color w:val="800080" w:themeColor="followedHyperlink"/>
      <w:u w:val="single"/>
    </w:rPr>
  </w:style>
  <w:style w:type="paragraph" w:styleId="NoSpacing">
    <w:name w:val="No Spacing"/>
    <w:uiPriority w:val="1"/>
    <w:qFormat/>
    <w:rsid w:val="003F0F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90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2256-019-0088-2" TargetMode="External"/><Relationship Id="rId3" Type="http://schemas.microsoft.com/office/2007/relationships/stylesWithEffects" Target="stylesWithEffects.xml"/><Relationship Id="rId7" Type="http://schemas.openxmlformats.org/officeDocument/2006/relationships/hyperlink" Target="https://doi.org/10.1007/s11023-018-9482-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5779/Z38BG3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45/3287560.3287598" TargetMode="External"/><Relationship Id="rId4" Type="http://schemas.openxmlformats.org/officeDocument/2006/relationships/settings" Target="settings.xml"/><Relationship Id="rId9" Type="http://schemas.openxmlformats.org/officeDocument/2006/relationships/hyperlink" Target="https://doi.org/10.1145/34576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583</Words>
  <Characters>3325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Dr.Lava</dc:creator>
  <cp:lastModifiedBy>Dr.Lava</cp:lastModifiedBy>
  <cp:revision>2</cp:revision>
  <dcterms:created xsi:type="dcterms:W3CDTF">2025-03-14T23:00:00Z</dcterms:created>
  <dcterms:modified xsi:type="dcterms:W3CDTF">2025-03-14T23:00:00Z</dcterms:modified>
</cp:coreProperties>
</file>