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customXml/item1.xml" ContentType="application/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Types>
</file>

<file path=_rels/.rels>&#65279;<?xml version="1.0" encoding="utf-8"?><Relationships xmlns="http://schemas.openxmlformats.org/package/2006/relationships"><Relationship Id="R1" Type="http://schemas.openxmlformats.org/officeDocument/2006/relationships/officeDocument" Target="/word/document.xml" /><Relationship Id="coreR1" Type="http://schemas.openxmlformats.org/package/2006/relationships/metadata/core-properties" Target="/docProps/core.xml" /><Relationship Id="appR1" Type="http://schemas.openxmlformats.org/officeDocument/2006/relationships/extended-properties" Target="/docProps/app.xml" /><Relationship Id="customR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body>
    <w:p>
      <w:pPr>
        <w:spacing w:lineRule="auto" w:line="360" w:beforeAutospacing="0" w:afterAutospacing="0"/>
        <w:ind w:left="360"/>
        <w:jc w:val="both"/>
        <w:rPr>
          <w:rFonts w:asciiTheme="majorBidi" w:hAnsiTheme="majorBidi" w:cstheme="majorBidi"/>
          <w:color w:val="000000" w:themeColor="text1"/>
          <w:sz w:val="24"/>
          <w:szCs w:val="24"/>
          <w:rtl/>
          <w:lang w:bidi="ar-EG"/>
        </w:rPr>
      </w:pPr>
      <w:r>
        <w:rPr>
          <w:rFonts w:asciiTheme="majorBidi" w:hAnsiTheme="majorBidi" w:cstheme="majorBidi"/>
          <w:color w:val="000000" w:themeColor="text1"/>
          <w:sz w:val="24"/>
          <w:szCs w:val="24"/>
          <w:rtl/>
          <w:lang w:bidi="ar-EG"/>
        </w:rPr>
        <w:t xml:space="preserve">جامعة ميدأوشن </w:t>
      </w:r>
    </w:p>
    <w:p>
      <w:pPr>
        <w:spacing w:lineRule="auto" w:line="360" w:beforeAutospacing="0" w:afterAutospacing="0"/>
        <w:ind w:left="360"/>
        <w:jc w:val="both"/>
        <w:rPr>
          <w:rFonts w:asciiTheme="majorBidi" w:hAnsiTheme="majorBidi" w:cstheme="majorBidi"/>
          <w:color w:val="000000" w:themeColor="text1"/>
          <w:sz w:val="24"/>
          <w:szCs w:val="24"/>
          <w:rtl/>
          <w:lang w:bidi="ar-EG"/>
        </w:rPr>
      </w:pPr>
      <w:r>
        <w:rPr>
          <w:rFonts w:asciiTheme="majorBidi" w:hAnsiTheme="majorBidi" w:cstheme="majorBidi"/>
          <w:noProof w:val="1"/>
          <w:sz w:val="24"/>
          <w:szCs w:val="24"/>
        </w:rPr>
        <w:drawing>
          <wp:anchor xmlns:wp="http://schemas.openxmlformats.org/drawingml/2006/wordprocessingDrawing" distT="0" distB="0" distL="114300" distR="114300" simplePos="0" relativeHeight="1" behindDoc="0" locked="0" layoutInCell="1" allowOverlap="1">
            <wp:simplePos x="0" y="0"/>
            <wp:positionH relativeFrom="margin">
              <wp:posOffset>-695325</wp:posOffset>
            </wp:positionH>
            <wp:positionV relativeFrom="margin">
              <wp:posOffset>-276225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dpi="0">
                    <a:blip xmlns:r="http://schemas.openxmlformats.org/officeDocument/2006/relationships" r:embed="Relimage1" cstate="print"/>
                    <a:srcRect/>
                    <a:stretch>
                      <a:fillRect/>
                    </a:stretch>
                  </pic:blipFill>
                  <pic:spPr>
                    <a:xfrm>
                      <a:off x="0" y="0"/>
                      <a:ext cx="2227152" cy="2066925"/>
                    </a:xfrm>
                    <a:prstGeom prst="rect"/>
                  </pic:spPr>
                </pic:pic>
              </a:graphicData>
            </a:graphic>
          </wp:anchor>
        </w:drawing>
      </w:r>
      <w:r>
        <w:rPr>
          <w:rFonts w:asciiTheme="majorBidi" w:hAnsiTheme="majorBidi" w:cstheme="majorBidi"/>
          <w:color w:val="000000" w:themeColor="text1"/>
          <w:sz w:val="24"/>
          <w:szCs w:val="24"/>
          <w:rtl/>
          <w:lang w:bidi="ar-EG"/>
        </w:rPr>
        <w:t xml:space="preserve">    </w:t>
      </w:r>
      <w:r>
        <w:rPr>
          <w:rFonts w:asciiTheme="majorBidi" w:hAnsiTheme="majorBidi" w:cstheme="majorBidi"/>
          <w:color w:val="000000" w:themeColor="text1"/>
          <w:sz w:val="24"/>
          <w:szCs w:val="24"/>
          <w:rtl/>
          <w:lang w:bidi="ar-EG"/>
        </w:rPr>
        <w:t xml:space="preserve">كلية الإدارة </w:t>
      </w:r>
    </w:p>
    <w:p>
      <w:pPr>
        <w:spacing w:lineRule="auto" w:line="360" w:beforeAutospacing="0" w:afterAutospacing="0"/>
        <w:ind w:left="360"/>
        <w:rPr>
          <w:rFonts w:asciiTheme="majorBidi" w:hAnsiTheme="majorBidi" w:cstheme="majorBidi" w:eastAsia="Calibri"/>
          <w:b w:val="1"/>
          <w:bCs w:val="1"/>
          <w:sz w:val="24"/>
          <w:szCs w:val="24"/>
          <w:rtl/>
        </w:rPr>
      </w:pPr>
      <w:r>
        <w:rPr>
          <w:rFonts w:asciiTheme="majorBidi" w:hAnsiTheme="majorBidi" w:cstheme="majorBidi" w:eastAsia="Calibri"/>
          <w:sz w:val="24"/>
          <w:szCs w:val="24"/>
          <w:rtl/>
        </w:rPr>
        <w:t xml:space="preserve">ماجستير </w:t>
      </w:r>
      <w:r>
        <w:rPr>
          <w:rFonts w:asciiTheme="majorBidi" w:hAnsiTheme="majorBidi" w:cstheme="majorBidi" w:eastAsia="Calibri"/>
          <w:b w:val="1"/>
          <w:bCs w:val="1"/>
          <w:sz w:val="24"/>
          <w:szCs w:val="24"/>
          <w:rtl/>
        </w:rPr>
        <w:t>إدارة الأعمال</w:t>
      </w:r>
    </w:p>
    <w:p>
      <w:pPr>
        <w:spacing w:lineRule="auto" w:line="360" w:beforeAutospacing="0" w:afterAutospacing="0"/>
        <w:ind w:left="360"/>
        <w:jc w:val="center"/>
        <w:rPr>
          <w:rFonts w:asciiTheme="majorBidi" w:hAnsiTheme="majorBidi" w:cstheme="majorBidi" w:eastAsia="Calibri"/>
          <w:b w:val="1"/>
          <w:bCs w:val="1"/>
          <w:sz w:val="24"/>
          <w:szCs w:val="24"/>
          <w:rtl/>
          <w:lang w:bidi="ar-EG"/>
        </w:rPr>
      </w:pPr>
    </w:p>
    <w:p>
      <w:pPr>
        <w:spacing w:lineRule="auto" w:line="360" w:beforeAutospacing="0" w:afterAutospacing="0"/>
        <w:ind w:left="360"/>
        <w:jc w:val="center"/>
        <w:rPr>
          <w:rFonts w:asciiTheme="majorBidi" w:hAnsiTheme="majorBidi" w:cstheme="majorBidi" w:eastAsia="Calibri"/>
          <w:b w:val="1"/>
          <w:bCs w:val="1"/>
          <w:sz w:val="28"/>
          <w:szCs w:val="28"/>
          <w:rtl/>
        </w:rPr>
      </w:pPr>
    </w:p>
    <w:p>
      <w:pPr>
        <w:spacing w:lineRule="auto" w:line="360" w:beforeAutospacing="0" w:afterAutospacing="0"/>
        <w:ind w:left="360"/>
        <w:jc w:val="center"/>
        <w:rPr>
          <w:rFonts w:asciiTheme="majorBidi" w:hAnsiTheme="majorBidi" w:cstheme="majorBidi" w:eastAsia="Calibri"/>
          <w:b w:val="1"/>
          <w:bCs w:val="1"/>
          <w:sz w:val="28"/>
          <w:szCs w:val="28"/>
        </w:rPr>
      </w:pPr>
      <w:r>
        <w:rPr>
          <w:rFonts w:asciiTheme="majorBidi" w:hAnsiTheme="majorBidi" w:cstheme="majorBidi" w:eastAsia="Calibri"/>
          <w:b w:val="1"/>
          <w:bCs w:val="1"/>
          <w:sz w:val="28"/>
          <w:szCs w:val="28"/>
          <w:rtl/>
        </w:rPr>
        <w:t>أثر تطبيق نظم إدارة الجودة</w:t>
      </w:r>
      <w:r>
        <w:rPr>
          <w:rFonts w:asciiTheme="majorBidi" w:hAnsiTheme="majorBidi" w:cstheme="majorBidi" w:eastAsia="Calibri"/>
          <w:b w:val="1"/>
          <w:bCs w:val="1"/>
          <w:sz w:val="28"/>
          <w:szCs w:val="28"/>
          <w:rtl/>
        </w:rPr>
        <w:t xml:space="preserve"> </w:t>
      </w:r>
      <w:r>
        <w:rPr>
          <w:rFonts w:asciiTheme="majorBidi" w:hAnsiTheme="majorBidi" w:cstheme="majorBidi" w:eastAsia="Calibri"/>
          <w:b w:val="1"/>
          <w:bCs w:val="1"/>
          <w:sz w:val="28"/>
          <w:szCs w:val="28"/>
        </w:rPr>
        <w:t>(</w:t>
      </w:r>
      <w:r>
        <w:rPr>
          <w:rFonts w:asciiTheme="majorBidi" w:hAnsiTheme="majorBidi" w:cstheme="majorBidi" w:eastAsia="Calibri"/>
          <w:b w:val="1"/>
          <w:bCs w:val="1"/>
          <w:sz w:val="28"/>
          <w:szCs w:val="28"/>
        </w:rPr>
        <w:t>ISO 9001</w:t>
      </w:r>
      <w:r>
        <w:rPr>
          <w:rFonts w:asciiTheme="majorBidi" w:hAnsiTheme="majorBidi" w:cstheme="majorBidi" w:eastAsia="Calibri"/>
          <w:b w:val="1"/>
          <w:bCs w:val="1"/>
          <w:sz w:val="28"/>
          <w:szCs w:val="28"/>
        </w:rPr>
        <w:t>)</w:t>
      </w:r>
      <w:r>
        <w:rPr>
          <w:rFonts w:asciiTheme="majorBidi" w:hAnsiTheme="majorBidi" w:cstheme="majorBidi" w:eastAsia="Calibri"/>
          <w:b w:val="1"/>
          <w:bCs w:val="1"/>
          <w:sz w:val="28"/>
          <w:szCs w:val="28"/>
          <w:rtl/>
        </w:rPr>
        <w:t xml:space="preserve"> </w:t>
      </w:r>
      <w:r>
        <w:rPr>
          <w:rFonts w:asciiTheme="majorBidi" w:hAnsiTheme="majorBidi" w:cstheme="majorBidi" w:eastAsia="Calibri"/>
          <w:b w:val="1"/>
          <w:bCs w:val="1"/>
          <w:sz w:val="28"/>
          <w:szCs w:val="28"/>
          <w:rtl/>
        </w:rPr>
        <w:t>على كفاءة برامج مكافحة الآفات النباتية وتقليل الفاقد الزراعي</w:t>
      </w:r>
      <w:r>
        <w:rPr>
          <w:rFonts w:asciiTheme="majorBidi" w:hAnsiTheme="majorBidi" w:cstheme="majorBidi" w:eastAsia="Calibri"/>
          <w:b w:val="1"/>
          <w:bCs w:val="1"/>
          <w:sz w:val="28"/>
          <w:szCs w:val="28"/>
          <w:rtl/>
        </w:rPr>
        <w:t>:</w:t>
      </w:r>
      <w:r>
        <w:rPr>
          <w:rFonts w:asciiTheme="majorBidi" w:hAnsiTheme="majorBidi" w:cstheme="majorBidi" w:eastAsia="Calibri"/>
          <w:b w:val="1"/>
          <w:bCs w:val="1"/>
          <w:sz w:val="28"/>
          <w:szCs w:val="28"/>
          <w:rtl/>
        </w:rPr>
        <w:t xml:space="preserve"> دراسة ميدانية على مزارع الفاكهة في منطقة جازان</w:t>
      </w:r>
    </w:p>
    <w:p>
      <w:pPr>
        <w:spacing w:lineRule="auto" w:line="360" w:beforeAutospacing="0" w:afterAutospacing="0"/>
        <w:ind w:left="360"/>
        <w:jc w:val="center"/>
        <w:rPr>
          <w:rFonts w:asciiTheme="majorBidi" w:hAnsiTheme="majorBidi" w:cstheme="majorBidi" w:eastAsia="Calibri"/>
          <w:b w:val="1"/>
          <w:bCs w:val="1"/>
          <w:sz w:val="28"/>
          <w:szCs w:val="28"/>
          <w:rtl/>
          <w:lang w:val="ar-SA" w:bidi="ar-SA" w:eastAsia="ar-SA"/>
        </w:rPr>
      </w:pPr>
      <w:r>
        <w:rPr>
          <w:rFonts w:asciiTheme="majorBidi" w:hAnsiTheme="majorBidi" w:cstheme="majorBidi" w:eastAsia="Calibri"/>
          <w:b w:val="1"/>
          <w:bCs w:val="1"/>
          <w:sz w:val="28"/>
          <w:szCs w:val="28"/>
          <w:rtl/>
          <w:lang w:bidi="ar-EG"/>
        </w:rPr>
        <w:t>إعداد الطالب</w:t>
      </w:r>
      <w:r>
        <w:rPr>
          <w:rFonts w:asciiTheme="majorBidi" w:hAnsiTheme="majorBidi" w:cstheme="majorBidi" w:eastAsia="Calibri"/>
          <w:b w:val="1"/>
          <w:bCs w:val="1"/>
          <w:sz w:val="28"/>
          <w:szCs w:val="28"/>
          <w:rtl/>
          <w:lang w:bidi="ar-EG"/>
        </w:rPr>
        <w:t>/</w:t>
      </w:r>
      <w:r>
        <w:rPr>
          <w:rFonts w:asciiTheme="majorBidi" w:hAnsiTheme="majorBidi" w:cstheme="majorBidi" w:eastAsia="Calibri"/>
          <w:b w:val="1"/>
          <w:bCs w:val="1"/>
          <w:sz w:val="28"/>
          <w:szCs w:val="28"/>
          <w:rtl/>
          <w:lang w:val="ar-SA" w:bidi="ar-SA" w:eastAsia="ar-SA"/>
        </w:rPr>
        <w:t>عبدالعزيز عبدالله علي ال منيع</w:t>
      </w:r>
    </w:p>
    <w:p>
      <w:pPr>
        <w:spacing w:lineRule="auto" w:line="360" w:beforeAutospacing="0" w:afterAutospacing="0"/>
        <w:ind w:left="360"/>
        <w:jc w:val="center"/>
        <w:rPr>
          <w:rFonts w:asciiTheme="majorBidi" w:hAnsiTheme="majorBidi" w:cstheme="majorBidi" w:eastAsia="Calibri"/>
          <w:b w:val="1"/>
          <w:bCs w:val="1"/>
          <w:sz w:val="28"/>
          <w:szCs w:val="28"/>
          <w:rtl/>
          <w:lang w:bidi="ar-EG"/>
        </w:rPr>
      </w:pPr>
      <w:r>
        <w:rPr>
          <w:rFonts w:asciiTheme="majorBidi" w:hAnsiTheme="majorBidi" w:cstheme="majorBidi" w:eastAsia="Calibri"/>
          <w:b w:val="1"/>
          <w:bCs w:val="1"/>
          <w:sz w:val="28"/>
          <w:szCs w:val="28"/>
          <w:rtl w:val="0"/>
          <w:lang w:val="en-US" w:bidi="en-US" w:eastAsia="en-US"/>
        </w:rPr>
        <w:t>Abdu</w:t>
      </w:r>
      <w:r>
        <w:rPr>
          <w:rFonts w:asciiTheme="majorBidi" w:hAnsiTheme="majorBidi" w:cstheme="majorBidi" w:eastAsia="Calibri"/>
          <w:b w:val="1"/>
          <w:bCs w:val="1"/>
          <w:sz w:val="28"/>
          <w:szCs w:val="28"/>
          <w:rtl w:val="0"/>
          <w:lang w:val="en-US" w:bidi="en-US" w:eastAsia="en-US"/>
        </w:rPr>
        <w:t>laziz</w:t>
      </w:r>
      <w:r>
        <w:rPr>
          <w:rFonts w:asciiTheme="majorBidi" w:hAnsiTheme="majorBidi" w:cstheme="majorBidi" w:eastAsia="Calibri"/>
          <w:b w:val="1"/>
          <w:bCs w:val="1"/>
          <w:sz w:val="28"/>
          <w:szCs w:val="28"/>
          <w:rtl w:val="0"/>
          <w:lang w:val="en-US" w:bidi="en-US" w:eastAsia="en-US"/>
        </w:rPr>
        <w:t xml:space="preserve"> </w:t>
      </w:r>
      <w:r>
        <w:rPr>
          <w:rFonts w:asciiTheme="majorBidi" w:hAnsiTheme="majorBidi" w:cstheme="majorBidi" w:eastAsia="Calibri"/>
          <w:b w:val="1"/>
          <w:bCs w:val="1"/>
          <w:sz w:val="28"/>
          <w:szCs w:val="28"/>
          <w:rtl w:val="0"/>
          <w:lang w:val="en-US" w:bidi="en-US" w:eastAsia="en-US"/>
        </w:rPr>
        <w:t>Abdulallh</w:t>
      </w:r>
      <w:r>
        <w:rPr>
          <w:rFonts w:asciiTheme="majorBidi" w:hAnsiTheme="majorBidi" w:cstheme="majorBidi" w:eastAsia="Calibri"/>
          <w:b w:val="1"/>
          <w:bCs w:val="1"/>
          <w:sz w:val="28"/>
          <w:szCs w:val="28"/>
          <w:rtl w:val="0"/>
          <w:lang w:val="en-US" w:bidi="en-US" w:eastAsia="en-US"/>
        </w:rPr>
        <w:t xml:space="preserve"> </w:t>
      </w:r>
      <w:r>
        <w:rPr>
          <w:rFonts w:asciiTheme="majorBidi" w:hAnsiTheme="majorBidi" w:cstheme="majorBidi" w:eastAsia="Calibri"/>
          <w:b w:val="1"/>
          <w:bCs w:val="1"/>
          <w:sz w:val="28"/>
          <w:szCs w:val="28"/>
          <w:rtl w:val="0"/>
          <w:lang w:val="en-US" w:bidi="en-US" w:eastAsia="en-US"/>
        </w:rPr>
        <w:t>Ali</w:t>
      </w:r>
      <w:r>
        <w:rPr>
          <w:rFonts w:asciiTheme="majorBidi" w:hAnsiTheme="majorBidi" w:cstheme="majorBidi" w:eastAsia="Calibri"/>
          <w:b w:val="1"/>
          <w:bCs w:val="1"/>
          <w:sz w:val="28"/>
          <w:szCs w:val="28"/>
          <w:rtl w:val="0"/>
          <w:lang w:val="en-US" w:bidi="en-US" w:eastAsia="en-US"/>
        </w:rPr>
        <w:t xml:space="preserve"> </w:t>
      </w:r>
      <w:r>
        <w:rPr>
          <w:rFonts w:asciiTheme="majorBidi" w:hAnsiTheme="majorBidi" w:cstheme="majorBidi" w:eastAsia="Calibri"/>
          <w:b w:val="1"/>
          <w:bCs w:val="1"/>
          <w:sz w:val="28"/>
          <w:szCs w:val="28"/>
          <w:rtl w:val="0"/>
          <w:lang w:val="en-US" w:bidi="en-US" w:eastAsia="en-US"/>
        </w:rPr>
        <w:t>AL</w:t>
      </w:r>
      <w:r>
        <w:rPr>
          <w:rFonts w:asciiTheme="majorBidi" w:hAnsiTheme="majorBidi" w:cstheme="majorBidi" w:eastAsia="Calibri"/>
          <w:b w:val="1"/>
          <w:bCs w:val="1"/>
          <w:sz w:val="28"/>
          <w:szCs w:val="28"/>
          <w:rtl w:val="0"/>
          <w:lang w:val="en-US" w:bidi="en-US" w:eastAsia="en-US"/>
        </w:rPr>
        <w:t xml:space="preserve"> </w:t>
      </w:r>
      <w:r>
        <w:rPr>
          <w:rFonts w:asciiTheme="majorBidi" w:hAnsiTheme="majorBidi" w:cstheme="majorBidi" w:eastAsia="Calibri"/>
          <w:b w:val="1"/>
          <w:bCs w:val="1"/>
          <w:sz w:val="28"/>
          <w:szCs w:val="28"/>
          <w:rtl w:val="0"/>
          <w:lang w:val="en-US" w:bidi="en-US" w:eastAsia="en-US"/>
        </w:rPr>
        <w:t>Mane</w:t>
      </w:r>
    </w:p>
    <w:p>
      <w:pPr>
        <w:spacing w:lineRule="auto" w:line="360" w:beforeAutospacing="0" w:afterAutospacing="0"/>
        <w:ind w:left="360"/>
        <w:jc w:val="center"/>
        <w:rPr>
          <w:rFonts w:asciiTheme="majorBidi" w:hAnsiTheme="majorBidi" w:cstheme="majorBidi" w:eastAsia="Calibri"/>
          <w:b w:val="1"/>
          <w:bCs w:val="1"/>
          <w:sz w:val="28"/>
          <w:szCs w:val="28"/>
          <w:rtl/>
        </w:rPr>
      </w:pPr>
    </w:p>
    <w:p>
      <w:pPr>
        <w:spacing w:lineRule="auto" w:line="360" w:beforeAutospacing="0" w:afterAutospacing="0"/>
        <w:ind w:left="360"/>
        <w:jc w:val="center"/>
        <w:rPr>
          <w:rFonts w:asciiTheme="majorBidi" w:hAnsiTheme="majorBidi" w:cstheme="majorBidi" w:eastAsia="Calibri"/>
          <w:b w:val="1"/>
          <w:bCs w:val="1"/>
          <w:sz w:val="28"/>
          <w:szCs w:val="28"/>
          <w:rtl/>
        </w:rPr>
      </w:pPr>
    </w:p>
    <w:p>
      <w:pPr>
        <w:spacing w:lineRule="auto" w:line="360" w:beforeAutospacing="0" w:afterAutospacing="0"/>
        <w:ind w:left="360"/>
        <w:jc w:val="center"/>
        <w:rPr>
          <w:rFonts w:asciiTheme="majorBidi" w:hAnsiTheme="majorBidi" w:cstheme="majorBidi"/>
          <w:color w:val="000000" w:themeColor="text1"/>
          <w:sz w:val="24"/>
          <w:szCs w:val="24"/>
          <w:rtl/>
          <w:lang w:bidi="ar-EG"/>
        </w:rPr>
      </w:pPr>
      <w:r>
        <w:rPr>
          <w:rFonts w:asciiTheme="majorBidi" w:hAnsiTheme="majorBidi" w:cstheme="majorBidi"/>
          <w:color w:val="000000" w:themeColor="text1"/>
          <w:sz w:val="24"/>
          <w:szCs w:val="24"/>
          <w:rtl/>
          <w:lang w:bidi="ar-EG"/>
        </w:rPr>
        <w:t>إشراف</w:t>
      </w:r>
      <w:r>
        <w:rPr>
          <w:rFonts w:asciiTheme="majorBidi" w:hAnsiTheme="majorBidi" w:cstheme="majorBidi"/>
          <w:color w:val="000000" w:themeColor="text1"/>
          <w:sz w:val="24"/>
          <w:szCs w:val="24"/>
          <w:rtl/>
          <w:lang w:bidi="ar-EG"/>
        </w:rPr>
        <w:t>/</w:t>
      </w:r>
    </w:p>
    <w:p>
      <w:pPr>
        <w:spacing w:lineRule="auto" w:line="360" w:beforeAutospacing="0" w:afterAutospacing="0"/>
        <w:ind w:left="360"/>
        <w:jc w:val="center"/>
        <w:rPr>
          <w:rFonts w:asciiTheme="majorBidi" w:hAnsiTheme="majorBidi" w:cstheme="majorBidi"/>
          <w:color w:val="000000" w:themeColor="text1"/>
          <w:sz w:val="24"/>
          <w:szCs w:val="24"/>
          <w:rtl/>
          <w:lang w:bidi="ar-EG"/>
        </w:rPr>
      </w:pPr>
      <w:r>
        <w:rPr>
          <w:rFonts w:asciiTheme="majorBidi" w:hAnsiTheme="majorBidi" w:cstheme="majorBidi"/>
          <w:color w:val="000000" w:themeColor="text1"/>
          <w:sz w:val="24"/>
          <w:szCs w:val="24"/>
          <w:rtl/>
          <w:lang w:bidi="ar-EG"/>
        </w:rPr>
        <w:t>د</w:t>
      </w:r>
      <w:r>
        <w:rPr>
          <w:rFonts w:asciiTheme="majorBidi" w:hAnsiTheme="majorBidi" w:cstheme="majorBidi"/>
          <w:color w:val="000000" w:themeColor="text1"/>
          <w:sz w:val="24"/>
          <w:szCs w:val="24"/>
          <w:rtl/>
          <w:lang w:bidi="ar-EG"/>
        </w:rPr>
        <w:t>.</w:t>
      </w:r>
      <w:r>
        <w:rPr>
          <w:rFonts w:asciiTheme="majorBidi" w:hAnsiTheme="majorBidi" w:cstheme="majorBidi"/>
          <w:color w:val="000000" w:themeColor="text1"/>
          <w:sz w:val="24"/>
          <w:szCs w:val="24"/>
          <w:rtl/>
          <w:lang w:bidi="ar-EG"/>
        </w:rPr>
        <w:t>الفيصل عبد الحميد</w:t>
        <w:br w:type="textWrapping"/>
        <w:t>د</w:t>
      </w:r>
      <w:r>
        <w:rPr>
          <w:rFonts w:asciiTheme="majorBidi" w:hAnsiTheme="majorBidi" w:cstheme="majorBidi"/>
          <w:color w:val="000000" w:themeColor="text1"/>
          <w:sz w:val="24"/>
          <w:szCs w:val="24"/>
          <w:rtl/>
          <w:lang w:bidi="ar-EG"/>
        </w:rPr>
        <w:t>.</w:t>
      </w:r>
      <w:r>
        <w:rPr>
          <w:rFonts w:asciiTheme="majorBidi" w:hAnsiTheme="majorBidi" w:cstheme="majorBidi"/>
          <w:color w:val="000000" w:themeColor="text1"/>
          <w:sz w:val="24"/>
          <w:szCs w:val="24"/>
          <w:rtl/>
          <w:lang w:bidi="ar-EG"/>
        </w:rPr>
        <w:t>فايز جراد</w:t>
      </w:r>
    </w:p>
    <w:p>
      <w:pPr>
        <w:spacing w:lineRule="auto" w:line="360" w:beforeAutospacing="0" w:afterAutospacing="0"/>
        <w:jc w:val="center"/>
        <w:rPr>
          <w:rFonts w:asciiTheme="majorBidi" w:hAnsiTheme="majorBidi" w:cstheme="majorBidi"/>
          <w:color w:val="000000" w:themeColor="text1"/>
          <w:sz w:val="24"/>
          <w:szCs w:val="24"/>
          <w:rtl/>
          <w:lang w:bidi="ar-EG"/>
        </w:rPr>
      </w:pPr>
    </w:p>
    <w:p>
      <w:pPr>
        <w:spacing w:lineRule="auto" w:line="360" w:beforeAutospacing="0" w:afterAutospacing="0"/>
        <w:ind w:left="360"/>
        <w:jc w:val="center"/>
        <w:rPr>
          <w:rFonts w:asciiTheme="majorBidi" w:hAnsiTheme="majorBidi" w:cstheme="majorBidi"/>
          <w:color w:val="000000" w:themeColor="text1"/>
          <w:sz w:val="24"/>
          <w:szCs w:val="24"/>
          <w:rtl/>
          <w:lang w:bidi="ar-EG"/>
        </w:rPr>
      </w:pPr>
      <w:r>
        <w:rPr>
          <w:rFonts w:asciiTheme="majorBidi" w:hAnsiTheme="majorBidi" w:cstheme="majorBidi"/>
          <w:color w:val="000000" w:themeColor="text1"/>
          <w:sz w:val="24"/>
          <w:szCs w:val="24"/>
          <w:rtl/>
          <w:lang w:bidi="ar-EG"/>
        </w:rPr>
        <w:t>العام الدراسي</w:t>
      </w:r>
      <w:r>
        <w:rPr>
          <w:rFonts w:asciiTheme="majorBidi" w:hAnsiTheme="majorBidi" w:cstheme="majorBidi"/>
          <w:color w:val="000000" w:themeColor="text1"/>
          <w:sz w:val="24"/>
          <w:szCs w:val="24"/>
          <w:rtl/>
          <w:lang w:bidi="ar-EG"/>
        </w:rPr>
        <w:t>:</w:t>
      </w:r>
    </w:p>
    <w:p>
      <w:pPr>
        <w:spacing w:lineRule="auto" w:line="360" w:beforeAutospacing="0" w:afterAutospacing="0"/>
        <w:ind w:left="360"/>
        <w:jc w:val="center"/>
        <w:rPr>
          <w:rFonts w:asciiTheme="majorBidi" w:hAnsiTheme="majorBidi" w:cstheme="majorBidi"/>
          <w:color w:val="000000" w:themeColor="text1"/>
          <w:sz w:val="24"/>
          <w:szCs w:val="24"/>
          <w:rtl/>
          <w:lang w:bidi="ar-EG"/>
        </w:rPr>
      </w:pPr>
      <w:r>
        <w:rPr>
          <w:rFonts w:asciiTheme="majorBidi" w:hAnsiTheme="majorBidi" w:cstheme="majorBidi"/>
          <w:color w:val="000000" w:themeColor="text1"/>
          <w:sz w:val="24"/>
          <w:szCs w:val="24"/>
          <w:rtl/>
          <w:lang w:bidi="ar-EG"/>
        </w:rPr>
        <w:t>2026</w:t>
      </w:r>
    </w:p>
    <w:p>
      <w:pPr>
        <w:spacing w:lineRule="auto" w:line="360" w:before="100" w:after="100" w:beforeAutospacing="1" w:afterAutospacing="1"/>
        <w:ind w:left="360"/>
        <w:jc w:val="both"/>
        <w:rPr>
          <w:rFonts w:asciiTheme="majorBidi" w:hAnsiTheme="majorBidi" w:cstheme="majorBidi" w:eastAsia="Times New Roman"/>
          <w:sz w:val="24"/>
          <w:szCs w:val="24"/>
          <w:rtl/>
        </w:rPr>
      </w:pPr>
    </w:p>
    <w:p>
      <w:pPr>
        <w:spacing w:lineRule="auto" w:line="360" w:before="100" w:after="100" w:beforeAutospacing="1" w:afterAutospacing="1"/>
        <w:ind w:left="360"/>
        <w:jc w:val="both"/>
        <w:rPr>
          <w:rFonts w:asciiTheme="majorBidi" w:hAnsiTheme="majorBidi" w:cstheme="majorBidi" w:eastAsia="Times New Roman"/>
          <w:sz w:val="24"/>
          <w:szCs w:val="24"/>
          <w:rtl/>
        </w:rPr>
      </w:pPr>
    </w:p>
    <w:p>
      <w:pPr>
        <w:spacing w:lineRule="auto" w:line="360" w:before="100" w:after="100" w:beforeAutospacing="1" w:afterAutospacing="1"/>
        <w:ind w:left="360"/>
        <w:jc w:val="both"/>
        <w:rPr>
          <w:rFonts w:asciiTheme="majorBidi" w:hAnsiTheme="majorBidi" w:cstheme="majorBidi" w:eastAsia="Times New Roman"/>
          <w:sz w:val="24"/>
          <w:szCs w:val="24"/>
          <w:rtl/>
        </w:rPr>
      </w:pPr>
    </w:p>
    <w:p>
      <w:pPr>
        <w:spacing w:lineRule="auto" w:line="360" w:before="100" w:after="100" w:beforeAutospacing="1" w:afterAutospacing="1"/>
        <w:ind w:left="360"/>
        <w:jc w:val="both"/>
        <w:rPr>
          <w:rFonts w:asciiTheme="majorBidi" w:hAnsiTheme="majorBidi" w:cstheme="majorBidi" w:eastAsia="Times New Roman"/>
          <w:sz w:val="24"/>
          <w:szCs w:val="24"/>
          <w:rtl/>
        </w:rPr>
      </w:pPr>
    </w:p>
    <w:p>
      <w:pPr>
        <w:spacing w:lineRule="auto" w:line="360" w:before="100" w:after="100" w:beforeAutospacing="1" w:afterAutospacing="1"/>
        <w:ind w:left="360"/>
        <w:jc w:val="both"/>
        <w:rPr>
          <w:rFonts w:asciiTheme="majorBidi" w:hAnsiTheme="majorBidi" w:cstheme="majorBidi" w:eastAsia="Times New Roman"/>
          <w:sz w:val="24"/>
          <w:szCs w:val="24"/>
          <w:rtl/>
        </w:rPr>
      </w:pPr>
    </w:p>
    <w:p>
      <w:pPr>
        <w:spacing w:lineRule="auto" w:line="360" w:beforeAutospacing="0" w:afterAutospacing="0"/>
        <w:jc w:val="both"/>
        <w:rPr>
          <w:rFonts w:asciiTheme="majorBidi" w:hAnsiTheme="majorBidi" w:cstheme="majorBidi" w:eastAsia="Times New Roman"/>
          <w:b w:val="1"/>
          <w:bCs w:val="1"/>
          <w:sz w:val="24"/>
          <w:szCs w:val="24"/>
        </w:rPr>
      </w:pPr>
    </w:p>
    <w:p>
      <w:pPr>
        <w:spacing w:lineRule="auto" w:line="360" w:beforeAutospacing="0" w:afterAutospacing="0"/>
        <w:jc w:val="both"/>
        <w:rPr>
          <w:rFonts w:asciiTheme="majorBidi" w:hAnsiTheme="majorBidi" w:cstheme="majorBidi" w:eastAsia="Times New Roman"/>
          <w:b w:val="1"/>
          <w:bCs w:val="1"/>
          <w:sz w:val="24"/>
          <w:szCs w:val="24"/>
        </w:rPr>
      </w:pPr>
    </w:p>
    <w:p>
      <w:pPr>
        <w:spacing w:lineRule="auto" w:line="360" w:beforeAutospacing="0" w:afterAutospacing="0"/>
        <w:jc w:val="both"/>
        <w:rPr>
          <w:rFonts w:asciiTheme="majorBidi" w:hAnsiTheme="majorBidi" w:cstheme="majorBidi" w:eastAsia="Times New Roman"/>
          <w:b w:val="1"/>
          <w:bCs w:val="1"/>
          <w:sz w:val="24"/>
          <w:szCs w:val="24"/>
          <w:u w:val="single"/>
        </w:rPr>
      </w:pPr>
      <w:r>
        <w:rPr>
          <w:rFonts w:asciiTheme="majorBidi" w:hAnsiTheme="majorBidi" w:cstheme="majorBidi" w:eastAsia="Times New Roman"/>
          <w:b w:val="1"/>
          <w:bCs w:val="1"/>
          <w:sz w:val="24"/>
          <w:szCs w:val="24"/>
          <w:rtl/>
        </w:rPr>
        <w:t xml:space="preserve"> </w:t>
      </w:r>
      <w:r>
        <w:rPr>
          <w:rFonts w:asciiTheme="majorBidi" w:hAnsiTheme="majorBidi" w:cstheme="majorBidi" w:eastAsia="Times New Roman"/>
          <w:b w:val="1"/>
          <w:bCs w:val="1"/>
          <w:sz w:val="28"/>
          <w:szCs w:val="28"/>
          <w:u w:val="single"/>
          <w:rtl/>
        </w:rPr>
        <w:t>المقدمة</w:t>
      </w:r>
    </w:p>
    <w:p>
      <w:pPr>
        <w:spacing w:lineRule="auto" w:line="360" w:beforeAutospacing="0" w:afterAutospacing="0"/>
        <w:jc w:val="both"/>
        <w:rPr>
          <w:rFonts w:asciiTheme="majorBidi" w:hAnsiTheme="majorBidi" w:cstheme="majorBidi" w:eastAsia="Times New Roman"/>
          <w:sz w:val="24"/>
          <w:szCs w:val="24"/>
        </w:rPr>
      </w:pPr>
      <w:r>
        <w:rPr>
          <w:rFonts w:asciiTheme="majorBidi" w:hAnsiTheme="majorBidi" w:cstheme="majorBidi" w:eastAsia="Times New Roman"/>
          <w:sz w:val="24"/>
          <w:szCs w:val="24"/>
          <w:rtl/>
        </w:rPr>
        <w:t>تُمثّل أخلاقيات البحث العلمي حجر الزاوية في أي جهد معرفي يسعى إلى إنتاج المعرفة وتطويرها وتوظيفها لخدمة الإنسان والمجتمع</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إذ لا يُمكن فصل البحث العلمي بوصفه نشاطاً منهجياً منظماً عن المنظومة القيمية والأخلاقية التي تحكم سلوك الباحث في كل مرحلة من مراحل عمله بدءاً من اختيار الموضوع ومروراً بجمع البيانات وتحليلها وانتهاءً بنشر النتائج وتعميمها</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ويُعرّف بيلز وبراينت</w:t>
      </w:r>
      <w:r>
        <w:rPr>
          <w:rFonts w:asciiTheme="majorBidi" w:hAnsiTheme="majorBidi" w:cstheme="majorBidi" w:eastAsia="Times New Roman"/>
          <w:sz w:val="24"/>
          <w:szCs w:val="24"/>
          <w:rtl/>
        </w:rPr>
        <w:t xml:space="preserve"> </w:t>
      </w:r>
      <w:r>
        <w:rPr>
          <w:rFonts w:asciiTheme="majorBidi" w:hAnsiTheme="majorBidi" w:cstheme="majorBidi" w:eastAsia="Times New Roman"/>
          <w:sz w:val="24"/>
          <w:szCs w:val="24"/>
        </w:rPr>
        <w:t>(</w:t>
      </w:r>
      <w:r>
        <w:rPr>
          <w:rFonts w:asciiTheme="majorBidi" w:hAnsiTheme="majorBidi" w:cstheme="majorBidi" w:eastAsia="Times New Roman"/>
          <w:sz w:val="24"/>
          <w:szCs w:val="24"/>
        </w:rPr>
        <w:t>Bryman</w:t>
      </w:r>
      <w:r>
        <w:rPr>
          <w:rFonts w:asciiTheme="majorBidi" w:hAnsiTheme="majorBidi" w:cstheme="majorBidi" w:eastAsia="Times New Roman"/>
          <w:sz w:val="24"/>
          <w:szCs w:val="24"/>
        </w:rPr>
        <w:t>,</w:t>
      </w:r>
      <w:r>
        <w:rPr>
          <w:rFonts w:asciiTheme="majorBidi" w:hAnsiTheme="majorBidi" w:cstheme="majorBidi" w:eastAsia="Times New Roman"/>
          <w:sz w:val="24"/>
          <w:szCs w:val="24"/>
        </w:rPr>
        <w:t xml:space="preserve"> 2016</w:t>
      </w:r>
      <w:r>
        <w:rPr>
          <w:rFonts w:asciiTheme="majorBidi" w:hAnsiTheme="majorBidi" w:cstheme="majorBidi" w:eastAsia="Times New Roman"/>
          <w:sz w:val="24"/>
          <w:szCs w:val="24"/>
        </w:rPr>
        <w:t>)</w:t>
      </w:r>
      <w:r>
        <w:rPr>
          <w:rFonts w:asciiTheme="majorBidi" w:hAnsiTheme="majorBidi" w:cstheme="majorBidi" w:eastAsia="Times New Roman"/>
          <w:sz w:val="24"/>
          <w:szCs w:val="24"/>
          <w:rtl/>
        </w:rPr>
        <w:t xml:space="preserve"> </w:t>
      </w:r>
      <w:r>
        <w:rPr>
          <w:rFonts w:asciiTheme="majorBidi" w:hAnsiTheme="majorBidi" w:cstheme="majorBidi" w:eastAsia="Times New Roman"/>
          <w:sz w:val="24"/>
          <w:szCs w:val="24"/>
          <w:rtl/>
        </w:rPr>
        <w:t>أخلاقيات البحث العلمي بأنها مجموعة المبادئ والقواعد المعيارية التي تُوجّه سلوك الباحثين وتُحدد لهم ما هو مقبول وما هو مرفوض في ممارساتهم البحثية</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بحيث تضمن احترام كرامة المشاركين في البحث وحماية حقوقهم وصون سلامة البيانات ومصداقية النتائج</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ويُضيف ريسنيك</w:t>
      </w:r>
      <w:r>
        <w:rPr>
          <w:rFonts w:asciiTheme="majorBidi" w:hAnsiTheme="majorBidi" w:cstheme="majorBidi" w:eastAsia="Times New Roman"/>
          <w:sz w:val="24"/>
          <w:szCs w:val="24"/>
          <w:rtl/>
        </w:rPr>
        <w:t xml:space="preserve"> </w:t>
      </w:r>
      <w:r>
        <w:rPr>
          <w:rFonts w:asciiTheme="majorBidi" w:hAnsiTheme="majorBidi" w:cstheme="majorBidi" w:eastAsia="Times New Roman"/>
          <w:sz w:val="24"/>
          <w:szCs w:val="24"/>
        </w:rPr>
        <w:t>(</w:t>
      </w:r>
      <w:r>
        <w:rPr>
          <w:rFonts w:asciiTheme="majorBidi" w:hAnsiTheme="majorBidi" w:cstheme="majorBidi" w:eastAsia="Times New Roman"/>
          <w:sz w:val="24"/>
          <w:szCs w:val="24"/>
        </w:rPr>
        <w:t>Resnik</w:t>
      </w:r>
      <w:r>
        <w:rPr>
          <w:rFonts w:asciiTheme="majorBidi" w:hAnsiTheme="majorBidi" w:cstheme="majorBidi" w:eastAsia="Times New Roman"/>
          <w:sz w:val="24"/>
          <w:szCs w:val="24"/>
        </w:rPr>
        <w:t>,</w:t>
      </w:r>
      <w:r>
        <w:rPr>
          <w:rFonts w:asciiTheme="majorBidi" w:hAnsiTheme="majorBidi" w:cstheme="majorBidi" w:eastAsia="Times New Roman"/>
          <w:sz w:val="24"/>
          <w:szCs w:val="24"/>
        </w:rPr>
        <w:t xml:space="preserve"> 2020</w:t>
      </w:r>
      <w:r>
        <w:rPr>
          <w:rFonts w:asciiTheme="majorBidi" w:hAnsiTheme="majorBidi" w:cstheme="majorBidi" w:eastAsia="Times New Roman"/>
          <w:sz w:val="24"/>
          <w:szCs w:val="24"/>
        </w:rPr>
        <w:t>)</w:t>
      </w:r>
      <w:r>
        <w:rPr>
          <w:rFonts w:asciiTheme="majorBidi" w:hAnsiTheme="majorBidi" w:cstheme="majorBidi" w:eastAsia="Times New Roman"/>
          <w:sz w:val="24"/>
          <w:szCs w:val="24"/>
          <w:rtl/>
        </w:rPr>
        <w:t xml:space="preserve"> </w:t>
      </w:r>
      <w:r>
        <w:rPr>
          <w:rFonts w:asciiTheme="majorBidi" w:hAnsiTheme="majorBidi" w:cstheme="majorBidi" w:eastAsia="Times New Roman"/>
          <w:sz w:val="24"/>
          <w:szCs w:val="24"/>
          <w:rtl/>
        </w:rPr>
        <w:t>أن هذه الأخلاقيات لا تقتصر على كونها قيوداً خارجية تُفرض على الباحث</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بل هي منظومة داخلية من القيم المهنية التي يستبطنها الباحث ويلتزم بها طوعاً انطلاقاً من إيمانه برسالة العلم ودوره المجتمعي</w:t>
      </w:r>
      <w:r>
        <w:rPr>
          <w:rFonts w:asciiTheme="majorBidi" w:hAnsiTheme="majorBidi" w:cstheme="majorBidi" w:eastAsia="Times New Roman"/>
          <w:sz w:val="24"/>
          <w:szCs w:val="24"/>
        </w:rPr>
        <w:t>.</w:t>
      </w:r>
    </w:p>
    <w:p>
      <w:pPr>
        <w:spacing w:lineRule="auto" w:line="360" w:beforeAutospacing="0" w:afterAutospacing="0"/>
        <w:jc w:val="both"/>
        <w:rPr>
          <w:rFonts w:asciiTheme="majorBidi" w:hAnsiTheme="majorBidi" w:cstheme="majorBidi" w:eastAsia="Times New Roman"/>
          <w:sz w:val="24"/>
          <w:szCs w:val="24"/>
        </w:rPr>
      </w:pPr>
      <w:r>
        <w:rPr>
          <w:rFonts w:asciiTheme="majorBidi" w:hAnsiTheme="majorBidi" w:cstheme="majorBidi" w:eastAsia="Times New Roman"/>
          <w:sz w:val="24"/>
          <w:szCs w:val="24"/>
          <w:rtl/>
        </w:rPr>
        <w:t>وتزداد أهمية الالتزام بهذه الأخلاقيات في الدراسات الميدانية التي تتعامل مباشرة مع المبحوثين من البشر</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كما هو الحال في الدراسة الحالية المتعلقة بأثر تطبيق نظم إدارة الجودة</w:t>
      </w:r>
      <w:r>
        <w:rPr>
          <w:rFonts w:asciiTheme="majorBidi" w:hAnsiTheme="majorBidi" w:cstheme="majorBidi" w:eastAsia="Times New Roman"/>
          <w:sz w:val="24"/>
          <w:szCs w:val="24"/>
          <w:rtl/>
        </w:rPr>
        <w:t xml:space="preserve"> </w:t>
      </w:r>
      <w:r>
        <w:rPr>
          <w:rFonts w:asciiTheme="majorBidi" w:hAnsiTheme="majorBidi" w:cstheme="majorBidi" w:eastAsia="Times New Roman"/>
          <w:sz w:val="24"/>
          <w:szCs w:val="24"/>
        </w:rPr>
        <w:t>ISO 9001</w:t>
      </w:r>
      <w:r>
        <w:rPr>
          <w:rFonts w:asciiTheme="majorBidi" w:hAnsiTheme="majorBidi" w:cstheme="majorBidi" w:eastAsia="Times New Roman"/>
          <w:sz w:val="24"/>
          <w:szCs w:val="24"/>
          <w:rtl/>
        </w:rPr>
        <w:t xml:space="preserve"> </w:t>
      </w:r>
      <w:r>
        <w:rPr>
          <w:rFonts w:asciiTheme="majorBidi" w:hAnsiTheme="majorBidi" w:cstheme="majorBidi" w:eastAsia="Times New Roman"/>
          <w:sz w:val="24"/>
          <w:szCs w:val="24"/>
          <w:rtl/>
        </w:rPr>
        <w:t>على كفاءة برامج مكافحة الآفات النباتية وتقليل الفاقد الزراعي في مزارع الفاكهة بمنطقة جازان</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حيث يقتضي إنجاز هذه الدراسة جمع البيانات من مديري المزارع والمهندسين الزراعيين والمشرفين الفنيين والعاملين عبر استبانة ميدانية تُوزّع على عينة تتجاوز </w:t>
      </w:r>
      <w:r>
        <w:rPr>
          <w:rFonts w:asciiTheme="majorBidi" w:hAnsiTheme="majorBidi" w:cstheme="majorBidi" w:eastAsia="Times New Roman"/>
          <w:sz w:val="24"/>
          <w:szCs w:val="24"/>
          <w:rtl/>
        </w:rPr>
        <w:t>350</w:t>
      </w:r>
      <w:r>
        <w:rPr>
          <w:rFonts w:asciiTheme="majorBidi" w:hAnsiTheme="majorBidi" w:cstheme="majorBidi" w:eastAsia="Times New Roman"/>
          <w:sz w:val="24"/>
          <w:szCs w:val="24"/>
          <w:rtl/>
        </w:rPr>
        <w:t xml:space="preserve"> مفردة</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وهو ما يستوجب التزاماً صارماً بمبادئ الأخلاقيات البحثية في كل خطوة من خطوات العمل</w:t>
      </w:r>
      <w:r>
        <w:rPr>
          <w:rFonts w:asciiTheme="majorBidi" w:hAnsiTheme="majorBidi" w:cstheme="majorBidi" w:eastAsia="Times New Roman"/>
          <w:sz w:val="24"/>
          <w:szCs w:val="24"/>
        </w:rPr>
        <w:t>.</w:t>
      </w:r>
    </w:p>
    <w:p>
      <w:pPr>
        <w:spacing w:lineRule="auto" w:line="360" w:beforeAutospacing="0" w:afterAutospacing="0"/>
        <w:jc w:val="both"/>
        <w:rPr>
          <w:rFonts w:asciiTheme="majorBidi" w:hAnsiTheme="majorBidi" w:cstheme="majorBidi" w:eastAsia="Times New Roman"/>
          <w:sz w:val="24"/>
          <w:szCs w:val="24"/>
        </w:rPr>
      </w:pPr>
      <w:r>
        <w:rPr>
          <w:rFonts w:asciiTheme="majorBidi" w:hAnsiTheme="majorBidi" w:cstheme="majorBidi" w:eastAsia="Times New Roman"/>
          <w:sz w:val="24"/>
          <w:szCs w:val="24"/>
          <w:rtl/>
        </w:rPr>
        <w:t>ويهدف هذا التقرير إلى استعراض المبادئ الأساسية لأخلاقيات البحث العلمي وتحليل أبرز القضايا الأخلاقية التي قد تواجه الباحث</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ثم تطبيق هذه المبادئ بشكل عملي وتفصيلي على موضوع الدراسة المذكور</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بما يعكس فهماً نظرياً متيناً وقدرة تطبيقية تضمن تنفيذ البحث وفق أعلى المعايير الأكاديمية المعتمدة دولياً</w:t>
      </w:r>
      <w:r>
        <w:rPr>
          <w:rFonts w:asciiTheme="majorBidi" w:hAnsiTheme="majorBidi" w:cstheme="majorBidi" w:eastAsia="Times New Roman"/>
          <w:sz w:val="24"/>
          <w:szCs w:val="24"/>
        </w:rPr>
        <w:t>.</w:t>
      </w:r>
    </w:p>
    <w:p>
      <w:pPr>
        <w:spacing w:lineRule="auto" w:line="360" w:beforeAutospacing="0" w:afterAutospacing="0"/>
        <w:jc w:val="both"/>
        <w:rPr>
          <w:rFonts w:asciiTheme="majorBidi" w:hAnsiTheme="majorBidi" w:cstheme="majorBidi" w:eastAsia="Times New Roman"/>
          <w:b w:val="1"/>
          <w:bCs w:val="1"/>
          <w:sz w:val="28"/>
          <w:szCs w:val="28"/>
          <w:u w:val="single"/>
        </w:rPr>
      </w:pPr>
      <w:r>
        <w:rPr>
          <w:rFonts w:asciiTheme="majorBidi" w:hAnsiTheme="majorBidi" w:cstheme="majorBidi" w:eastAsia="Times New Roman"/>
          <w:b w:val="1"/>
          <w:bCs w:val="1"/>
          <w:sz w:val="28"/>
          <w:szCs w:val="28"/>
          <w:u w:val="single"/>
          <w:rtl/>
        </w:rPr>
        <w:t>أهمية أخلاقيات البحث العلمي</w:t>
      </w:r>
    </w:p>
    <w:p>
      <w:pPr>
        <w:spacing w:lineRule="auto" w:line="360" w:beforeAutospacing="0" w:afterAutospacing="0"/>
        <w:jc w:val="both"/>
        <w:rPr>
          <w:rFonts w:asciiTheme="majorBidi" w:hAnsiTheme="majorBidi" w:cstheme="majorBidi" w:eastAsia="Times New Roman"/>
          <w:sz w:val="24"/>
          <w:szCs w:val="24"/>
        </w:rPr>
      </w:pPr>
      <w:r>
        <w:rPr>
          <w:rFonts w:asciiTheme="majorBidi" w:hAnsiTheme="majorBidi" w:cstheme="majorBidi" w:eastAsia="Times New Roman"/>
          <w:sz w:val="24"/>
          <w:szCs w:val="24"/>
          <w:rtl/>
        </w:rPr>
        <w:t>تكتسب أخلاقيات البحث العلمي أهميتها من كونها الضامن الرئيسي لمصداقية المعرفة العلمية وموثوقيتها</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إذ إن البحث الذي يُنجَز في غياب الأطر الأخلاقية الواضحة يفقد قيمته العلمية مهما بلغت دقته المنهجية أو تطورت أدواته الإحصائية</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لأن أي شك في نزاهة الباحث أو في سلامة بياناته كافٍ لإسقاط نتائجه واستبعادها من دائرة المعرفة المعتمدة</w:t>
      </w:r>
      <w:r>
        <w:rPr>
          <w:rFonts w:asciiTheme="majorBidi" w:hAnsiTheme="majorBidi" w:cstheme="majorBidi" w:eastAsia="Times New Roman"/>
          <w:sz w:val="24"/>
          <w:szCs w:val="24"/>
          <w:rtl/>
        </w:rPr>
        <w:t xml:space="preserve"> </w:t>
      </w:r>
      <w:r>
        <w:rPr>
          <w:rFonts w:asciiTheme="majorBidi" w:hAnsiTheme="majorBidi" w:cstheme="majorBidi" w:eastAsia="Times New Roman"/>
          <w:sz w:val="24"/>
          <w:szCs w:val="24"/>
        </w:rPr>
        <w:t>(</w:t>
      </w:r>
      <w:r>
        <w:rPr>
          <w:rFonts w:asciiTheme="majorBidi" w:hAnsiTheme="majorBidi" w:cstheme="majorBidi" w:eastAsia="Times New Roman"/>
          <w:sz w:val="24"/>
          <w:szCs w:val="24"/>
        </w:rPr>
        <w:t>Israel</w:t>
      </w:r>
      <w:r>
        <w:rPr>
          <w:rFonts w:asciiTheme="majorBidi" w:hAnsiTheme="majorBidi" w:cstheme="majorBidi" w:eastAsia="Times New Roman"/>
          <w:sz w:val="24"/>
          <w:szCs w:val="24"/>
        </w:rPr>
        <w:t>,</w:t>
      </w:r>
      <w:r>
        <w:rPr>
          <w:rFonts w:asciiTheme="majorBidi" w:hAnsiTheme="majorBidi" w:cstheme="majorBidi" w:eastAsia="Times New Roman"/>
          <w:sz w:val="24"/>
          <w:szCs w:val="24"/>
        </w:rPr>
        <w:t xml:space="preserve"> 2015</w:t>
      </w:r>
      <w:r>
        <w:rPr>
          <w:rFonts w:asciiTheme="majorBidi" w:hAnsiTheme="majorBidi" w:cstheme="majorBidi" w:eastAsia="Times New Roman"/>
          <w:sz w:val="24"/>
          <w:szCs w:val="24"/>
        </w:rPr>
        <w:t>)</w:t>
      </w:r>
      <w:r>
        <w:rPr>
          <w:rFonts w:asciiTheme="majorBidi" w:hAnsiTheme="majorBidi" w:cstheme="majorBidi" w:eastAsia="Times New Roman"/>
          <w:sz w:val="24"/>
          <w:szCs w:val="24"/>
        </w:rPr>
        <w:t>.</w:t>
      </w:r>
      <w:r>
        <w:rPr>
          <w:rFonts w:asciiTheme="majorBidi" w:hAnsiTheme="majorBidi" w:cstheme="majorBidi" w:eastAsia="Times New Roman"/>
          <w:sz w:val="24"/>
          <w:szCs w:val="24"/>
          <w:rtl/>
        </w:rPr>
        <w:t xml:space="preserve"> </w:t>
      </w:r>
      <w:r>
        <w:rPr>
          <w:rFonts w:asciiTheme="majorBidi" w:hAnsiTheme="majorBidi" w:cstheme="majorBidi" w:eastAsia="Times New Roman"/>
          <w:sz w:val="24"/>
          <w:szCs w:val="24"/>
          <w:rtl/>
        </w:rPr>
        <w:t>وتتجلى أهمية هذه الأخلاقيات في عدة مستويات متكاملة يُسهم كل منها في تعزيز الصرح المعرفي وحماية الفاعلين فيه</w:t>
      </w:r>
      <w:r>
        <w:rPr>
          <w:rFonts w:asciiTheme="majorBidi" w:hAnsiTheme="majorBidi" w:cstheme="majorBidi" w:eastAsia="Times New Roman"/>
          <w:sz w:val="24"/>
          <w:szCs w:val="24"/>
        </w:rPr>
        <w:t>.</w:t>
      </w:r>
    </w:p>
    <w:p>
      <w:pPr>
        <w:spacing w:lineRule="auto" w:line="360" w:beforeAutospacing="0" w:afterAutospacing="0"/>
        <w:jc w:val="both"/>
        <w:rPr>
          <w:rFonts w:asciiTheme="majorBidi" w:hAnsiTheme="majorBidi" w:cstheme="majorBidi" w:eastAsia="Times New Roman"/>
          <w:sz w:val="24"/>
          <w:szCs w:val="24"/>
        </w:rPr>
      </w:pPr>
      <w:r>
        <w:rPr>
          <w:rFonts w:asciiTheme="majorBidi" w:hAnsiTheme="majorBidi" w:cstheme="majorBidi" w:eastAsia="Times New Roman"/>
          <w:sz w:val="24"/>
          <w:szCs w:val="24"/>
          <w:rtl/>
        </w:rPr>
        <w:t>فعلى مستوى البحث ذاته</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تضمن الأخلاقيات جودة النتائج ومصداقيتها من خلال إلزام الباحث بجمع البيانات بطرق سليمة وتحليلها بموضوعية وعرضها بأمانة دون تحريف أو انتقائية</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فحين يلتزم الباحث في الدراسة الحالية بنقل استجابات العاملين في مزارع جازان كما هي دون تعديل أو حذف لما لا يتفق مع فروضه</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فإنه يُقدّم للمجتمع العلمي صورة حقيقية عن واقع تطبيق نظم الجودة في القطاع الزراعي</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يمكن البناء عليها في دراسات لاحقة وفي صياغة سياسات تنموية رشيدة</w:t>
      </w:r>
      <w:r>
        <w:rPr>
          <w:rFonts w:asciiTheme="majorBidi" w:hAnsiTheme="majorBidi" w:cstheme="majorBidi" w:eastAsia="Times New Roman"/>
          <w:sz w:val="24"/>
          <w:szCs w:val="24"/>
        </w:rPr>
        <w:t>.</w:t>
      </w:r>
    </w:p>
    <w:p>
      <w:pPr>
        <w:spacing w:lineRule="auto" w:line="360" w:beforeAutospacing="0" w:afterAutospacing="0"/>
        <w:jc w:val="both"/>
        <w:rPr>
          <w:rFonts w:asciiTheme="majorBidi" w:hAnsiTheme="majorBidi" w:cstheme="majorBidi" w:eastAsia="Times New Roman"/>
          <w:sz w:val="24"/>
          <w:szCs w:val="24"/>
        </w:rPr>
      </w:pPr>
      <w:r>
        <w:rPr>
          <w:rFonts w:asciiTheme="majorBidi" w:hAnsiTheme="majorBidi" w:cstheme="majorBidi" w:eastAsia="Times New Roman"/>
          <w:sz w:val="24"/>
          <w:szCs w:val="24"/>
          <w:rtl/>
        </w:rPr>
        <w:t>وعلى مستوى المشاركين في البحث</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تحمي الأخلاقيات حقوقهم وكرامتهم من أي استغلال أو ضرر محتمل</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فالعاملون في المزارع الذين يُشاركون بأرائهم في الاستبانة يضعون ثقتهم في الباحث ويستحقون أن تُصان هذه الثقة من خلال حفظ سرية بياناتهم وعدم الإفصاح عن هويتهم وعدم استخدام إجاباتهم بطريقة قد تُلحق ضرراً وظيفياً أو شخصياً بهم</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كما تحمي الأخلاقيات المؤسسات المشاركة في البحث</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إذ إن مزارع الفاكهة التي تفتح أبوابها للباحث لا ترغب في أن تُكشف معلوماتها التشغيلية أو ممارساتها الإدارية أمام منافسيها</w:t>
      </w:r>
      <w:r>
        <w:rPr>
          <w:rFonts w:asciiTheme="majorBidi" w:hAnsiTheme="majorBidi" w:cstheme="majorBidi" w:eastAsia="Times New Roman"/>
          <w:sz w:val="24"/>
          <w:szCs w:val="24"/>
        </w:rPr>
        <w:t>.</w:t>
      </w:r>
    </w:p>
    <w:p>
      <w:pPr>
        <w:spacing w:lineRule="auto" w:line="360" w:beforeAutospacing="0" w:afterAutospacing="0"/>
        <w:jc w:val="both"/>
        <w:rPr>
          <w:rFonts w:asciiTheme="majorBidi" w:hAnsiTheme="majorBidi" w:cstheme="majorBidi" w:eastAsia="Times New Roman"/>
          <w:sz w:val="24"/>
          <w:szCs w:val="24"/>
        </w:rPr>
      </w:pPr>
      <w:r>
        <w:rPr>
          <w:rFonts w:asciiTheme="majorBidi" w:hAnsiTheme="majorBidi" w:cstheme="majorBidi" w:eastAsia="Times New Roman"/>
          <w:sz w:val="24"/>
          <w:szCs w:val="24"/>
          <w:rtl/>
        </w:rPr>
        <w:t>وعلى مستوى المجتمع الأكاديمي</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تُسهم الأخلاقيات في بناء الثقة بين الباحثين والمؤسسات العلمية والممولين والجمهور</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وهي ثقة تُمثّل الرصيد الذي يقوم عليه النشاط العلمي برمّته</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فحين تتكرر حالات الانتحال أو التلفيق في المجتمع الأكاديمي يهتز اعتماد الجمهور على المعرفة العلمية وتتراجع الاستثمارات في البحث وتنخفض مكانة المؤسسات العلمية</w:t>
      </w:r>
      <w:r>
        <w:rPr>
          <w:rFonts w:asciiTheme="majorBidi" w:hAnsiTheme="majorBidi" w:cstheme="majorBidi" w:eastAsia="Times New Roman"/>
          <w:sz w:val="24"/>
          <w:szCs w:val="24"/>
          <w:rtl/>
        </w:rPr>
        <w:t xml:space="preserve"> </w:t>
      </w:r>
      <w:r>
        <w:rPr>
          <w:rFonts w:asciiTheme="majorBidi" w:hAnsiTheme="majorBidi" w:cstheme="majorBidi" w:eastAsia="Times New Roman"/>
          <w:sz w:val="24"/>
          <w:szCs w:val="24"/>
        </w:rPr>
        <w:t>(</w:t>
      </w:r>
      <w:r>
        <w:rPr>
          <w:rFonts w:asciiTheme="majorBidi" w:hAnsiTheme="majorBidi" w:cstheme="majorBidi" w:eastAsia="Times New Roman"/>
          <w:sz w:val="24"/>
          <w:szCs w:val="24"/>
        </w:rPr>
        <w:t>Resnik</w:t>
      </w:r>
      <w:r>
        <w:rPr>
          <w:rFonts w:asciiTheme="majorBidi" w:hAnsiTheme="majorBidi" w:cstheme="majorBidi" w:eastAsia="Times New Roman"/>
          <w:sz w:val="24"/>
          <w:szCs w:val="24"/>
        </w:rPr>
        <w:t>,</w:t>
      </w:r>
      <w:r>
        <w:rPr>
          <w:rFonts w:asciiTheme="majorBidi" w:hAnsiTheme="majorBidi" w:cstheme="majorBidi" w:eastAsia="Times New Roman"/>
          <w:sz w:val="24"/>
          <w:szCs w:val="24"/>
        </w:rPr>
        <w:t xml:space="preserve"> 2020</w:t>
      </w:r>
      <w:r>
        <w:rPr>
          <w:rFonts w:asciiTheme="majorBidi" w:hAnsiTheme="majorBidi" w:cstheme="majorBidi" w:eastAsia="Times New Roman"/>
          <w:sz w:val="24"/>
          <w:szCs w:val="24"/>
        </w:rPr>
        <w:t>)</w:t>
      </w:r>
      <w:r>
        <w:rPr>
          <w:rFonts w:asciiTheme="majorBidi" w:hAnsiTheme="majorBidi" w:cstheme="majorBidi" w:eastAsia="Times New Roman"/>
          <w:sz w:val="24"/>
          <w:szCs w:val="24"/>
        </w:rPr>
        <w:t>.</w:t>
      </w:r>
      <w:r>
        <w:rPr>
          <w:rFonts w:asciiTheme="majorBidi" w:hAnsiTheme="majorBidi" w:cstheme="majorBidi" w:eastAsia="Times New Roman"/>
          <w:sz w:val="24"/>
          <w:szCs w:val="24"/>
          <w:rtl/>
        </w:rPr>
        <w:t xml:space="preserve"> </w:t>
      </w:r>
      <w:r>
        <w:rPr>
          <w:rFonts w:asciiTheme="majorBidi" w:hAnsiTheme="majorBidi" w:cstheme="majorBidi" w:eastAsia="Times New Roman"/>
          <w:sz w:val="24"/>
          <w:szCs w:val="24"/>
          <w:rtl/>
        </w:rPr>
        <w:t>أما على مستوى المجتمع الأوسع</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فإن البحوث الملتزمة بأخلاقياتها تُنتج معرفة قابلة للتطبيق في السياسات العامة والممارسات المهنية</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وهو ما يخدم في حالة الدراسة الحالية أهداف الأمن الغذائي والتنمية الزراعية المستدامة التي تتبناها رؤية المملكة العربية السعودية </w:t>
      </w:r>
      <w:r>
        <w:rPr>
          <w:rFonts w:asciiTheme="majorBidi" w:hAnsiTheme="majorBidi" w:cstheme="majorBidi" w:eastAsia="Times New Roman"/>
          <w:sz w:val="24"/>
          <w:szCs w:val="24"/>
          <w:rtl/>
        </w:rPr>
        <w:t>2030</w:t>
      </w:r>
      <w:r>
        <w:rPr>
          <w:rFonts w:asciiTheme="majorBidi" w:hAnsiTheme="majorBidi" w:cstheme="majorBidi" w:eastAsia="Times New Roman"/>
          <w:sz w:val="24"/>
          <w:szCs w:val="24"/>
        </w:rPr>
        <w:t>.</w:t>
      </w:r>
    </w:p>
    <w:p>
      <w:pPr>
        <w:spacing w:lineRule="auto" w:line="360" w:beforeAutospacing="0" w:afterAutospacing="0"/>
        <w:jc w:val="both"/>
        <w:rPr>
          <w:rFonts w:asciiTheme="majorBidi" w:hAnsiTheme="majorBidi" w:cstheme="majorBidi" w:eastAsia="Times New Roman"/>
          <w:sz w:val="24"/>
          <w:szCs w:val="24"/>
        </w:rPr>
      </w:pPr>
      <w:r>
        <w:rPr>
          <w:rFonts w:asciiTheme="majorBidi" w:hAnsiTheme="majorBidi" w:cstheme="majorBidi" w:eastAsia="Times New Roman"/>
          <w:sz w:val="24"/>
          <w:szCs w:val="24"/>
          <w:rtl/>
        </w:rPr>
        <w:t>ومن ثم يُمكن القول إن العلاقة بين الأخلاقيات والموثوقية العلمية علاقة عضوية لا انفصام فيها</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فكلما ارتفع مستوى الالتزام الأخلاقي ارتفعت تبعاً لذلك درجة الثقة في النتائج وقابليتها للتعميم والاستفادة منها</w:t>
      </w:r>
      <w:r>
        <w:rPr>
          <w:rFonts w:asciiTheme="majorBidi" w:hAnsiTheme="majorBidi" w:cstheme="majorBidi" w:eastAsia="Times New Roman"/>
          <w:sz w:val="24"/>
          <w:szCs w:val="24"/>
        </w:rPr>
        <w:t>.</w:t>
      </w:r>
    </w:p>
    <w:p>
      <w:pPr>
        <w:spacing w:lineRule="auto" w:line="360" w:beforeAutospacing="0" w:afterAutospacing="0"/>
        <w:jc w:val="both"/>
        <w:rPr>
          <w:rFonts w:asciiTheme="majorBidi" w:hAnsiTheme="majorBidi" w:cstheme="majorBidi" w:eastAsia="Times New Roman"/>
          <w:b w:val="1"/>
          <w:bCs w:val="1"/>
          <w:sz w:val="28"/>
          <w:szCs w:val="28"/>
          <w:u w:val="single"/>
        </w:rPr>
      </w:pPr>
      <w:r>
        <w:rPr>
          <w:rFonts w:asciiTheme="majorBidi" w:hAnsiTheme="majorBidi" w:cstheme="majorBidi" w:eastAsia="Times New Roman"/>
          <w:b w:val="1"/>
          <w:bCs w:val="1"/>
          <w:sz w:val="28"/>
          <w:szCs w:val="28"/>
          <w:u w:val="single"/>
          <w:rtl/>
        </w:rPr>
        <w:t>المبادئ الأساسية لأخلاقيات البحث العلمي</w:t>
      </w:r>
    </w:p>
    <w:p>
      <w:pPr>
        <w:spacing w:lineRule="auto" w:line="360" w:beforeAutospacing="0" w:afterAutospacing="0"/>
        <w:jc w:val="both"/>
        <w:rPr>
          <w:rFonts w:asciiTheme="majorBidi" w:hAnsiTheme="majorBidi" w:cstheme="majorBidi" w:eastAsia="Times New Roman"/>
          <w:sz w:val="24"/>
          <w:szCs w:val="24"/>
        </w:rPr>
      </w:pPr>
      <w:r>
        <w:rPr>
          <w:rFonts w:asciiTheme="majorBidi" w:hAnsiTheme="majorBidi" w:cstheme="majorBidi" w:eastAsia="Times New Roman"/>
          <w:sz w:val="24"/>
          <w:szCs w:val="24"/>
          <w:rtl/>
        </w:rPr>
        <w:t>تقوم أخلاقيات البحث العلمي على منظومة من المبادئ المترابطة التي يُكمّل بعضها بعضاً</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ويُشكّل كل منها رُكناً لا يستقيم البحث دون مراعاته</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وفيما يلي عرض لأبرز هذه المبادئ مع تقديم أمثلة توضيحية مستمدة من سياق الدراسة الحالية أو من السياقات البحثية ذات الصلة</w:t>
      </w:r>
      <w:r>
        <w:rPr>
          <w:rFonts w:asciiTheme="majorBidi" w:hAnsiTheme="majorBidi" w:cstheme="majorBidi" w:eastAsia="Times New Roman"/>
          <w:sz w:val="24"/>
          <w:szCs w:val="24"/>
        </w:rPr>
        <w:t>.</w:t>
      </w:r>
    </w:p>
    <w:p>
      <w:pPr>
        <w:spacing w:lineRule="auto" w:line="360" w:beforeAutospacing="0" w:afterAutospacing="0"/>
        <w:jc w:val="both"/>
        <w:rPr>
          <w:rFonts w:asciiTheme="majorBidi" w:hAnsiTheme="majorBidi" w:cstheme="majorBidi" w:eastAsia="Times New Roman"/>
          <w:sz w:val="24"/>
          <w:szCs w:val="24"/>
        </w:rPr>
      </w:pPr>
      <w:r>
        <w:rPr>
          <w:rFonts w:asciiTheme="majorBidi" w:hAnsiTheme="majorBidi" w:cstheme="majorBidi" w:eastAsia="Times New Roman"/>
          <w:b w:val="1"/>
          <w:bCs w:val="1"/>
          <w:sz w:val="24"/>
          <w:szCs w:val="24"/>
          <w:rtl/>
        </w:rPr>
        <w:t>الأمانة العلمية</w:t>
      </w:r>
      <w:r>
        <w:rPr>
          <w:rFonts w:asciiTheme="majorBidi" w:hAnsiTheme="majorBidi" w:cstheme="majorBidi" w:eastAsia="Times New Roman"/>
          <w:sz w:val="24"/>
          <w:szCs w:val="24"/>
          <w:rtl/>
        </w:rPr>
        <w:t xml:space="preserve"> تُعدّ المبدأ الجوهري الذي تنبني عليه سائر المبادئ الأخرى</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ويُقصد بها التزام الباحث بنقل الحقائق كما هي ونسبة الأفكار والاقتباسات إلى أصحابها الأصليين وعدم انتحال جهود الآخرين أو ادعاء أنها من إنتاجه الخاص</w:t>
      </w:r>
      <w:r>
        <w:rPr>
          <w:rFonts w:asciiTheme="majorBidi" w:hAnsiTheme="majorBidi" w:cstheme="majorBidi" w:eastAsia="Times New Roman"/>
          <w:sz w:val="24"/>
          <w:szCs w:val="24"/>
          <w:rtl/>
        </w:rPr>
        <w:t xml:space="preserve"> </w:t>
      </w:r>
      <w:r>
        <w:rPr>
          <w:rFonts w:asciiTheme="majorBidi" w:hAnsiTheme="majorBidi" w:cstheme="majorBidi" w:eastAsia="Times New Roman"/>
          <w:sz w:val="24"/>
          <w:szCs w:val="24"/>
        </w:rPr>
        <w:t>(</w:t>
      </w:r>
      <w:r>
        <w:rPr>
          <w:rFonts w:asciiTheme="majorBidi" w:hAnsiTheme="majorBidi" w:cstheme="majorBidi" w:eastAsia="Times New Roman"/>
          <w:sz w:val="24"/>
          <w:szCs w:val="24"/>
        </w:rPr>
        <w:t>American Psychological Association</w:t>
      </w:r>
      <w:r>
        <w:rPr>
          <w:rFonts w:asciiTheme="majorBidi" w:hAnsiTheme="majorBidi" w:cstheme="majorBidi" w:eastAsia="Times New Roman"/>
          <w:sz w:val="24"/>
          <w:szCs w:val="24"/>
        </w:rPr>
        <w:t>,</w:t>
      </w:r>
      <w:r>
        <w:rPr>
          <w:rFonts w:asciiTheme="majorBidi" w:hAnsiTheme="majorBidi" w:cstheme="majorBidi" w:eastAsia="Times New Roman"/>
          <w:sz w:val="24"/>
          <w:szCs w:val="24"/>
        </w:rPr>
        <w:t xml:space="preserve"> 2020</w:t>
      </w:r>
      <w:r>
        <w:rPr>
          <w:rFonts w:asciiTheme="majorBidi" w:hAnsiTheme="majorBidi" w:cstheme="majorBidi" w:eastAsia="Times New Roman"/>
          <w:sz w:val="24"/>
          <w:szCs w:val="24"/>
        </w:rPr>
        <w:t>)</w:t>
      </w:r>
      <w:r>
        <w:rPr>
          <w:rFonts w:asciiTheme="majorBidi" w:hAnsiTheme="majorBidi" w:cstheme="majorBidi" w:eastAsia="Times New Roman"/>
          <w:sz w:val="24"/>
          <w:szCs w:val="24"/>
        </w:rPr>
        <w:t>.</w:t>
      </w:r>
      <w:r>
        <w:rPr>
          <w:rFonts w:asciiTheme="majorBidi" w:hAnsiTheme="majorBidi" w:cstheme="majorBidi" w:eastAsia="Times New Roman"/>
          <w:sz w:val="24"/>
          <w:szCs w:val="24"/>
          <w:rtl/>
        </w:rPr>
        <w:t xml:space="preserve"> </w:t>
      </w:r>
      <w:r>
        <w:rPr>
          <w:rFonts w:asciiTheme="majorBidi" w:hAnsiTheme="majorBidi" w:cstheme="majorBidi" w:eastAsia="Times New Roman"/>
          <w:sz w:val="24"/>
          <w:szCs w:val="24"/>
          <w:rtl/>
        </w:rPr>
        <w:t>ومثال ذلك أن يقوم الباحث في الدراسة الحالية بتوثيق جميع التعريفات المتعلقة بمفهوم نظم إدارة الجودة</w:t>
      </w:r>
      <w:r>
        <w:rPr>
          <w:rFonts w:asciiTheme="majorBidi" w:hAnsiTheme="majorBidi" w:cstheme="majorBidi" w:eastAsia="Times New Roman"/>
          <w:sz w:val="24"/>
          <w:szCs w:val="24"/>
          <w:rtl/>
        </w:rPr>
        <w:t xml:space="preserve"> </w:t>
      </w:r>
      <w:r>
        <w:rPr>
          <w:rFonts w:asciiTheme="majorBidi" w:hAnsiTheme="majorBidi" w:cstheme="majorBidi" w:eastAsia="Times New Roman"/>
          <w:sz w:val="24"/>
          <w:szCs w:val="24"/>
        </w:rPr>
        <w:t>ISO 9001</w:t>
      </w:r>
      <w:r>
        <w:rPr>
          <w:rFonts w:asciiTheme="majorBidi" w:hAnsiTheme="majorBidi" w:cstheme="majorBidi" w:eastAsia="Times New Roman"/>
          <w:sz w:val="24"/>
          <w:szCs w:val="24"/>
          <w:rtl/>
        </w:rPr>
        <w:t xml:space="preserve"> </w:t>
      </w:r>
      <w:r>
        <w:rPr>
          <w:rFonts w:asciiTheme="majorBidi" w:hAnsiTheme="majorBidi" w:cstheme="majorBidi" w:eastAsia="Times New Roman"/>
          <w:sz w:val="24"/>
          <w:szCs w:val="24"/>
          <w:rtl/>
        </w:rPr>
        <w:t>وأبعادها</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وكذلك المعلومات المتعلقة بنسب الفاقد الزراعي في محاصيل الفاكهة</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بإسنادها إلى مراجعها الأصلية كدراسات</w:t>
      </w:r>
      <w:r>
        <w:rPr>
          <w:rFonts w:asciiTheme="majorBidi" w:hAnsiTheme="majorBidi" w:cstheme="majorBidi" w:eastAsia="Times New Roman"/>
          <w:sz w:val="24"/>
          <w:szCs w:val="24"/>
          <w:rtl/>
        </w:rPr>
        <w:t xml:space="preserve"> </w:t>
      </w:r>
      <w:r>
        <w:rPr>
          <w:rFonts w:asciiTheme="majorBidi" w:hAnsiTheme="majorBidi" w:cstheme="majorBidi" w:eastAsia="Times New Roman"/>
          <w:sz w:val="24"/>
          <w:szCs w:val="24"/>
        </w:rPr>
        <w:t>Sfreddo</w:t>
      </w:r>
      <w:r>
        <w:rPr>
          <w:rFonts w:asciiTheme="majorBidi" w:hAnsiTheme="majorBidi" w:cstheme="majorBidi" w:eastAsia="Times New Roman"/>
          <w:sz w:val="24"/>
          <w:szCs w:val="24"/>
          <w:rtl/>
        </w:rPr>
        <w:t xml:space="preserve"> </w:t>
      </w:r>
      <w:r>
        <w:rPr>
          <w:rFonts w:asciiTheme="majorBidi" w:hAnsiTheme="majorBidi" w:cstheme="majorBidi" w:eastAsia="Times New Roman"/>
          <w:sz w:val="24"/>
          <w:szCs w:val="24"/>
          <w:rtl/>
        </w:rPr>
        <w:t xml:space="preserve">وزملائه </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2021</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ودراسة</w:t>
      </w:r>
      <w:r>
        <w:rPr>
          <w:rFonts w:asciiTheme="majorBidi" w:hAnsiTheme="majorBidi" w:cstheme="majorBidi" w:eastAsia="Times New Roman"/>
          <w:sz w:val="24"/>
          <w:szCs w:val="24"/>
          <w:rtl/>
        </w:rPr>
        <w:t xml:space="preserve"> </w:t>
      </w:r>
      <w:r>
        <w:rPr>
          <w:rFonts w:asciiTheme="majorBidi" w:hAnsiTheme="majorBidi" w:cstheme="majorBidi" w:eastAsia="Times New Roman"/>
          <w:sz w:val="24"/>
          <w:szCs w:val="24"/>
        </w:rPr>
        <w:t>Etefa</w:t>
      </w:r>
      <w:r>
        <w:rPr>
          <w:rFonts w:asciiTheme="majorBidi" w:hAnsiTheme="majorBidi" w:cstheme="majorBidi" w:eastAsia="Times New Roman"/>
          <w:sz w:val="24"/>
          <w:szCs w:val="24"/>
          <w:rtl/>
        </w:rPr>
        <w:t xml:space="preserve"> </w:t>
      </w:r>
      <w:r>
        <w:rPr>
          <w:rFonts w:asciiTheme="majorBidi" w:hAnsiTheme="majorBidi" w:cstheme="majorBidi" w:eastAsia="Times New Roman"/>
          <w:sz w:val="24"/>
          <w:szCs w:val="24"/>
          <w:rtl/>
        </w:rPr>
        <w:t xml:space="preserve">وزملائه </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2022</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مع وضع علامات الاقتباس عند نقل النصوص حرفياً</w:t>
      </w:r>
      <w:r>
        <w:rPr>
          <w:rFonts w:asciiTheme="majorBidi" w:hAnsiTheme="majorBidi" w:cstheme="majorBidi" w:eastAsia="Times New Roman"/>
          <w:sz w:val="24"/>
          <w:szCs w:val="24"/>
        </w:rPr>
        <w:t>.</w:t>
      </w:r>
    </w:p>
    <w:p>
      <w:pPr>
        <w:spacing w:lineRule="auto" w:line="360" w:beforeAutospacing="0" w:afterAutospacing="0"/>
        <w:jc w:val="both"/>
        <w:rPr>
          <w:rFonts w:asciiTheme="majorBidi" w:hAnsiTheme="majorBidi" w:cstheme="majorBidi" w:eastAsia="Times New Roman"/>
          <w:sz w:val="24"/>
          <w:szCs w:val="24"/>
        </w:rPr>
      </w:pPr>
      <w:r>
        <w:rPr>
          <w:rFonts w:asciiTheme="majorBidi" w:hAnsiTheme="majorBidi" w:cstheme="majorBidi" w:eastAsia="Times New Roman"/>
          <w:b w:val="1"/>
          <w:bCs w:val="1"/>
          <w:sz w:val="24"/>
          <w:szCs w:val="24"/>
          <w:rtl/>
        </w:rPr>
        <w:t>النزاهة</w:t>
      </w:r>
      <w:r>
        <w:rPr>
          <w:rFonts w:asciiTheme="majorBidi" w:hAnsiTheme="majorBidi" w:cstheme="majorBidi" w:eastAsia="Times New Roman"/>
          <w:sz w:val="24"/>
          <w:szCs w:val="24"/>
          <w:rtl/>
        </w:rPr>
        <w:t xml:space="preserve"> تتجاوز الأمانة لتشمل التزام الباحث بالصدق في كل مراحل عمله بما في ذلك الإفصاح عن مصادر تمويله وأي تضارب محتمل في المصالح</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والاعتراف بمحدودية دراسته وعدم المبالغة في عرض نتائجها</w:t>
      </w:r>
      <w:r>
        <w:rPr>
          <w:rFonts w:asciiTheme="majorBidi" w:hAnsiTheme="majorBidi" w:cstheme="majorBidi" w:eastAsia="Times New Roman"/>
          <w:sz w:val="24"/>
          <w:szCs w:val="24"/>
          <w:rtl/>
        </w:rPr>
        <w:t xml:space="preserve"> </w:t>
      </w:r>
      <w:r>
        <w:rPr>
          <w:rFonts w:asciiTheme="majorBidi" w:hAnsiTheme="majorBidi" w:cstheme="majorBidi" w:eastAsia="Times New Roman"/>
          <w:sz w:val="24"/>
          <w:szCs w:val="24"/>
        </w:rPr>
        <w:t>(</w:t>
      </w:r>
      <w:r>
        <w:rPr>
          <w:rFonts w:asciiTheme="majorBidi" w:hAnsiTheme="majorBidi" w:cstheme="majorBidi" w:eastAsia="Times New Roman"/>
          <w:sz w:val="24"/>
          <w:szCs w:val="24"/>
        </w:rPr>
        <w:t>Bryman</w:t>
      </w:r>
      <w:r>
        <w:rPr>
          <w:rFonts w:asciiTheme="majorBidi" w:hAnsiTheme="majorBidi" w:cstheme="majorBidi" w:eastAsia="Times New Roman"/>
          <w:sz w:val="24"/>
          <w:szCs w:val="24"/>
        </w:rPr>
        <w:t>,</w:t>
      </w:r>
      <w:r>
        <w:rPr>
          <w:rFonts w:asciiTheme="majorBidi" w:hAnsiTheme="majorBidi" w:cstheme="majorBidi" w:eastAsia="Times New Roman"/>
          <w:sz w:val="24"/>
          <w:szCs w:val="24"/>
        </w:rPr>
        <w:t xml:space="preserve"> 2016</w:t>
      </w:r>
      <w:r>
        <w:rPr>
          <w:rFonts w:asciiTheme="majorBidi" w:hAnsiTheme="majorBidi" w:cstheme="majorBidi" w:eastAsia="Times New Roman"/>
          <w:sz w:val="24"/>
          <w:szCs w:val="24"/>
        </w:rPr>
        <w:t>)</w:t>
      </w:r>
      <w:r>
        <w:rPr>
          <w:rFonts w:asciiTheme="majorBidi" w:hAnsiTheme="majorBidi" w:cstheme="majorBidi" w:eastAsia="Times New Roman"/>
          <w:sz w:val="24"/>
          <w:szCs w:val="24"/>
        </w:rPr>
        <w:t>.</w:t>
      </w:r>
      <w:r>
        <w:rPr>
          <w:rFonts w:asciiTheme="majorBidi" w:hAnsiTheme="majorBidi" w:cstheme="majorBidi" w:eastAsia="Times New Roman"/>
          <w:sz w:val="24"/>
          <w:szCs w:val="24"/>
          <w:rtl/>
        </w:rPr>
        <w:t xml:space="preserve"> </w:t>
      </w:r>
      <w:r>
        <w:rPr>
          <w:rFonts w:asciiTheme="majorBidi" w:hAnsiTheme="majorBidi" w:cstheme="majorBidi" w:eastAsia="Times New Roman"/>
          <w:sz w:val="24"/>
          <w:szCs w:val="24"/>
          <w:rtl/>
        </w:rPr>
        <w:t>فإذا تلقّى الباحث في الدراسة الحالية دعماً مادياً من إحدى شركات إنتاج المبيدات الزراعية مثلاً</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فإن النزاهة تستوجب الإفصاح عن هذا الدعم في مقدمة الدراسة حتى يتمكّن القارئ من تقييم النتائج في ضوء هذا السياق</w:t>
      </w:r>
      <w:r>
        <w:rPr>
          <w:rFonts w:asciiTheme="majorBidi" w:hAnsiTheme="majorBidi" w:cstheme="majorBidi" w:eastAsia="Times New Roman"/>
          <w:sz w:val="24"/>
          <w:szCs w:val="24"/>
        </w:rPr>
        <w:t>.</w:t>
      </w:r>
    </w:p>
    <w:p>
      <w:pPr>
        <w:spacing w:lineRule="auto" w:line="360" w:beforeAutospacing="0" w:afterAutospacing="0"/>
        <w:jc w:val="both"/>
        <w:rPr>
          <w:rFonts w:asciiTheme="majorBidi" w:hAnsiTheme="majorBidi" w:cstheme="majorBidi" w:eastAsia="Times New Roman"/>
          <w:sz w:val="24"/>
          <w:szCs w:val="24"/>
        </w:rPr>
      </w:pPr>
      <w:r>
        <w:rPr>
          <w:rFonts w:asciiTheme="majorBidi" w:hAnsiTheme="majorBidi" w:cstheme="majorBidi" w:eastAsia="Times New Roman"/>
          <w:b w:val="1"/>
          <w:bCs w:val="1"/>
          <w:sz w:val="24"/>
          <w:szCs w:val="24"/>
          <w:rtl/>
        </w:rPr>
        <w:t>الموضوعية</w:t>
      </w:r>
      <w:r>
        <w:rPr>
          <w:rFonts w:asciiTheme="majorBidi" w:hAnsiTheme="majorBidi" w:cstheme="majorBidi" w:eastAsia="Times New Roman"/>
          <w:sz w:val="24"/>
          <w:szCs w:val="24"/>
          <w:rtl/>
        </w:rPr>
        <w:t xml:space="preserve"> تعني تحييد الميول الشخصية والآراء المسبقة في جمع البيانات وتحليلها وتفسيرها</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والاعتماد على الأدلة والبراهين العلمية وحدها في الوصول إلى الاستنتاجات</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ومثال ذلك أنه إذا أظهرت نتائج التحليل الإحصائي للدراسة الحالية أن أحد أبعاد</w:t>
      </w:r>
      <w:r>
        <w:rPr>
          <w:rFonts w:asciiTheme="majorBidi" w:hAnsiTheme="majorBidi" w:cstheme="majorBidi" w:eastAsia="Times New Roman"/>
          <w:sz w:val="24"/>
          <w:szCs w:val="24"/>
          <w:rtl/>
        </w:rPr>
        <w:t xml:space="preserve"> </w:t>
      </w:r>
      <w:r>
        <w:rPr>
          <w:rFonts w:asciiTheme="majorBidi" w:hAnsiTheme="majorBidi" w:cstheme="majorBidi" w:eastAsia="Times New Roman"/>
          <w:sz w:val="24"/>
          <w:szCs w:val="24"/>
        </w:rPr>
        <w:t>ISO 9001</w:t>
      </w:r>
      <w:r>
        <w:rPr>
          <w:rFonts w:asciiTheme="majorBidi" w:hAnsiTheme="majorBidi" w:cstheme="majorBidi" w:eastAsia="Times New Roman"/>
          <w:sz w:val="24"/>
          <w:szCs w:val="24"/>
          <w:rtl/>
        </w:rPr>
        <w:t xml:space="preserve"> </w:t>
      </w:r>
      <w:r>
        <w:rPr>
          <w:rFonts w:asciiTheme="majorBidi" w:hAnsiTheme="majorBidi" w:cstheme="majorBidi" w:eastAsia="Times New Roman"/>
          <w:sz w:val="24"/>
          <w:szCs w:val="24"/>
          <w:rtl/>
        </w:rPr>
        <w:t>لا يُؤثر تأثيراً دالاً إحصائياً على تقليل الفاقد الزراعي خلافاً لتوقعات الباحث</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فإن الموضوعية تستوجب عرض هذه النتيجة كما هي ومناقشتها بشكل علمي</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لا تجاهلها أو محاولة تطويعها لخدمة الفروض المسبقة</w:t>
      </w:r>
      <w:r>
        <w:rPr>
          <w:rFonts w:asciiTheme="majorBidi" w:hAnsiTheme="majorBidi" w:cstheme="majorBidi" w:eastAsia="Times New Roman"/>
          <w:sz w:val="24"/>
          <w:szCs w:val="24"/>
        </w:rPr>
        <w:t>.</w:t>
      </w:r>
    </w:p>
    <w:p>
      <w:pPr>
        <w:spacing w:lineRule="auto" w:line="360" w:beforeAutospacing="0" w:afterAutospacing="0"/>
        <w:jc w:val="both"/>
        <w:rPr>
          <w:rFonts w:asciiTheme="majorBidi" w:hAnsiTheme="majorBidi" w:cstheme="majorBidi" w:eastAsia="Times New Roman"/>
          <w:sz w:val="24"/>
          <w:szCs w:val="24"/>
        </w:rPr>
      </w:pPr>
      <w:r>
        <w:rPr>
          <w:rFonts w:asciiTheme="majorBidi" w:hAnsiTheme="majorBidi" w:cstheme="majorBidi" w:eastAsia="Times New Roman"/>
          <w:b w:val="1"/>
          <w:bCs w:val="1"/>
          <w:sz w:val="24"/>
          <w:szCs w:val="24"/>
          <w:rtl/>
        </w:rPr>
        <w:t>السرية</w:t>
      </w:r>
      <w:r>
        <w:rPr>
          <w:rFonts w:asciiTheme="majorBidi" w:hAnsiTheme="majorBidi" w:cstheme="majorBidi" w:eastAsia="Times New Roman"/>
          <w:sz w:val="24"/>
          <w:szCs w:val="24"/>
          <w:rtl/>
        </w:rPr>
        <w:t xml:space="preserve"> تُمثّل التزاماً جوهرياً تجاه المشاركين في البحث</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ويُقصد بها حماية المعلومات الشخصية والمهنية للمبحوثين وعدم الإفصاح عنها لأي طرف ثالث</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واستخدامها فقط لأغراض الدراسة المعلنة</w:t>
      </w:r>
      <w:r>
        <w:rPr>
          <w:rFonts w:asciiTheme="majorBidi" w:hAnsiTheme="majorBidi" w:cstheme="majorBidi" w:eastAsia="Times New Roman"/>
          <w:sz w:val="24"/>
          <w:szCs w:val="24"/>
          <w:rtl/>
        </w:rPr>
        <w:t xml:space="preserve"> </w:t>
      </w:r>
      <w:r>
        <w:rPr>
          <w:rFonts w:asciiTheme="majorBidi" w:hAnsiTheme="majorBidi" w:cstheme="majorBidi" w:eastAsia="Times New Roman"/>
          <w:sz w:val="24"/>
          <w:szCs w:val="24"/>
        </w:rPr>
        <w:t>(</w:t>
      </w:r>
      <w:r>
        <w:rPr>
          <w:rFonts w:asciiTheme="majorBidi" w:hAnsiTheme="majorBidi" w:cstheme="majorBidi" w:eastAsia="Times New Roman"/>
          <w:sz w:val="24"/>
          <w:szCs w:val="24"/>
        </w:rPr>
        <w:t>Israel</w:t>
      </w:r>
      <w:r>
        <w:rPr>
          <w:rFonts w:asciiTheme="majorBidi" w:hAnsiTheme="majorBidi" w:cstheme="majorBidi" w:eastAsia="Times New Roman"/>
          <w:sz w:val="24"/>
          <w:szCs w:val="24"/>
        </w:rPr>
        <w:t>,</w:t>
      </w:r>
      <w:r>
        <w:rPr>
          <w:rFonts w:asciiTheme="majorBidi" w:hAnsiTheme="majorBidi" w:cstheme="majorBidi" w:eastAsia="Times New Roman"/>
          <w:sz w:val="24"/>
          <w:szCs w:val="24"/>
        </w:rPr>
        <w:t xml:space="preserve"> 2015</w:t>
      </w:r>
      <w:r>
        <w:rPr>
          <w:rFonts w:asciiTheme="majorBidi" w:hAnsiTheme="majorBidi" w:cstheme="majorBidi" w:eastAsia="Times New Roman"/>
          <w:sz w:val="24"/>
          <w:szCs w:val="24"/>
        </w:rPr>
        <w:t>)</w:t>
      </w:r>
      <w:r>
        <w:rPr>
          <w:rFonts w:asciiTheme="majorBidi" w:hAnsiTheme="majorBidi" w:cstheme="majorBidi" w:eastAsia="Times New Roman"/>
          <w:sz w:val="24"/>
          <w:szCs w:val="24"/>
        </w:rPr>
        <w:t>.</w:t>
      </w:r>
      <w:r>
        <w:rPr>
          <w:rFonts w:asciiTheme="majorBidi" w:hAnsiTheme="majorBidi" w:cstheme="majorBidi" w:eastAsia="Times New Roman"/>
          <w:sz w:val="24"/>
          <w:szCs w:val="24"/>
          <w:rtl/>
        </w:rPr>
        <w:t xml:space="preserve"> </w:t>
      </w:r>
      <w:r>
        <w:rPr>
          <w:rFonts w:asciiTheme="majorBidi" w:hAnsiTheme="majorBidi" w:cstheme="majorBidi" w:eastAsia="Times New Roman"/>
          <w:sz w:val="24"/>
          <w:szCs w:val="24"/>
          <w:rtl/>
        </w:rPr>
        <w:t>ومثال ذلك أن يُصمم الباحث استبانة الدراسة الحالية بحيث لا تتضمن أسئلة عن الاسم الصريح للمستجيب أو رقم هويته أو الاسم التجاري لمزرعته</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والاكتفاء بالبيانات العامة كالمحافظة والمسمى الوظيفي وسنوات الخبرة</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مع تخزين الاستبانات الإلكترونية في ملفات مشفّرة لا يصل إليها سوى الباحث</w:t>
      </w:r>
      <w:r>
        <w:rPr>
          <w:rFonts w:asciiTheme="majorBidi" w:hAnsiTheme="majorBidi" w:cstheme="majorBidi" w:eastAsia="Times New Roman"/>
          <w:sz w:val="24"/>
          <w:szCs w:val="24"/>
        </w:rPr>
        <w:t>.</w:t>
      </w:r>
    </w:p>
    <w:p>
      <w:pPr>
        <w:spacing w:lineRule="auto" w:line="360" w:beforeAutospacing="0" w:afterAutospacing="0"/>
        <w:jc w:val="both"/>
        <w:rPr>
          <w:rFonts w:asciiTheme="majorBidi" w:hAnsiTheme="majorBidi" w:cstheme="majorBidi" w:eastAsia="Times New Roman"/>
          <w:sz w:val="24"/>
          <w:szCs w:val="24"/>
        </w:rPr>
      </w:pPr>
      <w:r>
        <w:rPr>
          <w:rFonts w:asciiTheme="majorBidi" w:hAnsiTheme="majorBidi" w:cstheme="majorBidi" w:eastAsia="Times New Roman"/>
          <w:b w:val="1"/>
          <w:bCs w:val="1"/>
          <w:sz w:val="24"/>
          <w:szCs w:val="24"/>
          <w:rtl/>
        </w:rPr>
        <w:t>الموافقة المستنيرة</w:t>
      </w:r>
      <w:r>
        <w:rPr>
          <w:rFonts w:asciiTheme="majorBidi" w:hAnsiTheme="majorBidi" w:cstheme="majorBidi" w:eastAsia="Times New Roman"/>
          <w:sz w:val="24"/>
          <w:szCs w:val="24"/>
          <w:rtl/>
        </w:rPr>
        <w:t xml:space="preserve"> تعني حصول الباحث على موافقة واعية وحرّة من المشاركين قبل إدراجهم في الدراسة</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بعد إطلاعهم على أهدافها وطبيعة مشاركتهم والمخاطر والفوائد المحتملة وحقهم في الانسحاب في أي وقت دون تبعات</w:t>
      </w:r>
      <w:r>
        <w:rPr>
          <w:rFonts w:asciiTheme="majorBidi" w:hAnsiTheme="majorBidi" w:cstheme="majorBidi" w:eastAsia="Times New Roman"/>
          <w:sz w:val="24"/>
          <w:szCs w:val="24"/>
          <w:rtl/>
        </w:rPr>
        <w:t xml:space="preserve"> </w:t>
      </w:r>
      <w:r>
        <w:rPr>
          <w:rFonts w:asciiTheme="majorBidi" w:hAnsiTheme="majorBidi" w:cstheme="majorBidi" w:eastAsia="Times New Roman"/>
          <w:sz w:val="24"/>
          <w:szCs w:val="24"/>
        </w:rPr>
        <w:t>(</w:t>
      </w:r>
      <w:r>
        <w:rPr>
          <w:rFonts w:asciiTheme="majorBidi" w:hAnsiTheme="majorBidi" w:cstheme="majorBidi" w:eastAsia="Times New Roman"/>
          <w:sz w:val="24"/>
          <w:szCs w:val="24"/>
        </w:rPr>
        <w:t>Resnik</w:t>
      </w:r>
      <w:r>
        <w:rPr>
          <w:rFonts w:asciiTheme="majorBidi" w:hAnsiTheme="majorBidi" w:cstheme="majorBidi" w:eastAsia="Times New Roman"/>
          <w:sz w:val="24"/>
          <w:szCs w:val="24"/>
        </w:rPr>
        <w:t>,</w:t>
      </w:r>
      <w:r>
        <w:rPr>
          <w:rFonts w:asciiTheme="majorBidi" w:hAnsiTheme="majorBidi" w:cstheme="majorBidi" w:eastAsia="Times New Roman"/>
          <w:sz w:val="24"/>
          <w:szCs w:val="24"/>
        </w:rPr>
        <w:t xml:space="preserve"> 2020</w:t>
      </w:r>
      <w:r>
        <w:rPr>
          <w:rFonts w:asciiTheme="majorBidi" w:hAnsiTheme="majorBidi" w:cstheme="majorBidi" w:eastAsia="Times New Roman"/>
          <w:sz w:val="24"/>
          <w:szCs w:val="24"/>
        </w:rPr>
        <w:t>)</w:t>
      </w:r>
      <w:r>
        <w:rPr>
          <w:rFonts w:asciiTheme="majorBidi" w:hAnsiTheme="majorBidi" w:cstheme="majorBidi" w:eastAsia="Times New Roman"/>
          <w:sz w:val="24"/>
          <w:szCs w:val="24"/>
        </w:rPr>
        <w:t>.</w:t>
      </w:r>
      <w:r>
        <w:rPr>
          <w:rFonts w:asciiTheme="majorBidi" w:hAnsiTheme="majorBidi" w:cstheme="majorBidi" w:eastAsia="Times New Roman"/>
          <w:sz w:val="24"/>
          <w:szCs w:val="24"/>
          <w:rtl/>
        </w:rPr>
        <w:t xml:space="preserve"> </w:t>
      </w:r>
      <w:r>
        <w:rPr>
          <w:rFonts w:asciiTheme="majorBidi" w:hAnsiTheme="majorBidi" w:cstheme="majorBidi" w:eastAsia="Times New Roman"/>
          <w:sz w:val="24"/>
          <w:szCs w:val="24"/>
          <w:rtl/>
        </w:rPr>
        <w:t>ومثال ذلك أن يُرفق الباحث في الدراسة الحالية صفحة تعريفية بالاستبانة تشرح للعامل في المزرعة الغرض من الدراسة وتُؤكد له اختيارية المشاركة وسرية إجاباته وحقه في عدم الإجابة عن أي سؤال يرى فيه حرجاً</w:t>
      </w:r>
      <w:r>
        <w:rPr>
          <w:rFonts w:asciiTheme="majorBidi" w:hAnsiTheme="majorBidi" w:cstheme="majorBidi" w:eastAsia="Times New Roman"/>
          <w:sz w:val="24"/>
          <w:szCs w:val="24"/>
        </w:rPr>
        <w:t>.</w:t>
      </w:r>
    </w:p>
    <w:p>
      <w:pPr>
        <w:spacing w:lineRule="auto" w:line="360" w:beforeAutospacing="0" w:afterAutospacing="0"/>
        <w:jc w:val="both"/>
        <w:rPr>
          <w:rFonts w:asciiTheme="majorBidi" w:hAnsiTheme="majorBidi" w:cstheme="majorBidi" w:eastAsia="Times New Roman"/>
          <w:b w:val="1"/>
          <w:bCs w:val="1"/>
          <w:sz w:val="28"/>
          <w:szCs w:val="28"/>
          <w:u w:val="single"/>
        </w:rPr>
      </w:pPr>
      <w:r>
        <w:rPr>
          <w:rFonts w:asciiTheme="majorBidi" w:hAnsiTheme="majorBidi" w:cstheme="majorBidi" w:eastAsia="Times New Roman"/>
          <w:b w:val="1"/>
          <w:bCs w:val="1"/>
          <w:sz w:val="28"/>
          <w:szCs w:val="28"/>
          <w:u w:val="single"/>
          <w:rtl/>
        </w:rPr>
        <w:t>القضايا الأخلاقية في البحث العلمي</w:t>
      </w:r>
    </w:p>
    <w:p>
      <w:pPr>
        <w:spacing w:lineRule="auto" w:line="360" w:beforeAutospacing="0" w:afterAutospacing="0"/>
        <w:jc w:val="both"/>
        <w:rPr>
          <w:rFonts w:asciiTheme="majorBidi" w:hAnsiTheme="majorBidi" w:cstheme="majorBidi" w:eastAsia="Times New Roman"/>
          <w:sz w:val="24"/>
          <w:szCs w:val="24"/>
        </w:rPr>
      </w:pPr>
      <w:r>
        <w:rPr>
          <w:rFonts w:asciiTheme="majorBidi" w:hAnsiTheme="majorBidi" w:cstheme="majorBidi" w:eastAsia="Times New Roman"/>
          <w:sz w:val="24"/>
          <w:szCs w:val="24"/>
          <w:rtl/>
        </w:rPr>
        <w:t>تواجه البحوث العلمية في مختلف التخصصات جملة من القضايا والإشكاليات الأخلاقية التي قد تُلقي بظلالها على جودة العمل البحثي ومصداقيته</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ويتطلب التصدي لها وعياً عالياً من الباحث وحرصاً مستمراً على تجنب الوقوع فيها</w:t>
      </w:r>
      <w:r>
        <w:rPr>
          <w:rFonts w:asciiTheme="majorBidi" w:hAnsiTheme="majorBidi" w:cstheme="majorBidi" w:eastAsia="Times New Roman"/>
          <w:sz w:val="24"/>
          <w:szCs w:val="24"/>
        </w:rPr>
        <w:t>.</w:t>
      </w:r>
    </w:p>
    <w:p>
      <w:pPr>
        <w:spacing w:lineRule="auto" w:line="360" w:beforeAutospacing="0" w:afterAutospacing="0"/>
        <w:jc w:val="both"/>
        <w:rPr>
          <w:rFonts w:asciiTheme="majorBidi" w:hAnsiTheme="majorBidi" w:cstheme="majorBidi" w:eastAsia="Times New Roman"/>
          <w:sz w:val="24"/>
          <w:szCs w:val="24"/>
        </w:rPr>
      </w:pPr>
      <w:r>
        <w:rPr>
          <w:rFonts w:asciiTheme="majorBidi" w:hAnsiTheme="majorBidi" w:cstheme="majorBidi" w:eastAsia="Times New Roman"/>
          <w:b w:val="1"/>
          <w:bCs w:val="1"/>
          <w:sz w:val="24"/>
          <w:szCs w:val="24"/>
          <w:rtl/>
        </w:rPr>
        <w:t>الانتحال العلمي</w:t>
      </w:r>
      <w:r>
        <w:rPr>
          <w:rFonts w:asciiTheme="majorBidi" w:hAnsiTheme="majorBidi" w:cstheme="majorBidi" w:eastAsia="Times New Roman"/>
          <w:sz w:val="24"/>
          <w:szCs w:val="24"/>
          <w:rtl/>
        </w:rPr>
        <w:t xml:space="preserve"> يُمثّل أخطر القضايا الأخلاقية وأكثرها انتشاراً في البيئة الأكاديمية</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ويُقصد به نسب أفكار الآخرين أو نصوصهم إلى الذات دون توثيق أو إذن مسبق</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سواء أكان ذلك بشكل صريح كنسخ فقرات كاملة من دراسات سابقة دون الإشارة إلى مصادرها</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أم بشكل خفي كإعادة صياغة أفكار الآخرين بكلمات مختلفة دون الإحالة إليهم</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ومن الأمثلة الواقعية على ذلك ما تشهده بعض الجامعات من قضايا سحب درجات علمية لطلاب ثبت أنهم نسخوا فصولاً كاملة من رسائل ماجستير ودكتوراه سابقة</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وفي السياق الحالي قد يقع الباحث في الانتحال إذا اقتبس تعريفات الأبعاد الأربعة لـ</w:t>
      </w:r>
      <w:r>
        <w:rPr>
          <w:rFonts w:asciiTheme="majorBidi" w:hAnsiTheme="majorBidi" w:cstheme="majorBidi" w:eastAsia="Times New Roman"/>
          <w:sz w:val="24"/>
          <w:szCs w:val="24"/>
          <w:rtl/>
        </w:rPr>
        <w:t xml:space="preserve"> </w:t>
      </w:r>
      <w:r>
        <w:rPr>
          <w:rFonts w:asciiTheme="majorBidi" w:hAnsiTheme="majorBidi" w:cstheme="majorBidi" w:eastAsia="Times New Roman"/>
          <w:sz w:val="24"/>
          <w:szCs w:val="24"/>
        </w:rPr>
        <w:t>ISO 9001</w:t>
      </w:r>
      <w:r>
        <w:rPr>
          <w:rFonts w:asciiTheme="majorBidi" w:hAnsiTheme="majorBidi" w:cstheme="majorBidi" w:eastAsia="Times New Roman"/>
          <w:sz w:val="24"/>
          <w:szCs w:val="24"/>
          <w:rtl/>
        </w:rPr>
        <w:t xml:space="preserve"> </w:t>
      </w:r>
      <w:r>
        <w:rPr>
          <w:rFonts w:asciiTheme="majorBidi" w:hAnsiTheme="majorBidi" w:cstheme="majorBidi" w:eastAsia="Times New Roman"/>
          <w:sz w:val="24"/>
          <w:szCs w:val="24"/>
          <w:rtl/>
        </w:rPr>
        <w:t>من دراسة</w:t>
      </w:r>
      <w:r>
        <w:rPr>
          <w:rFonts w:asciiTheme="majorBidi" w:hAnsiTheme="majorBidi" w:cstheme="majorBidi" w:eastAsia="Times New Roman"/>
          <w:sz w:val="24"/>
          <w:szCs w:val="24"/>
          <w:rtl/>
        </w:rPr>
        <w:t xml:space="preserve"> </w:t>
      </w:r>
      <w:r>
        <w:rPr>
          <w:rFonts w:asciiTheme="majorBidi" w:hAnsiTheme="majorBidi" w:cstheme="majorBidi" w:eastAsia="Times New Roman"/>
          <w:sz w:val="24"/>
          <w:szCs w:val="24"/>
        </w:rPr>
        <w:t>Limón</w:t>
      </w:r>
      <w:r>
        <w:rPr>
          <w:rFonts w:asciiTheme="majorBidi" w:hAnsiTheme="majorBidi" w:cstheme="majorBidi" w:eastAsia="Times New Roman"/>
          <w:sz w:val="24"/>
          <w:szCs w:val="24"/>
        </w:rPr>
        <w:t>-</w:t>
      </w:r>
      <w:r>
        <w:rPr>
          <w:rFonts w:asciiTheme="majorBidi" w:hAnsiTheme="majorBidi" w:cstheme="majorBidi" w:eastAsia="Times New Roman"/>
          <w:sz w:val="24"/>
          <w:szCs w:val="24"/>
        </w:rPr>
        <w:t>Romero</w:t>
      </w:r>
      <w:r>
        <w:rPr>
          <w:rFonts w:asciiTheme="majorBidi" w:hAnsiTheme="majorBidi" w:cstheme="majorBidi" w:eastAsia="Times New Roman"/>
          <w:sz w:val="24"/>
          <w:szCs w:val="24"/>
          <w:rtl/>
        </w:rPr>
        <w:t xml:space="preserve"> </w:t>
      </w:r>
      <w:r>
        <w:rPr>
          <w:rFonts w:asciiTheme="majorBidi" w:hAnsiTheme="majorBidi" w:cstheme="majorBidi" w:eastAsia="Times New Roman"/>
          <w:sz w:val="24"/>
          <w:szCs w:val="24"/>
          <w:rtl/>
        </w:rPr>
        <w:t xml:space="preserve">وزملائه </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2024</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دون توثيق</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أو إذا أعاد صياغة الفجوة البحثية بكلمات مختلفة دون الإشارة إلى المصدر</w:t>
      </w:r>
      <w:r>
        <w:rPr>
          <w:rFonts w:asciiTheme="majorBidi" w:hAnsiTheme="majorBidi" w:cstheme="majorBidi" w:eastAsia="Times New Roman"/>
          <w:sz w:val="24"/>
          <w:szCs w:val="24"/>
        </w:rPr>
        <w:t>.</w:t>
      </w:r>
    </w:p>
    <w:p>
      <w:pPr>
        <w:spacing w:lineRule="auto" w:line="360" w:beforeAutospacing="0" w:afterAutospacing="0"/>
        <w:jc w:val="both"/>
        <w:rPr>
          <w:rFonts w:asciiTheme="majorBidi" w:hAnsiTheme="majorBidi" w:cstheme="majorBidi" w:eastAsia="Times New Roman"/>
          <w:sz w:val="24"/>
          <w:szCs w:val="24"/>
        </w:rPr>
      </w:pPr>
      <w:r>
        <w:rPr>
          <w:rFonts w:asciiTheme="majorBidi" w:hAnsiTheme="majorBidi" w:cstheme="majorBidi" w:eastAsia="Times New Roman"/>
          <w:b w:val="1"/>
          <w:bCs w:val="1"/>
          <w:sz w:val="24"/>
          <w:szCs w:val="24"/>
          <w:rtl/>
        </w:rPr>
        <w:t>تزوير البيانات</w:t>
      </w:r>
      <w:r>
        <w:rPr>
          <w:rFonts w:asciiTheme="majorBidi" w:hAnsiTheme="majorBidi" w:cstheme="majorBidi" w:eastAsia="Times New Roman"/>
          <w:sz w:val="24"/>
          <w:szCs w:val="24"/>
          <w:rtl/>
        </w:rPr>
        <w:t xml:space="preserve"> يُمثّل اعتداءً صريحاً على جوهر العمل العلمي</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ويتخذ أشكالاً متعددة تشمل اختلاق بيانات لم يجمعها الباحث فعلياً أو تعديل بيانات حقيقية لتتوافق مع فروض الدراسة أو حذف الحالات الشاذة التي لا تخدم النتائج المرجوة</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ومن الأمثلة المعروفة في تاريخ العلم قضية الباحث الياباني هاروكو أوبوكاتا في </w:t>
      </w:r>
      <w:r>
        <w:rPr>
          <w:rFonts w:asciiTheme="majorBidi" w:hAnsiTheme="majorBidi" w:cstheme="majorBidi" w:eastAsia="Times New Roman"/>
          <w:sz w:val="24"/>
          <w:szCs w:val="24"/>
          <w:rtl/>
        </w:rPr>
        <w:t>2014</w:t>
      </w:r>
      <w:r>
        <w:rPr>
          <w:rFonts w:asciiTheme="majorBidi" w:hAnsiTheme="majorBidi" w:cstheme="majorBidi" w:eastAsia="Times New Roman"/>
          <w:sz w:val="24"/>
          <w:szCs w:val="24"/>
          <w:rtl/>
        </w:rPr>
        <w:t xml:space="preserve"> التي ثبت فيها تزوير بيانات أبحاث الخلايا الجذعية مما أدى إلى سحب الأبحاث المنشورة</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وفي سياق الدراسة الحالية قد يتمثّل التزوير إذا قام الباحث باستكمال الاستبانات الناقصة بإ</w:t>
      </w:r>
    </w:p>
    <w:p>
      <w:pPr>
        <w:spacing w:lineRule="auto" w:line="360" w:beforeAutospacing="0" w:afterAutospacing="0"/>
        <w:jc w:val="both"/>
        <w:rPr>
          <w:rFonts w:asciiTheme="majorBidi" w:hAnsiTheme="majorBidi" w:cstheme="majorBidi" w:eastAsia="Times New Roman"/>
          <w:b w:val="1"/>
          <w:bCs w:val="1"/>
          <w:sz w:val="28"/>
          <w:szCs w:val="28"/>
          <w:lang w:bidi="ar-EG"/>
        </w:rPr>
      </w:pPr>
      <w:r>
        <w:rPr>
          <w:rFonts w:asciiTheme="majorBidi" w:hAnsiTheme="majorBidi" w:cstheme="majorBidi" w:eastAsia="Times New Roman"/>
          <w:b w:val="1"/>
          <w:bCs w:val="1"/>
          <w:sz w:val="28"/>
          <w:szCs w:val="28"/>
          <w:rtl/>
        </w:rPr>
        <w:t>التزامات أخلاقية إضافية في الدراسة الحالية</w:t>
      </w:r>
    </w:p>
    <w:p>
      <w:pPr>
        <w:spacing w:lineRule="auto" w:line="360" w:beforeAutospacing="0" w:afterAutospacing="0"/>
        <w:jc w:val="both"/>
        <w:rPr>
          <w:rFonts w:asciiTheme="majorBidi" w:hAnsiTheme="majorBidi" w:cstheme="majorBidi" w:eastAsia="Times New Roman"/>
          <w:b w:val="1"/>
          <w:bCs w:val="1"/>
          <w:sz w:val="24"/>
          <w:szCs w:val="24"/>
          <w:lang w:bidi="ar-EG"/>
        </w:rPr>
      </w:pPr>
      <w:r>
        <w:rPr>
          <w:rFonts w:asciiTheme="majorBidi" w:hAnsiTheme="majorBidi" w:cstheme="majorBidi" w:eastAsia="Times New Roman"/>
          <w:b w:val="1"/>
          <w:bCs w:val="1"/>
          <w:sz w:val="24"/>
          <w:szCs w:val="24"/>
          <w:rtl/>
        </w:rPr>
        <w:t>أخلاقيات التعامل مع المجتمع المحلي في منطقة جازان</w:t>
      </w:r>
    </w:p>
    <w:p>
      <w:pPr>
        <w:spacing w:lineRule="auto" w:line="360" w:beforeAutospacing="0" w:afterAutospacing="0"/>
        <w:jc w:val="both"/>
        <w:rPr>
          <w:rFonts w:asciiTheme="majorBidi" w:hAnsiTheme="majorBidi" w:cstheme="majorBidi" w:eastAsia="Times New Roman"/>
          <w:sz w:val="24"/>
          <w:szCs w:val="24"/>
          <w:lang w:bidi="ar-EG"/>
        </w:rPr>
      </w:pPr>
      <w:r>
        <w:rPr>
          <w:rFonts w:asciiTheme="majorBidi" w:hAnsiTheme="majorBidi" w:cstheme="majorBidi" w:eastAsia="Times New Roman"/>
          <w:sz w:val="24"/>
          <w:szCs w:val="24"/>
          <w:rtl/>
        </w:rPr>
        <w:t>تتميز منطقة جازان بخصوصية اجتماعية وثقافية تستوجب من الباحث وعياً خاصاً عند التعامل مع المبحوثين</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إذ يغلب على القطاع الزراعي في المنطقة الطابع الأسري والقبلي حيث تتوارث بعض الأسر مزارع الفاكهة جيلاً بعد جيل</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كما يضم العاملون في المزارع شريحة واسعة من العمالة الوافدة من جنسيات متعددة</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ويستوجب هذا الواقع من الباحث مراعاة الفروق الثقافية واللغوية</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فقد يُعدّ من الضروري ترجمة الاستبانة إلى لغات أخرى كالأردية أو البنغالية لضمان فهم العمالة الوافدة للأسئلة بشكل صحيح</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كما يستوجب احترام العادات المحلية في التواصل كالاستئذان من كبار السن من ملاك المزارع قبل التوجه للعاملين</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وتجنب الزيارات الميدانية في أوقات الصلاة أو خلال موسم الحصاد المزدحم</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ويُمثّل هذا البُعد تجسيداً لمبدأ احترام الأشخاص المنصوص عليه في تقرير بلمونت</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حيث يُنظر إلى المشاركين بوصفهم كائنات ذات استقلالية وكرامة لا مجرد مصادر للبيانات</w:t>
      </w:r>
      <w:r>
        <w:rPr>
          <w:rFonts w:asciiTheme="majorBidi" w:hAnsiTheme="majorBidi" w:cstheme="majorBidi" w:eastAsia="Times New Roman"/>
          <w:sz w:val="24"/>
          <w:szCs w:val="24"/>
          <w:lang w:bidi="ar-EG"/>
        </w:rPr>
        <w:t>.</w:t>
      </w:r>
    </w:p>
    <w:p>
      <w:pPr>
        <w:spacing w:lineRule="auto" w:line="360" w:beforeAutospacing="0" w:afterAutospacing="0"/>
        <w:jc w:val="both"/>
        <w:rPr>
          <w:rFonts w:asciiTheme="majorBidi" w:hAnsiTheme="majorBidi" w:cstheme="majorBidi" w:eastAsia="Times New Roman"/>
          <w:b w:val="1"/>
          <w:bCs w:val="1"/>
          <w:sz w:val="24"/>
          <w:szCs w:val="24"/>
          <w:lang w:bidi="ar-EG"/>
        </w:rPr>
      </w:pPr>
      <w:r>
        <w:rPr>
          <w:rFonts w:asciiTheme="majorBidi" w:hAnsiTheme="majorBidi" w:cstheme="majorBidi" w:eastAsia="Times New Roman"/>
          <w:b w:val="1"/>
          <w:bCs w:val="1"/>
          <w:sz w:val="24"/>
          <w:szCs w:val="24"/>
          <w:rtl/>
        </w:rPr>
        <w:t>أخلاقيات التحكيم العلمي للاستبانة</w:t>
      </w:r>
    </w:p>
    <w:p>
      <w:pPr>
        <w:spacing w:lineRule="auto" w:line="360" w:beforeAutospacing="0" w:afterAutospacing="0"/>
        <w:jc w:val="both"/>
        <w:rPr>
          <w:rFonts w:asciiTheme="majorBidi" w:hAnsiTheme="majorBidi" w:cstheme="majorBidi" w:eastAsia="Times New Roman"/>
          <w:sz w:val="24"/>
          <w:szCs w:val="24"/>
          <w:lang w:bidi="ar-EG"/>
        </w:rPr>
      </w:pPr>
      <w:r>
        <w:rPr>
          <w:rFonts w:asciiTheme="majorBidi" w:hAnsiTheme="majorBidi" w:cstheme="majorBidi" w:eastAsia="Times New Roman"/>
          <w:sz w:val="24"/>
          <w:szCs w:val="24"/>
          <w:rtl/>
        </w:rPr>
        <w:t>يستوجب تصميم الاستبانة عرضها على مجموعة من المحكمين المتخصصين في إدارة الجودة والإحصاء وعلوم وقاية النبات قبل تطبيقها ميدانياً</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ويرتبط بهذه العملية جملة من الاعتبارات الأخلاقية</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فعلى الباحث الإفصاح للمحكمين عن الأهداف الحقيقية للدراسة دون إخفاء أي معلومات قد تُؤثر على تقييمهم</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والاعتراف بمساهمتهم في نهاية الرسالة بأسلوب لائق يحفظ مكانتهم الأكاديمية</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كما يجب على الباحث الالتزام بإجراء التعديلات المتفق عليها في الاستبانة وعدم تجاهل ملاحظات المحكمين بحجة أنها لا تخدم توجهاته</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فالتحكيم ليس إجراءً شكلياً بل عملية علمية جوهرية تضمن جودة الأداة وصدقها</w:t>
      </w:r>
      <w:r>
        <w:rPr>
          <w:rFonts w:asciiTheme="majorBidi" w:hAnsiTheme="majorBidi" w:cstheme="majorBidi" w:eastAsia="Times New Roman"/>
          <w:sz w:val="24"/>
          <w:szCs w:val="24"/>
          <w:lang w:bidi="ar-EG"/>
        </w:rPr>
        <w:t>.</w:t>
      </w:r>
    </w:p>
    <w:p>
      <w:pPr>
        <w:spacing w:lineRule="auto" w:line="360" w:beforeAutospacing="0" w:afterAutospacing="0"/>
        <w:jc w:val="both"/>
        <w:rPr>
          <w:rFonts w:asciiTheme="majorBidi" w:hAnsiTheme="majorBidi" w:cstheme="majorBidi" w:eastAsia="Times New Roman"/>
          <w:b w:val="1"/>
          <w:bCs w:val="1"/>
          <w:sz w:val="24"/>
          <w:szCs w:val="24"/>
          <w:lang w:bidi="ar-EG"/>
        </w:rPr>
      </w:pPr>
      <w:r>
        <w:rPr>
          <w:rFonts w:asciiTheme="majorBidi" w:hAnsiTheme="majorBidi" w:cstheme="majorBidi" w:eastAsia="Times New Roman"/>
          <w:b w:val="1"/>
          <w:bCs w:val="1"/>
          <w:sz w:val="24"/>
          <w:szCs w:val="24"/>
          <w:rtl/>
        </w:rPr>
        <w:t>أخلاقيات استخدام التقنية في جمع البيانات وتحليلها</w:t>
      </w:r>
    </w:p>
    <w:p>
      <w:pPr>
        <w:spacing w:lineRule="auto" w:line="360" w:beforeAutospacing="0" w:afterAutospacing="0"/>
        <w:jc w:val="both"/>
        <w:rPr>
          <w:rFonts w:asciiTheme="majorBidi" w:hAnsiTheme="majorBidi" w:cstheme="majorBidi" w:eastAsia="Times New Roman"/>
          <w:sz w:val="24"/>
          <w:szCs w:val="24"/>
          <w:lang w:bidi="ar-EG"/>
        </w:rPr>
      </w:pPr>
      <w:r>
        <w:rPr>
          <w:rFonts w:asciiTheme="majorBidi" w:hAnsiTheme="majorBidi" w:cstheme="majorBidi" w:eastAsia="Times New Roman"/>
          <w:sz w:val="24"/>
          <w:szCs w:val="24"/>
          <w:rtl/>
        </w:rPr>
        <w:t>في ظل التطور التقني المعاصر</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قد يلجأ الباحث إلى توزيع الاستبانة إلكترونياً عبر منصات مثل</w:t>
      </w:r>
      <w:r>
        <w:rPr>
          <w:rFonts w:asciiTheme="majorBidi" w:hAnsiTheme="majorBidi" w:cstheme="majorBidi" w:eastAsia="Times New Roman"/>
          <w:sz w:val="24"/>
          <w:szCs w:val="24"/>
          <w:rtl/>
          <w:lang w:bidi="ar-EG"/>
        </w:rPr>
        <w:t xml:space="preserve"> </w:t>
      </w:r>
      <w:r>
        <w:rPr>
          <w:rFonts w:asciiTheme="majorBidi" w:hAnsiTheme="majorBidi" w:cstheme="majorBidi" w:eastAsia="Times New Roman"/>
          <w:sz w:val="24"/>
          <w:szCs w:val="24"/>
          <w:lang w:bidi="ar-EG"/>
        </w:rPr>
        <w:t>Google Forms</w:t>
      </w:r>
      <w:r>
        <w:rPr>
          <w:rFonts w:asciiTheme="majorBidi" w:hAnsiTheme="majorBidi" w:cstheme="majorBidi" w:eastAsia="Times New Roman"/>
          <w:sz w:val="24"/>
          <w:szCs w:val="24"/>
          <w:rtl/>
          <w:lang w:bidi="ar-EG"/>
        </w:rPr>
        <w:t xml:space="preserve"> </w:t>
      </w:r>
      <w:r>
        <w:rPr>
          <w:rFonts w:asciiTheme="majorBidi" w:hAnsiTheme="majorBidi" w:cstheme="majorBidi" w:eastAsia="Times New Roman"/>
          <w:sz w:val="24"/>
          <w:szCs w:val="24"/>
          <w:rtl/>
        </w:rPr>
        <w:t>أو</w:t>
      </w:r>
      <w:r>
        <w:rPr>
          <w:rFonts w:asciiTheme="majorBidi" w:hAnsiTheme="majorBidi" w:cstheme="majorBidi" w:eastAsia="Times New Roman"/>
          <w:sz w:val="24"/>
          <w:szCs w:val="24"/>
          <w:rtl/>
          <w:lang w:bidi="ar-EG"/>
        </w:rPr>
        <w:t xml:space="preserve"> </w:t>
      </w:r>
      <w:r>
        <w:rPr>
          <w:rFonts w:asciiTheme="majorBidi" w:hAnsiTheme="majorBidi" w:cstheme="majorBidi" w:eastAsia="Times New Roman"/>
          <w:sz w:val="24"/>
          <w:szCs w:val="24"/>
          <w:lang w:bidi="ar-EG"/>
        </w:rPr>
        <w:t>SurveyMonkey</w:t>
      </w:r>
      <w:r>
        <w:rPr>
          <w:rFonts w:asciiTheme="majorBidi" w:hAnsiTheme="majorBidi" w:cstheme="majorBidi" w:eastAsia="Times New Roman"/>
          <w:sz w:val="24"/>
          <w:szCs w:val="24"/>
          <w:rtl/>
          <w:lang w:bidi="ar-EG"/>
        </w:rPr>
        <w:t xml:space="preserve"> </w:t>
      </w:r>
      <w:r>
        <w:rPr>
          <w:rFonts w:asciiTheme="majorBidi" w:hAnsiTheme="majorBidi" w:cstheme="majorBidi" w:eastAsia="Times New Roman"/>
          <w:sz w:val="24"/>
          <w:szCs w:val="24"/>
          <w:rtl/>
        </w:rPr>
        <w:t>لتسهيل عملية جمع البيانات وتقليل الفاقد منها</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وتُفرز هذه الوسائل قضايا أخلاقية جديدة تتعلق بحماية البيانات الرقمية من الاختراق</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والإفصاح للمستجيبين عن طبيعة البيانات التي تُجمع تلقائياً كعنوان</w:t>
      </w:r>
      <w:r>
        <w:rPr>
          <w:rFonts w:asciiTheme="majorBidi" w:hAnsiTheme="majorBidi" w:cstheme="majorBidi" w:eastAsia="Times New Roman"/>
          <w:sz w:val="24"/>
          <w:szCs w:val="24"/>
          <w:rtl/>
          <w:lang w:bidi="ar-EG"/>
        </w:rPr>
        <w:t xml:space="preserve"> </w:t>
      </w:r>
      <w:r>
        <w:rPr>
          <w:rFonts w:asciiTheme="majorBidi" w:hAnsiTheme="majorBidi" w:cstheme="majorBidi" w:eastAsia="Times New Roman"/>
          <w:sz w:val="24"/>
          <w:szCs w:val="24"/>
          <w:lang w:bidi="ar-EG"/>
        </w:rPr>
        <w:t>IP</w:t>
      </w:r>
      <w:r>
        <w:rPr>
          <w:rFonts w:asciiTheme="majorBidi" w:hAnsiTheme="majorBidi" w:cstheme="majorBidi" w:eastAsia="Times New Roman"/>
          <w:sz w:val="24"/>
          <w:szCs w:val="24"/>
          <w:rtl/>
          <w:lang w:bidi="ar-EG"/>
        </w:rPr>
        <w:t xml:space="preserve"> </w:t>
      </w:r>
      <w:r>
        <w:rPr>
          <w:rFonts w:asciiTheme="majorBidi" w:hAnsiTheme="majorBidi" w:cstheme="majorBidi" w:eastAsia="Times New Roman"/>
          <w:sz w:val="24"/>
          <w:szCs w:val="24"/>
          <w:rtl/>
        </w:rPr>
        <w:t>أو موقع الجهاز</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وضمان عدم استخدام هذه المنصات لبياناتهم لأغراض تجارية</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كما يستوجب استخدام برنامج</w:t>
      </w:r>
      <w:r>
        <w:rPr>
          <w:rFonts w:asciiTheme="majorBidi" w:hAnsiTheme="majorBidi" w:cstheme="majorBidi" w:eastAsia="Times New Roman"/>
          <w:sz w:val="24"/>
          <w:szCs w:val="24"/>
          <w:rtl/>
          <w:lang w:bidi="ar-EG"/>
        </w:rPr>
        <w:t xml:space="preserve"> </w:t>
      </w:r>
      <w:r>
        <w:rPr>
          <w:rFonts w:asciiTheme="majorBidi" w:hAnsiTheme="majorBidi" w:cstheme="majorBidi" w:eastAsia="Times New Roman"/>
          <w:sz w:val="24"/>
          <w:szCs w:val="24"/>
          <w:lang w:bidi="ar-EG"/>
        </w:rPr>
        <w:t>SPSS</w:t>
      </w:r>
      <w:r>
        <w:rPr>
          <w:rFonts w:asciiTheme="majorBidi" w:hAnsiTheme="majorBidi" w:cstheme="majorBidi" w:eastAsia="Times New Roman"/>
          <w:sz w:val="24"/>
          <w:szCs w:val="24"/>
          <w:rtl/>
          <w:lang w:bidi="ar-EG"/>
        </w:rPr>
        <w:t xml:space="preserve"> </w:t>
      </w:r>
      <w:r>
        <w:rPr>
          <w:rFonts w:asciiTheme="majorBidi" w:hAnsiTheme="majorBidi" w:cstheme="majorBidi" w:eastAsia="Times New Roman"/>
          <w:sz w:val="24"/>
          <w:szCs w:val="24"/>
          <w:rtl/>
        </w:rPr>
        <w:t>في التحليل الإحصائي التزاماً بقواعد الترخيص القانوني للبرنامج وعدم استخدام نسخ غير مرخصة</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فضلاً عن الأمانة في إدخال البيانات الخام دون تعديل أو حذف للحالات التي لا تخدم الفروض</w:t>
      </w:r>
      <w:r>
        <w:rPr>
          <w:rFonts w:asciiTheme="majorBidi" w:hAnsiTheme="majorBidi" w:cstheme="majorBidi" w:eastAsia="Times New Roman"/>
          <w:sz w:val="24"/>
          <w:szCs w:val="24"/>
          <w:lang w:bidi="ar-EG"/>
        </w:rPr>
        <w:t>.</w:t>
      </w:r>
    </w:p>
    <w:p>
      <w:pPr>
        <w:spacing w:lineRule="auto" w:line="360" w:beforeAutospacing="0" w:afterAutospacing="0"/>
        <w:jc w:val="both"/>
        <w:rPr>
          <w:rFonts w:asciiTheme="majorBidi" w:hAnsiTheme="majorBidi" w:cstheme="majorBidi" w:eastAsia="Times New Roman"/>
          <w:b w:val="1"/>
          <w:bCs w:val="1"/>
          <w:sz w:val="24"/>
          <w:szCs w:val="24"/>
          <w:lang w:bidi="ar-EG"/>
        </w:rPr>
      </w:pPr>
      <w:r>
        <w:rPr>
          <w:rFonts w:asciiTheme="majorBidi" w:hAnsiTheme="majorBidi" w:cstheme="majorBidi" w:eastAsia="Times New Roman"/>
          <w:b w:val="1"/>
          <w:bCs w:val="1"/>
          <w:sz w:val="24"/>
          <w:szCs w:val="24"/>
          <w:rtl/>
        </w:rPr>
        <w:t>أخلاقيات نشر النتائج والإفصاح عنها</w:t>
      </w:r>
    </w:p>
    <w:p>
      <w:pPr>
        <w:spacing w:lineRule="auto" w:line="360" w:beforeAutospacing="0" w:afterAutospacing="0"/>
        <w:jc w:val="both"/>
        <w:rPr>
          <w:rFonts w:asciiTheme="majorBidi" w:hAnsiTheme="majorBidi" w:cstheme="majorBidi" w:eastAsia="Times New Roman"/>
          <w:sz w:val="24"/>
          <w:szCs w:val="24"/>
          <w:lang w:bidi="ar-EG"/>
        </w:rPr>
      </w:pPr>
      <w:r>
        <w:rPr>
          <w:rFonts w:asciiTheme="majorBidi" w:hAnsiTheme="majorBidi" w:cstheme="majorBidi" w:eastAsia="Times New Roman"/>
          <w:sz w:val="24"/>
          <w:szCs w:val="24"/>
          <w:rtl/>
        </w:rPr>
        <w:t>عند الانتهاء من الدراسة وإقرارها أكاديمياً</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يقع على الباحث التزام أخلاقي بنشر نتائجها بشكل يُتيح الاستفادة منها للمجتمع البحثي والممارسين</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سواء عبر النشر في الدوريات العلمية المحكمة أو من خلال تقديمها في المؤتمرات المتخصصة</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ويستوجب هذا النشر الالتزام بعدة مبادئ</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أبرزها تجنب النشر المزدوج بإرسال البحث ذاته إلى أكثر من دورية في الوقت نفسه</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وتجنب التقسيم المصطنع للنتائج إلى أوراق متعددة بغرض تضخيم السجل العلمي</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والإفصاح عن المساهمين الفعليين في البحث دون إدراج أسماء صورية أو حذف أسماء حقيقية</w:t>
      </w:r>
      <w:r>
        <w:rPr>
          <w:rFonts w:asciiTheme="majorBidi" w:hAnsiTheme="majorBidi" w:cstheme="majorBidi" w:eastAsia="Times New Roman"/>
          <w:sz w:val="24"/>
          <w:szCs w:val="24"/>
          <w:lang w:bidi="ar-EG"/>
        </w:rPr>
        <w:t>.</w:t>
      </w:r>
    </w:p>
    <w:p>
      <w:pPr>
        <w:spacing w:lineRule="auto" w:line="360" w:beforeAutospacing="0" w:afterAutospacing="0"/>
        <w:jc w:val="both"/>
        <w:rPr>
          <w:rFonts w:asciiTheme="majorBidi" w:hAnsiTheme="majorBidi" w:cstheme="majorBidi" w:eastAsia="Times New Roman"/>
          <w:sz w:val="24"/>
          <w:szCs w:val="24"/>
          <w:lang w:bidi="ar-EG"/>
        </w:rPr>
      </w:pPr>
      <w:r>
        <w:rPr>
          <w:rFonts w:asciiTheme="majorBidi" w:hAnsiTheme="majorBidi" w:cstheme="majorBidi" w:eastAsia="Times New Roman"/>
          <w:sz w:val="24"/>
          <w:szCs w:val="24"/>
          <w:rtl/>
        </w:rPr>
        <w:t>ومن الالتزامات الأخلاقية المهمة كذلك تقديم ملخص النتائج إلى الجهات التي سهّلت إجراء الدراسة كفرع وزارة البيئة والمياه والزراعة بمنطقة جازان</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وكذلك إلى مديري المزارع الذين أسهموا في توزيع الاستبانات على عامليهم</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وذلك تقديراً لدورهم ووفاءً بالعهد الضمني الذي يربط الباحث بمجتمع البحث</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ويُعدّ هذا الإجراء تجسيداً لمبدأ رد الجميل المعرفي الذي يقتضي ألا يكون البحث مجرد عملية استخراج للمعلومات من الميدان</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بل علاقة تبادلية تعود على المشاركين ومجتمعاتهم بفائدة ملموسة</w:t>
      </w:r>
      <w:r>
        <w:rPr>
          <w:rFonts w:asciiTheme="majorBidi" w:hAnsiTheme="majorBidi" w:cstheme="majorBidi" w:eastAsia="Times New Roman"/>
          <w:sz w:val="24"/>
          <w:szCs w:val="24"/>
          <w:lang w:bidi="ar-EG"/>
        </w:rPr>
        <w:t>.</w:t>
      </w:r>
    </w:p>
    <w:p>
      <w:pPr>
        <w:spacing w:lineRule="auto" w:line="360" w:beforeAutospacing="0" w:afterAutospacing="0"/>
        <w:jc w:val="both"/>
        <w:rPr>
          <w:rFonts w:asciiTheme="majorBidi" w:hAnsiTheme="majorBidi" w:cstheme="majorBidi" w:eastAsia="Times New Roman"/>
          <w:b w:val="1"/>
          <w:bCs w:val="1"/>
          <w:sz w:val="24"/>
          <w:szCs w:val="24"/>
          <w:lang w:bidi="ar-EG"/>
        </w:rPr>
      </w:pPr>
      <w:r>
        <w:rPr>
          <w:rFonts w:asciiTheme="majorBidi" w:hAnsiTheme="majorBidi" w:cstheme="majorBidi" w:eastAsia="Times New Roman"/>
          <w:b w:val="1"/>
          <w:bCs w:val="1"/>
          <w:sz w:val="24"/>
          <w:szCs w:val="24"/>
          <w:rtl/>
        </w:rPr>
        <w:t>أخلاقيات صياغة التوصيات</w:t>
      </w:r>
    </w:p>
    <w:p>
      <w:pPr>
        <w:spacing w:lineRule="auto" w:line="360" w:beforeAutospacing="0" w:afterAutospacing="0"/>
        <w:jc w:val="both"/>
        <w:rPr>
          <w:rFonts w:asciiTheme="majorBidi" w:hAnsiTheme="majorBidi" w:cstheme="majorBidi" w:eastAsia="Times New Roman"/>
          <w:sz w:val="24"/>
          <w:szCs w:val="24"/>
          <w:lang w:bidi="ar-EG"/>
        </w:rPr>
      </w:pPr>
      <w:r>
        <w:rPr>
          <w:rFonts w:asciiTheme="majorBidi" w:hAnsiTheme="majorBidi" w:cstheme="majorBidi" w:eastAsia="Times New Roman"/>
          <w:sz w:val="24"/>
          <w:szCs w:val="24"/>
          <w:rtl/>
        </w:rPr>
        <w:t>ستنتهي الدراسة بمجموعة من التوصيات الموجهة لأصحاب القرار والممارسين</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ويستوجب صياغة هذه التوصيات الالتزام بضوابط أخلاقية تضمن أن تكون مستندة إلى نتائج البحث الفعلية دون مبالغة أو تهويل</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فلا يجوز للباحث أن يُوصي بتوصيات لم تدعمها بيانات دراسته</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كما لا يجوز له أن يُضخّم آثار تطبيق نظم</w:t>
      </w:r>
      <w:r>
        <w:rPr>
          <w:rFonts w:asciiTheme="majorBidi" w:hAnsiTheme="majorBidi" w:cstheme="majorBidi" w:eastAsia="Times New Roman"/>
          <w:sz w:val="24"/>
          <w:szCs w:val="24"/>
          <w:rtl/>
          <w:lang w:bidi="ar-EG"/>
        </w:rPr>
        <w:t xml:space="preserve"> </w:t>
      </w:r>
      <w:r>
        <w:rPr>
          <w:rFonts w:asciiTheme="majorBidi" w:hAnsiTheme="majorBidi" w:cstheme="majorBidi" w:eastAsia="Times New Roman"/>
          <w:sz w:val="24"/>
          <w:szCs w:val="24"/>
          <w:lang w:bidi="ar-EG"/>
        </w:rPr>
        <w:t>ISO 9001</w:t>
      </w:r>
      <w:r>
        <w:rPr>
          <w:rFonts w:asciiTheme="majorBidi" w:hAnsiTheme="majorBidi" w:cstheme="majorBidi" w:eastAsia="Times New Roman"/>
          <w:sz w:val="24"/>
          <w:szCs w:val="24"/>
          <w:rtl/>
          <w:lang w:bidi="ar-EG"/>
        </w:rPr>
        <w:t xml:space="preserve"> </w:t>
      </w:r>
      <w:r>
        <w:rPr>
          <w:rFonts w:asciiTheme="majorBidi" w:hAnsiTheme="majorBidi" w:cstheme="majorBidi" w:eastAsia="Times New Roman"/>
          <w:sz w:val="24"/>
          <w:szCs w:val="24"/>
          <w:rtl/>
        </w:rPr>
        <w:t>بحيث يُوحي بأنها الحل السحري لجميع مشكلات الفاقد الزراعي في جازان</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بل عليه تقديم توصيات متوازنة تأخذ في الحسبان حدود الدراسة وقيودها وخصوصية البيئة المدروسة</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كما يستوجب الأمر تجنب التوصيات التي قد تُلحق ضرراً بفئات معينة</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كالتوصية بفرض تطبيق</w:t>
      </w:r>
      <w:r>
        <w:rPr>
          <w:rFonts w:asciiTheme="majorBidi" w:hAnsiTheme="majorBidi" w:cstheme="majorBidi" w:eastAsia="Times New Roman"/>
          <w:sz w:val="24"/>
          <w:szCs w:val="24"/>
          <w:rtl/>
          <w:lang w:bidi="ar-EG"/>
        </w:rPr>
        <w:t xml:space="preserve"> </w:t>
      </w:r>
      <w:r>
        <w:rPr>
          <w:rFonts w:asciiTheme="majorBidi" w:hAnsiTheme="majorBidi" w:cstheme="majorBidi" w:eastAsia="Times New Roman"/>
          <w:sz w:val="24"/>
          <w:szCs w:val="24"/>
          <w:lang w:bidi="ar-EG"/>
        </w:rPr>
        <w:t>ISO 9001</w:t>
      </w:r>
      <w:r>
        <w:rPr>
          <w:rFonts w:asciiTheme="majorBidi" w:hAnsiTheme="majorBidi" w:cstheme="majorBidi" w:eastAsia="Times New Roman"/>
          <w:sz w:val="24"/>
          <w:szCs w:val="24"/>
          <w:rtl/>
          <w:lang w:bidi="ar-EG"/>
        </w:rPr>
        <w:t xml:space="preserve"> </w:t>
      </w:r>
      <w:r>
        <w:rPr>
          <w:rFonts w:asciiTheme="majorBidi" w:hAnsiTheme="majorBidi" w:cstheme="majorBidi" w:eastAsia="Times New Roman"/>
          <w:sz w:val="24"/>
          <w:szCs w:val="24"/>
          <w:rtl/>
        </w:rPr>
        <w:t>على جميع المزارع الصغيرة دون مراعاة تكلفته العالية التي قد ترهق صغار المزارعين وتدفعهم إلى الخروج من السوق</w:t>
      </w:r>
      <w:r>
        <w:rPr>
          <w:rFonts w:asciiTheme="majorBidi" w:hAnsiTheme="majorBidi" w:cstheme="majorBidi" w:eastAsia="Times New Roman"/>
          <w:sz w:val="24"/>
          <w:szCs w:val="24"/>
          <w:lang w:bidi="ar-EG"/>
        </w:rPr>
        <w:t>.</w:t>
      </w:r>
    </w:p>
    <w:p>
      <w:pPr>
        <w:spacing w:lineRule="auto" w:line="360" w:beforeAutospacing="0" w:afterAutospacing="0"/>
        <w:jc w:val="both"/>
        <w:rPr>
          <w:rFonts w:asciiTheme="majorBidi" w:hAnsiTheme="majorBidi" w:cstheme="majorBidi" w:eastAsia="Times New Roman"/>
          <w:b w:val="1"/>
          <w:bCs w:val="1"/>
          <w:sz w:val="24"/>
          <w:szCs w:val="24"/>
          <w:lang w:bidi="ar-EG"/>
        </w:rPr>
      </w:pPr>
      <w:r>
        <w:rPr>
          <w:rFonts w:asciiTheme="majorBidi" w:hAnsiTheme="majorBidi" w:cstheme="majorBidi" w:eastAsia="Times New Roman"/>
          <w:b w:val="1"/>
          <w:bCs w:val="1"/>
          <w:sz w:val="24"/>
          <w:szCs w:val="24"/>
          <w:rtl/>
        </w:rPr>
        <w:t>جدول تطبيقي للالتزامات الأخلاقية في الدراسة الحالية</w:t>
      </w:r>
    </w:p>
    <w:p>
      <w:pPr>
        <w:spacing w:lineRule="auto" w:line="360" w:beforeAutospacing="0" w:afterAutospacing="0"/>
        <w:jc w:val="both"/>
        <w:rPr>
          <w:rFonts w:asciiTheme="majorBidi" w:hAnsiTheme="majorBidi" w:cstheme="majorBidi" w:eastAsia="Times New Roman"/>
          <w:sz w:val="24"/>
          <w:szCs w:val="24"/>
          <w:lang w:bidi="ar-EG"/>
        </w:rPr>
      </w:pPr>
      <w:r>
        <w:rPr>
          <w:rFonts w:asciiTheme="majorBidi" w:hAnsiTheme="majorBidi" w:cstheme="majorBidi" w:eastAsia="Times New Roman"/>
          <w:sz w:val="24"/>
          <w:szCs w:val="24"/>
          <w:rtl/>
        </w:rPr>
        <w:t>يُلخّص الجدول الآتي أبرز المبادئ الأخلاقية وتطبيقاتها العملية في الدراسة</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بما يُتيح للباحث مرجعاً سريعاً يستعين به في كل مرحلة من مراحل العمل</w:t>
      </w:r>
      <w:r>
        <w:rPr>
          <w:rFonts w:asciiTheme="majorBidi" w:hAnsiTheme="majorBidi" w:cstheme="majorBidi" w:eastAsia="Times New Roman"/>
          <w:sz w:val="24"/>
          <w:szCs w:val="24"/>
          <w:lang w:bidi="ar-EG"/>
        </w:rPr>
        <w:t>:</w:t>
      </w:r>
    </w:p>
    <w:tbl>
      <w:tblPr>
        <w:tblStyle w:val="T4"/>
        <w:tblW w:w="0" w:type="auto"/>
        <w:bidiVisual/>
        <w:tblLook w:val="04A0"/>
      </w:tblPr>
      <w:tblGrid/>
      <w:tr>
        <w:tc>
          <w:tcPr>
            <w:cnfStyle w:val="001000000000"/>
            <w:tcW w:w="0" w:type="auto"/>
            <w:hideMark/>
          </w:tcPr>
          <w:p>
            <w:pPr>
              <w:spacing w:lineRule="auto" w:line="360" w:after="160" w:beforeAutospacing="0" w:afterAutospacing="0"/>
              <w:jc w:val="both"/>
              <w:rPr>
                <w:rFonts w:asciiTheme="majorBidi" w:hAnsiTheme="majorBidi" w:cstheme="majorBidi" w:eastAsia="Times New Roman"/>
                <w:sz w:val="24"/>
                <w:szCs w:val="24"/>
                <w:lang w:bidi="ar-EG"/>
              </w:rPr>
            </w:pPr>
            <w:r>
              <w:rPr>
                <w:rFonts w:asciiTheme="majorBidi" w:hAnsiTheme="majorBidi" w:cstheme="majorBidi" w:eastAsia="Times New Roman"/>
                <w:sz w:val="24"/>
                <w:szCs w:val="24"/>
                <w:rtl/>
              </w:rPr>
              <w:t>المبدأ الأخلاقي</w:t>
            </w:r>
          </w:p>
        </w:tc>
        <w:tc>
          <w:tcPr>
            <w:tcW w:w="0" w:type="auto"/>
            <w:hideMark/>
          </w:tcPr>
          <w:p>
            <w:pPr>
              <w:spacing w:lineRule="auto" w:line="360" w:after="160" w:beforeAutospacing="0" w:afterAutospacing="0"/>
              <w:jc w:val="both"/>
              <w:rPr>
                <w:rFonts w:asciiTheme="majorBidi" w:hAnsiTheme="majorBidi" w:cstheme="majorBidi" w:eastAsia="Times New Roman"/>
                <w:sz w:val="24"/>
                <w:szCs w:val="24"/>
                <w:lang w:bidi="ar-EG"/>
              </w:rPr>
            </w:pPr>
            <w:r>
              <w:rPr>
                <w:rFonts w:asciiTheme="majorBidi" w:hAnsiTheme="majorBidi" w:cstheme="majorBidi" w:eastAsia="Times New Roman"/>
                <w:sz w:val="24"/>
                <w:szCs w:val="24"/>
                <w:rtl/>
              </w:rPr>
              <w:t>التطبيق العملي في الدراسة</w:t>
            </w:r>
          </w:p>
        </w:tc>
      </w:tr>
      <w:tr>
        <w:tc>
          <w:tcPr>
            <w:cnfStyle w:val="001000000000"/>
            <w:tcW w:w="0" w:type="auto"/>
            <w:hideMark/>
          </w:tcPr>
          <w:p>
            <w:pPr>
              <w:spacing w:lineRule="auto" w:line="360" w:after="160" w:beforeAutospacing="0" w:afterAutospacing="0"/>
              <w:jc w:val="both"/>
              <w:rPr>
                <w:rFonts w:asciiTheme="majorBidi" w:hAnsiTheme="majorBidi" w:cstheme="majorBidi" w:eastAsia="Times New Roman"/>
                <w:sz w:val="24"/>
                <w:szCs w:val="24"/>
                <w:lang w:bidi="ar-EG"/>
              </w:rPr>
            </w:pPr>
            <w:r>
              <w:rPr>
                <w:rFonts w:asciiTheme="majorBidi" w:hAnsiTheme="majorBidi" w:cstheme="majorBidi" w:eastAsia="Times New Roman"/>
                <w:sz w:val="24"/>
                <w:szCs w:val="24"/>
                <w:rtl/>
              </w:rPr>
              <w:t>الأمانة العلمية</w:t>
            </w:r>
          </w:p>
        </w:tc>
        <w:tc>
          <w:tcPr>
            <w:tcW w:w="0" w:type="auto"/>
            <w:hideMark/>
          </w:tcPr>
          <w:p>
            <w:pPr>
              <w:spacing w:lineRule="auto" w:line="360" w:after="160" w:beforeAutospacing="0" w:afterAutospacing="0"/>
              <w:jc w:val="both"/>
              <w:rPr>
                <w:rFonts w:asciiTheme="majorBidi" w:hAnsiTheme="majorBidi" w:cstheme="majorBidi" w:eastAsia="Times New Roman"/>
                <w:sz w:val="24"/>
                <w:szCs w:val="24"/>
                <w:lang w:bidi="ar-EG"/>
              </w:rPr>
            </w:pPr>
            <w:r>
              <w:rPr>
                <w:rFonts w:asciiTheme="majorBidi" w:hAnsiTheme="majorBidi" w:cstheme="majorBidi" w:eastAsia="Times New Roman"/>
                <w:sz w:val="24"/>
                <w:szCs w:val="24"/>
                <w:rtl/>
              </w:rPr>
              <w:t>توثيق جميع المصادر العربية والأجنبية وفق نظام</w:t>
            </w:r>
            <w:r>
              <w:rPr>
                <w:rFonts w:asciiTheme="majorBidi" w:hAnsiTheme="majorBidi" w:cstheme="majorBidi" w:eastAsia="Times New Roman"/>
                <w:sz w:val="24"/>
                <w:szCs w:val="24"/>
                <w:rtl/>
                <w:lang w:bidi="ar-EG"/>
              </w:rPr>
              <w:t xml:space="preserve"> </w:t>
            </w:r>
            <w:r>
              <w:rPr>
                <w:rFonts w:asciiTheme="majorBidi" w:hAnsiTheme="majorBidi" w:cstheme="majorBidi" w:eastAsia="Times New Roman"/>
                <w:sz w:val="24"/>
                <w:szCs w:val="24"/>
                <w:lang w:bidi="ar-EG"/>
              </w:rPr>
              <w:t>APA</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واستخدام برنامج كشف الانتحال قبل التسليم النهائي</w:t>
            </w:r>
          </w:p>
        </w:tc>
      </w:tr>
      <w:tr>
        <w:tc>
          <w:tcPr>
            <w:cnfStyle w:val="001000000000"/>
            <w:tcW w:w="0" w:type="auto"/>
            <w:hideMark/>
          </w:tcPr>
          <w:p>
            <w:pPr>
              <w:spacing w:lineRule="auto" w:line="360" w:after="160" w:beforeAutospacing="0" w:afterAutospacing="0"/>
              <w:jc w:val="both"/>
              <w:rPr>
                <w:rFonts w:asciiTheme="majorBidi" w:hAnsiTheme="majorBidi" w:cstheme="majorBidi" w:eastAsia="Times New Roman"/>
                <w:sz w:val="24"/>
                <w:szCs w:val="24"/>
                <w:lang w:bidi="ar-EG"/>
              </w:rPr>
            </w:pPr>
            <w:r>
              <w:rPr>
                <w:rFonts w:asciiTheme="majorBidi" w:hAnsiTheme="majorBidi" w:cstheme="majorBidi" w:eastAsia="Times New Roman"/>
                <w:sz w:val="24"/>
                <w:szCs w:val="24"/>
                <w:rtl/>
              </w:rPr>
              <w:t>الموافقة المستنيرة</w:t>
            </w:r>
          </w:p>
        </w:tc>
        <w:tc>
          <w:tcPr>
            <w:tcW w:w="0" w:type="auto"/>
            <w:hideMark/>
          </w:tcPr>
          <w:p>
            <w:pPr>
              <w:spacing w:lineRule="auto" w:line="360" w:after="160" w:beforeAutospacing="0" w:afterAutospacing="0"/>
              <w:jc w:val="both"/>
              <w:rPr>
                <w:rFonts w:asciiTheme="majorBidi" w:hAnsiTheme="majorBidi" w:cstheme="majorBidi" w:eastAsia="Times New Roman"/>
                <w:sz w:val="24"/>
                <w:szCs w:val="24"/>
                <w:lang w:bidi="ar-EG"/>
              </w:rPr>
            </w:pPr>
            <w:r>
              <w:rPr>
                <w:rFonts w:asciiTheme="majorBidi" w:hAnsiTheme="majorBidi" w:cstheme="majorBidi" w:eastAsia="Times New Roman"/>
                <w:sz w:val="24"/>
                <w:szCs w:val="24"/>
                <w:rtl/>
              </w:rPr>
              <w:t>إرفاق صفحة تعريفية بكل استبانة توضح الأهداف وحق الانسحاب والمشاركة الطوعية</w:t>
            </w:r>
          </w:p>
        </w:tc>
      </w:tr>
      <w:tr>
        <w:tc>
          <w:tcPr>
            <w:cnfStyle w:val="001000000000"/>
            <w:tcW w:w="0" w:type="auto"/>
            <w:hideMark/>
          </w:tcPr>
          <w:p>
            <w:pPr>
              <w:spacing w:lineRule="auto" w:line="360" w:after="160" w:beforeAutospacing="0" w:afterAutospacing="0"/>
              <w:jc w:val="both"/>
              <w:rPr>
                <w:rFonts w:asciiTheme="majorBidi" w:hAnsiTheme="majorBidi" w:cstheme="majorBidi" w:eastAsia="Times New Roman"/>
                <w:sz w:val="24"/>
                <w:szCs w:val="24"/>
                <w:lang w:bidi="ar-EG"/>
              </w:rPr>
            </w:pPr>
            <w:r>
              <w:rPr>
                <w:rFonts w:asciiTheme="majorBidi" w:hAnsiTheme="majorBidi" w:cstheme="majorBidi" w:eastAsia="Times New Roman"/>
                <w:sz w:val="24"/>
                <w:szCs w:val="24"/>
                <w:rtl/>
              </w:rPr>
              <w:t>السرية وحماية الخصوصية</w:t>
            </w:r>
          </w:p>
        </w:tc>
        <w:tc>
          <w:tcPr>
            <w:tcW w:w="0" w:type="auto"/>
            <w:hideMark/>
          </w:tcPr>
          <w:p>
            <w:pPr>
              <w:spacing w:lineRule="auto" w:line="360" w:after="160" w:beforeAutospacing="0" w:afterAutospacing="0"/>
              <w:jc w:val="both"/>
              <w:rPr>
                <w:rFonts w:asciiTheme="majorBidi" w:hAnsiTheme="majorBidi" w:cstheme="majorBidi" w:eastAsia="Times New Roman"/>
                <w:sz w:val="24"/>
                <w:szCs w:val="24"/>
                <w:lang w:bidi="ar-EG"/>
              </w:rPr>
            </w:pPr>
            <w:r>
              <w:rPr>
                <w:rFonts w:asciiTheme="majorBidi" w:hAnsiTheme="majorBidi" w:cstheme="majorBidi" w:eastAsia="Times New Roman"/>
                <w:sz w:val="24"/>
                <w:szCs w:val="24"/>
                <w:rtl/>
              </w:rPr>
              <w:t>عدم طلب أسماء صريحة</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تخزين البيانات في ملفات مشفّرة</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عرض النتائج بشكل إجمالي فقط</w:t>
            </w:r>
          </w:p>
        </w:tc>
      </w:tr>
      <w:tr>
        <w:tc>
          <w:tcPr>
            <w:cnfStyle w:val="001000000000"/>
            <w:tcW w:w="0" w:type="auto"/>
            <w:hideMark/>
          </w:tcPr>
          <w:p>
            <w:pPr>
              <w:spacing w:lineRule="auto" w:line="360" w:after="160" w:beforeAutospacing="0" w:afterAutospacing="0"/>
              <w:jc w:val="both"/>
              <w:rPr>
                <w:rFonts w:asciiTheme="majorBidi" w:hAnsiTheme="majorBidi" w:cstheme="majorBidi" w:eastAsia="Times New Roman"/>
                <w:sz w:val="24"/>
                <w:szCs w:val="24"/>
                <w:lang w:bidi="ar-EG"/>
              </w:rPr>
            </w:pPr>
            <w:r>
              <w:rPr>
                <w:rFonts w:asciiTheme="majorBidi" w:hAnsiTheme="majorBidi" w:cstheme="majorBidi" w:eastAsia="Times New Roman"/>
                <w:sz w:val="24"/>
                <w:szCs w:val="24"/>
                <w:rtl/>
              </w:rPr>
              <w:t>الموضوعية</w:t>
            </w:r>
          </w:p>
        </w:tc>
        <w:tc>
          <w:tcPr>
            <w:tcW w:w="0" w:type="auto"/>
            <w:hideMark/>
          </w:tcPr>
          <w:p>
            <w:pPr>
              <w:spacing w:lineRule="auto" w:line="360" w:after="160" w:beforeAutospacing="0" w:afterAutospacing="0"/>
              <w:jc w:val="both"/>
              <w:rPr>
                <w:rFonts w:asciiTheme="majorBidi" w:hAnsiTheme="majorBidi" w:cstheme="majorBidi" w:eastAsia="Times New Roman"/>
                <w:sz w:val="24"/>
                <w:szCs w:val="24"/>
                <w:lang w:bidi="ar-EG"/>
              </w:rPr>
            </w:pPr>
            <w:r>
              <w:rPr>
                <w:rFonts w:asciiTheme="majorBidi" w:hAnsiTheme="majorBidi" w:cstheme="majorBidi" w:eastAsia="Times New Roman"/>
                <w:sz w:val="24"/>
                <w:szCs w:val="24"/>
                <w:rtl/>
              </w:rPr>
              <w:t>عرض جميع نتائج التحليل الإحصائي كما هي حتى المخالفة منها للفروض المسبقة</w:t>
            </w:r>
          </w:p>
        </w:tc>
      </w:tr>
      <w:tr>
        <w:tc>
          <w:tcPr>
            <w:cnfStyle w:val="001000000000"/>
            <w:tcW w:w="0" w:type="auto"/>
            <w:hideMark/>
          </w:tcPr>
          <w:p>
            <w:pPr>
              <w:spacing w:lineRule="auto" w:line="360" w:after="160" w:beforeAutospacing="0" w:afterAutospacing="0"/>
              <w:jc w:val="both"/>
              <w:rPr>
                <w:rFonts w:asciiTheme="majorBidi" w:hAnsiTheme="majorBidi" w:cstheme="majorBidi" w:eastAsia="Times New Roman"/>
                <w:sz w:val="24"/>
                <w:szCs w:val="24"/>
                <w:lang w:bidi="ar-EG"/>
              </w:rPr>
            </w:pPr>
            <w:r>
              <w:rPr>
                <w:rFonts w:asciiTheme="majorBidi" w:hAnsiTheme="majorBidi" w:cstheme="majorBidi" w:eastAsia="Times New Roman"/>
                <w:sz w:val="24"/>
                <w:szCs w:val="24"/>
                <w:rtl/>
              </w:rPr>
              <w:t>النزاهة</w:t>
            </w:r>
          </w:p>
        </w:tc>
        <w:tc>
          <w:tcPr>
            <w:tcW w:w="0" w:type="auto"/>
            <w:hideMark/>
          </w:tcPr>
          <w:p>
            <w:pPr>
              <w:spacing w:lineRule="auto" w:line="360" w:after="160" w:beforeAutospacing="0" w:afterAutospacing="0"/>
              <w:jc w:val="both"/>
              <w:rPr>
                <w:rFonts w:asciiTheme="majorBidi" w:hAnsiTheme="majorBidi" w:cstheme="majorBidi" w:eastAsia="Times New Roman"/>
                <w:sz w:val="24"/>
                <w:szCs w:val="24"/>
                <w:lang w:bidi="ar-EG"/>
              </w:rPr>
            </w:pPr>
            <w:r>
              <w:rPr>
                <w:rFonts w:asciiTheme="majorBidi" w:hAnsiTheme="majorBidi" w:cstheme="majorBidi" w:eastAsia="Times New Roman"/>
                <w:sz w:val="24"/>
                <w:szCs w:val="24"/>
                <w:rtl/>
              </w:rPr>
              <w:t>الإفصاح عن مصادر التمويل وعدم وجود تضارب مصالح في مقدمة الرسالة</w:t>
            </w:r>
          </w:p>
        </w:tc>
      </w:tr>
      <w:tr>
        <w:tc>
          <w:tcPr>
            <w:cnfStyle w:val="001000000000"/>
            <w:tcW w:w="0" w:type="auto"/>
            <w:hideMark/>
          </w:tcPr>
          <w:p>
            <w:pPr>
              <w:spacing w:lineRule="auto" w:line="360" w:after="160" w:beforeAutospacing="0" w:afterAutospacing="0"/>
              <w:jc w:val="both"/>
              <w:rPr>
                <w:rFonts w:asciiTheme="majorBidi" w:hAnsiTheme="majorBidi" w:cstheme="majorBidi" w:eastAsia="Times New Roman"/>
                <w:sz w:val="24"/>
                <w:szCs w:val="24"/>
                <w:lang w:bidi="ar-EG"/>
              </w:rPr>
            </w:pPr>
            <w:r>
              <w:rPr>
                <w:rFonts w:asciiTheme="majorBidi" w:hAnsiTheme="majorBidi" w:cstheme="majorBidi" w:eastAsia="Times New Roman"/>
                <w:sz w:val="24"/>
                <w:szCs w:val="24"/>
                <w:rtl/>
              </w:rPr>
              <w:t>تجنب الانتحال</w:t>
            </w:r>
          </w:p>
        </w:tc>
        <w:tc>
          <w:tcPr>
            <w:tcW w:w="0" w:type="auto"/>
            <w:hideMark/>
          </w:tcPr>
          <w:p>
            <w:pPr>
              <w:spacing w:lineRule="auto" w:line="360" w:after="160" w:beforeAutospacing="0" w:afterAutospacing="0"/>
              <w:jc w:val="both"/>
              <w:rPr>
                <w:rFonts w:asciiTheme="majorBidi" w:hAnsiTheme="majorBidi" w:cstheme="majorBidi" w:eastAsia="Times New Roman"/>
                <w:sz w:val="24"/>
                <w:szCs w:val="24"/>
                <w:lang w:bidi="ar-EG"/>
              </w:rPr>
            </w:pPr>
            <w:r>
              <w:rPr>
                <w:rFonts w:asciiTheme="majorBidi" w:hAnsiTheme="majorBidi" w:cstheme="majorBidi" w:eastAsia="Times New Roman"/>
                <w:sz w:val="24"/>
                <w:szCs w:val="24"/>
                <w:rtl/>
              </w:rPr>
              <w:t>التوثيق الدقيق لكل اقتباس وإعادة صياغة بمسؤولية مع الإحالة للمصدر</w:t>
            </w:r>
          </w:p>
        </w:tc>
      </w:tr>
      <w:tr>
        <w:tc>
          <w:tcPr>
            <w:cnfStyle w:val="001000000000"/>
            <w:tcW w:w="0" w:type="auto"/>
            <w:hideMark/>
          </w:tcPr>
          <w:p>
            <w:pPr>
              <w:spacing w:lineRule="auto" w:line="360" w:after="160" w:beforeAutospacing="0" w:afterAutospacing="0"/>
              <w:jc w:val="both"/>
              <w:rPr>
                <w:rFonts w:asciiTheme="majorBidi" w:hAnsiTheme="majorBidi" w:cstheme="majorBidi" w:eastAsia="Times New Roman"/>
                <w:sz w:val="24"/>
                <w:szCs w:val="24"/>
                <w:lang w:bidi="ar-EG"/>
              </w:rPr>
            </w:pPr>
            <w:r>
              <w:rPr>
                <w:rFonts w:asciiTheme="majorBidi" w:hAnsiTheme="majorBidi" w:cstheme="majorBidi" w:eastAsia="Times New Roman"/>
                <w:sz w:val="24"/>
                <w:szCs w:val="24"/>
                <w:rtl/>
              </w:rPr>
              <w:t>تجنب التحيز</w:t>
            </w:r>
          </w:p>
        </w:tc>
        <w:tc>
          <w:tcPr>
            <w:tcW w:w="0" w:type="auto"/>
            <w:hideMark/>
          </w:tcPr>
          <w:p>
            <w:pPr>
              <w:spacing w:lineRule="auto" w:line="360" w:after="160" w:beforeAutospacing="0" w:afterAutospacing="0"/>
              <w:jc w:val="both"/>
              <w:rPr>
                <w:rFonts w:asciiTheme="majorBidi" w:hAnsiTheme="majorBidi" w:cstheme="majorBidi" w:eastAsia="Times New Roman"/>
                <w:sz w:val="24"/>
                <w:szCs w:val="24"/>
                <w:lang w:bidi="ar-EG"/>
              </w:rPr>
            </w:pPr>
            <w:r>
              <w:rPr>
                <w:rFonts w:asciiTheme="majorBidi" w:hAnsiTheme="majorBidi" w:cstheme="majorBidi" w:eastAsia="Times New Roman"/>
                <w:sz w:val="24"/>
                <w:szCs w:val="24"/>
                <w:rtl/>
              </w:rPr>
              <w:t>اختيار العينة بأسلوب عشوائي طبقي يشمل أحجام المزارع كافة ومحافظات جازان المختلفة</w:t>
            </w:r>
          </w:p>
        </w:tc>
      </w:tr>
      <w:tr>
        <w:tc>
          <w:tcPr>
            <w:cnfStyle w:val="001000000000"/>
            <w:tcW w:w="0" w:type="auto"/>
            <w:hideMark/>
          </w:tcPr>
          <w:p>
            <w:pPr>
              <w:spacing w:lineRule="auto" w:line="360" w:after="160" w:beforeAutospacing="0" w:afterAutospacing="0"/>
              <w:jc w:val="both"/>
              <w:rPr>
                <w:rFonts w:asciiTheme="majorBidi" w:hAnsiTheme="majorBidi" w:cstheme="majorBidi" w:eastAsia="Times New Roman"/>
                <w:sz w:val="24"/>
                <w:szCs w:val="24"/>
                <w:lang w:bidi="ar-EG"/>
              </w:rPr>
            </w:pPr>
            <w:r>
              <w:rPr>
                <w:rFonts w:asciiTheme="majorBidi" w:hAnsiTheme="majorBidi" w:cstheme="majorBidi" w:eastAsia="Times New Roman"/>
                <w:sz w:val="24"/>
                <w:szCs w:val="24"/>
                <w:rtl/>
              </w:rPr>
              <w:t>احترام المجتمع المحلي</w:t>
            </w:r>
          </w:p>
        </w:tc>
        <w:tc>
          <w:tcPr>
            <w:tcW w:w="0" w:type="auto"/>
            <w:hideMark/>
          </w:tcPr>
          <w:p>
            <w:pPr>
              <w:spacing w:lineRule="auto" w:line="360" w:after="160" w:beforeAutospacing="0" w:afterAutospacing="0"/>
              <w:jc w:val="both"/>
              <w:rPr>
                <w:rFonts w:asciiTheme="majorBidi" w:hAnsiTheme="majorBidi" w:cstheme="majorBidi" w:eastAsia="Times New Roman"/>
                <w:sz w:val="24"/>
                <w:szCs w:val="24"/>
                <w:lang w:bidi="ar-EG"/>
              </w:rPr>
            </w:pPr>
            <w:r>
              <w:rPr>
                <w:rFonts w:asciiTheme="majorBidi" w:hAnsiTheme="majorBidi" w:cstheme="majorBidi" w:eastAsia="Times New Roman"/>
                <w:sz w:val="24"/>
                <w:szCs w:val="24"/>
                <w:rtl/>
              </w:rPr>
              <w:t>مراعاة الخصوصية الثقافية لمنطقة جازان وترجمة الاستبانة عند الحاجة</w:t>
            </w:r>
          </w:p>
        </w:tc>
      </w:tr>
      <w:tr>
        <w:tc>
          <w:tcPr>
            <w:cnfStyle w:val="001000000000"/>
            <w:tcW w:w="0" w:type="auto"/>
            <w:hideMark/>
          </w:tcPr>
          <w:p>
            <w:pPr>
              <w:spacing w:lineRule="auto" w:line="360" w:after="160" w:beforeAutospacing="0" w:afterAutospacing="0"/>
              <w:jc w:val="both"/>
              <w:rPr>
                <w:rFonts w:asciiTheme="majorBidi" w:hAnsiTheme="majorBidi" w:cstheme="majorBidi" w:eastAsia="Times New Roman"/>
                <w:sz w:val="24"/>
                <w:szCs w:val="24"/>
                <w:lang w:bidi="ar-EG"/>
              </w:rPr>
            </w:pPr>
            <w:r>
              <w:rPr>
                <w:rFonts w:asciiTheme="majorBidi" w:hAnsiTheme="majorBidi" w:cstheme="majorBidi" w:eastAsia="Times New Roman"/>
                <w:sz w:val="24"/>
                <w:szCs w:val="24"/>
                <w:rtl/>
              </w:rPr>
              <w:t>رد الجميل المعرفي</w:t>
            </w:r>
          </w:p>
        </w:tc>
        <w:tc>
          <w:tcPr>
            <w:tcW w:w="0" w:type="auto"/>
            <w:hideMark/>
          </w:tcPr>
          <w:p>
            <w:pPr>
              <w:spacing w:lineRule="auto" w:line="360" w:after="160" w:beforeAutospacing="0" w:afterAutospacing="0"/>
              <w:jc w:val="both"/>
              <w:rPr>
                <w:rFonts w:asciiTheme="majorBidi" w:hAnsiTheme="majorBidi" w:cstheme="majorBidi" w:eastAsia="Times New Roman"/>
                <w:sz w:val="24"/>
                <w:szCs w:val="24"/>
                <w:lang w:bidi="ar-EG"/>
              </w:rPr>
            </w:pPr>
            <w:r>
              <w:rPr>
                <w:rFonts w:asciiTheme="majorBidi" w:hAnsiTheme="majorBidi" w:cstheme="majorBidi" w:eastAsia="Times New Roman"/>
                <w:sz w:val="24"/>
                <w:szCs w:val="24"/>
                <w:rtl/>
              </w:rPr>
              <w:t>تقديم ملخص النتائج إلى وزارة البيئة والمياه والزراعة وإدارات المزارع المشاركة</w:t>
            </w:r>
          </w:p>
        </w:tc>
      </w:tr>
    </w:tbl>
    <w:p>
      <w:pPr>
        <w:spacing w:lineRule="auto" w:line="360" w:beforeAutospacing="0" w:afterAutospacing="0"/>
        <w:jc w:val="both"/>
        <w:rPr>
          <w:rFonts w:asciiTheme="majorBidi" w:hAnsiTheme="majorBidi" w:cstheme="majorBidi" w:eastAsia="Times New Roman"/>
          <w:b w:val="1"/>
          <w:bCs w:val="1"/>
          <w:sz w:val="24"/>
          <w:szCs w:val="24"/>
          <w:rtl/>
        </w:rPr>
      </w:pPr>
    </w:p>
    <w:p>
      <w:pPr>
        <w:spacing w:lineRule="auto" w:line="360" w:beforeAutospacing="0" w:afterAutospacing="0"/>
        <w:jc w:val="both"/>
        <w:rPr>
          <w:rFonts w:asciiTheme="majorBidi" w:hAnsiTheme="majorBidi" w:cstheme="majorBidi" w:eastAsia="Times New Roman"/>
          <w:b w:val="1"/>
          <w:bCs w:val="1"/>
          <w:sz w:val="24"/>
          <w:szCs w:val="24"/>
          <w:rtl/>
        </w:rPr>
      </w:pPr>
    </w:p>
    <w:p>
      <w:pPr>
        <w:spacing w:lineRule="auto" w:line="360" w:beforeAutospacing="0" w:afterAutospacing="0"/>
        <w:jc w:val="both"/>
        <w:rPr>
          <w:rFonts w:asciiTheme="majorBidi" w:hAnsiTheme="majorBidi" w:cstheme="majorBidi" w:eastAsia="Times New Roman"/>
          <w:b w:val="1"/>
          <w:bCs w:val="1"/>
          <w:sz w:val="24"/>
          <w:szCs w:val="24"/>
          <w:rtl/>
        </w:rPr>
      </w:pPr>
      <w:r>
        <w:rPr>
          <w:rFonts w:asciiTheme="majorBidi" w:hAnsiTheme="majorBidi" w:cstheme="majorBidi" w:eastAsia="Times New Roman" w:hint="cs"/>
          <w:b w:val="1"/>
          <w:bCs w:val="1"/>
          <w:sz w:val="24"/>
          <w:szCs w:val="24"/>
          <w:rtl/>
        </w:rPr>
        <w:t xml:space="preserve">الخاتمة </w:t>
      </w:r>
    </w:p>
    <w:p>
      <w:pPr>
        <w:spacing w:lineRule="auto" w:line="360" w:beforeAutospacing="0" w:afterAutospacing="0"/>
        <w:jc w:val="both"/>
        <w:rPr>
          <w:rFonts w:asciiTheme="majorBidi" w:hAnsiTheme="majorBidi" w:cstheme="majorBidi" w:eastAsia="Times New Roman"/>
          <w:sz w:val="24"/>
          <w:szCs w:val="24"/>
          <w:lang w:bidi="ar-EG"/>
        </w:rPr>
      </w:pPr>
      <w:r>
        <w:rPr>
          <w:rFonts w:asciiTheme="majorBidi" w:hAnsiTheme="majorBidi" w:cstheme="majorBidi" w:eastAsia="Times New Roman"/>
          <w:sz w:val="24"/>
          <w:szCs w:val="24"/>
          <w:rtl/>
        </w:rPr>
        <w:t>إن الالتزام بأخلاقيات البحث العلمي ليس عبئاً يُثقل كاهل الباحث</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بل قيمة مضافة تُعزز جودة دراسته وتُكسبها مكانة علمية رصينة</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ويأمل الباحث أن يكون هذا التقرير قد قدّم رؤية شاملة وتطبيقية للأخلاقيات البحثية وكيفية تطبيقها في سياق دراسته حول نظم إدارة الجودة</w:t>
      </w:r>
      <w:r>
        <w:rPr>
          <w:rFonts w:asciiTheme="majorBidi" w:hAnsiTheme="majorBidi" w:cstheme="majorBidi" w:eastAsia="Times New Roman"/>
          <w:sz w:val="24"/>
          <w:szCs w:val="24"/>
          <w:rtl/>
          <w:lang w:bidi="ar-EG"/>
        </w:rPr>
        <w:t xml:space="preserve"> </w:t>
      </w:r>
      <w:r>
        <w:rPr>
          <w:rFonts w:asciiTheme="majorBidi" w:hAnsiTheme="majorBidi" w:cstheme="majorBidi" w:eastAsia="Times New Roman"/>
          <w:sz w:val="24"/>
          <w:szCs w:val="24"/>
          <w:lang w:bidi="ar-EG"/>
        </w:rPr>
        <w:t>ISO 9001</w:t>
      </w:r>
      <w:r>
        <w:rPr>
          <w:rFonts w:asciiTheme="majorBidi" w:hAnsiTheme="majorBidi" w:cstheme="majorBidi" w:eastAsia="Times New Roman"/>
          <w:sz w:val="24"/>
          <w:szCs w:val="24"/>
          <w:rtl/>
          <w:lang w:bidi="ar-EG"/>
        </w:rPr>
        <w:t xml:space="preserve"> </w:t>
      </w:r>
      <w:r>
        <w:rPr>
          <w:rFonts w:asciiTheme="majorBidi" w:hAnsiTheme="majorBidi" w:cstheme="majorBidi" w:eastAsia="Times New Roman"/>
          <w:sz w:val="24"/>
          <w:szCs w:val="24"/>
          <w:rtl/>
        </w:rPr>
        <w:t>ومكافحة الآفات النباتية في مزارع الفاكهة بجازان</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ويُؤكد الباحث أن المعرفة العلمية الحقيقية لا تُبنى إلا على أساس من الصدق والموضوعية واحترام الإنسان</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وأن الباحث الذي يلتزم بهذه المبادئ يُسهم ليس فقط في إنتاج معرفة موثوقة</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بل أيضاً في تعزيز الثقة بالمؤسسة الأكاديمية التي ينتمي إليها وفي بناء جيل من الباحثين الذين يحملون رسالة العلم بأمانة ومسؤولية</w:t>
      </w:r>
      <w:r>
        <w:rPr>
          <w:rFonts w:asciiTheme="majorBidi" w:hAnsiTheme="majorBidi" w:cstheme="majorBidi" w:eastAsia="Times New Roman"/>
          <w:sz w:val="24"/>
          <w:szCs w:val="24"/>
          <w:lang w:bidi="ar-EG"/>
        </w:rPr>
        <w:t>.</w:t>
      </w:r>
    </w:p>
    <w:p>
      <w:pPr>
        <w:bidi w:val="0"/>
        <w:rPr>
          <w:rFonts w:asciiTheme="majorBidi" w:hAnsiTheme="majorBidi" w:cstheme="majorBidi" w:eastAsia="Times New Roman"/>
          <w:sz w:val="24"/>
          <w:szCs w:val="24"/>
          <w:lang w:bidi="ar-EG"/>
        </w:rPr>
      </w:pPr>
      <w:r>
        <w:rPr>
          <w:rFonts w:asciiTheme="majorBidi" w:hAnsiTheme="majorBidi" w:cstheme="majorBidi" w:eastAsia="Times New Roman"/>
          <w:sz w:val="24"/>
          <w:szCs w:val="24"/>
          <w:lang w:bidi="ar-EG"/>
        </w:rPr>
        <w:br w:type="page"/>
      </w:r>
    </w:p>
    <w:p>
      <w:pPr>
        <w:spacing w:lineRule="auto" w:line="360" w:beforeAutospacing="0" w:afterAutospacing="0"/>
        <w:jc w:val="both"/>
        <w:rPr>
          <w:rFonts w:asciiTheme="majorBidi" w:hAnsiTheme="majorBidi" w:cstheme="majorBidi" w:eastAsia="Times New Roman"/>
          <w:b w:val="1"/>
          <w:bCs w:val="1"/>
          <w:sz w:val="28"/>
          <w:szCs w:val="28"/>
          <w:lang w:bidi="ar-EG"/>
        </w:rPr>
      </w:pPr>
      <w:r>
        <w:rPr>
          <w:rFonts w:asciiTheme="majorBidi" w:hAnsiTheme="majorBidi" w:cstheme="majorBidi" w:eastAsia="Times New Roman" w:hint="cs"/>
          <w:b w:val="1"/>
          <w:bCs w:val="1"/>
          <w:sz w:val="28"/>
          <w:szCs w:val="28"/>
          <w:rtl/>
        </w:rPr>
        <w:t>ال</w:t>
      </w:r>
      <w:r>
        <w:rPr>
          <w:rFonts w:asciiTheme="majorBidi" w:hAnsiTheme="majorBidi" w:cstheme="majorBidi" w:eastAsia="Times New Roman"/>
          <w:b w:val="1"/>
          <w:bCs w:val="1"/>
          <w:sz w:val="28"/>
          <w:szCs w:val="28"/>
          <w:rtl/>
        </w:rPr>
        <w:t xml:space="preserve">مراجع </w:t>
      </w:r>
    </w:p>
    <w:p>
      <w:pPr>
        <w:spacing w:lineRule="auto" w:line="360" w:beforeAutospacing="0" w:afterAutospacing="0"/>
        <w:jc w:val="both"/>
        <w:rPr>
          <w:rFonts w:asciiTheme="majorBidi" w:hAnsiTheme="majorBidi" w:cstheme="majorBidi" w:eastAsia="Times New Roman"/>
          <w:sz w:val="24"/>
          <w:szCs w:val="24"/>
          <w:lang w:bidi="ar-EG"/>
        </w:rPr>
      </w:pPr>
      <w:r>
        <w:rPr>
          <w:rFonts w:asciiTheme="majorBidi" w:hAnsiTheme="majorBidi" w:cstheme="majorBidi" w:eastAsia="Times New Roman"/>
          <w:sz w:val="24"/>
          <w:szCs w:val="24"/>
          <w:rtl/>
        </w:rPr>
        <w:t>الحربي</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ع</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س</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2019</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أخلاقيات البحث العلمي في الجامعات السعودية</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دراسة تحليلية</w:t>
      </w:r>
      <w:r>
        <w:rPr>
          <w:rFonts w:asciiTheme="majorBidi" w:hAnsiTheme="majorBidi" w:cstheme="majorBidi" w:eastAsia="Times New Roman"/>
          <w:sz w:val="24"/>
          <w:szCs w:val="24"/>
          <w:lang w:bidi="ar-EG"/>
        </w:rPr>
        <w:t>.</w:t>
      </w:r>
      <w:r>
        <w:rPr>
          <w:rFonts w:asciiTheme="majorBidi" w:hAnsiTheme="majorBidi" w:cstheme="majorBidi" w:eastAsia="Times New Roman"/>
          <w:sz w:val="24"/>
          <w:szCs w:val="24"/>
          <w:rtl/>
          <w:lang w:bidi="ar-EG"/>
        </w:rPr>
        <w:t xml:space="preserve"> </w:t>
      </w:r>
      <w:r>
        <w:rPr>
          <w:rFonts w:asciiTheme="majorBidi" w:hAnsiTheme="majorBidi" w:cstheme="majorBidi" w:eastAsia="Times New Roman"/>
          <w:i w:val="1"/>
          <w:iCs w:val="1"/>
          <w:sz w:val="24"/>
          <w:szCs w:val="24"/>
          <w:rtl/>
        </w:rPr>
        <w:t>مجلة كلية التربية</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جامعة الملك سعود</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w:t>
      </w:r>
      <w:r>
        <w:rPr>
          <w:rFonts w:asciiTheme="majorBidi" w:hAnsiTheme="majorBidi" w:cstheme="majorBidi" w:eastAsia="Times New Roman"/>
          <w:sz w:val="24"/>
          <w:szCs w:val="24"/>
          <w:rtl/>
        </w:rPr>
        <w:t>31</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2</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w:t>
      </w:r>
      <w:r>
        <w:rPr>
          <w:rFonts w:asciiTheme="majorBidi" w:hAnsiTheme="majorBidi" w:cstheme="majorBidi" w:eastAsia="Times New Roman"/>
          <w:sz w:val="24"/>
          <w:szCs w:val="24"/>
          <w:rtl/>
        </w:rPr>
        <w:t>87</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112</w:t>
      </w:r>
      <w:r>
        <w:rPr>
          <w:rFonts w:asciiTheme="majorBidi" w:hAnsiTheme="majorBidi" w:cstheme="majorBidi" w:eastAsia="Times New Roman"/>
          <w:sz w:val="24"/>
          <w:szCs w:val="24"/>
          <w:lang w:bidi="ar-EG"/>
        </w:rPr>
        <w:t>.</w:t>
      </w:r>
    </w:p>
    <w:p>
      <w:pPr>
        <w:spacing w:lineRule="auto" w:line="360" w:beforeAutospacing="0" w:afterAutospacing="0"/>
        <w:jc w:val="both"/>
        <w:rPr>
          <w:rFonts w:asciiTheme="majorBidi" w:hAnsiTheme="majorBidi" w:cstheme="majorBidi" w:eastAsia="Times New Roman"/>
          <w:sz w:val="24"/>
          <w:szCs w:val="24"/>
          <w:lang w:bidi="ar-EG"/>
        </w:rPr>
      </w:pPr>
      <w:r>
        <w:rPr>
          <w:rFonts w:asciiTheme="majorBidi" w:hAnsiTheme="majorBidi" w:cstheme="majorBidi" w:eastAsia="Times New Roman"/>
          <w:sz w:val="24"/>
          <w:szCs w:val="24"/>
          <w:rtl/>
        </w:rPr>
        <w:t>شحاتة</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ح</w:t>
      </w:r>
      <w:r>
        <w:rPr>
          <w:rFonts w:asciiTheme="majorBidi" w:hAnsiTheme="majorBidi" w:cstheme="majorBidi" w:eastAsia="Times New Roman"/>
          <w:sz w:val="24"/>
          <w:szCs w:val="24"/>
          <w:lang w:bidi="ar-EG"/>
        </w:rPr>
        <w:t>.</w:t>
      </w:r>
      <w:r>
        <w:rPr>
          <w:rFonts w:asciiTheme="majorBidi" w:hAnsiTheme="majorBidi" w:cstheme="majorBidi" w:eastAsia="Times New Roman"/>
          <w:sz w:val="24"/>
          <w:szCs w:val="24"/>
          <w:rtl/>
          <w:lang w:bidi="ar-EG"/>
        </w:rPr>
        <w:t xml:space="preserve"> </w:t>
      </w:r>
      <w:r>
        <w:rPr>
          <w:rFonts w:asciiTheme="majorBidi" w:hAnsiTheme="majorBidi" w:cstheme="majorBidi" w:eastAsia="Times New Roman"/>
          <w:sz w:val="24"/>
          <w:szCs w:val="24"/>
          <w:lang w:bidi="ar-EG"/>
        </w:rPr>
        <w:t>(</w:t>
      </w:r>
      <w:r>
        <w:rPr>
          <w:rFonts w:asciiTheme="majorBidi" w:hAnsiTheme="majorBidi" w:cstheme="majorBidi" w:eastAsia="Times New Roman"/>
          <w:sz w:val="24"/>
          <w:szCs w:val="24"/>
          <w:lang w:bidi="ar-EG"/>
        </w:rPr>
        <w:t>2021</w:t>
      </w:r>
      <w:r>
        <w:rPr>
          <w:rFonts w:asciiTheme="majorBidi" w:hAnsiTheme="majorBidi" w:cstheme="majorBidi" w:eastAsia="Times New Roman"/>
          <w:sz w:val="24"/>
          <w:szCs w:val="24"/>
          <w:lang w:bidi="ar-EG"/>
        </w:rPr>
        <w:t>)</w:t>
      </w:r>
      <w:r>
        <w:rPr>
          <w:rFonts w:asciiTheme="majorBidi" w:hAnsiTheme="majorBidi" w:cstheme="majorBidi" w:eastAsia="Times New Roman"/>
          <w:sz w:val="24"/>
          <w:szCs w:val="24"/>
          <w:lang w:bidi="ar-EG"/>
        </w:rPr>
        <w:t>.</w:t>
      </w:r>
      <w:r>
        <w:rPr>
          <w:rFonts w:asciiTheme="majorBidi" w:hAnsiTheme="majorBidi" w:cstheme="majorBidi" w:eastAsia="Times New Roman"/>
          <w:sz w:val="24"/>
          <w:szCs w:val="24"/>
          <w:rtl/>
          <w:lang w:bidi="ar-EG"/>
        </w:rPr>
        <w:t xml:space="preserve"> </w:t>
      </w:r>
      <w:r>
        <w:rPr>
          <w:rFonts w:asciiTheme="majorBidi" w:hAnsiTheme="majorBidi" w:cstheme="majorBidi" w:eastAsia="Times New Roman"/>
          <w:i w:val="1"/>
          <w:iCs w:val="1"/>
          <w:sz w:val="24"/>
          <w:szCs w:val="24"/>
          <w:rtl/>
        </w:rPr>
        <w:t>أخلاقيات المهنة في التعليم والبحث العلمي</w:t>
      </w:r>
      <w:r>
        <w:rPr>
          <w:rFonts w:asciiTheme="majorBidi" w:hAnsiTheme="majorBidi" w:cstheme="majorBidi" w:eastAsia="Times New Roman"/>
          <w:sz w:val="24"/>
          <w:szCs w:val="24"/>
          <w:lang w:bidi="ar-EG"/>
        </w:rPr>
        <w:t>.</w:t>
      </w:r>
      <w:r>
        <w:rPr>
          <w:rFonts w:asciiTheme="majorBidi" w:hAnsiTheme="majorBidi" w:cstheme="majorBidi" w:eastAsia="Times New Roman"/>
          <w:sz w:val="24"/>
          <w:szCs w:val="24"/>
          <w:rtl/>
          <w:lang w:bidi="ar-EG"/>
        </w:rPr>
        <w:t xml:space="preserve"> </w:t>
      </w:r>
      <w:r>
        <w:rPr>
          <w:rFonts w:asciiTheme="majorBidi" w:hAnsiTheme="majorBidi" w:cstheme="majorBidi" w:eastAsia="Times New Roman"/>
          <w:sz w:val="24"/>
          <w:szCs w:val="24"/>
          <w:rtl/>
        </w:rPr>
        <w:t>القاهرة</w:t>
      </w:r>
      <w:r>
        <w:rPr>
          <w:rFonts w:asciiTheme="majorBidi" w:hAnsiTheme="majorBidi" w:cstheme="majorBidi" w:eastAsia="Times New Roman"/>
          <w:sz w:val="24"/>
          <w:szCs w:val="24"/>
          <w:rtl/>
        </w:rPr>
        <w:t>:</w:t>
      </w:r>
      <w:r>
        <w:rPr>
          <w:rFonts w:asciiTheme="majorBidi" w:hAnsiTheme="majorBidi" w:cstheme="majorBidi" w:eastAsia="Times New Roman"/>
          <w:sz w:val="24"/>
          <w:szCs w:val="24"/>
          <w:rtl/>
        </w:rPr>
        <w:t xml:space="preserve"> الدار المصرية اللبنانية</w:t>
      </w:r>
      <w:r>
        <w:rPr>
          <w:rFonts w:asciiTheme="majorBidi" w:hAnsiTheme="majorBidi" w:cstheme="majorBidi" w:eastAsia="Times New Roman"/>
          <w:sz w:val="24"/>
          <w:szCs w:val="24"/>
          <w:lang w:bidi="ar-EG"/>
        </w:rPr>
        <w:t>.</w:t>
      </w:r>
    </w:p>
    <w:p>
      <w:pPr>
        <w:spacing w:lineRule="auto" w:line="360" w:beforeAutospacing="0" w:afterAutospacing="0"/>
        <w:bidi w:val="0"/>
        <w:jc w:val="both"/>
        <w:rPr>
          <w:rFonts w:asciiTheme="majorBidi" w:hAnsiTheme="majorBidi" w:cstheme="majorBidi" w:eastAsia="Times New Roman"/>
          <w:sz w:val="24"/>
          <w:szCs w:val="24"/>
          <w:lang w:bidi="ar-EG"/>
        </w:rPr>
      </w:pPr>
      <w:r>
        <w:rPr>
          <w:rFonts w:asciiTheme="majorBidi" w:hAnsiTheme="majorBidi" w:cstheme="majorBidi" w:eastAsia="Times New Roman"/>
          <w:sz w:val="24"/>
          <w:szCs w:val="24"/>
          <w:lang w:bidi="ar-EG"/>
        </w:rPr>
        <w:t xml:space="preserve">National Institutes of Health. (2018). </w:t>
      </w:r>
      <w:r>
        <w:rPr>
          <w:rFonts w:asciiTheme="majorBidi" w:hAnsiTheme="majorBidi" w:cstheme="majorBidi" w:eastAsia="Times New Roman"/>
          <w:i w:val="1"/>
          <w:iCs w:val="1"/>
          <w:sz w:val="24"/>
          <w:szCs w:val="24"/>
          <w:lang w:bidi="ar-EG"/>
        </w:rPr>
        <w:t>Guidelines for the conduct of research involving human subjects</w:t>
      </w:r>
      <w:r>
        <w:rPr>
          <w:rFonts w:asciiTheme="majorBidi" w:hAnsiTheme="majorBidi" w:cstheme="majorBidi" w:eastAsia="Times New Roman"/>
          <w:sz w:val="24"/>
          <w:szCs w:val="24"/>
          <w:lang w:bidi="ar-EG"/>
        </w:rPr>
        <w:t>. Bethesda, MD: NIH Office of Human Subjects Research Protections.</w:t>
      </w:r>
    </w:p>
    <w:p>
      <w:pPr>
        <w:spacing w:lineRule="auto" w:line="360" w:beforeAutospacing="0" w:afterAutospacing="0"/>
        <w:bidi w:val="0"/>
        <w:jc w:val="both"/>
        <w:rPr>
          <w:rFonts w:asciiTheme="majorBidi" w:hAnsiTheme="majorBidi" w:cstheme="majorBidi" w:eastAsia="Times New Roman"/>
          <w:sz w:val="24"/>
          <w:szCs w:val="24"/>
          <w:lang w:bidi="ar-EG"/>
        </w:rPr>
      </w:pPr>
      <w:r>
        <w:rPr>
          <w:rFonts w:asciiTheme="majorBidi" w:hAnsiTheme="majorBidi" w:cstheme="majorBidi" w:eastAsia="Times New Roman"/>
          <w:sz w:val="24"/>
          <w:szCs w:val="24"/>
          <w:lang w:bidi="ar-EG"/>
        </w:rPr>
        <w:t xml:space="preserve">World Medical Association. (2013). World Medical Association Declaration of Helsinki: Ethical principles for medical research involving human subjects. </w:t>
      </w:r>
      <w:r>
        <w:rPr>
          <w:rFonts w:asciiTheme="majorBidi" w:hAnsiTheme="majorBidi" w:cstheme="majorBidi" w:eastAsia="Times New Roman"/>
          <w:i w:val="1"/>
          <w:iCs w:val="1"/>
          <w:sz w:val="24"/>
          <w:szCs w:val="24"/>
          <w:lang w:bidi="ar-EG"/>
        </w:rPr>
        <w:t>JAMA</w:t>
      </w:r>
      <w:r>
        <w:rPr>
          <w:rFonts w:asciiTheme="majorBidi" w:hAnsiTheme="majorBidi" w:cstheme="majorBidi" w:eastAsia="Times New Roman"/>
          <w:sz w:val="24"/>
          <w:szCs w:val="24"/>
          <w:lang w:bidi="ar-EG"/>
        </w:rPr>
        <w:t>, 310(20), 2191–2194.</w:t>
      </w:r>
    </w:p>
    <w:p>
      <w:pPr>
        <w:spacing w:lineRule="auto" w:line="360" w:beforeAutospacing="0" w:afterAutospacing="0"/>
        <w:bidi w:val="0"/>
        <w:jc w:val="both"/>
        <w:rPr>
          <w:rFonts w:asciiTheme="majorBidi" w:hAnsiTheme="majorBidi" w:cstheme="majorBidi" w:eastAsia="Times New Roman"/>
          <w:sz w:val="24"/>
          <w:szCs w:val="24"/>
          <w:lang w:bidi="ar-EG"/>
        </w:rPr>
      </w:pPr>
      <w:r>
        <w:rPr>
          <w:rFonts w:asciiTheme="majorBidi" w:hAnsiTheme="majorBidi" w:cstheme="majorBidi" w:eastAsia="Times New Roman"/>
          <w:sz w:val="24"/>
          <w:szCs w:val="24"/>
          <w:lang w:bidi="ar-EG"/>
        </w:rPr>
        <w:t xml:space="preserve">Steneck, N. H. (2007). </w:t>
      </w:r>
      <w:r>
        <w:rPr>
          <w:rFonts w:asciiTheme="majorBidi" w:hAnsiTheme="majorBidi" w:cstheme="majorBidi" w:eastAsia="Times New Roman"/>
          <w:i w:val="1"/>
          <w:iCs w:val="1"/>
          <w:sz w:val="24"/>
          <w:szCs w:val="24"/>
          <w:lang w:bidi="ar-EG"/>
        </w:rPr>
        <w:t>ORI introduction to the responsible conduct of research</w:t>
      </w:r>
      <w:r>
        <w:rPr>
          <w:rFonts w:asciiTheme="majorBidi" w:hAnsiTheme="majorBidi" w:cstheme="majorBidi" w:eastAsia="Times New Roman"/>
          <w:sz w:val="24"/>
          <w:szCs w:val="24"/>
          <w:lang w:bidi="ar-EG"/>
        </w:rPr>
        <w:t>. Washington, DC: U.S. Department of Health and Human Services, Office of Research Integrity.</w:t>
      </w:r>
    </w:p>
    <w:p>
      <w:pPr>
        <w:spacing w:lineRule="auto" w:line="360" w:beforeAutospacing="0" w:afterAutospacing="0"/>
        <w:jc w:val="both"/>
        <w:rPr>
          <w:rFonts w:asciiTheme="majorBidi" w:hAnsiTheme="majorBidi" w:cstheme="majorBidi" w:eastAsia="Times New Roman"/>
          <w:sz w:val="24"/>
          <w:szCs w:val="24"/>
          <w:lang w:bidi="ar-EG"/>
        </w:rPr>
      </w:pPr>
    </w:p>
    <w:sectPr>
      <w:footerReference xmlns:r="http://schemas.openxmlformats.org/officeDocument/2006/relationships" w:type="default" r:id="RelFtr1"/>
      <w:footnotePr/>
      <w:endnotePr/>
      <w:type w:val="nextPage"/>
      <w:pgSz w:w="11906" w:h="16838" w:code="0"/>
      <w:pgMar w:left="1797" w:right="1797" w:top="1440" w:bottom="1440" w:header="709" w:footer="709" w:gutter="0"/>
      <w:bidi/>
    </w:sectPr>
  </w:body>
</w:document>
</file>

<file path=word/endnotes.xml><?xml version="1.0" encoding="utf-8"?>
<w:endnotes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endnote w:type="separator" w:id="-1">
    <w:p>
      <w:pPr>
        <w:spacing w:lineRule="auto" w:line="240" w:after="0" w:beforeAutospacing="0" w:afterAutospacing="0"/>
      </w:pPr>
      <w:r>
        <w:separator/>
      </w:r>
    </w:p>
  </w:endnote>
  <w:endnote w:type="continuationSeparator" w:id="0">
    <w:p>
      <w:pPr>
        <w:spacing w:lineRule="auto" w:line="240" w:after="0" w:beforeAutospacing="0" w:afterAutospacing="0"/>
      </w:pPr>
      <w:r>
        <w:continuationSeparator/>
      </w:r>
    </w:p>
  </w:endnote>
</w:endnotes>
</file>

<file path=word/footer1.xml><?xml version="1.0" encoding="utf-8"?>
<w:ftr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p>
    <w:pPr>
      <w:pStyle w:val="P7"/>
      <w:jc w:val="center"/>
    </w:pPr>
    <w:r>
      <w:fldChar w:fldCharType="begin"/>
    </w:r>
    <w:r>
      <w:instrText xml:space="preserve">PAGE   \* MERGEFORMAT</w:instrText>
    </w:r>
    <w:r>
      <w:fldChar w:fldCharType="separate"/>
    </w:r>
    <w:r>
      <w:rPr>
        <w:rtl/>
        <w:lang w:val="ar-SA"/>
      </w:rPr>
      <w:t>#</w:t>
    </w:r>
    <w:r>
      <w:fldChar w:fldCharType="end"/>
    </w:r>
  </w:p>
  <w:p>
    <w:pPr>
      <w:pStyle w:val="P7"/>
    </w:pPr>
  </w:p>
</w:ftr>
</file>

<file path=word/footnotes.xml><?xml version="1.0" encoding="utf-8"?>
<w:footnotes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footnote w:type="separator" w:id="-1">
    <w:p>
      <w:pPr>
        <w:spacing w:lineRule="auto" w:line="240" w:after="0" w:beforeAutospacing="0" w:afterAutospacing="0"/>
      </w:pPr>
      <w:r>
        <w:separator/>
      </w:r>
    </w:p>
  </w:footnote>
  <w:footnote w:type="continuationSeparator" w:id="0">
    <w:p>
      <w:pPr>
        <w:spacing w:lineRule="auto" w:line="240" w:after="0" w:beforeAutospacing="0" w:afterAutospacing="0"/>
      </w:pPr>
      <w:r>
        <w:continuationSeparator/>
      </w:r>
    </w:p>
  </w:footnote>
</w:footnotes>
</file>

<file path=word/numbering.xml><?xml version="1.0" encoding="utf-8"?>
<w:numbering xmlns:w="http://schemas.openxmlformats.org/wordprocessingml/2006/main">
  <w:abstractNum w:abstractNumId="0">
    <w:nsid w:val="03987AE7"/>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abstractNum w:abstractNumId="1">
    <w:nsid w:val="066F7F60"/>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abstractNum w:abstractNumId="2">
    <w:nsid w:val="09792A76"/>
    <w:multiLevelType w:val="hybridMultilevel"/>
    <w:lvl w:ilvl="0" w:tplc="04090009">
      <w:start w:val="1"/>
      <w:numFmt w:val="bullet"/>
      <w:suff w:val="tab"/>
      <w:lvlText w:val=""/>
      <w:lvlJc w:val="left"/>
      <w:pPr>
        <w:ind w:hanging="360" w:left="780"/>
      </w:pPr>
      <w:rPr>
        <w:rFonts w:ascii="Wingdings" w:hAnsi="Wingdings" w:hint="default"/>
        <w:color w:val="203965" w:themeColor="accent1" w:themeShade="80"/>
        <w:szCs w:val="24"/>
        <w:u w:val="none" w:color="000000" w:themeColor="text1"/>
      </w:rPr>
    </w:lvl>
    <w:lvl w:ilvl="1" w:tplc="FFFFFFFF">
      <w:start w:val="1"/>
      <w:numFmt w:val="bullet"/>
      <w:suff w:val="tab"/>
      <w:lvlText w:val="o"/>
      <w:lvlJc w:val="left"/>
      <w:pPr>
        <w:ind w:hanging="360" w:left="1500"/>
      </w:pPr>
      <w:rPr>
        <w:rFonts w:ascii="Courier New" w:hAnsi="Courier New" w:cs="Courier New" w:hint="default"/>
      </w:rPr>
    </w:lvl>
    <w:lvl w:ilvl="2" w:tplc="FFFFFFFF">
      <w:start w:val="1"/>
      <w:numFmt w:val="bullet"/>
      <w:suff w:val="tab"/>
      <w:lvlText w:val=""/>
      <w:lvlJc w:val="left"/>
      <w:pPr>
        <w:ind w:hanging="360" w:left="2220"/>
      </w:pPr>
      <w:rPr>
        <w:rFonts w:ascii="Wingdings" w:hAnsi="Wingdings" w:hint="default"/>
      </w:rPr>
    </w:lvl>
    <w:lvl w:ilvl="3" w:tplc="FFFFFFFF">
      <w:start w:val="1"/>
      <w:numFmt w:val="bullet"/>
      <w:suff w:val="tab"/>
      <w:lvlText w:val=""/>
      <w:lvlJc w:val="left"/>
      <w:pPr>
        <w:ind w:hanging="360" w:left="2940"/>
      </w:pPr>
      <w:rPr>
        <w:rFonts w:ascii="Symbol" w:hAnsi="Symbol" w:hint="default"/>
      </w:rPr>
    </w:lvl>
    <w:lvl w:ilvl="4" w:tplc="FFFFFFFF">
      <w:start w:val="1"/>
      <w:numFmt w:val="bullet"/>
      <w:suff w:val="tab"/>
      <w:lvlText w:val="o"/>
      <w:lvlJc w:val="left"/>
      <w:pPr>
        <w:ind w:hanging="360" w:left="3660"/>
      </w:pPr>
      <w:rPr>
        <w:rFonts w:ascii="Courier New" w:hAnsi="Courier New" w:cs="Courier New" w:hint="default"/>
      </w:rPr>
    </w:lvl>
    <w:lvl w:ilvl="5" w:tplc="FFFFFFFF">
      <w:start w:val="1"/>
      <w:numFmt w:val="bullet"/>
      <w:suff w:val="tab"/>
      <w:lvlText w:val=""/>
      <w:lvlJc w:val="left"/>
      <w:pPr>
        <w:ind w:hanging="360" w:left="4380"/>
      </w:pPr>
      <w:rPr>
        <w:rFonts w:ascii="Wingdings" w:hAnsi="Wingdings" w:hint="default"/>
      </w:rPr>
    </w:lvl>
    <w:lvl w:ilvl="6" w:tplc="FFFFFFFF">
      <w:start w:val="1"/>
      <w:numFmt w:val="bullet"/>
      <w:suff w:val="tab"/>
      <w:lvlText w:val=""/>
      <w:lvlJc w:val="left"/>
      <w:pPr>
        <w:ind w:hanging="360" w:left="5100"/>
      </w:pPr>
      <w:rPr>
        <w:rFonts w:ascii="Symbol" w:hAnsi="Symbol" w:hint="default"/>
      </w:rPr>
    </w:lvl>
    <w:lvl w:ilvl="7" w:tplc="FFFFFFFF">
      <w:start w:val="1"/>
      <w:numFmt w:val="bullet"/>
      <w:suff w:val="tab"/>
      <w:lvlText w:val="o"/>
      <w:lvlJc w:val="left"/>
      <w:pPr>
        <w:ind w:hanging="360" w:left="5820"/>
      </w:pPr>
      <w:rPr>
        <w:rFonts w:ascii="Courier New" w:hAnsi="Courier New" w:cs="Courier New" w:hint="default"/>
      </w:rPr>
    </w:lvl>
    <w:lvl w:ilvl="8" w:tplc="FFFFFFFF">
      <w:start w:val="1"/>
      <w:numFmt w:val="bullet"/>
      <w:suff w:val="tab"/>
      <w:lvlText w:val=""/>
      <w:lvlJc w:val="left"/>
      <w:pPr>
        <w:ind w:hanging="360" w:left="6540"/>
      </w:pPr>
      <w:rPr>
        <w:rFonts w:ascii="Wingdings" w:hAnsi="Wingdings" w:hint="default"/>
      </w:rPr>
    </w:lvl>
  </w:abstractNum>
  <w:abstractNum w:abstractNumId="3">
    <w:nsid w:val="0E532D06"/>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abstractNum w:abstractNumId="4">
    <w:nsid w:val="140065AA"/>
    <w:multiLevelType w:val="hybridMultilevel"/>
    <w:lvl w:ilvl="0" w:tplc="7FEA9606">
      <w:start w:val="1"/>
      <w:numFmt w:val="decimal"/>
      <w:suff w:val="tab"/>
      <w:lvlText w:val="%1."/>
      <w:lvlJc w:val="left"/>
      <w:pPr>
        <w:ind w:hanging="360" w:left="720"/>
      </w:pPr>
      <w:rPr>
        <w:rFonts w:hint="default"/>
      </w:rPr>
    </w:lvl>
    <w:lvl w:ilvl="1" w:tplc="04090019">
      <w:start w:val="1"/>
      <w:numFmt w:val="lowerLetter"/>
      <w:suff w:val="tab"/>
      <w:lvlText w:val="%2."/>
      <w:lvlJc w:val="left"/>
      <w:pPr>
        <w:ind w:hanging="360" w:left="1440"/>
      </w:pPr>
      <w:rPr/>
    </w:lvl>
    <w:lvl w:ilvl="2" w:tplc="0409001B">
      <w:start w:val="1"/>
      <w:numFmt w:val="lowerRoman"/>
      <w:suff w:val="tab"/>
      <w:lvlText w:val="%3."/>
      <w:lvlJc w:val="right"/>
      <w:pPr>
        <w:ind w:hanging="180" w:left="2160"/>
      </w:pPr>
      <w:rPr/>
    </w:lvl>
    <w:lvl w:ilvl="3" w:tplc="0409000F">
      <w:start w:val="1"/>
      <w:numFmt w:val="decimal"/>
      <w:suff w:val="tab"/>
      <w:lvlText w:val="%4."/>
      <w:lvlJc w:val="left"/>
      <w:pPr>
        <w:ind w:hanging="360" w:left="2880"/>
      </w:pPr>
      <w:rPr/>
    </w:lvl>
    <w:lvl w:ilvl="4" w:tplc="04090019">
      <w:start w:val="1"/>
      <w:numFmt w:val="lowerLetter"/>
      <w:suff w:val="tab"/>
      <w:lvlText w:val="%5."/>
      <w:lvlJc w:val="left"/>
      <w:pPr>
        <w:ind w:hanging="360" w:left="3600"/>
      </w:pPr>
      <w:rPr/>
    </w:lvl>
    <w:lvl w:ilvl="5" w:tplc="0409001B">
      <w:start w:val="1"/>
      <w:numFmt w:val="lowerRoman"/>
      <w:suff w:val="tab"/>
      <w:lvlText w:val="%6."/>
      <w:lvlJc w:val="right"/>
      <w:pPr>
        <w:ind w:hanging="180" w:left="4320"/>
      </w:pPr>
      <w:rPr/>
    </w:lvl>
    <w:lvl w:ilvl="6" w:tplc="0409000F">
      <w:start w:val="1"/>
      <w:numFmt w:val="decimal"/>
      <w:suff w:val="tab"/>
      <w:lvlText w:val="%7."/>
      <w:lvlJc w:val="left"/>
      <w:pPr>
        <w:ind w:hanging="360" w:left="5040"/>
      </w:pPr>
      <w:rPr/>
    </w:lvl>
    <w:lvl w:ilvl="7" w:tplc="04090019">
      <w:start w:val="1"/>
      <w:numFmt w:val="lowerLetter"/>
      <w:suff w:val="tab"/>
      <w:lvlText w:val="%8."/>
      <w:lvlJc w:val="left"/>
      <w:pPr>
        <w:ind w:hanging="360" w:left="5760"/>
      </w:pPr>
      <w:rPr/>
    </w:lvl>
    <w:lvl w:ilvl="8" w:tplc="0409001B">
      <w:start w:val="1"/>
      <w:numFmt w:val="lowerRoman"/>
      <w:suff w:val="tab"/>
      <w:lvlText w:val="%9."/>
      <w:lvlJc w:val="right"/>
      <w:pPr>
        <w:ind w:hanging="180" w:left="6480"/>
      </w:pPr>
      <w:rPr/>
    </w:lvl>
  </w:abstractNum>
  <w:abstractNum w:abstractNumId="5">
    <w:nsid w:val="140A6840"/>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abstractNum w:abstractNumId="6">
    <w:nsid w:val="145B17E4"/>
    <w:multiLevelType w:val="hybridMultilevel"/>
    <w:lvl w:ilvl="0" w:tplc="04090009">
      <w:start w:val="1"/>
      <w:numFmt w:val="bullet"/>
      <w:suff w:val="tab"/>
      <w:lvlText w:val=""/>
      <w:lvlJc w:val="left"/>
      <w:pPr>
        <w:ind w:hanging="360" w:left="360"/>
      </w:pPr>
      <w:rPr>
        <w:rFonts w:ascii="Wingdings" w:hAnsi="Wingdings" w:hint="default"/>
      </w:rPr>
    </w:lvl>
    <w:lvl w:ilvl="1" w:tplc="04090003">
      <w:start w:val="1"/>
      <w:numFmt w:val="bullet"/>
      <w:suff w:val="tab"/>
      <w:lvlText w:val="o"/>
      <w:lvlJc w:val="left"/>
      <w:pPr>
        <w:ind w:hanging="360" w:left="1080"/>
      </w:pPr>
      <w:rPr>
        <w:rFonts w:ascii="Courier New" w:hAnsi="Courier New" w:cs="Courier New" w:hint="default"/>
      </w:rPr>
    </w:lvl>
    <w:lvl w:ilvl="2" w:tplc="04090005">
      <w:start w:val="1"/>
      <w:numFmt w:val="bullet"/>
      <w:suff w:val="tab"/>
      <w:lvlText w:val=""/>
      <w:lvlJc w:val="left"/>
      <w:pPr>
        <w:ind w:hanging="360" w:left="1800"/>
      </w:pPr>
      <w:rPr>
        <w:rFonts w:ascii="Wingdings" w:hAnsi="Wingdings" w:hint="default"/>
      </w:rPr>
    </w:lvl>
    <w:lvl w:ilvl="3" w:tplc="04090001">
      <w:start w:val="1"/>
      <w:numFmt w:val="bullet"/>
      <w:suff w:val="tab"/>
      <w:lvlText w:val=""/>
      <w:lvlJc w:val="left"/>
      <w:pPr>
        <w:ind w:hanging="360" w:left="2520"/>
      </w:pPr>
      <w:rPr>
        <w:rFonts w:ascii="Symbol" w:hAnsi="Symbol" w:hint="default"/>
      </w:rPr>
    </w:lvl>
    <w:lvl w:ilvl="4" w:tplc="04090003">
      <w:start w:val="1"/>
      <w:numFmt w:val="bullet"/>
      <w:suff w:val="tab"/>
      <w:lvlText w:val="o"/>
      <w:lvlJc w:val="left"/>
      <w:pPr>
        <w:ind w:hanging="360" w:left="3240"/>
      </w:pPr>
      <w:rPr>
        <w:rFonts w:ascii="Courier New" w:hAnsi="Courier New" w:cs="Courier New" w:hint="default"/>
      </w:rPr>
    </w:lvl>
    <w:lvl w:ilvl="5" w:tplc="04090005">
      <w:start w:val="1"/>
      <w:numFmt w:val="bullet"/>
      <w:suff w:val="tab"/>
      <w:lvlText w:val=""/>
      <w:lvlJc w:val="left"/>
      <w:pPr>
        <w:ind w:hanging="360" w:left="3960"/>
      </w:pPr>
      <w:rPr>
        <w:rFonts w:ascii="Wingdings" w:hAnsi="Wingdings" w:hint="default"/>
      </w:rPr>
    </w:lvl>
    <w:lvl w:ilvl="6" w:tplc="04090001">
      <w:start w:val="1"/>
      <w:numFmt w:val="bullet"/>
      <w:suff w:val="tab"/>
      <w:lvlText w:val=""/>
      <w:lvlJc w:val="left"/>
      <w:pPr>
        <w:ind w:hanging="360" w:left="4680"/>
      </w:pPr>
      <w:rPr>
        <w:rFonts w:ascii="Symbol" w:hAnsi="Symbol" w:hint="default"/>
      </w:rPr>
    </w:lvl>
    <w:lvl w:ilvl="7" w:tplc="04090003">
      <w:start w:val="1"/>
      <w:numFmt w:val="bullet"/>
      <w:suff w:val="tab"/>
      <w:lvlText w:val="o"/>
      <w:lvlJc w:val="left"/>
      <w:pPr>
        <w:ind w:hanging="360" w:left="5400"/>
      </w:pPr>
      <w:rPr>
        <w:rFonts w:ascii="Courier New" w:hAnsi="Courier New" w:cs="Courier New" w:hint="default"/>
      </w:rPr>
    </w:lvl>
    <w:lvl w:ilvl="8" w:tplc="04090005">
      <w:start w:val="1"/>
      <w:numFmt w:val="bullet"/>
      <w:suff w:val="tab"/>
      <w:lvlText w:val=""/>
      <w:lvlJc w:val="left"/>
      <w:pPr>
        <w:ind w:hanging="360" w:left="6120"/>
      </w:pPr>
      <w:rPr>
        <w:rFonts w:ascii="Wingdings" w:hAnsi="Wingdings" w:hint="default"/>
      </w:rPr>
    </w:lvl>
  </w:abstractNum>
  <w:abstractNum w:abstractNumId="7">
    <w:nsid w:val="14A000E3"/>
    <w:multiLevelType w:val="hybridMultilevel"/>
    <w:lvl w:ilvl="0" w:tplc="04090013">
      <w:start w:val="1"/>
      <w:numFmt w:val="arabicAlpha"/>
      <w:suff w:val="tab"/>
      <w:lvlText w:val="%1-"/>
      <w:lvlJc w:val="center"/>
      <w:pPr>
        <w:ind w:hanging="360" w:left="720"/>
      </w:pPr>
      <w:rPr/>
    </w:lvl>
    <w:lvl w:ilvl="1" w:tplc="04090019">
      <w:start w:val="1"/>
      <w:numFmt w:val="lowerLetter"/>
      <w:suff w:val="tab"/>
      <w:lvlText w:val="%2."/>
      <w:lvlJc w:val="left"/>
      <w:pPr>
        <w:ind w:hanging="360" w:left="1440"/>
      </w:pPr>
      <w:rPr/>
    </w:lvl>
    <w:lvl w:ilvl="2" w:tplc="0409001B">
      <w:start w:val="1"/>
      <w:numFmt w:val="lowerRoman"/>
      <w:suff w:val="tab"/>
      <w:lvlText w:val="%3."/>
      <w:lvlJc w:val="right"/>
      <w:pPr>
        <w:ind w:hanging="180" w:left="2160"/>
      </w:pPr>
      <w:rPr/>
    </w:lvl>
    <w:lvl w:ilvl="3" w:tplc="0409000F">
      <w:start w:val="1"/>
      <w:numFmt w:val="decimal"/>
      <w:suff w:val="tab"/>
      <w:lvlText w:val="%4."/>
      <w:lvlJc w:val="left"/>
      <w:pPr>
        <w:ind w:hanging="360" w:left="2880"/>
      </w:pPr>
      <w:rPr/>
    </w:lvl>
    <w:lvl w:ilvl="4" w:tplc="04090019">
      <w:start w:val="1"/>
      <w:numFmt w:val="lowerLetter"/>
      <w:suff w:val="tab"/>
      <w:lvlText w:val="%5."/>
      <w:lvlJc w:val="left"/>
      <w:pPr>
        <w:ind w:hanging="360" w:left="3600"/>
      </w:pPr>
      <w:rPr/>
    </w:lvl>
    <w:lvl w:ilvl="5" w:tplc="0409001B">
      <w:start w:val="1"/>
      <w:numFmt w:val="lowerRoman"/>
      <w:suff w:val="tab"/>
      <w:lvlText w:val="%6."/>
      <w:lvlJc w:val="right"/>
      <w:pPr>
        <w:ind w:hanging="180" w:left="4320"/>
      </w:pPr>
      <w:rPr/>
    </w:lvl>
    <w:lvl w:ilvl="6" w:tplc="0409000F">
      <w:start w:val="1"/>
      <w:numFmt w:val="decimal"/>
      <w:suff w:val="tab"/>
      <w:lvlText w:val="%7."/>
      <w:lvlJc w:val="left"/>
      <w:pPr>
        <w:ind w:hanging="360" w:left="5040"/>
      </w:pPr>
      <w:rPr/>
    </w:lvl>
    <w:lvl w:ilvl="7" w:tplc="04090019">
      <w:start w:val="1"/>
      <w:numFmt w:val="lowerLetter"/>
      <w:suff w:val="tab"/>
      <w:lvlText w:val="%8."/>
      <w:lvlJc w:val="left"/>
      <w:pPr>
        <w:ind w:hanging="360" w:left="5760"/>
      </w:pPr>
      <w:rPr/>
    </w:lvl>
    <w:lvl w:ilvl="8" w:tplc="0409001B">
      <w:start w:val="1"/>
      <w:numFmt w:val="lowerRoman"/>
      <w:suff w:val="tab"/>
      <w:lvlText w:val="%9."/>
      <w:lvlJc w:val="right"/>
      <w:pPr>
        <w:ind w:hanging="180" w:left="6480"/>
      </w:pPr>
      <w:rPr/>
    </w:lvl>
  </w:abstractNum>
  <w:abstractNum w:abstractNumId="8">
    <w:nsid w:val="15021293"/>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abstractNum w:abstractNumId="9">
    <w:nsid w:val="172A5D73"/>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abstractNum w:abstractNumId="10">
    <w:nsid w:val="17C753D1"/>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abstractNum w:abstractNumId="11">
    <w:nsid w:val="18151C57"/>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abstractNum w:abstractNumId="12">
    <w:nsid w:val="1A125252"/>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abstractNum w:abstractNumId="13">
    <w:nsid w:val="1FDB544D"/>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abstractNum w:abstractNumId="14">
    <w:nsid w:val="20797A43"/>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abstractNum w:abstractNumId="15">
    <w:nsid w:val="27E93D94"/>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abstractNum w:abstractNumId="16">
    <w:nsid w:val="2A217BFE"/>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abstractNum w:abstractNumId="17">
    <w:nsid w:val="2B28511A"/>
    <w:multiLevelType w:val="hybridMultilevel"/>
    <w:lvl w:ilvl="0" w:tplc="F74A8452">
      <w:start w:val="1"/>
      <w:numFmt w:val="decimal"/>
      <w:suff w:val="tab"/>
      <w:lvlText w:val="%1."/>
      <w:lvlJc w:val="left"/>
      <w:pPr>
        <w:ind w:hanging="360" w:left="720"/>
      </w:pPr>
      <w:rPr>
        <w:rFonts w:hint="default"/>
      </w:rPr>
    </w:lvl>
    <w:lvl w:ilvl="1" w:tplc="04090019">
      <w:start w:val="1"/>
      <w:numFmt w:val="lowerLetter"/>
      <w:suff w:val="tab"/>
      <w:lvlText w:val="%2."/>
      <w:lvlJc w:val="left"/>
      <w:pPr>
        <w:ind w:hanging="360" w:left="1440"/>
      </w:pPr>
      <w:rPr/>
    </w:lvl>
    <w:lvl w:ilvl="2" w:tplc="0409001B">
      <w:start w:val="1"/>
      <w:numFmt w:val="lowerRoman"/>
      <w:suff w:val="tab"/>
      <w:lvlText w:val="%3."/>
      <w:lvlJc w:val="right"/>
      <w:pPr>
        <w:ind w:hanging="180" w:left="2160"/>
      </w:pPr>
      <w:rPr/>
    </w:lvl>
    <w:lvl w:ilvl="3" w:tplc="0409000F">
      <w:start w:val="1"/>
      <w:numFmt w:val="decimal"/>
      <w:suff w:val="tab"/>
      <w:lvlText w:val="%4."/>
      <w:lvlJc w:val="left"/>
      <w:pPr>
        <w:ind w:hanging="360" w:left="2880"/>
      </w:pPr>
      <w:rPr/>
    </w:lvl>
    <w:lvl w:ilvl="4" w:tplc="04090019">
      <w:start w:val="1"/>
      <w:numFmt w:val="lowerLetter"/>
      <w:suff w:val="tab"/>
      <w:lvlText w:val="%5."/>
      <w:lvlJc w:val="left"/>
      <w:pPr>
        <w:ind w:hanging="360" w:left="3600"/>
      </w:pPr>
      <w:rPr/>
    </w:lvl>
    <w:lvl w:ilvl="5" w:tplc="0409001B">
      <w:start w:val="1"/>
      <w:numFmt w:val="lowerRoman"/>
      <w:suff w:val="tab"/>
      <w:lvlText w:val="%6."/>
      <w:lvlJc w:val="right"/>
      <w:pPr>
        <w:ind w:hanging="180" w:left="4320"/>
      </w:pPr>
      <w:rPr/>
    </w:lvl>
    <w:lvl w:ilvl="6" w:tplc="0409000F">
      <w:start w:val="1"/>
      <w:numFmt w:val="decimal"/>
      <w:suff w:val="tab"/>
      <w:lvlText w:val="%7."/>
      <w:lvlJc w:val="left"/>
      <w:pPr>
        <w:ind w:hanging="360" w:left="5040"/>
      </w:pPr>
      <w:rPr/>
    </w:lvl>
    <w:lvl w:ilvl="7" w:tplc="04090019">
      <w:start w:val="1"/>
      <w:numFmt w:val="lowerLetter"/>
      <w:suff w:val="tab"/>
      <w:lvlText w:val="%8."/>
      <w:lvlJc w:val="left"/>
      <w:pPr>
        <w:ind w:hanging="360" w:left="5760"/>
      </w:pPr>
      <w:rPr/>
    </w:lvl>
    <w:lvl w:ilvl="8" w:tplc="0409001B">
      <w:start w:val="1"/>
      <w:numFmt w:val="lowerRoman"/>
      <w:suff w:val="tab"/>
      <w:lvlText w:val="%9."/>
      <w:lvlJc w:val="right"/>
      <w:pPr>
        <w:ind w:hanging="180" w:left="6480"/>
      </w:pPr>
      <w:rPr/>
    </w:lvl>
  </w:abstractNum>
  <w:abstractNum w:abstractNumId="18">
    <w:nsid w:val="2C5C0843"/>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abstractNum w:abstractNumId="19">
    <w:nsid w:val="2F162BE7"/>
    <w:multiLevelType w:val="hybridMultilevel"/>
    <w:lvl w:ilvl="0" w:tplc="04090009">
      <w:start w:val="1"/>
      <w:numFmt w:val="bullet"/>
      <w:suff w:val="tab"/>
      <w:lvlText w:val=""/>
      <w:lvlJc w:val="left"/>
      <w:pPr>
        <w:ind w:hanging="360" w:left="720"/>
      </w:pPr>
      <w:rPr>
        <w:rFonts w:ascii="Wingdings" w:hAnsi="Wingdings" w:hint="default"/>
      </w:rPr>
    </w:lvl>
    <w:lvl w:ilvl="1" w:tplc="04090003">
      <w:start w:val="1"/>
      <w:numFmt w:val="bullet"/>
      <w:suff w:val="tab"/>
      <w:lvlText w:val="o"/>
      <w:lvlJc w:val="left"/>
      <w:pPr>
        <w:ind w:hanging="360" w:left="1440"/>
      </w:pPr>
      <w:rPr>
        <w:rFonts w:ascii="Courier New" w:hAnsi="Courier New" w:cs="Courier New" w:hint="default"/>
      </w:rPr>
    </w:lvl>
    <w:lvl w:ilvl="2" w:tplc="04090005">
      <w:start w:val="1"/>
      <w:numFmt w:val="bullet"/>
      <w:suff w:val="tab"/>
      <w:lvlText w:val=""/>
      <w:lvlJc w:val="left"/>
      <w:pPr>
        <w:ind w:hanging="360" w:left="2160"/>
      </w:pPr>
      <w:rPr>
        <w:rFonts w:ascii="Wingdings" w:hAnsi="Wingdings" w:hint="default"/>
      </w:rPr>
    </w:lvl>
    <w:lvl w:ilvl="3" w:tplc="04090001">
      <w:start w:val="1"/>
      <w:numFmt w:val="bullet"/>
      <w:suff w:val="tab"/>
      <w:lvlText w:val=""/>
      <w:lvlJc w:val="left"/>
      <w:pPr>
        <w:ind w:hanging="360" w:left="2880"/>
      </w:pPr>
      <w:rPr>
        <w:rFonts w:ascii="Symbol" w:hAnsi="Symbol" w:hint="default"/>
      </w:rPr>
    </w:lvl>
    <w:lvl w:ilvl="4" w:tplc="04090003">
      <w:start w:val="1"/>
      <w:numFmt w:val="bullet"/>
      <w:suff w:val="tab"/>
      <w:lvlText w:val="o"/>
      <w:lvlJc w:val="left"/>
      <w:pPr>
        <w:ind w:hanging="360" w:left="3600"/>
      </w:pPr>
      <w:rPr>
        <w:rFonts w:ascii="Courier New" w:hAnsi="Courier New" w:cs="Courier New" w:hint="default"/>
      </w:rPr>
    </w:lvl>
    <w:lvl w:ilvl="5" w:tplc="04090005">
      <w:start w:val="1"/>
      <w:numFmt w:val="bullet"/>
      <w:suff w:val="tab"/>
      <w:lvlText w:val=""/>
      <w:lvlJc w:val="left"/>
      <w:pPr>
        <w:ind w:hanging="360" w:left="4320"/>
      </w:pPr>
      <w:rPr>
        <w:rFonts w:ascii="Wingdings" w:hAnsi="Wingdings" w:hint="default"/>
      </w:rPr>
    </w:lvl>
    <w:lvl w:ilvl="6" w:tplc="04090001">
      <w:start w:val="1"/>
      <w:numFmt w:val="bullet"/>
      <w:suff w:val="tab"/>
      <w:lvlText w:val=""/>
      <w:lvlJc w:val="left"/>
      <w:pPr>
        <w:ind w:hanging="360" w:left="5040"/>
      </w:pPr>
      <w:rPr>
        <w:rFonts w:ascii="Symbol" w:hAnsi="Symbol" w:hint="default"/>
      </w:rPr>
    </w:lvl>
    <w:lvl w:ilvl="7" w:tplc="04090003">
      <w:start w:val="1"/>
      <w:numFmt w:val="bullet"/>
      <w:suff w:val="tab"/>
      <w:lvlText w:val="o"/>
      <w:lvlJc w:val="left"/>
      <w:pPr>
        <w:ind w:hanging="360" w:left="5760"/>
      </w:pPr>
      <w:rPr>
        <w:rFonts w:ascii="Courier New" w:hAnsi="Courier New" w:cs="Courier New" w:hint="default"/>
      </w:rPr>
    </w:lvl>
    <w:lvl w:ilvl="8" w:tplc="04090005">
      <w:start w:val="1"/>
      <w:numFmt w:val="bullet"/>
      <w:suff w:val="tab"/>
      <w:lvlText w:val=""/>
      <w:lvlJc w:val="left"/>
      <w:pPr>
        <w:ind w:hanging="360" w:left="6480"/>
      </w:pPr>
      <w:rPr>
        <w:rFonts w:ascii="Wingdings" w:hAnsi="Wingdings" w:hint="default"/>
      </w:rPr>
    </w:lvl>
  </w:abstractNum>
  <w:abstractNum w:abstractNumId="20">
    <w:nsid w:val="30637243"/>
    <w:multiLevelType w:val="multilevel"/>
    <w:lvl w:ilvl="0">
      <w:start w:val="1"/>
      <w:numFmt w:val="bullet"/>
      <w:suff w:val="tab"/>
      <w:lvlText w:val=""/>
      <w:lvlJc w:val="left"/>
      <w:pPr>
        <w:ind w:hanging="360" w:left="360"/>
        <w:tabs>
          <w:tab w:val="num" w:pos="360" w:leader="none"/>
        </w:tabs>
      </w:pPr>
      <w:rPr>
        <w:rFonts w:ascii="Wingdings" w:hAnsi="Wingdings" w:hint="default"/>
        <w:sz w:val="20"/>
      </w:rPr>
    </w:lvl>
    <w:lvl w:ilvl="1">
      <w:start w:val="1"/>
      <w:numFmt w:val="bullet"/>
      <w:suff w:val="tab"/>
      <w:lvlText w:val="o"/>
      <w:lvlJc w:val="left"/>
      <w:pPr>
        <w:ind w:hanging="360" w:left="1080"/>
        <w:tabs>
          <w:tab w:val="num" w:pos="1080" w:leader="none"/>
        </w:tabs>
      </w:pPr>
      <w:rPr>
        <w:rFonts w:ascii="Courier New" w:hAnsi="Courier New" w:hint="default"/>
        <w:sz w:val="20"/>
      </w:rPr>
    </w:lvl>
    <w:lvl w:ilvl="2">
      <w:start w:val="1"/>
      <w:numFmt w:val="bullet"/>
      <w:suff w:val="tab"/>
      <w:lvlText w:val=""/>
      <w:lvlJc w:val="left"/>
      <w:pPr>
        <w:ind w:hanging="360" w:left="1800"/>
        <w:tabs>
          <w:tab w:val="num" w:pos="1800" w:leader="none"/>
        </w:tabs>
      </w:pPr>
      <w:rPr>
        <w:rFonts w:ascii="Wingdings" w:hAnsi="Wingdings" w:hint="default"/>
        <w:sz w:val="20"/>
      </w:rPr>
    </w:lvl>
    <w:lvl w:ilvl="3">
      <w:start w:val="1"/>
      <w:numFmt w:val="bullet"/>
      <w:suff w:val="tab"/>
      <w:lvlText w:val=""/>
      <w:lvlJc w:val="left"/>
      <w:pPr>
        <w:ind w:hanging="360" w:left="2520"/>
        <w:tabs>
          <w:tab w:val="num" w:pos="2520" w:leader="none"/>
        </w:tabs>
      </w:pPr>
      <w:rPr>
        <w:rFonts w:ascii="Wingdings" w:hAnsi="Wingdings" w:hint="default"/>
        <w:sz w:val="20"/>
      </w:rPr>
    </w:lvl>
    <w:lvl w:ilvl="4">
      <w:start w:val="1"/>
      <w:numFmt w:val="bullet"/>
      <w:suff w:val="tab"/>
      <w:lvlText w:val=""/>
      <w:lvlJc w:val="left"/>
      <w:pPr>
        <w:ind w:hanging="360" w:left="3240"/>
        <w:tabs>
          <w:tab w:val="num" w:pos="3240" w:leader="none"/>
        </w:tabs>
      </w:pPr>
      <w:rPr>
        <w:rFonts w:ascii="Wingdings" w:hAnsi="Wingdings" w:hint="default"/>
        <w:sz w:val="20"/>
      </w:rPr>
    </w:lvl>
    <w:lvl w:ilvl="5">
      <w:start w:val="1"/>
      <w:numFmt w:val="bullet"/>
      <w:suff w:val="tab"/>
      <w:lvlText w:val=""/>
      <w:lvlJc w:val="left"/>
      <w:pPr>
        <w:ind w:hanging="360" w:left="3960"/>
        <w:tabs>
          <w:tab w:val="num" w:pos="3960" w:leader="none"/>
        </w:tabs>
      </w:pPr>
      <w:rPr>
        <w:rFonts w:ascii="Wingdings" w:hAnsi="Wingdings" w:hint="default"/>
        <w:sz w:val="20"/>
      </w:rPr>
    </w:lvl>
    <w:lvl w:ilvl="6">
      <w:start w:val="1"/>
      <w:numFmt w:val="bullet"/>
      <w:suff w:val="tab"/>
      <w:lvlText w:val=""/>
      <w:lvlJc w:val="left"/>
      <w:pPr>
        <w:ind w:hanging="360" w:left="4680"/>
        <w:tabs>
          <w:tab w:val="num" w:pos="4680" w:leader="none"/>
        </w:tabs>
      </w:pPr>
      <w:rPr>
        <w:rFonts w:ascii="Wingdings" w:hAnsi="Wingdings" w:hint="default"/>
        <w:sz w:val="20"/>
      </w:rPr>
    </w:lvl>
    <w:lvl w:ilvl="7">
      <w:start w:val="1"/>
      <w:numFmt w:val="bullet"/>
      <w:suff w:val="tab"/>
      <w:lvlText w:val=""/>
      <w:lvlJc w:val="left"/>
      <w:pPr>
        <w:ind w:hanging="360" w:left="5400"/>
        <w:tabs>
          <w:tab w:val="num" w:pos="5400" w:leader="none"/>
        </w:tabs>
      </w:pPr>
      <w:rPr>
        <w:rFonts w:ascii="Wingdings" w:hAnsi="Wingdings" w:hint="default"/>
        <w:sz w:val="20"/>
      </w:rPr>
    </w:lvl>
    <w:lvl w:ilvl="8">
      <w:start w:val="1"/>
      <w:numFmt w:val="bullet"/>
      <w:suff w:val="tab"/>
      <w:lvlText w:val=""/>
      <w:lvlJc w:val="left"/>
      <w:pPr>
        <w:ind w:hanging="360" w:left="6120"/>
        <w:tabs>
          <w:tab w:val="num" w:pos="6120" w:leader="none"/>
        </w:tabs>
      </w:pPr>
      <w:rPr>
        <w:rFonts w:ascii="Wingdings" w:hAnsi="Wingdings" w:hint="default"/>
        <w:sz w:val="20"/>
      </w:rPr>
    </w:lvl>
  </w:abstractNum>
  <w:abstractNum w:abstractNumId="21">
    <w:nsid w:val="31177B48"/>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abstractNum w:abstractNumId="22">
    <w:nsid w:val="312B717B"/>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abstractNum w:abstractNumId="23">
    <w:nsid w:val="36134634"/>
    <w:multiLevelType w:val="multilevel"/>
    <w:lvl w:ilvl="0">
      <w:start w:val="1"/>
      <w:numFmt w:val="decimal"/>
      <w:suff w:val="tab"/>
      <w:lvlText w:val="%1."/>
      <w:lvlJc w:val="left"/>
      <w:pPr>
        <w:ind w:hanging="360" w:left="720"/>
        <w:tabs>
          <w:tab w:val="num" w:pos="720" w:leader="none"/>
        </w:tabs>
      </w:pPr>
      <w:rPr/>
    </w:lvl>
    <w:lvl w:ilvl="1">
      <w:start w:val="1"/>
      <w:numFmt w:val="decimal"/>
      <w:suff w:val="tab"/>
      <w:lvlText w:val="%2."/>
      <w:lvlJc w:val="left"/>
      <w:pPr>
        <w:ind w:hanging="360" w:left="1440"/>
        <w:tabs>
          <w:tab w:val="num" w:pos="1440" w:leader="none"/>
        </w:tabs>
      </w:pPr>
      <w:rPr/>
    </w:lvl>
    <w:lvl w:ilvl="2">
      <w:start w:val="1"/>
      <w:numFmt w:val="decimal"/>
      <w:suff w:val="tab"/>
      <w:lvlText w:val="%3."/>
      <w:lvlJc w:val="left"/>
      <w:pPr>
        <w:ind w:hanging="360" w:left="2160"/>
        <w:tabs>
          <w:tab w:val="num" w:pos="2160" w:leader="none"/>
        </w:tabs>
      </w:pPr>
      <w:rPr/>
    </w:lvl>
    <w:lvl w:ilvl="3">
      <w:start w:val="1"/>
      <w:numFmt w:val="decimal"/>
      <w:suff w:val="tab"/>
      <w:lvlText w:val="%4."/>
      <w:lvlJc w:val="left"/>
      <w:pPr>
        <w:ind w:hanging="360" w:left="2880"/>
        <w:tabs>
          <w:tab w:val="num" w:pos="2880" w:leader="none"/>
        </w:tabs>
      </w:pPr>
      <w:rPr/>
    </w:lvl>
    <w:lvl w:ilvl="4">
      <w:start w:val="1"/>
      <w:numFmt w:val="decimal"/>
      <w:suff w:val="tab"/>
      <w:lvlText w:val="%5."/>
      <w:lvlJc w:val="left"/>
      <w:pPr>
        <w:ind w:hanging="360" w:left="3600"/>
        <w:tabs>
          <w:tab w:val="num" w:pos="3600" w:leader="none"/>
        </w:tabs>
      </w:pPr>
      <w:rPr/>
    </w:lvl>
    <w:lvl w:ilvl="5">
      <w:start w:val="1"/>
      <w:numFmt w:val="decimal"/>
      <w:suff w:val="tab"/>
      <w:lvlText w:val="%6."/>
      <w:lvlJc w:val="left"/>
      <w:pPr>
        <w:ind w:hanging="360" w:left="4320"/>
        <w:tabs>
          <w:tab w:val="num" w:pos="4320" w:leader="none"/>
        </w:tabs>
      </w:pPr>
      <w:rPr/>
    </w:lvl>
    <w:lvl w:ilvl="6">
      <w:start w:val="1"/>
      <w:numFmt w:val="decimal"/>
      <w:suff w:val="tab"/>
      <w:lvlText w:val="%7."/>
      <w:lvlJc w:val="left"/>
      <w:pPr>
        <w:ind w:hanging="360" w:left="5040"/>
        <w:tabs>
          <w:tab w:val="num" w:pos="5040" w:leader="none"/>
        </w:tabs>
      </w:pPr>
      <w:rPr/>
    </w:lvl>
    <w:lvl w:ilvl="7">
      <w:start w:val="1"/>
      <w:numFmt w:val="decimal"/>
      <w:suff w:val="tab"/>
      <w:lvlText w:val="%8."/>
      <w:lvlJc w:val="left"/>
      <w:pPr>
        <w:ind w:hanging="360" w:left="5760"/>
        <w:tabs>
          <w:tab w:val="num" w:pos="5760" w:leader="none"/>
        </w:tabs>
      </w:pPr>
      <w:rPr/>
    </w:lvl>
    <w:lvl w:ilvl="8">
      <w:start w:val="1"/>
      <w:numFmt w:val="decimal"/>
      <w:suff w:val="tab"/>
      <w:lvlText w:val="%9."/>
      <w:lvlJc w:val="left"/>
      <w:pPr>
        <w:ind w:hanging="360" w:left="6480"/>
        <w:tabs>
          <w:tab w:val="num" w:pos="6480" w:leader="none"/>
        </w:tabs>
      </w:pPr>
      <w:rPr/>
    </w:lvl>
  </w:abstractNum>
  <w:abstractNum w:abstractNumId="24">
    <w:nsid w:val="46D8087F"/>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abstractNum w:abstractNumId="25">
    <w:nsid w:val="47C80D42"/>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abstractNum w:abstractNumId="26">
    <w:nsid w:val="490E52F0"/>
    <w:multiLevelType w:val="hybridMultilevel"/>
    <w:lvl w:ilvl="0" w:tplc="DFE6105E">
      <w:start w:val="1"/>
      <w:numFmt w:val="decimal"/>
      <w:suff w:val="tab"/>
      <w:lvlText w:val="%1."/>
      <w:lvlJc w:val="left"/>
      <w:pPr>
        <w:ind w:hanging="360" w:left="720"/>
      </w:pPr>
      <w:rPr>
        <w:rFonts w:hint="default"/>
      </w:rPr>
    </w:lvl>
    <w:lvl w:ilvl="1" w:tplc="04090019">
      <w:start w:val="1"/>
      <w:numFmt w:val="lowerLetter"/>
      <w:suff w:val="tab"/>
      <w:lvlText w:val="%2."/>
      <w:lvlJc w:val="left"/>
      <w:pPr>
        <w:ind w:hanging="360" w:left="1440"/>
      </w:pPr>
      <w:rPr/>
    </w:lvl>
    <w:lvl w:ilvl="2" w:tplc="0409001B">
      <w:start w:val="1"/>
      <w:numFmt w:val="lowerRoman"/>
      <w:suff w:val="tab"/>
      <w:lvlText w:val="%3."/>
      <w:lvlJc w:val="right"/>
      <w:pPr>
        <w:ind w:hanging="180" w:left="2160"/>
      </w:pPr>
      <w:rPr/>
    </w:lvl>
    <w:lvl w:ilvl="3" w:tplc="0409000F">
      <w:start w:val="1"/>
      <w:numFmt w:val="decimal"/>
      <w:suff w:val="tab"/>
      <w:lvlText w:val="%4."/>
      <w:lvlJc w:val="left"/>
      <w:pPr>
        <w:ind w:hanging="360" w:left="2880"/>
      </w:pPr>
      <w:rPr/>
    </w:lvl>
    <w:lvl w:ilvl="4" w:tplc="04090019">
      <w:start w:val="1"/>
      <w:numFmt w:val="lowerLetter"/>
      <w:suff w:val="tab"/>
      <w:lvlText w:val="%5."/>
      <w:lvlJc w:val="left"/>
      <w:pPr>
        <w:ind w:hanging="360" w:left="3600"/>
      </w:pPr>
      <w:rPr/>
    </w:lvl>
    <w:lvl w:ilvl="5" w:tplc="0409001B">
      <w:start w:val="1"/>
      <w:numFmt w:val="lowerRoman"/>
      <w:suff w:val="tab"/>
      <w:lvlText w:val="%6."/>
      <w:lvlJc w:val="right"/>
      <w:pPr>
        <w:ind w:hanging="180" w:left="4320"/>
      </w:pPr>
      <w:rPr/>
    </w:lvl>
    <w:lvl w:ilvl="6" w:tplc="0409000F">
      <w:start w:val="1"/>
      <w:numFmt w:val="decimal"/>
      <w:suff w:val="tab"/>
      <w:lvlText w:val="%7."/>
      <w:lvlJc w:val="left"/>
      <w:pPr>
        <w:ind w:hanging="360" w:left="5040"/>
      </w:pPr>
      <w:rPr/>
    </w:lvl>
    <w:lvl w:ilvl="7" w:tplc="04090019">
      <w:start w:val="1"/>
      <w:numFmt w:val="lowerLetter"/>
      <w:suff w:val="tab"/>
      <w:lvlText w:val="%8."/>
      <w:lvlJc w:val="left"/>
      <w:pPr>
        <w:ind w:hanging="360" w:left="5760"/>
      </w:pPr>
      <w:rPr/>
    </w:lvl>
    <w:lvl w:ilvl="8" w:tplc="0409001B">
      <w:start w:val="1"/>
      <w:numFmt w:val="lowerRoman"/>
      <w:suff w:val="tab"/>
      <w:lvlText w:val="%9."/>
      <w:lvlJc w:val="right"/>
      <w:pPr>
        <w:ind w:hanging="180" w:left="6480"/>
      </w:pPr>
      <w:rPr/>
    </w:lvl>
  </w:abstractNum>
  <w:abstractNum w:abstractNumId="27">
    <w:nsid w:val="4A44471F"/>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abstractNum w:abstractNumId="28">
    <w:nsid w:val="4AFB55B9"/>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abstractNum w:abstractNumId="29">
    <w:nsid w:val="4B431B6E"/>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abstractNum w:abstractNumId="30">
    <w:nsid w:val="4C232AFB"/>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abstractNum w:abstractNumId="31">
    <w:nsid w:val="57396235"/>
    <w:multiLevelType w:val="hybridMultilevel"/>
    <w:lvl w:ilvl="0" w:tplc="04090009">
      <w:start w:val="1"/>
      <w:numFmt w:val="bullet"/>
      <w:suff w:val="tab"/>
      <w:lvlText w:val=""/>
      <w:lvlJc w:val="left"/>
      <w:pPr>
        <w:ind w:hanging="360" w:left="360"/>
      </w:pPr>
      <w:rPr>
        <w:rFonts w:ascii="Wingdings" w:hAnsi="Wingdings" w:hint="default"/>
      </w:rPr>
    </w:lvl>
    <w:lvl w:ilvl="1" w:tplc="04090003">
      <w:start w:val="1"/>
      <w:numFmt w:val="bullet"/>
      <w:suff w:val="tab"/>
      <w:lvlText w:val="o"/>
      <w:lvlJc w:val="left"/>
      <w:pPr>
        <w:ind w:hanging="360" w:left="1080"/>
      </w:pPr>
      <w:rPr>
        <w:rFonts w:ascii="Courier New" w:hAnsi="Courier New" w:cs="Courier New" w:hint="default"/>
      </w:rPr>
    </w:lvl>
    <w:lvl w:ilvl="2" w:tplc="04090005">
      <w:start w:val="1"/>
      <w:numFmt w:val="bullet"/>
      <w:suff w:val="tab"/>
      <w:lvlText w:val=""/>
      <w:lvlJc w:val="left"/>
      <w:pPr>
        <w:ind w:hanging="360" w:left="1800"/>
      </w:pPr>
      <w:rPr>
        <w:rFonts w:ascii="Wingdings" w:hAnsi="Wingdings" w:hint="default"/>
      </w:rPr>
    </w:lvl>
    <w:lvl w:ilvl="3" w:tplc="04090001">
      <w:start w:val="1"/>
      <w:numFmt w:val="bullet"/>
      <w:suff w:val="tab"/>
      <w:lvlText w:val=""/>
      <w:lvlJc w:val="left"/>
      <w:pPr>
        <w:ind w:hanging="360" w:left="2520"/>
      </w:pPr>
      <w:rPr>
        <w:rFonts w:ascii="Symbol" w:hAnsi="Symbol" w:hint="default"/>
      </w:rPr>
    </w:lvl>
    <w:lvl w:ilvl="4" w:tplc="04090003">
      <w:start w:val="1"/>
      <w:numFmt w:val="bullet"/>
      <w:suff w:val="tab"/>
      <w:lvlText w:val="o"/>
      <w:lvlJc w:val="left"/>
      <w:pPr>
        <w:ind w:hanging="360" w:left="3240"/>
      </w:pPr>
      <w:rPr>
        <w:rFonts w:ascii="Courier New" w:hAnsi="Courier New" w:cs="Courier New" w:hint="default"/>
      </w:rPr>
    </w:lvl>
    <w:lvl w:ilvl="5" w:tplc="04090005">
      <w:start w:val="1"/>
      <w:numFmt w:val="bullet"/>
      <w:suff w:val="tab"/>
      <w:lvlText w:val=""/>
      <w:lvlJc w:val="left"/>
      <w:pPr>
        <w:ind w:hanging="360" w:left="3960"/>
      </w:pPr>
      <w:rPr>
        <w:rFonts w:ascii="Wingdings" w:hAnsi="Wingdings" w:hint="default"/>
      </w:rPr>
    </w:lvl>
    <w:lvl w:ilvl="6" w:tplc="04090001">
      <w:start w:val="1"/>
      <w:numFmt w:val="bullet"/>
      <w:suff w:val="tab"/>
      <w:lvlText w:val=""/>
      <w:lvlJc w:val="left"/>
      <w:pPr>
        <w:ind w:hanging="360" w:left="4680"/>
      </w:pPr>
      <w:rPr>
        <w:rFonts w:ascii="Symbol" w:hAnsi="Symbol" w:hint="default"/>
      </w:rPr>
    </w:lvl>
    <w:lvl w:ilvl="7" w:tplc="04090003">
      <w:start w:val="1"/>
      <w:numFmt w:val="bullet"/>
      <w:suff w:val="tab"/>
      <w:lvlText w:val="o"/>
      <w:lvlJc w:val="left"/>
      <w:pPr>
        <w:ind w:hanging="360" w:left="5400"/>
      </w:pPr>
      <w:rPr>
        <w:rFonts w:ascii="Courier New" w:hAnsi="Courier New" w:cs="Courier New" w:hint="default"/>
      </w:rPr>
    </w:lvl>
    <w:lvl w:ilvl="8" w:tplc="04090005">
      <w:start w:val="1"/>
      <w:numFmt w:val="bullet"/>
      <w:suff w:val="tab"/>
      <w:lvlText w:val=""/>
      <w:lvlJc w:val="left"/>
      <w:pPr>
        <w:ind w:hanging="360" w:left="6120"/>
      </w:pPr>
      <w:rPr>
        <w:rFonts w:ascii="Wingdings" w:hAnsi="Wingdings" w:hint="default"/>
      </w:rPr>
    </w:lvl>
  </w:abstractNum>
  <w:abstractNum w:abstractNumId="32">
    <w:nsid w:val="5A1A6698"/>
    <w:multiLevelType w:val="multilevel"/>
    <w:lvl w:ilvl="0">
      <w:start w:val="1"/>
      <w:numFmt w:val="decimal"/>
      <w:suff w:val="tab"/>
      <w:lvlText w:val="%1."/>
      <w:lvlJc w:val="left"/>
      <w:pPr>
        <w:ind w:hanging="360" w:left="720"/>
        <w:tabs>
          <w:tab w:val="num" w:pos="720" w:leader="none"/>
        </w:tabs>
      </w:pPr>
      <w:rPr/>
    </w:lvl>
    <w:lvl w:ilvl="1">
      <w:start w:val="1"/>
      <w:numFmt w:val="decimal"/>
      <w:suff w:val="tab"/>
      <w:lvlText w:val="%2."/>
      <w:lvlJc w:val="left"/>
      <w:pPr>
        <w:ind w:hanging="360" w:left="1440"/>
        <w:tabs>
          <w:tab w:val="num" w:pos="1440" w:leader="none"/>
        </w:tabs>
      </w:pPr>
      <w:rPr/>
    </w:lvl>
    <w:lvl w:ilvl="2">
      <w:start w:val="1"/>
      <w:numFmt w:val="decimal"/>
      <w:suff w:val="tab"/>
      <w:lvlText w:val="%3."/>
      <w:lvlJc w:val="left"/>
      <w:pPr>
        <w:ind w:hanging="360" w:left="2160"/>
        <w:tabs>
          <w:tab w:val="num" w:pos="2160" w:leader="none"/>
        </w:tabs>
      </w:pPr>
      <w:rPr/>
    </w:lvl>
    <w:lvl w:ilvl="3">
      <w:start w:val="1"/>
      <w:numFmt w:val="decimal"/>
      <w:suff w:val="tab"/>
      <w:lvlText w:val="%4."/>
      <w:lvlJc w:val="left"/>
      <w:pPr>
        <w:ind w:hanging="360" w:left="2880"/>
        <w:tabs>
          <w:tab w:val="num" w:pos="2880" w:leader="none"/>
        </w:tabs>
      </w:pPr>
      <w:rPr/>
    </w:lvl>
    <w:lvl w:ilvl="4">
      <w:start w:val="1"/>
      <w:numFmt w:val="decimal"/>
      <w:suff w:val="tab"/>
      <w:lvlText w:val="%5."/>
      <w:lvlJc w:val="left"/>
      <w:pPr>
        <w:ind w:hanging="360" w:left="3600"/>
        <w:tabs>
          <w:tab w:val="num" w:pos="3600" w:leader="none"/>
        </w:tabs>
      </w:pPr>
      <w:rPr/>
    </w:lvl>
    <w:lvl w:ilvl="5">
      <w:start w:val="1"/>
      <w:numFmt w:val="decimal"/>
      <w:suff w:val="tab"/>
      <w:lvlText w:val="%6."/>
      <w:lvlJc w:val="left"/>
      <w:pPr>
        <w:ind w:hanging="360" w:left="4320"/>
        <w:tabs>
          <w:tab w:val="num" w:pos="4320" w:leader="none"/>
        </w:tabs>
      </w:pPr>
      <w:rPr/>
    </w:lvl>
    <w:lvl w:ilvl="6">
      <w:start w:val="1"/>
      <w:numFmt w:val="decimal"/>
      <w:suff w:val="tab"/>
      <w:lvlText w:val="%7."/>
      <w:lvlJc w:val="left"/>
      <w:pPr>
        <w:ind w:hanging="360" w:left="5040"/>
        <w:tabs>
          <w:tab w:val="num" w:pos="5040" w:leader="none"/>
        </w:tabs>
      </w:pPr>
      <w:rPr/>
    </w:lvl>
    <w:lvl w:ilvl="7">
      <w:start w:val="1"/>
      <w:numFmt w:val="decimal"/>
      <w:suff w:val="tab"/>
      <w:lvlText w:val="%8."/>
      <w:lvlJc w:val="left"/>
      <w:pPr>
        <w:ind w:hanging="360" w:left="5760"/>
        <w:tabs>
          <w:tab w:val="num" w:pos="5760" w:leader="none"/>
        </w:tabs>
      </w:pPr>
      <w:rPr/>
    </w:lvl>
    <w:lvl w:ilvl="8">
      <w:start w:val="1"/>
      <w:numFmt w:val="decimal"/>
      <w:suff w:val="tab"/>
      <w:lvlText w:val="%9."/>
      <w:lvlJc w:val="left"/>
      <w:pPr>
        <w:ind w:hanging="360" w:left="6480"/>
        <w:tabs>
          <w:tab w:val="num" w:pos="6480" w:leader="none"/>
        </w:tabs>
      </w:pPr>
      <w:rPr/>
    </w:lvl>
  </w:abstractNum>
  <w:abstractNum w:abstractNumId="33">
    <w:nsid w:val="5AFD6051"/>
    <w:multiLevelType w:val="hybridMultilevel"/>
    <w:lvl w:ilvl="0" w:tplc="3BE6403A">
      <w:start w:val="1"/>
      <w:numFmt w:val="bullet"/>
      <w:suff w:val="tab"/>
      <w:lvlText w:val=""/>
      <w:lvlJc w:val="left"/>
      <w:pPr>
        <w:ind w:hanging="360" w:left="780"/>
      </w:pPr>
      <w:rPr>
        <w:rFonts w:ascii="Wingdings" w:hAnsi="Wingdings" w:cs="Wingdings" w:hint="default"/>
        <w:color w:val="203965" w:themeColor="accent1" w:themeShade="80"/>
        <w:szCs w:val="24"/>
        <w:u w:val="none" w:color="000000" w:themeColor="text1"/>
      </w:rPr>
    </w:lvl>
    <w:lvl w:ilvl="1" w:tplc="04090003">
      <w:start w:val="1"/>
      <w:numFmt w:val="bullet"/>
      <w:suff w:val="tab"/>
      <w:lvlText w:val="o"/>
      <w:lvlJc w:val="left"/>
      <w:pPr>
        <w:ind w:hanging="360" w:left="1500"/>
      </w:pPr>
      <w:rPr>
        <w:rFonts w:ascii="Courier New" w:hAnsi="Courier New" w:cs="Courier New" w:hint="default"/>
      </w:rPr>
    </w:lvl>
    <w:lvl w:ilvl="2" w:tplc="04090005">
      <w:start w:val="1"/>
      <w:numFmt w:val="bullet"/>
      <w:suff w:val="tab"/>
      <w:lvlText w:val=""/>
      <w:lvlJc w:val="left"/>
      <w:pPr>
        <w:ind w:hanging="360" w:left="2220"/>
      </w:pPr>
      <w:rPr>
        <w:rFonts w:ascii="Wingdings" w:hAnsi="Wingdings" w:hint="default"/>
      </w:rPr>
    </w:lvl>
    <w:lvl w:ilvl="3" w:tplc="04090001">
      <w:start w:val="1"/>
      <w:numFmt w:val="bullet"/>
      <w:suff w:val="tab"/>
      <w:lvlText w:val=""/>
      <w:lvlJc w:val="left"/>
      <w:pPr>
        <w:ind w:hanging="360" w:left="2940"/>
      </w:pPr>
      <w:rPr>
        <w:rFonts w:ascii="Symbol" w:hAnsi="Symbol" w:hint="default"/>
      </w:rPr>
    </w:lvl>
    <w:lvl w:ilvl="4" w:tplc="04090003">
      <w:start w:val="1"/>
      <w:numFmt w:val="bullet"/>
      <w:suff w:val="tab"/>
      <w:lvlText w:val="o"/>
      <w:lvlJc w:val="left"/>
      <w:pPr>
        <w:ind w:hanging="360" w:left="3660"/>
      </w:pPr>
      <w:rPr>
        <w:rFonts w:ascii="Courier New" w:hAnsi="Courier New" w:cs="Courier New" w:hint="default"/>
      </w:rPr>
    </w:lvl>
    <w:lvl w:ilvl="5" w:tplc="04090005">
      <w:start w:val="1"/>
      <w:numFmt w:val="bullet"/>
      <w:suff w:val="tab"/>
      <w:lvlText w:val=""/>
      <w:lvlJc w:val="left"/>
      <w:pPr>
        <w:ind w:hanging="360" w:left="4380"/>
      </w:pPr>
      <w:rPr>
        <w:rFonts w:ascii="Wingdings" w:hAnsi="Wingdings" w:hint="default"/>
      </w:rPr>
    </w:lvl>
    <w:lvl w:ilvl="6" w:tplc="04090001">
      <w:start w:val="1"/>
      <w:numFmt w:val="bullet"/>
      <w:suff w:val="tab"/>
      <w:lvlText w:val=""/>
      <w:lvlJc w:val="left"/>
      <w:pPr>
        <w:ind w:hanging="360" w:left="5100"/>
      </w:pPr>
      <w:rPr>
        <w:rFonts w:ascii="Symbol" w:hAnsi="Symbol" w:hint="default"/>
      </w:rPr>
    </w:lvl>
    <w:lvl w:ilvl="7" w:tplc="04090003">
      <w:start w:val="1"/>
      <w:numFmt w:val="bullet"/>
      <w:suff w:val="tab"/>
      <w:lvlText w:val="o"/>
      <w:lvlJc w:val="left"/>
      <w:pPr>
        <w:ind w:hanging="360" w:left="5820"/>
      </w:pPr>
      <w:rPr>
        <w:rFonts w:ascii="Courier New" w:hAnsi="Courier New" w:cs="Courier New" w:hint="default"/>
      </w:rPr>
    </w:lvl>
    <w:lvl w:ilvl="8" w:tplc="04090005">
      <w:start w:val="1"/>
      <w:numFmt w:val="bullet"/>
      <w:suff w:val="tab"/>
      <w:lvlText w:val=""/>
      <w:lvlJc w:val="left"/>
      <w:pPr>
        <w:ind w:hanging="360" w:left="6540"/>
      </w:pPr>
      <w:rPr>
        <w:rFonts w:ascii="Wingdings" w:hAnsi="Wingdings" w:hint="default"/>
      </w:rPr>
    </w:lvl>
  </w:abstractNum>
  <w:abstractNum w:abstractNumId="34">
    <w:nsid w:val="5B4D575D"/>
    <w:multiLevelType w:val="hybridMultilevel"/>
    <w:lvl w:ilvl="0" w:tplc="04090009">
      <w:start w:val="1"/>
      <w:numFmt w:val="bullet"/>
      <w:suff w:val="tab"/>
      <w:lvlText w:val=""/>
      <w:lvlJc w:val="left"/>
      <w:pPr>
        <w:ind w:hanging="360" w:left="720"/>
      </w:pPr>
      <w:rPr>
        <w:rFonts w:ascii="Wingdings" w:hAnsi="Wingdings" w:hint="default"/>
      </w:rPr>
    </w:lvl>
    <w:lvl w:ilvl="1" w:tplc="04090003">
      <w:start w:val="1"/>
      <w:numFmt w:val="bullet"/>
      <w:suff w:val="tab"/>
      <w:lvlText w:val="o"/>
      <w:lvlJc w:val="left"/>
      <w:pPr>
        <w:ind w:hanging="360" w:left="1440"/>
      </w:pPr>
      <w:rPr>
        <w:rFonts w:ascii="Courier New" w:hAnsi="Courier New" w:cs="Courier New" w:hint="default"/>
      </w:rPr>
    </w:lvl>
    <w:lvl w:ilvl="2" w:tplc="04090005">
      <w:start w:val="1"/>
      <w:numFmt w:val="bullet"/>
      <w:suff w:val="tab"/>
      <w:lvlText w:val=""/>
      <w:lvlJc w:val="left"/>
      <w:pPr>
        <w:ind w:hanging="360" w:left="2160"/>
      </w:pPr>
      <w:rPr>
        <w:rFonts w:ascii="Wingdings" w:hAnsi="Wingdings" w:hint="default"/>
      </w:rPr>
    </w:lvl>
    <w:lvl w:ilvl="3" w:tplc="04090001">
      <w:start w:val="1"/>
      <w:numFmt w:val="bullet"/>
      <w:suff w:val="tab"/>
      <w:lvlText w:val=""/>
      <w:lvlJc w:val="left"/>
      <w:pPr>
        <w:ind w:hanging="360" w:left="2880"/>
      </w:pPr>
      <w:rPr>
        <w:rFonts w:ascii="Symbol" w:hAnsi="Symbol" w:hint="default"/>
      </w:rPr>
    </w:lvl>
    <w:lvl w:ilvl="4" w:tplc="04090003">
      <w:start w:val="1"/>
      <w:numFmt w:val="bullet"/>
      <w:suff w:val="tab"/>
      <w:lvlText w:val="o"/>
      <w:lvlJc w:val="left"/>
      <w:pPr>
        <w:ind w:hanging="360" w:left="3600"/>
      </w:pPr>
      <w:rPr>
        <w:rFonts w:ascii="Courier New" w:hAnsi="Courier New" w:cs="Courier New" w:hint="default"/>
      </w:rPr>
    </w:lvl>
    <w:lvl w:ilvl="5" w:tplc="04090005">
      <w:start w:val="1"/>
      <w:numFmt w:val="bullet"/>
      <w:suff w:val="tab"/>
      <w:lvlText w:val=""/>
      <w:lvlJc w:val="left"/>
      <w:pPr>
        <w:ind w:hanging="360" w:left="4320"/>
      </w:pPr>
      <w:rPr>
        <w:rFonts w:ascii="Wingdings" w:hAnsi="Wingdings" w:hint="default"/>
      </w:rPr>
    </w:lvl>
    <w:lvl w:ilvl="6" w:tplc="04090001">
      <w:start w:val="1"/>
      <w:numFmt w:val="bullet"/>
      <w:suff w:val="tab"/>
      <w:lvlText w:val=""/>
      <w:lvlJc w:val="left"/>
      <w:pPr>
        <w:ind w:hanging="360" w:left="5040"/>
      </w:pPr>
      <w:rPr>
        <w:rFonts w:ascii="Symbol" w:hAnsi="Symbol" w:hint="default"/>
      </w:rPr>
    </w:lvl>
    <w:lvl w:ilvl="7" w:tplc="04090003">
      <w:start w:val="1"/>
      <w:numFmt w:val="bullet"/>
      <w:suff w:val="tab"/>
      <w:lvlText w:val="o"/>
      <w:lvlJc w:val="left"/>
      <w:pPr>
        <w:ind w:hanging="360" w:left="5760"/>
      </w:pPr>
      <w:rPr>
        <w:rFonts w:ascii="Courier New" w:hAnsi="Courier New" w:cs="Courier New" w:hint="default"/>
      </w:rPr>
    </w:lvl>
    <w:lvl w:ilvl="8" w:tplc="04090005">
      <w:start w:val="1"/>
      <w:numFmt w:val="bullet"/>
      <w:suff w:val="tab"/>
      <w:lvlText w:val=""/>
      <w:lvlJc w:val="left"/>
      <w:pPr>
        <w:ind w:hanging="360" w:left="6480"/>
      </w:pPr>
      <w:rPr>
        <w:rFonts w:ascii="Wingdings" w:hAnsi="Wingdings" w:hint="default"/>
      </w:rPr>
    </w:lvl>
  </w:abstractNum>
  <w:abstractNum w:abstractNumId="35">
    <w:nsid w:val="5D2A5BD5"/>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abstractNum w:abstractNumId="36">
    <w:nsid w:val="5F5C23A1"/>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abstractNum w:abstractNumId="37">
    <w:nsid w:val="61716EF7"/>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abstractNum w:abstractNumId="38">
    <w:nsid w:val="6E02161B"/>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abstractNum w:abstractNumId="39">
    <w:nsid w:val="6EEB746F"/>
    <w:multiLevelType w:val="hybridMultilevel"/>
    <w:lvl w:ilvl="0" w:tplc="04090009">
      <w:start w:val="1"/>
      <w:numFmt w:val="bullet"/>
      <w:suff w:val="tab"/>
      <w:lvlText w:val=""/>
      <w:lvlJc w:val="left"/>
      <w:pPr>
        <w:ind w:hanging="360" w:left="360"/>
      </w:pPr>
      <w:rPr>
        <w:rFonts w:ascii="Wingdings" w:hAnsi="Wingdings" w:hint="default"/>
      </w:rPr>
    </w:lvl>
    <w:lvl w:ilvl="1" w:tplc="04090003">
      <w:start w:val="1"/>
      <w:numFmt w:val="bullet"/>
      <w:suff w:val="tab"/>
      <w:lvlText w:val="o"/>
      <w:lvlJc w:val="left"/>
      <w:pPr>
        <w:ind w:hanging="360" w:left="1080"/>
      </w:pPr>
      <w:rPr>
        <w:rFonts w:ascii="Courier New" w:hAnsi="Courier New" w:cs="Courier New" w:hint="default"/>
      </w:rPr>
    </w:lvl>
    <w:lvl w:ilvl="2" w:tplc="04090005">
      <w:start w:val="1"/>
      <w:numFmt w:val="bullet"/>
      <w:suff w:val="tab"/>
      <w:lvlText w:val=""/>
      <w:lvlJc w:val="left"/>
      <w:pPr>
        <w:ind w:hanging="360" w:left="1800"/>
      </w:pPr>
      <w:rPr>
        <w:rFonts w:ascii="Wingdings" w:hAnsi="Wingdings" w:hint="default"/>
      </w:rPr>
    </w:lvl>
    <w:lvl w:ilvl="3" w:tplc="04090001">
      <w:start w:val="1"/>
      <w:numFmt w:val="bullet"/>
      <w:suff w:val="tab"/>
      <w:lvlText w:val=""/>
      <w:lvlJc w:val="left"/>
      <w:pPr>
        <w:ind w:hanging="360" w:left="2520"/>
      </w:pPr>
      <w:rPr>
        <w:rFonts w:ascii="Symbol" w:hAnsi="Symbol" w:hint="default"/>
      </w:rPr>
    </w:lvl>
    <w:lvl w:ilvl="4" w:tplc="04090003">
      <w:start w:val="1"/>
      <w:numFmt w:val="bullet"/>
      <w:suff w:val="tab"/>
      <w:lvlText w:val="o"/>
      <w:lvlJc w:val="left"/>
      <w:pPr>
        <w:ind w:hanging="360" w:left="3240"/>
      </w:pPr>
      <w:rPr>
        <w:rFonts w:ascii="Courier New" w:hAnsi="Courier New" w:cs="Courier New" w:hint="default"/>
      </w:rPr>
    </w:lvl>
    <w:lvl w:ilvl="5" w:tplc="04090005">
      <w:start w:val="1"/>
      <w:numFmt w:val="bullet"/>
      <w:suff w:val="tab"/>
      <w:lvlText w:val=""/>
      <w:lvlJc w:val="left"/>
      <w:pPr>
        <w:ind w:hanging="360" w:left="3960"/>
      </w:pPr>
      <w:rPr>
        <w:rFonts w:ascii="Wingdings" w:hAnsi="Wingdings" w:hint="default"/>
      </w:rPr>
    </w:lvl>
    <w:lvl w:ilvl="6" w:tplc="04090001">
      <w:start w:val="1"/>
      <w:numFmt w:val="bullet"/>
      <w:suff w:val="tab"/>
      <w:lvlText w:val=""/>
      <w:lvlJc w:val="left"/>
      <w:pPr>
        <w:ind w:hanging="360" w:left="4680"/>
      </w:pPr>
      <w:rPr>
        <w:rFonts w:ascii="Symbol" w:hAnsi="Symbol" w:hint="default"/>
      </w:rPr>
    </w:lvl>
    <w:lvl w:ilvl="7" w:tplc="04090003">
      <w:start w:val="1"/>
      <w:numFmt w:val="bullet"/>
      <w:suff w:val="tab"/>
      <w:lvlText w:val="o"/>
      <w:lvlJc w:val="left"/>
      <w:pPr>
        <w:ind w:hanging="360" w:left="5400"/>
      </w:pPr>
      <w:rPr>
        <w:rFonts w:ascii="Courier New" w:hAnsi="Courier New" w:cs="Courier New" w:hint="default"/>
      </w:rPr>
    </w:lvl>
    <w:lvl w:ilvl="8" w:tplc="04090005">
      <w:start w:val="1"/>
      <w:numFmt w:val="bullet"/>
      <w:suff w:val="tab"/>
      <w:lvlText w:val=""/>
      <w:lvlJc w:val="left"/>
      <w:pPr>
        <w:ind w:hanging="360" w:left="6120"/>
      </w:pPr>
      <w:rPr>
        <w:rFonts w:ascii="Wingdings" w:hAnsi="Wingdings" w:hint="default"/>
      </w:rPr>
    </w:lvl>
  </w:abstractNum>
  <w:abstractNum w:abstractNumId="40">
    <w:nsid w:val="6F7B1703"/>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abstractNum w:abstractNumId="41">
    <w:nsid w:val="70A37C3F"/>
    <w:multiLevelType w:val="multilevel"/>
    <w:lvl w:ilvl="0">
      <w:start w:val="1"/>
      <w:numFmt w:val="decimal"/>
      <w:suff w:val="tab"/>
      <w:lvlText w:val="%1."/>
      <w:lvlJc w:val="left"/>
      <w:pPr>
        <w:ind w:hanging="360" w:left="720"/>
        <w:tabs>
          <w:tab w:val="num" w:pos="720" w:leader="none"/>
        </w:tabs>
      </w:pPr>
      <w:rPr/>
    </w:lvl>
    <w:lvl w:ilvl="1">
      <w:start w:val="1"/>
      <w:numFmt w:val="decimal"/>
      <w:suff w:val="tab"/>
      <w:lvlText w:val="%2."/>
      <w:lvlJc w:val="left"/>
      <w:pPr>
        <w:ind w:hanging="360" w:left="1440"/>
        <w:tabs>
          <w:tab w:val="num" w:pos="1440" w:leader="none"/>
        </w:tabs>
      </w:pPr>
      <w:rPr/>
    </w:lvl>
    <w:lvl w:ilvl="2">
      <w:start w:val="1"/>
      <w:numFmt w:val="decimal"/>
      <w:suff w:val="tab"/>
      <w:lvlText w:val="%3."/>
      <w:lvlJc w:val="left"/>
      <w:pPr>
        <w:ind w:hanging="360" w:left="2160"/>
        <w:tabs>
          <w:tab w:val="num" w:pos="2160" w:leader="none"/>
        </w:tabs>
      </w:pPr>
      <w:rPr/>
    </w:lvl>
    <w:lvl w:ilvl="3">
      <w:start w:val="1"/>
      <w:numFmt w:val="decimal"/>
      <w:suff w:val="tab"/>
      <w:lvlText w:val="%4."/>
      <w:lvlJc w:val="left"/>
      <w:pPr>
        <w:ind w:hanging="360" w:left="2880"/>
        <w:tabs>
          <w:tab w:val="num" w:pos="2880" w:leader="none"/>
        </w:tabs>
      </w:pPr>
      <w:rPr/>
    </w:lvl>
    <w:lvl w:ilvl="4">
      <w:start w:val="1"/>
      <w:numFmt w:val="decimal"/>
      <w:suff w:val="tab"/>
      <w:lvlText w:val="%5."/>
      <w:lvlJc w:val="left"/>
      <w:pPr>
        <w:ind w:hanging="360" w:left="3600"/>
        <w:tabs>
          <w:tab w:val="num" w:pos="3600" w:leader="none"/>
        </w:tabs>
      </w:pPr>
      <w:rPr/>
    </w:lvl>
    <w:lvl w:ilvl="5">
      <w:start w:val="1"/>
      <w:numFmt w:val="decimal"/>
      <w:suff w:val="tab"/>
      <w:lvlText w:val="%6."/>
      <w:lvlJc w:val="left"/>
      <w:pPr>
        <w:ind w:hanging="360" w:left="4320"/>
        <w:tabs>
          <w:tab w:val="num" w:pos="4320" w:leader="none"/>
        </w:tabs>
      </w:pPr>
      <w:rPr/>
    </w:lvl>
    <w:lvl w:ilvl="6">
      <w:start w:val="1"/>
      <w:numFmt w:val="decimal"/>
      <w:suff w:val="tab"/>
      <w:lvlText w:val="%7."/>
      <w:lvlJc w:val="left"/>
      <w:pPr>
        <w:ind w:hanging="360" w:left="5040"/>
        <w:tabs>
          <w:tab w:val="num" w:pos="5040" w:leader="none"/>
        </w:tabs>
      </w:pPr>
      <w:rPr/>
    </w:lvl>
    <w:lvl w:ilvl="7">
      <w:start w:val="1"/>
      <w:numFmt w:val="decimal"/>
      <w:suff w:val="tab"/>
      <w:lvlText w:val="%8."/>
      <w:lvlJc w:val="left"/>
      <w:pPr>
        <w:ind w:hanging="360" w:left="5760"/>
        <w:tabs>
          <w:tab w:val="num" w:pos="5760" w:leader="none"/>
        </w:tabs>
      </w:pPr>
      <w:rPr/>
    </w:lvl>
    <w:lvl w:ilvl="8">
      <w:start w:val="1"/>
      <w:numFmt w:val="decimal"/>
      <w:suff w:val="tab"/>
      <w:lvlText w:val="%9."/>
      <w:lvlJc w:val="left"/>
      <w:pPr>
        <w:ind w:hanging="360" w:left="6480"/>
        <w:tabs>
          <w:tab w:val="num" w:pos="6480" w:leader="none"/>
        </w:tabs>
      </w:pPr>
      <w:rPr/>
    </w:lvl>
  </w:abstractNum>
  <w:abstractNum w:abstractNumId="42">
    <w:nsid w:val="70AA0406"/>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abstractNum w:abstractNumId="43">
    <w:nsid w:val="733211D1"/>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abstractNum w:abstractNumId="44">
    <w:nsid w:val="74C74A9B"/>
    <w:multiLevelType w:val="hybridMultilevel"/>
    <w:lvl w:ilvl="0" w:tplc="BD96B8A4">
      <w:start w:val="1"/>
      <w:numFmt w:val="bullet"/>
      <w:suff w:val="tab"/>
      <w:lvlText w:val=""/>
      <w:lvlJc w:val="left"/>
      <w:pPr>
        <w:ind w:hanging="360" w:left="720"/>
      </w:pPr>
      <w:rPr>
        <w:rFonts w:ascii="Wingdings" w:hAnsi="Wingdings" w:hint="default"/>
      </w:rPr>
    </w:lvl>
    <w:lvl w:ilvl="1" w:tplc="04090003">
      <w:start w:val="1"/>
      <w:numFmt w:val="bullet"/>
      <w:suff w:val="tab"/>
      <w:lvlText w:val="o"/>
      <w:lvlJc w:val="left"/>
      <w:pPr>
        <w:ind w:hanging="360" w:left="1440"/>
      </w:pPr>
      <w:rPr>
        <w:rFonts w:ascii="Courier New" w:hAnsi="Courier New" w:cs="Courier New" w:hint="default"/>
      </w:rPr>
    </w:lvl>
    <w:lvl w:ilvl="2" w:tplc="04090005">
      <w:start w:val="1"/>
      <w:numFmt w:val="bullet"/>
      <w:suff w:val="tab"/>
      <w:lvlText w:val=""/>
      <w:lvlJc w:val="left"/>
      <w:pPr>
        <w:ind w:hanging="360" w:left="2160"/>
      </w:pPr>
      <w:rPr>
        <w:rFonts w:ascii="Wingdings" w:hAnsi="Wingdings" w:hint="default"/>
      </w:rPr>
    </w:lvl>
    <w:lvl w:ilvl="3" w:tplc="04090001">
      <w:start w:val="1"/>
      <w:numFmt w:val="bullet"/>
      <w:suff w:val="tab"/>
      <w:lvlText w:val=""/>
      <w:lvlJc w:val="left"/>
      <w:pPr>
        <w:ind w:hanging="360" w:left="2880"/>
      </w:pPr>
      <w:rPr>
        <w:rFonts w:ascii="Symbol" w:hAnsi="Symbol" w:hint="default"/>
      </w:rPr>
    </w:lvl>
    <w:lvl w:ilvl="4" w:tplc="04090003">
      <w:start w:val="1"/>
      <w:numFmt w:val="bullet"/>
      <w:suff w:val="tab"/>
      <w:lvlText w:val="o"/>
      <w:lvlJc w:val="left"/>
      <w:pPr>
        <w:ind w:hanging="360" w:left="3600"/>
      </w:pPr>
      <w:rPr>
        <w:rFonts w:ascii="Courier New" w:hAnsi="Courier New" w:cs="Courier New" w:hint="default"/>
      </w:rPr>
    </w:lvl>
    <w:lvl w:ilvl="5" w:tplc="04090005">
      <w:start w:val="1"/>
      <w:numFmt w:val="bullet"/>
      <w:suff w:val="tab"/>
      <w:lvlText w:val=""/>
      <w:lvlJc w:val="left"/>
      <w:pPr>
        <w:ind w:hanging="360" w:left="4320"/>
      </w:pPr>
      <w:rPr>
        <w:rFonts w:ascii="Wingdings" w:hAnsi="Wingdings" w:hint="default"/>
      </w:rPr>
    </w:lvl>
    <w:lvl w:ilvl="6" w:tplc="04090001">
      <w:start w:val="1"/>
      <w:numFmt w:val="bullet"/>
      <w:suff w:val="tab"/>
      <w:lvlText w:val=""/>
      <w:lvlJc w:val="left"/>
      <w:pPr>
        <w:ind w:hanging="360" w:left="5040"/>
      </w:pPr>
      <w:rPr>
        <w:rFonts w:ascii="Symbol" w:hAnsi="Symbol" w:hint="default"/>
      </w:rPr>
    </w:lvl>
    <w:lvl w:ilvl="7" w:tplc="04090003">
      <w:start w:val="1"/>
      <w:numFmt w:val="bullet"/>
      <w:suff w:val="tab"/>
      <w:lvlText w:val="o"/>
      <w:lvlJc w:val="left"/>
      <w:pPr>
        <w:ind w:hanging="360" w:left="5760"/>
      </w:pPr>
      <w:rPr>
        <w:rFonts w:ascii="Courier New" w:hAnsi="Courier New" w:cs="Courier New" w:hint="default"/>
      </w:rPr>
    </w:lvl>
    <w:lvl w:ilvl="8" w:tplc="04090005">
      <w:start w:val="1"/>
      <w:numFmt w:val="bullet"/>
      <w:suff w:val="tab"/>
      <w:lvlText w:val=""/>
      <w:lvlJc w:val="left"/>
      <w:pPr>
        <w:ind w:hanging="360" w:left="6480"/>
      </w:pPr>
      <w:rPr>
        <w:rFonts w:ascii="Wingdings" w:hAnsi="Wingdings" w:hint="default"/>
      </w:rPr>
    </w:lvl>
  </w:abstractNum>
  <w:abstractNum w:abstractNumId="45">
    <w:nsid w:val="7E3F0E45"/>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abstractNum w:abstractNumId="46">
    <w:nsid w:val="7E9B42FD"/>
    <w:multiLevelType w:val="multilevel"/>
    <w:lvl w:ilvl="0">
      <w:start w:val="1"/>
      <w:numFmt w:val="bullet"/>
      <w:suff w:val="tab"/>
      <w:lvlText w:val=""/>
      <w:lvlJc w:val="left"/>
      <w:pPr>
        <w:ind w:hanging="360" w:left="720"/>
        <w:tabs>
          <w:tab w:val="num" w:pos="720" w:leader="none"/>
        </w:tabs>
      </w:pPr>
      <w:rPr>
        <w:rFonts w:ascii="Symbol" w:hAnsi="Symbol" w:hint="default"/>
        <w:sz w:val="20"/>
      </w:rPr>
    </w:lvl>
    <w:lvl w:ilvl="1">
      <w:start w:val="1"/>
      <w:numFmt w:val="bullet"/>
      <w:suff w:val="tab"/>
      <w:lvlText w:val="o"/>
      <w:lvlJc w:val="left"/>
      <w:pPr>
        <w:ind w:hanging="360" w:left="1440"/>
        <w:tabs>
          <w:tab w:val="num" w:pos="1440" w:leader="none"/>
        </w:tabs>
      </w:pPr>
      <w:rPr>
        <w:rFonts w:ascii="Courier New" w:hAnsi="Courier New" w:hint="default"/>
        <w:sz w:val="20"/>
      </w:rPr>
    </w:lvl>
    <w:lvl w:ilvl="2">
      <w:start w:val="1"/>
      <w:numFmt w:val="bullet"/>
      <w:suff w:val="tab"/>
      <w:lvlText w:val=""/>
      <w:lvlJc w:val="left"/>
      <w:pPr>
        <w:ind w:hanging="360" w:left="2160"/>
        <w:tabs>
          <w:tab w:val="num" w:pos="2160" w:leader="none"/>
        </w:tabs>
      </w:pPr>
      <w:rPr>
        <w:rFonts w:ascii="Wingdings" w:hAnsi="Wingdings" w:hint="default"/>
        <w:sz w:val="20"/>
      </w:rPr>
    </w:lvl>
    <w:lvl w:ilvl="3">
      <w:start w:val="1"/>
      <w:numFmt w:val="bullet"/>
      <w:suff w:val="tab"/>
      <w:lvlText w:val=""/>
      <w:lvlJc w:val="left"/>
      <w:pPr>
        <w:ind w:hanging="360" w:left="2880"/>
        <w:tabs>
          <w:tab w:val="num" w:pos="2880" w:leader="none"/>
        </w:tabs>
      </w:pPr>
      <w:rPr>
        <w:rFonts w:ascii="Wingdings" w:hAnsi="Wingdings" w:hint="default"/>
        <w:sz w:val="20"/>
      </w:rPr>
    </w:lvl>
    <w:lvl w:ilvl="4">
      <w:start w:val="1"/>
      <w:numFmt w:val="bullet"/>
      <w:suff w:val="tab"/>
      <w:lvlText w:val=""/>
      <w:lvlJc w:val="left"/>
      <w:pPr>
        <w:ind w:hanging="360" w:left="3600"/>
        <w:tabs>
          <w:tab w:val="num" w:pos="3600" w:leader="none"/>
        </w:tabs>
      </w:pPr>
      <w:rPr>
        <w:rFonts w:ascii="Wingdings" w:hAnsi="Wingdings" w:hint="default"/>
        <w:sz w:val="20"/>
      </w:rPr>
    </w:lvl>
    <w:lvl w:ilvl="5">
      <w:start w:val="1"/>
      <w:numFmt w:val="bullet"/>
      <w:suff w:val="tab"/>
      <w:lvlText w:val=""/>
      <w:lvlJc w:val="left"/>
      <w:pPr>
        <w:ind w:hanging="360" w:left="4320"/>
        <w:tabs>
          <w:tab w:val="num" w:pos="4320" w:leader="none"/>
        </w:tabs>
      </w:pPr>
      <w:rPr>
        <w:rFonts w:ascii="Wingdings" w:hAnsi="Wingdings" w:hint="default"/>
        <w:sz w:val="20"/>
      </w:rPr>
    </w:lvl>
    <w:lvl w:ilvl="6">
      <w:start w:val="1"/>
      <w:numFmt w:val="bullet"/>
      <w:suff w:val="tab"/>
      <w:lvlText w:val=""/>
      <w:lvlJc w:val="left"/>
      <w:pPr>
        <w:ind w:hanging="360" w:left="5040"/>
        <w:tabs>
          <w:tab w:val="num" w:pos="5040" w:leader="none"/>
        </w:tabs>
      </w:pPr>
      <w:rPr>
        <w:rFonts w:ascii="Wingdings" w:hAnsi="Wingdings" w:hint="default"/>
        <w:sz w:val="20"/>
      </w:rPr>
    </w:lvl>
    <w:lvl w:ilvl="7">
      <w:start w:val="1"/>
      <w:numFmt w:val="bullet"/>
      <w:suff w:val="tab"/>
      <w:lvlText w:val=""/>
      <w:lvlJc w:val="left"/>
      <w:pPr>
        <w:ind w:hanging="360" w:left="5760"/>
        <w:tabs>
          <w:tab w:val="num" w:pos="5760" w:leader="none"/>
        </w:tabs>
      </w:pPr>
      <w:rPr>
        <w:rFonts w:ascii="Wingdings" w:hAnsi="Wingdings" w:hint="default"/>
        <w:sz w:val="20"/>
      </w:rPr>
    </w:lvl>
    <w:lvl w:ilvl="8">
      <w:start w:val="1"/>
      <w:numFmt w:val="bullet"/>
      <w:suff w:val="tab"/>
      <w:lvlText w:val=""/>
      <w:lvlJc w:val="left"/>
      <w:pPr>
        <w:ind w:hanging="360" w:left="6480"/>
        <w:tabs>
          <w:tab w:val="num" w:pos="6480" w:leader="none"/>
        </w:tabs>
      </w:pPr>
      <w:rPr>
        <w:rFonts w:ascii="Wingdings" w:hAnsi="Wingdings" w:hint="default"/>
        <w:sz w:val="20"/>
      </w:rPr>
    </w:lvl>
  </w:abstractNum>
  <w:num w:numId="1">
    <w:abstractNumId w:val="30"/>
  </w:num>
  <w:num w:numId="2">
    <w:abstractNumId w:val="36"/>
  </w:num>
  <w:num w:numId="3">
    <w:abstractNumId w:val="5"/>
  </w:num>
  <w:num w:numId="4">
    <w:abstractNumId w:val="37"/>
  </w:num>
  <w:num w:numId="5">
    <w:abstractNumId w:val="18"/>
  </w:num>
  <w:num w:numId="6">
    <w:abstractNumId w:val="28"/>
  </w:num>
  <w:num w:numId="7">
    <w:abstractNumId w:val="43"/>
  </w:num>
  <w:num w:numId="8">
    <w:abstractNumId w:val="46"/>
  </w:num>
  <w:num w:numId="9">
    <w:abstractNumId w:val="10"/>
  </w:num>
  <w:num w:numId="10">
    <w:abstractNumId w:val="12"/>
  </w:num>
  <w:num w:numId="11">
    <w:abstractNumId w:val="33"/>
  </w:num>
  <w:num w:numId="12">
    <w:abstractNumId w:val="40"/>
  </w:num>
  <w:num w:numId="13">
    <w:abstractNumId w:val="27"/>
  </w:num>
  <w:num w:numId="14">
    <w:abstractNumId w:val="2"/>
  </w:num>
  <w:num w:numId="15">
    <w:abstractNumId w:val="0"/>
  </w:num>
  <w:num w:numId="16">
    <w:abstractNumId w:val="1"/>
  </w:num>
  <w:num w:numId="17">
    <w:abstractNumId w:val="42"/>
  </w:num>
  <w:num w:numId="18">
    <w:abstractNumId w:val="35"/>
  </w:num>
  <w:num w:numId="19">
    <w:abstractNumId w:val="15"/>
  </w:num>
  <w:num w:numId="20">
    <w:abstractNumId w:val="8"/>
  </w:num>
  <w:num w:numId="21">
    <w:abstractNumId w:val="13"/>
  </w:num>
  <w:num w:numId="22">
    <w:abstractNumId w:val="11"/>
  </w:num>
  <w:num w:numId="23">
    <w:abstractNumId w:val="24"/>
  </w:num>
  <w:num w:numId="24">
    <w:abstractNumId w:val="38"/>
  </w:num>
  <w:num w:numId="25">
    <w:abstractNumId w:val="45"/>
  </w:num>
  <w:num w:numId="26">
    <w:abstractNumId w:val="7"/>
  </w:num>
  <w:num w:numId="27">
    <w:abstractNumId w:val="14"/>
  </w:num>
  <w:num w:numId="28">
    <w:abstractNumId w:val="21"/>
  </w:num>
  <w:num w:numId="29">
    <w:abstractNumId w:val="22"/>
  </w:num>
  <w:num w:numId="30">
    <w:abstractNumId w:val="16"/>
  </w:num>
  <w:num w:numId="31">
    <w:abstractNumId w:val="34"/>
  </w:num>
  <w:num w:numId="32">
    <w:abstractNumId w:val="26"/>
  </w:num>
  <w:num w:numId="33">
    <w:abstractNumId w:val="20"/>
  </w:num>
  <w:num w:numId="34">
    <w:abstractNumId w:val="6"/>
  </w:num>
  <w:num w:numId="35">
    <w:abstractNumId w:val="39"/>
  </w:num>
  <w:num w:numId="36">
    <w:abstractNumId w:val="31"/>
  </w:num>
  <w:num w:numId="37">
    <w:abstractNumId w:val="19"/>
  </w:num>
  <w:num w:numId="38">
    <w:abstractNumId w:val="4"/>
  </w:num>
  <w:num w:numId="39">
    <w:abstractNumId w:val="44"/>
  </w:num>
  <w:num w:numId="40">
    <w:abstractNumId w:val="17"/>
  </w:num>
  <w:num w:numId="41">
    <w:abstractNumId w:val="25"/>
  </w:num>
  <w:num w:numId="42">
    <w:abstractNumId w:val="41"/>
  </w:num>
  <w:num w:numId="43">
    <w:abstractNumId w:val="29"/>
  </w:num>
  <w:num w:numId="44">
    <w:abstractNumId w:val="9"/>
  </w:num>
  <w:num w:numId="45">
    <w:abstractNumId w:val="3"/>
  </w:num>
  <w:num w:numId="46">
    <w:abstractNumId w:val="32"/>
  </w:num>
  <w:num w:numId="47">
    <w:abstractNumId w:val="23"/>
  </w:num>
</w:numbering>
</file>

<file path=word/settings.xml><?xml version="1.0" encoding="utf-8"?>
<w:settings xmlns:w="http://schemas.openxmlformats.org/wordprocessingml/2006/main">
  <w:displayBackgroundShape w:val="0"/>
  <w:defaultTabStop w:val="720"/>
  <w:autoHyphenation w:val="0"/>
  <w:evenAndOddHeaders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clrSchemeMapping w:bg1="light1" w:t1="dark1" w:bg2="light2" w:t2="dark2" w:accent1="accent1" w:accent2="accent2" w:accent3="accent3" w:accent4="accent4" w:accent5="accent5" w:accent6="accent6" w:hyperlink="hyperlink" w:followedHyperlink="followedHyperlink"/>
  <w:footnotePr>
    <w:footnote w:id="-1"/>
    <w:footnote w:id="0"/>
  </w:footnotePr>
  <w:endnotePr>
    <w:endnote w:id="-1"/>
    <w:endnote w:id="0"/>
  </w:endnotePr>
</w:settings>
</file>

<file path=word/styles.xml><?xml version="1.0" encoding="utf-8"?>
<w:styles xmlns:w="http://schemas.openxmlformats.org/wordprocessingml/2006/main">
  <w:docDefaults>
    <w:rPrDefault>
      <w:rPr>
        <w:rFonts w:asciiTheme="minorHAnsi" w:hAnsiTheme="minorHAnsi" w:cstheme="minorBidi" w:eastAsiaTheme="minorHAnsi"/>
        <w:sz w:val="22"/>
        <w:szCs w:val="22"/>
        <w:kern w:val="2"/>
        <w:lang w:val="en-US" w:bidi="ar-SA" w:eastAsia="en-US"/>
      </w:rPr>
    </w:rPrDefault>
    <w:pPrDefault>
      <w:pPr>
        <w:keepNext w:val="0"/>
        <w:keepLines w:val="0"/>
        <w:pageBreakBefore w:val="0"/>
        <w:widowControl w:val="1"/>
        <w:suppressLineNumbers w:val="0"/>
        <w:shd w:val="clear" w:fill="auto"/>
        <w:suppressAutoHyphens w:val="0"/>
        <w:spacing w:lineRule="auto" w:line="259" w:before="0" w:after="160" w:beforeAutospacing="0" w:afterAutospacing="0"/>
        <w:ind w:firstLine="0" w:left="0" w:right="0"/>
        <w:contextualSpacing w:val="0"/>
        <w:bidi w:val="0"/>
        <w:jc w:val="left"/>
        <w:outlineLvl w:val="9"/>
      </w:pPr>
    </w:pPrDefault>
  </w:docDefaults>
  <w:style w:type="paragraph" w:styleId="P0" w:default="1">
    <w:name w:val="Normal"/>
    <w:qFormat/>
    <w:pPr>
      <w:bidi w:val="1"/>
    </w:pPr>
    <w:rPr/>
  </w:style>
  <w:style w:type="paragraph" w:styleId="P1">
    <w:name w:val="Heading 1"/>
    <w:basedOn w:val="P0"/>
    <w:next w:val="P0"/>
    <w:link w:val="C13"/>
    <w:qFormat/>
    <w:pPr>
      <w:keepNext w:val="1"/>
      <w:keepLines w:val="1"/>
      <w:spacing w:before="240" w:after="0" w:beforeAutospacing="0" w:afterAutospacing="0"/>
      <w:outlineLvl w:val="0"/>
    </w:pPr>
    <w:rPr>
      <w:rFonts w:asciiTheme="majorHAnsi" w:hAnsiTheme="majorHAnsi" w:cstheme="majorBidi" w:eastAsiaTheme="majorEastAsia"/>
      <w:color w:val="2F5496" w:themeColor="accent1" w:themeShade="BF"/>
      <w:sz w:val="32"/>
      <w:szCs w:val="32"/>
    </w:rPr>
  </w:style>
  <w:style w:type="paragraph" w:styleId="P2">
    <w:name w:val="Heading 2"/>
    <w:basedOn w:val="P0"/>
    <w:next w:val="P0"/>
    <w:link w:val="C7"/>
    <w:qFormat/>
    <w:pPr>
      <w:keepNext w:val="1"/>
      <w:keepLines w:val="1"/>
      <w:spacing w:before="40" w:after="0" w:beforeAutospacing="0" w:afterAutospacing="0"/>
      <w:outlineLvl w:val="1"/>
    </w:pPr>
    <w:rPr>
      <w:rFonts w:asciiTheme="majorHAnsi" w:hAnsiTheme="majorHAnsi" w:cstheme="majorBidi" w:eastAsiaTheme="majorEastAsia"/>
      <w:color w:val="2F5496" w:themeColor="accent1" w:themeShade="BF"/>
      <w:sz w:val="26"/>
      <w:szCs w:val="26"/>
    </w:rPr>
  </w:style>
  <w:style w:type="paragraph" w:styleId="P3">
    <w:name w:val="Heading 3"/>
    <w:basedOn w:val="P0"/>
    <w:next w:val="P0"/>
    <w:link w:val="C6"/>
    <w:qFormat/>
    <w:pPr>
      <w:keepNext w:val="1"/>
      <w:keepLines w:val="1"/>
      <w:spacing w:before="40" w:after="0" w:beforeAutospacing="0" w:afterAutospacing="0"/>
      <w:outlineLvl w:val="2"/>
    </w:pPr>
    <w:rPr>
      <w:rFonts w:asciiTheme="majorHAnsi" w:hAnsiTheme="majorHAnsi" w:cstheme="majorBidi" w:eastAsiaTheme="majorEastAsia"/>
      <w:color w:val="203864" w:themeColor="accent1" w:themeShade="7F"/>
      <w:sz w:val="24"/>
      <w:szCs w:val="24"/>
    </w:rPr>
  </w:style>
  <w:style w:type="paragraph" w:styleId="P4">
    <w:name w:val="Heading 4"/>
    <w:basedOn w:val="P0"/>
    <w:next w:val="P0"/>
    <w:link w:val="C8"/>
    <w:semiHidden/>
    <w:qFormat/>
    <w:pPr>
      <w:keepNext w:val="1"/>
      <w:keepLines w:val="1"/>
      <w:spacing w:before="40" w:after="0" w:beforeAutospacing="0" w:afterAutospacing="0"/>
      <w:outlineLvl w:val="3"/>
    </w:pPr>
    <w:rPr>
      <w:rFonts w:asciiTheme="majorHAnsi" w:hAnsiTheme="majorHAnsi" w:cstheme="majorBidi" w:eastAsiaTheme="majorEastAsia"/>
      <w:i w:val="1"/>
      <w:iCs w:val="1"/>
      <w:color w:val="2F5496" w:themeColor="accent1" w:themeShade="BF"/>
    </w:rPr>
  </w:style>
  <w:style w:type="paragraph" w:styleId="P5">
    <w:name w:val="Heading 5"/>
    <w:basedOn w:val="P0"/>
    <w:next w:val="P0"/>
    <w:link w:val="C9"/>
    <w:semiHidden/>
    <w:qFormat/>
    <w:pPr>
      <w:keepNext w:val="1"/>
      <w:keepLines w:val="1"/>
      <w:spacing w:before="40" w:after="0" w:beforeAutospacing="0" w:afterAutospacing="0"/>
      <w:outlineLvl w:val="4"/>
    </w:pPr>
    <w:rPr>
      <w:rFonts w:asciiTheme="majorHAnsi" w:hAnsiTheme="majorHAnsi" w:cstheme="majorBidi" w:eastAsiaTheme="majorEastAsia"/>
      <w:color w:val="2F5496" w:themeColor="accent1" w:themeShade="BF"/>
    </w:rPr>
  </w:style>
  <w:style w:type="paragraph" w:styleId="P6">
    <w:name w:val="Header"/>
    <w:basedOn w:val="P0"/>
    <w:link w:val="C3"/>
    <w:pPr>
      <w:tabs>
        <w:tab w:val="center" w:pos="4153" w:leader="none"/>
        <w:tab w:val="right" w:pos="8306" w:leader="none"/>
      </w:tabs>
      <w:spacing w:lineRule="auto" w:line="240" w:after="0" w:beforeAutospacing="0" w:afterAutospacing="0"/>
    </w:pPr>
    <w:rPr/>
  </w:style>
  <w:style w:type="paragraph" w:styleId="P7">
    <w:name w:val="Footer"/>
    <w:basedOn w:val="P0"/>
    <w:link w:val="C4"/>
    <w:pPr>
      <w:tabs>
        <w:tab w:val="center" w:pos="4153" w:leader="none"/>
        <w:tab w:val="right" w:pos="8306" w:leader="none"/>
      </w:tabs>
      <w:spacing w:lineRule="auto" w:line="240" w:after="0" w:beforeAutospacing="0" w:afterAutospacing="0"/>
    </w:pPr>
    <w:rPr/>
  </w:style>
  <w:style w:type="paragraph" w:styleId="P8">
    <w:name w:val="List Paragraph"/>
    <w:basedOn w:val="P0"/>
    <w:qFormat/>
    <w:pPr>
      <w:ind w:left="720"/>
      <w:contextualSpacing w:val="1"/>
    </w:pPr>
    <w:rPr/>
  </w:style>
  <w:style w:type="paragraph" w:styleId="P9">
    <w:name w:val="font-claude-response-body"/>
    <w:basedOn w:val="P0"/>
    <w:pPr>
      <w:spacing w:lineRule="auto" w:line="240" w:before="100" w:after="100" w:beforeAutospacing="1" w:afterAutospacing="1"/>
      <w:bidi w:val="0"/>
    </w:pPr>
    <w:rPr>
      <w:rFonts w:ascii="Times New Roman" w:hAnsi="Times New Roman" w:cs="Times New Roman" w:eastAsia="Times New Roman"/>
      <w:sz w:val="24"/>
      <w:szCs w:val="24"/>
    </w:rPr>
  </w:style>
  <w:style w:type="paragraph" w:styleId="P10">
    <w:name w:val="Normal (Web)"/>
    <w:basedOn w:val="P0"/>
    <w:pPr>
      <w:spacing w:lineRule="auto" w:line="240" w:before="100" w:after="100" w:beforeAutospacing="1" w:afterAutospacing="1"/>
      <w:bidi w:val="0"/>
    </w:pPr>
    <w:rPr>
      <w:rFonts w:ascii="Times New Roman" w:hAnsi="Times New Roman" w:cs="Times New Roman" w:eastAsia="Times New Roman"/>
      <w:sz w:val="24"/>
      <w:szCs w:val="24"/>
    </w:rPr>
  </w:style>
  <w:style w:type="paragraph" w:styleId="P11">
    <w:name w:val="msonormal"/>
    <w:basedOn w:val="P0"/>
    <w:pPr>
      <w:spacing w:lineRule="auto" w:line="240" w:before="100" w:after="100" w:beforeAutospacing="1" w:afterAutospacing="1"/>
      <w:bidi w:val="0"/>
    </w:pPr>
    <w:rPr>
      <w:rFonts w:ascii="Times New Roman" w:hAnsi="Times New Roman" w:cs="Times New Roman" w:eastAsia="Times New Roman"/>
      <w:sz w:val="24"/>
      <w:szCs w:val="24"/>
    </w:rPr>
  </w:style>
  <w:style w:type="paragraph" w:styleId="P12">
    <w:name w:val="Footnote Text"/>
    <w:link w:val="C15"/>
    <w:semiHidden/>
    <w:pPr>
      <w:spacing w:lineRule="auto" w:line="240" w:after="0"/>
    </w:pPr>
    <w:rPr>
      <w:sz w:val="20"/>
      <w:szCs w:val="20"/>
    </w:rPr>
  </w:style>
  <w:style w:type="paragraph" w:styleId="P13">
    <w:name w:val="Endnote Text"/>
    <w:link w:val="C17"/>
    <w:semiHidden/>
    <w:pPr>
      <w:spacing w:lineRule="auto" w:line="240" w:after="0"/>
    </w:pPr>
    <w:rPr>
      <w:sz w:val="20"/>
      <w:szCs w:val="20"/>
    </w:rPr>
  </w:style>
  <w:style w:type="character" w:styleId="C0" w:default="1">
    <w:name w:val="Default Paragraph Font"/>
    <w:rPr/>
  </w:style>
  <w:style w:type="character" w:styleId="C1">
    <w:name w:val="Line Number"/>
    <w:basedOn w:val="C0"/>
    <w:semiHidden/>
    <w:rPr/>
  </w:style>
  <w:style w:type="character" w:styleId="C2">
    <w:name w:val="Hyperlink"/>
    <w:basedOn w:val="C0"/>
    <w:rPr>
      <w:color w:val="0563C1" w:themeColor="hyperlink"/>
      <w:u w:val="single"/>
    </w:rPr>
  </w:style>
  <w:style w:type="character" w:styleId="C3">
    <w:name w:val="رأس الصفحة Char"/>
    <w:basedOn w:val="C0"/>
    <w:link w:val="P6"/>
    <w:rPr/>
  </w:style>
  <w:style w:type="character" w:styleId="C4">
    <w:name w:val="تذييل الصفحة Char"/>
    <w:basedOn w:val="C0"/>
    <w:link w:val="P7"/>
    <w:rPr/>
  </w:style>
  <w:style w:type="character" w:styleId="C5">
    <w:name w:val="Unresolved Mention1"/>
    <w:basedOn w:val="C0"/>
    <w:semiHidden/>
    <w:rPr>
      <w:color w:val="605E5C"/>
      <w:shd w:val="clear" w:color="auto" w:fill="E1DFDD"/>
    </w:rPr>
  </w:style>
  <w:style w:type="character" w:styleId="C6">
    <w:name w:val="عنوان 3 Char"/>
    <w:basedOn w:val="C0"/>
    <w:link w:val="P3"/>
    <w:rPr>
      <w:rFonts w:asciiTheme="majorHAnsi" w:hAnsiTheme="majorHAnsi" w:cstheme="majorBidi" w:eastAsiaTheme="majorEastAsia"/>
      <w:color w:val="203864" w:themeColor="accent1" w:themeShade="7F"/>
      <w:sz w:val="24"/>
      <w:szCs w:val="24"/>
    </w:rPr>
  </w:style>
  <w:style w:type="character" w:styleId="C7">
    <w:name w:val="عنوان 2 Char"/>
    <w:basedOn w:val="C0"/>
    <w:link w:val="P2"/>
    <w:rPr>
      <w:rFonts w:asciiTheme="majorHAnsi" w:hAnsiTheme="majorHAnsi" w:cstheme="majorBidi" w:eastAsiaTheme="majorEastAsia"/>
      <w:color w:val="2F5496" w:themeColor="accent1" w:themeShade="BF"/>
      <w:sz w:val="26"/>
      <w:szCs w:val="26"/>
    </w:rPr>
  </w:style>
  <w:style w:type="character" w:styleId="C8">
    <w:name w:val="عنوان 4 Char"/>
    <w:basedOn w:val="C0"/>
    <w:link w:val="P4"/>
    <w:semiHidden/>
    <w:rPr>
      <w:rFonts w:asciiTheme="majorHAnsi" w:hAnsiTheme="majorHAnsi" w:cstheme="majorBidi" w:eastAsiaTheme="majorEastAsia"/>
      <w:i w:val="1"/>
      <w:iCs w:val="1"/>
      <w:color w:val="2F5496" w:themeColor="accent1" w:themeShade="BF"/>
    </w:rPr>
  </w:style>
  <w:style w:type="character" w:styleId="C9">
    <w:name w:val="عنوان 5 Char"/>
    <w:basedOn w:val="C0"/>
    <w:link w:val="P5"/>
    <w:semiHidden/>
    <w:rPr>
      <w:rFonts w:asciiTheme="majorHAnsi" w:hAnsiTheme="majorHAnsi" w:cstheme="majorBidi" w:eastAsiaTheme="majorEastAsia"/>
      <w:color w:val="2F5496" w:themeColor="accent1" w:themeShade="BF"/>
    </w:rPr>
  </w:style>
  <w:style w:type="character" w:styleId="C10">
    <w:name w:val="Strong"/>
    <w:basedOn w:val="C0"/>
    <w:qFormat/>
    <w:rPr>
      <w:b w:val="1"/>
      <w:bCs w:val="1"/>
    </w:rPr>
  </w:style>
  <w:style w:type="character" w:styleId="C11">
    <w:name w:val="Emphasis"/>
    <w:basedOn w:val="C0"/>
    <w:qFormat/>
    <w:rPr>
      <w:i w:val="1"/>
      <w:iCs w:val="1"/>
    </w:rPr>
  </w:style>
  <w:style w:type="character" w:styleId="C12">
    <w:name w:val="FollowedHyperlink"/>
    <w:basedOn w:val="C0"/>
    <w:semiHidden/>
    <w:rPr>
      <w:color w:val="800080"/>
      <w:u w:val="single"/>
    </w:rPr>
  </w:style>
  <w:style w:type="character" w:styleId="C13">
    <w:name w:val="العنوان 1 Char"/>
    <w:basedOn w:val="C0"/>
    <w:link w:val="P1"/>
    <w:rPr>
      <w:rFonts w:asciiTheme="majorHAnsi" w:hAnsiTheme="majorHAnsi" w:cstheme="majorBidi" w:eastAsiaTheme="majorEastAsia"/>
      <w:color w:val="2F5496" w:themeColor="accent1" w:themeShade="BF"/>
      <w:sz w:val="32"/>
      <w:szCs w:val="32"/>
    </w:rPr>
  </w:style>
  <w:style w:type="character" w:styleId="C14">
    <w:name w:val="Footnote Reference"/>
    <w:semiHidden/>
    <w:rPr>
      <w:vertAlign w:val="superscript"/>
    </w:rPr>
  </w:style>
  <w:style w:type="character" w:styleId="C15">
    <w:name w:val="Footnote Text Char"/>
    <w:link w:val="P12"/>
    <w:semiHidden/>
    <w:rPr>
      <w:sz w:val="20"/>
      <w:szCs w:val="20"/>
    </w:rPr>
  </w:style>
  <w:style w:type="character" w:styleId="C16">
    <w:name w:val="Endnote Reference"/>
    <w:semiHidden/>
    <w:rPr>
      <w:vertAlign w:val="superscript"/>
    </w:rPr>
  </w:style>
  <w:style w:type="character" w:styleId="C17">
    <w:name w:val="Endnote Text Char"/>
    <w:link w:val="P13"/>
    <w:semiHidden/>
    <w:rPr>
      <w:sz w:val="20"/>
      <w:szCs w:val="20"/>
    </w:rPr>
  </w:style>
  <w:style w:type="table" w:styleId="T0" w:default="1">
    <w:name w:val="Normal Table"/>
    <w:semiHidden/>
    <w:tblPr>
      <w:tblInd w:w="0" w:type="dxa"/>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 w:type="table" w:styleId="T2">
    <w:name w:val="Plain Table 11"/>
    <w:basedOn w:val="T0"/>
    <w:pPr>
      <w:spacing w:lineRule="auto" w:line="240" w:after="0" w:beforeAutospacing="0" w:afterAutospacing="0"/>
    </w:pPr>
    <w:tblPr>
      <w:tblStyleRowBandSize w:val="1"/>
      <w:tblStyleColBandSize w:val="1"/>
      <w:tblBorders>
        <w:top w:val="single" w:sz="4" w:space="0" w:shadow="0" w:frame="0" w:color="BFBFBF" w:themeColor="background1" w:themeShade="BF"/>
        <w:left w:val="single" w:sz="4" w:space="0" w:shadow="0" w:frame="0" w:color="BFBFBF" w:themeColor="background1" w:themeShade="BF"/>
        <w:bottom w:val="single" w:sz="4" w:space="0" w:shadow="0" w:frame="0" w:color="BFBFBF" w:themeColor="background1" w:themeShade="BF"/>
        <w:right w:val="single" w:sz="4" w:space="0" w:shadow="0" w:frame="0" w:color="BFBFBF" w:themeColor="background1" w:themeShade="BF"/>
        <w:insideH w:val="single" w:sz="4" w:space="0" w:shadow="0" w:frame="0" w:color="BFBFBF" w:themeColor="background1" w:themeShade="BF"/>
        <w:insideV w:val="single" w:sz="4" w:space="0" w:shadow="0" w:frame="0" w:color="BFBFBF" w:themeColor="background1" w:themeShade="BF"/>
      </w:tblBorders>
    </w:tblPr>
    <w:trPr/>
    <w:tcPr/>
    <w:tblStylePr w:type="band1Horz">
      <w:tblPr/>
      <w:trPr/>
      <w:tcPr>
        <w:shd w:val="clear" w:color="auto" w:fill="F2F2F2" w:themeFill="background1" w:themeFillShade="F2"/>
      </w:tcPr>
    </w:tblStylePr>
    <w:tblStylePr w:type="band1Vert">
      <w:tblPr/>
      <w:trPr/>
      <w:tcPr>
        <w:shd w:val="clear" w:color="auto" w:fill="F2F2F2" w:themeFill="background1" w:themeFillShade="F2"/>
      </w:tcPr>
    </w:tblStylePr>
    <w:tblStylePr w:type="lastCol">
      <w:rPr>
        <w:b w:val="1"/>
        <w:bCs w:val="1"/>
      </w:rPr>
      <w:tblPr/>
      <w:trPr/>
      <w:tcPr/>
    </w:tblStylePr>
    <w:tblStylePr w:type="firstCol">
      <w:rPr>
        <w:b w:val="1"/>
        <w:bCs w:val="1"/>
      </w:rPr>
      <w:tblPr/>
      <w:trPr/>
      <w:tcPr/>
    </w:tblStylePr>
    <w:tblStylePr w:type="lastRow">
      <w:rPr>
        <w:b w:val="1"/>
        <w:bCs w:val="1"/>
      </w:rPr>
      <w:tblPr/>
      <w:trPr/>
      <w:tcPr>
        <w:tcBorders>
          <w:top w:val="double" w:sz="4" w:space="0" w:shadow="0" w:frame="0" w:color="BFBFBF" w:themeColor="background1" w:themeShade="BF"/>
        </w:tcBorders>
      </w:tcPr>
    </w:tblStylePr>
    <w:tblStylePr w:type="firstRow">
      <w:rPr>
        <w:b w:val="1"/>
        <w:bCs w:val="1"/>
      </w:rPr>
      <w:tblPr/>
      <w:trPr/>
      <w:tcPr/>
    </w:tblStylePr>
  </w:style>
  <w:style w:type="table" w:styleId="T3">
    <w:name w:val="Table Grid"/>
    <w:basedOn w:val="T0"/>
    <w:pPr>
      <w:spacing w:lineRule="auto" w:line="240" w:after="0" w:beforeAutospacing="0" w:afterAutospacing="0"/>
    </w:pPr>
    <w:tblPr>
      <w:tblBorders>
        <w:top w:val="single" w:sz="4" w:space="0" w:shadow="0" w:frame="0" w:color="auto"/>
        <w:left w:val="single" w:sz="4" w:space="0" w:shadow="0" w:frame="0" w:color="auto"/>
        <w:bottom w:val="single" w:sz="4" w:space="0" w:shadow="0" w:frame="0" w:color="auto"/>
        <w:right w:val="single" w:sz="4" w:space="0" w:shadow="0" w:frame="0" w:color="auto"/>
        <w:insideH w:val="single" w:sz="4" w:space="0" w:shadow="0" w:frame="0" w:color="auto"/>
        <w:insideV w:val="single" w:sz="4" w:space="0" w:shadow="0" w:frame="0" w:color="auto"/>
      </w:tblBorders>
    </w:tblPr>
    <w:trPr/>
    <w:tcPr/>
  </w:style>
  <w:style w:type="table" w:styleId="T4">
    <w:name w:val="Grid Table 4 Accent 3"/>
    <w:basedOn w:val="T0"/>
    <w:pPr>
      <w:spacing w:lineRule="auto" w:line="240" w:after="0" w:beforeAutospacing="0" w:afterAutospacing="0"/>
    </w:pPr>
    <w:tblPr>
      <w:tblStyleRowBandSize w:val="1"/>
      <w:tblStyleColBandSize w:val="1"/>
      <w:tblBorders>
        <w:top w:val="single" w:sz="4" w:space="0" w:shadow="0" w:frame="0" w:color="C9C9C9" w:themeColor="accent3" w:themeTint="99"/>
        <w:left w:val="single" w:sz="4" w:space="0" w:shadow="0" w:frame="0" w:color="C9C9C9" w:themeColor="accent3" w:themeTint="99"/>
        <w:bottom w:val="single" w:sz="4" w:space="0" w:shadow="0" w:frame="0" w:color="C9C9C9" w:themeColor="accent3" w:themeTint="99"/>
        <w:right w:val="single" w:sz="4" w:space="0" w:shadow="0" w:frame="0" w:color="C9C9C9" w:themeColor="accent3" w:themeTint="99"/>
        <w:insideH w:val="single" w:sz="4" w:space="0" w:shadow="0" w:frame="0" w:color="C9C9C9" w:themeColor="accent3" w:themeTint="99"/>
        <w:insideV w:val="single" w:sz="4" w:space="0" w:shadow="0" w:frame="0" w:color="C9C9C9" w:themeColor="accent3" w:themeTint="99"/>
      </w:tblBorders>
    </w:tblPr>
    <w:trPr/>
    <w:tcPr/>
    <w:tblStylePr w:type="band1Horz">
      <w:tblPr/>
      <w:trPr/>
      <w:tcPr>
        <w:shd w:val="clear" w:color="auto" w:fill="EDEDED" w:themeFill="accent3" w:themeFillTint="32"/>
      </w:tcPr>
    </w:tblStylePr>
    <w:tblStylePr w:type="band1Vert">
      <w:tblPr/>
      <w:trPr/>
      <w:tcPr>
        <w:shd w:val="clear" w:color="auto" w:fill="EDEDED" w:themeFill="accent3" w:themeFillTint="32"/>
      </w:tcPr>
    </w:tblStylePr>
    <w:tblStylePr w:type="lastCol">
      <w:rPr>
        <w:b w:val="1"/>
        <w:bCs w:val="1"/>
      </w:rPr>
      <w:tblPr/>
      <w:trPr/>
      <w:tcPr/>
    </w:tblStylePr>
    <w:tblStylePr w:type="firstCol">
      <w:rPr>
        <w:b w:val="1"/>
        <w:bCs w:val="1"/>
      </w:rPr>
      <w:tblPr/>
      <w:trPr/>
      <w:tcPr/>
    </w:tblStylePr>
    <w:tblStylePr w:type="lastRow">
      <w:rPr>
        <w:b w:val="1"/>
        <w:bCs w:val="1"/>
      </w:rPr>
      <w:tblPr/>
      <w:trPr/>
      <w:tcPr>
        <w:tcBorders>
          <w:top w:val="double" w:sz="4" w:space="0" w:shadow="0" w:frame="0" w:color="A5A5A5" w:themeColor="accent3"/>
        </w:tcBorders>
      </w:tcPr>
    </w:tblStylePr>
    <w:tblStylePr w:type="firstRow">
      <w:rPr>
        <w:b w:val="1"/>
        <w:bCs w:val="1"/>
        <w:color w:val="FFFFFF" w:themeColor="background1"/>
      </w:rPr>
      <w:tblPr/>
      <w:trPr/>
      <w:tcPr>
        <w:tcBorders>
          <w:top w:val="single" w:sz="4" w:space="0" w:shadow="0" w:frame="0" w:color="A5A5A5" w:themeColor="accent3"/>
          <w:left w:val="single" w:sz="4" w:space="0" w:shadow="0" w:frame="0" w:color="A5A5A5" w:themeColor="accent3"/>
          <w:bottom w:val="single" w:sz="4" w:space="0" w:shadow="0" w:frame="0" w:color="A5A5A5" w:themeColor="accent3"/>
          <w:right w:val="single" w:sz="4" w:space="0" w:shadow="0" w:frame="0" w:color="A5A5A5" w:themeColor="accent3"/>
          <w:insideH w:val="nil"/>
          <w:insideV w:val="nil"/>
        </w:tcBorders>
        <w:shd w:val="clear" w:color="auto" w:fill="A5A5A5" w:themeFill="accent3"/>
      </w:tcPr>
    </w:tblStylePr>
  </w:style>
  <w:style w:type="table" w:styleId="T5">
    <w:name w:val="Grid Table 4 Accent 5"/>
    <w:basedOn w:val="T0"/>
    <w:pPr>
      <w:spacing w:lineRule="auto" w:line="240" w:after="0" w:beforeAutospacing="0" w:afterAutospacing="0"/>
    </w:pPr>
    <w:tblPr>
      <w:tblStyleRowBandSize w:val="1"/>
      <w:tblStyleColBandSize w:val="1"/>
      <w:tblBorders>
        <w:top w:val="single" w:sz="4" w:space="0" w:shadow="0" w:frame="0" w:color="9DC3E6" w:themeColor="accent5" w:themeTint="99"/>
        <w:left w:val="single" w:sz="4" w:space="0" w:shadow="0" w:frame="0" w:color="9DC3E6" w:themeColor="accent5" w:themeTint="99"/>
        <w:bottom w:val="single" w:sz="4" w:space="0" w:shadow="0" w:frame="0" w:color="9DC3E6" w:themeColor="accent5" w:themeTint="99"/>
        <w:right w:val="single" w:sz="4" w:space="0" w:shadow="0" w:frame="0" w:color="9DC3E6" w:themeColor="accent5" w:themeTint="99"/>
        <w:insideH w:val="single" w:sz="4" w:space="0" w:shadow="0" w:frame="0" w:color="9DC3E6" w:themeColor="accent5" w:themeTint="99"/>
        <w:insideV w:val="single" w:sz="4" w:space="0" w:shadow="0" w:frame="0" w:color="9DC3E6" w:themeColor="accent5" w:themeTint="99"/>
      </w:tblBorders>
    </w:tblPr>
    <w:trPr/>
    <w:tcPr/>
    <w:tblStylePr w:type="band1Horz">
      <w:tblPr/>
      <w:trPr/>
      <w:tcPr>
        <w:shd w:val="clear" w:color="auto" w:fill="DEEBF7" w:themeFill="accent5" w:themeFillTint="32"/>
      </w:tcPr>
    </w:tblStylePr>
    <w:tblStylePr w:type="band1Vert">
      <w:tblPr/>
      <w:trPr/>
      <w:tcPr>
        <w:shd w:val="clear" w:color="auto" w:fill="DEEBF7" w:themeFill="accent5" w:themeFillTint="32"/>
      </w:tcPr>
    </w:tblStylePr>
    <w:tblStylePr w:type="lastCol">
      <w:rPr>
        <w:b w:val="1"/>
        <w:bCs w:val="1"/>
      </w:rPr>
      <w:tblPr/>
      <w:trPr/>
      <w:tcPr/>
    </w:tblStylePr>
    <w:tblStylePr w:type="firstCol">
      <w:rPr>
        <w:b w:val="1"/>
        <w:bCs w:val="1"/>
      </w:rPr>
      <w:tblPr/>
      <w:trPr/>
      <w:tcPr/>
    </w:tblStylePr>
    <w:tblStylePr w:type="lastRow">
      <w:rPr>
        <w:b w:val="1"/>
        <w:bCs w:val="1"/>
      </w:rPr>
      <w:tblPr/>
      <w:trPr/>
      <w:tcPr>
        <w:tcBorders>
          <w:top w:val="double" w:sz="4" w:space="0" w:shadow="0" w:frame="0" w:color="5B9BD5" w:themeColor="accent5"/>
        </w:tcBorders>
      </w:tcPr>
    </w:tblStylePr>
    <w:tblStylePr w:type="firstRow">
      <w:rPr>
        <w:b w:val="1"/>
        <w:bCs w:val="1"/>
        <w:color w:val="FFFFFF" w:themeColor="background1"/>
      </w:rPr>
      <w:tblPr/>
      <w:trPr/>
      <w:tcPr>
        <w:tcBorders>
          <w:top w:val="single" w:sz="4" w:space="0" w:shadow="0" w:frame="0" w:color="5B9BD5" w:themeColor="accent5"/>
          <w:left w:val="single" w:sz="4" w:space="0" w:shadow="0" w:frame="0" w:color="5B9BD5" w:themeColor="accent5"/>
          <w:bottom w:val="single" w:sz="4" w:space="0" w:shadow="0" w:frame="0" w:color="5B9BD5" w:themeColor="accent5"/>
          <w:right w:val="single" w:sz="4" w:space="0" w:shadow="0" w:frame="0" w:color="5B9BD5" w:themeColor="accent5"/>
          <w:insideH w:val="nil"/>
          <w:insideV w:val="nil"/>
        </w:tcBorders>
        <w:shd w:val="clear" w:color="auto" w:fill="5B9BD5" w:themeFill="accent5"/>
      </w:tcPr>
    </w:tblStylePr>
  </w:style>
  <w:style w:type="table" w:styleId="T6">
    <w:name w:val="Grid Table 4 Accent 6"/>
    <w:basedOn w:val="T0"/>
    <w:pPr>
      <w:spacing w:lineRule="auto" w:line="240" w:after="0" w:beforeAutospacing="0" w:afterAutospacing="0"/>
    </w:pPr>
    <w:tblPr>
      <w:tblStyleRowBandSize w:val="1"/>
      <w:tblStyleColBandSize w:val="1"/>
      <w:tblBorders>
        <w:top w:val="single" w:sz="4" w:space="0" w:shadow="0" w:frame="0" w:color="A9D18E" w:themeColor="accent6" w:themeTint="99"/>
        <w:left w:val="single" w:sz="4" w:space="0" w:shadow="0" w:frame="0" w:color="A9D18E" w:themeColor="accent6" w:themeTint="99"/>
        <w:bottom w:val="single" w:sz="4" w:space="0" w:shadow="0" w:frame="0" w:color="A9D18E" w:themeColor="accent6" w:themeTint="99"/>
        <w:right w:val="single" w:sz="4" w:space="0" w:shadow="0" w:frame="0" w:color="A9D18E" w:themeColor="accent6" w:themeTint="99"/>
        <w:insideH w:val="single" w:sz="4" w:space="0" w:shadow="0" w:frame="0" w:color="A9D18E" w:themeColor="accent6" w:themeTint="99"/>
        <w:insideV w:val="single" w:sz="4" w:space="0" w:shadow="0" w:frame="0" w:color="A9D18E" w:themeColor="accent6" w:themeTint="99"/>
      </w:tblBorders>
    </w:tblPr>
    <w:trPr/>
    <w:tcPr/>
    <w:tblStylePr w:type="band1Horz">
      <w:tblPr/>
      <w:trPr/>
      <w:tcPr>
        <w:shd w:val="clear" w:color="auto" w:fill="E2F0D9" w:themeFill="accent6" w:themeFillTint="32"/>
      </w:tcPr>
    </w:tblStylePr>
    <w:tblStylePr w:type="band1Vert">
      <w:tblPr/>
      <w:trPr/>
      <w:tcPr>
        <w:shd w:val="clear" w:color="auto" w:fill="E2F0D9" w:themeFill="accent6" w:themeFillTint="32"/>
      </w:tcPr>
    </w:tblStylePr>
    <w:tblStylePr w:type="lastCol">
      <w:rPr>
        <w:b w:val="1"/>
        <w:bCs w:val="1"/>
      </w:rPr>
      <w:tblPr/>
      <w:trPr/>
      <w:tcPr/>
    </w:tblStylePr>
    <w:tblStylePr w:type="firstCol">
      <w:rPr>
        <w:b w:val="1"/>
        <w:bCs w:val="1"/>
      </w:rPr>
      <w:tblPr/>
      <w:trPr/>
      <w:tcPr/>
    </w:tblStylePr>
    <w:tblStylePr w:type="lastRow">
      <w:rPr>
        <w:b w:val="1"/>
        <w:bCs w:val="1"/>
      </w:rPr>
      <w:tblPr/>
      <w:trPr/>
      <w:tcPr>
        <w:tcBorders>
          <w:top w:val="double" w:sz="4" w:space="0" w:shadow="0" w:frame="0" w:color="70AD47" w:themeColor="accent6"/>
        </w:tcBorders>
      </w:tcPr>
    </w:tblStylePr>
    <w:tblStylePr w:type="firstRow">
      <w:rPr>
        <w:b w:val="1"/>
        <w:bCs w:val="1"/>
        <w:color w:val="FFFFFF" w:themeColor="background1"/>
      </w:rPr>
      <w:tblPr/>
      <w:trPr/>
      <w:tcPr>
        <w:tcBorders>
          <w:top w:val="single" w:sz="4" w:space="0" w:shadow="0" w:frame="0" w:color="70AD47" w:themeColor="accent6"/>
          <w:left w:val="single" w:sz="4" w:space="0" w:shadow="0" w:frame="0" w:color="70AD47" w:themeColor="accent6"/>
          <w:bottom w:val="single" w:sz="4" w:space="0" w:shadow="0" w:frame="0" w:color="70AD47" w:themeColor="accent6"/>
          <w:right w:val="single" w:sz="4" w:space="0" w:shadow="0" w:frame="0" w:color="70AD47" w:themeColor="accent6"/>
          <w:insideH w:val="nil"/>
          <w:insideV w:val="nil"/>
        </w:tcBorders>
        <w:shd w:val="clear" w:color="auto" w:fill="70AD47" w:themeFill="accent6"/>
      </w:tcPr>
    </w:tblStylePr>
  </w:style>
  <w:style w:type="table" w:styleId="T7">
    <w:name w:val="Grid Table 4 Accent 4"/>
    <w:basedOn w:val="T0"/>
    <w:pPr>
      <w:spacing w:lineRule="auto" w:line="240" w:after="0" w:beforeAutospacing="0" w:afterAutospacing="0"/>
    </w:pPr>
    <w:tblPr>
      <w:tblStyleRowBandSize w:val="1"/>
      <w:tblStyleColBandSize w:val="1"/>
      <w:tblBorders>
        <w:top w:val="single" w:sz="4" w:space="0" w:shadow="0" w:frame="0" w:color="FFD966" w:themeColor="accent4" w:themeTint="99"/>
        <w:left w:val="single" w:sz="4" w:space="0" w:shadow="0" w:frame="0" w:color="FFD966" w:themeColor="accent4" w:themeTint="99"/>
        <w:bottom w:val="single" w:sz="4" w:space="0" w:shadow="0" w:frame="0" w:color="FFD966" w:themeColor="accent4" w:themeTint="99"/>
        <w:right w:val="single" w:sz="4" w:space="0" w:shadow="0" w:frame="0" w:color="FFD966" w:themeColor="accent4" w:themeTint="99"/>
        <w:insideH w:val="single" w:sz="4" w:space="0" w:shadow="0" w:frame="0" w:color="FFD966" w:themeColor="accent4" w:themeTint="99"/>
        <w:insideV w:val="single" w:sz="4" w:space="0" w:shadow="0" w:frame="0" w:color="FFD966" w:themeColor="accent4" w:themeTint="99"/>
      </w:tblBorders>
    </w:tblPr>
    <w:trPr/>
    <w:tcPr/>
    <w:tblStylePr w:type="band1Horz">
      <w:tblPr/>
      <w:trPr/>
      <w:tcPr>
        <w:shd w:val="clear" w:color="auto" w:fill="FFF2CC" w:themeFill="accent4" w:themeFillTint="32"/>
      </w:tcPr>
    </w:tblStylePr>
    <w:tblStylePr w:type="band1Vert">
      <w:tblPr/>
      <w:trPr/>
      <w:tcPr>
        <w:shd w:val="clear" w:color="auto" w:fill="FFF2CC" w:themeFill="accent4" w:themeFillTint="32"/>
      </w:tcPr>
    </w:tblStylePr>
    <w:tblStylePr w:type="lastCol">
      <w:rPr>
        <w:b w:val="1"/>
        <w:bCs w:val="1"/>
      </w:rPr>
      <w:tblPr/>
      <w:trPr/>
      <w:tcPr/>
    </w:tblStylePr>
    <w:tblStylePr w:type="firstCol">
      <w:rPr>
        <w:b w:val="1"/>
        <w:bCs w:val="1"/>
      </w:rPr>
      <w:tblPr/>
      <w:trPr/>
      <w:tcPr/>
    </w:tblStylePr>
    <w:tblStylePr w:type="lastRow">
      <w:rPr>
        <w:b w:val="1"/>
        <w:bCs w:val="1"/>
      </w:rPr>
      <w:tblPr/>
      <w:trPr/>
      <w:tcPr>
        <w:tcBorders>
          <w:top w:val="double" w:sz="4" w:space="0" w:shadow="0" w:frame="0" w:color="FFC000" w:themeColor="accent4"/>
        </w:tcBorders>
      </w:tcPr>
    </w:tblStylePr>
    <w:tblStylePr w:type="firstRow">
      <w:rPr>
        <w:b w:val="1"/>
        <w:bCs w:val="1"/>
        <w:color w:val="FFFFFF" w:themeColor="background1"/>
      </w:rPr>
      <w:tblPr/>
      <w:trPr/>
      <w:tcPr>
        <w:tcBorders>
          <w:top w:val="single" w:sz="4" w:space="0" w:shadow="0" w:frame="0" w:color="FFC000" w:themeColor="accent4"/>
          <w:left w:val="single" w:sz="4" w:space="0" w:shadow="0" w:frame="0" w:color="FFC000" w:themeColor="accent4"/>
          <w:bottom w:val="single" w:sz="4" w:space="0" w:shadow="0" w:frame="0" w:color="FFC000" w:themeColor="accent4"/>
          <w:right w:val="single" w:sz="4" w:space="0" w:shadow="0" w:frame="0" w:color="FFC000" w:themeColor="accent4"/>
          <w:insideH w:val="nil"/>
          <w:insideV w:val="nil"/>
        </w:tcBorders>
        <w:shd w:val="clear" w:color="auto" w:fill="FFC000" w:themeFill="accent4"/>
      </w:tcPr>
    </w:tblStylePr>
  </w:style>
  <w:style w:type="table" w:styleId="T8">
    <w:name w:val="Grid Table 5 Dark Accent 6"/>
    <w:basedOn w:val="T0"/>
    <w:pPr>
      <w:spacing w:lineRule="auto" w:line="240" w:after="0" w:beforeAutospacing="0" w:afterAutospacing="0"/>
    </w:pPr>
    <w:tblPr>
      <w:tblStyleRowBandSize w:val="1"/>
      <w:tblStyleColBandSize w:val="1"/>
      <w:tblBorders>
        <w:top w:val="single" w:sz="4" w:space="0" w:shadow="0" w:frame="0" w:color="FFFFFF" w:themeColor="background1"/>
        <w:left w:val="single" w:sz="4" w:space="0" w:shadow="0" w:frame="0" w:color="FFFFFF" w:themeColor="background1"/>
        <w:bottom w:val="single" w:sz="4" w:space="0" w:shadow="0" w:frame="0" w:color="FFFFFF" w:themeColor="background1"/>
        <w:right w:val="single" w:sz="4" w:space="0" w:shadow="0" w:frame="0" w:color="FFFFFF" w:themeColor="background1"/>
        <w:insideH w:val="single" w:sz="4" w:space="0" w:shadow="0" w:frame="0" w:color="FFFFFF" w:themeColor="background1"/>
        <w:insideV w:val="single" w:sz="4" w:space="0" w:shadow="0" w:frame="0" w:color="FFFFFF" w:themeColor="background1"/>
      </w:tblBorders>
    </w:tblPr>
    <w:trPr/>
    <w:tcPr>
      <w:shd w:val="clear" w:color="auto" w:fill="E2F0D9" w:themeFill="accent6" w:themeFillTint="32"/>
    </w:tcPr>
    <w:tblStylePr w:type="band1Horz">
      <w:tblPr/>
      <w:trPr/>
      <w:tcPr>
        <w:shd w:val="clear" w:color="auto" w:fill="C5E0B4" w:themeFill="accent6" w:themeFillTint="66"/>
      </w:tcPr>
    </w:tblStylePr>
    <w:tblStylePr w:type="band1Vert">
      <w:tblPr/>
      <w:trPr/>
      <w:tcPr>
        <w:shd w:val="clear" w:color="auto" w:fill="C5E0B4" w:themeFill="accent6" w:themeFillTint="66"/>
      </w:tcPr>
    </w:tblStylePr>
    <w:tblStylePr w:type="lastCol">
      <w:rPr>
        <w:b w:val="1"/>
        <w:bCs w:val="1"/>
        <w:color w:val="FFFFFF" w:themeColor="background1"/>
      </w:rPr>
      <w:tblPr/>
      <w:trPr/>
      <w:tcPr>
        <w:tcBorders>
          <w:top w:val="single" w:sz="4" w:space="0" w:shadow="0" w:frame="0" w:color="FFFFFF" w:themeColor="background1"/>
          <w:bottom w:val="single" w:sz="4" w:space="0" w:shadow="0" w:frame="0" w:color="FFFFFF" w:themeColor="background1"/>
          <w:right w:val="single" w:sz="4" w:space="0" w:shadow="0" w:frame="0" w:color="FFFFFF" w:themeColor="background1"/>
          <w:insideV w:val="nil"/>
        </w:tcBorders>
        <w:shd w:val="clear" w:color="auto" w:fill="70AD47" w:themeFill="accent6"/>
      </w:tcPr>
    </w:tblStylePr>
    <w:tblStylePr w:type="firstCol">
      <w:rPr>
        <w:b w:val="1"/>
        <w:bCs w:val="1"/>
        <w:color w:val="FFFFFF" w:themeColor="background1"/>
      </w:rPr>
      <w:tblPr/>
      <w:trPr/>
      <w:tcPr>
        <w:tcBorders>
          <w:top w:val="single" w:sz="4" w:space="0" w:shadow="0" w:frame="0" w:color="FFFFFF" w:themeColor="background1"/>
          <w:left w:val="single" w:sz="4" w:space="0" w:shadow="0" w:frame="0" w:color="FFFFFF" w:themeColor="background1"/>
          <w:bottom w:val="single" w:sz="4" w:space="0" w:shadow="0" w:frame="0" w:color="FFFFFF" w:themeColor="background1"/>
          <w:insideV w:val="nil"/>
        </w:tcBorders>
        <w:shd w:val="clear" w:color="auto" w:fill="70AD47" w:themeFill="accent6"/>
      </w:tcPr>
    </w:tblStylePr>
    <w:tblStylePr w:type="lastRow">
      <w:rPr>
        <w:b w:val="1"/>
        <w:bCs w:val="1"/>
        <w:color w:val="FFFFFF" w:themeColor="background1"/>
      </w:rPr>
      <w:tblPr/>
      <w:trPr/>
      <w:tcPr>
        <w:tcBorders>
          <w:left w:val="single" w:sz="4" w:space="0" w:shadow="0" w:frame="0" w:color="FFFFFF" w:themeColor="background1"/>
          <w:bottom w:val="single" w:sz="4" w:space="0" w:shadow="0" w:frame="0" w:color="FFFFFF" w:themeColor="background1"/>
          <w:right w:val="single" w:sz="4" w:space="0" w:shadow="0" w:frame="0" w:color="FFFFFF" w:themeColor="background1"/>
          <w:insideH w:val="nil"/>
          <w:insideV w:val="nil"/>
        </w:tcBorders>
        <w:shd w:val="clear" w:color="auto" w:fill="70AD47" w:themeFill="accent6"/>
      </w:tcPr>
    </w:tblStylePr>
    <w:tblStylePr w:type="firstRow">
      <w:rPr>
        <w:b w:val="1"/>
        <w:bCs w:val="1"/>
        <w:color w:val="FFFFFF" w:themeColor="background1"/>
      </w:rPr>
      <w:tblPr/>
      <w:trPr/>
      <w:tcPr>
        <w:tcBorders>
          <w:top w:val="single" w:sz="4" w:space="0" w:shadow="0" w:frame="0" w:color="FFFFFF" w:themeColor="background1"/>
          <w:left w:val="single" w:sz="4" w:space="0" w:shadow="0" w:frame="0" w:color="FFFFFF" w:themeColor="background1"/>
          <w:right w:val="single" w:sz="4" w:space="0" w:shadow="0" w:frame="0" w:color="FFFFFF" w:themeColor="background1"/>
          <w:insideH w:val="nil"/>
          <w:insideV w:val="nil"/>
        </w:tcBorders>
        <w:shd w:val="clear" w:color="auto" w:fill="70AD47" w:themeFill="accent6"/>
      </w:tcPr>
    </w:tblStylePr>
  </w:style>
  <w:style w:type="table" w:styleId="T9">
    <w:name w:val="Grid Table 3 Accent 6"/>
    <w:basedOn w:val="T0"/>
    <w:pPr>
      <w:spacing w:lineRule="auto" w:line="240" w:after="0" w:beforeAutospacing="0" w:afterAutospacing="0"/>
    </w:pPr>
    <w:tblPr>
      <w:tblStyleRowBandSize w:val="1"/>
      <w:tblStyleColBandSize w:val="1"/>
      <w:tblBorders>
        <w:top w:val="single" w:sz="4" w:space="0" w:shadow="0" w:frame="0" w:color="A9D18E" w:themeColor="accent6" w:themeTint="99"/>
        <w:left w:val="single" w:sz="4" w:space="0" w:shadow="0" w:frame="0" w:color="A9D18E" w:themeColor="accent6" w:themeTint="99"/>
        <w:bottom w:val="single" w:sz="4" w:space="0" w:shadow="0" w:frame="0" w:color="A9D18E" w:themeColor="accent6" w:themeTint="99"/>
        <w:right w:val="single" w:sz="4" w:space="0" w:shadow="0" w:frame="0" w:color="A9D18E" w:themeColor="accent6" w:themeTint="99"/>
        <w:insideH w:val="single" w:sz="4" w:space="0" w:shadow="0" w:frame="0" w:color="A9D18E" w:themeColor="accent6" w:themeTint="99"/>
        <w:insideV w:val="single" w:sz="4" w:space="0" w:shadow="0" w:frame="0" w:color="A9D18E" w:themeColor="accent6" w:themeTint="99"/>
      </w:tblBorders>
    </w:tblPr>
    <w:trPr/>
    <w:tcPr/>
    <w:tblStylePr w:type="swCell">
      <w:tblPr/>
      <w:trPr/>
      <w:tcPr>
        <w:tcBorders>
          <w:top w:val="single" w:sz="4" w:space="0" w:shadow="0" w:frame="0" w:color="A9D18E" w:themeColor="accent6" w:themeTint="99"/>
        </w:tcBorders>
      </w:tcPr>
    </w:tblStylePr>
    <w:tblStylePr w:type="seCell">
      <w:tblPr/>
      <w:trPr/>
      <w:tcPr>
        <w:tcBorders>
          <w:top w:val="single" w:sz="4" w:space="0" w:shadow="0" w:frame="0" w:color="A9D18E" w:themeColor="accent6" w:themeTint="99"/>
        </w:tcBorders>
      </w:tcPr>
    </w:tblStylePr>
    <w:tblStylePr w:type="nwCell">
      <w:tblPr/>
      <w:trPr/>
      <w:tcPr>
        <w:tcBorders>
          <w:bottom w:val="single" w:sz="4" w:space="0" w:shadow="0" w:frame="0" w:color="A9D18E" w:themeColor="accent6" w:themeTint="99"/>
        </w:tcBorders>
      </w:tcPr>
    </w:tblStylePr>
    <w:tblStylePr w:type="neCell">
      <w:tblPr/>
      <w:trPr/>
      <w:tcPr>
        <w:tcBorders>
          <w:bottom w:val="single" w:sz="4" w:space="0" w:shadow="0" w:frame="0" w:color="A9D18E" w:themeColor="accent6" w:themeTint="99"/>
        </w:tcBorders>
      </w:tcPr>
    </w:tblStylePr>
    <w:tblStylePr w:type="band1Horz">
      <w:tblPr/>
      <w:trPr/>
      <w:tcPr>
        <w:shd w:val="clear" w:color="auto" w:fill="E2F0D9" w:themeFill="accent6" w:themeFillTint="32"/>
      </w:tcPr>
    </w:tblStylePr>
    <w:tblStylePr w:type="band1Vert">
      <w:tblPr/>
      <w:trPr/>
      <w:tcPr>
        <w:shd w:val="clear" w:color="auto" w:fill="E2F0D9" w:themeFill="accent6" w:themeFillTint="32"/>
      </w:tcPr>
    </w:tblStylePr>
    <w:tblStylePr w:type="lastCol">
      <w:rPr>
        <w:i w:val="1"/>
        <w:iCs w:val="1"/>
      </w:rPr>
      <w:tblPr/>
      <w:trPr/>
      <w:tcPr>
        <w:tcBorders>
          <w:top w:val="nil"/>
          <w:bottom w:val="nil"/>
          <w:right w:val="nil"/>
          <w:insideH w:val="nil"/>
          <w:insideV w:val="nil"/>
        </w:tcBorders>
        <w:shd w:val="clear" w:color="auto" w:fill="FFFFFF" w:themeFill="background1"/>
      </w:tcPr>
    </w:tblStylePr>
    <w:tblStylePr w:type="firstCol">
      <w:pPr>
        <w:jc w:val="right"/>
      </w:pPr>
      <w:rPr>
        <w:i w:val="1"/>
        <w:iCs w:val="1"/>
      </w:rPr>
      <w:tblPr/>
      <w:trPr/>
      <w:tcPr>
        <w:tcBorders>
          <w:top w:val="nil"/>
          <w:left w:val="nil"/>
          <w:bottom w:val="nil"/>
          <w:insideH w:val="nil"/>
          <w:insideV w:val="nil"/>
        </w:tcBorders>
        <w:shd w:val="clear" w:color="auto" w:fill="FFFFFF" w:themeFill="background1"/>
      </w:tcPr>
    </w:tblStylePr>
    <w:tblStylePr w:type="lastRow">
      <w:rPr>
        <w:b w:val="1"/>
        <w:bCs w:val="1"/>
      </w:rPr>
      <w:tblPr/>
      <w:trPr/>
      <w:tcPr>
        <w:tcBorders>
          <w:left w:val="nil"/>
          <w:bottom w:val="nil"/>
          <w:right w:val="nil"/>
          <w:insideH w:val="nil"/>
          <w:insideV w:val="nil"/>
        </w:tcBorders>
        <w:shd w:val="clear" w:color="auto" w:fill="FFFFFF" w:themeFill="background1"/>
      </w:tcPr>
    </w:tblStylePr>
    <w:tblStylePr w:type="firstRow">
      <w:rPr>
        <w:b w:val="1"/>
        <w:bCs w:val="1"/>
      </w:rPr>
      <w:tblPr/>
      <w:trPr/>
      <w:tcPr>
        <w:tcBorders>
          <w:top w:val="nil"/>
          <w:left w:val="nil"/>
          <w:right w:val="nil"/>
          <w:insideH w:val="nil"/>
          <w:insideV w:val="nil"/>
        </w:tcBorders>
        <w:shd w:val="clear" w:color="auto" w:fill="FFFFFF" w:themeFill="background1"/>
      </w:tcPr>
    </w:tblStylePr>
  </w:style>
  <w:style w:type="numbering" w:styleId="N0">
    <w:name w:val="No List"/>
  </w:style>
</w:styles>
</file>

<file path=word/_rels/document.xml.rels>&#65279;<?xml version="1.0" encoding="utf-8"?><Relationships xmlns="http://schemas.openxmlformats.org/package/2006/relationships"><Relationship Id="Relimage1" Type="http://schemas.openxmlformats.org/officeDocument/2006/relationships/image" Target="/media/image1.png" /><Relationship Id="RelFtr1" Type="http://schemas.openxmlformats.org/officeDocument/2006/relationships/footer" Target="footer1.xml" /><Relationship Id="RelFnt1" Type="http://schemas.openxmlformats.org/officeDocument/2006/relationships/footnotes" Target="footnotes.xml" /><Relationship Id="RelEnt1" Type="http://schemas.openxmlformats.org/officeDocument/2006/relationships/endnotes" Target="endnotes.xml"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 Id="RelTheme1" Type="http://schemas.openxmlformats.org/officeDocument/2006/relationships/theme" Target="theme/theme1.xml" /><Relationship Id="RelItem1" Type="http://schemas.openxmlformats.org/officeDocument/2006/relationships/customXml" Target="../customXml/item1.xml" /></Relationships>
</file>

<file path=word/_rels/endnotes.xml.rels>&#65279;<?xml version="1.0" encoding="utf-8"?><Relationships xmlns="http://schemas.openxmlformats.org/package/2006/relationships" />
</file>

<file path=word/_rels/footer1.xml.rels>&#65279;<?xml version="1.0" encoding="utf-8"?><Relationships xmlns="http://schemas.openxmlformats.org/package/2006/relationships" />
</file>

<file path=word/_rels/footnotes.xml.rels>&#65279;<?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mpd="sng" algn="ctr">
          <a:solidFill>
            <a:schemeClr val="phClr"/>
          </a:solidFill>
          <a:prstDash val="solid"/>
          <a:miter lim="800000"/>
        </a:ln>
        <a:ln w="12700" cmpd="sng" algn="ctr">
          <a:solidFill>
            <a:schemeClr val="phClr"/>
          </a:solidFill>
          <a:prstDash val="solid"/>
          <a:miter lim="800000"/>
        </a:ln>
        <a:ln w="19050"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theme>
</file>

<file path=customXml/_rels/item1.xml.rels>&#65279;<?xml version="1.0" encoding="utf-8"?><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d7711d-a847-4088-b05f-4c1ca8c39e47}">
  <ds:schemaRefs>
    <ds:schemaRef ds:uri="http://schemas.microsoft.com/vsto/samples"/>
  </ds:schemaRefs>
</ds:datastoreItem>
</file>

<file path=docProps/app.xml><?xml version="1.0" encoding="utf-8"?>
<Properties xmlns="http://schemas.openxmlformats.org/officeDocument/2006/extended-properties">
  <Application>DevExpress Office File API/22.1.4.0</Application>
  <AppVersion>22.1</AppVersion>
  <Template>Normal</Template>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marwamostafa2013</dc:creator>
  <dcterms:created xsi:type="dcterms:W3CDTF">2026-06-15T10:22:56Z</dcterms:created>
  <cp:lastModifiedBy>عزوز عسيري</cp:lastModifiedBy>
  <cp:lastPrinted>2026-06-12T03:58:00Z</cp:lastPrinted>
  <dcterms:modified xsi:type="dcterms:W3CDTF">2026-06-15T10:22:56Z</dcterms:modified>
  <cp:revision>2</cp:revision>
</cp:coreProperties>
</file>

<file path=docProps/custom.xml><?xml version="1.0" encoding="utf-8"?>
<Properties xmlns:vt="http://schemas.openxmlformats.org/officeDocument/2006/docPropsVTypes" xmlns="http://schemas.openxmlformats.org/officeDocument/2006/custom-properties">
  <property fmtid="{D5CDD505-2E9C-101B-9397-08002B2CF9AE}" pid="2" name="GrammarlyDocumentId">
    <vt:lpwstr>68f2fd9a23e1ceac570a100ecdb4b5f8f943ff09ef8eb1a6af8381691f381045</vt:lpwstr>
  </property>
</Properties>
</file>