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75622" w14:textId="77777777" w:rsidR="009125CE" w:rsidRPr="001902DB" w:rsidRDefault="009125CE">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ميدأوشن </w:t>
      </w:r>
    </w:p>
    <w:p w14:paraId="05D0343E" w14:textId="77777777" w:rsidR="00F546CE" w:rsidRPr="001902DB" w:rsidRDefault="009125CE">
      <w:pPr>
        <w:rPr>
          <w:rFonts w:ascii="Sakkal Majalla" w:hAnsi="Sakkal Majalla" w:cs="Sakkal Majalla"/>
          <w:b/>
          <w:bCs/>
          <w:sz w:val="28"/>
          <w:szCs w:val="28"/>
          <w:rtl/>
          <w:lang w:bidi="ar-EG"/>
        </w:rPr>
      </w:pPr>
      <w:r>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  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1F70E97F" w14:textId="144C93DC" w:rsidR="009125CE" w:rsidRPr="009125CE" w:rsidRDefault="007C144D">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الاعمال</w:t>
      </w:r>
    </w:p>
    <w:p w14:paraId="49BA5EBD" w14:textId="77777777" w:rsidR="009125CE" w:rsidRPr="009125CE" w:rsidRDefault="009125CE">
      <w:pPr>
        <w:rPr>
          <w:rFonts w:ascii="Sakkal Majalla" w:hAnsi="Sakkal Majalla" w:cs="Sakkal Majalla"/>
          <w:sz w:val="28"/>
          <w:szCs w:val="28"/>
          <w:rtl/>
          <w:lang w:bidi="ar-EG"/>
        </w:rPr>
      </w:pPr>
    </w:p>
    <w:p w14:paraId="0DD15BF2" w14:textId="77777777" w:rsidR="009125CE" w:rsidRPr="009125CE" w:rsidRDefault="009125CE" w:rsidP="009125CE">
      <w:pPr>
        <w:rPr>
          <w:rFonts w:ascii="Sakkal Majalla" w:hAnsi="Sakkal Majalla" w:cs="Sakkal Majalla"/>
          <w:sz w:val="28"/>
          <w:szCs w:val="28"/>
          <w:rtl/>
          <w:lang w:bidi="ar-EG"/>
        </w:rPr>
      </w:pPr>
    </w:p>
    <w:p w14:paraId="33C0F9E1" w14:textId="77777777" w:rsidR="009125CE" w:rsidRPr="009125CE" w:rsidRDefault="009125CE" w:rsidP="009125CE">
      <w:pPr>
        <w:rPr>
          <w:rFonts w:ascii="Sakkal Majalla" w:hAnsi="Sakkal Majalla" w:cs="Sakkal Majalla"/>
          <w:sz w:val="28"/>
          <w:szCs w:val="28"/>
          <w:rtl/>
          <w:lang w:bidi="ar-EG"/>
        </w:rPr>
      </w:pPr>
    </w:p>
    <w:p w14:paraId="0D3EF19A" w14:textId="77777777" w:rsidR="00194CE3" w:rsidRPr="00C362C0" w:rsidRDefault="00194CE3" w:rsidP="00C362C0">
      <w:pPr>
        <w:jc w:val="center"/>
        <w:rPr>
          <w:rFonts w:ascii="Sakkal Majalla" w:hAnsi="Sakkal Majalla" w:cs="Sakkal Majalla"/>
          <w:b/>
          <w:bCs/>
          <w:sz w:val="36"/>
          <w:szCs w:val="36"/>
          <w:rtl/>
          <w:lang w:bidi="ar-EG"/>
        </w:rPr>
      </w:pPr>
    </w:p>
    <w:p w14:paraId="42C751A6" w14:textId="77777777" w:rsidR="00194CE3" w:rsidRPr="00C362C0" w:rsidRDefault="00194CE3" w:rsidP="00C362C0">
      <w:pPr>
        <w:spacing w:after="0" w:line="240" w:lineRule="auto"/>
        <w:jc w:val="center"/>
        <w:rPr>
          <w:rFonts w:ascii="Sakkal Majalla" w:eastAsiaTheme="minorEastAsia" w:hAnsi="Sakkal Majalla" w:cs="Sakkal Majalla"/>
          <w:color w:val="555555"/>
          <w:kern w:val="0"/>
          <w:sz w:val="36"/>
          <w:szCs w:val="36"/>
          <w14:ligatures w14:val="none"/>
        </w:rPr>
      </w:pPr>
      <w:r>
        <w:rPr>
          <w:rFonts w:ascii="Sakkal Majalla" w:eastAsiaTheme="minorEastAsia" w:hAnsi="Sakkal Majalla" w:cs="Sakkal Majalla"/>
          <w:b/>
          <w:bCs/>
          <w:color w:val="555555"/>
          <w:kern w:val="0"/>
          <w:sz w:val="36"/>
          <w:szCs w:val="36"/>
          <w:rtl/>
          <w14:ligatures w14:val="none"/>
        </w:rPr>
        <w:t>عنوان البحث</w:t>
      </w:r>
    </w:p>
    <w:p w14:paraId="739429B0" w14:textId="77777777" w:rsidR="00194CE3" w:rsidRPr="00C362C0" w:rsidRDefault="00194CE3" w:rsidP="00C362C0">
      <w:pPr>
        <w:spacing w:after="0" w:line="240" w:lineRule="auto"/>
        <w:jc w:val="center"/>
        <w:rPr>
          <w:rFonts w:ascii="Sakkal Majalla" w:eastAsiaTheme="minorEastAsia" w:hAnsi="Sakkal Majalla" w:cs="Sakkal Majalla"/>
          <w:color w:val="1F3864"/>
          <w:kern w:val="0"/>
          <w:sz w:val="36"/>
          <w:szCs w:val="36"/>
          <w:rtl/>
          <w14:ligatures w14:val="none"/>
        </w:rPr>
      </w:pPr>
      <w:r>
        <w:rPr>
          <w:rFonts w:ascii="Sakkal Majalla" w:eastAsiaTheme="minorEastAsia" w:hAnsi="Sakkal Majalla" w:cs="Sakkal Majalla"/>
          <w:b/>
          <w:bCs/>
          <w:color w:val="1F3864"/>
          <w:kern w:val="0"/>
          <w:sz w:val="36"/>
          <w:szCs w:val="36"/>
          <w:rtl/>
          <w14:ligatures w14:val="none"/>
        </w:rPr>
        <w:t>أثر ثقافة المنظمة نحو التحول الرقمي على أداء الموظفين</w:t>
      </w:r>
    </w:p>
    <w:p w14:paraId="161043B8" w14:textId="77777777" w:rsidR="00194CE3" w:rsidRPr="00C362C0" w:rsidRDefault="00194CE3" w:rsidP="00C362C0">
      <w:pPr>
        <w:spacing w:after="0" w:line="240" w:lineRule="auto"/>
        <w:jc w:val="center"/>
        <w:rPr>
          <w:rFonts w:ascii="Sakkal Majalla" w:eastAsiaTheme="minorEastAsia" w:hAnsi="Sakkal Majalla" w:cs="Sakkal Majalla"/>
          <w:color w:val="2E5090"/>
          <w:kern w:val="0"/>
          <w:sz w:val="36"/>
          <w:szCs w:val="36"/>
          <w:rtl/>
          <w14:ligatures w14:val="none"/>
        </w:rPr>
      </w:pPr>
      <w:r>
        <w:rPr>
          <w:rFonts w:ascii="Sakkal Majalla" w:eastAsiaTheme="minorEastAsia" w:hAnsi="Sakkal Majalla" w:cs="Sakkal Majalla"/>
          <w:b/>
          <w:bCs/>
          <w:color w:val="2E5090"/>
          <w:kern w:val="0"/>
          <w:sz w:val="36"/>
          <w:szCs w:val="36"/>
          <w:rtl/>
          <w14:ligatures w14:val="none"/>
        </w:rPr>
        <w:t>دراسة تطبيقية على وزارة الموارد البشرية والتنمية الاجتماعية</w:t>
      </w:r>
    </w:p>
    <w:p w14:paraId="0902AA36" w14:textId="77777777" w:rsidR="00194CE3" w:rsidRPr="00C362C0" w:rsidRDefault="00194CE3" w:rsidP="00C362C0">
      <w:pPr>
        <w:spacing w:after="0" w:line="240" w:lineRule="auto"/>
        <w:jc w:val="center"/>
        <w:rPr>
          <w:rFonts w:ascii="Sakkal Majalla" w:eastAsiaTheme="minorEastAsia" w:hAnsi="Sakkal Majalla" w:cs="Sakkal Majalla"/>
          <w:color w:val="000000"/>
          <w:kern w:val="0"/>
          <w:sz w:val="36"/>
          <w:szCs w:val="36"/>
          <w:rtl/>
          <w14:ligatures w14:val="none"/>
        </w:rPr>
      </w:pPr>
    </w:p>
    <w:p w14:paraId="46488E37" w14:textId="77777777" w:rsidR="00194CE3" w:rsidRPr="00C362C0" w:rsidRDefault="00194CE3" w:rsidP="00C362C0">
      <w:pPr>
        <w:spacing w:after="0" w:line="240" w:lineRule="auto"/>
        <w:jc w:val="center"/>
        <w:rPr>
          <w:rFonts w:ascii="Sakkal Majalla" w:eastAsiaTheme="minorEastAsia" w:hAnsi="Sakkal Majalla" w:cs="Sakkal Majalla"/>
          <w:color w:val="000000"/>
          <w:kern w:val="0"/>
          <w:sz w:val="36"/>
          <w:szCs w:val="36"/>
          <w:rtl/>
          <w14:ligatures w14:val="none"/>
        </w:rPr>
      </w:pPr>
      <w:r>
        <w:rPr>
          <w:rFonts w:ascii="Sakkal Majalla" w:eastAsiaTheme="minorEastAsia" w:hAnsi="Sakkal Majalla" w:cs="Sakkal Majalla"/>
          <w:b/>
          <w:bCs/>
          <w:color w:val="000000"/>
          <w:kern w:val="0"/>
          <w:sz w:val="36"/>
          <w:szCs w:val="36"/>
          <w:rtl/>
          <w14:ligatures w14:val="none"/>
        </w:rPr>
        <w:t>إعداد الطالب:</w:t>
      </w:r>
    </w:p>
    <w:p w14:paraId="6884C173" w14:textId="3D87F770" w:rsidR="00194CE3" w:rsidRPr="00C362C0" w:rsidRDefault="00194CE3" w:rsidP="00C362C0">
      <w:pPr>
        <w:spacing w:after="0" w:line="240" w:lineRule="auto"/>
        <w:jc w:val="center"/>
        <w:rPr>
          <w:rFonts w:ascii="Sakkal Majalla" w:eastAsiaTheme="minorEastAsia" w:hAnsi="Sakkal Majalla" w:cs="Sakkal Majalla"/>
          <w:color w:val="1F3864"/>
          <w:kern w:val="0"/>
          <w:sz w:val="36"/>
          <w:szCs w:val="36"/>
          <w:rtl/>
          <w14:ligatures w14:val="none"/>
        </w:rPr>
      </w:pPr>
      <w:r>
        <w:rPr>
          <w:rFonts w:ascii="Sakkal Majalla" w:eastAsiaTheme="minorEastAsia" w:hAnsi="Sakkal Majalla" w:cs="Sakkal Majalla"/>
          <w:b/>
          <w:bCs/>
          <w:color w:val="1F3864"/>
          <w:kern w:val="0"/>
          <w:sz w:val="36"/>
          <w:szCs w:val="36"/>
          <w:rtl/>
          <w14:ligatures w14:val="none"/>
        </w:rPr>
        <w:t>مشاري مقبل</w:t>
      </w:r>
      <w:r w:rsidR="007C144D">
        <w:rPr>
          <w:rFonts w:ascii="Sakkal Majalla" w:eastAsiaTheme="minorEastAsia" w:hAnsi="Sakkal Majalla" w:cs="Sakkal Majalla" w:hint="cs"/>
          <w:b/>
          <w:bCs/>
          <w:color w:val="1F3864"/>
          <w:kern w:val="0"/>
          <w:sz w:val="36"/>
          <w:szCs w:val="36"/>
          <w:rtl/>
          <w14:ligatures w14:val="none"/>
        </w:rPr>
        <w:t xml:space="preserve"> مفلح الحبلاني</w:t>
      </w:r>
      <w:r>
        <w:rPr>
          <w:rFonts w:ascii="Sakkal Majalla" w:eastAsiaTheme="minorEastAsia" w:hAnsi="Sakkal Majalla" w:cs="Sakkal Majalla"/>
          <w:b/>
          <w:bCs/>
          <w:color w:val="1F3864"/>
          <w:kern w:val="0"/>
          <w:sz w:val="36"/>
          <w:szCs w:val="36"/>
          <w:rtl/>
          <w14:ligatures w14:val="none"/>
        </w:rPr>
        <w:t xml:space="preserve"> العنزي</w:t>
      </w:r>
    </w:p>
    <w:p w14:paraId="47FE4114" w14:textId="77777777" w:rsidR="00194CE3" w:rsidRPr="00C362C0" w:rsidRDefault="00194CE3" w:rsidP="00C362C0">
      <w:pPr>
        <w:spacing w:after="0" w:line="240" w:lineRule="auto"/>
        <w:jc w:val="center"/>
        <w:rPr>
          <w:rFonts w:ascii="Sakkal Majalla" w:eastAsiaTheme="minorEastAsia" w:hAnsi="Sakkal Majalla" w:cs="Sakkal Majalla"/>
          <w:color w:val="000000"/>
          <w:kern w:val="0"/>
          <w:sz w:val="36"/>
          <w:szCs w:val="36"/>
          <w:rtl/>
          <w14:ligatures w14:val="none"/>
        </w:rPr>
      </w:pPr>
      <w:r>
        <w:rPr>
          <w:rFonts w:ascii="Sakkal Majalla" w:eastAsiaTheme="minorEastAsia" w:hAnsi="Sakkal Majalla" w:cs="Sakkal Majalla"/>
          <w:color w:val="000000"/>
          <w:kern w:val="0"/>
          <w:sz w:val="36"/>
          <w:szCs w:val="36"/>
          <w:rtl/>
          <w14:ligatures w14:val="none"/>
        </w:rPr>
        <w:t>الرقم الجامعي: 253002122</w:t>
      </w:r>
    </w:p>
    <w:p w14:paraId="0013701D" w14:textId="77777777" w:rsidR="00194CE3" w:rsidRPr="00C362C0" w:rsidRDefault="00194CE3" w:rsidP="00C362C0">
      <w:pPr>
        <w:spacing w:after="0" w:line="240" w:lineRule="auto"/>
        <w:jc w:val="center"/>
        <w:rPr>
          <w:rFonts w:ascii="Sakkal Majalla" w:eastAsiaTheme="minorEastAsia" w:hAnsi="Sakkal Majalla" w:cs="Sakkal Majalla"/>
          <w:color w:val="000000"/>
          <w:kern w:val="0"/>
          <w:sz w:val="36"/>
          <w:szCs w:val="36"/>
          <w:rtl/>
          <w14:ligatures w14:val="none"/>
        </w:rPr>
      </w:pPr>
      <w:r>
        <w:rPr>
          <w:rFonts w:ascii="Sakkal Majalla" w:eastAsiaTheme="minorEastAsia" w:hAnsi="Sakkal Majalla" w:cs="Sakkal Majalla"/>
          <w:b/>
          <w:bCs/>
          <w:color w:val="000000"/>
          <w:kern w:val="0"/>
          <w:sz w:val="36"/>
          <w:szCs w:val="36"/>
          <w:rtl/>
          <w14:ligatures w14:val="none"/>
        </w:rPr>
        <w:t>إشراف:</w:t>
      </w:r>
    </w:p>
    <w:p w14:paraId="04C0C5D5" w14:textId="77777777" w:rsidR="00194CE3" w:rsidRPr="00C362C0" w:rsidRDefault="00194CE3" w:rsidP="00C362C0">
      <w:pPr>
        <w:spacing w:after="0" w:line="240" w:lineRule="auto"/>
        <w:jc w:val="center"/>
        <w:rPr>
          <w:rFonts w:ascii="Sakkal Majalla" w:eastAsiaTheme="minorEastAsia" w:hAnsi="Sakkal Majalla" w:cs="Sakkal Majalla"/>
          <w:color w:val="000000"/>
          <w:kern w:val="0"/>
          <w:sz w:val="36"/>
          <w:szCs w:val="36"/>
          <w:rtl/>
          <w14:ligatures w14:val="none"/>
        </w:rPr>
      </w:pPr>
      <w:r>
        <w:rPr>
          <w:rFonts w:ascii="Sakkal Majalla" w:eastAsiaTheme="minorEastAsia" w:hAnsi="Sakkal Majalla" w:cs="Sakkal Majalla"/>
          <w:color w:val="000000"/>
          <w:kern w:val="0"/>
          <w:sz w:val="36"/>
          <w:szCs w:val="36"/>
          <w:rtl/>
          <w14:ligatures w14:val="none"/>
        </w:rPr>
        <w:t>أ.د. الفيصل عبدالحميد محمد</w:t>
      </w:r>
    </w:p>
    <w:p w14:paraId="72721FD2" w14:textId="3F07216B" w:rsidR="00194CE3" w:rsidRPr="00C362C0" w:rsidRDefault="00194CE3" w:rsidP="00C362C0">
      <w:pPr>
        <w:spacing w:after="0" w:line="240" w:lineRule="auto"/>
        <w:jc w:val="center"/>
        <w:rPr>
          <w:rFonts w:ascii="Sakkal Majalla" w:eastAsiaTheme="minorEastAsia" w:hAnsi="Sakkal Majalla" w:cs="Sakkal Majalla"/>
          <w:color w:val="000000"/>
          <w:kern w:val="0"/>
          <w:sz w:val="36"/>
          <w:szCs w:val="36"/>
          <w:rtl/>
          <w14:ligatures w14:val="none"/>
        </w:rPr>
      </w:pPr>
      <w:r>
        <w:rPr>
          <w:rFonts w:ascii="Sakkal Majalla" w:eastAsiaTheme="minorEastAsia" w:hAnsi="Sakkal Majalla" w:cs="Sakkal Majalla"/>
          <w:color w:val="000000"/>
          <w:kern w:val="0"/>
          <w:sz w:val="36"/>
          <w:szCs w:val="36"/>
          <w:rtl/>
          <w14:ligatures w14:val="none"/>
        </w:rPr>
        <w:t xml:space="preserve">د. فايز علي </w:t>
      </w:r>
      <w:r w:rsidR="0043415D">
        <w:rPr>
          <w:rFonts w:ascii="Sakkal Majalla" w:eastAsiaTheme="minorEastAsia" w:hAnsi="Sakkal Majalla" w:cs="Sakkal Majalla" w:hint="cs"/>
          <w:color w:val="000000"/>
          <w:kern w:val="0"/>
          <w:sz w:val="36"/>
          <w:szCs w:val="36"/>
          <w:rtl/>
          <w14:ligatures w14:val="none"/>
        </w:rPr>
        <w:t>جراد</w:t>
      </w:r>
    </w:p>
    <w:p w14:paraId="1F3B9F90" w14:textId="77777777" w:rsidR="00194CE3" w:rsidRPr="00C362C0" w:rsidRDefault="00194CE3" w:rsidP="00C362C0">
      <w:pPr>
        <w:spacing w:after="0" w:line="240" w:lineRule="auto"/>
        <w:jc w:val="center"/>
        <w:rPr>
          <w:rFonts w:ascii="Sakkal Majalla" w:eastAsiaTheme="minorEastAsia" w:hAnsi="Sakkal Majalla" w:cs="Sakkal Majalla"/>
          <w:color w:val="1F3864"/>
          <w:kern w:val="0"/>
          <w:sz w:val="36"/>
          <w:szCs w:val="36"/>
          <w:rtl/>
          <w14:ligatures w14:val="none"/>
        </w:rPr>
      </w:pPr>
      <w:r>
        <w:rPr>
          <w:rFonts w:ascii="Sakkal Majalla" w:eastAsiaTheme="minorEastAsia" w:hAnsi="Sakkal Majalla" w:cs="Sakkal Majalla"/>
          <w:b/>
          <w:bCs/>
          <w:color w:val="1F3864"/>
          <w:kern w:val="0"/>
          <w:sz w:val="36"/>
          <w:szCs w:val="36"/>
          <w:rtl/>
          <w14:ligatures w14:val="none"/>
        </w:rPr>
        <w:t>العام الدراسي: 2025 – 2026م</w:t>
      </w:r>
    </w:p>
    <w:p w14:paraId="4D652AB5" w14:textId="77777777" w:rsidR="009125CE" w:rsidRDefault="009125CE" w:rsidP="009125CE">
      <w:pPr>
        <w:jc w:val="center"/>
        <w:rPr>
          <w:rFonts w:ascii="Sakkal Majalla" w:hAnsi="Sakkal Majalla" w:cs="Sakkal Majalla"/>
          <w:b/>
          <w:bCs/>
          <w:sz w:val="28"/>
          <w:szCs w:val="28"/>
          <w:rtl/>
          <w:lang w:bidi="ar-EG"/>
        </w:rPr>
      </w:pPr>
    </w:p>
    <w:p w14:paraId="3D2441F6" w14:textId="77777777" w:rsidR="00C362C0" w:rsidRDefault="00C362C0" w:rsidP="009125CE">
      <w:pPr>
        <w:jc w:val="center"/>
        <w:rPr>
          <w:rFonts w:ascii="Sakkal Majalla" w:hAnsi="Sakkal Majalla" w:cs="Sakkal Majalla"/>
          <w:b/>
          <w:bCs/>
          <w:sz w:val="28"/>
          <w:szCs w:val="28"/>
          <w:rtl/>
          <w:lang w:bidi="ar-EG"/>
        </w:rPr>
      </w:pPr>
    </w:p>
    <w:p w14:paraId="33035CE6" w14:textId="77777777" w:rsidR="00C362C0" w:rsidRDefault="00C362C0" w:rsidP="009125CE">
      <w:pPr>
        <w:jc w:val="center"/>
        <w:rPr>
          <w:rFonts w:ascii="Sakkal Majalla" w:hAnsi="Sakkal Majalla" w:cs="Sakkal Majalla"/>
          <w:b/>
          <w:bCs/>
          <w:sz w:val="28"/>
          <w:szCs w:val="28"/>
          <w:rtl/>
          <w:lang w:bidi="ar-EG"/>
        </w:rPr>
      </w:pPr>
    </w:p>
    <w:p w14:paraId="230FB7ED" w14:textId="77777777" w:rsidR="00C362C0" w:rsidRDefault="00C362C0" w:rsidP="009125CE">
      <w:pPr>
        <w:jc w:val="center"/>
        <w:rPr>
          <w:rFonts w:ascii="Sakkal Majalla" w:hAnsi="Sakkal Majalla" w:cs="Sakkal Majalla"/>
          <w:b/>
          <w:bCs/>
          <w:sz w:val="28"/>
          <w:szCs w:val="28"/>
          <w:rtl/>
          <w:lang w:bidi="ar-EG"/>
        </w:rPr>
      </w:pPr>
    </w:p>
    <w:p w14:paraId="2D0FC6CE" w14:textId="77777777" w:rsidR="00C362C0" w:rsidRDefault="00C362C0" w:rsidP="009125CE">
      <w:pPr>
        <w:jc w:val="center"/>
        <w:rPr>
          <w:rFonts w:ascii="Sakkal Majalla" w:hAnsi="Sakkal Majalla" w:cs="Sakkal Majalla"/>
          <w:b/>
          <w:bCs/>
          <w:sz w:val="28"/>
          <w:szCs w:val="28"/>
          <w:rtl/>
          <w:lang w:bidi="ar-EG"/>
        </w:rPr>
      </w:pPr>
    </w:p>
    <w:p w14:paraId="514AA028" w14:textId="77777777" w:rsidR="00C362C0" w:rsidRDefault="00C362C0" w:rsidP="009125CE">
      <w:pPr>
        <w:jc w:val="center"/>
        <w:rPr>
          <w:rFonts w:ascii="Sakkal Majalla" w:hAnsi="Sakkal Majalla" w:cs="Sakkal Majalla"/>
          <w:b/>
          <w:bCs/>
          <w:sz w:val="28"/>
          <w:szCs w:val="28"/>
          <w:rtl/>
          <w:lang w:bidi="ar-EG"/>
        </w:rPr>
      </w:pPr>
    </w:p>
    <w:p w14:paraId="36EEF7C6" w14:textId="77777777" w:rsidR="00C362C0" w:rsidRDefault="00C362C0" w:rsidP="009125CE">
      <w:pPr>
        <w:jc w:val="center"/>
        <w:rPr>
          <w:rFonts w:ascii="Sakkal Majalla" w:hAnsi="Sakkal Majalla" w:cs="Sakkal Majalla"/>
          <w:b/>
          <w:bCs/>
          <w:sz w:val="28"/>
          <w:szCs w:val="28"/>
          <w:rtl/>
          <w:lang w:bidi="ar-EG"/>
        </w:rPr>
      </w:pPr>
    </w:p>
    <w:p w14:paraId="08A42739" w14:textId="77777777" w:rsidR="00C362C0" w:rsidRPr="001902DB" w:rsidRDefault="00C362C0" w:rsidP="009125CE">
      <w:pPr>
        <w:jc w:val="center"/>
        <w:rPr>
          <w:rFonts w:ascii="Sakkal Majalla" w:hAnsi="Sakkal Majalla" w:cs="Sakkal Majalla"/>
          <w:b/>
          <w:bCs/>
          <w:sz w:val="28"/>
          <w:szCs w:val="28"/>
          <w:rtl/>
          <w:lang w:bidi="ar-EG"/>
        </w:rPr>
      </w:pPr>
    </w:p>
    <w:p w14:paraId="1C816357" w14:textId="77777777" w:rsidR="00194CE3" w:rsidRPr="00E03D03" w:rsidRDefault="00194CE3" w:rsidP="00C362C0">
      <w:pPr>
        <w:spacing w:after="300" w:line="240" w:lineRule="auto"/>
        <w:rPr>
          <w:rFonts w:ascii="Sakkal Majalla" w:eastAsiaTheme="minorEastAsia" w:hAnsi="Sakkal Majalla" w:cs="Sakkal Majalla"/>
          <w:color w:val="1F3864"/>
          <w:kern w:val="0"/>
          <w:sz w:val="26"/>
          <w:szCs w:val="26"/>
          <w:rtl/>
          <w14:ligatures w14:val="none"/>
        </w:rPr>
      </w:pPr>
      <w:r>
        <w:rPr>
          <w:rFonts w:ascii="Sakkal Majalla" w:eastAsiaTheme="minorEastAsia" w:hAnsi="Sakkal Majalla" w:cs="Sakkal Majalla"/>
          <w:color w:val="1F3864"/>
          <w:kern w:val="0"/>
          <w:sz w:val="26"/>
          <w:szCs w:val="26"/>
          <w:rtl/>
          <w14:ligatures w14:val="none"/>
        </w:rPr>
        <w:t>فهرس المحتويات</w:t>
      </w:r>
    </w:p>
    <w:p w14:paraId="2ACCCBD6" w14:textId="77777777" w:rsidR="00194CE3" w:rsidRPr="00E03D03" w:rsidRDefault="00194CE3" w:rsidP="00C362C0">
      <w:pPr>
        <w:spacing w:after="300" w:line="240" w:lineRule="auto"/>
        <w:rPr>
          <w:rFonts w:ascii="Sakkal Majalla" w:eastAsiaTheme="minorEastAsia" w:hAnsi="Sakkal Majalla" w:cs="Sakkal Majalla"/>
          <w:color w:val="1F3864"/>
          <w:kern w:val="0"/>
          <w:sz w:val="26"/>
          <w:szCs w:val="26"/>
          <w:rtl/>
          <w14:ligatures w14:val="none"/>
        </w:rPr>
      </w:pPr>
    </w:p>
    <w:p w14:paraId="0DB4924F" w14:textId="77777777" w:rsidR="00194CE3" w:rsidRPr="00E03D03" w:rsidRDefault="00194CE3" w:rsidP="00C362C0">
      <w:pPr>
        <w:spacing w:after="300" w:line="240" w:lineRule="auto"/>
        <w:rPr>
          <w:rFonts w:ascii="Sakkal Majalla" w:eastAsiaTheme="minorEastAsia" w:hAnsi="Sakkal Majalla" w:cs="Sakkal Majalla"/>
          <w:color w:val="1F3864"/>
          <w:kern w:val="0"/>
          <w:sz w:val="26"/>
          <w:szCs w:val="26"/>
          <w:rtl/>
          <w14:ligatures w14:val="none"/>
        </w:rPr>
      </w:pPr>
    </w:p>
    <w:p w14:paraId="635D91B3"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3</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المستخلص</w:t>
      </w:r>
    </w:p>
    <w:p w14:paraId="17AB784A"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4</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000000"/>
          <w:kern w:val="0"/>
          <w:sz w:val="26"/>
          <w:szCs w:val="26"/>
          <w14:ligatures w14:val="none"/>
        </w:rPr>
        <w:t>Abstract</w:t>
      </w:r>
    </w:p>
    <w:p w14:paraId="283276D1"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5</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الفصل الأول: الإطار العام للدراسة</w:t>
      </w:r>
    </w:p>
    <w:p w14:paraId="3304F1CA"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5</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أولاً: مقدمة الدراسة</w:t>
      </w:r>
    </w:p>
    <w:p w14:paraId="5FBC9F42"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6</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ثانياً: مشكلة الدراسة</w:t>
      </w:r>
    </w:p>
    <w:p w14:paraId="62368EC0"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6</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ثالثاً: أهمية الدراسة</w:t>
      </w:r>
    </w:p>
    <w:p w14:paraId="620F4B8B"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7</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رابعاً: أهداف الدراسة</w:t>
      </w:r>
    </w:p>
    <w:p w14:paraId="7FD1EDA2"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8</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خامساً: تساؤلات الدراسة</w:t>
      </w:r>
    </w:p>
    <w:p w14:paraId="33964D66"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8</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سادساً: فرضيات الدراسة</w:t>
      </w:r>
    </w:p>
    <w:p w14:paraId="28240AF6"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9</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سابعاً: متغيرات الدراسة</w:t>
      </w:r>
    </w:p>
    <w:p w14:paraId="09C54F18"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10</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ثامناً: مصطلحات الدراسة</w:t>
      </w:r>
    </w:p>
    <w:p w14:paraId="71780962" w14:textId="77777777" w:rsidR="00194CE3" w:rsidRPr="00E03D03" w:rsidRDefault="00194CE3" w:rsidP="00C362C0">
      <w:pPr>
        <w:spacing w:after="300" w:line="240" w:lineRule="auto"/>
        <w:rPr>
          <w:rFonts w:ascii="Sakkal Majalla" w:eastAsiaTheme="minorEastAsia" w:hAnsi="Sakkal Majalla" w:cs="Sakkal Majalla"/>
          <w:color w:val="000000"/>
          <w:kern w:val="0"/>
          <w:sz w:val="26"/>
          <w:szCs w:val="26"/>
          <w:rtl/>
          <w14:ligatures w14:val="none"/>
        </w:rPr>
      </w:pPr>
      <w:r>
        <w:rPr>
          <w:rFonts w:ascii="Sakkal Majalla" w:eastAsiaTheme="minorEastAsia" w:hAnsi="Sakkal Majalla" w:cs="Sakkal Majalla"/>
          <w:color w:val="2E5090"/>
          <w:kern w:val="0"/>
          <w:sz w:val="26"/>
          <w:szCs w:val="26"/>
          <w:rtl/>
          <w14:ligatures w14:val="none"/>
        </w:rPr>
        <w:t>12</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الفصل الثاني: الدراسات السابقة والإطار النظري</w:t>
      </w:r>
    </w:p>
    <w:p w14:paraId="250CE140"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12</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أولاً: مقدمة</w:t>
      </w:r>
    </w:p>
    <w:p w14:paraId="7A2A1642"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12</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ثانياً: الدراسات السابقة</w:t>
      </w:r>
    </w:p>
    <w:p w14:paraId="3BA4E327" w14:textId="77777777" w:rsidR="00194CE3" w:rsidRPr="00E03D03" w:rsidRDefault="00194CE3" w:rsidP="00C362C0">
      <w:pPr>
        <w:spacing w:after="300" w:line="240" w:lineRule="auto"/>
        <w:rPr>
          <w:rFonts w:ascii="Sakkal Majalla" w:eastAsiaTheme="minorEastAsia" w:hAnsi="Sakkal Majalla" w:cs="Sakkal Majalla"/>
          <w:color w:val="000000"/>
          <w:kern w:val="0"/>
          <w:sz w:val="26"/>
          <w:szCs w:val="26"/>
          <w:rtl/>
          <w14:ligatures w14:val="none"/>
        </w:rPr>
      </w:pPr>
      <w:r>
        <w:rPr>
          <w:rFonts w:ascii="Sakkal Majalla" w:eastAsiaTheme="minorEastAsia" w:hAnsi="Sakkal Majalla" w:cs="Sakkal Majalla"/>
          <w:color w:val="2E5090"/>
          <w:kern w:val="0"/>
          <w:sz w:val="26"/>
          <w:szCs w:val="26"/>
          <w:rtl/>
          <w14:ligatures w14:val="none"/>
        </w:rPr>
        <w:t>17</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ثالثاً: مقارنة الدراسة الحالية بالدراسات السابقة</w:t>
      </w:r>
    </w:p>
    <w:p w14:paraId="3FAB2EB4"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18</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رابعاً: الإطار النظري للدراسة</w:t>
      </w:r>
    </w:p>
    <w:p w14:paraId="252B7992"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23</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الفصل الثالث: منهجية الدراسة</w:t>
      </w:r>
    </w:p>
    <w:p w14:paraId="0FE3A923"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lastRenderedPageBreak/>
        <w:t>23</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أولاً: مقدمة</w:t>
      </w:r>
    </w:p>
    <w:p w14:paraId="2BDC680D"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23</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ثانياً: منهج الدراسة</w:t>
      </w:r>
    </w:p>
    <w:p w14:paraId="41908760"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24</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ثالثاً: مجتمع الدراسة وعينتها</w:t>
      </w:r>
    </w:p>
    <w:p w14:paraId="60A640BE"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25</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رابعاً: أداة الدراسة (الاستبيان)</w:t>
      </w:r>
    </w:p>
    <w:p w14:paraId="650EB52D"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26</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خامساً: صدق الأداة وثباتها</w:t>
      </w:r>
    </w:p>
    <w:p w14:paraId="00497EBB"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28</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سادساً: الأساليب الإحصائية</w:t>
      </w:r>
    </w:p>
    <w:p w14:paraId="1E8F7752"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28</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سابعاً: حدود الدراسة</w:t>
      </w:r>
    </w:p>
    <w:p w14:paraId="00E13ECA"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29</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ثامناً: الاعتبارات الأخلاقية</w:t>
      </w:r>
    </w:p>
    <w:p w14:paraId="5C327D82"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30</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الفصل الرابع: النتائج والتوصيات</w:t>
      </w:r>
    </w:p>
    <w:p w14:paraId="1805D1ED"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30</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أولاً: مقدمة</w:t>
      </w:r>
    </w:p>
    <w:p w14:paraId="32532D0B"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30</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ثانياً: وصف خصائص عينة الدراسة</w:t>
      </w:r>
    </w:p>
    <w:p w14:paraId="3BF3BE76"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32</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ثالثاً: تحليل مستوى متغيرات الدراسة</w:t>
      </w:r>
    </w:p>
    <w:p w14:paraId="10DE88F1"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34</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رابعاً: اختبار فرضيات الدراسة</w:t>
      </w:r>
    </w:p>
    <w:p w14:paraId="44383162"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36</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خامساً: مناقشة النتائج</w:t>
      </w:r>
    </w:p>
    <w:p w14:paraId="3ACB6068"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37</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سادساً: النتائج الرئيسية للدراسة</w:t>
      </w:r>
    </w:p>
    <w:p w14:paraId="273E4D86"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38</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سابعاً: التوصيات</w:t>
      </w:r>
    </w:p>
    <w:p w14:paraId="1C30DC0F"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40</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المراجع</w:t>
      </w:r>
    </w:p>
    <w:p w14:paraId="1976DEC7"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40</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المراجع العربية</w:t>
      </w:r>
    </w:p>
    <w:p w14:paraId="004D3C08"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42</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المراجع الأجنبية</w:t>
      </w:r>
    </w:p>
    <w:p w14:paraId="2E04BA2D"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44</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الملاحق</w:t>
      </w:r>
    </w:p>
    <w:p w14:paraId="06671DD4"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44</w:t>
      </w:r>
      <w:r>
        <w:rPr>
          <w:rFonts w:ascii="Sakkal Majalla" w:eastAsiaTheme="minorEastAsia" w:hAnsi="Sakkal Majalla" w:cs="Sakkal Majalla"/>
          <w:color w:val="000000"/>
          <w:kern w:val="0"/>
          <w:sz w:val="26"/>
          <w:szCs w:val="26"/>
          <w:rtl/>
          <w14:ligatures w14:val="none"/>
        </w:rPr>
        <w:tab/>
      </w:r>
      <w:r>
        <w:rPr>
          <w:rFonts w:ascii="Sakkal Majalla" w:eastAsiaTheme="minorEastAsia" w:hAnsi="Sakkal Majalla" w:cs="Sakkal Majalla"/>
          <w:color w:val="AAAAAA"/>
          <w:kern w:val="0"/>
          <w:sz w:val="26"/>
          <w:szCs w:val="26"/>
          <w:rtl/>
          <w14:ligatures w14:val="none"/>
        </w:rPr>
        <w:t>..........................................</w:t>
      </w:r>
      <w:r>
        <w:rPr>
          <w:rFonts w:ascii="Sakkal Majalla" w:eastAsiaTheme="minorEastAsia" w:hAnsi="Sakkal Majalla" w:cs="Sakkal Majalla"/>
          <w:color w:val="000000"/>
          <w:kern w:val="0"/>
          <w:sz w:val="26"/>
          <w:szCs w:val="26"/>
          <w:rtl/>
          <w14:ligatures w14:val="none"/>
        </w:rPr>
        <w:tab/>
        <w:t>الملحق الأول: استبيان الدراسة</w:t>
      </w:r>
    </w:p>
    <w:p w14:paraId="3CF008D6" w14:textId="77777777" w:rsidR="00194CE3" w:rsidRPr="00E03D03" w:rsidRDefault="00194CE3" w:rsidP="00C362C0">
      <w:pPr>
        <w:spacing w:after="300" w:line="240" w:lineRule="auto"/>
        <w:rPr>
          <w:rFonts w:ascii="Sakkal Majalla" w:eastAsiaTheme="minorEastAsia" w:hAnsi="Sakkal Majalla" w:cs="Sakkal Majalla"/>
          <w:color w:val="1F3864"/>
          <w:kern w:val="0"/>
          <w:sz w:val="26"/>
          <w:szCs w:val="26"/>
          <w:rtl/>
          <w14:ligatures w14:val="none"/>
        </w:rPr>
      </w:pPr>
      <w:r>
        <w:rPr>
          <w:rFonts w:ascii="Sakkal Majalla" w:eastAsiaTheme="minorEastAsia" w:hAnsi="Sakkal Majalla" w:cs="Sakkal Majalla"/>
          <w:color w:val="1F3864"/>
          <w:kern w:val="0"/>
          <w:sz w:val="26"/>
          <w:szCs w:val="26"/>
          <w:rtl/>
          <w14:ligatures w14:val="none"/>
        </w:rPr>
        <w:lastRenderedPageBreak/>
        <w:t>قائمة الجداول</w:t>
      </w:r>
    </w:p>
    <w:p w14:paraId="5F8FC3C5" w14:textId="77777777" w:rsidR="00194CE3" w:rsidRPr="00E03D03" w:rsidRDefault="00194CE3" w:rsidP="00C362C0">
      <w:pPr>
        <w:spacing w:after="300" w:line="240" w:lineRule="auto"/>
        <w:rPr>
          <w:rFonts w:ascii="Sakkal Majalla" w:eastAsiaTheme="minorEastAsia" w:hAnsi="Sakkal Majalla" w:cs="Sakkal Majalla"/>
          <w:color w:val="1F3864"/>
          <w:kern w:val="0"/>
          <w:sz w:val="26"/>
          <w:szCs w:val="26"/>
          <w:rtl/>
          <w14:ligatures w14:val="none"/>
        </w:rPr>
      </w:pPr>
    </w:p>
    <w:p w14:paraId="29564817" w14:textId="77777777" w:rsidR="00194CE3" w:rsidRPr="00E03D03" w:rsidRDefault="00194CE3" w:rsidP="00C362C0">
      <w:pPr>
        <w:spacing w:after="300" w:line="240" w:lineRule="auto"/>
        <w:rPr>
          <w:rFonts w:ascii="Sakkal Majalla" w:eastAsiaTheme="minorEastAsia" w:hAnsi="Sakkal Majalla" w:cs="Sakkal Majalla"/>
          <w:color w:val="1F3864"/>
          <w:kern w:val="0"/>
          <w:sz w:val="26"/>
          <w:szCs w:val="26"/>
          <w:rtl/>
          <w14:ligatures w14:val="none"/>
        </w:rPr>
      </w:pPr>
    </w:p>
    <w:p w14:paraId="6E1866EE" w14:textId="77777777" w:rsidR="00194CE3" w:rsidRPr="00E03D03" w:rsidRDefault="00194CE3" w:rsidP="00C362C0">
      <w:pPr>
        <w:spacing w:after="300" w:line="240" w:lineRule="auto"/>
        <w:rPr>
          <w:rFonts w:ascii="Sakkal Majalla" w:eastAsiaTheme="minorEastAsia" w:hAnsi="Sakkal Majalla" w:cs="Sakkal Majalla"/>
          <w:color w:val="000000"/>
          <w:kern w:val="0"/>
          <w:sz w:val="26"/>
          <w:szCs w:val="26"/>
          <w:rtl/>
          <w14:ligatures w14:val="none"/>
        </w:rPr>
      </w:pPr>
      <w:r>
        <w:rPr>
          <w:rFonts w:ascii="Sakkal Majalla" w:eastAsiaTheme="minorEastAsia" w:hAnsi="Sakkal Majalla" w:cs="Sakkal Majalla"/>
          <w:color w:val="2E5090"/>
          <w:kern w:val="0"/>
          <w:sz w:val="26"/>
          <w:szCs w:val="26"/>
          <w:rtl/>
          <w14:ligatures w14:val="none"/>
        </w:rPr>
        <w:t>24</w:t>
      </w:r>
      <w:r>
        <w:rPr>
          <w:rFonts w:ascii="Sakkal Majalla" w:eastAsiaTheme="minorEastAsia" w:hAnsi="Sakkal Majalla" w:cs="Sakkal Majalla"/>
          <w:color w:val="AAAAAA"/>
          <w:kern w:val="0"/>
          <w:sz w:val="26"/>
          <w:szCs w:val="26"/>
          <w:rtl/>
          <w14:ligatures w14:val="none"/>
        </w:rPr>
        <w:t xml:space="preserve">  ..........................................  </w:t>
      </w:r>
      <w:r>
        <w:rPr>
          <w:rFonts w:ascii="Sakkal Majalla" w:eastAsiaTheme="minorEastAsia" w:hAnsi="Sakkal Majalla" w:cs="Sakkal Majalla"/>
          <w:color w:val="000000"/>
          <w:kern w:val="0"/>
          <w:sz w:val="26"/>
          <w:szCs w:val="26"/>
          <w:rtl/>
          <w14:ligatures w14:val="none"/>
        </w:rPr>
        <w:t>جدول (1): توزيع عينة الدراسة حسب الفئة الوظيفية</w:t>
      </w:r>
    </w:p>
    <w:p w14:paraId="3931AABA" w14:textId="77777777" w:rsidR="00194CE3" w:rsidRPr="00E03D03" w:rsidRDefault="00194CE3" w:rsidP="00C362C0">
      <w:pPr>
        <w:spacing w:after="300" w:line="240" w:lineRule="auto"/>
        <w:rPr>
          <w:rFonts w:ascii="Sakkal Majalla" w:eastAsiaTheme="minorEastAsia" w:hAnsi="Sakkal Majalla" w:cs="Sakkal Majalla"/>
          <w:color w:val="000000"/>
          <w:kern w:val="0"/>
          <w:sz w:val="26"/>
          <w:szCs w:val="26"/>
          <w:rtl/>
          <w14:ligatures w14:val="none"/>
        </w:rPr>
      </w:pPr>
      <w:r>
        <w:rPr>
          <w:rFonts w:ascii="Sakkal Majalla" w:eastAsiaTheme="minorEastAsia" w:hAnsi="Sakkal Majalla" w:cs="Sakkal Majalla"/>
          <w:color w:val="2E5090"/>
          <w:kern w:val="0"/>
          <w:sz w:val="26"/>
          <w:szCs w:val="26"/>
          <w:rtl/>
          <w14:ligatures w14:val="none"/>
        </w:rPr>
        <w:t>25</w:t>
      </w:r>
      <w:r>
        <w:rPr>
          <w:rFonts w:ascii="Sakkal Majalla" w:eastAsiaTheme="minorEastAsia" w:hAnsi="Sakkal Majalla" w:cs="Sakkal Majalla"/>
          <w:color w:val="AAAAAA"/>
          <w:kern w:val="0"/>
          <w:sz w:val="26"/>
          <w:szCs w:val="26"/>
          <w:rtl/>
          <w14:ligatures w14:val="none"/>
        </w:rPr>
        <w:t xml:space="preserve">  ..........................................  </w:t>
      </w:r>
      <w:r>
        <w:rPr>
          <w:rFonts w:ascii="Sakkal Majalla" w:eastAsiaTheme="minorEastAsia" w:hAnsi="Sakkal Majalla" w:cs="Sakkal Majalla"/>
          <w:color w:val="000000"/>
          <w:kern w:val="0"/>
          <w:sz w:val="26"/>
          <w:szCs w:val="26"/>
          <w:rtl/>
          <w14:ligatures w14:val="none"/>
        </w:rPr>
        <w:t>جدول (2): مقياس ليكرت الخماسي ومعيار تفسير المتوسطات</w:t>
      </w:r>
    </w:p>
    <w:p w14:paraId="416F7B8F" w14:textId="77777777" w:rsidR="00194CE3" w:rsidRPr="00E03D03" w:rsidRDefault="00194CE3" w:rsidP="00C362C0">
      <w:pPr>
        <w:spacing w:after="300" w:line="240" w:lineRule="auto"/>
        <w:rPr>
          <w:rFonts w:ascii="Sakkal Majalla" w:eastAsiaTheme="minorEastAsia" w:hAnsi="Sakkal Majalla" w:cs="Sakkal Majalla"/>
          <w:color w:val="000000"/>
          <w:kern w:val="0"/>
          <w:sz w:val="26"/>
          <w:szCs w:val="26"/>
          <w:rtl/>
          <w14:ligatures w14:val="none"/>
        </w:rPr>
      </w:pPr>
      <w:r>
        <w:rPr>
          <w:rFonts w:ascii="Sakkal Majalla" w:eastAsiaTheme="minorEastAsia" w:hAnsi="Sakkal Majalla" w:cs="Sakkal Majalla"/>
          <w:color w:val="2E5090"/>
          <w:kern w:val="0"/>
          <w:sz w:val="26"/>
          <w:szCs w:val="26"/>
          <w:rtl/>
          <w14:ligatures w14:val="none"/>
        </w:rPr>
        <w:t>27</w:t>
      </w:r>
      <w:r>
        <w:rPr>
          <w:rFonts w:ascii="Sakkal Majalla" w:eastAsiaTheme="minorEastAsia" w:hAnsi="Sakkal Majalla" w:cs="Sakkal Majalla"/>
          <w:color w:val="AAAAAA"/>
          <w:kern w:val="0"/>
          <w:sz w:val="26"/>
          <w:szCs w:val="26"/>
          <w:rtl/>
          <w14:ligatures w14:val="none"/>
        </w:rPr>
        <w:t xml:space="preserve">  ..........................................  </w:t>
      </w:r>
      <w:r>
        <w:rPr>
          <w:rFonts w:ascii="Sakkal Majalla" w:eastAsiaTheme="minorEastAsia" w:hAnsi="Sakkal Majalla" w:cs="Sakkal Majalla"/>
          <w:color w:val="000000"/>
          <w:kern w:val="0"/>
          <w:sz w:val="26"/>
          <w:szCs w:val="26"/>
          <w:rtl/>
          <w14:ligatures w14:val="none"/>
        </w:rPr>
        <w:t>جدول (3): معاملات ألفا كرونباخ لأبعاد الاستبيان</w:t>
      </w:r>
    </w:p>
    <w:p w14:paraId="6CE3FC8E" w14:textId="77777777" w:rsidR="00194CE3" w:rsidRPr="00E03D03" w:rsidRDefault="00194CE3" w:rsidP="00C362C0">
      <w:pPr>
        <w:spacing w:after="300" w:line="240" w:lineRule="auto"/>
        <w:rPr>
          <w:rFonts w:ascii="Sakkal Majalla" w:eastAsiaTheme="minorEastAsia" w:hAnsi="Sakkal Majalla" w:cs="Sakkal Majalla"/>
          <w:color w:val="AAAAAA"/>
          <w:kern w:val="0"/>
          <w:sz w:val="26"/>
          <w:szCs w:val="26"/>
          <w:rtl/>
          <w14:ligatures w14:val="none"/>
        </w:rPr>
      </w:pPr>
      <w:r>
        <w:rPr>
          <w:rFonts w:ascii="Sakkal Majalla" w:eastAsiaTheme="minorEastAsia" w:hAnsi="Sakkal Majalla" w:cs="Sakkal Majalla"/>
          <w:color w:val="2E5090"/>
          <w:kern w:val="0"/>
          <w:sz w:val="26"/>
          <w:szCs w:val="26"/>
          <w:rtl/>
          <w14:ligatures w14:val="none"/>
        </w:rPr>
        <w:t>30</w:t>
      </w:r>
      <w:r>
        <w:rPr>
          <w:rFonts w:ascii="Sakkal Majalla" w:eastAsiaTheme="minorEastAsia" w:hAnsi="Sakkal Majalla" w:cs="Sakkal Majalla"/>
          <w:color w:val="AAAAAA"/>
          <w:kern w:val="0"/>
          <w:sz w:val="26"/>
          <w:szCs w:val="26"/>
          <w:rtl/>
          <w14:ligatures w14:val="none"/>
        </w:rPr>
        <w:t xml:space="preserve">  ..........................................  </w:t>
      </w:r>
      <w:r>
        <w:rPr>
          <w:rFonts w:ascii="Sakkal Majalla" w:eastAsiaTheme="minorEastAsia" w:hAnsi="Sakkal Majalla" w:cs="Sakkal Majalla"/>
          <w:color w:val="000000"/>
          <w:kern w:val="0"/>
          <w:sz w:val="26"/>
          <w:szCs w:val="26"/>
          <w:rtl/>
          <w14:ligatures w14:val="none"/>
        </w:rPr>
        <w:t>جدول (4): توزيع عينة الدراسة وفق متغير الجنس</w:t>
      </w:r>
    </w:p>
    <w:p w14:paraId="015CCB1A" w14:textId="77777777" w:rsidR="00194CE3" w:rsidRPr="00E03D03" w:rsidRDefault="00194CE3" w:rsidP="00C362C0">
      <w:pPr>
        <w:spacing w:after="300" w:line="240" w:lineRule="auto"/>
        <w:rPr>
          <w:rFonts w:ascii="Sakkal Majalla" w:eastAsiaTheme="minorEastAsia" w:hAnsi="Sakkal Majalla" w:cs="Sakkal Majalla"/>
          <w:color w:val="000000"/>
          <w:kern w:val="0"/>
          <w:sz w:val="26"/>
          <w:szCs w:val="26"/>
          <w:rtl/>
          <w14:ligatures w14:val="none"/>
        </w:rPr>
      </w:pPr>
      <w:r>
        <w:rPr>
          <w:rFonts w:ascii="Sakkal Majalla" w:eastAsiaTheme="minorEastAsia" w:hAnsi="Sakkal Majalla" w:cs="Sakkal Majalla"/>
          <w:color w:val="2E5090"/>
          <w:kern w:val="0"/>
          <w:sz w:val="26"/>
          <w:szCs w:val="26"/>
          <w:rtl/>
          <w14:ligatures w14:val="none"/>
        </w:rPr>
        <w:t>31</w:t>
      </w:r>
      <w:r>
        <w:rPr>
          <w:rFonts w:ascii="Sakkal Majalla" w:eastAsiaTheme="minorEastAsia" w:hAnsi="Sakkal Majalla" w:cs="Sakkal Majalla"/>
          <w:color w:val="AAAAAA"/>
          <w:kern w:val="0"/>
          <w:sz w:val="26"/>
          <w:szCs w:val="26"/>
          <w:rtl/>
          <w14:ligatures w14:val="none"/>
        </w:rPr>
        <w:t xml:space="preserve">  ..........................................  </w:t>
      </w:r>
      <w:r>
        <w:rPr>
          <w:rFonts w:ascii="Sakkal Majalla" w:eastAsiaTheme="minorEastAsia" w:hAnsi="Sakkal Majalla" w:cs="Sakkal Majalla"/>
          <w:color w:val="000000"/>
          <w:kern w:val="0"/>
          <w:sz w:val="26"/>
          <w:szCs w:val="26"/>
          <w:rtl/>
          <w14:ligatures w14:val="none"/>
        </w:rPr>
        <w:t>جدول (5): توزيع عينة الدراسة وفق متغير المؤهل العلمي</w:t>
      </w:r>
    </w:p>
    <w:p w14:paraId="5FE84D21" w14:textId="77777777" w:rsidR="00194CE3" w:rsidRPr="00E03D03" w:rsidRDefault="00194CE3" w:rsidP="00C362C0">
      <w:pPr>
        <w:spacing w:after="300" w:line="240" w:lineRule="auto"/>
        <w:rPr>
          <w:rFonts w:ascii="Sakkal Majalla" w:eastAsiaTheme="minorEastAsia" w:hAnsi="Sakkal Majalla" w:cs="Sakkal Majalla"/>
          <w:color w:val="000000"/>
          <w:kern w:val="0"/>
          <w:sz w:val="26"/>
          <w:szCs w:val="26"/>
          <w:rtl/>
          <w14:ligatures w14:val="none"/>
        </w:rPr>
      </w:pPr>
      <w:r>
        <w:rPr>
          <w:rFonts w:ascii="Sakkal Majalla" w:eastAsiaTheme="minorEastAsia" w:hAnsi="Sakkal Majalla" w:cs="Sakkal Majalla"/>
          <w:color w:val="2E5090"/>
          <w:kern w:val="0"/>
          <w:sz w:val="26"/>
          <w:szCs w:val="26"/>
          <w:rtl/>
          <w14:ligatures w14:val="none"/>
        </w:rPr>
        <w:t>31</w:t>
      </w:r>
      <w:r>
        <w:rPr>
          <w:rFonts w:ascii="Sakkal Majalla" w:eastAsiaTheme="minorEastAsia" w:hAnsi="Sakkal Majalla" w:cs="Sakkal Majalla"/>
          <w:color w:val="AAAAAA"/>
          <w:kern w:val="0"/>
          <w:sz w:val="26"/>
          <w:szCs w:val="26"/>
          <w:rtl/>
          <w14:ligatures w14:val="none"/>
        </w:rPr>
        <w:t xml:space="preserve">  ..........................................  </w:t>
      </w:r>
      <w:r>
        <w:rPr>
          <w:rFonts w:ascii="Sakkal Majalla" w:eastAsiaTheme="minorEastAsia" w:hAnsi="Sakkal Majalla" w:cs="Sakkal Majalla"/>
          <w:color w:val="000000"/>
          <w:kern w:val="0"/>
          <w:sz w:val="26"/>
          <w:szCs w:val="26"/>
          <w:rtl/>
          <w14:ligatures w14:val="none"/>
        </w:rPr>
        <w:t>جدول (6): توزيع عينة الدراسة وفق متغير سنوات الخبرة</w:t>
      </w:r>
    </w:p>
    <w:p w14:paraId="6DE3DD07" w14:textId="77777777" w:rsidR="00194CE3" w:rsidRPr="00E03D03" w:rsidRDefault="00194CE3" w:rsidP="00C362C0">
      <w:pPr>
        <w:spacing w:after="300" w:line="240" w:lineRule="auto"/>
        <w:rPr>
          <w:rFonts w:ascii="Sakkal Majalla" w:eastAsiaTheme="minorEastAsia" w:hAnsi="Sakkal Majalla" w:cs="Sakkal Majalla"/>
          <w:color w:val="000000"/>
          <w:kern w:val="0"/>
          <w:sz w:val="26"/>
          <w:szCs w:val="26"/>
          <w:rtl/>
          <w14:ligatures w14:val="none"/>
        </w:rPr>
      </w:pPr>
      <w:r>
        <w:rPr>
          <w:rFonts w:ascii="Sakkal Majalla" w:eastAsiaTheme="minorEastAsia" w:hAnsi="Sakkal Majalla" w:cs="Sakkal Majalla"/>
          <w:color w:val="2E5090"/>
          <w:kern w:val="0"/>
          <w:sz w:val="26"/>
          <w:szCs w:val="26"/>
          <w:rtl/>
          <w14:ligatures w14:val="none"/>
        </w:rPr>
        <w:t>32</w:t>
      </w:r>
      <w:r>
        <w:rPr>
          <w:rFonts w:ascii="Sakkal Majalla" w:eastAsiaTheme="minorEastAsia" w:hAnsi="Sakkal Majalla" w:cs="Sakkal Majalla"/>
          <w:color w:val="AAAAAA"/>
          <w:kern w:val="0"/>
          <w:sz w:val="26"/>
          <w:szCs w:val="26"/>
          <w:rtl/>
          <w14:ligatures w14:val="none"/>
        </w:rPr>
        <w:t xml:space="preserve">  ..........................................  </w:t>
      </w:r>
      <w:r>
        <w:rPr>
          <w:rFonts w:ascii="Sakkal Majalla" w:eastAsiaTheme="minorEastAsia" w:hAnsi="Sakkal Majalla" w:cs="Sakkal Majalla"/>
          <w:color w:val="000000"/>
          <w:kern w:val="0"/>
          <w:sz w:val="26"/>
          <w:szCs w:val="26"/>
          <w:rtl/>
          <w14:ligatures w14:val="none"/>
        </w:rPr>
        <w:t>جدول (7): المتوسطات والانحرافات المعيارية لأبعاد ثقافة التحول الرقمي</w:t>
      </w:r>
    </w:p>
    <w:p w14:paraId="59A34C61" w14:textId="77777777" w:rsidR="00194CE3" w:rsidRPr="00E03D03" w:rsidRDefault="00194CE3" w:rsidP="00C362C0">
      <w:pPr>
        <w:spacing w:after="300" w:line="240" w:lineRule="auto"/>
        <w:rPr>
          <w:rFonts w:ascii="Sakkal Majalla" w:eastAsiaTheme="minorEastAsia" w:hAnsi="Sakkal Majalla" w:cs="Sakkal Majalla"/>
          <w:color w:val="000000"/>
          <w:kern w:val="0"/>
          <w:sz w:val="26"/>
          <w:szCs w:val="26"/>
          <w:rtl/>
          <w14:ligatures w14:val="none"/>
        </w:rPr>
      </w:pPr>
      <w:r>
        <w:rPr>
          <w:rFonts w:ascii="Sakkal Majalla" w:eastAsiaTheme="minorEastAsia" w:hAnsi="Sakkal Majalla" w:cs="Sakkal Majalla"/>
          <w:color w:val="2E5090"/>
          <w:kern w:val="0"/>
          <w:sz w:val="26"/>
          <w:szCs w:val="26"/>
          <w:rtl/>
          <w14:ligatures w14:val="none"/>
        </w:rPr>
        <w:t>33</w:t>
      </w:r>
      <w:r>
        <w:rPr>
          <w:rFonts w:ascii="Sakkal Majalla" w:eastAsiaTheme="minorEastAsia" w:hAnsi="Sakkal Majalla" w:cs="Sakkal Majalla"/>
          <w:color w:val="AAAAAA"/>
          <w:kern w:val="0"/>
          <w:sz w:val="26"/>
          <w:szCs w:val="26"/>
          <w:rtl/>
          <w14:ligatures w14:val="none"/>
        </w:rPr>
        <w:t xml:space="preserve">  ..........................................  </w:t>
      </w:r>
      <w:r>
        <w:rPr>
          <w:rFonts w:ascii="Sakkal Majalla" w:eastAsiaTheme="minorEastAsia" w:hAnsi="Sakkal Majalla" w:cs="Sakkal Majalla"/>
          <w:color w:val="000000"/>
          <w:kern w:val="0"/>
          <w:sz w:val="26"/>
          <w:szCs w:val="26"/>
          <w:rtl/>
          <w14:ligatures w14:val="none"/>
        </w:rPr>
        <w:t>جدول (8): المتوسطات والانحرافات المعيارية لأبعاد أداء الموظفين</w:t>
      </w:r>
    </w:p>
    <w:p w14:paraId="68B60239" w14:textId="77777777" w:rsidR="00194CE3" w:rsidRPr="00E03D03" w:rsidRDefault="00194CE3" w:rsidP="00C362C0">
      <w:pPr>
        <w:spacing w:after="300" w:line="240" w:lineRule="auto"/>
        <w:rPr>
          <w:rFonts w:ascii="Sakkal Majalla" w:eastAsiaTheme="minorEastAsia" w:hAnsi="Sakkal Majalla" w:cs="Sakkal Majalla"/>
          <w:color w:val="000000"/>
          <w:kern w:val="0"/>
          <w:sz w:val="26"/>
          <w:szCs w:val="26"/>
          <w:rtl/>
          <w14:ligatures w14:val="none"/>
        </w:rPr>
      </w:pPr>
      <w:r>
        <w:rPr>
          <w:rFonts w:ascii="Sakkal Majalla" w:eastAsiaTheme="minorEastAsia" w:hAnsi="Sakkal Majalla" w:cs="Sakkal Majalla"/>
          <w:color w:val="2E5090"/>
          <w:kern w:val="0"/>
          <w:sz w:val="26"/>
          <w:szCs w:val="26"/>
          <w:rtl/>
          <w14:ligatures w14:val="none"/>
        </w:rPr>
        <w:t>34</w:t>
      </w:r>
      <w:r>
        <w:rPr>
          <w:rFonts w:ascii="Sakkal Majalla" w:eastAsiaTheme="minorEastAsia" w:hAnsi="Sakkal Majalla" w:cs="Sakkal Majalla"/>
          <w:color w:val="AAAAAA"/>
          <w:kern w:val="0"/>
          <w:sz w:val="26"/>
          <w:szCs w:val="26"/>
          <w:rtl/>
          <w14:ligatures w14:val="none"/>
        </w:rPr>
        <w:t xml:space="preserve">  ..........................................  </w:t>
      </w:r>
      <w:r>
        <w:rPr>
          <w:rFonts w:ascii="Sakkal Majalla" w:eastAsiaTheme="minorEastAsia" w:hAnsi="Sakkal Majalla" w:cs="Sakkal Majalla"/>
          <w:color w:val="000000"/>
          <w:kern w:val="0"/>
          <w:sz w:val="26"/>
          <w:szCs w:val="26"/>
          <w:rtl/>
          <w14:ligatures w14:val="none"/>
        </w:rPr>
        <w:t>جدول (9): نتائج تحليل الانحدار الخطي البسيط للفرضية الرئيسية</w:t>
      </w:r>
    </w:p>
    <w:p w14:paraId="29802E82" w14:textId="77777777" w:rsidR="00194CE3" w:rsidRPr="00E03D03" w:rsidRDefault="00194CE3" w:rsidP="00C362C0">
      <w:pPr>
        <w:spacing w:after="300" w:line="240" w:lineRule="auto"/>
        <w:rPr>
          <w:rFonts w:ascii="Sakkal Majalla" w:eastAsiaTheme="minorEastAsia" w:hAnsi="Sakkal Majalla" w:cs="Sakkal Majalla"/>
          <w:color w:val="000000"/>
          <w:kern w:val="0"/>
          <w:sz w:val="26"/>
          <w:szCs w:val="26"/>
          <w:rtl/>
          <w14:ligatures w14:val="none"/>
        </w:rPr>
      </w:pPr>
      <w:r>
        <w:rPr>
          <w:rFonts w:ascii="Sakkal Majalla" w:eastAsiaTheme="minorEastAsia" w:hAnsi="Sakkal Majalla" w:cs="Sakkal Majalla"/>
          <w:color w:val="2E5090"/>
          <w:kern w:val="0"/>
          <w:sz w:val="26"/>
          <w:szCs w:val="26"/>
          <w:rtl/>
          <w14:ligatures w14:val="none"/>
        </w:rPr>
        <w:t>35</w:t>
      </w:r>
      <w:r>
        <w:rPr>
          <w:rFonts w:ascii="Sakkal Majalla" w:eastAsiaTheme="minorEastAsia" w:hAnsi="Sakkal Majalla" w:cs="Sakkal Majalla"/>
          <w:color w:val="AAAAAA"/>
          <w:kern w:val="0"/>
          <w:sz w:val="26"/>
          <w:szCs w:val="26"/>
          <w:rtl/>
          <w14:ligatures w14:val="none"/>
        </w:rPr>
        <w:t xml:space="preserve">  ..........................................  </w:t>
      </w:r>
      <w:r>
        <w:rPr>
          <w:rFonts w:ascii="Sakkal Majalla" w:eastAsiaTheme="minorEastAsia" w:hAnsi="Sakkal Majalla" w:cs="Sakkal Majalla"/>
          <w:color w:val="000000"/>
          <w:kern w:val="0"/>
          <w:sz w:val="26"/>
          <w:szCs w:val="26"/>
          <w:rtl/>
          <w14:ligatures w14:val="none"/>
        </w:rPr>
        <w:t>جدول (10): نتائج اختبار معاملات الارتباط للفرضيات الفرعية</w:t>
      </w:r>
    </w:p>
    <w:p w14:paraId="3584F6FC" w14:textId="77777777" w:rsidR="00194CE3" w:rsidRPr="00E03D03" w:rsidRDefault="00194CE3" w:rsidP="00C362C0">
      <w:pPr>
        <w:spacing w:after="300" w:line="240" w:lineRule="auto"/>
        <w:rPr>
          <w:rFonts w:ascii="Sakkal Majalla" w:eastAsiaTheme="minorEastAsia" w:hAnsi="Sakkal Majalla" w:cs="Sakkal Majalla"/>
          <w:color w:val="000000"/>
          <w:kern w:val="0"/>
          <w:sz w:val="26"/>
          <w:szCs w:val="26"/>
          <w:rtl/>
          <w14:ligatures w14:val="none"/>
        </w:rPr>
      </w:pPr>
      <w:r>
        <w:rPr>
          <w:rFonts w:ascii="Sakkal Majalla" w:eastAsiaTheme="minorEastAsia" w:hAnsi="Sakkal Majalla" w:cs="Sakkal Majalla"/>
          <w:color w:val="2E5090"/>
          <w:kern w:val="0"/>
          <w:sz w:val="26"/>
          <w:szCs w:val="26"/>
          <w:rtl/>
          <w14:ligatures w14:val="none"/>
        </w:rPr>
        <w:t>17</w:t>
      </w:r>
      <w:r>
        <w:rPr>
          <w:rFonts w:ascii="Sakkal Majalla" w:eastAsiaTheme="minorEastAsia" w:hAnsi="Sakkal Majalla" w:cs="Sakkal Majalla"/>
          <w:color w:val="AAAAAA"/>
          <w:kern w:val="0"/>
          <w:sz w:val="26"/>
          <w:szCs w:val="26"/>
          <w:rtl/>
          <w14:ligatures w14:val="none"/>
        </w:rPr>
        <w:t xml:space="preserve">  ..........................................  </w:t>
      </w:r>
      <w:r>
        <w:rPr>
          <w:rFonts w:ascii="Sakkal Majalla" w:eastAsiaTheme="minorEastAsia" w:hAnsi="Sakkal Majalla" w:cs="Sakkal Majalla"/>
          <w:color w:val="000000"/>
          <w:kern w:val="0"/>
          <w:sz w:val="26"/>
          <w:szCs w:val="26"/>
          <w:rtl/>
          <w14:ligatures w14:val="none"/>
        </w:rPr>
        <w:t>جدول (11): مقارنة الدراسة الحالية بالدراسات السابقة</w:t>
      </w:r>
    </w:p>
    <w:p w14:paraId="396DEF86" w14:textId="77777777" w:rsidR="00194CE3" w:rsidRDefault="00194CE3" w:rsidP="00C362C0">
      <w:pPr>
        <w:spacing w:after="300" w:line="240" w:lineRule="auto"/>
        <w:rPr>
          <w:rFonts w:ascii="Sakkal Majalla" w:eastAsiaTheme="minorEastAsia" w:hAnsi="Sakkal Majalla" w:cs="Sakkal Majalla"/>
          <w:color w:val="1F3864"/>
          <w:kern w:val="0"/>
          <w:sz w:val="26"/>
          <w:szCs w:val="26"/>
          <w:rtl/>
          <w14:ligatures w14:val="none"/>
        </w:rPr>
      </w:pPr>
    </w:p>
    <w:p w14:paraId="498AC497" w14:textId="77777777" w:rsidR="00E03D03" w:rsidRDefault="00E03D03" w:rsidP="00E03D03">
      <w:pPr>
        <w:spacing w:after="300" w:line="240" w:lineRule="auto"/>
        <w:rPr>
          <w:rFonts w:ascii="Sakkal Majalla" w:eastAsiaTheme="minorEastAsia" w:hAnsi="Sakkal Majalla" w:cs="Sakkal Majalla"/>
          <w:color w:val="1F3864"/>
          <w:kern w:val="0"/>
          <w:sz w:val="26"/>
          <w:szCs w:val="26"/>
          <w:rtl/>
          <w14:ligatures w14:val="none"/>
        </w:rPr>
      </w:pPr>
    </w:p>
    <w:p w14:paraId="6BA4B7AF" w14:textId="77777777" w:rsidR="00E03D03" w:rsidRDefault="00E03D03" w:rsidP="00E03D03">
      <w:pPr>
        <w:spacing w:after="300" w:line="240" w:lineRule="auto"/>
        <w:rPr>
          <w:rFonts w:ascii="Sakkal Majalla" w:eastAsiaTheme="minorEastAsia" w:hAnsi="Sakkal Majalla" w:cs="Sakkal Majalla"/>
          <w:color w:val="1F3864"/>
          <w:kern w:val="0"/>
          <w:sz w:val="26"/>
          <w:szCs w:val="26"/>
          <w:rtl/>
          <w14:ligatures w14:val="none"/>
        </w:rPr>
      </w:pPr>
    </w:p>
    <w:p w14:paraId="2927A4D2" w14:textId="77777777" w:rsidR="00E03D03" w:rsidRDefault="00E03D03" w:rsidP="00E03D03">
      <w:pPr>
        <w:spacing w:after="300" w:line="240" w:lineRule="auto"/>
        <w:rPr>
          <w:rFonts w:ascii="Sakkal Majalla" w:eastAsiaTheme="minorEastAsia" w:hAnsi="Sakkal Majalla" w:cs="Sakkal Majalla"/>
          <w:color w:val="1F3864"/>
          <w:kern w:val="0"/>
          <w:sz w:val="26"/>
          <w:szCs w:val="26"/>
          <w:rtl/>
          <w14:ligatures w14:val="none"/>
        </w:rPr>
      </w:pPr>
    </w:p>
    <w:p w14:paraId="70EAC382" w14:textId="77777777" w:rsidR="00E03D03" w:rsidRDefault="00E03D03" w:rsidP="00E03D03">
      <w:pPr>
        <w:spacing w:after="300" w:line="240" w:lineRule="auto"/>
        <w:rPr>
          <w:rFonts w:ascii="Sakkal Majalla" w:eastAsiaTheme="minorEastAsia" w:hAnsi="Sakkal Majalla" w:cs="Sakkal Majalla"/>
          <w:color w:val="1F3864"/>
          <w:kern w:val="0"/>
          <w:sz w:val="26"/>
          <w:szCs w:val="26"/>
          <w:rtl/>
          <w14:ligatures w14:val="none"/>
        </w:rPr>
      </w:pPr>
    </w:p>
    <w:p w14:paraId="795B4D68" w14:textId="77777777" w:rsidR="00E03D03" w:rsidRDefault="00E03D03" w:rsidP="00E03D03">
      <w:pPr>
        <w:spacing w:after="300" w:line="240" w:lineRule="auto"/>
        <w:rPr>
          <w:rFonts w:ascii="Sakkal Majalla" w:eastAsiaTheme="minorEastAsia" w:hAnsi="Sakkal Majalla" w:cs="Sakkal Majalla"/>
          <w:color w:val="1F3864"/>
          <w:kern w:val="0"/>
          <w:sz w:val="26"/>
          <w:szCs w:val="26"/>
          <w:rtl/>
          <w14:ligatures w14:val="none"/>
        </w:rPr>
      </w:pPr>
    </w:p>
    <w:p w14:paraId="3EB5804C" w14:textId="77777777" w:rsidR="00E03D03" w:rsidRPr="00E03D03" w:rsidRDefault="00E03D03" w:rsidP="00E03D03">
      <w:pPr>
        <w:spacing w:after="300" w:line="240" w:lineRule="auto"/>
        <w:rPr>
          <w:rFonts w:ascii="Sakkal Majalla" w:eastAsiaTheme="minorEastAsia" w:hAnsi="Sakkal Majalla" w:cs="Sakkal Majalla"/>
          <w:color w:val="1F3864"/>
          <w:kern w:val="0"/>
          <w:sz w:val="26"/>
          <w:szCs w:val="26"/>
          <w:rtl/>
          <w14:ligatures w14:val="none"/>
        </w:rPr>
      </w:pPr>
    </w:p>
    <w:p w14:paraId="5407C4A4" w14:textId="77777777" w:rsidR="00194CE3" w:rsidRPr="00194CE3" w:rsidRDefault="00194CE3" w:rsidP="00194CE3">
      <w:pPr>
        <w:spacing w:after="300" w:line="240" w:lineRule="auto"/>
        <w:jc w:val="right"/>
        <w:rPr>
          <w:rFonts w:ascii="Arial" w:eastAsiaTheme="minorEastAsia" w:hAnsi="Arial" w:cs="Arial"/>
          <w:color w:val="1F3864"/>
          <w:kern w:val="0"/>
          <w:sz w:val="26"/>
          <w:szCs w:val="26"/>
          <w:rtl/>
          <w14:ligatures w14:val="none"/>
        </w:rPr>
      </w:pPr>
    </w:p>
    <w:p w14:paraId="490FAA09" w14:textId="77777777" w:rsidR="00194CE3" w:rsidRPr="00E03D03" w:rsidRDefault="00194CE3" w:rsidP="001226CA">
      <w:pPr>
        <w:spacing w:after="300" w:line="360" w:lineRule="auto"/>
        <w:rPr>
          <w:rFonts w:ascii="Sakkal Majalla" w:eastAsiaTheme="minorEastAsia" w:hAnsi="Sakkal Majalla" w:cs="Sakkal Majalla"/>
          <w:color w:val="1F3864"/>
          <w:kern w:val="0"/>
          <w:sz w:val="34"/>
          <w:szCs w:val="34"/>
          <w:rtl/>
          <w14:ligatures w14:val="none"/>
        </w:rPr>
      </w:pPr>
      <w:r>
        <w:rPr>
          <w:rFonts w:ascii="Sakkal Majalla" w:eastAsiaTheme="minorEastAsia" w:hAnsi="Sakkal Majalla" w:cs="Sakkal Majalla"/>
          <w:color w:val="1F3864"/>
          <w:kern w:val="0"/>
          <w:sz w:val="34"/>
          <w:szCs w:val="34"/>
          <w:rtl/>
          <w14:ligatures w14:val="none"/>
        </w:rPr>
        <w:t>المستخلص</w:t>
      </w:r>
    </w:p>
    <w:p w14:paraId="78FAE8AB" w14:textId="77777777" w:rsidR="00194CE3" w:rsidRPr="00E03D03" w:rsidRDefault="00194CE3" w:rsidP="001226CA">
      <w:pPr>
        <w:spacing w:after="30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تهدف هذه الدراسة إلى استكشاف أثر ثقافة المنظمة نحو التحول الرقمي على مستوى أداء الموظفين في وزارة الموارد البشرية والتنمية الاجتماعية بالمملكة العربية السعودية. وتنطلق الدراسة من أهمية البُعد الثقافي والقيمي في تحديد مدى استجابة الموظفين لمتطلبات التحول الرقمي، في ظل توجهات رؤية 2030 نحو تحديث القطاع الحكومي ورفع كفاءته.</w:t>
      </w:r>
    </w:p>
    <w:p w14:paraId="4CBCDA50" w14:textId="77777777" w:rsidR="00194CE3" w:rsidRPr="00E03D03" w:rsidRDefault="00194CE3" w:rsidP="001226CA">
      <w:pPr>
        <w:spacing w:after="30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اعتمدت الدراسة على المنهج الوصفي التحليلي، وتمثّلت أداة جمع البيانات في استبانة مُصمَّمة خصيصاً لقياس متغيري الدراسة: ثقافة التحول الرقمي بأبعاده الأربعة (القيم والتوجهات الرقمية، والانفتاح على التغيير التقني، وثقافة التعلم والابتكار الرقمي، والتعاون والتواصل الرقمي)، وأداء الموظفين بمؤشراته الأربعة (جودة الأداء الوظيفي، والإنتاجية والفاعلية، والمبادرة والابتكار، والالتزام بالتحول الرقمي). طُبِّقت الأداة على عينة عشوائية طبقية من موظفي الوزارة.</w:t>
      </w:r>
    </w:p>
    <w:p w14:paraId="04100203" w14:textId="77777777" w:rsidR="00194CE3" w:rsidRPr="00E03D03" w:rsidRDefault="00194CE3" w:rsidP="001226CA">
      <w:pPr>
        <w:spacing w:after="30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تُسهم نتائج الدراسة في إثراء الأدبيات العربية المتعلقة بالثقافة الرقمية وأداء الموظفين، وتُقدِّم توصيات عملية لصانعي القرار في المنظمات الحكومية السعودية تُعزِّز بيئة العمل الرقمية وترفع مستوى الكفاءة المؤسسية.</w:t>
      </w:r>
    </w:p>
    <w:p w14:paraId="7529E37C" w14:textId="77777777" w:rsidR="00194CE3" w:rsidRPr="00E03D03" w:rsidRDefault="00194CE3" w:rsidP="001226CA">
      <w:pPr>
        <w:spacing w:after="30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الكلمات المفتاحية: ثقافة المنظمة، التحول الرقمي، أداء الموظفين، الثقافة الرقمية، رؤية 2030، وزارة الموارد البشرية والتنمية الاجتماعية.</w:t>
      </w:r>
    </w:p>
    <w:p w14:paraId="6309074D" w14:textId="77777777" w:rsidR="00194CE3" w:rsidRPr="00E03D03" w:rsidRDefault="00194CE3" w:rsidP="001226CA">
      <w:pPr>
        <w:spacing w:after="300" w:line="360" w:lineRule="auto"/>
        <w:rPr>
          <w:rFonts w:ascii="Sakkal Majalla" w:eastAsiaTheme="minorEastAsia" w:hAnsi="Sakkal Majalla" w:cs="Sakkal Majalla"/>
          <w:color w:val="1F3864"/>
          <w:kern w:val="0"/>
          <w:sz w:val="34"/>
          <w:szCs w:val="34"/>
          <w:rtl/>
          <w14:ligatures w14:val="none"/>
        </w:rPr>
      </w:pPr>
      <w:r>
        <w:rPr>
          <w:rFonts w:ascii="Sakkal Majalla" w:eastAsiaTheme="minorEastAsia" w:hAnsi="Sakkal Majalla" w:cs="Sakkal Majalla"/>
          <w:color w:val="1F3864"/>
          <w:kern w:val="0"/>
          <w:sz w:val="34"/>
          <w:szCs w:val="34"/>
          <w14:ligatures w14:val="none"/>
        </w:rPr>
        <w:lastRenderedPageBreak/>
        <w:t>Abstract</w:t>
      </w:r>
    </w:p>
    <w:p w14:paraId="6C6A0D88" w14:textId="77777777" w:rsidR="00194CE3" w:rsidRPr="00E03D03" w:rsidRDefault="00194CE3" w:rsidP="001226CA">
      <w:pPr>
        <w:spacing w:after="30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14:ligatures w14:val="none"/>
        </w:rPr>
        <w:t>This study aims to explore the impact of organizational culture toward digital transformation on employee performance in the Ministry of Human Resources and Social Development in Saudi Arabia. The study emphasizes the cultural and value-based dimension in determining the responsiveness of employees to digital transformation requirements, in the context of Vision 2030 directives toward modernizing and enhancing the efficiency of the government sector.</w:t>
      </w:r>
    </w:p>
    <w:p w14:paraId="3B95FE36" w14:textId="77777777" w:rsidR="00194CE3" w:rsidRPr="00E03D03" w:rsidRDefault="00194CE3" w:rsidP="001226CA">
      <w:pPr>
        <w:spacing w:after="300" w:line="360" w:lineRule="auto"/>
        <w:rPr>
          <w:rFonts w:ascii="Sakkal Majalla" w:eastAsiaTheme="minorEastAsia" w:hAnsi="Sakkal Majalla" w:cs="Sakkal Majalla"/>
          <w:color w:val="000000"/>
          <w:kern w:val="0"/>
          <w:sz w:val="34"/>
          <w:szCs w:val="34"/>
          <w14:ligatures w14:val="none"/>
        </w:rPr>
      </w:pPr>
      <w:r>
        <w:rPr>
          <w:rFonts w:ascii="Sakkal Majalla" w:eastAsiaTheme="minorEastAsia" w:hAnsi="Sakkal Majalla" w:cs="Sakkal Majalla"/>
          <w:color w:val="000000"/>
          <w:kern w:val="0"/>
          <w:sz w:val="34"/>
          <w:szCs w:val="34"/>
          <w14:ligatures w14:val="none"/>
        </w:rPr>
        <w:t>The study adopted the descriptive-analytical approach. The data collection instrument was a questionnaire specifically designed to measure the two study variables: digital transformation culture with its four dimensions (digital values and orientations, openness to technological change, digital learning and innovation culture, and digital collaboration and communication), and employee performance with its four indicators (quality of job performance, productivity and effectiveness, initiative and innovation, and commitment to digital transformation).</w:t>
      </w:r>
    </w:p>
    <w:p w14:paraId="0446355D" w14:textId="77777777" w:rsidR="00194CE3" w:rsidRPr="00E03D03" w:rsidRDefault="00194CE3" w:rsidP="001226CA">
      <w:pPr>
        <w:spacing w:after="300" w:line="360" w:lineRule="auto"/>
        <w:rPr>
          <w:rFonts w:ascii="Sakkal Majalla" w:eastAsiaTheme="minorEastAsia" w:hAnsi="Sakkal Majalla" w:cs="Sakkal Majalla"/>
          <w:color w:val="000000"/>
          <w:kern w:val="0"/>
          <w:sz w:val="34"/>
          <w:szCs w:val="34"/>
          <w14:ligatures w14:val="none"/>
        </w:rPr>
      </w:pPr>
      <w:r>
        <w:rPr>
          <w:rFonts w:ascii="Sakkal Majalla" w:eastAsiaTheme="minorEastAsia" w:hAnsi="Sakkal Majalla" w:cs="Sakkal Majalla"/>
          <w:color w:val="000000"/>
          <w:kern w:val="0"/>
          <w:sz w:val="34"/>
          <w:szCs w:val="34"/>
          <w14:ligatures w14:val="none"/>
        </w:rPr>
        <w:t>Keywords: Organizational Culture, Digital Transformation, Employee Performance, Digital Culture, Vision 2030, Ministry of Human Resources and Social Development.</w:t>
      </w:r>
    </w:p>
    <w:p w14:paraId="1479D8CD" w14:textId="77777777" w:rsidR="00194CE3" w:rsidRPr="00E03D03" w:rsidRDefault="00194CE3" w:rsidP="001226CA">
      <w:pPr>
        <w:spacing w:after="300" w:line="360" w:lineRule="auto"/>
        <w:rPr>
          <w:rFonts w:ascii="Sakkal Majalla" w:eastAsiaTheme="minorEastAsia" w:hAnsi="Sakkal Majalla" w:cs="Sakkal Majalla"/>
          <w:color w:val="1F3864"/>
          <w:kern w:val="0"/>
          <w:sz w:val="34"/>
          <w:szCs w:val="34"/>
          <w14:ligatures w14:val="none"/>
        </w:rPr>
      </w:pPr>
      <w:r>
        <w:rPr>
          <w:rFonts w:ascii="Sakkal Majalla" w:eastAsiaTheme="minorEastAsia" w:hAnsi="Sakkal Majalla" w:cs="Sakkal Majalla"/>
          <w:color w:val="1F3864"/>
          <w:kern w:val="0"/>
          <w:sz w:val="34"/>
          <w:szCs w:val="34"/>
          <w:rtl/>
          <w14:ligatures w14:val="none"/>
        </w:rPr>
        <w:t>الفصل الأول: الإطار العام للدراسة</w:t>
      </w:r>
    </w:p>
    <w:p w14:paraId="217EE3CD" w14:textId="77777777" w:rsidR="00194CE3" w:rsidRPr="00E03D03" w:rsidRDefault="00194CE3" w:rsidP="001226CA">
      <w:pPr>
        <w:spacing w:after="225" w:line="360" w:lineRule="auto"/>
        <w:rPr>
          <w:rFonts w:ascii="Sakkal Majalla" w:eastAsiaTheme="minorEastAsia" w:hAnsi="Sakkal Majalla" w:cs="Sakkal Majalla"/>
          <w:color w:val="1F3864"/>
          <w:kern w:val="0"/>
          <w:sz w:val="34"/>
          <w:szCs w:val="34"/>
          <w14:ligatures w14:val="none"/>
        </w:rPr>
      </w:pPr>
    </w:p>
    <w:p w14:paraId="1BF5F336" w14:textId="77777777" w:rsidR="00194CE3" w:rsidRPr="00E03D03" w:rsidRDefault="00194CE3" w:rsidP="001226CA">
      <w:pPr>
        <w:spacing w:after="225"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أولاً: مقدمة الدراسة</w:t>
      </w:r>
    </w:p>
    <w:p w14:paraId="458019E3"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تعيش المملكة العربية السعودية مرحلة تحوّل شاملة وعميقة في ظل رؤية 2030، إذ تتصدر وزارة الموارد البشرية والتنمية الاجتماعية مشهد الإصلاح الإداري والتحديث المؤسسي. ويُعدّ التحول الرقمي أحد أبرز ركائز هذا التحول، حيث بات توظيف التقنية ورقمنة الخدمات مدخلاً استراتيجياً لتحسين الأداء الحكومي ورفع رضا المستفيدين وتحقيق الكفاءة التشغيلية.</w:t>
      </w:r>
    </w:p>
    <w:p w14:paraId="5E6DE6F0"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غير أن نجاح التحول الرقمي لا يقتصر على توفير البنية التحتية التقنية أو اقتناء أحدث الأنظمة والبرمجيات، بل يرتبط ارتباطاً وثيقاً بالثقافة التنظيمية السائدة داخل المنظمة. فالثقافة التي تتبنى الانفتاح على التغيير وتعزز الكفاءة الرقمية وتشجع على التعلم والابتكار، هي التي تُمكِّن الموظفين من استيعاب متطلبات التحول الرقمي والتعامل معها بفاعلية ومرونة عالية.</w:t>
      </w:r>
    </w:p>
    <w:p w14:paraId="39417E59"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لقد أصبح التحول الرقمي ضرورةً حتمية وليس خياراً في ظل التغيرات المتسارعة في بيئة الأعمال الحكومية، فقد أسهمت التقنيات الرقمية المتقدمة كالذكاء الاصطناعي وتحليل البيانات الضخمة والحوسبة السحابية في إعادة تشكيل العمليات الإدارية وأساليب تقديم الخدمات الحكومية. وفي هذا السياق، تكتسب دراسة دور الثقافة التنظيمية كعامل محوري في تحقيق نجاح التحول الرقمي أهميةً بالغةً.</w:t>
      </w:r>
    </w:p>
    <w:p w14:paraId="2098EB29"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 xml:space="preserve">تُركز هذه الدراسة على وزارة الموارد البشرية والتنمية الاجتماعية بوصفها نموذجاً حكومياً رائداً في مسيرة التحديث والتحول، وذلك من خلال استكشاف أثر ثقافة المنظمة الداعمة </w:t>
      </w:r>
      <w:r>
        <w:rPr>
          <w:rFonts w:ascii="Sakkal Majalla" w:eastAsiaTheme="minorEastAsia" w:hAnsi="Sakkal Majalla" w:cs="Sakkal Majalla"/>
          <w:color w:val="000000"/>
          <w:kern w:val="0"/>
          <w:sz w:val="34"/>
          <w:szCs w:val="34"/>
          <w:rtl/>
          <w14:ligatures w14:val="none"/>
        </w:rPr>
        <w:lastRenderedPageBreak/>
        <w:t>للتحول الرقمي على مستوى أداء موظفيها، ومن ثَمَّ تقديم إطار تحليلي شامل يُعزِّز فهم هذه العلاقة ويُرسي قواعد علمية راسخة لتطوير السياسات والممارسات الإدارية في القطاع الحكومي السعودي.</w:t>
      </w:r>
    </w:p>
    <w:p w14:paraId="25823AAB" w14:textId="77777777" w:rsidR="00194CE3" w:rsidRPr="00E03D03" w:rsidRDefault="00194CE3" w:rsidP="001226CA">
      <w:pPr>
        <w:spacing w:after="225" w:line="360" w:lineRule="auto"/>
        <w:rPr>
          <w:rFonts w:ascii="Sakkal Majalla" w:eastAsiaTheme="minorEastAsia" w:hAnsi="Sakkal Majalla" w:cs="Sakkal Majalla"/>
          <w:color w:val="2E5090"/>
          <w:kern w:val="0"/>
          <w:sz w:val="34"/>
          <w:szCs w:val="34"/>
          <w:rtl/>
          <w14:ligatures w14:val="none"/>
        </w:rPr>
      </w:pPr>
    </w:p>
    <w:p w14:paraId="1011837F" w14:textId="77777777" w:rsidR="00194CE3" w:rsidRPr="00E03D03" w:rsidRDefault="00194CE3" w:rsidP="001226CA">
      <w:pPr>
        <w:spacing w:after="225"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ثانياً: مشكلة الدراسة</w:t>
      </w:r>
    </w:p>
    <w:p w14:paraId="0AEE5CA8"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على الرغم من الاستثمارات الضخمة التي تضخّها وزارة الموارد البشرية والتنمية الاجتماعية في مشاريع التحول الرقمي، وما ترافق ذلك من بنى تحتية متطورة وأنظمة إلكترونية متقدمة، إلا أن ثمة تفاوتاً ملحوظاً في مستوى استجابة الموظفين لهذه المبادرات، وتفاوتاً في الأداء الوظيفي يُعزى جزء منه إلى العوامل الثقافية التنظيمية.</w:t>
      </w:r>
    </w:p>
    <w:p w14:paraId="75655160"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وتتضح أبرز مظاهر هذه المشكلة في ملاحظات ميدانية وتقارير حكومية متعددة تُشير إلى أن بعض الموظفين يُبدون مقاومةً للتغيير الرقمي، أو يفتقرون إلى القيم والسلوكيات الداعمة للعمل الرقمي، مما يُضعف فاعلية التحول الرقمي ويُقلِّل من العوائد المأمولة منه على مستوى الأداء الوظيفي. وفي ضوء هذا الواقع، تتمثّل إشكالية الدراسة في التساؤل الجوهري التالي:</w:t>
      </w:r>
    </w:p>
    <w:p w14:paraId="4AEFC07E"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ما أثر ثقافة المنظمة نحو التحول الرقمي على مستوى أداء الموظفين في وزارة الموارد البشرية والتنمية الاجتماعية بالمملكة العربية السعودية؟</w:t>
      </w:r>
    </w:p>
    <w:p w14:paraId="6AB87BE9" w14:textId="77777777" w:rsidR="00194CE3" w:rsidRPr="00E03D03" w:rsidRDefault="00194CE3" w:rsidP="001226CA">
      <w:pPr>
        <w:spacing w:after="225" w:line="360" w:lineRule="auto"/>
        <w:rPr>
          <w:rFonts w:ascii="Sakkal Majalla" w:eastAsiaTheme="minorEastAsia" w:hAnsi="Sakkal Majalla" w:cs="Sakkal Majalla"/>
          <w:color w:val="2E5090"/>
          <w:kern w:val="0"/>
          <w:sz w:val="34"/>
          <w:szCs w:val="34"/>
          <w:rtl/>
          <w14:ligatures w14:val="none"/>
        </w:rPr>
      </w:pPr>
    </w:p>
    <w:p w14:paraId="42768731"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lastRenderedPageBreak/>
        <w:t>ثالثاً: أهمية الدراسة</w:t>
      </w:r>
    </w:p>
    <w:p w14:paraId="582D2BB4" w14:textId="77777777" w:rsidR="00194CE3" w:rsidRPr="00E03D03" w:rsidRDefault="00194CE3" w:rsidP="001226CA">
      <w:pPr>
        <w:spacing w:after="75"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1. الأهمية العلمية (النظرية)</w:t>
      </w:r>
    </w:p>
    <w:p w14:paraId="57F28E7A"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إثراء الأدبيات العربية بدراسة تربط ثقافة المنظمة الرقمية بالأداء الوظيفي في القطاع الحكومي السعودي، وهو مجال يشحّ فيه البحث الأكاديمي المتخصص.</w:t>
      </w:r>
    </w:p>
    <w:p w14:paraId="0F50C25A"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تقديم إطار نظري متكامل لمفهوم الثقافة التنظيمية الداعمة للتحول الرقمي وفق أحدث النماذج الإدارية العالمية، مُكيَّفاً مع البيئة الحكومية السعودية.</w:t>
      </w:r>
    </w:p>
    <w:p w14:paraId="283CBCFB"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فتح آفاق بحثية جديدة لدراسة المتغيرات المؤثرة في نجاح التحول الرقمي داخل الوزارات الحكومية، وتحفيز الباحثين على توسيع نطاق الدراسات المقارنة.</w:t>
      </w:r>
    </w:p>
    <w:p w14:paraId="3D2AAB32" w14:textId="77777777" w:rsidR="00194CE3" w:rsidRPr="00E03D03" w:rsidRDefault="00194CE3" w:rsidP="001226CA">
      <w:pPr>
        <w:spacing w:after="15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المساهمة في بناء نماذج قياسية معيارية يمكن تطبيقها في تقييم الجاهزية الثقافية للمنظمات الحكومية للتحول الرقمي.</w:t>
      </w:r>
    </w:p>
    <w:p w14:paraId="28F677FB" w14:textId="77777777" w:rsidR="00194CE3" w:rsidRPr="00E03D03" w:rsidRDefault="00194CE3" w:rsidP="001226CA">
      <w:pPr>
        <w:spacing w:after="75"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2. الأهمية العملية (التطبيقية)</w:t>
      </w:r>
    </w:p>
    <w:p w14:paraId="1265915B"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مساعدة صانعي القرار في الوزارة على تصميم برامج ثقافية وتدريبية تُعجِّل بالتحول الرقمي وترفع مستوى الأداء الوظيفي.</w:t>
      </w:r>
    </w:p>
    <w:p w14:paraId="5D861A3C"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تقديم توصيات إجرائية قابلة للتطبيق لتعزيز ثقافة الانفتاح التقني والتعلم المستمر في بيئة العمل الحكومية.</w:t>
      </w:r>
    </w:p>
    <w:p w14:paraId="7CA96941"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الإسهام في تحقيق مستهدفات رؤية 2030 المتعلقة بالتحول الرقمي وتطوير الكوادر البشرية الوطنية.</w:t>
      </w:r>
    </w:p>
    <w:p w14:paraId="0A37CD51"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lastRenderedPageBreak/>
        <w:t>توفير أداة قياس علمية معتمدة يمكن الاستفادة منها في تقييم الجاهزية الرقمية للموظفين في مختلف الوزارات والجهات الحكومية السعودية.</w:t>
      </w:r>
    </w:p>
    <w:p w14:paraId="19CC42B8"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p>
    <w:p w14:paraId="4C28395A"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رابعاً: أهداف الدراسة</w:t>
      </w:r>
    </w:p>
    <w:p w14:paraId="3E2D077D"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الهدف الرئيسي</w:t>
      </w:r>
    </w:p>
    <w:p w14:paraId="60851F6C"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التعرف على أثر ثقافة المنظمة نحو التحول الرقمي على مستوى أداء الموظفين في وزارة الموارد البشرية والتنمية الاجتماعية بالمملكة العربية السعودية.</w:t>
      </w:r>
    </w:p>
    <w:p w14:paraId="6E136A58" w14:textId="77777777" w:rsidR="00194CE3" w:rsidRPr="00E03D03" w:rsidRDefault="00194CE3" w:rsidP="001226CA">
      <w:pPr>
        <w:spacing w:after="75"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الأهداف الفرعية</w:t>
      </w:r>
    </w:p>
    <w:p w14:paraId="79E39253"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قياس مستوى ثقافة التحول الرقمي السائدة في الوزارة من وجهة نظر الموظفين أنفسهم، وتحديد نقاط القوة والضعف فيها.</w:t>
      </w:r>
    </w:p>
    <w:p w14:paraId="2A716A9F"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تشخيص مستوى أداء الموظفين في ضوء متطلبات وأبعاد التحول الرقمي وقياسه وفق مؤشرات موضوعية.</w:t>
      </w:r>
    </w:p>
    <w:p w14:paraId="5C1421F6"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تحليل العلاقة بين أبعاد ثقافة المنظمة الرقمية (القيم، المعتقدات، السلوكيات، التوجهات) والأداء الوظيفي بصورة كمية دقيقة.</w:t>
      </w:r>
    </w:p>
    <w:p w14:paraId="0B67D028"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الكشف عن الفروق الإحصائية في تصورات الموظفين لثقافة التحول الرقمي وأثرها على الأداء وفق المتغيرات الديموغرافية (الجنس، الخبرة، المؤهل العلمي، المسمى الوظيفي).</w:t>
      </w:r>
    </w:p>
    <w:p w14:paraId="28A956B0"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تقديم توصيات عملية لتعزيز الثقافة الرقمية ورفع مستوى الأداء المؤسسي في الوزارة.</w:t>
      </w:r>
    </w:p>
    <w:p w14:paraId="036F74B5"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p>
    <w:p w14:paraId="65DD0444"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lastRenderedPageBreak/>
        <w:t>خامساً: تساؤلات الدراسة</w:t>
      </w:r>
    </w:p>
    <w:p w14:paraId="6AF98D9A"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التساؤل الرئيسي</w:t>
      </w:r>
    </w:p>
    <w:p w14:paraId="02BA322D"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ما مدى تأثير ثقافة المنظمة نحو التحول الرقمي في أداء الموظفين بوزارة الموارد البشرية والتنمية الاجتماعية بالمملكة العربية السعودية؟</w:t>
      </w:r>
    </w:p>
    <w:p w14:paraId="3C23AB1C" w14:textId="77777777" w:rsidR="00194CE3" w:rsidRPr="00E03D03" w:rsidRDefault="00194CE3" w:rsidP="001226CA">
      <w:pPr>
        <w:spacing w:after="75"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التساؤلات الفرعية</w:t>
      </w:r>
    </w:p>
    <w:p w14:paraId="3F6824F2"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ما واقع ثقافة التحول الرقمي السائدة في وزارة الموارد البشرية والتنمية الاجتماعية من وجهة نظر موظفيها؟</w:t>
      </w:r>
    </w:p>
    <w:p w14:paraId="195E253E"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ما مستوى أداء الموظفين الإداريين في الوزارة في ضوء متطلبات التحول الرقمي؟</w:t>
      </w:r>
    </w:p>
    <w:p w14:paraId="4BC78062"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هل توجد علاقة ذات دلالة إحصائية عند مستوى (</w:t>
      </w:r>
      <w:r>
        <w:rPr>
          <w:rFonts w:ascii="Cambria" w:eastAsia="Times New Roman" w:hAnsi="Cambria" w:cs="Cambria"/>
          <w:color w:val="000000"/>
          <w:kern w:val="0"/>
          <w:sz w:val="34"/>
          <w:szCs w:val="34"/>
          <w14:ligatures w14:val="none"/>
        </w:rPr>
        <w:t>α</w:t>
      </w:r>
      <w:r>
        <w:rPr>
          <w:rFonts w:ascii="Sakkal Majalla" w:eastAsia="Times New Roman" w:hAnsi="Sakkal Majalla" w:cs="Sakkal Majalla"/>
          <w:color w:val="000000"/>
          <w:kern w:val="0"/>
          <w:sz w:val="34"/>
          <w:szCs w:val="34"/>
          <w14:ligatures w14:val="none"/>
        </w:rPr>
        <w:t xml:space="preserve"> ≤ 0.05) </w:t>
      </w:r>
      <w:r>
        <w:rPr>
          <w:rFonts w:ascii="Sakkal Majalla" w:eastAsia="Times New Roman" w:hAnsi="Sakkal Majalla" w:cs="Sakkal Majalla"/>
          <w:color w:val="000000"/>
          <w:kern w:val="0"/>
          <w:sz w:val="34"/>
          <w:szCs w:val="34"/>
          <w:rtl/>
          <w14:ligatures w14:val="none"/>
        </w:rPr>
        <w:t>بين ثقافة المنظمة نحو التحول الرقمي وأداء الموظفين؟</w:t>
      </w:r>
    </w:p>
    <w:p w14:paraId="3F9506AB"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هل توجد فروق ذات دلالة إحصائية في مستوى أداء الموظفين تُعزى لمتغيرات (الجنس، الخبرة، المؤهل العلمي)؟</w:t>
      </w:r>
    </w:p>
    <w:p w14:paraId="532DAA82"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ما أكثر أبعاد ثقافة التحول الرقمي تأثيراً في مستوى أداء الموظفين؟</w:t>
      </w:r>
    </w:p>
    <w:p w14:paraId="19F315A5"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p>
    <w:p w14:paraId="1D921B4F" w14:textId="77777777" w:rsidR="00194CE3" w:rsidRPr="00E03D03" w:rsidRDefault="00194CE3" w:rsidP="001226CA">
      <w:pPr>
        <w:spacing w:after="225"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سادساً: فرضيات الدراسة</w:t>
      </w:r>
    </w:p>
    <w:p w14:paraId="092E5A4D"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بناءً على مشكلة الدراسة وأهدافها وأسئلتها، وفي ضوء الأدبيات النظرية والدراسات السابقة ذات الصلة، تُصاغ الفرضيات التالية:</w:t>
      </w:r>
    </w:p>
    <w:p w14:paraId="524B0314"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lastRenderedPageBreak/>
        <w:t>الفرضية الرئيسية:</w:t>
      </w:r>
    </w:p>
    <w:p w14:paraId="22C1FE91"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يوجد أثر ذو دلالة إحصائية عند مستوى (</w:t>
      </w:r>
      <w:r>
        <w:rPr>
          <w:rFonts w:ascii="Cambria" w:eastAsiaTheme="minorEastAsia" w:hAnsi="Cambria" w:cs="Cambria"/>
          <w:color w:val="000000"/>
          <w:kern w:val="0"/>
          <w:sz w:val="34"/>
          <w:szCs w:val="34"/>
          <w14:ligatures w14:val="none"/>
        </w:rPr>
        <w:t>α</w:t>
      </w:r>
      <w:r>
        <w:rPr>
          <w:rFonts w:ascii="Sakkal Majalla" w:eastAsiaTheme="minorEastAsia" w:hAnsi="Sakkal Majalla" w:cs="Sakkal Majalla"/>
          <w:color w:val="000000"/>
          <w:kern w:val="0"/>
          <w:sz w:val="34"/>
          <w:szCs w:val="34"/>
          <w14:ligatures w14:val="none"/>
        </w:rPr>
        <w:t xml:space="preserve"> ≤ 0.05) </w:t>
      </w:r>
      <w:r>
        <w:rPr>
          <w:rFonts w:ascii="Sakkal Majalla" w:eastAsiaTheme="minorEastAsia" w:hAnsi="Sakkal Majalla" w:cs="Sakkal Majalla"/>
          <w:color w:val="000000"/>
          <w:kern w:val="0"/>
          <w:sz w:val="34"/>
          <w:szCs w:val="34"/>
          <w:rtl/>
          <w14:ligatures w14:val="none"/>
        </w:rPr>
        <w:t>لثقافة المنظمة نحو التحول الرقمي على أداء موظفي وزارة الموارد البشرية والتنمية الاجتماعية.</w:t>
      </w:r>
    </w:p>
    <w:p w14:paraId="074FD486"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الفرضية الفرعية الأولى:</w:t>
      </w:r>
    </w:p>
    <w:p w14:paraId="1C98D5F9"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توجد علاقة ارتباطية طردية ذات دلالة إحصائية بين بُعد القيم والتوجهات الرقمية ومستوى أداء الموظفين.</w:t>
      </w:r>
    </w:p>
    <w:p w14:paraId="2E557B43"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الفرضية الفرعية الثانية:</w:t>
      </w:r>
    </w:p>
    <w:p w14:paraId="20668FF6"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توجد علاقة ارتباطية طردية ذات دلالة إحصائية بين بُعد الانفتاح على التغيير التقني ومستوى أداء الموظفين.</w:t>
      </w:r>
    </w:p>
    <w:p w14:paraId="19AD82F2"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الفرضية الفرعية الثالثة:</w:t>
      </w:r>
    </w:p>
    <w:p w14:paraId="308548B2"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توجد علاقة ارتباطية طردية ذات دلالة إحصائية بين بُعد ثقافة التعلم والابتكار الرقمي ومستوى أداء الموظفين.</w:t>
      </w:r>
    </w:p>
    <w:p w14:paraId="044292C9"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الفرضية الفرعية الرابعة:</w:t>
      </w:r>
    </w:p>
    <w:p w14:paraId="0905CC64"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توجد علاقة ارتباطية طردية ذات دلالة إحصائية بين بُعد التواصل والتعاون الرقمي ومستوى أداء الموظفين.</w:t>
      </w:r>
    </w:p>
    <w:p w14:paraId="3E7EC19D"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الفرضية الفرعية الخامسة:</w:t>
      </w:r>
    </w:p>
    <w:p w14:paraId="1FD68119"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lastRenderedPageBreak/>
        <w:t>لا توجد فروق ذات دلالة إحصائية في تصورات الموظفين لثقافة التحول الرقمي تُعزى لمتغير سنوات الخبرة.</w:t>
      </w:r>
    </w:p>
    <w:p w14:paraId="0323667D" w14:textId="77777777" w:rsidR="00194CE3" w:rsidRPr="00E03D03" w:rsidRDefault="00194CE3" w:rsidP="001226CA">
      <w:pPr>
        <w:spacing w:after="225" w:line="360" w:lineRule="auto"/>
        <w:rPr>
          <w:rFonts w:ascii="Sakkal Majalla" w:eastAsiaTheme="minorEastAsia" w:hAnsi="Sakkal Majalla" w:cs="Sakkal Majalla"/>
          <w:color w:val="2E5090"/>
          <w:kern w:val="0"/>
          <w:sz w:val="34"/>
          <w:szCs w:val="34"/>
          <w:rtl/>
          <w14:ligatures w14:val="none"/>
        </w:rPr>
      </w:pPr>
    </w:p>
    <w:p w14:paraId="001F8B0D"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سابعاً: متغيرات الدراسة</w:t>
      </w:r>
    </w:p>
    <w:p w14:paraId="552629B2"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أولاً: المتغير المستقل – ثقافة المنظمة نحو التحول الرقمي</w:t>
      </w:r>
    </w:p>
    <w:p w14:paraId="341A7670" w14:textId="77777777" w:rsidR="00194CE3" w:rsidRPr="00E03D03" w:rsidRDefault="00194CE3" w:rsidP="001226CA">
      <w:pPr>
        <w:spacing w:after="7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يشمل هذا المتغير الأبعاد التالية:</w:t>
      </w:r>
    </w:p>
    <w:p w14:paraId="763E7C07"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القيم والتوجهات الرقمية (</w:t>
      </w:r>
      <w:r>
        <w:rPr>
          <w:rFonts w:ascii="Sakkal Majalla" w:eastAsia="Times New Roman" w:hAnsi="Sakkal Majalla" w:cs="Sakkal Majalla"/>
          <w:color w:val="000000"/>
          <w:kern w:val="0"/>
          <w:sz w:val="34"/>
          <w:szCs w:val="34"/>
          <w14:ligatures w14:val="none"/>
        </w:rPr>
        <w:t>Digital Values</w:t>
      </w:r>
      <w:r>
        <w:rPr>
          <w:rFonts w:ascii="Sakkal Majalla" w:eastAsia="Times New Roman" w:hAnsi="Sakkal Majalla" w:cs="Sakkal Majalla"/>
          <w:color w:val="000000"/>
          <w:kern w:val="0"/>
          <w:sz w:val="34"/>
          <w:szCs w:val="34"/>
          <w:rtl/>
          <w14:ligatures w14:val="none"/>
        </w:rPr>
        <w:t xml:space="preserve"> &amp; </w:t>
      </w:r>
      <w:r>
        <w:rPr>
          <w:rFonts w:ascii="Sakkal Majalla" w:eastAsia="Times New Roman" w:hAnsi="Sakkal Majalla" w:cs="Sakkal Majalla"/>
          <w:color w:val="000000"/>
          <w:kern w:val="0"/>
          <w:sz w:val="34"/>
          <w:szCs w:val="34"/>
          <w14:ligatures w14:val="none"/>
        </w:rPr>
        <w:t>Orientations</w:t>
      </w:r>
      <w:r>
        <w:rPr>
          <w:rFonts w:ascii="Sakkal Majalla" w:eastAsia="Times New Roman" w:hAnsi="Sakkal Majalla" w:cs="Sakkal Majalla"/>
          <w:color w:val="000000"/>
          <w:kern w:val="0"/>
          <w:sz w:val="34"/>
          <w:szCs w:val="34"/>
          <w:rtl/>
          <w14:ligatures w14:val="none"/>
        </w:rPr>
        <w:t>): مدى تبني الوزارة لقيم الرقمنة والتحديث كأولوية استراتيجية، وانعكاس ذلك على ثقافة الموظفين وسلوكياتهم اليومية.</w:t>
      </w:r>
    </w:p>
    <w:p w14:paraId="56291479"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الانفتاح على التغيير التقني (</w:t>
      </w:r>
      <w:r>
        <w:rPr>
          <w:rFonts w:ascii="Sakkal Majalla" w:eastAsia="Times New Roman" w:hAnsi="Sakkal Majalla" w:cs="Sakkal Majalla"/>
          <w:color w:val="000000"/>
          <w:kern w:val="0"/>
          <w:sz w:val="34"/>
          <w:szCs w:val="34"/>
          <w14:ligatures w14:val="none"/>
        </w:rPr>
        <w:t>Openness to Technological Change</w:t>
      </w:r>
      <w:r>
        <w:rPr>
          <w:rFonts w:ascii="Sakkal Majalla" w:eastAsia="Times New Roman" w:hAnsi="Sakkal Majalla" w:cs="Sakkal Majalla"/>
          <w:color w:val="000000"/>
          <w:kern w:val="0"/>
          <w:sz w:val="34"/>
          <w:szCs w:val="34"/>
          <w:rtl/>
          <w14:ligatures w14:val="none"/>
        </w:rPr>
        <w:t>): استعداد الموظفين والقيادة لتقبّل التقنيات الجديدة واستيعابها وتكييف أساليب العمل معها بمرونة.</w:t>
      </w:r>
    </w:p>
    <w:p w14:paraId="0103506F"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ثقافة التعلم والابتكار الرقمي (</w:t>
      </w:r>
      <w:r>
        <w:rPr>
          <w:rFonts w:ascii="Sakkal Majalla" w:eastAsia="Times New Roman" w:hAnsi="Sakkal Majalla" w:cs="Sakkal Majalla"/>
          <w:color w:val="000000"/>
          <w:kern w:val="0"/>
          <w:sz w:val="34"/>
          <w:szCs w:val="34"/>
          <w14:ligatures w14:val="none"/>
        </w:rPr>
        <w:t>Digital Learning Culture</w:t>
      </w:r>
      <w:r>
        <w:rPr>
          <w:rFonts w:ascii="Sakkal Majalla" w:eastAsia="Times New Roman" w:hAnsi="Sakkal Majalla" w:cs="Sakkal Majalla"/>
          <w:color w:val="000000"/>
          <w:kern w:val="0"/>
          <w:sz w:val="34"/>
          <w:szCs w:val="34"/>
          <w:rtl/>
          <w14:ligatures w14:val="none"/>
        </w:rPr>
        <w:t>): وجود بيئة عمل تشجع على التدريب المستمر والتطوير الرقمي وتبادل المعرفة والتجديد المستمر في أساليب العمل.</w:t>
      </w:r>
    </w:p>
    <w:p w14:paraId="77316A11" w14:textId="77777777" w:rsidR="00194CE3" w:rsidRPr="00E03D03" w:rsidRDefault="00194CE3" w:rsidP="001226CA">
      <w:pPr>
        <w:spacing w:after="15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التواصل والتعاون الرقمي (</w:t>
      </w:r>
      <w:r>
        <w:rPr>
          <w:rFonts w:ascii="Sakkal Majalla" w:eastAsia="Times New Roman" w:hAnsi="Sakkal Majalla" w:cs="Sakkal Majalla"/>
          <w:color w:val="000000"/>
          <w:kern w:val="0"/>
          <w:sz w:val="34"/>
          <w:szCs w:val="34"/>
          <w14:ligatures w14:val="none"/>
        </w:rPr>
        <w:t>Digital Collaboration</w:t>
      </w:r>
      <w:r>
        <w:rPr>
          <w:rFonts w:ascii="Sakkal Majalla" w:eastAsia="Times New Roman" w:hAnsi="Sakkal Majalla" w:cs="Sakkal Majalla"/>
          <w:color w:val="000000"/>
          <w:kern w:val="0"/>
          <w:sz w:val="34"/>
          <w:szCs w:val="34"/>
          <w:rtl/>
          <w14:ligatures w14:val="none"/>
        </w:rPr>
        <w:t>): توظيف الأنظمة الرقمية في تعزيز التعاون وتبادل المعرفة بين الموظفين وعبر مختلف وحدات الوزارة.</w:t>
      </w:r>
    </w:p>
    <w:p w14:paraId="3DBF13C6"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ثانياً: المتغير التابع – أداء الموظفين</w:t>
      </w:r>
    </w:p>
    <w:p w14:paraId="66667310" w14:textId="77777777" w:rsidR="00194CE3" w:rsidRPr="00E03D03" w:rsidRDefault="00194CE3" w:rsidP="001226CA">
      <w:pPr>
        <w:spacing w:after="7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يُقاس أداء الموظفين من خلال المؤشرات التالية:</w:t>
      </w:r>
    </w:p>
    <w:p w14:paraId="03590861"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lastRenderedPageBreak/>
        <w:t>جودة الأداء الوظيفي: مدى الدقة والكفاءة في إنجاز المهام الرقمية الموكلة بمستوى عالٍ من الجودة والاحترافية.</w:t>
      </w:r>
    </w:p>
    <w:p w14:paraId="09A3235E"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الإنتاجية والفاعلية: حجم المخرجات المنجزة في ضوء توظيف الأدوات الرقمية المتاحة وقدرة الموظف على إنجاز المهام في الوقت المحدد.</w:t>
      </w:r>
    </w:p>
    <w:p w14:paraId="5290947B"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المبادرة والابتكار: قدرة الموظف على تقديم حلول رقمية إبداعية تتجاوز الحد الأدنى المطلوب وتُضيف قيمة للأداء المؤسسي.</w:t>
      </w:r>
    </w:p>
    <w:p w14:paraId="0F9D0987"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الالتزام بالتحول الرقمي: درجة انخراط الموظف في تطبيق الأنظمة والإجراءات الرقمية والتزامه بمعايير الجودة الرقمية.</w:t>
      </w:r>
    </w:p>
    <w:p w14:paraId="16834787"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p>
    <w:p w14:paraId="455BC475"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ثامناً: مصطلحات الدراسة</w:t>
      </w:r>
    </w:p>
    <w:p w14:paraId="6C8CA21B"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1. ثقافة المنظمة نحو التحول الرقمي</w:t>
      </w:r>
    </w:p>
    <w:p w14:paraId="6A33CB56"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التعريف النظري:</w:t>
      </w:r>
    </w:p>
    <w:p w14:paraId="600C80E0"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منظومة القيم والمعتقدات والسلوكيات المشتركة داخل المنظمة التي تُيسِّر قبول التقنيات الرقمية وتوظيفها في تحسين العمليات وتحقيق الأهداف الاستراتيجية، وتُشجع على الابتكار والتجريب والتعلم المستمر في بيئة العمل الرقمية (</w:t>
      </w:r>
      <w:r>
        <w:rPr>
          <w:rFonts w:ascii="Sakkal Majalla" w:eastAsiaTheme="minorEastAsia" w:hAnsi="Sakkal Majalla" w:cs="Sakkal Majalla"/>
          <w:color w:val="000000"/>
          <w:kern w:val="0"/>
          <w:sz w:val="34"/>
          <w:szCs w:val="34"/>
          <w14:ligatures w14:val="none"/>
        </w:rPr>
        <w:t>Schein, 2010; Hofstede, 2011</w:t>
      </w:r>
      <w:r>
        <w:rPr>
          <w:rFonts w:ascii="Sakkal Majalla" w:eastAsiaTheme="minorEastAsia" w:hAnsi="Sakkal Majalla" w:cs="Sakkal Majalla"/>
          <w:color w:val="000000"/>
          <w:kern w:val="0"/>
          <w:sz w:val="34"/>
          <w:szCs w:val="34"/>
          <w:rtl/>
          <w14:ligatures w14:val="none"/>
        </w:rPr>
        <w:t>).</w:t>
      </w:r>
    </w:p>
    <w:p w14:paraId="5AB8FB06"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التعريف الإجرائي:</w:t>
      </w:r>
    </w:p>
    <w:p w14:paraId="0582F35E"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lastRenderedPageBreak/>
        <w:t>الدرجة التي يُدرك بها موظفو وزارة الموارد البشرية والتنمية الاجتماعية أن ثقافة الوزارة تدعم التحول الرقمي وتُعززه، وتُقاس باستجاباتهم على مقياس الدراسة المعتمد في أبعاده الأربعة.</w:t>
      </w:r>
    </w:p>
    <w:p w14:paraId="0BBF1CFE"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2. أداء الموظفين (</w:t>
      </w:r>
      <w:r>
        <w:rPr>
          <w:rFonts w:ascii="Sakkal Majalla" w:eastAsiaTheme="minorEastAsia" w:hAnsi="Sakkal Majalla" w:cs="Sakkal Majalla"/>
          <w:color w:val="2E5090"/>
          <w:kern w:val="0"/>
          <w:sz w:val="34"/>
          <w:szCs w:val="34"/>
          <w14:ligatures w14:val="none"/>
        </w:rPr>
        <w:t>Employee Performance</w:t>
      </w:r>
      <w:r>
        <w:rPr>
          <w:rFonts w:ascii="Sakkal Majalla" w:eastAsiaTheme="minorEastAsia" w:hAnsi="Sakkal Majalla" w:cs="Sakkal Majalla"/>
          <w:color w:val="2E5090"/>
          <w:kern w:val="0"/>
          <w:sz w:val="34"/>
          <w:szCs w:val="34"/>
          <w:rtl/>
          <w14:ligatures w14:val="none"/>
        </w:rPr>
        <w:t>)</w:t>
      </w:r>
    </w:p>
    <w:p w14:paraId="3DC7E675"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التعريف النظري:</w:t>
      </w:r>
    </w:p>
    <w:p w14:paraId="38E0FA76"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مجموع المخرجات والسلوكيات القابلة للقياس الصادرة عن الموظف في إطار وظيفته والتي تُسهم في تحقيق أهداف المنظمة، ويشمل الأداء المهمي والأداء السياقي والأداء التكيفي (</w:t>
      </w:r>
      <w:r>
        <w:rPr>
          <w:rFonts w:ascii="Sakkal Majalla" w:eastAsiaTheme="minorEastAsia" w:hAnsi="Sakkal Majalla" w:cs="Sakkal Majalla"/>
          <w:color w:val="000000"/>
          <w:kern w:val="0"/>
          <w:sz w:val="34"/>
          <w:szCs w:val="34"/>
          <w14:ligatures w14:val="none"/>
        </w:rPr>
        <w:t>Campbell, 1990; Borman</w:t>
      </w:r>
      <w:r>
        <w:rPr>
          <w:rFonts w:ascii="Sakkal Majalla" w:eastAsiaTheme="minorEastAsia" w:hAnsi="Sakkal Majalla" w:cs="Sakkal Majalla"/>
          <w:color w:val="000000"/>
          <w:kern w:val="0"/>
          <w:sz w:val="34"/>
          <w:szCs w:val="34"/>
          <w:rtl/>
          <w14:ligatures w14:val="none"/>
        </w:rPr>
        <w:t xml:space="preserve"> &amp; </w:t>
      </w:r>
      <w:r>
        <w:rPr>
          <w:rFonts w:ascii="Sakkal Majalla" w:eastAsiaTheme="minorEastAsia" w:hAnsi="Sakkal Majalla" w:cs="Sakkal Majalla"/>
          <w:color w:val="000000"/>
          <w:kern w:val="0"/>
          <w:sz w:val="34"/>
          <w:szCs w:val="34"/>
          <w14:ligatures w14:val="none"/>
        </w:rPr>
        <w:t>Motowidlo, 1993</w:t>
      </w:r>
      <w:r>
        <w:rPr>
          <w:rFonts w:ascii="Sakkal Majalla" w:eastAsiaTheme="minorEastAsia" w:hAnsi="Sakkal Majalla" w:cs="Sakkal Majalla"/>
          <w:color w:val="000000"/>
          <w:kern w:val="0"/>
          <w:sz w:val="34"/>
          <w:szCs w:val="34"/>
          <w:rtl/>
          <w14:ligatures w14:val="none"/>
        </w:rPr>
        <w:t>).</w:t>
      </w:r>
    </w:p>
    <w:p w14:paraId="29F5402F"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التعريف الإجرائي:</w:t>
      </w:r>
    </w:p>
    <w:p w14:paraId="40AC1135"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مستوى الجودة والإنتاجية والمبادرة والالتزام الذي يُبديه موظفو الوزارة في إنجاز مهامهم الرقمية، ويُقاس بالمقياس المستخدم في الدراسة.</w:t>
      </w:r>
    </w:p>
    <w:p w14:paraId="241CF8B2"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3. التحول الرقمي (</w:t>
      </w:r>
      <w:r>
        <w:rPr>
          <w:rFonts w:ascii="Sakkal Majalla" w:eastAsiaTheme="minorEastAsia" w:hAnsi="Sakkal Majalla" w:cs="Sakkal Majalla"/>
          <w:color w:val="2E5090"/>
          <w:kern w:val="0"/>
          <w:sz w:val="34"/>
          <w:szCs w:val="34"/>
          <w14:ligatures w14:val="none"/>
        </w:rPr>
        <w:t>Digital Transformation</w:t>
      </w:r>
      <w:r>
        <w:rPr>
          <w:rFonts w:ascii="Sakkal Majalla" w:eastAsiaTheme="minorEastAsia" w:hAnsi="Sakkal Majalla" w:cs="Sakkal Majalla"/>
          <w:color w:val="2E5090"/>
          <w:kern w:val="0"/>
          <w:sz w:val="34"/>
          <w:szCs w:val="34"/>
          <w:rtl/>
          <w14:ligatures w14:val="none"/>
        </w:rPr>
        <w:t>)</w:t>
      </w:r>
    </w:p>
    <w:p w14:paraId="067D815C"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التعريف النظري:</w:t>
      </w:r>
    </w:p>
    <w:p w14:paraId="17D85ED8"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عملية توظيف التقنيات الرقمية المتقدمة لإعادة هندسة العمليات والنماذج التشغيلية والخدمات، بما يُحقق قيمة مضافة ويُرسّخ ميزة تنافسية للمنظمة ويُعيد تشكيل علاقتها مع مختلف أصحاب المصلحة (</w:t>
      </w:r>
      <w:r>
        <w:rPr>
          <w:rFonts w:ascii="Sakkal Majalla" w:eastAsiaTheme="minorEastAsia" w:hAnsi="Sakkal Majalla" w:cs="Sakkal Majalla"/>
          <w:color w:val="000000"/>
          <w:kern w:val="0"/>
          <w:sz w:val="34"/>
          <w:szCs w:val="34"/>
          <w14:ligatures w14:val="none"/>
        </w:rPr>
        <w:t>Westerman et al., 2014; Schwab, 2017</w:t>
      </w:r>
      <w:r>
        <w:rPr>
          <w:rFonts w:ascii="Sakkal Majalla" w:eastAsiaTheme="minorEastAsia" w:hAnsi="Sakkal Majalla" w:cs="Sakkal Majalla"/>
          <w:color w:val="000000"/>
          <w:kern w:val="0"/>
          <w:sz w:val="34"/>
          <w:szCs w:val="34"/>
          <w:rtl/>
          <w14:ligatures w14:val="none"/>
        </w:rPr>
        <w:t>).</w:t>
      </w:r>
    </w:p>
    <w:p w14:paraId="62BB55B0"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التعريف الإجرائي:</w:t>
      </w:r>
    </w:p>
    <w:p w14:paraId="47D33D3E"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lastRenderedPageBreak/>
        <w:t>مبادرات وزارة الموارد البشرية والتنمية الاجتماعية الرامية إلى رقمنة خدماتها وعملياتها الداخلية في إطار رؤية 2030، وتشمل الأنظمة الإلكترونية والمنصات الرقمية وآليات العمل الذكي.</w:t>
      </w:r>
    </w:p>
    <w:p w14:paraId="0DE15A7A"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4. وزارة الموارد البشرية والتنمية الاجتماعية</w:t>
      </w:r>
    </w:p>
    <w:p w14:paraId="1958C3D4"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هي الوزارة السعودية المعنية بتطوير سوق العمل وتنظيمه، ورعاية الموارد البشرية الوطنية وتمكينها، وتقديم الخدمات الاجتماعية، وتتبنى مسيرة التحول الرقمي ضمن الإصلاحات الحكومية الشاملة في إطار رؤية المملكة 2030.</w:t>
      </w:r>
    </w:p>
    <w:p w14:paraId="7D5D56C2" w14:textId="77777777" w:rsidR="00194CE3" w:rsidRPr="00E03D03" w:rsidRDefault="00194CE3" w:rsidP="001226CA">
      <w:pPr>
        <w:spacing w:after="300" w:line="360" w:lineRule="auto"/>
        <w:rPr>
          <w:rFonts w:ascii="Sakkal Majalla" w:eastAsiaTheme="minorEastAsia" w:hAnsi="Sakkal Majalla" w:cs="Sakkal Majalla"/>
          <w:color w:val="1F3864"/>
          <w:kern w:val="0"/>
          <w:sz w:val="34"/>
          <w:szCs w:val="34"/>
          <w:rtl/>
          <w14:ligatures w14:val="none"/>
        </w:rPr>
      </w:pPr>
      <w:r>
        <w:rPr>
          <w:rFonts w:ascii="Sakkal Majalla" w:eastAsiaTheme="minorEastAsia" w:hAnsi="Sakkal Majalla" w:cs="Sakkal Majalla"/>
          <w:color w:val="1F3864"/>
          <w:kern w:val="0"/>
          <w:sz w:val="34"/>
          <w:szCs w:val="34"/>
          <w:rtl/>
          <w14:ligatures w14:val="none"/>
        </w:rPr>
        <w:t>الفصل الثاني: الدراسات السابقة والإطار النظري</w:t>
      </w:r>
    </w:p>
    <w:p w14:paraId="00D639E8" w14:textId="77777777" w:rsidR="00194CE3" w:rsidRPr="00E03D03" w:rsidRDefault="00194CE3" w:rsidP="001226CA">
      <w:pPr>
        <w:spacing w:after="225" w:line="360" w:lineRule="auto"/>
        <w:rPr>
          <w:rFonts w:ascii="Sakkal Majalla" w:eastAsiaTheme="minorEastAsia" w:hAnsi="Sakkal Majalla" w:cs="Sakkal Majalla"/>
          <w:color w:val="1F3864"/>
          <w:kern w:val="0"/>
          <w:sz w:val="34"/>
          <w:szCs w:val="34"/>
          <w:rtl/>
          <w14:ligatures w14:val="none"/>
        </w:rPr>
      </w:pPr>
    </w:p>
    <w:p w14:paraId="35781C46" w14:textId="77777777" w:rsidR="00194CE3" w:rsidRPr="00E03D03" w:rsidRDefault="00194CE3" w:rsidP="001226CA">
      <w:pPr>
        <w:spacing w:after="225"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أولاً: مقدمة</w:t>
      </w:r>
    </w:p>
    <w:p w14:paraId="5BE17C9A"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يتناول هذا الفصل مراجعة شاملة للأدبيات النظرية والدراسات السابقة ذات الصلة بموضوع الدراسة، وذلك من خلال ثلاثة محاور رئيسية: أولها مراجعة الدراسات التي تناولت العلاقة بين التحول الرقمي وأداء الموظفين، وثانيها الدراسات التي اهتمت بثقافة المنظمة وعلاقتها بالتحول الرقمي، وثالثها بناء الإطار النظري الشامل للدراسة الحالية.</w:t>
      </w:r>
    </w:p>
    <w:p w14:paraId="7475F6B6"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وقد استُعينَ في هذا الفصل بمصادر متنوعة تشمل المجلات العلمية المحكّمة والكتب الأكاديمية والرسائل الجامعية والتقارير المؤسسية المعاصرة، مع التركيز على الدراسات الصادرة في الفترة الممتدة بين عامَي 2019 و2024، لضمان الحداثة والمعاصرة.</w:t>
      </w:r>
    </w:p>
    <w:p w14:paraId="6C868AFE"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lastRenderedPageBreak/>
        <w:t>ثانياً: الدراسات السابقة</w:t>
      </w:r>
    </w:p>
    <w:p w14:paraId="008F1B41"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المحور الأول: دراسات تناولت العلاقة بين التحول الرقمي وأداء الموظفين</w:t>
      </w:r>
    </w:p>
    <w:p w14:paraId="0D152C29"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1. دراسة الزهراني ومجلد (2024)</w:t>
      </w:r>
    </w:p>
    <w:p w14:paraId="004BE66F"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بعنوان: "أثر التحول الرقمي على الأداء الوظيفي: دراسة ميدانية على موظفي المستشفيات التخصصية بجدة". هدفت الدراسة إلى استكشاف أثر أبعاد التحول الرقمي (البنية التحتية، التشريعات، الثقافة التنظيمية، الموارد البشرية) على الأداء الوظيفي. اعتمدت المنهج الوصفي التحليلي على عينة بلغت (290) موظفاً. توصلت النتائج إلى إثبات وجود تأثير إيجابي ودال إحصائياً للتحول الرقمي على الأداء، مع وجود فروق تعزى للعمر لصالح الفئة (25–35 سنة)، وللمؤهل العلمي لصالح حملة البكالوريوس.</w:t>
      </w:r>
    </w:p>
    <w:p w14:paraId="7AD3DE84"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2. دراسة جاب الله (2024)</w:t>
      </w:r>
    </w:p>
    <w:p w14:paraId="2D0C5A44"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بعنوان: "رفع كفاءة الأداء المستدام عن طريق تطبيق التحول الرقمي: بالتطبيق على الشركة المصرية للخدمات البريدية (إيجي سيرف)". شملت العينة (210) موظفاً وسُتخدم المنهج الوصفي والمعادلات الهيكلية. كشفت النتائج عن تأثير مباشر للتحول الرقمي على أبعاد الأداء المستدام، وكان بُعد الابتكار التنظيمي هو الأكثر تأثراً بمتغيرات التحول الرقمي.</w:t>
      </w:r>
    </w:p>
    <w:p w14:paraId="4DEFA6F6"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3. دراسة التوني (2024)</w:t>
      </w:r>
    </w:p>
    <w:p w14:paraId="7DE51769"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 xml:space="preserve">بعنوان: "أثر تكنولوجيا المعلومات على التحول الرقمي في تحسين الأداء الوظيفي: دراسة ميدانية على العاملين بجامعة بورسعيد". خلصت الدراسة إلى وجود علاقة دالة إحصائياً بين </w:t>
      </w:r>
      <w:r>
        <w:rPr>
          <w:rFonts w:ascii="Sakkal Majalla" w:eastAsiaTheme="minorEastAsia" w:hAnsi="Sakkal Majalla" w:cs="Sakkal Majalla"/>
          <w:color w:val="000000"/>
          <w:kern w:val="0"/>
          <w:sz w:val="34"/>
          <w:szCs w:val="34"/>
          <w:rtl/>
          <w14:ligatures w14:val="none"/>
        </w:rPr>
        <w:lastRenderedPageBreak/>
        <w:t>قدرة الموارد البشرية على تقبّل التحول الرقمي والأداء الوظيفي، وأوصت ببناء نماذج أعمال جديدة مدعومة تقنياً تُراعي الأبعاد الإنسانية والثقافية.</w:t>
      </w:r>
    </w:p>
    <w:p w14:paraId="58C01480"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4. دراسة راهب وشابي (2023)</w:t>
      </w:r>
    </w:p>
    <w:p w14:paraId="5BDF47FE"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بعنوان: "أثر التحول الرقمي على الأداء الوظيفي للعاملين في البنوك التجارية الجزائرية". أظهرت النتائج أن التحول الرقمي أثّر إيجاباً في رقمنة الخدمات المصرفية، مع ظهور آثار سلبية أحياناً مرتبطة بكيفية استخدام التقنيات وغياب التأهيل الثقافي الكافي.</w:t>
      </w:r>
    </w:p>
    <w:p w14:paraId="1FD9BEC8"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5. دراسة العزب (2023)</w:t>
      </w:r>
    </w:p>
    <w:p w14:paraId="7F78BA85"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بعنوان: "أثر تطبيق التحول الرقمي على تمكين الموارد البشرية: دراسة تطبيقية على ديوان وزارة الصحة والسكان المصرية" وشملت (4923) موظفاً. توصلت إلى وجود علاقة إيجابية دالة بين التحول الرقمي وتمكين الموارد البشرية من حيث تفويض السلطة وبناء فرق العمل والتدريب المستمر.</w:t>
      </w:r>
    </w:p>
    <w:p w14:paraId="5598858A"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6. دراسة البطرني والجزار (2023)</w:t>
      </w:r>
    </w:p>
    <w:p w14:paraId="5747D753"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بعنوان: "أثر التحول الرقمي على كفاءة الخدمات المقدمة من البنوك المدرجة في البورصة المصرية" (عينة 160 موظفاً). كشفت عن أثر معنوي لأبعاد التحول الرقمي على الأداء، وأوصت بالاهتمام بالأمن المعلوماتي وتطوير البنية التحتية والذكاء الاصطناعي.</w:t>
      </w:r>
    </w:p>
    <w:p w14:paraId="7A1C5CF9"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 xml:space="preserve">7. دراسة </w:t>
      </w:r>
      <w:r>
        <w:rPr>
          <w:rFonts w:ascii="Sakkal Majalla" w:eastAsiaTheme="minorEastAsia" w:hAnsi="Sakkal Majalla" w:cs="Sakkal Majalla"/>
          <w:color w:val="000000"/>
          <w:kern w:val="0"/>
          <w:sz w:val="34"/>
          <w:szCs w:val="34"/>
          <w14:ligatures w14:val="none"/>
        </w:rPr>
        <w:t>Wolor et al. (2022)</w:t>
      </w:r>
    </w:p>
    <w:p w14:paraId="2D27A3C9"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lastRenderedPageBreak/>
        <w:t>بعنوان: "فعالية التدريب والقيادة الإلكترونية والتوازن بين العمل والحياة على أداء الموظف خلال جائحة كوفيد-19". أكدت وجود علاقة طردية بين المعرفة الرقمية ومستوى استخدام الإدارة الإلكترونية، مما خفَّف العبء الإداري على الموظفين وحسَّن إنتاجيتهم.</w:t>
      </w:r>
    </w:p>
    <w:p w14:paraId="64C31C13"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المحور الثاني: دراسات تناولت ثقافة المنظمة والتحول الرقمي</w:t>
      </w:r>
    </w:p>
    <w:p w14:paraId="2C18FEBD"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1. دراسة مصطفى (2021)</w:t>
      </w:r>
    </w:p>
    <w:p w14:paraId="55F15979"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بعنوان: "تأثير التحول الرقمي على مستوى أداء الخدمة المقدمة: بالتطبيق على موظفي الإدارة العامة للمرور بمحافظة القاهرة" (139 موظفاً). أكدت الدراسة وجود ارتباط قوي بين متطلبات التحول الرقمي وتحسين جودة الخدمة المقدمة للمواطنين.</w:t>
      </w:r>
    </w:p>
    <w:p w14:paraId="2702555E"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 xml:space="preserve">2. دراسة </w:t>
      </w:r>
      <w:r>
        <w:rPr>
          <w:rFonts w:ascii="Sakkal Majalla" w:eastAsiaTheme="minorEastAsia" w:hAnsi="Sakkal Majalla" w:cs="Sakkal Majalla"/>
          <w:color w:val="000000"/>
          <w:kern w:val="0"/>
          <w:sz w:val="34"/>
          <w:szCs w:val="34"/>
          <w14:ligatures w14:val="none"/>
        </w:rPr>
        <w:t>Castan (2020)</w:t>
      </w:r>
    </w:p>
    <w:p w14:paraId="1F91CBE5"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بعنوان: "إدارة معرفة العملاء في الشركات الصغيرة والمتوسطة". خلصت إلى أن الشركات تعتمد التقنيات التقليدية لسهولتها وانخفاض تكلفتها، وتواجه صعوبات في اعتماد التقنيات الرقمية المبتكرة بسبب نقص الدعم الثقافي والتقني ومقاومة التغيير.</w:t>
      </w:r>
    </w:p>
    <w:p w14:paraId="3747D461"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 xml:space="preserve">3. دراسة </w:t>
      </w:r>
      <w:r>
        <w:rPr>
          <w:rFonts w:ascii="Sakkal Majalla" w:eastAsiaTheme="minorEastAsia" w:hAnsi="Sakkal Majalla" w:cs="Sakkal Majalla"/>
          <w:color w:val="000000"/>
          <w:kern w:val="0"/>
          <w:sz w:val="34"/>
          <w:szCs w:val="34"/>
          <w14:ligatures w14:val="none"/>
        </w:rPr>
        <w:t>Gartner et al. (2022)</w:t>
      </w:r>
    </w:p>
    <w:p w14:paraId="59AB4BF4"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بعنوان: "التحول الرقمي إلى المؤسسات في الوقت الفعلي". ركزت على آليات التحول الرقمي الشامل للمؤسسات لضمان الاستجابة السريعة في بيئة الأعمال المعاصرة، ومدى تأثير الثقافة التنظيمية في سرعة التكيف مع التقنيات الجديدة.</w:t>
      </w:r>
    </w:p>
    <w:p w14:paraId="1B8DAAC2"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 xml:space="preserve">4. دراسة </w:t>
      </w:r>
      <w:r>
        <w:rPr>
          <w:rFonts w:ascii="Sakkal Majalla" w:eastAsiaTheme="minorEastAsia" w:hAnsi="Sakkal Majalla" w:cs="Sakkal Majalla"/>
          <w:color w:val="000000"/>
          <w:kern w:val="0"/>
          <w:sz w:val="34"/>
          <w:szCs w:val="34"/>
          <w14:ligatures w14:val="none"/>
        </w:rPr>
        <w:t>Van Tonder et al. (2020)</w:t>
      </w:r>
    </w:p>
    <w:p w14:paraId="24DC8329"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lastRenderedPageBreak/>
        <w:t>ركزت على إطار عمل للتحول الرقمي وابتكار نموذج الأعمال، ووجدت أن المنظمات ذات الثقافة التنظيمية المرنة والمنفتحة على التغيير تُحقق نجاحاً أكبر في مبادرات التحول الرقمي وتتفوق على منافسيها في الأداء الكلي.</w:t>
      </w:r>
    </w:p>
    <w:p w14:paraId="3AA07597"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ثالثاً: مقارنة الدراسة الحالية بالدراسات السابقة</w:t>
      </w:r>
    </w:p>
    <w:p w14:paraId="38CBF673" w14:textId="77777777" w:rsidR="00194CE3" w:rsidRPr="00E03D03" w:rsidRDefault="00194CE3" w:rsidP="001226CA">
      <w:pPr>
        <w:spacing w:after="75"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أوجه الشبه</w:t>
      </w:r>
    </w:p>
    <w:p w14:paraId="03BA7665"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المنهجية: تتفق الدراسة الحالية مع معظم الدراسات السابقة في استخدام المنهج الوصفي التحليلي بوصفه أنسب المناهج لدراسة الظواهر الاجتماعية والإدارية.</w:t>
      </w:r>
    </w:p>
    <w:p w14:paraId="235CA14A"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أداة الدراسة: الاعتماد على الاستبيان أداةً رئيسيةً لجمع البيانات الميدانية من عينة الدراسة.</w:t>
      </w:r>
    </w:p>
    <w:p w14:paraId="33A447E2"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البيئة الجغرافية: التطبيق في السياق السعودي، مما يُعزز توافق النتائج مع رؤية 2030 ومتطلبات التحول الحكومي.</w:t>
      </w:r>
    </w:p>
    <w:p w14:paraId="40668530" w14:textId="77777777" w:rsidR="00194CE3" w:rsidRPr="00E03D03" w:rsidRDefault="00194CE3" w:rsidP="001226CA">
      <w:pPr>
        <w:spacing w:after="15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الهدف العام: تطوير الأداء ورفع كفاءة العنصر البشري في المنظمات الحكومية.</w:t>
      </w:r>
    </w:p>
    <w:p w14:paraId="38106558"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أوجه الاختلاف</w:t>
      </w:r>
    </w:p>
    <w:p w14:paraId="680CB1D0"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p>
    <w:tbl>
      <w:tblPr>
        <w:tblW w:w="0" w:type="auto"/>
        <w:tblCellMar>
          <w:left w:w="0" w:type="dxa"/>
          <w:right w:w="0" w:type="dxa"/>
        </w:tblCellMar>
        <w:tblLook w:val="04A0" w:firstRow="1" w:lastRow="0" w:firstColumn="1" w:lastColumn="0" w:noHBand="0" w:noVBand="1"/>
      </w:tblPr>
      <w:tblGrid>
        <w:gridCol w:w="1665"/>
        <w:gridCol w:w="2220"/>
        <w:gridCol w:w="2205"/>
      </w:tblGrid>
      <w:tr w:rsidR="00194CE3" w:rsidRPr="00E03D03" w14:paraId="3FDD266A" w14:textId="77777777">
        <w:trPr>
          <w:trHeight w:val="165"/>
        </w:trPr>
        <w:tc>
          <w:tcPr>
            <w:tcW w:w="1665" w:type="dxa"/>
            <w:tcBorders>
              <w:top w:val="single" w:sz="6" w:space="0" w:color="AAAAAA"/>
              <w:left w:val="single" w:sz="6" w:space="0" w:color="AAAAAA"/>
              <w:bottom w:val="single" w:sz="6" w:space="0" w:color="AAAAAA"/>
              <w:right w:val="single" w:sz="6" w:space="0" w:color="AAAAAA"/>
            </w:tcBorders>
            <w:shd w:val="clear" w:color="auto" w:fill="1F3864"/>
            <w:tcMar>
              <w:top w:w="60" w:type="dxa"/>
              <w:left w:w="60" w:type="dxa"/>
              <w:bottom w:w="60" w:type="dxa"/>
              <w:right w:w="60" w:type="dxa"/>
            </w:tcMar>
            <w:hideMark/>
          </w:tcPr>
          <w:p w14:paraId="4A0E7864" w14:textId="77777777" w:rsidR="00194CE3" w:rsidRPr="00E03D03" w:rsidRDefault="00194CE3" w:rsidP="001226CA">
            <w:pPr>
              <w:spacing w:after="0" w:line="360" w:lineRule="auto"/>
              <w:rPr>
                <w:rFonts w:ascii="Sakkal Majalla" w:eastAsiaTheme="minorEastAsia" w:hAnsi="Sakkal Majalla" w:cs="Sakkal Majalla"/>
                <w:color w:val="FFFFFF"/>
                <w:kern w:val="0"/>
                <w:sz w:val="34"/>
                <w:szCs w:val="34"/>
                <w:rtl/>
                <w14:ligatures w14:val="none"/>
              </w:rPr>
            </w:pPr>
            <w:r>
              <w:rPr>
                <w:rFonts w:ascii="Sakkal Majalla" w:eastAsiaTheme="minorEastAsia" w:hAnsi="Sakkal Majalla" w:cs="Sakkal Majalla"/>
                <w:color w:val="FFFFFF"/>
                <w:kern w:val="0"/>
                <w:sz w:val="34"/>
                <w:szCs w:val="34"/>
                <w:rtl/>
                <w14:ligatures w14:val="none"/>
              </w:rPr>
              <w:t>وجه الاختلاف</w:t>
            </w:r>
          </w:p>
        </w:tc>
        <w:tc>
          <w:tcPr>
            <w:tcW w:w="2220" w:type="dxa"/>
            <w:tcBorders>
              <w:top w:val="single" w:sz="6" w:space="0" w:color="AAAAAA"/>
              <w:left w:val="single" w:sz="6" w:space="0" w:color="AAAAAA"/>
              <w:bottom w:val="single" w:sz="6" w:space="0" w:color="AAAAAA"/>
              <w:right w:val="single" w:sz="6" w:space="0" w:color="AAAAAA"/>
            </w:tcBorders>
            <w:shd w:val="clear" w:color="auto" w:fill="1F3864"/>
            <w:tcMar>
              <w:top w:w="60" w:type="dxa"/>
              <w:left w:w="60" w:type="dxa"/>
              <w:bottom w:w="60" w:type="dxa"/>
              <w:right w:w="60" w:type="dxa"/>
            </w:tcMar>
            <w:hideMark/>
          </w:tcPr>
          <w:p w14:paraId="282D6986" w14:textId="77777777" w:rsidR="00194CE3" w:rsidRPr="00E03D03" w:rsidRDefault="00194CE3" w:rsidP="001226CA">
            <w:pPr>
              <w:spacing w:after="0" w:line="360" w:lineRule="auto"/>
              <w:rPr>
                <w:rFonts w:ascii="Sakkal Majalla" w:eastAsiaTheme="minorEastAsia" w:hAnsi="Sakkal Majalla" w:cs="Sakkal Majalla"/>
                <w:color w:val="FFFFFF"/>
                <w:kern w:val="0"/>
                <w:sz w:val="34"/>
                <w:szCs w:val="34"/>
                <w14:ligatures w14:val="none"/>
              </w:rPr>
            </w:pPr>
            <w:r>
              <w:rPr>
                <w:rFonts w:ascii="Sakkal Majalla" w:eastAsiaTheme="minorEastAsia" w:hAnsi="Sakkal Majalla" w:cs="Sakkal Majalla"/>
                <w:color w:val="FFFFFF"/>
                <w:kern w:val="0"/>
                <w:sz w:val="34"/>
                <w:szCs w:val="34"/>
                <w:rtl/>
                <w14:ligatures w14:val="none"/>
              </w:rPr>
              <w:t>الدراسات السابقة</w:t>
            </w:r>
          </w:p>
        </w:tc>
        <w:tc>
          <w:tcPr>
            <w:tcW w:w="2205" w:type="dxa"/>
            <w:tcBorders>
              <w:top w:val="single" w:sz="6" w:space="0" w:color="AAAAAA"/>
              <w:left w:val="single" w:sz="6" w:space="0" w:color="AAAAAA"/>
              <w:bottom w:val="single" w:sz="6" w:space="0" w:color="AAAAAA"/>
              <w:right w:val="single" w:sz="6" w:space="0" w:color="AAAAAA"/>
            </w:tcBorders>
            <w:shd w:val="clear" w:color="auto" w:fill="1F3864"/>
            <w:tcMar>
              <w:top w:w="60" w:type="dxa"/>
              <w:left w:w="60" w:type="dxa"/>
              <w:bottom w:w="60" w:type="dxa"/>
              <w:right w:w="60" w:type="dxa"/>
            </w:tcMar>
            <w:hideMark/>
          </w:tcPr>
          <w:p w14:paraId="7136014F" w14:textId="77777777" w:rsidR="00194CE3" w:rsidRPr="00E03D03" w:rsidRDefault="00194CE3" w:rsidP="001226CA">
            <w:pPr>
              <w:spacing w:after="0" w:line="360" w:lineRule="auto"/>
              <w:rPr>
                <w:rFonts w:ascii="Sakkal Majalla" w:eastAsiaTheme="minorEastAsia" w:hAnsi="Sakkal Majalla" w:cs="Sakkal Majalla"/>
                <w:color w:val="FFFFFF"/>
                <w:kern w:val="0"/>
                <w:sz w:val="34"/>
                <w:szCs w:val="34"/>
                <w14:ligatures w14:val="none"/>
              </w:rPr>
            </w:pPr>
            <w:r>
              <w:rPr>
                <w:rFonts w:ascii="Sakkal Majalla" w:eastAsiaTheme="minorEastAsia" w:hAnsi="Sakkal Majalla" w:cs="Sakkal Majalla"/>
                <w:color w:val="FFFFFF"/>
                <w:kern w:val="0"/>
                <w:sz w:val="34"/>
                <w:szCs w:val="34"/>
                <w:rtl/>
                <w14:ligatures w14:val="none"/>
              </w:rPr>
              <w:t>الدراسة الحالية</w:t>
            </w:r>
          </w:p>
        </w:tc>
      </w:tr>
      <w:tr w:rsidR="00194CE3" w:rsidRPr="00E03D03" w14:paraId="36628126" w14:textId="77777777">
        <w:trPr>
          <w:trHeight w:val="375"/>
        </w:trPr>
        <w:tc>
          <w:tcPr>
            <w:tcW w:w="1665" w:type="dxa"/>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22178DF2" w14:textId="77777777" w:rsidR="00194CE3" w:rsidRPr="00E03D03" w:rsidRDefault="00194CE3" w:rsidP="001226CA">
            <w:pPr>
              <w:spacing w:after="0" w:line="360" w:lineRule="auto"/>
              <w:rPr>
                <w:rFonts w:ascii="Sakkal Majalla" w:eastAsiaTheme="minorEastAsia" w:hAnsi="Sakkal Majalla" w:cs="Sakkal Majalla"/>
                <w:color w:val="000000"/>
                <w:kern w:val="0"/>
                <w:sz w:val="34"/>
                <w:szCs w:val="34"/>
                <w14:ligatures w14:val="none"/>
              </w:rPr>
            </w:pPr>
            <w:r>
              <w:rPr>
                <w:rFonts w:ascii="Sakkal Majalla" w:eastAsiaTheme="minorEastAsia" w:hAnsi="Sakkal Majalla" w:cs="Sakkal Majalla"/>
                <w:color w:val="000000"/>
                <w:kern w:val="0"/>
                <w:sz w:val="34"/>
                <w:szCs w:val="34"/>
                <w:rtl/>
                <w14:ligatures w14:val="none"/>
              </w:rPr>
              <w:t>المتغير المستقل</w:t>
            </w:r>
          </w:p>
        </w:tc>
        <w:tc>
          <w:tcPr>
            <w:tcW w:w="2220" w:type="dxa"/>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7CAD43CB" w14:textId="77777777" w:rsidR="00194CE3" w:rsidRPr="00E03D03" w:rsidRDefault="00194CE3" w:rsidP="001226CA">
            <w:pPr>
              <w:spacing w:after="0" w:line="360" w:lineRule="auto"/>
              <w:rPr>
                <w:rFonts w:ascii="Sakkal Majalla" w:eastAsiaTheme="minorEastAsia" w:hAnsi="Sakkal Majalla" w:cs="Sakkal Majalla"/>
                <w:color w:val="000000"/>
                <w:kern w:val="0"/>
                <w:sz w:val="34"/>
                <w:szCs w:val="34"/>
                <w14:ligatures w14:val="none"/>
              </w:rPr>
            </w:pPr>
            <w:r>
              <w:rPr>
                <w:rFonts w:ascii="Sakkal Majalla" w:eastAsiaTheme="minorEastAsia" w:hAnsi="Sakkal Majalla" w:cs="Sakkal Majalla"/>
                <w:color w:val="000000"/>
                <w:kern w:val="0"/>
                <w:sz w:val="34"/>
                <w:szCs w:val="34"/>
                <w:rtl/>
                <w14:ligatures w14:val="none"/>
              </w:rPr>
              <w:t>التحول الرقمي بأبعاده التقنية والبنية التحتية</w:t>
            </w:r>
          </w:p>
        </w:tc>
        <w:tc>
          <w:tcPr>
            <w:tcW w:w="2205" w:type="dxa"/>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1E0EBC82" w14:textId="77777777" w:rsidR="00194CE3" w:rsidRPr="00E03D03" w:rsidRDefault="00194CE3" w:rsidP="001226CA">
            <w:pPr>
              <w:spacing w:after="0" w:line="360" w:lineRule="auto"/>
              <w:rPr>
                <w:rFonts w:ascii="Sakkal Majalla" w:eastAsiaTheme="minorEastAsia" w:hAnsi="Sakkal Majalla" w:cs="Sakkal Majalla"/>
                <w:color w:val="000000"/>
                <w:kern w:val="0"/>
                <w:sz w:val="34"/>
                <w:szCs w:val="34"/>
                <w14:ligatures w14:val="none"/>
              </w:rPr>
            </w:pPr>
            <w:r>
              <w:rPr>
                <w:rFonts w:ascii="Sakkal Majalla" w:eastAsiaTheme="minorEastAsia" w:hAnsi="Sakkal Majalla" w:cs="Sakkal Majalla"/>
                <w:color w:val="000000"/>
                <w:kern w:val="0"/>
                <w:sz w:val="34"/>
                <w:szCs w:val="34"/>
                <w:rtl/>
                <w14:ligatures w14:val="none"/>
              </w:rPr>
              <w:t>ثقافة المنظمة نحو التحول الرقمي (البُعد الثقافي والقيمي)</w:t>
            </w:r>
          </w:p>
        </w:tc>
      </w:tr>
      <w:tr w:rsidR="00194CE3" w:rsidRPr="00E03D03" w14:paraId="70A42141" w14:textId="77777777">
        <w:trPr>
          <w:trHeight w:val="375"/>
        </w:trPr>
        <w:tc>
          <w:tcPr>
            <w:tcW w:w="1665" w:type="dxa"/>
            <w:tcBorders>
              <w:top w:val="single" w:sz="6" w:space="0" w:color="AAAAAA"/>
              <w:left w:val="single" w:sz="6" w:space="0" w:color="AAAAAA"/>
              <w:bottom w:val="single" w:sz="6" w:space="0" w:color="AAAAAA"/>
              <w:right w:val="single" w:sz="6" w:space="0" w:color="AAAAAA"/>
            </w:tcBorders>
            <w:shd w:val="clear" w:color="auto" w:fill="E8EEF8"/>
            <w:tcMar>
              <w:top w:w="60" w:type="dxa"/>
              <w:left w:w="60" w:type="dxa"/>
              <w:bottom w:w="60" w:type="dxa"/>
              <w:right w:w="60" w:type="dxa"/>
            </w:tcMar>
            <w:hideMark/>
          </w:tcPr>
          <w:p w14:paraId="7C0151F0" w14:textId="77777777" w:rsidR="00194CE3" w:rsidRPr="00E03D03" w:rsidRDefault="00194CE3" w:rsidP="001226CA">
            <w:pPr>
              <w:spacing w:after="0" w:line="360" w:lineRule="auto"/>
              <w:rPr>
                <w:rFonts w:ascii="Sakkal Majalla" w:eastAsiaTheme="minorEastAsia" w:hAnsi="Sakkal Majalla" w:cs="Sakkal Majalla"/>
                <w:color w:val="000000"/>
                <w:kern w:val="0"/>
                <w:sz w:val="34"/>
                <w:szCs w:val="34"/>
                <w14:ligatures w14:val="none"/>
              </w:rPr>
            </w:pPr>
            <w:r>
              <w:rPr>
                <w:rFonts w:ascii="Sakkal Majalla" w:eastAsiaTheme="minorEastAsia" w:hAnsi="Sakkal Majalla" w:cs="Sakkal Majalla"/>
                <w:color w:val="000000"/>
                <w:kern w:val="0"/>
                <w:sz w:val="34"/>
                <w:szCs w:val="34"/>
                <w:rtl/>
                <w14:ligatures w14:val="none"/>
              </w:rPr>
              <w:lastRenderedPageBreak/>
              <w:t>المتغير التابع</w:t>
            </w:r>
          </w:p>
        </w:tc>
        <w:tc>
          <w:tcPr>
            <w:tcW w:w="2220" w:type="dxa"/>
            <w:tcBorders>
              <w:top w:val="single" w:sz="6" w:space="0" w:color="AAAAAA"/>
              <w:left w:val="single" w:sz="6" w:space="0" w:color="AAAAAA"/>
              <w:bottom w:val="single" w:sz="6" w:space="0" w:color="AAAAAA"/>
              <w:right w:val="single" w:sz="6" w:space="0" w:color="AAAAAA"/>
            </w:tcBorders>
            <w:shd w:val="clear" w:color="auto" w:fill="E8EEF8"/>
            <w:tcMar>
              <w:top w:w="60" w:type="dxa"/>
              <w:left w:w="60" w:type="dxa"/>
              <w:bottom w:w="60" w:type="dxa"/>
              <w:right w:w="60" w:type="dxa"/>
            </w:tcMar>
            <w:hideMark/>
          </w:tcPr>
          <w:p w14:paraId="59B15ACC" w14:textId="77777777" w:rsidR="00194CE3" w:rsidRPr="00E03D03" w:rsidRDefault="00194CE3" w:rsidP="001226CA">
            <w:pPr>
              <w:spacing w:after="0" w:line="360" w:lineRule="auto"/>
              <w:rPr>
                <w:rFonts w:ascii="Sakkal Majalla" w:eastAsiaTheme="minorEastAsia" w:hAnsi="Sakkal Majalla" w:cs="Sakkal Majalla"/>
                <w:color w:val="000000"/>
                <w:kern w:val="0"/>
                <w:sz w:val="34"/>
                <w:szCs w:val="34"/>
                <w14:ligatures w14:val="none"/>
              </w:rPr>
            </w:pPr>
            <w:r>
              <w:rPr>
                <w:rFonts w:ascii="Sakkal Majalla" w:eastAsiaTheme="minorEastAsia" w:hAnsi="Sakkal Majalla" w:cs="Sakkal Majalla"/>
                <w:color w:val="000000"/>
                <w:kern w:val="0"/>
                <w:sz w:val="34"/>
                <w:szCs w:val="34"/>
                <w:rtl/>
                <w14:ligatures w14:val="none"/>
              </w:rPr>
              <w:t>الأداء الوظيفي العام أو جودة الخدمة</w:t>
            </w:r>
          </w:p>
        </w:tc>
        <w:tc>
          <w:tcPr>
            <w:tcW w:w="2205" w:type="dxa"/>
            <w:tcBorders>
              <w:top w:val="single" w:sz="6" w:space="0" w:color="AAAAAA"/>
              <w:left w:val="single" w:sz="6" w:space="0" w:color="AAAAAA"/>
              <w:bottom w:val="single" w:sz="6" w:space="0" w:color="AAAAAA"/>
              <w:right w:val="single" w:sz="6" w:space="0" w:color="AAAAAA"/>
            </w:tcBorders>
            <w:shd w:val="clear" w:color="auto" w:fill="E8EEF8"/>
            <w:tcMar>
              <w:top w:w="60" w:type="dxa"/>
              <w:left w:w="60" w:type="dxa"/>
              <w:bottom w:w="60" w:type="dxa"/>
              <w:right w:w="60" w:type="dxa"/>
            </w:tcMar>
            <w:hideMark/>
          </w:tcPr>
          <w:p w14:paraId="03F532A2" w14:textId="77777777" w:rsidR="00194CE3" w:rsidRPr="00E03D03" w:rsidRDefault="00194CE3" w:rsidP="001226CA">
            <w:pPr>
              <w:spacing w:after="0" w:line="360" w:lineRule="auto"/>
              <w:rPr>
                <w:rFonts w:ascii="Sakkal Majalla" w:eastAsiaTheme="minorEastAsia" w:hAnsi="Sakkal Majalla" w:cs="Sakkal Majalla"/>
                <w:color w:val="000000"/>
                <w:kern w:val="0"/>
                <w:sz w:val="34"/>
                <w:szCs w:val="34"/>
                <w14:ligatures w14:val="none"/>
              </w:rPr>
            </w:pPr>
            <w:r>
              <w:rPr>
                <w:rFonts w:ascii="Sakkal Majalla" w:eastAsiaTheme="minorEastAsia" w:hAnsi="Sakkal Majalla" w:cs="Sakkal Majalla"/>
                <w:color w:val="000000"/>
                <w:kern w:val="0"/>
                <w:sz w:val="34"/>
                <w:szCs w:val="34"/>
                <w:rtl/>
                <w14:ligatures w14:val="none"/>
              </w:rPr>
              <w:t>أداء الموظفين في سياق التحول الرقمي الحكومي</w:t>
            </w:r>
          </w:p>
        </w:tc>
      </w:tr>
      <w:tr w:rsidR="00194CE3" w:rsidRPr="00E03D03" w14:paraId="13F7AF0A" w14:textId="77777777">
        <w:trPr>
          <w:trHeight w:val="150"/>
        </w:trPr>
        <w:tc>
          <w:tcPr>
            <w:tcW w:w="1665" w:type="dxa"/>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639CA17D" w14:textId="77777777" w:rsidR="00194CE3" w:rsidRPr="00E03D03" w:rsidRDefault="00194CE3" w:rsidP="001226CA">
            <w:pPr>
              <w:spacing w:after="0" w:line="360" w:lineRule="auto"/>
              <w:rPr>
                <w:rFonts w:ascii="Sakkal Majalla" w:eastAsiaTheme="minorEastAsia" w:hAnsi="Sakkal Majalla" w:cs="Sakkal Majalla"/>
                <w:color w:val="000000"/>
                <w:kern w:val="0"/>
                <w:sz w:val="34"/>
                <w:szCs w:val="34"/>
                <w14:ligatures w14:val="none"/>
              </w:rPr>
            </w:pPr>
            <w:r>
              <w:rPr>
                <w:rFonts w:ascii="Sakkal Majalla" w:eastAsiaTheme="minorEastAsia" w:hAnsi="Sakkal Majalla" w:cs="Sakkal Majalla"/>
                <w:color w:val="000000"/>
                <w:kern w:val="0"/>
                <w:sz w:val="34"/>
                <w:szCs w:val="34"/>
                <w:rtl/>
                <w14:ligatures w14:val="none"/>
              </w:rPr>
              <w:t>مجتمع الدراسة</w:t>
            </w:r>
          </w:p>
        </w:tc>
        <w:tc>
          <w:tcPr>
            <w:tcW w:w="2220" w:type="dxa"/>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0AEC2163" w14:textId="77777777" w:rsidR="00194CE3" w:rsidRPr="00E03D03" w:rsidRDefault="00194CE3" w:rsidP="001226CA">
            <w:pPr>
              <w:spacing w:after="0" w:line="360" w:lineRule="auto"/>
              <w:rPr>
                <w:rFonts w:ascii="Sakkal Majalla" w:eastAsiaTheme="minorEastAsia" w:hAnsi="Sakkal Majalla" w:cs="Sakkal Majalla"/>
                <w:color w:val="000000"/>
                <w:kern w:val="0"/>
                <w:sz w:val="34"/>
                <w:szCs w:val="34"/>
                <w14:ligatures w14:val="none"/>
              </w:rPr>
            </w:pPr>
            <w:r>
              <w:rPr>
                <w:rFonts w:ascii="Sakkal Majalla" w:eastAsiaTheme="minorEastAsia" w:hAnsi="Sakkal Majalla" w:cs="Sakkal Majalla"/>
                <w:color w:val="000000"/>
                <w:kern w:val="0"/>
                <w:sz w:val="34"/>
                <w:szCs w:val="34"/>
                <w:rtl/>
                <w14:ligatures w14:val="none"/>
              </w:rPr>
              <w:t>مستشفيات، بنوك، شركات بريد، جامعات</w:t>
            </w:r>
          </w:p>
        </w:tc>
        <w:tc>
          <w:tcPr>
            <w:tcW w:w="2205" w:type="dxa"/>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1FC998CD" w14:textId="77777777" w:rsidR="00194CE3" w:rsidRPr="00E03D03" w:rsidRDefault="00194CE3" w:rsidP="001226CA">
            <w:pPr>
              <w:spacing w:after="0" w:line="360" w:lineRule="auto"/>
              <w:rPr>
                <w:rFonts w:ascii="Sakkal Majalla" w:eastAsiaTheme="minorEastAsia" w:hAnsi="Sakkal Majalla" w:cs="Sakkal Majalla"/>
                <w:color w:val="000000"/>
                <w:kern w:val="0"/>
                <w:sz w:val="34"/>
                <w:szCs w:val="34"/>
                <w14:ligatures w14:val="none"/>
              </w:rPr>
            </w:pPr>
            <w:r>
              <w:rPr>
                <w:rFonts w:ascii="Sakkal Majalla" w:eastAsiaTheme="minorEastAsia" w:hAnsi="Sakkal Majalla" w:cs="Sakkal Majalla"/>
                <w:color w:val="000000"/>
                <w:kern w:val="0"/>
                <w:sz w:val="34"/>
                <w:szCs w:val="34"/>
                <w:rtl/>
                <w14:ligatures w14:val="none"/>
              </w:rPr>
              <w:t>وزارة الموارد البشرية والتنمية الاجتماعية</w:t>
            </w:r>
          </w:p>
        </w:tc>
      </w:tr>
      <w:tr w:rsidR="00194CE3" w:rsidRPr="00E03D03" w14:paraId="25546FB3" w14:textId="77777777">
        <w:trPr>
          <w:trHeight w:val="165"/>
        </w:trPr>
        <w:tc>
          <w:tcPr>
            <w:tcW w:w="1665" w:type="dxa"/>
            <w:tcBorders>
              <w:top w:val="single" w:sz="6" w:space="0" w:color="AAAAAA"/>
              <w:left w:val="single" w:sz="6" w:space="0" w:color="AAAAAA"/>
              <w:bottom w:val="single" w:sz="6" w:space="0" w:color="AAAAAA"/>
              <w:right w:val="single" w:sz="6" w:space="0" w:color="AAAAAA"/>
            </w:tcBorders>
            <w:shd w:val="clear" w:color="auto" w:fill="E8EEF8"/>
            <w:tcMar>
              <w:top w:w="60" w:type="dxa"/>
              <w:left w:w="60" w:type="dxa"/>
              <w:bottom w:w="60" w:type="dxa"/>
              <w:right w:w="60" w:type="dxa"/>
            </w:tcMar>
            <w:hideMark/>
          </w:tcPr>
          <w:p w14:paraId="2002DFD0" w14:textId="77777777" w:rsidR="00194CE3" w:rsidRPr="00E03D03" w:rsidRDefault="00194CE3" w:rsidP="001226CA">
            <w:pPr>
              <w:spacing w:after="0" w:line="360" w:lineRule="auto"/>
              <w:rPr>
                <w:rFonts w:ascii="Sakkal Majalla" w:eastAsiaTheme="minorEastAsia" w:hAnsi="Sakkal Majalla" w:cs="Sakkal Majalla"/>
                <w:color w:val="000000"/>
                <w:kern w:val="0"/>
                <w:sz w:val="34"/>
                <w:szCs w:val="34"/>
                <w14:ligatures w14:val="none"/>
              </w:rPr>
            </w:pPr>
            <w:r>
              <w:rPr>
                <w:rFonts w:ascii="Sakkal Majalla" w:eastAsiaTheme="minorEastAsia" w:hAnsi="Sakkal Majalla" w:cs="Sakkal Majalla"/>
                <w:color w:val="000000"/>
                <w:kern w:val="0"/>
                <w:sz w:val="34"/>
                <w:szCs w:val="34"/>
                <w:rtl/>
                <w14:ligatures w14:val="none"/>
              </w:rPr>
              <w:t>نوع التأثير</w:t>
            </w:r>
          </w:p>
        </w:tc>
        <w:tc>
          <w:tcPr>
            <w:tcW w:w="2220" w:type="dxa"/>
            <w:tcBorders>
              <w:top w:val="single" w:sz="6" w:space="0" w:color="AAAAAA"/>
              <w:left w:val="single" w:sz="6" w:space="0" w:color="AAAAAA"/>
              <w:bottom w:val="single" w:sz="6" w:space="0" w:color="AAAAAA"/>
              <w:right w:val="single" w:sz="6" w:space="0" w:color="AAAAAA"/>
            </w:tcBorders>
            <w:shd w:val="clear" w:color="auto" w:fill="E8EEF8"/>
            <w:tcMar>
              <w:top w:w="60" w:type="dxa"/>
              <w:left w:w="60" w:type="dxa"/>
              <w:bottom w:w="60" w:type="dxa"/>
              <w:right w:w="60" w:type="dxa"/>
            </w:tcMar>
            <w:hideMark/>
          </w:tcPr>
          <w:p w14:paraId="2950E57D" w14:textId="77777777" w:rsidR="00194CE3" w:rsidRPr="00E03D03" w:rsidRDefault="00194CE3" w:rsidP="001226CA">
            <w:pPr>
              <w:spacing w:after="0" w:line="360" w:lineRule="auto"/>
              <w:rPr>
                <w:rFonts w:ascii="Sakkal Majalla" w:eastAsiaTheme="minorEastAsia" w:hAnsi="Sakkal Majalla" w:cs="Sakkal Majalla"/>
                <w:color w:val="000000"/>
                <w:kern w:val="0"/>
                <w:sz w:val="34"/>
                <w:szCs w:val="34"/>
                <w14:ligatures w14:val="none"/>
              </w:rPr>
            </w:pPr>
            <w:r>
              <w:rPr>
                <w:rFonts w:ascii="Sakkal Majalla" w:eastAsiaTheme="minorEastAsia" w:hAnsi="Sakkal Majalla" w:cs="Sakkal Majalla"/>
                <w:color w:val="000000"/>
                <w:kern w:val="0"/>
                <w:sz w:val="34"/>
                <w:szCs w:val="34"/>
                <w:rtl/>
                <w14:ligatures w14:val="none"/>
              </w:rPr>
              <w:t>تأثير التقنية والنظام على الموظف</w:t>
            </w:r>
          </w:p>
        </w:tc>
        <w:tc>
          <w:tcPr>
            <w:tcW w:w="2205" w:type="dxa"/>
            <w:tcBorders>
              <w:top w:val="single" w:sz="6" w:space="0" w:color="AAAAAA"/>
              <w:left w:val="single" w:sz="6" w:space="0" w:color="AAAAAA"/>
              <w:bottom w:val="single" w:sz="6" w:space="0" w:color="AAAAAA"/>
              <w:right w:val="single" w:sz="6" w:space="0" w:color="AAAAAA"/>
            </w:tcBorders>
            <w:shd w:val="clear" w:color="auto" w:fill="E8EEF8"/>
            <w:tcMar>
              <w:top w:w="60" w:type="dxa"/>
              <w:left w:w="60" w:type="dxa"/>
              <w:bottom w:w="60" w:type="dxa"/>
              <w:right w:w="60" w:type="dxa"/>
            </w:tcMar>
            <w:hideMark/>
          </w:tcPr>
          <w:p w14:paraId="1F80A55C" w14:textId="77777777" w:rsidR="00194CE3" w:rsidRPr="00E03D03" w:rsidRDefault="00194CE3" w:rsidP="001226CA">
            <w:pPr>
              <w:spacing w:after="0" w:line="360" w:lineRule="auto"/>
              <w:rPr>
                <w:rFonts w:ascii="Sakkal Majalla" w:eastAsiaTheme="minorEastAsia" w:hAnsi="Sakkal Majalla" w:cs="Sakkal Majalla"/>
                <w:color w:val="000000"/>
                <w:kern w:val="0"/>
                <w:sz w:val="34"/>
                <w:szCs w:val="34"/>
                <w14:ligatures w14:val="none"/>
              </w:rPr>
            </w:pPr>
            <w:r>
              <w:rPr>
                <w:rFonts w:ascii="Sakkal Majalla" w:eastAsiaTheme="minorEastAsia" w:hAnsi="Sakkal Majalla" w:cs="Sakkal Majalla"/>
                <w:color w:val="000000"/>
                <w:kern w:val="0"/>
                <w:sz w:val="34"/>
                <w:szCs w:val="34"/>
                <w:rtl/>
                <w14:ligatures w14:val="none"/>
              </w:rPr>
              <w:t>تأثير الثقافة والقيم الرقمية على الموظف</w:t>
            </w:r>
          </w:p>
        </w:tc>
      </w:tr>
    </w:tbl>
    <w:p w14:paraId="334DDF20"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14:ligatures w14:val="none"/>
        </w:rPr>
      </w:pPr>
    </w:p>
    <w:p w14:paraId="4D7591D6"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الفجوة البحثية</w:t>
      </w:r>
    </w:p>
    <w:p w14:paraId="326895F6" w14:textId="77777777" w:rsidR="00194CE3" w:rsidRPr="00E03D03" w:rsidRDefault="00194CE3" w:rsidP="001226CA">
      <w:pPr>
        <w:spacing w:after="22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تتميز الدراسة الحالية بتسليط الضوء على البُعد الثقافي للتحول الرقمي الذي أغفلته معظم الدراسات السابقة؛ إذ ركّزت الغالبية على الجوانب التقنية والبنية التحتية، في حين تستكشف هذه الدراسة كيف تُهيِّئ الثقافة التنظيمية الموظفَ نفسياً ووظيفياً لاستيعاب التحول الرقمي وتحقيق أداء متميز في سياقه. كذلك تنفرد هذه الدراسة بتطبيقها على قطاع حكومي سعودي متخصص يتسم بخصوصية سياقية عالية.</w:t>
      </w:r>
    </w:p>
    <w:p w14:paraId="714DC253"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رابعاً: الإطار النظري للدراسة</w:t>
      </w:r>
    </w:p>
    <w:p w14:paraId="4F24E0B0"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المحور الأول: ثقافة المنظمة نحو التحول الرقمي</w:t>
      </w:r>
    </w:p>
    <w:p w14:paraId="54CCA76A"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1. مفهوم الثقافة التنظيمية وعلاقتها بالتحول الرقمي</w:t>
      </w:r>
    </w:p>
    <w:p w14:paraId="4A3F616D"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lastRenderedPageBreak/>
        <w:t xml:space="preserve">تُشكّل الثقافة التنظيمية وعاءً حاضناً للتحول الرقمي وأحد المحددات الجوهرية لنجاحه أو فشله. فقد عرّف </w:t>
      </w:r>
      <w:r>
        <w:rPr>
          <w:rFonts w:ascii="Sakkal Majalla" w:eastAsiaTheme="minorEastAsia" w:hAnsi="Sakkal Majalla" w:cs="Sakkal Majalla"/>
          <w:color w:val="000000"/>
          <w:kern w:val="0"/>
          <w:sz w:val="34"/>
          <w:szCs w:val="34"/>
          <w14:ligatures w14:val="none"/>
        </w:rPr>
        <w:t>Schein (2010)</w:t>
      </w:r>
      <w:r>
        <w:rPr>
          <w:rFonts w:ascii="Sakkal Majalla" w:eastAsiaTheme="minorEastAsia" w:hAnsi="Sakkal Majalla" w:cs="Sakkal Majalla"/>
          <w:color w:val="000000"/>
          <w:kern w:val="0"/>
          <w:sz w:val="34"/>
          <w:szCs w:val="34"/>
          <w:rtl/>
          <w14:ligatures w14:val="none"/>
        </w:rPr>
        <w:t xml:space="preserve"> الثقافة التنظيمية بأنها "نمط من الافتراضات الأساسية المشتركة التي اكتشفتها المجموعة أو طوّرتها أو اخترعتها في سياق تعلّمها كيفية حل مشكلاتها الخارجية والتكامل الداخلي". وفي سياق التحول الرقمي، تُمثّل الثقافة التنظيمية العامل الرابط بين التقنية والإنسان، إذ تُحدِّد مدى استعداد الأفراد لتبني الأنظمة الرقمية الجديدة والتكيّف معها.</w:t>
      </w:r>
    </w:p>
    <w:p w14:paraId="7C897D38"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 xml:space="preserve">ويُميز الباحثون بين ثقافة الرقمنة التي تُحفِّز على التغيير وتتبنى الابتكار، وثقافة مقاومة التغيير التي تُعيق التحول الرقمي وتُبطئه. وقد وجد </w:t>
      </w:r>
      <w:r>
        <w:rPr>
          <w:rFonts w:ascii="Sakkal Majalla" w:eastAsiaTheme="minorEastAsia" w:hAnsi="Sakkal Majalla" w:cs="Sakkal Majalla"/>
          <w:color w:val="000000"/>
          <w:kern w:val="0"/>
          <w:sz w:val="34"/>
          <w:szCs w:val="34"/>
          <w14:ligatures w14:val="none"/>
        </w:rPr>
        <w:t>Westerman et al. (2014)</w:t>
      </w:r>
      <w:r>
        <w:rPr>
          <w:rFonts w:ascii="Sakkal Majalla" w:eastAsiaTheme="minorEastAsia" w:hAnsi="Sakkal Majalla" w:cs="Sakkal Majalla"/>
          <w:color w:val="000000"/>
          <w:kern w:val="0"/>
          <w:sz w:val="34"/>
          <w:szCs w:val="34"/>
          <w:rtl/>
          <w14:ligatures w14:val="none"/>
        </w:rPr>
        <w:t xml:space="preserve"> أن المنظمات الأكثر نجاحاً في التحول الرقمي هي تلك التي تمتلك ثقافة تنظيمية داعمة للتجريب والمرونة والتعلم المستمر.</w:t>
      </w:r>
    </w:p>
    <w:p w14:paraId="4195B964"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2. النماذج النظرية المفسِّرة للثقافة الرقمية</w:t>
      </w:r>
    </w:p>
    <w:p w14:paraId="27F60852"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 xml:space="preserve">أ) نموذج </w:t>
      </w:r>
      <w:r>
        <w:rPr>
          <w:rFonts w:ascii="Sakkal Majalla" w:eastAsiaTheme="minorEastAsia" w:hAnsi="Sakkal Majalla" w:cs="Sakkal Majalla"/>
          <w:color w:val="000000"/>
          <w:kern w:val="0"/>
          <w:sz w:val="34"/>
          <w:szCs w:val="34"/>
          <w14:ligatures w14:val="none"/>
        </w:rPr>
        <w:t>Schein</w:t>
      </w:r>
      <w:r>
        <w:rPr>
          <w:rFonts w:ascii="Sakkal Majalla" w:eastAsiaTheme="minorEastAsia" w:hAnsi="Sakkal Majalla" w:cs="Sakkal Majalla"/>
          <w:color w:val="000000"/>
          <w:kern w:val="0"/>
          <w:sz w:val="34"/>
          <w:szCs w:val="34"/>
          <w:rtl/>
          <w14:ligatures w14:val="none"/>
        </w:rPr>
        <w:t xml:space="preserve"> للثقافة التنظيمية: يُصنِّف </w:t>
      </w:r>
      <w:r>
        <w:rPr>
          <w:rFonts w:ascii="Sakkal Majalla" w:eastAsiaTheme="minorEastAsia" w:hAnsi="Sakkal Majalla" w:cs="Sakkal Majalla"/>
          <w:color w:val="000000"/>
          <w:kern w:val="0"/>
          <w:sz w:val="34"/>
          <w:szCs w:val="34"/>
          <w14:ligatures w14:val="none"/>
        </w:rPr>
        <w:t>Schein</w:t>
      </w:r>
      <w:r>
        <w:rPr>
          <w:rFonts w:ascii="Sakkal Majalla" w:eastAsiaTheme="minorEastAsia" w:hAnsi="Sakkal Majalla" w:cs="Sakkal Majalla"/>
          <w:color w:val="000000"/>
          <w:kern w:val="0"/>
          <w:sz w:val="34"/>
          <w:szCs w:val="34"/>
          <w:rtl/>
          <w14:ligatures w14:val="none"/>
        </w:rPr>
        <w:t xml:space="preserve"> الثقافة التنظيمية في ثلاثة مستويات: الافتراضات الأساسية (المستوى الأعمق)، والقيم المُعلنة، والمنتجات الملموسة. وفي سياق التحول الرقمي، يُشير النموذج إلى ضرورة تغيير الافتراضات الأساسية حول التقنية والعمل قبل أي تحول حقيقي.</w:t>
      </w:r>
    </w:p>
    <w:p w14:paraId="24AA0736"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 xml:space="preserve">ب) نموذج </w:t>
      </w:r>
      <w:r>
        <w:rPr>
          <w:rFonts w:ascii="Sakkal Majalla" w:eastAsiaTheme="minorEastAsia" w:hAnsi="Sakkal Majalla" w:cs="Sakkal Majalla"/>
          <w:color w:val="000000"/>
          <w:kern w:val="0"/>
          <w:sz w:val="34"/>
          <w:szCs w:val="34"/>
          <w14:ligatures w14:val="none"/>
        </w:rPr>
        <w:t>Hofstede</w:t>
      </w:r>
      <w:r>
        <w:rPr>
          <w:rFonts w:ascii="Sakkal Majalla" w:eastAsiaTheme="minorEastAsia" w:hAnsi="Sakkal Majalla" w:cs="Sakkal Majalla"/>
          <w:color w:val="000000"/>
          <w:kern w:val="0"/>
          <w:sz w:val="34"/>
          <w:szCs w:val="34"/>
          <w:rtl/>
          <w14:ligatures w14:val="none"/>
        </w:rPr>
        <w:t xml:space="preserve"> للأبعاد الثقافية: يُقدِّم </w:t>
      </w:r>
      <w:r>
        <w:rPr>
          <w:rFonts w:ascii="Sakkal Majalla" w:eastAsiaTheme="minorEastAsia" w:hAnsi="Sakkal Majalla" w:cs="Sakkal Majalla"/>
          <w:color w:val="000000"/>
          <w:kern w:val="0"/>
          <w:sz w:val="34"/>
          <w:szCs w:val="34"/>
          <w14:ligatures w14:val="none"/>
        </w:rPr>
        <w:t>Hofstede</w:t>
      </w:r>
      <w:r>
        <w:rPr>
          <w:rFonts w:ascii="Sakkal Majalla" w:eastAsiaTheme="minorEastAsia" w:hAnsi="Sakkal Majalla" w:cs="Sakkal Majalla"/>
          <w:color w:val="000000"/>
          <w:kern w:val="0"/>
          <w:sz w:val="34"/>
          <w:szCs w:val="34"/>
          <w:rtl/>
          <w14:ligatures w14:val="none"/>
        </w:rPr>
        <w:t xml:space="preserve"> إطاراً لفهم كيفية تأثير القيم الثقافية الوطنية والمؤسسية في تبني التقنيات الرقمية، وقد كيَّف باحثون عديدون هذا النموذج ليشمل الأبعاد الثقافية الخاصة بالرقمنة.</w:t>
      </w:r>
    </w:p>
    <w:p w14:paraId="29E358CB"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lastRenderedPageBreak/>
        <w:t>ج) نظرية الموارد والمطالب (</w:t>
      </w:r>
      <w:r>
        <w:rPr>
          <w:rFonts w:ascii="Sakkal Majalla" w:eastAsiaTheme="minorEastAsia" w:hAnsi="Sakkal Majalla" w:cs="Sakkal Majalla"/>
          <w:color w:val="000000"/>
          <w:kern w:val="0"/>
          <w:sz w:val="34"/>
          <w:szCs w:val="34"/>
          <w14:ligatures w14:val="none"/>
        </w:rPr>
        <w:t>Job Demands-Resources Theory</w:t>
      </w:r>
      <w:r>
        <w:rPr>
          <w:rFonts w:ascii="Sakkal Majalla" w:eastAsiaTheme="minorEastAsia" w:hAnsi="Sakkal Majalla" w:cs="Sakkal Majalla"/>
          <w:color w:val="000000"/>
          <w:kern w:val="0"/>
          <w:sz w:val="34"/>
          <w:szCs w:val="34"/>
          <w:rtl/>
          <w14:ligatures w14:val="none"/>
        </w:rPr>
        <w:t>): تُفسِّر هذه النظرية كيف تُشكِّل الثقافة الرقمية الداعمة مورداً تنظيمياً يُخفِّف من ضغوط التحول الرقمي ويُعزِّز دافعية الموظفين نحو الأداء المتميز.</w:t>
      </w:r>
    </w:p>
    <w:p w14:paraId="11D223BD"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3. أبعاد ثقافة المنظمة نحو التحول الرقمي</w:t>
      </w:r>
    </w:p>
    <w:p w14:paraId="45B1C1C8" w14:textId="77777777" w:rsidR="00194CE3" w:rsidRPr="00E03D03" w:rsidRDefault="00194CE3" w:rsidP="001226CA">
      <w:pPr>
        <w:spacing w:after="7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تتمحور الثقافة التنظيمية الداعمة للتحول الرقمي حول أربعة أبعاد رئيسية:</w:t>
      </w:r>
    </w:p>
    <w:p w14:paraId="4F63F15E"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القيم والتوجهات الرقمية (</w:t>
      </w:r>
      <w:r>
        <w:rPr>
          <w:rFonts w:ascii="Sakkal Majalla" w:eastAsia="Times New Roman" w:hAnsi="Sakkal Majalla" w:cs="Sakkal Majalla"/>
          <w:color w:val="000000"/>
          <w:kern w:val="0"/>
          <w:sz w:val="34"/>
          <w:szCs w:val="34"/>
          <w14:ligatures w14:val="none"/>
        </w:rPr>
        <w:t>Digital Values</w:t>
      </w:r>
      <w:r>
        <w:rPr>
          <w:rFonts w:ascii="Sakkal Majalla" w:eastAsia="Times New Roman" w:hAnsi="Sakkal Majalla" w:cs="Sakkal Majalla"/>
          <w:color w:val="000000"/>
          <w:kern w:val="0"/>
          <w:sz w:val="34"/>
          <w:szCs w:val="34"/>
          <w:rtl/>
          <w14:ligatures w14:val="none"/>
        </w:rPr>
        <w:t>): تشمل تبني قيم الابتكار والتجريب والتحسين المستمر، وإدراج الأهداف الرقمية ضمن الأولويات الاستراتيجية للمنظمة.</w:t>
      </w:r>
    </w:p>
    <w:p w14:paraId="482F8993"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الانفتاح على التغيير التقني (</w:t>
      </w:r>
      <w:r>
        <w:rPr>
          <w:rFonts w:ascii="Sakkal Majalla" w:eastAsia="Times New Roman" w:hAnsi="Sakkal Majalla" w:cs="Sakkal Majalla"/>
          <w:color w:val="000000"/>
          <w:kern w:val="0"/>
          <w:sz w:val="34"/>
          <w:szCs w:val="34"/>
          <w14:ligatures w14:val="none"/>
        </w:rPr>
        <w:t>Openness</w:t>
      </w:r>
      <w:r>
        <w:rPr>
          <w:rFonts w:ascii="Sakkal Majalla" w:eastAsia="Times New Roman" w:hAnsi="Sakkal Majalla" w:cs="Sakkal Majalla"/>
          <w:color w:val="000000"/>
          <w:kern w:val="0"/>
          <w:sz w:val="34"/>
          <w:szCs w:val="34"/>
          <w:rtl/>
          <w14:ligatures w14:val="none"/>
        </w:rPr>
        <w:t>): يعكس استعداد القيادة والموظفين لتبني التقنيات الجديدة والترحيب بالتغيير بدلاً من مقاومته.</w:t>
      </w:r>
    </w:p>
    <w:p w14:paraId="62BDB1DA"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ثقافة التعلم الرقمي المستمر (</w:t>
      </w:r>
      <w:r>
        <w:rPr>
          <w:rFonts w:ascii="Sakkal Majalla" w:eastAsia="Times New Roman" w:hAnsi="Sakkal Majalla" w:cs="Sakkal Majalla"/>
          <w:color w:val="000000"/>
          <w:kern w:val="0"/>
          <w:sz w:val="34"/>
          <w:szCs w:val="34"/>
          <w14:ligatures w14:val="none"/>
        </w:rPr>
        <w:t>Digital Learning</w:t>
      </w:r>
      <w:r>
        <w:rPr>
          <w:rFonts w:ascii="Sakkal Majalla" w:eastAsia="Times New Roman" w:hAnsi="Sakkal Majalla" w:cs="Sakkal Majalla"/>
          <w:color w:val="000000"/>
          <w:kern w:val="0"/>
          <w:sz w:val="34"/>
          <w:szCs w:val="34"/>
          <w:rtl/>
          <w14:ligatures w14:val="none"/>
        </w:rPr>
        <w:t>): تُعبِّر عن تشجيع التطوير الرقمي والتدريب المتواصل وتبادل المعرفة وبناء المجتمعات المهنية الرقمية.</w:t>
      </w:r>
    </w:p>
    <w:p w14:paraId="225CF627" w14:textId="77777777" w:rsidR="00194CE3" w:rsidRPr="00E03D03" w:rsidRDefault="00194CE3" w:rsidP="001226CA">
      <w:pPr>
        <w:spacing w:after="15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التعاون والتواصل الرقمي (</w:t>
      </w:r>
      <w:r>
        <w:rPr>
          <w:rFonts w:ascii="Sakkal Majalla" w:eastAsia="Times New Roman" w:hAnsi="Sakkal Majalla" w:cs="Sakkal Majalla"/>
          <w:color w:val="000000"/>
          <w:kern w:val="0"/>
          <w:sz w:val="34"/>
          <w:szCs w:val="34"/>
          <w14:ligatures w14:val="none"/>
        </w:rPr>
        <w:t>Digital Collaboration</w:t>
      </w:r>
      <w:r>
        <w:rPr>
          <w:rFonts w:ascii="Sakkal Majalla" w:eastAsia="Times New Roman" w:hAnsi="Sakkal Majalla" w:cs="Sakkal Majalla"/>
          <w:color w:val="000000"/>
          <w:kern w:val="0"/>
          <w:sz w:val="34"/>
          <w:szCs w:val="34"/>
          <w:rtl/>
          <w14:ligatures w14:val="none"/>
        </w:rPr>
        <w:t>): يتجسَّد في توظيف المنصات الرقمية في بناء المعرفة المشتركة وتعزيز العمل الجماعي عبر الفرق الافتراضية.</w:t>
      </w:r>
    </w:p>
    <w:p w14:paraId="635BF69B" w14:textId="77777777" w:rsidR="00194CE3" w:rsidRPr="00E03D03" w:rsidRDefault="00194CE3" w:rsidP="001226CA">
      <w:pPr>
        <w:spacing w:after="150" w:line="360" w:lineRule="auto"/>
        <w:rPr>
          <w:rFonts w:ascii="Sakkal Majalla" w:eastAsiaTheme="minorEastAsia" w:hAnsi="Sakkal Majalla" w:cs="Sakkal Majalla"/>
          <w:color w:val="2E5090"/>
          <w:kern w:val="0"/>
          <w:sz w:val="34"/>
          <w:szCs w:val="34"/>
          <w:rtl/>
          <w14:ligatures w14:val="none"/>
        </w:rPr>
      </w:pPr>
      <w:r>
        <w:rPr>
          <w:rFonts w:ascii="Sakkal Majalla" w:eastAsiaTheme="minorEastAsia" w:hAnsi="Sakkal Majalla" w:cs="Sakkal Majalla"/>
          <w:color w:val="2E5090"/>
          <w:kern w:val="0"/>
          <w:sz w:val="34"/>
          <w:szCs w:val="34"/>
          <w:rtl/>
          <w14:ligatures w14:val="none"/>
        </w:rPr>
        <w:t>المحور الثاني: أداء الموظفين في سياق التحول الرقمي</w:t>
      </w:r>
    </w:p>
    <w:p w14:paraId="5A107A3D"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1. مفهوم أداء الموظفين</w:t>
      </w:r>
    </w:p>
    <w:p w14:paraId="452E5F82"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 xml:space="preserve">يُعدّ أداء الموظفين مفهوماً متعدد الأبعاد، فقد عرّفه </w:t>
      </w:r>
      <w:r>
        <w:rPr>
          <w:rFonts w:ascii="Sakkal Majalla" w:eastAsiaTheme="minorEastAsia" w:hAnsi="Sakkal Majalla" w:cs="Sakkal Majalla"/>
          <w:color w:val="000000"/>
          <w:kern w:val="0"/>
          <w:sz w:val="34"/>
          <w:szCs w:val="34"/>
          <w14:ligatures w14:val="none"/>
        </w:rPr>
        <w:t>Campbell (1990)</w:t>
      </w:r>
      <w:r>
        <w:rPr>
          <w:rFonts w:ascii="Sakkal Majalla" w:eastAsiaTheme="minorEastAsia" w:hAnsi="Sakkal Majalla" w:cs="Sakkal Majalla"/>
          <w:color w:val="000000"/>
          <w:kern w:val="0"/>
          <w:sz w:val="34"/>
          <w:szCs w:val="34"/>
          <w:rtl/>
          <w14:ligatures w14:val="none"/>
        </w:rPr>
        <w:t xml:space="preserve"> بأنه "السلوك الذي يتحكم فيه الفرد ويُسهم في تحقيق أهداف المنظمة". وفي عصر الرقمنة، تطوّر مفهوم الأداء الوظيفي ليشمل قدرة الموظف على توظيف الأدوات الرقمية بكفاءة وإبداع في سياق عمله.</w:t>
      </w:r>
    </w:p>
    <w:p w14:paraId="1F12E6E7" w14:textId="77777777" w:rsidR="00194CE3" w:rsidRPr="00E03D03" w:rsidRDefault="00194CE3" w:rsidP="001226CA">
      <w:pPr>
        <w:spacing w:after="15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lastRenderedPageBreak/>
        <w:t xml:space="preserve">ويُميِّز </w:t>
      </w:r>
      <w:r>
        <w:rPr>
          <w:rFonts w:ascii="Sakkal Majalla" w:eastAsiaTheme="minorEastAsia" w:hAnsi="Sakkal Majalla" w:cs="Sakkal Majalla"/>
          <w:color w:val="000000"/>
          <w:kern w:val="0"/>
          <w:sz w:val="34"/>
          <w:szCs w:val="34"/>
          <w14:ligatures w14:val="none"/>
        </w:rPr>
        <w:t>Borman</w:t>
      </w:r>
      <w:r>
        <w:rPr>
          <w:rFonts w:ascii="Sakkal Majalla" w:eastAsiaTheme="minorEastAsia" w:hAnsi="Sakkal Majalla" w:cs="Sakkal Majalla"/>
          <w:color w:val="000000"/>
          <w:kern w:val="0"/>
          <w:sz w:val="34"/>
          <w:szCs w:val="34"/>
          <w:rtl/>
          <w14:ligatures w14:val="none"/>
        </w:rPr>
        <w:t xml:space="preserve"> &amp; </w:t>
      </w:r>
      <w:r>
        <w:rPr>
          <w:rFonts w:ascii="Sakkal Majalla" w:eastAsiaTheme="minorEastAsia" w:hAnsi="Sakkal Majalla" w:cs="Sakkal Majalla"/>
          <w:color w:val="000000"/>
          <w:kern w:val="0"/>
          <w:sz w:val="34"/>
          <w:szCs w:val="34"/>
          <w14:ligatures w14:val="none"/>
        </w:rPr>
        <w:t>Motowidlo (1993)</w:t>
      </w:r>
      <w:r>
        <w:rPr>
          <w:rFonts w:ascii="Sakkal Majalla" w:eastAsiaTheme="minorEastAsia" w:hAnsi="Sakkal Majalla" w:cs="Sakkal Majalla"/>
          <w:color w:val="000000"/>
          <w:kern w:val="0"/>
          <w:sz w:val="34"/>
          <w:szCs w:val="34"/>
          <w:rtl/>
          <w14:ligatures w14:val="none"/>
        </w:rPr>
        <w:t xml:space="preserve"> بين ثلاثة أبعاد للأداء: الأداء المهمي (</w:t>
      </w:r>
      <w:r>
        <w:rPr>
          <w:rFonts w:ascii="Sakkal Majalla" w:eastAsiaTheme="minorEastAsia" w:hAnsi="Sakkal Majalla" w:cs="Sakkal Majalla"/>
          <w:color w:val="000000"/>
          <w:kern w:val="0"/>
          <w:sz w:val="34"/>
          <w:szCs w:val="34"/>
          <w14:ligatures w14:val="none"/>
        </w:rPr>
        <w:t>Task Performance</w:t>
      </w:r>
      <w:r>
        <w:rPr>
          <w:rFonts w:ascii="Sakkal Majalla" w:eastAsiaTheme="minorEastAsia" w:hAnsi="Sakkal Majalla" w:cs="Sakkal Majalla"/>
          <w:color w:val="000000"/>
          <w:kern w:val="0"/>
          <w:sz w:val="34"/>
          <w:szCs w:val="34"/>
          <w:rtl/>
          <w14:ligatures w14:val="none"/>
        </w:rPr>
        <w:t>) المرتبط بالكفاءة في إنجاز المهام الجوهرية، والأداء السياقي (</w:t>
      </w:r>
      <w:r>
        <w:rPr>
          <w:rFonts w:ascii="Sakkal Majalla" w:eastAsiaTheme="minorEastAsia" w:hAnsi="Sakkal Majalla" w:cs="Sakkal Majalla"/>
          <w:color w:val="000000"/>
          <w:kern w:val="0"/>
          <w:sz w:val="34"/>
          <w:szCs w:val="34"/>
          <w14:ligatures w14:val="none"/>
        </w:rPr>
        <w:t>Contextual Performance</w:t>
      </w:r>
      <w:r>
        <w:rPr>
          <w:rFonts w:ascii="Sakkal Majalla" w:eastAsiaTheme="minorEastAsia" w:hAnsi="Sakkal Majalla" w:cs="Sakkal Majalla"/>
          <w:color w:val="000000"/>
          <w:kern w:val="0"/>
          <w:sz w:val="34"/>
          <w:szCs w:val="34"/>
          <w:rtl/>
          <w14:ligatures w14:val="none"/>
        </w:rPr>
        <w:t>) المرتبط بالسلوكيات المؤيِّدة للمنظمة، والأداء التكيفي (</w:t>
      </w:r>
      <w:r>
        <w:rPr>
          <w:rFonts w:ascii="Sakkal Majalla" w:eastAsiaTheme="minorEastAsia" w:hAnsi="Sakkal Majalla" w:cs="Sakkal Majalla"/>
          <w:color w:val="000000"/>
          <w:kern w:val="0"/>
          <w:sz w:val="34"/>
          <w:szCs w:val="34"/>
          <w14:ligatures w14:val="none"/>
        </w:rPr>
        <w:t>Adaptive Performance</w:t>
      </w:r>
      <w:r>
        <w:rPr>
          <w:rFonts w:ascii="Sakkal Majalla" w:eastAsiaTheme="minorEastAsia" w:hAnsi="Sakkal Majalla" w:cs="Sakkal Majalla"/>
          <w:color w:val="000000"/>
          <w:kern w:val="0"/>
          <w:sz w:val="34"/>
          <w:szCs w:val="34"/>
          <w:rtl/>
          <w14:ligatures w14:val="none"/>
        </w:rPr>
        <w:t>) المرتبط بالقدرة على التكيف مع المتغيرات البيئية.</w:t>
      </w:r>
    </w:p>
    <w:p w14:paraId="3330FC3E" w14:textId="77777777" w:rsidR="00194CE3" w:rsidRPr="00E03D03" w:rsidRDefault="00194CE3" w:rsidP="001226CA">
      <w:pPr>
        <w:spacing w:after="75"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2. أبعاد أداء الموظفين المستهدفة بالدراسة</w:t>
      </w:r>
    </w:p>
    <w:p w14:paraId="7949A592"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جودة الأداء الوظيفي: الدقة والكفاءة في إنجاز المهام الرقمية وفق معايير الجودة المحددة وبأقل هامش من الأخطاء.</w:t>
      </w:r>
    </w:p>
    <w:p w14:paraId="1961C415"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الإنتاجية والفاعلية: حجم المخرجات المنجزة في ضوء توظيف الأدوات الرقمية وكفاءة استخدام الوقت والموارد المتاحة.</w:t>
      </w:r>
    </w:p>
    <w:p w14:paraId="56AC1EA3"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المبادرة والابتكار: تقديم حلول رقمية إبداعية ذاتية تتجاوز الحد الأدنى المطلوب وتُضيف قيمة مضافة حقيقية للمنظمة.</w:t>
      </w:r>
    </w:p>
    <w:p w14:paraId="24203838" w14:textId="77777777" w:rsidR="00194CE3" w:rsidRPr="00E03D03" w:rsidRDefault="00194CE3" w:rsidP="001226CA">
      <w:pPr>
        <w:spacing w:after="60" w:line="360" w:lineRule="auto"/>
        <w:rPr>
          <w:rFonts w:ascii="Sakkal Majalla" w:eastAsia="Times New Roman" w:hAnsi="Sakkal Majalla" w:cs="Sakkal Majalla"/>
          <w:color w:val="000000"/>
          <w:kern w:val="0"/>
          <w:sz w:val="34"/>
          <w:szCs w:val="34"/>
          <w:rtl/>
          <w14:ligatures w14:val="none"/>
        </w:rPr>
      </w:pPr>
      <w:r>
        <w:rPr>
          <w:rFonts w:ascii="Sakkal Majalla" w:eastAsia="Times New Roman" w:hAnsi="Sakkal Majalla" w:cs="Sakkal Majalla"/>
          <w:color w:val="000000"/>
          <w:kern w:val="0"/>
          <w:sz w:val="34"/>
          <w:szCs w:val="34"/>
          <w:rtl/>
          <w14:ligatures w14:val="none"/>
        </w:rPr>
        <w:t>الالتزام بالتحول الرقمي: الانخراط الفعلي في تطبيق الأنظمة والإجراءات الرقمية والامتثال لمعايير الجودة الرقمية.</w:t>
      </w:r>
    </w:p>
    <w:p w14:paraId="0319907E" w14:textId="77777777" w:rsidR="00194CE3" w:rsidRPr="00E03D03" w:rsidRDefault="00194CE3" w:rsidP="001226CA">
      <w:pPr>
        <w:spacing w:after="6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3. العلاقة التفاعلية بين الثقافة الرقمية وأداء الموظفين</w:t>
      </w:r>
    </w:p>
    <w:p w14:paraId="06C8E494" w14:textId="77777777" w:rsidR="00194CE3" w:rsidRPr="00E03D03" w:rsidRDefault="00194CE3" w:rsidP="001226CA">
      <w:pPr>
        <w:spacing w:after="60" w:line="360" w:lineRule="auto"/>
        <w:rPr>
          <w:rFonts w:ascii="Sakkal Majalla" w:eastAsiaTheme="minorEastAsia" w:hAnsi="Sakkal Majalla" w:cs="Sakkal Majalla"/>
          <w:color w:val="000000"/>
          <w:kern w:val="0"/>
          <w:sz w:val="34"/>
          <w:szCs w:val="34"/>
          <w:rtl/>
          <w14:ligatures w14:val="none"/>
        </w:rPr>
      </w:pPr>
      <w:r>
        <w:rPr>
          <w:rFonts w:ascii="Sakkal Majalla" w:eastAsiaTheme="minorEastAsia" w:hAnsi="Sakkal Majalla" w:cs="Sakkal Majalla"/>
          <w:color w:val="000000"/>
          <w:kern w:val="0"/>
          <w:sz w:val="34"/>
          <w:szCs w:val="34"/>
          <w:rtl/>
          <w14:ligatures w14:val="none"/>
        </w:rPr>
        <w:t>تُشكِّل الثقافة الرقمية الداعمة دوافع الموظف نحو أداء أفضل عبر آليات متعددة؛ فهي تُوفِّر بيئة نفسية آمنة للتجريب والتعلم، وتُقلِّل من قلق التقنية وخوف الموظفين من الفشل، وتُعزِّز الشعور بالانتماء والقدرة الذاتية في مواجهة تحديات التحول الرقمي. وقد وثّقت دراسات عديدة أن المنظمات التي تمتلك ثقافة رقمية قوية تتفوق على غيرها في مؤشرات الأداء بنسب تتراوح بين 20% و35%.</w:t>
      </w:r>
    </w:p>
    <w:sectPr w:rsidR="00194CE3" w:rsidRPr="00E03D0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3A9C8" w14:textId="77777777" w:rsidR="00213568" w:rsidRDefault="00213568" w:rsidP="009125CE">
      <w:pPr>
        <w:spacing w:after="0" w:line="240" w:lineRule="auto"/>
      </w:pPr>
      <w:r>
        <w:separator/>
      </w:r>
    </w:p>
  </w:endnote>
  <w:endnote w:type="continuationSeparator" w:id="0">
    <w:p w14:paraId="364ACC6B" w14:textId="77777777" w:rsidR="00213568" w:rsidRDefault="0021356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eza Pro">
    <w:charset w:val="00"/>
    <w:family w:val="auto"/>
    <w:pitch w:val="variable"/>
    <w:sig w:usb0="80002003" w:usb1="80000000" w:usb2="00000008" w:usb3="00000000" w:csb0="00000001" w:csb1="00000000"/>
  </w:font>
  <w:font w:name="Helvetica">
    <w:panose1 w:val="020B0604020202020204"/>
    <w:charset w:val="00"/>
    <w:family w:val="auto"/>
    <w:pitch w:val="variable"/>
    <w:sig w:usb0="E00002FF" w:usb1="5000785B" w:usb2="00000000" w:usb3="00000000" w:csb0="0000019F" w:csb1="00000000"/>
  </w:font>
  <w:font w:name="TimesNewRomanPS-BoldMT">
    <w:altName w:val="Times New Roman"/>
    <w:charset w:val="00"/>
    <w:family w:val="roman"/>
    <w:pitch w:val="default"/>
  </w:font>
  <w:font w:name="Arial-BoldMT">
    <w:altName w:val="Arial"/>
    <w:charset w:val="00"/>
    <w:family w:val="roman"/>
    <w:pitch w:val="default"/>
  </w:font>
  <w:font w:name="Zapf Dingbats">
    <w:charset w:val="00"/>
    <w:family w:val="roman"/>
    <w:pitch w:val="default"/>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4FDAC" w14:textId="77777777" w:rsidR="00213568" w:rsidRDefault="00213568" w:rsidP="009125CE">
      <w:pPr>
        <w:spacing w:after="0" w:line="240" w:lineRule="auto"/>
      </w:pPr>
      <w:r>
        <w:separator/>
      </w:r>
    </w:p>
  </w:footnote>
  <w:footnote w:type="continuationSeparator" w:id="0">
    <w:p w14:paraId="4A2993A5" w14:textId="77777777" w:rsidR="00213568" w:rsidRDefault="0021356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C7D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B601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DC5E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0813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192B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8BC14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0831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26F3D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3E841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47834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D3C58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00006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4291A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64918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87314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D6027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3302647">
    <w:abstractNumId w:val="4"/>
  </w:num>
  <w:num w:numId="2" w16cid:durableId="1588659589">
    <w:abstractNumId w:val="13"/>
  </w:num>
  <w:num w:numId="3" w16cid:durableId="1555463848">
    <w:abstractNumId w:val="11"/>
  </w:num>
  <w:num w:numId="4" w16cid:durableId="1678070074">
    <w:abstractNumId w:val="5"/>
  </w:num>
  <w:num w:numId="5" w16cid:durableId="1061249111">
    <w:abstractNumId w:val="8"/>
  </w:num>
  <w:num w:numId="6" w16cid:durableId="405303016">
    <w:abstractNumId w:val="3"/>
  </w:num>
  <w:num w:numId="7" w16cid:durableId="1602445175">
    <w:abstractNumId w:val="14"/>
  </w:num>
  <w:num w:numId="8" w16cid:durableId="1680159426">
    <w:abstractNumId w:val="7"/>
  </w:num>
  <w:num w:numId="9" w16cid:durableId="1273392926">
    <w:abstractNumId w:val="15"/>
  </w:num>
  <w:num w:numId="10" w16cid:durableId="388580690">
    <w:abstractNumId w:val="1"/>
  </w:num>
  <w:num w:numId="11" w16cid:durableId="1824158953">
    <w:abstractNumId w:val="0"/>
  </w:num>
  <w:num w:numId="12" w16cid:durableId="1568147082">
    <w:abstractNumId w:val="10"/>
  </w:num>
  <w:num w:numId="13" w16cid:durableId="2040272309">
    <w:abstractNumId w:val="2"/>
  </w:num>
  <w:num w:numId="14" w16cid:durableId="378630253">
    <w:abstractNumId w:val="12"/>
  </w:num>
  <w:num w:numId="15" w16cid:durableId="2057195770">
    <w:abstractNumId w:val="6"/>
  </w:num>
  <w:num w:numId="16" w16cid:durableId="18582751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10F8"/>
    <w:rsid w:val="00090F21"/>
    <w:rsid w:val="000A5E20"/>
    <w:rsid w:val="000F44B4"/>
    <w:rsid w:val="00116EC5"/>
    <w:rsid w:val="001226CA"/>
    <w:rsid w:val="001902DB"/>
    <w:rsid w:val="00194CE3"/>
    <w:rsid w:val="00196F1C"/>
    <w:rsid w:val="001C2162"/>
    <w:rsid w:val="001F558E"/>
    <w:rsid w:val="00213568"/>
    <w:rsid w:val="002B34D2"/>
    <w:rsid w:val="004163C7"/>
    <w:rsid w:val="0043415D"/>
    <w:rsid w:val="0053461C"/>
    <w:rsid w:val="00536203"/>
    <w:rsid w:val="006878B6"/>
    <w:rsid w:val="006948DE"/>
    <w:rsid w:val="007B0E54"/>
    <w:rsid w:val="007C144D"/>
    <w:rsid w:val="007C4A1B"/>
    <w:rsid w:val="007E3A20"/>
    <w:rsid w:val="00860623"/>
    <w:rsid w:val="00877AAC"/>
    <w:rsid w:val="00896FE4"/>
    <w:rsid w:val="008F1EAE"/>
    <w:rsid w:val="008F4EE9"/>
    <w:rsid w:val="009125CE"/>
    <w:rsid w:val="00930275"/>
    <w:rsid w:val="00946F5F"/>
    <w:rsid w:val="009B6888"/>
    <w:rsid w:val="009C0161"/>
    <w:rsid w:val="009D108D"/>
    <w:rsid w:val="009E1436"/>
    <w:rsid w:val="009E5668"/>
    <w:rsid w:val="00A43094"/>
    <w:rsid w:val="00AA79E9"/>
    <w:rsid w:val="00AB0A70"/>
    <w:rsid w:val="00B63B0F"/>
    <w:rsid w:val="00B7678A"/>
    <w:rsid w:val="00BC094B"/>
    <w:rsid w:val="00C362C0"/>
    <w:rsid w:val="00C72744"/>
    <w:rsid w:val="00CB2A44"/>
    <w:rsid w:val="00D04F62"/>
    <w:rsid w:val="00D22171"/>
    <w:rsid w:val="00D52480"/>
    <w:rsid w:val="00E03D03"/>
    <w:rsid w:val="00E629D7"/>
    <w:rsid w:val="00E80FD9"/>
    <w:rsid w:val="00E911DE"/>
    <w:rsid w:val="00EE22A1"/>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B7CAC5"/>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msonormal0">
    <w:name w:val="msonormal"/>
    <w:basedOn w:val="a"/>
    <w:rsid w:val="00194CE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1">
    <w:name w:val="p1"/>
    <w:basedOn w:val="a"/>
    <w:rsid w:val="00194CE3"/>
    <w:pPr>
      <w:bidi w:val="0"/>
      <w:spacing w:after="0" w:line="240" w:lineRule="auto"/>
      <w:jc w:val="right"/>
    </w:pPr>
    <w:rPr>
      <w:rFonts w:ascii="Times New Roman" w:eastAsiaTheme="minorEastAsia" w:hAnsi="Times New Roman" w:cs="Times New Roman"/>
      <w:color w:val="555555"/>
      <w:kern w:val="0"/>
      <w:sz w:val="18"/>
      <w:szCs w:val="18"/>
      <w14:ligatures w14:val="none"/>
    </w:rPr>
  </w:style>
  <w:style w:type="paragraph" w:customStyle="1" w:styleId="p2">
    <w:name w:val="p2"/>
    <w:basedOn w:val="a"/>
    <w:rsid w:val="00194CE3"/>
    <w:pPr>
      <w:bidi w:val="0"/>
      <w:spacing w:after="0" w:line="240" w:lineRule="auto"/>
      <w:jc w:val="right"/>
    </w:pPr>
    <w:rPr>
      <w:rFonts w:ascii="Times New Roman" w:eastAsiaTheme="minorEastAsia" w:hAnsi="Times New Roman" w:cs="Times New Roman"/>
      <w:color w:val="1F3864"/>
      <w:kern w:val="0"/>
      <w:sz w:val="26"/>
      <w:szCs w:val="26"/>
      <w14:ligatures w14:val="none"/>
    </w:rPr>
  </w:style>
  <w:style w:type="paragraph" w:customStyle="1" w:styleId="p3">
    <w:name w:val="p3"/>
    <w:basedOn w:val="a"/>
    <w:rsid w:val="00194CE3"/>
    <w:pPr>
      <w:bidi w:val="0"/>
      <w:spacing w:after="0" w:line="240" w:lineRule="auto"/>
      <w:jc w:val="right"/>
    </w:pPr>
    <w:rPr>
      <w:rFonts w:ascii="Times New Roman" w:eastAsiaTheme="minorEastAsia" w:hAnsi="Times New Roman" w:cs="Times New Roman"/>
      <w:color w:val="2E5090"/>
      <w:kern w:val="0"/>
      <w:sz w:val="21"/>
      <w:szCs w:val="21"/>
      <w14:ligatures w14:val="none"/>
    </w:rPr>
  </w:style>
  <w:style w:type="paragraph" w:customStyle="1" w:styleId="p4">
    <w:name w:val="p4"/>
    <w:basedOn w:val="a"/>
    <w:rsid w:val="00194CE3"/>
    <w:pPr>
      <w:bidi w:val="0"/>
      <w:spacing w:after="0" w:line="240" w:lineRule="auto"/>
      <w:jc w:val="right"/>
    </w:pPr>
    <w:rPr>
      <w:rFonts w:ascii="Geeza Pro" w:eastAsiaTheme="minorEastAsia" w:hAnsi="Geeza Pro" w:cs="Geeza Pro"/>
      <w:color w:val="000000"/>
      <w:kern w:val="0"/>
      <w:sz w:val="17"/>
      <w:szCs w:val="17"/>
      <w14:ligatures w14:val="none"/>
    </w:rPr>
  </w:style>
  <w:style w:type="paragraph" w:customStyle="1" w:styleId="p5">
    <w:name w:val="p5"/>
    <w:basedOn w:val="a"/>
    <w:rsid w:val="00194CE3"/>
    <w:pPr>
      <w:bidi w:val="0"/>
      <w:spacing w:after="0" w:line="240" w:lineRule="auto"/>
      <w:jc w:val="right"/>
    </w:pPr>
    <w:rPr>
      <w:rFonts w:ascii="Times New Roman" w:eastAsiaTheme="minorEastAsia" w:hAnsi="Times New Roman" w:cs="Times New Roman"/>
      <w:color w:val="000000"/>
      <w:kern w:val="0"/>
      <w:sz w:val="20"/>
      <w:szCs w:val="20"/>
      <w14:ligatures w14:val="none"/>
    </w:rPr>
  </w:style>
  <w:style w:type="paragraph" w:customStyle="1" w:styleId="p6">
    <w:name w:val="p6"/>
    <w:basedOn w:val="a"/>
    <w:rsid w:val="00194CE3"/>
    <w:pPr>
      <w:bidi w:val="0"/>
      <w:spacing w:after="0" w:line="240" w:lineRule="auto"/>
      <w:jc w:val="right"/>
    </w:pPr>
    <w:rPr>
      <w:rFonts w:ascii="Times New Roman" w:eastAsiaTheme="minorEastAsia" w:hAnsi="Times New Roman" w:cs="Times New Roman"/>
      <w:color w:val="1F3864"/>
      <w:kern w:val="0"/>
      <w:sz w:val="21"/>
      <w:szCs w:val="21"/>
      <w14:ligatures w14:val="none"/>
    </w:rPr>
  </w:style>
  <w:style w:type="paragraph" w:customStyle="1" w:styleId="p7">
    <w:name w:val="p7"/>
    <w:basedOn w:val="a"/>
    <w:rsid w:val="00194CE3"/>
    <w:pPr>
      <w:bidi w:val="0"/>
      <w:spacing w:after="0" w:line="240" w:lineRule="auto"/>
      <w:jc w:val="right"/>
    </w:pPr>
    <w:rPr>
      <w:rFonts w:ascii="Times New Roman" w:eastAsiaTheme="minorEastAsia" w:hAnsi="Times New Roman" w:cs="Times New Roman"/>
      <w:color w:val="000000"/>
      <w:kern w:val="0"/>
      <w:sz w:val="18"/>
      <w:szCs w:val="18"/>
      <w14:ligatures w14:val="none"/>
    </w:rPr>
  </w:style>
  <w:style w:type="paragraph" w:customStyle="1" w:styleId="p8">
    <w:name w:val="p8"/>
    <w:basedOn w:val="a"/>
    <w:rsid w:val="00194CE3"/>
    <w:pPr>
      <w:bidi w:val="0"/>
      <w:spacing w:after="0" w:line="240" w:lineRule="auto"/>
      <w:jc w:val="right"/>
    </w:pPr>
    <w:rPr>
      <w:rFonts w:ascii="Times New Roman" w:eastAsiaTheme="minorEastAsia" w:hAnsi="Times New Roman" w:cs="Times New Roman"/>
      <w:color w:val="1F3864"/>
      <w:kern w:val="0"/>
      <w:sz w:val="20"/>
      <w:szCs w:val="20"/>
      <w14:ligatures w14:val="none"/>
    </w:rPr>
  </w:style>
  <w:style w:type="paragraph" w:customStyle="1" w:styleId="p9">
    <w:name w:val="p9"/>
    <w:basedOn w:val="a"/>
    <w:rsid w:val="00194CE3"/>
    <w:pPr>
      <w:bidi w:val="0"/>
      <w:spacing w:after="300" w:line="240" w:lineRule="auto"/>
      <w:jc w:val="right"/>
    </w:pPr>
    <w:rPr>
      <w:rFonts w:ascii="Arial" w:eastAsiaTheme="minorEastAsia" w:hAnsi="Arial" w:cs="Arial"/>
      <w:color w:val="1F3864"/>
      <w:kern w:val="0"/>
      <w:sz w:val="24"/>
      <w:szCs w:val="24"/>
      <w14:ligatures w14:val="none"/>
    </w:rPr>
  </w:style>
  <w:style w:type="paragraph" w:customStyle="1" w:styleId="p10">
    <w:name w:val="p10"/>
    <w:basedOn w:val="a"/>
    <w:rsid w:val="00194CE3"/>
    <w:pPr>
      <w:bidi w:val="0"/>
      <w:spacing w:after="300" w:line="240" w:lineRule="auto"/>
    </w:pPr>
    <w:rPr>
      <w:rFonts w:ascii="Arial" w:eastAsiaTheme="minorEastAsia" w:hAnsi="Arial" w:cs="Arial"/>
      <w:color w:val="1F3864"/>
      <w:kern w:val="0"/>
      <w:sz w:val="26"/>
      <w:szCs w:val="26"/>
      <w14:ligatures w14:val="none"/>
    </w:rPr>
  </w:style>
  <w:style w:type="paragraph" w:customStyle="1" w:styleId="p11">
    <w:name w:val="p11"/>
    <w:basedOn w:val="a"/>
    <w:rsid w:val="00194CE3"/>
    <w:pPr>
      <w:bidi w:val="0"/>
      <w:spacing w:after="300" w:line="240" w:lineRule="auto"/>
    </w:pPr>
    <w:rPr>
      <w:rFonts w:ascii="Arial" w:eastAsiaTheme="minorEastAsia" w:hAnsi="Arial" w:cs="Arial"/>
      <w:color w:val="AAAAAA"/>
      <w:kern w:val="0"/>
      <w:sz w:val="14"/>
      <w:szCs w:val="14"/>
      <w14:ligatures w14:val="none"/>
    </w:rPr>
  </w:style>
  <w:style w:type="paragraph" w:customStyle="1" w:styleId="p12">
    <w:name w:val="p12"/>
    <w:basedOn w:val="a"/>
    <w:rsid w:val="00194CE3"/>
    <w:pPr>
      <w:bidi w:val="0"/>
      <w:spacing w:after="300" w:line="240" w:lineRule="auto"/>
    </w:pPr>
    <w:rPr>
      <w:rFonts w:ascii="Times New Roman" w:eastAsiaTheme="minorEastAsia" w:hAnsi="Times New Roman" w:cs="Times New Roman"/>
      <w:color w:val="000000"/>
      <w:kern w:val="0"/>
      <w:sz w:val="17"/>
      <w:szCs w:val="17"/>
      <w14:ligatures w14:val="none"/>
    </w:rPr>
  </w:style>
  <w:style w:type="paragraph" w:customStyle="1" w:styleId="p13">
    <w:name w:val="p13"/>
    <w:basedOn w:val="a"/>
    <w:rsid w:val="00194CE3"/>
    <w:pPr>
      <w:bidi w:val="0"/>
      <w:spacing w:after="300" w:line="240" w:lineRule="auto"/>
    </w:pPr>
    <w:rPr>
      <w:rFonts w:ascii="Arial" w:eastAsiaTheme="minorEastAsia" w:hAnsi="Arial" w:cs="Arial"/>
      <w:color w:val="1F3864"/>
      <w:kern w:val="0"/>
      <w:sz w:val="24"/>
      <w:szCs w:val="24"/>
      <w14:ligatures w14:val="none"/>
    </w:rPr>
  </w:style>
  <w:style w:type="paragraph" w:customStyle="1" w:styleId="p14">
    <w:name w:val="p14"/>
    <w:basedOn w:val="a"/>
    <w:rsid w:val="00194CE3"/>
    <w:pPr>
      <w:bidi w:val="0"/>
      <w:spacing w:after="300" w:line="240" w:lineRule="auto"/>
    </w:pPr>
    <w:rPr>
      <w:rFonts w:ascii="Times New Roman" w:eastAsiaTheme="minorEastAsia" w:hAnsi="Times New Roman" w:cs="Times New Roman"/>
      <w:color w:val="000000"/>
      <w:kern w:val="0"/>
      <w:sz w:val="18"/>
      <w:szCs w:val="18"/>
      <w14:ligatures w14:val="none"/>
    </w:rPr>
  </w:style>
  <w:style w:type="paragraph" w:customStyle="1" w:styleId="p15">
    <w:name w:val="p15"/>
    <w:basedOn w:val="a"/>
    <w:rsid w:val="00194CE3"/>
    <w:pPr>
      <w:bidi w:val="0"/>
      <w:spacing w:after="300" w:line="240" w:lineRule="auto"/>
    </w:pPr>
    <w:rPr>
      <w:rFonts w:ascii="Arial" w:eastAsiaTheme="minorEastAsia" w:hAnsi="Arial" w:cs="Arial"/>
      <w:color w:val="000000"/>
      <w:kern w:val="0"/>
      <w:sz w:val="18"/>
      <w:szCs w:val="18"/>
      <w14:ligatures w14:val="none"/>
    </w:rPr>
  </w:style>
  <w:style w:type="paragraph" w:customStyle="1" w:styleId="p16">
    <w:name w:val="p16"/>
    <w:basedOn w:val="a"/>
    <w:rsid w:val="00194CE3"/>
    <w:pPr>
      <w:bidi w:val="0"/>
      <w:spacing w:after="300" w:line="240" w:lineRule="auto"/>
    </w:pPr>
    <w:rPr>
      <w:rFonts w:ascii="Arial" w:eastAsiaTheme="minorEastAsia" w:hAnsi="Arial" w:cs="Arial"/>
      <w:color w:val="1F3864"/>
      <w:kern w:val="0"/>
      <w:sz w:val="24"/>
      <w:szCs w:val="24"/>
      <w14:ligatures w14:val="none"/>
    </w:rPr>
  </w:style>
  <w:style w:type="paragraph" w:customStyle="1" w:styleId="p17">
    <w:name w:val="p17"/>
    <w:basedOn w:val="a"/>
    <w:rsid w:val="00194CE3"/>
    <w:pPr>
      <w:bidi w:val="0"/>
      <w:spacing w:after="225" w:line="240" w:lineRule="auto"/>
    </w:pPr>
    <w:rPr>
      <w:rFonts w:ascii="Arial" w:eastAsiaTheme="minorEastAsia" w:hAnsi="Arial" w:cs="Arial"/>
      <w:color w:val="1F3864"/>
      <w:kern w:val="0"/>
      <w:sz w:val="26"/>
      <w:szCs w:val="26"/>
      <w14:ligatures w14:val="none"/>
    </w:rPr>
  </w:style>
  <w:style w:type="paragraph" w:customStyle="1" w:styleId="p18">
    <w:name w:val="p18"/>
    <w:basedOn w:val="a"/>
    <w:rsid w:val="00194CE3"/>
    <w:pPr>
      <w:bidi w:val="0"/>
      <w:spacing w:after="225" w:line="240" w:lineRule="auto"/>
    </w:pPr>
    <w:rPr>
      <w:rFonts w:ascii="Arial" w:eastAsiaTheme="minorEastAsia" w:hAnsi="Arial" w:cs="Arial"/>
      <w:color w:val="2E5090"/>
      <w:kern w:val="0"/>
      <w:sz w:val="21"/>
      <w:szCs w:val="21"/>
      <w14:ligatures w14:val="none"/>
    </w:rPr>
  </w:style>
  <w:style w:type="paragraph" w:customStyle="1" w:styleId="p19">
    <w:name w:val="p19"/>
    <w:basedOn w:val="a"/>
    <w:rsid w:val="00194CE3"/>
    <w:pPr>
      <w:bidi w:val="0"/>
      <w:spacing w:after="225" w:line="240" w:lineRule="auto"/>
    </w:pPr>
    <w:rPr>
      <w:rFonts w:ascii="Times New Roman" w:eastAsiaTheme="minorEastAsia" w:hAnsi="Times New Roman" w:cs="Times New Roman"/>
      <w:color w:val="000000"/>
      <w:kern w:val="0"/>
      <w:sz w:val="18"/>
      <w:szCs w:val="18"/>
      <w14:ligatures w14:val="none"/>
    </w:rPr>
  </w:style>
  <w:style w:type="paragraph" w:customStyle="1" w:styleId="p20">
    <w:name w:val="p20"/>
    <w:basedOn w:val="a"/>
    <w:rsid w:val="00194CE3"/>
    <w:pPr>
      <w:bidi w:val="0"/>
      <w:spacing w:after="225" w:line="240" w:lineRule="auto"/>
    </w:pPr>
    <w:rPr>
      <w:rFonts w:ascii="Arial" w:eastAsiaTheme="minorEastAsia" w:hAnsi="Arial" w:cs="Arial"/>
      <w:color w:val="2E5090"/>
      <w:kern w:val="0"/>
      <w:sz w:val="21"/>
      <w:szCs w:val="21"/>
      <w14:ligatures w14:val="none"/>
    </w:rPr>
  </w:style>
  <w:style w:type="paragraph" w:customStyle="1" w:styleId="p21">
    <w:name w:val="p21"/>
    <w:basedOn w:val="a"/>
    <w:rsid w:val="00194CE3"/>
    <w:pPr>
      <w:bidi w:val="0"/>
      <w:spacing w:after="150" w:line="240" w:lineRule="auto"/>
    </w:pPr>
    <w:rPr>
      <w:rFonts w:ascii="Arial" w:eastAsiaTheme="minorEastAsia" w:hAnsi="Arial" w:cs="Arial"/>
      <w:color w:val="2E5090"/>
      <w:kern w:val="0"/>
      <w:sz w:val="21"/>
      <w:szCs w:val="21"/>
      <w14:ligatures w14:val="none"/>
    </w:rPr>
  </w:style>
  <w:style w:type="paragraph" w:customStyle="1" w:styleId="p22">
    <w:name w:val="p22"/>
    <w:basedOn w:val="a"/>
    <w:rsid w:val="00194CE3"/>
    <w:pPr>
      <w:bidi w:val="0"/>
      <w:spacing w:after="75" w:line="240" w:lineRule="auto"/>
    </w:pPr>
    <w:rPr>
      <w:rFonts w:ascii="Arial" w:eastAsiaTheme="minorEastAsia" w:hAnsi="Arial" w:cs="Arial"/>
      <w:color w:val="2E5090"/>
      <w:kern w:val="0"/>
      <w:sz w:val="20"/>
      <w:szCs w:val="20"/>
      <w14:ligatures w14:val="none"/>
    </w:rPr>
  </w:style>
  <w:style w:type="paragraph" w:customStyle="1" w:styleId="p23">
    <w:name w:val="p23"/>
    <w:basedOn w:val="a"/>
    <w:rsid w:val="00194CE3"/>
    <w:pPr>
      <w:bidi w:val="0"/>
      <w:spacing w:after="60" w:line="240" w:lineRule="auto"/>
    </w:pPr>
    <w:rPr>
      <w:rFonts w:ascii="Times New Roman" w:eastAsiaTheme="minorEastAsia" w:hAnsi="Times New Roman" w:cs="Times New Roman"/>
      <w:color w:val="000000"/>
      <w:kern w:val="0"/>
      <w:sz w:val="18"/>
      <w:szCs w:val="18"/>
      <w14:ligatures w14:val="none"/>
    </w:rPr>
  </w:style>
  <w:style w:type="paragraph" w:customStyle="1" w:styleId="p24">
    <w:name w:val="p24"/>
    <w:basedOn w:val="a"/>
    <w:rsid w:val="00194CE3"/>
    <w:pPr>
      <w:bidi w:val="0"/>
      <w:spacing w:after="150" w:line="240" w:lineRule="auto"/>
    </w:pPr>
    <w:rPr>
      <w:rFonts w:ascii="Times New Roman" w:eastAsiaTheme="minorEastAsia" w:hAnsi="Times New Roman" w:cs="Times New Roman"/>
      <w:color w:val="000000"/>
      <w:kern w:val="0"/>
      <w:sz w:val="18"/>
      <w:szCs w:val="18"/>
      <w14:ligatures w14:val="none"/>
    </w:rPr>
  </w:style>
  <w:style w:type="paragraph" w:customStyle="1" w:styleId="p25">
    <w:name w:val="p25"/>
    <w:basedOn w:val="a"/>
    <w:rsid w:val="00194CE3"/>
    <w:pPr>
      <w:bidi w:val="0"/>
      <w:spacing w:after="225" w:line="240" w:lineRule="auto"/>
    </w:pPr>
    <w:rPr>
      <w:rFonts w:ascii="Times New Roman" w:eastAsiaTheme="minorEastAsia" w:hAnsi="Times New Roman" w:cs="Times New Roman"/>
      <w:color w:val="000000"/>
      <w:kern w:val="0"/>
      <w:sz w:val="15"/>
      <w:szCs w:val="15"/>
      <w14:ligatures w14:val="none"/>
    </w:rPr>
  </w:style>
  <w:style w:type="paragraph" w:customStyle="1" w:styleId="p26">
    <w:name w:val="p26"/>
    <w:basedOn w:val="a"/>
    <w:rsid w:val="00194CE3"/>
    <w:pPr>
      <w:bidi w:val="0"/>
      <w:spacing w:after="150" w:line="240" w:lineRule="auto"/>
    </w:pPr>
    <w:rPr>
      <w:rFonts w:ascii="Arial" w:eastAsiaTheme="minorEastAsia" w:hAnsi="Arial" w:cs="Arial"/>
      <w:color w:val="2E5090"/>
      <w:kern w:val="0"/>
      <w:sz w:val="20"/>
      <w:szCs w:val="20"/>
      <w14:ligatures w14:val="none"/>
    </w:rPr>
  </w:style>
  <w:style w:type="paragraph" w:customStyle="1" w:styleId="p27">
    <w:name w:val="p27"/>
    <w:basedOn w:val="a"/>
    <w:rsid w:val="00194CE3"/>
    <w:pPr>
      <w:bidi w:val="0"/>
      <w:spacing w:after="75" w:line="240" w:lineRule="auto"/>
    </w:pPr>
    <w:rPr>
      <w:rFonts w:ascii="Times New Roman" w:eastAsiaTheme="minorEastAsia" w:hAnsi="Times New Roman" w:cs="Times New Roman"/>
      <w:color w:val="000000"/>
      <w:kern w:val="0"/>
      <w:sz w:val="18"/>
      <w:szCs w:val="18"/>
      <w14:ligatures w14:val="none"/>
    </w:rPr>
  </w:style>
  <w:style w:type="paragraph" w:customStyle="1" w:styleId="p28">
    <w:name w:val="p28"/>
    <w:basedOn w:val="a"/>
    <w:rsid w:val="00194CE3"/>
    <w:pPr>
      <w:bidi w:val="0"/>
      <w:spacing w:after="150" w:line="240" w:lineRule="auto"/>
    </w:pPr>
    <w:rPr>
      <w:rFonts w:ascii="Arial" w:eastAsiaTheme="minorEastAsia" w:hAnsi="Arial" w:cs="Arial"/>
      <w:color w:val="2E5090"/>
      <w:kern w:val="0"/>
      <w:sz w:val="20"/>
      <w:szCs w:val="20"/>
      <w14:ligatures w14:val="none"/>
    </w:rPr>
  </w:style>
  <w:style w:type="paragraph" w:customStyle="1" w:styleId="p29">
    <w:name w:val="p29"/>
    <w:basedOn w:val="a"/>
    <w:rsid w:val="00194CE3"/>
    <w:pPr>
      <w:bidi w:val="0"/>
      <w:spacing w:after="0" w:line="240" w:lineRule="auto"/>
    </w:pPr>
    <w:rPr>
      <w:rFonts w:ascii="Times New Roman" w:eastAsiaTheme="minorEastAsia" w:hAnsi="Times New Roman" w:cs="Times New Roman"/>
      <w:color w:val="FFFFFF"/>
      <w:kern w:val="0"/>
      <w:sz w:val="17"/>
      <w:szCs w:val="17"/>
      <w14:ligatures w14:val="none"/>
    </w:rPr>
  </w:style>
  <w:style w:type="paragraph" w:customStyle="1" w:styleId="p30">
    <w:name w:val="p30"/>
    <w:basedOn w:val="a"/>
    <w:rsid w:val="00194CE3"/>
    <w:pPr>
      <w:bidi w:val="0"/>
      <w:spacing w:after="0" w:line="240" w:lineRule="auto"/>
    </w:pPr>
    <w:rPr>
      <w:rFonts w:ascii="Times New Roman" w:eastAsiaTheme="minorEastAsia" w:hAnsi="Times New Roman" w:cs="Times New Roman"/>
      <w:color w:val="000000"/>
      <w:kern w:val="0"/>
      <w:sz w:val="17"/>
      <w:szCs w:val="17"/>
      <w14:ligatures w14:val="none"/>
    </w:rPr>
  </w:style>
  <w:style w:type="paragraph" w:customStyle="1" w:styleId="p31">
    <w:name w:val="p31"/>
    <w:basedOn w:val="a"/>
    <w:rsid w:val="00194CE3"/>
    <w:pPr>
      <w:bidi w:val="0"/>
      <w:spacing w:after="225" w:line="240" w:lineRule="auto"/>
    </w:pPr>
    <w:rPr>
      <w:rFonts w:ascii="Arial" w:eastAsiaTheme="minorEastAsia" w:hAnsi="Arial" w:cs="Arial"/>
      <w:color w:val="2E5090"/>
      <w:kern w:val="0"/>
      <w:sz w:val="20"/>
      <w:szCs w:val="20"/>
      <w14:ligatures w14:val="none"/>
    </w:rPr>
  </w:style>
  <w:style w:type="paragraph" w:customStyle="1" w:styleId="p32">
    <w:name w:val="p32"/>
    <w:basedOn w:val="a"/>
    <w:rsid w:val="00194CE3"/>
    <w:pPr>
      <w:bidi w:val="0"/>
      <w:spacing w:after="113" w:line="240" w:lineRule="auto"/>
    </w:pPr>
    <w:rPr>
      <w:rFonts w:ascii="Times New Roman" w:eastAsiaTheme="minorEastAsia" w:hAnsi="Times New Roman" w:cs="Times New Roman"/>
      <w:color w:val="000000"/>
      <w:kern w:val="0"/>
      <w:sz w:val="18"/>
      <w:szCs w:val="18"/>
      <w14:ligatures w14:val="none"/>
    </w:rPr>
  </w:style>
  <w:style w:type="paragraph" w:customStyle="1" w:styleId="p33">
    <w:name w:val="p33"/>
    <w:basedOn w:val="a"/>
    <w:rsid w:val="00194CE3"/>
    <w:pPr>
      <w:bidi w:val="0"/>
      <w:spacing w:after="113" w:line="240" w:lineRule="auto"/>
    </w:pPr>
    <w:rPr>
      <w:rFonts w:ascii="Arial" w:eastAsiaTheme="minorEastAsia" w:hAnsi="Arial" w:cs="Arial"/>
      <w:color w:val="2E5090"/>
      <w:kern w:val="0"/>
      <w:sz w:val="21"/>
      <w:szCs w:val="21"/>
      <w14:ligatures w14:val="none"/>
    </w:rPr>
  </w:style>
  <w:style w:type="paragraph" w:customStyle="1" w:styleId="p34">
    <w:name w:val="p34"/>
    <w:basedOn w:val="a"/>
    <w:rsid w:val="00194CE3"/>
    <w:pPr>
      <w:bidi w:val="0"/>
      <w:spacing w:after="0" w:line="240" w:lineRule="auto"/>
      <w:jc w:val="right"/>
    </w:pPr>
    <w:rPr>
      <w:rFonts w:ascii="Helvetica" w:eastAsiaTheme="minorEastAsia" w:hAnsi="Helvetica" w:cs="Times New Roman"/>
      <w:kern w:val="0"/>
      <w:sz w:val="18"/>
      <w:szCs w:val="18"/>
      <w14:ligatures w14:val="none"/>
    </w:rPr>
  </w:style>
  <w:style w:type="character" w:customStyle="1" w:styleId="s1">
    <w:name w:val="s1"/>
    <w:basedOn w:val="a0"/>
    <w:rsid w:val="00194CE3"/>
    <w:rPr>
      <w:rFonts w:ascii="TimesNewRomanPS-BoldMT" w:hAnsi="TimesNewRomanPS-BoldMT" w:hint="default"/>
      <w:b/>
      <w:bCs/>
      <w:i w:val="0"/>
      <w:iCs w:val="0"/>
      <w:sz w:val="18"/>
      <w:szCs w:val="18"/>
    </w:rPr>
  </w:style>
  <w:style w:type="character" w:customStyle="1" w:styleId="s2">
    <w:name w:val="s2"/>
    <w:basedOn w:val="a0"/>
    <w:rsid w:val="00194CE3"/>
    <w:rPr>
      <w:rFonts w:ascii="TimesNewRomanPS-BoldMT" w:hAnsi="TimesNewRomanPS-BoldMT" w:hint="default"/>
      <w:b/>
      <w:bCs/>
      <w:i w:val="0"/>
      <w:iCs w:val="0"/>
      <w:sz w:val="26"/>
      <w:szCs w:val="26"/>
    </w:rPr>
  </w:style>
  <w:style w:type="character" w:customStyle="1" w:styleId="s3">
    <w:name w:val="s3"/>
    <w:basedOn w:val="a0"/>
    <w:rsid w:val="00194CE3"/>
    <w:rPr>
      <w:rFonts w:ascii="TimesNewRomanPS-BoldMT" w:hAnsi="TimesNewRomanPS-BoldMT" w:hint="default"/>
      <w:b/>
      <w:bCs/>
      <w:i w:val="0"/>
      <w:iCs w:val="0"/>
      <w:sz w:val="21"/>
      <w:szCs w:val="21"/>
    </w:rPr>
  </w:style>
  <w:style w:type="character" w:customStyle="1" w:styleId="s4">
    <w:name w:val="s4"/>
    <w:basedOn w:val="a0"/>
    <w:rsid w:val="00194CE3"/>
    <w:rPr>
      <w:rFonts w:ascii="Geeza Pro" w:hAnsi="Geeza Pro" w:cs="Geeza Pro" w:hint="default"/>
      <w:b w:val="0"/>
      <w:bCs w:val="0"/>
      <w:i w:val="0"/>
      <w:iCs w:val="0"/>
      <w:sz w:val="17"/>
      <w:szCs w:val="17"/>
    </w:rPr>
  </w:style>
  <w:style w:type="character" w:customStyle="1" w:styleId="s5">
    <w:name w:val="s5"/>
    <w:basedOn w:val="a0"/>
    <w:rsid w:val="00194CE3"/>
    <w:rPr>
      <w:rFonts w:ascii="TimesNewRomanPS-BoldMT" w:hAnsi="TimesNewRomanPS-BoldMT" w:hint="default"/>
      <w:b/>
      <w:bCs/>
      <w:i w:val="0"/>
      <w:iCs w:val="0"/>
      <w:sz w:val="20"/>
      <w:szCs w:val="20"/>
    </w:rPr>
  </w:style>
  <w:style w:type="character" w:customStyle="1" w:styleId="s6">
    <w:name w:val="s6"/>
    <w:basedOn w:val="a0"/>
    <w:rsid w:val="00194CE3"/>
    <w:rPr>
      <w:rFonts w:ascii="Times New Roman" w:hAnsi="Times New Roman" w:cs="Times New Roman" w:hint="default"/>
      <w:b w:val="0"/>
      <w:bCs w:val="0"/>
      <w:i w:val="0"/>
      <w:iCs w:val="0"/>
      <w:sz w:val="18"/>
      <w:szCs w:val="18"/>
    </w:rPr>
  </w:style>
  <w:style w:type="character" w:customStyle="1" w:styleId="s7">
    <w:name w:val="s7"/>
    <w:basedOn w:val="a0"/>
    <w:rsid w:val="00194CE3"/>
    <w:rPr>
      <w:rFonts w:ascii="Geeza Pro" w:hAnsi="Geeza Pro" w:cs="Geeza Pro" w:hint="default"/>
      <w:b w:val="0"/>
      <w:bCs w:val="0"/>
      <w:i w:val="0"/>
      <w:iCs w:val="0"/>
      <w:color w:val="000000"/>
      <w:sz w:val="17"/>
      <w:szCs w:val="17"/>
    </w:rPr>
  </w:style>
  <w:style w:type="character" w:customStyle="1" w:styleId="s8">
    <w:name w:val="s8"/>
    <w:basedOn w:val="a0"/>
    <w:rsid w:val="00194CE3"/>
    <w:rPr>
      <w:rFonts w:ascii="Arial-BoldMT" w:hAnsi="Arial-BoldMT" w:hint="default"/>
      <w:b/>
      <w:bCs/>
      <w:i w:val="0"/>
      <w:iCs w:val="0"/>
      <w:sz w:val="24"/>
      <w:szCs w:val="24"/>
    </w:rPr>
  </w:style>
  <w:style w:type="character" w:customStyle="1" w:styleId="s9">
    <w:name w:val="s9"/>
    <w:basedOn w:val="a0"/>
    <w:rsid w:val="00194CE3"/>
    <w:rPr>
      <w:rFonts w:ascii="Arial-BoldMT" w:hAnsi="Arial-BoldMT" w:hint="default"/>
      <w:b/>
      <w:bCs/>
      <w:i w:val="0"/>
      <w:iCs w:val="0"/>
      <w:sz w:val="26"/>
      <w:szCs w:val="26"/>
    </w:rPr>
  </w:style>
  <w:style w:type="character" w:customStyle="1" w:styleId="s10">
    <w:name w:val="s10"/>
    <w:basedOn w:val="a0"/>
    <w:rsid w:val="00194CE3"/>
    <w:rPr>
      <w:rFonts w:ascii="Times New Roman" w:hAnsi="Times New Roman" w:cs="Times New Roman" w:hint="default"/>
      <w:b w:val="0"/>
      <w:bCs w:val="0"/>
      <w:i w:val="0"/>
      <w:iCs w:val="0"/>
      <w:color w:val="2E5090"/>
      <w:sz w:val="17"/>
      <w:szCs w:val="17"/>
    </w:rPr>
  </w:style>
  <w:style w:type="character" w:customStyle="1" w:styleId="s11">
    <w:name w:val="s11"/>
    <w:basedOn w:val="a0"/>
    <w:rsid w:val="00194CE3"/>
    <w:rPr>
      <w:rFonts w:ascii="TimesNewRomanPS-BoldMT" w:hAnsi="TimesNewRomanPS-BoldMT" w:hint="default"/>
      <w:b/>
      <w:bCs/>
      <w:i w:val="0"/>
      <w:iCs w:val="0"/>
      <w:color w:val="000000"/>
      <w:sz w:val="17"/>
      <w:szCs w:val="17"/>
    </w:rPr>
  </w:style>
  <w:style w:type="character" w:customStyle="1" w:styleId="s12">
    <w:name w:val="s12"/>
    <w:basedOn w:val="a0"/>
    <w:rsid w:val="00194CE3"/>
    <w:rPr>
      <w:rFonts w:ascii="Arial-BoldMT" w:hAnsi="Arial-BoldMT" w:hint="default"/>
      <w:b/>
      <w:bCs/>
      <w:i w:val="0"/>
      <w:iCs w:val="0"/>
      <w:sz w:val="14"/>
      <w:szCs w:val="14"/>
    </w:rPr>
  </w:style>
  <w:style w:type="character" w:customStyle="1" w:styleId="s13">
    <w:name w:val="s13"/>
    <w:basedOn w:val="a0"/>
    <w:rsid w:val="00194CE3"/>
    <w:rPr>
      <w:rFonts w:ascii="Times New Roman" w:hAnsi="Times New Roman" w:cs="Times New Roman" w:hint="default"/>
      <w:b w:val="0"/>
      <w:bCs w:val="0"/>
      <w:i w:val="0"/>
      <w:iCs w:val="0"/>
      <w:color w:val="000000"/>
      <w:sz w:val="17"/>
      <w:szCs w:val="17"/>
    </w:rPr>
  </w:style>
  <w:style w:type="character" w:customStyle="1" w:styleId="s14">
    <w:name w:val="s14"/>
    <w:basedOn w:val="a0"/>
    <w:rsid w:val="00194CE3"/>
    <w:rPr>
      <w:rFonts w:ascii="TimesNewRomanPS-BoldMT" w:hAnsi="TimesNewRomanPS-BoldMT" w:hint="default"/>
      <w:b/>
      <w:bCs/>
      <w:i w:val="0"/>
      <w:iCs w:val="0"/>
      <w:sz w:val="17"/>
      <w:szCs w:val="17"/>
    </w:rPr>
  </w:style>
  <w:style w:type="character" w:customStyle="1" w:styleId="s15">
    <w:name w:val="s15"/>
    <w:basedOn w:val="a0"/>
    <w:rsid w:val="00194CE3"/>
    <w:rPr>
      <w:rFonts w:ascii="Arial-BoldMT" w:hAnsi="Arial-BoldMT" w:hint="default"/>
      <w:b/>
      <w:bCs/>
      <w:i w:val="0"/>
      <w:iCs w:val="0"/>
      <w:color w:val="AAAAAA"/>
      <w:sz w:val="14"/>
      <w:szCs w:val="14"/>
    </w:rPr>
  </w:style>
  <w:style w:type="character" w:customStyle="1" w:styleId="s16">
    <w:name w:val="s16"/>
    <w:basedOn w:val="a0"/>
    <w:rsid w:val="00194CE3"/>
    <w:rPr>
      <w:rFonts w:ascii="Times New Roman" w:hAnsi="Times New Roman" w:cs="Times New Roman" w:hint="default"/>
      <w:b w:val="0"/>
      <w:bCs w:val="0"/>
      <w:i w:val="0"/>
      <w:iCs w:val="0"/>
      <w:sz w:val="17"/>
      <w:szCs w:val="17"/>
    </w:rPr>
  </w:style>
  <w:style w:type="character" w:customStyle="1" w:styleId="s17">
    <w:name w:val="s17"/>
    <w:basedOn w:val="a0"/>
    <w:rsid w:val="00194CE3"/>
    <w:rPr>
      <w:rFonts w:ascii="Arial-BoldMT" w:hAnsi="Arial-BoldMT" w:hint="default"/>
      <w:b/>
      <w:bCs/>
      <w:i w:val="0"/>
      <w:iCs w:val="0"/>
      <w:color w:val="000000"/>
      <w:sz w:val="26"/>
      <w:szCs w:val="26"/>
    </w:rPr>
  </w:style>
  <w:style w:type="character" w:customStyle="1" w:styleId="s18">
    <w:name w:val="s18"/>
    <w:basedOn w:val="a0"/>
    <w:rsid w:val="00194CE3"/>
    <w:rPr>
      <w:rFonts w:ascii="Arial-BoldMT" w:hAnsi="Arial-BoldMT" w:hint="default"/>
      <w:b/>
      <w:bCs/>
      <w:i w:val="0"/>
      <w:iCs w:val="0"/>
      <w:sz w:val="18"/>
      <w:szCs w:val="18"/>
    </w:rPr>
  </w:style>
  <w:style w:type="character" w:customStyle="1" w:styleId="s19">
    <w:name w:val="s19"/>
    <w:basedOn w:val="a0"/>
    <w:rsid w:val="00194CE3"/>
    <w:rPr>
      <w:rFonts w:ascii="Arial-BoldMT" w:hAnsi="Arial-BoldMT" w:hint="default"/>
      <w:b/>
      <w:bCs/>
      <w:i w:val="0"/>
      <w:iCs w:val="0"/>
      <w:sz w:val="21"/>
      <w:szCs w:val="21"/>
    </w:rPr>
  </w:style>
  <w:style w:type="character" w:customStyle="1" w:styleId="s20">
    <w:name w:val="s20"/>
    <w:basedOn w:val="a0"/>
    <w:rsid w:val="00194CE3"/>
    <w:rPr>
      <w:rFonts w:ascii="Arial-BoldMT" w:hAnsi="Arial-BoldMT" w:hint="default"/>
      <w:b/>
      <w:bCs/>
      <w:i w:val="0"/>
      <w:iCs w:val="0"/>
      <w:sz w:val="20"/>
      <w:szCs w:val="20"/>
    </w:rPr>
  </w:style>
  <w:style w:type="character" w:customStyle="1" w:styleId="s21">
    <w:name w:val="s21"/>
    <w:basedOn w:val="a0"/>
    <w:rsid w:val="00194CE3"/>
    <w:rPr>
      <w:rFonts w:ascii="Times New Roman" w:hAnsi="Times New Roman" w:cs="Times New Roman" w:hint="default"/>
      <w:b w:val="0"/>
      <w:bCs w:val="0"/>
      <w:i w:val="0"/>
      <w:iCs w:val="0"/>
      <w:sz w:val="15"/>
      <w:szCs w:val="15"/>
    </w:rPr>
  </w:style>
  <w:style w:type="character" w:customStyle="1" w:styleId="s22">
    <w:name w:val="s22"/>
    <w:basedOn w:val="a0"/>
    <w:rsid w:val="00194CE3"/>
    <w:rPr>
      <w:rFonts w:ascii="Arial-BoldMT" w:hAnsi="Arial-BoldMT" w:hint="default"/>
      <w:b/>
      <w:bCs/>
      <w:i w:val="0"/>
      <w:iCs w:val="0"/>
      <w:color w:val="000000"/>
      <w:sz w:val="20"/>
      <w:szCs w:val="20"/>
    </w:rPr>
  </w:style>
  <w:style w:type="character" w:customStyle="1" w:styleId="s23">
    <w:name w:val="s23"/>
    <w:basedOn w:val="a0"/>
    <w:rsid w:val="00194CE3"/>
    <w:rPr>
      <w:rFonts w:ascii="Times New Roman" w:hAnsi="Times New Roman" w:cs="Times New Roman" w:hint="default"/>
      <w:b w:val="0"/>
      <w:bCs w:val="0"/>
      <w:i w:val="0"/>
      <w:iCs w:val="0"/>
      <w:color w:val="000000"/>
      <w:sz w:val="15"/>
      <w:szCs w:val="15"/>
    </w:rPr>
  </w:style>
  <w:style w:type="character" w:customStyle="1" w:styleId="s24">
    <w:name w:val="s24"/>
    <w:basedOn w:val="a0"/>
    <w:rsid w:val="00194CE3"/>
    <w:rPr>
      <w:rFonts w:ascii="Arial-BoldMT" w:hAnsi="Arial-BoldMT" w:hint="default"/>
      <w:b/>
      <w:bCs/>
      <w:i w:val="0"/>
      <w:iCs w:val="0"/>
      <w:color w:val="000000"/>
      <w:sz w:val="21"/>
      <w:szCs w:val="21"/>
    </w:rPr>
  </w:style>
  <w:style w:type="character" w:customStyle="1" w:styleId="s25">
    <w:name w:val="s25"/>
    <w:basedOn w:val="a0"/>
    <w:rsid w:val="00194CE3"/>
    <w:rPr>
      <w:rFonts w:ascii="Zapf Dingbats" w:hAnsi="Zapf Dingbats" w:hint="default"/>
      <w:b w:val="0"/>
      <w:bCs w:val="0"/>
      <w:i w:val="0"/>
      <w:iCs w:val="0"/>
      <w:sz w:val="18"/>
      <w:szCs w:val="18"/>
    </w:rPr>
  </w:style>
  <w:style w:type="character" w:customStyle="1" w:styleId="s26">
    <w:name w:val="s26"/>
    <w:basedOn w:val="a0"/>
    <w:rsid w:val="00194CE3"/>
    <w:rPr>
      <w:rFonts w:ascii="Helvetica" w:hAnsi="Helvetica" w:hint="default"/>
      <w:b w:val="0"/>
      <w:bCs w:val="0"/>
      <w:i w:val="0"/>
      <w:iCs w:val="0"/>
      <w:sz w:val="18"/>
      <w:szCs w:val="18"/>
    </w:rPr>
  </w:style>
  <w:style w:type="character" w:customStyle="1" w:styleId="apple-tab-span">
    <w:name w:val="apple-tab-span"/>
    <w:basedOn w:val="a0"/>
    <w:rsid w:val="00194CE3"/>
  </w:style>
  <w:style w:type="paragraph" w:customStyle="1" w:styleId="li19">
    <w:name w:val="li19"/>
    <w:basedOn w:val="a"/>
    <w:rsid w:val="00194CE3"/>
    <w:pPr>
      <w:bidi w:val="0"/>
      <w:spacing w:after="225" w:line="240" w:lineRule="auto"/>
    </w:pPr>
    <w:rPr>
      <w:rFonts w:ascii="Times New Roman" w:eastAsiaTheme="minorEastAsia" w:hAnsi="Times New Roman" w:cs="Times New Roman"/>
      <w:color w:val="000000"/>
      <w:kern w:val="0"/>
      <w:sz w:val="18"/>
      <w:szCs w:val="18"/>
      <w14:ligatures w14:val="none"/>
    </w:rPr>
  </w:style>
  <w:style w:type="paragraph" w:customStyle="1" w:styleId="li23">
    <w:name w:val="li23"/>
    <w:basedOn w:val="a"/>
    <w:rsid w:val="00194CE3"/>
    <w:pPr>
      <w:bidi w:val="0"/>
      <w:spacing w:after="60" w:line="240" w:lineRule="auto"/>
    </w:pPr>
    <w:rPr>
      <w:rFonts w:ascii="Times New Roman" w:eastAsiaTheme="minorEastAsia" w:hAnsi="Times New Roman" w:cs="Times New Roman"/>
      <w:color w:val="000000"/>
      <w:kern w:val="0"/>
      <w:sz w:val="18"/>
      <w:szCs w:val="18"/>
      <w14:ligatures w14:val="none"/>
    </w:rPr>
  </w:style>
  <w:style w:type="paragraph" w:customStyle="1" w:styleId="li24">
    <w:name w:val="li24"/>
    <w:basedOn w:val="a"/>
    <w:rsid w:val="00194CE3"/>
    <w:pPr>
      <w:bidi w:val="0"/>
      <w:spacing w:after="150" w:line="240" w:lineRule="auto"/>
    </w:pPr>
    <w:rPr>
      <w:rFonts w:ascii="Times New Roman" w:eastAsiaTheme="minorEastAsia" w:hAnsi="Times New Roman" w:cs="Times New Roman"/>
      <w:color w:val="000000"/>
      <w:kern w:val="0"/>
      <w:sz w:val="18"/>
      <w:szCs w:val="18"/>
      <w14:ligatures w14:val="none"/>
    </w:rPr>
  </w:style>
  <w:style w:type="character" w:customStyle="1" w:styleId="apple-converted-space">
    <w:name w:val="apple-converted-space"/>
    <w:basedOn w:val="a0"/>
    <w:rsid w:val="00194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4B260-A1E0-480A-B0A4-F486EA2FF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3617</Words>
  <Characters>20622</Characters>
  <Application>Microsoft Office Word</Application>
  <DocSecurity>0</DocSecurity>
  <Lines>171</Lines>
  <Paragraphs>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Meshari Muqbil Alanazi</cp:lastModifiedBy>
  <cp:revision>3</cp:revision>
  <dcterms:created xsi:type="dcterms:W3CDTF">2026-07-04T20:25:00Z</dcterms:created>
  <dcterms:modified xsi:type="dcterms:W3CDTF">2026-07-04T20:27:00Z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