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18A064F" w:rsidR="009125CE" w:rsidRPr="00502D23" w:rsidRDefault="000B7AE0" w:rsidP="000B7AE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02D23">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7FEF53D">
            <wp:simplePos x="0" y="0"/>
            <wp:positionH relativeFrom="margin">
              <wp:posOffset>52070</wp:posOffset>
            </wp:positionH>
            <wp:positionV relativeFrom="margin">
              <wp:posOffset>-205740</wp:posOffset>
            </wp:positionV>
            <wp:extent cx="2026920" cy="1880870"/>
            <wp:effectExtent l="0" t="0" r="0"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6920" cy="1880870"/>
                    </a:xfrm>
                    <a:prstGeom prst="rect">
                      <a:avLst/>
                    </a:prstGeom>
                  </pic:spPr>
                </pic:pic>
              </a:graphicData>
            </a:graphic>
            <wp14:sizeRelH relativeFrom="margin">
              <wp14:pctWidth>0</wp14:pctWidth>
            </wp14:sizeRelH>
            <wp14:sizeRelV relativeFrom="margin">
              <wp14:pctHeight>0</wp14:pctHeight>
            </wp14:sizeRelV>
          </wp:anchor>
        </w:drawing>
      </w:r>
      <w:r w:rsidR="009125CE" w:rsidRPr="00502D23">
        <w:rPr>
          <w:rFonts w:ascii="Sakkal Majalla" w:hAnsi="Sakkal Majalla" w:cs="Sakkal Majalla"/>
          <w:b/>
          <w:bCs/>
          <w:color w:val="000000" w:themeColor="text1"/>
          <w:sz w:val="32"/>
          <w:szCs w:val="32"/>
          <w:rtl/>
          <w:lang w:bidi="ar-EG"/>
        </w:rPr>
        <w:t xml:space="preserve">جامعة ميدأوشن </w:t>
      </w:r>
    </w:p>
    <w:p w14:paraId="1E957002" w14:textId="3205BF56" w:rsidR="00F546CE" w:rsidRPr="00502D23" w:rsidRDefault="009125CE" w:rsidP="000B7A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02D23">
        <w:rPr>
          <w:rFonts w:ascii="Sakkal Majalla" w:hAnsi="Sakkal Majalla" w:cs="Sakkal Majalla"/>
          <w:b/>
          <w:bCs/>
          <w:color w:val="000000" w:themeColor="text1"/>
          <w:sz w:val="32"/>
          <w:szCs w:val="32"/>
          <w:rtl/>
          <w:lang w:bidi="ar-EG"/>
        </w:rPr>
        <w:t xml:space="preserve">كلية </w:t>
      </w:r>
      <w:r w:rsidR="008C42C1" w:rsidRPr="00502D23">
        <w:rPr>
          <w:rFonts w:ascii="Sakkal Majalla" w:hAnsi="Sakkal Majalla" w:cs="Sakkal Majalla"/>
          <w:b/>
          <w:bCs/>
          <w:color w:val="000000" w:themeColor="text1"/>
          <w:sz w:val="32"/>
          <w:szCs w:val="32"/>
          <w:rtl/>
          <w:lang w:bidi="ar-EG"/>
        </w:rPr>
        <w:t>الإدارة</w:t>
      </w:r>
      <w:r w:rsidRPr="00502D23">
        <w:rPr>
          <w:rFonts w:ascii="Sakkal Majalla" w:hAnsi="Sakkal Majalla" w:cs="Sakkal Majalla"/>
          <w:b/>
          <w:bCs/>
          <w:color w:val="000000" w:themeColor="text1"/>
          <w:sz w:val="32"/>
          <w:szCs w:val="32"/>
          <w:rtl/>
          <w:lang w:bidi="ar-EG"/>
        </w:rPr>
        <w:t xml:space="preserve"> </w:t>
      </w:r>
    </w:p>
    <w:p w14:paraId="0A25F43C" w14:textId="626F6BBA" w:rsidR="008C7BB4" w:rsidRPr="00502D23" w:rsidRDefault="004D7F60" w:rsidP="000B7A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02D23">
        <w:rPr>
          <w:rFonts w:ascii="Sakkal Majalla" w:hAnsi="Sakkal Majalla" w:cs="Sakkal Majalla"/>
          <w:b/>
          <w:bCs/>
          <w:color w:val="000000" w:themeColor="text1"/>
          <w:sz w:val="32"/>
          <w:szCs w:val="32"/>
          <w:rtl/>
          <w:lang w:bidi="ar-EG"/>
        </w:rPr>
        <w:t xml:space="preserve">ماجستير </w:t>
      </w:r>
      <w:r w:rsidR="00BE70C5" w:rsidRPr="00502D23">
        <w:rPr>
          <w:rFonts w:ascii="Sakkal Majalla" w:hAnsi="Sakkal Majalla" w:cs="Sakkal Majalla"/>
          <w:b/>
          <w:bCs/>
          <w:color w:val="000000" w:themeColor="text1"/>
          <w:sz w:val="32"/>
          <w:szCs w:val="32"/>
          <w:rtl/>
          <w:lang w:bidi="ar-EG"/>
        </w:rPr>
        <w:t>إدارة الاعمال</w:t>
      </w:r>
    </w:p>
    <w:p w14:paraId="75140C9E" w14:textId="305654FF" w:rsidR="008F470C" w:rsidRPr="00502D23" w:rsidRDefault="008F470C" w:rsidP="000B7AE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502D23">
        <w:rPr>
          <w:rFonts w:ascii="Sakkal Majalla" w:hAnsi="Sakkal Majalla" w:cs="Sakkal Majalla"/>
          <w:b/>
          <w:bCs/>
          <w:color w:val="000000" w:themeColor="text1"/>
          <w:sz w:val="40"/>
          <w:szCs w:val="40"/>
          <w:rtl/>
        </w:rPr>
        <w:t>دور القيادة التحويلية في تعزيز الابتكار داخل المؤسسات دراسة ميدانية على المؤسسات  الصغيرة والمتوسطة في الرياض</w:t>
      </w:r>
    </w:p>
    <w:p w14:paraId="751A7E65" w14:textId="1D34F346" w:rsidR="009125CE" w:rsidRPr="00502D23" w:rsidRDefault="009125CE" w:rsidP="000B7A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D23">
        <w:rPr>
          <w:rFonts w:ascii="Sakkal Majalla" w:hAnsi="Sakkal Majalla" w:cs="Sakkal Majalla"/>
          <w:b/>
          <w:bCs/>
          <w:color w:val="000000" w:themeColor="text1"/>
          <w:sz w:val="36"/>
          <w:szCs w:val="36"/>
          <w:rtl/>
          <w:lang w:bidi="ar-EG"/>
        </w:rPr>
        <w:t>إعداد الطالب/</w:t>
      </w:r>
    </w:p>
    <w:p w14:paraId="3EA5061C" w14:textId="7BC147A1" w:rsidR="004D7F60" w:rsidRDefault="00126459" w:rsidP="000B7AE0">
      <w:pPr>
        <w:spacing w:before="100" w:beforeAutospacing="1" w:after="100" w:afterAutospacing="1" w:line="36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محمد عبدالمنعم محمد خضر</w:t>
      </w:r>
    </w:p>
    <w:p w14:paraId="40E5F761" w14:textId="200D6C8E" w:rsidR="00126459" w:rsidRDefault="00126459" w:rsidP="000B7AE0">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126459">
        <w:rPr>
          <w:rFonts w:ascii="Sakkal Majalla" w:hAnsi="Sakkal Majalla" w:cs="Sakkal Majalla" w:hint="cs"/>
          <w:b/>
          <w:bCs/>
          <w:color w:val="000000" w:themeColor="text1"/>
          <w:sz w:val="36"/>
          <w:szCs w:val="36"/>
          <w:rtl/>
        </w:rPr>
        <w:t>الرقم الجامعي /</w:t>
      </w:r>
    </w:p>
    <w:p w14:paraId="3E0A46A6" w14:textId="7C5061D3" w:rsidR="00126459" w:rsidRPr="00126459" w:rsidRDefault="00126459" w:rsidP="000B7AE0">
      <w:pPr>
        <w:spacing w:before="100" w:beforeAutospacing="1" w:after="100" w:afterAutospacing="1" w:line="360" w:lineRule="auto"/>
        <w:jc w:val="center"/>
        <w:rPr>
          <w:rFonts w:ascii="Sakkal Majalla" w:hAnsi="Sakkal Majalla" w:cs="Sakkal Majalla" w:hint="cs"/>
          <w:color w:val="000000" w:themeColor="text1"/>
          <w:sz w:val="36"/>
          <w:szCs w:val="36"/>
          <w:rtl/>
        </w:rPr>
      </w:pPr>
      <w:r w:rsidRPr="00126459">
        <w:rPr>
          <w:rFonts w:ascii="Sakkal Majalla" w:hAnsi="Sakkal Majalla" w:cs="Sakkal Majalla" w:hint="cs"/>
          <w:color w:val="000000" w:themeColor="text1"/>
          <w:sz w:val="36"/>
          <w:szCs w:val="36"/>
          <w:rtl/>
        </w:rPr>
        <w:t>252001239</w:t>
      </w:r>
    </w:p>
    <w:p w14:paraId="5F4EE2DE" w14:textId="5BE84566" w:rsidR="009125CE" w:rsidRPr="00502D23" w:rsidRDefault="009125CE" w:rsidP="000B7A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D23">
        <w:rPr>
          <w:rFonts w:ascii="Sakkal Majalla" w:hAnsi="Sakkal Majalla" w:cs="Sakkal Majalla"/>
          <w:b/>
          <w:bCs/>
          <w:color w:val="000000" w:themeColor="text1"/>
          <w:sz w:val="36"/>
          <w:szCs w:val="36"/>
          <w:rtl/>
          <w:lang w:bidi="ar-EG"/>
        </w:rPr>
        <w:t>إشراف/</w:t>
      </w:r>
    </w:p>
    <w:p w14:paraId="39900BA8" w14:textId="2AEEBC0B" w:rsidR="00D32470" w:rsidRPr="00502D23" w:rsidRDefault="00BA5817" w:rsidP="000B7AE0">
      <w:pPr>
        <w:spacing w:before="100" w:beforeAutospacing="1" w:after="100" w:afterAutospacing="1" w:line="360" w:lineRule="auto"/>
        <w:ind w:hanging="2"/>
        <w:jc w:val="center"/>
        <w:rPr>
          <w:rFonts w:ascii="Sakkal Majalla" w:eastAsia="Calibri" w:hAnsi="Sakkal Majalla" w:cs="Sakkal Majalla"/>
          <w:color w:val="000000" w:themeColor="text1"/>
          <w:kern w:val="0"/>
          <w:sz w:val="36"/>
          <w:szCs w:val="36"/>
          <w:rtl/>
          <w:lang w:bidi="ar-EG"/>
          <w14:ligatures w14:val="none"/>
        </w:rPr>
      </w:pPr>
      <w:r w:rsidRPr="00502D23">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310094A9" w14:textId="2B451796" w:rsidR="004B118D" w:rsidRPr="00502D23" w:rsidRDefault="000A06E6" w:rsidP="00126459">
      <w:pPr>
        <w:spacing w:before="100" w:beforeAutospacing="1" w:after="100" w:afterAutospacing="1" w:line="360" w:lineRule="auto"/>
        <w:ind w:hanging="2"/>
        <w:jc w:val="center"/>
        <w:rPr>
          <w:rFonts w:ascii="Sakkal Majalla" w:eastAsia="Calibri" w:hAnsi="Sakkal Majalla" w:cs="Sakkal Majalla"/>
          <w:color w:val="000000" w:themeColor="text1"/>
          <w:kern w:val="0"/>
          <w:sz w:val="36"/>
          <w:szCs w:val="36"/>
          <w:rtl/>
          <w:lang w:bidi="ar-EG"/>
          <w14:ligatures w14:val="none"/>
        </w:rPr>
      </w:pPr>
      <w:r w:rsidRPr="00502D23">
        <w:rPr>
          <w:rFonts w:ascii="Sakkal Majalla" w:eastAsia="Calibri" w:hAnsi="Sakkal Majalla" w:cs="Sakkal Majalla"/>
          <w:color w:val="000000" w:themeColor="text1"/>
          <w:kern w:val="0"/>
          <w:sz w:val="36"/>
          <w:szCs w:val="36"/>
          <w:rtl/>
          <w:lang w:bidi="ar-EG"/>
          <w14:ligatures w14:val="none"/>
        </w:rPr>
        <w:t>د.فايز جراد</w:t>
      </w:r>
    </w:p>
    <w:p w14:paraId="05DD91B1" w14:textId="70CD5965" w:rsidR="00377D51" w:rsidRPr="00502D23" w:rsidRDefault="009125CE" w:rsidP="000B7A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2D23">
        <w:rPr>
          <w:rFonts w:ascii="Sakkal Majalla" w:hAnsi="Sakkal Majalla" w:cs="Sakkal Majalla"/>
          <w:b/>
          <w:bCs/>
          <w:color w:val="000000" w:themeColor="text1"/>
          <w:sz w:val="36"/>
          <w:szCs w:val="36"/>
          <w:rtl/>
          <w:lang w:bidi="ar-EG"/>
        </w:rPr>
        <w:t>العام الدراسي:</w:t>
      </w:r>
    </w:p>
    <w:p w14:paraId="435E7339" w14:textId="77777777" w:rsidR="000B7AE0" w:rsidRPr="00502D23" w:rsidRDefault="000B7AE0" w:rsidP="000B7AE0">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0B7AE0" w:rsidRPr="00502D23" w:rsidSect="000B7AE0">
          <w:type w:val="continuous"/>
          <w:pgSz w:w="11906" w:h="16838" w:code="9"/>
          <w:pgMar w:top="1440" w:right="1985" w:bottom="1440" w:left="1418" w:header="720" w:footer="720" w:gutter="567"/>
          <w:pgNumType w:fmt="arabicAbjad" w:start="1"/>
          <w:cols w:space="708"/>
          <w:bidi/>
          <w:rtlGutter/>
          <w:docGrid w:linePitch="360"/>
        </w:sectPr>
      </w:pPr>
      <w:r w:rsidRPr="00502D23">
        <w:rPr>
          <w:rFonts w:ascii="Sakkal Majalla" w:hAnsi="Sakkal Majalla" w:cs="Sakkal Majalla" w:hint="cs"/>
          <w:color w:val="000000" w:themeColor="text1"/>
          <w:sz w:val="36"/>
          <w:szCs w:val="36"/>
          <w:rtl/>
          <w:lang w:bidi="ar-EG"/>
        </w:rPr>
        <w:t xml:space="preserve">1447 </w:t>
      </w:r>
      <w:r w:rsidRPr="00502D23">
        <w:rPr>
          <w:rFonts w:ascii="Sakkal Majalla" w:hAnsi="Sakkal Majalla" w:cs="Sakkal Majalla"/>
          <w:color w:val="000000" w:themeColor="text1"/>
          <w:sz w:val="36"/>
          <w:szCs w:val="36"/>
          <w:rtl/>
          <w:lang w:bidi="ar-EG"/>
        </w:rPr>
        <w:t>–</w:t>
      </w:r>
      <w:r w:rsidRPr="00502D23">
        <w:rPr>
          <w:rFonts w:ascii="Sakkal Majalla" w:hAnsi="Sakkal Majalla" w:cs="Sakkal Majalla" w:hint="cs"/>
          <w:color w:val="000000" w:themeColor="text1"/>
          <w:sz w:val="36"/>
          <w:szCs w:val="36"/>
          <w:rtl/>
          <w:lang w:bidi="ar-EG"/>
        </w:rPr>
        <w:t xml:space="preserve"> 2026</w:t>
      </w:r>
    </w:p>
    <w:p w14:paraId="7F16295C" w14:textId="74FDEB1D" w:rsidR="000B7AE0" w:rsidRPr="00502D23" w:rsidRDefault="000B7AE0" w:rsidP="000B7AE0">
      <w:pPr>
        <w:spacing w:before="100" w:beforeAutospacing="1" w:after="100" w:afterAutospacing="1"/>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2955027"/>
      <w:r w:rsidRPr="00502D23">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1ABE6924" w14:textId="007E92F1" w:rsidR="000B7AE0" w:rsidRPr="00502D23" w:rsidRDefault="000B7AE0" w:rsidP="000B7AE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 w:name="_Toc222955028"/>
      <w:r w:rsidRPr="00502D23">
        <w:rPr>
          <w:rFonts w:ascii="Sakkal Majalla" w:eastAsia="Times New Roman" w:hAnsi="Sakkal Majalla" w:cs="Sakkal Majalla" w:hint="cs"/>
          <w:b/>
          <w:bCs/>
          <w:color w:val="000000" w:themeColor="text1"/>
          <w:kern w:val="0"/>
          <w:sz w:val="36"/>
          <w:szCs w:val="36"/>
          <w:rtl/>
          <w14:ligatures w14:val="none"/>
        </w:rPr>
        <w:t>1.1 المقدمة</w:t>
      </w:r>
      <w:bookmarkEnd w:id="1"/>
      <w:r w:rsidRPr="00502D23">
        <w:rPr>
          <w:rFonts w:ascii="Sakkal Majalla" w:eastAsia="Times New Roman" w:hAnsi="Sakkal Majalla" w:cs="Sakkal Majalla" w:hint="cs"/>
          <w:b/>
          <w:bCs/>
          <w:color w:val="000000" w:themeColor="text1"/>
          <w:kern w:val="0"/>
          <w:sz w:val="36"/>
          <w:szCs w:val="36"/>
          <w:rtl/>
          <w14:ligatures w14:val="none"/>
        </w:rPr>
        <w:t xml:space="preserve"> </w:t>
      </w:r>
    </w:p>
    <w:p w14:paraId="6D130C89"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bookmarkStart w:id="2" w:name="_Toc222935181"/>
      <w:bookmarkStart w:id="3" w:name="_Hlk172151144"/>
      <w:bookmarkStart w:id="4" w:name="_Toc169790489"/>
      <w:r w:rsidRPr="00502D23">
        <w:rPr>
          <w:rFonts w:ascii="Sakkal Majalla" w:hAnsi="Sakkal Majalla" w:cs="Sakkal Majalla"/>
          <w:color w:val="000000" w:themeColor="text1"/>
          <w:sz w:val="28"/>
          <w:szCs w:val="28"/>
          <w:rtl/>
        </w:rPr>
        <w:t>يشهد عالم الأعمال المعاصر تحولات متسارعة وتغيرات جذرية فرضتها العولمة والثورة التكنولوجية والمنافسة الحادة بين المنظمات، مما جعل قدرة المؤسسات على التكيف والتجديد والبقاء مرهونة بمدى امتلاكها لقيادات فاعلة قادرة على توجيه الجهود وإلهام العاملين واستثمار الطاقات البشرية نحو تحقيق أهداف المنظمة. وقد أصبحت القيادة في ظل هذه التحولات أحد أهم الموارد الاستراتيجية التي تعتمد عليها المنظمات في بناء قدراتها التنافسية وتحقيق التميز المؤسسي، إذ لم يعد دور القائد مقتصراً على الإشراف والرقابة والتوجيه، بل امتد ليشمل بناء الرؤية المشتركة وتحفيز الإبداع وقيادة التغيير وتطوير رأس المال البشري، وهو ما يُعد ضرورة حتمية لمواجهة تعقيدات البيئة المعاصرة</w:t>
      </w:r>
      <w:r w:rsidRPr="00502D23">
        <w:rPr>
          <w:rFonts w:ascii="Sakkal Majalla" w:hAnsi="Sakkal Majalla" w:cs="Sakkal Majalla"/>
          <w:color w:val="000000" w:themeColor="text1"/>
          <w:sz w:val="28"/>
          <w:szCs w:val="28"/>
        </w:rPr>
        <w:t xml:space="preserve"> (Monje-Amor, Vázquez, &amp; </w:t>
      </w:r>
      <w:proofErr w:type="spellStart"/>
      <w:r w:rsidRPr="00502D23">
        <w:rPr>
          <w:rFonts w:ascii="Sakkal Majalla" w:hAnsi="Sakkal Majalla" w:cs="Sakkal Majalla"/>
          <w:color w:val="000000" w:themeColor="text1"/>
          <w:sz w:val="28"/>
          <w:szCs w:val="28"/>
        </w:rPr>
        <w:t>Faíña</w:t>
      </w:r>
      <w:proofErr w:type="spellEnd"/>
      <w:r w:rsidRPr="00502D23">
        <w:rPr>
          <w:rFonts w:ascii="Sakkal Majalla" w:hAnsi="Sakkal Majalla" w:cs="Sakkal Majalla"/>
          <w:color w:val="000000" w:themeColor="text1"/>
          <w:sz w:val="28"/>
          <w:szCs w:val="28"/>
        </w:rPr>
        <w:t>, 2020).</w:t>
      </w:r>
    </w:p>
    <w:p w14:paraId="0ED4E0E7"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وتحتل القيادة التحويلية مكانة بارزة بين الأنماط القيادية الحديثة باعتبارها أحد أكثر النماذج القيادية التي حظيت باهتمام الباحثين والممارسين على حد سواء، إذ تقوم فلسفتها على قدرة القائد في التأثير في العاملين وإلهامهم لتجاوز مصالحهم الذاتية والعمل نحو تحقيق أهداف المنظمة العليا من خلال أربعة أبعاد سلوكية متكاملة تتمثل في التأثير المثالي الذي يجعل القائد نموذجاً يُحتذى به، والحفز الإلهامي الذي يمكّنه من رسم رؤية مستقبلية ملهمة، والاستثارة الفكرية التي تشجع العاملين على التفكير النقدي وتحدي المسلمات، والاعتبار الفردي الذي يُعنى بالاحتياجات التطويرية لكل فرد على حدة. وقد أثبتت الدراسات أن هذا النمط القيادي يُسهم في رفع مستوى الاندماج الوظيفي وتحسين أداء العاملين من خلال آليات تحفيزية متعددة تجعلهم أكثر التزاماً وإنتاجية</w:t>
      </w:r>
      <w:r w:rsidRPr="00502D23">
        <w:rPr>
          <w:rFonts w:ascii="Sakkal Majalla" w:hAnsi="Sakkal Majalla" w:cs="Sakkal Majalla"/>
          <w:color w:val="000000" w:themeColor="text1"/>
          <w:sz w:val="28"/>
          <w:szCs w:val="28"/>
        </w:rPr>
        <w:t xml:space="preserve"> (Lai, Tang, Lu, Lee, &amp; Lin, 2020).</w:t>
      </w:r>
    </w:p>
    <w:p w14:paraId="4FAA5F2E" w14:textId="15D9E37B" w:rsidR="003E2CCE"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tl/>
        </w:rPr>
      </w:pPr>
      <w:r w:rsidRPr="00502D23">
        <w:rPr>
          <w:rFonts w:ascii="Sakkal Majalla" w:hAnsi="Sakkal Majalla" w:cs="Sakkal Majalla"/>
          <w:color w:val="000000" w:themeColor="text1"/>
          <w:sz w:val="28"/>
          <w:szCs w:val="28"/>
          <w:rtl/>
        </w:rPr>
        <w:t xml:space="preserve">وتتعاظم أهمية القيادة التحويلية في سياق المنظمات التي تسعى إلى بناء بيئة تنظيمية داعمة للتجديد والتطوير، حيث يؤدي القائد التحويلي دوراً محورياً في تشكيل المناخ التنظيمي وبناء الثقة المتبادلة بينه وبين مرؤوسيه وتمكينهم هيكلياً ونفسياً مما ينعكس إيجاباً على سلوكياتهم التنظيمية الإيجابية. </w:t>
      </w:r>
      <w:r w:rsidRPr="00502D23">
        <w:rPr>
          <w:rFonts w:ascii="Sakkal Majalla" w:hAnsi="Sakkal Majalla" w:cs="Sakkal Majalla"/>
          <w:color w:val="000000" w:themeColor="text1"/>
          <w:sz w:val="28"/>
          <w:szCs w:val="28"/>
          <w:rtl/>
        </w:rPr>
        <w:lastRenderedPageBreak/>
        <w:t>فالقائد التحويلي لا يكتفي بتوجيه الأوامر وإدارة العمليات اليومية، بل يعمل على بناء رأس المال النفسي لدى العاملين من خلال تعزيز كفاءتهم الذاتية وتغذية أملهم وتفاؤلهم ومرونتهم، وهي مقومات نفسية تُعد جوهرية لتمكين الأفراد من التعامل الإيجابي مع التحديات وتبني سلوكيات عمل خلاقة ومبتكرة</w:t>
      </w:r>
      <w:r w:rsidR="000B7AE0" w:rsidRPr="00502D23">
        <w:rPr>
          <w:rFonts w:ascii="Sakkal Majalla" w:hAnsi="Sakkal Majalla" w:cs="Sakkal Majalla" w:hint="cs"/>
          <w:color w:val="000000" w:themeColor="text1"/>
          <w:sz w:val="28"/>
          <w:szCs w:val="28"/>
          <w:rtl/>
        </w:rPr>
        <w:t xml:space="preserve"> </w:t>
      </w:r>
      <w:r w:rsidR="000B7AE0" w:rsidRPr="00502D23">
        <w:rPr>
          <w:rFonts w:ascii="Sakkal Majalla" w:hAnsi="Sakkal Majalla" w:cs="Sakkal Majalla"/>
          <w:color w:val="000000" w:themeColor="text1"/>
          <w:sz w:val="28"/>
          <w:szCs w:val="28"/>
        </w:rPr>
        <w:t>(Karimi etal.,2023</w:t>
      </w:r>
    </w:p>
    <w:p w14:paraId="71D02A99" w14:textId="62F8A4D9"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Pr>
        <w:t xml:space="preserve"> </w:t>
      </w:r>
      <w:r w:rsidRPr="00502D23">
        <w:rPr>
          <w:rFonts w:ascii="Sakkal Majalla" w:hAnsi="Sakkal Majalla" w:cs="Sakkal Majalla"/>
          <w:color w:val="000000" w:themeColor="text1"/>
          <w:sz w:val="28"/>
          <w:szCs w:val="28"/>
          <w:rtl/>
        </w:rPr>
        <w:t>ومن جهة أخرى، يُعد الابتكار أحد أبرز المتطلبات الاستراتيجية التي تسعى المنظمات إلى تحقيقها لضمان بقائها ونموها في بيئة أعمال تتسم بالديناميكية والتنافسية الشديدة، إذ لم يعد الابتكار ترفاً أو خياراً ثانوياً بل أضحى ضرورة وجودية للمنظمات بمختلف أنواعها وأحجامها</w:t>
      </w:r>
      <w:r w:rsidRPr="00502D23">
        <w:rPr>
          <w:rFonts w:ascii="Sakkal Majalla" w:hAnsi="Sakkal Majalla" w:cs="Sakkal Majalla"/>
          <w:color w:val="000000" w:themeColor="text1"/>
          <w:sz w:val="28"/>
          <w:szCs w:val="28"/>
        </w:rPr>
        <w:t xml:space="preserve">. </w:t>
      </w:r>
      <w:r w:rsidRPr="00502D23">
        <w:rPr>
          <w:rFonts w:ascii="Sakkal Majalla" w:hAnsi="Sakkal Majalla" w:cs="Sakkal Majalla"/>
          <w:color w:val="000000" w:themeColor="text1"/>
          <w:sz w:val="28"/>
          <w:szCs w:val="28"/>
          <w:rtl/>
        </w:rPr>
        <w:t>ويمتد مفهوم الابتكار ليشمل أبعاداً متعددة لا تقتصر على تطوير المنتجات والخدمات فحسب، بل تتسع لتشمل الابتكار في العمليات التشغيلية والابتكار في الهياكل والممارسات التنظيمية والابتكار في أساليب التسويق والوصول إلى الأسواق، وهو ما يتطلب توافر بيئة تنظيمية مواتية تدعم التجريب وتتقبل المخاطرة المحسوبة وتُثمّن الأفكار الجديدة (القضاة</w:t>
      </w:r>
      <w:r w:rsidR="003E2CCE" w:rsidRPr="00502D23">
        <w:rPr>
          <w:rFonts w:ascii="Sakkal Majalla" w:hAnsi="Sakkal Majalla" w:cs="Sakkal Majalla"/>
          <w:color w:val="000000" w:themeColor="text1"/>
          <w:sz w:val="28"/>
          <w:szCs w:val="28"/>
          <w:rtl/>
        </w:rPr>
        <w:t xml:space="preserve"> واخرون </w:t>
      </w:r>
      <w:r w:rsidRPr="00502D23">
        <w:rPr>
          <w:rFonts w:ascii="Sakkal Majalla" w:hAnsi="Sakkal Majalla" w:cs="Sakkal Majalla"/>
          <w:color w:val="000000" w:themeColor="text1"/>
          <w:sz w:val="28"/>
          <w:szCs w:val="28"/>
          <w:rtl/>
        </w:rPr>
        <w:t xml:space="preserve">، </w:t>
      </w:r>
      <w:r w:rsidRPr="00502D23">
        <w:rPr>
          <w:rFonts w:ascii="Sakkal Majalla" w:hAnsi="Sakkal Majalla" w:cs="Sakkal Majalla"/>
          <w:color w:val="000000" w:themeColor="text1"/>
          <w:sz w:val="28"/>
          <w:szCs w:val="28"/>
        </w:rPr>
        <w:t>2020</w:t>
      </w:r>
      <w:r w:rsidR="003E2CCE" w:rsidRPr="00502D23">
        <w:rPr>
          <w:rFonts w:ascii="Sakkal Majalla" w:hAnsi="Sakkal Majalla" w:cs="Sakkal Majalla"/>
          <w:color w:val="000000" w:themeColor="text1"/>
          <w:sz w:val="28"/>
          <w:szCs w:val="28"/>
          <w:rtl/>
        </w:rPr>
        <w:t>)</w:t>
      </w:r>
    </w:p>
    <w:p w14:paraId="59FF32EE" w14:textId="296ED2B5"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ويكتسب الابتكار أهمية خاصة في سياق المؤسسات الصغيرة والمتوسطة التي تُشكّل العمود الفقري للاقتصادات الوطنية في معظم دول العالم، إذ تتميز هذه المؤسسات بمرونتها الهيكلية وسرعة استجابتها للتغيرات السوقية مقارنة بالمنظمات الكبيرة، إلا أنها في المقابل تعاني من محدودية الموارد المالية والبشرية والتقنية مما يفرض عليها ضرورة تبني أساليب ابتكارية ذكية تمكّنها من تعظيم استفادتها من مواردها المتاحة. وقد أكدت الدراسات أن نجاح جهود الابتكار في هذه المؤسسات يرتبط ارتباطاً وثيقاً بعدة عوامل تنظيمية وقيادية وبيئية، من بينها طبيعة القيادة الممارسة ومدى قدرتها على خلق مناخ تنظيمي يحفز سلوكيات العمل الابتكارية لدى العاملين ويُمكّنهم من توليد الأفكار الجديدة وتبنيها وتطبيقها</w:t>
      </w:r>
      <w:r w:rsidRPr="00502D23">
        <w:rPr>
          <w:rFonts w:ascii="Sakkal Majalla" w:hAnsi="Sakkal Majalla" w:cs="Sakkal Majalla"/>
          <w:color w:val="000000" w:themeColor="text1"/>
          <w:sz w:val="28"/>
          <w:szCs w:val="28"/>
        </w:rPr>
        <w:t xml:space="preserve"> (Pasha, </w:t>
      </w:r>
      <w:proofErr w:type="spellStart"/>
      <w:r w:rsidR="003E2CCE" w:rsidRPr="00502D23">
        <w:rPr>
          <w:rFonts w:ascii="Sakkal Majalla" w:hAnsi="Sakkal Majalla" w:cs="Sakkal Majalla"/>
          <w:color w:val="000000" w:themeColor="text1"/>
          <w:sz w:val="28"/>
          <w:szCs w:val="28"/>
        </w:rPr>
        <w:t>etal</w:t>
      </w:r>
      <w:proofErr w:type="spellEnd"/>
      <w:r w:rsidRPr="00502D23">
        <w:rPr>
          <w:rFonts w:ascii="Sakkal Majalla" w:hAnsi="Sakkal Majalla" w:cs="Sakkal Majalla"/>
          <w:color w:val="000000" w:themeColor="text1"/>
          <w:sz w:val="28"/>
          <w:szCs w:val="28"/>
        </w:rPr>
        <w:t>, 2022).</w:t>
      </w:r>
    </w:p>
    <w:p w14:paraId="2E51BE56"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 xml:space="preserve">وفي ضوء ذلك، تتجلى العلاقة العضوية بين القيادة التحويلية والابتكار، إذ يُعد القائد التحويلي المحرك الأساسي لبناء ثقافة الابتكار داخل المنظمة من خلال سلوكياته القيادية التي تُهيئ الظروف النفسية والتنظيمية اللازمة لازدهار الإبداع. فعندما يمارس القائد التأثير المثالي يغرس قيم التجديد والتميز، وعندما </w:t>
      </w:r>
      <w:r w:rsidRPr="00502D23">
        <w:rPr>
          <w:rFonts w:ascii="Sakkal Majalla" w:hAnsi="Sakkal Majalla" w:cs="Sakkal Majalla"/>
          <w:color w:val="000000" w:themeColor="text1"/>
          <w:sz w:val="28"/>
          <w:szCs w:val="28"/>
          <w:rtl/>
        </w:rPr>
        <w:lastRenderedPageBreak/>
        <w:t>يمارس الحفز الإلهامي يرسم صورة مستقبلية طموحة تستنهض همم العاملين، وعندما يمارس الاستثارة الفكرية يفتح أمامهم آفاق التفكير غير التقليدي، وعندما يمارس الاعتبار الفردي يبني لديهم الأمان النفسي الذي يشجعهم على المبادرة والتجريب دون خوف من الفشل. وقد أكدت الدراسات الحديثة أن هذه الأبعاد القيادية مجتمعة تُفسّر نسبة كبيرة من التباين في ثقافة الابتكار داخل المنظمات، مما يُعزز الاقتناع بأن تطوير القيادات التحويلية يُمثل مدخلاً استراتيجياً فاعلاً لتعزيز القدرة الابتكارية للمؤسسات</w:t>
      </w:r>
      <w:r w:rsidRPr="00502D23">
        <w:rPr>
          <w:rFonts w:ascii="Sakkal Majalla" w:hAnsi="Sakkal Majalla" w:cs="Sakkal Majalla"/>
          <w:color w:val="000000" w:themeColor="text1"/>
          <w:sz w:val="28"/>
          <w:szCs w:val="28"/>
        </w:rPr>
        <w:t xml:space="preserve"> (Al-</w:t>
      </w:r>
      <w:proofErr w:type="spellStart"/>
      <w:r w:rsidRPr="00502D23">
        <w:rPr>
          <w:rFonts w:ascii="Sakkal Majalla" w:hAnsi="Sakkal Majalla" w:cs="Sakkal Majalla"/>
          <w:color w:val="000000" w:themeColor="text1"/>
          <w:sz w:val="28"/>
          <w:szCs w:val="28"/>
        </w:rPr>
        <w:t>Rasbi</w:t>
      </w:r>
      <w:proofErr w:type="spellEnd"/>
      <w:r w:rsidRPr="00502D23">
        <w:rPr>
          <w:rFonts w:ascii="Sakkal Majalla" w:hAnsi="Sakkal Majalla" w:cs="Sakkal Majalla"/>
          <w:color w:val="000000" w:themeColor="text1"/>
          <w:sz w:val="28"/>
          <w:szCs w:val="28"/>
        </w:rPr>
        <w:t xml:space="preserve"> &amp; Khan, 2025).</w:t>
      </w:r>
    </w:p>
    <w:p w14:paraId="10FFB5F9"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وانطلاقاً مما سبق، وإدراكاً للأهمية المتزايدة للقيادة التحويلية كمحفز للابتكار، وفي ظل التوجهات الاستراتيجية للمملكة العربية السعودية ضمن رؤية 2030 نحو تمكين المؤسسات الصغيرة والمتوسطة وتعزيز قدراتها الابتكارية باعتبارها ركيزة أساسية للتنويع الاقتصادي والتحول نحو الاقتصاد المعرفي، تأتي هذه الدراسة لتتناول أثر القيادة التحويلية بأبعادها على تعزيز الابتكار في المؤسسات الصغيرة والمتوسطة في مدينة الرياض، ساعيةً إلى تقديم إطار علمي وتطبيقي يُسهم في تزويد القيادات الإدارية وصانعي القرار بالمعرفة اللازمة لتبني ممارسات قيادية تحويلية تدعم جهود الابتكار وتُعزز التنافسية المستدامة لهذه المؤسسات الحيوية (محمود، 2025)</w:t>
      </w:r>
      <w:r w:rsidRPr="00502D23">
        <w:rPr>
          <w:rFonts w:ascii="Sakkal Majalla" w:hAnsi="Sakkal Majalla" w:cs="Sakkal Majalla"/>
          <w:color w:val="000000" w:themeColor="text1"/>
          <w:sz w:val="28"/>
          <w:szCs w:val="28"/>
        </w:rPr>
        <w:t>.</w:t>
      </w:r>
    </w:p>
    <w:p w14:paraId="6E26CECF" w14:textId="0F288372" w:rsidR="000B7AE0" w:rsidRPr="00502D23" w:rsidRDefault="000B7AE0" w:rsidP="000B7AE0">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22955029"/>
      <w:bookmarkStart w:id="6" w:name="_Toc222935182"/>
      <w:bookmarkEnd w:id="2"/>
      <w:bookmarkEnd w:id="3"/>
      <w:r w:rsidRPr="00502D23">
        <w:rPr>
          <w:rFonts w:ascii="Sakkal Majalla" w:hAnsi="Sakkal Majalla" w:cs="Sakkal Majalla"/>
          <w:b/>
          <w:bCs/>
          <w:color w:val="000000" w:themeColor="text1"/>
          <w:sz w:val="36"/>
          <w:szCs w:val="36"/>
          <w:rtl/>
        </w:rPr>
        <w:t>2.1 مشكلة الدراسة</w:t>
      </w:r>
      <w:bookmarkEnd w:id="5"/>
    </w:p>
    <w:p w14:paraId="5450706B"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 xml:space="preserve">تُعد المؤسسات الصغيرة والمتوسطة الركيزة الأساسية للاقتصادات الحديثة، إذ تُشكّل النسبة الأكبر من النسيج الاقتصادي في معظم دول العالم، وتؤدي دوراً محورياً في توليد فرص العمل ودفع عجلة النمو الاقتصادي وتحقيق التنويع الإنتاجي. وفي المملكة العربية السعودية، تمثل المؤسسات الصغيرة والمتوسطة ما يزيد عن (99%) من إجمالي المنشآت التجارية، وتُسهم بنحو (28%) من الناتج المحلي الإجمالي غير النفطي، وتستوعب أكثر من (60%) من القوى العاملة في القطاع الخاص، مما يجعلها عنصراً جوهرياً في تحقيق مستهدفات رؤية المملكة 2030 التي تطمح إلى رفع مساهمة هذا القطاع إلى (35%) من الناتج المحلي الإجمالي. غير أن هذه المؤسسات تواجه تحديات جوهرية تتعلق بقدرتها على الابتكار والتجديد والمنافسة في بيئة أعمال سريعة التغير ومتزايدة التعقيد، حيث تُشير التقارير الدولية إلى أن المملكة لا تزال </w:t>
      </w:r>
      <w:r w:rsidRPr="00502D23">
        <w:rPr>
          <w:rFonts w:ascii="Sakkal Majalla" w:hAnsi="Sakkal Majalla" w:cs="Sakkal Majalla"/>
          <w:color w:val="000000" w:themeColor="text1"/>
          <w:sz w:val="28"/>
          <w:szCs w:val="28"/>
          <w:rtl/>
        </w:rPr>
        <w:lastRenderedPageBreak/>
        <w:t>تسعى لتحسين ترتيبها في مؤشر الابتكار العالمي، مما يعكس وجود فجوة بين الطموحات الاستراتيجية والواقع الفعلي لممارسات الابتكار في المؤسسات</w:t>
      </w:r>
      <w:r w:rsidRPr="00502D23">
        <w:rPr>
          <w:rFonts w:ascii="Sakkal Majalla" w:hAnsi="Sakkal Majalla" w:cs="Sakkal Majalla"/>
          <w:color w:val="000000" w:themeColor="text1"/>
          <w:sz w:val="28"/>
          <w:szCs w:val="28"/>
        </w:rPr>
        <w:t>.</w:t>
      </w:r>
    </w:p>
    <w:p w14:paraId="2CF5A704" w14:textId="26B90321"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وتُجمع الأدبيات الإدارية المعاصرة على أن القيادة تُعد المحرك الرئيسي للابتكار داخل المنظمات، إذ يتوقف نجاح جهود الابتكار إلى حد كبير على نمط القيادة السائد وقدرة القائد على تهيئة بيئة تنظيمية محفزة للإبداع والتجديد. وتبرز القيادة التحويلية بوصفها أحد أكثر الأنماط القيادية فاعلية في هذا السياق، نظراً لقدرتها على إلهام العاملين وتحفيزهم لتجاوز التوقعات وتحدي الوضع الراهن وتبني أساليب عمل مبتكرة. إلا أن الملاحظ أن كثيراً من المؤسسات الصغيرة والمتوسطة في مدينة الرياض لا تزال تعتمد على أنماط قيادية تقليدية تركز على الإدارة اليومية والرقابة المباشرة دون إيلاء الاهتمام الكافي لبناء رؤية مشتركة أو تحفيز الطاقات الإبداعية لدى العاملين أو تشجيعهم على التفكير النقدي والابتكاري، وهو ما ينعكس سلباً على مستوى الابتكار والتجديد في هذه المؤسسات ويُضعف قدرتها التنافسية في الأسواق المحلية والعالمية</w:t>
      </w:r>
      <w:r w:rsidRPr="00502D23">
        <w:rPr>
          <w:rFonts w:ascii="Sakkal Majalla" w:hAnsi="Sakkal Majalla" w:cs="Sakkal Majalla"/>
          <w:color w:val="000000" w:themeColor="text1"/>
          <w:sz w:val="28"/>
          <w:szCs w:val="28"/>
        </w:rPr>
        <w:t>.</w:t>
      </w:r>
    </w:p>
    <w:p w14:paraId="67151EBD" w14:textId="77777777"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وعلى الرغم من تزايد الاهتمام البحثي بموضوعي القيادة التحويلية والابتكار على المستوى الدولي، إلا أن الدراسات التي تناولت العلاقة بينهما في سياق المؤسسات الصغيرة والمتوسطة في البيئة السعودية تبقى محدودة ونادرة، لا سيما في مدينة الرياض التي تُعد المركز الاقتصادي الأكبر في المملكة. فمعظم الدراسات السابقة رَكّزت على المنظمات الكبيرة أو القطاعات الحكومية، وأُجريت في بيئات ثقافية واقتصادية مغايرة، مما يُصعّب تعميم نتائجها على المؤسسات الصغيرة والمتوسطة السعودية التي تتميز بخصوصية هيكلية وثقافية وتنظيمية فريدة. كما أن الدراسات التي أُجريت في البيئة العربية والخليجية لم تتعمق بشكل كافٍ في دراسة أثر كل بُعد من أبعاد القيادة التحويلية على حدة في تعزيز الابتكار بأبعاده المتعددة داخل هذا النوع من المؤسسات</w:t>
      </w:r>
      <w:r w:rsidRPr="00502D23">
        <w:rPr>
          <w:rFonts w:ascii="Sakkal Majalla" w:hAnsi="Sakkal Majalla" w:cs="Sakkal Majalla"/>
          <w:color w:val="000000" w:themeColor="text1"/>
          <w:sz w:val="28"/>
          <w:szCs w:val="28"/>
        </w:rPr>
        <w:t>.</w:t>
      </w:r>
    </w:p>
    <w:p w14:paraId="30493425" w14:textId="1B962194" w:rsidR="00B1241D" w:rsidRPr="00502D23" w:rsidRDefault="00B1241D"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واستناداً إلى ما سبق، وفي ضوء الفجوة البحثية القائمة والحاجة الماسة إلى تقديم أدلة تجريبية حول هذه العلاقة في السياق السعودي، تتبلور مشكلة الدراسة في السؤال الرئيسي التالي</w:t>
      </w:r>
      <w:r w:rsidRPr="00502D23">
        <w:rPr>
          <w:rFonts w:ascii="Sakkal Majalla" w:hAnsi="Sakkal Majalla" w:cs="Sakkal Majalla"/>
          <w:color w:val="000000" w:themeColor="text1"/>
          <w:sz w:val="28"/>
          <w:szCs w:val="28"/>
        </w:rPr>
        <w:t xml:space="preserve">: </w:t>
      </w:r>
      <w:r w:rsidRPr="00502D23">
        <w:rPr>
          <w:rStyle w:val="Strong"/>
          <w:rFonts w:ascii="Sakkal Majalla" w:hAnsi="Sakkal Majalla" w:cs="Sakkal Majalla"/>
          <w:b w:val="0"/>
          <w:bCs w:val="0"/>
          <w:color w:val="000000" w:themeColor="text1"/>
          <w:sz w:val="28"/>
          <w:szCs w:val="28"/>
          <w:rtl/>
        </w:rPr>
        <w:t xml:space="preserve">ما أثر القيادة التحويلية بأبعادها (التأثير المثالي، الحفز الإلهامي، الاستثارة الفكرية، الاعتبار الفردي) على تعزيز الابتكار </w:t>
      </w:r>
      <w:r w:rsidRPr="00502D23">
        <w:rPr>
          <w:rStyle w:val="Strong"/>
          <w:rFonts w:ascii="Sakkal Majalla" w:hAnsi="Sakkal Majalla" w:cs="Sakkal Majalla"/>
          <w:b w:val="0"/>
          <w:bCs w:val="0"/>
          <w:color w:val="000000" w:themeColor="text1"/>
          <w:sz w:val="28"/>
          <w:szCs w:val="28"/>
          <w:rtl/>
        </w:rPr>
        <w:lastRenderedPageBreak/>
        <w:t>بأبعاده (الابتكار في المنتجات والخدمات، الابتكار في العمليات، الابتكار التنظيمي، الابتكار التسويقي) في المؤسسات الصغيرة والمتوسطة في مدينة الرياض؟</w:t>
      </w:r>
      <w:r w:rsidRPr="00502D23">
        <w:rPr>
          <w:rFonts w:ascii="Sakkal Majalla" w:hAnsi="Sakkal Majalla" w:cs="Sakkal Majalla"/>
          <w:color w:val="000000" w:themeColor="text1"/>
          <w:sz w:val="28"/>
          <w:szCs w:val="28"/>
          <w:rtl/>
        </w:rPr>
        <w:t xml:space="preserve"> </w:t>
      </w:r>
    </w:p>
    <w:p w14:paraId="093BCC46" w14:textId="77777777" w:rsidR="000B7AE0" w:rsidRPr="00502D23" w:rsidRDefault="000B7AE0" w:rsidP="000B7AE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7" w:name="_Toc222955030"/>
      <w:bookmarkStart w:id="8" w:name="_Toc169790490"/>
      <w:bookmarkEnd w:id="4"/>
      <w:bookmarkEnd w:id="6"/>
      <w:r w:rsidRPr="00502D23">
        <w:rPr>
          <w:rFonts w:ascii="Sakkal Majalla" w:eastAsia="Times New Roman" w:hAnsi="Sakkal Majalla" w:cs="Sakkal Majalla"/>
          <w:b/>
          <w:bCs/>
          <w:color w:val="000000" w:themeColor="text1"/>
          <w:kern w:val="0"/>
          <w:sz w:val="36"/>
          <w:szCs w:val="36"/>
          <w:rtl/>
          <w14:ligatures w14:val="none"/>
        </w:rPr>
        <w:t>3.1 أهمية الدراسة:</w:t>
      </w:r>
      <w:bookmarkEnd w:id="7"/>
    </w:p>
    <w:p w14:paraId="6A174721" w14:textId="56184350" w:rsidR="000B7AE0" w:rsidRPr="00502D23" w:rsidRDefault="000B7AE0" w:rsidP="000B7AE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9" w:name="_Toc222955031"/>
      <w:r w:rsidRPr="00502D23">
        <w:rPr>
          <w:rFonts w:ascii="Sakkal Majalla" w:eastAsia="Times New Roman" w:hAnsi="Sakkal Majalla" w:cs="Sakkal Majalla"/>
          <w:b/>
          <w:bCs/>
          <w:color w:val="000000" w:themeColor="text1"/>
          <w:kern w:val="0"/>
          <w:sz w:val="32"/>
          <w:szCs w:val="32"/>
          <w:rtl/>
          <w14:ligatures w14:val="none"/>
        </w:rPr>
        <w:t>1.3.1 الأهمية العلمية (النظرية)</w:t>
      </w:r>
      <w:bookmarkEnd w:id="9"/>
    </w:p>
    <w:p w14:paraId="5DD1B5CD" w14:textId="4EA6A510" w:rsidR="00982488" w:rsidRPr="00502D23" w:rsidRDefault="00982488" w:rsidP="005C73E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والسعودية بإطار نظري شامل يربط بين القيادة التحويلية بأبعادها الأربعة والابتكار بأبعاده المتعددة، وهو ما يُشكّل إضافة نوعية للأدبيات الأكاديمية في مجال الإدارة والقيادة</w:t>
      </w:r>
      <w:r w:rsidRPr="00502D23">
        <w:rPr>
          <w:rFonts w:ascii="Sakkal Majalla" w:eastAsia="Times New Roman" w:hAnsi="Sakkal Majalla" w:cs="Sakkal Majalla"/>
          <w:color w:val="000000" w:themeColor="text1"/>
          <w:kern w:val="0"/>
          <w:sz w:val="28"/>
          <w:szCs w:val="28"/>
          <w14:ligatures w14:val="none"/>
        </w:rPr>
        <w:t>.</w:t>
      </w:r>
    </w:p>
    <w:p w14:paraId="513851D0" w14:textId="41DD1183" w:rsidR="00982488" w:rsidRPr="00502D23" w:rsidRDefault="00982488" w:rsidP="005C73E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تأتي هذه الدراسة لسد فجوة بحثية واضحة في الدراسات العربية والسعودية تحديداً، إذ تندر الدراسات التي تناولت العلاقة بين القيادة التحويلية والابتكار في سياق المؤسسات الصغيرة والمتوسطة في المملكة العربية السعودية، وذلك على الرغم من الأهمية المتزايدة لهذا القطاع</w:t>
      </w:r>
      <w:r w:rsidRPr="00502D23">
        <w:rPr>
          <w:rFonts w:ascii="Sakkal Majalla" w:eastAsia="Times New Roman" w:hAnsi="Sakkal Majalla" w:cs="Sakkal Majalla"/>
          <w:color w:val="000000" w:themeColor="text1"/>
          <w:kern w:val="0"/>
          <w:sz w:val="28"/>
          <w:szCs w:val="28"/>
          <w14:ligatures w14:val="none"/>
        </w:rPr>
        <w:t>.</w:t>
      </w:r>
    </w:p>
    <w:p w14:paraId="78A77851" w14:textId="58F5B444" w:rsidR="00982488" w:rsidRPr="00502D23" w:rsidRDefault="00982488" w:rsidP="005C73E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تُقدم الدراسة نموذجاً بحثياً يمكن اختباره وتطبيقه في بيئات وقطاعات مختلفة، مما يفتح آفاقاً جديدة للباحثين لإجراء دراسات مقارنة ومكملة في سياقات تنظيمية وثقافية متنوعة</w:t>
      </w:r>
      <w:r w:rsidRPr="00502D23">
        <w:rPr>
          <w:rFonts w:ascii="Sakkal Majalla" w:eastAsia="Times New Roman" w:hAnsi="Sakkal Majalla" w:cs="Sakkal Majalla"/>
          <w:color w:val="000000" w:themeColor="text1"/>
          <w:kern w:val="0"/>
          <w:sz w:val="28"/>
          <w:szCs w:val="28"/>
          <w14:ligatures w14:val="none"/>
        </w:rPr>
        <w:t>.</w:t>
      </w:r>
    </w:p>
    <w:p w14:paraId="4BBFC0DF" w14:textId="6B965BF7" w:rsidR="00982488" w:rsidRPr="00502D23" w:rsidRDefault="00982488" w:rsidP="005C73E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تساهم الدراسة في تقديم تأصيل نظري معمق لمفهومي القيادة التحويلية والابتكار وأبعادهما، من خلال مراجعة واستقراء الأدبيات والنظريات الإدارية الحديثة كنظرية القيادة التحويلية لباس وأفوليو ونظرية الابتكار التنظيمي</w:t>
      </w:r>
      <w:r w:rsidRPr="00502D23">
        <w:rPr>
          <w:rFonts w:ascii="Sakkal Majalla" w:eastAsia="Times New Roman" w:hAnsi="Sakkal Majalla" w:cs="Sakkal Majalla"/>
          <w:color w:val="000000" w:themeColor="text1"/>
          <w:kern w:val="0"/>
          <w:sz w:val="28"/>
          <w:szCs w:val="28"/>
          <w14:ligatures w14:val="none"/>
        </w:rPr>
        <w:t>.</w:t>
      </w:r>
    </w:p>
    <w:p w14:paraId="225905D5" w14:textId="3772941D" w:rsidR="00982488" w:rsidRPr="00502D23" w:rsidRDefault="00982488" w:rsidP="005C73E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تُوفر الدراسة قاعدة معرفية يمكن أن يستند إليها الباحثون في مجالات الإدارة والقيادة والابتكار لإجراء دراسات مستقبلية أكثر تعمقاً وتخصصاً</w:t>
      </w:r>
      <w:r w:rsidRPr="00502D23">
        <w:rPr>
          <w:rFonts w:ascii="Sakkal Majalla" w:eastAsia="Times New Roman" w:hAnsi="Sakkal Majalla" w:cs="Sakkal Majalla"/>
          <w:color w:val="000000" w:themeColor="text1"/>
          <w:kern w:val="0"/>
          <w:sz w:val="28"/>
          <w:szCs w:val="28"/>
          <w14:ligatures w14:val="none"/>
        </w:rPr>
        <w:t>.</w:t>
      </w:r>
    </w:p>
    <w:p w14:paraId="6D654EFC" w14:textId="28667E9D" w:rsidR="000B7AE0" w:rsidRPr="00502D23" w:rsidRDefault="000B7AE0" w:rsidP="000B7AE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0" w:name="_Toc222955032"/>
      <w:r w:rsidRPr="00502D23">
        <w:rPr>
          <w:rFonts w:ascii="Sakkal Majalla" w:eastAsia="Times New Roman" w:hAnsi="Sakkal Majalla" w:cs="Sakkal Majalla"/>
          <w:b/>
          <w:bCs/>
          <w:color w:val="000000" w:themeColor="text1"/>
          <w:kern w:val="0"/>
          <w:sz w:val="32"/>
          <w:szCs w:val="32"/>
          <w:rtl/>
          <w14:ligatures w14:val="none"/>
        </w:rPr>
        <w:t>2.3.1 الأهمية العملية (التطبيقية)</w:t>
      </w:r>
      <w:bookmarkEnd w:id="10"/>
    </w:p>
    <w:p w14:paraId="06AC07E1" w14:textId="41A8F04E" w:rsidR="00982488" w:rsidRPr="00502D23" w:rsidRDefault="00982488" w:rsidP="005C73E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تكتسب الدراسة أهمية عملية بالغة من كونها تتوافق مع مستهدفات رؤية المملكة العربية السعودية 2030 التي تركز على تمكين المؤسسات الصغيرة والمتوسطة وتعزيز الابتكار كركائز أساسية للتنويع الاقتصادي والتحول نحو الاقتصاد المعرفي</w:t>
      </w:r>
      <w:r w:rsidRPr="00502D23">
        <w:rPr>
          <w:rFonts w:ascii="Sakkal Majalla" w:eastAsia="Times New Roman" w:hAnsi="Sakkal Majalla" w:cs="Sakkal Majalla"/>
          <w:color w:val="000000" w:themeColor="text1"/>
          <w:kern w:val="0"/>
          <w:sz w:val="28"/>
          <w:szCs w:val="28"/>
          <w14:ligatures w14:val="none"/>
        </w:rPr>
        <w:t>.</w:t>
      </w:r>
    </w:p>
    <w:p w14:paraId="10B6F8B1" w14:textId="0917BD07" w:rsidR="00982488" w:rsidRPr="00502D23" w:rsidRDefault="00982488" w:rsidP="005C73E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lastRenderedPageBreak/>
        <w:t>تُقدم الدراسة نتائج وتوصيات عملية تُساعد صانعي القرار في المؤسسات الصغيرة والمتوسطة على فهم الدور الحيوي للقيادة التحويلية في تحفيز الابتكار، مما يُمكّنهم من تبني أساليب قيادية أكثر فاعلية</w:t>
      </w:r>
      <w:r w:rsidRPr="00502D23">
        <w:rPr>
          <w:rFonts w:ascii="Sakkal Majalla" w:eastAsia="Times New Roman" w:hAnsi="Sakkal Majalla" w:cs="Sakkal Majalla"/>
          <w:color w:val="000000" w:themeColor="text1"/>
          <w:kern w:val="0"/>
          <w:sz w:val="28"/>
          <w:szCs w:val="28"/>
          <w14:ligatures w14:val="none"/>
        </w:rPr>
        <w:t>.</w:t>
      </w:r>
    </w:p>
    <w:p w14:paraId="566F4962" w14:textId="24EFAB0E" w:rsidR="00982488" w:rsidRPr="00502D23" w:rsidRDefault="00982488" w:rsidP="005C73E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تُوفر الدراسة أساساً علمياً لتصميم وبناء برامج تدريبية وتطويرية متخصصة لتأهيل القيادات في المؤسسات الصغيرة والمتوسطة على ممارسة أنماط القيادة التحويلية التي تُعزز الابتكار</w:t>
      </w:r>
      <w:r w:rsidRPr="00502D23">
        <w:rPr>
          <w:rFonts w:ascii="Sakkal Majalla" w:eastAsia="Times New Roman" w:hAnsi="Sakkal Majalla" w:cs="Sakkal Majalla"/>
          <w:color w:val="000000" w:themeColor="text1"/>
          <w:kern w:val="0"/>
          <w:sz w:val="28"/>
          <w:szCs w:val="28"/>
          <w14:ligatures w14:val="none"/>
        </w:rPr>
        <w:t>.</w:t>
      </w:r>
    </w:p>
    <w:p w14:paraId="065F1F74" w14:textId="1981EE43" w:rsidR="00982488" w:rsidRPr="00502D23" w:rsidRDefault="00982488" w:rsidP="005C73E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تُساعد الدراسة المؤسسات الصغيرة والمتوسطة في الرياض على تحسين ميزتها التنافسية من خلال تحديد أبعاد القيادة التحويلية الأكثر تأثيراً في تعزيز الابتكار، مما يُمكّنها من توجيه مواردها بشكل أكثر كفاءة</w:t>
      </w:r>
      <w:r w:rsidRPr="00502D23">
        <w:rPr>
          <w:rFonts w:ascii="Sakkal Majalla" w:eastAsia="Times New Roman" w:hAnsi="Sakkal Majalla" w:cs="Sakkal Majalla"/>
          <w:color w:val="000000" w:themeColor="text1"/>
          <w:kern w:val="0"/>
          <w:sz w:val="28"/>
          <w:szCs w:val="28"/>
          <w14:ligatures w14:val="none"/>
        </w:rPr>
        <w:t>.</w:t>
      </w:r>
    </w:p>
    <w:p w14:paraId="2C98FD64" w14:textId="3283D401" w:rsidR="000B7AE0" w:rsidRPr="00502D23" w:rsidRDefault="000B7AE0" w:rsidP="000B7AE0">
      <w:pPr>
        <w:pStyle w:val="NormalWeb"/>
        <w:bidi/>
        <w:spacing w:line="360" w:lineRule="auto"/>
        <w:jc w:val="both"/>
        <w:outlineLvl w:val="1"/>
        <w:rPr>
          <w:rFonts w:ascii="Sakkal Majalla" w:hAnsi="Sakkal Majalla" w:cs="Sakkal Majalla"/>
          <w:b/>
          <w:bCs/>
          <w:color w:val="000000" w:themeColor="text1"/>
          <w:sz w:val="36"/>
          <w:szCs w:val="36"/>
          <w:rtl/>
        </w:rPr>
      </w:pPr>
      <w:bookmarkStart w:id="11" w:name="_Toc222955033"/>
      <w:bookmarkStart w:id="12" w:name="_Toc169790491"/>
      <w:bookmarkEnd w:id="8"/>
      <w:r w:rsidRPr="00502D23">
        <w:rPr>
          <w:rFonts w:ascii="Sakkal Majalla" w:hAnsi="Sakkal Majalla" w:cs="Sakkal Majalla"/>
          <w:b/>
          <w:bCs/>
          <w:color w:val="000000" w:themeColor="text1"/>
          <w:sz w:val="36"/>
          <w:szCs w:val="36"/>
          <w:rtl/>
        </w:rPr>
        <w:t>4.1 أهداف الدراسة:</w:t>
      </w:r>
      <w:bookmarkEnd w:id="11"/>
    </w:p>
    <w:p w14:paraId="7A6F9521" w14:textId="5A16B500" w:rsidR="00982488" w:rsidRPr="00502D23" w:rsidRDefault="00982488" w:rsidP="000B7AE0">
      <w:pPr>
        <w:pStyle w:val="NormalWeb"/>
        <w:bidi/>
        <w:spacing w:line="360" w:lineRule="auto"/>
        <w:ind w:firstLine="706"/>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تهدف هذه الدراسة إلى التعرف على أثر القيادة التحويلية بأبعادها (التأثير المثالي، الحفز الإلهامي، الاستثارة الفكرية، الاعتبار الفردي) على تعزيز الابتكار في المؤسسات الصغيرة والمتوسطة في مدينة الرياض بالمملكة العربية السعودية</w:t>
      </w:r>
      <w:r w:rsidRPr="00502D23">
        <w:rPr>
          <w:rFonts w:ascii="Sakkal Majalla" w:hAnsi="Sakkal Majalla" w:cs="Sakkal Majalla"/>
          <w:color w:val="000000" w:themeColor="text1"/>
          <w:sz w:val="28"/>
          <w:szCs w:val="28"/>
        </w:rPr>
        <w:t>.</w:t>
      </w:r>
    </w:p>
    <w:p w14:paraId="464D858D" w14:textId="77777777" w:rsidR="00982488" w:rsidRPr="00502D23" w:rsidRDefault="00982488" w:rsidP="000B7AE0">
      <w:pPr>
        <w:pStyle w:val="NormalWeb"/>
        <w:bidi/>
        <w:spacing w:line="360" w:lineRule="auto"/>
        <w:jc w:val="both"/>
        <w:rPr>
          <w:rFonts w:ascii="Sakkal Majalla" w:hAnsi="Sakkal Majalla" w:cs="Sakkal Majalla"/>
          <w:b/>
          <w:bCs/>
          <w:color w:val="000000" w:themeColor="text1"/>
          <w:sz w:val="28"/>
          <w:szCs w:val="28"/>
        </w:rPr>
      </w:pPr>
      <w:r w:rsidRPr="00502D23">
        <w:rPr>
          <w:rFonts w:ascii="Sakkal Majalla" w:hAnsi="Sakkal Majalla" w:cs="Sakkal Majalla"/>
          <w:b/>
          <w:bCs/>
          <w:color w:val="000000" w:themeColor="text1"/>
          <w:sz w:val="28"/>
          <w:szCs w:val="28"/>
          <w:rtl/>
        </w:rPr>
        <w:t>ويتفرع من هذا الهدف الرئيسي الأهداف الفرعية التالية</w:t>
      </w:r>
      <w:r w:rsidRPr="00502D23">
        <w:rPr>
          <w:rFonts w:ascii="Sakkal Majalla" w:hAnsi="Sakkal Majalla" w:cs="Sakkal Majalla"/>
          <w:b/>
          <w:bCs/>
          <w:color w:val="000000" w:themeColor="text1"/>
          <w:sz w:val="28"/>
          <w:szCs w:val="28"/>
        </w:rPr>
        <w:t>:</w:t>
      </w:r>
    </w:p>
    <w:p w14:paraId="27095F2C"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التعرف على مستوى ممارسة القيادة التحويلية بأبعادها (التأثير المثالي، الحفز الإلهامي، الاستثارة الفكرية، الاعتبار الفردي) في المؤسسات الصغيرة والمتوسطة في الرياض من وجهة نظر العاملين فيها</w:t>
      </w:r>
      <w:r w:rsidRPr="00502D23">
        <w:rPr>
          <w:rFonts w:ascii="Sakkal Majalla" w:hAnsi="Sakkal Majalla" w:cs="Sakkal Majalla"/>
          <w:color w:val="000000" w:themeColor="text1"/>
          <w:sz w:val="28"/>
          <w:szCs w:val="28"/>
        </w:rPr>
        <w:t>.</w:t>
      </w:r>
    </w:p>
    <w:p w14:paraId="2D94D282"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تحديد مستوى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hAnsi="Sakkal Majalla" w:cs="Sakkal Majalla"/>
          <w:color w:val="000000" w:themeColor="text1"/>
          <w:sz w:val="28"/>
          <w:szCs w:val="28"/>
        </w:rPr>
        <w:t>.</w:t>
      </w:r>
    </w:p>
    <w:p w14:paraId="415C8F8E"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قياس أثر التأثير المثالي كأحد أبعاد القيادة التحويلية على تعزيز الابتكار بأبعاده في المؤسسات الصغيرة والمتوسطة في الرياض</w:t>
      </w:r>
      <w:r w:rsidRPr="00502D23">
        <w:rPr>
          <w:rFonts w:ascii="Sakkal Majalla" w:hAnsi="Sakkal Majalla" w:cs="Sakkal Majalla"/>
          <w:color w:val="000000" w:themeColor="text1"/>
          <w:sz w:val="28"/>
          <w:szCs w:val="28"/>
        </w:rPr>
        <w:t>.</w:t>
      </w:r>
    </w:p>
    <w:p w14:paraId="16FC1B9F"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قياس أثر الحفز الإلهامي كأحد أبعاد القيادة التحويلية على تعزيز الابتكار بأبعاده في المؤسسات الصغيرة والمتوسطة في الرياض</w:t>
      </w:r>
      <w:r w:rsidRPr="00502D23">
        <w:rPr>
          <w:rFonts w:ascii="Sakkal Majalla" w:hAnsi="Sakkal Majalla" w:cs="Sakkal Majalla"/>
          <w:color w:val="000000" w:themeColor="text1"/>
          <w:sz w:val="28"/>
          <w:szCs w:val="28"/>
        </w:rPr>
        <w:t>.</w:t>
      </w:r>
    </w:p>
    <w:p w14:paraId="60BC5EDA"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lastRenderedPageBreak/>
        <w:t>قياس أثر الاستثارة الفكرية كأحد أبعاد القيادة التحويلية على تعزيز الابتكار بأبعاده في المؤسسات الصغيرة والمتوسطة في الرياض</w:t>
      </w:r>
      <w:r w:rsidRPr="00502D23">
        <w:rPr>
          <w:rFonts w:ascii="Sakkal Majalla" w:hAnsi="Sakkal Majalla" w:cs="Sakkal Majalla"/>
          <w:color w:val="000000" w:themeColor="text1"/>
          <w:sz w:val="28"/>
          <w:szCs w:val="28"/>
        </w:rPr>
        <w:t>.</w:t>
      </w:r>
    </w:p>
    <w:p w14:paraId="358FC4F6" w14:textId="77777777" w:rsidR="00982488" w:rsidRPr="00502D23" w:rsidRDefault="00982488" w:rsidP="005C73E0">
      <w:pPr>
        <w:pStyle w:val="NormalWeb"/>
        <w:numPr>
          <w:ilvl w:val="0"/>
          <w:numId w:val="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02D23">
        <w:rPr>
          <w:rFonts w:ascii="Sakkal Majalla" w:hAnsi="Sakkal Majalla" w:cs="Sakkal Majalla"/>
          <w:color w:val="000000" w:themeColor="text1"/>
          <w:sz w:val="28"/>
          <w:szCs w:val="28"/>
          <w:rtl/>
        </w:rPr>
        <w:t>قياس أثر الاعتبار الفردي كأحد أبعاد القيادة التحويلية على تعزيز الابتكار بأبعاده في المؤسسات الصغيرة والمتوسطة في الرياض</w:t>
      </w:r>
      <w:r w:rsidRPr="00502D23">
        <w:rPr>
          <w:rFonts w:ascii="Sakkal Majalla" w:hAnsi="Sakkal Majalla" w:cs="Sakkal Majalla"/>
          <w:color w:val="000000" w:themeColor="text1"/>
          <w:sz w:val="28"/>
          <w:szCs w:val="28"/>
        </w:rPr>
        <w:t>.</w:t>
      </w:r>
    </w:p>
    <w:p w14:paraId="161FFB5D" w14:textId="77777777" w:rsidR="000B7AE0" w:rsidRPr="00502D23" w:rsidRDefault="000B7AE0" w:rsidP="000B7AE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3" w:name="_Toc222955034"/>
      <w:bookmarkEnd w:id="12"/>
      <w:r w:rsidRPr="00502D23">
        <w:rPr>
          <w:rFonts w:ascii="Sakkal Majalla" w:eastAsia="Times New Roman" w:hAnsi="Sakkal Majalla" w:cs="Sakkal Majalla"/>
          <w:b/>
          <w:bCs/>
          <w:color w:val="000000" w:themeColor="text1"/>
          <w:kern w:val="0"/>
          <w:sz w:val="36"/>
          <w:szCs w:val="36"/>
          <w:rtl/>
          <w14:ligatures w14:val="none"/>
        </w:rPr>
        <w:t>5.1 تساؤلات الدراسة</w:t>
      </w:r>
      <w:bookmarkEnd w:id="13"/>
    </w:p>
    <w:p w14:paraId="2216DEDE" w14:textId="63FAE7EA" w:rsidR="000B7AE0" w:rsidRPr="00502D23" w:rsidRDefault="000B7AE0"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t>السؤال الرئيسي</w:t>
      </w:r>
    </w:p>
    <w:p w14:paraId="163CD442"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ما أثر القيادة التحويلية بأبعادها </w:t>
      </w:r>
      <w:r w:rsidRPr="00502D23">
        <w:rPr>
          <w:rFonts w:ascii="Sakkal Majalla" w:eastAsia="Times New Roman" w:hAnsi="Sakkal Majalla" w:cs="Sakkal Majalla"/>
          <w:color w:val="000000" w:themeColor="text1"/>
          <w:kern w:val="0"/>
          <w:sz w:val="28"/>
          <w:szCs w:val="28"/>
          <w14:ligatures w14:val="none"/>
        </w:rPr>
        <w:t>(</w:t>
      </w:r>
      <w:r w:rsidRPr="00502D23">
        <w:rPr>
          <w:rFonts w:ascii="Sakkal Majalla" w:eastAsia="Times New Roman" w:hAnsi="Sakkal Majalla" w:cs="Sakkal Majalla"/>
          <w:color w:val="000000" w:themeColor="text1"/>
          <w:kern w:val="0"/>
          <w:sz w:val="28"/>
          <w:szCs w:val="28"/>
          <w:rtl/>
          <w14:ligatures w14:val="none"/>
        </w:rPr>
        <w:t>التأثير المثالي، الحفز الإلهامي، الاستثارة الفكرية، الاعتبار الفردي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p>
    <w:p w14:paraId="5A75FB1C" w14:textId="77777777" w:rsidR="00982488" w:rsidRPr="00502D23" w:rsidRDefault="00982488"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ويتفرع من هذا السؤال الرئيسي الأسئلة الفرعية التالية</w:t>
      </w:r>
      <w:r w:rsidRPr="00502D23">
        <w:rPr>
          <w:rFonts w:ascii="Sakkal Majalla" w:eastAsia="Times New Roman" w:hAnsi="Sakkal Majalla" w:cs="Sakkal Majalla"/>
          <w:b/>
          <w:bCs/>
          <w:color w:val="000000" w:themeColor="text1"/>
          <w:kern w:val="0"/>
          <w:sz w:val="28"/>
          <w:szCs w:val="28"/>
          <w14:ligatures w14:val="none"/>
        </w:rPr>
        <w:t>:</w:t>
      </w:r>
    </w:p>
    <w:p w14:paraId="7B2F3B62"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مستوى ممارسة القيادة التحويلية بأبعادها (التأثير المثالي، الحفز الإلهامي، الاستثارة الفكرية، الاعتبار الفردي) في المؤسسات الصغيرة والمتوسطة في الرياض من وجهة نظر العاملين فيها؟</w:t>
      </w:r>
    </w:p>
    <w:p w14:paraId="5E06131D"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مستوى الابتكار بأبعاده (الابتكار في المنتجات والخدمات، الابتكار في العمليات، الابتكار التنظيمي، الابتكار التسويقي) في المؤسسات الصغيرة والمتوسطة في الرياض؟</w:t>
      </w:r>
    </w:p>
    <w:p w14:paraId="2A182AC2"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أثر التأثير المثالي على تعزيز الابتكار بأبعاده في المؤسسات الصغيرة والمتوسطة في الرياض؟</w:t>
      </w:r>
    </w:p>
    <w:p w14:paraId="7C2D2B8A"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أثر الحفز الإلهامي على تعزيز الابتكار بأبعاده في المؤسسات الصغيرة والمتوسطة في الرياض؟</w:t>
      </w:r>
    </w:p>
    <w:p w14:paraId="6BEC4FE1"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أثر الاستثارة الفكرية على تعزيز الابتكار بأبعاده في المؤسسات الصغيرة والمتوسطة في الرياض؟</w:t>
      </w:r>
    </w:p>
    <w:p w14:paraId="63C16997" w14:textId="77777777" w:rsidR="00982488" w:rsidRPr="00502D23" w:rsidRDefault="00982488" w:rsidP="005C73E0">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ما أثر الاعتبار الفردي على تعزيز الابتكار بأبعاده في المؤسسات الصغيرة والمتوسطة في الرياض؟</w:t>
      </w:r>
    </w:p>
    <w:p w14:paraId="6EDD26F3" w14:textId="27A0C429" w:rsidR="000B7AE0" w:rsidRPr="00502D23" w:rsidRDefault="000B7AE0" w:rsidP="000B7AE0">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14" w:name="_Toc169790500"/>
      <w:r w:rsidRPr="00502D23">
        <w:rPr>
          <w:rFonts w:ascii="Sakkal Majalla" w:eastAsia="Times New Roman" w:hAnsi="Sakkal Majalla" w:cs="Sakkal Majalla"/>
          <w:b/>
          <w:bCs/>
          <w:color w:val="000000" w:themeColor="text1"/>
          <w:kern w:val="0"/>
          <w:sz w:val="36"/>
          <w:szCs w:val="36"/>
          <w:rtl/>
          <w14:ligatures w14:val="none"/>
        </w:rPr>
        <w:br w:type="page"/>
      </w:r>
      <w:bookmarkStart w:id="15" w:name="_Toc222955035"/>
      <w:r w:rsidRPr="00502D23">
        <w:rPr>
          <w:rFonts w:ascii="Sakkal Majalla" w:eastAsia="Times New Roman" w:hAnsi="Sakkal Majalla" w:cs="Sakkal Majalla" w:hint="cs"/>
          <w:b/>
          <w:bCs/>
          <w:color w:val="000000" w:themeColor="text1"/>
          <w:kern w:val="0"/>
          <w:sz w:val="36"/>
          <w:szCs w:val="36"/>
          <w:rtl/>
          <w14:ligatures w14:val="none"/>
        </w:rPr>
        <w:lastRenderedPageBreak/>
        <w:t xml:space="preserve">6.1 </w:t>
      </w:r>
      <w:r w:rsidRPr="00502D23">
        <w:rPr>
          <w:rFonts w:ascii="Sakkal Majalla" w:eastAsia="Times New Roman" w:hAnsi="Sakkal Majalla" w:cs="Sakkal Majalla"/>
          <w:b/>
          <w:bCs/>
          <w:color w:val="000000" w:themeColor="text1"/>
          <w:kern w:val="0"/>
          <w:sz w:val="36"/>
          <w:szCs w:val="36"/>
          <w:rtl/>
          <w14:ligatures w14:val="none"/>
        </w:rPr>
        <w:t>الفرض الرئيس:</w:t>
      </w:r>
      <w:bookmarkEnd w:id="15"/>
    </w:p>
    <w:p w14:paraId="5F2BE438" w14:textId="352C36E8" w:rsidR="000B7AE0" w:rsidRPr="00502D23" w:rsidRDefault="000B7AE0"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t>الفرضية الرئيسية</w:t>
      </w:r>
    </w:p>
    <w:p w14:paraId="27B6C987"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14:ligatures w14:val="none"/>
        </w:rPr>
        <w:t xml:space="preserve">H0: </w:t>
      </w:r>
      <w:r w:rsidRPr="00502D23">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α</w:t>
      </w:r>
      <w:r w:rsidRPr="00502D23">
        <w:rPr>
          <w:rFonts w:ascii="Sakkal Majalla" w:eastAsia="Times New Roman" w:hAnsi="Sakkal Majalla" w:cs="Sakkal Majalla"/>
          <w:color w:val="000000" w:themeColor="text1"/>
          <w:kern w:val="0"/>
          <w:sz w:val="28"/>
          <w:szCs w:val="28"/>
          <w14:ligatures w14:val="none"/>
        </w:rPr>
        <w:t xml:space="preserve"> ≤ 0.05) </w:t>
      </w:r>
      <w:r w:rsidRPr="00502D23">
        <w:rPr>
          <w:rFonts w:ascii="Sakkal Majalla" w:eastAsia="Times New Roman" w:hAnsi="Sakkal Majalla" w:cs="Sakkal Majalla"/>
          <w:color w:val="000000" w:themeColor="text1"/>
          <w:kern w:val="0"/>
          <w:sz w:val="28"/>
          <w:szCs w:val="28"/>
          <w:rtl/>
          <w14:ligatures w14:val="none"/>
        </w:rPr>
        <w:t>للقيادة التحويلية بأبعادها (التأثير المثالي، الحفز الإلهامي، الاستثارة الفكرية، الاعتبار الفردي) 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eastAsia="Times New Roman" w:hAnsi="Sakkal Majalla" w:cs="Sakkal Majalla"/>
          <w:color w:val="000000" w:themeColor="text1"/>
          <w:kern w:val="0"/>
          <w:sz w:val="28"/>
          <w:szCs w:val="28"/>
          <w14:ligatures w14:val="none"/>
        </w:rPr>
        <w:t>.</w:t>
      </w:r>
    </w:p>
    <w:p w14:paraId="7516FBA9" w14:textId="77777777" w:rsidR="00982488" w:rsidRPr="00502D23" w:rsidRDefault="00982488"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وتتفرع منها الفرضيات الفرعية التالية</w:t>
      </w:r>
      <w:r w:rsidRPr="00502D23">
        <w:rPr>
          <w:rFonts w:ascii="Sakkal Majalla" w:eastAsia="Times New Roman" w:hAnsi="Sakkal Majalla" w:cs="Sakkal Majalla"/>
          <w:b/>
          <w:bCs/>
          <w:color w:val="000000" w:themeColor="text1"/>
          <w:kern w:val="0"/>
          <w:sz w:val="28"/>
          <w:szCs w:val="28"/>
          <w14:ligatures w14:val="none"/>
        </w:rPr>
        <w:t>:</w:t>
      </w:r>
    </w:p>
    <w:p w14:paraId="0DC182AD" w14:textId="77777777" w:rsidR="00982488" w:rsidRPr="00502D23" w:rsidRDefault="00982488" w:rsidP="005C73E0">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الفرضية الفرعية الأولى</w:t>
      </w:r>
      <w:r w:rsidRPr="00502D23">
        <w:rPr>
          <w:rFonts w:ascii="Sakkal Majalla" w:eastAsia="Times New Roman" w:hAnsi="Sakkal Majalla" w:cs="Sakkal Majalla"/>
          <w:color w:val="000000" w:themeColor="text1"/>
          <w:kern w:val="0"/>
          <w:sz w:val="28"/>
          <w:szCs w:val="28"/>
          <w14:ligatures w14:val="none"/>
        </w:rPr>
        <w:t xml:space="preserve"> (H01): </w:t>
      </w:r>
      <w:r w:rsidRPr="00502D23">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α</w:t>
      </w:r>
      <w:r w:rsidRPr="00502D23">
        <w:rPr>
          <w:rFonts w:ascii="Sakkal Majalla" w:eastAsia="Times New Roman" w:hAnsi="Sakkal Majalla" w:cs="Sakkal Majalla"/>
          <w:color w:val="000000" w:themeColor="text1"/>
          <w:kern w:val="0"/>
          <w:sz w:val="28"/>
          <w:szCs w:val="28"/>
          <w14:ligatures w14:val="none"/>
        </w:rPr>
        <w:t xml:space="preserve"> ≤ 0.05) </w:t>
      </w:r>
      <w:r w:rsidRPr="00502D23">
        <w:rPr>
          <w:rFonts w:ascii="Sakkal Majalla" w:eastAsia="Times New Roman" w:hAnsi="Sakkal Majalla" w:cs="Sakkal Majalla"/>
          <w:color w:val="000000" w:themeColor="text1"/>
          <w:kern w:val="0"/>
          <w:sz w:val="28"/>
          <w:szCs w:val="28"/>
          <w:rtl/>
          <w14:ligatures w14:val="none"/>
        </w:rPr>
        <w:t>للتأثير المثالي 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eastAsia="Times New Roman" w:hAnsi="Sakkal Majalla" w:cs="Sakkal Majalla"/>
          <w:color w:val="000000" w:themeColor="text1"/>
          <w:kern w:val="0"/>
          <w:sz w:val="28"/>
          <w:szCs w:val="28"/>
          <w14:ligatures w14:val="none"/>
        </w:rPr>
        <w:t>.</w:t>
      </w:r>
    </w:p>
    <w:p w14:paraId="53BED920" w14:textId="77777777" w:rsidR="00982488" w:rsidRPr="00502D23" w:rsidRDefault="00982488" w:rsidP="005C73E0">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الفرضية الفرعية الثانية</w:t>
      </w:r>
      <w:r w:rsidRPr="00502D23">
        <w:rPr>
          <w:rFonts w:ascii="Sakkal Majalla" w:eastAsia="Times New Roman" w:hAnsi="Sakkal Majalla" w:cs="Sakkal Majalla"/>
          <w:color w:val="000000" w:themeColor="text1"/>
          <w:kern w:val="0"/>
          <w:sz w:val="28"/>
          <w:szCs w:val="28"/>
          <w14:ligatures w14:val="none"/>
        </w:rPr>
        <w:t xml:space="preserve"> (H02): </w:t>
      </w:r>
      <w:r w:rsidRPr="00502D23">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α</w:t>
      </w:r>
      <w:r w:rsidRPr="00502D23">
        <w:rPr>
          <w:rFonts w:ascii="Sakkal Majalla" w:eastAsia="Times New Roman" w:hAnsi="Sakkal Majalla" w:cs="Sakkal Majalla"/>
          <w:color w:val="000000" w:themeColor="text1"/>
          <w:kern w:val="0"/>
          <w:sz w:val="28"/>
          <w:szCs w:val="28"/>
          <w14:ligatures w14:val="none"/>
        </w:rPr>
        <w:t xml:space="preserve"> ≤ 0.05) </w:t>
      </w:r>
      <w:r w:rsidRPr="00502D23">
        <w:rPr>
          <w:rFonts w:ascii="Sakkal Majalla" w:eastAsia="Times New Roman" w:hAnsi="Sakkal Majalla" w:cs="Sakkal Majalla"/>
          <w:color w:val="000000" w:themeColor="text1"/>
          <w:kern w:val="0"/>
          <w:sz w:val="28"/>
          <w:szCs w:val="28"/>
          <w:rtl/>
          <w14:ligatures w14:val="none"/>
        </w:rPr>
        <w:t>للحفز الإلهامي 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eastAsia="Times New Roman" w:hAnsi="Sakkal Majalla" w:cs="Sakkal Majalla"/>
          <w:color w:val="000000" w:themeColor="text1"/>
          <w:kern w:val="0"/>
          <w:sz w:val="28"/>
          <w:szCs w:val="28"/>
          <w14:ligatures w14:val="none"/>
        </w:rPr>
        <w:t>.</w:t>
      </w:r>
    </w:p>
    <w:p w14:paraId="5B9C75E4" w14:textId="77777777" w:rsidR="00982488" w:rsidRPr="00502D23" w:rsidRDefault="00982488" w:rsidP="005C73E0">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الفرضية الفرعية الثالثة</w:t>
      </w:r>
      <w:r w:rsidRPr="00502D23">
        <w:rPr>
          <w:rFonts w:ascii="Sakkal Majalla" w:eastAsia="Times New Roman" w:hAnsi="Sakkal Majalla" w:cs="Sakkal Majalla"/>
          <w:color w:val="000000" w:themeColor="text1"/>
          <w:kern w:val="0"/>
          <w:sz w:val="28"/>
          <w:szCs w:val="28"/>
          <w14:ligatures w14:val="none"/>
        </w:rPr>
        <w:t xml:space="preserve"> (H03): </w:t>
      </w:r>
      <w:r w:rsidRPr="00502D23">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α</w:t>
      </w:r>
      <w:r w:rsidRPr="00502D23">
        <w:rPr>
          <w:rFonts w:ascii="Sakkal Majalla" w:eastAsia="Times New Roman" w:hAnsi="Sakkal Majalla" w:cs="Sakkal Majalla"/>
          <w:color w:val="000000" w:themeColor="text1"/>
          <w:kern w:val="0"/>
          <w:sz w:val="28"/>
          <w:szCs w:val="28"/>
          <w14:ligatures w14:val="none"/>
        </w:rPr>
        <w:t xml:space="preserve"> ≤ 0.05) </w:t>
      </w:r>
      <w:r w:rsidRPr="00502D23">
        <w:rPr>
          <w:rFonts w:ascii="Sakkal Majalla" w:eastAsia="Times New Roman" w:hAnsi="Sakkal Majalla" w:cs="Sakkal Majalla"/>
          <w:color w:val="000000" w:themeColor="text1"/>
          <w:kern w:val="0"/>
          <w:sz w:val="28"/>
          <w:szCs w:val="28"/>
          <w:rtl/>
          <w14:ligatures w14:val="none"/>
        </w:rPr>
        <w:t>للاستثارة الفكرية 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eastAsia="Times New Roman" w:hAnsi="Sakkal Majalla" w:cs="Sakkal Majalla"/>
          <w:color w:val="000000" w:themeColor="text1"/>
          <w:kern w:val="0"/>
          <w:sz w:val="28"/>
          <w:szCs w:val="28"/>
          <w14:ligatures w14:val="none"/>
        </w:rPr>
        <w:t>.</w:t>
      </w:r>
    </w:p>
    <w:p w14:paraId="5345A875" w14:textId="77777777" w:rsidR="0033617E" w:rsidRDefault="00982488" w:rsidP="005C73E0">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الفرضية الفرعية الرابعة</w:t>
      </w:r>
      <w:r w:rsidRPr="00502D23">
        <w:rPr>
          <w:rFonts w:ascii="Sakkal Majalla" w:eastAsia="Times New Roman" w:hAnsi="Sakkal Majalla" w:cs="Sakkal Majalla"/>
          <w:color w:val="000000" w:themeColor="text1"/>
          <w:kern w:val="0"/>
          <w:sz w:val="28"/>
          <w:szCs w:val="28"/>
          <w14:ligatures w14:val="none"/>
        </w:rPr>
        <w:t xml:space="preserve"> (H04): </w:t>
      </w:r>
      <w:r w:rsidRPr="00502D23">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α</w:t>
      </w:r>
      <w:r w:rsidRPr="00502D23">
        <w:rPr>
          <w:rFonts w:ascii="Sakkal Majalla" w:eastAsia="Times New Roman" w:hAnsi="Sakkal Majalla" w:cs="Sakkal Majalla"/>
          <w:color w:val="000000" w:themeColor="text1"/>
          <w:kern w:val="0"/>
          <w:sz w:val="28"/>
          <w:szCs w:val="28"/>
          <w14:ligatures w14:val="none"/>
        </w:rPr>
        <w:t xml:space="preserve"> ≤ 0.05) </w:t>
      </w:r>
      <w:r w:rsidRPr="00502D23">
        <w:rPr>
          <w:rFonts w:ascii="Sakkal Majalla" w:eastAsia="Times New Roman" w:hAnsi="Sakkal Majalla" w:cs="Sakkal Majalla"/>
          <w:color w:val="000000" w:themeColor="text1"/>
          <w:kern w:val="0"/>
          <w:sz w:val="28"/>
          <w:szCs w:val="28"/>
          <w:rtl/>
          <w14:ligatures w14:val="none"/>
        </w:rPr>
        <w:t>للاعتبار الفردي على تعزيز الابتكار بأبعاده (الابتكار في المنتجات والخدمات، الابتكار في العمليات، الابتكار التنظيمي، الابتكار التسويقي) في المؤسسات الصغيرة والمتوسطة في الرياض</w:t>
      </w:r>
      <w:r w:rsidRPr="00502D23">
        <w:rPr>
          <w:rFonts w:ascii="Sakkal Majalla" w:eastAsia="Times New Roman" w:hAnsi="Sakkal Majalla" w:cs="Sakkal Majalla"/>
          <w:color w:val="000000" w:themeColor="text1"/>
          <w:kern w:val="0"/>
          <w:sz w:val="28"/>
          <w:szCs w:val="28"/>
          <w14:ligatures w14:val="none"/>
        </w:rPr>
        <w:t>.</w:t>
      </w:r>
      <w:bookmarkStart w:id="16" w:name="_Toc222955036"/>
    </w:p>
    <w:p w14:paraId="12A324FD" w14:textId="0B46F733" w:rsidR="000B7AE0" w:rsidRPr="00502D23" w:rsidRDefault="0033617E" w:rsidP="0033617E">
      <w:pPr>
        <w:spacing w:before="100" w:beforeAutospacing="1" w:after="100" w:afterAutospacing="1"/>
        <w:rPr>
          <w:rFonts w:ascii="Sakkal Majalla" w:hAnsi="Sakkal Majalla" w:cs="Sakkal Majalla"/>
          <w:b/>
          <w:bCs/>
          <w:color w:val="000000" w:themeColor="text1"/>
          <w:sz w:val="36"/>
          <w:szCs w:val="36"/>
          <w:rtl/>
        </w:rPr>
      </w:pPr>
      <w:r>
        <w:rPr>
          <w:rFonts w:ascii="Sakkal Majalla" w:eastAsia="Times New Roman" w:hAnsi="Sakkal Majalla" w:cs="Sakkal Majalla"/>
          <w:color w:val="000000" w:themeColor="text1"/>
          <w:kern w:val="0"/>
          <w:sz w:val="28"/>
          <w:szCs w:val="28"/>
          <w14:ligatures w14:val="none"/>
        </w:rPr>
        <w:br w:type="page"/>
      </w:r>
      <w:r w:rsidRPr="00502D23">
        <w:rPr>
          <w:rFonts w:ascii="Sakkal Majalla" w:hAnsi="Sakkal Majalla" w:cs="Sakkal Majalla" w:hint="cs"/>
          <w:b/>
          <w:bCs/>
          <w:color w:val="000000" w:themeColor="text1"/>
          <w:sz w:val="36"/>
          <w:szCs w:val="36"/>
          <w:rtl/>
        </w:rPr>
        <w:lastRenderedPageBreak/>
        <w:t xml:space="preserve"> </w:t>
      </w:r>
      <w:r w:rsidR="000B7AE0" w:rsidRPr="00502D23">
        <w:rPr>
          <w:rFonts w:ascii="Sakkal Majalla" w:hAnsi="Sakkal Majalla" w:cs="Sakkal Majalla" w:hint="cs"/>
          <w:b/>
          <w:bCs/>
          <w:color w:val="000000" w:themeColor="text1"/>
          <w:sz w:val="36"/>
          <w:szCs w:val="36"/>
          <w:rtl/>
        </w:rPr>
        <w:t xml:space="preserve">7.1 </w:t>
      </w:r>
      <w:r w:rsidR="000B7AE0" w:rsidRPr="00502D23">
        <w:rPr>
          <w:rFonts w:ascii="Sakkal Majalla" w:hAnsi="Sakkal Majalla" w:cs="Sakkal Majalla"/>
          <w:b/>
          <w:bCs/>
          <w:color w:val="000000" w:themeColor="text1"/>
          <w:sz w:val="36"/>
          <w:szCs w:val="36"/>
          <w:rtl/>
        </w:rPr>
        <w:t>الدراسات السابقة</w:t>
      </w:r>
      <w:r w:rsidR="000B7AE0" w:rsidRPr="00502D23">
        <w:rPr>
          <w:rFonts w:ascii="Sakkal Majalla" w:hAnsi="Sakkal Majalla" w:cs="Sakkal Majalla"/>
          <w:b/>
          <w:bCs/>
          <w:color w:val="000000" w:themeColor="text1"/>
          <w:sz w:val="36"/>
          <w:szCs w:val="36"/>
        </w:rPr>
        <w:t>:</w:t>
      </w:r>
      <w:bookmarkEnd w:id="16"/>
    </w:p>
    <w:p w14:paraId="1F374645" w14:textId="17CEC924" w:rsidR="00BE70C5" w:rsidRPr="00502D23" w:rsidRDefault="000B7AE0" w:rsidP="000B7AE0">
      <w:pPr>
        <w:pStyle w:val="NormalWeb"/>
        <w:bidi/>
        <w:spacing w:line="360" w:lineRule="auto"/>
        <w:jc w:val="both"/>
        <w:outlineLvl w:val="2"/>
        <w:rPr>
          <w:rFonts w:ascii="Sakkal Majalla" w:hAnsi="Sakkal Majalla" w:cs="Sakkal Majalla"/>
          <w:b/>
          <w:bCs/>
          <w:color w:val="000000" w:themeColor="text1"/>
          <w:sz w:val="28"/>
          <w:szCs w:val="28"/>
        </w:rPr>
      </w:pPr>
      <w:bookmarkStart w:id="17" w:name="_Toc222955037"/>
      <w:r w:rsidRPr="00502D23">
        <w:rPr>
          <w:rFonts w:ascii="Sakkal Majalla" w:hAnsi="Sakkal Majalla" w:cs="Sakkal Majalla"/>
          <w:b/>
          <w:bCs/>
          <w:color w:val="000000" w:themeColor="text1"/>
          <w:sz w:val="32"/>
          <w:szCs w:val="32"/>
          <w:rtl/>
        </w:rPr>
        <w:t xml:space="preserve">المحور الأول: </w:t>
      </w:r>
      <w:r w:rsidRPr="0033617E">
        <w:rPr>
          <w:rFonts w:ascii="Sakkal Majalla" w:hAnsi="Sakkal Majalla" w:cs="Sakkal Majalla"/>
          <w:b/>
          <w:bCs/>
          <w:color w:val="000000" w:themeColor="text1"/>
          <w:sz w:val="28"/>
          <w:szCs w:val="28"/>
          <w:rtl/>
        </w:rPr>
        <w:t xml:space="preserve">الدراسات المتعلقة بالمتغير المستقل </w:t>
      </w:r>
      <w:r w:rsidRPr="00502D23">
        <w:rPr>
          <w:rFonts w:ascii="Sakkal Majalla" w:hAnsi="Sakkal Majalla" w:cs="Sakkal Majalla"/>
          <w:b/>
          <w:bCs/>
          <w:color w:val="000000" w:themeColor="text1"/>
          <w:sz w:val="28"/>
          <w:szCs w:val="28"/>
          <w:rtl/>
        </w:rPr>
        <w:t>(القيادة التحويلية) وعلاقته بمتغيرات أخرى</w:t>
      </w:r>
      <w:bookmarkEnd w:id="17"/>
    </w:p>
    <w:p w14:paraId="0FB078AD"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bookmarkStart w:id="18" w:name="_Toc170243312"/>
      <w:bookmarkStart w:id="19" w:name="_Toc222935191"/>
      <w:bookmarkEnd w:id="14"/>
      <w:r w:rsidRPr="00502D23">
        <w:rPr>
          <w:rFonts w:ascii="Sakkal Majalla" w:eastAsia="Times New Roman" w:hAnsi="Sakkal Majalla" w:cs="Sakkal Majalla"/>
          <w:b/>
          <w:bCs/>
          <w:color w:val="000000" w:themeColor="text1"/>
          <w:kern w:val="0"/>
          <w:sz w:val="28"/>
          <w:szCs w:val="28"/>
          <w:rtl/>
          <w14:ligatures w14:val="none"/>
        </w:rPr>
        <w:t>دراسة الخصاونة (2021) بعنوان: "تأثير القيادة التحويلية في جودة حياة العمل: دراسة تطبيقية على العاملين في شركات الاتصالات في المملكة الأردنية الهاشمية</w:t>
      </w:r>
      <w:r w:rsidRPr="00502D23">
        <w:rPr>
          <w:rFonts w:ascii="Sakkal Majalla" w:eastAsia="Times New Roman" w:hAnsi="Sakkal Majalla" w:cs="Sakkal Majalla"/>
          <w:b/>
          <w:bCs/>
          <w:color w:val="000000" w:themeColor="text1"/>
          <w:kern w:val="0"/>
          <w:sz w:val="28"/>
          <w:szCs w:val="28"/>
          <w14:ligatures w14:val="none"/>
        </w:rPr>
        <w:t>"</w:t>
      </w:r>
    </w:p>
    <w:p w14:paraId="00122EA9"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القيادة التحويلية بأبعادها (التأثير المثالي، الحفز الإلهامي، الاستثارة الفكرية، الاعتبار الفردي) على جودة حياة العمل في شركات الاتصالات في المملكة الأردنية الهاشمية. واستخدمت الدراسة المنهج الوصفي التحليلي، وتكونت العينة من العاملين في شركات الاتصالات الأردنية. وتوصلت نتائج الدراسة إلى أن المتوسط العام لتصورات العاملين عن القيادة التحويلية جاءت بدرجة مرتفعة بمتوسط حسابي (3.79)، بينما جاءت جودة حياة العمل بدرجة متوسطة بمتوسط حسابي (3.17). وأوصت الدراسة بضرورة تشجيع القادة في شركات الاتصالات بالاستمرار في ممارسة تطبيق نمط القيادة التحويلية لما يتضمنه من خصائص وممارسات لها تأثير في فعالية الشركة ومراعاة الجوانب الاجتماعية والإنسانية للعاملين</w:t>
      </w:r>
      <w:r w:rsidRPr="00502D23">
        <w:rPr>
          <w:rFonts w:ascii="Sakkal Majalla" w:eastAsia="Times New Roman" w:hAnsi="Sakkal Majalla" w:cs="Sakkal Majalla"/>
          <w:color w:val="000000" w:themeColor="text1"/>
          <w:kern w:val="0"/>
          <w:sz w:val="28"/>
          <w:szCs w:val="28"/>
          <w14:ligatures w14:val="none"/>
        </w:rPr>
        <w:t>.</w:t>
      </w:r>
    </w:p>
    <w:p w14:paraId="6B29B125"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 الجرايدة والعون (2021) بعنوان</w:t>
      </w:r>
      <w:r w:rsidRPr="00502D23">
        <w:rPr>
          <w:rFonts w:ascii="Sakkal Majalla" w:eastAsia="Times New Roman" w:hAnsi="Sakkal Majalla" w:cs="Sakkal Majalla"/>
          <w:b/>
          <w:bCs/>
          <w:color w:val="000000" w:themeColor="text1"/>
          <w:kern w:val="0"/>
          <w:sz w:val="28"/>
          <w:szCs w:val="28"/>
          <w14:ligatures w14:val="none"/>
        </w:rPr>
        <w:t>: "</w:t>
      </w:r>
      <w:r w:rsidRPr="00502D23">
        <w:rPr>
          <w:rFonts w:ascii="Sakkal Majalla" w:eastAsia="Times New Roman" w:hAnsi="Sakkal Majalla" w:cs="Sakkal Majalla"/>
          <w:b/>
          <w:bCs/>
          <w:color w:val="000000" w:themeColor="text1"/>
          <w:kern w:val="0"/>
          <w:sz w:val="28"/>
          <w:szCs w:val="28"/>
          <w:rtl/>
          <w14:ligatures w14:val="none"/>
        </w:rPr>
        <w:t>أثر الابتكار الاستراتيجي في تعزيز الأداء التنظيمي للشركات الريادية الأردنية: دور القيادة التحويلية كمتغير وسيط</w:t>
      </w:r>
      <w:r w:rsidRPr="00502D23">
        <w:rPr>
          <w:rFonts w:ascii="Sakkal Majalla" w:eastAsia="Times New Roman" w:hAnsi="Sakkal Majalla" w:cs="Sakkal Majalla"/>
          <w:b/>
          <w:bCs/>
          <w:color w:val="000000" w:themeColor="text1"/>
          <w:kern w:val="0"/>
          <w:sz w:val="28"/>
          <w:szCs w:val="28"/>
          <w14:ligatures w14:val="none"/>
        </w:rPr>
        <w:t>"</w:t>
      </w:r>
    </w:p>
    <w:p w14:paraId="5CA31DAA" w14:textId="77777777" w:rsidR="0033617E" w:rsidRDefault="00982488" w:rsidP="0033617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الابتكار الاستراتيجي بأبعاده (المحاذاة الاستراتيجية، استبصار الصناعة، الاستعداد التنظيمي) في تعزيز الأداء التنظيمي للشركات الريادية الأردنية، ودور القيادة التحويلية كمتغير وسيط بأبعادها (التأثير المثالي، الحفز الإلهامي، الاستثارة الفكرية). واستخدمت الدراسة المنهج الوصفي التحليلي باستخدام نمذجة المعادلة الهيكلية</w:t>
      </w:r>
      <w:r w:rsidRPr="00502D23">
        <w:rPr>
          <w:rFonts w:ascii="Sakkal Majalla" w:eastAsia="Times New Roman" w:hAnsi="Sakkal Majalla" w:cs="Sakkal Majalla"/>
          <w:color w:val="000000" w:themeColor="text1"/>
          <w:kern w:val="0"/>
          <w:sz w:val="28"/>
          <w:szCs w:val="28"/>
          <w14:ligatures w14:val="none"/>
        </w:rPr>
        <w:t xml:space="preserve"> (SEM)</w:t>
      </w:r>
      <w:r w:rsidRPr="00502D23">
        <w:rPr>
          <w:rFonts w:ascii="Sakkal Majalla" w:eastAsia="Times New Roman" w:hAnsi="Sakkal Majalla" w:cs="Sakkal Majalla"/>
          <w:color w:val="000000" w:themeColor="text1"/>
          <w:kern w:val="0"/>
          <w:sz w:val="28"/>
          <w:szCs w:val="28"/>
          <w:rtl/>
          <w14:ligatures w14:val="none"/>
        </w:rPr>
        <w:t xml:space="preserve">، وتكونت العينة من (170) موظفاً من العاملين في الإدارات العليا والوسطى في الشركات الريادية بالأردن، وكانت الاستبانات الصالحة للتحليل (120) استبانة. وتوصلت نتائج الدراسة إلى وجود أثر ذي دلالة إحصائية للابتكار الاستراتيجي في الأداء التنظيمي، وأن القيادة التحويلية تتوسط جزئياً العلاقة بين الابتكار الاستراتيجي والأداء التنظيمي. وأوصت </w:t>
      </w:r>
      <w:r w:rsidRPr="00502D23">
        <w:rPr>
          <w:rFonts w:ascii="Sakkal Majalla" w:eastAsia="Times New Roman" w:hAnsi="Sakkal Majalla" w:cs="Sakkal Majalla"/>
          <w:color w:val="000000" w:themeColor="text1"/>
          <w:kern w:val="0"/>
          <w:sz w:val="28"/>
          <w:szCs w:val="28"/>
          <w:rtl/>
          <w14:ligatures w14:val="none"/>
        </w:rPr>
        <w:lastRenderedPageBreak/>
        <w:t>الدراسة بمواصلة استخدام وتطوير الابتكار الاستراتيجي لمواكبة التغييرات البيئية والتحديات في الشركات الريادية</w:t>
      </w:r>
      <w:r w:rsidRPr="00502D23">
        <w:rPr>
          <w:rFonts w:ascii="Sakkal Majalla" w:eastAsia="Times New Roman" w:hAnsi="Sakkal Majalla" w:cs="Sakkal Majalla"/>
          <w:color w:val="000000" w:themeColor="text1"/>
          <w:kern w:val="0"/>
          <w:sz w:val="28"/>
          <w:szCs w:val="28"/>
          <w14:ligatures w14:val="none"/>
        </w:rPr>
        <w:t>.</w:t>
      </w:r>
    </w:p>
    <w:p w14:paraId="158B7EE3" w14:textId="593D2370" w:rsidR="00982488" w:rsidRPr="0033617E" w:rsidRDefault="00982488" w:rsidP="005C73E0">
      <w:pPr>
        <w:pStyle w:val="ListParagraph"/>
        <w:numPr>
          <w:ilvl w:val="0"/>
          <w:numId w:val="12"/>
        </w:numPr>
        <w:spacing w:before="100" w:beforeAutospacing="1" w:after="100" w:afterAutospacing="1" w:line="360" w:lineRule="auto"/>
        <w:ind w:left="419" w:hanging="357"/>
        <w:contextualSpacing w:val="0"/>
        <w:jc w:val="both"/>
        <w:rPr>
          <w:rFonts w:ascii="Sakkal Majalla" w:eastAsia="Times New Roman" w:hAnsi="Sakkal Majalla" w:cs="Sakkal Majalla"/>
          <w:b/>
          <w:bCs/>
          <w:color w:val="000000" w:themeColor="text1"/>
          <w:kern w:val="0"/>
          <w:sz w:val="28"/>
          <w:szCs w:val="28"/>
          <w14:ligatures w14:val="none"/>
        </w:rPr>
      </w:pPr>
      <w:r w:rsidRPr="0033617E">
        <w:rPr>
          <w:rFonts w:ascii="Sakkal Majalla" w:eastAsia="Times New Roman" w:hAnsi="Sakkal Majalla" w:cs="Sakkal Majalla"/>
          <w:b/>
          <w:bCs/>
          <w:color w:val="000000" w:themeColor="text1"/>
          <w:kern w:val="0"/>
          <w:sz w:val="28"/>
          <w:szCs w:val="28"/>
          <w:rtl/>
          <w14:ligatures w14:val="none"/>
        </w:rPr>
        <w:t>دراسة الرشيدي (2025) بعنوان: "الدور الوسيط لمشاركة المعرفة بين القيادة التحويلية والتطوير التنظيمي في وزارة الداخلية الكويتية</w:t>
      </w:r>
      <w:r w:rsidRPr="0033617E">
        <w:rPr>
          <w:rFonts w:ascii="Sakkal Majalla" w:eastAsia="Times New Roman" w:hAnsi="Sakkal Majalla" w:cs="Sakkal Majalla"/>
          <w:b/>
          <w:bCs/>
          <w:color w:val="000000" w:themeColor="text1"/>
          <w:kern w:val="0"/>
          <w:sz w:val="28"/>
          <w:szCs w:val="28"/>
          <w14:ligatures w14:val="none"/>
        </w:rPr>
        <w:t>"</w:t>
      </w:r>
    </w:p>
    <w:p w14:paraId="238F9339"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اختبار العلاقة بين القيادة التحويلية والتطوير التنظيمي بشكل مباشر وغير مباشر، من خلال توسيط مشاركة المعرفة في العلاقة بينهما، وذلك بالتطبيق على العاملين في وزارة الداخلية الكويتية. واستخدمت الدراسة المنهج المسحي الكمي، وتكونت العينة من</w:t>
      </w:r>
      <w:r w:rsidRPr="00502D23">
        <w:rPr>
          <w:rFonts w:ascii="Sakkal Majalla" w:eastAsia="Times New Roman" w:hAnsi="Sakkal Majalla" w:cs="Sakkal Majalla"/>
          <w:color w:val="000000" w:themeColor="text1"/>
          <w:kern w:val="0"/>
          <w:sz w:val="28"/>
          <w:szCs w:val="28"/>
          <w14:ligatures w14:val="none"/>
        </w:rPr>
        <w:t xml:space="preserve"> (180) </w:t>
      </w:r>
      <w:r w:rsidRPr="00502D23">
        <w:rPr>
          <w:rFonts w:ascii="Sakkal Majalla" w:eastAsia="Times New Roman" w:hAnsi="Sakkal Majalla" w:cs="Sakkal Majalla"/>
          <w:color w:val="000000" w:themeColor="text1"/>
          <w:kern w:val="0"/>
          <w:sz w:val="28"/>
          <w:szCs w:val="28"/>
          <w:rtl/>
          <w14:ligatures w14:val="none"/>
        </w:rPr>
        <w:t>استبانة تم جمعها من العاملين في (26) مركزاً داخل الوزارة. وتوصلت نتائج الدراسة إلى وجود ارتباط معنوي قوي بين القيادة التحويلية والتطوير التنظيمي، كما تبين أن القيادة التحويلية تؤثر بشكل مباشر على التطوير التنظيمي، وأن مشاركة المعرفة تلعب دوراً محورياً كوسيط جزئي يعزز العلاقة بين القيادة التحويلية والتطوير التنظيمي. وأوصت الدراسة بتحسين عمليات مشاركة المعرفة في المؤسسات لتعزيز النتائج التنظيمية الإيجابية، خاصة في وجود قيادة تحويلية قادرة على تحفيز الموظفين نحو الابتكار والتطوير المستمر</w:t>
      </w:r>
      <w:r w:rsidRPr="00502D23">
        <w:rPr>
          <w:rFonts w:ascii="Sakkal Majalla" w:eastAsia="Times New Roman" w:hAnsi="Sakkal Majalla" w:cs="Sakkal Majalla"/>
          <w:color w:val="000000" w:themeColor="text1"/>
          <w:kern w:val="0"/>
          <w:sz w:val="28"/>
          <w:szCs w:val="28"/>
          <w14:ligatures w14:val="none"/>
        </w:rPr>
        <w:t>.</w:t>
      </w:r>
    </w:p>
    <w:p w14:paraId="3365D50C"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 محمود (2025) بعنوان: "أثر القيادة التحويلية في تعزيز الابتكار المقتصد: الدور الوسيط التفسيري لقدرات التعلم التنظيمي: دراسة تطبيقية على مستشفيات جامعة القاهرة</w:t>
      </w:r>
      <w:r w:rsidRPr="00502D23">
        <w:rPr>
          <w:rFonts w:ascii="Sakkal Majalla" w:eastAsia="Times New Roman" w:hAnsi="Sakkal Majalla" w:cs="Sakkal Majalla"/>
          <w:b/>
          <w:bCs/>
          <w:color w:val="000000" w:themeColor="text1"/>
          <w:kern w:val="0"/>
          <w:sz w:val="28"/>
          <w:szCs w:val="28"/>
          <w14:ligatures w14:val="none"/>
        </w:rPr>
        <w:t>"</w:t>
      </w:r>
    </w:p>
    <w:p w14:paraId="60C59FD5" w14:textId="77777777" w:rsidR="00502D23" w:rsidRDefault="00982488" w:rsidP="00502D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القيادة التحويلية بأبعادها (التأثير المثالي، الحفز الإلهامي، الاستثارة الفكرية، الاعتبار الفردي) في تعزيز الابتكار المقتصد، مع دراسة الدور الوسيط التفسيري لقدرات التعلم التنظيمي في مستشفيات جامعة القاهرة. واستخدمت الدراسة المنهج الوصفي التحليلي، وتكونت العينة من العاملين في مستشفيات جامعة القاهرة. وتوصلت نتائج الدراسة إلى وجود أثر إيجابي ذي دلالة إحصائية للقيادة التحويلية في تعزيز الابتكار المقتصد، وأن قدرات التعلم التنظيمي تلعب دوراً وسيطاً تفسيرياً في هذه العلاقة. وأوصت الدراسة بتبني أنماط القيادة التحويلية وتعزيز قدرات التعلم التنظيمي لدعم جهود الابتكار المقتصد في المؤسسات الصحية</w:t>
      </w:r>
      <w:r w:rsidRPr="00502D23">
        <w:rPr>
          <w:rFonts w:ascii="Sakkal Majalla" w:eastAsia="Times New Roman" w:hAnsi="Sakkal Majalla" w:cs="Sakkal Majalla"/>
          <w:color w:val="000000" w:themeColor="text1"/>
          <w:kern w:val="0"/>
          <w:sz w:val="28"/>
          <w:szCs w:val="28"/>
          <w14:ligatures w14:val="none"/>
        </w:rPr>
        <w:t>.</w:t>
      </w:r>
    </w:p>
    <w:p w14:paraId="45F0C28C" w14:textId="4EC32C8B" w:rsidR="00982488" w:rsidRPr="00502D23" w:rsidRDefault="00502D23"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14:ligatures w14:val="none"/>
        </w:rPr>
        <w:br w:type="page"/>
      </w:r>
      <w:r w:rsidRPr="00502D23">
        <w:rPr>
          <w:rFonts w:ascii="Sakkal Majalla" w:eastAsia="Times New Roman" w:hAnsi="Sakkal Majalla" w:cs="Sakkal Majalla"/>
          <w:b/>
          <w:bCs/>
          <w:color w:val="000000" w:themeColor="text1"/>
          <w:kern w:val="0"/>
          <w:sz w:val="28"/>
          <w:szCs w:val="28"/>
          <w:rtl/>
          <w14:ligatures w14:val="none"/>
        </w:rPr>
        <w:lastRenderedPageBreak/>
        <w:t xml:space="preserve"> </w:t>
      </w:r>
      <w:r w:rsidR="00982488" w:rsidRPr="00502D23">
        <w:rPr>
          <w:rFonts w:ascii="Sakkal Majalla" w:eastAsia="Times New Roman" w:hAnsi="Sakkal Majalla" w:cs="Sakkal Majalla"/>
          <w:b/>
          <w:bCs/>
          <w:color w:val="000000" w:themeColor="text1"/>
          <w:kern w:val="0"/>
          <w:sz w:val="28"/>
          <w:szCs w:val="28"/>
          <w:rtl/>
          <w14:ligatures w14:val="none"/>
        </w:rPr>
        <w:t>دراسة عبدالقادر (2025) بعنوان: "دور القيادة التحويلية في تعزيز الإبداع التنظيمي: دراسة تحليلية ومقارنة لآراء عينة من العاملين في مجموعة من الشركات الخاصة في محافظة السليمانية</w:t>
      </w:r>
      <w:r w:rsidR="00982488" w:rsidRPr="00502D23">
        <w:rPr>
          <w:rFonts w:ascii="Sakkal Majalla" w:eastAsia="Times New Roman" w:hAnsi="Sakkal Majalla" w:cs="Sakkal Majalla"/>
          <w:b/>
          <w:bCs/>
          <w:color w:val="000000" w:themeColor="text1"/>
          <w:kern w:val="0"/>
          <w:sz w:val="28"/>
          <w:szCs w:val="28"/>
          <w14:ligatures w14:val="none"/>
        </w:rPr>
        <w:t>"</w:t>
      </w:r>
    </w:p>
    <w:p w14:paraId="406450A6"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دور القيادة التحويلية بأبعادها في تعزيز الإبداع التنظيمي، من خلال دراسة تحليلية ومقارنة لآراء العاملين في الشركات الخاصة في محافظة السليمانية بإقليم كردستان العراق. واستخدمت الدراسة المنهج الوصفي التحليلي والمقارن، وتكونت العينة من العاملين في مجموعة من الشركات الخاصة بالمحافظة. وتوصلت نتائج الدراسة إلى وجود دور إيجابي ومعنوي للقيادة التحويلية في تعزيز الإبداع التنظيمي في الشركات المبحوثة. وأوصت الدراسة بضرورة تعزيز ممارسات القيادة التحويلية لدعم الإبداع والابتكار في بيئات العمل الخاصة</w:t>
      </w:r>
      <w:r w:rsidRPr="00502D23">
        <w:rPr>
          <w:rFonts w:ascii="Sakkal Majalla" w:eastAsia="Times New Roman" w:hAnsi="Sakkal Majalla" w:cs="Sakkal Majalla"/>
          <w:color w:val="000000" w:themeColor="text1"/>
          <w:kern w:val="0"/>
          <w:sz w:val="28"/>
          <w:szCs w:val="28"/>
          <w14:ligatures w14:val="none"/>
        </w:rPr>
        <w:t>.</w:t>
      </w:r>
    </w:p>
    <w:p w14:paraId="5C643F93"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w:t>
      </w:r>
      <w:r w:rsidRPr="00502D23">
        <w:rPr>
          <w:rFonts w:ascii="Sakkal Majalla" w:eastAsia="Times New Roman" w:hAnsi="Sakkal Majalla" w:cs="Sakkal Majalla"/>
          <w:b/>
          <w:bCs/>
          <w:color w:val="000000" w:themeColor="text1"/>
          <w:kern w:val="0"/>
          <w:sz w:val="28"/>
          <w:szCs w:val="28"/>
          <w14:ligatures w14:val="none"/>
        </w:rPr>
        <w:t xml:space="preserve"> Al-</w:t>
      </w:r>
      <w:proofErr w:type="spellStart"/>
      <w:r w:rsidRPr="00502D23">
        <w:rPr>
          <w:rFonts w:ascii="Sakkal Majalla" w:eastAsia="Times New Roman" w:hAnsi="Sakkal Majalla" w:cs="Sakkal Majalla"/>
          <w:b/>
          <w:bCs/>
          <w:color w:val="000000" w:themeColor="text1"/>
          <w:kern w:val="0"/>
          <w:sz w:val="28"/>
          <w:szCs w:val="28"/>
          <w14:ligatures w14:val="none"/>
        </w:rPr>
        <w:t>Rasbi</w:t>
      </w:r>
      <w:proofErr w:type="spellEnd"/>
      <w:r w:rsidRPr="00502D23">
        <w:rPr>
          <w:rFonts w:ascii="Sakkal Majalla" w:eastAsia="Times New Roman" w:hAnsi="Sakkal Majalla" w:cs="Sakkal Majalla"/>
          <w:b/>
          <w:bCs/>
          <w:color w:val="000000" w:themeColor="text1"/>
          <w:kern w:val="0"/>
          <w:sz w:val="28"/>
          <w:szCs w:val="28"/>
          <w14:ligatures w14:val="none"/>
        </w:rPr>
        <w:t xml:space="preserve"> &amp; Khan (2025) </w:t>
      </w:r>
      <w:r w:rsidRPr="00502D23">
        <w:rPr>
          <w:rFonts w:ascii="Sakkal Majalla" w:eastAsia="Times New Roman" w:hAnsi="Sakkal Majalla" w:cs="Sakkal Majalla"/>
          <w:b/>
          <w:bCs/>
          <w:color w:val="000000" w:themeColor="text1"/>
          <w:kern w:val="0"/>
          <w:sz w:val="28"/>
          <w:szCs w:val="28"/>
          <w:rtl/>
          <w14:ligatures w14:val="none"/>
        </w:rPr>
        <w:t>بعنوان</w:t>
      </w:r>
      <w:r w:rsidRPr="00502D23">
        <w:rPr>
          <w:rFonts w:ascii="Sakkal Majalla" w:eastAsia="Times New Roman" w:hAnsi="Sakkal Majalla" w:cs="Sakkal Majalla"/>
          <w:b/>
          <w:bCs/>
          <w:color w:val="000000" w:themeColor="text1"/>
          <w:kern w:val="0"/>
          <w:sz w:val="28"/>
          <w:szCs w:val="28"/>
          <w14:ligatures w14:val="none"/>
        </w:rPr>
        <w:t>: "The Role of Transformational Leadership in Fostering Innovation Culture within Oman's Private Sector"</w:t>
      </w:r>
    </w:p>
    <w:p w14:paraId="5EE29292" w14:textId="77777777" w:rsidR="00502D23" w:rsidRPr="00502D23" w:rsidRDefault="00982488" w:rsidP="00502D2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مدى تأثير القيادة التحويلية بأبعادها (التأثير المثالي، الحفز الإلهامي، الاستثارة الفكرية، الاعتبار الفردي) في تعزيز ثقافة الابتكار داخل مؤسسات القطاع الخاص في سلطنة عُمان، في إطار رؤية عُمان 2040. واستخدمت الدراسة المنهج الكمي المسحي المقطعي مع نمذجة المعادلة الهيكلية</w:t>
      </w:r>
      <w:r w:rsidRPr="00502D23">
        <w:rPr>
          <w:rFonts w:ascii="Sakkal Majalla" w:eastAsia="Times New Roman" w:hAnsi="Sakkal Majalla" w:cs="Sakkal Majalla"/>
          <w:color w:val="000000" w:themeColor="text1"/>
          <w:kern w:val="0"/>
          <w:sz w:val="28"/>
          <w:szCs w:val="28"/>
          <w14:ligatures w14:val="none"/>
        </w:rPr>
        <w:t xml:space="preserve"> (SEM)</w:t>
      </w:r>
      <w:r w:rsidRPr="00502D23">
        <w:rPr>
          <w:rFonts w:ascii="Sakkal Majalla" w:eastAsia="Times New Roman" w:hAnsi="Sakkal Majalla" w:cs="Sakkal Majalla"/>
          <w:color w:val="000000" w:themeColor="text1"/>
          <w:kern w:val="0"/>
          <w:sz w:val="28"/>
          <w:szCs w:val="28"/>
          <w:rtl/>
          <w14:ligatures w14:val="none"/>
        </w:rPr>
        <w:t xml:space="preserve">، وتكونت العينة من </w:t>
      </w:r>
      <w:r w:rsidRPr="00502D23">
        <w:rPr>
          <w:rFonts w:ascii="Sakkal Majalla" w:eastAsia="Times New Roman" w:hAnsi="Sakkal Majalla" w:cs="Sakkal Majalla"/>
          <w:color w:val="000000" w:themeColor="text1"/>
          <w:kern w:val="0"/>
          <w:sz w:val="28"/>
          <w:szCs w:val="28"/>
          <w14:ligatures w14:val="none"/>
        </w:rPr>
        <w:t xml:space="preserve">(231) </w:t>
      </w:r>
      <w:r w:rsidRPr="00502D23">
        <w:rPr>
          <w:rFonts w:ascii="Sakkal Majalla" w:eastAsia="Times New Roman" w:hAnsi="Sakkal Majalla" w:cs="Sakkal Majalla"/>
          <w:color w:val="000000" w:themeColor="text1"/>
          <w:kern w:val="0"/>
          <w:sz w:val="28"/>
          <w:szCs w:val="28"/>
          <w:rtl/>
          <w14:ligatures w14:val="none"/>
        </w:rPr>
        <w:t xml:space="preserve">موظفاً من ست صناعات رئيسية (اللوجستيات، تكنولوجيا المعلومات، التمويل، التصنيع، التجزئة، الرعاية الصحية). وتوصلت نتائج الدراسة إلى أن القيادة التحويلية تُعد مؤشراً قوياً لثقافة الابتكار حيث فسرت ما يقارب </w:t>
      </w:r>
      <w:r w:rsidRPr="00502D23">
        <w:rPr>
          <w:rFonts w:ascii="Sakkal Majalla" w:eastAsia="Times New Roman" w:hAnsi="Sakkal Majalla" w:cs="Sakkal Majalla"/>
          <w:color w:val="000000" w:themeColor="text1"/>
          <w:kern w:val="0"/>
          <w:sz w:val="28"/>
          <w:szCs w:val="28"/>
          <w14:ligatures w14:val="none"/>
        </w:rPr>
        <w:t xml:space="preserve">(62%) </w:t>
      </w:r>
      <w:r w:rsidRPr="00502D23">
        <w:rPr>
          <w:rFonts w:ascii="Sakkal Majalla" w:eastAsia="Times New Roman" w:hAnsi="Sakkal Majalla" w:cs="Sakkal Majalla"/>
          <w:color w:val="000000" w:themeColor="text1"/>
          <w:kern w:val="0"/>
          <w:sz w:val="28"/>
          <w:szCs w:val="28"/>
          <w:rtl/>
          <w14:ligatures w14:val="none"/>
        </w:rPr>
        <w:t>من التباين فيها، وكان التأثير المثالي الأقوى تأثيراً</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Cambria" w:eastAsia="Times New Roman" w:hAnsi="Cambria" w:cs="Cambria"/>
          <w:color w:val="000000" w:themeColor="text1"/>
          <w:kern w:val="0"/>
          <w:sz w:val="28"/>
          <w:szCs w:val="28"/>
          <w14:ligatures w14:val="none"/>
        </w:rPr>
        <w:t>β</w:t>
      </w:r>
      <w:r w:rsidRPr="00502D23">
        <w:rPr>
          <w:rFonts w:ascii="Sakkal Majalla" w:eastAsia="Times New Roman" w:hAnsi="Sakkal Majalla" w:cs="Sakkal Majalla"/>
          <w:color w:val="000000" w:themeColor="text1"/>
          <w:kern w:val="0"/>
          <w:sz w:val="28"/>
          <w:szCs w:val="28"/>
          <w14:ligatures w14:val="none"/>
        </w:rPr>
        <w:t xml:space="preserve">=0.45). </w:t>
      </w:r>
      <w:r w:rsidRPr="00502D23">
        <w:rPr>
          <w:rFonts w:ascii="Sakkal Majalla" w:eastAsia="Times New Roman" w:hAnsi="Sakkal Majalla" w:cs="Sakkal Majalla"/>
          <w:color w:val="000000" w:themeColor="text1"/>
          <w:kern w:val="0"/>
          <w:sz w:val="28"/>
          <w:szCs w:val="28"/>
          <w:rtl/>
          <w14:ligatures w14:val="none"/>
        </w:rPr>
        <w:t>وأوصت الدراسة بتصميم برامج تطوير قيادية تركز على سلوكيات القيادة التحويلية لتعزيز القدرة الابتكارية وتحقيق أهداف رؤية عُمان 2040</w:t>
      </w:r>
      <w:r w:rsidRPr="00502D23">
        <w:rPr>
          <w:rFonts w:ascii="Sakkal Majalla" w:eastAsia="Times New Roman" w:hAnsi="Sakkal Majalla" w:cs="Sakkal Majalla"/>
          <w:color w:val="000000" w:themeColor="text1"/>
          <w:kern w:val="0"/>
          <w:sz w:val="28"/>
          <w:szCs w:val="28"/>
          <w14:ligatures w14:val="none"/>
        </w:rPr>
        <w:t>.</w:t>
      </w:r>
      <w:r w:rsidR="00502D23" w:rsidRPr="00502D23">
        <w:rPr>
          <w:rFonts w:ascii="Sakkal Majalla" w:eastAsia="Times New Roman" w:hAnsi="Sakkal Majalla" w:cs="Sakkal Majalla"/>
          <w:b/>
          <w:bCs/>
          <w:color w:val="000000" w:themeColor="text1"/>
          <w:kern w:val="0"/>
          <w:sz w:val="28"/>
          <w:szCs w:val="28"/>
          <w:rtl/>
          <w14:ligatures w14:val="none"/>
        </w:rPr>
        <w:t xml:space="preserve"> </w:t>
      </w:r>
    </w:p>
    <w:p w14:paraId="6F111049" w14:textId="76D35128" w:rsidR="00982488" w:rsidRPr="00502D23" w:rsidRDefault="00502D23" w:rsidP="005C73E0">
      <w:pPr>
        <w:pStyle w:val="ListParagraph"/>
        <w:numPr>
          <w:ilvl w:val="0"/>
          <w:numId w:val="24"/>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br w:type="page"/>
      </w:r>
      <w:r w:rsidR="00982488" w:rsidRPr="00502D23">
        <w:rPr>
          <w:rFonts w:ascii="Sakkal Majalla" w:eastAsia="Times New Roman" w:hAnsi="Sakkal Majalla" w:cs="Sakkal Majalla"/>
          <w:b/>
          <w:bCs/>
          <w:color w:val="000000" w:themeColor="text1"/>
          <w:kern w:val="0"/>
          <w:sz w:val="28"/>
          <w:szCs w:val="28"/>
          <w:rtl/>
          <w14:ligatures w14:val="none"/>
        </w:rPr>
        <w:lastRenderedPageBreak/>
        <w:t>دراسة</w:t>
      </w:r>
      <w:r w:rsidR="00982488" w:rsidRPr="00502D23">
        <w:rPr>
          <w:rFonts w:ascii="Sakkal Majalla" w:eastAsia="Times New Roman" w:hAnsi="Sakkal Majalla" w:cs="Sakkal Majalla"/>
          <w:b/>
          <w:bCs/>
          <w:color w:val="000000" w:themeColor="text1"/>
          <w:kern w:val="0"/>
          <w:sz w:val="28"/>
          <w:szCs w:val="28"/>
          <w14:ligatures w14:val="none"/>
        </w:rPr>
        <w:t xml:space="preserve"> Karimi et al. (2023) </w:t>
      </w:r>
      <w:r w:rsidR="00982488" w:rsidRPr="00502D23">
        <w:rPr>
          <w:rFonts w:ascii="Sakkal Majalla" w:eastAsia="Times New Roman" w:hAnsi="Sakkal Majalla" w:cs="Sakkal Majalla"/>
          <w:b/>
          <w:bCs/>
          <w:color w:val="000000" w:themeColor="text1"/>
          <w:kern w:val="0"/>
          <w:sz w:val="28"/>
          <w:szCs w:val="28"/>
          <w:rtl/>
          <w14:ligatures w14:val="none"/>
        </w:rPr>
        <w:t>بعنوان</w:t>
      </w:r>
      <w:r w:rsidR="00982488" w:rsidRPr="00502D23">
        <w:rPr>
          <w:rFonts w:ascii="Sakkal Majalla" w:eastAsia="Times New Roman" w:hAnsi="Sakkal Majalla" w:cs="Sakkal Majalla"/>
          <w:b/>
          <w:bCs/>
          <w:color w:val="000000" w:themeColor="text1"/>
          <w:kern w:val="0"/>
          <w:sz w:val="28"/>
          <w:szCs w:val="28"/>
          <w14:ligatures w14:val="none"/>
        </w:rPr>
        <w:t>: "The Role of Transformational Leadership in Developing Innovative Work Behaviors: The Mediating Role of Employees' Psychological Capital"</w:t>
      </w:r>
    </w:p>
    <w:p w14:paraId="3A8B6F2A" w14:textId="6B93D472"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الدور الوسيط لأبعاد رأس المال النفسي (الكفاءة الذاتية، الأمل، المرونة، التفاؤل) في العلاقة بين القيادة التحويلية وسلوكيات العمل الابتكارية لدى الموظفين في القطاع العام بإيران. واستخدمت الدراسة المنهج الكمي باستخدام نمذجة المعادلة الهيكلية بالمربعات الصغرى الجزئية</w:t>
      </w:r>
      <w:r w:rsidRPr="00502D23">
        <w:rPr>
          <w:rFonts w:ascii="Sakkal Majalla" w:eastAsia="Times New Roman" w:hAnsi="Sakkal Majalla" w:cs="Sakkal Majalla"/>
          <w:color w:val="000000" w:themeColor="text1"/>
          <w:kern w:val="0"/>
          <w:sz w:val="28"/>
          <w:szCs w:val="28"/>
          <w14:ligatures w14:val="none"/>
        </w:rPr>
        <w:t xml:space="preserve"> (PLS-SEM)</w:t>
      </w:r>
      <w:r w:rsidRPr="00502D23">
        <w:rPr>
          <w:rFonts w:ascii="Sakkal Majalla" w:eastAsia="Times New Roman" w:hAnsi="Sakkal Majalla" w:cs="Sakkal Majalla"/>
          <w:color w:val="000000" w:themeColor="text1"/>
          <w:kern w:val="0"/>
          <w:sz w:val="28"/>
          <w:szCs w:val="28"/>
          <w:rtl/>
          <w14:ligatures w14:val="none"/>
        </w:rPr>
        <w:t xml:space="preserve">، وتكونت العينة من </w:t>
      </w:r>
      <w:r w:rsidRPr="00502D23">
        <w:rPr>
          <w:rFonts w:ascii="Sakkal Majalla" w:eastAsia="Times New Roman" w:hAnsi="Sakkal Majalla" w:cs="Sakkal Majalla"/>
          <w:color w:val="000000" w:themeColor="text1"/>
          <w:kern w:val="0"/>
          <w:sz w:val="28"/>
          <w:szCs w:val="28"/>
          <w14:ligatures w14:val="none"/>
        </w:rPr>
        <w:t xml:space="preserve">(178) </w:t>
      </w:r>
      <w:r w:rsidRPr="00502D23">
        <w:rPr>
          <w:rFonts w:ascii="Sakkal Majalla" w:eastAsia="Times New Roman" w:hAnsi="Sakkal Majalla" w:cs="Sakkal Majalla"/>
          <w:color w:val="000000" w:themeColor="text1"/>
          <w:kern w:val="0"/>
          <w:sz w:val="28"/>
          <w:szCs w:val="28"/>
          <w:rtl/>
          <w14:ligatures w14:val="none"/>
        </w:rPr>
        <w:t>خبيراً زراعياً في المنظمات الحكومية الإيرانية. وتوصلت نتائج الدراسة إلى أن القيادة التحويلية ترتبط ارتباطاً إيجابياً ومباشراً بسلوكيات العمل الابتكارية، كما أن الأمل والكفاءة الذاتية يتوسطان جزئياً هذه العلاقة. وأوصت الدراسة بأن المنظمات تحتاج إلى إدارة كل من الموارد السياقية (القيادة التحويلية) والموارد النفسية (رأس المال النفسي) لتعزيز سلوكيات العمل الابتكارية</w:t>
      </w:r>
      <w:r w:rsidRPr="00502D23">
        <w:rPr>
          <w:rFonts w:ascii="Sakkal Majalla" w:eastAsia="Times New Roman" w:hAnsi="Sakkal Majalla" w:cs="Sakkal Majalla"/>
          <w:color w:val="000000" w:themeColor="text1"/>
          <w:kern w:val="0"/>
          <w:sz w:val="28"/>
          <w:szCs w:val="28"/>
          <w14:ligatures w14:val="none"/>
        </w:rPr>
        <w:t>.</w:t>
      </w:r>
    </w:p>
    <w:p w14:paraId="60742A24" w14:textId="1C937822" w:rsidR="000B7AE0" w:rsidRPr="00502D23" w:rsidRDefault="000B7AE0" w:rsidP="000B7AE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20" w:name="_Toc222955038"/>
      <w:r w:rsidRPr="00502D23">
        <w:rPr>
          <w:rFonts w:ascii="Sakkal Majalla" w:eastAsia="Times New Roman" w:hAnsi="Sakkal Majalla" w:cs="Sakkal Majalla"/>
          <w:b/>
          <w:bCs/>
          <w:color w:val="000000" w:themeColor="text1"/>
          <w:kern w:val="0"/>
          <w:sz w:val="32"/>
          <w:szCs w:val="32"/>
          <w:rtl/>
          <w14:ligatures w14:val="none"/>
        </w:rPr>
        <w:t>المحور الثاني: الدراسات المتعلقة بالمتغير التابع (الابتكار) وعلاقته بمتغيرات أخرى</w:t>
      </w:r>
      <w:bookmarkEnd w:id="20"/>
    </w:p>
    <w:p w14:paraId="03601834"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 العبيسي والشعار (2020) بعنوان: "دور المرونة الاستراتيجية في تعزيز الابتكار: دراسة تطبيقية على المستشفيات الخاصة في الأردن</w:t>
      </w:r>
      <w:r w:rsidRPr="00502D23">
        <w:rPr>
          <w:rFonts w:ascii="Sakkal Majalla" w:eastAsia="Times New Roman" w:hAnsi="Sakkal Majalla" w:cs="Sakkal Majalla"/>
          <w:b/>
          <w:bCs/>
          <w:color w:val="000000" w:themeColor="text1"/>
          <w:kern w:val="0"/>
          <w:sz w:val="28"/>
          <w:szCs w:val="28"/>
          <w14:ligatures w14:val="none"/>
        </w:rPr>
        <w:t>"</w:t>
      </w:r>
    </w:p>
    <w:p w14:paraId="7DCA360A" w14:textId="2B0C1F63"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دور المرونة الاستراتيجية بأبعادها في تعزيز الابتكار في المستشفيات الخاصة في الأردن</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وتكونت العينة من العاملين في المستشفيات الخاصة الأردنية. وتوصلت نتائج الدراسة إلى وجود دور إيجابي ذي دلالة إحصائية للمرونة الاستراتيجية في تعزيز الابتكار في المستشفيات المبحوثة. وأوصت الدراسة بضرورة تعزيز المرونة الاستراتيجية لدى المستشفيات الخاصة لزيادة قدرتها على الابتكار والتكيف مع المتغيرات البيئية</w:t>
      </w:r>
      <w:r w:rsidRPr="00502D23">
        <w:rPr>
          <w:rFonts w:ascii="Sakkal Majalla" w:eastAsia="Times New Roman" w:hAnsi="Sakkal Majalla" w:cs="Sakkal Majalla"/>
          <w:color w:val="000000" w:themeColor="text1"/>
          <w:kern w:val="0"/>
          <w:sz w:val="28"/>
          <w:szCs w:val="28"/>
          <w14:ligatures w14:val="none"/>
        </w:rPr>
        <w:t>.</w:t>
      </w:r>
    </w:p>
    <w:p w14:paraId="51881957"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lastRenderedPageBreak/>
        <w:t>دراسة السعيدي (2020) بعنوان</w:t>
      </w:r>
      <w:r w:rsidRPr="00502D23">
        <w:rPr>
          <w:rFonts w:ascii="Sakkal Majalla" w:eastAsia="Times New Roman" w:hAnsi="Sakkal Majalla" w:cs="Sakkal Majalla"/>
          <w:b/>
          <w:bCs/>
          <w:color w:val="000000" w:themeColor="text1"/>
          <w:kern w:val="0"/>
          <w:sz w:val="28"/>
          <w:szCs w:val="28"/>
          <w14:ligatures w14:val="none"/>
        </w:rPr>
        <w:t>: "</w:t>
      </w:r>
      <w:r w:rsidRPr="00502D23">
        <w:rPr>
          <w:rFonts w:ascii="Sakkal Majalla" w:eastAsia="Times New Roman" w:hAnsi="Sakkal Majalla" w:cs="Sakkal Majalla"/>
          <w:b/>
          <w:bCs/>
          <w:color w:val="000000" w:themeColor="text1"/>
          <w:kern w:val="0"/>
          <w:sz w:val="28"/>
          <w:szCs w:val="28"/>
          <w:rtl/>
          <w14:ligatures w14:val="none"/>
        </w:rPr>
        <w:t>الاستدامة الموجهة نحو ممارسات الإبداع ودورها في تعزيز الابتكار البيئي من خلال الدور الوسيط للقيادة التحويلية الخضراء في الشركات النفطية: دراسة حالة في شركة نفط البصرة</w:t>
      </w:r>
      <w:r w:rsidRPr="00502D23">
        <w:rPr>
          <w:rFonts w:ascii="Sakkal Majalla" w:eastAsia="Times New Roman" w:hAnsi="Sakkal Majalla" w:cs="Sakkal Majalla"/>
          <w:b/>
          <w:bCs/>
          <w:color w:val="000000" w:themeColor="text1"/>
          <w:kern w:val="0"/>
          <w:sz w:val="28"/>
          <w:szCs w:val="28"/>
          <w14:ligatures w14:val="none"/>
        </w:rPr>
        <w:t>"</w:t>
      </w:r>
    </w:p>
    <w:p w14:paraId="6FE70653" w14:textId="4EB21B9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الاستدامة الموجهة نحو ممارسات الإبداع بأبعادها (تطوير كفاءات الإبداع، تطوير العمليات والمنتجات) ودورها في تعزيز الابتكار البيئي من خلال الدور الوسيط للقيادة التحويلية الخضراء في شركة نفط البصرة. واستخدمت الدراسة المنهج الوصفي التحليلي، وتكونت العينة من (113) موظفاً تم اختيارهم بالطريقة العشوائية من العاملين في شركة نفط البصرة، واستخدمت الاستبانة كأداة رئيسية لجمع البيانات، وتم تحليل البيانات باستخدام برنامجي</w:t>
      </w:r>
      <w:r w:rsidRPr="00502D23">
        <w:rPr>
          <w:rFonts w:ascii="Sakkal Majalla" w:eastAsia="Times New Roman" w:hAnsi="Sakkal Majalla" w:cs="Sakkal Majalla"/>
          <w:color w:val="000000" w:themeColor="text1"/>
          <w:kern w:val="0"/>
          <w:sz w:val="28"/>
          <w:szCs w:val="28"/>
          <w14:ligatures w14:val="none"/>
        </w:rPr>
        <w:t xml:space="preserve"> AMOS </w:t>
      </w:r>
      <w:r w:rsidRPr="00502D23">
        <w:rPr>
          <w:rFonts w:ascii="Sakkal Majalla" w:eastAsia="Times New Roman" w:hAnsi="Sakkal Majalla" w:cs="Sakkal Majalla"/>
          <w:color w:val="000000" w:themeColor="text1"/>
          <w:kern w:val="0"/>
          <w:sz w:val="28"/>
          <w:szCs w:val="28"/>
          <w:rtl/>
          <w14:ligatures w14:val="none"/>
        </w:rPr>
        <w:t>و</w:t>
      </w:r>
      <w:r w:rsidRPr="00502D23">
        <w:rPr>
          <w:rFonts w:ascii="Sakkal Majalla" w:eastAsia="Times New Roman" w:hAnsi="Sakkal Majalla" w:cs="Sakkal Majalla"/>
          <w:color w:val="000000" w:themeColor="text1"/>
          <w:kern w:val="0"/>
          <w:sz w:val="28"/>
          <w:szCs w:val="28"/>
          <w14:ligatures w14:val="none"/>
        </w:rPr>
        <w:t xml:space="preserve">SPSS. </w:t>
      </w:r>
      <w:r w:rsidRPr="00502D23">
        <w:rPr>
          <w:rFonts w:ascii="Sakkal Majalla" w:eastAsia="Times New Roman" w:hAnsi="Sakkal Majalla" w:cs="Sakkal Majalla"/>
          <w:color w:val="000000" w:themeColor="text1"/>
          <w:kern w:val="0"/>
          <w:sz w:val="28"/>
          <w:szCs w:val="28"/>
          <w:rtl/>
          <w14:ligatures w14:val="none"/>
        </w:rPr>
        <w:t>وتوصلت نتائج الدراسة إلى وجود علاقة ارتباط وتأثير بين الاستدامة الموجهة نحو ممارسات الإبداع والابتكار البيئي من خلال الدور الوسيط للقيادة التحويلية الخضراء. وأوصت الدراسة بصياغة استراتيجيات لتنفيذ الاستدامة الموجهة نحو ممارسات الإبداع لتعزيز الابتكار البيئي بمساعدة القيادة التحويلية الخضراء والتقنيات الحديثة</w:t>
      </w:r>
      <w:r w:rsidRPr="00502D23">
        <w:rPr>
          <w:rFonts w:ascii="Sakkal Majalla" w:eastAsia="Times New Roman" w:hAnsi="Sakkal Majalla" w:cs="Sakkal Majalla"/>
          <w:color w:val="000000" w:themeColor="text1"/>
          <w:kern w:val="0"/>
          <w:sz w:val="28"/>
          <w:szCs w:val="28"/>
          <w14:ligatures w14:val="none"/>
        </w:rPr>
        <w:t>.</w:t>
      </w:r>
    </w:p>
    <w:p w14:paraId="0CEA9EA8"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 xml:space="preserve">دراسة القضاة والنسور والشوابكة </w:t>
      </w:r>
      <w:r w:rsidRPr="00502D23">
        <w:rPr>
          <w:rFonts w:ascii="Sakkal Majalla" w:eastAsia="Times New Roman" w:hAnsi="Sakkal Majalla" w:cs="Sakkal Majalla"/>
          <w:b/>
          <w:bCs/>
          <w:color w:val="000000" w:themeColor="text1"/>
          <w:kern w:val="0"/>
          <w:sz w:val="28"/>
          <w:szCs w:val="28"/>
          <w14:ligatures w14:val="none"/>
        </w:rPr>
        <w:t xml:space="preserve">(2020) </w:t>
      </w:r>
      <w:r w:rsidRPr="00502D23">
        <w:rPr>
          <w:rFonts w:ascii="Sakkal Majalla" w:eastAsia="Times New Roman" w:hAnsi="Sakkal Majalla" w:cs="Sakkal Majalla"/>
          <w:b/>
          <w:bCs/>
          <w:color w:val="000000" w:themeColor="text1"/>
          <w:kern w:val="0"/>
          <w:sz w:val="28"/>
          <w:szCs w:val="28"/>
          <w:rtl/>
          <w14:ligatures w14:val="none"/>
        </w:rPr>
        <w:t>بعنوان: "أثر خصائص المنظمة الذكية في تعزيز الابتكار: دراسة تطبيقية على قطاع الاتصالات وتكنولوجيا المعلومات في الأردن</w:t>
      </w:r>
      <w:r w:rsidRPr="00502D23">
        <w:rPr>
          <w:rFonts w:ascii="Sakkal Majalla" w:eastAsia="Times New Roman" w:hAnsi="Sakkal Majalla" w:cs="Sakkal Majalla"/>
          <w:b/>
          <w:bCs/>
          <w:color w:val="000000" w:themeColor="text1"/>
          <w:kern w:val="0"/>
          <w:sz w:val="28"/>
          <w:szCs w:val="28"/>
          <w14:ligatures w14:val="none"/>
        </w:rPr>
        <w:t>"</w:t>
      </w:r>
    </w:p>
    <w:p w14:paraId="56F598C1" w14:textId="60416D7B"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ممارسة خصائص المنظمة الذكية بأبعادها (الاستدامة، التعلم مدى الحياة، التغيير التنظيمي) في تعزيز الابتكار في شركات الاتصالات وتكنولوجيا المعلومات بالأردن. واستخدمت الدراسة المنهج الوصفي التحليلي، وتكونت العينة من</w:t>
      </w:r>
      <w:r w:rsidRPr="00502D23">
        <w:rPr>
          <w:rFonts w:ascii="Sakkal Majalla" w:eastAsia="Times New Roman" w:hAnsi="Sakkal Majalla" w:cs="Sakkal Majalla"/>
          <w:color w:val="000000" w:themeColor="text1"/>
          <w:kern w:val="0"/>
          <w:sz w:val="28"/>
          <w:szCs w:val="28"/>
          <w14:ligatures w14:val="none"/>
        </w:rPr>
        <w:t xml:space="preserve"> (60) </w:t>
      </w:r>
      <w:r w:rsidRPr="00502D23">
        <w:rPr>
          <w:rFonts w:ascii="Sakkal Majalla" w:eastAsia="Times New Roman" w:hAnsi="Sakkal Majalla" w:cs="Sakkal Majalla"/>
          <w:color w:val="000000" w:themeColor="text1"/>
          <w:kern w:val="0"/>
          <w:sz w:val="28"/>
          <w:szCs w:val="28"/>
          <w:rtl/>
          <w14:ligatures w14:val="none"/>
        </w:rPr>
        <w:t>منظمة من إجمالي مجتمع الدراسة البالغ (558) مفردة من المديرين ورؤساء الأقسام والموظفين. وتوصلت نتائج الدراسة إلى وجود أثر ذي دلالة إحصائية لخصائص المنظمة الذكية في تعزيز الابتكار، حيث جاءت الاستدامة في المرتبة الأولى والتعلم مدى الحياة في المرتبة الثانية لتفسرا ما قيمته (50%) من التباين في التغيير التنظيمي. وأوصت الدراسة بضرورة الاهتمام بتعزيز خصائص المنظمة الذكية والاستعداد للتغيير التنظيمي كمتغير داعم في تعزيز الابتكار</w:t>
      </w:r>
      <w:r w:rsidRPr="00502D23">
        <w:rPr>
          <w:rFonts w:ascii="Sakkal Majalla" w:eastAsia="Times New Roman" w:hAnsi="Sakkal Majalla" w:cs="Sakkal Majalla"/>
          <w:color w:val="000000" w:themeColor="text1"/>
          <w:kern w:val="0"/>
          <w:sz w:val="28"/>
          <w:szCs w:val="28"/>
          <w14:ligatures w14:val="none"/>
        </w:rPr>
        <w:t>.</w:t>
      </w:r>
    </w:p>
    <w:p w14:paraId="26F21615"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lastRenderedPageBreak/>
        <w:t>دراسة الحجيلي (2024) بعنوان: "دور الذكاء الاصطناعي في تعزيز الابتكار في المملكة العربية السعودية: الفرص والتحديات</w:t>
      </w:r>
      <w:r w:rsidRPr="00502D23">
        <w:rPr>
          <w:rFonts w:ascii="Sakkal Majalla" w:eastAsia="Times New Roman" w:hAnsi="Sakkal Majalla" w:cs="Sakkal Majalla"/>
          <w:b/>
          <w:bCs/>
          <w:color w:val="000000" w:themeColor="text1"/>
          <w:kern w:val="0"/>
          <w:sz w:val="28"/>
          <w:szCs w:val="28"/>
          <w14:ligatures w14:val="none"/>
        </w:rPr>
        <w:t>"</w:t>
      </w:r>
    </w:p>
    <w:p w14:paraId="3045E1AC"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دور الذكاء الاصطناعي في تعزيز الابتكار بالمملكة العربية السعودية، مع تسليط الضوء على خمسة قطاعات رئيسية مستفيدة هي (التعليم، الحكومة، الصحة، الطاقة، النقل)، بالإضافة إلى قطاعات أخرى كالزراعة والخدمات المالية، في إطار رؤية السعودية 2030. واستخدمت الدراسة المنهج الوصفي التحليلي. وتوصلت نتائج الدراسة إلى أهمية الذكاء الاصطناعي في التنمية الاقتصادية والاجتماعية، مع وجود تحديات تتطلب استثمارات في البنية التحتية وتطوير المهارات. وأوصت الدراسة بتعزيز الشراكات وتطوير البرامج التدريبية وزيادة الوعي العام بفوائد الذكاء الاصطناعي لتحقيق أهداف رؤية 2030</w:t>
      </w:r>
      <w:r w:rsidRPr="00502D23">
        <w:rPr>
          <w:rFonts w:ascii="Sakkal Majalla" w:eastAsia="Times New Roman" w:hAnsi="Sakkal Majalla" w:cs="Sakkal Majalla"/>
          <w:color w:val="000000" w:themeColor="text1"/>
          <w:kern w:val="0"/>
          <w:sz w:val="28"/>
          <w:szCs w:val="28"/>
          <w14:ligatures w14:val="none"/>
        </w:rPr>
        <w:t>.</w:t>
      </w:r>
    </w:p>
    <w:p w14:paraId="0D66B2A9"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 العباس (2024) بعنوان: "دور القيادة الإبداعية في تعزيز مهارات التمكين والابتكار وإحداث التغيير لدى المهندسين في شركة أرامكو السعودية فرع منيفة</w:t>
      </w:r>
      <w:r w:rsidRPr="00502D23">
        <w:rPr>
          <w:rFonts w:ascii="Sakkal Majalla" w:eastAsia="Times New Roman" w:hAnsi="Sakkal Majalla" w:cs="Sakkal Majalla"/>
          <w:b/>
          <w:bCs/>
          <w:color w:val="000000" w:themeColor="text1"/>
          <w:kern w:val="0"/>
          <w:sz w:val="28"/>
          <w:szCs w:val="28"/>
          <w14:ligatures w14:val="none"/>
        </w:rPr>
        <w:t>"</w:t>
      </w:r>
    </w:p>
    <w:p w14:paraId="37E0B3B8"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هدفت الدراسة إلى استكشاف دور القيادة الإبداعية بأبعادها في تعزيز مهارات التمكين والابتكار وإحداث التغيير لدى المهندسين في شركة أرامكو السعودية فرع منيفة. واستخدمت الدراسة المنهج الوصفي المقطعي، وتكون مجتمع الدراسة من جميع المهندسين في فرع منيفة وعددهم (220) مهندساً باستخدام أسلوب الحصر الشامل، واستخدمت الاستبانة الإلكترونية عبر جوجل فورم لجمع البيانات وتم تحليلها باستخدام برنامج </w:t>
      </w:r>
      <w:r w:rsidRPr="00502D23">
        <w:rPr>
          <w:rFonts w:ascii="Sakkal Majalla" w:eastAsia="Times New Roman" w:hAnsi="Sakkal Majalla" w:cs="Sakkal Majalla"/>
          <w:color w:val="000000" w:themeColor="text1"/>
          <w:kern w:val="0"/>
          <w:sz w:val="28"/>
          <w:szCs w:val="28"/>
          <w14:ligatures w14:val="none"/>
        </w:rPr>
        <w:t xml:space="preserve">SPSS. </w:t>
      </w:r>
      <w:r w:rsidRPr="00502D23">
        <w:rPr>
          <w:rFonts w:ascii="Sakkal Majalla" w:eastAsia="Times New Roman" w:hAnsi="Sakkal Majalla" w:cs="Sakkal Majalla"/>
          <w:color w:val="000000" w:themeColor="text1"/>
          <w:kern w:val="0"/>
          <w:sz w:val="28"/>
          <w:szCs w:val="28"/>
          <w:rtl/>
          <w14:ligatures w14:val="none"/>
        </w:rPr>
        <w:t>وتوصلت نتائج الدراسة إلى وجود علاقة وثيقة بين القيادة الإبداعية وتعزيز التمكين والابتكار والتغيير في سياق شركة أرامكو السعودية. وأوصت الدراسة بتعزيز ممارسات القيادة الإبداعية وتنمية مهارات القيادة بين المهندسين لتعزيز القدرة التنافسية للشركة</w:t>
      </w:r>
      <w:r w:rsidRPr="00502D23">
        <w:rPr>
          <w:rFonts w:ascii="Sakkal Majalla" w:eastAsia="Times New Roman" w:hAnsi="Sakkal Majalla" w:cs="Sakkal Majalla"/>
          <w:color w:val="000000" w:themeColor="text1"/>
          <w:kern w:val="0"/>
          <w:sz w:val="28"/>
          <w:szCs w:val="28"/>
          <w14:ligatures w14:val="none"/>
        </w:rPr>
        <w:t>.</w:t>
      </w:r>
    </w:p>
    <w:p w14:paraId="47A8C6CF" w14:textId="5B75F866" w:rsidR="00982488" w:rsidRPr="00502D23" w:rsidRDefault="000B7AE0" w:rsidP="005C73E0">
      <w:pPr>
        <w:pStyle w:val="ListParagraph"/>
        <w:numPr>
          <w:ilvl w:val="0"/>
          <w:numId w:val="12"/>
        </w:numPr>
        <w:spacing w:before="100" w:beforeAutospacing="1" w:after="100" w:afterAutospacing="1"/>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br w:type="page"/>
      </w:r>
      <w:r w:rsidR="00982488" w:rsidRPr="00502D23">
        <w:rPr>
          <w:rFonts w:ascii="Sakkal Majalla" w:eastAsia="Times New Roman" w:hAnsi="Sakkal Majalla" w:cs="Sakkal Majalla"/>
          <w:b/>
          <w:bCs/>
          <w:color w:val="000000" w:themeColor="text1"/>
          <w:kern w:val="0"/>
          <w:sz w:val="28"/>
          <w:szCs w:val="28"/>
          <w:rtl/>
          <w14:ligatures w14:val="none"/>
        </w:rPr>
        <w:lastRenderedPageBreak/>
        <w:t>دراسة</w:t>
      </w:r>
      <w:r w:rsidR="00982488" w:rsidRPr="00502D23">
        <w:rPr>
          <w:rFonts w:ascii="Sakkal Majalla" w:eastAsia="Times New Roman" w:hAnsi="Sakkal Majalla" w:cs="Sakkal Majalla"/>
          <w:b/>
          <w:bCs/>
          <w:color w:val="000000" w:themeColor="text1"/>
          <w:kern w:val="0"/>
          <w:sz w:val="28"/>
          <w:szCs w:val="28"/>
          <w14:ligatures w14:val="none"/>
        </w:rPr>
        <w:t xml:space="preserve"> </w:t>
      </w:r>
      <w:proofErr w:type="spellStart"/>
      <w:r w:rsidR="00982488" w:rsidRPr="00502D23">
        <w:rPr>
          <w:rFonts w:ascii="Sakkal Majalla" w:eastAsia="Times New Roman" w:hAnsi="Sakkal Majalla" w:cs="Sakkal Majalla"/>
          <w:b/>
          <w:bCs/>
          <w:color w:val="000000" w:themeColor="text1"/>
          <w:kern w:val="0"/>
          <w:sz w:val="28"/>
          <w:szCs w:val="28"/>
          <w14:ligatures w14:val="none"/>
        </w:rPr>
        <w:t>Malibari</w:t>
      </w:r>
      <w:proofErr w:type="spellEnd"/>
      <w:r w:rsidR="00982488" w:rsidRPr="00502D23">
        <w:rPr>
          <w:rFonts w:ascii="Sakkal Majalla" w:eastAsia="Times New Roman" w:hAnsi="Sakkal Majalla" w:cs="Sakkal Majalla"/>
          <w:b/>
          <w:bCs/>
          <w:color w:val="000000" w:themeColor="text1"/>
          <w:kern w:val="0"/>
          <w:sz w:val="28"/>
          <w:szCs w:val="28"/>
          <w14:ligatures w14:val="none"/>
        </w:rPr>
        <w:t xml:space="preserve"> &amp; </w:t>
      </w:r>
      <w:proofErr w:type="spellStart"/>
      <w:r w:rsidR="00982488" w:rsidRPr="00502D23">
        <w:rPr>
          <w:rFonts w:ascii="Sakkal Majalla" w:eastAsia="Times New Roman" w:hAnsi="Sakkal Majalla" w:cs="Sakkal Majalla"/>
          <w:b/>
          <w:bCs/>
          <w:color w:val="000000" w:themeColor="text1"/>
          <w:kern w:val="0"/>
          <w:sz w:val="28"/>
          <w:szCs w:val="28"/>
          <w14:ligatures w14:val="none"/>
        </w:rPr>
        <w:t>Bajaba</w:t>
      </w:r>
      <w:proofErr w:type="spellEnd"/>
      <w:r w:rsidR="00982488" w:rsidRPr="00502D23">
        <w:rPr>
          <w:rFonts w:ascii="Sakkal Majalla" w:eastAsia="Times New Roman" w:hAnsi="Sakkal Majalla" w:cs="Sakkal Majalla"/>
          <w:b/>
          <w:bCs/>
          <w:color w:val="000000" w:themeColor="text1"/>
          <w:kern w:val="0"/>
          <w:sz w:val="28"/>
          <w:szCs w:val="28"/>
          <w14:ligatures w14:val="none"/>
        </w:rPr>
        <w:t xml:space="preserve"> (2022) </w:t>
      </w:r>
      <w:r w:rsidR="00982488" w:rsidRPr="00502D23">
        <w:rPr>
          <w:rFonts w:ascii="Sakkal Majalla" w:eastAsia="Times New Roman" w:hAnsi="Sakkal Majalla" w:cs="Sakkal Majalla"/>
          <w:b/>
          <w:bCs/>
          <w:color w:val="000000" w:themeColor="text1"/>
          <w:kern w:val="0"/>
          <w:sz w:val="28"/>
          <w:szCs w:val="28"/>
          <w:rtl/>
          <w14:ligatures w14:val="none"/>
        </w:rPr>
        <w:t>بعنوان</w:t>
      </w:r>
      <w:r w:rsidR="00982488" w:rsidRPr="00502D23">
        <w:rPr>
          <w:rFonts w:ascii="Sakkal Majalla" w:eastAsia="Times New Roman" w:hAnsi="Sakkal Majalla" w:cs="Sakkal Majalla"/>
          <w:b/>
          <w:bCs/>
          <w:color w:val="000000" w:themeColor="text1"/>
          <w:kern w:val="0"/>
          <w:sz w:val="28"/>
          <w:szCs w:val="28"/>
          <w14:ligatures w14:val="none"/>
        </w:rPr>
        <w:t>: "Entrepreneurial Leadership and Employees' Innovative Behavior: A Sequential Mediation Analysis of Innovation Climate and Employees' Intellectual Agility"</w:t>
      </w:r>
    </w:p>
    <w:p w14:paraId="30DFCFA9"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القيادة الريادية على السلوك الابتكاري للموظفين من خلال التحليل الوسيط التتابعي لمناخ الابتكار والرشاقة الفكرية للموظفين. واستخدمت الدراسة المنهج الكمي، وتكونت العينة من موظفين في مؤسسات مختلفة. وتوصلت نتائج الدراسة إلى أن القيادة الريادية تؤثر بشكل معنوي على السلوك الابتكاري للموظفين من خلال مناخ الابتكار والرشاقة الفكرية، حيث يُنشئ القادة الرياديون مناخاً ملائماً للابتكار لا يُمكّن المرؤوسين فحسب بل يحفزهم أيضاً على تبني سلوكيات ابتكارية. وأوصت الدراسة بضرورة تعزيز مناخ الابتكار وتطوير الرشاقة الفكرية لدى الموظفين لدعم السلوك الابتكاري</w:t>
      </w:r>
      <w:r w:rsidRPr="00502D23">
        <w:rPr>
          <w:rFonts w:ascii="Sakkal Majalla" w:eastAsia="Times New Roman" w:hAnsi="Sakkal Majalla" w:cs="Sakkal Majalla"/>
          <w:color w:val="000000" w:themeColor="text1"/>
          <w:kern w:val="0"/>
          <w:sz w:val="28"/>
          <w:szCs w:val="28"/>
          <w14:ligatures w14:val="none"/>
        </w:rPr>
        <w:t>.</w:t>
      </w:r>
    </w:p>
    <w:p w14:paraId="300365E6" w14:textId="77777777" w:rsidR="00982488" w:rsidRPr="00502D23" w:rsidRDefault="00982488" w:rsidP="005C73E0">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دراسة</w:t>
      </w:r>
      <w:r w:rsidRPr="00502D23">
        <w:rPr>
          <w:rFonts w:ascii="Sakkal Majalla" w:eastAsia="Times New Roman" w:hAnsi="Sakkal Majalla" w:cs="Sakkal Majalla"/>
          <w:b/>
          <w:bCs/>
          <w:color w:val="000000" w:themeColor="text1"/>
          <w:kern w:val="0"/>
          <w:sz w:val="28"/>
          <w:szCs w:val="28"/>
          <w14:ligatures w14:val="none"/>
        </w:rPr>
        <w:t xml:space="preserve"> Pasha et al. (2022) </w:t>
      </w:r>
      <w:r w:rsidRPr="00502D23">
        <w:rPr>
          <w:rFonts w:ascii="Sakkal Majalla" w:eastAsia="Times New Roman" w:hAnsi="Sakkal Majalla" w:cs="Sakkal Majalla"/>
          <w:b/>
          <w:bCs/>
          <w:color w:val="000000" w:themeColor="text1"/>
          <w:kern w:val="0"/>
          <w:sz w:val="28"/>
          <w:szCs w:val="28"/>
          <w:rtl/>
          <w14:ligatures w14:val="none"/>
        </w:rPr>
        <w:t>بعنوان</w:t>
      </w:r>
      <w:r w:rsidRPr="00502D23">
        <w:rPr>
          <w:rFonts w:ascii="Sakkal Majalla" w:eastAsia="Times New Roman" w:hAnsi="Sakkal Majalla" w:cs="Sakkal Majalla"/>
          <w:b/>
          <w:bCs/>
          <w:color w:val="000000" w:themeColor="text1"/>
          <w:kern w:val="0"/>
          <w:sz w:val="28"/>
          <w:szCs w:val="28"/>
          <w14:ligatures w14:val="none"/>
        </w:rPr>
        <w:t xml:space="preserve">: "Fostering Innovative Work </w:t>
      </w:r>
      <w:proofErr w:type="spellStart"/>
      <w:r w:rsidRPr="00502D23">
        <w:rPr>
          <w:rFonts w:ascii="Sakkal Majalla" w:eastAsia="Times New Roman" w:hAnsi="Sakkal Majalla" w:cs="Sakkal Majalla"/>
          <w:b/>
          <w:bCs/>
          <w:color w:val="000000" w:themeColor="text1"/>
          <w:kern w:val="0"/>
          <w:sz w:val="28"/>
          <w:szCs w:val="28"/>
          <w14:ligatures w14:val="none"/>
        </w:rPr>
        <w:t>Behaviour</w:t>
      </w:r>
      <w:proofErr w:type="spellEnd"/>
      <w:r w:rsidRPr="00502D23">
        <w:rPr>
          <w:rFonts w:ascii="Sakkal Majalla" w:eastAsia="Times New Roman" w:hAnsi="Sakkal Majalla" w:cs="Sakkal Majalla"/>
          <w:b/>
          <w:bCs/>
          <w:color w:val="000000" w:themeColor="text1"/>
          <w:kern w:val="0"/>
          <w:sz w:val="28"/>
          <w:szCs w:val="28"/>
          <w14:ligatures w14:val="none"/>
        </w:rPr>
        <w:t xml:space="preserve"> in SMEs Exploring </w:t>
      </w:r>
      <w:proofErr w:type="spellStart"/>
      <w:r w:rsidRPr="00502D23">
        <w:rPr>
          <w:rFonts w:ascii="Sakkal Majalla" w:eastAsia="Times New Roman" w:hAnsi="Sakkal Majalla" w:cs="Sakkal Majalla"/>
          <w:b/>
          <w:bCs/>
          <w:color w:val="000000" w:themeColor="text1"/>
          <w:kern w:val="0"/>
          <w:sz w:val="28"/>
          <w:szCs w:val="28"/>
          <w14:ligatures w14:val="none"/>
        </w:rPr>
        <w:t>Ecopreneurship</w:t>
      </w:r>
      <w:proofErr w:type="spellEnd"/>
      <w:r w:rsidRPr="00502D23">
        <w:rPr>
          <w:rFonts w:ascii="Sakkal Majalla" w:eastAsia="Times New Roman" w:hAnsi="Sakkal Majalla" w:cs="Sakkal Majalla"/>
          <w:b/>
          <w:bCs/>
          <w:color w:val="000000" w:themeColor="text1"/>
          <w:kern w:val="0"/>
          <w:sz w:val="28"/>
          <w:szCs w:val="28"/>
          <w14:ligatures w14:val="none"/>
        </w:rPr>
        <w:t xml:space="preserve"> Perspective"</w:t>
      </w:r>
    </w:p>
    <w:p w14:paraId="0D6903E5" w14:textId="77777777" w:rsidR="00982488" w:rsidRPr="00502D23" w:rsidRDefault="0098248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هدفت الدراسة إلى التعرف على أثر ريادة الأعمال البيئية</w:t>
      </w:r>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Ecopreneurship</w:t>
      </w:r>
      <w:proofErr w:type="spellEnd"/>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على سلوك العمل الابتكاري في المؤسسات الصغيرة والمتوسطة في باكستان، مع تحليل الدور الوسيط للكفاءة الذاتية الإبداعية. واستخدمت الدراسة المنهج الكمي، وتكونت العينة من موظفين في المؤسسات الصغيرة والمتوسطة الباكستانية. وتوصلت نتائج الدراسة إلى أن ريادة الأعمال البيئية تؤثر إيجابياً على سلوك العمل الابتكاري، وأن الكفاءة الذاتية الإبداعية تتوسط هذه العلاقة، حيث إن التوجه البيئي الريادي يعزز ثقة الموظفين في قدراتهم الإبداعية مما ينعكس على سلوكياتهم الابتكارية في العمل. وأوصت الدراسة بتبني منظور ريادة الأعمال البيئية في المؤسسات الصغيرة والمتوسطة وتعزيز الكفاءة الذاتية الإبداعية لتحفيز الابتكار</w:t>
      </w:r>
      <w:r w:rsidRPr="00502D23">
        <w:rPr>
          <w:rFonts w:ascii="Sakkal Majalla" w:eastAsia="Times New Roman" w:hAnsi="Sakkal Majalla" w:cs="Sakkal Majalla"/>
          <w:color w:val="000000" w:themeColor="text1"/>
          <w:kern w:val="0"/>
          <w:sz w:val="28"/>
          <w:szCs w:val="28"/>
          <w14:ligatures w14:val="none"/>
        </w:rPr>
        <w:t>.</w:t>
      </w:r>
    </w:p>
    <w:p w14:paraId="42B4432A" w14:textId="080B16F7" w:rsidR="000B7AE0" w:rsidRPr="00502D23" w:rsidRDefault="000B7AE0" w:rsidP="000B7AE0">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21" w:name="_Toc169790502"/>
      <w:bookmarkStart w:id="22" w:name="_Toc222935196"/>
      <w:bookmarkEnd w:id="18"/>
      <w:bookmarkEnd w:id="19"/>
      <w:r w:rsidRPr="00502D23">
        <w:rPr>
          <w:rFonts w:ascii="Sakkal Majalla" w:eastAsia="Times New Roman" w:hAnsi="Sakkal Majalla" w:cs="Sakkal Majalla"/>
          <w:b/>
          <w:bCs/>
          <w:color w:val="000000" w:themeColor="text1"/>
          <w:kern w:val="0"/>
          <w:sz w:val="36"/>
          <w:szCs w:val="36"/>
          <w:rtl/>
          <w14:ligatures w14:val="none"/>
        </w:rPr>
        <w:br w:type="page"/>
      </w:r>
      <w:bookmarkStart w:id="23" w:name="_Toc222955039"/>
      <w:r w:rsidRPr="00502D23">
        <w:rPr>
          <w:rFonts w:ascii="Sakkal Majalla" w:eastAsia="Times New Roman" w:hAnsi="Sakkal Majalla" w:cs="Sakkal Majalla" w:hint="cs"/>
          <w:b/>
          <w:bCs/>
          <w:color w:val="000000" w:themeColor="text1"/>
          <w:kern w:val="0"/>
          <w:sz w:val="36"/>
          <w:szCs w:val="36"/>
          <w:rtl/>
          <w14:ligatures w14:val="none"/>
        </w:rPr>
        <w:lastRenderedPageBreak/>
        <w:t xml:space="preserve">8.1 </w:t>
      </w:r>
      <w:r w:rsidRPr="00502D23">
        <w:rPr>
          <w:rFonts w:ascii="Sakkal Majalla" w:eastAsia="Times New Roman" w:hAnsi="Sakkal Majalla" w:cs="Sakkal Majalla"/>
          <w:b/>
          <w:bCs/>
          <w:color w:val="000000" w:themeColor="text1"/>
          <w:kern w:val="0"/>
          <w:sz w:val="36"/>
          <w:szCs w:val="36"/>
          <w:rtl/>
          <w14:ligatures w14:val="none"/>
        </w:rPr>
        <w:t>الفجوة البحثية:</w:t>
      </w:r>
      <w:bookmarkEnd w:id="23"/>
    </w:p>
    <w:p w14:paraId="3BAD8F4E" w14:textId="02CB90BE" w:rsidR="000B7AE0" w:rsidRPr="00502D23" w:rsidRDefault="000B7AE0"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02D23">
        <w:rPr>
          <w:rFonts w:ascii="Sakkal Majalla" w:eastAsia="Times New Roman" w:hAnsi="Sakkal Majalla" w:cs="Sakkal Majalla"/>
          <w:color w:val="000000" w:themeColor="text1"/>
          <w:kern w:val="0"/>
          <w:sz w:val="28"/>
          <w:szCs w:val="28"/>
          <w:rtl/>
          <w14:ligatures w14:val="none"/>
        </w:rPr>
        <w:t xml:space="preserve">من خلال استعراض الدراسات السابقة وتحليلها، يتضح أن الدراسة الحالية تتفق مع عدد من هذه الدراسات في جوانب متعددة، إذ تتفق مع دراسة الخصاونة (2021) ودراسة الرشيدي (2025) ودراسة </w:t>
      </w:r>
      <w:r w:rsidRPr="00502D23">
        <w:rPr>
          <w:rFonts w:ascii="Sakkal Majalla" w:eastAsia="Times New Roman" w:hAnsi="Sakkal Majalla" w:cs="Sakkal Majalla"/>
          <w:color w:val="000000" w:themeColor="text1"/>
          <w:kern w:val="0"/>
          <w:sz w:val="28"/>
          <w:szCs w:val="28"/>
          <w14:ligatures w14:val="none"/>
        </w:rPr>
        <w:t>Al-</w:t>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&amp; Khan</w:t>
      </w:r>
      <w:r w:rsidRPr="00502D23">
        <w:rPr>
          <w:rFonts w:ascii="Sakkal Majalla" w:eastAsia="Times New Roman" w:hAnsi="Sakkal Majalla" w:cs="Sakkal Majalla"/>
          <w:color w:val="000000" w:themeColor="text1"/>
          <w:kern w:val="0"/>
          <w:sz w:val="28"/>
          <w:szCs w:val="28"/>
          <w:rtl/>
          <w14:ligatures w14:val="none"/>
        </w:rPr>
        <w:t xml:space="preserve"> (2025) ودراسة </w:t>
      </w:r>
      <w:r w:rsidRPr="00502D23">
        <w:rPr>
          <w:rFonts w:ascii="Sakkal Majalla" w:eastAsia="Times New Roman" w:hAnsi="Sakkal Majalla" w:cs="Sakkal Majalla"/>
          <w:color w:val="000000" w:themeColor="text1"/>
          <w:kern w:val="0"/>
          <w:sz w:val="28"/>
          <w:szCs w:val="28"/>
          <w14:ligatures w14:val="none"/>
        </w:rPr>
        <w:t>Karimi et al</w:t>
      </w:r>
      <w:r w:rsidRPr="00502D23">
        <w:rPr>
          <w:rFonts w:ascii="Sakkal Majalla" w:eastAsia="Times New Roman" w:hAnsi="Sakkal Majalla" w:cs="Sakkal Majalla"/>
          <w:color w:val="000000" w:themeColor="text1"/>
          <w:kern w:val="0"/>
          <w:sz w:val="28"/>
          <w:szCs w:val="28"/>
          <w:rtl/>
          <w14:ligatures w14:val="none"/>
        </w:rPr>
        <w:t xml:space="preserve">. (2023) في تناول القيادة التحويلية كمتغير مستقل رئيسي والاعتماد على أبعادها الأربعة المستمدة من نموذج باس وأفوليو (التأثير المثالي، الحفز الإلهامي، الاستثارة الفكرية، الاعتبار الفردي)، كما تتفق مع دراسة القضاة والنسور والشوابكة (2020) ودراسة مسلتي وبونويرة (2022) ودراسة العبيسي والشعار (2020) ودراسة </w:t>
      </w:r>
      <w:r w:rsidRPr="00502D23">
        <w:rPr>
          <w:rFonts w:ascii="Sakkal Majalla" w:eastAsia="Times New Roman" w:hAnsi="Sakkal Majalla" w:cs="Sakkal Majalla"/>
          <w:color w:val="000000" w:themeColor="text1"/>
          <w:kern w:val="0"/>
          <w:sz w:val="28"/>
          <w:szCs w:val="28"/>
          <w14:ligatures w14:val="none"/>
        </w:rPr>
        <w:t>Pasha et al</w:t>
      </w:r>
      <w:r w:rsidRPr="00502D23">
        <w:rPr>
          <w:rFonts w:ascii="Sakkal Majalla" w:eastAsia="Times New Roman" w:hAnsi="Sakkal Majalla" w:cs="Sakkal Majalla"/>
          <w:color w:val="000000" w:themeColor="text1"/>
          <w:kern w:val="0"/>
          <w:sz w:val="28"/>
          <w:szCs w:val="28"/>
          <w:rtl/>
          <w14:ligatures w14:val="none"/>
        </w:rPr>
        <w:t xml:space="preserve">. (2022) ودراسة </w:t>
      </w:r>
      <w:proofErr w:type="spellStart"/>
      <w:r w:rsidRPr="00502D23">
        <w:rPr>
          <w:rFonts w:ascii="Sakkal Majalla" w:eastAsia="Times New Roman" w:hAnsi="Sakkal Majalla" w:cs="Sakkal Majalla"/>
          <w:color w:val="000000" w:themeColor="text1"/>
          <w:kern w:val="0"/>
          <w:sz w:val="28"/>
          <w:szCs w:val="28"/>
          <w14:ligatures w14:val="none"/>
        </w:rPr>
        <w:t>Malibari</w:t>
      </w:r>
      <w:proofErr w:type="spellEnd"/>
      <w:r w:rsidRPr="00502D23">
        <w:rPr>
          <w:rFonts w:ascii="Sakkal Majalla" w:eastAsia="Times New Roman" w:hAnsi="Sakkal Majalla" w:cs="Sakkal Majalla"/>
          <w:color w:val="000000" w:themeColor="text1"/>
          <w:kern w:val="0"/>
          <w:sz w:val="28"/>
          <w:szCs w:val="28"/>
          <w14:ligatures w14:val="none"/>
        </w:rPr>
        <w:t xml:space="preserve"> &amp; </w:t>
      </w:r>
      <w:proofErr w:type="spellStart"/>
      <w:r w:rsidRPr="00502D23">
        <w:rPr>
          <w:rFonts w:ascii="Sakkal Majalla" w:eastAsia="Times New Roman" w:hAnsi="Sakkal Majalla" w:cs="Sakkal Majalla"/>
          <w:color w:val="000000" w:themeColor="text1"/>
          <w:kern w:val="0"/>
          <w:sz w:val="28"/>
          <w:szCs w:val="28"/>
          <w14:ligatures w14:val="none"/>
        </w:rPr>
        <w:t>Bajaba</w:t>
      </w:r>
      <w:proofErr w:type="spellEnd"/>
      <w:r w:rsidRPr="00502D23">
        <w:rPr>
          <w:rFonts w:ascii="Sakkal Majalla" w:eastAsia="Times New Roman" w:hAnsi="Sakkal Majalla" w:cs="Sakkal Majalla"/>
          <w:color w:val="000000" w:themeColor="text1"/>
          <w:kern w:val="0"/>
          <w:sz w:val="28"/>
          <w:szCs w:val="28"/>
          <w:rtl/>
          <w14:ligatures w14:val="none"/>
        </w:rPr>
        <w:t xml:space="preserve"> (2022) في تناول الابتكار بأبعاده المختلفة كمتغير تابع والتأكيد على أهميته الاستراتيجية في تعزيز الأداء المؤسسي والتنافسية. وتتفق أيضاً مع معظم الدراسات السابقة في استخدام المنهج الوصفي التحليلي والاعتماد على الاستبانة كأداة رئيسية لجمع البيانات وتوظيف الأساليب الإحصائية الوصفية والاستدلالية في تحليلها، فضلاً عن الاتفاق في التأصيل النظري لمفهومي القيادة التحويلية والابتكار والتأكيد على العلاقة الإيجابية بينهما.</w:t>
      </w:r>
    </w:p>
    <w:p w14:paraId="0C5F7623" w14:textId="77777777" w:rsidR="000B7AE0" w:rsidRPr="00502D23" w:rsidRDefault="000B7AE0"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02D23">
        <w:rPr>
          <w:rFonts w:ascii="Sakkal Majalla" w:eastAsia="Times New Roman" w:hAnsi="Sakkal Majalla" w:cs="Sakkal Majalla"/>
          <w:color w:val="000000" w:themeColor="text1"/>
          <w:kern w:val="0"/>
          <w:sz w:val="28"/>
          <w:szCs w:val="28"/>
          <w:rtl/>
          <w14:ligatures w14:val="none"/>
        </w:rPr>
        <w:t xml:space="preserve">بيد أن الدراسة الحالية تختلف عن الدراسات السابقة وتتميز عنها في عدة جوانب تُشكّل في مجملها الفجوة البحثية التي تسعى لسدها، فمن حيث بيئة التطبيق تختلف عن دراسة الخصاونة (2021) ودراسة الجرايدة والعون (2021) اللتين طُبقتا في البيئة الأردنية، وعن دراسة السعيدي (2020) التي طُبقت في البيئة العراقية، وعن دراسة الرشيدي (2025) التي طُبقت في البيئة الكويتية، وعن دراسة عبدالقادر (2025) التي طُبقت في إقليم كردستان، وعن دراسة </w:t>
      </w:r>
      <w:r w:rsidRPr="00502D23">
        <w:rPr>
          <w:rFonts w:ascii="Sakkal Majalla" w:eastAsia="Times New Roman" w:hAnsi="Sakkal Majalla" w:cs="Sakkal Majalla"/>
          <w:color w:val="000000" w:themeColor="text1"/>
          <w:kern w:val="0"/>
          <w:sz w:val="28"/>
          <w:szCs w:val="28"/>
          <w14:ligatures w14:val="none"/>
        </w:rPr>
        <w:t>Al-</w:t>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&amp; Khan</w:t>
      </w:r>
      <w:r w:rsidRPr="00502D23">
        <w:rPr>
          <w:rFonts w:ascii="Sakkal Majalla" w:eastAsia="Times New Roman" w:hAnsi="Sakkal Majalla" w:cs="Sakkal Majalla"/>
          <w:color w:val="000000" w:themeColor="text1"/>
          <w:kern w:val="0"/>
          <w:sz w:val="28"/>
          <w:szCs w:val="28"/>
          <w:rtl/>
          <w14:ligatures w14:val="none"/>
        </w:rPr>
        <w:t xml:space="preserve"> (2025) التي طُبقت في سلطنة عُمان، وعن دراسة </w:t>
      </w:r>
      <w:r w:rsidRPr="00502D23">
        <w:rPr>
          <w:rFonts w:ascii="Sakkal Majalla" w:eastAsia="Times New Roman" w:hAnsi="Sakkal Majalla" w:cs="Sakkal Majalla"/>
          <w:color w:val="000000" w:themeColor="text1"/>
          <w:kern w:val="0"/>
          <w:sz w:val="28"/>
          <w:szCs w:val="28"/>
          <w14:ligatures w14:val="none"/>
        </w:rPr>
        <w:t>Karimi et al</w:t>
      </w:r>
      <w:r w:rsidRPr="00502D23">
        <w:rPr>
          <w:rFonts w:ascii="Sakkal Majalla" w:eastAsia="Times New Roman" w:hAnsi="Sakkal Majalla" w:cs="Sakkal Majalla"/>
          <w:color w:val="000000" w:themeColor="text1"/>
          <w:kern w:val="0"/>
          <w:sz w:val="28"/>
          <w:szCs w:val="28"/>
          <w:rtl/>
          <w14:ligatures w14:val="none"/>
        </w:rPr>
        <w:t xml:space="preserve">. (2023) التي طُبقت في إيران، في حين تُطبق الدراسة الحالية في بيئة المؤسسات الصغيرة والمتوسطة في مدينة الرياض بالمملكة العربية السعودية. ومن حيث القطاع المستهدف، تختلف عن دراسة محمود (2025) التي ركزت على المستشفيات الجامعية وعن دراسة العباس (2024) التي استهدفت شركة أرامكو وعن دراسة الرشيدي (2025) التي طُبقت في القطاع الحكومي الأمني وعن دراسة </w:t>
      </w:r>
      <w:r w:rsidRPr="00502D23">
        <w:rPr>
          <w:rFonts w:ascii="Sakkal Majalla" w:eastAsia="Times New Roman" w:hAnsi="Sakkal Majalla" w:cs="Sakkal Majalla"/>
          <w:color w:val="000000" w:themeColor="text1"/>
          <w:kern w:val="0"/>
          <w:sz w:val="28"/>
          <w:szCs w:val="28"/>
          <w14:ligatures w14:val="none"/>
        </w:rPr>
        <w:t>Hoai, Hung, &amp; Nguyen</w:t>
      </w:r>
      <w:r w:rsidRPr="00502D23">
        <w:rPr>
          <w:rFonts w:ascii="Sakkal Majalla" w:eastAsia="Times New Roman" w:hAnsi="Sakkal Majalla" w:cs="Sakkal Majalla"/>
          <w:color w:val="000000" w:themeColor="text1"/>
          <w:kern w:val="0"/>
          <w:sz w:val="28"/>
          <w:szCs w:val="28"/>
          <w:rtl/>
          <w14:ligatures w14:val="none"/>
        </w:rPr>
        <w:t xml:space="preserve"> (2022) التي استهدفت منظمات القطاع العام، بينما تستهدف الدراسة الحالية المؤسسات الصغيرة والمتوسطة تحديداً وهو قطاع لم يحظَ بالاهتمام الكافي في الدراسات السابقة رغم </w:t>
      </w:r>
      <w:r w:rsidRPr="00502D23">
        <w:rPr>
          <w:rFonts w:ascii="Sakkal Majalla" w:eastAsia="Times New Roman" w:hAnsi="Sakkal Majalla" w:cs="Sakkal Majalla"/>
          <w:color w:val="000000" w:themeColor="text1"/>
          <w:kern w:val="0"/>
          <w:sz w:val="28"/>
          <w:szCs w:val="28"/>
          <w:rtl/>
          <w14:ligatures w14:val="none"/>
        </w:rPr>
        <w:lastRenderedPageBreak/>
        <w:t xml:space="preserve">أهميته المتزايدة. ومن حيث المتغيرات، تختلف عن الدراسات التي تناولت القيادة التحويلية كمتغير وسيط مثل دراسة الجرايدة والعون (2021) ودراسة السعيدي (2020)، وعن الدراسات التي ربطتها بمتغيرات تابعة مغايرة كجودة حياة العمل في دراسة الخصاونة (2021) والتطوير التنظيمي في دراسة الرشيدي (2025) والاندماج الوظيفي في دراسة </w:t>
      </w:r>
      <w:r w:rsidRPr="00502D23">
        <w:rPr>
          <w:rFonts w:ascii="Sakkal Majalla" w:eastAsia="Times New Roman" w:hAnsi="Sakkal Majalla" w:cs="Sakkal Majalla"/>
          <w:color w:val="000000" w:themeColor="text1"/>
          <w:kern w:val="0"/>
          <w:sz w:val="28"/>
          <w:szCs w:val="28"/>
          <w14:ligatures w14:val="none"/>
        </w:rPr>
        <w:t>Lai et al</w:t>
      </w:r>
      <w:r w:rsidRPr="00502D23">
        <w:rPr>
          <w:rFonts w:ascii="Sakkal Majalla" w:eastAsia="Times New Roman" w:hAnsi="Sakkal Majalla" w:cs="Sakkal Majalla"/>
          <w:color w:val="000000" w:themeColor="text1"/>
          <w:kern w:val="0"/>
          <w:sz w:val="28"/>
          <w:szCs w:val="28"/>
          <w:rtl/>
          <w14:ligatures w14:val="none"/>
        </w:rPr>
        <w:t>. (2020)، حيث تجمع الدراسة الحالية بين القيادة التحويلية كمتغير مستقل بأبعادها الأربعة والابتكار كمتغير تابع بأبعاده الأربعة (الابتكار في المنتجات والخدمات، الابتكار في العمليات، الابتكار التنظيمي، الابتكار التسويقي) في نموذج متكامل لم تتناوله الدراسات السابقة مجتمعاً في سياق المؤسسات الصغيرة والمتوسطة السعودية، مما يجعل هذه الدراسة إضافة نوعية تسد فجوة بحثية واضحة في الأدبيات العربية والسعودية تحديداً.</w:t>
      </w:r>
    </w:p>
    <w:p w14:paraId="4543C52D" w14:textId="0F9A7444" w:rsidR="000B7AE0" w:rsidRPr="00502D23" w:rsidRDefault="000B7AE0" w:rsidP="000B7AE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24" w:name="_Toc222955040"/>
      <w:r w:rsidRPr="00502D23">
        <w:rPr>
          <w:rFonts w:ascii="Sakkal Majalla" w:eastAsia="Times New Roman" w:hAnsi="Sakkal Majalla" w:cs="Sakkal Majalla" w:hint="cs"/>
          <w:b/>
          <w:bCs/>
          <w:color w:val="000000" w:themeColor="text1"/>
          <w:kern w:val="0"/>
          <w:sz w:val="36"/>
          <w:szCs w:val="36"/>
          <w:rtl/>
          <w14:ligatures w14:val="none"/>
        </w:rPr>
        <w:t xml:space="preserve">9.1 </w:t>
      </w:r>
      <w:r w:rsidRPr="00502D23">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24"/>
    </w:p>
    <w:p w14:paraId="50018657" w14:textId="53F02C7C" w:rsidR="000B7AE0" w:rsidRPr="00502D23" w:rsidRDefault="000B7AE0"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t>أولاً: القيادة التحويلية – الإطار المفاهيمي والنظري</w:t>
      </w:r>
    </w:p>
    <w:p w14:paraId="11597068"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يعود مفهوم القيادة التحويلية في جذوره الأولى إلى العالم جيمس ماكجريجور بيرنز</w:t>
      </w:r>
      <w:r w:rsidRPr="00502D23">
        <w:rPr>
          <w:rFonts w:ascii="Sakkal Majalla" w:eastAsia="Times New Roman" w:hAnsi="Sakkal Majalla" w:cs="Sakkal Majalla"/>
          <w:color w:val="000000" w:themeColor="text1"/>
          <w:kern w:val="0"/>
          <w:sz w:val="28"/>
          <w:szCs w:val="28"/>
          <w14:ligatures w14:val="none"/>
        </w:rPr>
        <w:t xml:space="preserve"> (Burns) </w:t>
      </w:r>
      <w:r w:rsidRPr="00502D23">
        <w:rPr>
          <w:rFonts w:ascii="Sakkal Majalla" w:eastAsia="Times New Roman" w:hAnsi="Sakkal Majalla" w:cs="Sakkal Majalla"/>
          <w:color w:val="000000" w:themeColor="text1"/>
          <w:kern w:val="0"/>
          <w:sz w:val="28"/>
          <w:szCs w:val="28"/>
          <w:rtl/>
          <w14:ligatures w14:val="none"/>
        </w:rPr>
        <w:t>الذي قدّمه عام 1978 في إطار دراسته للقيادة السياسية، حيث ميّز بين نمطين من القيادة: القيادة التبادلية التي تقوم على علاقات المنفعة المتبادلة بين القائد والأتباع، والقيادة التحويلية التي تتجاوز هذه العلاقة التبادلية لترتقي بدوافع الأتباع واحتياجاتهم إلى مستويات أعلى من الوعي والالتزام بالأهداف الجماعية. ثم جاء باس</w:t>
      </w:r>
      <w:r w:rsidRPr="00502D23">
        <w:rPr>
          <w:rFonts w:ascii="Sakkal Majalla" w:eastAsia="Times New Roman" w:hAnsi="Sakkal Majalla" w:cs="Sakkal Majalla"/>
          <w:color w:val="000000" w:themeColor="text1"/>
          <w:kern w:val="0"/>
          <w:sz w:val="28"/>
          <w:szCs w:val="28"/>
          <w14:ligatures w14:val="none"/>
        </w:rPr>
        <w:t xml:space="preserve"> (Bass) </w:t>
      </w:r>
      <w:r w:rsidRPr="00502D23">
        <w:rPr>
          <w:rFonts w:ascii="Sakkal Majalla" w:eastAsia="Times New Roman" w:hAnsi="Sakkal Majalla" w:cs="Sakkal Majalla"/>
          <w:color w:val="000000" w:themeColor="text1"/>
          <w:kern w:val="0"/>
          <w:sz w:val="28"/>
          <w:szCs w:val="28"/>
          <w:rtl/>
          <w14:ligatures w14:val="none"/>
        </w:rPr>
        <w:t>عام 1985 ليُطوّر هذا المفهوم ويُحوّله إلى نموذج إداري شامل قابل للقياس والتطبيق في البيئات التنظيمية المختلفة، مؤسساً بذلك ما أصبح يُعرف بنظرية القيادة التحويلية الكاملة</w:t>
      </w:r>
      <w:r w:rsidRPr="00502D23">
        <w:rPr>
          <w:rFonts w:ascii="Sakkal Majalla" w:eastAsia="Times New Roman" w:hAnsi="Sakkal Majalla" w:cs="Sakkal Majalla"/>
          <w:color w:val="000000" w:themeColor="text1"/>
          <w:kern w:val="0"/>
          <w:sz w:val="28"/>
          <w:szCs w:val="28"/>
          <w14:ligatures w14:val="none"/>
        </w:rPr>
        <w:t xml:space="preserve"> (Full Range Leadership Theory) </w:t>
      </w:r>
      <w:r w:rsidRPr="00502D23">
        <w:rPr>
          <w:rFonts w:ascii="Sakkal Majalla" w:eastAsia="Times New Roman" w:hAnsi="Sakkal Majalla" w:cs="Sakkal Majalla"/>
          <w:color w:val="000000" w:themeColor="text1"/>
          <w:kern w:val="0"/>
          <w:sz w:val="28"/>
          <w:szCs w:val="28"/>
          <w:rtl/>
          <w14:ligatures w14:val="none"/>
        </w:rPr>
        <w:t>التي طوّرها لاحقاً بالتعاون مع أفوليو</w:t>
      </w:r>
      <w:r w:rsidRPr="00502D23">
        <w:rPr>
          <w:rFonts w:ascii="Sakkal Majalla" w:eastAsia="Times New Roman" w:hAnsi="Sakkal Majalla" w:cs="Sakkal Majalla"/>
          <w:color w:val="000000" w:themeColor="text1"/>
          <w:kern w:val="0"/>
          <w:sz w:val="28"/>
          <w:szCs w:val="28"/>
          <w14:ligatures w14:val="none"/>
        </w:rPr>
        <w:t xml:space="preserve"> (Avolio) </w:t>
      </w:r>
      <w:r w:rsidRPr="00502D23">
        <w:rPr>
          <w:rFonts w:ascii="Sakkal Majalla" w:eastAsia="Times New Roman" w:hAnsi="Sakkal Majalla" w:cs="Sakkal Majalla"/>
          <w:color w:val="000000" w:themeColor="text1"/>
          <w:kern w:val="0"/>
          <w:sz w:val="28"/>
          <w:szCs w:val="28"/>
          <w:rtl/>
          <w14:ligatures w14:val="none"/>
        </w:rPr>
        <w:t>لتصبح من أكثر النظريات القيادية رسوخاً واستخداماً في البحث العلمي والممارسة الإدارية</w:t>
      </w:r>
      <w:r w:rsidRPr="00502D23">
        <w:rPr>
          <w:rFonts w:ascii="Sakkal Majalla" w:eastAsia="Times New Roman" w:hAnsi="Sakkal Majalla" w:cs="Sakkal Majalla"/>
          <w:color w:val="000000" w:themeColor="text1"/>
          <w:kern w:val="0"/>
          <w:sz w:val="28"/>
          <w:szCs w:val="28"/>
          <w14:ligatures w14:val="none"/>
        </w:rPr>
        <w:t xml:space="preserve"> (Lai, Tang, Lu, Lee, &amp; Lin, 2020).</w:t>
      </w:r>
    </w:p>
    <w:p w14:paraId="2F39F536"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وتقوم نظرية القيادة التحويلية على أربعة أبعاد سلوكية مترابطة ومتكاملة تُعرف بالأبعاد الأربعة</w:t>
      </w:r>
      <w:r w:rsidRPr="00502D23">
        <w:rPr>
          <w:rFonts w:ascii="Sakkal Majalla" w:eastAsia="Times New Roman" w:hAnsi="Sakkal Majalla" w:cs="Sakkal Majalla"/>
          <w:color w:val="000000" w:themeColor="text1"/>
          <w:kern w:val="0"/>
          <w:sz w:val="28"/>
          <w:szCs w:val="28"/>
          <w14:ligatures w14:val="none"/>
        </w:rPr>
        <w:t xml:space="preserve"> (4I's). </w:t>
      </w:r>
      <w:r w:rsidRPr="00502D23">
        <w:rPr>
          <w:rFonts w:ascii="Sakkal Majalla" w:eastAsia="Times New Roman" w:hAnsi="Sakkal Majalla" w:cs="Sakkal Majalla"/>
          <w:color w:val="000000" w:themeColor="text1"/>
          <w:kern w:val="0"/>
          <w:sz w:val="28"/>
          <w:szCs w:val="28"/>
          <w:rtl/>
          <w14:ligatures w14:val="none"/>
        </w:rPr>
        <w:t>يتمثل البُعد الأول في التأثير المثالي</w:t>
      </w:r>
      <w:r w:rsidRPr="00502D23">
        <w:rPr>
          <w:rFonts w:ascii="Sakkal Majalla" w:eastAsia="Times New Roman" w:hAnsi="Sakkal Majalla" w:cs="Sakkal Majalla"/>
          <w:color w:val="000000" w:themeColor="text1"/>
          <w:kern w:val="0"/>
          <w:sz w:val="28"/>
          <w:szCs w:val="28"/>
          <w14:ligatures w14:val="none"/>
        </w:rPr>
        <w:t xml:space="preserve"> (Idealized Influence) </w:t>
      </w:r>
      <w:r w:rsidRPr="00502D23">
        <w:rPr>
          <w:rFonts w:ascii="Sakkal Majalla" w:eastAsia="Times New Roman" w:hAnsi="Sakkal Majalla" w:cs="Sakkal Majalla"/>
          <w:color w:val="000000" w:themeColor="text1"/>
          <w:kern w:val="0"/>
          <w:sz w:val="28"/>
          <w:szCs w:val="28"/>
          <w:rtl/>
          <w14:ligatures w14:val="none"/>
        </w:rPr>
        <w:t xml:space="preserve">الذي يُشير إلى قدرة القائد على أن يكون قدوة ونموذجاً أخلاقياً يُحتذى به من قبل مرؤوسيه، إذ يتحلى بمستويات عالية من النزاهة والمصداقية </w:t>
      </w:r>
      <w:r w:rsidRPr="00502D23">
        <w:rPr>
          <w:rFonts w:ascii="Sakkal Majalla" w:eastAsia="Times New Roman" w:hAnsi="Sakkal Majalla" w:cs="Sakkal Majalla"/>
          <w:color w:val="000000" w:themeColor="text1"/>
          <w:kern w:val="0"/>
          <w:sz w:val="28"/>
          <w:szCs w:val="28"/>
          <w:rtl/>
          <w14:ligatures w14:val="none"/>
        </w:rPr>
        <w:lastRenderedPageBreak/>
        <w:t>ويُقدّم مصلحة المنظمة والعاملين على مصلحته الشخصية، مما يُكسبه احترام الأتباع وثقتهم وإعجابهم ويدفعهم إلى التماهي معه والسعي لمحاكاة سلوكياته. ويتمثل البُعد الثاني في الحفز الإلهامي</w:t>
      </w:r>
      <w:r w:rsidRPr="00502D23">
        <w:rPr>
          <w:rFonts w:ascii="Sakkal Majalla" w:eastAsia="Times New Roman" w:hAnsi="Sakkal Majalla" w:cs="Sakkal Majalla"/>
          <w:color w:val="000000" w:themeColor="text1"/>
          <w:kern w:val="0"/>
          <w:sz w:val="28"/>
          <w:szCs w:val="28"/>
          <w14:ligatures w14:val="none"/>
        </w:rPr>
        <w:t xml:space="preserve"> (Inspirational Motivation) </w:t>
      </w:r>
      <w:r w:rsidRPr="00502D23">
        <w:rPr>
          <w:rFonts w:ascii="Sakkal Majalla" w:eastAsia="Times New Roman" w:hAnsi="Sakkal Majalla" w:cs="Sakkal Majalla"/>
          <w:color w:val="000000" w:themeColor="text1"/>
          <w:kern w:val="0"/>
          <w:sz w:val="28"/>
          <w:szCs w:val="28"/>
          <w:rtl/>
          <w14:ligatures w14:val="none"/>
        </w:rPr>
        <w:t xml:space="preserve">الذي يعكس قدرة القائد على صياغة رؤية مستقبلية واضحة وجذابة وإيصالها للعاملين بأسلوب تحفيزي يبعث فيهم الحماس والتفاؤل والإيمان بإمكانية تحقيق أهداف طموحة تتجاوز التوقعات المعتادة، فيخلق لديهم شعوراً بالمعنى والغاية في العمل الذي يؤدونه </w:t>
      </w:r>
      <w:r w:rsidRPr="00502D23">
        <w:rPr>
          <w:rFonts w:ascii="Sakkal Majalla" w:eastAsia="Times New Roman" w:hAnsi="Sakkal Majalla" w:cs="Sakkal Majalla"/>
          <w:color w:val="000000" w:themeColor="text1"/>
          <w:kern w:val="0"/>
          <w:sz w:val="28"/>
          <w:szCs w:val="28"/>
          <w14:ligatures w14:val="none"/>
        </w:rPr>
        <w:t>(</w:t>
      </w:r>
      <w:r w:rsidRPr="00502D23">
        <w:rPr>
          <w:rFonts w:ascii="Sakkal Majalla" w:eastAsia="Times New Roman" w:hAnsi="Sakkal Majalla" w:cs="Sakkal Majalla"/>
          <w:color w:val="000000" w:themeColor="text1"/>
          <w:kern w:val="0"/>
          <w:sz w:val="28"/>
          <w:szCs w:val="28"/>
          <w:rtl/>
          <w14:ligatures w14:val="none"/>
        </w:rPr>
        <w:t>الخصاونة، 2021</w:t>
      </w:r>
      <w:r w:rsidRPr="00502D23">
        <w:rPr>
          <w:rFonts w:ascii="Sakkal Majalla" w:eastAsia="Times New Roman" w:hAnsi="Sakkal Majalla" w:cs="Sakkal Majalla"/>
          <w:color w:val="000000" w:themeColor="text1"/>
          <w:kern w:val="0"/>
          <w:sz w:val="28"/>
          <w:szCs w:val="28"/>
          <w14:ligatures w14:val="none"/>
        </w:rPr>
        <w:t>).</w:t>
      </w:r>
    </w:p>
    <w:p w14:paraId="5D80F1A1"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أما البُعد الثالث فيتمثل في الاستثارة الفكرية</w:t>
      </w:r>
      <w:r w:rsidRPr="00502D23">
        <w:rPr>
          <w:rFonts w:ascii="Sakkal Majalla" w:eastAsia="Times New Roman" w:hAnsi="Sakkal Majalla" w:cs="Sakkal Majalla"/>
          <w:color w:val="000000" w:themeColor="text1"/>
          <w:kern w:val="0"/>
          <w:sz w:val="28"/>
          <w:szCs w:val="28"/>
          <w14:ligatures w14:val="none"/>
        </w:rPr>
        <w:t xml:space="preserve"> (Intellectual Stimulation) </w:t>
      </w:r>
      <w:r w:rsidRPr="00502D23">
        <w:rPr>
          <w:rFonts w:ascii="Sakkal Majalla" w:eastAsia="Times New Roman" w:hAnsi="Sakkal Majalla" w:cs="Sakkal Majalla"/>
          <w:color w:val="000000" w:themeColor="text1"/>
          <w:kern w:val="0"/>
          <w:sz w:val="28"/>
          <w:szCs w:val="28"/>
          <w:rtl/>
          <w14:ligatures w14:val="none"/>
        </w:rPr>
        <w:t>التي تُعبّر عن سلوكيات القائد التي تُشجع العاملين على التفكير النقدي والإبداعي وتحدي المسلمات والافتراضات القائمة وإعادة صياغة المشكلات والبحث عن حلول مبتكرة غير تقليدية، إذ يحرص القائد على تهيئة مناخ فكري يُقدّر التنوع في الأفكار ولا يُعاقب على الأخطاء بل يعتبرها فرصاً للتعلم والتطوير. ويتمثل البُعد الرابع في الاعتبار الفردي</w:t>
      </w:r>
      <w:r w:rsidRPr="00502D23">
        <w:rPr>
          <w:rFonts w:ascii="Sakkal Majalla" w:eastAsia="Times New Roman" w:hAnsi="Sakkal Majalla" w:cs="Sakkal Majalla"/>
          <w:color w:val="000000" w:themeColor="text1"/>
          <w:kern w:val="0"/>
          <w:sz w:val="28"/>
          <w:szCs w:val="28"/>
          <w14:ligatures w14:val="none"/>
        </w:rPr>
        <w:t xml:space="preserve"> (Individualized Consideration) </w:t>
      </w:r>
      <w:r w:rsidRPr="00502D23">
        <w:rPr>
          <w:rFonts w:ascii="Sakkal Majalla" w:eastAsia="Times New Roman" w:hAnsi="Sakkal Majalla" w:cs="Sakkal Majalla"/>
          <w:color w:val="000000" w:themeColor="text1"/>
          <w:kern w:val="0"/>
          <w:sz w:val="28"/>
          <w:szCs w:val="28"/>
          <w:rtl/>
          <w14:ligatures w14:val="none"/>
        </w:rPr>
        <w:t>الذي يُجسّد دور القائد كمُوجّه ومُرشد يهتم بالاحتياجات الفريدة لكل فرد من مرؤوسيه ويعمل على تطوير قدراتهم وإمكاناتهم من خلال التفويض والتدريب والتوجيه والاستماع الفعّال، مما يُعزز لديهم الشعور بالأمان النفسي والتقدير ويُحفزهم على تقديم أفضل ما لديهم</w:t>
      </w:r>
      <w:r w:rsidRPr="00502D23">
        <w:rPr>
          <w:rFonts w:ascii="Sakkal Majalla" w:eastAsia="Times New Roman" w:hAnsi="Sakkal Majalla" w:cs="Sakkal Majalla"/>
          <w:color w:val="000000" w:themeColor="text1"/>
          <w:kern w:val="0"/>
          <w:sz w:val="28"/>
          <w:szCs w:val="28"/>
          <w14:ligatures w14:val="none"/>
        </w:rPr>
        <w:t xml:space="preserve"> (Al-</w:t>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&amp; Khan, 2025).</w:t>
      </w:r>
    </w:p>
    <w:p w14:paraId="79A4FD95" w14:textId="1A5303C4" w:rsidR="000B7AE0" w:rsidRPr="00502D23" w:rsidRDefault="000B7AE0"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t>ثانياً: الابتكار – الإطار المفاهيمي والنظري</w:t>
      </w:r>
    </w:p>
    <w:p w14:paraId="6457BEF0"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يُمثل الابتكار أحد أكثر المفاهيم الإدارية ثراءً وتعدداً في الأبعاد والتعريفات، وقد تطور مفهومه عبر العقود من كونه مجرد اختراع أو تطوير تقني إلى مفهوم شامل يُغطي مختلف جوانب النشاط التنظيمي. ويمكن تعريف الابتكار في السياق التنظيمي بأنه عملية توليد وتبني وتطبيق أفكار أو أساليب أو منتجات أو خدمات جديدة أو محسّنة تُضيف قيمة للمنظمة وأصحاب المصلحة. وتتعدد النظريات التي تناولت الابتكار، من أبرزها نظرية الابتكار التنظيمي لشومبيتر</w:t>
      </w:r>
      <w:r w:rsidRPr="00502D23">
        <w:rPr>
          <w:rFonts w:ascii="Sakkal Majalla" w:eastAsia="Times New Roman" w:hAnsi="Sakkal Majalla" w:cs="Sakkal Majalla"/>
          <w:color w:val="000000" w:themeColor="text1"/>
          <w:kern w:val="0"/>
          <w:sz w:val="28"/>
          <w:szCs w:val="28"/>
          <w14:ligatures w14:val="none"/>
        </w:rPr>
        <w:t xml:space="preserve"> (Schumpeter) </w:t>
      </w:r>
      <w:r w:rsidRPr="00502D23">
        <w:rPr>
          <w:rFonts w:ascii="Sakkal Majalla" w:eastAsia="Times New Roman" w:hAnsi="Sakkal Majalla" w:cs="Sakkal Majalla"/>
          <w:color w:val="000000" w:themeColor="text1"/>
          <w:kern w:val="0"/>
          <w:sz w:val="28"/>
          <w:szCs w:val="28"/>
          <w:rtl/>
          <w14:ligatures w14:val="none"/>
        </w:rPr>
        <w:t>التي اعتبرت الابتكار المحرك الأساسي للتطور الاقتصادي والتدمير الخلاق، ونظرية انتشار الابتكار لروجرز</w:t>
      </w:r>
      <w:r w:rsidRPr="00502D23">
        <w:rPr>
          <w:rFonts w:ascii="Sakkal Majalla" w:eastAsia="Times New Roman" w:hAnsi="Sakkal Majalla" w:cs="Sakkal Majalla"/>
          <w:color w:val="000000" w:themeColor="text1"/>
          <w:kern w:val="0"/>
          <w:sz w:val="28"/>
          <w:szCs w:val="28"/>
          <w14:ligatures w14:val="none"/>
        </w:rPr>
        <w:t xml:space="preserve"> (Rogers) </w:t>
      </w:r>
      <w:r w:rsidRPr="00502D23">
        <w:rPr>
          <w:rFonts w:ascii="Sakkal Majalla" w:eastAsia="Times New Roman" w:hAnsi="Sakkal Majalla" w:cs="Sakkal Majalla"/>
          <w:color w:val="000000" w:themeColor="text1"/>
          <w:kern w:val="0"/>
          <w:sz w:val="28"/>
          <w:szCs w:val="28"/>
          <w:rtl/>
          <w14:ligatures w14:val="none"/>
        </w:rPr>
        <w:t>التي فسّرت كيفية انتشار الأفكار الجديدة وتبنيها داخل المنظمات والمجتمعات، فضلاً عن نظرية المنظمة المتعلمة لسينج</w:t>
      </w:r>
      <w:r w:rsidRPr="00502D23">
        <w:rPr>
          <w:rFonts w:ascii="Sakkal Majalla" w:eastAsia="Times New Roman" w:hAnsi="Sakkal Majalla" w:cs="Sakkal Majalla"/>
          <w:color w:val="000000" w:themeColor="text1"/>
          <w:kern w:val="0"/>
          <w:sz w:val="28"/>
          <w:szCs w:val="28"/>
          <w14:ligatures w14:val="none"/>
        </w:rPr>
        <w:t xml:space="preserve"> (Senge) </w:t>
      </w:r>
      <w:r w:rsidRPr="00502D23">
        <w:rPr>
          <w:rFonts w:ascii="Sakkal Majalla" w:eastAsia="Times New Roman" w:hAnsi="Sakkal Majalla" w:cs="Sakkal Majalla"/>
          <w:color w:val="000000" w:themeColor="text1"/>
          <w:kern w:val="0"/>
          <w:sz w:val="28"/>
          <w:szCs w:val="28"/>
          <w:rtl/>
          <w14:ligatures w14:val="none"/>
        </w:rPr>
        <w:t xml:space="preserve">التي ربطت بين التعلم التنظيمي المستمر والقدرة على الابتكار والتجديد </w:t>
      </w:r>
      <w:r w:rsidRPr="00502D23">
        <w:rPr>
          <w:rFonts w:ascii="Sakkal Majalla" w:eastAsia="Times New Roman" w:hAnsi="Sakkal Majalla" w:cs="Sakkal Majalla"/>
          <w:color w:val="000000" w:themeColor="text1"/>
          <w:kern w:val="0"/>
          <w:sz w:val="28"/>
          <w:szCs w:val="28"/>
          <w14:ligatures w14:val="none"/>
        </w:rPr>
        <w:t>(</w:t>
      </w:r>
      <w:r w:rsidRPr="00502D23">
        <w:rPr>
          <w:rFonts w:ascii="Sakkal Majalla" w:eastAsia="Times New Roman" w:hAnsi="Sakkal Majalla" w:cs="Sakkal Majalla"/>
          <w:color w:val="000000" w:themeColor="text1"/>
          <w:kern w:val="0"/>
          <w:sz w:val="28"/>
          <w:szCs w:val="28"/>
          <w:rtl/>
          <w14:ligatures w14:val="none"/>
        </w:rPr>
        <w:t>العمراوي، 2023</w:t>
      </w:r>
      <w:r w:rsidRPr="00502D23">
        <w:rPr>
          <w:rFonts w:ascii="Sakkal Majalla" w:eastAsia="Times New Roman" w:hAnsi="Sakkal Majalla" w:cs="Sakkal Majalla"/>
          <w:color w:val="000000" w:themeColor="text1"/>
          <w:kern w:val="0"/>
          <w:sz w:val="28"/>
          <w:szCs w:val="28"/>
          <w14:ligatures w14:val="none"/>
        </w:rPr>
        <w:t>).</w:t>
      </w:r>
    </w:p>
    <w:p w14:paraId="1544EDA8"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lastRenderedPageBreak/>
        <w:t xml:space="preserve">وتتنوع أبعاد الابتكار في المؤسسات لتشمل عدة أنماط متكاملة. يُعنى الابتكار في المنتجات والخدمات بتطوير وتقديم منتجات أو خدمات جديدة أو تحسين المنتجات والخدمات القائمة بما يُلبي احتياجات العملاء المتغيرة ويُعزز الموقع التنافسي للمؤسسة. أما الابتكار في العمليات فيُركز على استحداث أو تحسين الأساليب والتقنيات والإجراءات التشغيلية بهدف رفع الكفاءة وخفض التكاليف وتحسين جودة المخرجات. ويتمثل الابتكار التنظيمي في تبني هياكل تنظيمية وممارسات إدارية ونظم عمل جديدة تُعزز مرونة المؤسسة وقدرتها على التكيف مع المتغيرات البيئية. في حين يُعنى الابتكار التسويقي بتطوير أساليب واستراتيجيات تسويقية مبتكرة في التسعير والترويج والتوزيع والوصول إلى الأسواق المستهدفة (مسلتي وبونويرة، </w:t>
      </w:r>
      <w:r w:rsidRPr="00502D23">
        <w:rPr>
          <w:rFonts w:ascii="Sakkal Majalla" w:eastAsia="Times New Roman" w:hAnsi="Sakkal Majalla" w:cs="Sakkal Majalla"/>
          <w:color w:val="000000" w:themeColor="text1"/>
          <w:kern w:val="0"/>
          <w:sz w:val="28"/>
          <w:szCs w:val="28"/>
          <w14:ligatures w14:val="none"/>
        </w:rPr>
        <w:t>2022).</w:t>
      </w:r>
    </w:p>
    <w:p w14:paraId="41EEF59B" w14:textId="383CFD5F" w:rsidR="000B7AE0" w:rsidRPr="00502D23" w:rsidRDefault="000B7AE0"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t>ثالثاً: الأساس النظري للعلاقة بين القيادة التحويلية والابتكار</w:t>
      </w:r>
    </w:p>
    <w:p w14:paraId="03EB775B"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تتعدد المنطلقات النظرية التي تُفسّر العلاقة بين القيادة التحويلية والابتكار وتُقدم إطاراً تفسيرياً لآليات هذا التأثير. تُعد نظرية التبادل الاجتماعي</w:t>
      </w:r>
      <w:r w:rsidRPr="00502D23">
        <w:rPr>
          <w:rFonts w:ascii="Sakkal Majalla" w:eastAsia="Times New Roman" w:hAnsi="Sakkal Majalla" w:cs="Sakkal Majalla"/>
          <w:color w:val="000000" w:themeColor="text1"/>
          <w:kern w:val="0"/>
          <w:sz w:val="28"/>
          <w:szCs w:val="28"/>
          <w14:ligatures w14:val="none"/>
        </w:rPr>
        <w:t xml:space="preserve"> (Social Exchange Theory) </w:t>
      </w:r>
      <w:r w:rsidRPr="00502D23">
        <w:rPr>
          <w:rFonts w:ascii="Sakkal Majalla" w:eastAsia="Times New Roman" w:hAnsi="Sakkal Majalla" w:cs="Sakkal Majalla"/>
          <w:color w:val="000000" w:themeColor="text1"/>
          <w:kern w:val="0"/>
          <w:sz w:val="28"/>
          <w:szCs w:val="28"/>
          <w:rtl/>
          <w14:ligatures w14:val="none"/>
        </w:rPr>
        <w:t>من أبرز هذه النظريات، إذ ترى أن العلاقة بين القائد والمرؤوس تقوم على تبادلات اجتماعية تتجاوز الإطار التعاقدي الرسمي، فعندما يُقدم القائد التحويلي الدعم والتمكين والاهتمام لمرؤوسيه يشعرون بالالتزام الأدبي بالمبادلة، وتتجلى هذه المبادلة في بذل جهود استثنائية تشمل تقديم أفكار مبتكرة والانخراط في سلوكيات إبداعية تتجاوز المتطلبات الرسمية لوظائفهم</w:t>
      </w:r>
      <w:r w:rsidRPr="00502D23">
        <w:rPr>
          <w:rFonts w:ascii="Sakkal Majalla" w:eastAsia="Times New Roman" w:hAnsi="Sakkal Majalla" w:cs="Sakkal Majalla"/>
          <w:color w:val="000000" w:themeColor="text1"/>
          <w:kern w:val="0"/>
          <w:sz w:val="28"/>
          <w:szCs w:val="28"/>
          <w14:ligatures w14:val="none"/>
        </w:rPr>
        <w:t xml:space="preserve"> (Doan, Nguyen, &amp; Nguyen, 2020).</w:t>
      </w:r>
    </w:p>
    <w:p w14:paraId="7B4E83F8"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كما تُسهم نظرية التعلم الاجتماعي المعرفي </w:t>
      </w:r>
      <w:r w:rsidRPr="00502D23">
        <w:rPr>
          <w:rFonts w:ascii="Sakkal Majalla" w:eastAsia="Times New Roman" w:hAnsi="Sakkal Majalla" w:cs="Sakkal Majalla"/>
          <w:color w:val="000000" w:themeColor="text1"/>
          <w:kern w:val="0"/>
          <w:sz w:val="28"/>
          <w:szCs w:val="28"/>
          <w14:ligatures w14:val="none"/>
        </w:rPr>
        <w:t xml:space="preserve">(Social Cognitive Theory) </w:t>
      </w:r>
      <w:r w:rsidRPr="00502D23">
        <w:rPr>
          <w:rFonts w:ascii="Sakkal Majalla" w:eastAsia="Times New Roman" w:hAnsi="Sakkal Majalla" w:cs="Sakkal Majalla"/>
          <w:color w:val="000000" w:themeColor="text1"/>
          <w:kern w:val="0"/>
          <w:sz w:val="28"/>
          <w:szCs w:val="28"/>
          <w:rtl/>
          <w14:ligatures w14:val="none"/>
        </w:rPr>
        <w:t xml:space="preserve">لباندورا في تفسير هذه العلاقة، حيث تُشير إلى أن القائد التحويلي يؤثر في سلوكيات الأتباع الابتكارية من خلال آليتين رئيسيتين: أولاهما النمذجة السلوكية إذ يعمل القائد كنموذج يُجسد قيم الإبداع والتجديد فيتعلم الأتباع منه بالملاحظة والمحاكاة، وثانيتهما تعزيز الكفاءة الذاتية حيث يعمل القائد على بناء ثقة الأتباع بقدراتهم الإبداعية من خلال التشجيع والتفويض والدعم مما يُحفزهم على المبادرة والابتكار </w:t>
      </w:r>
      <w:r w:rsidRPr="00502D23">
        <w:rPr>
          <w:rFonts w:ascii="Sakkal Majalla" w:eastAsia="Times New Roman" w:hAnsi="Sakkal Majalla" w:cs="Sakkal Majalla"/>
          <w:color w:val="000000" w:themeColor="text1"/>
          <w:kern w:val="0"/>
          <w:sz w:val="28"/>
          <w:szCs w:val="28"/>
          <w14:ligatures w14:val="none"/>
        </w:rPr>
        <w:t xml:space="preserve">(Karimi et al., 2023). </w:t>
      </w:r>
      <w:r w:rsidRPr="00502D23">
        <w:rPr>
          <w:rFonts w:ascii="Sakkal Majalla" w:eastAsia="Times New Roman" w:hAnsi="Sakkal Majalla" w:cs="Sakkal Majalla"/>
          <w:color w:val="000000" w:themeColor="text1"/>
          <w:kern w:val="0"/>
          <w:sz w:val="28"/>
          <w:szCs w:val="28"/>
          <w:rtl/>
          <w14:ligatures w14:val="none"/>
        </w:rPr>
        <w:t>وتُقدم نظرية القدرات الديناميكية</w:t>
      </w:r>
      <w:r w:rsidRPr="00502D23">
        <w:rPr>
          <w:rFonts w:ascii="Sakkal Majalla" w:eastAsia="Times New Roman" w:hAnsi="Sakkal Majalla" w:cs="Sakkal Majalla"/>
          <w:color w:val="000000" w:themeColor="text1"/>
          <w:kern w:val="0"/>
          <w:sz w:val="28"/>
          <w:szCs w:val="28"/>
          <w14:ligatures w14:val="none"/>
        </w:rPr>
        <w:t xml:space="preserve"> (Dynamic Capabilities Theory) </w:t>
      </w:r>
      <w:r w:rsidRPr="00502D23">
        <w:rPr>
          <w:rFonts w:ascii="Sakkal Majalla" w:eastAsia="Times New Roman" w:hAnsi="Sakkal Majalla" w:cs="Sakkal Majalla"/>
          <w:color w:val="000000" w:themeColor="text1"/>
          <w:kern w:val="0"/>
          <w:sz w:val="28"/>
          <w:szCs w:val="28"/>
          <w:rtl/>
          <w14:ligatures w14:val="none"/>
        </w:rPr>
        <w:t xml:space="preserve">بُعداً تفسيرياً إضافياً، إذ تعتبر ثقافة الابتكار مورداً تنظيمياً قيّماً ونادراً يصعب تقليده ويُحقق ميزة تنافسية مستدامة، ويؤدي القائد التحويلي </w:t>
      </w:r>
      <w:r w:rsidRPr="00502D23">
        <w:rPr>
          <w:rFonts w:ascii="Sakkal Majalla" w:eastAsia="Times New Roman" w:hAnsi="Sakkal Majalla" w:cs="Sakkal Majalla"/>
          <w:color w:val="000000" w:themeColor="text1"/>
          <w:kern w:val="0"/>
          <w:sz w:val="28"/>
          <w:szCs w:val="28"/>
          <w:rtl/>
          <w14:ligatures w14:val="none"/>
        </w:rPr>
        <w:lastRenderedPageBreak/>
        <w:t>دور المهندس الرئيسي في بناء هذا المورد من خلال تشكيل الروتينيات التنظيمية والنماذج الذهنية التي تُعزز قدرة المنظمة على الابتكار المستمر والتكيف مع المتغيرات البيئية (الجرايدة والعون، 2021)</w:t>
      </w:r>
      <w:r w:rsidRPr="00502D23">
        <w:rPr>
          <w:rFonts w:ascii="Sakkal Majalla" w:eastAsia="Times New Roman" w:hAnsi="Sakkal Majalla" w:cs="Sakkal Majalla"/>
          <w:color w:val="000000" w:themeColor="text1"/>
          <w:kern w:val="0"/>
          <w:sz w:val="28"/>
          <w:szCs w:val="28"/>
          <w14:ligatures w14:val="none"/>
        </w:rPr>
        <w:t>.</w:t>
      </w:r>
    </w:p>
    <w:p w14:paraId="0E29BDDA" w14:textId="77777777" w:rsidR="00AC2BF8" w:rsidRPr="00502D23" w:rsidRDefault="00AC2BF8"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وأخيراً، تُقدم نظرية التمكين الهيكلي والنفسي إطاراً تكاملياً لفهم هذه العلاقة، حيث يعمل القائد التحويلي على تمكين العاملين هيكلياً من خلال توفير الموارد والمعلومات وفرص التطوير وصلاحيات اتخاذ القرار، وتمكينهم نفسياً من خلال تعزيز شعورهم بالمعنى والكفاءة والاستقلالية والتأثير، وهو ما يُهيئ الأرضية الخصبة لازدهار الابتكار بمختلف أبعاده داخل المؤسسة</w:t>
      </w:r>
      <w:r w:rsidRPr="00502D23">
        <w:rPr>
          <w:rFonts w:ascii="Sakkal Majalla" w:eastAsia="Times New Roman" w:hAnsi="Sakkal Majalla" w:cs="Sakkal Majalla"/>
          <w:color w:val="000000" w:themeColor="text1"/>
          <w:kern w:val="0"/>
          <w:sz w:val="28"/>
          <w:szCs w:val="28"/>
          <w14:ligatures w14:val="none"/>
        </w:rPr>
        <w:t xml:space="preserve"> (Monje-Amor, Vázquez, &amp; </w:t>
      </w:r>
      <w:proofErr w:type="spellStart"/>
      <w:r w:rsidRPr="00502D23">
        <w:rPr>
          <w:rFonts w:ascii="Sakkal Majalla" w:eastAsia="Times New Roman" w:hAnsi="Sakkal Majalla" w:cs="Sakkal Majalla"/>
          <w:color w:val="000000" w:themeColor="text1"/>
          <w:kern w:val="0"/>
          <w:sz w:val="28"/>
          <w:szCs w:val="28"/>
          <w14:ligatures w14:val="none"/>
        </w:rPr>
        <w:t>Faíña</w:t>
      </w:r>
      <w:proofErr w:type="spellEnd"/>
      <w:r w:rsidRPr="00502D23">
        <w:rPr>
          <w:rFonts w:ascii="Sakkal Majalla" w:eastAsia="Times New Roman" w:hAnsi="Sakkal Majalla" w:cs="Sakkal Majalla"/>
          <w:color w:val="000000" w:themeColor="text1"/>
          <w:kern w:val="0"/>
          <w:sz w:val="28"/>
          <w:szCs w:val="28"/>
          <w14:ligatures w14:val="none"/>
        </w:rPr>
        <w:t xml:space="preserve">, 2020). </w:t>
      </w:r>
      <w:r w:rsidRPr="00502D23">
        <w:rPr>
          <w:rFonts w:ascii="Sakkal Majalla" w:eastAsia="Times New Roman" w:hAnsi="Sakkal Majalla" w:cs="Sakkal Majalla"/>
          <w:color w:val="000000" w:themeColor="text1"/>
          <w:kern w:val="0"/>
          <w:sz w:val="28"/>
          <w:szCs w:val="28"/>
          <w:rtl/>
          <w14:ligatures w14:val="none"/>
        </w:rPr>
        <w:t>وتتكامل هذه المنطلقات النظرية فيما بينها لتُقدم إطاراً نظرياً شاملاً يُؤسس لفهم معمق لأثر القيادة التحويلية على تعزيز الابتكار في المؤسسات الصغيرة والمتوسطة، وهو ما ستسعى هذه الدراسة إلى اختباره تجريبياً في سياق المؤسسات الصغيرة والمتوسطة في مدينة الرياض</w:t>
      </w:r>
    </w:p>
    <w:p w14:paraId="1B4A3EA8" w14:textId="02621AE2" w:rsidR="000B7AE0" w:rsidRPr="00502D23" w:rsidRDefault="000B7AE0" w:rsidP="000B7AE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5" w:name="_Toc222955041"/>
      <w:bookmarkStart w:id="26" w:name="_Toc169790506"/>
      <w:bookmarkEnd w:id="21"/>
      <w:bookmarkEnd w:id="22"/>
      <w:r w:rsidRPr="00502D23">
        <w:rPr>
          <w:rFonts w:ascii="Sakkal Majalla" w:eastAsia="Times New Roman" w:hAnsi="Sakkal Majalla" w:cs="Sakkal Majalla"/>
          <w:b/>
          <w:bCs/>
          <w:color w:val="000000" w:themeColor="text1"/>
          <w:kern w:val="0"/>
          <w:sz w:val="36"/>
          <w:szCs w:val="36"/>
          <w:rtl/>
          <w14:ligatures w14:val="none"/>
        </w:rPr>
        <w:t>10.1 المنهجية وطرق البحث:</w:t>
      </w:r>
      <w:bookmarkEnd w:id="25"/>
    </w:p>
    <w:p w14:paraId="1DD15F54" w14:textId="77777777" w:rsidR="00B1241D"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المنهج الأنسب لتحقيق أهدافها والإجابة عن تساؤلاتها واختبار فرضياتها، إذ يُعد هذا المنهج من أكثر المناهج البحثية ملاءمة للدراسات التي تسعى إلى وصف الظواهر الإدارية والتنظيمية وتحليلها كما هي في الواقع دون تدخل من الباحث، مع تجاوز مرحلة الوصف إلى التحليل والتفسير والربط بين المتغيرات واستخلاص الاستنتاجات منها. وسيتم توظيف هذا المنهج في شقين متكاملين: الشق النظري الذي سيعتمد على المسح المكتبي والاستقراء المعمق للأدبيات والدراسات السابقة والكتب والدوريات العلمية المحكمة العربية والأجنبية ذات الصلة بمتغيرات الدراسة (القيادة التحويلية والابتكار)، وذلك لبناء الإطار النظري والمفاهيمي للدراسة. أما الشق الميداني فسيعتمد على جمع البيانات الأولية من مفردات عينة الدراسة باستخدام أداة الاستبانة المصممة خصيصاً لهذا الغرض، ومن ثم تحليلها إحصائياً باستخدام الأساليب الإحصائية المناسبة للوصول إلى النتائج وتفسيرها</w:t>
      </w:r>
      <w:r w:rsidRPr="00502D23">
        <w:rPr>
          <w:rFonts w:ascii="Sakkal Majalla" w:eastAsia="Times New Roman" w:hAnsi="Sakkal Majalla" w:cs="Sakkal Majalla"/>
          <w:color w:val="000000" w:themeColor="text1"/>
          <w:kern w:val="0"/>
          <w:sz w:val="28"/>
          <w:szCs w:val="28"/>
          <w14:ligatures w14:val="none"/>
        </w:rPr>
        <w:t>.</w:t>
      </w:r>
    </w:p>
    <w:p w14:paraId="079A7A4A" w14:textId="14F7202B" w:rsidR="000B7AE0" w:rsidRPr="00502D23" w:rsidRDefault="00CF0439" w:rsidP="00CF0439">
      <w:pPr>
        <w:spacing w:before="100" w:beforeAutospacing="1" w:after="100" w:afterAutospacing="1"/>
        <w:rPr>
          <w:rFonts w:ascii="Sakkal Majalla" w:eastAsia="Times New Roman" w:hAnsi="Sakkal Majalla" w:cs="Sakkal Majalla"/>
          <w:b/>
          <w:bCs/>
          <w:color w:val="000000" w:themeColor="text1"/>
          <w:kern w:val="0"/>
          <w:sz w:val="36"/>
          <w:szCs w:val="36"/>
          <w:rtl/>
          <w14:ligatures w14:val="none"/>
        </w:rPr>
      </w:pPr>
      <w:r w:rsidRPr="00502D23">
        <w:rPr>
          <w:rFonts w:ascii="Sakkal Majalla" w:eastAsia="Times New Roman" w:hAnsi="Sakkal Majalla" w:cs="Sakkal Majalla"/>
          <w:b/>
          <w:bCs/>
          <w:color w:val="000000" w:themeColor="text1"/>
          <w:kern w:val="0"/>
          <w:sz w:val="36"/>
          <w:szCs w:val="36"/>
          <w:rtl/>
          <w14:ligatures w14:val="none"/>
        </w:rPr>
        <w:br w:type="page"/>
      </w:r>
      <w:r w:rsidR="000B7AE0" w:rsidRPr="00502D23">
        <w:rPr>
          <w:rFonts w:ascii="Sakkal Majalla" w:eastAsia="Times New Roman" w:hAnsi="Sakkal Majalla" w:cs="Sakkal Majalla" w:hint="cs"/>
          <w:b/>
          <w:bCs/>
          <w:color w:val="000000" w:themeColor="text1"/>
          <w:kern w:val="0"/>
          <w:sz w:val="36"/>
          <w:szCs w:val="36"/>
          <w:rtl/>
          <w14:ligatures w14:val="none"/>
        </w:rPr>
        <w:lastRenderedPageBreak/>
        <w:t xml:space="preserve">11.1 </w:t>
      </w:r>
      <w:r w:rsidR="000B7AE0" w:rsidRPr="00502D23">
        <w:rPr>
          <w:rFonts w:ascii="Sakkal Majalla" w:eastAsia="Times New Roman" w:hAnsi="Sakkal Majalla" w:cs="Sakkal Majalla"/>
          <w:b/>
          <w:bCs/>
          <w:color w:val="000000" w:themeColor="text1"/>
          <w:kern w:val="0"/>
          <w:sz w:val="36"/>
          <w:szCs w:val="36"/>
          <w:rtl/>
          <w14:ligatures w14:val="none"/>
        </w:rPr>
        <w:t>مجتمع وعينة الدراسة</w:t>
      </w:r>
    </w:p>
    <w:p w14:paraId="75AF5C5B" w14:textId="77777777" w:rsidR="00B1241D"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سيتكون مجتمع الدراسة من جميع العاملين في المستويات الإدارية (العليا والوسطى والتنفيذية) في المؤسسات الصغيرة والمتوسطة العاملة في مدينة الرياض بالمملكة العربية السعودية. وتشير بيانات الهيئة العامة للمنشآت الصغيرة والمتوسطة (منشآت) إلى أن عدد المؤسسات الصغيرة والمتوسطة المسجلة في مدينة الرياض يتجاوز</w:t>
      </w:r>
      <w:r w:rsidRPr="00502D23">
        <w:rPr>
          <w:rFonts w:ascii="Sakkal Majalla" w:eastAsia="Times New Roman" w:hAnsi="Sakkal Majalla" w:cs="Sakkal Majalla"/>
          <w:color w:val="000000" w:themeColor="text1"/>
          <w:kern w:val="0"/>
          <w:sz w:val="28"/>
          <w:szCs w:val="28"/>
          <w14:ligatures w14:val="none"/>
        </w:rPr>
        <w:t xml:space="preserve"> (184,000) </w:t>
      </w:r>
      <w:r w:rsidRPr="00502D23">
        <w:rPr>
          <w:rFonts w:ascii="Sakkal Majalla" w:eastAsia="Times New Roman" w:hAnsi="Sakkal Majalla" w:cs="Sakkal Majalla"/>
          <w:color w:val="000000" w:themeColor="text1"/>
          <w:kern w:val="0"/>
          <w:sz w:val="28"/>
          <w:szCs w:val="28"/>
          <w:rtl/>
          <w14:ligatures w14:val="none"/>
        </w:rPr>
        <w:t>مؤسسة، وتُشكل ما نسبته نحو (33%) من إجمالي المنشآت الصغيرة والمتوسطة في المملكة، ويعمل فيها ما يزيد عن (1.2) مليون موظف، وتتوزع على قطاعات اقتصادية متعددة تشمل التجارة والخدمات والتقنية والصناعة وغيرها. ونظراً لكبر حجم مجتمع الدراسة وتشعبه الجغرافي والقطاعي، فإنه سيتم التركيز على المؤسسات الصغيرة والمتوسطة العاملة في القطاعات ذات الصلة المباشرة بالابتكار مثل قطاع التقنية والاتصالات والخدمات المهنية والصناعات التحويلية</w:t>
      </w:r>
      <w:r w:rsidRPr="00502D23">
        <w:rPr>
          <w:rFonts w:ascii="Sakkal Majalla" w:eastAsia="Times New Roman" w:hAnsi="Sakkal Majalla" w:cs="Sakkal Majalla"/>
          <w:color w:val="000000" w:themeColor="text1"/>
          <w:kern w:val="0"/>
          <w:sz w:val="28"/>
          <w:szCs w:val="28"/>
          <w14:ligatures w14:val="none"/>
        </w:rPr>
        <w:t>.</w:t>
      </w:r>
    </w:p>
    <w:p w14:paraId="637704C5" w14:textId="102E75A9" w:rsidR="00B1241D"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وسوف يتم اختيار عينة الدراسة باستخدام أسلوب العينة العشوائية الطبقية التناسبية لضمان تمثيل مختلف القطاعات وأحجام المؤسسات والمستويات الإدارية تمثيلاً متوازناً. واستناداً إلى جداول تحديد حجم العينة المعتمدة في البحوث الاجتماعية والإدارية، ومع الأخذ بعين الاعتبار مستوى ثقة (95%) وهامش خطأ لا يتجاوز (5%)، فإن الحد الأدنى المطلوب </w:t>
      </w:r>
    </w:p>
    <w:p w14:paraId="67FEE131" w14:textId="60F404E0" w:rsidR="00B1241D" w:rsidRPr="00502D23" w:rsidRDefault="000B7AE0" w:rsidP="000B7AE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7" w:name="_Toc222955042"/>
      <w:r w:rsidRPr="00502D23">
        <w:rPr>
          <w:rFonts w:ascii="Sakkal Majalla" w:eastAsia="Times New Roman" w:hAnsi="Sakkal Majalla" w:cs="Sakkal Majalla"/>
          <w:b/>
          <w:bCs/>
          <w:color w:val="000000" w:themeColor="text1"/>
          <w:kern w:val="0"/>
          <w:sz w:val="36"/>
          <w:szCs w:val="36"/>
          <w:rtl/>
          <w14:ligatures w14:val="none"/>
        </w:rPr>
        <w:t>12.1 مصادر جمع البيانات</w:t>
      </w:r>
      <w:bookmarkEnd w:id="27"/>
    </w:p>
    <w:p w14:paraId="24306D6A" w14:textId="77777777" w:rsidR="00B1241D" w:rsidRPr="00502D23" w:rsidRDefault="00B1241D"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ستعتمد الدراسة على مصدرين أساسيين لجمع البيانات</w:t>
      </w:r>
      <w:r w:rsidRPr="00502D23">
        <w:rPr>
          <w:rFonts w:ascii="Sakkal Majalla" w:eastAsia="Times New Roman" w:hAnsi="Sakkal Majalla" w:cs="Sakkal Majalla"/>
          <w:b/>
          <w:bCs/>
          <w:color w:val="000000" w:themeColor="text1"/>
          <w:kern w:val="0"/>
          <w:sz w:val="28"/>
          <w:szCs w:val="28"/>
          <w14:ligatures w14:val="none"/>
        </w:rPr>
        <w:t>:</w:t>
      </w:r>
    </w:p>
    <w:p w14:paraId="70E241F0" w14:textId="77777777" w:rsidR="00B1241D" w:rsidRPr="00502D23" w:rsidRDefault="00B1241D" w:rsidP="005C73E0">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المصادر الثانوية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والإحصائيات الرسمية الصادرة عن الجهات الحكومية ذات الصلة كالهيئة العامة للمنشآت الصغيرة والمتوسطة (منشآت) والهيئة العامة للإحصاء، وقواعد البيانات الإلكترونية المعتمدة مثل</w:t>
      </w:r>
      <w:r w:rsidRPr="00502D23">
        <w:rPr>
          <w:rFonts w:ascii="Sakkal Majalla" w:eastAsia="Times New Roman" w:hAnsi="Sakkal Majalla" w:cs="Sakkal Majalla"/>
          <w:color w:val="000000" w:themeColor="text1"/>
          <w:kern w:val="0"/>
          <w:sz w:val="28"/>
          <w:szCs w:val="28"/>
          <w14:ligatures w14:val="none"/>
        </w:rPr>
        <w:t xml:space="preserve"> (Scopus, Web of Science, Google Scholar, </w:t>
      </w:r>
      <w:r w:rsidRPr="00502D23">
        <w:rPr>
          <w:rFonts w:ascii="Sakkal Majalla" w:eastAsia="Times New Roman" w:hAnsi="Sakkal Majalla" w:cs="Sakkal Majalla"/>
          <w:color w:val="000000" w:themeColor="text1"/>
          <w:kern w:val="0"/>
          <w:sz w:val="28"/>
          <w:szCs w:val="28"/>
          <w:rtl/>
          <w14:ligatures w14:val="none"/>
        </w:rPr>
        <w:t>دار المنظومة، المنهل)، وذلك لبناء الإطار النظري للدراسة ومراجعة الدراسات السابقة</w:t>
      </w:r>
      <w:r w:rsidRPr="00502D23">
        <w:rPr>
          <w:rFonts w:ascii="Sakkal Majalla" w:eastAsia="Times New Roman" w:hAnsi="Sakkal Majalla" w:cs="Sakkal Majalla"/>
          <w:color w:val="000000" w:themeColor="text1"/>
          <w:kern w:val="0"/>
          <w:sz w:val="28"/>
          <w:szCs w:val="28"/>
          <w14:ligatures w14:val="none"/>
        </w:rPr>
        <w:t>.</w:t>
      </w:r>
    </w:p>
    <w:p w14:paraId="33088A80" w14:textId="77777777" w:rsidR="00B1241D" w:rsidRPr="00502D23" w:rsidRDefault="00B1241D" w:rsidP="005C73E0">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lastRenderedPageBreak/>
        <w:t>المصادر الأولية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وتتمثل في البيانات التي سيتم جمعها ميدانياً من مفردات عينة الدراسة باستخدام أداة الاستبانة</w:t>
      </w:r>
      <w:r w:rsidRPr="00502D23">
        <w:rPr>
          <w:rFonts w:ascii="Sakkal Majalla" w:eastAsia="Times New Roman" w:hAnsi="Sakkal Majalla" w:cs="Sakkal Majalla"/>
          <w:color w:val="000000" w:themeColor="text1"/>
          <w:kern w:val="0"/>
          <w:sz w:val="28"/>
          <w:szCs w:val="28"/>
          <w14:ligatures w14:val="none"/>
        </w:rPr>
        <w:t xml:space="preserve"> (Questionnaire) </w:t>
      </w:r>
      <w:r w:rsidRPr="00502D23">
        <w:rPr>
          <w:rFonts w:ascii="Sakkal Majalla" w:eastAsia="Times New Roman" w:hAnsi="Sakkal Majalla" w:cs="Sakkal Majalla"/>
          <w:color w:val="000000" w:themeColor="text1"/>
          <w:kern w:val="0"/>
          <w:sz w:val="28"/>
          <w:szCs w:val="28"/>
          <w:rtl/>
          <w14:ligatures w14:val="none"/>
        </w:rPr>
        <w:t>المصممة خصيصاً لأغراض هذه الدراسة، والتي ستُوزع على العاملين في المؤسسات الصغيرة والمتوسطة في مدينة الرياض</w:t>
      </w:r>
      <w:r w:rsidRPr="00502D23">
        <w:rPr>
          <w:rFonts w:ascii="Sakkal Majalla" w:eastAsia="Times New Roman" w:hAnsi="Sakkal Majalla" w:cs="Sakkal Majalla"/>
          <w:color w:val="000000" w:themeColor="text1"/>
          <w:kern w:val="0"/>
          <w:sz w:val="28"/>
          <w:szCs w:val="28"/>
          <w14:ligatures w14:val="none"/>
        </w:rPr>
        <w:t>.</w:t>
      </w:r>
    </w:p>
    <w:p w14:paraId="69B62325" w14:textId="5F4AD2CA" w:rsidR="00B1241D" w:rsidRPr="00502D23" w:rsidRDefault="000B7AE0" w:rsidP="000B7AE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8" w:name="_Toc222955043"/>
      <w:r w:rsidRPr="00502D23">
        <w:rPr>
          <w:rFonts w:ascii="Sakkal Majalla" w:eastAsia="Times New Roman" w:hAnsi="Sakkal Majalla" w:cs="Sakkal Majalla"/>
          <w:b/>
          <w:bCs/>
          <w:color w:val="000000" w:themeColor="text1"/>
          <w:kern w:val="0"/>
          <w:sz w:val="36"/>
          <w:szCs w:val="36"/>
          <w:rtl/>
          <w14:ligatures w14:val="none"/>
        </w:rPr>
        <w:t>13.1 أدوات الدراسة</w:t>
      </w:r>
      <w:bookmarkEnd w:id="28"/>
    </w:p>
    <w:p w14:paraId="429F50AE" w14:textId="77777777" w:rsidR="00B1241D"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ستعتمد الدراسة على الاستبانة كأداة رئيسية لجمع البيانات الأولية، وسيتم تصميمها وفق مقياس ليكرت الخماسي</w:t>
      </w:r>
      <w:r w:rsidRPr="00502D23">
        <w:rPr>
          <w:rFonts w:ascii="Sakkal Majalla" w:eastAsia="Times New Roman" w:hAnsi="Sakkal Majalla" w:cs="Sakkal Majalla"/>
          <w:color w:val="000000" w:themeColor="text1"/>
          <w:kern w:val="0"/>
          <w:sz w:val="28"/>
          <w:szCs w:val="28"/>
          <w14:ligatures w14:val="none"/>
        </w:rPr>
        <w:t xml:space="preserve"> (Likert Scale) </w:t>
      </w:r>
      <w:r w:rsidRPr="00502D23">
        <w:rPr>
          <w:rFonts w:ascii="Sakkal Majalla" w:eastAsia="Times New Roman" w:hAnsi="Sakkal Majalla" w:cs="Sakkal Majalla"/>
          <w:color w:val="000000" w:themeColor="text1"/>
          <w:kern w:val="0"/>
          <w:sz w:val="28"/>
          <w:szCs w:val="28"/>
          <w:rtl/>
          <w14:ligatures w14:val="none"/>
        </w:rPr>
        <w:t>المتدرج من (1) موافق بشدة إلى (5) غير موافق بشدة، وستتكون من ثلاثة أقسام رئيسية</w:t>
      </w:r>
      <w:r w:rsidRPr="00502D23">
        <w:rPr>
          <w:rFonts w:ascii="Sakkal Majalla" w:eastAsia="Times New Roman" w:hAnsi="Sakkal Majalla" w:cs="Sakkal Majalla"/>
          <w:color w:val="000000" w:themeColor="text1"/>
          <w:kern w:val="0"/>
          <w:sz w:val="28"/>
          <w:szCs w:val="28"/>
          <w14:ligatures w14:val="none"/>
        </w:rPr>
        <w:t>:</w:t>
      </w:r>
    </w:p>
    <w:p w14:paraId="74E6F3D5" w14:textId="6A443618" w:rsidR="00B1241D" w:rsidRPr="00502D23" w:rsidRDefault="00B1241D" w:rsidP="005C73E0">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القسم الأول</w:t>
      </w:r>
      <w:r w:rsidRPr="00502D23">
        <w:rPr>
          <w:rFonts w:ascii="Sakkal Majalla" w:eastAsia="Times New Roman" w:hAnsi="Sakkal Majalla" w:cs="Sakkal Majalla"/>
          <w:color w:val="000000" w:themeColor="text1"/>
          <w:kern w:val="0"/>
          <w:sz w:val="28"/>
          <w:szCs w:val="28"/>
          <w:rtl/>
          <w14:ligatures w14:val="none"/>
        </w:rPr>
        <w:t>: البيانات الديموغرافية والوظيفية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ويتضمن معلومات عامة عن المستجيبين تشمل (الجنس، العمر، المؤهل العلمي، سنوات الخبرة، المستوى الإداري، القطاع الذي تعمل فيه المؤسسة، حجم المؤسسة من حيث عدد العاملين</w:t>
      </w:r>
      <w:r w:rsidRPr="00502D23">
        <w:rPr>
          <w:rFonts w:ascii="Sakkal Majalla" w:eastAsia="Times New Roman" w:hAnsi="Sakkal Majalla" w:cs="Sakkal Majalla"/>
          <w:color w:val="000000" w:themeColor="text1"/>
          <w:kern w:val="0"/>
          <w:sz w:val="28"/>
          <w:szCs w:val="28"/>
          <w14:ligatures w14:val="none"/>
        </w:rPr>
        <w:t>(</w:t>
      </w:r>
    </w:p>
    <w:p w14:paraId="5B251D4D" w14:textId="523A4B00" w:rsidR="00B1241D" w:rsidRPr="00502D23" w:rsidRDefault="00B1241D" w:rsidP="005C73E0">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القسم الثاني</w:t>
      </w:r>
      <w:r w:rsidRPr="00502D23">
        <w:rPr>
          <w:rFonts w:ascii="Sakkal Majalla" w:eastAsia="Times New Roman" w:hAnsi="Sakkal Majalla" w:cs="Sakkal Majalla"/>
          <w:color w:val="000000" w:themeColor="text1"/>
          <w:kern w:val="0"/>
          <w:sz w:val="28"/>
          <w:szCs w:val="28"/>
          <w:rtl/>
          <w14:ligatures w14:val="none"/>
        </w:rPr>
        <w:t>: محور القيادة التحويلية (المتغير المستقل)</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ويتضمن عبارات تقيس أبعاد القيادة التحويلية الأربعة.</w:t>
      </w:r>
    </w:p>
    <w:p w14:paraId="39E1F49B" w14:textId="6867DCCA" w:rsidR="00B1241D" w:rsidRPr="00502D23" w:rsidRDefault="00B1241D" w:rsidP="005C73E0">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القسم الثالث</w:t>
      </w:r>
      <w:r w:rsidRPr="00502D23">
        <w:rPr>
          <w:rFonts w:ascii="Sakkal Majalla" w:eastAsia="Times New Roman" w:hAnsi="Sakkal Majalla" w:cs="Sakkal Majalla"/>
          <w:color w:val="000000" w:themeColor="text1"/>
          <w:kern w:val="0"/>
          <w:sz w:val="28"/>
          <w:szCs w:val="28"/>
          <w:rtl/>
          <w14:ligatures w14:val="none"/>
        </w:rPr>
        <w:t>: محور الابتكار (المتغير التابع)</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ويتضمن عبارات تقيس أبعاد الابتكار .</w:t>
      </w:r>
    </w:p>
    <w:p w14:paraId="6537CA39" w14:textId="77777777" w:rsidR="000B7AE0"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وسيتم التحقق من صدق الأداة من خلال الصدق الظاهري</w:t>
      </w:r>
      <w:r w:rsidRPr="00502D23">
        <w:rPr>
          <w:rFonts w:ascii="Sakkal Majalla" w:eastAsia="Times New Roman" w:hAnsi="Sakkal Majalla" w:cs="Sakkal Majalla"/>
          <w:color w:val="000000" w:themeColor="text1"/>
          <w:kern w:val="0"/>
          <w:sz w:val="28"/>
          <w:szCs w:val="28"/>
          <w14:ligatures w14:val="none"/>
        </w:rPr>
        <w:t xml:space="preserve"> (Face Validity) </w:t>
      </w:r>
      <w:r w:rsidRPr="00502D23">
        <w:rPr>
          <w:rFonts w:ascii="Sakkal Majalla" w:eastAsia="Times New Roman" w:hAnsi="Sakkal Majalla" w:cs="Sakkal Majalla"/>
          <w:color w:val="000000" w:themeColor="text1"/>
          <w:kern w:val="0"/>
          <w:sz w:val="28"/>
          <w:szCs w:val="28"/>
          <w:rtl/>
          <w14:ligatures w14:val="none"/>
        </w:rPr>
        <w:t>بعرضها على مجموعة من المحكمين من أعضاء هيئة التدريس المتخصصين، وصدق البناء</w:t>
      </w:r>
      <w:r w:rsidRPr="00502D23">
        <w:rPr>
          <w:rFonts w:ascii="Sakkal Majalla" w:eastAsia="Times New Roman" w:hAnsi="Sakkal Majalla" w:cs="Sakkal Majalla"/>
          <w:color w:val="000000" w:themeColor="text1"/>
          <w:kern w:val="0"/>
          <w:sz w:val="28"/>
          <w:szCs w:val="28"/>
          <w14:ligatures w14:val="none"/>
        </w:rPr>
        <w:t xml:space="preserve"> (Construct Validity) </w:t>
      </w:r>
      <w:r w:rsidRPr="00502D23">
        <w:rPr>
          <w:rFonts w:ascii="Sakkal Majalla" w:eastAsia="Times New Roman" w:hAnsi="Sakkal Majalla" w:cs="Sakkal Majalla"/>
          <w:color w:val="000000" w:themeColor="text1"/>
          <w:kern w:val="0"/>
          <w:sz w:val="28"/>
          <w:szCs w:val="28"/>
          <w:rtl/>
          <w14:ligatures w14:val="none"/>
        </w:rPr>
        <w:t xml:space="preserve">من خلال حساب معاملات الارتباط بين كل عبارة والبعد الذي تنتمي إليه وبين كل بعد والدرجة الكلية للمحور. كما سيتم التحقق من ثبات الأداة باستخدام معامل ألفا كرونباخ </w:t>
      </w:r>
      <w:r w:rsidRPr="00502D23">
        <w:rPr>
          <w:rFonts w:ascii="Sakkal Majalla" w:eastAsia="Times New Roman" w:hAnsi="Sakkal Majalla" w:cs="Sakkal Majalla"/>
          <w:color w:val="000000" w:themeColor="text1"/>
          <w:kern w:val="0"/>
          <w:sz w:val="28"/>
          <w:szCs w:val="28"/>
          <w14:ligatures w14:val="none"/>
        </w:rPr>
        <w:t xml:space="preserve">(Cronbach's Alpha) </w:t>
      </w:r>
      <w:r w:rsidRPr="00502D23">
        <w:rPr>
          <w:rFonts w:ascii="Sakkal Majalla" w:eastAsia="Times New Roman" w:hAnsi="Sakkal Majalla" w:cs="Sakkal Majalla"/>
          <w:color w:val="000000" w:themeColor="text1"/>
          <w:kern w:val="0"/>
          <w:sz w:val="28"/>
          <w:szCs w:val="28"/>
          <w:rtl/>
          <w14:ligatures w14:val="none"/>
        </w:rPr>
        <w:t>للتأكد من الاتساق الداخلي لعبارات الاستبانة</w:t>
      </w:r>
      <w:r w:rsidRPr="00502D23">
        <w:rPr>
          <w:rFonts w:ascii="Sakkal Majalla" w:eastAsia="Times New Roman" w:hAnsi="Sakkal Majalla" w:cs="Sakkal Majalla"/>
          <w:color w:val="000000" w:themeColor="text1"/>
          <w:kern w:val="0"/>
          <w:sz w:val="28"/>
          <w:szCs w:val="28"/>
          <w14:ligatures w14:val="none"/>
        </w:rPr>
        <w:t>.</w:t>
      </w:r>
    </w:p>
    <w:p w14:paraId="4D920292" w14:textId="15D5CF8A" w:rsidR="000B7AE0" w:rsidRPr="00502D23" w:rsidRDefault="000B7AE0" w:rsidP="000B7AE0">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r w:rsidRPr="00502D23">
        <w:rPr>
          <w:rFonts w:ascii="Sakkal Majalla" w:eastAsia="Times New Roman" w:hAnsi="Sakkal Majalla" w:cs="Sakkal Majalla"/>
          <w:b/>
          <w:bCs/>
          <w:color w:val="000000" w:themeColor="text1"/>
          <w:kern w:val="0"/>
          <w:sz w:val="36"/>
          <w:szCs w:val="36"/>
          <w14:ligatures w14:val="none"/>
        </w:rPr>
        <w:br w:type="page"/>
      </w:r>
      <w:bookmarkStart w:id="29" w:name="_Toc222955044"/>
      <w:r w:rsidRPr="00502D23">
        <w:rPr>
          <w:rFonts w:ascii="Sakkal Majalla" w:eastAsia="Times New Roman" w:hAnsi="Sakkal Majalla" w:cs="Sakkal Majalla"/>
          <w:b/>
          <w:bCs/>
          <w:color w:val="000000" w:themeColor="text1"/>
          <w:kern w:val="0"/>
          <w:sz w:val="36"/>
          <w:szCs w:val="36"/>
          <w:rtl/>
          <w14:ligatures w14:val="none"/>
        </w:rPr>
        <w:lastRenderedPageBreak/>
        <w:t>14.1 الأساليب الإحصائية المستخدمة</w:t>
      </w:r>
      <w:bookmarkEnd w:id="29"/>
    </w:p>
    <w:p w14:paraId="7B65D2E2" w14:textId="77777777" w:rsidR="00B1241D" w:rsidRPr="00502D23" w:rsidRDefault="00B1241D" w:rsidP="000B7AE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سيتم تحليل البيانات المجمعة باستخدام برنامج الحزمة الإحصائية للعلوم الاجتماعية</w:t>
      </w:r>
      <w:r w:rsidRPr="00502D23">
        <w:rPr>
          <w:rFonts w:ascii="Sakkal Majalla" w:eastAsia="Times New Roman" w:hAnsi="Sakkal Majalla" w:cs="Sakkal Majalla"/>
          <w:color w:val="000000" w:themeColor="text1"/>
          <w:kern w:val="0"/>
          <w:sz w:val="28"/>
          <w:szCs w:val="28"/>
          <w14:ligatures w14:val="none"/>
        </w:rPr>
        <w:t xml:space="preserve"> (SPSS V.26)</w:t>
      </w:r>
      <w:r w:rsidRPr="00502D23">
        <w:rPr>
          <w:rFonts w:ascii="Sakkal Majalla" w:eastAsia="Times New Roman" w:hAnsi="Sakkal Majalla" w:cs="Sakkal Majalla"/>
          <w:color w:val="000000" w:themeColor="text1"/>
          <w:kern w:val="0"/>
          <w:sz w:val="28"/>
          <w:szCs w:val="28"/>
          <w:rtl/>
          <w14:ligatures w14:val="none"/>
        </w:rPr>
        <w:t>، وسيتم توظيف مجموعة من الأساليب الإحصائية الوصفية والاستدلالية التالية</w:t>
      </w:r>
      <w:r w:rsidRPr="00502D23">
        <w:rPr>
          <w:rFonts w:ascii="Sakkal Majalla" w:eastAsia="Times New Roman" w:hAnsi="Sakkal Majalla" w:cs="Sakkal Majalla"/>
          <w:color w:val="000000" w:themeColor="text1"/>
          <w:kern w:val="0"/>
          <w:sz w:val="28"/>
          <w:szCs w:val="28"/>
          <w14:ligatures w14:val="none"/>
        </w:rPr>
        <w:t>:</w:t>
      </w:r>
    </w:p>
    <w:p w14:paraId="0C581FD7" w14:textId="77777777" w:rsidR="00B1241D" w:rsidRPr="00502D23" w:rsidRDefault="00B1241D" w:rsidP="005C73E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أساليب الإحصاء الوصفي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وتشمل التكرارات والنسب المئوية لوصف خصائص عينة الدراسة الديموغرافية والوظيفية، والمتوسطات الحسابية والانحرافات المعيارية لتحديد مستوى استجابات أفراد العينة على محاور الاستبانة وترتيب العبارات والأبعاد حسب أهميتها النسبية</w:t>
      </w:r>
      <w:r w:rsidRPr="00502D23">
        <w:rPr>
          <w:rFonts w:ascii="Sakkal Majalla" w:eastAsia="Times New Roman" w:hAnsi="Sakkal Majalla" w:cs="Sakkal Majalla"/>
          <w:color w:val="000000" w:themeColor="text1"/>
          <w:kern w:val="0"/>
          <w:sz w:val="28"/>
          <w:szCs w:val="28"/>
          <w14:ligatures w14:val="none"/>
        </w:rPr>
        <w:t>.</w:t>
      </w:r>
    </w:p>
    <w:p w14:paraId="2BCA38C6" w14:textId="77777777" w:rsidR="00B1241D" w:rsidRPr="00502D23" w:rsidRDefault="00B1241D" w:rsidP="005C73E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اختبارات الصدق والثبات</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وتشمل معامل ألفا كرونباخ</w:t>
      </w:r>
      <w:r w:rsidRPr="00502D23">
        <w:rPr>
          <w:rFonts w:ascii="Sakkal Majalla" w:eastAsia="Times New Roman" w:hAnsi="Sakkal Majalla" w:cs="Sakkal Majalla"/>
          <w:color w:val="000000" w:themeColor="text1"/>
          <w:kern w:val="0"/>
          <w:sz w:val="28"/>
          <w:szCs w:val="28"/>
          <w14:ligatures w14:val="none"/>
        </w:rPr>
        <w:t xml:space="preserve"> (Cronbach's Alpha) </w:t>
      </w:r>
      <w:r w:rsidRPr="00502D23">
        <w:rPr>
          <w:rFonts w:ascii="Sakkal Majalla" w:eastAsia="Times New Roman" w:hAnsi="Sakkal Majalla" w:cs="Sakkal Majalla"/>
          <w:color w:val="000000" w:themeColor="text1"/>
          <w:kern w:val="0"/>
          <w:sz w:val="28"/>
          <w:szCs w:val="28"/>
          <w:rtl/>
          <w14:ligatures w14:val="none"/>
        </w:rPr>
        <w:t>لقياس ثبات أداة الدراسة واتساقها الداخلي، ومعامل ارتباط بيرسون</w:t>
      </w:r>
      <w:r w:rsidRPr="00502D23">
        <w:rPr>
          <w:rFonts w:ascii="Sakkal Majalla" w:eastAsia="Times New Roman" w:hAnsi="Sakkal Majalla" w:cs="Sakkal Majalla"/>
          <w:color w:val="000000" w:themeColor="text1"/>
          <w:kern w:val="0"/>
          <w:sz w:val="28"/>
          <w:szCs w:val="28"/>
          <w14:ligatures w14:val="none"/>
        </w:rPr>
        <w:t xml:space="preserve"> (Pearson Correlation) </w:t>
      </w:r>
      <w:r w:rsidRPr="00502D23">
        <w:rPr>
          <w:rFonts w:ascii="Sakkal Majalla" w:eastAsia="Times New Roman" w:hAnsi="Sakkal Majalla" w:cs="Sakkal Majalla"/>
          <w:color w:val="000000" w:themeColor="text1"/>
          <w:kern w:val="0"/>
          <w:sz w:val="28"/>
          <w:szCs w:val="28"/>
          <w:rtl/>
          <w14:ligatures w14:val="none"/>
        </w:rPr>
        <w:t>لقياس صدق الاتساق الداخلي للاستبانة</w:t>
      </w:r>
      <w:r w:rsidRPr="00502D23">
        <w:rPr>
          <w:rFonts w:ascii="Sakkal Majalla" w:eastAsia="Times New Roman" w:hAnsi="Sakkal Majalla" w:cs="Sakkal Majalla"/>
          <w:color w:val="000000" w:themeColor="text1"/>
          <w:kern w:val="0"/>
          <w:sz w:val="28"/>
          <w:szCs w:val="28"/>
          <w14:ligatures w14:val="none"/>
        </w:rPr>
        <w:t>.</w:t>
      </w:r>
    </w:p>
    <w:p w14:paraId="3B8A61FE" w14:textId="77777777" w:rsidR="00B1241D" w:rsidRPr="00502D23" w:rsidRDefault="00B1241D" w:rsidP="005C73E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تحليل الانحدار</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وسيتم استخدام تحليل الانحدار الخطي البسيط</w:t>
      </w:r>
      <w:r w:rsidRPr="00502D23">
        <w:rPr>
          <w:rFonts w:ascii="Sakkal Majalla" w:eastAsia="Times New Roman" w:hAnsi="Sakkal Majalla" w:cs="Sakkal Majalla"/>
          <w:color w:val="000000" w:themeColor="text1"/>
          <w:kern w:val="0"/>
          <w:sz w:val="28"/>
          <w:szCs w:val="28"/>
          <w14:ligatures w14:val="none"/>
        </w:rPr>
        <w:t xml:space="preserve"> (Simple Linear Regression) </w:t>
      </w:r>
      <w:r w:rsidRPr="00502D23">
        <w:rPr>
          <w:rFonts w:ascii="Sakkal Majalla" w:eastAsia="Times New Roman" w:hAnsi="Sakkal Majalla" w:cs="Sakkal Majalla"/>
          <w:color w:val="000000" w:themeColor="text1"/>
          <w:kern w:val="0"/>
          <w:sz w:val="28"/>
          <w:szCs w:val="28"/>
          <w:rtl/>
          <w14:ligatures w14:val="none"/>
        </w:rPr>
        <w:t>لقياس أثر كل بعد من أبعاد القيادة التحويلية على الابتكار، وتحليل الانحدار الخطي المتعدد</w:t>
      </w:r>
      <w:r w:rsidRPr="00502D23">
        <w:rPr>
          <w:rFonts w:ascii="Sakkal Majalla" w:eastAsia="Times New Roman" w:hAnsi="Sakkal Majalla" w:cs="Sakkal Majalla"/>
          <w:color w:val="000000" w:themeColor="text1"/>
          <w:kern w:val="0"/>
          <w:sz w:val="28"/>
          <w:szCs w:val="28"/>
          <w14:ligatures w14:val="none"/>
        </w:rPr>
        <w:t xml:space="preserve"> (Multiple Linear Regression) </w:t>
      </w:r>
      <w:r w:rsidRPr="00502D23">
        <w:rPr>
          <w:rFonts w:ascii="Sakkal Majalla" w:eastAsia="Times New Roman" w:hAnsi="Sakkal Majalla" w:cs="Sakkal Majalla"/>
          <w:color w:val="000000" w:themeColor="text1"/>
          <w:kern w:val="0"/>
          <w:sz w:val="28"/>
          <w:szCs w:val="28"/>
          <w:rtl/>
          <w14:ligatures w14:val="none"/>
        </w:rPr>
        <w:t>لقياس الأثر المشترك لأبعاد القيادة التحويلية مجتمعة على الابتكار وتحديد الأهمية النسبية لكل بعد</w:t>
      </w:r>
      <w:r w:rsidRPr="00502D23">
        <w:rPr>
          <w:rFonts w:ascii="Sakkal Majalla" w:eastAsia="Times New Roman" w:hAnsi="Sakkal Majalla" w:cs="Sakkal Majalla"/>
          <w:color w:val="000000" w:themeColor="text1"/>
          <w:kern w:val="0"/>
          <w:sz w:val="28"/>
          <w:szCs w:val="28"/>
          <w14:ligatures w14:val="none"/>
        </w:rPr>
        <w:t>.</w:t>
      </w:r>
    </w:p>
    <w:p w14:paraId="66B7DC39" w14:textId="0C58A1D3" w:rsidR="000B7AE0" w:rsidRPr="00502D23" w:rsidRDefault="000B7AE0" w:rsidP="000B7AE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0" w:name="_Toc222955045"/>
      <w:r w:rsidRPr="00502D23">
        <w:rPr>
          <w:rFonts w:ascii="Sakkal Majalla" w:eastAsia="Times New Roman" w:hAnsi="Sakkal Majalla" w:cs="Sakkal Majalla"/>
          <w:b/>
          <w:bCs/>
          <w:color w:val="000000" w:themeColor="text1"/>
          <w:kern w:val="0"/>
          <w:sz w:val="36"/>
          <w:szCs w:val="36"/>
          <w:rtl/>
          <w14:ligatures w14:val="none"/>
        </w:rPr>
        <w:t>15.1 حدود الدراسة</w:t>
      </w:r>
      <w:bookmarkEnd w:id="30"/>
    </w:p>
    <w:p w14:paraId="5DB9D82B" w14:textId="77777777" w:rsidR="00B1241D" w:rsidRPr="00502D23" w:rsidRDefault="00B1241D" w:rsidP="000B7AE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ستلتزم الدراسة بالحدود التالية</w:t>
      </w:r>
      <w:r w:rsidRPr="00502D23">
        <w:rPr>
          <w:rFonts w:ascii="Sakkal Majalla" w:eastAsia="Times New Roman" w:hAnsi="Sakkal Majalla" w:cs="Sakkal Majalla"/>
          <w:b/>
          <w:bCs/>
          <w:color w:val="000000" w:themeColor="text1"/>
          <w:kern w:val="0"/>
          <w:sz w:val="28"/>
          <w:szCs w:val="28"/>
          <w14:ligatures w14:val="none"/>
        </w:rPr>
        <w:t>:</w:t>
      </w:r>
    </w:p>
    <w:p w14:paraId="3DA6DCA3" w14:textId="0D99C153" w:rsidR="00B1241D" w:rsidRPr="00502D23" w:rsidRDefault="00B1241D" w:rsidP="005C73E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الحدود الموضوعية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ستقتصر الدراسة على دراسة أثر القيادة التحويلية كمتغير مستقل بأبعادها الأربعة </w:t>
      </w:r>
      <w:r w:rsidRPr="00502D23">
        <w:rPr>
          <w:rFonts w:ascii="Sakkal Majalla" w:eastAsia="Times New Roman" w:hAnsi="Sakkal Majalla" w:cs="Sakkal Majalla"/>
          <w:color w:val="000000" w:themeColor="text1"/>
          <w:kern w:val="0"/>
          <w:sz w:val="28"/>
          <w:szCs w:val="28"/>
          <w14:ligatures w14:val="none"/>
        </w:rPr>
        <w:t>(</w:t>
      </w:r>
      <w:r w:rsidRPr="00502D23">
        <w:rPr>
          <w:rFonts w:ascii="Sakkal Majalla" w:eastAsia="Times New Roman" w:hAnsi="Sakkal Majalla" w:cs="Sakkal Majalla"/>
          <w:color w:val="000000" w:themeColor="text1"/>
          <w:kern w:val="0"/>
          <w:sz w:val="28"/>
          <w:szCs w:val="28"/>
          <w:rtl/>
          <w14:ligatures w14:val="none"/>
        </w:rPr>
        <w:t>التأثير المثالي، الحفز الإلهامي، الاستثارة الفكرية، الاعتبار الفردي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على تعزيز الابتكار كمتغير تابع </w:t>
      </w:r>
    </w:p>
    <w:p w14:paraId="456B2C16" w14:textId="5E9A3FA7" w:rsidR="00B1241D" w:rsidRPr="00502D23" w:rsidRDefault="00B1241D" w:rsidP="005C73E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الحدود المكانية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ستُطبق الدراسة على المؤسسات الصغيرة والمتوسطة العاملة في مدينة الرياض بالمملكة العربية السعودية</w:t>
      </w:r>
      <w:r w:rsidRPr="00502D23">
        <w:rPr>
          <w:rFonts w:ascii="Sakkal Majalla" w:eastAsia="Times New Roman" w:hAnsi="Sakkal Majalla" w:cs="Sakkal Majalla"/>
          <w:color w:val="000000" w:themeColor="text1"/>
          <w:kern w:val="0"/>
          <w:sz w:val="28"/>
          <w:szCs w:val="28"/>
          <w14:ligatures w14:val="none"/>
        </w:rPr>
        <w:t>.</w:t>
      </w:r>
    </w:p>
    <w:p w14:paraId="3B871DC9" w14:textId="5CFD65F5" w:rsidR="00B1241D" w:rsidRPr="00502D23" w:rsidRDefault="00B1241D" w:rsidP="005C73E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lastRenderedPageBreak/>
        <w:t>الحدود الزمنية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سيتم تطبيق الجانب الميداني للدراسة وتوزيع الاستبانات وجمع البيانات خلال الفصل الدراسي الثاني من العام الجامعي 2026/2027م.</w:t>
      </w:r>
    </w:p>
    <w:p w14:paraId="498E8109" w14:textId="4DD6964E" w:rsidR="00B1241D" w:rsidRPr="00502D23" w:rsidRDefault="00B1241D" w:rsidP="005C73E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الحدود البشرية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ستقتصر الدراسة على العاملين في المستويات الإدارية الثلاثة (العليا والوسطى والتنفيذية) في المؤسسات الصغيرة والمتوسطة المبحوثة.</w:t>
      </w:r>
    </w:p>
    <w:p w14:paraId="6DEF0F69" w14:textId="1E214C02" w:rsidR="00A23AAB" w:rsidRPr="00502D23" w:rsidRDefault="000B7AE0" w:rsidP="00184327">
      <w:pPr>
        <w:spacing w:before="100" w:beforeAutospacing="1" w:after="100" w:afterAutospacing="1"/>
        <w:jc w:val="center"/>
        <w:outlineLvl w:val="0"/>
        <w:rPr>
          <w:rFonts w:ascii="Sakkal Majalla" w:eastAsia="Times New Roman" w:hAnsi="Sakkal Majalla" w:cs="Sakkal Majalla"/>
          <w:b/>
          <w:bCs/>
          <w:color w:val="000000" w:themeColor="text1"/>
          <w:kern w:val="0"/>
          <w:sz w:val="40"/>
          <w:szCs w:val="40"/>
          <w:rtl/>
          <w14:ligatures w14:val="none"/>
        </w:rPr>
      </w:pPr>
      <w:r w:rsidRPr="00502D23">
        <w:rPr>
          <w:rFonts w:ascii="Sakkal Majalla" w:eastAsia="Times New Roman" w:hAnsi="Sakkal Majalla" w:cs="Sakkal Majalla"/>
          <w:b/>
          <w:bCs/>
          <w:color w:val="000000" w:themeColor="text1"/>
          <w:kern w:val="0"/>
          <w:sz w:val="40"/>
          <w:szCs w:val="40"/>
          <w:rtl/>
          <w14:ligatures w14:val="none"/>
        </w:rPr>
        <w:br w:type="page"/>
      </w:r>
      <w:bookmarkStart w:id="31" w:name="_Toc222955046"/>
      <w:r w:rsidRPr="00502D23">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31"/>
    </w:p>
    <w:p w14:paraId="6DDC9B38" w14:textId="77777777" w:rsidR="000B7AE0" w:rsidRPr="00502D23" w:rsidRDefault="000B7AE0" w:rsidP="00184327">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32" w:name="_Toc222955047"/>
      <w:r w:rsidRPr="00502D23">
        <w:rPr>
          <w:rFonts w:ascii="Sakkal Majalla" w:eastAsia="Times New Roman" w:hAnsi="Sakkal Majalla" w:cs="Sakkal Majalla"/>
          <w:b/>
          <w:bCs/>
          <w:color w:val="000000" w:themeColor="text1"/>
          <w:kern w:val="0"/>
          <w:sz w:val="36"/>
          <w:szCs w:val="36"/>
          <w:rtl/>
          <w14:ligatures w14:val="none"/>
        </w:rPr>
        <w:t>المبحث الأول: القيادة التحويلية</w:t>
      </w:r>
      <w:bookmarkEnd w:id="32"/>
    </w:p>
    <w:p w14:paraId="72C246A9" w14:textId="17A55A29" w:rsidR="00A23AAB" w:rsidRPr="00502D23" w:rsidRDefault="00184327" w:rsidP="0018432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3" w:name="_Toc222955048"/>
      <w:r w:rsidRPr="00502D23">
        <w:rPr>
          <w:rFonts w:ascii="Sakkal Majalla" w:eastAsia="Times New Roman" w:hAnsi="Sakkal Majalla" w:cs="Sakkal Majalla" w:hint="cs"/>
          <w:b/>
          <w:bCs/>
          <w:color w:val="000000" w:themeColor="text1"/>
          <w:kern w:val="0"/>
          <w:sz w:val="32"/>
          <w:szCs w:val="32"/>
          <w:rtl/>
          <w14:ligatures w14:val="none"/>
        </w:rPr>
        <w:t xml:space="preserve">1.1.2 </w:t>
      </w:r>
      <w:r w:rsidR="000B7AE0" w:rsidRPr="00502D23">
        <w:rPr>
          <w:rFonts w:ascii="Sakkal Majalla" w:eastAsia="Times New Roman" w:hAnsi="Sakkal Majalla" w:cs="Sakkal Majalla"/>
          <w:b/>
          <w:bCs/>
          <w:color w:val="000000" w:themeColor="text1"/>
          <w:kern w:val="0"/>
          <w:sz w:val="32"/>
          <w:szCs w:val="32"/>
          <w:rtl/>
          <w14:ligatures w14:val="none"/>
        </w:rPr>
        <w:t>تمهيد</w:t>
      </w:r>
      <w:bookmarkEnd w:id="33"/>
    </w:p>
    <w:p w14:paraId="760C2EEF"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شهدت بيئة الأعمال المعاصرة تحولات جوهرية فرضتها موجات العولمة والتسارع التكنولوجي واشتداد المنافسة، وهي تحولات أعادت تشكيل المفاهيم الإدارية التقليدية ووضعت القيادة في صدارة العوامل الحاكمة لنجاح المنظمات واستمرارها. لم يعد دور القائد مقتصرًا على التخطيط والتنظيم والرقابة وفق الأُطر الكلاسيكية، بل صار يتطلب قدرة على استشراف المستقبل وإلهام الأفراد وبناء ثقافة تنظيمية تحتضن التغيير وتشجع المبادرة. وقد انعكس هذا التطور على الأدبيات الإدارية التي شهدت منذ ثمانينيات القرن العشرين تحولًا واضحًا نحو النماذج القيادية التحويلية بوصفها أكثر ملاءمة لمواجهة التعقيد البيئي المتزايد. وتنبع أهمية دراسة القيادة التحويلية من كونها لا تكتفي بتحقيق أهداف الأداء الراهنة بل تسعى إلى الارتقاء بمستويات الطموح لدى العاملين وتحويل اهتماماتهم من المصلحة الذاتية الضيقة إلى الالتزام برسالة المنظمة ورؤيتها الكلية، وهو ما يُعدّ شرطًا مسبقًا لأي جهد ابتكاري حقيقي</w:t>
      </w:r>
      <w:r w:rsidRPr="00502D23">
        <w:rPr>
          <w:rFonts w:ascii="Sakkal Majalla" w:eastAsia="Times New Roman" w:hAnsi="Sakkal Majalla" w:cs="Sakkal Majalla"/>
          <w:color w:val="000000" w:themeColor="text1"/>
          <w:kern w:val="0"/>
          <w:sz w:val="28"/>
          <w:szCs w:val="28"/>
          <w14:ligatures w14:val="none"/>
        </w:rPr>
        <w:t>.</w:t>
      </w:r>
    </w:p>
    <w:p w14:paraId="4C717D49" w14:textId="29A30EDF"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تبرز أهمية القيادة التحويلية من ثلاث زوايا متكاملة. أولًا، على الصعيد الفردي، يُسهم القائد التحويلي في تنمية الموارد النفسية للعاملين من كفاءة ذاتية وأمل ومرونة وتفاؤل، مما يرفع مستوى دافعيتهم الداخلية ويُمكّنهم من تقديم سلوكيات عمل ابتكارية تتجاوز متطلبات الدور الوظيفي الرسمي</w:t>
      </w:r>
      <w:r w:rsidRPr="00502D23">
        <w:rPr>
          <w:rFonts w:ascii="Sakkal Majalla" w:eastAsia="Times New Roman" w:hAnsi="Sakkal Majalla" w:cs="Sakkal Majalla"/>
          <w:color w:val="000000" w:themeColor="text1"/>
          <w:kern w:val="0"/>
          <w:sz w:val="28"/>
          <w:szCs w:val="28"/>
          <w14:ligatures w14:val="none"/>
        </w:rPr>
        <w:t xml:space="preserve"> (Karimi, Ahmadi Malek, Yaghoubi Farani &amp; </w:t>
      </w:r>
      <w:proofErr w:type="spellStart"/>
      <w:r w:rsidRPr="00502D23">
        <w:rPr>
          <w:rFonts w:ascii="Sakkal Majalla" w:eastAsia="Times New Roman" w:hAnsi="Sakkal Majalla" w:cs="Sakkal Majalla"/>
          <w:color w:val="000000" w:themeColor="text1"/>
          <w:kern w:val="0"/>
          <w:sz w:val="28"/>
          <w:szCs w:val="28"/>
          <w14:ligatures w14:val="none"/>
        </w:rPr>
        <w:t>Liobikienė</w:t>
      </w:r>
      <w:proofErr w:type="spellEnd"/>
      <w:r w:rsidRPr="00502D23">
        <w:rPr>
          <w:rFonts w:ascii="Sakkal Majalla" w:eastAsia="Times New Roman" w:hAnsi="Sakkal Majalla" w:cs="Sakkal Majalla"/>
          <w:color w:val="000000" w:themeColor="text1"/>
          <w:kern w:val="0"/>
          <w:sz w:val="28"/>
          <w:szCs w:val="28"/>
          <w14:ligatures w14:val="none"/>
        </w:rPr>
        <w:t xml:space="preserve">, 2023). </w:t>
      </w:r>
      <w:r w:rsidRPr="00502D23">
        <w:rPr>
          <w:rFonts w:ascii="Sakkal Majalla" w:eastAsia="Times New Roman" w:hAnsi="Sakkal Majalla" w:cs="Sakkal Majalla"/>
          <w:color w:val="000000" w:themeColor="text1"/>
          <w:kern w:val="0"/>
          <w:sz w:val="28"/>
          <w:szCs w:val="28"/>
          <w:rtl/>
          <w14:ligatures w14:val="none"/>
        </w:rPr>
        <w:t>ثانيًا، على الصعيد الجماعي، تُوجِد القيادة التحويلية مناخًا من الثقة المتبادلة والتمكين الهيكلي الذي يُيسّر تبادل المعرفة والتعلم التنظيمي بين فرق العمل، فتتحول المنظمة إلى كيان جماعي قادر على التعلم المستمر والتكيف السريع</w:t>
      </w:r>
      <w:r w:rsidRPr="00502D23">
        <w:rPr>
          <w:rFonts w:ascii="Sakkal Majalla" w:eastAsia="Times New Roman" w:hAnsi="Sakkal Majalla" w:cs="Sakkal Majalla"/>
          <w:color w:val="000000" w:themeColor="text1"/>
          <w:kern w:val="0"/>
          <w:sz w:val="28"/>
          <w:szCs w:val="28"/>
          <w14:ligatures w14:val="none"/>
        </w:rPr>
        <w:t xml:space="preserve"> (Monje</w:t>
      </w:r>
      <w:r w:rsidRPr="00502D23">
        <w:rPr>
          <w:rFonts w:ascii="Sakkal Majalla" w:eastAsia="Times New Roman" w:hAnsi="Sakkal Majalla" w:cs="Sakkal Majalla"/>
          <w:color w:val="000000" w:themeColor="text1"/>
          <w:kern w:val="0"/>
          <w:sz w:val="28"/>
          <w:szCs w:val="28"/>
          <w14:ligatures w14:val="none"/>
        </w:rPr>
        <w:noBreakHyphen/>
        <w:t xml:space="preserve">Amor, Vázquez &amp; </w:t>
      </w:r>
      <w:proofErr w:type="spellStart"/>
      <w:r w:rsidRPr="00502D23">
        <w:rPr>
          <w:rFonts w:ascii="Sakkal Majalla" w:eastAsia="Times New Roman" w:hAnsi="Sakkal Majalla" w:cs="Sakkal Majalla"/>
          <w:color w:val="000000" w:themeColor="text1"/>
          <w:kern w:val="0"/>
          <w:sz w:val="28"/>
          <w:szCs w:val="28"/>
          <w14:ligatures w14:val="none"/>
        </w:rPr>
        <w:t>Faíña</w:t>
      </w:r>
      <w:proofErr w:type="spellEnd"/>
      <w:r w:rsidRPr="00502D23">
        <w:rPr>
          <w:rFonts w:ascii="Sakkal Majalla" w:eastAsia="Times New Roman" w:hAnsi="Sakkal Majalla" w:cs="Sakkal Majalla"/>
          <w:color w:val="000000" w:themeColor="text1"/>
          <w:kern w:val="0"/>
          <w:sz w:val="28"/>
          <w:szCs w:val="28"/>
          <w14:ligatures w14:val="none"/>
        </w:rPr>
        <w:t xml:space="preserve">, 2020). </w:t>
      </w:r>
      <w:r w:rsidRPr="00502D23">
        <w:rPr>
          <w:rFonts w:ascii="Sakkal Majalla" w:eastAsia="Times New Roman" w:hAnsi="Sakkal Majalla" w:cs="Sakkal Majalla"/>
          <w:color w:val="000000" w:themeColor="text1"/>
          <w:kern w:val="0"/>
          <w:sz w:val="28"/>
          <w:szCs w:val="28"/>
          <w:rtl/>
          <w14:ligatures w14:val="none"/>
        </w:rPr>
        <w:t xml:space="preserve">ثالثًا، على الصعيد الاستراتيجي، تُعدّ القيادة التحويلية أداة فاعلة لتحقيق التوافق بين الرؤية طويلة المدى للمنظمة ومتطلبات الأداء اليومي، إذ ينجح القائد التحويلي في ترجمة </w:t>
      </w:r>
      <w:r w:rsidRPr="00502D23">
        <w:rPr>
          <w:rFonts w:ascii="Sakkal Majalla" w:eastAsia="Times New Roman" w:hAnsi="Sakkal Majalla" w:cs="Sakkal Majalla"/>
          <w:color w:val="000000" w:themeColor="text1"/>
          <w:kern w:val="0"/>
          <w:sz w:val="28"/>
          <w:szCs w:val="28"/>
          <w:rtl/>
          <w14:ligatures w14:val="none"/>
        </w:rPr>
        <w:lastRenderedPageBreak/>
        <w:t>التوجهات الاستراتيجية إلى سلوكيات تشغيلية ملموسة تتبناها مختلف المستويات الإدارية (الجرايدة والعون، 2021</w:t>
      </w:r>
      <w:r w:rsidR="003E2CCE" w:rsidRPr="00502D23">
        <w:rPr>
          <w:rFonts w:ascii="Sakkal Majalla" w:eastAsia="Times New Roman" w:hAnsi="Sakkal Majalla" w:cs="Sakkal Majalla"/>
          <w:color w:val="000000" w:themeColor="text1"/>
          <w:kern w:val="0"/>
          <w:sz w:val="28"/>
          <w:szCs w:val="28"/>
          <w:rtl/>
          <w14:ligatures w14:val="none"/>
        </w:rPr>
        <w:t>)</w:t>
      </w:r>
    </w:p>
    <w:p w14:paraId="38E03A1A" w14:textId="6F7E4173"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تناولت دراسة الخصاونة (2021) تأثير القيادة التحويلية في جودة حياة العمل لدى العاملين في قطاع الاتصالات الأردني، مُقدّمةً إطارًا يربط بين أبعاد القيادة التحويلية والجوانب الاجتماعية والإنسانية لبيئة العمل. وعلى صعيد التطوير التنظيمي، بحث الرشيدي (2025) في الدور الوسيط لمشاركة المعرفة بين القيادة التحويلية والتطوير التنظيمي في سياق مؤسسي حكومي كويتي، كاشفًا عن أن مشاركة المعرفة تمثل آلية تفسيرية جوهرية في نقل أثر القيادة إلى مخرجات التطوير. أما على صعيد الابتكار المقتصد في القطاع الصحي، فقد سعت دراسة محمود (2025) إلى استكشاف كيف تُعزز القيادة التحويلية قدرات التعلم التنظيمي التي تتوسط علاقتها بالابتكار في مستشفيات جامعة القاهرة. كما فحصت عبدالقادر (2025) هذا المفهوم في بيئة تنافسية مختلفة من خلال تحليل مقارن لآراء العاملين في شركات خاصة بمحافظة السليمانية حول دور القيادة التحويلية في تعزيز الإبداع التنظيمي</w:t>
      </w:r>
      <w:r w:rsidRPr="00502D23">
        <w:rPr>
          <w:rFonts w:ascii="Sakkal Majalla" w:eastAsia="Times New Roman" w:hAnsi="Sakkal Majalla" w:cs="Sakkal Majalla"/>
          <w:color w:val="000000" w:themeColor="text1"/>
          <w:kern w:val="0"/>
          <w:sz w:val="28"/>
          <w:szCs w:val="28"/>
          <w14:ligatures w14:val="none"/>
        </w:rPr>
        <w:t>.</w:t>
      </w:r>
    </w:p>
    <w:p w14:paraId="0D21D675"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ومن الأدبيات الأجنبية، ركّزت دراسة</w:t>
      </w:r>
      <w:r w:rsidRPr="00502D23">
        <w:rPr>
          <w:rFonts w:ascii="Sakkal Majalla" w:eastAsia="Times New Roman" w:hAnsi="Sakkal Majalla" w:cs="Sakkal Majalla"/>
          <w:color w:val="000000" w:themeColor="text1"/>
          <w:kern w:val="0"/>
          <w:sz w:val="28"/>
          <w:szCs w:val="28"/>
          <w14:ligatures w14:val="none"/>
        </w:rPr>
        <w:t xml:space="preserve"> Lai, Tang, Lu, Lee and Lin (2020) </w:t>
      </w:r>
      <w:r w:rsidRPr="00502D23">
        <w:rPr>
          <w:rFonts w:ascii="Sakkal Majalla" w:eastAsia="Times New Roman" w:hAnsi="Sakkal Majalla" w:cs="Sakkal Majalla"/>
          <w:color w:val="000000" w:themeColor="text1"/>
          <w:kern w:val="0"/>
          <w:sz w:val="28"/>
          <w:szCs w:val="28"/>
          <w:rtl/>
          <w14:ligatures w14:val="none"/>
        </w:rPr>
        <w:t>على الآلية الوسيطة للاندماج الوظيفي بين القيادة التحويلية والأداء الوظيفي، مقدمةً تحليلًا دقيقًا لكيفية تحويل الممارسات القيادية إلى طاقة نفسية تدفع العاملين نحو أداء متميز. وفي سياق المشاريع، تناولت</w:t>
      </w:r>
      <w:r w:rsidRPr="00502D23">
        <w:rPr>
          <w:rFonts w:ascii="Sakkal Majalla" w:eastAsia="Times New Roman" w:hAnsi="Sakkal Majalla" w:cs="Sakkal Majalla"/>
          <w:color w:val="000000" w:themeColor="text1"/>
          <w:kern w:val="0"/>
          <w:sz w:val="28"/>
          <w:szCs w:val="28"/>
          <w14:ligatures w14:val="none"/>
        </w:rPr>
        <w:t xml:space="preserve"> Doan, Nguyen and Nguyen (2020) </w:t>
      </w:r>
      <w:r w:rsidRPr="00502D23">
        <w:rPr>
          <w:rFonts w:ascii="Sakkal Majalla" w:eastAsia="Times New Roman" w:hAnsi="Sakkal Majalla" w:cs="Sakkal Majalla"/>
          <w:color w:val="000000" w:themeColor="text1"/>
          <w:kern w:val="0"/>
          <w:sz w:val="28"/>
          <w:szCs w:val="28"/>
          <w:rtl/>
          <w14:ligatures w14:val="none"/>
        </w:rPr>
        <w:t>التفاعل بين الذكاء العاطفي والقيادة التحويلية والالتزام التنظيمي كمحددات لنجاح المشاريع، مبرزةً أن القيادة التحويلية تمثل حلقة وصل بين القدرات العاطفية للقائد والنتائج المؤسسية الكلية. وقد اتجه</w:t>
      </w:r>
      <w:r w:rsidRPr="00502D23">
        <w:rPr>
          <w:rFonts w:ascii="Sakkal Majalla" w:eastAsia="Times New Roman" w:hAnsi="Sakkal Majalla" w:cs="Sakkal Majalla"/>
          <w:color w:val="000000" w:themeColor="text1"/>
          <w:kern w:val="0"/>
          <w:sz w:val="28"/>
          <w:szCs w:val="28"/>
          <w14:ligatures w14:val="none"/>
        </w:rPr>
        <w:t xml:space="preserve"> Yamin (2020) </w:t>
      </w:r>
      <w:r w:rsidRPr="00502D23">
        <w:rPr>
          <w:rFonts w:ascii="Sakkal Majalla" w:eastAsia="Times New Roman" w:hAnsi="Sakkal Majalla" w:cs="Sakkal Majalla"/>
          <w:color w:val="000000" w:themeColor="text1"/>
          <w:kern w:val="0"/>
          <w:sz w:val="28"/>
          <w:szCs w:val="28"/>
          <w:rtl/>
          <w14:ligatures w14:val="none"/>
        </w:rPr>
        <w:t>إلى فحص دور القيادة التحويلية والتوجه الريادي في الاحتفاظ بالعاملين في ظل الميزة التنافسية كمتغير معدل، وهو ما يكشف عن بعد استراتيجي آخر للقيادة التحويلية يتصل بإدارة رأس المال البشري. إن هذا التنوع في الزوايا البحثية يؤكد أن القيادة التحويلية مفهوم متعدد المخرجات يتجاوز حدود الأداء المباشر ليشمل الابتكار والتعلم والتمكين والاحتفاظ بالكفاءات</w:t>
      </w:r>
      <w:r w:rsidRPr="00502D23">
        <w:rPr>
          <w:rFonts w:ascii="Sakkal Majalla" w:eastAsia="Times New Roman" w:hAnsi="Sakkal Majalla" w:cs="Sakkal Majalla"/>
          <w:color w:val="000000" w:themeColor="text1"/>
          <w:kern w:val="0"/>
          <w:sz w:val="28"/>
          <w:szCs w:val="28"/>
          <w14:ligatures w14:val="none"/>
        </w:rPr>
        <w:t>.</w:t>
      </w:r>
    </w:p>
    <w:p w14:paraId="7F6B1988" w14:textId="17EC63B3" w:rsidR="00184327" w:rsidRPr="00502D23" w:rsidRDefault="00184327" w:rsidP="00184327">
      <w:pPr>
        <w:spacing w:before="100" w:beforeAutospacing="1" w:after="100" w:afterAutospacing="1"/>
        <w:outlineLvl w:val="2"/>
        <w:rPr>
          <w:rFonts w:ascii="Sakkal Majalla" w:eastAsia="Times New Roman" w:hAnsi="Sakkal Majalla" w:cs="Sakkal Majalla"/>
          <w:b/>
          <w:bCs/>
          <w:color w:val="000000" w:themeColor="text1"/>
          <w:kern w:val="0"/>
          <w:sz w:val="36"/>
          <w:szCs w:val="36"/>
          <w:rtl/>
          <w14:ligatures w14:val="none"/>
        </w:rPr>
      </w:pPr>
      <w:r w:rsidRPr="00502D23">
        <w:rPr>
          <w:rFonts w:ascii="Sakkal Majalla" w:eastAsia="Times New Roman" w:hAnsi="Sakkal Majalla" w:cs="Sakkal Majalla"/>
          <w:b/>
          <w:bCs/>
          <w:color w:val="000000" w:themeColor="text1"/>
          <w:kern w:val="0"/>
          <w:sz w:val="36"/>
          <w:szCs w:val="36"/>
          <w:rtl/>
          <w14:ligatures w14:val="none"/>
        </w:rPr>
        <w:br w:type="page"/>
      </w:r>
      <w:bookmarkStart w:id="34" w:name="_Toc222955049"/>
      <w:r w:rsidRPr="00502D23">
        <w:rPr>
          <w:rFonts w:ascii="Sakkal Majalla" w:eastAsia="Times New Roman" w:hAnsi="Sakkal Majalla" w:cs="Sakkal Majalla" w:hint="cs"/>
          <w:b/>
          <w:bCs/>
          <w:color w:val="000000" w:themeColor="text1"/>
          <w:kern w:val="0"/>
          <w:sz w:val="36"/>
          <w:szCs w:val="36"/>
          <w:rtl/>
          <w14:ligatures w14:val="none"/>
        </w:rPr>
        <w:lastRenderedPageBreak/>
        <w:t xml:space="preserve">2.1.2 </w:t>
      </w:r>
      <w:r w:rsidRPr="00502D23">
        <w:rPr>
          <w:rFonts w:ascii="Sakkal Majalla" w:eastAsia="Times New Roman" w:hAnsi="Sakkal Majalla" w:cs="Sakkal Majalla"/>
          <w:b/>
          <w:bCs/>
          <w:color w:val="000000" w:themeColor="text1"/>
          <w:kern w:val="0"/>
          <w:sz w:val="36"/>
          <w:szCs w:val="36"/>
          <w:rtl/>
          <w14:ligatures w14:val="none"/>
        </w:rPr>
        <w:t>مفهوم القيادة التحويلية وتطوره</w:t>
      </w:r>
      <w:bookmarkEnd w:id="34"/>
    </w:p>
    <w:p w14:paraId="68564EA5"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يُنسب التأسيس المفاهيمي للقيادة التحويلية إلى العالم السياسي جيمس ماكجريجور بيرنز الذي ميّز عام 1978 بين نمطين من القيادة: القيادة التبادلية القائمة على تبادل المنافع بين القائد والمرؤوسين، والقيادة التحويلية التي يسعى فيها القائد إلى الارتقاء بدوافع المرؤوسين واحتياجاتهم نحو مستويات أعلى من القيم والأهداف المشتركة. وقد نقل بيرناد باس هذا المفهوم من الحقل السياسي إلى الإدارة التنظيمية عام </w:t>
      </w:r>
      <w:r w:rsidRPr="00502D23">
        <w:rPr>
          <w:rFonts w:ascii="Sakkal Majalla" w:eastAsia="Times New Roman" w:hAnsi="Sakkal Majalla" w:cs="Sakkal Majalla"/>
          <w:color w:val="000000" w:themeColor="text1"/>
          <w:kern w:val="0"/>
          <w:sz w:val="28"/>
          <w:szCs w:val="28"/>
          <w14:ligatures w14:val="none"/>
        </w:rPr>
        <w:t xml:space="preserve">1985 </w:t>
      </w:r>
      <w:r w:rsidRPr="00502D23">
        <w:rPr>
          <w:rFonts w:ascii="Sakkal Majalla" w:eastAsia="Times New Roman" w:hAnsi="Sakkal Majalla" w:cs="Sakkal Majalla"/>
          <w:color w:val="000000" w:themeColor="text1"/>
          <w:kern w:val="0"/>
          <w:sz w:val="28"/>
          <w:szCs w:val="28"/>
          <w:rtl/>
          <w14:ligatures w14:val="none"/>
        </w:rPr>
        <w:t>حين صاغ نموذجه المعروف بـ "القيادة كاملة النطاق" الذي يضع القيادة التحويلية في أعلى سلم الفاعلية القيادية، ويصفها بأنها العملية التي يسعى القائد من خلالها إلى إحداث تغيير جوهري في قيم العاملين واتجاهاتهم وسلوكياتهم بما يتخطى حدود العلاقة التعاقدية التقليدية. ثم طوّر باس بالتعاون مع أفوليو مقياس القيادة متعدد العوامل الذي صار الأداة الأكثر استخدامًا في قياس هذا النمط القيادي عالميًا</w:t>
      </w:r>
      <w:r w:rsidRPr="00502D23">
        <w:rPr>
          <w:rFonts w:ascii="Sakkal Majalla" w:eastAsia="Times New Roman" w:hAnsi="Sakkal Majalla" w:cs="Sakkal Majalla"/>
          <w:color w:val="000000" w:themeColor="text1"/>
          <w:kern w:val="0"/>
          <w:sz w:val="28"/>
          <w:szCs w:val="28"/>
          <w14:ligatures w14:val="none"/>
        </w:rPr>
        <w:t>.</w:t>
      </w:r>
    </w:p>
    <w:p w14:paraId="5213F804"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وتتسم القيادة التحويلية وفق هذا التراث النظري بعدة خصائص جوهرية: فالقائد التحويلي يمتلك رؤية واضحة ومُلهمة يستطيع نقلها إلى العاملين بأسلوب يُثير حماسهم ويدفعهم إلى تبنيها بوصفها رؤيتهم الذاتية، كما يُعامل كل فرد بوصفه كيانًا فريدًا يحتاج إلى توجيه ودعم مخصصين، فضلًا عن تشجيعه للتساؤل النقدي والتفكير الإبداعي الذي يتحدى الافتراضات السائدة. وقد حظي هذا المفهوم باهتمام واسع في الأدبيات العربية؛ فقد عالجته دراسة الخصاونة (2021) من منظور أثره في البعد الإنساني والاجتماعي لبيئة العمل في قطاع الاتصالات الأردني، بينما تناولته عبدالقادر (2025) من منظور قدرته على تعزيز الإبداع في بيئة الأعمال الخاصة بإقليم كردستان العراق، وكلاهما اعتمد على أبعاد باس وأفوليو الأربعة إطارًا مرجعيًا. ومن الأدبيات الأجنبية، قدّم</w:t>
      </w:r>
      <w:r w:rsidRPr="00502D23">
        <w:rPr>
          <w:rFonts w:ascii="Sakkal Majalla" w:eastAsia="Times New Roman" w:hAnsi="Sakkal Majalla" w:cs="Sakkal Majalla"/>
          <w:color w:val="000000" w:themeColor="text1"/>
          <w:kern w:val="0"/>
          <w:sz w:val="28"/>
          <w:szCs w:val="28"/>
          <w14:ligatures w14:val="none"/>
        </w:rPr>
        <w:t xml:space="preserve"> Al</w:t>
      </w:r>
      <w:r w:rsidRPr="00502D23">
        <w:rPr>
          <w:rFonts w:ascii="Sakkal Majalla" w:eastAsia="Times New Roman" w:hAnsi="Sakkal Majalla" w:cs="Sakkal Majalla"/>
          <w:color w:val="000000" w:themeColor="text1"/>
          <w:kern w:val="0"/>
          <w:sz w:val="28"/>
          <w:szCs w:val="28"/>
          <w14:ligatures w14:val="none"/>
        </w:rPr>
        <w:noBreakHyphen/>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and Khan (2025) </w:t>
      </w:r>
      <w:r w:rsidRPr="00502D23">
        <w:rPr>
          <w:rFonts w:ascii="Sakkal Majalla" w:eastAsia="Times New Roman" w:hAnsi="Sakkal Majalla" w:cs="Sakkal Majalla"/>
          <w:color w:val="000000" w:themeColor="text1"/>
          <w:kern w:val="0"/>
          <w:sz w:val="28"/>
          <w:szCs w:val="28"/>
          <w:rtl/>
          <w14:ligatures w14:val="none"/>
        </w:rPr>
        <w:t>تعريفًا إجرائيًا للقيادة التحويلية بوصفها نمط القيادة الذي يُوظّف التأثير المثالي والتحفيز الإلهامي والاستثارة الفكرية والاعتبار الفردي لخلق ثقافة ابتكارية داخل المنظمة، وقد طبّق هذا التعريف على القطاع الخاص العماني باستخدام مقياس</w:t>
      </w:r>
      <w:r w:rsidRPr="00502D23">
        <w:rPr>
          <w:rFonts w:ascii="Sakkal Majalla" w:eastAsia="Times New Roman" w:hAnsi="Sakkal Majalla" w:cs="Sakkal Majalla"/>
          <w:color w:val="000000" w:themeColor="text1"/>
          <w:kern w:val="0"/>
          <w:sz w:val="28"/>
          <w:szCs w:val="28"/>
          <w14:ligatures w14:val="none"/>
        </w:rPr>
        <w:t xml:space="preserve"> MLQ </w:t>
      </w:r>
      <w:r w:rsidRPr="00502D23">
        <w:rPr>
          <w:rFonts w:ascii="Sakkal Majalla" w:eastAsia="Times New Roman" w:hAnsi="Sakkal Majalla" w:cs="Sakkal Majalla"/>
          <w:color w:val="000000" w:themeColor="text1"/>
          <w:kern w:val="0"/>
          <w:sz w:val="28"/>
          <w:szCs w:val="28"/>
          <w:rtl/>
          <w14:ligatures w14:val="none"/>
        </w:rPr>
        <w:t>المعدّل ضمن نمذجة المعادلات البنائية</w:t>
      </w:r>
      <w:r w:rsidRPr="00502D23">
        <w:rPr>
          <w:rFonts w:ascii="Sakkal Majalla" w:eastAsia="Times New Roman" w:hAnsi="Sakkal Majalla" w:cs="Sakkal Majalla"/>
          <w:color w:val="000000" w:themeColor="text1"/>
          <w:kern w:val="0"/>
          <w:sz w:val="28"/>
          <w:szCs w:val="28"/>
          <w14:ligatures w14:val="none"/>
        </w:rPr>
        <w:t>.</w:t>
      </w:r>
    </w:p>
    <w:p w14:paraId="631E96C1"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lastRenderedPageBreak/>
        <w:t>إن تعدد التعريفات يعكس اتساع المفهوم أكثر مما يعكس غموضه؛ فجميع التعريفات تتفق على جوهر واحد وهو أن القائد التحويلي يُحدث تغييرًا نوعيًا في مستوى وعي المرؤوسين ودافعيتهم وطموحهم، لكنها تختلف في التركيز على المخرج المستهدف: فبعضها يركز على الأداء الوظيفي كما عند</w:t>
      </w:r>
      <w:r w:rsidRPr="00502D23">
        <w:rPr>
          <w:rFonts w:ascii="Sakkal Majalla" w:eastAsia="Times New Roman" w:hAnsi="Sakkal Majalla" w:cs="Sakkal Majalla"/>
          <w:color w:val="000000" w:themeColor="text1"/>
          <w:kern w:val="0"/>
          <w:sz w:val="28"/>
          <w:szCs w:val="28"/>
          <w14:ligatures w14:val="none"/>
        </w:rPr>
        <w:t xml:space="preserve"> Lai et al. (2020)</w:t>
      </w:r>
      <w:r w:rsidRPr="00502D23">
        <w:rPr>
          <w:rFonts w:ascii="Sakkal Majalla" w:eastAsia="Times New Roman" w:hAnsi="Sakkal Majalla" w:cs="Sakkal Majalla"/>
          <w:color w:val="000000" w:themeColor="text1"/>
          <w:kern w:val="0"/>
          <w:sz w:val="28"/>
          <w:szCs w:val="28"/>
          <w:rtl/>
          <w14:ligatures w14:val="none"/>
        </w:rPr>
        <w:t>، وبعضها على نجاح المشاريع كما عند</w:t>
      </w:r>
      <w:r w:rsidRPr="00502D23">
        <w:rPr>
          <w:rFonts w:ascii="Sakkal Majalla" w:eastAsia="Times New Roman" w:hAnsi="Sakkal Majalla" w:cs="Sakkal Majalla"/>
          <w:color w:val="000000" w:themeColor="text1"/>
          <w:kern w:val="0"/>
          <w:sz w:val="28"/>
          <w:szCs w:val="28"/>
          <w14:ligatures w14:val="none"/>
        </w:rPr>
        <w:t xml:space="preserve"> Doan et al. (2020)</w:t>
      </w:r>
      <w:r w:rsidRPr="00502D23">
        <w:rPr>
          <w:rFonts w:ascii="Sakkal Majalla" w:eastAsia="Times New Roman" w:hAnsi="Sakkal Majalla" w:cs="Sakkal Majalla"/>
          <w:color w:val="000000" w:themeColor="text1"/>
          <w:kern w:val="0"/>
          <w:sz w:val="28"/>
          <w:szCs w:val="28"/>
          <w:rtl/>
          <w14:ligatures w14:val="none"/>
        </w:rPr>
        <w:t>، وبعضها على الاندماج الوظيفي كما عند</w:t>
      </w:r>
      <w:r w:rsidRPr="00502D23">
        <w:rPr>
          <w:rFonts w:ascii="Sakkal Majalla" w:eastAsia="Times New Roman" w:hAnsi="Sakkal Majalla" w:cs="Sakkal Majalla"/>
          <w:color w:val="000000" w:themeColor="text1"/>
          <w:kern w:val="0"/>
          <w:sz w:val="28"/>
          <w:szCs w:val="28"/>
          <w14:ligatures w14:val="none"/>
        </w:rPr>
        <w:t xml:space="preserve"> Monje</w:t>
      </w:r>
      <w:r w:rsidRPr="00502D23">
        <w:rPr>
          <w:rFonts w:ascii="Sakkal Majalla" w:eastAsia="Times New Roman" w:hAnsi="Sakkal Majalla" w:cs="Sakkal Majalla"/>
          <w:color w:val="000000" w:themeColor="text1"/>
          <w:kern w:val="0"/>
          <w:sz w:val="28"/>
          <w:szCs w:val="28"/>
          <w14:ligatures w14:val="none"/>
        </w:rPr>
        <w:noBreakHyphen/>
        <w:t>Amor et al. (2020)</w:t>
      </w:r>
      <w:r w:rsidRPr="00502D23">
        <w:rPr>
          <w:rFonts w:ascii="Sakkal Majalla" w:eastAsia="Times New Roman" w:hAnsi="Sakkal Majalla" w:cs="Sakkal Majalla"/>
          <w:color w:val="000000" w:themeColor="text1"/>
          <w:kern w:val="0"/>
          <w:sz w:val="28"/>
          <w:szCs w:val="28"/>
          <w:rtl/>
          <w14:ligatures w14:val="none"/>
        </w:rPr>
        <w:t>، وبعضها على الابتكار كما عند</w:t>
      </w:r>
      <w:r w:rsidRPr="00502D23">
        <w:rPr>
          <w:rFonts w:ascii="Sakkal Majalla" w:eastAsia="Times New Roman" w:hAnsi="Sakkal Majalla" w:cs="Sakkal Majalla"/>
          <w:color w:val="000000" w:themeColor="text1"/>
          <w:kern w:val="0"/>
          <w:sz w:val="28"/>
          <w:szCs w:val="28"/>
          <w14:ligatures w14:val="none"/>
        </w:rPr>
        <w:t xml:space="preserve"> Al</w:t>
      </w:r>
      <w:r w:rsidRPr="00502D23">
        <w:rPr>
          <w:rFonts w:ascii="Sakkal Majalla" w:eastAsia="Times New Roman" w:hAnsi="Sakkal Majalla" w:cs="Sakkal Majalla"/>
          <w:color w:val="000000" w:themeColor="text1"/>
          <w:kern w:val="0"/>
          <w:sz w:val="28"/>
          <w:szCs w:val="28"/>
          <w14:ligatures w14:val="none"/>
        </w:rPr>
        <w:noBreakHyphen/>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and Khan (2025). </w:t>
      </w:r>
      <w:r w:rsidRPr="00502D23">
        <w:rPr>
          <w:rFonts w:ascii="Sakkal Majalla" w:eastAsia="Times New Roman" w:hAnsi="Sakkal Majalla" w:cs="Sakkal Majalla"/>
          <w:color w:val="000000" w:themeColor="text1"/>
          <w:kern w:val="0"/>
          <w:sz w:val="28"/>
          <w:szCs w:val="28"/>
          <w:rtl/>
          <w14:ligatures w14:val="none"/>
        </w:rPr>
        <w:t>وتتبنى الدراسة الحالية المنظور الذي يربط القيادة التحويلية بالابتكار بوصفه المخرج الأكثر أهمية استراتيجية للمؤسسات الصغيرة والمتوسطة في بيئة تنافسية متسارعة</w:t>
      </w:r>
      <w:r w:rsidRPr="00502D23">
        <w:rPr>
          <w:rFonts w:ascii="Sakkal Majalla" w:eastAsia="Times New Roman" w:hAnsi="Sakkal Majalla" w:cs="Sakkal Majalla"/>
          <w:color w:val="000000" w:themeColor="text1"/>
          <w:kern w:val="0"/>
          <w:sz w:val="28"/>
          <w:szCs w:val="28"/>
          <w14:ligatures w14:val="none"/>
        </w:rPr>
        <w:t>.</w:t>
      </w:r>
    </w:p>
    <w:p w14:paraId="3D8C9167" w14:textId="73318220" w:rsidR="00184327" w:rsidRPr="00502D23" w:rsidRDefault="00184327" w:rsidP="0018432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5" w:name="_Toc222955050"/>
      <w:r w:rsidRPr="00502D23">
        <w:rPr>
          <w:rFonts w:ascii="Sakkal Majalla" w:eastAsia="Times New Roman" w:hAnsi="Sakkal Majalla" w:cs="Sakkal Majalla"/>
          <w:b/>
          <w:bCs/>
          <w:color w:val="000000" w:themeColor="text1"/>
          <w:kern w:val="0"/>
          <w:sz w:val="32"/>
          <w:szCs w:val="32"/>
          <w:rtl/>
          <w14:ligatures w14:val="none"/>
        </w:rPr>
        <w:t>3.1.2 أهمية القيادة التحويلية وأهدافها في السياق المؤسسي</w:t>
      </w:r>
      <w:bookmarkEnd w:id="35"/>
    </w:p>
    <w:p w14:paraId="01B09309"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تكتسب القيادة التحويلية أهميتها من قدرتها على تحقيق ثلاثة أهداف متكاملة تمس جوهر الأداء المؤسسي. الهدف الأول هو بناء رأس مال نفسي قوي لدى العاملين؛ فالقائد التحويلي عبر سلوكياته المُلهمة ورعايته الفردية يُسهم في تنمية شعور العاملين بالكفاءة الذاتية والأمل والتفاؤل والمرونة النفسية، وهذه الموارد النفسية تُشكّل القاعدة التي ينطلق منها السلوك الابتكاري والأداء المتميز. وقد استكشفت</w:t>
      </w:r>
      <w:r w:rsidRPr="00502D23">
        <w:rPr>
          <w:rFonts w:ascii="Sakkal Majalla" w:eastAsia="Times New Roman" w:hAnsi="Sakkal Majalla" w:cs="Sakkal Majalla"/>
          <w:color w:val="000000" w:themeColor="text1"/>
          <w:kern w:val="0"/>
          <w:sz w:val="28"/>
          <w:szCs w:val="28"/>
          <w14:ligatures w14:val="none"/>
        </w:rPr>
        <w:t xml:space="preserve"> Karimi et al. (2023) </w:t>
      </w:r>
      <w:r w:rsidRPr="00502D23">
        <w:rPr>
          <w:rFonts w:ascii="Sakkal Majalla" w:eastAsia="Times New Roman" w:hAnsi="Sakkal Majalla" w:cs="Sakkal Majalla"/>
          <w:color w:val="000000" w:themeColor="text1"/>
          <w:kern w:val="0"/>
          <w:sz w:val="28"/>
          <w:szCs w:val="28"/>
          <w:rtl/>
          <w14:ligatures w14:val="none"/>
        </w:rPr>
        <w:t>هذه العلاقة في سياق الخبراء الزراعيين الإيرانيين، حيث اعتمدت نمذجة المربعات الصغرى الجزئية لفحص الدور الوسيط لكل مكوّن من مكونات رأس المال النفسي بين القيادة التحويلية وسلوك العمل الابتكاري، مُقدّمةً تفكيكًا تحليليًا دقيقًا لمسارات التأثير بدلًا من الاكتفاء بقياس العلاقة الكلية المباشرة. وتُفيد هذه الزاوية البحث الحالي في فهم الآليات النفسية الفردية التي تنقل أثر القيادة إلى سلوك الابتكار</w:t>
      </w:r>
      <w:r w:rsidRPr="00502D23">
        <w:rPr>
          <w:rFonts w:ascii="Sakkal Majalla" w:eastAsia="Times New Roman" w:hAnsi="Sakkal Majalla" w:cs="Sakkal Majalla"/>
          <w:color w:val="000000" w:themeColor="text1"/>
          <w:kern w:val="0"/>
          <w:sz w:val="28"/>
          <w:szCs w:val="28"/>
          <w14:ligatures w14:val="none"/>
        </w:rPr>
        <w:t>.</w:t>
      </w:r>
    </w:p>
    <w:p w14:paraId="6E057B16"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الهدف الثاني هو خلق بنية تنظيمية تمكينية تُيسّر تدفق المعلومات وتبادل المعرفة. فالقائد التحويلي لا يكتفي بالتأثير المباشر في الأفراد بل يسعى إلى تصميم بيئة عمل تمنح العاملين الصلاحيات والموارد والمعلومات اللازمة للمبادرة والابتكار. وقد عالجت</w:t>
      </w:r>
      <w:r w:rsidRPr="00502D23">
        <w:rPr>
          <w:rFonts w:ascii="Sakkal Majalla" w:eastAsia="Times New Roman" w:hAnsi="Sakkal Majalla" w:cs="Sakkal Majalla"/>
          <w:color w:val="000000" w:themeColor="text1"/>
          <w:kern w:val="0"/>
          <w:sz w:val="28"/>
          <w:szCs w:val="28"/>
          <w14:ligatures w14:val="none"/>
        </w:rPr>
        <w:t xml:space="preserve"> Monje</w:t>
      </w:r>
      <w:r w:rsidRPr="00502D23">
        <w:rPr>
          <w:rFonts w:ascii="Sakkal Majalla" w:eastAsia="Times New Roman" w:hAnsi="Sakkal Majalla" w:cs="Sakkal Majalla"/>
          <w:color w:val="000000" w:themeColor="text1"/>
          <w:kern w:val="0"/>
          <w:sz w:val="28"/>
          <w:szCs w:val="28"/>
          <w14:ligatures w14:val="none"/>
        </w:rPr>
        <w:noBreakHyphen/>
        <w:t xml:space="preserve">Amor et al. (2020) </w:t>
      </w:r>
      <w:r w:rsidRPr="00502D23">
        <w:rPr>
          <w:rFonts w:ascii="Sakkal Majalla" w:eastAsia="Times New Roman" w:hAnsi="Sakkal Majalla" w:cs="Sakkal Majalla"/>
          <w:color w:val="000000" w:themeColor="text1"/>
          <w:kern w:val="0"/>
          <w:sz w:val="28"/>
          <w:szCs w:val="28"/>
          <w:rtl/>
          <w14:ligatures w14:val="none"/>
        </w:rPr>
        <w:t xml:space="preserve">هذا البعد من خلال فحص الدور الوسيط للتمكين الهيكلي بين القيادة التحويلية والاندماج الوظيفي في سياق أوروبي، مُبرزةً أن التمكين الهيكلي ليس مجرد نتيجة للقيادة بل آلية تنظيمية تُضاعف أثرها. كما تناول الرشيدي </w:t>
      </w:r>
      <w:r w:rsidRPr="00502D23">
        <w:rPr>
          <w:rFonts w:ascii="Sakkal Majalla" w:eastAsia="Times New Roman" w:hAnsi="Sakkal Majalla" w:cs="Sakkal Majalla"/>
          <w:color w:val="000000" w:themeColor="text1"/>
          <w:kern w:val="0"/>
          <w:sz w:val="28"/>
          <w:szCs w:val="28"/>
          <w:rtl/>
          <w14:ligatures w14:val="none"/>
        </w:rPr>
        <w:lastRenderedPageBreak/>
        <w:t>(2025) آلية تنظيمية مكمّلة وهي مشاركة المعرفة بوصفها وسيطًا بين القيادة التحويلية والتطوير التنظيمي في بيئة حكومية كويتية، وهو ما يُبرز أن أثر القيادة التحويلية يتضاعف حين تتوافر قنوات فاعلة لنشر المعرفة وتدويرها بين الوحدات التنظيمية. وفي السياق ذاته، اعتمد محمود (2025) على قدرات التعلم التنظيمي كوسيط تفسيري بين القيادة التحويلية والابتكار المقتصد في المستشفيات الجامعية المصرية، مؤكدًا أن المنظمة التي تمتلك قدرات تعلم راسخة تكون أقدر على تحويل الممارسات القيادية التحويلية إلى ابتكارات فعلية</w:t>
      </w:r>
      <w:r w:rsidRPr="00502D23">
        <w:rPr>
          <w:rFonts w:ascii="Sakkal Majalla" w:eastAsia="Times New Roman" w:hAnsi="Sakkal Majalla" w:cs="Sakkal Majalla"/>
          <w:color w:val="000000" w:themeColor="text1"/>
          <w:kern w:val="0"/>
          <w:sz w:val="28"/>
          <w:szCs w:val="28"/>
          <w14:ligatures w14:val="none"/>
        </w:rPr>
        <w:t>.</w:t>
      </w:r>
    </w:p>
    <w:p w14:paraId="634FEB63"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أما الهدف الثالث فهو تعزيز الميزة التنافسية المستدامة عبر الاحتفاظ بالكفاءات البشرية وتوجيه طاقاتها نحو الريادة والابتكار. ففي بيئة تتسم بحرب المواهب، يصبح القائد التحويلي عامل جذب واستبقاء للعاملين المتميزين الذين يشعرون بأنهم ينتمون إلى مشروع أكبر من مجرد وظيفة. وقد فحص</w:t>
      </w:r>
      <w:r w:rsidRPr="00502D23">
        <w:rPr>
          <w:rFonts w:ascii="Sakkal Majalla" w:eastAsia="Times New Roman" w:hAnsi="Sakkal Majalla" w:cs="Sakkal Majalla"/>
          <w:color w:val="000000" w:themeColor="text1"/>
          <w:kern w:val="0"/>
          <w:sz w:val="28"/>
          <w:szCs w:val="28"/>
          <w14:ligatures w14:val="none"/>
        </w:rPr>
        <w:t xml:space="preserve"> Yamin (2020) </w:t>
      </w:r>
      <w:r w:rsidRPr="00502D23">
        <w:rPr>
          <w:rFonts w:ascii="Sakkal Majalla" w:eastAsia="Times New Roman" w:hAnsi="Sakkal Majalla" w:cs="Sakkal Majalla"/>
          <w:color w:val="000000" w:themeColor="text1"/>
          <w:kern w:val="0"/>
          <w:sz w:val="28"/>
          <w:szCs w:val="28"/>
          <w:rtl/>
          <w14:ligatures w14:val="none"/>
        </w:rPr>
        <w:t>هذا البعد من خلال تحليل دور القيادة التحويلية والتوجه الريادي في الاحتفاظ بالموظفين مع اختبار الأثر المعدّل للميزة التنافسية، مُقدّمًا رؤية مركّبة تجمع بين القيادة وريادة الأعمال والمنافسة في نموذج واحد. وتتقاطع هذه الزاوية مع ما أشار إليه الجرايدة والعون (2021) من أن القيادة التحويلية تُمثّل متغيرًا وسيطًا في العلاقة بين الابتكار الاستراتيجي والأداء التنظيمي في الشركات الريادية الأردنية، بما يعني أن فاعلية الابتكار ذاته تتوقف جزئيًا على وجود قيادة تحويلية تُوجّهه وتدعمه. إن هذه الأهداف الثلاثة مجتمعةً تجعل من القيادة التحويلية ضرورة استراتيجية للمؤسسات الصغيرة والمتوسطة التي تسعى للتنافس والنمو في اقتصاد المعرفة</w:t>
      </w:r>
      <w:r w:rsidRPr="00502D23">
        <w:rPr>
          <w:rFonts w:ascii="Sakkal Majalla" w:eastAsia="Times New Roman" w:hAnsi="Sakkal Majalla" w:cs="Sakkal Majalla"/>
          <w:color w:val="000000" w:themeColor="text1"/>
          <w:kern w:val="0"/>
          <w:sz w:val="28"/>
          <w:szCs w:val="28"/>
          <w14:ligatures w14:val="none"/>
        </w:rPr>
        <w:t>.</w:t>
      </w:r>
    </w:p>
    <w:p w14:paraId="2A8B7AB6" w14:textId="696E2845" w:rsidR="00184327" w:rsidRPr="00502D23" w:rsidRDefault="00184327" w:rsidP="00184327">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6" w:name="_Toc222955051"/>
      <w:r w:rsidRPr="00502D23">
        <w:rPr>
          <w:rFonts w:ascii="Sakkal Majalla" w:eastAsia="Times New Roman" w:hAnsi="Sakkal Majalla" w:cs="Sakkal Majalla"/>
          <w:b/>
          <w:bCs/>
          <w:color w:val="000000" w:themeColor="text1"/>
          <w:kern w:val="0"/>
          <w:sz w:val="32"/>
          <w:szCs w:val="32"/>
          <w:rtl/>
          <w14:ligatures w14:val="none"/>
        </w:rPr>
        <w:t>4.1.2 أبعاد القيادة التحويلية</w:t>
      </w:r>
      <w:bookmarkEnd w:id="36"/>
    </w:p>
    <w:p w14:paraId="5FCEC25E"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اعتمدت الدراسة الحالية على أبعاد نموذج باس وأفوليو الأربعة بوصفها الأكثر رسوخًا واتساقًا في الأدبيات الإدارية، وهي الأبعاد ذاتها التي تبنتها معظم الدراسات المرجعية في هذا البحث سواء العربية منها أو الأجنبية (الخصاونة، 2021؛</w:t>
      </w:r>
      <w:r w:rsidRPr="00502D23">
        <w:rPr>
          <w:rFonts w:ascii="Sakkal Majalla" w:eastAsia="Times New Roman" w:hAnsi="Sakkal Majalla" w:cs="Sakkal Majalla"/>
          <w:color w:val="000000" w:themeColor="text1"/>
          <w:kern w:val="0"/>
          <w:sz w:val="28"/>
          <w:szCs w:val="28"/>
          <w14:ligatures w14:val="none"/>
        </w:rPr>
        <w:t xml:space="preserve"> Al</w:t>
      </w:r>
      <w:r w:rsidRPr="00502D23">
        <w:rPr>
          <w:rFonts w:ascii="Sakkal Majalla" w:eastAsia="Times New Roman" w:hAnsi="Sakkal Majalla" w:cs="Sakkal Majalla"/>
          <w:color w:val="000000" w:themeColor="text1"/>
          <w:kern w:val="0"/>
          <w:sz w:val="28"/>
          <w:szCs w:val="28"/>
          <w14:ligatures w14:val="none"/>
        </w:rPr>
        <w:noBreakHyphen/>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&amp; Khan, 2025</w:t>
      </w:r>
      <w:r w:rsidRPr="00502D23">
        <w:rPr>
          <w:rFonts w:ascii="Sakkal Majalla" w:eastAsia="Times New Roman" w:hAnsi="Sakkal Majalla" w:cs="Sakkal Majalla"/>
          <w:color w:val="000000" w:themeColor="text1"/>
          <w:kern w:val="0"/>
          <w:sz w:val="28"/>
          <w:szCs w:val="28"/>
          <w:rtl/>
          <w14:ligatures w14:val="none"/>
        </w:rPr>
        <w:t>؛</w:t>
      </w:r>
      <w:r w:rsidRPr="00502D23">
        <w:rPr>
          <w:rFonts w:ascii="Sakkal Majalla" w:eastAsia="Times New Roman" w:hAnsi="Sakkal Majalla" w:cs="Sakkal Majalla"/>
          <w:color w:val="000000" w:themeColor="text1"/>
          <w:kern w:val="0"/>
          <w:sz w:val="28"/>
          <w:szCs w:val="28"/>
          <w14:ligatures w14:val="none"/>
        </w:rPr>
        <w:t xml:space="preserve"> Lai et al., 2020). </w:t>
      </w:r>
      <w:r w:rsidRPr="00502D23">
        <w:rPr>
          <w:rFonts w:ascii="Sakkal Majalla" w:eastAsia="Times New Roman" w:hAnsi="Sakkal Majalla" w:cs="Sakkal Majalla"/>
          <w:color w:val="000000" w:themeColor="text1"/>
          <w:kern w:val="0"/>
          <w:sz w:val="28"/>
          <w:szCs w:val="28"/>
          <w:rtl/>
          <w14:ligatures w14:val="none"/>
        </w:rPr>
        <w:t>وفيما يأتي عرض تفصيلي لكل بعد من هذه الأبعاد</w:t>
      </w:r>
      <w:r w:rsidRPr="00502D23">
        <w:rPr>
          <w:rFonts w:ascii="Sakkal Majalla" w:eastAsia="Times New Roman" w:hAnsi="Sakkal Majalla" w:cs="Sakkal Majalla"/>
          <w:color w:val="000000" w:themeColor="text1"/>
          <w:kern w:val="0"/>
          <w:sz w:val="28"/>
          <w:szCs w:val="28"/>
          <w14:ligatures w14:val="none"/>
        </w:rPr>
        <w:t>.</w:t>
      </w:r>
    </w:p>
    <w:p w14:paraId="1A037F1F"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lastRenderedPageBreak/>
        <w:t>البعد الأول</w:t>
      </w:r>
      <w:r w:rsidRPr="00502D23">
        <w:rPr>
          <w:rFonts w:ascii="Sakkal Majalla" w:eastAsia="Times New Roman" w:hAnsi="Sakkal Majalla" w:cs="Sakkal Majalla"/>
          <w:color w:val="000000" w:themeColor="text1"/>
          <w:kern w:val="0"/>
          <w:sz w:val="28"/>
          <w:szCs w:val="28"/>
          <w:rtl/>
          <w14:ligatures w14:val="none"/>
        </w:rPr>
        <w:t>: التأثير المثالي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يُشير هذا البعد إلى قدرة القائد على أن يكون نموذجًا يُحتذى من خلال سلوكه الأخلاقي واتساق أقواله مع أفعاله، مما يُولّد لدى المرؤوسين شعورًا عميقًا بالاحترام والثقة والإعجاب يدفعهم إلى التماهي معه وتبني قيمه. إن القائد الذي يتمتع بتأثير مثالي مرتفع يضع مصلحة المنظمة فوق مصلحته الشخصية ويُظهر التزامًا ثابتًا بالمبادئ حتى في ظروف الضغط وعدم اليقين، وهو ما يُنشئ قاعدة نفسية آمنة تُشجّع العاملين على المخاطرة المحسوبة وتجريب الأفكار الجديدة دون خوف من العقاب. وقد أبرزت دراسة</w:t>
      </w:r>
      <w:r w:rsidRPr="00502D23">
        <w:rPr>
          <w:rFonts w:ascii="Sakkal Majalla" w:eastAsia="Times New Roman" w:hAnsi="Sakkal Majalla" w:cs="Sakkal Majalla"/>
          <w:color w:val="000000" w:themeColor="text1"/>
          <w:kern w:val="0"/>
          <w:sz w:val="28"/>
          <w:szCs w:val="28"/>
          <w14:ligatures w14:val="none"/>
        </w:rPr>
        <w:t xml:space="preserve"> Al</w:t>
      </w:r>
      <w:r w:rsidRPr="00502D23">
        <w:rPr>
          <w:rFonts w:ascii="Sakkal Majalla" w:eastAsia="Times New Roman" w:hAnsi="Sakkal Majalla" w:cs="Sakkal Majalla"/>
          <w:color w:val="000000" w:themeColor="text1"/>
          <w:kern w:val="0"/>
          <w:sz w:val="28"/>
          <w:szCs w:val="28"/>
          <w14:ligatures w14:val="none"/>
        </w:rPr>
        <w:noBreakHyphen/>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and Khan (2025) </w:t>
      </w:r>
      <w:r w:rsidRPr="00502D23">
        <w:rPr>
          <w:rFonts w:ascii="Sakkal Majalla" w:eastAsia="Times New Roman" w:hAnsi="Sakkal Majalla" w:cs="Sakkal Majalla"/>
          <w:color w:val="000000" w:themeColor="text1"/>
          <w:kern w:val="0"/>
          <w:sz w:val="28"/>
          <w:szCs w:val="28"/>
          <w:rtl/>
          <w14:ligatures w14:val="none"/>
        </w:rPr>
        <w:t xml:space="preserve">أن التأثير المثالي كان البعد الأكثر تفسيرًا لتباين ثقافة الابتكار في القطاع الخاص العماني مقارنة بالأبعاد الثلاثة الأخرى، كما تفاوت أثره بين القطاعات الصناعية وغير الصناعية عبر تحليل المجموعات المتعددة، مما يشير إلى أن أهمية القدوة القيادية تتباين وفقًا لطبيعة الصناعة ومستوى المخاطر المرتبطة بها. وفي السياق العربي، أكدت عبدالقادر </w:t>
      </w:r>
      <w:r w:rsidRPr="00502D23">
        <w:rPr>
          <w:rFonts w:ascii="Sakkal Majalla" w:eastAsia="Times New Roman" w:hAnsi="Sakkal Majalla" w:cs="Sakkal Majalla"/>
          <w:color w:val="000000" w:themeColor="text1"/>
          <w:kern w:val="0"/>
          <w:sz w:val="28"/>
          <w:szCs w:val="28"/>
          <w14:ligatures w14:val="none"/>
        </w:rPr>
        <w:t xml:space="preserve">(2025) </w:t>
      </w:r>
      <w:r w:rsidRPr="00502D23">
        <w:rPr>
          <w:rFonts w:ascii="Sakkal Majalla" w:eastAsia="Times New Roman" w:hAnsi="Sakkal Majalla" w:cs="Sakkal Majalla"/>
          <w:color w:val="000000" w:themeColor="text1"/>
          <w:kern w:val="0"/>
          <w:sz w:val="28"/>
          <w:szCs w:val="28"/>
          <w:rtl/>
          <w14:ligatures w14:val="none"/>
        </w:rPr>
        <w:t>على أن التأثير المثالي يُمثّل الحجر الأساس الذي تنبني عليه بقية أبعاد القيادة التحويلية في تعزيز الإبداع التنظيمي، حيث لا يمكن للقائد أن يُلهم أو يُحفّز أو يراعي الفروق الفردية ما لم يكن أولًا موضع ثقة واحترام</w:t>
      </w:r>
      <w:r w:rsidRPr="00502D23">
        <w:rPr>
          <w:rFonts w:ascii="Sakkal Majalla" w:eastAsia="Times New Roman" w:hAnsi="Sakkal Majalla" w:cs="Sakkal Majalla"/>
          <w:color w:val="000000" w:themeColor="text1"/>
          <w:kern w:val="0"/>
          <w:sz w:val="28"/>
          <w:szCs w:val="28"/>
          <w14:ligatures w14:val="none"/>
        </w:rPr>
        <w:t>.</w:t>
      </w:r>
    </w:p>
    <w:p w14:paraId="13307C1D"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الثاني</w:t>
      </w:r>
      <w:r w:rsidRPr="00502D23">
        <w:rPr>
          <w:rFonts w:ascii="Sakkal Majalla" w:eastAsia="Times New Roman" w:hAnsi="Sakkal Majalla" w:cs="Sakkal Majalla"/>
          <w:color w:val="000000" w:themeColor="text1"/>
          <w:kern w:val="0"/>
          <w:sz w:val="28"/>
          <w:szCs w:val="28"/>
          <w:rtl/>
          <w14:ligatures w14:val="none"/>
        </w:rPr>
        <w:t>: التحفيز الإلهامي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يتعلق هذا البعد بقدرة القائد على صياغة رؤية مستقبلية جذابة وتوصيلها للعاملين بأسلوب يُثير حماسهم ويمنح عملهم اليومي معنى أعمق. فالقائد المُلهم لا يكتفي بتحديد الأهداف بل يربطها بقيم أسمى ويرسم صورة حيّة للمستقبل المنشود، مما يخلق طاقة جماعية تدفع الفريق نحو تحقيق إنجازات تفوق التوقعات. ويُعدّ التحفيز الإلهامي عنصرًا حاسمًا في سياق المؤسسات الصغيرة والمتوسطة التي تفتقر غالبًا إلى الموارد المادية الكافية لتحفيز العاملين ماديًا، فيصبح الإلهام القيادي بديلًا فعّالًا يُعوّض شح الموارد بوفرة الحافز المعنوي. وقد عالجت الخصاونة (2021) هذا البعد ضمن إطار جودة حياة العمل في شركات الاتصالات الأردنية، حيث ربط بين قدرة القائد على بث الحماس والإلهام وبين شعور العاملين بجودة حياتهم المهنية. كما أن</w:t>
      </w:r>
      <w:r w:rsidRPr="00502D23">
        <w:rPr>
          <w:rFonts w:ascii="Sakkal Majalla" w:eastAsia="Times New Roman" w:hAnsi="Sakkal Majalla" w:cs="Sakkal Majalla"/>
          <w:color w:val="000000" w:themeColor="text1"/>
          <w:kern w:val="0"/>
          <w:sz w:val="28"/>
          <w:szCs w:val="28"/>
          <w14:ligatures w14:val="none"/>
        </w:rPr>
        <w:t xml:space="preserve"> Lai et al. (2020) </w:t>
      </w:r>
      <w:r w:rsidRPr="00502D23">
        <w:rPr>
          <w:rFonts w:ascii="Sakkal Majalla" w:eastAsia="Times New Roman" w:hAnsi="Sakkal Majalla" w:cs="Sakkal Majalla"/>
          <w:color w:val="000000" w:themeColor="text1"/>
          <w:kern w:val="0"/>
          <w:sz w:val="28"/>
          <w:szCs w:val="28"/>
          <w:rtl/>
          <w14:ligatures w14:val="none"/>
        </w:rPr>
        <w:t>أوضحا أن التحفيز الإلهامي يُسهم في رفع مستوى الاندماج الوظيفي الذي يُعدّ شرطًا ضروريًا لتحويل الطاقة النفسية إلى أداء فعلي متميز</w:t>
      </w:r>
      <w:r w:rsidRPr="00502D23">
        <w:rPr>
          <w:rFonts w:ascii="Sakkal Majalla" w:eastAsia="Times New Roman" w:hAnsi="Sakkal Majalla" w:cs="Sakkal Majalla"/>
          <w:color w:val="000000" w:themeColor="text1"/>
          <w:kern w:val="0"/>
          <w:sz w:val="28"/>
          <w:szCs w:val="28"/>
          <w14:ligatures w14:val="none"/>
        </w:rPr>
        <w:t>.</w:t>
      </w:r>
    </w:p>
    <w:p w14:paraId="461632AF"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الثالث</w:t>
      </w:r>
      <w:r w:rsidRPr="00502D23">
        <w:rPr>
          <w:rFonts w:ascii="Sakkal Majalla" w:eastAsia="Times New Roman" w:hAnsi="Sakkal Majalla" w:cs="Sakkal Majalla"/>
          <w:color w:val="000000" w:themeColor="text1"/>
          <w:kern w:val="0"/>
          <w:sz w:val="28"/>
          <w:szCs w:val="28"/>
          <w:rtl/>
          <w14:ligatures w14:val="none"/>
        </w:rPr>
        <w:t>: الاستثارة الفكرية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يدل هذا البعد على ممارسة القائد لتحدي الافتراضات السائدة وتشجيع المرؤوسين على التفكير النقدي وإعادة صياغة المشكلات من زوايا جديدة وطرح حلول مبتكرة دون </w:t>
      </w:r>
      <w:r w:rsidRPr="00502D23">
        <w:rPr>
          <w:rFonts w:ascii="Sakkal Majalla" w:eastAsia="Times New Roman" w:hAnsi="Sakkal Majalla" w:cs="Sakkal Majalla"/>
          <w:color w:val="000000" w:themeColor="text1"/>
          <w:kern w:val="0"/>
          <w:sz w:val="28"/>
          <w:szCs w:val="28"/>
          <w:rtl/>
          <w14:ligatures w14:val="none"/>
        </w:rPr>
        <w:lastRenderedPageBreak/>
        <w:t>التقيد بالأساليب التقليدية. إن القائد الذي يمارس الاستثارة الفكرية لا يُعاقب على الخطأ بل يتعامل معه بوصفه فرصة للتعلم، ولا يفرض رأيه بل يطرح أسئلة تُحفّز التفكير العميق، وهو بذلك يُنشئ بيئة نفسية آمنة تُمثّل الحاضنة الطبيعية للابتكار. وتبرز أهمية هذا البعد بشكل خاص في دراسة</w:t>
      </w:r>
      <w:r w:rsidRPr="00502D23">
        <w:rPr>
          <w:rFonts w:ascii="Sakkal Majalla" w:eastAsia="Times New Roman" w:hAnsi="Sakkal Majalla" w:cs="Sakkal Majalla"/>
          <w:color w:val="000000" w:themeColor="text1"/>
          <w:kern w:val="0"/>
          <w:sz w:val="28"/>
          <w:szCs w:val="28"/>
          <w14:ligatures w14:val="none"/>
        </w:rPr>
        <w:t xml:space="preserve"> Karimi et al. (2023) </w:t>
      </w:r>
      <w:r w:rsidRPr="00502D23">
        <w:rPr>
          <w:rFonts w:ascii="Sakkal Majalla" w:eastAsia="Times New Roman" w:hAnsi="Sakkal Majalla" w:cs="Sakkal Majalla"/>
          <w:color w:val="000000" w:themeColor="text1"/>
          <w:kern w:val="0"/>
          <w:sz w:val="28"/>
          <w:szCs w:val="28"/>
          <w:rtl/>
          <w14:ligatures w14:val="none"/>
        </w:rPr>
        <w:t>التي أظهرت أن الاستثارة الفكرية ترتبط بتنمية الكفاءة الذاتية لدى العاملين الزراعيين الإيرانيين، فحين يُشجَّع الفرد على التفكير المستقل يزداد إيمانه بقدرته على تقديم أفكار ذات قيمة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وفي السياق المؤسسي الفيتنامي، أشارت</w:t>
      </w:r>
      <w:r w:rsidRPr="00502D23">
        <w:rPr>
          <w:rFonts w:ascii="Sakkal Majalla" w:eastAsia="Times New Roman" w:hAnsi="Sakkal Majalla" w:cs="Sakkal Majalla"/>
          <w:color w:val="000000" w:themeColor="text1"/>
          <w:kern w:val="0"/>
          <w:sz w:val="28"/>
          <w:szCs w:val="28"/>
          <w14:ligatures w14:val="none"/>
        </w:rPr>
        <w:t xml:space="preserve"> Hoai, Hung and Nguyen (2022) </w:t>
      </w:r>
      <w:r w:rsidRPr="00502D23">
        <w:rPr>
          <w:rFonts w:ascii="Sakkal Majalla" w:eastAsia="Times New Roman" w:hAnsi="Sakkal Majalla" w:cs="Sakkal Majalla"/>
          <w:color w:val="000000" w:themeColor="text1"/>
          <w:kern w:val="0"/>
          <w:sz w:val="28"/>
          <w:szCs w:val="28"/>
          <w:rtl/>
          <w14:ligatures w14:val="none"/>
        </w:rPr>
        <w:t>إلى أن الاستثارة الفكرية تُعدّل العلاقة بين أنظمة الرقابة الداخلية وكثافة الابتكار في منظمات القطاع العام، بما يعني أن أنظمة الرقابة التي قد تُقيّد الابتكار في ظل قيادة تقليدية يمكن أن تتحول إلى محفّز له حين يُمارس القائد الاستثارة الفكرية ويُعيد تأطير الرقابة بوصفها أداة تعلم وتحسين لا أداة عقاب ومحاسبة</w:t>
      </w:r>
      <w:r w:rsidRPr="00502D23">
        <w:rPr>
          <w:rFonts w:ascii="Sakkal Majalla" w:eastAsia="Times New Roman" w:hAnsi="Sakkal Majalla" w:cs="Sakkal Majalla"/>
          <w:color w:val="000000" w:themeColor="text1"/>
          <w:kern w:val="0"/>
          <w:sz w:val="28"/>
          <w:szCs w:val="28"/>
          <w14:ligatures w14:val="none"/>
        </w:rPr>
        <w:t>.</w:t>
      </w:r>
    </w:p>
    <w:p w14:paraId="5CA34EB8" w14:textId="77777777" w:rsidR="00A23AAB" w:rsidRPr="00502D23" w:rsidRDefault="00A23AAB" w:rsidP="0018432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الرابع</w:t>
      </w:r>
      <w:r w:rsidRPr="00502D23">
        <w:rPr>
          <w:rFonts w:ascii="Sakkal Majalla" w:eastAsia="Times New Roman" w:hAnsi="Sakkal Majalla" w:cs="Sakkal Majalla"/>
          <w:color w:val="000000" w:themeColor="text1"/>
          <w:kern w:val="0"/>
          <w:sz w:val="28"/>
          <w:szCs w:val="28"/>
          <w:rtl/>
          <w14:ligatures w14:val="none"/>
        </w:rPr>
        <w:t>: الاعتبار الفردي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يعكس هذا البعد اهتمام القائد بكل فرد من أفراد فريقه بوصفه شخصية متفردة لها احتياجات تنموية ودوافع وطموحات مختلفة عن غيرها. يتجلى ذلك في التوجيه والإرشاد الشخصي وتفويض المهام وفقًا لقدرات كل فرد وتوفير فرص التدريب والتطوير المناسبة. ويتجاوز الاعتبار الفردي مجرد الاهتمام العاطفي إلى بناء علاقة تطويرية تُسهم في تنمية إمكانات العامل وإعداده لتحمل مسؤوليات أكبر. وقد أسهمت</w:t>
      </w:r>
      <w:r w:rsidRPr="00502D23">
        <w:rPr>
          <w:rFonts w:ascii="Sakkal Majalla" w:eastAsia="Times New Roman" w:hAnsi="Sakkal Majalla" w:cs="Sakkal Majalla"/>
          <w:color w:val="000000" w:themeColor="text1"/>
          <w:kern w:val="0"/>
          <w:sz w:val="28"/>
          <w:szCs w:val="28"/>
          <w14:ligatures w14:val="none"/>
        </w:rPr>
        <w:t xml:space="preserve"> Monje</w:t>
      </w:r>
      <w:r w:rsidRPr="00502D23">
        <w:rPr>
          <w:rFonts w:ascii="Sakkal Majalla" w:eastAsia="Times New Roman" w:hAnsi="Sakkal Majalla" w:cs="Sakkal Majalla"/>
          <w:color w:val="000000" w:themeColor="text1"/>
          <w:kern w:val="0"/>
          <w:sz w:val="28"/>
          <w:szCs w:val="28"/>
          <w14:ligatures w14:val="none"/>
        </w:rPr>
        <w:noBreakHyphen/>
        <w:t xml:space="preserve">Amor et al. (2020) </w:t>
      </w:r>
      <w:r w:rsidRPr="00502D23">
        <w:rPr>
          <w:rFonts w:ascii="Sakkal Majalla" w:eastAsia="Times New Roman" w:hAnsi="Sakkal Majalla" w:cs="Sakkal Majalla"/>
          <w:color w:val="000000" w:themeColor="text1"/>
          <w:kern w:val="0"/>
          <w:sz w:val="28"/>
          <w:szCs w:val="28"/>
          <w:rtl/>
          <w14:ligatures w14:val="none"/>
        </w:rPr>
        <w:t xml:space="preserve">في تعميق فهم هذا البعد حين أوضحتا أن الاعتبار الفردي يُسهم في تشكيل التمكين الهيكلي الذي يمنح العاملين إحساسًا بالاستقلالية والأهمية والمشاركة في صنع القرار. كما أن </w:t>
      </w:r>
      <w:r w:rsidRPr="00502D23">
        <w:rPr>
          <w:rFonts w:ascii="Sakkal Majalla" w:eastAsia="Times New Roman" w:hAnsi="Sakkal Majalla" w:cs="Sakkal Majalla"/>
          <w:color w:val="000000" w:themeColor="text1"/>
          <w:kern w:val="0"/>
          <w:sz w:val="28"/>
          <w:szCs w:val="28"/>
          <w14:ligatures w14:val="none"/>
        </w:rPr>
        <w:t xml:space="preserve">Doan et al. (2020) </w:t>
      </w:r>
      <w:r w:rsidRPr="00502D23">
        <w:rPr>
          <w:rFonts w:ascii="Sakkal Majalla" w:eastAsia="Times New Roman" w:hAnsi="Sakkal Majalla" w:cs="Sakkal Majalla"/>
          <w:color w:val="000000" w:themeColor="text1"/>
          <w:kern w:val="0"/>
          <w:sz w:val="28"/>
          <w:szCs w:val="28"/>
          <w:rtl/>
          <w14:ligatures w14:val="none"/>
        </w:rPr>
        <w:t>ربطتا بين الاعتبار الفردي والذكاء العاطفي للقائد، مشيرتين إلى أن القائد الذي يمتلك حساسية عاطفية عالية يستطيع فهم الاحتياجات غير المعلنة لمرؤوسيه وتقديم الدعم المناسب في الوقت المناسب</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وتتقاطع هذه الفكرة مع ما أشار إليه</w:t>
      </w:r>
      <w:r w:rsidRPr="00502D23">
        <w:rPr>
          <w:rFonts w:ascii="Sakkal Majalla" w:eastAsia="Times New Roman" w:hAnsi="Sakkal Majalla" w:cs="Sakkal Majalla"/>
          <w:color w:val="000000" w:themeColor="text1"/>
          <w:kern w:val="0"/>
          <w:sz w:val="28"/>
          <w:szCs w:val="28"/>
          <w14:ligatures w14:val="none"/>
        </w:rPr>
        <w:t xml:space="preserve"> Yamin (2020) </w:t>
      </w:r>
      <w:r w:rsidRPr="00502D23">
        <w:rPr>
          <w:rFonts w:ascii="Sakkal Majalla" w:eastAsia="Times New Roman" w:hAnsi="Sakkal Majalla" w:cs="Sakkal Majalla"/>
          <w:color w:val="000000" w:themeColor="text1"/>
          <w:kern w:val="0"/>
          <w:sz w:val="28"/>
          <w:szCs w:val="28"/>
          <w:rtl/>
          <w14:ligatures w14:val="none"/>
        </w:rPr>
        <w:t>من أن الاعتبار الفردي يُعزز شعور العاملين بالانتماء ويُقلل من نوايا تركهم للعمل، وهو بعد بالغ الأهمية للمؤسسات الصغيرة والمتوسطة التي تعتمد على عدد محدود من الكفاءات الأساسية</w:t>
      </w:r>
      <w:r w:rsidRPr="00502D23">
        <w:rPr>
          <w:rFonts w:ascii="Sakkal Majalla" w:eastAsia="Times New Roman" w:hAnsi="Sakkal Majalla" w:cs="Sakkal Majalla"/>
          <w:color w:val="000000" w:themeColor="text1"/>
          <w:kern w:val="0"/>
          <w:sz w:val="28"/>
          <w:szCs w:val="28"/>
          <w14:ligatures w14:val="none"/>
        </w:rPr>
        <w:t>.</w:t>
      </w:r>
    </w:p>
    <w:p w14:paraId="62AECC37" w14:textId="4A90384B" w:rsidR="00184327" w:rsidRPr="00502D23" w:rsidRDefault="00184327" w:rsidP="004A78A2">
      <w:pPr>
        <w:spacing w:before="100" w:beforeAutospacing="1" w:after="100" w:afterAutospacing="1"/>
        <w:outlineLvl w:val="2"/>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br w:type="page"/>
      </w:r>
      <w:bookmarkStart w:id="37" w:name="_Toc222955052"/>
      <w:r w:rsidRPr="00502D23">
        <w:rPr>
          <w:rFonts w:ascii="Sakkal Majalla" w:eastAsia="Times New Roman" w:hAnsi="Sakkal Majalla" w:cs="Sakkal Majalla" w:hint="cs"/>
          <w:b/>
          <w:bCs/>
          <w:color w:val="000000" w:themeColor="text1"/>
          <w:kern w:val="0"/>
          <w:sz w:val="32"/>
          <w:szCs w:val="32"/>
          <w:rtl/>
          <w14:ligatures w14:val="none"/>
        </w:rPr>
        <w:lastRenderedPageBreak/>
        <w:t xml:space="preserve">5.1.2 </w:t>
      </w:r>
      <w:r w:rsidRPr="00502D23">
        <w:rPr>
          <w:rFonts w:ascii="Sakkal Majalla" w:eastAsia="Times New Roman" w:hAnsi="Sakkal Majalla" w:cs="Sakkal Majalla"/>
          <w:b/>
          <w:bCs/>
          <w:color w:val="000000" w:themeColor="text1"/>
          <w:kern w:val="0"/>
          <w:sz w:val="32"/>
          <w:szCs w:val="32"/>
          <w:rtl/>
          <w14:ligatures w14:val="none"/>
        </w:rPr>
        <w:t>مداخل نظرية مفسرة لتأثير القيادة التحويلية</w:t>
      </w:r>
      <w:bookmarkEnd w:id="37"/>
    </w:p>
    <w:p w14:paraId="7BF693D7"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يمكن فهم آليات تأثير القيادة التحويلية في ضوء عدة مداخل نظرية متكاملة. المدخل الأول هو نظرية التبادل الاجتماعي التي ترى أن العلاقة بين القائد والمرؤوس تتخطى حدود التبادل المادي لتشمل تبادلات اجتماعية ونفسية؛ فحين يُقدّم القائد التحويلي الدعم والتمكين والاحترام، يردّ المرؤوس بسلوكيات تطوعية تتجاوز الدور الرسمي كالابتكار والمبادرة. وقد استندت</w:t>
      </w:r>
      <w:r w:rsidRPr="00502D23">
        <w:rPr>
          <w:rFonts w:ascii="Sakkal Majalla" w:eastAsia="Times New Roman" w:hAnsi="Sakkal Majalla" w:cs="Sakkal Majalla"/>
          <w:color w:val="000000" w:themeColor="text1"/>
          <w:kern w:val="0"/>
          <w:sz w:val="28"/>
          <w:szCs w:val="28"/>
          <w14:ligatures w14:val="none"/>
        </w:rPr>
        <w:t xml:space="preserve"> Doan et al. (2020) </w:t>
      </w:r>
      <w:r w:rsidRPr="00502D23">
        <w:rPr>
          <w:rFonts w:ascii="Sakkal Majalla" w:eastAsia="Times New Roman" w:hAnsi="Sakkal Majalla" w:cs="Sakkal Majalla"/>
          <w:color w:val="000000" w:themeColor="text1"/>
          <w:kern w:val="0"/>
          <w:sz w:val="28"/>
          <w:szCs w:val="28"/>
          <w:rtl/>
          <w14:ligatures w14:val="none"/>
        </w:rPr>
        <w:t>ضمنيًا إلى هذا المدخل حين ربطتا بين القيادة التحويلية والالتزام التنظيمي ونجاح المشاريع، إذ يُعدّ الالتزام أحد أبرز مخرجات التبادل الاجتماعي الإيجابي</w:t>
      </w:r>
      <w:r w:rsidRPr="00502D23">
        <w:rPr>
          <w:rFonts w:ascii="Sakkal Majalla" w:eastAsia="Times New Roman" w:hAnsi="Sakkal Majalla" w:cs="Sakkal Majalla"/>
          <w:color w:val="000000" w:themeColor="text1"/>
          <w:kern w:val="0"/>
          <w:sz w:val="28"/>
          <w:szCs w:val="28"/>
          <w14:ligatures w14:val="none"/>
        </w:rPr>
        <w:t>.</w:t>
      </w:r>
    </w:p>
    <w:p w14:paraId="3D929D83"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الثاني</w:t>
      </w:r>
      <w:r w:rsidRPr="00502D23">
        <w:rPr>
          <w:rFonts w:ascii="Sakkal Majalla" w:eastAsia="Times New Roman" w:hAnsi="Sakkal Majalla" w:cs="Sakkal Majalla"/>
          <w:color w:val="000000" w:themeColor="text1"/>
          <w:kern w:val="0"/>
          <w:sz w:val="28"/>
          <w:szCs w:val="28"/>
          <w:rtl/>
          <w14:ligatures w14:val="none"/>
        </w:rPr>
        <w:t xml:space="preserve"> هو نظرية التعلم الاجتماعي المعرفي لباندورا التي تُفسّر كيف يتعلم الأفراد من خلال ملاحظة سلوك القائد ونمذجته. فالقائد التحويلي الذي يُظهر سلوكًا ابتكاريًا ويتحمل المخاطر ويُكافئ التجريب يُرسل رسائل ضمنية قوية إلى العاملين بأن الابتكار سلوك مرغوب ومُثاب. وقد استثمرت</w:t>
      </w:r>
      <w:r w:rsidRPr="00502D23">
        <w:rPr>
          <w:rFonts w:ascii="Sakkal Majalla" w:eastAsia="Times New Roman" w:hAnsi="Sakkal Majalla" w:cs="Sakkal Majalla"/>
          <w:color w:val="000000" w:themeColor="text1"/>
          <w:kern w:val="0"/>
          <w:sz w:val="28"/>
          <w:szCs w:val="28"/>
          <w14:ligatures w14:val="none"/>
        </w:rPr>
        <w:t xml:space="preserve"> Karimi et al. (2023) </w:t>
      </w:r>
      <w:r w:rsidRPr="00502D23">
        <w:rPr>
          <w:rFonts w:ascii="Sakkal Majalla" w:eastAsia="Times New Roman" w:hAnsi="Sakkal Majalla" w:cs="Sakkal Majalla"/>
          <w:color w:val="000000" w:themeColor="text1"/>
          <w:kern w:val="0"/>
          <w:sz w:val="28"/>
          <w:szCs w:val="28"/>
          <w:rtl/>
          <w14:ligatures w14:val="none"/>
        </w:rPr>
        <w:t>هذا المدخل في تفسير كيف تُنمّي القيادة التحويلية الكفاءة الذاتية والأمل والمرونة والتفاؤل لدى العاملين، فهذه الموارد النفسية تتشكل جزئيًا من خلال المشاهدة والتقليد والتعزيز الاجتماعي الذي يُقدّمه القائد</w:t>
      </w:r>
      <w:r w:rsidRPr="00502D23">
        <w:rPr>
          <w:rFonts w:ascii="Sakkal Majalla" w:eastAsia="Times New Roman" w:hAnsi="Sakkal Majalla" w:cs="Sakkal Majalla"/>
          <w:color w:val="000000" w:themeColor="text1"/>
          <w:kern w:val="0"/>
          <w:sz w:val="28"/>
          <w:szCs w:val="28"/>
          <w14:ligatures w14:val="none"/>
        </w:rPr>
        <w:t>.</w:t>
      </w:r>
    </w:p>
    <w:p w14:paraId="3CB17C30"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الثالث</w:t>
      </w:r>
      <w:r w:rsidRPr="00502D23">
        <w:rPr>
          <w:rFonts w:ascii="Sakkal Majalla" w:eastAsia="Times New Roman" w:hAnsi="Sakkal Majalla" w:cs="Sakkal Majalla"/>
          <w:color w:val="000000" w:themeColor="text1"/>
          <w:kern w:val="0"/>
          <w:sz w:val="28"/>
          <w:szCs w:val="28"/>
          <w:rtl/>
          <w14:ligatures w14:val="none"/>
        </w:rPr>
        <w:t xml:space="preserve"> هو مدخل القدرات الديناميكية الذي يرى المنظمة بوصفها كيانًا يتعلم ويتكيف باستمرار مع بيئته. وتُعدّ القيادة التحويلية في هذا الإطار قدرة ديناميكية بحد ذاتها لأنها تُمكّن المنظمة من استشعار التغيرات البيئية واغتنام الفرص وإعادة تشكيل مواردها</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وقد تبنى الجرايدة والعون (2021) هذا المنظور حين عالجا القيادة التحويلية بوصفها متغيرًا وسيطًا بين الابتكار الاستراتيجي والأداء التنظيمي في الشركات الريادية، مشيرين إلى أن القدرة على الابتكار استراتيجيًا لا تتحول إلى أداء فعلي إلا بوجود قيادة تحويلية تُترجمها إلى ممارسات يومية. كما أن محمود (2025) استندت إلى قدرات التعلم التنظيمي كآلية وسيطة تعكس البعد الديناميكي للمنظمة في تحويل المدخلات القيادية إلى مخرجات ابتكارية</w:t>
      </w:r>
      <w:r w:rsidRPr="00502D23">
        <w:rPr>
          <w:rFonts w:ascii="Sakkal Majalla" w:eastAsia="Times New Roman" w:hAnsi="Sakkal Majalla" w:cs="Sakkal Majalla"/>
          <w:color w:val="000000" w:themeColor="text1"/>
          <w:kern w:val="0"/>
          <w:sz w:val="28"/>
          <w:szCs w:val="28"/>
          <w14:ligatures w14:val="none"/>
        </w:rPr>
        <w:t>.</w:t>
      </w:r>
    </w:p>
    <w:p w14:paraId="7FF60FDB"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الرابع</w:t>
      </w:r>
      <w:r w:rsidRPr="00502D23">
        <w:rPr>
          <w:rFonts w:ascii="Sakkal Majalla" w:eastAsia="Times New Roman" w:hAnsi="Sakkal Majalla" w:cs="Sakkal Majalla"/>
          <w:color w:val="000000" w:themeColor="text1"/>
          <w:kern w:val="0"/>
          <w:sz w:val="28"/>
          <w:szCs w:val="28"/>
          <w:rtl/>
          <w14:ligatures w14:val="none"/>
        </w:rPr>
        <w:t xml:space="preserve"> هو مدخل التمكين بشقيه الهيكلي والنفسي. فالتمكين الهيكلي يتمثل في إتاحة الموارد والمعلومات والصلاحيات، بينما التمكين النفسي يتصل بالشعور بالمعنى والكفاءة والاستقلالية </w:t>
      </w:r>
      <w:r w:rsidRPr="00502D23">
        <w:rPr>
          <w:rFonts w:ascii="Sakkal Majalla" w:eastAsia="Times New Roman" w:hAnsi="Sakkal Majalla" w:cs="Sakkal Majalla"/>
          <w:color w:val="000000" w:themeColor="text1"/>
          <w:kern w:val="0"/>
          <w:sz w:val="28"/>
          <w:szCs w:val="28"/>
          <w:rtl/>
          <w14:ligatures w14:val="none"/>
        </w:rPr>
        <w:lastRenderedPageBreak/>
        <w:t>والتأثير. وقد فصّلت</w:t>
      </w:r>
      <w:r w:rsidRPr="00502D23">
        <w:rPr>
          <w:rFonts w:ascii="Sakkal Majalla" w:eastAsia="Times New Roman" w:hAnsi="Sakkal Majalla" w:cs="Sakkal Majalla"/>
          <w:color w:val="000000" w:themeColor="text1"/>
          <w:kern w:val="0"/>
          <w:sz w:val="28"/>
          <w:szCs w:val="28"/>
          <w14:ligatures w14:val="none"/>
        </w:rPr>
        <w:t xml:space="preserve"> Monje</w:t>
      </w:r>
      <w:r w:rsidRPr="00502D23">
        <w:rPr>
          <w:rFonts w:ascii="Sakkal Majalla" w:eastAsia="Times New Roman" w:hAnsi="Sakkal Majalla" w:cs="Sakkal Majalla"/>
          <w:color w:val="000000" w:themeColor="text1"/>
          <w:kern w:val="0"/>
          <w:sz w:val="28"/>
          <w:szCs w:val="28"/>
          <w14:ligatures w14:val="none"/>
        </w:rPr>
        <w:noBreakHyphen/>
        <w:t xml:space="preserve">Amor et al. (2020) </w:t>
      </w:r>
      <w:r w:rsidRPr="00502D23">
        <w:rPr>
          <w:rFonts w:ascii="Sakkal Majalla" w:eastAsia="Times New Roman" w:hAnsi="Sakkal Majalla" w:cs="Sakkal Majalla"/>
          <w:color w:val="000000" w:themeColor="text1"/>
          <w:kern w:val="0"/>
          <w:sz w:val="28"/>
          <w:szCs w:val="28"/>
          <w:rtl/>
          <w14:ligatures w14:val="none"/>
        </w:rPr>
        <w:t>في دور التمكين الهيكلي كوسيط بين القيادة التحويلية والاندماج الوظيفي، مؤكدتين أن القائد التحويلي لا يكتفي بالتأثير النفسي بل يعمل على تعديل البنية التنظيمية لجعلها أكثر مرونة ودعمًا للمبادرة. وتتقاطع هذه الرؤية مع ما أشار إليه الرشيدي (2025) من أن مشاركة المعرفة تُمثّل شكلًا من أشكال التمكين المعرفي الذي يُضاعف أثر القيادة التحويلية في التطوير التنظيمي</w:t>
      </w:r>
      <w:r w:rsidRPr="00502D23">
        <w:rPr>
          <w:rFonts w:ascii="Sakkal Majalla" w:eastAsia="Times New Roman" w:hAnsi="Sakkal Majalla" w:cs="Sakkal Majalla"/>
          <w:color w:val="000000" w:themeColor="text1"/>
          <w:kern w:val="0"/>
          <w:sz w:val="28"/>
          <w:szCs w:val="28"/>
          <w14:ligatures w14:val="none"/>
        </w:rPr>
        <w:t>.</w:t>
      </w:r>
    </w:p>
    <w:p w14:paraId="0CBC8772" w14:textId="5EFDA8A6" w:rsidR="004A78A2" w:rsidRPr="00502D23" w:rsidRDefault="004A78A2" w:rsidP="004A78A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8" w:name="_Toc222955053"/>
      <w:r w:rsidRPr="00502D23">
        <w:rPr>
          <w:rFonts w:ascii="Sakkal Majalla" w:eastAsia="Times New Roman" w:hAnsi="Sakkal Majalla" w:cs="Sakkal Majalla"/>
          <w:b/>
          <w:bCs/>
          <w:color w:val="000000" w:themeColor="text1"/>
          <w:kern w:val="0"/>
          <w:sz w:val="32"/>
          <w:szCs w:val="32"/>
          <w:rtl/>
          <w14:ligatures w14:val="none"/>
        </w:rPr>
        <w:t>6.1.2 استراتيجيات تطبيق القيادة التحويلية في المؤسسات الصغيرة والمتوسطة</w:t>
      </w:r>
      <w:bookmarkEnd w:id="38"/>
    </w:p>
    <w:p w14:paraId="18FA4B86"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تتميز المؤسسات الصغيرة والمتوسطة بخصائص هيكلية وثقافية تجعلها بيئة خصبة لتطبيق القيادة التحويلية ولكن بشروط محددة. فالهيكل التنظيمي المسطح وقنوات الاتصال القصيرة تُيسّر التفاعل المباشر بين القائد والعاملين وتُسرّع نقل الرؤية والقيم، لكن محدودية الموارد المالية والبشرية تفرض على القائد أن يكون أكثر إبداعًا في أساليب التحفيز والتمكين. وفي هذا السياق، يمكن اقتراح عدة استراتيجيات مستمدة من الأدبيات المرجعية للبحث</w:t>
      </w:r>
      <w:r w:rsidRPr="00502D23">
        <w:rPr>
          <w:rFonts w:ascii="Sakkal Majalla" w:eastAsia="Times New Roman" w:hAnsi="Sakkal Majalla" w:cs="Sakkal Majalla"/>
          <w:color w:val="000000" w:themeColor="text1"/>
          <w:kern w:val="0"/>
          <w:sz w:val="28"/>
          <w:szCs w:val="28"/>
          <w14:ligatures w14:val="none"/>
        </w:rPr>
        <w:t>.</w:t>
      </w:r>
    </w:p>
    <w:p w14:paraId="553003C8"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تتمثل الاستراتيجية الأولى في بناء رؤية مشتركة تُترجَم إلى أهداف قابلة للقياس على مستوى كل فرد وكل فريق، بحيث يشعر العاملون بأنهم شركاء في صنع المستقبل لا مجرد منفذين للتعليمات. وقد أكد الجرايدة والعون (2021) على أن التوافق الاستراتيجي بين الرؤية القيادية وأهداف العاملين يُمثّل شرطًا أساسيًا لتحويل الابتكار الاستراتيجي إلى أداء فعلي. الاستراتيجية الثانية هي تصميم بيئة تعلم مستمرة تُشجّع التجريب وتتقبل الفشل بوصفه مصدرًا للتعلم؛ وقد أشار محمود </w:t>
      </w:r>
      <w:r w:rsidRPr="00502D23">
        <w:rPr>
          <w:rFonts w:ascii="Sakkal Majalla" w:eastAsia="Times New Roman" w:hAnsi="Sakkal Majalla" w:cs="Sakkal Majalla"/>
          <w:color w:val="000000" w:themeColor="text1"/>
          <w:kern w:val="0"/>
          <w:sz w:val="28"/>
          <w:szCs w:val="28"/>
          <w14:ligatures w14:val="none"/>
        </w:rPr>
        <w:t xml:space="preserve">(2025) </w:t>
      </w:r>
      <w:r w:rsidRPr="00502D23">
        <w:rPr>
          <w:rFonts w:ascii="Sakkal Majalla" w:eastAsia="Times New Roman" w:hAnsi="Sakkal Majalla" w:cs="Sakkal Majalla"/>
          <w:color w:val="000000" w:themeColor="text1"/>
          <w:kern w:val="0"/>
          <w:sz w:val="28"/>
          <w:szCs w:val="28"/>
          <w:rtl/>
          <w14:ligatures w14:val="none"/>
        </w:rPr>
        <w:t>إلى أن قدرات التعلم التنظيمي تُعدّ الآلية التي تنقل أثر القيادة التحويلية إلى الابتكار، مما يعني أن القائد يجب أن يستثمر في بناء هذه القدرات من خلال أنظمة التدريب وتبادل الممارسات المثلى ومراجعة التجارب</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الاستراتيجية الثالثة هي تفعيل قنوات مشاركة المعرفة بين الأقسام والمستويات الإدارية المختلفة، وهو ما أكد عليه الرشيدي (2025) في إطار العلاقة بين القيادة التحويلية والتطوير التنظيمي. أما الاستراتيجية الرابعة فهي تطوير ممارسات التوجيه والإرشاد الفردي التي تُراعي الفروق بين العاملين في القدرات والطموحات، وهو جوهر </w:t>
      </w:r>
      <w:r w:rsidRPr="00502D23">
        <w:rPr>
          <w:rFonts w:ascii="Sakkal Majalla" w:eastAsia="Times New Roman" w:hAnsi="Sakkal Majalla" w:cs="Sakkal Majalla"/>
          <w:color w:val="000000" w:themeColor="text1"/>
          <w:kern w:val="0"/>
          <w:sz w:val="28"/>
          <w:szCs w:val="28"/>
          <w:rtl/>
          <w14:ligatures w14:val="none"/>
        </w:rPr>
        <w:lastRenderedPageBreak/>
        <w:t>بعد الاعتبار الفردي الذي شدد عليه</w:t>
      </w:r>
      <w:r w:rsidRPr="00502D23">
        <w:rPr>
          <w:rFonts w:ascii="Sakkal Majalla" w:eastAsia="Times New Roman" w:hAnsi="Sakkal Majalla" w:cs="Sakkal Majalla"/>
          <w:color w:val="000000" w:themeColor="text1"/>
          <w:kern w:val="0"/>
          <w:sz w:val="28"/>
          <w:szCs w:val="28"/>
          <w14:ligatures w14:val="none"/>
        </w:rPr>
        <w:t xml:space="preserve"> Yamin (2020) </w:t>
      </w:r>
      <w:r w:rsidRPr="00502D23">
        <w:rPr>
          <w:rFonts w:ascii="Sakkal Majalla" w:eastAsia="Times New Roman" w:hAnsi="Sakkal Majalla" w:cs="Sakkal Majalla"/>
          <w:color w:val="000000" w:themeColor="text1"/>
          <w:kern w:val="0"/>
          <w:sz w:val="28"/>
          <w:szCs w:val="28"/>
          <w:rtl/>
          <w14:ligatures w14:val="none"/>
        </w:rPr>
        <w:t>بوصفه عاملًا حاسمًا في الاحتفاظ بالكفاءات وتقليل معدل دوران العمل</w:t>
      </w:r>
      <w:r w:rsidRPr="00502D23">
        <w:rPr>
          <w:rFonts w:ascii="Sakkal Majalla" w:eastAsia="Times New Roman" w:hAnsi="Sakkal Majalla" w:cs="Sakkal Majalla"/>
          <w:color w:val="000000" w:themeColor="text1"/>
          <w:kern w:val="0"/>
          <w:sz w:val="28"/>
          <w:szCs w:val="28"/>
          <w14:ligatures w14:val="none"/>
        </w:rPr>
        <w:t>.</w:t>
      </w:r>
    </w:p>
    <w:p w14:paraId="2E0E0106"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وفي ضوء ما تقدم، يتبيّن أن القيادة التحويلية ليست مجرد نمط قيادي محدد بل منظومة متكاملة من السلوكيات والقيم والممارسات التي تُعيد تشكيل العلاقة بين القائد والعاملين والمنظمة ككل</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وتتبنى الدراسة الحالية هذا المفهوم بأبعاده الأربعة متغيرًا مستقلًا لفحص أثره في الابتكار بأبعاده المتعددة في المؤسسات الصغيرة والمتوسطة بمدينة الرياض، انطلاقًا من قناعة نظرية مؤداها أن القيادة التحويلية تُمثّل الرافعة الأساسية التي تُمكّن هذه المؤسسات من تحويل محدودية مواردها إلى ميزة تنافسية قائمة على المرونة والإبداع والابتكار</w:t>
      </w:r>
      <w:r w:rsidRPr="00502D23">
        <w:rPr>
          <w:rFonts w:ascii="Sakkal Majalla" w:eastAsia="Times New Roman" w:hAnsi="Sakkal Majalla" w:cs="Sakkal Majalla"/>
          <w:color w:val="000000" w:themeColor="text1"/>
          <w:kern w:val="0"/>
          <w:sz w:val="28"/>
          <w:szCs w:val="28"/>
          <w14:ligatures w14:val="none"/>
        </w:rPr>
        <w:t>.</w:t>
      </w:r>
    </w:p>
    <w:p w14:paraId="4184AC3A" w14:textId="5F1BCA59" w:rsidR="004A78A2" w:rsidRPr="00502D23" w:rsidRDefault="004A78A2" w:rsidP="004A78A2">
      <w:pPr>
        <w:spacing w:before="100" w:beforeAutospacing="1" w:after="100" w:afterAutospacing="1"/>
        <w:jc w:val="center"/>
        <w:outlineLvl w:val="1"/>
        <w:rPr>
          <w:rFonts w:ascii="Sakkal Majalla" w:eastAsia="Times New Roman" w:hAnsi="Sakkal Majalla" w:cs="Sakkal Majalla"/>
          <w:b/>
          <w:bCs/>
          <w:color w:val="000000" w:themeColor="text1"/>
          <w:kern w:val="0"/>
          <w:sz w:val="36"/>
          <w:szCs w:val="36"/>
          <w:rtl/>
          <w14:ligatures w14:val="none"/>
        </w:rPr>
      </w:pPr>
      <w:r w:rsidRPr="00502D23">
        <w:rPr>
          <w:rFonts w:ascii="Sakkal Majalla" w:eastAsia="Times New Roman" w:hAnsi="Sakkal Majalla" w:cs="Sakkal Majalla"/>
          <w:b/>
          <w:bCs/>
          <w:color w:val="000000" w:themeColor="text1"/>
          <w:kern w:val="0"/>
          <w:sz w:val="36"/>
          <w:szCs w:val="36"/>
          <w:rtl/>
          <w14:ligatures w14:val="none"/>
        </w:rPr>
        <w:br w:type="page"/>
      </w:r>
      <w:bookmarkStart w:id="39" w:name="_Toc222955054"/>
      <w:r w:rsidRPr="00502D23">
        <w:rPr>
          <w:rFonts w:ascii="Sakkal Majalla" w:eastAsia="Times New Roman" w:hAnsi="Sakkal Majalla" w:cs="Sakkal Majalla"/>
          <w:b/>
          <w:bCs/>
          <w:color w:val="000000" w:themeColor="text1"/>
          <w:kern w:val="0"/>
          <w:sz w:val="36"/>
          <w:szCs w:val="36"/>
          <w:rtl/>
          <w14:ligatures w14:val="none"/>
        </w:rPr>
        <w:lastRenderedPageBreak/>
        <w:t>المبحث الثاني: الابتكار</w:t>
      </w:r>
      <w:bookmarkEnd w:id="39"/>
    </w:p>
    <w:p w14:paraId="6A4A1633" w14:textId="75910180" w:rsidR="00A23AAB" w:rsidRPr="00502D23" w:rsidRDefault="004A78A2" w:rsidP="004A78A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2955055"/>
      <w:r w:rsidRPr="00502D23">
        <w:rPr>
          <w:rFonts w:ascii="Sakkal Majalla" w:eastAsia="Times New Roman" w:hAnsi="Sakkal Majalla" w:cs="Sakkal Majalla" w:hint="cs"/>
          <w:b/>
          <w:bCs/>
          <w:color w:val="000000" w:themeColor="text1"/>
          <w:kern w:val="0"/>
          <w:sz w:val="32"/>
          <w:szCs w:val="32"/>
          <w:rtl/>
          <w14:ligatures w14:val="none"/>
        </w:rPr>
        <w:t xml:space="preserve">1.2.2 </w:t>
      </w:r>
      <w:r w:rsidRPr="00502D23">
        <w:rPr>
          <w:rFonts w:ascii="Sakkal Majalla" w:eastAsia="Times New Roman" w:hAnsi="Sakkal Majalla" w:cs="Sakkal Majalla"/>
          <w:b/>
          <w:bCs/>
          <w:color w:val="000000" w:themeColor="text1"/>
          <w:kern w:val="0"/>
          <w:sz w:val="32"/>
          <w:szCs w:val="32"/>
          <w:rtl/>
          <w14:ligatures w14:val="none"/>
        </w:rPr>
        <w:t>تمهيد</w:t>
      </w:r>
      <w:bookmarkEnd w:id="40"/>
    </w:p>
    <w:p w14:paraId="4B4A323F"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يحتل الابتكار مكانة مركزية في الفكر الإداري والاقتصادي المعاصر بوصفه المحرك الأساسي للنمو والتنافسية والاستدامة، وقد تعاظمت هذه المكانة في العقود الأخيرة مع تسارع التحولات التكنولوجية وتقلّص دورات حياة المنتجات واشتداد المنافسة العالمية التي لم تعد تميز بين منظمة كبيرة وأخرى صغيرة. لم يعد الابتكار ترفًا تتبناه المنظمات الرائدة فحسب بل صار شرطًا للبقاء والاستمرار في بيئة تتغير بوتيرة متسارعة لا تمنح المنظمات الجامدة فرصة للتكيف. وتنبع أهمية دراسة الابتكار في سياق المؤسسات الصغيرة والمتوسطة من كونه يُمثّل السلاح الاستراتيجي الذي يُعوّض هذه المؤسسات عن افتقارها لوفورات الحجم والموارد المالية الضخمة التي تتمتع بها المنظمات الكبرى، فالابتكار يُمكّنها من التميز والنمو وخلق قيمة مضافة لا يمكن تقليدها بسهولة</w:t>
      </w:r>
      <w:r w:rsidRPr="00502D23">
        <w:rPr>
          <w:rFonts w:ascii="Sakkal Majalla" w:eastAsia="Times New Roman" w:hAnsi="Sakkal Majalla" w:cs="Sakkal Majalla"/>
          <w:color w:val="000000" w:themeColor="text1"/>
          <w:kern w:val="0"/>
          <w:sz w:val="28"/>
          <w:szCs w:val="28"/>
          <w14:ligatures w14:val="none"/>
        </w:rPr>
        <w:t>.</w:t>
      </w:r>
    </w:p>
    <w:p w14:paraId="78767433"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تبرز أهمية الابتكار من ثلاثة أبعاد متكاملة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أولًا، على الصعيد الاقتصادي الكلي، يُعدّ الابتكار محركًا أساسيًا للتنويع الاقتصادي والتنمية المستدامة، وهو ما تؤكده رؤية المملكة العربية السعودية 2030 التي تضع الابتكار في صلب استراتيجيتها لبناء اقتصاد معرفي يتخطى الاعتماد على النفط. وقد تناول الحجيلي (2024) دور الذكاء الاصطناعي في تعزيز الابتكار ضمن قطاعات حيوية سعودية متعددة، مُبرزًا أن الابتكار التكنولوجي أصبح ركيزة لتحقيق الأهداف الوطنية للتنمية والتحديث. كما عالج العمراوي (2023) دور الابتكار في تعزيز الشمول المالي الرقمي من خلال مقاربة مقارنة بين تجارب دولية عربية مختلفة، كاشفًا عن أن الابتكار في الخدمات المالية الرقمية يُسهم في توسيع قاعدة المستفيدين من النظام المالي الرسمي وتقليص الفجوة الرقمية. ثانيًا، على الصعيد القطاعي، يُمكّن الابتكار المؤسسات من التكيف مع التغيرات البيئية وتطوير منتجات وخدمات وعمليات جديدة تستجيب لاحتياجات العملاء المتطورة. وقد فحصت القضاة والنسور والشوابكة (2020) أثر خصائص المنظمة الذكية في تعزيز الابتكار في قطاع الاتصالات وتكنولوجيا المعلومات الأردني، مُظهرين أن قدرة المنظمة على الابتكار ترتبط ارتباطًا وثيقًا بمدى تبنيها لخصائص الذكاء التنظيمي كالاستدامة والتعلم المستمر. ثالثًا، على الصعيد المؤسسي، يُعدّ الابتكار مصدرًا </w:t>
      </w:r>
      <w:r w:rsidRPr="00502D23">
        <w:rPr>
          <w:rFonts w:ascii="Sakkal Majalla" w:eastAsia="Times New Roman" w:hAnsi="Sakkal Majalla" w:cs="Sakkal Majalla"/>
          <w:color w:val="000000" w:themeColor="text1"/>
          <w:kern w:val="0"/>
          <w:sz w:val="28"/>
          <w:szCs w:val="28"/>
          <w:rtl/>
          <w14:ligatures w14:val="none"/>
        </w:rPr>
        <w:lastRenderedPageBreak/>
        <w:t>جوهريًا للميزة التنافسية المستدامة التي تُمكّن المنظمة من التفوق على منافسيها وبناء موقع سوقي راسخ يصعب اختراقه. وقد تناول العبيسي والشعار (2020) دور المرونة الاستراتيجية في تعزيز الابتكار في المستشفيات الخاصة الأردنية، مُبرزين أن الابتكار في القطاع الصحي يستلزم مرونة تنظيمية واستراتيجية تُمكّن المؤسسة من الاستجابة السريعة للتطورات الطبية والتقنية</w:t>
      </w:r>
      <w:r w:rsidRPr="00502D23">
        <w:rPr>
          <w:rFonts w:ascii="Sakkal Majalla" w:eastAsia="Times New Roman" w:hAnsi="Sakkal Majalla" w:cs="Sakkal Majalla"/>
          <w:color w:val="000000" w:themeColor="text1"/>
          <w:kern w:val="0"/>
          <w:sz w:val="28"/>
          <w:szCs w:val="28"/>
          <w14:ligatures w14:val="none"/>
        </w:rPr>
        <w:t>.</w:t>
      </w:r>
    </w:p>
    <w:p w14:paraId="7354B625"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وقد تناول باحثون من حقول معرفية متنوعة مفهوم الابتكار من زوايا مختلفة أثرت الأدبيات وأضافت إليها. فعلى صعيد الابتكار البيئي، فحص السعيدي (2020) كيف تُسهم الممارسات الإبداعية الموجهة نحو الاستدامة في تعزيز الابتكار البيئي في الشركات النفطية العراقية، مُقدّمًا إطارًا يدمج بين الاستدامة والإبداع والابتكار في قطاع تقليدي يسعى للتحول نحو ممارسات أكثر مسؤولية بيئيًا. وعلى صعيد الابتكار التسويقي، عالج مسلتي وبونويرة (2022) دور اليقظة التسويقية في تعزيز الابتكار التسويقي في مؤسسة صناعية جزائرية، كاشفين عن أن رصد البيئة التسويقية بشكل منهجي يُمثّل مدخلًا حاسمًا لتطوير ممارسات تسويقية مبتكرة. ومن الأدبيات الأجنبية، تناول</w:t>
      </w:r>
      <w:r w:rsidRPr="00502D23">
        <w:rPr>
          <w:rFonts w:ascii="Sakkal Majalla" w:eastAsia="Times New Roman" w:hAnsi="Sakkal Majalla" w:cs="Sakkal Majalla"/>
          <w:color w:val="000000" w:themeColor="text1"/>
          <w:kern w:val="0"/>
          <w:sz w:val="28"/>
          <w:szCs w:val="28"/>
          <w14:ligatures w14:val="none"/>
        </w:rPr>
        <w:t xml:space="preserve"> Pasha, Kamran, Chishti and Ali (2022) </w:t>
      </w:r>
      <w:r w:rsidRPr="00502D23">
        <w:rPr>
          <w:rFonts w:ascii="Sakkal Majalla" w:eastAsia="Times New Roman" w:hAnsi="Sakkal Majalla" w:cs="Sakkal Majalla"/>
          <w:color w:val="000000" w:themeColor="text1"/>
          <w:kern w:val="0"/>
          <w:sz w:val="28"/>
          <w:szCs w:val="28"/>
          <w:rtl/>
          <w14:ligatures w14:val="none"/>
        </w:rPr>
        <w:t>الابتكار من منظور ريادة الأعمال البيئية في المؤسسات الصغيرة والمتوسطة الباكستانية، مُستكشفين كيف يُسهم التوجه البيئي الريادي في تشكيل سلوك العمل الابتكاري عبر الكفاءة الذاتية الإبداعية. كما فحص</w:t>
      </w:r>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Malibari</w:t>
      </w:r>
      <w:proofErr w:type="spellEnd"/>
      <w:r w:rsidRPr="00502D23">
        <w:rPr>
          <w:rFonts w:ascii="Sakkal Majalla" w:eastAsia="Times New Roman" w:hAnsi="Sakkal Majalla" w:cs="Sakkal Majalla"/>
          <w:color w:val="000000" w:themeColor="text1"/>
          <w:kern w:val="0"/>
          <w:sz w:val="28"/>
          <w:szCs w:val="28"/>
          <w14:ligatures w14:val="none"/>
        </w:rPr>
        <w:t xml:space="preserve"> and </w:t>
      </w:r>
      <w:proofErr w:type="spellStart"/>
      <w:r w:rsidRPr="00502D23">
        <w:rPr>
          <w:rFonts w:ascii="Sakkal Majalla" w:eastAsia="Times New Roman" w:hAnsi="Sakkal Majalla" w:cs="Sakkal Majalla"/>
          <w:color w:val="000000" w:themeColor="text1"/>
          <w:kern w:val="0"/>
          <w:sz w:val="28"/>
          <w:szCs w:val="28"/>
          <w14:ligatures w14:val="none"/>
        </w:rPr>
        <w:t>Bajaba</w:t>
      </w:r>
      <w:proofErr w:type="spellEnd"/>
      <w:r w:rsidRPr="00502D23">
        <w:rPr>
          <w:rFonts w:ascii="Sakkal Majalla" w:eastAsia="Times New Roman" w:hAnsi="Sakkal Majalla" w:cs="Sakkal Majalla"/>
          <w:color w:val="000000" w:themeColor="text1"/>
          <w:kern w:val="0"/>
          <w:sz w:val="28"/>
          <w:szCs w:val="28"/>
          <w14:ligatures w14:val="none"/>
        </w:rPr>
        <w:t xml:space="preserve"> (2022) </w:t>
      </w:r>
      <w:r w:rsidRPr="00502D23">
        <w:rPr>
          <w:rFonts w:ascii="Sakkal Majalla" w:eastAsia="Times New Roman" w:hAnsi="Sakkal Majalla" w:cs="Sakkal Majalla"/>
          <w:color w:val="000000" w:themeColor="text1"/>
          <w:kern w:val="0"/>
          <w:sz w:val="28"/>
          <w:szCs w:val="28"/>
          <w:rtl/>
          <w14:ligatures w14:val="none"/>
        </w:rPr>
        <w:t>دور القيادة الريادية في تحفيز سلوك الابتكار لدى العاملين من خلال مناخ الابتكار والرشاقة الفكرية كمتغيرات وسيطة متسلسلة. وقدّم</w:t>
      </w:r>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Kopytko</w:t>
      </w:r>
      <w:proofErr w:type="spellEnd"/>
      <w:r w:rsidRPr="00502D23">
        <w:rPr>
          <w:rFonts w:ascii="Sakkal Majalla" w:eastAsia="Times New Roman" w:hAnsi="Sakkal Majalla" w:cs="Sakkal Majalla"/>
          <w:color w:val="000000" w:themeColor="text1"/>
          <w:kern w:val="0"/>
          <w:sz w:val="28"/>
          <w:szCs w:val="28"/>
          <w14:ligatures w14:val="none"/>
        </w:rPr>
        <w:t xml:space="preserve">, Lutay, </w:t>
      </w:r>
      <w:proofErr w:type="spellStart"/>
      <w:r w:rsidRPr="00502D23">
        <w:rPr>
          <w:rFonts w:ascii="Sakkal Majalla" w:eastAsia="Times New Roman" w:hAnsi="Sakkal Majalla" w:cs="Sakkal Majalla"/>
          <w:color w:val="000000" w:themeColor="text1"/>
          <w:kern w:val="0"/>
          <w:sz w:val="28"/>
          <w:szCs w:val="28"/>
          <w14:ligatures w14:val="none"/>
        </w:rPr>
        <w:t>Chornenka</w:t>
      </w:r>
      <w:proofErr w:type="spellEnd"/>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Markiv</w:t>
      </w:r>
      <w:proofErr w:type="spellEnd"/>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Grybyk</w:t>
      </w:r>
      <w:proofErr w:type="spellEnd"/>
      <w:r w:rsidRPr="00502D23">
        <w:rPr>
          <w:rFonts w:ascii="Sakkal Majalla" w:eastAsia="Times New Roman" w:hAnsi="Sakkal Majalla" w:cs="Sakkal Majalla"/>
          <w:color w:val="000000" w:themeColor="text1"/>
          <w:kern w:val="0"/>
          <w:sz w:val="28"/>
          <w:szCs w:val="28"/>
          <w14:ligatures w14:val="none"/>
        </w:rPr>
        <w:t xml:space="preserve"> and </w:t>
      </w:r>
      <w:proofErr w:type="spellStart"/>
      <w:r w:rsidRPr="00502D23">
        <w:rPr>
          <w:rFonts w:ascii="Sakkal Majalla" w:eastAsia="Times New Roman" w:hAnsi="Sakkal Majalla" w:cs="Sakkal Majalla"/>
          <w:color w:val="000000" w:themeColor="text1"/>
          <w:kern w:val="0"/>
          <w:sz w:val="28"/>
          <w:szCs w:val="28"/>
          <w14:ligatures w14:val="none"/>
        </w:rPr>
        <w:t>Dzyubina</w:t>
      </w:r>
      <w:proofErr w:type="spellEnd"/>
      <w:r w:rsidRPr="00502D23">
        <w:rPr>
          <w:rFonts w:ascii="Sakkal Majalla" w:eastAsia="Times New Roman" w:hAnsi="Sakkal Majalla" w:cs="Sakkal Majalla"/>
          <w:color w:val="000000" w:themeColor="text1"/>
          <w:kern w:val="0"/>
          <w:sz w:val="28"/>
          <w:szCs w:val="28"/>
          <w14:ligatures w14:val="none"/>
        </w:rPr>
        <w:t xml:space="preserve"> (2023) </w:t>
      </w:r>
      <w:r w:rsidRPr="00502D23">
        <w:rPr>
          <w:rFonts w:ascii="Sakkal Majalla" w:eastAsia="Times New Roman" w:hAnsi="Sakkal Majalla" w:cs="Sakkal Majalla"/>
          <w:color w:val="000000" w:themeColor="text1"/>
          <w:kern w:val="0"/>
          <w:sz w:val="28"/>
          <w:szCs w:val="28"/>
          <w:rtl/>
          <w14:ligatures w14:val="none"/>
        </w:rPr>
        <w:t>نموذجًا للنظام الاجتماعي الاقتصادي المستدام القائم على تقنيات الإدارة الرشيقة لتعزيز الابتكارات، مُبرزين أن الابتكار لا ينحصر في مخرجات المنظمة بل يمتد إلى أساليب إدارتها وحوكمتها. إن هذا التنوع في الزوايا البحثية يكشف عن تعدد أوجه الابتكار وتشعب مساراته، ويُؤسس لفهم شامل ومتعدد الأبعاد يتبناه البحث الحالي</w:t>
      </w:r>
      <w:r w:rsidRPr="00502D23">
        <w:rPr>
          <w:rFonts w:ascii="Sakkal Majalla" w:eastAsia="Times New Roman" w:hAnsi="Sakkal Majalla" w:cs="Sakkal Majalla"/>
          <w:color w:val="000000" w:themeColor="text1"/>
          <w:kern w:val="0"/>
          <w:sz w:val="28"/>
          <w:szCs w:val="28"/>
          <w14:ligatures w14:val="none"/>
        </w:rPr>
        <w:t>.</w:t>
      </w:r>
    </w:p>
    <w:p w14:paraId="317CE7CE" w14:textId="4F5A2606" w:rsidR="004A78A2" w:rsidRPr="00502D23" w:rsidRDefault="004A78A2" w:rsidP="004A78A2">
      <w:pPr>
        <w:spacing w:before="100" w:beforeAutospacing="1" w:after="100" w:afterAutospacing="1"/>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br w:type="page"/>
      </w:r>
      <w:r w:rsidRPr="00502D23">
        <w:rPr>
          <w:rFonts w:ascii="Sakkal Majalla" w:eastAsia="Times New Roman" w:hAnsi="Sakkal Majalla" w:cs="Sakkal Majalla"/>
          <w:b/>
          <w:bCs/>
          <w:color w:val="000000" w:themeColor="text1"/>
          <w:kern w:val="0"/>
          <w:sz w:val="32"/>
          <w:szCs w:val="32"/>
          <w:rtl/>
          <w14:ligatures w14:val="none"/>
        </w:rPr>
        <w:lastRenderedPageBreak/>
        <w:t>2.2.2 مفهوم الابتكار وتطوره</w:t>
      </w:r>
    </w:p>
    <w:p w14:paraId="11E981C3"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شهد مفهوم الابتكار تطورًا طويلًا في الأدبيات الاقتصادية والإدارية منذ أن وضع جوزيف شومبيتر أسسه في مطلع القرن العشرين حين عرّف الابتكار بأنه إدخال توليفات جديدة من عوامل الإنتاج تؤدي إلى خلق قيمة اقتصادية غير مسبوقة، سواء من خلال منتج جديد أو أسلوب إنتاج جديد أو سوق جديد أو مصدر جديد للمواد الخام أو تنظيم صناعي جديد. ثم تطور المفهوم عبر إسهامات بيتر دراكر الذي ربط الابتكار بالريادة والفرصة، وإيفرت روجرز الذي ركّز على آليات انتشار الابتكار وتبنيه، وبيتر سينج الذي أسّس لمفهوم المنظمة المتعلمة بوصفها البيئة الأكثر خصوبة للابتكار المستمر. وقد انتقل المفهوم تدريجيًا من التركيز على الابتكار التكنولوجي والمنتج إلى مفهوم أوسع يشمل الابتكار في العمليات والتنظيم والتسويق ونماذج الأعمال، وهو التوسع الذي عكسه دليل أوسلو الصادر عن منظمة التعاون الاقتصادي والتنمية الذي يُصنّف الابتكار في أربعة أنواع رئيسة</w:t>
      </w:r>
      <w:r w:rsidRPr="00502D23">
        <w:rPr>
          <w:rFonts w:ascii="Sakkal Majalla" w:eastAsia="Times New Roman" w:hAnsi="Sakkal Majalla" w:cs="Sakkal Majalla"/>
          <w:color w:val="000000" w:themeColor="text1"/>
          <w:kern w:val="0"/>
          <w:sz w:val="28"/>
          <w:szCs w:val="28"/>
          <w14:ligatures w14:val="none"/>
        </w:rPr>
        <w:t>.</w:t>
      </w:r>
    </w:p>
    <w:p w14:paraId="4623D6BA"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ومن الضروري التمييز بين الابتكار والإبداع، إذ يُستخدمان أحيانًا بشكل متبادل في الأدبيات رغم اختلافهما المفاهيمي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فالإبداع يُشير إلى توليد أفكار جديدة وأصيلة ومفيدة، بينما الابتكار يتضمن تحويل هذه الأفكار إلى تطبيقات عملية ذات قيمة مضافة للمنظمة وعملائها. أي أن الإبداع يمثل المرحلة الأولى في سلسلة الابتكار لكنه لا يكفي وحده ما لم يُترجَم إلى منتجات أو خدمات أو عمليات أو ممارسات تنظيمية جديدة تُطبَّق فعليًا وتُحدث أثرًا ملموسًا. وقد عالجت عبدالقادر (2025) الإبداع التنظيمي بوصفه القدرة على توليد الأفكار وتبنيها مؤسسيًا في سياق الشركات الخاصة بمحافظة السليمانية، بينما تناول العباس (2024) العلاقة بين القيادة الإبداعية ومهارات التمكين والابتكار لدى المهندسين في شركة أرامكو السعودية، مُفرّقًا بين الإبداع القيادي كمدخل والابتكار كمخرج تنظيمي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وتتبنى الدراسة الحالية مفهوم الابتكار بمعناه التطبيقي الشامل الذي يتخطى مرحلة توليد الأفكار إلى تنفيذها وقياس أثرها</w:t>
      </w:r>
      <w:r w:rsidRPr="00502D23">
        <w:rPr>
          <w:rFonts w:ascii="Sakkal Majalla" w:eastAsia="Times New Roman" w:hAnsi="Sakkal Majalla" w:cs="Sakkal Majalla"/>
          <w:color w:val="000000" w:themeColor="text1"/>
          <w:kern w:val="0"/>
          <w:sz w:val="28"/>
          <w:szCs w:val="28"/>
          <w14:ligatures w14:val="none"/>
        </w:rPr>
        <w:t>.</w:t>
      </w:r>
    </w:p>
    <w:p w14:paraId="67F182F2"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وقد تعددت تعريفات الابتكار في الأدبيات تبعًا للسياق والمنظور النظري. فمن المنظور الاقتصادي، يُعدّ الابتكار مصدرًا للتدمير الخلاق الذي يُعيد تشكيل الأسواق والصناعات كما رأى شومبيتر. ومن المنظور التنظيمي، يُعرَّف بأنه عملية متعددة المراحل تبدأ بإدراك الحاجة أو الفرصة وتمر بتوليد </w:t>
      </w:r>
      <w:r w:rsidRPr="00502D23">
        <w:rPr>
          <w:rFonts w:ascii="Sakkal Majalla" w:eastAsia="Times New Roman" w:hAnsi="Sakkal Majalla" w:cs="Sakkal Majalla"/>
          <w:color w:val="000000" w:themeColor="text1"/>
          <w:kern w:val="0"/>
          <w:sz w:val="28"/>
          <w:szCs w:val="28"/>
          <w:rtl/>
          <w14:ligatures w14:val="none"/>
        </w:rPr>
        <w:lastRenderedPageBreak/>
        <w:t>الأفكار وتقييمها وتنتهي بتطبيقها ونشرها. ومن المنظور السلوكي، يُنظر إليه بوصفه سلوك عمل ابتكاري يمارسه الأفراد حين يولّدون أفكارًا جديدة ويسعون لإقناع الآخرين بها ويعملون على تطبيقها. وقد اعتمد</w:t>
      </w:r>
      <w:r w:rsidRPr="00502D23">
        <w:rPr>
          <w:rFonts w:ascii="Sakkal Majalla" w:eastAsia="Times New Roman" w:hAnsi="Sakkal Majalla" w:cs="Sakkal Majalla"/>
          <w:color w:val="000000" w:themeColor="text1"/>
          <w:kern w:val="0"/>
          <w:sz w:val="28"/>
          <w:szCs w:val="28"/>
          <w14:ligatures w14:val="none"/>
        </w:rPr>
        <w:t xml:space="preserve"> Karimi et al. (2023) </w:t>
      </w:r>
      <w:r w:rsidRPr="00502D23">
        <w:rPr>
          <w:rFonts w:ascii="Sakkal Majalla" w:eastAsia="Times New Roman" w:hAnsi="Sakkal Majalla" w:cs="Sakkal Majalla"/>
          <w:color w:val="000000" w:themeColor="text1"/>
          <w:kern w:val="0"/>
          <w:sz w:val="28"/>
          <w:szCs w:val="28"/>
          <w:rtl/>
          <w14:ligatures w14:val="none"/>
        </w:rPr>
        <w:t xml:space="preserve">على المنظور السلوكي في قياس سلوك العمل الابتكاري لدى الخبراء الزراعيين الإيرانيين، بينما تبنى الجرايدة والعون </w:t>
      </w:r>
      <w:r w:rsidRPr="00502D23">
        <w:rPr>
          <w:rFonts w:ascii="Sakkal Majalla" w:eastAsia="Times New Roman" w:hAnsi="Sakkal Majalla" w:cs="Sakkal Majalla"/>
          <w:color w:val="000000" w:themeColor="text1"/>
          <w:kern w:val="0"/>
          <w:sz w:val="28"/>
          <w:szCs w:val="28"/>
          <w14:ligatures w14:val="none"/>
        </w:rPr>
        <w:t xml:space="preserve">(2021) </w:t>
      </w:r>
      <w:r w:rsidRPr="00502D23">
        <w:rPr>
          <w:rFonts w:ascii="Sakkal Majalla" w:eastAsia="Times New Roman" w:hAnsi="Sakkal Majalla" w:cs="Sakkal Majalla"/>
          <w:color w:val="000000" w:themeColor="text1"/>
          <w:kern w:val="0"/>
          <w:sz w:val="28"/>
          <w:szCs w:val="28"/>
          <w:rtl/>
          <w14:ligatures w14:val="none"/>
        </w:rPr>
        <w:t>منظورًا استراتيجيًا أوسع يتعامل مع الابتكار بوصفه قدرة تنظيمية شاملة تتضمن التوافق الاستراتيجي والاستبصار الصناعي والجاهزية التنظيمية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وتجمع الدراسة الحالية بين هذين المنظورين من خلال قياس الابتكار على المستوى المؤسسي بأبعاده الأربعة مع الأخذ في الاعتبار أن هذا الابتكار المؤسسي هو محصلة لسلوكيات ابتكارية فردية وجماعية تُشكّلها القيادة التحويلية</w:t>
      </w:r>
      <w:r w:rsidRPr="00502D23">
        <w:rPr>
          <w:rFonts w:ascii="Sakkal Majalla" w:eastAsia="Times New Roman" w:hAnsi="Sakkal Majalla" w:cs="Sakkal Majalla"/>
          <w:color w:val="000000" w:themeColor="text1"/>
          <w:kern w:val="0"/>
          <w:sz w:val="28"/>
          <w:szCs w:val="28"/>
          <w14:ligatures w14:val="none"/>
        </w:rPr>
        <w:t>.</w:t>
      </w:r>
    </w:p>
    <w:p w14:paraId="7B8AB6A8" w14:textId="5A17588E" w:rsidR="004A78A2" w:rsidRPr="00502D23" w:rsidRDefault="004A78A2" w:rsidP="004A78A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1" w:name="_Toc222955056"/>
      <w:r w:rsidRPr="00502D23">
        <w:rPr>
          <w:rFonts w:ascii="Sakkal Majalla" w:eastAsia="Times New Roman" w:hAnsi="Sakkal Majalla" w:cs="Sakkal Majalla"/>
          <w:b/>
          <w:bCs/>
          <w:color w:val="000000" w:themeColor="text1"/>
          <w:kern w:val="0"/>
          <w:sz w:val="32"/>
          <w:szCs w:val="32"/>
          <w:rtl/>
          <w14:ligatures w14:val="none"/>
        </w:rPr>
        <w:t>3.2.2 أهمية الابتكار وأهدافه في المؤسسات الصغيرة والمتوسطة</w:t>
      </w:r>
      <w:bookmarkEnd w:id="41"/>
    </w:p>
    <w:p w14:paraId="3246867B"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تتجلى أهمية الابتكار في المؤسسات الصغيرة والمتوسطة من خلال ثلاثة أبعاد مترابطة. البعد الأول هو التنافسية؛ ففي ظل عولمة الأسواق وانفتاحها لم تعد المؤسسات الصغيرة والمتوسطة تتنافس مع نظيراتها المحلية فحسب بل مع منظمات عالمية تمتلك موارد ضخمة، مما يجعل الابتكار السبيل الوحيد لتحقيق تمايز لا يمكن تقليده بسهولة. وقد أكد القضاة والنسور والشوابكة (2020) على أن خصائص المنظمة الذكية كالتعلم المستمر والاستدامة تُمثّل عوامل حاسمة في تعزيز قدرة المنظمة على الابتكار في قطاع الاتصالات وتكنولوجيا المعلومات، وهو قطاع شديد التنافسية يتطلب ابتكارًا مستمرًا للبقاء. كما أشار</w:t>
      </w:r>
      <w:r w:rsidRPr="00502D23">
        <w:rPr>
          <w:rFonts w:ascii="Sakkal Majalla" w:eastAsia="Times New Roman" w:hAnsi="Sakkal Majalla" w:cs="Sakkal Majalla"/>
          <w:color w:val="000000" w:themeColor="text1"/>
          <w:kern w:val="0"/>
          <w:sz w:val="28"/>
          <w:szCs w:val="28"/>
          <w14:ligatures w14:val="none"/>
        </w:rPr>
        <w:t xml:space="preserve"> Bellis, </w:t>
      </w:r>
      <w:proofErr w:type="spellStart"/>
      <w:r w:rsidRPr="00502D23">
        <w:rPr>
          <w:rFonts w:ascii="Sakkal Majalla" w:eastAsia="Times New Roman" w:hAnsi="Sakkal Majalla" w:cs="Sakkal Majalla"/>
          <w:color w:val="000000" w:themeColor="text1"/>
          <w:kern w:val="0"/>
          <w:sz w:val="28"/>
          <w:szCs w:val="28"/>
          <w14:ligatures w14:val="none"/>
        </w:rPr>
        <w:t>Cunial</w:t>
      </w:r>
      <w:proofErr w:type="spellEnd"/>
      <w:r w:rsidRPr="00502D23">
        <w:rPr>
          <w:rFonts w:ascii="Sakkal Majalla" w:eastAsia="Times New Roman" w:hAnsi="Sakkal Majalla" w:cs="Sakkal Majalla"/>
          <w:color w:val="000000" w:themeColor="text1"/>
          <w:kern w:val="0"/>
          <w:sz w:val="28"/>
          <w:szCs w:val="28"/>
          <w14:ligatures w14:val="none"/>
        </w:rPr>
        <w:t xml:space="preserve"> and </w:t>
      </w:r>
      <w:proofErr w:type="spellStart"/>
      <w:r w:rsidRPr="00502D23">
        <w:rPr>
          <w:rFonts w:ascii="Sakkal Majalla" w:eastAsia="Times New Roman" w:hAnsi="Sakkal Majalla" w:cs="Sakkal Majalla"/>
          <w:color w:val="000000" w:themeColor="text1"/>
          <w:kern w:val="0"/>
          <w:sz w:val="28"/>
          <w:szCs w:val="28"/>
          <w14:ligatures w14:val="none"/>
        </w:rPr>
        <w:t>Trabucchi</w:t>
      </w:r>
      <w:proofErr w:type="spellEnd"/>
      <w:r w:rsidRPr="00502D23">
        <w:rPr>
          <w:rFonts w:ascii="Sakkal Majalla" w:eastAsia="Times New Roman" w:hAnsi="Sakkal Majalla" w:cs="Sakkal Majalla"/>
          <w:color w:val="000000" w:themeColor="text1"/>
          <w:kern w:val="0"/>
          <w:sz w:val="28"/>
          <w:szCs w:val="28"/>
          <w14:ligatures w14:val="none"/>
        </w:rPr>
        <w:t xml:space="preserve"> (2024) </w:t>
      </w:r>
      <w:r w:rsidRPr="00502D23">
        <w:rPr>
          <w:rFonts w:ascii="Sakkal Majalla" w:eastAsia="Times New Roman" w:hAnsi="Sakkal Majalla" w:cs="Sakkal Majalla"/>
          <w:color w:val="000000" w:themeColor="text1"/>
          <w:kern w:val="0"/>
          <w:sz w:val="28"/>
          <w:szCs w:val="28"/>
          <w:rtl/>
          <w14:ligatures w14:val="none"/>
        </w:rPr>
        <w:t>إلى أن القيادة الرقمية والرشاقة التنظيمية أصبحتا شرطين أساسيين لتعزيز الابتكار في العوالم الهجينة التي تمزج بين الفضاءين المادي والرقمي، وهو واقع تعيشه المؤسسات الصغيرة والمتوسطة السعودية التي تتسارع عمليات تحولها الرقمي</w:t>
      </w:r>
      <w:r w:rsidRPr="00502D23">
        <w:rPr>
          <w:rFonts w:ascii="Sakkal Majalla" w:eastAsia="Times New Roman" w:hAnsi="Sakkal Majalla" w:cs="Sakkal Majalla"/>
          <w:color w:val="000000" w:themeColor="text1"/>
          <w:kern w:val="0"/>
          <w:sz w:val="28"/>
          <w:szCs w:val="28"/>
          <w14:ligatures w14:val="none"/>
        </w:rPr>
        <w:t>.</w:t>
      </w:r>
    </w:p>
    <w:p w14:paraId="56A1D7E0"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الثاني</w:t>
      </w:r>
      <w:r w:rsidRPr="00502D23">
        <w:rPr>
          <w:rFonts w:ascii="Sakkal Majalla" w:eastAsia="Times New Roman" w:hAnsi="Sakkal Majalla" w:cs="Sakkal Majalla"/>
          <w:color w:val="000000" w:themeColor="text1"/>
          <w:kern w:val="0"/>
          <w:sz w:val="28"/>
          <w:szCs w:val="28"/>
          <w:rtl/>
          <w14:ligatures w14:val="none"/>
        </w:rPr>
        <w:t xml:space="preserve"> هو الاستدامة؛ فالابتكار لا يقتصر على تحقيق ميزة تنافسية آنية بل يُسهم في بناء قدرات تنظيمية مستدامة تُمكّن المؤسسة من التكيف المستمر مع بيئتها المتغيرة. وقد عالج السعيدي </w:t>
      </w:r>
      <w:r w:rsidRPr="00502D23">
        <w:rPr>
          <w:rFonts w:ascii="Sakkal Majalla" w:eastAsia="Times New Roman" w:hAnsi="Sakkal Majalla" w:cs="Sakkal Majalla"/>
          <w:color w:val="000000" w:themeColor="text1"/>
          <w:kern w:val="0"/>
          <w:sz w:val="28"/>
          <w:szCs w:val="28"/>
          <w14:ligatures w14:val="none"/>
        </w:rPr>
        <w:t xml:space="preserve">(2020) </w:t>
      </w:r>
      <w:r w:rsidRPr="00502D23">
        <w:rPr>
          <w:rFonts w:ascii="Sakkal Majalla" w:eastAsia="Times New Roman" w:hAnsi="Sakkal Majalla" w:cs="Sakkal Majalla"/>
          <w:color w:val="000000" w:themeColor="text1"/>
          <w:kern w:val="0"/>
          <w:sz w:val="28"/>
          <w:szCs w:val="28"/>
          <w:rtl/>
          <w14:ligatures w14:val="none"/>
        </w:rPr>
        <w:t xml:space="preserve">هذا البعد من خلال فحص العلاقة بين الممارسات الإبداعية الموجهة نحو الاستدامة والابتكار البيئي في القطاع النفطي العراقي، كاشفًا عن أن تبني رؤية استدامية يُحفّز المنظمة على تطوير ابتكارات </w:t>
      </w:r>
      <w:r w:rsidRPr="00502D23">
        <w:rPr>
          <w:rFonts w:ascii="Sakkal Majalla" w:eastAsia="Times New Roman" w:hAnsi="Sakkal Majalla" w:cs="Sakkal Majalla"/>
          <w:color w:val="000000" w:themeColor="text1"/>
          <w:kern w:val="0"/>
          <w:sz w:val="28"/>
          <w:szCs w:val="28"/>
          <w:rtl/>
          <w14:ligatures w14:val="none"/>
        </w:rPr>
        <w:lastRenderedPageBreak/>
        <w:t xml:space="preserve">بيئية تُراعي المسؤولية الاجتماعية إلى جانب الأهداف الاقتصادية. وتتقاطع هذه الفكرة مع ما قدّمه </w:t>
      </w:r>
      <w:proofErr w:type="spellStart"/>
      <w:r w:rsidRPr="00502D23">
        <w:rPr>
          <w:rFonts w:ascii="Sakkal Majalla" w:eastAsia="Times New Roman" w:hAnsi="Sakkal Majalla" w:cs="Sakkal Majalla"/>
          <w:color w:val="000000" w:themeColor="text1"/>
          <w:kern w:val="0"/>
          <w:sz w:val="28"/>
          <w:szCs w:val="28"/>
          <w14:ligatures w14:val="none"/>
        </w:rPr>
        <w:t>Kopytko</w:t>
      </w:r>
      <w:proofErr w:type="spellEnd"/>
      <w:r w:rsidRPr="00502D23">
        <w:rPr>
          <w:rFonts w:ascii="Sakkal Majalla" w:eastAsia="Times New Roman" w:hAnsi="Sakkal Majalla" w:cs="Sakkal Majalla"/>
          <w:color w:val="000000" w:themeColor="text1"/>
          <w:kern w:val="0"/>
          <w:sz w:val="28"/>
          <w:szCs w:val="28"/>
          <w14:ligatures w14:val="none"/>
        </w:rPr>
        <w:t xml:space="preserve"> et al. (2023) </w:t>
      </w:r>
      <w:r w:rsidRPr="00502D23">
        <w:rPr>
          <w:rFonts w:ascii="Sakkal Majalla" w:eastAsia="Times New Roman" w:hAnsi="Sakkal Majalla" w:cs="Sakkal Majalla"/>
          <w:color w:val="000000" w:themeColor="text1"/>
          <w:kern w:val="0"/>
          <w:sz w:val="28"/>
          <w:szCs w:val="28"/>
          <w:rtl/>
          <w14:ligatures w14:val="none"/>
        </w:rPr>
        <w:t>من نموذج للنظام الاجتماعي الاقتصادي المستدام القائم على الإدارة الرشيقة، حيث أكدوا أن الابتكار المستدام يتطلب تكاملًا بين الأبعاد الاقتصادية والاجتماعية والبيئية في إطار إداري مرن وقادر على التكيف</w:t>
      </w:r>
      <w:r w:rsidRPr="00502D23">
        <w:rPr>
          <w:rFonts w:ascii="Sakkal Majalla" w:eastAsia="Times New Roman" w:hAnsi="Sakkal Majalla" w:cs="Sakkal Majalla"/>
          <w:color w:val="000000" w:themeColor="text1"/>
          <w:kern w:val="0"/>
          <w:sz w:val="28"/>
          <w:szCs w:val="28"/>
          <w14:ligatures w14:val="none"/>
        </w:rPr>
        <w:t>.</w:t>
      </w:r>
    </w:p>
    <w:p w14:paraId="19E39940"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الثالث</w:t>
      </w:r>
      <w:r w:rsidRPr="00502D23">
        <w:rPr>
          <w:rFonts w:ascii="Sakkal Majalla" w:eastAsia="Times New Roman" w:hAnsi="Sakkal Majalla" w:cs="Sakkal Majalla"/>
          <w:color w:val="000000" w:themeColor="text1"/>
          <w:kern w:val="0"/>
          <w:sz w:val="28"/>
          <w:szCs w:val="28"/>
          <w:rtl/>
          <w14:ligatures w14:val="none"/>
        </w:rPr>
        <w:t xml:space="preserve"> هو التنمية الوطنية؛ فالمؤسسات الصغيرة والمتوسطة المبتكرة لا تُفيد ذاتها فحسب بل تُسهم في تحقيق أهداف التنمية الوطنية من خلال خلق فرص العمل وتنويع القاعدة الإنتاجية وتطوير الصناعات المحلية. وقد أبرز الحجيلي (2024) هذا البعد حين تناول دور الذكاء الاصطناعي في تعزيز الابتكار ضمن خمسة قطاعات سعودية حيوية هي التعليم والحكومة والصحة والطاقة والنقل، مؤكدًا أن الابتكار التكنولوجي يُمثّل أداة فاعلة لتحقيق أهداف رؤية 2030. كما عالج العمراوي (2023) دور الابتكار في الخدمات المالية الرقمية وأثره في تعزيز الشمول المالي، مُبرزًا أن الابتكار في هذا القطاع يُسهم في تمكين شرائح واسعة من المجتمع من الوصول إلى الخدمات المالية وتحقيق العدالة الاقتصادية</w:t>
      </w:r>
      <w:r w:rsidRPr="00502D23">
        <w:rPr>
          <w:rFonts w:ascii="Sakkal Majalla" w:eastAsia="Times New Roman" w:hAnsi="Sakkal Majalla" w:cs="Sakkal Majalla"/>
          <w:color w:val="000000" w:themeColor="text1"/>
          <w:kern w:val="0"/>
          <w:sz w:val="28"/>
          <w:szCs w:val="28"/>
          <w14:ligatures w14:val="none"/>
        </w:rPr>
        <w:t>.</w:t>
      </w:r>
    </w:p>
    <w:p w14:paraId="4B7ADCCE"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أما أهداف الابتكار في المؤسسات الصغيرة والمتوسطة فتتمحور حول عدة محاور. الهدف الأول هو تطوير منتجات وخدمات جديدة أو محسّنة تلبي احتياجات العملاء بشكل أفضل وتفتح أسواقًا جديدة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الهدف الثاني هو تحسين العمليات الداخلية لرفع الكفاءة التشغيلية وخفض التكاليف وتسريع دورات الإنتاج والتسليم. الهدف الثالث هو إعادة هيكلة التنظيم الداخلي لجعله أكثر مرونة وقدرة على الاستجابة للتغيرات البيئية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الهدف الرابع هو تطوير أساليب تسويقية مبتكرة تُعزز الوصول إلى العملاء وتُحسّن تجربتهم. وقد أبرز مسلتي وبونويرة (2022) هذا البعد الأخير من خلال فحص دور اليقظة التسويقية في تعزيز الابتكار التسويقي عبر أبعاده المختلفة من ابتكار في المنتج والسعر والتوزيع والترويج. كما أن الجرايدة والعون </w:t>
      </w:r>
      <w:r w:rsidRPr="00502D23">
        <w:rPr>
          <w:rFonts w:ascii="Sakkal Majalla" w:eastAsia="Times New Roman" w:hAnsi="Sakkal Majalla" w:cs="Sakkal Majalla"/>
          <w:color w:val="000000" w:themeColor="text1"/>
          <w:kern w:val="0"/>
          <w:sz w:val="28"/>
          <w:szCs w:val="28"/>
          <w14:ligatures w14:val="none"/>
        </w:rPr>
        <w:t xml:space="preserve">(2021) </w:t>
      </w:r>
      <w:r w:rsidRPr="00502D23">
        <w:rPr>
          <w:rFonts w:ascii="Sakkal Majalla" w:eastAsia="Times New Roman" w:hAnsi="Sakkal Majalla" w:cs="Sakkal Majalla"/>
          <w:color w:val="000000" w:themeColor="text1"/>
          <w:kern w:val="0"/>
          <w:sz w:val="28"/>
          <w:szCs w:val="28"/>
          <w:rtl/>
          <w14:ligatures w14:val="none"/>
        </w:rPr>
        <w:t>عالجا أهداف الابتكار من منظور استراتيجي أوسع يتضمن التوافق الاستراتيجي والاستبصار الصناعي والجاهزية التنظيمية، مؤكدين أن الابتكار يجب أن يكون موجّهًا استراتيجيًا ومتسقًا مع الرؤية الكلية للمنظمة لا عشوائيًا أو ارتجاليًا</w:t>
      </w:r>
      <w:r w:rsidRPr="00502D23">
        <w:rPr>
          <w:rFonts w:ascii="Sakkal Majalla" w:eastAsia="Times New Roman" w:hAnsi="Sakkal Majalla" w:cs="Sakkal Majalla"/>
          <w:color w:val="000000" w:themeColor="text1"/>
          <w:kern w:val="0"/>
          <w:sz w:val="28"/>
          <w:szCs w:val="28"/>
          <w14:ligatures w14:val="none"/>
        </w:rPr>
        <w:t>.</w:t>
      </w:r>
    </w:p>
    <w:p w14:paraId="45784202" w14:textId="64467943" w:rsidR="004A78A2" w:rsidRPr="00502D23" w:rsidRDefault="004A78A2" w:rsidP="004A78A2">
      <w:pPr>
        <w:spacing w:before="100" w:beforeAutospacing="1" w:after="100" w:afterAutospacing="1"/>
        <w:outlineLvl w:val="2"/>
        <w:rPr>
          <w:rFonts w:ascii="Sakkal Majalla" w:eastAsia="Times New Roman" w:hAnsi="Sakkal Majalla" w:cs="Sakkal Majalla"/>
          <w:b/>
          <w:bCs/>
          <w:color w:val="000000" w:themeColor="text1"/>
          <w:kern w:val="0"/>
          <w:sz w:val="32"/>
          <w:szCs w:val="32"/>
          <w:rtl/>
          <w14:ligatures w14:val="none"/>
        </w:rPr>
      </w:pPr>
      <w:r w:rsidRPr="00502D23">
        <w:rPr>
          <w:rFonts w:ascii="Sakkal Majalla" w:eastAsia="Times New Roman" w:hAnsi="Sakkal Majalla" w:cs="Sakkal Majalla"/>
          <w:b/>
          <w:bCs/>
          <w:color w:val="000000" w:themeColor="text1"/>
          <w:kern w:val="0"/>
          <w:sz w:val="32"/>
          <w:szCs w:val="32"/>
          <w:rtl/>
          <w14:ligatures w14:val="none"/>
        </w:rPr>
        <w:br w:type="page"/>
      </w:r>
      <w:bookmarkStart w:id="42" w:name="_Toc222955057"/>
      <w:r w:rsidRPr="00502D23">
        <w:rPr>
          <w:rFonts w:ascii="Sakkal Majalla" w:eastAsia="Times New Roman" w:hAnsi="Sakkal Majalla" w:cs="Sakkal Majalla" w:hint="cs"/>
          <w:b/>
          <w:bCs/>
          <w:color w:val="000000" w:themeColor="text1"/>
          <w:kern w:val="0"/>
          <w:sz w:val="32"/>
          <w:szCs w:val="32"/>
          <w:rtl/>
          <w14:ligatures w14:val="none"/>
        </w:rPr>
        <w:lastRenderedPageBreak/>
        <w:t xml:space="preserve">4.2.2 </w:t>
      </w:r>
      <w:r w:rsidRPr="00502D23">
        <w:rPr>
          <w:rFonts w:ascii="Sakkal Majalla" w:eastAsia="Times New Roman" w:hAnsi="Sakkal Majalla" w:cs="Sakkal Majalla"/>
          <w:b/>
          <w:bCs/>
          <w:color w:val="000000" w:themeColor="text1"/>
          <w:kern w:val="0"/>
          <w:sz w:val="32"/>
          <w:szCs w:val="32"/>
          <w:rtl/>
          <w14:ligatures w14:val="none"/>
        </w:rPr>
        <w:t>أبعاد الابتكار</w:t>
      </w:r>
      <w:bookmarkEnd w:id="42"/>
    </w:p>
    <w:p w14:paraId="1186662E"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اعتمدت الدراسة الحالية في تحديد أبعاد الابتكار على تصنيف دليل أوسلو الرباعي المدعوم بالأدبيات البحثية التي تناولت الابتكار من زوايا متعددة، ولا سيما دراسات القضاة والنسور والشوابكة (2020) ومسلتي وبونويرة (2022) والجرايدة والعون (2021) و</w:t>
      </w:r>
      <w:r w:rsidRPr="00502D23">
        <w:rPr>
          <w:rFonts w:ascii="Sakkal Majalla" w:eastAsia="Times New Roman" w:hAnsi="Sakkal Majalla" w:cs="Sakkal Majalla"/>
          <w:color w:val="000000" w:themeColor="text1"/>
          <w:kern w:val="0"/>
          <w:sz w:val="28"/>
          <w:szCs w:val="28"/>
          <w14:ligatures w14:val="none"/>
        </w:rPr>
        <w:t xml:space="preserve">Pasha et al. (2022) </w:t>
      </w:r>
      <w:r w:rsidRPr="00502D23">
        <w:rPr>
          <w:rFonts w:ascii="Sakkal Majalla" w:eastAsia="Times New Roman" w:hAnsi="Sakkal Majalla" w:cs="Sakkal Majalla"/>
          <w:color w:val="000000" w:themeColor="text1"/>
          <w:kern w:val="0"/>
          <w:sz w:val="28"/>
          <w:szCs w:val="28"/>
          <w:rtl/>
          <w14:ligatures w14:val="none"/>
        </w:rPr>
        <w:t>التي عالجت أنماطًا مختلفة من الابتكار وقدّمت مؤشرات قياسية يمكن البناء عليها. وفيما يأتي تفصيل لكل بعد من الأبعاد الأربعة المعتمدة</w:t>
      </w:r>
      <w:r w:rsidRPr="00502D23">
        <w:rPr>
          <w:rFonts w:ascii="Sakkal Majalla" w:eastAsia="Times New Roman" w:hAnsi="Sakkal Majalla" w:cs="Sakkal Majalla"/>
          <w:color w:val="000000" w:themeColor="text1"/>
          <w:kern w:val="0"/>
          <w:sz w:val="28"/>
          <w:szCs w:val="28"/>
          <w14:ligatures w14:val="none"/>
        </w:rPr>
        <w:t>.</w:t>
      </w:r>
    </w:p>
    <w:p w14:paraId="368F33CC" w14:textId="77777777" w:rsidR="004A78A2" w:rsidRPr="00502D23" w:rsidRDefault="00A23AAB" w:rsidP="005C73E0">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الأول</w:t>
      </w:r>
      <w:r w:rsidRPr="00502D23">
        <w:rPr>
          <w:rFonts w:ascii="Sakkal Majalla" w:eastAsia="Times New Roman" w:hAnsi="Sakkal Majalla" w:cs="Sakkal Majalla"/>
          <w:color w:val="000000" w:themeColor="text1"/>
          <w:kern w:val="0"/>
          <w:sz w:val="28"/>
          <w:szCs w:val="28"/>
          <w:rtl/>
          <w14:ligatures w14:val="none"/>
        </w:rPr>
        <w:t>: ابتكار المنتجات والخدمات</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يُشير هذا البعد إلى تقديم منتجات أو خدمات جديدة كليًا أو محسّنة جوهريًا من حيث خصائصها التقنية أو وظائفها أو استخداماتها المقصودة. ولا يقتصر ابتكار المنتجات على الابتكار الجذري الذي يُنشئ فئة جديدة تمامًا في السوق، بل يشمل أيضًا الابتكار التدريجي الذي يُحسّن المنتجات القائمة بإضافة ميزات جديدة أو رفع مستوى جودتها أو تخفيض تكلفتها. وفي سياق المؤسسات الصغيرة والمتوسطة، يكتسب ابتكار المنتجات أهمية خاصة لأنه يُمكّنها من اختراق أسواق محددة بعروض قيمة فريدة يصعب على المنافسين الكبار تقليدها بسرعة نظرًا لجمودهم البيروقراطي. وقد تناول</w:t>
      </w:r>
      <w:r w:rsidRPr="00502D23">
        <w:rPr>
          <w:rFonts w:ascii="Sakkal Majalla" w:eastAsia="Times New Roman" w:hAnsi="Sakkal Majalla" w:cs="Sakkal Majalla"/>
          <w:color w:val="000000" w:themeColor="text1"/>
          <w:kern w:val="0"/>
          <w:sz w:val="28"/>
          <w:szCs w:val="28"/>
          <w14:ligatures w14:val="none"/>
        </w:rPr>
        <w:t xml:space="preserve"> Pasha et al. (2022) </w:t>
      </w:r>
      <w:r w:rsidRPr="00502D23">
        <w:rPr>
          <w:rFonts w:ascii="Sakkal Majalla" w:eastAsia="Times New Roman" w:hAnsi="Sakkal Majalla" w:cs="Sakkal Majalla"/>
          <w:color w:val="000000" w:themeColor="text1"/>
          <w:kern w:val="0"/>
          <w:sz w:val="28"/>
          <w:szCs w:val="28"/>
          <w:rtl/>
          <w14:ligatures w14:val="none"/>
        </w:rPr>
        <w:t>هذا البعد في إطار ريادة الأعمال البيئية في المؤسسات الصغيرة والمتوسطة الباكستانية، حيث فحصا كيف يُسهم التوجه البيئي الريادي في تحفيز العاملين على تطوير منتجات وخدمات مبتكرة تُراعي البعد البيئي. كما أشار الحجيلي (2024) إلى أن الذكاء الاصطناعي يفتح آفاقًا واسعة لابتكار منتجات وخدمات جديدة في قطاعات متعددة كالصحة والتعليم والطاقة، مما يُتيح للمؤسسات الصغيرة والمتوسطة التي تتبنى هذه التقنيات فرصًا تنافسية غير مسبوقة</w:t>
      </w:r>
      <w:r w:rsidRPr="00502D23">
        <w:rPr>
          <w:rFonts w:ascii="Sakkal Majalla" w:eastAsia="Times New Roman" w:hAnsi="Sakkal Majalla" w:cs="Sakkal Majalla"/>
          <w:color w:val="000000" w:themeColor="text1"/>
          <w:kern w:val="0"/>
          <w:sz w:val="28"/>
          <w:szCs w:val="28"/>
          <w14:ligatures w14:val="none"/>
        </w:rPr>
        <w:t>.</w:t>
      </w:r>
    </w:p>
    <w:p w14:paraId="017B7856" w14:textId="77777777" w:rsidR="004A78A2" w:rsidRPr="00502D23" w:rsidRDefault="00A23AAB" w:rsidP="005C73E0">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الثاني</w:t>
      </w:r>
      <w:r w:rsidRPr="00502D23">
        <w:rPr>
          <w:rFonts w:ascii="Sakkal Majalla" w:eastAsia="Times New Roman" w:hAnsi="Sakkal Majalla" w:cs="Sakkal Majalla"/>
          <w:color w:val="000000" w:themeColor="text1"/>
          <w:kern w:val="0"/>
          <w:sz w:val="28"/>
          <w:szCs w:val="28"/>
          <w:rtl/>
          <w14:ligatures w14:val="none"/>
        </w:rPr>
        <w:t>: ابتكار العمليات</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يتعلق هذا البعد بتطبيق أساليب إنتاج أو توصيل جديدة أو محسّنة جوهريًا، بما في ذلك التغييرات في التقنيات والمعدات والبرمجيات وإجراءات العمل</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ويهدف ابتكار العمليات إلى رفع الكفاءة التشغيلية وخفض التكاليف وتحسين الجودة وتسريع الاستجابة لمتطلبات السوق. وتبرز أهمية هذا البعد في المؤسسات الصغيرة والمتوسطة التي تعمل بموارد محدودة وتحتاج إلى تعظيم الإنتاجية من كل وحدة مورد متاحة. وقد عالج</w:t>
      </w:r>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Kopytko</w:t>
      </w:r>
      <w:proofErr w:type="spellEnd"/>
      <w:r w:rsidRPr="00502D23">
        <w:rPr>
          <w:rFonts w:ascii="Sakkal Majalla" w:eastAsia="Times New Roman" w:hAnsi="Sakkal Majalla" w:cs="Sakkal Majalla"/>
          <w:color w:val="000000" w:themeColor="text1"/>
          <w:kern w:val="0"/>
          <w:sz w:val="28"/>
          <w:szCs w:val="28"/>
          <w14:ligatures w14:val="none"/>
        </w:rPr>
        <w:t xml:space="preserve"> et al. (2023) </w:t>
      </w:r>
      <w:r w:rsidRPr="00502D23">
        <w:rPr>
          <w:rFonts w:ascii="Sakkal Majalla" w:eastAsia="Times New Roman" w:hAnsi="Sakkal Majalla" w:cs="Sakkal Majalla"/>
          <w:color w:val="000000" w:themeColor="text1"/>
          <w:kern w:val="0"/>
          <w:sz w:val="28"/>
          <w:szCs w:val="28"/>
          <w:rtl/>
          <w14:ligatures w14:val="none"/>
        </w:rPr>
        <w:t xml:space="preserve">هذا البعد ضمن </w:t>
      </w:r>
      <w:r w:rsidRPr="00502D23">
        <w:rPr>
          <w:rFonts w:ascii="Sakkal Majalla" w:eastAsia="Times New Roman" w:hAnsi="Sakkal Majalla" w:cs="Sakkal Majalla"/>
          <w:color w:val="000000" w:themeColor="text1"/>
          <w:kern w:val="0"/>
          <w:sz w:val="28"/>
          <w:szCs w:val="28"/>
          <w:rtl/>
          <w14:ligatures w14:val="none"/>
        </w:rPr>
        <w:lastRenderedPageBreak/>
        <w:t>نموذجهم للنظام الاجتماعي الاقتصادي المستدام القائم على الإدارة الرشيقة، حيث أكدوا أن تبني تقنيات الإدارة الرشيقة يُمثّل شكلًا من أشكال ابتكار العمليات الذي يُعزز قدرة المنظمة على التكيف والاستجابة السريعة</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كما أن</w:t>
      </w:r>
      <w:r w:rsidRPr="00502D23">
        <w:rPr>
          <w:rFonts w:ascii="Sakkal Majalla" w:eastAsia="Times New Roman" w:hAnsi="Sakkal Majalla" w:cs="Sakkal Majalla"/>
          <w:color w:val="000000" w:themeColor="text1"/>
          <w:kern w:val="0"/>
          <w:sz w:val="28"/>
          <w:szCs w:val="28"/>
          <w14:ligatures w14:val="none"/>
        </w:rPr>
        <w:t xml:space="preserve"> Bellis et al. (2024) </w:t>
      </w:r>
      <w:r w:rsidRPr="00502D23">
        <w:rPr>
          <w:rFonts w:ascii="Sakkal Majalla" w:eastAsia="Times New Roman" w:hAnsi="Sakkal Majalla" w:cs="Sakkal Majalla"/>
          <w:color w:val="000000" w:themeColor="text1"/>
          <w:kern w:val="0"/>
          <w:sz w:val="28"/>
          <w:szCs w:val="28"/>
          <w:rtl/>
          <w14:ligatures w14:val="none"/>
        </w:rPr>
        <w:t>أشاروا إلى أن القيادة الرقمية تُسهم في تطوير عمليات مبتكرة تدمج بين الفضاءين المادي والرقمي في بيئات العمل الهجينة، وهو ما يُمثّل تحديًا وفرصة في آن واحد للمؤسسات الصغيرة والمتوسطة. وفي السياق العربي، تناول العبيسي والشعار (2020) دور المرونة الاستراتيجية في تعزيز الابتكار في المستشفيات الخاصة الأردنية، وهو سياق يتطلب ابتكارًا مستمرًا في العمليات الطبية والإدارية لمواكبة التطورات العلمية والتنظيمية المتسارعة في القطاع الصحي</w:t>
      </w:r>
      <w:r w:rsidRPr="00502D23">
        <w:rPr>
          <w:rFonts w:ascii="Sakkal Majalla" w:eastAsia="Times New Roman" w:hAnsi="Sakkal Majalla" w:cs="Sakkal Majalla"/>
          <w:color w:val="000000" w:themeColor="text1"/>
          <w:kern w:val="0"/>
          <w:sz w:val="28"/>
          <w:szCs w:val="28"/>
          <w14:ligatures w14:val="none"/>
        </w:rPr>
        <w:t>.</w:t>
      </w:r>
    </w:p>
    <w:p w14:paraId="0C6762C2" w14:textId="77777777" w:rsidR="004A78A2" w:rsidRPr="00502D23" w:rsidRDefault="00A23AAB" w:rsidP="005C73E0">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الثالث</w:t>
      </w:r>
      <w:r w:rsidRPr="00502D23">
        <w:rPr>
          <w:rFonts w:ascii="Sakkal Majalla" w:eastAsia="Times New Roman" w:hAnsi="Sakkal Majalla" w:cs="Sakkal Majalla"/>
          <w:color w:val="000000" w:themeColor="text1"/>
          <w:kern w:val="0"/>
          <w:sz w:val="28"/>
          <w:szCs w:val="28"/>
          <w:rtl/>
          <w14:ligatures w14:val="none"/>
        </w:rPr>
        <w:t>: الابتكار التنظيمي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يُشير هذا البعد إلى تطبيق أساليب تنظيمية جديدة في ممارسات الأعمال أو تنظيم مكان العمل أو العلاقات الخارجية للمنظمة. ويشمل ذلك إعادة هيكلة الأقسام وتطوير أنظمة إدارة المعرفة وتبني أساليب جديدة لتقييم الأداء وتصميم فرق العمل وبناء شراكات استراتيجية مبتكرة. ويُعدّ الابتكار التنظيمي الأساس الذي تقوم عليه أنواع الابتكار الأخرى، فالمنظمة التي تمتلك هياكل وأنظمة مرنة ومبتكرة تكون أقدر على إنتاج منتجات وخدمات وعمليات مبتكرة. وقد عالج الرشيدي (2025) بعدًا مهمًا من الابتكار التنظيمي وهو مشاركة المعرفة بوصفها آلية تنظيمية تُيسّر التطوير المؤسسي في سياق حكومي كويتي. كما أن محمود (2025) تناولت قدرات التعلم التنظيمي كمكوّن أساسي من مكونات الابتكار التنظيمي الذي يُمكّن المستشفيات الجامعية من تحويل المعرفة الطبية والإدارية إلى ابتكارات فعلية. وقد أكد القضاة والنسور والشوابكة (2020) على أن خصائص المنظمة الذكية ولا سيما التعلم مدى الحياة والاستعداد للتغيير التنظيمي تُمثّل ركائز الابتكار التنظيمي في قطاع الاتصالات وتكنولوجيا المعلومات الأردني. ومن الأدبيات الأجنبية، أشارت</w:t>
      </w:r>
      <w:r w:rsidRPr="00502D23">
        <w:rPr>
          <w:rFonts w:ascii="Sakkal Majalla" w:eastAsia="Times New Roman" w:hAnsi="Sakkal Majalla" w:cs="Sakkal Majalla"/>
          <w:color w:val="000000" w:themeColor="text1"/>
          <w:kern w:val="0"/>
          <w:sz w:val="28"/>
          <w:szCs w:val="28"/>
          <w14:ligatures w14:val="none"/>
        </w:rPr>
        <w:t xml:space="preserve"> Hoai et al. (2022) </w:t>
      </w:r>
      <w:r w:rsidRPr="00502D23">
        <w:rPr>
          <w:rFonts w:ascii="Sakkal Majalla" w:eastAsia="Times New Roman" w:hAnsi="Sakkal Majalla" w:cs="Sakkal Majalla"/>
          <w:color w:val="000000" w:themeColor="text1"/>
          <w:kern w:val="0"/>
          <w:sz w:val="28"/>
          <w:szCs w:val="28"/>
          <w:rtl/>
          <w14:ligatures w14:val="none"/>
        </w:rPr>
        <w:t>إلى أن أنظمة الرقابة الداخلية حين تُصمَّم بشكل مبتكر تُسهم في تعزيز كثافة الابتكار التنظيمي في منظمات القطاع العام، خاصة حين تُعدَّل بأثر القيادة التحويلية التي تُعيد تأطير الرقابة من أداة تقييدية إلى أداة تمكينية</w:t>
      </w:r>
      <w:r w:rsidRPr="00502D23">
        <w:rPr>
          <w:rFonts w:ascii="Sakkal Majalla" w:eastAsia="Times New Roman" w:hAnsi="Sakkal Majalla" w:cs="Sakkal Majalla"/>
          <w:color w:val="000000" w:themeColor="text1"/>
          <w:kern w:val="0"/>
          <w:sz w:val="28"/>
          <w:szCs w:val="28"/>
          <w14:ligatures w14:val="none"/>
        </w:rPr>
        <w:t>.</w:t>
      </w:r>
    </w:p>
    <w:p w14:paraId="1412BB77" w14:textId="75445875" w:rsidR="00A23AAB" w:rsidRPr="00502D23" w:rsidRDefault="00A23AAB" w:rsidP="005C73E0">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البعد الرابع</w:t>
      </w:r>
      <w:r w:rsidRPr="00502D23">
        <w:rPr>
          <w:rFonts w:ascii="Sakkal Majalla" w:eastAsia="Times New Roman" w:hAnsi="Sakkal Majalla" w:cs="Sakkal Majalla"/>
          <w:color w:val="000000" w:themeColor="text1"/>
          <w:kern w:val="0"/>
          <w:sz w:val="28"/>
          <w:szCs w:val="28"/>
          <w:rtl/>
          <w14:ligatures w14:val="none"/>
        </w:rPr>
        <w:t>: الابتكار التسويقي</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 xml:space="preserve">يتضمن هذا البعد تطبيق أساليب تسويقية جديدة تتضمن تغييرات جوهرية في تصميم المنتج أو تغليفه أو تسعيره أو توزيعه أو ترويجه. ويهدف الابتكار التسويقي </w:t>
      </w:r>
      <w:r w:rsidRPr="00502D23">
        <w:rPr>
          <w:rFonts w:ascii="Sakkal Majalla" w:eastAsia="Times New Roman" w:hAnsi="Sakkal Majalla" w:cs="Sakkal Majalla"/>
          <w:color w:val="000000" w:themeColor="text1"/>
          <w:kern w:val="0"/>
          <w:sz w:val="28"/>
          <w:szCs w:val="28"/>
          <w:rtl/>
          <w14:ligatures w14:val="none"/>
        </w:rPr>
        <w:lastRenderedPageBreak/>
        <w:t>إلى تلبية احتياجات العملاء بشكل أفضل وفتح أسواق جديدة وإعادة تموضع المنتج في السوق بطريقة تُعزز حصة المنظمة وإيراداتها. ويكتسب هذا البعد أهمية متزايدة في ظل التحول الرقمي الذي أتاح قنوات تسويقية جديدة كليًا وأعاد تشكيل سلوك المستهلك وتوقعاته. وقد قدّم مسلتي وبونويرة</w:t>
      </w:r>
      <w:r w:rsidRPr="00502D23">
        <w:rPr>
          <w:rFonts w:ascii="Sakkal Majalla" w:eastAsia="Times New Roman" w:hAnsi="Sakkal Majalla" w:cs="Sakkal Majalla"/>
          <w:color w:val="000000" w:themeColor="text1"/>
          <w:kern w:val="0"/>
          <w:sz w:val="28"/>
          <w:szCs w:val="28"/>
          <w14:ligatures w14:val="none"/>
        </w:rPr>
        <w:t xml:space="preserve"> (2022) </w:t>
      </w:r>
      <w:r w:rsidRPr="00502D23">
        <w:rPr>
          <w:rFonts w:ascii="Sakkal Majalla" w:eastAsia="Times New Roman" w:hAnsi="Sakkal Majalla" w:cs="Sakkal Majalla"/>
          <w:color w:val="000000" w:themeColor="text1"/>
          <w:kern w:val="0"/>
          <w:sz w:val="28"/>
          <w:szCs w:val="28"/>
          <w:rtl/>
          <w14:ligatures w14:val="none"/>
        </w:rPr>
        <w:t>إطارًا تحليليًا شاملًا للابتكار التسويقي من خلال فحص دور اليقظة التسويقية في تعزيز أربعة أبعاد للابتكار التسويقي هي ابتكار المنتج وابتكار السعر وابتكار التوزيع وابتكار الترويج في مؤسسة صناعية جزائرية، مُبرزين أن الرصد المنهجي للبيئة التسويقية يُمثّل مدخلًا ضروريًا لأي جهد ابتكاري تسويقي. كما أشار</w:t>
      </w:r>
      <w:r w:rsidRPr="00502D23">
        <w:rPr>
          <w:rFonts w:ascii="Sakkal Majalla" w:eastAsia="Times New Roman" w:hAnsi="Sakkal Majalla" w:cs="Sakkal Majalla"/>
          <w:color w:val="000000" w:themeColor="text1"/>
          <w:kern w:val="0"/>
          <w:sz w:val="28"/>
          <w:szCs w:val="28"/>
          <w14:ligatures w14:val="none"/>
        </w:rPr>
        <w:t xml:space="preserve"> </w:t>
      </w:r>
      <w:proofErr w:type="spellStart"/>
      <w:r w:rsidRPr="00502D23">
        <w:rPr>
          <w:rFonts w:ascii="Sakkal Majalla" w:eastAsia="Times New Roman" w:hAnsi="Sakkal Majalla" w:cs="Sakkal Majalla"/>
          <w:color w:val="000000" w:themeColor="text1"/>
          <w:kern w:val="0"/>
          <w:sz w:val="28"/>
          <w:szCs w:val="28"/>
          <w14:ligatures w14:val="none"/>
        </w:rPr>
        <w:t>Malibari</w:t>
      </w:r>
      <w:proofErr w:type="spellEnd"/>
      <w:r w:rsidRPr="00502D23">
        <w:rPr>
          <w:rFonts w:ascii="Sakkal Majalla" w:eastAsia="Times New Roman" w:hAnsi="Sakkal Majalla" w:cs="Sakkal Majalla"/>
          <w:color w:val="000000" w:themeColor="text1"/>
          <w:kern w:val="0"/>
          <w:sz w:val="28"/>
          <w:szCs w:val="28"/>
          <w14:ligatures w14:val="none"/>
        </w:rPr>
        <w:t xml:space="preserve"> and </w:t>
      </w:r>
      <w:proofErr w:type="spellStart"/>
      <w:r w:rsidRPr="00502D23">
        <w:rPr>
          <w:rFonts w:ascii="Sakkal Majalla" w:eastAsia="Times New Roman" w:hAnsi="Sakkal Majalla" w:cs="Sakkal Majalla"/>
          <w:color w:val="000000" w:themeColor="text1"/>
          <w:kern w:val="0"/>
          <w:sz w:val="28"/>
          <w:szCs w:val="28"/>
          <w14:ligatures w14:val="none"/>
        </w:rPr>
        <w:t>Bajaba</w:t>
      </w:r>
      <w:proofErr w:type="spellEnd"/>
      <w:r w:rsidRPr="00502D23">
        <w:rPr>
          <w:rFonts w:ascii="Sakkal Majalla" w:eastAsia="Times New Roman" w:hAnsi="Sakkal Majalla" w:cs="Sakkal Majalla"/>
          <w:color w:val="000000" w:themeColor="text1"/>
          <w:kern w:val="0"/>
          <w:sz w:val="28"/>
          <w:szCs w:val="28"/>
          <w14:ligatures w14:val="none"/>
        </w:rPr>
        <w:t xml:space="preserve"> (2022) </w:t>
      </w:r>
      <w:r w:rsidRPr="00502D23">
        <w:rPr>
          <w:rFonts w:ascii="Sakkal Majalla" w:eastAsia="Times New Roman" w:hAnsi="Sakkal Majalla" w:cs="Sakkal Majalla"/>
          <w:color w:val="000000" w:themeColor="text1"/>
          <w:kern w:val="0"/>
          <w:sz w:val="28"/>
          <w:szCs w:val="28"/>
          <w:rtl/>
          <w14:ligatures w14:val="none"/>
        </w:rPr>
        <w:t>إلى أن مناخ الابتكار التنظيمي الذي تخلقه القيادة الريادية يُسهم في تحفيز سلوكيات ابتكارية تشمل البعد التسويقي إلى جانب الأبعاد الأخرى، وهو ما يُؤكد أن الابتكار التسويقي لا ينفصل عن السياق التنظيمي والقيادي الأوسع</w:t>
      </w:r>
      <w:r w:rsidRPr="00502D23">
        <w:rPr>
          <w:rFonts w:ascii="Sakkal Majalla" w:eastAsia="Times New Roman" w:hAnsi="Sakkal Majalla" w:cs="Sakkal Majalla"/>
          <w:color w:val="000000" w:themeColor="text1"/>
          <w:kern w:val="0"/>
          <w:sz w:val="28"/>
          <w:szCs w:val="28"/>
          <w14:ligatures w14:val="none"/>
        </w:rPr>
        <w:t>.</w:t>
      </w:r>
    </w:p>
    <w:p w14:paraId="38B4B98E" w14:textId="08C5780D" w:rsidR="004A78A2" w:rsidRPr="00502D23" w:rsidRDefault="004A78A2" w:rsidP="004A78A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3" w:name="_Toc222955058"/>
      <w:r w:rsidRPr="00502D23">
        <w:rPr>
          <w:rFonts w:ascii="Sakkal Majalla" w:eastAsia="Times New Roman" w:hAnsi="Sakkal Majalla" w:cs="Sakkal Majalla"/>
          <w:b/>
          <w:bCs/>
          <w:color w:val="000000" w:themeColor="text1"/>
          <w:kern w:val="0"/>
          <w:sz w:val="32"/>
          <w:szCs w:val="32"/>
          <w:rtl/>
          <w14:ligatures w14:val="none"/>
        </w:rPr>
        <w:t>5.2.2 محددات الابتكار ومداخله النظرية</w:t>
      </w:r>
      <w:bookmarkEnd w:id="43"/>
    </w:p>
    <w:p w14:paraId="18DFD02E"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يمكن فهم محددات الابتكار في المؤسسات الصغيرة والمتوسطة من خلال عدة مداخل نظرية متكاملة تُفسّر العوامل التي تُيسّر الابتكار أو تُعيقه. المدخل الأول هو مدخل الموارد والقدرات الذي يرى أن الابتكار يتوقف على مدى امتلاك المنظمة لموارد مادية وبشرية ومعرفية نادرة وقيّمة يصعب تقليدها أو استبدالها. وفي هذا الإطار، تُعدّ المعرفة التنظيمية والكفاءات البشرية والثقافة الابتكارية موارد جوهرية تُحدد قدرة المنظمة على الابتكار. وقد اعتمد الجرايدة والعون (2021) ضمنيًا على هذا المدخل حين عالجا الجاهزية التنظيمية كبعد من أبعاد الابتكار الاستراتيجي يعكس مدى استعداد المنظمة من حيث الموارد والقدرات لتبني الابتكار وتنفيذه</w:t>
      </w:r>
      <w:r w:rsidRPr="00502D23">
        <w:rPr>
          <w:rFonts w:ascii="Sakkal Majalla" w:eastAsia="Times New Roman" w:hAnsi="Sakkal Majalla" w:cs="Sakkal Majalla"/>
          <w:color w:val="000000" w:themeColor="text1"/>
          <w:kern w:val="0"/>
          <w:sz w:val="28"/>
          <w:szCs w:val="28"/>
          <w14:ligatures w14:val="none"/>
        </w:rPr>
        <w:t xml:space="preserve">. </w:t>
      </w:r>
      <w:r w:rsidRPr="00502D23">
        <w:rPr>
          <w:rFonts w:ascii="Sakkal Majalla" w:eastAsia="Times New Roman" w:hAnsi="Sakkal Majalla" w:cs="Sakkal Majalla"/>
          <w:color w:val="000000" w:themeColor="text1"/>
          <w:kern w:val="0"/>
          <w:sz w:val="28"/>
          <w:szCs w:val="28"/>
          <w:rtl/>
          <w14:ligatures w14:val="none"/>
        </w:rPr>
        <w:t>كما أن العبيسي والشعار (2020) تناولا المرونة الاستراتيجية بوصفها قدرة تنظيمية تُمكّن المستشفيات من إعادة تخصيص مواردها بسرعة استجابةً لفرص الابتكار المتاحة</w:t>
      </w:r>
      <w:r w:rsidRPr="00502D23">
        <w:rPr>
          <w:rFonts w:ascii="Sakkal Majalla" w:eastAsia="Times New Roman" w:hAnsi="Sakkal Majalla" w:cs="Sakkal Majalla"/>
          <w:color w:val="000000" w:themeColor="text1"/>
          <w:kern w:val="0"/>
          <w:sz w:val="28"/>
          <w:szCs w:val="28"/>
          <w14:ligatures w14:val="none"/>
        </w:rPr>
        <w:t>.</w:t>
      </w:r>
    </w:p>
    <w:p w14:paraId="5D422C28" w14:textId="77777777" w:rsidR="00A23AAB" w:rsidRPr="00502D23" w:rsidRDefault="00A23AAB" w:rsidP="004A78A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الثاني</w:t>
      </w:r>
      <w:r w:rsidRPr="00502D23">
        <w:rPr>
          <w:rFonts w:ascii="Sakkal Majalla" w:eastAsia="Times New Roman" w:hAnsi="Sakkal Majalla" w:cs="Sakkal Majalla"/>
          <w:color w:val="000000" w:themeColor="text1"/>
          <w:kern w:val="0"/>
          <w:sz w:val="28"/>
          <w:szCs w:val="28"/>
          <w:rtl/>
          <w14:ligatures w14:val="none"/>
        </w:rPr>
        <w:t xml:space="preserve"> هو مدخل التعلم التنظيمي الذي يربط بين قدرة المنظمة على التعلم من تجاربها وبيئتها وبين قدرتها على الابتكار. فالمنظمة المتعلمة هي التي تمتلك آليات منهجية لاكتساب المعرفة ومعالجتها وتخزينها ونشرها وتطبيقها، مما يُنشئ حلقة تعلم مستمرة تُغذي عملية الابتكار. وقد استندت محمود (2025) إلى هذا المدخل في فحص الدور الوسيط لقدرات التعلم التنظيمي بين القيادة التحويلية والابتكار </w:t>
      </w:r>
      <w:r w:rsidRPr="00502D23">
        <w:rPr>
          <w:rFonts w:ascii="Sakkal Majalla" w:eastAsia="Times New Roman" w:hAnsi="Sakkal Majalla" w:cs="Sakkal Majalla"/>
          <w:color w:val="000000" w:themeColor="text1"/>
          <w:kern w:val="0"/>
          <w:sz w:val="28"/>
          <w:szCs w:val="28"/>
          <w:rtl/>
          <w14:ligatures w14:val="none"/>
        </w:rPr>
        <w:lastRenderedPageBreak/>
        <w:t>المقتصد في المستشفيات الجامعية. كما أن القضاة والنسور والشوابكة (2020) أكدوا على أن التعلم مدى الحياة يُمثّل أحد أبرز خصائص المنظمة الذكية التي تُعزز قدرتها على الابتكار والتغيير التنظيمي</w:t>
      </w:r>
      <w:r w:rsidRPr="00502D23">
        <w:rPr>
          <w:rFonts w:ascii="Sakkal Majalla" w:eastAsia="Times New Roman" w:hAnsi="Sakkal Majalla" w:cs="Sakkal Majalla"/>
          <w:color w:val="000000" w:themeColor="text1"/>
          <w:kern w:val="0"/>
          <w:sz w:val="28"/>
          <w:szCs w:val="28"/>
          <w14:ligatures w14:val="none"/>
        </w:rPr>
        <w:t>.</w:t>
      </w:r>
    </w:p>
    <w:p w14:paraId="4EA4E441" w14:textId="77777777" w:rsidR="00A23AAB" w:rsidRPr="00502D23" w:rsidRDefault="00A23AAB" w:rsidP="0033617E">
      <w:pPr>
        <w:spacing w:before="100" w:beforeAutospacing="1" w:after="0" w:line="360" w:lineRule="auto"/>
        <w:ind w:firstLine="709"/>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الثالث</w:t>
      </w:r>
      <w:r w:rsidRPr="00502D23">
        <w:rPr>
          <w:rFonts w:ascii="Sakkal Majalla" w:eastAsia="Times New Roman" w:hAnsi="Sakkal Majalla" w:cs="Sakkal Majalla"/>
          <w:color w:val="000000" w:themeColor="text1"/>
          <w:kern w:val="0"/>
          <w:sz w:val="28"/>
          <w:szCs w:val="28"/>
          <w:rtl/>
          <w14:ligatures w14:val="none"/>
        </w:rPr>
        <w:t xml:space="preserve"> هو المدخل السلوكي الذي يُركّز على العوامل النفسية والاجتماعية التي تُشكّل سلوك الابتكار لدى الأفراد والفرق. ويشمل ذلك الدافعية الداخلية والكفاءة الذاتية الإبداعية والرشاقة الفكرية ومناخ الابتكار التنظيمي. وقد اعتمد</w:t>
      </w:r>
      <w:r w:rsidRPr="00502D23">
        <w:rPr>
          <w:rFonts w:ascii="Sakkal Majalla" w:eastAsia="Times New Roman" w:hAnsi="Sakkal Majalla" w:cs="Sakkal Majalla"/>
          <w:color w:val="000000" w:themeColor="text1"/>
          <w:kern w:val="0"/>
          <w:sz w:val="28"/>
          <w:szCs w:val="28"/>
          <w14:ligatures w14:val="none"/>
        </w:rPr>
        <w:t xml:space="preserve"> Pasha et al. (2022) </w:t>
      </w:r>
      <w:r w:rsidRPr="00502D23">
        <w:rPr>
          <w:rFonts w:ascii="Sakkal Majalla" w:eastAsia="Times New Roman" w:hAnsi="Sakkal Majalla" w:cs="Sakkal Majalla"/>
          <w:color w:val="000000" w:themeColor="text1"/>
          <w:kern w:val="0"/>
          <w:sz w:val="28"/>
          <w:szCs w:val="28"/>
          <w:rtl/>
          <w14:ligatures w14:val="none"/>
        </w:rPr>
        <w:t xml:space="preserve">على الكفاءة الذاتية الإبداعية كوسيط بين ريادة الأعمال البيئية وسلوك العمل الابتكاري، مُبرزين أن إيمان الفرد بقدرته على الإبداع يُمثّل شرطًا ضروريًا لترجمة التوجهات الريادية إلى سلوكيات ابتكارية فعلية. كما أن </w:t>
      </w:r>
      <w:proofErr w:type="spellStart"/>
      <w:r w:rsidRPr="00502D23">
        <w:rPr>
          <w:rFonts w:ascii="Sakkal Majalla" w:eastAsia="Times New Roman" w:hAnsi="Sakkal Majalla" w:cs="Sakkal Majalla"/>
          <w:color w:val="000000" w:themeColor="text1"/>
          <w:kern w:val="0"/>
          <w:sz w:val="28"/>
          <w:szCs w:val="28"/>
          <w14:ligatures w14:val="none"/>
        </w:rPr>
        <w:t>Malibari</w:t>
      </w:r>
      <w:proofErr w:type="spellEnd"/>
      <w:r w:rsidRPr="00502D23">
        <w:rPr>
          <w:rFonts w:ascii="Sakkal Majalla" w:eastAsia="Times New Roman" w:hAnsi="Sakkal Majalla" w:cs="Sakkal Majalla"/>
          <w:color w:val="000000" w:themeColor="text1"/>
          <w:kern w:val="0"/>
          <w:sz w:val="28"/>
          <w:szCs w:val="28"/>
          <w14:ligatures w14:val="none"/>
        </w:rPr>
        <w:t xml:space="preserve"> and </w:t>
      </w:r>
      <w:proofErr w:type="spellStart"/>
      <w:r w:rsidRPr="00502D23">
        <w:rPr>
          <w:rFonts w:ascii="Sakkal Majalla" w:eastAsia="Times New Roman" w:hAnsi="Sakkal Majalla" w:cs="Sakkal Majalla"/>
          <w:color w:val="000000" w:themeColor="text1"/>
          <w:kern w:val="0"/>
          <w:sz w:val="28"/>
          <w:szCs w:val="28"/>
          <w14:ligatures w14:val="none"/>
        </w:rPr>
        <w:t>Bajaba</w:t>
      </w:r>
      <w:proofErr w:type="spellEnd"/>
      <w:r w:rsidRPr="00502D23">
        <w:rPr>
          <w:rFonts w:ascii="Sakkal Majalla" w:eastAsia="Times New Roman" w:hAnsi="Sakkal Majalla" w:cs="Sakkal Majalla"/>
          <w:color w:val="000000" w:themeColor="text1"/>
          <w:kern w:val="0"/>
          <w:sz w:val="28"/>
          <w:szCs w:val="28"/>
          <w14:ligatures w14:val="none"/>
        </w:rPr>
        <w:t xml:space="preserve"> (2022) </w:t>
      </w:r>
      <w:r w:rsidRPr="00502D23">
        <w:rPr>
          <w:rFonts w:ascii="Sakkal Majalla" w:eastAsia="Times New Roman" w:hAnsi="Sakkal Majalla" w:cs="Sakkal Majalla"/>
          <w:color w:val="000000" w:themeColor="text1"/>
          <w:kern w:val="0"/>
          <w:sz w:val="28"/>
          <w:szCs w:val="28"/>
          <w:rtl/>
          <w14:ligatures w14:val="none"/>
        </w:rPr>
        <w:t>فحصا مناخ الابتكار والرشاقة الفكرية كوسيطين متسلسلين بين القيادة الريادية وسلوك الابتكار، مؤكدين أن السلوك الابتكاري لا ينشأ من فراغ بل يتطلب مناخًا تنظيميًا داعمًا وقدرات معرفية مرنة لدى الأفراد. وفي السياق ذاته، أشارت</w:t>
      </w:r>
      <w:r w:rsidRPr="00502D23">
        <w:rPr>
          <w:rFonts w:ascii="Sakkal Majalla" w:eastAsia="Times New Roman" w:hAnsi="Sakkal Majalla" w:cs="Sakkal Majalla"/>
          <w:color w:val="000000" w:themeColor="text1"/>
          <w:kern w:val="0"/>
          <w:sz w:val="28"/>
          <w:szCs w:val="28"/>
          <w14:ligatures w14:val="none"/>
        </w:rPr>
        <w:t xml:space="preserve"> Karimi et al. (2023) </w:t>
      </w:r>
      <w:r w:rsidRPr="00502D23">
        <w:rPr>
          <w:rFonts w:ascii="Sakkal Majalla" w:eastAsia="Times New Roman" w:hAnsi="Sakkal Majalla" w:cs="Sakkal Majalla"/>
          <w:color w:val="000000" w:themeColor="text1"/>
          <w:kern w:val="0"/>
          <w:sz w:val="28"/>
          <w:szCs w:val="28"/>
          <w:rtl/>
          <w14:ligatures w14:val="none"/>
        </w:rPr>
        <w:t>إلى أن رأس المال النفسي بمكوناته الأربعة يُمثّل موردًا نفسيًا أساسيًا يُحفّز سلوك العمل الابتكاري حين يُنمّيه القائد التحويلي</w:t>
      </w:r>
      <w:r w:rsidRPr="00502D23">
        <w:rPr>
          <w:rFonts w:ascii="Sakkal Majalla" w:eastAsia="Times New Roman" w:hAnsi="Sakkal Majalla" w:cs="Sakkal Majalla"/>
          <w:color w:val="000000" w:themeColor="text1"/>
          <w:kern w:val="0"/>
          <w:sz w:val="28"/>
          <w:szCs w:val="28"/>
          <w14:ligatures w14:val="none"/>
        </w:rPr>
        <w:t>.</w:t>
      </w:r>
    </w:p>
    <w:p w14:paraId="26D576C5" w14:textId="77777777" w:rsidR="00A23AAB" w:rsidRPr="00502D23" w:rsidRDefault="00A23AAB" w:rsidP="0033617E">
      <w:pPr>
        <w:spacing w:after="0" w:line="360" w:lineRule="auto"/>
        <w:ind w:firstLine="709"/>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b/>
          <w:bCs/>
          <w:color w:val="000000" w:themeColor="text1"/>
          <w:kern w:val="0"/>
          <w:sz w:val="28"/>
          <w:szCs w:val="28"/>
          <w:rtl/>
          <w14:ligatures w14:val="none"/>
        </w:rPr>
        <w:t>المدخل الرابع</w:t>
      </w:r>
      <w:r w:rsidRPr="00502D23">
        <w:rPr>
          <w:rFonts w:ascii="Sakkal Majalla" w:eastAsia="Times New Roman" w:hAnsi="Sakkal Majalla" w:cs="Sakkal Majalla"/>
          <w:color w:val="000000" w:themeColor="text1"/>
          <w:kern w:val="0"/>
          <w:sz w:val="28"/>
          <w:szCs w:val="28"/>
          <w:rtl/>
          <w14:ligatures w14:val="none"/>
        </w:rPr>
        <w:t xml:space="preserve"> هو مدخل النظم الابتكارية الذي ينظر إلى الابتكار بوصفه نتاج تفاعل معقد بين عوامل داخلية وخارجية تشمل السياسات الحكومية والبنية التحتية التكنولوجية والشراكات المؤسسية والثقافة المجتمعية. وقد عالج الحجيلي (2024) هذا المدخل حين تناول دور الذكاء الاصطناعي في تعزيز الابتكار عبر قطاعات متعددة في إطار رؤية 2030، مُبرزًا أهمية السياسات الحكومية والبنية التحتية الرقمية والشراكات بين القطاعين العام والخاص في خلق نظام ابتكاري وطني متكامل. كما أن العمراوي </w:t>
      </w:r>
      <w:r w:rsidRPr="00502D23">
        <w:rPr>
          <w:rFonts w:ascii="Sakkal Majalla" w:eastAsia="Times New Roman" w:hAnsi="Sakkal Majalla" w:cs="Sakkal Majalla"/>
          <w:color w:val="000000" w:themeColor="text1"/>
          <w:kern w:val="0"/>
          <w:sz w:val="28"/>
          <w:szCs w:val="28"/>
          <w14:ligatures w14:val="none"/>
        </w:rPr>
        <w:t xml:space="preserve">(2023) </w:t>
      </w:r>
      <w:r w:rsidRPr="00502D23">
        <w:rPr>
          <w:rFonts w:ascii="Sakkal Majalla" w:eastAsia="Times New Roman" w:hAnsi="Sakkal Majalla" w:cs="Sakkal Majalla"/>
          <w:color w:val="000000" w:themeColor="text1"/>
          <w:kern w:val="0"/>
          <w:sz w:val="28"/>
          <w:szCs w:val="28"/>
          <w:rtl/>
          <w14:ligatures w14:val="none"/>
        </w:rPr>
        <w:t>أشار إلى أهمية البيئة التنظيمية والتشريعية في تمكين الابتكار في الخدمات المالية الرقمية، مُقترحًا إنشاء حاضنات تكنولوجيا مالية ومشاريع ابتكارية تُسهم في بناء منظومة ابتكارية وطنية</w:t>
      </w:r>
      <w:r w:rsidRPr="00502D23">
        <w:rPr>
          <w:rFonts w:ascii="Sakkal Majalla" w:eastAsia="Times New Roman" w:hAnsi="Sakkal Majalla" w:cs="Sakkal Majalla"/>
          <w:color w:val="000000" w:themeColor="text1"/>
          <w:kern w:val="0"/>
          <w:sz w:val="28"/>
          <w:szCs w:val="28"/>
          <w14:ligatures w14:val="none"/>
        </w:rPr>
        <w:t>.</w:t>
      </w:r>
    </w:p>
    <w:p w14:paraId="5F54AC82" w14:textId="6997BFF1" w:rsidR="004A78A2" w:rsidRPr="00502D23" w:rsidRDefault="0033617E" w:rsidP="0033617E">
      <w:pPr>
        <w:rPr>
          <w:rFonts w:ascii="Sakkal Majalla" w:eastAsia="Times New Roman" w:hAnsi="Sakkal Majalla" w:cs="Sakkal Majalla"/>
          <w:b/>
          <w:bCs/>
          <w:color w:val="000000" w:themeColor="text1"/>
          <w:kern w:val="0"/>
          <w:sz w:val="32"/>
          <w:szCs w:val="32"/>
          <w:rtl/>
          <w14:ligatures w14:val="none"/>
        </w:rPr>
      </w:pPr>
      <w:bookmarkStart w:id="44" w:name="_Toc222955059"/>
      <w:r>
        <w:rPr>
          <w:rFonts w:ascii="Sakkal Majalla" w:eastAsia="Times New Roman" w:hAnsi="Sakkal Majalla" w:cs="Sakkal Majalla"/>
          <w:b/>
          <w:bCs/>
          <w:color w:val="000000" w:themeColor="text1"/>
          <w:kern w:val="0"/>
          <w:sz w:val="32"/>
          <w:szCs w:val="32"/>
          <w:rtl/>
          <w14:ligatures w14:val="none"/>
        </w:rPr>
        <w:br w:type="page"/>
      </w:r>
      <w:r w:rsidR="004A78A2" w:rsidRPr="00502D23">
        <w:rPr>
          <w:rFonts w:ascii="Sakkal Majalla" w:eastAsia="Times New Roman" w:hAnsi="Sakkal Majalla" w:cs="Sakkal Majalla"/>
          <w:b/>
          <w:bCs/>
          <w:color w:val="000000" w:themeColor="text1"/>
          <w:kern w:val="0"/>
          <w:sz w:val="32"/>
          <w:szCs w:val="32"/>
          <w:rtl/>
          <w14:ligatures w14:val="none"/>
        </w:rPr>
        <w:lastRenderedPageBreak/>
        <w:t>6.2.2 العلاقة بين الابتكار والمتغيرات التنظيمية</w:t>
      </w:r>
      <w:bookmarkEnd w:id="44"/>
    </w:p>
    <w:p w14:paraId="5ECF0471" w14:textId="77777777" w:rsidR="00A23AAB" w:rsidRPr="00502D23" w:rsidRDefault="00A23AAB" w:rsidP="0033617E">
      <w:pPr>
        <w:spacing w:after="0" w:line="360" w:lineRule="auto"/>
        <w:ind w:firstLine="709"/>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 xml:space="preserve">لا يحدث الابتكار في فراغ تنظيمي بل يتأثر بمجموعة من المتغيرات التنظيمية التي تُشكّل البيئة التي ينمو فيها أو يُعيقها. وتبرز القيادة بوصفها أهم هذه المتغيرات لأنها تُحدد الرؤية والقيم والمناخ التنظيمي الذي يُيسّر الابتكار أو يكبحه. وقد فحص العباس </w:t>
      </w:r>
      <w:r w:rsidRPr="00502D23">
        <w:rPr>
          <w:rFonts w:ascii="Sakkal Majalla" w:eastAsia="Times New Roman" w:hAnsi="Sakkal Majalla" w:cs="Sakkal Majalla"/>
          <w:color w:val="000000" w:themeColor="text1"/>
          <w:kern w:val="0"/>
          <w:sz w:val="28"/>
          <w:szCs w:val="28"/>
          <w14:ligatures w14:val="none"/>
        </w:rPr>
        <w:t xml:space="preserve">(2024) </w:t>
      </w:r>
      <w:r w:rsidRPr="00502D23">
        <w:rPr>
          <w:rFonts w:ascii="Sakkal Majalla" w:eastAsia="Times New Roman" w:hAnsi="Sakkal Majalla" w:cs="Sakkal Majalla"/>
          <w:color w:val="000000" w:themeColor="text1"/>
          <w:kern w:val="0"/>
          <w:sz w:val="28"/>
          <w:szCs w:val="28"/>
          <w:rtl/>
          <w14:ligatures w14:val="none"/>
        </w:rPr>
        <w:t>دور القيادة الإبداعية في تعزيز مهارات التمكين والابتكار وإحداث التغيير لدى مهندسي شركة أرامكو السعودية، مُقدّمًا إطارًا يربط بين النمط القيادي وبين مخرجات الابتكار في سياق صناعي تقني متقدم. كما أن</w:t>
      </w:r>
      <w:r w:rsidRPr="00502D23">
        <w:rPr>
          <w:rFonts w:ascii="Sakkal Majalla" w:eastAsia="Times New Roman" w:hAnsi="Sakkal Majalla" w:cs="Sakkal Majalla"/>
          <w:color w:val="000000" w:themeColor="text1"/>
          <w:kern w:val="0"/>
          <w:sz w:val="28"/>
          <w:szCs w:val="28"/>
          <w14:ligatures w14:val="none"/>
        </w:rPr>
        <w:t xml:space="preserve"> Al</w:t>
      </w:r>
      <w:r w:rsidRPr="00502D23">
        <w:rPr>
          <w:rFonts w:ascii="Sakkal Majalla" w:eastAsia="Times New Roman" w:hAnsi="Sakkal Majalla" w:cs="Sakkal Majalla"/>
          <w:color w:val="000000" w:themeColor="text1"/>
          <w:kern w:val="0"/>
          <w:sz w:val="28"/>
          <w:szCs w:val="28"/>
          <w14:ligatures w14:val="none"/>
        </w:rPr>
        <w:noBreakHyphen/>
      </w:r>
      <w:proofErr w:type="spellStart"/>
      <w:r w:rsidRPr="00502D23">
        <w:rPr>
          <w:rFonts w:ascii="Sakkal Majalla" w:eastAsia="Times New Roman" w:hAnsi="Sakkal Majalla" w:cs="Sakkal Majalla"/>
          <w:color w:val="000000" w:themeColor="text1"/>
          <w:kern w:val="0"/>
          <w:sz w:val="28"/>
          <w:szCs w:val="28"/>
          <w14:ligatures w14:val="none"/>
        </w:rPr>
        <w:t>Rasbi</w:t>
      </w:r>
      <w:proofErr w:type="spellEnd"/>
      <w:r w:rsidRPr="00502D23">
        <w:rPr>
          <w:rFonts w:ascii="Sakkal Majalla" w:eastAsia="Times New Roman" w:hAnsi="Sakkal Majalla" w:cs="Sakkal Majalla"/>
          <w:color w:val="000000" w:themeColor="text1"/>
          <w:kern w:val="0"/>
          <w:sz w:val="28"/>
          <w:szCs w:val="28"/>
          <w14:ligatures w14:val="none"/>
        </w:rPr>
        <w:t xml:space="preserve"> and Khan (2025) </w:t>
      </w:r>
      <w:r w:rsidRPr="00502D23">
        <w:rPr>
          <w:rFonts w:ascii="Sakkal Majalla" w:eastAsia="Times New Roman" w:hAnsi="Sakkal Majalla" w:cs="Sakkal Majalla"/>
          <w:color w:val="000000" w:themeColor="text1"/>
          <w:kern w:val="0"/>
          <w:sz w:val="28"/>
          <w:szCs w:val="28"/>
          <w:rtl/>
          <w14:ligatures w14:val="none"/>
        </w:rPr>
        <w:t>قدّما دليلًا على أن القيادة التحويلية بأبعادها الأربعة تُفسّر نسبة كبيرة من تباين ثقافة الابتكار في القطاع الخاص العماني، مما يُعزز القناعة النظرية بأن القيادة تُمثّل المحرك الأساسي للابتكار المؤسسي</w:t>
      </w:r>
      <w:r w:rsidRPr="00502D23">
        <w:rPr>
          <w:rFonts w:ascii="Sakkal Majalla" w:eastAsia="Times New Roman" w:hAnsi="Sakkal Majalla" w:cs="Sakkal Majalla"/>
          <w:color w:val="000000" w:themeColor="text1"/>
          <w:kern w:val="0"/>
          <w:sz w:val="28"/>
          <w:szCs w:val="28"/>
          <w14:ligatures w14:val="none"/>
        </w:rPr>
        <w:t>.</w:t>
      </w:r>
    </w:p>
    <w:p w14:paraId="46EA437C" w14:textId="77777777" w:rsidR="00A23AAB" w:rsidRPr="00502D23" w:rsidRDefault="00A23AAB" w:rsidP="0033617E">
      <w:pPr>
        <w:spacing w:after="0" w:line="360" w:lineRule="auto"/>
        <w:ind w:firstLine="709"/>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وإلى جانب القيادة، تُسهم عوامل تنظيمية أخرى في تشكيل البيئة الابتكارية. فالهيكل التنظيمي المرن الذي يُيسّر الاتصال الأفقي وتدفق المعلومات يُعدّ أكثر ملاءمة للابتكار من الهياكل الهرمية الجامدة. وقد أشار القضاة والنسور والشوابكة (2020) إلى أن تصميم الهيكل التنظيمي يُمثّل أحد أبعاد التغيير التنظيمي التي تتأثر بخصائص المنظمة الذكية وتُسهم بدورها في تعزيز الابتكار. كما أن ثقافة المنظمة التي تُشجّع التجريب وتتقبل الفشل وتُكافئ المبادرة تُمثّل حاضنة طبيعية للابتكار. وفي هذا السياق، أكد</w:t>
      </w:r>
      <w:r w:rsidRPr="00502D23">
        <w:rPr>
          <w:rFonts w:ascii="Sakkal Majalla" w:eastAsia="Times New Roman" w:hAnsi="Sakkal Majalla" w:cs="Sakkal Majalla"/>
          <w:color w:val="000000" w:themeColor="text1"/>
          <w:kern w:val="0"/>
          <w:sz w:val="28"/>
          <w:szCs w:val="28"/>
          <w14:ligatures w14:val="none"/>
        </w:rPr>
        <w:t xml:space="preserve"> Lai et al. (2020) </w:t>
      </w:r>
      <w:r w:rsidRPr="00502D23">
        <w:rPr>
          <w:rFonts w:ascii="Sakkal Majalla" w:eastAsia="Times New Roman" w:hAnsi="Sakkal Majalla" w:cs="Sakkal Majalla"/>
          <w:color w:val="000000" w:themeColor="text1"/>
          <w:kern w:val="0"/>
          <w:sz w:val="28"/>
          <w:szCs w:val="28"/>
          <w:rtl/>
          <w14:ligatures w14:val="none"/>
        </w:rPr>
        <w:t>على أن الاندماج الوظيفي الذي تُعززه القيادة التحويلية يُشكّل حالة نفسية إيجابية تدفع العاملين نحو بذل جهد تطوعي يتجاوز المتطلبات الرسمية، وهو الجهد الذي يُمثّل المادة الخام للابتكار في المستوى الفردي</w:t>
      </w:r>
      <w:r w:rsidRPr="00502D23">
        <w:rPr>
          <w:rFonts w:ascii="Sakkal Majalla" w:eastAsia="Times New Roman" w:hAnsi="Sakkal Majalla" w:cs="Sakkal Majalla"/>
          <w:color w:val="000000" w:themeColor="text1"/>
          <w:kern w:val="0"/>
          <w:sz w:val="28"/>
          <w:szCs w:val="28"/>
          <w14:ligatures w14:val="none"/>
        </w:rPr>
        <w:t>.</w:t>
      </w:r>
    </w:p>
    <w:p w14:paraId="242BBD1F" w14:textId="77777777" w:rsidR="00A23AAB" w:rsidRPr="00502D23" w:rsidRDefault="00A23AAB" w:rsidP="0033617E">
      <w:pPr>
        <w:spacing w:after="0" w:line="276" w:lineRule="auto"/>
        <w:ind w:firstLine="709"/>
        <w:jc w:val="both"/>
        <w:rPr>
          <w:rFonts w:ascii="Sakkal Majalla" w:eastAsia="Times New Roman" w:hAnsi="Sakkal Majalla" w:cs="Sakkal Majalla"/>
          <w:color w:val="000000" w:themeColor="text1"/>
          <w:kern w:val="0"/>
          <w:sz w:val="28"/>
          <w:szCs w:val="28"/>
          <w14:ligatures w14:val="none"/>
        </w:rPr>
      </w:pPr>
      <w:r w:rsidRPr="00502D23">
        <w:rPr>
          <w:rFonts w:ascii="Sakkal Majalla" w:eastAsia="Times New Roman" w:hAnsi="Sakkal Majalla" w:cs="Sakkal Majalla"/>
          <w:color w:val="000000" w:themeColor="text1"/>
          <w:kern w:val="0"/>
          <w:sz w:val="28"/>
          <w:szCs w:val="28"/>
          <w:rtl/>
          <w14:ligatures w14:val="none"/>
        </w:rPr>
        <w:t>وفي ضوء ما تقدم من عرض مفصّل لمفهوم الابتكار وأبعاده ومحدداته ومداخله النظرية وعلاقته بالمتغيرات التنظيمية، يتبيّن أن الابتكار ظاهرة متعددة الأبعاد والمستويات تتطلب فهمًا شموليًا يتجاوز النظرة الأحادية التي تختزله في بعد واحد أو مستوى واحد. وتتبنى الدراسة الحالية هذا الفهم الشامل من خلال قياس الابتكار بأبعاده الأربعة في المؤسسات الصغيرة والمتوسطة بمدينة الرياض، وربطه بالقيادة التحويلية بوصفها المحرك القيادي الأكثر فاعلية في تعزيز الابتكار بحسب ما أثبتته الأدبيات النظرية والدراسات التطبيقية المستعرضة في هذا الإطار. وتتوقع الدراسة أن تُسهم نتائجها في تقديم إطار عملي يُمكّن قادة المؤسسات الصغيرة والمتوسطة السعودية من توظيف ممارسات القيادة التحويلية لتعزيز الابتكار بأبعاده المختلفة، بما يتماشى مع أهداف رؤية المملكة 2030 في بناء اقتصاد معرفي تنافسي ومستدام</w:t>
      </w:r>
    </w:p>
    <w:p w14:paraId="1ADB8DAB" w14:textId="69BAC80D" w:rsidR="00EA2F37" w:rsidRPr="00502D23" w:rsidRDefault="004A78A2" w:rsidP="000F51CD">
      <w:pPr>
        <w:spacing w:before="100" w:beforeAutospacing="1" w:after="100" w:afterAutospacing="1"/>
        <w:jc w:val="center"/>
        <w:outlineLvl w:val="0"/>
        <w:rPr>
          <w:rFonts w:cs="Sakkal Majalla"/>
          <w:b/>
          <w:bCs/>
          <w:color w:val="000000" w:themeColor="text1"/>
          <w:sz w:val="24"/>
          <w:szCs w:val="32"/>
          <w:rtl/>
        </w:rPr>
        <w:sectPr w:rsidR="00EA2F37" w:rsidRPr="00502D23" w:rsidSect="000B7AE0">
          <w:footerReference w:type="default" r:id="rId9"/>
          <w:pgSz w:w="11906" w:h="16838" w:code="9"/>
          <w:pgMar w:top="1440" w:right="1985" w:bottom="1440" w:left="1418" w:header="720" w:footer="720" w:gutter="567"/>
          <w:pgNumType w:start="1"/>
          <w:cols w:space="708"/>
          <w:bidi/>
          <w:rtlGutter/>
          <w:docGrid w:linePitch="360"/>
        </w:sectPr>
      </w:pPr>
      <w:r w:rsidRPr="00502D23">
        <w:rPr>
          <w:rFonts w:ascii="Sakkal Majalla" w:eastAsia="Times New Roman" w:hAnsi="Sakkal Majalla" w:cs="Sakkal Majalla"/>
          <w:b/>
          <w:bCs/>
          <w:color w:val="000000" w:themeColor="text1"/>
          <w:kern w:val="0"/>
          <w:sz w:val="40"/>
          <w:szCs w:val="40"/>
          <w:rtl/>
          <w14:ligatures w14:val="none"/>
        </w:rPr>
        <w:br w:type="page"/>
      </w:r>
      <w:bookmarkEnd w:id="26"/>
    </w:p>
    <w:p w14:paraId="29D4231B" w14:textId="4110577A" w:rsidR="0081623B" w:rsidRPr="00502D23" w:rsidRDefault="00E27D3B" w:rsidP="00EA2F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2D23">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8A38447">
            <wp:simplePos x="0" y="0"/>
            <wp:positionH relativeFrom="column">
              <wp:posOffset>3122930</wp:posOffset>
            </wp:positionH>
            <wp:positionV relativeFrom="paragraph">
              <wp:posOffset>0</wp:posOffset>
            </wp:positionV>
            <wp:extent cx="1613535" cy="1494155"/>
            <wp:effectExtent l="0" t="0" r="5715" b="0"/>
            <wp:wrapTight wrapText="bothSides">
              <wp:wrapPolygon edited="0">
                <wp:start x="0" y="0"/>
                <wp:lineTo x="0" y="21205"/>
                <wp:lineTo x="21421" y="21205"/>
                <wp:lineTo x="2142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3535" cy="1494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02D23">
        <w:rPr>
          <w:rFonts w:ascii="Sakkal Majalla" w:eastAsia="Calibri" w:hAnsi="Sakkal Majalla" w:cs="Sakkal Majalla"/>
          <w:b/>
          <w:bCs/>
          <w:color w:val="000000" w:themeColor="text1"/>
          <w:kern w:val="0"/>
          <w:sz w:val="32"/>
          <w:szCs w:val="32"/>
          <w:lang w:bidi="ar-EG"/>
          <w14:ligatures w14:val="none"/>
        </w:rPr>
        <w:t>Mid</w:t>
      </w:r>
      <w:r w:rsidR="000D353F" w:rsidRPr="00502D23">
        <w:rPr>
          <w:rFonts w:ascii="Sakkal Majalla" w:eastAsia="Calibri" w:hAnsi="Sakkal Majalla" w:cs="Sakkal Majalla"/>
          <w:b/>
          <w:bCs/>
          <w:color w:val="000000" w:themeColor="text1"/>
          <w:kern w:val="0"/>
          <w:sz w:val="32"/>
          <w:szCs w:val="32"/>
          <w:lang w:bidi="ar-EG"/>
          <w14:ligatures w14:val="none"/>
        </w:rPr>
        <w:t xml:space="preserve"> </w:t>
      </w:r>
      <w:r w:rsidR="0081623B" w:rsidRPr="00502D23">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502D23" w:rsidRDefault="0081623B" w:rsidP="00EA2F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2D23">
        <w:rPr>
          <w:rFonts w:ascii="Sakkal Majalla" w:eastAsia="Calibri" w:hAnsi="Sakkal Majalla" w:cs="Sakkal Majalla"/>
          <w:b/>
          <w:bCs/>
          <w:color w:val="000000" w:themeColor="text1"/>
          <w:kern w:val="0"/>
          <w:sz w:val="32"/>
          <w:szCs w:val="32"/>
          <w:lang w:bidi="ar-EG"/>
          <w14:ligatures w14:val="none"/>
        </w:rPr>
        <w:t>College of Management</w:t>
      </w:r>
    </w:p>
    <w:p w14:paraId="2083A79A" w14:textId="50B71C93" w:rsidR="006A7F21" w:rsidRPr="00502D23" w:rsidRDefault="004D7F60" w:rsidP="006A7F2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02D23">
        <w:rPr>
          <w:rFonts w:ascii="Sakkal Majalla" w:eastAsia="Calibri" w:hAnsi="Sakkal Majalla" w:cs="Sakkal Majalla"/>
          <w:b/>
          <w:bCs/>
          <w:color w:val="000000" w:themeColor="text1"/>
          <w:kern w:val="0"/>
          <w:sz w:val="32"/>
          <w:szCs w:val="32"/>
          <w:lang w:bidi="ar-EG"/>
          <w14:ligatures w14:val="none"/>
        </w:rPr>
        <w:t xml:space="preserve">Master of </w:t>
      </w:r>
      <w:r w:rsidR="00BE70C5" w:rsidRPr="00502D23">
        <w:rPr>
          <w:rFonts w:ascii="Sakkal Majalla" w:eastAsia="Calibri" w:hAnsi="Sakkal Majalla" w:cs="Sakkal Majalla"/>
          <w:b/>
          <w:bCs/>
          <w:color w:val="000000" w:themeColor="text1"/>
          <w:kern w:val="0"/>
          <w:sz w:val="32"/>
          <w:szCs w:val="32"/>
          <w:lang w:bidi="ar-EG"/>
          <w14:ligatures w14:val="none"/>
        </w:rPr>
        <w:t>business administration</w:t>
      </w:r>
    </w:p>
    <w:p w14:paraId="2A127C8C" w14:textId="77777777" w:rsidR="006A7F21" w:rsidRPr="00502D23" w:rsidRDefault="006A7F21" w:rsidP="006A7F2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p>
    <w:p w14:paraId="75C18257" w14:textId="4416644B" w:rsidR="006A7F21" w:rsidRPr="00502D23" w:rsidRDefault="006A7F21" w:rsidP="006A7F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2D23">
        <w:rPr>
          <w:rFonts w:ascii="Sakkal Majalla" w:eastAsia="Calibri" w:hAnsi="Sakkal Majalla" w:cs="Sakkal Majalla"/>
          <w:b/>
          <w:bCs/>
          <w:color w:val="000000" w:themeColor="text1"/>
          <w:kern w:val="0"/>
          <w:sz w:val="36"/>
          <w:szCs w:val="36"/>
          <w:lang w:bidi="ar-EG"/>
          <w14:ligatures w14:val="none"/>
        </w:rPr>
        <w:t>The Role of Transformational Leadership in</w:t>
      </w:r>
      <w:r w:rsidRPr="00502D23">
        <w:rPr>
          <w:rFonts w:ascii="Sakkal Majalla" w:eastAsia="Calibri" w:hAnsi="Sakkal Majalla" w:cs="Sakkal Majalla" w:hint="cs"/>
          <w:b/>
          <w:bCs/>
          <w:color w:val="000000" w:themeColor="text1"/>
          <w:kern w:val="0"/>
          <w:sz w:val="36"/>
          <w:szCs w:val="36"/>
          <w:rtl/>
          <w:lang w:bidi="ar-EG"/>
          <w14:ligatures w14:val="none"/>
        </w:rPr>
        <w:t xml:space="preserve"> </w:t>
      </w:r>
      <w:r w:rsidRPr="00502D23">
        <w:rPr>
          <w:rFonts w:ascii="Sakkal Majalla" w:eastAsia="Calibri" w:hAnsi="Sakkal Majalla" w:cs="Sakkal Majalla"/>
          <w:b/>
          <w:bCs/>
          <w:color w:val="000000" w:themeColor="text1"/>
          <w:kern w:val="0"/>
          <w:sz w:val="36"/>
          <w:szCs w:val="36"/>
          <w:lang w:bidi="ar-EG"/>
          <w14:ligatures w14:val="none"/>
        </w:rPr>
        <w:t>Enhancing Innovation within Organizations</w:t>
      </w:r>
      <w:r w:rsidRPr="00502D23">
        <w:rPr>
          <w:rFonts w:ascii="Sakkal Majalla" w:eastAsia="Calibri" w:hAnsi="Sakkal Majalla" w:cs="Sakkal Majalla"/>
          <w:b/>
          <w:bCs/>
          <w:color w:val="000000" w:themeColor="text1"/>
          <w:kern w:val="0"/>
          <w:sz w:val="36"/>
          <w:szCs w:val="36"/>
          <w:rtl/>
          <w:lang w:bidi="ar-EG"/>
          <w14:ligatures w14:val="none"/>
        </w:rPr>
        <w:t>:</w:t>
      </w:r>
      <w:r w:rsidRPr="00502D23">
        <w:rPr>
          <w:rFonts w:ascii="Sakkal Majalla" w:eastAsia="Calibri" w:hAnsi="Sakkal Majalla" w:cs="Sakkal Majalla" w:hint="cs"/>
          <w:b/>
          <w:bCs/>
          <w:color w:val="000000" w:themeColor="text1"/>
          <w:kern w:val="0"/>
          <w:sz w:val="36"/>
          <w:szCs w:val="36"/>
          <w:rtl/>
          <w:lang w:bidi="ar-EG"/>
          <w14:ligatures w14:val="none"/>
        </w:rPr>
        <w:t xml:space="preserve"> </w:t>
      </w:r>
      <w:r w:rsidRPr="00502D23">
        <w:rPr>
          <w:rFonts w:ascii="Sakkal Majalla" w:eastAsia="Calibri" w:hAnsi="Sakkal Majalla" w:cs="Sakkal Majalla"/>
          <w:b/>
          <w:bCs/>
          <w:color w:val="000000" w:themeColor="text1"/>
          <w:kern w:val="0"/>
          <w:sz w:val="36"/>
          <w:szCs w:val="36"/>
          <w:lang w:bidi="ar-EG"/>
          <w14:ligatures w14:val="none"/>
        </w:rPr>
        <w:t>A Field Study on Small and Medium-Sized Enterprises in Riyadh</w:t>
      </w:r>
    </w:p>
    <w:p w14:paraId="7154E1FA" w14:textId="38069FC3" w:rsidR="00BE70C5" w:rsidRPr="00502D23" w:rsidRDefault="000D353F" w:rsidP="006A7F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2D23">
        <w:rPr>
          <w:rFonts w:ascii="Sakkal Majalla" w:eastAsia="Calibri" w:hAnsi="Sakkal Majalla" w:cs="Sakkal Majalla"/>
          <w:b/>
          <w:bCs/>
          <w:color w:val="000000" w:themeColor="text1"/>
          <w:kern w:val="0"/>
          <w:sz w:val="36"/>
          <w:szCs w:val="36"/>
          <w:lang w:bidi="ar-EG"/>
          <w14:ligatures w14:val="none"/>
        </w:rPr>
        <w:t>Prepared by:</w:t>
      </w:r>
    </w:p>
    <w:p w14:paraId="68287F43" w14:textId="77777777" w:rsidR="00E27D3B" w:rsidRPr="00502D23" w:rsidRDefault="00E27D3B" w:rsidP="00EA2F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6B098B0E" w:rsidR="0081623B" w:rsidRPr="00502D23" w:rsidRDefault="0081623B" w:rsidP="00EA2F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2D23">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02D23" w:rsidRDefault="00BA5817" w:rsidP="00EA2F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02D23">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502D23" w:rsidRDefault="000A06E6" w:rsidP="00EA2F3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02D23">
        <w:rPr>
          <w:rFonts w:ascii="Sakkal Majalla" w:eastAsia="Calibri" w:hAnsi="Sakkal Majalla" w:cs="Sakkal Majalla"/>
          <w:color w:val="000000" w:themeColor="text1"/>
          <w:kern w:val="0"/>
          <w:sz w:val="36"/>
          <w:szCs w:val="36"/>
          <w:lang w:bidi="ar-EG"/>
          <w14:ligatures w14:val="none"/>
        </w:rPr>
        <w:t>Dr. Fayez Jarad</w:t>
      </w:r>
    </w:p>
    <w:p w14:paraId="6E52896B" w14:textId="5E643C77" w:rsidR="009125CE" w:rsidRPr="00502D23" w:rsidRDefault="0081623B" w:rsidP="00EA2F37">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502D23">
        <w:rPr>
          <w:rFonts w:ascii="Sakkal Majalla" w:eastAsia="Calibri" w:hAnsi="Sakkal Majalla" w:cs="Sakkal Majalla"/>
          <w:b/>
          <w:bCs/>
          <w:color w:val="000000" w:themeColor="text1"/>
          <w:kern w:val="0"/>
          <w:sz w:val="36"/>
          <w:szCs w:val="36"/>
          <w:lang w:bidi="ar-EG"/>
          <w14:ligatures w14:val="none"/>
        </w:rPr>
        <w:t>144</w:t>
      </w:r>
      <w:r w:rsidR="008C300E" w:rsidRPr="00502D23">
        <w:rPr>
          <w:rFonts w:ascii="Sakkal Majalla" w:eastAsia="Calibri" w:hAnsi="Sakkal Majalla" w:cs="Sakkal Majalla"/>
          <w:b/>
          <w:bCs/>
          <w:color w:val="000000" w:themeColor="text1"/>
          <w:kern w:val="0"/>
          <w:sz w:val="36"/>
          <w:szCs w:val="36"/>
          <w:lang w:bidi="ar-EG"/>
          <w14:ligatures w14:val="none"/>
        </w:rPr>
        <w:t>7</w:t>
      </w:r>
      <w:r w:rsidRPr="00502D23">
        <w:rPr>
          <w:rFonts w:ascii="Sakkal Majalla" w:eastAsia="Calibri" w:hAnsi="Sakkal Majalla" w:cs="Sakkal Majalla"/>
          <w:b/>
          <w:bCs/>
          <w:color w:val="000000" w:themeColor="text1"/>
          <w:kern w:val="0"/>
          <w:sz w:val="36"/>
          <w:szCs w:val="36"/>
          <w:lang w:bidi="ar-EG"/>
          <w14:ligatures w14:val="none"/>
        </w:rPr>
        <w:t>-202</w:t>
      </w:r>
      <w:r w:rsidR="00E27D3B" w:rsidRPr="00502D23">
        <w:rPr>
          <w:rFonts w:ascii="Sakkal Majalla" w:eastAsia="Calibri" w:hAnsi="Sakkal Majalla" w:cs="Sakkal Majalla"/>
          <w:b/>
          <w:bCs/>
          <w:color w:val="000000" w:themeColor="text1"/>
          <w:kern w:val="0"/>
          <w:sz w:val="36"/>
          <w:szCs w:val="36"/>
          <w:lang w:bidi="ar-EG"/>
          <w14:ligatures w14:val="none"/>
        </w:rPr>
        <w:t>6</w:t>
      </w:r>
    </w:p>
    <w:sectPr w:rsidR="009125CE" w:rsidRPr="00502D23" w:rsidSect="000B7AE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EEF2F" w14:textId="77777777" w:rsidR="00665E05" w:rsidRDefault="00665E05" w:rsidP="009125CE">
      <w:pPr>
        <w:spacing w:after="0" w:line="240" w:lineRule="auto"/>
      </w:pPr>
      <w:r>
        <w:separator/>
      </w:r>
    </w:p>
  </w:endnote>
  <w:endnote w:type="continuationSeparator" w:id="0">
    <w:p w14:paraId="7BE65126" w14:textId="77777777" w:rsidR="00665E05" w:rsidRDefault="00665E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37312354"/>
      <w:docPartObj>
        <w:docPartGallery w:val="Page Numbers (Bottom of Page)"/>
        <w:docPartUnique/>
      </w:docPartObj>
    </w:sdtPr>
    <w:sdtEndPr/>
    <w:sdtContent>
      <w:p w14:paraId="362BCFF8" w14:textId="77777777" w:rsidR="00502D23" w:rsidRDefault="00502D23">
        <w:pPr>
          <w:pStyle w:val="Footer"/>
        </w:pPr>
        <w:r w:rsidRPr="000B7AE0">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9D6318A" wp14:editId="393749CF">
                  <wp:simplePos x="0" y="0"/>
                  <wp:positionH relativeFrom="margin">
                    <wp:posOffset>2239010</wp:posOffset>
                  </wp:positionH>
                  <wp:positionV relativeFrom="bottomMargin">
                    <wp:posOffset>196850</wp:posOffset>
                  </wp:positionV>
                  <wp:extent cx="916940" cy="464820"/>
                  <wp:effectExtent l="19050" t="19050" r="35560" b="1143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6940" cy="46482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4A2CDD1F" w14:textId="77777777" w:rsidR="00502D23" w:rsidRPr="000B7AE0" w:rsidRDefault="00502D23">
                              <w:pPr>
                                <w:jc w:val="center"/>
                                <w:rPr>
                                  <w:rFonts w:ascii="Sakkal Majalla" w:hAnsi="Sakkal Majalla" w:cs="Sakkal Majalla"/>
                                  <w:b/>
                                  <w:bCs/>
                                  <w:color w:val="000000" w:themeColor="text1"/>
                                  <w:sz w:val="24"/>
                                  <w:szCs w:val="24"/>
                                </w:rPr>
                              </w:pPr>
                              <w:r w:rsidRPr="000B7AE0">
                                <w:rPr>
                                  <w:rFonts w:ascii="Sakkal Majalla" w:hAnsi="Sakkal Majalla" w:cs="Sakkal Majalla"/>
                                  <w:b/>
                                  <w:bCs/>
                                  <w:color w:val="000000" w:themeColor="text1"/>
                                  <w:sz w:val="24"/>
                                  <w:szCs w:val="24"/>
                                </w:rPr>
                                <w:fldChar w:fldCharType="begin"/>
                              </w:r>
                              <w:r w:rsidRPr="000B7AE0">
                                <w:rPr>
                                  <w:rFonts w:ascii="Sakkal Majalla" w:hAnsi="Sakkal Majalla" w:cs="Sakkal Majalla"/>
                                  <w:b/>
                                  <w:bCs/>
                                  <w:color w:val="000000" w:themeColor="text1"/>
                                  <w:sz w:val="24"/>
                                  <w:szCs w:val="24"/>
                                </w:rPr>
                                <w:instrText xml:space="preserve"> PAGE    \* MERGEFORMAT </w:instrText>
                              </w:r>
                              <w:r w:rsidRPr="000B7AE0">
                                <w:rPr>
                                  <w:rFonts w:ascii="Sakkal Majalla" w:hAnsi="Sakkal Majalla" w:cs="Sakkal Majalla"/>
                                  <w:b/>
                                  <w:bCs/>
                                  <w:color w:val="000000" w:themeColor="text1"/>
                                  <w:sz w:val="24"/>
                                  <w:szCs w:val="24"/>
                                </w:rPr>
                                <w:fldChar w:fldCharType="separate"/>
                              </w:r>
                              <w:r w:rsidR="000F51CD">
                                <w:rPr>
                                  <w:rFonts w:ascii="Sakkal Majalla" w:hAnsi="Sakkal Majalla" w:cs="Sakkal Majalla"/>
                                  <w:b/>
                                  <w:bCs/>
                                  <w:noProof/>
                                  <w:color w:val="000000" w:themeColor="text1"/>
                                  <w:sz w:val="24"/>
                                  <w:szCs w:val="24"/>
                                  <w:rtl/>
                                </w:rPr>
                                <w:t>44</w:t>
                              </w:r>
                              <w:r w:rsidRPr="000B7AE0">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6318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left:0;text-align:left;margin-left:176.3pt;margin-top:15.5pt;width:72.2pt;height:36.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" fillcolor="white [3201]" strokecolor="black [3200]" strokeweight="1pt">
                  <v:stroke joinstyle="miter"/>
                  <v:textbox>
                    <w:txbxContent>
                      <w:p w14:paraId="4A2CDD1F" w14:textId="77777777" w:rsidR="00502D23" w:rsidRPr="000B7AE0" w:rsidRDefault="00502D23">
                        <w:pPr>
                          <w:jc w:val="center"/>
                          <w:rPr>
                            <w:rFonts w:ascii="Sakkal Majalla" w:hAnsi="Sakkal Majalla" w:cs="Sakkal Majalla"/>
                            <w:b/>
                            <w:bCs/>
                            <w:color w:val="000000" w:themeColor="text1"/>
                            <w:sz w:val="24"/>
                            <w:szCs w:val="24"/>
                          </w:rPr>
                        </w:pPr>
                        <w:r w:rsidRPr="000B7AE0">
                          <w:rPr>
                            <w:rFonts w:ascii="Sakkal Majalla" w:hAnsi="Sakkal Majalla" w:cs="Sakkal Majalla"/>
                            <w:b/>
                            <w:bCs/>
                            <w:color w:val="000000" w:themeColor="text1"/>
                            <w:sz w:val="24"/>
                            <w:szCs w:val="24"/>
                          </w:rPr>
                          <w:fldChar w:fldCharType="begin"/>
                        </w:r>
                        <w:r w:rsidRPr="000B7AE0">
                          <w:rPr>
                            <w:rFonts w:ascii="Sakkal Majalla" w:hAnsi="Sakkal Majalla" w:cs="Sakkal Majalla"/>
                            <w:b/>
                            <w:bCs/>
                            <w:color w:val="000000" w:themeColor="text1"/>
                            <w:sz w:val="24"/>
                            <w:szCs w:val="24"/>
                          </w:rPr>
                          <w:instrText xml:space="preserve"> PAGE    \* MERGEFORMAT </w:instrText>
                        </w:r>
                        <w:r w:rsidRPr="000B7AE0">
                          <w:rPr>
                            <w:rFonts w:ascii="Sakkal Majalla" w:hAnsi="Sakkal Majalla" w:cs="Sakkal Majalla"/>
                            <w:b/>
                            <w:bCs/>
                            <w:color w:val="000000" w:themeColor="text1"/>
                            <w:sz w:val="24"/>
                            <w:szCs w:val="24"/>
                          </w:rPr>
                          <w:fldChar w:fldCharType="separate"/>
                        </w:r>
                        <w:r w:rsidR="000F51CD">
                          <w:rPr>
                            <w:rFonts w:ascii="Sakkal Majalla" w:hAnsi="Sakkal Majalla" w:cs="Sakkal Majalla"/>
                            <w:b/>
                            <w:bCs/>
                            <w:noProof/>
                            <w:color w:val="000000" w:themeColor="text1"/>
                            <w:sz w:val="24"/>
                            <w:szCs w:val="24"/>
                            <w:rtl/>
                          </w:rPr>
                          <w:t>44</w:t>
                        </w:r>
                        <w:r w:rsidRPr="000B7AE0">
                          <w:rPr>
                            <w:rFonts w:ascii="Sakkal Majalla" w:hAnsi="Sakkal Majalla" w:cs="Sakkal Majalla"/>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05EB" w14:textId="438E3191" w:rsidR="00502D23" w:rsidRDefault="00502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81275" w14:textId="77777777" w:rsidR="00665E05" w:rsidRDefault="00665E05" w:rsidP="009125CE">
      <w:pPr>
        <w:spacing w:after="0" w:line="240" w:lineRule="auto"/>
      </w:pPr>
      <w:r>
        <w:separator/>
      </w:r>
    </w:p>
  </w:footnote>
  <w:footnote w:type="continuationSeparator" w:id="0">
    <w:p w14:paraId="2BB0041C" w14:textId="77777777" w:rsidR="00665E05" w:rsidRDefault="00665E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83552"/>
    <w:multiLevelType w:val="hybridMultilevel"/>
    <w:tmpl w:val="A4DCFD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24EC2"/>
    <w:multiLevelType w:val="multilevel"/>
    <w:tmpl w:val="5594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22298"/>
    <w:multiLevelType w:val="hybridMultilevel"/>
    <w:tmpl w:val="ADD0A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6433C"/>
    <w:multiLevelType w:val="hybridMultilevel"/>
    <w:tmpl w:val="30BC17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445E22"/>
    <w:multiLevelType w:val="hybridMultilevel"/>
    <w:tmpl w:val="FDEAC56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2E1C05"/>
    <w:multiLevelType w:val="multilevel"/>
    <w:tmpl w:val="216C6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2248EA"/>
    <w:multiLevelType w:val="hybridMultilevel"/>
    <w:tmpl w:val="3E90AD0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E30FB"/>
    <w:multiLevelType w:val="hybridMultilevel"/>
    <w:tmpl w:val="7F123EDA"/>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1B26FF"/>
    <w:multiLevelType w:val="multilevel"/>
    <w:tmpl w:val="9BFC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F71048"/>
    <w:multiLevelType w:val="hybridMultilevel"/>
    <w:tmpl w:val="330A56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292222"/>
    <w:multiLevelType w:val="hybridMultilevel"/>
    <w:tmpl w:val="6DAE2A5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EF4201"/>
    <w:multiLevelType w:val="hybridMultilevel"/>
    <w:tmpl w:val="BE6A6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CF4DBA"/>
    <w:multiLevelType w:val="multilevel"/>
    <w:tmpl w:val="514A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6C5CD4"/>
    <w:multiLevelType w:val="multilevel"/>
    <w:tmpl w:val="E4C2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8534F"/>
    <w:multiLevelType w:val="hybridMultilevel"/>
    <w:tmpl w:val="AFA6E3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955CE2"/>
    <w:multiLevelType w:val="hybridMultilevel"/>
    <w:tmpl w:val="209ED86C"/>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6D5D5512"/>
    <w:multiLevelType w:val="multilevel"/>
    <w:tmpl w:val="9408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F54C47"/>
    <w:multiLevelType w:val="multilevel"/>
    <w:tmpl w:val="22B4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58041D"/>
    <w:multiLevelType w:val="hybridMultilevel"/>
    <w:tmpl w:val="15CA37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9D31C0"/>
    <w:multiLevelType w:val="multilevel"/>
    <w:tmpl w:val="BB8A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1E12A9"/>
    <w:multiLevelType w:val="hybridMultilevel"/>
    <w:tmpl w:val="143CB43A"/>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B0671A"/>
    <w:multiLevelType w:val="hybridMultilevel"/>
    <w:tmpl w:val="2F7E7B7C"/>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7CFF1390"/>
    <w:multiLevelType w:val="multilevel"/>
    <w:tmpl w:val="5A920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0"/>
  </w:num>
  <w:num w:numId="3">
    <w:abstractNumId w:val="9"/>
  </w:num>
  <w:num w:numId="4">
    <w:abstractNumId w:val="13"/>
  </w:num>
  <w:num w:numId="5">
    <w:abstractNumId w:val="1"/>
  </w:num>
  <w:num w:numId="6">
    <w:abstractNumId w:val="17"/>
  </w:num>
  <w:num w:numId="7">
    <w:abstractNumId w:val="18"/>
  </w:num>
  <w:num w:numId="8">
    <w:abstractNumId w:val="14"/>
  </w:num>
  <w:num w:numId="9">
    <w:abstractNumId w:val="23"/>
  </w:num>
  <w:num w:numId="10">
    <w:abstractNumId w:val="12"/>
  </w:num>
  <w:num w:numId="11">
    <w:abstractNumId w:val="2"/>
  </w:num>
  <w:num w:numId="12">
    <w:abstractNumId w:val="10"/>
  </w:num>
  <w:num w:numId="13">
    <w:abstractNumId w:val="19"/>
  </w:num>
  <w:num w:numId="14">
    <w:abstractNumId w:val="8"/>
  </w:num>
  <w:num w:numId="15">
    <w:abstractNumId w:val="5"/>
  </w:num>
  <w:num w:numId="16">
    <w:abstractNumId w:val="21"/>
  </w:num>
  <w:num w:numId="17">
    <w:abstractNumId w:val="7"/>
  </w:num>
  <w:num w:numId="18">
    <w:abstractNumId w:val="11"/>
  </w:num>
  <w:num w:numId="19">
    <w:abstractNumId w:val="3"/>
  </w:num>
  <w:num w:numId="20">
    <w:abstractNumId w:val="0"/>
  </w:num>
  <w:num w:numId="21">
    <w:abstractNumId w:val="4"/>
  </w:num>
  <w:num w:numId="22">
    <w:abstractNumId w:val="16"/>
  </w:num>
  <w:num w:numId="23">
    <w:abstractNumId w:val="22"/>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066"/>
    <w:rsid w:val="000B7AE0"/>
    <w:rsid w:val="000C4130"/>
    <w:rsid w:val="000C46EE"/>
    <w:rsid w:val="000D03ED"/>
    <w:rsid w:val="000D2E22"/>
    <w:rsid w:val="000D353F"/>
    <w:rsid w:val="000D7A52"/>
    <w:rsid w:val="000E0212"/>
    <w:rsid w:val="000E2A00"/>
    <w:rsid w:val="000E3680"/>
    <w:rsid w:val="000E503B"/>
    <w:rsid w:val="000F44B4"/>
    <w:rsid w:val="000F51CD"/>
    <w:rsid w:val="00110487"/>
    <w:rsid w:val="0012342D"/>
    <w:rsid w:val="00126459"/>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4327"/>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C2162"/>
    <w:rsid w:val="001C42F9"/>
    <w:rsid w:val="001D4406"/>
    <w:rsid w:val="001E7B16"/>
    <w:rsid w:val="001F0034"/>
    <w:rsid w:val="001F159D"/>
    <w:rsid w:val="001F46A5"/>
    <w:rsid w:val="002000D2"/>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66"/>
    <w:rsid w:val="002F5FA3"/>
    <w:rsid w:val="00301731"/>
    <w:rsid w:val="00303BF8"/>
    <w:rsid w:val="00304304"/>
    <w:rsid w:val="0031075C"/>
    <w:rsid w:val="00310B47"/>
    <w:rsid w:val="00311651"/>
    <w:rsid w:val="00314324"/>
    <w:rsid w:val="00323FD3"/>
    <w:rsid w:val="00333A26"/>
    <w:rsid w:val="0033617E"/>
    <w:rsid w:val="0033775D"/>
    <w:rsid w:val="0034122A"/>
    <w:rsid w:val="00341565"/>
    <w:rsid w:val="0034173E"/>
    <w:rsid w:val="00341900"/>
    <w:rsid w:val="00343EE8"/>
    <w:rsid w:val="00357BB1"/>
    <w:rsid w:val="00357CD0"/>
    <w:rsid w:val="00361F04"/>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4FF"/>
    <w:rsid w:val="003C2495"/>
    <w:rsid w:val="003D5D45"/>
    <w:rsid w:val="003D6376"/>
    <w:rsid w:val="003E29FB"/>
    <w:rsid w:val="003E2CCE"/>
    <w:rsid w:val="003E3EBB"/>
    <w:rsid w:val="003E6D11"/>
    <w:rsid w:val="003E7CB6"/>
    <w:rsid w:val="00401DBE"/>
    <w:rsid w:val="00402123"/>
    <w:rsid w:val="00403383"/>
    <w:rsid w:val="004130C0"/>
    <w:rsid w:val="00413CBD"/>
    <w:rsid w:val="00413DF8"/>
    <w:rsid w:val="00413F36"/>
    <w:rsid w:val="00417EE7"/>
    <w:rsid w:val="004215C5"/>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094D"/>
    <w:rsid w:val="004A1755"/>
    <w:rsid w:val="004A78A2"/>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AF6"/>
    <w:rsid w:val="00502D23"/>
    <w:rsid w:val="00513B3A"/>
    <w:rsid w:val="005146DA"/>
    <w:rsid w:val="0051585E"/>
    <w:rsid w:val="00522010"/>
    <w:rsid w:val="0052581D"/>
    <w:rsid w:val="00535C5A"/>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0D92"/>
    <w:rsid w:val="005B112C"/>
    <w:rsid w:val="005B209E"/>
    <w:rsid w:val="005B2F92"/>
    <w:rsid w:val="005B5824"/>
    <w:rsid w:val="005B7D85"/>
    <w:rsid w:val="005C73E0"/>
    <w:rsid w:val="005D0539"/>
    <w:rsid w:val="005D0E3A"/>
    <w:rsid w:val="005D25AE"/>
    <w:rsid w:val="005D2620"/>
    <w:rsid w:val="005D5DB7"/>
    <w:rsid w:val="005E37C2"/>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0BE"/>
    <w:rsid w:val="00647482"/>
    <w:rsid w:val="0066191A"/>
    <w:rsid w:val="00663FD3"/>
    <w:rsid w:val="00665E05"/>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F21"/>
    <w:rsid w:val="006B07CD"/>
    <w:rsid w:val="006B3A4B"/>
    <w:rsid w:val="006B40EF"/>
    <w:rsid w:val="006B4F02"/>
    <w:rsid w:val="006B66EE"/>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36F48"/>
    <w:rsid w:val="00741B9A"/>
    <w:rsid w:val="007501C6"/>
    <w:rsid w:val="007503F7"/>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439C"/>
    <w:rsid w:val="007F6F3A"/>
    <w:rsid w:val="00800FF6"/>
    <w:rsid w:val="00806716"/>
    <w:rsid w:val="00807477"/>
    <w:rsid w:val="00811E32"/>
    <w:rsid w:val="008156EA"/>
    <w:rsid w:val="0081623B"/>
    <w:rsid w:val="0082065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06B2"/>
    <w:rsid w:val="008C1ABE"/>
    <w:rsid w:val="008C300E"/>
    <w:rsid w:val="008C42C1"/>
    <w:rsid w:val="008C4A35"/>
    <w:rsid w:val="008C52C9"/>
    <w:rsid w:val="008C7BB4"/>
    <w:rsid w:val="008D15AF"/>
    <w:rsid w:val="008D1829"/>
    <w:rsid w:val="008E1B7E"/>
    <w:rsid w:val="008E5C19"/>
    <w:rsid w:val="008E7314"/>
    <w:rsid w:val="008F1EAE"/>
    <w:rsid w:val="008F470C"/>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2488"/>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AAB"/>
    <w:rsid w:val="00A23F5C"/>
    <w:rsid w:val="00A2564F"/>
    <w:rsid w:val="00A25787"/>
    <w:rsid w:val="00A30D10"/>
    <w:rsid w:val="00A31A25"/>
    <w:rsid w:val="00A348C1"/>
    <w:rsid w:val="00A3547E"/>
    <w:rsid w:val="00A35B21"/>
    <w:rsid w:val="00A40ADE"/>
    <w:rsid w:val="00A44EBE"/>
    <w:rsid w:val="00A4659A"/>
    <w:rsid w:val="00A50745"/>
    <w:rsid w:val="00A55EF3"/>
    <w:rsid w:val="00A57461"/>
    <w:rsid w:val="00A6573C"/>
    <w:rsid w:val="00A71BCE"/>
    <w:rsid w:val="00A74F76"/>
    <w:rsid w:val="00A823EC"/>
    <w:rsid w:val="00A840CF"/>
    <w:rsid w:val="00A86E11"/>
    <w:rsid w:val="00A97576"/>
    <w:rsid w:val="00AA005F"/>
    <w:rsid w:val="00AA79E9"/>
    <w:rsid w:val="00AB0A70"/>
    <w:rsid w:val="00AB3E18"/>
    <w:rsid w:val="00AB41F1"/>
    <w:rsid w:val="00AB5A3B"/>
    <w:rsid w:val="00AB6A7C"/>
    <w:rsid w:val="00AC2BF8"/>
    <w:rsid w:val="00AD0E94"/>
    <w:rsid w:val="00AD722B"/>
    <w:rsid w:val="00AE3C7A"/>
    <w:rsid w:val="00AF24F6"/>
    <w:rsid w:val="00AF31BE"/>
    <w:rsid w:val="00AF46DF"/>
    <w:rsid w:val="00B04BD9"/>
    <w:rsid w:val="00B05F9C"/>
    <w:rsid w:val="00B1241D"/>
    <w:rsid w:val="00B134E7"/>
    <w:rsid w:val="00B15A9E"/>
    <w:rsid w:val="00B16D15"/>
    <w:rsid w:val="00B346DF"/>
    <w:rsid w:val="00B36FBC"/>
    <w:rsid w:val="00B4269F"/>
    <w:rsid w:val="00B44182"/>
    <w:rsid w:val="00B467CC"/>
    <w:rsid w:val="00B5443B"/>
    <w:rsid w:val="00B570EB"/>
    <w:rsid w:val="00B57582"/>
    <w:rsid w:val="00B63B0F"/>
    <w:rsid w:val="00B653F7"/>
    <w:rsid w:val="00B70189"/>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0439"/>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92BC0"/>
    <w:rsid w:val="00D92F77"/>
    <w:rsid w:val="00D965B5"/>
    <w:rsid w:val="00D9773A"/>
    <w:rsid w:val="00DA0EBA"/>
    <w:rsid w:val="00DA1C1B"/>
    <w:rsid w:val="00DA3C05"/>
    <w:rsid w:val="00DA48D0"/>
    <w:rsid w:val="00DA4EAA"/>
    <w:rsid w:val="00DA61E2"/>
    <w:rsid w:val="00DB0F7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2F37"/>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5AB"/>
    <w:rsid w:val="00F33937"/>
    <w:rsid w:val="00F3442D"/>
    <w:rsid w:val="00F4304F"/>
    <w:rsid w:val="00F450D5"/>
    <w:rsid w:val="00F540A1"/>
    <w:rsid w:val="00F546CE"/>
    <w:rsid w:val="00F563E2"/>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6A7F21"/>
    <w:pPr>
      <w:tabs>
        <w:tab w:val="right" w:leader="dot" w:pos="7926"/>
      </w:tabs>
      <w:spacing w:after="100" w:line="276" w:lineRule="auto"/>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numbering" w:customStyle="1" w:styleId="1">
    <w:name w:val="بلا قائمة1"/>
    <w:next w:val="NoList"/>
    <w:uiPriority w:val="99"/>
    <w:semiHidden/>
    <w:unhideWhenUsed/>
    <w:rsid w:val="005B209E"/>
  </w:style>
  <w:style w:type="paragraph" w:customStyle="1" w:styleId="msonormal0">
    <w:name w:val="msonormal"/>
    <w:basedOn w:val="Normal"/>
    <w:rsid w:val="005B209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1">
    <w:name w:val="Grid Table 6 Colorful Accent 1"/>
    <w:basedOn w:val="TableNormal"/>
    <w:uiPriority w:val="51"/>
    <w:rsid w:val="000B7AE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535C5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3085308">
      <w:bodyDiv w:val="1"/>
      <w:marLeft w:val="0"/>
      <w:marRight w:val="0"/>
      <w:marTop w:val="0"/>
      <w:marBottom w:val="0"/>
      <w:divBdr>
        <w:top w:val="none" w:sz="0" w:space="0" w:color="auto"/>
        <w:left w:val="none" w:sz="0" w:space="0" w:color="auto"/>
        <w:bottom w:val="none" w:sz="0" w:space="0" w:color="auto"/>
        <w:right w:val="none" w:sz="0" w:space="0" w:color="auto"/>
      </w:divBdr>
      <w:divsChild>
        <w:div w:id="942609726">
          <w:marLeft w:val="0"/>
          <w:marRight w:val="0"/>
          <w:marTop w:val="0"/>
          <w:marBottom w:val="0"/>
          <w:divBdr>
            <w:top w:val="none" w:sz="0" w:space="0" w:color="auto"/>
            <w:left w:val="none" w:sz="0" w:space="0" w:color="auto"/>
            <w:bottom w:val="none" w:sz="0" w:space="0" w:color="auto"/>
            <w:right w:val="none" w:sz="0" w:space="0" w:color="auto"/>
          </w:divBdr>
          <w:divsChild>
            <w:div w:id="1954054108">
              <w:marLeft w:val="0"/>
              <w:marRight w:val="0"/>
              <w:marTop w:val="0"/>
              <w:marBottom w:val="0"/>
              <w:divBdr>
                <w:top w:val="none" w:sz="0" w:space="0" w:color="auto"/>
                <w:left w:val="none" w:sz="0" w:space="0" w:color="auto"/>
                <w:bottom w:val="none" w:sz="0" w:space="0" w:color="auto"/>
                <w:right w:val="none" w:sz="0" w:space="0" w:color="auto"/>
              </w:divBdr>
              <w:divsChild>
                <w:div w:id="1328482501">
                  <w:marLeft w:val="0"/>
                  <w:marRight w:val="0"/>
                  <w:marTop w:val="0"/>
                  <w:marBottom w:val="0"/>
                  <w:divBdr>
                    <w:top w:val="none" w:sz="0" w:space="0" w:color="auto"/>
                    <w:left w:val="none" w:sz="0" w:space="0" w:color="auto"/>
                    <w:bottom w:val="none" w:sz="0" w:space="0" w:color="auto"/>
                    <w:right w:val="none" w:sz="0" w:space="0" w:color="auto"/>
                  </w:divBdr>
                  <w:divsChild>
                    <w:div w:id="814444324">
                      <w:marLeft w:val="0"/>
                      <w:marRight w:val="0"/>
                      <w:marTop w:val="0"/>
                      <w:marBottom w:val="0"/>
                      <w:divBdr>
                        <w:top w:val="none" w:sz="0" w:space="0" w:color="auto"/>
                        <w:left w:val="none" w:sz="0" w:space="0" w:color="auto"/>
                        <w:bottom w:val="none" w:sz="0" w:space="0" w:color="auto"/>
                        <w:right w:val="none" w:sz="0" w:space="0" w:color="auto"/>
                      </w:divBdr>
                      <w:divsChild>
                        <w:div w:id="1542284139">
                          <w:marLeft w:val="0"/>
                          <w:marRight w:val="0"/>
                          <w:marTop w:val="0"/>
                          <w:marBottom w:val="0"/>
                          <w:divBdr>
                            <w:top w:val="none" w:sz="0" w:space="0" w:color="auto"/>
                            <w:left w:val="none" w:sz="0" w:space="0" w:color="auto"/>
                            <w:bottom w:val="none" w:sz="0" w:space="0" w:color="auto"/>
                            <w:right w:val="none" w:sz="0" w:space="0" w:color="auto"/>
                          </w:divBdr>
                        </w:div>
                        <w:div w:id="2037385453">
                          <w:marLeft w:val="0"/>
                          <w:marRight w:val="0"/>
                          <w:marTop w:val="0"/>
                          <w:marBottom w:val="0"/>
                          <w:divBdr>
                            <w:top w:val="none" w:sz="0" w:space="0" w:color="auto"/>
                            <w:left w:val="none" w:sz="0" w:space="0" w:color="auto"/>
                            <w:bottom w:val="none" w:sz="0" w:space="0" w:color="auto"/>
                            <w:right w:val="none" w:sz="0" w:space="0" w:color="auto"/>
                          </w:divBdr>
                        </w:div>
                        <w:div w:id="5616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8497665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2813983">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2289469">
      <w:bodyDiv w:val="1"/>
      <w:marLeft w:val="0"/>
      <w:marRight w:val="0"/>
      <w:marTop w:val="0"/>
      <w:marBottom w:val="0"/>
      <w:divBdr>
        <w:top w:val="none" w:sz="0" w:space="0" w:color="auto"/>
        <w:left w:val="none" w:sz="0" w:space="0" w:color="auto"/>
        <w:bottom w:val="none" w:sz="0" w:space="0" w:color="auto"/>
        <w:right w:val="none" w:sz="0" w:space="0" w:color="auto"/>
      </w:divBdr>
      <w:divsChild>
        <w:div w:id="1490058671">
          <w:marLeft w:val="0"/>
          <w:marRight w:val="0"/>
          <w:marTop w:val="0"/>
          <w:marBottom w:val="0"/>
          <w:divBdr>
            <w:top w:val="none" w:sz="0" w:space="0" w:color="auto"/>
            <w:left w:val="none" w:sz="0" w:space="0" w:color="auto"/>
            <w:bottom w:val="none" w:sz="0" w:space="0" w:color="auto"/>
            <w:right w:val="none" w:sz="0" w:space="0" w:color="auto"/>
          </w:divBdr>
        </w:div>
        <w:div w:id="1945913841">
          <w:marLeft w:val="0"/>
          <w:marRight w:val="0"/>
          <w:marTop w:val="0"/>
          <w:marBottom w:val="0"/>
          <w:divBdr>
            <w:top w:val="none" w:sz="0" w:space="0" w:color="auto"/>
            <w:left w:val="none" w:sz="0" w:space="0" w:color="auto"/>
            <w:bottom w:val="none" w:sz="0" w:space="0" w:color="auto"/>
            <w:right w:val="none" w:sz="0" w:space="0" w:color="auto"/>
          </w:divBdr>
        </w:div>
        <w:div w:id="1026831207">
          <w:marLeft w:val="0"/>
          <w:marRight w:val="0"/>
          <w:marTop w:val="0"/>
          <w:marBottom w:val="0"/>
          <w:divBdr>
            <w:top w:val="none" w:sz="0" w:space="0" w:color="auto"/>
            <w:left w:val="none" w:sz="0" w:space="0" w:color="auto"/>
            <w:bottom w:val="none" w:sz="0" w:space="0" w:color="auto"/>
            <w:right w:val="none" w:sz="0" w:space="0" w:color="auto"/>
          </w:divBdr>
        </w:div>
        <w:div w:id="1932741964">
          <w:marLeft w:val="0"/>
          <w:marRight w:val="0"/>
          <w:marTop w:val="0"/>
          <w:marBottom w:val="0"/>
          <w:divBdr>
            <w:top w:val="none" w:sz="0" w:space="0" w:color="auto"/>
            <w:left w:val="none" w:sz="0" w:space="0" w:color="auto"/>
            <w:bottom w:val="none" w:sz="0" w:space="0" w:color="auto"/>
            <w:right w:val="none" w:sz="0" w:space="0" w:color="auto"/>
          </w:divBdr>
        </w:div>
        <w:div w:id="1133910513">
          <w:marLeft w:val="0"/>
          <w:marRight w:val="0"/>
          <w:marTop w:val="0"/>
          <w:marBottom w:val="0"/>
          <w:divBdr>
            <w:top w:val="none" w:sz="0" w:space="0" w:color="auto"/>
            <w:left w:val="none" w:sz="0" w:space="0" w:color="auto"/>
            <w:bottom w:val="none" w:sz="0" w:space="0" w:color="auto"/>
            <w:right w:val="none" w:sz="0" w:space="0" w:color="auto"/>
          </w:divBdr>
        </w:div>
        <w:div w:id="206914047">
          <w:marLeft w:val="0"/>
          <w:marRight w:val="0"/>
          <w:marTop w:val="0"/>
          <w:marBottom w:val="0"/>
          <w:divBdr>
            <w:top w:val="none" w:sz="0" w:space="0" w:color="auto"/>
            <w:left w:val="none" w:sz="0" w:space="0" w:color="auto"/>
            <w:bottom w:val="none" w:sz="0" w:space="0" w:color="auto"/>
            <w:right w:val="none" w:sz="0" w:space="0" w:color="auto"/>
          </w:divBdr>
        </w:div>
        <w:div w:id="1978872241">
          <w:marLeft w:val="0"/>
          <w:marRight w:val="0"/>
          <w:marTop w:val="0"/>
          <w:marBottom w:val="0"/>
          <w:divBdr>
            <w:top w:val="none" w:sz="0" w:space="0" w:color="auto"/>
            <w:left w:val="none" w:sz="0" w:space="0" w:color="auto"/>
            <w:bottom w:val="none" w:sz="0" w:space="0" w:color="auto"/>
            <w:right w:val="none" w:sz="0" w:space="0" w:color="auto"/>
          </w:divBdr>
        </w:div>
        <w:div w:id="1618756727">
          <w:marLeft w:val="0"/>
          <w:marRight w:val="0"/>
          <w:marTop w:val="0"/>
          <w:marBottom w:val="0"/>
          <w:divBdr>
            <w:top w:val="none" w:sz="0" w:space="0" w:color="auto"/>
            <w:left w:val="none" w:sz="0" w:space="0" w:color="auto"/>
            <w:bottom w:val="none" w:sz="0" w:space="0" w:color="auto"/>
            <w:right w:val="none" w:sz="0" w:space="0" w:color="auto"/>
          </w:divBdr>
        </w:div>
        <w:div w:id="2118716352">
          <w:marLeft w:val="0"/>
          <w:marRight w:val="0"/>
          <w:marTop w:val="0"/>
          <w:marBottom w:val="0"/>
          <w:divBdr>
            <w:top w:val="none" w:sz="0" w:space="0" w:color="auto"/>
            <w:left w:val="none" w:sz="0" w:space="0" w:color="auto"/>
            <w:bottom w:val="none" w:sz="0" w:space="0" w:color="auto"/>
            <w:right w:val="none" w:sz="0" w:space="0" w:color="auto"/>
          </w:divBdr>
        </w:div>
        <w:div w:id="853303230">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1757226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7518799">
      <w:bodyDiv w:val="1"/>
      <w:marLeft w:val="0"/>
      <w:marRight w:val="0"/>
      <w:marTop w:val="0"/>
      <w:marBottom w:val="0"/>
      <w:divBdr>
        <w:top w:val="none" w:sz="0" w:space="0" w:color="auto"/>
        <w:left w:val="none" w:sz="0" w:space="0" w:color="auto"/>
        <w:bottom w:val="none" w:sz="0" w:space="0" w:color="auto"/>
        <w:right w:val="none" w:sz="0" w:space="0" w:color="auto"/>
      </w:divBdr>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351005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781626">
      <w:bodyDiv w:val="1"/>
      <w:marLeft w:val="0"/>
      <w:marRight w:val="0"/>
      <w:marTop w:val="0"/>
      <w:marBottom w:val="0"/>
      <w:divBdr>
        <w:top w:val="none" w:sz="0" w:space="0" w:color="auto"/>
        <w:left w:val="none" w:sz="0" w:space="0" w:color="auto"/>
        <w:bottom w:val="none" w:sz="0" w:space="0" w:color="auto"/>
        <w:right w:val="none" w:sz="0" w:space="0" w:color="auto"/>
      </w:divBdr>
      <w:divsChild>
        <w:div w:id="1984692439">
          <w:marLeft w:val="0"/>
          <w:marRight w:val="0"/>
          <w:marTop w:val="0"/>
          <w:marBottom w:val="0"/>
          <w:divBdr>
            <w:top w:val="none" w:sz="0" w:space="0" w:color="auto"/>
            <w:left w:val="none" w:sz="0" w:space="0" w:color="auto"/>
            <w:bottom w:val="none" w:sz="0" w:space="0" w:color="auto"/>
            <w:right w:val="none" w:sz="0" w:space="0" w:color="auto"/>
          </w:divBdr>
          <w:divsChild>
            <w:div w:id="1065955821">
              <w:marLeft w:val="0"/>
              <w:marRight w:val="0"/>
              <w:marTop w:val="0"/>
              <w:marBottom w:val="0"/>
              <w:divBdr>
                <w:top w:val="none" w:sz="0" w:space="0" w:color="auto"/>
                <w:left w:val="none" w:sz="0" w:space="0" w:color="auto"/>
                <w:bottom w:val="none" w:sz="0" w:space="0" w:color="auto"/>
                <w:right w:val="none" w:sz="0" w:space="0" w:color="auto"/>
              </w:divBdr>
              <w:divsChild>
                <w:div w:id="294874658">
                  <w:marLeft w:val="0"/>
                  <w:marRight w:val="0"/>
                  <w:marTop w:val="0"/>
                  <w:marBottom w:val="0"/>
                  <w:divBdr>
                    <w:top w:val="none" w:sz="0" w:space="0" w:color="auto"/>
                    <w:left w:val="none" w:sz="0" w:space="0" w:color="auto"/>
                    <w:bottom w:val="none" w:sz="0" w:space="0" w:color="auto"/>
                    <w:right w:val="none" w:sz="0" w:space="0" w:color="auto"/>
                  </w:divBdr>
                  <w:divsChild>
                    <w:div w:id="7670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036907">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974314">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819334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58936447">
      <w:bodyDiv w:val="1"/>
      <w:marLeft w:val="0"/>
      <w:marRight w:val="0"/>
      <w:marTop w:val="0"/>
      <w:marBottom w:val="0"/>
      <w:divBdr>
        <w:top w:val="none" w:sz="0" w:space="0" w:color="auto"/>
        <w:left w:val="none" w:sz="0" w:space="0" w:color="auto"/>
        <w:bottom w:val="none" w:sz="0" w:space="0" w:color="auto"/>
        <w:right w:val="none" w:sz="0" w:space="0" w:color="auto"/>
      </w:divBdr>
      <w:divsChild>
        <w:div w:id="490946630">
          <w:marLeft w:val="0"/>
          <w:marRight w:val="0"/>
          <w:marTop w:val="0"/>
          <w:marBottom w:val="0"/>
          <w:divBdr>
            <w:top w:val="none" w:sz="0" w:space="0" w:color="auto"/>
            <w:left w:val="none" w:sz="0" w:space="0" w:color="auto"/>
            <w:bottom w:val="none" w:sz="0" w:space="0" w:color="auto"/>
            <w:right w:val="none" w:sz="0" w:space="0" w:color="auto"/>
          </w:divBdr>
          <w:divsChild>
            <w:div w:id="967051208">
              <w:marLeft w:val="0"/>
              <w:marRight w:val="0"/>
              <w:marTop w:val="0"/>
              <w:marBottom w:val="0"/>
              <w:divBdr>
                <w:top w:val="none" w:sz="0" w:space="0" w:color="auto"/>
                <w:left w:val="none" w:sz="0" w:space="0" w:color="auto"/>
                <w:bottom w:val="none" w:sz="0" w:space="0" w:color="auto"/>
                <w:right w:val="none" w:sz="0" w:space="0" w:color="auto"/>
              </w:divBdr>
              <w:divsChild>
                <w:div w:id="268436745">
                  <w:marLeft w:val="0"/>
                  <w:marRight w:val="0"/>
                  <w:marTop w:val="0"/>
                  <w:marBottom w:val="0"/>
                  <w:divBdr>
                    <w:top w:val="none" w:sz="0" w:space="0" w:color="auto"/>
                    <w:left w:val="none" w:sz="0" w:space="0" w:color="auto"/>
                    <w:bottom w:val="none" w:sz="0" w:space="0" w:color="auto"/>
                    <w:right w:val="none" w:sz="0" w:space="0" w:color="auto"/>
                  </w:divBdr>
                  <w:divsChild>
                    <w:div w:id="1854104870">
                      <w:marLeft w:val="0"/>
                      <w:marRight w:val="0"/>
                      <w:marTop w:val="0"/>
                      <w:marBottom w:val="0"/>
                      <w:divBdr>
                        <w:top w:val="none" w:sz="0" w:space="0" w:color="auto"/>
                        <w:left w:val="none" w:sz="0" w:space="0" w:color="auto"/>
                        <w:bottom w:val="none" w:sz="0" w:space="0" w:color="auto"/>
                        <w:right w:val="none" w:sz="0" w:space="0" w:color="auto"/>
                      </w:divBdr>
                      <w:divsChild>
                        <w:div w:id="497961483">
                          <w:marLeft w:val="0"/>
                          <w:marRight w:val="0"/>
                          <w:marTop w:val="0"/>
                          <w:marBottom w:val="0"/>
                          <w:divBdr>
                            <w:top w:val="none" w:sz="0" w:space="0" w:color="auto"/>
                            <w:left w:val="none" w:sz="0" w:space="0" w:color="auto"/>
                            <w:bottom w:val="none" w:sz="0" w:space="0" w:color="auto"/>
                            <w:right w:val="none" w:sz="0" w:space="0" w:color="auto"/>
                          </w:divBdr>
                        </w:div>
                        <w:div w:id="71659739">
                          <w:marLeft w:val="0"/>
                          <w:marRight w:val="0"/>
                          <w:marTop w:val="0"/>
                          <w:marBottom w:val="0"/>
                          <w:divBdr>
                            <w:top w:val="none" w:sz="0" w:space="0" w:color="auto"/>
                            <w:left w:val="none" w:sz="0" w:space="0" w:color="auto"/>
                            <w:bottom w:val="none" w:sz="0" w:space="0" w:color="auto"/>
                            <w:right w:val="none" w:sz="0" w:space="0" w:color="auto"/>
                          </w:divBdr>
                        </w:div>
                        <w:div w:id="74253617">
                          <w:marLeft w:val="0"/>
                          <w:marRight w:val="0"/>
                          <w:marTop w:val="0"/>
                          <w:marBottom w:val="0"/>
                          <w:divBdr>
                            <w:top w:val="none" w:sz="0" w:space="0" w:color="auto"/>
                            <w:left w:val="none" w:sz="0" w:space="0" w:color="auto"/>
                            <w:bottom w:val="none" w:sz="0" w:space="0" w:color="auto"/>
                            <w:right w:val="none" w:sz="0" w:space="0" w:color="auto"/>
                          </w:divBdr>
                        </w:div>
                        <w:div w:id="1746948826">
                          <w:marLeft w:val="0"/>
                          <w:marRight w:val="0"/>
                          <w:marTop w:val="0"/>
                          <w:marBottom w:val="0"/>
                          <w:divBdr>
                            <w:top w:val="none" w:sz="0" w:space="0" w:color="auto"/>
                            <w:left w:val="none" w:sz="0" w:space="0" w:color="auto"/>
                            <w:bottom w:val="none" w:sz="0" w:space="0" w:color="auto"/>
                            <w:right w:val="none" w:sz="0" w:space="0" w:color="auto"/>
                          </w:divBdr>
                        </w:div>
                        <w:div w:id="263726596">
                          <w:marLeft w:val="0"/>
                          <w:marRight w:val="0"/>
                          <w:marTop w:val="0"/>
                          <w:marBottom w:val="0"/>
                          <w:divBdr>
                            <w:top w:val="none" w:sz="0" w:space="0" w:color="auto"/>
                            <w:left w:val="none" w:sz="0" w:space="0" w:color="auto"/>
                            <w:bottom w:val="none" w:sz="0" w:space="0" w:color="auto"/>
                            <w:right w:val="none" w:sz="0" w:space="0" w:color="auto"/>
                          </w:divBdr>
                        </w:div>
                        <w:div w:id="1994218680">
                          <w:marLeft w:val="0"/>
                          <w:marRight w:val="0"/>
                          <w:marTop w:val="0"/>
                          <w:marBottom w:val="0"/>
                          <w:divBdr>
                            <w:top w:val="none" w:sz="0" w:space="0" w:color="auto"/>
                            <w:left w:val="none" w:sz="0" w:space="0" w:color="auto"/>
                            <w:bottom w:val="none" w:sz="0" w:space="0" w:color="auto"/>
                            <w:right w:val="none" w:sz="0" w:space="0" w:color="auto"/>
                          </w:divBdr>
                        </w:div>
                        <w:div w:id="1171136583">
                          <w:marLeft w:val="0"/>
                          <w:marRight w:val="0"/>
                          <w:marTop w:val="0"/>
                          <w:marBottom w:val="0"/>
                          <w:divBdr>
                            <w:top w:val="none" w:sz="0" w:space="0" w:color="auto"/>
                            <w:left w:val="none" w:sz="0" w:space="0" w:color="auto"/>
                            <w:bottom w:val="none" w:sz="0" w:space="0" w:color="auto"/>
                            <w:right w:val="none" w:sz="0" w:space="0" w:color="auto"/>
                          </w:divBdr>
                        </w:div>
                        <w:div w:id="1889216831">
                          <w:marLeft w:val="0"/>
                          <w:marRight w:val="0"/>
                          <w:marTop w:val="0"/>
                          <w:marBottom w:val="0"/>
                          <w:divBdr>
                            <w:top w:val="none" w:sz="0" w:space="0" w:color="auto"/>
                            <w:left w:val="none" w:sz="0" w:space="0" w:color="auto"/>
                            <w:bottom w:val="none" w:sz="0" w:space="0" w:color="auto"/>
                            <w:right w:val="none" w:sz="0" w:space="0" w:color="auto"/>
                          </w:divBdr>
                        </w:div>
                        <w:div w:id="815295291">
                          <w:marLeft w:val="0"/>
                          <w:marRight w:val="0"/>
                          <w:marTop w:val="0"/>
                          <w:marBottom w:val="0"/>
                          <w:divBdr>
                            <w:top w:val="none" w:sz="0" w:space="0" w:color="auto"/>
                            <w:left w:val="none" w:sz="0" w:space="0" w:color="auto"/>
                            <w:bottom w:val="none" w:sz="0" w:space="0" w:color="auto"/>
                            <w:right w:val="none" w:sz="0" w:space="0" w:color="auto"/>
                          </w:divBdr>
                        </w:div>
                        <w:div w:id="319426783">
                          <w:marLeft w:val="0"/>
                          <w:marRight w:val="0"/>
                          <w:marTop w:val="0"/>
                          <w:marBottom w:val="0"/>
                          <w:divBdr>
                            <w:top w:val="none" w:sz="0" w:space="0" w:color="auto"/>
                            <w:left w:val="none" w:sz="0" w:space="0" w:color="auto"/>
                            <w:bottom w:val="none" w:sz="0" w:space="0" w:color="auto"/>
                            <w:right w:val="none" w:sz="0" w:space="0" w:color="auto"/>
                          </w:divBdr>
                        </w:div>
                        <w:div w:id="146436084">
                          <w:marLeft w:val="0"/>
                          <w:marRight w:val="0"/>
                          <w:marTop w:val="0"/>
                          <w:marBottom w:val="0"/>
                          <w:divBdr>
                            <w:top w:val="none" w:sz="0" w:space="0" w:color="auto"/>
                            <w:left w:val="none" w:sz="0" w:space="0" w:color="auto"/>
                            <w:bottom w:val="none" w:sz="0" w:space="0" w:color="auto"/>
                            <w:right w:val="none" w:sz="0" w:space="0" w:color="auto"/>
                          </w:divBdr>
                        </w:div>
                        <w:div w:id="1475876111">
                          <w:marLeft w:val="0"/>
                          <w:marRight w:val="0"/>
                          <w:marTop w:val="0"/>
                          <w:marBottom w:val="0"/>
                          <w:divBdr>
                            <w:top w:val="none" w:sz="0" w:space="0" w:color="auto"/>
                            <w:left w:val="none" w:sz="0" w:space="0" w:color="auto"/>
                            <w:bottom w:val="none" w:sz="0" w:space="0" w:color="auto"/>
                            <w:right w:val="none" w:sz="0" w:space="0" w:color="auto"/>
                          </w:divBdr>
                        </w:div>
                        <w:div w:id="688487165">
                          <w:marLeft w:val="0"/>
                          <w:marRight w:val="0"/>
                          <w:marTop w:val="0"/>
                          <w:marBottom w:val="0"/>
                          <w:divBdr>
                            <w:top w:val="none" w:sz="0" w:space="0" w:color="auto"/>
                            <w:left w:val="none" w:sz="0" w:space="0" w:color="auto"/>
                            <w:bottom w:val="none" w:sz="0" w:space="0" w:color="auto"/>
                            <w:right w:val="none" w:sz="0" w:space="0" w:color="auto"/>
                          </w:divBdr>
                        </w:div>
                        <w:div w:id="1875119689">
                          <w:marLeft w:val="0"/>
                          <w:marRight w:val="0"/>
                          <w:marTop w:val="0"/>
                          <w:marBottom w:val="0"/>
                          <w:divBdr>
                            <w:top w:val="none" w:sz="0" w:space="0" w:color="auto"/>
                            <w:left w:val="none" w:sz="0" w:space="0" w:color="auto"/>
                            <w:bottom w:val="none" w:sz="0" w:space="0" w:color="auto"/>
                            <w:right w:val="none" w:sz="0" w:space="0" w:color="auto"/>
                          </w:divBdr>
                        </w:div>
                        <w:div w:id="1328249138">
                          <w:marLeft w:val="0"/>
                          <w:marRight w:val="0"/>
                          <w:marTop w:val="0"/>
                          <w:marBottom w:val="0"/>
                          <w:divBdr>
                            <w:top w:val="none" w:sz="0" w:space="0" w:color="auto"/>
                            <w:left w:val="none" w:sz="0" w:space="0" w:color="auto"/>
                            <w:bottom w:val="none" w:sz="0" w:space="0" w:color="auto"/>
                            <w:right w:val="none" w:sz="0" w:space="0" w:color="auto"/>
                          </w:divBdr>
                        </w:div>
                        <w:div w:id="599526899">
                          <w:marLeft w:val="0"/>
                          <w:marRight w:val="0"/>
                          <w:marTop w:val="0"/>
                          <w:marBottom w:val="0"/>
                          <w:divBdr>
                            <w:top w:val="none" w:sz="0" w:space="0" w:color="auto"/>
                            <w:left w:val="none" w:sz="0" w:space="0" w:color="auto"/>
                            <w:bottom w:val="none" w:sz="0" w:space="0" w:color="auto"/>
                            <w:right w:val="none" w:sz="0" w:space="0" w:color="auto"/>
                          </w:divBdr>
                        </w:div>
                        <w:div w:id="69692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5526399">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35089310">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4648631">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D84683-582D-48E0-947E-AEB6D04CB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11312</Words>
  <Characters>64484</Characters>
  <Application>Microsoft Office Word</Application>
  <DocSecurity>0</DocSecurity>
  <Lines>537</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cp:lastModifiedBy>
  <cp:revision>3</cp:revision>
  <cp:lastPrinted>2026-02-25T21:58:00Z</cp:lastPrinted>
  <dcterms:created xsi:type="dcterms:W3CDTF">2026-02-25T22:01:00Z</dcterms:created>
  <dcterms:modified xsi:type="dcterms:W3CDTF">2026-03-08T09:15:00Z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