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83AC5" w14:textId="77777777" w:rsidR="00F52E17" w:rsidRPr="00205670" w:rsidRDefault="00553E14" w:rsidP="00205670">
      <w:pPr>
        <w:bidi/>
        <w:spacing w:after="120"/>
        <w:jc w:val="center"/>
        <w:rPr>
          <w:sz w:val="28"/>
          <w:szCs w:val="28"/>
        </w:rPr>
      </w:pPr>
      <w:r w:rsidRPr="00205670">
        <w:rPr>
          <w:rFonts w:ascii="Traditional Arabic" w:eastAsia="Traditional Arabic" w:hAnsi="Traditional Arabic" w:cs="Traditional Arabic"/>
          <w:b/>
          <w:bCs/>
          <w:color w:val="12365B"/>
          <w:sz w:val="44"/>
          <w:szCs w:val="44"/>
          <w:rtl/>
        </w:rPr>
        <w:t>الرد على ملاحظات لجنة المناقشة على الفصل الثالث - الرد الأخير</w:t>
      </w:r>
    </w:p>
    <w:p w14:paraId="7633791F" w14:textId="77777777" w:rsidR="00F52E17" w:rsidRPr="00205670" w:rsidRDefault="00553E14" w:rsidP="00205670">
      <w:pPr>
        <w:bidi/>
        <w:spacing w:after="60"/>
        <w:jc w:val="center"/>
        <w:rPr>
          <w:sz w:val="28"/>
          <w:szCs w:val="28"/>
        </w:rPr>
      </w:pPr>
      <w:r w:rsidRPr="00205670">
        <w:rPr>
          <w:rFonts w:ascii="Traditional Arabic" w:eastAsia="Traditional Arabic" w:hAnsi="Traditional Arabic" w:cs="Traditional Arabic"/>
          <w:color w:val="0E8C8C"/>
          <w:sz w:val="36"/>
          <w:szCs w:val="36"/>
          <w:rtl/>
        </w:rPr>
        <w:t>نموذج حوكمة ذكي لضمان سلامة أصول البنية التحتية المائية</w:t>
      </w:r>
    </w:p>
    <w:p w14:paraId="21DEFA58" w14:textId="77777777" w:rsidR="00F52E17" w:rsidRPr="00205670" w:rsidRDefault="00553E14" w:rsidP="00205670">
      <w:pPr>
        <w:bidi/>
        <w:spacing w:after="60"/>
        <w:jc w:val="center"/>
        <w:rPr>
          <w:sz w:val="28"/>
          <w:szCs w:val="28"/>
        </w:rPr>
      </w:pPr>
      <w:r w:rsidRPr="00205670">
        <w:rPr>
          <w:rFonts w:ascii="Traditional Arabic" w:eastAsia="Traditional Arabic" w:hAnsi="Traditional Arabic" w:cs="Traditional Arabic"/>
          <w:sz w:val="32"/>
          <w:szCs w:val="32"/>
          <w:rtl/>
        </w:rPr>
        <w:t xml:space="preserve">يقدَّم هذا الجدول ردًا تفصيليًا على الرد الأخير للجنة الموقّرة على الفصل الثالث، وعدده ملاحظتان متبقيتان تتعلقان بمسائل دقيقة سبق تناولها في جولات سابقة وتطلبت تدقيقًا نهائيًا شاملاً للفصل بحثًا عن أي أثر متبقٍ </w:t>
      </w:r>
      <w:r w:rsidRPr="00205670">
        <w:rPr>
          <w:rFonts w:ascii="Traditional Arabic" w:eastAsia="Traditional Arabic" w:hAnsi="Traditional Arabic" w:cs="Traditional Arabic"/>
          <w:sz w:val="36"/>
          <w:szCs w:val="36"/>
          <w:rtl/>
        </w:rPr>
        <w:t>لهما.</w:t>
      </w:r>
    </w:p>
    <w:p w14:paraId="0236D764" w14:textId="77777777" w:rsidR="00F52E17" w:rsidRPr="00205670" w:rsidRDefault="00F52E17" w:rsidP="00205670">
      <w:pPr>
        <w:bidi/>
        <w:spacing w:after="120"/>
        <w:jc w:val="center"/>
        <w:rPr>
          <w:sz w:val="28"/>
          <w:szCs w:val="28"/>
        </w:rPr>
      </w:pPr>
    </w:p>
    <w:tbl>
      <w:tblPr>
        <w:bidiVisual/>
        <w:tblW w:w="1015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653"/>
        <w:gridCol w:w="4477"/>
        <w:gridCol w:w="5028"/>
      </w:tblGrid>
      <w:tr w:rsidR="00F52E17" w:rsidRPr="00205670" w14:paraId="474E853F" w14:textId="77777777" w:rsidTr="00205670">
        <w:tblPrEx>
          <w:tblCellMar>
            <w:top w:w="0" w:type="dxa"/>
            <w:bottom w:w="0" w:type="dxa"/>
          </w:tblCellMar>
        </w:tblPrEx>
        <w:trPr>
          <w:trHeight w:val="389"/>
          <w:tblHeader/>
        </w:trPr>
        <w:tc>
          <w:tcPr>
            <w:tcW w:w="653" w:type="dxa"/>
            <w:shd w:val="clear" w:color="auto" w:fill="12365B"/>
            <w:vAlign w:val="center"/>
          </w:tcPr>
          <w:p w14:paraId="0CF1CD81"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b/>
                <w:bCs/>
                <w:color w:val="FFFFFF"/>
                <w:sz w:val="28"/>
                <w:szCs w:val="28"/>
                <w:rtl/>
              </w:rPr>
              <w:t>#</w:t>
            </w:r>
          </w:p>
        </w:tc>
        <w:tc>
          <w:tcPr>
            <w:tcW w:w="4477" w:type="dxa"/>
            <w:shd w:val="clear" w:color="auto" w:fill="12365B"/>
            <w:vAlign w:val="center"/>
          </w:tcPr>
          <w:p w14:paraId="33658DDB"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b/>
                <w:bCs/>
                <w:color w:val="FFFFFF"/>
                <w:sz w:val="28"/>
                <w:szCs w:val="28"/>
                <w:rtl/>
              </w:rPr>
              <w:t>ملاحظة اللجنة (الرد الأخير)</w:t>
            </w:r>
          </w:p>
        </w:tc>
        <w:tc>
          <w:tcPr>
            <w:tcW w:w="5028" w:type="dxa"/>
            <w:shd w:val="clear" w:color="auto" w:fill="12365B"/>
            <w:vAlign w:val="center"/>
          </w:tcPr>
          <w:p w14:paraId="59FFD9AC"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b/>
                <w:bCs/>
                <w:color w:val="FFFFFF"/>
                <w:sz w:val="28"/>
                <w:szCs w:val="28"/>
                <w:rtl/>
              </w:rPr>
              <w:t>الإجراء المتخذ في الفصل الثالث</w:t>
            </w:r>
          </w:p>
        </w:tc>
      </w:tr>
      <w:tr w:rsidR="00F52E17" w:rsidRPr="00205670" w14:paraId="43531A6B" w14:textId="77777777" w:rsidTr="00205670">
        <w:tblPrEx>
          <w:tblCellMar>
            <w:top w:w="0" w:type="dxa"/>
            <w:bottom w:w="0" w:type="dxa"/>
          </w:tblCellMar>
        </w:tblPrEx>
        <w:trPr>
          <w:trHeight w:val="2423"/>
        </w:trPr>
        <w:tc>
          <w:tcPr>
            <w:tcW w:w="653" w:type="dxa"/>
            <w:vAlign w:val="center"/>
          </w:tcPr>
          <w:p w14:paraId="2A5A974E"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b/>
                <w:bCs/>
                <w:sz w:val="28"/>
                <w:szCs w:val="28"/>
                <w:rtl/>
              </w:rPr>
              <w:t>1</w:t>
            </w:r>
          </w:p>
        </w:tc>
        <w:tc>
          <w:tcPr>
            <w:tcW w:w="4477" w:type="dxa"/>
            <w:vAlign w:val="center"/>
          </w:tcPr>
          <w:p w14:paraId="706B67DF"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sz w:val="28"/>
                <w:szCs w:val="28"/>
                <w:rtl/>
              </w:rPr>
              <w:t>استخدام لغة سببية أقوى من التصميم البحثي. في بداية الفصل ورد أن الهدف هو «التحقق من العلاقات السببية»، بينما التصميم الكمي مقطعي. الأفضل استبدال ذلك بـ«اختبار العلاقات المفترضة» أو «التأثيرات الإحصائية».</w:t>
            </w:r>
          </w:p>
        </w:tc>
        <w:tc>
          <w:tcPr>
            <w:tcW w:w="5028" w:type="dxa"/>
            <w:vAlign w:val="center"/>
          </w:tcPr>
          <w:p w14:paraId="637CBC5D"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sz w:val="28"/>
                <w:szCs w:val="28"/>
                <w:rtl/>
              </w:rPr>
              <w:t>رُوجع الفصل الثالث بالكامل بحثًا عن أي استخدام متبقٍ لعبارة "العلاقات السببية"، وعُثر على ثلاثة مواضع: العنوان الفرعي "اختبار العلاقات السببية باستخدام نمذجة المعادلات الهيكلية"، وجملة "بهدف التحقق من العلاقات السببية بين متغيرات الدراسة" في مقدمة منهج البحث (وهي الجملة التي أشارت إليها اللجنة تحديدًا)، وجملة "يختبر هذا النموذج العلاقات السببية بين المتغيرات" في وصف نموذج SEM. استُبدلت الثلاثة جميعًا بصياغة "اختبار العلاقات المفترضة (التأثيرات الإحصائية)"، بما يتسق تمامًا مع التصميم المقطعي والتنويه المنهجي</w:t>
            </w:r>
            <w:r w:rsidRPr="00205670">
              <w:rPr>
                <w:rFonts w:ascii="Traditional Arabic" w:eastAsia="Traditional Arabic" w:hAnsi="Traditional Arabic" w:cs="Traditional Arabic"/>
                <w:sz w:val="28"/>
                <w:szCs w:val="28"/>
                <w:rtl/>
              </w:rPr>
              <w:t xml:space="preserve"> الوارد في ختام الفصل.</w:t>
            </w:r>
          </w:p>
        </w:tc>
      </w:tr>
      <w:tr w:rsidR="00F52E17" w:rsidRPr="00205670" w14:paraId="31122DF1" w14:textId="77777777" w:rsidTr="00205670">
        <w:tblPrEx>
          <w:tblCellMar>
            <w:top w:w="0" w:type="dxa"/>
            <w:bottom w:w="0" w:type="dxa"/>
          </w:tblCellMar>
        </w:tblPrEx>
        <w:trPr>
          <w:trHeight w:val="3815"/>
        </w:trPr>
        <w:tc>
          <w:tcPr>
            <w:tcW w:w="653" w:type="dxa"/>
            <w:shd w:val="clear" w:color="auto" w:fill="F2F2F2"/>
            <w:vAlign w:val="center"/>
          </w:tcPr>
          <w:p w14:paraId="66296485"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b/>
                <w:bCs/>
                <w:sz w:val="28"/>
                <w:szCs w:val="28"/>
                <w:rtl/>
              </w:rPr>
              <w:t>2</w:t>
            </w:r>
          </w:p>
        </w:tc>
        <w:tc>
          <w:tcPr>
            <w:tcW w:w="4477" w:type="dxa"/>
            <w:shd w:val="clear" w:color="auto" w:fill="F2F2F2"/>
            <w:vAlign w:val="center"/>
          </w:tcPr>
          <w:p w14:paraId="5D022080"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sz w:val="28"/>
                <w:szCs w:val="28"/>
                <w:rtl/>
              </w:rPr>
              <w:t>افتراض الاستقلال الإحصائي بين مستجيبين من المؤسسة نفسها يحتاج معالجة أقوى. النص يفترض أن كل مستجيب من الجهة نفسها يمثل مشاهدة مستقلة إحصائيًا لمجرد أن وحدة التحليل فردية. هذا يحتاج إما تبريرًا منهجيًا أدق أو فحص أثر التجمع داخل المؤسسة عند التحليل.</w:t>
            </w:r>
          </w:p>
        </w:tc>
        <w:tc>
          <w:tcPr>
            <w:tcW w:w="5028" w:type="dxa"/>
            <w:shd w:val="clear" w:color="auto" w:fill="F2F2F2"/>
            <w:vAlign w:val="center"/>
          </w:tcPr>
          <w:p w14:paraId="35A5B4B4" w14:textId="77777777" w:rsidR="00F52E17" w:rsidRPr="00205670" w:rsidRDefault="00553E14" w:rsidP="00205670">
            <w:pPr>
              <w:bidi/>
              <w:jc w:val="center"/>
              <w:rPr>
                <w:sz w:val="28"/>
                <w:szCs w:val="28"/>
              </w:rPr>
            </w:pPr>
            <w:r w:rsidRPr="00205670">
              <w:rPr>
                <w:rFonts w:ascii="Traditional Arabic" w:eastAsia="Traditional Arabic" w:hAnsi="Traditional Arabic" w:cs="Traditional Arabic"/>
                <w:sz w:val="28"/>
                <w:szCs w:val="28"/>
                <w:rtl/>
              </w:rPr>
              <w:t>أُضيفت فقرة جديدة تجمع بين الحلين معًا كما اقترحت اللجنة: (1) تبرير منهجي أدق يستند إلى أدبيات منهجية الإخبار الرئيس (Key Informant Methodology) لدى Kumar, Stern &amp; Anderson (1993) وVan Bruggen, Lilien &amp; Kacker (2002)، التي تُقرّ صراحة بإمكانية تعدد المُخبرين من المؤسسة نفسها متى كان المقاس إدراكًا فرديًا متباينًا بطبيعته لا واقعًا موضوعيًا موحدًا؛ (2) التزام بفحص تجريبي فعلي - لا نظري فقط - لأثر التجمّع المؤسسي في الفصل الرابع، عبر احتساب معامل الارتباط داخل الفئة (ICC(1)) لدرجات المتغيرات الكامنة الرئيسة ب</w:t>
            </w:r>
            <w:r w:rsidRPr="00205670">
              <w:rPr>
                <w:rFonts w:ascii="Traditional Arabic" w:eastAsia="Traditional Arabic" w:hAnsi="Traditional Arabic" w:cs="Traditional Arabic"/>
                <w:sz w:val="28"/>
                <w:szCs w:val="28"/>
                <w:rtl/>
              </w:rPr>
              <w:t>ين الجهات متعددة المستجيبين (وفي مقدمتها NWC)، مع التزام صريح بالإقرار بذلك كمحدد فعلي في الفصل الخامس إن جاءت القيمة مرتفعة دالة إحصائيًا، بدلاً من تجاهل الاحتمال أو افتراض الاستقلال نظريًا فقط.</w:t>
            </w:r>
          </w:p>
        </w:tc>
      </w:tr>
    </w:tbl>
    <w:p w14:paraId="21793425" w14:textId="77777777" w:rsidR="00553E14" w:rsidRPr="00205670" w:rsidRDefault="00553E14" w:rsidP="00205670">
      <w:pPr>
        <w:bidi/>
        <w:jc w:val="center"/>
        <w:rPr>
          <w:sz w:val="28"/>
          <w:szCs w:val="28"/>
        </w:rPr>
      </w:pPr>
    </w:p>
    <w:sectPr w:rsidR="00000000" w:rsidRPr="00205670" w:rsidSect="00205670">
      <w:headerReference w:type="even" r:id="rId7"/>
      <w:headerReference w:type="default" r:id="rId8"/>
      <w:footerReference w:type="even" r:id="rId9"/>
      <w:footerReference w:type="default" r:id="rId10"/>
      <w:headerReference w:type="first" r:id="rId11"/>
      <w:footerReference w:type="first" r:id="rId12"/>
      <w:pgSz w:w="11906" w:h="16838" w:orient="landscape"/>
      <w:pgMar w:top="700" w:right="900" w:bottom="700" w:left="9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CF99A" w14:textId="77777777" w:rsidR="00205670" w:rsidRDefault="00205670" w:rsidP="00205670">
      <w:r>
        <w:separator/>
      </w:r>
    </w:p>
  </w:endnote>
  <w:endnote w:type="continuationSeparator" w:id="0">
    <w:p w14:paraId="42B1D646" w14:textId="77777777" w:rsidR="00205670" w:rsidRDefault="00205670" w:rsidP="0020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1ABD0" w14:textId="77777777" w:rsidR="00205670" w:rsidRDefault="00205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9C7A" w14:textId="77777777" w:rsidR="00205670" w:rsidRDefault="002056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0801" w14:textId="77777777" w:rsidR="00205670" w:rsidRDefault="00205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3D11C" w14:textId="77777777" w:rsidR="00205670" w:rsidRDefault="00205670" w:rsidP="00205670">
      <w:r>
        <w:separator/>
      </w:r>
    </w:p>
  </w:footnote>
  <w:footnote w:type="continuationSeparator" w:id="0">
    <w:p w14:paraId="5B1449DA" w14:textId="77777777" w:rsidR="00205670" w:rsidRDefault="00205670" w:rsidP="00205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19D32" w14:textId="6CAE9337" w:rsidR="00205670" w:rsidRDefault="00205670" w:rsidP="00205670">
    <w:pPr>
      <w:pStyle w:val="Header"/>
      <w:jc w:val="center"/>
    </w:pPr>
    <w:fldSimple w:instr=" DOCPROPERTY SecloreClassificationHeaderTextValue \* MERGEFORMAT ">
      <w:r w:rsidRPr="00205670">
        <w:rPr>
          <w:color w:val="91C47D"/>
          <w:sz w:val="24"/>
        </w:rPr>
        <w:t xml:space="preserve">Public / </w:t>
      </w:r>
      <w:r w:rsidRPr="00205670">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2F19E" w14:textId="42F6E961" w:rsidR="00205670" w:rsidRDefault="00205670" w:rsidP="00205670">
    <w:pPr>
      <w:pStyle w:val="Header"/>
      <w:jc w:val="center"/>
    </w:pPr>
    <w:fldSimple w:instr=" DOCPROPERTY SecloreClassificationHeaderTextValue \* MERGEFORMAT ">
      <w:r w:rsidRPr="00205670">
        <w:rPr>
          <w:color w:val="91C47D"/>
          <w:sz w:val="24"/>
        </w:rPr>
        <w:t xml:space="preserve">Public / </w:t>
      </w:r>
      <w:r w:rsidRPr="00205670">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379B0" w14:textId="42C92479" w:rsidR="00205670" w:rsidRDefault="00205670" w:rsidP="00205670">
    <w:pPr>
      <w:pStyle w:val="Header"/>
      <w:jc w:val="center"/>
    </w:pPr>
    <w:fldSimple w:instr=" DOCPROPERTY SecloreClassificationHeaderTextValue \* MERGEFORMAT ">
      <w:r w:rsidRPr="00205670">
        <w:rPr>
          <w:color w:val="91C47D"/>
          <w:sz w:val="24"/>
        </w:rPr>
        <w:t xml:space="preserve">Public / </w:t>
      </w:r>
      <w:r w:rsidRPr="00205670">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D6F"/>
    <w:multiLevelType w:val="hybridMultilevel"/>
    <w:tmpl w:val="D5327F50"/>
    <w:lvl w:ilvl="0" w:tplc="B20AB6DA">
      <w:start w:val="1"/>
      <w:numFmt w:val="bullet"/>
      <w:lvlText w:val="●"/>
      <w:lvlJc w:val="left"/>
      <w:pPr>
        <w:ind w:left="720" w:hanging="360"/>
      </w:pPr>
    </w:lvl>
    <w:lvl w:ilvl="1" w:tplc="3E7200F6">
      <w:start w:val="1"/>
      <w:numFmt w:val="bullet"/>
      <w:lvlText w:val="○"/>
      <w:lvlJc w:val="left"/>
      <w:pPr>
        <w:ind w:left="1440" w:hanging="360"/>
      </w:pPr>
    </w:lvl>
    <w:lvl w:ilvl="2" w:tplc="5C603EC2">
      <w:start w:val="1"/>
      <w:numFmt w:val="bullet"/>
      <w:lvlText w:val="■"/>
      <w:lvlJc w:val="left"/>
      <w:pPr>
        <w:ind w:left="2160" w:hanging="360"/>
      </w:pPr>
    </w:lvl>
    <w:lvl w:ilvl="3" w:tplc="0442B394">
      <w:start w:val="1"/>
      <w:numFmt w:val="bullet"/>
      <w:lvlText w:val="●"/>
      <w:lvlJc w:val="left"/>
      <w:pPr>
        <w:ind w:left="2880" w:hanging="360"/>
      </w:pPr>
    </w:lvl>
    <w:lvl w:ilvl="4" w:tplc="AF5C0DCE">
      <w:start w:val="1"/>
      <w:numFmt w:val="bullet"/>
      <w:lvlText w:val="○"/>
      <w:lvlJc w:val="left"/>
      <w:pPr>
        <w:ind w:left="3600" w:hanging="360"/>
      </w:pPr>
    </w:lvl>
    <w:lvl w:ilvl="5" w:tplc="0C86E038">
      <w:start w:val="1"/>
      <w:numFmt w:val="bullet"/>
      <w:lvlText w:val="■"/>
      <w:lvlJc w:val="left"/>
      <w:pPr>
        <w:ind w:left="4320" w:hanging="360"/>
      </w:pPr>
    </w:lvl>
    <w:lvl w:ilvl="6" w:tplc="807C77A4">
      <w:start w:val="1"/>
      <w:numFmt w:val="bullet"/>
      <w:lvlText w:val="●"/>
      <w:lvlJc w:val="left"/>
      <w:pPr>
        <w:ind w:left="5040" w:hanging="360"/>
      </w:pPr>
    </w:lvl>
    <w:lvl w:ilvl="7" w:tplc="44CEF908">
      <w:start w:val="1"/>
      <w:numFmt w:val="bullet"/>
      <w:lvlText w:val="●"/>
      <w:lvlJc w:val="left"/>
      <w:pPr>
        <w:ind w:left="5760" w:hanging="360"/>
      </w:pPr>
    </w:lvl>
    <w:lvl w:ilvl="8" w:tplc="3904D80C">
      <w:start w:val="1"/>
      <w:numFmt w:val="bullet"/>
      <w:lvlText w:val="●"/>
      <w:lvlJc w:val="left"/>
      <w:pPr>
        <w:ind w:left="6480" w:hanging="360"/>
      </w:pPr>
    </w:lvl>
  </w:abstractNum>
  <w:num w:numId="1" w16cid:durableId="6637018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E17"/>
    <w:rsid w:val="00205670"/>
    <w:rsid w:val="00553E14"/>
    <w:rsid w:val="005F471F"/>
    <w:rsid w:val="00F52E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12D8"/>
  <w15:docId w15:val="{7513BF8F-79E9-499F-B658-1FB1602D9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05670"/>
    <w:pPr>
      <w:tabs>
        <w:tab w:val="center" w:pos="4680"/>
        <w:tab w:val="right" w:pos="9360"/>
      </w:tabs>
    </w:pPr>
  </w:style>
  <w:style w:type="character" w:customStyle="1" w:styleId="HeaderChar">
    <w:name w:val="Header Char"/>
    <w:basedOn w:val="DefaultParagraphFont"/>
    <w:link w:val="Header"/>
    <w:uiPriority w:val="99"/>
    <w:rsid w:val="00205670"/>
  </w:style>
  <w:style w:type="paragraph" w:styleId="Footer">
    <w:name w:val="footer"/>
    <w:basedOn w:val="Normal"/>
    <w:link w:val="FooterChar"/>
    <w:uiPriority w:val="99"/>
    <w:unhideWhenUsed/>
    <w:rsid w:val="00205670"/>
    <w:pPr>
      <w:tabs>
        <w:tab w:val="center" w:pos="4680"/>
        <w:tab w:val="right" w:pos="9360"/>
      </w:tabs>
    </w:pPr>
  </w:style>
  <w:style w:type="character" w:customStyle="1" w:styleId="FooterChar">
    <w:name w:val="Footer Char"/>
    <w:basedOn w:val="DefaultParagraphFont"/>
    <w:link w:val="Footer"/>
    <w:uiPriority w:val="99"/>
    <w:rsid w:val="00205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1782</Characters>
  <Application>Microsoft Office Word</Application>
  <DocSecurity>0</DocSecurity>
  <Lines>37</Lines>
  <Paragraphs>18</Paragraphs>
  <ScaleCrop>false</ScaleCrop>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Majed A. Hilal</cp:lastModifiedBy>
  <cp:revision>2</cp:revision>
  <dcterms:created xsi:type="dcterms:W3CDTF">2026-08-19T13:47:00Z</dcterms:created>
  <dcterms:modified xsi:type="dcterms:W3CDTF">2026-08-19T13:47:00Z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