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112"/>
        <w:gridCol w:w="5112"/>
      </w:tblGrid>
      <w:tr w:rsidR="00FD59A2" w14:paraId="15C74651" w14:textId="77777777">
        <w:tc>
          <w:tcPr>
            <w:tcW w:w="5112" w:type="dxa"/>
            <w:tcBorders>
              <w:top w:val="nil"/>
              <w:left w:val="nil"/>
              <w:bottom w:val="nil"/>
              <w:right w:val="nil"/>
            </w:tcBorders>
          </w:tcPr>
          <w:p w14:paraId="2C8C63EB" w14:textId="77777777" w:rsidR="00FD59A2" w:rsidRDefault="00000000">
            <w:pPr>
              <w:spacing w:after="0"/>
              <w:rPr>
                <w:rFonts w:hint="eastAsia"/>
              </w:rPr>
            </w:pPr>
            <w:r>
              <w:rPr>
                <w:noProof/>
              </w:rPr>
              <w:drawing>
                <wp:inline distT="0" distB="0" distL="0" distR="0" wp14:anchorId="1AA1E8C4" wp14:editId="1A5C0258">
                  <wp:extent cx="2057226" cy="130401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6"/>
                          <a:stretch>
                            <a:fillRect/>
                          </a:stretch>
                        </pic:blipFill>
                        <pic:spPr>
                          <a:xfrm>
                            <a:off x="0" y="0"/>
                            <a:ext cx="2063033" cy="1307695"/>
                          </a:xfrm>
                          <a:prstGeom prst="rect">
                            <a:avLst/>
                          </a:prstGeom>
                        </pic:spPr>
                      </pic:pic>
                    </a:graphicData>
                  </a:graphic>
                </wp:inline>
              </w:drawing>
            </w:r>
          </w:p>
        </w:tc>
        <w:tc>
          <w:tcPr>
            <w:tcW w:w="5112" w:type="dxa"/>
            <w:tcBorders>
              <w:top w:val="nil"/>
              <w:left w:val="nil"/>
              <w:bottom w:val="nil"/>
              <w:right w:val="nil"/>
            </w:tcBorders>
          </w:tcPr>
          <w:p w14:paraId="20E1E97E" w14:textId="77777777" w:rsidR="00FD59A2" w:rsidRDefault="00000000" w:rsidP="00F60ECC">
            <w:pPr>
              <w:bidi/>
              <w:spacing w:after="0"/>
              <w:rPr>
                <w:rFonts w:hint="eastAsia"/>
              </w:rPr>
            </w:pPr>
            <w:r>
              <w:rPr>
                <w:b/>
                <w:sz w:val="30"/>
                <w:rtl/>
              </w:rPr>
              <w:t>جامعة ميدأوشن</w:t>
            </w:r>
            <w:r>
              <w:rPr>
                <w:b/>
                <w:sz w:val="30"/>
                <w:rtl/>
              </w:rPr>
              <w:br/>
              <w:t>كلية الإدارة</w:t>
            </w:r>
            <w:r>
              <w:rPr>
                <w:b/>
                <w:sz w:val="30"/>
                <w:rtl/>
              </w:rPr>
              <w:br/>
              <w:t>قسم / تخصص: ماجستير إدارة أعمال (MBA)</w:t>
            </w:r>
          </w:p>
        </w:tc>
      </w:tr>
    </w:tbl>
    <w:p w14:paraId="18E1461A" w14:textId="77777777" w:rsidR="00FD59A2" w:rsidRDefault="00FD59A2">
      <w:pPr>
        <w:rPr>
          <w:rFonts w:hint="eastAsia"/>
        </w:rPr>
      </w:pPr>
    </w:p>
    <w:p w14:paraId="154B2186" w14:textId="77777777" w:rsidR="00FD59A2" w:rsidRDefault="00FD59A2">
      <w:pPr>
        <w:rPr>
          <w:rFonts w:hint="eastAsia"/>
        </w:rPr>
      </w:pPr>
    </w:p>
    <w:p w14:paraId="7E51CF7E" w14:textId="77777777" w:rsidR="00FD59A2" w:rsidRDefault="00FD59A2">
      <w:pPr>
        <w:rPr>
          <w:rFonts w:hint="eastAsia"/>
        </w:rPr>
      </w:pPr>
    </w:p>
    <w:p w14:paraId="23920F5C" w14:textId="77777777" w:rsidR="00FD59A2" w:rsidRPr="00F60ECC" w:rsidRDefault="00000000">
      <w:pPr>
        <w:bidi/>
        <w:spacing w:after="40" w:line="240" w:lineRule="auto"/>
        <w:jc w:val="center"/>
        <w:rPr>
          <w:rFonts w:hint="eastAsia"/>
          <w:sz w:val="40"/>
          <w:szCs w:val="32"/>
        </w:rPr>
      </w:pPr>
      <w:r w:rsidRPr="00F60ECC">
        <w:rPr>
          <w:b/>
          <w:sz w:val="48"/>
          <w:szCs w:val="32"/>
          <w:rtl/>
        </w:rPr>
        <w:t>الإطار النظري فقط</w:t>
      </w:r>
    </w:p>
    <w:p w14:paraId="3563F631" w14:textId="77777777" w:rsidR="00FD59A2" w:rsidRPr="00F60ECC" w:rsidRDefault="00000000">
      <w:pPr>
        <w:bidi/>
        <w:spacing w:after="240" w:line="240" w:lineRule="auto"/>
        <w:jc w:val="center"/>
        <w:rPr>
          <w:rFonts w:hint="eastAsia"/>
          <w:sz w:val="40"/>
          <w:szCs w:val="32"/>
        </w:rPr>
      </w:pPr>
      <w:r w:rsidRPr="00F60ECC">
        <w:rPr>
          <w:b/>
          <w:sz w:val="48"/>
          <w:szCs w:val="32"/>
          <w:rtl/>
        </w:rPr>
        <w:t>الفصل الأول والفصل الثاني</w:t>
      </w:r>
    </w:p>
    <w:p w14:paraId="56E8915D" w14:textId="77777777" w:rsidR="00FD59A2" w:rsidRPr="00F60ECC" w:rsidRDefault="00000000">
      <w:pPr>
        <w:bidi/>
        <w:spacing w:after="60" w:line="240" w:lineRule="auto"/>
        <w:jc w:val="center"/>
        <w:rPr>
          <w:rFonts w:hint="eastAsia"/>
          <w:sz w:val="40"/>
          <w:szCs w:val="32"/>
        </w:rPr>
      </w:pPr>
      <w:r w:rsidRPr="00F60ECC">
        <w:rPr>
          <w:b/>
          <w:sz w:val="40"/>
          <w:szCs w:val="32"/>
          <w:rtl/>
        </w:rPr>
        <w:t>عنوان البحث</w:t>
      </w:r>
    </w:p>
    <w:p w14:paraId="331D7547" w14:textId="77777777" w:rsidR="00FD59A2" w:rsidRPr="00F60ECC" w:rsidRDefault="00000000">
      <w:pPr>
        <w:bidi/>
        <w:spacing w:after="80" w:line="240" w:lineRule="auto"/>
        <w:jc w:val="center"/>
        <w:rPr>
          <w:rFonts w:hint="eastAsia"/>
          <w:sz w:val="40"/>
          <w:szCs w:val="32"/>
        </w:rPr>
      </w:pPr>
      <w:r w:rsidRPr="00F60ECC">
        <w:rPr>
          <w:b/>
          <w:sz w:val="44"/>
          <w:szCs w:val="32"/>
          <w:rtl/>
        </w:rPr>
        <w:t>أثر تبنّي تطبيقات الذكاء الاصطناعي والتحليلات التنبؤية على فعالية إدارة المخاطر ونجاح مشاريع التحول الرقمي في المؤسسات السعودية</w:t>
      </w:r>
    </w:p>
    <w:p w14:paraId="0C28EC21" w14:textId="77777777" w:rsidR="00FD59A2" w:rsidRPr="00F60ECC" w:rsidRDefault="00000000">
      <w:pPr>
        <w:spacing w:after="240" w:line="240" w:lineRule="auto"/>
        <w:jc w:val="center"/>
        <w:rPr>
          <w:rFonts w:hint="eastAsia"/>
          <w:sz w:val="40"/>
          <w:szCs w:val="32"/>
        </w:rPr>
      </w:pPr>
      <w:r w:rsidRPr="00F60ECC">
        <w:rPr>
          <w:sz w:val="36"/>
          <w:szCs w:val="32"/>
        </w:rPr>
        <w:t>The Impact of Adopting AI Applications and Predictive Analytics on Risk Management Effectiveness and the Success of Digital Transformation Projects in Saudi Organizations</w:t>
      </w:r>
    </w:p>
    <w:p w14:paraId="18F75E78" w14:textId="77777777" w:rsidR="00FD59A2" w:rsidRPr="00F60ECC" w:rsidRDefault="00000000">
      <w:pPr>
        <w:bidi/>
        <w:spacing w:after="20" w:line="240" w:lineRule="auto"/>
        <w:jc w:val="center"/>
        <w:rPr>
          <w:rFonts w:hint="eastAsia"/>
          <w:sz w:val="40"/>
          <w:szCs w:val="32"/>
        </w:rPr>
      </w:pPr>
      <w:r w:rsidRPr="00F60ECC">
        <w:rPr>
          <w:b/>
          <w:sz w:val="40"/>
          <w:szCs w:val="32"/>
          <w:rtl/>
        </w:rPr>
        <w:t>إعداد الطالب/</w:t>
      </w:r>
    </w:p>
    <w:p w14:paraId="64EFE913" w14:textId="77777777" w:rsidR="00FD59A2" w:rsidRPr="00F60ECC" w:rsidRDefault="00000000">
      <w:pPr>
        <w:bidi/>
        <w:spacing w:after="20" w:line="240" w:lineRule="auto"/>
        <w:jc w:val="center"/>
        <w:rPr>
          <w:rFonts w:hint="eastAsia"/>
          <w:sz w:val="40"/>
          <w:szCs w:val="32"/>
        </w:rPr>
      </w:pPr>
      <w:r w:rsidRPr="00F60ECC">
        <w:rPr>
          <w:sz w:val="40"/>
          <w:szCs w:val="32"/>
          <w:rtl/>
        </w:rPr>
        <w:t>ماجد عبدالله الجرعي</w:t>
      </w:r>
    </w:p>
    <w:p w14:paraId="62CD62AE" w14:textId="77777777" w:rsidR="00FD59A2" w:rsidRPr="00F60ECC" w:rsidRDefault="00000000">
      <w:pPr>
        <w:bidi/>
        <w:spacing w:after="160" w:line="240" w:lineRule="auto"/>
        <w:jc w:val="center"/>
        <w:rPr>
          <w:rFonts w:hint="eastAsia"/>
          <w:sz w:val="40"/>
          <w:szCs w:val="32"/>
        </w:rPr>
      </w:pPr>
      <w:r w:rsidRPr="00F60ECC">
        <w:rPr>
          <w:sz w:val="40"/>
          <w:szCs w:val="32"/>
          <w:rtl/>
        </w:rPr>
        <w:t>الرقم الجامعي: 221001711</w:t>
      </w:r>
    </w:p>
    <w:p w14:paraId="7C4F92CF" w14:textId="77777777" w:rsidR="00FD59A2" w:rsidRPr="00F60ECC" w:rsidRDefault="00000000">
      <w:pPr>
        <w:bidi/>
        <w:spacing w:after="20" w:line="240" w:lineRule="auto"/>
        <w:jc w:val="center"/>
        <w:rPr>
          <w:rFonts w:hint="eastAsia"/>
          <w:sz w:val="40"/>
          <w:szCs w:val="32"/>
        </w:rPr>
      </w:pPr>
      <w:r w:rsidRPr="00F60ECC">
        <w:rPr>
          <w:b/>
          <w:sz w:val="40"/>
          <w:szCs w:val="32"/>
          <w:rtl/>
        </w:rPr>
        <w:t>إشراف/</w:t>
      </w:r>
    </w:p>
    <w:p w14:paraId="13C01B18" w14:textId="77777777" w:rsidR="00FD59A2" w:rsidRPr="00F60ECC" w:rsidRDefault="00000000">
      <w:pPr>
        <w:bidi/>
        <w:spacing w:after="20" w:line="240" w:lineRule="auto"/>
        <w:jc w:val="center"/>
        <w:rPr>
          <w:rFonts w:hint="eastAsia"/>
          <w:sz w:val="40"/>
          <w:szCs w:val="32"/>
        </w:rPr>
      </w:pPr>
      <w:r w:rsidRPr="00F60ECC">
        <w:rPr>
          <w:sz w:val="40"/>
          <w:szCs w:val="32"/>
          <w:rtl/>
        </w:rPr>
        <w:t>د. الفيصل عبد الحميد</w:t>
      </w:r>
    </w:p>
    <w:p w14:paraId="2BA98C16" w14:textId="77777777" w:rsidR="00F60ECC" w:rsidRDefault="00F60ECC">
      <w:pPr>
        <w:bidi/>
        <w:spacing w:after="0" w:line="240" w:lineRule="auto"/>
        <w:jc w:val="center"/>
        <w:rPr>
          <w:sz w:val="40"/>
          <w:szCs w:val="32"/>
        </w:rPr>
      </w:pPr>
    </w:p>
    <w:p w14:paraId="56C4168F" w14:textId="687355A5" w:rsidR="00FD59A2" w:rsidRPr="00F60ECC" w:rsidRDefault="00000000" w:rsidP="00F60ECC">
      <w:pPr>
        <w:bidi/>
        <w:spacing w:after="0" w:line="240" w:lineRule="auto"/>
        <w:jc w:val="center"/>
        <w:rPr>
          <w:rFonts w:hint="eastAsia"/>
          <w:sz w:val="40"/>
          <w:szCs w:val="32"/>
        </w:rPr>
      </w:pPr>
      <w:r w:rsidRPr="00F60ECC">
        <w:rPr>
          <w:b/>
          <w:sz w:val="40"/>
          <w:szCs w:val="32"/>
          <w:rtl/>
        </w:rPr>
        <w:t>العام الدراسي: 2026</w:t>
      </w:r>
    </w:p>
    <w:p w14:paraId="3BA24A22" w14:textId="77777777" w:rsidR="00FD59A2" w:rsidRPr="00F60ECC" w:rsidRDefault="00000000">
      <w:pPr>
        <w:rPr>
          <w:rFonts w:hint="eastAsia"/>
          <w:sz w:val="40"/>
          <w:szCs w:val="32"/>
        </w:rPr>
      </w:pPr>
      <w:r w:rsidRPr="00F60ECC">
        <w:rPr>
          <w:sz w:val="40"/>
          <w:szCs w:val="32"/>
        </w:rPr>
        <w:br w:type="page"/>
      </w:r>
    </w:p>
    <w:p w14:paraId="3FF4DF19" w14:textId="77777777" w:rsidR="00F60ECC" w:rsidRDefault="00000000" w:rsidP="00F60ECC">
      <w:pPr>
        <w:bidi/>
        <w:spacing w:before="240" w:after="160"/>
        <w:jc w:val="center"/>
      </w:pPr>
      <w:r>
        <w:rPr>
          <w:rFonts w:ascii="Noto Naskh Arabic" w:hAnsi="Noto Naskh Arabic" w:cs="Noto Naskh Arabic"/>
          <w:b/>
          <w:sz w:val="40"/>
        </w:rPr>
        <w:lastRenderedPageBreak/>
        <w:t>الفصل الأول</w:t>
      </w:r>
      <w:r>
        <w:rPr>
          <w:rFonts w:ascii="Noto Naskh Arabic" w:hAnsi="Noto Naskh Arabic" w:cs="Noto Naskh Arabic"/>
          <w:b/>
          <w:sz w:val="40"/>
        </w:rPr>
        <w:br/>
      </w:r>
      <w:proofErr w:type="spellStart"/>
      <w:r>
        <w:rPr>
          <w:rFonts w:ascii="Noto Naskh Arabic" w:hAnsi="Noto Naskh Arabic" w:cs="Noto Naskh Arabic"/>
          <w:b/>
          <w:sz w:val="40"/>
        </w:rPr>
        <w:t>الإطار</w:t>
      </w:r>
      <w:proofErr w:type="spellEnd"/>
      <w:r>
        <w:rPr>
          <w:rFonts w:ascii="Noto Naskh Arabic" w:hAnsi="Noto Naskh Arabic" w:cs="Noto Naskh Arabic"/>
          <w:b/>
          <w:sz w:val="40"/>
        </w:rPr>
        <w:t xml:space="preserve"> </w:t>
      </w:r>
      <w:proofErr w:type="spellStart"/>
      <w:r>
        <w:rPr>
          <w:rFonts w:ascii="Noto Naskh Arabic" w:hAnsi="Noto Naskh Arabic" w:cs="Noto Naskh Arabic"/>
          <w:b/>
          <w:sz w:val="40"/>
        </w:rPr>
        <w:t>العام</w:t>
      </w:r>
      <w:proofErr w:type="spellEnd"/>
      <w:r>
        <w:rPr>
          <w:rFonts w:ascii="Noto Naskh Arabic" w:hAnsi="Noto Naskh Arabic" w:cs="Noto Naskh Arabic"/>
          <w:b/>
          <w:sz w:val="40"/>
        </w:rPr>
        <w:t xml:space="preserve"> </w:t>
      </w:r>
      <w:proofErr w:type="spellStart"/>
      <w:r>
        <w:rPr>
          <w:rFonts w:ascii="Noto Naskh Arabic" w:hAnsi="Noto Naskh Arabic" w:cs="Noto Naskh Arabic"/>
          <w:b/>
          <w:sz w:val="40"/>
        </w:rPr>
        <w:t>للبحث</w:t>
      </w:r>
      <w:proofErr w:type="spellEnd"/>
    </w:p>
    <w:p w14:paraId="03A6944F" w14:textId="6E153DE8" w:rsidR="00FD59A2" w:rsidRDefault="00000000" w:rsidP="00F60ECC">
      <w:pPr>
        <w:bidi/>
        <w:spacing w:before="240" w:after="160"/>
        <w:jc w:val="center"/>
        <w:rPr>
          <w:rFonts w:hint="eastAsia"/>
        </w:rPr>
      </w:pPr>
      <w:r>
        <w:rPr>
          <w:rFonts w:ascii="Noto Naskh Arabic" w:hAnsi="Noto Naskh Arabic" w:cs="Noto Naskh Arabic"/>
          <w:b/>
          <w:sz w:val="36"/>
        </w:rPr>
        <w:t>المقدمة</w:t>
      </w:r>
    </w:p>
    <w:p w14:paraId="28945A2A"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Pr>
        <w:t>يشهد العالم المعاصر تحولاً عميقاً في طريقة إدارة المؤسسات لمشروعاتها وقراراتها ومواردها، وذلك نتيجة التسارع الكبير في استخدام التقنيات الرقمية المتقدمة، وفي مقدمتها الذكاء الاصطناعي والتحليلات التنبؤية. فلم تعد هذه التقنيات تقتصر على الجوانب التقنية البحتة، بل أصبحت جزءاً من بنية القرار الإداري، ومن آليات التخطيط، وقياس الأداء، واستباق المخاطر، وتحسين جودة المخرجات. وتزداد أهمية هذه الأدوات عندما ترتبط بمشاريع التحول الرقمي التي تتسم عادة بتعدد أصحاب المصلحة، وتداخل الأنظمة، وارتفاع متطلبات التغيير التنظيمي، وحساسية البيانات.</w:t>
      </w:r>
    </w:p>
    <w:p w14:paraId="5E53D153"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في السياق السعودي، اكتسبت مشاريع التحول الرقمي زخماً كبيراً في ظل توجهات رؤية المملكة 2030، وما صاحبها من مبادرات لرفع نضج الخدمات الرقمية، وتمكين الاقتصاد الرقمي، وتحسين كفاءة الجهات الحكومية والخاصة. ومع توسع المؤسسات السعودية في تبني المنصات الرقمية، والأتمتة، والحوسبة السحابية، وتحليلات البيانات، برزت الحاجة إلى تطوير ممارسات إدارة المخاطر لتكون أكثر قدرة على التعامل مع بيئة سريعة التغير، تتطلب قرارات مبنية على بيانات دقيقة ومؤشرات إنذار مبكر.</w:t>
      </w:r>
    </w:p>
    <w:p w14:paraId="509255B6"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وتأتي هذه الدراسة لتبحث العلاقة بين تبني تطبيقات الذكاء الاصطناعي والتحليلات التنبؤية من جهة، وفعالية إدارة المخاطر ونجاح مشاريع التحول الرقمي من جهة أخرى. ويكتسب الموضوع أهميته من كونه يجمع بين ثلاثة مجالات مترابطة: التحول الرقمي، والذكاء الاصطناعي والتحليلات، وإدارة المخاطر ونجاح المشاريع. كما تسعى الدراسة إلى تقديم نموذج قابل للاختبار ميدانياً داخل المؤسسات السعودية، بما يساهم في تطوير الفهم العلمي والتطبيقي لهذه العلاقة.</w:t>
      </w:r>
    </w:p>
    <w:p w14:paraId="18EF0AED" w14:textId="77777777" w:rsidR="00FD59A2" w:rsidRPr="00F60ECC" w:rsidRDefault="00000000" w:rsidP="00F60ECC">
      <w:pPr>
        <w:bidi/>
        <w:spacing w:before="240" w:after="160"/>
        <w:jc w:val="mediumKashida"/>
        <w:rPr>
          <w:rFonts w:hint="eastAsia"/>
          <w:sz w:val="44"/>
          <w:szCs w:val="36"/>
        </w:rPr>
      </w:pPr>
      <w:r w:rsidRPr="00F60ECC">
        <w:rPr>
          <w:b/>
          <w:sz w:val="44"/>
          <w:szCs w:val="36"/>
          <w:rtl/>
        </w:rPr>
        <w:t>1-2 مشكلة الدراسة</w:t>
      </w:r>
    </w:p>
    <w:p w14:paraId="2582D77A"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تواجه مشاريع التحول الرقمي تحديات مركبة تتعلق بالبعد التقني والتنظيمي والبشري في آن واحد. فقد تتعرض هذه المشاريع لمخاطر تغير نطاق العمل، ضعف جودة البيانات، مقاومة المستخدمين للتغيير، قصور التكامل بين الأنظمة، ارتفاع التكلفة، التأخر في الجدول الزمني، إضافة إلى مخاطر الخصوصية والأمن السيبراني. ورغم أن كثيراً من المؤسسات بدأت في تبني تطبيقات الذكاء الاصطناعي والتحليلات التنبؤية، إلا أن مدى إسهام هذه الأدوات في تحسين فعالية إدارة المخاطر داخل مشاريع التحول الرقمي لا يزال بحاجة إلى قياس وتحليل ميداني في السياق السعودي.</w:t>
      </w:r>
    </w:p>
    <w:p w14:paraId="279131B2" w14:textId="77777777" w:rsidR="00FD59A2" w:rsidRDefault="00000000" w:rsidP="00F60ECC">
      <w:pPr>
        <w:bidi/>
        <w:spacing w:after="120" w:line="360" w:lineRule="auto"/>
        <w:ind w:firstLine="283"/>
        <w:jc w:val="mediumKashida"/>
        <w:rPr>
          <w:rFonts w:ascii="Noto Naskh Arabic" w:hAnsi="Noto Naskh Arabic" w:cs="Noto Naskh Arabic"/>
        </w:rPr>
      </w:pPr>
      <w:r>
        <w:rPr>
          <w:rFonts w:ascii="Noto Naskh Arabic" w:hAnsi="Noto Naskh Arabic" w:cs="Noto Naskh Arabic"/>
          <w:rtl/>
        </w:rPr>
        <w:t>وتتمثل فجوة الدراسة في عدم وضوح العلاقة الكمية بين تبني الذكاء الاصطناعي والتحليلات التنبؤية وبين فعالية إدارة المخاطر، وكذلك عدم وضوح أثر ذلك على نجاح مشاريع التحول الرقمي. ومن ثم، فإن المشكلة البحثية تتمحور حول السؤال الآتي: إلى أي مدى يسهم تبني تطبيقات الذكاء الاصطناعي والتحليلات التنبؤية في تعزيز فعالية إدارة المخاطر ورفع احتمالية نجاح مشاريع التحول الرقمي في المؤسسات السعودية؟</w:t>
      </w:r>
    </w:p>
    <w:p w14:paraId="472F0419" w14:textId="77777777" w:rsidR="00F60ECC" w:rsidRDefault="00F60ECC" w:rsidP="00F60ECC">
      <w:pPr>
        <w:bidi/>
        <w:spacing w:after="120" w:line="360" w:lineRule="auto"/>
        <w:ind w:firstLine="283"/>
        <w:jc w:val="mediumKashida"/>
        <w:rPr>
          <w:rFonts w:ascii="Noto Naskh Arabic" w:hAnsi="Noto Naskh Arabic" w:cs="Noto Naskh Arabic"/>
        </w:rPr>
      </w:pPr>
    </w:p>
    <w:p w14:paraId="7B01DE49" w14:textId="77777777" w:rsidR="00F60ECC" w:rsidRDefault="00F60ECC" w:rsidP="00F60ECC">
      <w:pPr>
        <w:bidi/>
        <w:spacing w:after="120" w:line="360" w:lineRule="auto"/>
        <w:ind w:firstLine="283"/>
        <w:jc w:val="mediumKashida"/>
        <w:rPr>
          <w:rFonts w:hint="eastAsia"/>
        </w:rPr>
      </w:pPr>
    </w:p>
    <w:p w14:paraId="082C535B" w14:textId="77777777" w:rsidR="00FD59A2" w:rsidRPr="00F60ECC" w:rsidRDefault="00000000" w:rsidP="00F60ECC">
      <w:pPr>
        <w:bidi/>
        <w:spacing w:before="240" w:after="160"/>
        <w:jc w:val="mediumKashida"/>
        <w:rPr>
          <w:rFonts w:hint="eastAsia"/>
          <w:sz w:val="44"/>
          <w:szCs w:val="36"/>
        </w:rPr>
      </w:pPr>
      <w:r w:rsidRPr="00F60ECC">
        <w:rPr>
          <w:b/>
          <w:sz w:val="44"/>
          <w:szCs w:val="36"/>
          <w:rtl/>
        </w:rPr>
        <w:lastRenderedPageBreak/>
        <w:t>1-3 أسئلة الدراسة</w:t>
      </w:r>
    </w:p>
    <w:p w14:paraId="27868DCC"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1. ما أثر تبني تطبيقات الذكاء الاصطناعي والتحليلات التنبؤية على فعالية إدارة المخاطر ونجاح مشاريع التحول الرقمي في المؤسسات السعودية؟</w:t>
      </w:r>
    </w:p>
    <w:p w14:paraId="6FFA8660"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2. ما مستوى تبني تطبيقات الذكاء الاصطناعي في مشاريع التحول الرقمي بالمؤسسات السعودية؟</w:t>
      </w:r>
    </w:p>
    <w:p w14:paraId="790204B6"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3. ما مستوى قدرة التحليلات التنبؤية المستخدمة في دعم قرارات المشروع وإدارة المخاطر؟</w:t>
      </w:r>
    </w:p>
    <w:p w14:paraId="5D7BB36D"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4. ما مستوى فعالية إدارة المخاطر في مشاريع التحول الرقمي بالمؤسسات السعودية؟</w:t>
      </w:r>
    </w:p>
    <w:p w14:paraId="6D9F396E"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5. ما مستوى نجاح مشاريع التحول الرقمي من حيث الوقت والتكلفة والجودة وتحقيق القيمة ورضا أصحاب المصلحة؟</w:t>
      </w:r>
    </w:p>
    <w:p w14:paraId="106B3331"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6. هل تؤثر فعالية إدارة المخاطر بوصفها متغيراً وسيطاً في العلاقة بين تبني الذكاء الاصطناعي والتحليلات التنبؤية وبين نجاح مشاريع التحول الرقمي؟</w:t>
      </w:r>
    </w:p>
    <w:p w14:paraId="7B978696" w14:textId="77777777" w:rsidR="00FD59A2" w:rsidRPr="00F60ECC" w:rsidRDefault="00000000" w:rsidP="00F60ECC">
      <w:pPr>
        <w:bidi/>
        <w:spacing w:before="240" w:after="160"/>
        <w:jc w:val="mediumKashida"/>
        <w:rPr>
          <w:rFonts w:hint="eastAsia"/>
          <w:sz w:val="44"/>
          <w:szCs w:val="36"/>
        </w:rPr>
      </w:pPr>
      <w:r w:rsidRPr="00F60ECC">
        <w:rPr>
          <w:b/>
          <w:sz w:val="44"/>
          <w:szCs w:val="36"/>
          <w:rtl/>
        </w:rPr>
        <w:t>1-4 أهداف الدراسة</w:t>
      </w:r>
    </w:p>
    <w:p w14:paraId="7F1313A3"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1. قياس أثر تبني تطبيقات الذكاء الاصطناعي على فعالية إدارة المخاطر في مشاريع التحول الرقمي.</w:t>
      </w:r>
    </w:p>
    <w:p w14:paraId="19E54AD4"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2. قياس أثر قدرة التحليلات التنبؤية على فعالية إدارة المخاطر.</w:t>
      </w:r>
    </w:p>
    <w:p w14:paraId="0C746F2D"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3. تحليل أثر فعالية إدارة المخاطر على نجاح مشاريع التحول الرقمي.</w:t>
      </w:r>
    </w:p>
    <w:p w14:paraId="69D9C1C0"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4. اختبار الأثر المباشر لتبني الذكاء الاصطناعي والتحليلات التنبؤية على نجاح مشاريع التحول الرقمي.</w:t>
      </w:r>
    </w:p>
    <w:p w14:paraId="61EAC9A0"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5. اختبار الدور الوسيط لفعالية إدارة المخاطر في العلاقة بين المتغيرات التقنية ونجاح المشروع.</w:t>
      </w:r>
    </w:p>
    <w:p w14:paraId="0745E807" w14:textId="77777777" w:rsidR="00FD59A2" w:rsidRDefault="00000000" w:rsidP="00F60ECC">
      <w:pPr>
        <w:bidi/>
        <w:spacing w:after="120" w:line="360" w:lineRule="auto"/>
        <w:jc w:val="mediumKashida"/>
        <w:rPr>
          <w:rFonts w:hint="eastAsia"/>
        </w:rPr>
      </w:pPr>
      <w:r>
        <w:rPr>
          <w:rFonts w:ascii="Noto Naskh Arabic" w:hAnsi="Noto Naskh Arabic" w:cs="Noto Naskh Arabic"/>
          <w:rtl/>
        </w:rPr>
        <w:t>6. تقديم توصيات عملية للمؤسسات السعودية حول توظيف الذكاء الاصطناعي والتحليلات التنبؤية في إدارة المخاطر.</w:t>
      </w:r>
    </w:p>
    <w:p w14:paraId="1FE31369" w14:textId="77777777" w:rsidR="00FD59A2" w:rsidRPr="00F60ECC" w:rsidRDefault="00000000" w:rsidP="00F60ECC">
      <w:pPr>
        <w:bidi/>
        <w:spacing w:before="240" w:after="160"/>
        <w:jc w:val="mediumKashida"/>
        <w:rPr>
          <w:rFonts w:hint="eastAsia"/>
          <w:sz w:val="44"/>
          <w:szCs w:val="36"/>
        </w:rPr>
      </w:pPr>
      <w:r w:rsidRPr="00F60ECC">
        <w:rPr>
          <w:b/>
          <w:sz w:val="44"/>
          <w:szCs w:val="36"/>
          <w:rtl/>
        </w:rPr>
        <w:t>1-5 أهمية الدراسة</w:t>
      </w:r>
    </w:p>
    <w:p w14:paraId="656C65D4" w14:textId="77777777" w:rsidR="00FD59A2" w:rsidRPr="00F60ECC" w:rsidRDefault="00000000" w:rsidP="00F60ECC">
      <w:pPr>
        <w:bidi/>
        <w:spacing w:before="240" w:after="160"/>
        <w:jc w:val="mediumKashida"/>
        <w:rPr>
          <w:rFonts w:hint="eastAsia"/>
          <w:sz w:val="36"/>
          <w:szCs w:val="28"/>
        </w:rPr>
      </w:pPr>
      <w:r w:rsidRPr="00F60ECC">
        <w:rPr>
          <w:b/>
          <w:sz w:val="36"/>
          <w:szCs w:val="28"/>
          <w:rtl/>
        </w:rPr>
        <w:t>1-5-1 الأهمية العلمية</w:t>
      </w:r>
    </w:p>
    <w:p w14:paraId="0A8B692F"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تتمثل الأهمية العلمية للدراسة في إثراء الأدبيات العربية في موضوعات الذكاء الاصطناعي والتحليلات التنبؤية وإدارة المخاطر والتحول الرقمي. كما تقدم الدراسة نموذجاً تصورياً يربط بين المتغيرات التقنية والتنظيمية بطريقة قابلة للقياس، بما يتيح للباحثين تطوير اختبارات كمية مستقبلية في قطاعات مختلفة داخل المملكة العربية السعودية.</w:t>
      </w:r>
    </w:p>
    <w:p w14:paraId="214EEA85"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وتسهم الدراسة كذلك في توضيح الدور الوسيط لفعالية إدارة المخاطر، وهو بعد بحثي مهم لأنه لا ينظر إلى الذكاء الاصطناعي والتحليلات بوصفهما أدوات تقنية فقط، بل بوصفهما قدرات تنظيمية قد تؤثر في النجاح من خلال تحسين جودة تحديد المخاطر وتحليلها ومراقبتها والاستجابة لها.</w:t>
      </w:r>
    </w:p>
    <w:p w14:paraId="6B87BDDD" w14:textId="77777777" w:rsidR="00FD59A2" w:rsidRPr="00F60ECC" w:rsidRDefault="00000000" w:rsidP="00F60ECC">
      <w:pPr>
        <w:bidi/>
        <w:spacing w:before="240" w:after="160"/>
        <w:jc w:val="mediumKashida"/>
        <w:rPr>
          <w:rFonts w:hint="eastAsia"/>
          <w:sz w:val="40"/>
          <w:szCs w:val="32"/>
        </w:rPr>
      </w:pPr>
      <w:r w:rsidRPr="00F60ECC">
        <w:rPr>
          <w:b/>
          <w:sz w:val="40"/>
          <w:szCs w:val="32"/>
          <w:rtl/>
        </w:rPr>
        <w:t>1-5-2 الأهمية التطبيقية</w:t>
      </w:r>
    </w:p>
    <w:p w14:paraId="518BC769"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تتضح الأهمية التطبيقية للدراسة في مساعدة القيادات التنفيذية، ومديري مشاريع التحول الرقمي، ومكاتب إدارة المشاريع، ووحدات التحول الرقمي، على فهم كيفية تحويل الاستثمار في الذكاء الاصطناعي والتحليلات التنبؤية إلى قيمة عملية في إدارة المخاطر. فالدراسة تقدم محاور قياس يمكن استخدامها لتقييم نضج المؤسسة في البيانات والتحليلات وإدارة المخاطر.</w:t>
      </w:r>
    </w:p>
    <w:p w14:paraId="7A6DF85C"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lastRenderedPageBreak/>
        <w:t>كما تساعد نتائج الدراسة المتوقعة على تحسين قرارات الاستثمار التقني، وتحديد مجالات تطوير القدرات البشرية والحوكمة الرقمية، وتوجيه الجهود نحو بناء آليات إنذار مبكر تقلل احتمالات تعثر المشاريع أو تجاوز التكاليف أو ضعف تبني المستخدمين للمخرجات الرقمية.</w:t>
      </w:r>
    </w:p>
    <w:p w14:paraId="67DDCCDE" w14:textId="77777777" w:rsidR="00FD59A2" w:rsidRPr="00F60ECC" w:rsidRDefault="00000000" w:rsidP="00F60ECC">
      <w:pPr>
        <w:bidi/>
        <w:spacing w:before="240" w:after="160"/>
        <w:jc w:val="mediumKashida"/>
        <w:rPr>
          <w:rFonts w:hint="eastAsia"/>
          <w:sz w:val="44"/>
          <w:szCs w:val="36"/>
        </w:rPr>
      </w:pPr>
      <w:r w:rsidRPr="00F60ECC">
        <w:rPr>
          <w:b/>
          <w:sz w:val="44"/>
          <w:szCs w:val="36"/>
          <w:rtl/>
        </w:rPr>
        <w:t>1-6 حدود الدراسة</w:t>
      </w:r>
    </w:p>
    <w:p w14:paraId="43094CC5"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الحدود الموضوعية: تركز الدراسة على العلاقة بين تبني تطبيقات الذكاء الاصطناعي والتحليلات التنبؤية وفعالية إدارة المخاطر ونجاح مشاريع التحول الرقمي، ولا تتوسع في جميع العوامل المؤثرة في النجاح مثل الثقافة التنظيمية أو القيادة الرقمية إلا بوصفها عوامل سياقية أو ضابطة عند الحاجة.</w:t>
      </w:r>
    </w:p>
    <w:p w14:paraId="56D2FF87"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الحدود المكانية: تقتصر الدراسة على المؤسسات السعودية التي تنفذ أو شاركت في مشاريع تحول رقمي في قطاعات حكومية أو خاصة أو شبه حكومية.</w:t>
      </w:r>
    </w:p>
    <w:p w14:paraId="77A1AF56"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الحدود البشرية: تستهدف الدراسة العاملين في مشاريع التحول الرقمي، مثل مديري المشاريع، أعضاء فرق تقنية المعلومات، محللي البيانات، موظفي الأمن السيبراني، وحدات التحول الرقمي، ومكاتب إدارة المشاريع.</w:t>
      </w:r>
    </w:p>
    <w:p w14:paraId="10D07985"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الحدود المنهجية: تعتمد الدراسة على الاستبانة، وهو ما قد يعرض النتائج لتحيزات الاستجابة الذاتية؛ لذلك تقترح الدراسة استخدام صياغات واضحة، وسرية البيانات، والتحقق من الصدق والثبات.</w:t>
      </w:r>
    </w:p>
    <w:p w14:paraId="28D29FC9" w14:textId="77777777" w:rsidR="00FD59A2" w:rsidRPr="00F60ECC" w:rsidRDefault="00000000" w:rsidP="00F60ECC">
      <w:pPr>
        <w:bidi/>
        <w:spacing w:before="240" w:after="160"/>
        <w:jc w:val="mediumKashida"/>
        <w:rPr>
          <w:rFonts w:hint="eastAsia"/>
          <w:sz w:val="44"/>
          <w:szCs w:val="36"/>
        </w:rPr>
      </w:pPr>
      <w:r w:rsidRPr="00F60ECC">
        <w:rPr>
          <w:b/>
          <w:sz w:val="44"/>
          <w:szCs w:val="36"/>
          <w:rtl/>
        </w:rPr>
        <w:t>1-7 التعريفات الإجرائية لمتغيرات الدراسة</w:t>
      </w:r>
    </w:p>
    <w:p w14:paraId="3348ABE6" w14:textId="77777777" w:rsidR="00FD59A2" w:rsidRDefault="00000000" w:rsidP="00F60ECC">
      <w:pPr>
        <w:bidi/>
        <w:spacing w:after="60" w:line="360" w:lineRule="auto"/>
        <w:jc w:val="mediumKashida"/>
        <w:rPr>
          <w:rFonts w:hint="eastAsia"/>
        </w:rPr>
      </w:pPr>
      <w:r>
        <w:rPr>
          <w:b/>
          <w:sz w:val="30"/>
          <w:rtl/>
        </w:rPr>
        <w:t>جدول (1-1): التعريفات الإجرائية لمتغيرات الدراسة</w:t>
      </w:r>
    </w:p>
    <w:tbl>
      <w:tblPr>
        <w:tblStyle w:val="TableGrid"/>
        <w:bidiVisual/>
        <w:tblW w:w="0" w:type="auto"/>
        <w:jc w:val="center"/>
        <w:tblLayout w:type="fixed"/>
        <w:tblLook w:val="04A0" w:firstRow="1" w:lastRow="0" w:firstColumn="1" w:lastColumn="0" w:noHBand="0" w:noVBand="1"/>
      </w:tblPr>
      <w:tblGrid>
        <w:gridCol w:w="1984"/>
        <w:gridCol w:w="1247"/>
        <w:gridCol w:w="3402"/>
        <w:gridCol w:w="2835"/>
      </w:tblGrid>
      <w:tr w:rsidR="00FD59A2" w14:paraId="1019D01C" w14:textId="77777777">
        <w:trPr>
          <w:cantSplit/>
          <w:jc w:val="center"/>
        </w:trPr>
        <w:tc>
          <w:tcPr>
            <w:tcW w:w="1984" w:type="dxa"/>
            <w:shd w:val="clear" w:color="auto" w:fill="D9EAF7"/>
            <w:vAlign w:val="center"/>
          </w:tcPr>
          <w:p w14:paraId="05F77425" w14:textId="77777777" w:rsidR="00FD59A2" w:rsidRDefault="00000000" w:rsidP="00F60ECC">
            <w:pPr>
              <w:bidi/>
              <w:jc w:val="mediumKashida"/>
              <w:rPr>
                <w:rFonts w:hint="eastAsia"/>
              </w:rPr>
            </w:pPr>
            <w:r>
              <w:rPr>
                <w:b/>
                <w:sz w:val="22"/>
                <w:rtl/>
              </w:rPr>
              <w:t>المتغير</w:t>
            </w:r>
          </w:p>
        </w:tc>
        <w:tc>
          <w:tcPr>
            <w:tcW w:w="1247" w:type="dxa"/>
            <w:shd w:val="clear" w:color="auto" w:fill="D9EAF7"/>
            <w:vAlign w:val="center"/>
          </w:tcPr>
          <w:p w14:paraId="012F5DE7" w14:textId="77777777" w:rsidR="00FD59A2" w:rsidRDefault="00000000" w:rsidP="00F60ECC">
            <w:pPr>
              <w:bidi/>
              <w:jc w:val="mediumKashida"/>
              <w:rPr>
                <w:rFonts w:hint="eastAsia"/>
              </w:rPr>
            </w:pPr>
            <w:r>
              <w:rPr>
                <w:b/>
                <w:sz w:val="22"/>
                <w:rtl/>
              </w:rPr>
              <w:t>نوع المتغير</w:t>
            </w:r>
          </w:p>
        </w:tc>
        <w:tc>
          <w:tcPr>
            <w:tcW w:w="3402" w:type="dxa"/>
            <w:shd w:val="clear" w:color="auto" w:fill="D9EAF7"/>
            <w:vAlign w:val="center"/>
          </w:tcPr>
          <w:p w14:paraId="11320BB6" w14:textId="77777777" w:rsidR="00FD59A2" w:rsidRDefault="00000000" w:rsidP="00F60ECC">
            <w:pPr>
              <w:bidi/>
              <w:jc w:val="mediumKashida"/>
              <w:rPr>
                <w:rFonts w:hint="eastAsia"/>
              </w:rPr>
            </w:pPr>
            <w:r>
              <w:rPr>
                <w:b/>
                <w:sz w:val="22"/>
                <w:rtl/>
              </w:rPr>
              <w:t>التعريف الإجرائي</w:t>
            </w:r>
          </w:p>
        </w:tc>
        <w:tc>
          <w:tcPr>
            <w:tcW w:w="2835" w:type="dxa"/>
            <w:shd w:val="clear" w:color="auto" w:fill="D9EAF7"/>
            <w:vAlign w:val="center"/>
          </w:tcPr>
          <w:p w14:paraId="47F7FFB6" w14:textId="77777777" w:rsidR="00FD59A2" w:rsidRDefault="00000000" w:rsidP="00F60ECC">
            <w:pPr>
              <w:bidi/>
              <w:jc w:val="mediumKashida"/>
              <w:rPr>
                <w:rFonts w:hint="eastAsia"/>
              </w:rPr>
            </w:pPr>
            <w:r>
              <w:rPr>
                <w:b/>
                <w:sz w:val="22"/>
                <w:rtl/>
              </w:rPr>
              <w:t>أبعاد القياس المقترحة</w:t>
            </w:r>
          </w:p>
        </w:tc>
      </w:tr>
      <w:tr w:rsidR="00FD59A2" w14:paraId="0D52A797" w14:textId="77777777">
        <w:trPr>
          <w:cantSplit/>
          <w:jc w:val="center"/>
        </w:trPr>
        <w:tc>
          <w:tcPr>
            <w:tcW w:w="1984" w:type="dxa"/>
            <w:vAlign w:val="center"/>
          </w:tcPr>
          <w:p w14:paraId="49517C04" w14:textId="77777777" w:rsidR="00FD59A2" w:rsidRDefault="00000000" w:rsidP="00F60ECC">
            <w:pPr>
              <w:bidi/>
              <w:jc w:val="mediumKashida"/>
              <w:rPr>
                <w:rFonts w:hint="eastAsia"/>
              </w:rPr>
            </w:pPr>
            <w:r>
              <w:rPr>
                <w:sz w:val="22"/>
                <w:rtl/>
              </w:rPr>
              <w:t>تبني تطبيقات الذكاء الاصطناعي</w:t>
            </w:r>
          </w:p>
        </w:tc>
        <w:tc>
          <w:tcPr>
            <w:tcW w:w="1247" w:type="dxa"/>
            <w:vAlign w:val="center"/>
          </w:tcPr>
          <w:p w14:paraId="560F87FC" w14:textId="77777777" w:rsidR="00FD59A2" w:rsidRDefault="00000000" w:rsidP="00F60ECC">
            <w:pPr>
              <w:bidi/>
              <w:jc w:val="mediumKashida"/>
              <w:rPr>
                <w:rFonts w:hint="eastAsia"/>
              </w:rPr>
            </w:pPr>
            <w:r>
              <w:rPr>
                <w:sz w:val="22"/>
                <w:rtl/>
              </w:rPr>
              <w:t>مستقل</w:t>
            </w:r>
          </w:p>
        </w:tc>
        <w:tc>
          <w:tcPr>
            <w:tcW w:w="3402" w:type="dxa"/>
            <w:vAlign w:val="center"/>
          </w:tcPr>
          <w:p w14:paraId="2CE0A2EB" w14:textId="77777777" w:rsidR="00FD59A2" w:rsidRDefault="00000000" w:rsidP="00F60ECC">
            <w:pPr>
              <w:bidi/>
              <w:jc w:val="mediumKashida"/>
              <w:rPr>
                <w:rFonts w:hint="eastAsia"/>
              </w:rPr>
            </w:pPr>
            <w:r>
              <w:rPr>
                <w:sz w:val="22"/>
                <w:rtl/>
              </w:rPr>
              <w:t>درجة استخدام المؤسسة لحلول الذكاء الاصطناعي في أنشطة مشروع التحول الرقمي ودعم القرار.</w:t>
            </w:r>
          </w:p>
        </w:tc>
        <w:tc>
          <w:tcPr>
            <w:tcW w:w="2835" w:type="dxa"/>
            <w:vAlign w:val="center"/>
          </w:tcPr>
          <w:p w14:paraId="40D6D914" w14:textId="77777777" w:rsidR="00FD59A2" w:rsidRDefault="00000000" w:rsidP="00F60ECC">
            <w:pPr>
              <w:bidi/>
              <w:jc w:val="mediumKashida"/>
              <w:rPr>
                <w:rFonts w:hint="eastAsia"/>
              </w:rPr>
            </w:pPr>
            <w:r>
              <w:rPr>
                <w:sz w:val="22"/>
                <w:rtl/>
              </w:rPr>
              <w:t>الأتمتة الذكية، التعلم الآلي، كشف الشذوذ، تحليل النصوص، دعم القرار.</w:t>
            </w:r>
          </w:p>
        </w:tc>
      </w:tr>
      <w:tr w:rsidR="00FD59A2" w14:paraId="015C3B25" w14:textId="77777777">
        <w:trPr>
          <w:cantSplit/>
          <w:jc w:val="center"/>
        </w:trPr>
        <w:tc>
          <w:tcPr>
            <w:tcW w:w="1984" w:type="dxa"/>
            <w:vAlign w:val="center"/>
          </w:tcPr>
          <w:p w14:paraId="36F3FEBC" w14:textId="77777777" w:rsidR="00FD59A2" w:rsidRDefault="00000000" w:rsidP="00F60ECC">
            <w:pPr>
              <w:bidi/>
              <w:jc w:val="mediumKashida"/>
              <w:rPr>
                <w:rFonts w:hint="eastAsia"/>
              </w:rPr>
            </w:pPr>
            <w:r>
              <w:rPr>
                <w:sz w:val="22"/>
                <w:rtl/>
              </w:rPr>
              <w:t>قدرة التحليلات التنبؤية</w:t>
            </w:r>
          </w:p>
        </w:tc>
        <w:tc>
          <w:tcPr>
            <w:tcW w:w="1247" w:type="dxa"/>
            <w:vAlign w:val="center"/>
          </w:tcPr>
          <w:p w14:paraId="49803296" w14:textId="77777777" w:rsidR="00FD59A2" w:rsidRDefault="00000000" w:rsidP="00F60ECC">
            <w:pPr>
              <w:bidi/>
              <w:jc w:val="mediumKashida"/>
              <w:rPr>
                <w:rFonts w:hint="eastAsia"/>
              </w:rPr>
            </w:pPr>
            <w:r>
              <w:rPr>
                <w:sz w:val="22"/>
                <w:rtl/>
              </w:rPr>
              <w:t>مستقل</w:t>
            </w:r>
          </w:p>
        </w:tc>
        <w:tc>
          <w:tcPr>
            <w:tcW w:w="3402" w:type="dxa"/>
            <w:vAlign w:val="center"/>
          </w:tcPr>
          <w:p w14:paraId="5621787C" w14:textId="77777777" w:rsidR="00FD59A2" w:rsidRDefault="00000000" w:rsidP="00F60ECC">
            <w:pPr>
              <w:bidi/>
              <w:jc w:val="mediumKashida"/>
              <w:rPr>
                <w:rFonts w:hint="eastAsia"/>
              </w:rPr>
            </w:pPr>
            <w:r>
              <w:rPr>
                <w:sz w:val="22"/>
                <w:rtl/>
              </w:rPr>
              <w:t>قدرة المؤسسة على استخدام البيانات التاريخية والحالية والنماذج التنبؤية لاستباق المخاطر والانحرافات.</w:t>
            </w:r>
          </w:p>
        </w:tc>
        <w:tc>
          <w:tcPr>
            <w:tcW w:w="2835" w:type="dxa"/>
            <w:vAlign w:val="center"/>
          </w:tcPr>
          <w:p w14:paraId="5D181EA3" w14:textId="77777777" w:rsidR="00FD59A2" w:rsidRDefault="00000000" w:rsidP="00F60ECC">
            <w:pPr>
              <w:bidi/>
              <w:jc w:val="mediumKashida"/>
              <w:rPr>
                <w:rFonts w:hint="eastAsia"/>
              </w:rPr>
            </w:pPr>
            <w:r>
              <w:rPr>
                <w:sz w:val="22"/>
                <w:rtl/>
              </w:rPr>
              <w:t>جودة البيانات، أدوات التنبؤ، السيناريوهات، لوحات المتابعة، مهارات الفريق.</w:t>
            </w:r>
          </w:p>
        </w:tc>
      </w:tr>
      <w:tr w:rsidR="00FD59A2" w14:paraId="117A5EA7" w14:textId="77777777">
        <w:trPr>
          <w:cantSplit/>
          <w:jc w:val="center"/>
        </w:trPr>
        <w:tc>
          <w:tcPr>
            <w:tcW w:w="1984" w:type="dxa"/>
            <w:vAlign w:val="center"/>
          </w:tcPr>
          <w:p w14:paraId="4A55AB72" w14:textId="77777777" w:rsidR="00FD59A2" w:rsidRDefault="00000000" w:rsidP="00F60ECC">
            <w:pPr>
              <w:bidi/>
              <w:jc w:val="mediumKashida"/>
              <w:rPr>
                <w:rFonts w:hint="eastAsia"/>
              </w:rPr>
            </w:pPr>
            <w:r>
              <w:rPr>
                <w:sz w:val="22"/>
                <w:rtl/>
              </w:rPr>
              <w:t>فعالية إدارة المخاطر</w:t>
            </w:r>
          </w:p>
        </w:tc>
        <w:tc>
          <w:tcPr>
            <w:tcW w:w="1247" w:type="dxa"/>
            <w:vAlign w:val="center"/>
          </w:tcPr>
          <w:p w14:paraId="539F0650" w14:textId="77777777" w:rsidR="00FD59A2" w:rsidRDefault="00000000" w:rsidP="00F60ECC">
            <w:pPr>
              <w:bidi/>
              <w:jc w:val="mediumKashida"/>
              <w:rPr>
                <w:rFonts w:hint="eastAsia"/>
              </w:rPr>
            </w:pPr>
            <w:r>
              <w:rPr>
                <w:sz w:val="22"/>
                <w:rtl/>
              </w:rPr>
              <w:t>وسيط</w:t>
            </w:r>
          </w:p>
        </w:tc>
        <w:tc>
          <w:tcPr>
            <w:tcW w:w="3402" w:type="dxa"/>
            <w:vAlign w:val="center"/>
          </w:tcPr>
          <w:p w14:paraId="16C1FE76" w14:textId="77777777" w:rsidR="00FD59A2" w:rsidRDefault="00000000" w:rsidP="00F60ECC">
            <w:pPr>
              <w:bidi/>
              <w:jc w:val="mediumKashida"/>
              <w:rPr>
                <w:rFonts w:hint="eastAsia"/>
              </w:rPr>
            </w:pPr>
            <w:r>
              <w:rPr>
                <w:sz w:val="22"/>
                <w:rtl/>
              </w:rPr>
              <w:t>كفاءة وشمولية عمليات تحديد المخاطر وتحليلها وتقييمها والاستجابة لها ومراقبتها داخل المشروع.</w:t>
            </w:r>
          </w:p>
        </w:tc>
        <w:tc>
          <w:tcPr>
            <w:tcW w:w="2835" w:type="dxa"/>
            <w:vAlign w:val="center"/>
          </w:tcPr>
          <w:p w14:paraId="2B4BAEB7" w14:textId="77777777" w:rsidR="00FD59A2" w:rsidRDefault="00000000" w:rsidP="00F60ECC">
            <w:pPr>
              <w:bidi/>
              <w:jc w:val="mediumKashida"/>
              <w:rPr>
                <w:rFonts w:hint="eastAsia"/>
              </w:rPr>
            </w:pPr>
            <w:r>
              <w:rPr>
                <w:sz w:val="22"/>
                <w:rtl/>
              </w:rPr>
              <w:t>التحديد، التحليل، التقييم، الاستجابة، المراقبة، التواصل.</w:t>
            </w:r>
          </w:p>
        </w:tc>
      </w:tr>
      <w:tr w:rsidR="00FD59A2" w14:paraId="5299C5F8" w14:textId="77777777">
        <w:trPr>
          <w:cantSplit/>
          <w:jc w:val="center"/>
        </w:trPr>
        <w:tc>
          <w:tcPr>
            <w:tcW w:w="1984" w:type="dxa"/>
            <w:vAlign w:val="center"/>
          </w:tcPr>
          <w:p w14:paraId="1E8DDAAD" w14:textId="77777777" w:rsidR="00FD59A2" w:rsidRDefault="00000000" w:rsidP="00F60ECC">
            <w:pPr>
              <w:bidi/>
              <w:jc w:val="mediumKashida"/>
              <w:rPr>
                <w:rFonts w:hint="eastAsia"/>
              </w:rPr>
            </w:pPr>
            <w:r>
              <w:rPr>
                <w:sz w:val="22"/>
                <w:rtl/>
              </w:rPr>
              <w:t>نجاح مشروع التحول الرقمي</w:t>
            </w:r>
          </w:p>
        </w:tc>
        <w:tc>
          <w:tcPr>
            <w:tcW w:w="1247" w:type="dxa"/>
            <w:vAlign w:val="center"/>
          </w:tcPr>
          <w:p w14:paraId="430AE68E" w14:textId="77777777" w:rsidR="00FD59A2" w:rsidRDefault="00000000" w:rsidP="00F60ECC">
            <w:pPr>
              <w:bidi/>
              <w:jc w:val="mediumKashida"/>
              <w:rPr>
                <w:rFonts w:hint="eastAsia"/>
              </w:rPr>
            </w:pPr>
            <w:r>
              <w:rPr>
                <w:sz w:val="22"/>
                <w:rtl/>
              </w:rPr>
              <w:t>تابع</w:t>
            </w:r>
          </w:p>
        </w:tc>
        <w:tc>
          <w:tcPr>
            <w:tcW w:w="3402" w:type="dxa"/>
            <w:vAlign w:val="center"/>
          </w:tcPr>
          <w:p w14:paraId="143BA8E9" w14:textId="77777777" w:rsidR="00FD59A2" w:rsidRDefault="00000000" w:rsidP="00F60ECC">
            <w:pPr>
              <w:bidi/>
              <w:jc w:val="mediumKashida"/>
              <w:rPr>
                <w:rFonts w:hint="eastAsia"/>
              </w:rPr>
            </w:pPr>
            <w:r>
              <w:rPr>
                <w:sz w:val="22"/>
                <w:rtl/>
              </w:rPr>
              <w:t>مدى تحقق أهداف المشروع ضمن قيود الوقت والتكلفة والجودة إضافة إلى القيمة ورضا أصحاب المصلحة وتبني المستخدمين.</w:t>
            </w:r>
          </w:p>
        </w:tc>
        <w:tc>
          <w:tcPr>
            <w:tcW w:w="2835" w:type="dxa"/>
            <w:vAlign w:val="center"/>
          </w:tcPr>
          <w:p w14:paraId="4FCBA585" w14:textId="77777777" w:rsidR="00FD59A2" w:rsidRDefault="00000000" w:rsidP="00F60ECC">
            <w:pPr>
              <w:bidi/>
              <w:jc w:val="mediumKashida"/>
              <w:rPr>
                <w:rFonts w:hint="eastAsia"/>
              </w:rPr>
            </w:pPr>
            <w:r>
              <w:rPr>
                <w:sz w:val="22"/>
                <w:rtl/>
              </w:rPr>
              <w:t>الوقت، التكلفة، الجودة، المنافع، التبني، رضا أصحاب المصلحة.</w:t>
            </w:r>
          </w:p>
        </w:tc>
      </w:tr>
    </w:tbl>
    <w:p w14:paraId="704C8F16" w14:textId="77777777" w:rsidR="00FD59A2" w:rsidRDefault="00FD59A2" w:rsidP="00F60ECC">
      <w:pPr>
        <w:jc w:val="mediumKashida"/>
        <w:rPr>
          <w:rFonts w:hint="eastAsia"/>
        </w:rPr>
      </w:pPr>
    </w:p>
    <w:p w14:paraId="441A3095" w14:textId="77777777" w:rsidR="00FD59A2" w:rsidRPr="00F60ECC" w:rsidRDefault="00000000" w:rsidP="00F60ECC">
      <w:pPr>
        <w:bidi/>
        <w:spacing w:before="240" w:after="160"/>
        <w:jc w:val="mediumKashida"/>
        <w:rPr>
          <w:rFonts w:hint="eastAsia"/>
          <w:sz w:val="44"/>
          <w:szCs w:val="36"/>
        </w:rPr>
      </w:pPr>
      <w:r w:rsidRPr="00F60ECC">
        <w:rPr>
          <w:b/>
          <w:sz w:val="44"/>
          <w:szCs w:val="36"/>
          <w:rtl/>
        </w:rPr>
        <w:t>1-8 فروض الدراسة</w:t>
      </w:r>
    </w:p>
    <w:p w14:paraId="3BC6AC0E" w14:textId="77777777" w:rsidR="00FD59A2" w:rsidRDefault="00000000" w:rsidP="00F60ECC">
      <w:pPr>
        <w:bidi/>
        <w:spacing w:after="60" w:line="360" w:lineRule="auto"/>
        <w:jc w:val="mediumKashida"/>
        <w:rPr>
          <w:rFonts w:hint="eastAsia"/>
        </w:rPr>
      </w:pPr>
      <w:r>
        <w:rPr>
          <w:b/>
          <w:sz w:val="30"/>
          <w:rtl/>
        </w:rPr>
        <w:t>جدول (1-2): فروض الدراسة واتجاه العلاقات المتوقعة</w:t>
      </w:r>
    </w:p>
    <w:tbl>
      <w:tblPr>
        <w:tblStyle w:val="TableGrid"/>
        <w:bidiVisual/>
        <w:tblW w:w="0" w:type="auto"/>
        <w:jc w:val="center"/>
        <w:tblLayout w:type="fixed"/>
        <w:tblLook w:val="04A0" w:firstRow="1" w:lastRow="0" w:firstColumn="1" w:lastColumn="0" w:noHBand="0" w:noVBand="1"/>
      </w:tblPr>
      <w:tblGrid>
        <w:gridCol w:w="1701"/>
        <w:gridCol w:w="5102"/>
        <w:gridCol w:w="1701"/>
      </w:tblGrid>
      <w:tr w:rsidR="00FD59A2" w14:paraId="3028378A" w14:textId="77777777">
        <w:trPr>
          <w:cantSplit/>
          <w:jc w:val="center"/>
        </w:trPr>
        <w:tc>
          <w:tcPr>
            <w:tcW w:w="1701" w:type="dxa"/>
            <w:shd w:val="clear" w:color="auto" w:fill="D9EAF7"/>
            <w:vAlign w:val="center"/>
          </w:tcPr>
          <w:p w14:paraId="4FC36C74" w14:textId="77777777" w:rsidR="00FD59A2" w:rsidRDefault="00000000" w:rsidP="00F60ECC">
            <w:pPr>
              <w:bidi/>
              <w:jc w:val="mediumKashida"/>
              <w:rPr>
                <w:rFonts w:hint="eastAsia"/>
              </w:rPr>
            </w:pPr>
            <w:r>
              <w:rPr>
                <w:b/>
                <w:sz w:val="22"/>
                <w:rtl/>
              </w:rPr>
              <w:t>رمز الفرض</w:t>
            </w:r>
          </w:p>
        </w:tc>
        <w:tc>
          <w:tcPr>
            <w:tcW w:w="5102" w:type="dxa"/>
            <w:shd w:val="clear" w:color="auto" w:fill="D9EAF7"/>
            <w:vAlign w:val="center"/>
          </w:tcPr>
          <w:p w14:paraId="1724700A" w14:textId="77777777" w:rsidR="00FD59A2" w:rsidRDefault="00000000" w:rsidP="00F60ECC">
            <w:pPr>
              <w:bidi/>
              <w:jc w:val="mediumKashida"/>
              <w:rPr>
                <w:rFonts w:hint="eastAsia"/>
              </w:rPr>
            </w:pPr>
            <w:r>
              <w:rPr>
                <w:b/>
                <w:sz w:val="22"/>
                <w:rtl/>
              </w:rPr>
              <w:t>العلاقة المقترحة</w:t>
            </w:r>
          </w:p>
        </w:tc>
        <w:tc>
          <w:tcPr>
            <w:tcW w:w="1701" w:type="dxa"/>
            <w:shd w:val="clear" w:color="auto" w:fill="D9EAF7"/>
            <w:vAlign w:val="center"/>
          </w:tcPr>
          <w:p w14:paraId="6BEAF790" w14:textId="77777777" w:rsidR="00FD59A2" w:rsidRDefault="00000000" w:rsidP="00F60ECC">
            <w:pPr>
              <w:bidi/>
              <w:jc w:val="mediumKashida"/>
              <w:rPr>
                <w:rFonts w:hint="eastAsia"/>
              </w:rPr>
            </w:pPr>
            <w:r>
              <w:rPr>
                <w:b/>
                <w:sz w:val="22"/>
                <w:rtl/>
              </w:rPr>
              <w:t>الاتجاه المتوقع</w:t>
            </w:r>
          </w:p>
        </w:tc>
      </w:tr>
      <w:tr w:rsidR="00FD59A2" w14:paraId="75FA6FA9" w14:textId="77777777">
        <w:trPr>
          <w:cantSplit/>
          <w:jc w:val="center"/>
        </w:trPr>
        <w:tc>
          <w:tcPr>
            <w:tcW w:w="1701" w:type="dxa"/>
            <w:vAlign w:val="center"/>
          </w:tcPr>
          <w:p w14:paraId="11E77616" w14:textId="77777777" w:rsidR="00FD59A2" w:rsidRDefault="00000000" w:rsidP="00F60ECC">
            <w:pPr>
              <w:bidi/>
              <w:jc w:val="mediumKashida"/>
              <w:rPr>
                <w:rFonts w:hint="eastAsia"/>
              </w:rPr>
            </w:pPr>
            <w:r>
              <w:rPr>
                <w:sz w:val="22"/>
              </w:rPr>
              <w:t>H1</w:t>
            </w:r>
          </w:p>
        </w:tc>
        <w:tc>
          <w:tcPr>
            <w:tcW w:w="5102" w:type="dxa"/>
            <w:vAlign w:val="center"/>
          </w:tcPr>
          <w:p w14:paraId="77A9F25F" w14:textId="77777777" w:rsidR="00FD59A2" w:rsidRDefault="00000000" w:rsidP="00F60ECC">
            <w:pPr>
              <w:bidi/>
              <w:jc w:val="mediumKashida"/>
              <w:rPr>
                <w:rFonts w:hint="eastAsia"/>
              </w:rPr>
            </w:pPr>
            <w:r>
              <w:rPr>
                <w:sz w:val="22"/>
                <w:rtl/>
              </w:rPr>
              <w:t>تبني تطبيقات الذكاء الاصطناعي ⟶ فعالية إدارة المخاطر</w:t>
            </w:r>
          </w:p>
        </w:tc>
        <w:tc>
          <w:tcPr>
            <w:tcW w:w="1701" w:type="dxa"/>
            <w:vAlign w:val="center"/>
          </w:tcPr>
          <w:p w14:paraId="4DC4122F" w14:textId="77777777" w:rsidR="00FD59A2" w:rsidRDefault="00000000" w:rsidP="00F60ECC">
            <w:pPr>
              <w:bidi/>
              <w:jc w:val="mediumKashida"/>
              <w:rPr>
                <w:rFonts w:hint="eastAsia"/>
              </w:rPr>
            </w:pPr>
            <w:r>
              <w:rPr>
                <w:sz w:val="22"/>
                <w:rtl/>
              </w:rPr>
              <w:t>إيجابي</w:t>
            </w:r>
          </w:p>
        </w:tc>
      </w:tr>
      <w:tr w:rsidR="00FD59A2" w14:paraId="38F16B94" w14:textId="77777777">
        <w:trPr>
          <w:cantSplit/>
          <w:jc w:val="center"/>
        </w:trPr>
        <w:tc>
          <w:tcPr>
            <w:tcW w:w="1701" w:type="dxa"/>
            <w:vAlign w:val="center"/>
          </w:tcPr>
          <w:p w14:paraId="239A9763" w14:textId="77777777" w:rsidR="00FD59A2" w:rsidRDefault="00000000" w:rsidP="00F60ECC">
            <w:pPr>
              <w:bidi/>
              <w:jc w:val="mediumKashida"/>
              <w:rPr>
                <w:rFonts w:hint="eastAsia"/>
              </w:rPr>
            </w:pPr>
            <w:r>
              <w:rPr>
                <w:sz w:val="22"/>
              </w:rPr>
              <w:t>H2</w:t>
            </w:r>
          </w:p>
        </w:tc>
        <w:tc>
          <w:tcPr>
            <w:tcW w:w="5102" w:type="dxa"/>
            <w:vAlign w:val="center"/>
          </w:tcPr>
          <w:p w14:paraId="7CAE8781" w14:textId="77777777" w:rsidR="00FD59A2" w:rsidRDefault="00000000" w:rsidP="00F60ECC">
            <w:pPr>
              <w:bidi/>
              <w:jc w:val="mediumKashida"/>
              <w:rPr>
                <w:rFonts w:hint="eastAsia"/>
              </w:rPr>
            </w:pPr>
            <w:r>
              <w:rPr>
                <w:sz w:val="22"/>
                <w:rtl/>
              </w:rPr>
              <w:t>قدرة التحليلات التنبؤية ⟶ فعالية إدارة المخاطر</w:t>
            </w:r>
          </w:p>
        </w:tc>
        <w:tc>
          <w:tcPr>
            <w:tcW w:w="1701" w:type="dxa"/>
            <w:vAlign w:val="center"/>
          </w:tcPr>
          <w:p w14:paraId="4E915833" w14:textId="77777777" w:rsidR="00FD59A2" w:rsidRDefault="00000000" w:rsidP="00F60ECC">
            <w:pPr>
              <w:bidi/>
              <w:jc w:val="mediumKashida"/>
              <w:rPr>
                <w:rFonts w:hint="eastAsia"/>
              </w:rPr>
            </w:pPr>
            <w:r>
              <w:rPr>
                <w:sz w:val="22"/>
                <w:rtl/>
              </w:rPr>
              <w:t>إيجابي</w:t>
            </w:r>
          </w:p>
        </w:tc>
      </w:tr>
      <w:tr w:rsidR="00FD59A2" w14:paraId="545C9E4E" w14:textId="77777777">
        <w:trPr>
          <w:cantSplit/>
          <w:jc w:val="center"/>
        </w:trPr>
        <w:tc>
          <w:tcPr>
            <w:tcW w:w="1701" w:type="dxa"/>
            <w:vAlign w:val="center"/>
          </w:tcPr>
          <w:p w14:paraId="20B8D872" w14:textId="77777777" w:rsidR="00FD59A2" w:rsidRDefault="00000000" w:rsidP="00F60ECC">
            <w:pPr>
              <w:bidi/>
              <w:jc w:val="mediumKashida"/>
              <w:rPr>
                <w:rFonts w:hint="eastAsia"/>
              </w:rPr>
            </w:pPr>
            <w:r>
              <w:rPr>
                <w:sz w:val="22"/>
              </w:rPr>
              <w:t>H3</w:t>
            </w:r>
          </w:p>
        </w:tc>
        <w:tc>
          <w:tcPr>
            <w:tcW w:w="5102" w:type="dxa"/>
            <w:vAlign w:val="center"/>
          </w:tcPr>
          <w:p w14:paraId="6E54526C" w14:textId="77777777" w:rsidR="00FD59A2" w:rsidRDefault="00000000" w:rsidP="00F60ECC">
            <w:pPr>
              <w:bidi/>
              <w:jc w:val="mediumKashida"/>
              <w:rPr>
                <w:rFonts w:hint="eastAsia"/>
              </w:rPr>
            </w:pPr>
            <w:r>
              <w:rPr>
                <w:sz w:val="22"/>
                <w:rtl/>
              </w:rPr>
              <w:t>فعالية إدارة المخاطر ⟶ نجاح مشروع التحول الرقمي</w:t>
            </w:r>
          </w:p>
        </w:tc>
        <w:tc>
          <w:tcPr>
            <w:tcW w:w="1701" w:type="dxa"/>
            <w:vAlign w:val="center"/>
          </w:tcPr>
          <w:p w14:paraId="33EADE3D" w14:textId="77777777" w:rsidR="00FD59A2" w:rsidRDefault="00000000" w:rsidP="00F60ECC">
            <w:pPr>
              <w:bidi/>
              <w:jc w:val="mediumKashida"/>
              <w:rPr>
                <w:rFonts w:hint="eastAsia"/>
              </w:rPr>
            </w:pPr>
            <w:r>
              <w:rPr>
                <w:sz w:val="22"/>
                <w:rtl/>
              </w:rPr>
              <w:t>إيجابي</w:t>
            </w:r>
          </w:p>
        </w:tc>
      </w:tr>
      <w:tr w:rsidR="00FD59A2" w14:paraId="4E325105" w14:textId="77777777">
        <w:trPr>
          <w:cantSplit/>
          <w:jc w:val="center"/>
        </w:trPr>
        <w:tc>
          <w:tcPr>
            <w:tcW w:w="1701" w:type="dxa"/>
            <w:vAlign w:val="center"/>
          </w:tcPr>
          <w:p w14:paraId="0031EF81" w14:textId="77777777" w:rsidR="00FD59A2" w:rsidRDefault="00000000" w:rsidP="00F60ECC">
            <w:pPr>
              <w:bidi/>
              <w:jc w:val="mediumKashida"/>
              <w:rPr>
                <w:rFonts w:hint="eastAsia"/>
              </w:rPr>
            </w:pPr>
            <w:r>
              <w:rPr>
                <w:sz w:val="22"/>
              </w:rPr>
              <w:t>H4</w:t>
            </w:r>
          </w:p>
        </w:tc>
        <w:tc>
          <w:tcPr>
            <w:tcW w:w="5102" w:type="dxa"/>
            <w:vAlign w:val="center"/>
          </w:tcPr>
          <w:p w14:paraId="16BDE130" w14:textId="77777777" w:rsidR="00FD59A2" w:rsidRDefault="00000000" w:rsidP="00F60ECC">
            <w:pPr>
              <w:bidi/>
              <w:jc w:val="mediumKashida"/>
              <w:rPr>
                <w:rFonts w:hint="eastAsia"/>
              </w:rPr>
            </w:pPr>
            <w:r>
              <w:rPr>
                <w:sz w:val="22"/>
                <w:rtl/>
              </w:rPr>
              <w:t>تبني تطبيقات الذكاء الاصطناعي ⟶ نجاح مشروع التحول الرقمي</w:t>
            </w:r>
          </w:p>
        </w:tc>
        <w:tc>
          <w:tcPr>
            <w:tcW w:w="1701" w:type="dxa"/>
            <w:vAlign w:val="center"/>
          </w:tcPr>
          <w:p w14:paraId="0D74A032" w14:textId="77777777" w:rsidR="00FD59A2" w:rsidRDefault="00000000" w:rsidP="00F60ECC">
            <w:pPr>
              <w:bidi/>
              <w:jc w:val="mediumKashida"/>
              <w:rPr>
                <w:rFonts w:hint="eastAsia"/>
              </w:rPr>
            </w:pPr>
            <w:r>
              <w:rPr>
                <w:sz w:val="22"/>
                <w:rtl/>
              </w:rPr>
              <w:t>إيجابي</w:t>
            </w:r>
          </w:p>
        </w:tc>
      </w:tr>
      <w:tr w:rsidR="00FD59A2" w14:paraId="41A77B36" w14:textId="77777777">
        <w:trPr>
          <w:cantSplit/>
          <w:jc w:val="center"/>
        </w:trPr>
        <w:tc>
          <w:tcPr>
            <w:tcW w:w="1701" w:type="dxa"/>
            <w:vAlign w:val="center"/>
          </w:tcPr>
          <w:p w14:paraId="7B5B1B50" w14:textId="77777777" w:rsidR="00FD59A2" w:rsidRDefault="00000000" w:rsidP="00F60ECC">
            <w:pPr>
              <w:bidi/>
              <w:jc w:val="mediumKashida"/>
              <w:rPr>
                <w:rFonts w:hint="eastAsia"/>
              </w:rPr>
            </w:pPr>
            <w:r>
              <w:rPr>
                <w:sz w:val="22"/>
              </w:rPr>
              <w:t>H5</w:t>
            </w:r>
          </w:p>
        </w:tc>
        <w:tc>
          <w:tcPr>
            <w:tcW w:w="5102" w:type="dxa"/>
            <w:vAlign w:val="center"/>
          </w:tcPr>
          <w:p w14:paraId="7133D10F" w14:textId="77777777" w:rsidR="00FD59A2" w:rsidRDefault="00000000" w:rsidP="00F60ECC">
            <w:pPr>
              <w:bidi/>
              <w:jc w:val="mediumKashida"/>
              <w:rPr>
                <w:rFonts w:hint="eastAsia"/>
              </w:rPr>
            </w:pPr>
            <w:r>
              <w:rPr>
                <w:sz w:val="22"/>
                <w:rtl/>
              </w:rPr>
              <w:t>قدرة التحليلات التنبؤية ⟶ نجاح مشروع التحول الرقمي</w:t>
            </w:r>
          </w:p>
        </w:tc>
        <w:tc>
          <w:tcPr>
            <w:tcW w:w="1701" w:type="dxa"/>
            <w:vAlign w:val="center"/>
          </w:tcPr>
          <w:p w14:paraId="6BE8162C" w14:textId="77777777" w:rsidR="00FD59A2" w:rsidRDefault="00000000" w:rsidP="00F60ECC">
            <w:pPr>
              <w:bidi/>
              <w:jc w:val="mediumKashida"/>
              <w:rPr>
                <w:rFonts w:hint="eastAsia"/>
              </w:rPr>
            </w:pPr>
            <w:r>
              <w:rPr>
                <w:sz w:val="22"/>
                <w:rtl/>
              </w:rPr>
              <w:t>إيجابي</w:t>
            </w:r>
          </w:p>
        </w:tc>
      </w:tr>
      <w:tr w:rsidR="00FD59A2" w14:paraId="36B0AF40" w14:textId="77777777">
        <w:trPr>
          <w:cantSplit/>
          <w:jc w:val="center"/>
        </w:trPr>
        <w:tc>
          <w:tcPr>
            <w:tcW w:w="1701" w:type="dxa"/>
            <w:vAlign w:val="center"/>
          </w:tcPr>
          <w:p w14:paraId="512EAFBE" w14:textId="77777777" w:rsidR="00FD59A2" w:rsidRDefault="00000000" w:rsidP="00F60ECC">
            <w:pPr>
              <w:bidi/>
              <w:jc w:val="mediumKashida"/>
              <w:rPr>
                <w:rFonts w:hint="eastAsia"/>
              </w:rPr>
            </w:pPr>
            <w:r>
              <w:rPr>
                <w:sz w:val="22"/>
              </w:rPr>
              <w:t>H6</w:t>
            </w:r>
          </w:p>
        </w:tc>
        <w:tc>
          <w:tcPr>
            <w:tcW w:w="5102" w:type="dxa"/>
            <w:vAlign w:val="center"/>
          </w:tcPr>
          <w:p w14:paraId="0718DFCC" w14:textId="77777777" w:rsidR="00FD59A2" w:rsidRDefault="00000000" w:rsidP="00F60ECC">
            <w:pPr>
              <w:bidi/>
              <w:jc w:val="mediumKashida"/>
              <w:rPr>
                <w:rFonts w:hint="eastAsia"/>
              </w:rPr>
            </w:pPr>
            <w:r>
              <w:rPr>
                <w:sz w:val="22"/>
                <w:rtl/>
              </w:rPr>
              <w:t>فعالية إدارة المخاطر تتوسط العلاقة بين الذكاء الاصطناعي/التحليلات التنبؤية ونجاح المشروع</w:t>
            </w:r>
          </w:p>
        </w:tc>
        <w:tc>
          <w:tcPr>
            <w:tcW w:w="1701" w:type="dxa"/>
            <w:vAlign w:val="center"/>
          </w:tcPr>
          <w:p w14:paraId="604E4B6E" w14:textId="77777777" w:rsidR="00FD59A2" w:rsidRDefault="00000000" w:rsidP="00F60ECC">
            <w:pPr>
              <w:bidi/>
              <w:jc w:val="mediumKashida"/>
              <w:rPr>
                <w:rFonts w:hint="eastAsia"/>
              </w:rPr>
            </w:pPr>
            <w:r>
              <w:rPr>
                <w:sz w:val="22"/>
                <w:rtl/>
              </w:rPr>
              <w:t>وساطة إيجابية</w:t>
            </w:r>
          </w:p>
        </w:tc>
      </w:tr>
    </w:tbl>
    <w:p w14:paraId="3340007E" w14:textId="77777777" w:rsidR="00FD59A2" w:rsidRDefault="00FD59A2" w:rsidP="00F60ECC">
      <w:pPr>
        <w:jc w:val="mediumKashida"/>
        <w:rPr>
          <w:rFonts w:hint="eastAsia"/>
        </w:rPr>
      </w:pPr>
    </w:p>
    <w:p w14:paraId="395FBE3C" w14:textId="77777777" w:rsidR="00FD59A2" w:rsidRPr="00F60ECC" w:rsidRDefault="00000000" w:rsidP="00F60ECC">
      <w:pPr>
        <w:bidi/>
        <w:spacing w:before="240" w:after="160"/>
        <w:jc w:val="mediumKashida"/>
        <w:rPr>
          <w:rFonts w:hint="eastAsia"/>
          <w:sz w:val="44"/>
          <w:szCs w:val="36"/>
        </w:rPr>
      </w:pPr>
      <w:r w:rsidRPr="00F60ECC">
        <w:rPr>
          <w:b/>
          <w:sz w:val="44"/>
          <w:szCs w:val="36"/>
          <w:rtl/>
        </w:rPr>
        <w:lastRenderedPageBreak/>
        <w:t>1-9 النموذج التصوري للدراسة</w:t>
      </w:r>
    </w:p>
    <w:p w14:paraId="2911E32F"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يقوم النموذج التصوري على افتراض أن تبني تطبيقات الذكاء الاصطناعي وقدرة التحليلات التنبؤية يعززان فعالية إدارة المخاطر، وأن فعالية إدارة المخاطر تسهم بدورها في رفع مستوى نجاح مشاريع التحول الرقمي. كما يفترض النموذج وجود أثر مباشر للذكاء الاصطناعي والتحليلات التنبؤية على النجاح، إلى جانب أثر غير مباشر عبر إدارة المخاطر.</w:t>
      </w:r>
    </w:p>
    <w:p w14:paraId="2E453E51" w14:textId="77777777" w:rsidR="00FD59A2" w:rsidRPr="00F60ECC" w:rsidRDefault="00000000" w:rsidP="00F60ECC">
      <w:pPr>
        <w:bidi/>
        <w:spacing w:after="60" w:line="360" w:lineRule="auto"/>
        <w:jc w:val="mediumKashida"/>
        <w:rPr>
          <w:rFonts w:hint="eastAsia"/>
          <w:sz w:val="44"/>
          <w:szCs w:val="36"/>
        </w:rPr>
      </w:pPr>
      <w:r w:rsidRPr="00F60ECC">
        <w:rPr>
          <w:b/>
          <w:sz w:val="44"/>
          <w:szCs w:val="36"/>
          <w:rtl/>
        </w:rPr>
        <w:t>شكل (1-1): النموذج التصوري للدراسة</w:t>
      </w:r>
    </w:p>
    <w:tbl>
      <w:tblPr>
        <w:tblStyle w:val="TableGrid"/>
        <w:bidiVisual/>
        <w:tblW w:w="0" w:type="auto"/>
        <w:jc w:val="center"/>
        <w:tblLayout w:type="fixed"/>
        <w:tblLook w:val="04A0" w:firstRow="1" w:lastRow="0" w:firstColumn="1" w:lastColumn="0" w:noHBand="0" w:noVBand="1"/>
      </w:tblPr>
      <w:tblGrid>
        <w:gridCol w:w="2835"/>
        <w:gridCol w:w="2835"/>
        <w:gridCol w:w="2835"/>
      </w:tblGrid>
      <w:tr w:rsidR="00FD59A2" w14:paraId="77032FFB" w14:textId="77777777">
        <w:trPr>
          <w:cantSplit/>
          <w:jc w:val="center"/>
        </w:trPr>
        <w:tc>
          <w:tcPr>
            <w:tcW w:w="2835" w:type="dxa"/>
            <w:shd w:val="clear" w:color="auto" w:fill="D9EAF7"/>
            <w:vAlign w:val="center"/>
          </w:tcPr>
          <w:p w14:paraId="317484C4" w14:textId="77777777" w:rsidR="00FD59A2" w:rsidRDefault="00000000" w:rsidP="00F60ECC">
            <w:pPr>
              <w:bidi/>
              <w:jc w:val="mediumKashida"/>
              <w:rPr>
                <w:rFonts w:hint="eastAsia"/>
              </w:rPr>
            </w:pPr>
            <w:r>
              <w:rPr>
                <w:b/>
                <w:sz w:val="22"/>
                <w:rtl/>
              </w:rPr>
              <w:t>المتغيرات المستقلة</w:t>
            </w:r>
          </w:p>
        </w:tc>
        <w:tc>
          <w:tcPr>
            <w:tcW w:w="2835" w:type="dxa"/>
            <w:shd w:val="clear" w:color="auto" w:fill="D9EAF7"/>
            <w:vAlign w:val="center"/>
          </w:tcPr>
          <w:p w14:paraId="5E1616C9" w14:textId="77777777" w:rsidR="00FD59A2" w:rsidRDefault="00000000" w:rsidP="00F60ECC">
            <w:pPr>
              <w:bidi/>
              <w:jc w:val="mediumKashida"/>
              <w:rPr>
                <w:rFonts w:hint="eastAsia"/>
              </w:rPr>
            </w:pPr>
            <w:r>
              <w:rPr>
                <w:b/>
                <w:sz w:val="22"/>
                <w:rtl/>
              </w:rPr>
              <w:t>المتغير الوسيط</w:t>
            </w:r>
          </w:p>
        </w:tc>
        <w:tc>
          <w:tcPr>
            <w:tcW w:w="2835" w:type="dxa"/>
            <w:shd w:val="clear" w:color="auto" w:fill="D9EAF7"/>
            <w:vAlign w:val="center"/>
          </w:tcPr>
          <w:p w14:paraId="10751715" w14:textId="77777777" w:rsidR="00FD59A2" w:rsidRDefault="00000000" w:rsidP="00F60ECC">
            <w:pPr>
              <w:bidi/>
              <w:jc w:val="mediumKashida"/>
              <w:rPr>
                <w:rFonts w:hint="eastAsia"/>
              </w:rPr>
            </w:pPr>
            <w:r>
              <w:rPr>
                <w:b/>
                <w:sz w:val="22"/>
                <w:rtl/>
              </w:rPr>
              <w:t>المتغير التابع</w:t>
            </w:r>
          </w:p>
        </w:tc>
      </w:tr>
      <w:tr w:rsidR="00FD59A2" w14:paraId="2E80DA57" w14:textId="77777777">
        <w:trPr>
          <w:cantSplit/>
          <w:jc w:val="center"/>
        </w:trPr>
        <w:tc>
          <w:tcPr>
            <w:tcW w:w="2835" w:type="dxa"/>
            <w:vAlign w:val="center"/>
          </w:tcPr>
          <w:p w14:paraId="5054A898" w14:textId="77777777" w:rsidR="00FD59A2" w:rsidRDefault="00000000" w:rsidP="00F60ECC">
            <w:pPr>
              <w:bidi/>
              <w:jc w:val="mediumKashida"/>
              <w:rPr>
                <w:rFonts w:hint="eastAsia"/>
              </w:rPr>
            </w:pPr>
            <w:r>
              <w:rPr>
                <w:sz w:val="22"/>
                <w:rtl/>
              </w:rPr>
              <w:t>تبني تطبيقات الذكاء الاصطناعي</w:t>
            </w:r>
            <w:r>
              <w:rPr>
                <w:sz w:val="22"/>
                <w:rtl/>
              </w:rPr>
              <w:br/>
              <w:t>+</w:t>
            </w:r>
            <w:r>
              <w:rPr>
                <w:sz w:val="22"/>
                <w:rtl/>
              </w:rPr>
              <w:br/>
              <w:t>قدرة التحليلات التنبؤية</w:t>
            </w:r>
          </w:p>
        </w:tc>
        <w:tc>
          <w:tcPr>
            <w:tcW w:w="2835" w:type="dxa"/>
            <w:vAlign w:val="center"/>
          </w:tcPr>
          <w:p w14:paraId="5AD4A529" w14:textId="77777777" w:rsidR="00FD59A2" w:rsidRDefault="00000000" w:rsidP="00F60ECC">
            <w:pPr>
              <w:bidi/>
              <w:jc w:val="mediumKashida"/>
              <w:rPr>
                <w:rFonts w:hint="eastAsia"/>
              </w:rPr>
            </w:pPr>
            <w:r>
              <w:rPr>
                <w:sz w:val="22"/>
                <w:rtl/>
              </w:rPr>
              <w:t>فعالية إدارة المخاطر</w:t>
            </w:r>
          </w:p>
        </w:tc>
        <w:tc>
          <w:tcPr>
            <w:tcW w:w="2835" w:type="dxa"/>
            <w:vAlign w:val="center"/>
          </w:tcPr>
          <w:p w14:paraId="2AD0FCD9" w14:textId="77777777" w:rsidR="00FD59A2" w:rsidRDefault="00000000" w:rsidP="00F60ECC">
            <w:pPr>
              <w:bidi/>
              <w:jc w:val="mediumKashida"/>
              <w:rPr>
                <w:rFonts w:hint="eastAsia"/>
              </w:rPr>
            </w:pPr>
            <w:r>
              <w:rPr>
                <w:sz w:val="22"/>
                <w:rtl/>
              </w:rPr>
              <w:t>نجاح مشروع التحول الرقمي</w:t>
            </w:r>
          </w:p>
        </w:tc>
      </w:tr>
    </w:tbl>
    <w:p w14:paraId="2044F65A" w14:textId="77777777" w:rsidR="00FD59A2" w:rsidRDefault="00FD59A2" w:rsidP="00F60ECC">
      <w:pPr>
        <w:jc w:val="mediumKashida"/>
        <w:rPr>
          <w:rFonts w:hint="eastAsia"/>
        </w:rPr>
      </w:pPr>
    </w:p>
    <w:p w14:paraId="10AB9DC2"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الصياغة المنطقية للنموذج: كلما ارتفع مستوى تبني تطبيقات الذكاء الاصطناعي وقدرة التحليلات التنبؤية، تحسنت جودة معلومات المخاطر وسرعة رصدها، مما يعزز فعالية إدارة المخاطر، وينعكس إيجابياً على فرص نجاح مشاريع التحول الرقمي.</w:t>
      </w:r>
    </w:p>
    <w:p w14:paraId="22CFE4C2" w14:textId="77777777" w:rsidR="00FD59A2" w:rsidRDefault="00000000" w:rsidP="00F60ECC">
      <w:pPr>
        <w:jc w:val="mediumKashida"/>
        <w:rPr>
          <w:rFonts w:hint="eastAsia"/>
        </w:rPr>
      </w:pPr>
      <w:r>
        <w:br w:type="page"/>
      </w:r>
    </w:p>
    <w:p w14:paraId="1C87B2AE" w14:textId="77777777" w:rsidR="00FD59A2" w:rsidRPr="00F60ECC" w:rsidRDefault="00000000" w:rsidP="00F60ECC">
      <w:pPr>
        <w:bidi/>
        <w:spacing w:before="240" w:after="160"/>
        <w:jc w:val="center"/>
        <w:rPr>
          <w:rFonts w:hint="eastAsia"/>
          <w:sz w:val="44"/>
          <w:szCs w:val="36"/>
        </w:rPr>
      </w:pPr>
      <w:r w:rsidRPr="00F60ECC">
        <w:rPr>
          <w:b/>
          <w:sz w:val="52"/>
          <w:szCs w:val="36"/>
          <w:rtl/>
        </w:rPr>
        <w:lastRenderedPageBreak/>
        <w:t>الفصل الثاني</w:t>
      </w:r>
      <w:r w:rsidRPr="00F60ECC">
        <w:rPr>
          <w:b/>
          <w:sz w:val="52"/>
          <w:szCs w:val="36"/>
          <w:rtl/>
        </w:rPr>
        <w:br/>
        <w:t>الإطار النظري والدراسات السابقة</w:t>
      </w:r>
    </w:p>
    <w:p w14:paraId="20C6115F" w14:textId="47E09187" w:rsidR="00FD59A2" w:rsidRPr="00F60ECC" w:rsidRDefault="00000000" w:rsidP="00F60ECC">
      <w:pPr>
        <w:jc w:val="right"/>
        <w:rPr>
          <w:rFonts w:hint="eastAsia"/>
        </w:rPr>
      </w:pPr>
      <w:r w:rsidRPr="00F60ECC">
        <w:rPr>
          <w:b/>
          <w:sz w:val="44"/>
          <w:szCs w:val="36"/>
          <w:rtl/>
        </w:rPr>
        <w:t>2-1 تمهيد</w:t>
      </w:r>
    </w:p>
    <w:p w14:paraId="69954047"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يعرض هذا الفصل الإطار النظري للدراسة من خلال مناقشة المفاهيم الأساسية المرتبطة بالذكاء الاصطناعي، والتحليلات التنبؤية، وإدارة المخاطر، ونجاح مشاريع التحول الرقمي. كما يستعرض عدداً من الدراسات السابقة ذات الصلة بهدف تحديد الفجوة البحثية وتوضيح القيمة المضافة للدراسة الحالية.</w:t>
      </w:r>
    </w:p>
    <w:p w14:paraId="1DCFCAAC" w14:textId="77777777" w:rsidR="00FD59A2" w:rsidRPr="00F60ECC" w:rsidRDefault="00000000" w:rsidP="00F60ECC">
      <w:pPr>
        <w:bidi/>
        <w:spacing w:before="240" w:after="160"/>
        <w:jc w:val="mediumKashida"/>
        <w:rPr>
          <w:rFonts w:hint="eastAsia"/>
          <w:sz w:val="44"/>
          <w:szCs w:val="36"/>
        </w:rPr>
      </w:pPr>
      <w:r w:rsidRPr="00F60ECC">
        <w:rPr>
          <w:b/>
          <w:sz w:val="44"/>
          <w:szCs w:val="36"/>
          <w:rtl/>
        </w:rPr>
        <w:t>2-2 الذكاء الاصطناعي بوصفه قدرة تنظيمية</w:t>
      </w:r>
    </w:p>
    <w:p w14:paraId="479EEB05"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يشير الذكاء الاصطناعي في سياق الأعمال إلى مجموعة من التقنيات والخوارزميات التي تمكّن الأنظمة من التعلم من البيانات، واكتشاف الأنماط، ودعم اتخاذ القرار، وتنفيذ بعض المهام بصورة آلية أو شبه آلية. وقد أكدت الأدبيات الإدارية أن قيمة الذكاء الاصطناعي لا تتحقق بمجرد شراء الأنظمة، بل من خلال دمجها في العمليات، وتوفير بيانات موثوقة، وحوكمة واضحة، وكفاءات بشرية قادرة على تفسير المخرجات وتوظيفها (Davenport &amp; Ronanki, 2018).</w:t>
      </w:r>
    </w:p>
    <w:p w14:paraId="36AB040C"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وعند تطبيق الذكاء الاصطناعي في مشاريع التحول الرقمي، يمكن أن يدعم المشروع عبر كشف الانحرافات المبكرة في الأداء، تحليل تقارير المشروع، تصنيف المخاطر، التنبؤ بالمهام المتأخرة، تحسين تخصيص الموارد، ورصد مؤشرات مقاومة التغيير. وبذلك يصبح الذكاء الاصطناعي قدرة تنظيمية تسهم في تقليل عدم اليقين ورفع جودة القرار، لا مجرد أداة تقنية معزولة.</w:t>
      </w:r>
    </w:p>
    <w:p w14:paraId="59C7030B" w14:textId="77777777" w:rsidR="00FD59A2" w:rsidRPr="00F60ECC" w:rsidRDefault="00000000" w:rsidP="00F60ECC">
      <w:pPr>
        <w:bidi/>
        <w:spacing w:before="240" w:after="160"/>
        <w:jc w:val="mediumKashida"/>
        <w:rPr>
          <w:rFonts w:hint="eastAsia"/>
          <w:sz w:val="44"/>
          <w:szCs w:val="36"/>
        </w:rPr>
      </w:pPr>
      <w:r w:rsidRPr="00F60ECC">
        <w:rPr>
          <w:b/>
          <w:sz w:val="44"/>
          <w:szCs w:val="36"/>
          <w:rtl/>
        </w:rPr>
        <w:t>2-3 التحليلات التنبؤية ودورها في القرار الاستباقي</w:t>
      </w:r>
    </w:p>
    <w:p w14:paraId="42CCB029"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تتعلق التحليلات التنبؤية باستخدام البيانات التاريخية والحالية ونماذج التحليل الإحصائي أو الخوارزمي للتنبؤ بسلوك أو نتيجة محتملة في المستقبل. وتختلف هذه التحليلات عن التقارير الوصفية التقليدية لأنها لا تكتفي بالإجابة عن سؤال: ماذا حدث؟ بل تسعى للإجابة عن سؤال: ماذا قد يحدث؟ وما الإجراء الأنسب للاستجابة؟</w:t>
      </w:r>
    </w:p>
    <w:p w14:paraId="418EF5B4"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في إدارة المشاريع، يمكن للتحليلات التنبؤية أن تساعد في تقدير احتمالات التأخر، توقع تجاوز التكلفة، تحليل أثر تغييرات النطاق، تقييم مخاطر الموارد، وبناء سيناريوهات بديلة للاستجابة. ويؤكد Chen et al. (2012) أن تحليلات الأعمال والبيانات الضخمة تساهم في تحسين جودة القرار من خلال استخراج أنماط وعلاقات يصعب إدراكها بالأساليب التقليدية.</w:t>
      </w:r>
    </w:p>
    <w:p w14:paraId="2474C7F2" w14:textId="77777777" w:rsidR="00FD59A2" w:rsidRPr="00F60ECC" w:rsidRDefault="00000000" w:rsidP="00F60ECC">
      <w:pPr>
        <w:bidi/>
        <w:spacing w:before="240" w:after="160"/>
        <w:jc w:val="mediumKashida"/>
        <w:rPr>
          <w:rFonts w:hint="eastAsia"/>
          <w:sz w:val="36"/>
          <w:szCs w:val="36"/>
        </w:rPr>
      </w:pPr>
      <w:r w:rsidRPr="00F60ECC">
        <w:rPr>
          <w:b/>
          <w:sz w:val="36"/>
          <w:szCs w:val="36"/>
          <w:rtl/>
        </w:rPr>
        <w:t>2-4 فعالية إدارة المخاطر في مشاريع التحول الرقمي</w:t>
      </w:r>
    </w:p>
    <w:p w14:paraId="2F274251"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إدارة المخاطر عملية مستمرة تهدف إلى تحديد الأحداث غير المؤكدة التي قد تؤثر في أهداف المشروع، وتحليل احتمالاتها وآثارها، ثم اختيار الاستجابات المناسبة ومراقبة تنفيذها. ووفقاً لمنظور ISO 31000، فإن إدارة المخاطر الفعالة يجب أن تكون متكاملة مع الحوكمة واتخاذ القرار، وأن تكون ديناميكية وشاملة ومبنية على أفضل المعلومات المتاحة.</w:t>
      </w:r>
    </w:p>
    <w:p w14:paraId="1027E822"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وتزداد أهمية إدارة المخاطر في مشاريع التحول الرقمي بسبب الطبيعة المعقدة لهذه المشاريع. فالمشروع الرقمي قد يتأثر بمخاطر تقنية، مثل جودة البيانات وتكامل الأنظمة، ومخاطر تنظيمية، مثل مقاومة التغيير وضعف الحوكمة، ومخاطر أمنية وقانونية، مثل الخصوصية والأمن السيبراني. ومن هنا تظهر أهمية الذكاء الاصطناعي والتحليلات التنبؤية بوصفهما أدوات داعمة للرصد المبكر وتحديث سجل المخاطر وتقدير الاحتمالات والآثار بصورة أكثر دقة.</w:t>
      </w:r>
    </w:p>
    <w:p w14:paraId="6601177F" w14:textId="77777777" w:rsidR="00FD59A2" w:rsidRPr="00F60ECC" w:rsidRDefault="00000000" w:rsidP="00F60ECC">
      <w:pPr>
        <w:bidi/>
        <w:spacing w:before="240" w:after="160"/>
        <w:jc w:val="mediumKashida"/>
        <w:rPr>
          <w:rFonts w:hint="eastAsia"/>
          <w:sz w:val="36"/>
          <w:szCs w:val="36"/>
        </w:rPr>
      </w:pPr>
      <w:r w:rsidRPr="00F60ECC">
        <w:rPr>
          <w:b/>
          <w:sz w:val="36"/>
          <w:szCs w:val="36"/>
          <w:rtl/>
        </w:rPr>
        <w:lastRenderedPageBreak/>
        <w:t>2-5 نجاح مشاريع التحول الرقمي</w:t>
      </w:r>
    </w:p>
    <w:p w14:paraId="52EF575A"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لم يعد نجاح المشروع يقاس فقط عبر مثلث الوقت والتكلفة والجودة، بل أصبح يشمل تحقيق القيمة المتوقعة، رضا أصحاب المصلحة، استدامة المنافع، مستوى تبني المستخدمين، وتأثير المشروع على الكفاءة والشفافية وتجربة المستفيد. ويؤكد دليل PMBOK أن نجاح المشروع يرتبط بتحقيق المخرجات والقيمة المتوقعة، وليس بمجرد إغلاق أنشطة المشروع إدارياً (Project Management Institute, 2021).</w:t>
      </w:r>
    </w:p>
    <w:p w14:paraId="42F6E6F8"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وفي مشاريع التحول الرقمي تحديداً، يعد نجاح المشروع مرتبطاً بمدى قدرة المؤسسة على تحويل التكنولوجيا إلى تغيير فعلي في العمليات والسلوك والقيمة. فقد يكتمل المشروع تقنياً، لكنه يفشل إذا لم يتبن المستخدمون النظام الجديد أو إذا لم تتحقق المنافع التشغيلية الموعودة. ولذلك تعد إدارة المخاطر عاملاً محورياً في حماية المشروع من الانحرافات التي قد تقلل قيمته أو تحد من استخدام مخرجاته.</w:t>
      </w:r>
    </w:p>
    <w:p w14:paraId="150798AE" w14:textId="77777777" w:rsidR="00FD59A2" w:rsidRPr="00F60ECC" w:rsidRDefault="00000000" w:rsidP="00F60ECC">
      <w:pPr>
        <w:bidi/>
        <w:spacing w:before="240" w:after="160"/>
        <w:jc w:val="mediumKashida"/>
        <w:rPr>
          <w:rFonts w:hint="eastAsia"/>
          <w:sz w:val="44"/>
          <w:szCs w:val="36"/>
        </w:rPr>
      </w:pPr>
      <w:r w:rsidRPr="00F60ECC">
        <w:rPr>
          <w:b/>
          <w:sz w:val="44"/>
          <w:szCs w:val="36"/>
          <w:rtl/>
        </w:rPr>
        <w:t>2-6 النظريات الداعمة للدراسة</w:t>
      </w:r>
    </w:p>
    <w:p w14:paraId="5F7903DB" w14:textId="77777777" w:rsidR="00FD59A2" w:rsidRDefault="00000000" w:rsidP="00F60ECC">
      <w:pPr>
        <w:bidi/>
        <w:spacing w:before="240" w:after="160"/>
        <w:jc w:val="mediumKashida"/>
        <w:rPr>
          <w:rFonts w:hint="eastAsia"/>
        </w:rPr>
      </w:pPr>
      <w:r>
        <w:rPr>
          <w:b/>
          <w:sz w:val="30"/>
          <w:rtl/>
        </w:rPr>
        <w:t>2-6-1 منظور الموارد والقدرات</w:t>
      </w:r>
    </w:p>
    <w:p w14:paraId="4095CEB0"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يرى منظور الموارد والقدرات أن تفوق المؤسسة يعتمد على امتلاك موارد وقدرات يصعب تقليدها وتساهم في خلق قيمة. ووفق هذا المنظور، يمكن اعتبار الذكاء الاصطناعي والتحليلات التنبؤية قدرات تنظيمية عندما ترتبط بالبيانات، والمهارات، والحوكمة، والعمليات. ومن ثم يمكن أن تؤثر هذه القدرات في تحسين إدارة المخاطر وتعزيز نجاح المشاريع.</w:t>
      </w:r>
    </w:p>
    <w:p w14:paraId="4E26FF84" w14:textId="77777777" w:rsidR="00FD59A2" w:rsidRDefault="00000000" w:rsidP="00F60ECC">
      <w:pPr>
        <w:bidi/>
        <w:spacing w:before="240" w:after="160"/>
        <w:jc w:val="mediumKashida"/>
        <w:rPr>
          <w:rFonts w:hint="eastAsia"/>
        </w:rPr>
      </w:pPr>
      <w:r>
        <w:rPr>
          <w:b/>
          <w:sz w:val="30"/>
          <w:rtl/>
        </w:rPr>
        <w:t>2-6-2 إطار تبني التكنولوجيا</w:t>
      </w:r>
    </w:p>
    <w:p w14:paraId="49255307"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يفسر إطار تبني التكنولوجيا اختلاف المؤسسات في مستوى تبني التقنيات من خلال عوامل تقنية وتنظيمية وبيئية. فتوفر البيانات والبنية التقنية يمثل بعداً تقنياً، والدعم القيادي والمهارات يمثلان بعداً تنظيمياً، أما المنافسة والأنظمة والمعايير فتمثل بعداً بيئياً. ويساعد هذا الإطار في تفسير سبب تفاوت المؤسسات السعودية في توظيف الذكاء الاصطناعي والتحليلات التنبؤية داخل مشاريع التحول الرقمي.</w:t>
      </w:r>
    </w:p>
    <w:p w14:paraId="37EF18D9" w14:textId="77777777" w:rsidR="00FD59A2" w:rsidRDefault="00000000" w:rsidP="00F60ECC">
      <w:pPr>
        <w:bidi/>
        <w:spacing w:before="240" w:after="160"/>
        <w:jc w:val="mediumKashida"/>
        <w:rPr>
          <w:rFonts w:hint="eastAsia"/>
        </w:rPr>
      </w:pPr>
      <w:r>
        <w:rPr>
          <w:b/>
          <w:sz w:val="30"/>
          <w:rtl/>
        </w:rPr>
        <w:t>2-6-3 نظرية إدارة المخاطر</w:t>
      </w:r>
    </w:p>
    <w:p w14:paraId="6A99067C"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تنطلق نظرية إدارة المخاطر من أن عدم اليقين يمكن إدارته من خلال تحديد المخاطر وتحليلها والاستجابة لها ومراقبتها. وفي هذه الدراسة، تنظر إدارة المخاطر إلى الذكاء الاصطناعي والتحليلات التنبؤية باعتبارهما آليتين لتحسين جودة المعلومات وتقليل التحيز البشري وتوفير مؤشرات إنذار مبكر.</w:t>
      </w:r>
    </w:p>
    <w:p w14:paraId="0B9AB218" w14:textId="77777777" w:rsidR="00FD59A2" w:rsidRPr="00F60ECC" w:rsidRDefault="00000000" w:rsidP="00F60ECC">
      <w:pPr>
        <w:bidi/>
        <w:spacing w:before="240" w:after="160"/>
        <w:jc w:val="mediumKashida"/>
        <w:rPr>
          <w:rFonts w:hint="eastAsia"/>
          <w:sz w:val="36"/>
          <w:szCs w:val="36"/>
        </w:rPr>
      </w:pPr>
      <w:r w:rsidRPr="00F60ECC">
        <w:rPr>
          <w:b/>
          <w:sz w:val="36"/>
          <w:szCs w:val="36"/>
          <w:rtl/>
        </w:rPr>
        <w:t>2-7 الدراسات السابقة</w:t>
      </w:r>
    </w:p>
    <w:p w14:paraId="48AEFD8A"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توضح الدراسات السابقة أن الذكاء الاصطناعي والتحليلات التنبؤية يسهمان في دعم القرار وتقليل عدم اليقين، وأن التحول الرقمي يحتاج إلى قدرات تنظيمية وحوكمة وإدارة تغيير، وأن إدارة المخاطر ترتبط ارتباطاً وثيقاً بنجاح المشاريع. وفيما يلي مصفوفة مختصرة للدراسات والمراجع التي يستند إليها الإطار النظري:</w:t>
      </w:r>
    </w:p>
    <w:p w14:paraId="7C416129" w14:textId="77777777" w:rsidR="00FD59A2" w:rsidRDefault="00000000" w:rsidP="00F60ECC">
      <w:pPr>
        <w:bidi/>
        <w:spacing w:after="60" w:line="360" w:lineRule="auto"/>
        <w:jc w:val="mediumKashida"/>
        <w:rPr>
          <w:rFonts w:hint="eastAsia"/>
        </w:rPr>
      </w:pPr>
      <w:r>
        <w:rPr>
          <w:b/>
          <w:sz w:val="30"/>
          <w:rtl/>
        </w:rPr>
        <w:t>جدول (2-1): مصفوفة مختصرة للدراسات السابقة</w:t>
      </w:r>
    </w:p>
    <w:tbl>
      <w:tblPr>
        <w:tblStyle w:val="TableGrid"/>
        <w:bidiVisual/>
        <w:tblW w:w="0" w:type="auto"/>
        <w:jc w:val="center"/>
        <w:tblLayout w:type="fixed"/>
        <w:tblLook w:val="04A0" w:firstRow="1" w:lastRow="0" w:firstColumn="1" w:lastColumn="0" w:noHBand="0" w:noVBand="1"/>
      </w:tblPr>
      <w:tblGrid>
        <w:gridCol w:w="2268"/>
        <w:gridCol w:w="2268"/>
        <w:gridCol w:w="3969"/>
      </w:tblGrid>
      <w:tr w:rsidR="00FD59A2" w14:paraId="518D7FF6" w14:textId="77777777">
        <w:trPr>
          <w:cantSplit/>
          <w:jc w:val="center"/>
        </w:trPr>
        <w:tc>
          <w:tcPr>
            <w:tcW w:w="2268" w:type="dxa"/>
            <w:shd w:val="clear" w:color="auto" w:fill="D9EAF7"/>
            <w:vAlign w:val="center"/>
          </w:tcPr>
          <w:p w14:paraId="73394D6A" w14:textId="77777777" w:rsidR="00FD59A2" w:rsidRDefault="00000000" w:rsidP="00F60ECC">
            <w:pPr>
              <w:bidi/>
              <w:jc w:val="mediumKashida"/>
              <w:rPr>
                <w:rFonts w:hint="eastAsia"/>
              </w:rPr>
            </w:pPr>
            <w:r>
              <w:rPr>
                <w:b/>
                <w:sz w:val="22"/>
                <w:rtl/>
              </w:rPr>
              <w:t>المصدر</w:t>
            </w:r>
          </w:p>
        </w:tc>
        <w:tc>
          <w:tcPr>
            <w:tcW w:w="2268" w:type="dxa"/>
            <w:shd w:val="clear" w:color="auto" w:fill="D9EAF7"/>
            <w:vAlign w:val="center"/>
          </w:tcPr>
          <w:p w14:paraId="785BCE85" w14:textId="77777777" w:rsidR="00FD59A2" w:rsidRDefault="00000000" w:rsidP="00F60ECC">
            <w:pPr>
              <w:bidi/>
              <w:jc w:val="mediumKashida"/>
              <w:rPr>
                <w:rFonts w:hint="eastAsia"/>
              </w:rPr>
            </w:pPr>
            <w:r>
              <w:rPr>
                <w:b/>
                <w:sz w:val="22"/>
                <w:rtl/>
              </w:rPr>
              <w:t>المجال</w:t>
            </w:r>
          </w:p>
        </w:tc>
        <w:tc>
          <w:tcPr>
            <w:tcW w:w="3969" w:type="dxa"/>
            <w:shd w:val="clear" w:color="auto" w:fill="D9EAF7"/>
            <w:vAlign w:val="center"/>
          </w:tcPr>
          <w:p w14:paraId="750EBD9F" w14:textId="77777777" w:rsidR="00FD59A2" w:rsidRDefault="00000000" w:rsidP="00F60ECC">
            <w:pPr>
              <w:bidi/>
              <w:jc w:val="mediumKashida"/>
              <w:rPr>
                <w:rFonts w:hint="eastAsia"/>
              </w:rPr>
            </w:pPr>
            <w:r>
              <w:rPr>
                <w:b/>
                <w:sz w:val="22"/>
                <w:rtl/>
              </w:rPr>
              <w:t>أهم الدلالات للدراسة الحالية</w:t>
            </w:r>
          </w:p>
        </w:tc>
      </w:tr>
      <w:tr w:rsidR="00FD59A2" w14:paraId="70ECAC4F" w14:textId="77777777">
        <w:trPr>
          <w:cantSplit/>
          <w:jc w:val="center"/>
        </w:trPr>
        <w:tc>
          <w:tcPr>
            <w:tcW w:w="2268" w:type="dxa"/>
            <w:vAlign w:val="center"/>
          </w:tcPr>
          <w:p w14:paraId="3C72DC4E" w14:textId="77777777" w:rsidR="00FD59A2" w:rsidRDefault="00000000" w:rsidP="00F60ECC">
            <w:pPr>
              <w:bidi/>
              <w:jc w:val="mediumKashida"/>
              <w:rPr>
                <w:rFonts w:hint="eastAsia"/>
              </w:rPr>
            </w:pPr>
            <w:r>
              <w:rPr>
                <w:sz w:val="22"/>
              </w:rPr>
              <w:t>Davenport &amp; Ronanki (2018)</w:t>
            </w:r>
          </w:p>
        </w:tc>
        <w:tc>
          <w:tcPr>
            <w:tcW w:w="2268" w:type="dxa"/>
            <w:vAlign w:val="center"/>
          </w:tcPr>
          <w:p w14:paraId="1D7A714F" w14:textId="77777777" w:rsidR="00FD59A2" w:rsidRDefault="00000000" w:rsidP="00F60ECC">
            <w:pPr>
              <w:bidi/>
              <w:jc w:val="mediumKashida"/>
              <w:rPr>
                <w:rFonts w:hint="eastAsia"/>
              </w:rPr>
            </w:pPr>
            <w:r>
              <w:rPr>
                <w:sz w:val="22"/>
                <w:rtl/>
              </w:rPr>
              <w:t>الذكاء الاصطناعي في الأعمال</w:t>
            </w:r>
          </w:p>
        </w:tc>
        <w:tc>
          <w:tcPr>
            <w:tcW w:w="3969" w:type="dxa"/>
            <w:vAlign w:val="center"/>
          </w:tcPr>
          <w:p w14:paraId="7D59966C" w14:textId="77777777" w:rsidR="00FD59A2" w:rsidRDefault="00000000" w:rsidP="00F60ECC">
            <w:pPr>
              <w:bidi/>
              <w:jc w:val="mediumKashida"/>
              <w:rPr>
                <w:rFonts w:hint="eastAsia"/>
              </w:rPr>
            </w:pPr>
            <w:r>
              <w:rPr>
                <w:sz w:val="22"/>
                <w:rtl/>
              </w:rPr>
              <w:t>قيمة الذكاء الاصطناعي تتحقق عند دمجه في العمليات وربطه بالبيانات والحوكمة.</w:t>
            </w:r>
          </w:p>
        </w:tc>
      </w:tr>
      <w:tr w:rsidR="00FD59A2" w14:paraId="7C2FC27D" w14:textId="77777777">
        <w:trPr>
          <w:cantSplit/>
          <w:jc w:val="center"/>
        </w:trPr>
        <w:tc>
          <w:tcPr>
            <w:tcW w:w="2268" w:type="dxa"/>
            <w:vAlign w:val="center"/>
          </w:tcPr>
          <w:p w14:paraId="429B554D" w14:textId="77777777" w:rsidR="00FD59A2" w:rsidRDefault="00000000" w:rsidP="00F60ECC">
            <w:pPr>
              <w:bidi/>
              <w:jc w:val="mediumKashida"/>
              <w:rPr>
                <w:rFonts w:hint="eastAsia"/>
              </w:rPr>
            </w:pPr>
            <w:r>
              <w:rPr>
                <w:sz w:val="22"/>
              </w:rPr>
              <w:t>Chen et al. (2012)</w:t>
            </w:r>
          </w:p>
        </w:tc>
        <w:tc>
          <w:tcPr>
            <w:tcW w:w="2268" w:type="dxa"/>
            <w:vAlign w:val="center"/>
          </w:tcPr>
          <w:p w14:paraId="5C243586" w14:textId="77777777" w:rsidR="00FD59A2" w:rsidRDefault="00000000" w:rsidP="00F60ECC">
            <w:pPr>
              <w:bidi/>
              <w:jc w:val="mediumKashida"/>
              <w:rPr>
                <w:rFonts w:hint="eastAsia"/>
              </w:rPr>
            </w:pPr>
            <w:r>
              <w:rPr>
                <w:sz w:val="22"/>
                <w:rtl/>
              </w:rPr>
              <w:t>تحليلات الأعمال والبيانات الضخمة</w:t>
            </w:r>
          </w:p>
        </w:tc>
        <w:tc>
          <w:tcPr>
            <w:tcW w:w="3969" w:type="dxa"/>
            <w:vAlign w:val="center"/>
          </w:tcPr>
          <w:p w14:paraId="74264B9D" w14:textId="77777777" w:rsidR="00FD59A2" w:rsidRDefault="00000000" w:rsidP="00F60ECC">
            <w:pPr>
              <w:bidi/>
              <w:jc w:val="mediumKashida"/>
              <w:rPr>
                <w:rFonts w:hint="eastAsia"/>
              </w:rPr>
            </w:pPr>
            <w:r>
              <w:rPr>
                <w:sz w:val="22"/>
                <w:rtl/>
              </w:rPr>
              <w:t>التحليلات المتقدمة تقلل عدم اليقين وتدعم القرار الاستباقي.</w:t>
            </w:r>
          </w:p>
        </w:tc>
      </w:tr>
      <w:tr w:rsidR="00FD59A2" w14:paraId="00605B25" w14:textId="77777777">
        <w:trPr>
          <w:cantSplit/>
          <w:jc w:val="center"/>
        </w:trPr>
        <w:tc>
          <w:tcPr>
            <w:tcW w:w="2268" w:type="dxa"/>
            <w:vAlign w:val="center"/>
          </w:tcPr>
          <w:p w14:paraId="4F452A5F" w14:textId="77777777" w:rsidR="00FD59A2" w:rsidRDefault="00000000" w:rsidP="00F60ECC">
            <w:pPr>
              <w:bidi/>
              <w:jc w:val="mediumKashida"/>
              <w:rPr>
                <w:rFonts w:hint="eastAsia"/>
              </w:rPr>
            </w:pPr>
            <w:r>
              <w:rPr>
                <w:sz w:val="22"/>
              </w:rPr>
              <w:t>ISO 31000 (2018)</w:t>
            </w:r>
          </w:p>
        </w:tc>
        <w:tc>
          <w:tcPr>
            <w:tcW w:w="2268" w:type="dxa"/>
            <w:vAlign w:val="center"/>
          </w:tcPr>
          <w:p w14:paraId="2B776D2F" w14:textId="77777777" w:rsidR="00FD59A2" w:rsidRDefault="00000000" w:rsidP="00F60ECC">
            <w:pPr>
              <w:bidi/>
              <w:jc w:val="mediumKashida"/>
              <w:rPr>
                <w:rFonts w:hint="eastAsia"/>
              </w:rPr>
            </w:pPr>
            <w:r>
              <w:rPr>
                <w:sz w:val="22"/>
                <w:rtl/>
              </w:rPr>
              <w:t>إدارة المخاطر</w:t>
            </w:r>
          </w:p>
        </w:tc>
        <w:tc>
          <w:tcPr>
            <w:tcW w:w="3969" w:type="dxa"/>
            <w:vAlign w:val="center"/>
          </w:tcPr>
          <w:p w14:paraId="1FA4626B" w14:textId="77777777" w:rsidR="00FD59A2" w:rsidRDefault="00000000" w:rsidP="00F60ECC">
            <w:pPr>
              <w:bidi/>
              <w:jc w:val="mediumKashida"/>
              <w:rPr>
                <w:rFonts w:hint="eastAsia"/>
              </w:rPr>
            </w:pPr>
            <w:r>
              <w:rPr>
                <w:sz w:val="22"/>
                <w:rtl/>
              </w:rPr>
              <w:t>فعالية إدارة المخاطر تعتمد على التكامل والديناميكية وأفضل المعلومات المتاحة.</w:t>
            </w:r>
          </w:p>
        </w:tc>
      </w:tr>
      <w:tr w:rsidR="00FD59A2" w14:paraId="2BB5FF48" w14:textId="77777777">
        <w:trPr>
          <w:cantSplit/>
          <w:jc w:val="center"/>
        </w:trPr>
        <w:tc>
          <w:tcPr>
            <w:tcW w:w="2268" w:type="dxa"/>
            <w:vAlign w:val="center"/>
          </w:tcPr>
          <w:p w14:paraId="0B955DBB" w14:textId="77777777" w:rsidR="00FD59A2" w:rsidRDefault="00000000" w:rsidP="00F60ECC">
            <w:pPr>
              <w:bidi/>
              <w:jc w:val="mediumKashida"/>
              <w:rPr>
                <w:rFonts w:hint="eastAsia"/>
              </w:rPr>
            </w:pPr>
            <w:r>
              <w:rPr>
                <w:sz w:val="22"/>
              </w:rPr>
              <w:lastRenderedPageBreak/>
              <w:t>PMI (2021)</w:t>
            </w:r>
          </w:p>
        </w:tc>
        <w:tc>
          <w:tcPr>
            <w:tcW w:w="2268" w:type="dxa"/>
            <w:vAlign w:val="center"/>
          </w:tcPr>
          <w:p w14:paraId="7C3986C1" w14:textId="77777777" w:rsidR="00FD59A2" w:rsidRDefault="00000000" w:rsidP="00F60ECC">
            <w:pPr>
              <w:bidi/>
              <w:jc w:val="mediumKashida"/>
              <w:rPr>
                <w:rFonts w:hint="eastAsia"/>
              </w:rPr>
            </w:pPr>
            <w:r>
              <w:rPr>
                <w:sz w:val="22"/>
                <w:rtl/>
              </w:rPr>
              <w:t>نجاح المشاريع</w:t>
            </w:r>
          </w:p>
        </w:tc>
        <w:tc>
          <w:tcPr>
            <w:tcW w:w="3969" w:type="dxa"/>
            <w:vAlign w:val="center"/>
          </w:tcPr>
          <w:p w14:paraId="45F38EB1" w14:textId="77777777" w:rsidR="00FD59A2" w:rsidRDefault="00000000" w:rsidP="00F60ECC">
            <w:pPr>
              <w:bidi/>
              <w:jc w:val="mediumKashida"/>
              <w:rPr>
                <w:rFonts w:hint="eastAsia"/>
              </w:rPr>
            </w:pPr>
            <w:r>
              <w:rPr>
                <w:sz w:val="22"/>
                <w:rtl/>
              </w:rPr>
              <w:t>نجاح المشروع يشمل القيمة ورضا أصحاب المصلحة وليس الوقت والتكلفة فقط.</w:t>
            </w:r>
          </w:p>
        </w:tc>
      </w:tr>
      <w:tr w:rsidR="00FD59A2" w14:paraId="65116EBE" w14:textId="77777777">
        <w:trPr>
          <w:cantSplit/>
          <w:jc w:val="center"/>
        </w:trPr>
        <w:tc>
          <w:tcPr>
            <w:tcW w:w="2268" w:type="dxa"/>
            <w:vAlign w:val="center"/>
          </w:tcPr>
          <w:p w14:paraId="000F44FA" w14:textId="77777777" w:rsidR="00FD59A2" w:rsidRDefault="00000000" w:rsidP="00F60ECC">
            <w:pPr>
              <w:bidi/>
              <w:jc w:val="mediumKashida"/>
              <w:rPr>
                <w:rFonts w:hint="eastAsia"/>
              </w:rPr>
            </w:pPr>
            <w:r>
              <w:rPr>
                <w:sz w:val="22"/>
              </w:rPr>
              <w:t>Vial (2019)</w:t>
            </w:r>
          </w:p>
        </w:tc>
        <w:tc>
          <w:tcPr>
            <w:tcW w:w="2268" w:type="dxa"/>
            <w:vAlign w:val="center"/>
          </w:tcPr>
          <w:p w14:paraId="64D5D9CC" w14:textId="77777777" w:rsidR="00FD59A2" w:rsidRDefault="00000000" w:rsidP="00F60ECC">
            <w:pPr>
              <w:bidi/>
              <w:jc w:val="mediumKashida"/>
              <w:rPr>
                <w:rFonts w:hint="eastAsia"/>
              </w:rPr>
            </w:pPr>
            <w:r>
              <w:rPr>
                <w:sz w:val="22"/>
                <w:rtl/>
              </w:rPr>
              <w:t>التحول الرقمي</w:t>
            </w:r>
          </w:p>
        </w:tc>
        <w:tc>
          <w:tcPr>
            <w:tcW w:w="3969" w:type="dxa"/>
            <w:vAlign w:val="center"/>
          </w:tcPr>
          <w:p w14:paraId="7B11630A" w14:textId="77777777" w:rsidR="00FD59A2" w:rsidRDefault="00000000" w:rsidP="00F60ECC">
            <w:pPr>
              <w:bidi/>
              <w:jc w:val="mediumKashida"/>
              <w:rPr>
                <w:rFonts w:hint="eastAsia"/>
              </w:rPr>
            </w:pPr>
            <w:r>
              <w:rPr>
                <w:sz w:val="22"/>
                <w:rtl/>
              </w:rPr>
              <w:t>التحول الرقمي عملية تنظيمية معقدة تتطلب قدرات رقمية وتغييراً مؤسسياً.</w:t>
            </w:r>
          </w:p>
        </w:tc>
      </w:tr>
      <w:tr w:rsidR="00FD59A2" w14:paraId="3797E1C3" w14:textId="77777777">
        <w:trPr>
          <w:cantSplit/>
          <w:jc w:val="center"/>
        </w:trPr>
        <w:tc>
          <w:tcPr>
            <w:tcW w:w="2268" w:type="dxa"/>
            <w:vAlign w:val="center"/>
          </w:tcPr>
          <w:p w14:paraId="68D24F74" w14:textId="77777777" w:rsidR="00FD59A2" w:rsidRDefault="00000000" w:rsidP="00F60ECC">
            <w:pPr>
              <w:bidi/>
              <w:jc w:val="mediumKashida"/>
              <w:rPr>
                <w:rFonts w:hint="eastAsia"/>
              </w:rPr>
            </w:pPr>
            <w:r>
              <w:rPr>
                <w:sz w:val="22"/>
                <w:rtl/>
              </w:rPr>
              <w:t>القحطاني (2024)</w:t>
            </w:r>
          </w:p>
        </w:tc>
        <w:tc>
          <w:tcPr>
            <w:tcW w:w="2268" w:type="dxa"/>
            <w:vAlign w:val="center"/>
          </w:tcPr>
          <w:p w14:paraId="673F0C93" w14:textId="77777777" w:rsidR="00FD59A2" w:rsidRDefault="00000000" w:rsidP="00F60ECC">
            <w:pPr>
              <w:bidi/>
              <w:jc w:val="mediumKashida"/>
              <w:rPr>
                <w:rFonts w:hint="eastAsia"/>
              </w:rPr>
            </w:pPr>
            <w:r>
              <w:rPr>
                <w:sz w:val="22"/>
                <w:rtl/>
              </w:rPr>
              <w:t>إدارة المخاطر والتطوير التنظيمي</w:t>
            </w:r>
          </w:p>
        </w:tc>
        <w:tc>
          <w:tcPr>
            <w:tcW w:w="3969" w:type="dxa"/>
            <w:vAlign w:val="center"/>
          </w:tcPr>
          <w:p w14:paraId="78D251C5" w14:textId="77777777" w:rsidR="00FD59A2" w:rsidRDefault="00000000" w:rsidP="00F60ECC">
            <w:pPr>
              <w:bidi/>
              <w:jc w:val="mediumKashida"/>
              <w:rPr>
                <w:rFonts w:hint="eastAsia"/>
              </w:rPr>
            </w:pPr>
            <w:r>
              <w:rPr>
                <w:sz w:val="22"/>
                <w:rtl/>
              </w:rPr>
              <w:t>ربط المخاطر بالأهداف الاستراتيجية يدعم نجاح مبادرات التطوير.</w:t>
            </w:r>
          </w:p>
        </w:tc>
      </w:tr>
      <w:tr w:rsidR="00FD59A2" w14:paraId="788FCBC4" w14:textId="77777777">
        <w:trPr>
          <w:cantSplit/>
          <w:jc w:val="center"/>
        </w:trPr>
        <w:tc>
          <w:tcPr>
            <w:tcW w:w="2268" w:type="dxa"/>
            <w:vAlign w:val="center"/>
          </w:tcPr>
          <w:p w14:paraId="58BCBE98" w14:textId="77777777" w:rsidR="00FD59A2" w:rsidRDefault="00000000" w:rsidP="00F60ECC">
            <w:pPr>
              <w:bidi/>
              <w:jc w:val="mediumKashida"/>
              <w:rPr>
                <w:rFonts w:hint="eastAsia"/>
              </w:rPr>
            </w:pPr>
            <w:r>
              <w:rPr>
                <w:sz w:val="22"/>
                <w:rtl/>
              </w:rPr>
              <w:t>محفوظ (2024)</w:t>
            </w:r>
          </w:p>
        </w:tc>
        <w:tc>
          <w:tcPr>
            <w:tcW w:w="2268" w:type="dxa"/>
            <w:vAlign w:val="center"/>
          </w:tcPr>
          <w:p w14:paraId="5BE8B55E" w14:textId="77777777" w:rsidR="00FD59A2" w:rsidRDefault="00000000" w:rsidP="00F60ECC">
            <w:pPr>
              <w:bidi/>
              <w:jc w:val="mediumKashida"/>
              <w:rPr>
                <w:rFonts w:hint="eastAsia"/>
              </w:rPr>
            </w:pPr>
            <w:r>
              <w:rPr>
                <w:sz w:val="22"/>
                <w:rtl/>
              </w:rPr>
              <w:t>الحلول السحابية وإدارة البيانات</w:t>
            </w:r>
          </w:p>
        </w:tc>
        <w:tc>
          <w:tcPr>
            <w:tcW w:w="3969" w:type="dxa"/>
            <w:vAlign w:val="center"/>
          </w:tcPr>
          <w:p w14:paraId="0982C36C" w14:textId="77777777" w:rsidR="00FD59A2" w:rsidRDefault="00000000" w:rsidP="00F60ECC">
            <w:pPr>
              <w:bidi/>
              <w:jc w:val="mediumKashida"/>
              <w:rPr>
                <w:rFonts w:hint="eastAsia"/>
              </w:rPr>
            </w:pPr>
            <w:r>
              <w:rPr>
                <w:sz w:val="22"/>
                <w:rtl/>
              </w:rPr>
              <w:t>تحسين إدارة البيانات يعزز فعالية القرار والتحول الرقمي.</w:t>
            </w:r>
          </w:p>
        </w:tc>
      </w:tr>
      <w:tr w:rsidR="00FD59A2" w14:paraId="2ED4501B" w14:textId="77777777">
        <w:trPr>
          <w:cantSplit/>
          <w:jc w:val="center"/>
        </w:trPr>
        <w:tc>
          <w:tcPr>
            <w:tcW w:w="2268" w:type="dxa"/>
            <w:vAlign w:val="center"/>
          </w:tcPr>
          <w:p w14:paraId="3F890D9F" w14:textId="77777777" w:rsidR="00FD59A2" w:rsidRDefault="00000000" w:rsidP="00F60ECC">
            <w:pPr>
              <w:bidi/>
              <w:jc w:val="mediumKashida"/>
              <w:rPr>
                <w:rFonts w:hint="eastAsia"/>
              </w:rPr>
            </w:pPr>
            <w:r>
              <w:rPr>
                <w:sz w:val="22"/>
                <w:rtl/>
              </w:rPr>
              <w:t>العمودي (2024)</w:t>
            </w:r>
          </w:p>
        </w:tc>
        <w:tc>
          <w:tcPr>
            <w:tcW w:w="2268" w:type="dxa"/>
            <w:vAlign w:val="center"/>
          </w:tcPr>
          <w:p w14:paraId="07DC6A80" w14:textId="77777777" w:rsidR="00FD59A2" w:rsidRDefault="00000000" w:rsidP="00F60ECC">
            <w:pPr>
              <w:bidi/>
              <w:jc w:val="mediumKashida"/>
              <w:rPr>
                <w:rFonts w:hint="eastAsia"/>
              </w:rPr>
            </w:pPr>
            <w:r>
              <w:rPr>
                <w:sz w:val="22"/>
                <w:rtl/>
              </w:rPr>
              <w:t>أداء المشاريع</w:t>
            </w:r>
          </w:p>
        </w:tc>
        <w:tc>
          <w:tcPr>
            <w:tcW w:w="3969" w:type="dxa"/>
            <w:vAlign w:val="center"/>
          </w:tcPr>
          <w:p w14:paraId="2DEE6CE5" w14:textId="77777777" w:rsidR="00FD59A2" w:rsidRDefault="00000000" w:rsidP="00F60ECC">
            <w:pPr>
              <w:bidi/>
              <w:jc w:val="mediumKashida"/>
              <w:rPr>
                <w:rFonts w:hint="eastAsia"/>
              </w:rPr>
            </w:pPr>
            <w:r>
              <w:rPr>
                <w:sz w:val="22"/>
                <w:rtl/>
              </w:rPr>
              <w:t>الضغوط الزمنية والانحرافات تحتاج إلى إدارة مخاطر فعالة.</w:t>
            </w:r>
          </w:p>
        </w:tc>
      </w:tr>
    </w:tbl>
    <w:p w14:paraId="2211D727" w14:textId="77777777" w:rsidR="00FD59A2" w:rsidRDefault="00FD59A2" w:rsidP="00F60ECC">
      <w:pPr>
        <w:jc w:val="mediumKashida"/>
        <w:rPr>
          <w:rFonts w:hint="eastAsia"/>
        </w:rPr>
      </w:pPr>
    </w:p>
    <w:p w14:paraId="2177C79D" w14:textId="77777777" w:rsidR="00FD59A2" w:rsidRDefault="00000000" w:rsidP="00F60ECC">
      <w:pPr>
        <w:bidi/>
        <w:spacing w:before="240" w:after="160"/>
        <w:jc w:val="mediumKashida"/>
        <w:rPr>
          <w:rFonts w:hint="eastAsia"/>
        </w:rPr>
      </w:pPr>
      <w:r>
        <w:rPr>
          <w:b/>
          <w:sz w:val="30"/>
          <w:rtl/>
        </w:rPr>
        <w:t>2-8 الفجوة البحثية</w:t>
      </w:r>
    </w:p>
    <w:p w14:paraId="0B31A0B7"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على الرغم من تعدد الدراسات التي تناولت الذكاء الاصطناعي والتحليلات من زاوية تقنية أو استراتيجية، وتلك التي درست إدارة المخاطر أو نجاح المشاريع بصورة مستقلة، إلا أن الربط الكمي بين هذه المتغيرات داخل سياق مشاريع التحول الرقمي في المؤسسات السعودية لا يزال بحاجة إلى دراسة أعمق. وتزداد هذه الفجوة أهمية بسبب طبيعة التحول الرقمي في المملكة، حيث تسعى المؤسسات إلى رفع النضج الرقمي وتحقيق قيمة عملية من الاستثمار في البيانات والتقنيات المتقدمة.</w:t>
      </w:r>
    </w:p>
    <w:p w14:paraId="09EF3552" w14:textId="77777777" w:rsidR="00FD59A2" w:rsidRDefault="00000000" w:rsidP="00F60ECC">
      <w:pPr>
        <w:bidi/>
        <w:spacing w:after="120" w:line="360" w:lineRule="auto"/>
        <w:ind w:firstLine="283"/>
        <w:jc w:val="mediumKashida"/>
        <w:rPr>
          <w:rFonts w:hint="eastAsia"/>
        </w:rPr>
      </w:pPr>
      <w:r>
        <w:rPr>
          <w:rFonts w:ascii="Noto Naskh Arabic" w:hAnsi="Noto Naskh Arabic" w:cs="Noto Naskh Arabic"/>
          <w:rtl/>
        </w:rPr>
        <w:t>ومن هنا تتميز الدراسة الحالية بأنها تقترح نموذجاً يجمع بين تبني الذكاء الاصطناعي، وقدرة التحليلات التنبؤية، وفعالية إدارة المخاطر، ونجاح مشروع التحول الرقمي، مع اختبار دور إدارة المخاطر كمتغير وسيط. وهذا الربط يتيح فهماً أكثر دقة لكيفية انتقال أثر التقنيات المتقدمة إلى نتائج المشروع.</w:t>
      </w:r>
    </w:p>
    <w:p w14:paraId="38DD3E0A" w14:textId="77777777" w:rsidR="00FD59A2" w:rsidRDefault="00000000" w:rsidP="00F60ECC">
      <w:pPr>
        <w:jc w:val="mediumKashida"/>
        <w:rPr>
          <w:rFonts w:hint="eastAsia"/>
        </w:rPr>
      </w:pPr>
      <w:r>
        <w:br w:type="page"/>
      </w:r>
    </w:p>
    <w:sectPr w:rsidR="00FD59A2" w:rsidSect="00034616">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Naskh Arabi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85681437">
    <w:abstractNumId w:val="8"/>
  </w:num>
  <w:num w:numId="2" w16cid:durableId="236016108">
    <w:abstractNumId w:val="6"/>
  </w:num>
  <w:num w:numId="3" w16cid:durableId="18435658">
    <w:abstractNumId w:val="5"/>
  </w:num>
  <w:num w:numId="4" w16cid:durableId="1218324635">
    <w:abstractNumId w:val="4"/>
  </w:num>
  <w:num w:numId="5" w16cid:durableId="1674649723">
    <w:abstractNumId w:val="7"/>
  </w:num>
  <w:num w:numId="6" w16cid:durableId="1013847559">
    <w:abstractNumId w:val="3"/>
  </w:num>
  <w:num w:numId="7" w16cid:durableId="742725551">
    <w:abstractNumId w:val="2"/>
  </w:num>
  <w:num w:numId="8" w16cid:durableId="1602714216">
    <w:abstractNumId w:val="1"/>
  </w:num>
  <w:num w:numId="9" w16cid:durableId="173061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A1D8D"/>
    <w:rsid w:val="00B47730"/>
    <w:rsid w:val="00CB0664"/>
    <w:rsid w:val="00F07C54"/>
    <w:rsid w:val="00F60ECC"/>
    <w:rsid w:val="00FC693F"/>
    <w:rsid w:val="00FD59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1B1C6D"/>
  <w14:defaultImageDpi w14:val="300"/>
  <w15:docId w15:val="{240BDB67-2D5B-4451-890D-D4A65DAD1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abic Typesetting" w:hAnsi="Arabic Typesetting" w:cs="Arabic Typesetting"/>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2205</Words>
  <Characters>12571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majid aljaree</cp:lastModifiedBy>
  <cp:revision>2</cp:revision>
  <dcterms:created xsi:type="dcterms:W3CDTF">2026-07-15T19:01:00Z</dcterms:created>
  <dcterms:modified xsi:type="dcterms:W3CDTF">2026-07-15T19:01:00Z</dcterms:modified>
  <cp:category/>
</cp:coreProperties>
</file>