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A097E" w14:textId="7360FD86" w:rsidR="00E76A7A" w:rsidRPr="00647241" w:rsidRDefault="00E76A7A" w:rsidP="00E76A7A">
      <w:pPr>
        <w:bidi/>
        <w:rPr>
          <w:rFonts w:ascii="Simplified Arabic" w:eastAsiaTheme="majorEastAsia" w:hAnsi="Simplified Arabic" w:cs="Simplified Arabic"/>
          <w:b/>
          <w:bCs/>
          <w:color w:val="365F91" w:themeColor="accent1" w:themeShade="BF"/>
          <w:sz w:val="24"/>
          <w:szCs w:val="24"/>
        </w:rPr>
      </w:pPr>
      <w:r w:rsidRPr="00647241">
        <w:rPr>
          <w:rFonts w:ascii="Simplified Arabic" w:eastAsiaTheme="majorEastAsia" w:hAnsi="Simplified Arabic" w:cs="Simplified Arabic"/>
          <w:b/>
          <w:bCs/>
          <w:color w:val="365F91" w:themeColor="accent1" w:themeShade="BF"/>
          <w:sz w:val="24"/>
          <w:szCs w:val="24"/>
          <w:rtl/>
        </w:rPr>
        <w:t>مراجعة أكاديمية للفصل الأول ملف: عادل حماص – التسليم الأول</w:t>
      </w:r>
    </w:p>
    <w:p w14:paraId="1106F559" w14:textId="1034E2A7" w:rsidR="004D1525" w:rsidRPr="00647241" w:rsidRDefault="00E76A7A"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tl/>
        </w:rPr>
        <w:t>مقدمة الدراسة</w:t>
      </w:r>
    </w:p>
    <w:tbl>
      <w:tblPr>
        <w:tblStyle w:val="TableGrid"/>
        <w:tblW w:w="0" w:type="auto"/>
        <w:jc w:val="right"/>
        <w:tblLook w:val="04A0" w:firstRow="1" w:lastRow="0" w:firstColumn="1" w:lastColumn="0" w:noHBand="0" w:noVBand="1"/>
      </w:tblPr>
      <w:tblGrid>
        <w:gridCol w:w="2679"/>
        <w:gridCol w:w="2518"/>
        <w:gridCol w:w="2246"/>
        <w:gridCol w:w="1187"/>
      </w:tblGrid>
      <w:tr w:rsidR="00E76A7A" w:rsidRPr="00647241" w14:paraId="39C58A9B" w14:textId="0F58207F" w:rsidTr="00E76A7A">
        <w:trPr>
          <w:jc w:val="right"/>
        </w:trPr>
        <w:tc>
          <w:tcPr>
            <w:tcW w:w="2682" w:type="dxa"/>
          </w:tcPr>
          <w:p w14:paraId="5CE78AD2" w14:textId="63C0E872" w:rsidR="00E76A7A" w:rsidRPr="00647241" w:rsidRDefault="00E76A7A" w:rsidP="00E76A7A">
            <w:pPr>
              <w:bidi/>
              <w:rPr>
                <w:rFonts w:ascii="Simplified Arabic" w:hAnsi="Simplified Arabic" w:cs="Simplified Arabic"/>
                <w:b/>
                <w:bCs/>
                <w:sz w:val="24"/>
                <w:szCs w:val="24"/>
              </w:rPr>
            </w:pPr>
            <w:r w:rsidRPr="00647241">
              <w:rPr>
                <w:rFonts w:ascii="Simplified Arabic" w:hAnsi="Simplified Arabic" w:cs="Simplified Arabic"/>
                <w:b/>
                <w:bCs/>
                <w:sz w:val="24"/>
                <w:szCs w:val="24"/>
                <w:rtl/>
              </w:rPr>
              <w:t>كيفية التنفيذ (خطوات عملية للطالب)</w:t>
            </w:r>
          </w:p>
        </w:tc>
        <w:tc>
          <w:tcPr>
            <w:tcW w:w="2520" w:type="dxa"/>
          </w:tcPr>
          <w:p w14:paraId="04B3B693" w14:textId="3EA40DF7" w:rsidR="00E76A7A" w:rsidRPr="00647241" w:rsidRDefault="00E76A7A" w:rsidP="00E76A7A">
            <w:pPr>
              <w:bidi/>
              <w:rPr>
                <w:rFonts w:ascii="Simplified Arabic" w:hAnsi="Simplified Arabic" w:cs="Simplified Arabic"/>
                <w:b/>
                <w:bCs/>
                <w:sz w:val="24"/>
                <w:szCs w:val="24"/>
              </w:rPr>
            </w:pPr>
            <w:r w:rsidRPr="00647241">
              <w:rPr>
                <w:rFonts w:ascii="Simplified Arabic" w:hAnsi="Simplified Arabic" w:cs="Simplified Arabic"/>
                <w:b/>
                <w:bCs/>
                <w:sz w:val="24"/>
                <w:szCs w:val="24"/>
                <w:rtl/>
              </w:rPr>
              <w:t>نص الملاحظة (بالعربية الأكاديمية)</w:t>
            </w:r>
          </w:p>
        </w:tc>
        <w:tc>
          <w:tcPr>
            <w:tcW w:w="2250" w:type="dxa"/>
          </w:tcPr>
          <w:p w14:paraId="6AD2B058" w14:textId="5F619425" w:rsidR="00E76A7A" w:rsidRPr="00647241" w:rsidRDefault="00E76A7A" w:rsidP="00E76A7A">
            <w:pPr>
              <w:bidi/>
              <w:rPr>
                <w:rFonts w:ascii="Simplified Arabic" w:hAnsi="Simplified Arabic" w:cs="Simplified Arabic"/>
                <w:b/>
                <w:bCs/>
                <w:sz w:val="24"/>
                <w:szCs w:val="24"/>
              </w:rPr>
            </w:pPr>
            <w:r w:rsidRPr="00647241">
              <w:rPr>
                <w:rFonts w:ascii="Simplified Arabic" w:hAnsi="Simplified Arabic" w:cs="Simplified Arabic"/>
                <w:b/>
                <w:bCs/>
                <w:sz w:val="24"/>
                <w:szCs w:val="24"/>
                <w:rtl/>
              </w:rPr>
              <w:t>موضع الملاحظة في النص</w:t>
            </w:r>
          </w:p>
        </w:tc>
        <w:tc>
          <w:tcPr>
            <w:tcW w:w="1188" w:type="dxa"/>
          </w:tcPr>
          <w:p w14:paraId="42E363EE" w14:textId="081264E6" w:rsidR="00E76A7A" w:rsidRPr="00647241" w:rsidRDefault="00E76A7A" w:rsidP="00E76A7A">
            <w:pPr>
              <w:bidi/>
              <w:rPr>
                <w:rFonts w:ascii="Simplified Arabic" w:hAnsi="Simplified Arabic" w:cs="Simplified Arabic"/>
                <w:b/>
                <w:bCs/>
                <w:sz w:val="24"/>
                <w:szCs w:val="24"/>
              </w:rPr>
            </w:pPr>
            <w:r w:rsidRPr="00647241">
              <w:rPr>
                <w:rFonts w:ascii="Simplified Arabic" w:hAnsi="Simplified Arabic" w:cs="Simplified Arabic"/>
                <w:b/>
                <w:bCs/>
                <w:sz w:val="24"/>
                <w:szCs w:val="24"/>
                <w:rtl/>
              </w:rPr>
              <w:t>رقم الملاحظة</w:t>
            </w:r>
          </w:p>
        </w:tc>
      </w:tr>
      <w:tr w:rsidR="00E76A7A" w:rsidRPr="00647241" w14:paraId="01B51B7E" w14:textId="287D795B" w:rsidTr="00E76A7A">
        <w:trPr>
          <w:jc w:val="right"/>
        </w:trPr>
        <w:tc>
          <w:tcPr>
            <w:tcW w:w="2682" w:type="dxa"/>
          </w:tcPr>
          <w:p w14:paraId="2D5DC757" w14:textId="009AF5CF"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اختصر التاريخ إلى 3–4 أسطر كحد أقصى، وابدأ المقدمة بسياق السعودية بعد 2018 (الإستراتيجية الوطنية للبيئة، المراكز الخمسة، صندوق البيئة) كمدخل يقود بسرعة لمشكلة الدراسة.</w:t>
            </w:r>
          </w:p>
        </w:tc>
        <w:tc>
          <w:tcPr>
            <w:tcW w:w="2520" w:type="dxa"/>
          </w:tcPr>
          <w:p w14:paraId="442580D6" w14:textId="21C48075"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تمهيد تاريخي مطوّل عن الشراكات العامة–الخاصّة يبدأ من العصور الوسطى؛ هذا يبعد التركيز عن</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tl/>
              </w:rPr>
              <w:t>سياق المملكة والقطاع البيئي.</w:t>
            </w:r>
          </w:p>
        </w:tc>
        <w:tc>
          <w:tcPr>
            <w:tcW w:w="2250" w:type="dxa"/>
          </w:tcPr>
          <w:p w14:paraId="0FD9E357" w14:textId="07E37BE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الفقرة الأولى من المقدمة</w:t>
            </w:r>
          </w:p>
        </w:tc>
        <w:tc>
          <w:tcPr>
            <w:tcW w:w="1188" w:type="dxa"/>
          </w:tcPr>
          <w:p w14:paraId="70A54E01" w14:textId="02E6B28C"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E76A7A" w:rsidRPr="00647241" w14:paraId="351089A6" w14:textId="10AE742D" w:rsidTr="00E76A7A">
        <w:trPr>
          <w:jc w:val="right"/>
        </w:trPr>
        <w:tc>
          <w:tcPr>
            <w:tcW w:w="2682" w:type="dxa"/>
          </w:tcPr>
          <w:p w14:paraId="18ACB7B6" w14:textId="5E2E3BF9"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استبدل الأمثلة بمصادر محكّمة وتقارير رسمية</w:t>
            </w:r>
            <w:r w:rsidRPr="00647241">
              <w:rPr>
                <w:rFonts w:ascii="Simplified Arabic" w:hAnsi="Simplified Arabic" w:cs="Simplified Arabic"/>
                <w:sz w:val="24"/>
                <w:szCs w:val="24"/>
              </w:rPr>
              <w:t xml:space="preserve"> (OECD, World Bank PPP, NCP-KSA</w:t>
            </w:r>
            <w:r w:rsidRPr="00647241">
              <w:rPr>
                <w:rFonts w:ascii="Simplified Arabic" w:hAnsi="Simplified Arabic" w:cs="Simplified Arabic"/>
                <w:sz w:val="24"/>
                <w:szCs w:val="24"/>
                <w:rtl/>
              </w:rPr>
              <w:t>، تقارير</w:t>
            </w:r>
            <w:r w:rsidRPr="00647241">
              <w:rPr>
                <w:rFonts w:ascii="Simplified Arabic" w:hAnsi="Simplified Arabic" w:cs="Simplified Arabic"/>
                <w:sz w:val="24"/>
                <w:szCs w:val="24"/>
              </w:rPr>
              <w:t xml:space="preserve"> MEWA/NCEC)</w:t>
            </w:r>
            <w:r w:rsidRPr="00647241">
              <w:rPr>
                <w:rFonts w:ascii="Simplified Arabic" w:hAnsi="Simplified Arabic" w:cs="Simplified Arabic"/>
                <w:sz w:val="24"/>
                <w:szCs w:val="24"/>
                <w:rtl/>
              </w:rPr>
              <w:t>، وحدّث الإحالات لآخر 5 سنوات.</w:t>
            </w:r>
          </w:p>
        </w:tc>
        <w:tc>
          <w:tcPr>
            <w:tcW w:w="2520" w:type="dxa"/>
          </w:tcPr>
          <w:p w14:paraId="56D1FE98" w14:textId="0A5FA825"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توظيف مصادر عامة</w:t>
            </w:r>
            <w:r w:rsidRPr="00647241">
              <w:rPr>
                <w:rFonts w:ascii="Simplified Arabic" w:hAnsi="Simplified Arabic" w:cs="Simplified Arabic"/>
                <w:sz w:val="24"/>
                <w:szCs w:val="24"/>
              </w:rPr>
              <w:t xml:space="preserve"> (Investopedia, LawTeacher) </w:t>
            </w:r>
            <w:r w:rsidRPr="00647241">
              <w:rPr>
                <w:rFonts w:ascii="Simplified Arabic" w:hAnsi="Simplified Arabic" w:cs="Simplified Arabic"/>
                <w:sz w:val="24"/>
                <w:szCs w:val="24"/>
                <w:rtl/>
              </w:rPr>
              <w:t>يضعف الصرامة الأكاديمية.</w:t>
            </w:r>
          </w:p>
        </w:tc>
        <w:tc>
          <w:tcPr>
            <w:tcW w:w="2250" w:type="dxa"/>
          </w:tcPr>
          <w:p w14:paraId="73A89E33" w14:textId="40054F9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منتصف المقدمة (الأمثلة والمراجع)</w:t>
            </w:r>
          </w:p>
        </w:tc>
        <w:tc>
          <w:tcPr>
            <w:tcW w:w="1188" w:type="dxa"/>
          </w:tcPr>
          <w:p w14:paraId="0FABA6E9" w14:textId="006DAFA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E76A7A" w:rsidRPr="00647241" w14:paraId="62C6F66E" w14:textId="472EF3D6" w:rsidTr="00E76A7A">
        <w:trPr>
          <w:jc w:val="right"/>
        </w:trPr>
        <w:tc>
          <w:tcPr>
            <w:tcW w:w="2682" w:type="dxa"/>
          </w:tcPr>
          <w:p w14:paraId="77390D7A" w14:textId="0A208858"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اختم المقدمة بفقرة «خلاصة الفجوة»: (أ) ماذا تناولته الأدبيات عالميًا ومحليًا عن</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في البيئة، (ب) ما الذي لم يُختبر في المملكة/التفتيش البيئي، (ج) صياغة فجوة دقيقة تمهّد للمشكلة.</w:t>
            </w:r>
          </w:p>
        </w:tc>
        <w:tc>
          <w:tcPr>
            <w:tcW w:w="2520" w:type="dxa"/>
          </w:tcPr>
          <w:p w14:paraId="755B86FB" w14:textId="3C596871"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صياغة الفجوة عامة (قلة الدراسات/الحاجة إلى نموذج) دون تحديد «نوع الفجوة» (سياقية/منهجية/نمذجة) ولماذا «التفتيش البيئي».</w:t>
            </w:r>
          </w:p>
        </w:tc>
        <w:tc>
          <w:tcPr>
            <w:tcW w:w="2250" w:type="dxa"/>
          </w:tcPr>
          <w:p w14:paraId="2EFF25C9" w14:textId="5D8FD241"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فقرة إبراز الفجوة</w:t>
            </w:r>
          </w:p>
        </w:tc>
        <w:tc>
          <w:tcPr>
            <w:tcW w:w="1188" w:type="dxa"/>
          </w:tcPr>
          <w:p w14:paraId="6F4D459C" w14:textId="21CC4D1F"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r w:rsidR="00E76A7A" w:rsidRPr="00647241" w14:paraId="2F4CEF47" w14:textId="02746EF5" w:rsidTr="00E76A7A">
        <w:trPr>
          <w:jc w:val="right"/>
        </w:trPr>
        <w:tc>
          <w:tcPr>
            <w:tcW w:w="2682" w:type="dxa"/>
          </w:tcPr>
          <w:p w14:paraId="087944B1" w14:textId="56C17A92"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انقل الشكر إلى صفحة مستقلة قبل الفهرس أو بعد صفحة العنوان حسب دليل الجامعة، واجعل الفصل الأول «إطارًا منهجيًا» خالصًا بلا عناصر احتفائية.</w:t>
            </w:r>
          </w:p>
        </w:tc>
        <w:tc>
          <w:tcPr>
            <w:tcW w:w="2520" w:type="dxa"/>
          </w:tcPr>
          <w:p w14:paraId="30A825F0" w14:textId="19DB9FF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وجود «شكر وتقدير» ومحتوى غير منهجي قبل/ضمن الفصل يُخلّ بالبناء الأكاديمي للفصل الأول.</w:t>
            </w:r>
          </w:p>
        </w:tc>
        <w:tc>
          <w:tcPr>
            <w:tcW w:w="2250" w:type="dxa"/>
          </w:tcPr>
          <w:p w14:paraId="36763A2D" w14:textId="09DD6C8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الموضع السابق للمستخلص والشكر</w:t>
            </w:r>
          </w:p>
        </w:tc>
        <w:tc>
          <w:tcPr>
            <w:tcW w:w="1188" w:type="dxa"/>
          </w:tcPr>
          <w:p w14:paraId="47D15517" w14:textId="127A1761"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4</w:t>
            </w:r>
          </w:p>
        </w:tc>
      </w:tr>
      <w:tr w:rsidR="00E76A7A" w:rsidRPr="00647241" w14:paraId="72717470" w14:textId="44BA3404" w:rsidTr="00E76A7A">
        <w:trPr>
          <w:jc w:val="right"/>
        </w:trPr>
        <w:tc>
          <w:tcPr>
            <w:tcW w:w="2682" w:type="dxa"/>
          </w:tcPr>
          <w:p w14:paraId="7ABE528A" w14:textId="4E2509A2"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lastRenderedPageBreak/>
              <w:t>اعتمد أسلوبًا تحليليًا مكثفًا: فقرات قصيرة (3–5 أسطر)، جملة مفتاحية لكل فقرة، ثم جملة انتقالية تقود للمشكلة.</w:t>
            </w:r>
          </w:p>
        </w:tc>
        <w:tc>
          <w:tcPr>
            <w:tcW w:w="2520" w:type="dxa"/>
          </w:tcPr>
          <w:p w14:paraId="2A6B57A5" w14:textId="64B2823F"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وجود تكرار وصياغات إنشائية مطوّلة ونقل عبارات من وثائق رسمية دون تحليل نقدي.</w:t>
            </w:r>
          </w:p>
        </w:tc>
        <w:tc>
          <w:tcPr>
            <w:tcW w:w="2250" w:type="dxa"/>
          </w:tcPr>
          <w:p w14:paraId="2C7E9891" w14:textId="1BB58A58"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اللغة والأسلوب</w:t>
            </w:r>
          </w:p>
        </w:tc>
        <w:tc>
          <w:tcPr>
            <w:tcW w:w="1188" w:type="dxa"/>
          </w:tcPr>
          <w:p w14:paraId="366A5412" w14:textId="0D574D69"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5</w:t>
            </w:r>
          </w:p>
        </w:tc>
      </w:tr>
    </w:tbl>
    <w:p w14:paraId="058CD3B8" w14:textId="77777777" w:rsidR="004D1525" w:rsidRPr="00647241" w:rsidRDefault="004D1525" w:rsidP="00E76A7A">
      <w:pPr>
        <w:bidi/>
        <w:rPr>
          <w:rFonts w:ascii="Simplified Arabic" w:hAnsi="Simplified Arabic" w:cs="Simplified Arabic"/>
          <w:sz w:val="24"/>
          <w:szCs w:val="24"/>
        </w:rPr>
      </w:pPr>
    </w:p>
    <w:p w14:paraId="06A2E408"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مشكلة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الدراسة</w:t>
      </w:r>
    </w:p>
    <w:tbl>
      <w:tblPr>
        <w:tblStyle w:val="TableGrid"/>
        <w:tblW w:w="8658" w:type="dxa"/>
        <w:jc w:val="right"/>
        <w:tblLook w:val="04A0" w:firstRow="1" w:lastRow="0" w:firstColumn="1" w:lastColumn="0" w:noHBand="0" w:noVBand="1"/>
      </w:tblPr>
      <w:tblGrid>
        <w:gridCol w:w="2700"/>
        <w:gridCol w:w="2520"/>
        <w:gridCol w:w="2250"/>
        <w:gridCol w:w="1188"/>
      </w:tblGrid>
      <w:tr w:rsidR="00E76A7A" w:rsidRPr="00647241" w14:paraId="36AD7985" w14:textId="465FB064" w:rsidTr="00E76A7A">
        <w:trPr>
          <w:jc w:val="right"/>
        </w:trPr>
        <w:tc>
          <w:tcPr>
            <w:tcW w:w="2700" w:type="dxa"/>
          </w:tcPr>
          <w:p w14:paraId="662BBAE3" w14:textId="09ACEE81"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520" w:type="dxa"/>
          </w:tcPr>
          <w:p w14:paraId="0E364CE2" w14:textId="0AF13DBC"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250" w:type="dxa"/>
          </w:tcPr>
          <w:p w14:paraId="31706210" w14:textId="3C61BEB1"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188" w:type="dxa"/>
          </w:tcPr>
          <w:p w14:paraId="5FFECC16" w14:textId="23A75022"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E76A7A" w:rsidRPr="00647241" w14:paraId="468C5AB5" w14:textId="4CE84713" w:rsidTr="00E76A7A">
        <w:trPr>
          <w:jc w:val="right"/>
        </w:trPr>
        <w:tc>
          <w:tcPr>
            <w:tcW w:w="2700" w:type="dxa"/>
          </w:tcPr>
          <w:p w14:paraId="3C23DAC4" w14:textId="1FA0ACC3"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أعد الصياغة وفق التسلسل: (أ) توصيف الأداء الراهن لخدمة التفتيش البيئي بمؤشرات (عدد الزيارات/زمن الإغلاق/التكلفة لكل زيارة/نسبة الإلتزام)، (ب) قصور تشغيلي/مالي، (ج) قصور الأدبيات في نمذجة</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لهذه الخدمة، (د) سؤال/عبارة مشكلة موجزة.</w:t>
            </w:r>
          </w:p>
        </w:tc>
        <w:tc>
          <w:tcPr>
            <w:tcW w:w="2520" w:type="dxa"/>
          </w:tcPr>
          <w:p w14:paraId="558B2CDF" w14:textId="7AB55AA3"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المشكلة معروضة بوصف عام</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tl/>
              </w:rPr>
              <w:t>لفوائد/تعقيدات</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دون سلسلة سببية مرتبطة بالتفتيش البيئي في السعودية.</w:t>
            </w:r>
          </w:p>
        </w:tc>
        <w:tc>
          <w:tcPr>
            <w:tcW w:w="2250" w:type="dxa"/>
          </w:tcPr>
          <w:p w14:paraId="1AF9C955" w14:textId="676E60FA"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بداية قسم المشكلة</w:t>
            </w:r>
          </w:p>
        </w:tc>
        <w:tc>
          <w:tcPr>
            <w:tcW w:w="1188" w:type="dxa"/>
          </w:tcPr>
          <w:p w14:paraId="05FB9100" w14:textId="4C5FB54F"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E76A7A" w:rsidRPr="00647241" w14:paraId="315C2896" w14:textId="1EF67276" w:rsidTr="00E76A7A">
        <w:trPr>
          <w:jc w:val="right"/>
        </w:trPr>
        <w:tc>
          <w:tcPr>
            <w:tcW w:w="2700" w:type="dxa"/>
          </w:tcPr>
          <w:p w14:paraId="01F1B93E" w14:textId="482AAAD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أضف مقارنة موجزة (3–4 بنود) مع بدائل مثل الرصد الجوي/إدارة النفايات توضّح تميز التفتيش البيئي من حيث قابلية الرسوم وقابلية القياس.</w:t>
            </w:r>
          </w:p>
        </w:tc>
        <w:tc>
          <w:tcPr>
            <w:tcW w:w="2520" w:type="dxa"/>
          </w:tcPr>
          <w:p w14:paraId="169C3F75" w14:textId="4EC0F656"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لا يُبيَّن لماذا التفتيش البيئي أصلحُ حالةٍ للدراسة مقارنة بخدمات بيئية أخرى.</w:t>
            </w:r>
          </w:p>
        </w:tc>
        <w:tc>
          <w:tcPr>
            <w:tcW w:w="2250" w:type="dxa"/>
          </w:tcPr>
          <w:p w14:paraId="4C44AA26" w14:textId="1C0F555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تمييز نوع الفجوة</w:t>
            </w:r>
          </w:p>
        </w:tc>
        <w:tc>
          <w:tcPr>
            <w:tcW w:w="1188" w:type="dxa"/>
          </w:tcPr>
          <w:p w14:paraId="6F91DAF4" w14:textId="2C453593"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E76A7A" w:rsidRPr="00647241" w14:paraId="14290643" w14:textId="4989A46C" w:rsidTr="00E76A7A">
        <w:trPr>
          <w:jc w:val="right"/>
        </w:trPr>
        <w:tc>
          <w:tcPr>
            <w:tcW w:w="2700" w:type="dxa"/>
          </w:tcPr>
          <w:p w14:paraId="0A3AFDD8" w14:textId="075DB032"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أدرج مؤشرات قابلة للقياس: تكلفة مهمة التفتيش/زيارة، زمن المعالجة، معدل التغطية الجغرافية، نسبة المخالفات المتكررة، مع الإسناد إلى</w:t>
            </w:r>
            <w:r w:rsidRPr="00647241">
              <w:rPr>
                <w:rFonts w:ascii="Simplified Arabic" w:hAnsi="Simplified Arabic" w:cs="Simplified Arabic"/>
                <w:sz w:val="24"/>
                <w:szCs w:val="24"/>
              </w:rPr>
              <w:t xml:space="preserve"> MEWA/NCEC/</w:t>
            </w:r>
            <w:r w:rsidRPr="00647241">
              <w:rPr>
                <w:rFonts w:ascii="Simplified Arabic" w:hAnsi="Simplified Arabic" w:cs="Simplified Arabic"/>
                <w:sz w:val="24"/>
                <w:szCs w:val="24"/>
                <w:rtl/>
              </w:rPr>
              <w:t>التقارير السنوية.</w:t>
            </w:r>
          </w:p>
        </w:tc>
        <w:tc>
          <w:tcPr>
            <w:tcW w:w="2520" w:type="dxa"/>
          </w:tcPr>
          <w:p w14:paraId="0EE98BCE" w14:textId="31D93DE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غياب مؤشرات محلية/رسمية تُظهر الحاجة العملية.</w:t>
            </w:r>
          </w:p>
        </w:tc>
        <w:tc>
          <w:tcPr>
            <w:tcW w:w="2250" w:type="dxa"/>
          </w:tcPr>
          <w:p w14:paraId="19B91295" w14:textId="3207F86A"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المؤشرات العملية</w:t>
            </w:r>
          </w:p>
        </w:tc>
        <w:tc>
          <w:tcPr>
            <w:tcW w:w="1188" w:type="dxa"/>
          </w:tcPr>
          <w:p w14:paraId="40759EB9" w14:textId="66AA5B98"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r w:rsidR="00E76A7A" w:rsidRPr="00647241" w14:paraId="566655C9" w14:textId="7B56F0BA" w:rsidTr="00E76A7A">
        <w:trPr>
          <w:jc w:val="right"/>
        </w:trPr>
        <w:tc>
          <w:tcPr>
            <w:tcW w:w="2700" w:type="dxa"/>
          </w:tcPr>
          <w:p w14:paraId="02DF9511" w14:textId="09D95E77"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lastRenderedPageBreak/>
              <w:t>أضف سطرًا يقيّد قابلية نقل الدروس من</w:t>
            </w:r>
            <w:r w:rsidRPr="00647241">
              <w:rPr>
                <w:rFonts w:ascii="Simplified Arabic" w:hAnsi="Simplified Arabic" w:cs="Simplified Arabic"/>
                <w:sz w:val="24"/>
                <w:szCs w:val="24"/>
              </w:rPr>
              <w:t xml:space="preserve"> UK/Scotland </w:t>
            </w:r>
            <w:r w:rsidRPr="00647241">
              <w:rPr>
                <w:rFonts w:ascii="Simplified Arabic" w:hAnsi="Simplified Arabic" w:cs="Simplified Arabic"/>
                <w:sz w:val="24"/>
                <w:szCs w:val="24"/>
                <w:rtl/>
              </w:rPr>
              <w:t>إلى</w:t>
            </w:r>
            <w:r w:rsidRPr="00647241">
              <w:rPr>
                <w:rFonts w:ascii="Simplified Arabic" w:hAnsi="Simplified Arabic" w:cs="Simplified Arabic"/>
                <w:sz w:val="24"/>
                <w:szCs w:val="24"/>
              </w:rPr>
              <w:t xml:space="preserve"> KSA </w:t>
            </w:r>
            <w:r w:rsidRPr="00647241">
              <w:rPr>
                <w:rFonts w:ascii="Simplified Arabic" w:hAnsi="Simplified Arabic" w:cs="Simplified Arabic"/>
                <w:sz w:val="24"/>
                <w:szCs w:val="24"/>
                <w:rtl/>
              </w:rPr>
              <w:t>(اختلاف العقود، الشفافية، استقلالية المنظّم).</w:t>
            </w:r>
          </w:p>
        </w:tc>
        <w:tc>
          <w:tcPr>
            <w:tcW w:w="2520" w:type="dxa"/>
          </w:tcPr>
          <w:p w14:paraId="4A47F3B3" w14:textId="56A55A3C"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خلط بين أرقام إقليمية عامة وأمثلة دولية دون تعليل للاختلافات المؤسسية.</w:t>
            </w:r>
          </w:p>
        </w:tc>
        <w:tc>
          <w:tcPr>
            <w:tcW w:w="2250" w:type="dxa"/>
          </w:tcPr>
          <w:p w14:paraId="6FE4DD6C" w14:textId="717201D1"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الاتساق المرجعي</w:t>
            </w:r>
          </w:p>
        </w:tc>
        <w:tc>
          <w:tcPr>
            <w:tcW w:w="1188" w:type="dxa"/>
          </w:tcPr>
          <w:p w14:paraId="515E0163" w14:textId="0664471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4</w:t>
            </w:r>
          </w:p>
        </w:tc>
      </w:tr>
    </w:tbl>
    <w:p w14:paraId="2EF5EB19" w14:textId="77777777" w:rsidR="004D1525" w:rsidRPr="00647241" w:rsidRDefault="004D1525" w:rsidP="00E76A7A">
      <w:pPr>
        <w:bidi/>
        <w:rPr>
          <w:rFonts w:ascii="Simplified Arabic" w:hAnsi="Simplified Arabic" w:cs="Simplified Arabic"/>
          <w:sz w:val="24"/>
          <w:szCs w:val="24"/>
        </w:rPr>
      </w:pPr>
    </w:p>
    <w:p w14:paraId="2B48D7DA"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أهداف</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الدراسة</w:t>
      </w:r>
    </w:p>
    <w:tbl>
      <w:tblPr>
        <w:tblStyle w:val="TableGrid"/>
        <w:tblW w:w="8880" w:type="dxa"/>
        <w:jc w:val="right"/>
        <w:tblLook w:val="04A0" w:firstRow="1" w:lastRow="0" w:firstColumn="1" w:lastColumn="0" w:noHBand="0" w:noVBand="1"/>
      </w:tblPr>
      <w:tblGrid>
        <w:gridCol w:w="3150"/>
        <w:gridCol w:w="2292"/>
        <w:gridCol w:w="2292"/>
        <w:gridCol w:w="1146"/>
      </w:tblGrid>
      <w:tr w:rsidR="00E76A7A" w:rsidRPr="00647241" w14:paraId="696AEE88" w14:textId="2722740D" w:rsidTr="00E76A7A">
        <w:trPr>
          <w:jc w:val="right"/>
        </w:trPr>
        <w:tc>
          <w:tcPr>
            <w:tcW w:w="3150" w:type="dxa"/>
          </w:tcPr>
          <w:p w14:paraId="513E9870" w14:textId="13BFF0E7"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292" w:type="dxa"/>
          </w:tcPr>
          <w:p w14:paraId="47944EB9" w14:textId="4B57A1C5"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292" w:type="dxa"/>
          </w:tcPr>
          <w:p w14:paraId="11B361A4" w14:textId="3EE5F531"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146" w:type="dxa"/>
          </w:tcPr>
          <w:p w14:paraId="6FCAF08F" w14:textId="63551914"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E76A7A" w:rsidRPr="00647241" w14:paraId="3F2D3001" w14:textId="577B95FC" w:rsidTr="00E76A7A">
        <w:trPr>
          <w:jc w:val="right"/>
        </w:trPr>
        <w:tc>
          <w:tcPr>
            <w:tcW w:w="3150" w:type="dxa"/>
          </w:tcPr>
          <w:p w14:paraId="549DA76F" w14:textId="29DB29CC"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صُغ الهدف: «اقتراح نموذج شراكة</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لخدمة التفتيش البيئي في المملكة العربية السعودية وقياس أثره المتوقع على الحوكمة والكفاءة التشغيلية خلال عام</w:t>
            </w:r>
            <w:r w:rsidRPr="00647241">
              <w:rPr>
                <w:rFonts w:ascii="Simplified Arabic" w:hAnsi="Simplified Arabic" w:cs="Simplified Arabic"/>
                <w:sz w:val="24"/>
                <w:szCs w:val="24"/>
              </w:rPr>
              <w:t xml:space="preserve"> (20XX)».</w:t>
            </w:r>
          </w:p>
        </w:tc>
        <w:tc>
          <w:tcPr>
            <w:tcW w:w="2292" w:type="dxa"/>
          </w:tcPr>
          <w:p w14:paraId="5F329F39" w14:textId="28BEFF2A"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الهدف العام مناسب لكنه غير مقيّد مكانيًا/زمانيًا وبصيغة قابلة للقياس.</w:t>
            </w:r>
          </w:p>
        </w:tc>
        <w:tc>
          <w:tcPr>
            <w:tcW w:w="2292" w:type="dxa"/>
          </w:tcPr>
          <w:p w14:paraId="35020E77" w14:textId="0704980E"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الهدف العام</w:t>
            </w:r>
          </w:p>
        </w:tc>
        <w:tc>
          <w:tcPr>
            <w:tcW w:w="1146" w:type="dxa"/>
          </w:tcPr>
          <w:p w14:paraId="3B35BE16" w14:textId="7086DB0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E76A7A" w:rsidRPr="00647241" w14:paraId="2A9AE5D9" w14:textId="17CA2E28" w:rsidTr="00E76A7A">
        <w:trPr>
          <w:jc w:val="right"/>
        </w:trPr>
        <w:tc>
          <w:tcPr>
            <w:tcW w:w="3150" w:type="dxa"/>
          </w:tcPr>
          <w:p w14:paraId="57567387" w14:textId="417D50DE"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أعد الهيكلة إلى: (1) توصيف الوضع الراهن لمؤشرات الخدمة، (2) إعداد دراسة جدوى تشغيلية/مالية، (3) تصميم بدائل تعاقدية</w:t>
            </w:r>
            <w:r w:rsidRPr="00647241">
              <w:rPr>
                <w:rFonts w:ascii="Simplified Arabic" w:hAnsi="Simplified Arabic" w:cs="Simplified Arabic"/>
                <w:sz w:val="24"/>
                <w:szCs w:val="24"/>
              </w:rPr>
              <w:t xml:space="preserve"> (DBO/DBFM/Outsourcing)</w:t>
            </w:r>
            <w:r w:rsidRPr="00647241">
              <w:rPr>
                <w:rFonts w:ascii="Simplified Arabic" w:hAnsi="Simplified Arabic" w:cs="Simplified Arabic"/>
                <w:sz w:val="24"/>
                <w:szCs w:val="24"/>
                <w:rtl/>
              </w:rPr>
              <w:t xml:space="preserve">، </w:t>
            </w:r>
            <w:r w:rsidRPr="00647241">
              <w:rPr>
                <w:rFonts w:ascii="Simplified Arabic" w:hAnsi="Simplified Arabic" w:cs="Simplified Arabic"/>
                <w:sz w:val="24"/>
                <w:szCs w:val="24"/>
              </w:rPr>
              <w:t xml:space="preserve">(4) </w:t>
            </w:r>
            <w:r w:rsidRPr="00647241">
              <w:rPr>
                <w:rFonts w:ascii="Simplified Arabic" w:hAnsi="Simplified Arabic" w:cs="Simplified Arabic"/>
                <w:sz w:val="24"/>
                <w:szCs w:val="24"/>
                <w:rtl/>
              </w:rPr>
              <w:t>تحليل المخاطر وتوزيعها، (5) محاكاة سيناريوهات الرسوم والعوائد.</w:t>
            </w:r>
          </w:p>
        </w:tc>
        <w:tc>
          <w:tcPr>
            <w:tcW w:w="2292" w:type="dxa"/>
          </w:tcPr>
          <w:p w14:paraId="6036DCA1" w14:textId="70304C6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بعض الأهداف وصفية متعددة دون مواءمة مباشرة مع التحليل اللاحق.</w:t>
            </w:r>
          </w:p>
        </w:tc>
        <w:tc>
          <w:tcPr>
            <w:tcW w:w="2292" w:type="dxa"/>
          </w:tcPr>
          <w:p w14:paraId="14FD396D" w14:textId="33A3B68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الأهداف الفرعية</w:t>
            </w:r>
          </w:p>
        </w:tc>
        <w:tc>
          <w:tcPr>
            <w:tcW w:w="1146" w:type="dxa"/>
          </w:tcPr>
          <w:p w14:paraId="4259780B" w14:textId="31C58CB0"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E76A7A" w:rsidRPr="00647241" w14:paraId="7AF03FC9" w14:textId="7D5F0AB8" w:rsidTr="00E76A7A">
        <w:trPr>
          <w:jc w:val="right"/>
        </w:trPr>
        <w:tc>
          <w:tcPr>
            <w:tcW w:w="3150" w:type="dxa"/>
          </w:tcPr>
          <w:p w14:paraId="4609A448" w14:textId="29D3366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أرفق لكل هدف</w:t>
            </w:r>
            <w:r w:rsidRPr="00647241">
              <w:rPr>
                <w:rFonts w:ascii="Simplified Arabic" w:hAnsi="Simplified Arabic" w:cs="Simplified Arabic"/>
                <w:sz w:val="24"/>
                <w:szCs w:val="24"/>
              </w:rPr>
              <w:t xml:space="preserve"> KPI </w:t>
            </w:r>
            <w:r w:rsidRPr="00647241">
              <w:rPr>
                <w:rFonts w:ascii="Simplified Arabic" w:hAnsi="Simplified Arabic" w:cs="Simplified Arabic"/>
                <w:sz w:val="24"/>
                <w:szCs w:val="24"/>
                <w:rtl/>
              </w:rPr>
              <w:t>محدّد: تكلفة/زيارة، زمن إغلاق البلاغ، نسبة التغطية، نسبة الامتثال بعد الزيارة، نقطة التعادل</w:t>
            </w:r>
            <w:r w:rsidRPr="00647241">
              <w:rPr>
                <w:rFonts w:ascii="Simplified Arabic" w:hAnsi="Simplified Arabic" w:cs="Simplified Arabic"/>
                <w:sz w:val="24"/>
                <w:szCs w:val="24"/>
              </w:rPr>
              <w:t xml:space="preserve"> Break-even.</w:t>
            </w:r>
          </w:p>
        </w:tc>
        <w:tc>
          <w:tcPr>
            <w:tcW w:w="2292" w:type="dxa"/>
          </w:tcPr>
          <w:p w14:paraId="27D78B83" w14:textId="5676EC1E"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الأهداف لا تُحدّد مؤشرات الأداء</w:t>
            </w:r>
            <w:r w:rsidRPr="00647241">
              <w:rPr>
                <w:rFonts w:ascii="Simplified Arabic" w:hAnsi="Simplified Arabic" w:cs="Simplified Arabic"/>
                <w:sz w:val="24"/>
                <w:szCs w:val="24"/>
              </w:rPr>
              <w:t xml:space="preserve"> (KPIs) </w:t>
            </w:r>
            <w:r w:rsidRPr="00647241">
              <w:rPr>
                <w:rFonts w:ascii="Simplified Arabic" w:hAnsi="Simplified Arabic" w:cs="Simplified Arabic"/>
                <w:sz w:val="24"/>
                <w:szCs w:val="24"/>
                <w:rtl/>
              </w:rPr>
              <w:t>بوضوح.</w:t>
            </w:r>
          </w:p>
        </w:tc>
        <w:tc>
          <w:tcPr>
            <w:tcW w:w="2292" w:type="dxa"/>
          </w:tcPr>
          <w:p w14:paraId="393A6C2E" w14:textId="45EAF64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قابلية القياس</w:t>
            </w:r>
          </w:p>
        </w:tc>
        <w:tc>
          <w:tcPr>
            <w:tcW w:w="1146" w:type="dxa"/>
          </w:tcPr>
          <w:p w14:paraId="422B350C" w14:textId="7677756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bl>
    <w:p w14:paraId="6DCBF5DB" w14:textId="77777777" w:rsidR="004D1525" w:rsidRPr="00647241" w:rsidRDefault="004D1525" w:rsidP="00E76A7A">
      <w:pPr>
        <w:bidi/>
        <w:rPr>
          <w:rFonts w:ascii="Simplified Arabic" w:hAnsi="Simplified Arabic" w:cs="Simplified Arabic"/>
          <w:sz w:val="24"/>
          <w:szCs w:val="24"/>
        </w:rPr>
      </w:pPr>
    </w:p>
    <w:p w14:paraId="44A3CBDE"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أسئلة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الدراسة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أو</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فرضياتها</w:t>
      </w:r>
    </w:p>
    <w:tbl>
      <w:tblPr>
        <w:tblStyle w:val="TableGrid"/>
        <w:tblW w:w="0" w:type="auto"/>
        <w:jc w:val="right"/>
        <w:tblLook w:val="04A0" w:firstRow="1" w:lastRow="0" w:firstColumn="1" w:lastColumn="0" w:noHBand="0" w:noVBand="1"/>
      </w:tblPr>
      <w:tblGrid>
        <w:gridCol w:w="3020"/>
        <w:gridCol w:w="2300"/>
        <w:gridCol w:w="2228"/>
        <w:gridCol w:w="1082"/>
      </w:tblGrid>
      <w:tr w:rsidR="00E76A7A" w:rsidRPr="00647241" w14:paraId="7D381381" w14:textId="6F9B59E6" w:rsidTr="00E76A7A">
        <w:trPr>
          <w:jc w:val="right"/>
        </w:trPr>
        <w:tc>
          <w:tcPr>
            <w:tcW w:w="3150" w:type="dxa"/>
          </w:tcPr>
          <w:p w14:paraId="373EBF27" w14:textId="0F92AE1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340" w:type="dxa"/>
          </w:tcPr>
          <w:p w14:paraId="797F13F3" w14:textId="1B065168"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340" w:type="dxa"/>
          </w:tcPr>
          <w:p w14:paraId="6DBB9AF0" w14:textId="77775956"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098" w:type="dxa"/>
          </w:tcPr>
          <w:p w14:paraId="35D4CAA9" w14:textId="19FD920C"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E76A7A" w:rsidRPr="00647241" w14:paraId="0FF2B007" w14:textId="3F6F83D8" w:rsidTr="00E76A7A">
        <w:trPr>
          <w:jc w:val="right"/>
        </w:trPr>
        <w:tc>
          <w:tcPr>
            <w:tcW w:w="3150" w:type="dxa"/>
          </w:tcPr>
          <w:p w14:paraId="14D0239B" w14:textId="1845BC16"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lastRenderedPageBreak/>
              <w:t>قلّصها إلى سؤال رئيس وأربعة فرعية مرتبطة مباشرة بأهداف الدراسة وخطة التحليل (الوضع الراهن، الحاجة للنموذج، خصائص العقد، الأثر المتوقع).</w:t>
            </w:r>
          </w:p>
        </w:tc>
        <w:tc>
          <w:tcPr>
            <w:tcW w:w="2340" w:type="dxa"/>
          </w:tcPr>
          <w:p w14:paraId="3564E461" w14:textId="1E67BB6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الأسئلة جيدة لكن عامة وتعيد صياغة أجزاء من المقدمة.</w:t>
            </w:r>
          </w:p>
        </w:tc>
        <w:tc>
          <w:tcPr>
            <w:tcW w:w="2340" w:type="dxa"/>
          </w:tcPr>
          <w:p w14:paraId="4CAAB463" w14:textId="41FEEE33"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قائمة التساؤلات</w:t>
            </w:r>
          </w:p>
        </w:tc>
        <w:tc>
          <w:tcPr>
            <w:tcW w:w="1098" w:type="dxa"/>
          </w:tcPr>
          <w:p w14:paraId="3421D621" w14:textId="1225CE18"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E76A7A" w:rsidRPr="00647241" w14:paraId="35D49CD1" w14:textId="11206F9B" w:rsidTr="00E76A7A">
        <w:trPr>
          <w:jc w:val="right"/>
        </w:trPr>
        <w:tc>
          <w:tcPr>
            <w:tcW w:w="3150" w:type="dxa"/>
          </w:tcPr>
          <w:p w14:paraId="7D9AC716" w14:textId="38AD4B93"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حوّل بعضها إلى فرضيات قياسية قابلة للاختبار عند تشغيل نموذج المحاكاة</w:t>
            </w:r>
            <w:r w:rsidRPr="00647241">
              <w:rPr>
                <w:rFonts w:ascii="Simplified Arabic" w:hAnsi="Simplified Arabic" w:cs="Simplified Arabic"/>
                <w:sz w:val="24"/>
                <w:szCs w:val="24"/>
              </w:rPr>
              <w:t xml:space="preserve">: H1: </w:t>
            </w:r>
            <w:r w:rsidRPr="00647241">
              <w:rPr>
                <w:rFonts w:ascii="Simplified Arabic" w:hAnsi="Simplified Arabic" w:cs="Simplified Arabic"/>
                <w:sz w:val="24"/>
                <w:szCs w:val="24"/>
                <w:rtl/>
              </w:rPr>
              <w:t>تطبيق</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يقلل تكلفة الزيارة بنسبة</w:t>
            </w:r>
            <w:r w:rsidRPr="00647241">
              <w:rPr>
                <w:rFonts w:ascii="Simplified Arabic" w:hAnsi="Simplified Arabic" w:cs="Simplified Arabic"/>
                <w:sz w:val="24"/>
                <w:szCs w:val="24"/>
              </w:rPr>
              <w:t xml:space="preserve"> </w:t>
            </w:r>
            <w:r w:rsidRPr="00647241">
              <w:rPr>
                <w:rFonts w:ascii="Cambria Math" w:hAnsi="Cambria Math" w:cs="Cambria Math"/>
                <w:sz w:val="24"/>
                <w:szCs w:val="24"/>
              </w:rPr>
              <w:t>≥</w:t>
            </w:r>
            <w:r w:rsidRPr="00647241">
              <w:rPr>
                <w:rFonts w:ascii="Simplified Arabic" w:hAnsi="Simplified Arabic" w:cs="Simplified Arabic"/>
                <w:sz w:val="24"/>
                <w:szCs w:val="24"/>
              </w:rPr>
              <w:t>X%</w:t>
            </w:r>
            <w:r w:rsidRPr="00647241">
              <w:rPr>
                <w:rFonts w:ascii="Simplified Arabic" w:hAnsi="Simplified Arabic" w:cs="Simplified Arabic"/>
                <w:sz w:val="24"/>
                <w:szCs w:val="24"/>
                <w:rtl/>
              </w:rPr>
              <w:t>؛</w:t>
            </w:r>
            <w:r w:rsidRPr="00647241">
              <w:rPr>
                <w:rFonts w:ascii="Simplified Arabic" w:hAnsi="Simplified Arabic" w:cs="Simplified Arabic"/>
                <w:sz w:val="24"/>
                <w:szCs w:val="24"/>
              </w:rPr>
              <w:t xml:space="preserve"> H2: </w:t>
            </w:r>
            <w:r w:rsidRPr="00647241">
              <w:rPr>
                <w:rFonts w:ascii="Simplified Arabic" w:hAnsi="Simplified Arabic" w:cs="Simplified Arabic"/>
                <w:sz w:val="24"/>
                <w:szCs w:val="24"/>
                <w:rtl/>
              </w:rPr>
              <w:t>يرفع التغطية</w:t>
            </w:r>
            <w:r w:rsidRPr="00647241">
              <w:rPr>
                <w:rFonts w:ascii="Simplified Arabic" w:hAnsi="Simplified Arabic" w:cs="Simplified Arabic"/>
                <w:sz w:val="24"/>
                <w:szCs w:val="24"/>
              </w:rPr>
              <w:t xml:space="preserve"> </w:t>
            </w:r>
            <w:r w:rsidRPr="00647241">
              <w:rPr>
                <w:rFonts w:ascii="Cambria Math" w:hAnsi="Cambria Math" w:cs="Cambria Math"/>
                <w:sz w:val="24"/>
                <w:szCs w:val="24"/>
              </w:rPr>
              <w:t>≥</w:t>
            </w:r>
            <w:r w:rsidRPr="00647241">
              <w:rPr>
                <w:rFonts w:ascii="Simplified Arabic" w:hAnsi="Simplified Arabic" w:cs="Simplified Arabic"/>
                <w:sz w:val="24"/>
                <w:szCs w:val="24"/>
              </w:rPr>
              <w:t>Y%</w:t>
            </w:r>
            <w:r w:rsidRPr="00647241">
              <w:rPr>
                <w:rFonts w:ascii="Simplified Arabic" w:hAnsi="Simplified Arabic" w:cs="Simplified Arabic"/>
                <w:sz w:val="24"/>
                <w:szCs w:val="24"/>
                <w:rtl/>
              </w:rPr>
              <w:t>؛</w:t>
            </w:r>
            <w:r w:rsidRPr="00647241">
              <w:rPr>
                <w:rFonts w:ascii="Simplified Arabic" w:hAnsi="Simplified Arabic" w:cs="Simplified Arabic"/>
                <w:sz w:val="24"/>
                <w:szCs w:val="24"/>
              </w:rPr>
              <w:t xml:space="preserve"> H3: </w:t>
            </w:r>
            <w:r w:rsidRPr="00647241">
              <w:rPr>
                <w:rFonts w:ascii="Simplified Arabic" w:hAnsi="Simplified Arabic" w:cs="Simplified Arabic"/>
                <w:sz w:val="24"/>
                <w:szCs w:val="24"/>
                <w:rtl/>
              </w:rPr>
              <w:t>يحسن زمن الإغلاق</w:t>
            </w:r>
            <w:r w:rsidRPr="00647241">
              <w:rPr>
                <w:rFonts w:ascii="Simplified Arabic" w:hAnsi="Simplified Arabic" w:cs="Simplified Arabic"/>
                <w:sz w:val="24"/>
                <w:szCs w:val="24"/>
              </w:rPr>
              <w:t xml:space="preserve"> </w:t>
            </w:r>
            <w:r w:rsidRPr="00647241">
              <w:rPr>
                <w:rFonts w:ascii="Cambria Math" w:hAnsi="Cambria Math" w:cs="Cambria Math"/>
                <w:sz w:val="24"/>
                <w:szCs w:val="24"/>
              </w:rPr>
              <w:t>≥</w:t>
            </w:r>
            <w:r w:rsidRPr="00647241">
              <w:rPr>
                <w:rFonts w:ascii="Simplified Arabic" w:hAnsi="Simplified Arabic" w:cs="Simplified Arabic"/>
                <w:sz w:val="24"/>
                <w:szCs w:val="24"/>
              </w:rPr>
              <w:t xml:space="preserve">Z%. </w:t>
            </w:r>
            <w:r w:rsidRPr="00647241">
              <w:rPr>
                <w:rFonts w:ascii="Simplified Arabic" w:hAnsi="Simplified Arabic" w:cs="Simplified Arabic"/>
                <w:sz w:val="24"/>
                <w:szCs w:val="24"/>
                <w:rtl/>
              </w:rPr>
              <w:t>اذكر كيفية اختبارها (تحليل حساسية/محاكاة).</w:t>
            </w:r>
          </w:p>
        </w:tc>
        <w:tc>
          <w:tcPr>
            <w:tcW w:w="2340" w:type="dxa"/>
          </w:tcPr>
          <w:p w14:paraId="073D4317" w14:textId="08BC4607"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وُضعت فرضيات عامة دون تعريف دقيق للمتغيرات ومقاييسها.</w:t>
            </w:r>
          </w:p>
        </w:tc>
        <w:tc>
          <w:tcPr>
            <w:tcW w:w="2340" w:type="dxa"/>
          </w:tcPr>
          <w:p w14:paraId="14E33A3A" w14:textId="0FF33D25"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الفرضيات</w:t>
            </w:r>
          </w:p>
        </w:tc>
        <w:tc>
          <w:tcPr>
            <w:tcW w:w="1098" w:type="dxa"/>
          </w:tcPr>
          <w:p w14:paraId="246648F4" w14:textId="454D19E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E76A7A" w:rsidRPr="00647241" w14:paraId="0B67EF05" w14:textId="03098299" w:rsidTr="00E76A7A">
        <w:trPr>
          <w:jc w:val="right"/>
        </w:trPr>
        <w:tc>
          <w:tcPr>
            <w:tcW w:w="3150" w:type="dxa"/>
          </w:tcPr>
          <w:p w14:paraId="42B09599" w14:textId="1BB82F9E"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أدرج فقرة للمتغيرات الضابطة لضمان تفسير الفروق وتحسين صدقية الاستنتاج.</w:t>
            </w:r>
          </w:p>
        </w:tc>
        <w:tc>
          <w:tcPr>
            <w:tcW w:w="2340" w:type="dxa"/>
          </w:tcPr>
          <w:p w14:paraId="3D5ABA91" w14:textId="2C45D1F0"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غياب متغيرات ضابطة (المنطقة/نوع المنشأة/حجمها/خطورة النشاط).</w:t>
            </w:r>
          </w:p>
        </w:tc>
        <w:tc>
          <w:tcPr>
            <w:tcW w:w="2340" w:type="dxa"/>
          </w:tcPr>
          <w:p w14:paraId="0E60FA5E" w14:textId="754A629A"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المتغيرات الضابطة</w:t>
            </w:r>
          </w:p>
        </w:tc>
        <w:tc>
          <w:tcPr>
            <w:tcW w:w="1098" w:type="dxa"/>
          </w:tcPr>
          <w:p w14:paraId="1EE3E5C6" w14:textId="733CCA3C"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bl>
    <w:p w14:paraId="2D493D87" w14:textId="77777777" w:rsidR="004D1525" w:rsidRPr="00647241" w:rsidRDefault="004D1525" w:rsidP="00E76A7A">
      <w:pPr>
        <w:bidi/>
        <w:rPr>
          <w:rFonts w:ascii="Simplified Arabic" w:hAnsi="Simplified Arabic" w:cs="Simplified Arabic"/>
          <w:sz w:val="24"/>
          <w:szCs w:val="24"/>
        </w:rPr>
      </w:pPr>
    </w:p>
    <w:p w14:paraId="6DCA2C0C"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أهمية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الدراسة</w:t>
      </w:r>
    </w:p>
    <w:tbl>
      <w:tblPr>
        <w:tblStyle w:val="TableGrid"/>
        <w:tblW w:w="8928" w:type="dxa"/>
        <w:jc w:val="right"/>
        <w:tblLook w:val="04A0" w:firstRow="1" w:lastRow="0" w:firstColumn="1" w:lastColumn="0" w:noHBand="0" w:noVBand="1"/>
      </w:tblPr>
      <w:tblGrid>
        <w:gridCol w:w="3150"/>
        <w:gridCol w:w="2340"/>
        <w:gridCol w:w="2340"/>
        <w:gridCol w:w="1098"/>
      </w:tblGrid>
      <w:tr w:rsidR="00E76A7A" w:rsidRPr="00647241" w14:paraId="2B9E2BF6" w14:textId="11372437" w:rsidTr="00E76A7A">
        <w:trPr>
          <w:jc w:val="right"/>
        </w:trPr>
        <w:tc>
          <w:tcPr>
            <w:tcW w:w="3150" w:type="dxa"/>
          </w:tcPr>
          <w:p w14:paraId="550E9605" w14:textId="3DBACD2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340" w:type="dxa"/>
          </w:tcPr>
          <w:p w14:paraId="29F3C70F" w14:textId="220A5742"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340" w:type="dxa"/>
          </w:tcPr>
          <w:p w14:paraId="4028DBDA" w14:textId="137DADA6"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098" w:type="dxa"/>
          </w:tcPr>
          <w:p w14:paraId="0B750190" w14:textId="38421837" w:rsidR="00E76A7A" w:rsidRPr="00647241" w:rsidRDefault="00E76A7A" w:rsidP="00E76A7A">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E76A7A" w:rsidRPr="00647241" w14:paraId="388AEF0E" w14:textId="22C9B1E7" w:rsidTr="00E76A7A">
        <w:trPr>
          <w:jc w:val="right"/>
        </w:trPr>
        <w:tc>
          <w:tcPr>
            <w:tcW w:w="3150" w:type="dxa"/>
          </w:tcPr>
          <w:p w14:paraId="652E33ED" w14:textId="5C6A445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افصل 5–6 أسطر تُظهر الإسهام: مواءمة نماذج</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مع خدمات تفتيش تنظيمية عالية الحساسية، وإدخال بُعد الحوكمة/الأداء في نموذج موحّد.</w:t>
            </w:r>
          </w:p>
        </w:tc>
        <w:tc>
          <w:tcPr>
            <w:tcW w:w="2340" w:type="dxa"/>
          </w:tcPr>
          <w:p w14:paraId="0B74D7EB" w14:textId="7AE619D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يمتزج العرض بين النظرية والتطبيق ويغلب عليه السرد الإنشائي.</w:t>
            </w:r>
          </w:p>
        </w:tc>
        <w:tc>
          <w:tcPr>
            <w:tcW w:w="2340" w:type="dxa"/>
          </w:tcPr>
          <w:p w14:paraId="2CD31B07" w14:textId="4BDCF0A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الأهمية النظرية</w:t>
            </w:r>
          </w:p>
        </w:tc>
        <w:tc>
          <w:tcPr>
            <w:tcW w:w="1098" w:type="dxa"/>
          </w:tcPr>
          <w:p w14:paraId="2EBAB46D" w14:textId="44693996"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E76A7A" w:rsidRPr="00647241" w14:paraId="6F224F6E" w14:textId="4BA87457" w:rsidTr="00E76A7A">
        <w:trPr>
          <w:jc w:val="right"/>
        </w:trPr>
        <w:tc>
          <w:tcPr>
            <w:tcW w:w="3150" w:type="dxa"/>
          </w:tcPr>
          <w:p w14:paraId="40A75986" w14:textId="207BE62D"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اربط كل فائدة بمؤشر: خفض التكلفة، زيادة التغطية، جودة الترخيص، نمو سوق مقدمي الخدمة، خلق وظائف خضراء.</w:t>
            </w:r>
          </w:p>
        </w:tc>
        <w:tc>
          <w:tcPr>
            <w:tcW w:w="2340" w:type="dxa"/>
          </w:tcPr>
          <w:p w14:paraId="447B33FA" w14:textId="6AB8B50F"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العرض قوي لكنه يحتاج ربطًا بمؤشرات قابلة للقياس.</w:t>
            </w:r>
          </w:p>
        </w:tc>
        <w:tc>
          <w:tcPr>
            <w:tcW w:w="2340" w:type="dxa"/>
          </w:tcPr>
          <w:p w14:paraId="2DCAE701" w14:textId="65D6622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الأهمية التطبيقية</w:t>
            </w:r>
          </w:p>
        </w:tc>
        <w:tc>
          <w:tcPr>
            <w:tcW w:w="1098" w:type="dxa"/>
          </w:tcPr>
          <w:p w14:paraId="18841708" w14:textId="28CFE77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E76A7A" w:rsidRPr="00647241" w14:paraId="0DE00177" w14:textId="1E745730" w:rsidTr="00E76A7A">
        <w:trPr>
          <w:jc w:val="right"/>
        </w:trPr>
        <w:tc>
          <w:tcPr>
            <w:tcW w:w="3150" w:type="dxa"/>
          </w:tcPr>
          <w:p w14:paraId="5BC41ED7" w14:textId="517856B8"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اقصر هذا القسم على مصادر محكّمة وتقارير رسمية وطنية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lastRenderedPageBreak/>
              <w:t xml:space="preserve">(NCP/MEWA/NCEC) </w:t>
            </w:r>
            <w:r w:rsidRPr="00647241">
              <w:rPr>
                <w:rFonts w:ascii="Simplified Arabic" w:hAnsi="Simplified Arabic" w:cs="Simplified Arabic"/>
                <w:sz w:val="24"/>
                <w:szCs w:val="24"/>
                <w:rtl/>
              </w:rPr>
              <w:t>ودولية</w:t>
            </w:r>
            <w:r w:rsidRPr="00647241">
              <w:rPr>
                <w:rFonts w:ascii="Simplified Arabic" w:hAnsi="Simplified Arabic" w:cs="Simplified Arabic"/>
                <w:sz w:val="24"/>
                <w:szCs w:val="24"/>
              </w:rPr>
              <w:t xml:space="preserve"> (WB/OECD).</w:t>
            </w:r>
          </w:p>
        </w:tc>
        <w:tc>
          <w:tcPr>
            <w:tcW w:w="2340" w:type="dxa"/>
          </w:tcPr>
          <w:p w14:paraId="39592F75" w14:textId="748F6DF2"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lastRenderedPageBreak/>
              <w:t>الاستشهاد أحيانًا بروابط عامة أو مقالات غير محكّمة.</w:t>
            </w:r>
          </w:p>
        </w:tc>
        <w:tc>
          <w:tcPr>
            <w:tcW w:w="2340" w:type="dxa"/>
          </w:tcPr>
          <w:p w14:paraId="73C25CED" w14:textId="07191A2B"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tl/>
              </w:rPr>
              <w:t>الإسناد</w:t>
            </w:r>
          </w:p>
        </w:tc>
        <w:tc>
          <w:tcPr>
            <w:tcW w:w="1098" w:type="dxa"/>
          </w:tcPr>
          <w:p w14:paraId="704198A3" w14:textId="471D2644" w:rsidR="00E76A7A" w:rsidRPr="00647241" w:rsidRDefault="00E76A7A" w:rsidP="00E76A7A">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bl>
    <w:p w14:paraId="65A4E029" w14:textId="77777777" w:rsidR="004D1525" w:rsidRPr="00647241" w:rsidRDefault="004D1525" w:rsidP="00E76A7A">
      <w:pPr>
        <w:bidi/>
        <w:rPr>
          <w:rFonts w:ascii="Simplified Arabic" w:hAnsi="Simplified Arabic" w:cs="Simplified Arabic"/>
          <w:sz w:val="24"/>
          <w:szCs w:val="24"/>
        </w:rPr>
      </w:pPr>
    </w:p>
    <w:p w14:paraId="01386C00"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حدود</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997"/>
        <w:gridCol w:w="2324"/>
        <w:gridCol w:w="2228"/>
        <w:gridCol w:w="1081"/>
      </w:tblGrid>
      <w:tr w:rsidR="00A9413D" w:rsidRPr="00647241" w14:paraId="68F5C5A8" w14:textId="1C011189" w:rsidTr="00A9413D">
        <w:trPr>
          <w:jc w:val="right"/>
        </w:trPr>
        <w:tc>
          <w:tcPr>
            <w:tcW w:w="3150" w:type="dxa"/>
          </w:tcPr>
          <w:p w14:paraId="39E6DE95" w14:textId="435F481B"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340" w:type="dxa"/>
          </w:tcPr>
          <w:p w14:paraId="5D94A981" w14:textId="69E21818"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340" w:type="dxa"/>
          </w:tcPr>
          <w:p w14:paraId="6C674E4F" w14:textId="5904ED72"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098" w:type="dxa"/>
          </w:tcPr>
          <w:p w14:paraId="700A73B5" w14:textId="429AA806"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A9413D" w:rsidRPr="00647241" w14:paraId="16E24657" w14:textId="5C05D6C5" w:rsidTr="00A9413D">
        <w:trPr>
          <w:jc w:val="right"/>
        </w:trPr>
        <w:tc>
          <w:tcPr>
            <w:tcW w:w="3150" w:type="dxa"/>
          </w:tcPr>
          <w:p w14:paraId="024E74C4" w14:textId="102F302A"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ثبّت الوحدة: «خدمة التفتيش البيئي تحت إشراف المركز الوطني للالتزام البيئي – عيّنة من مناطق محددة (…)، فترة (…)، نوع منشآت</w:t>
            </w:r>
            <w:r w:rsidRPr="00647241">
              <w:rPr>
                <w:rFonts w:ascii="Simplified Arabic" w:hAnsi="Simplified Arabic" w:cs="Simplified Arabic"/>
                <w:sz w:val="24"/>
                <w:szCs w:val="24"/>
              </w:rPr>
              <w:t xml:space="preserve"> (…)).</w:t>
            </w:r>
          </w:p>
        </w:tc>
        <w:tc>
          <w:tcPr>
            <w:tcW w:w="2340" w:type="dxa"/>
          </w:tcPr>
          <w:p w14:paraId="0DBA171C" w14:textId="202E5DBA"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صياغة عامة تشمل «المملكة» ثم تُذكر كيانات متعددة دون تثبيت للوحدة التحليلية.</w:t>
            </w:r>
          </w:p>
        </w:tc>
        <w:tc>
          <w:tcPr>
            <w:tcW w:w="2340" w:type="dxa"/>
          </w:tcPr>
          <w:p w14:paraId="35697A26" w14:textId="63A4E7E3"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الحدود المكانية</w:t>
            </w:r>
          </w:p>
        </w:tc>
        <w:tc>
          <w:tcPr>
            <w:tcW w:w="1098" w:type="dxa"/>
          </w:tcPr>
          <w:p w14:paraId="670D32AF" w14:textId="47B51D5D"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A9413D" w:rsidRPr="00647241" w14:paraId="18A74639" w14:textId="005E4BBB" w:rsidTr="00A9413D">
        <w:trPr>
          <w:jc w:val="right"/>
        </w:trPr>
        <w:tc>
          <w:tcPr>
            <w:tcW w:w="3150" w:type="dxa"/>
          </w:tcPr>
          <w:p w14:paraId="7783DC4C" w14:textId="169CFB6B"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حدّد نافذة زمنية (مثلاً 12 شهرًا) لقياس المؤشرات قبل/بعد/أو مقارنة مرجعية</w:t>
            </w:r>
            <w:r w:rsidRPr="00647241">
              <w:rPr>
                <w:rFonts w:ascii="Simplified Arabic" w:hAnsi="Simplified Arabic" w:cs="Simplified Arabic"/>
                <w:sz w:val="24"/>
                <w:szCs w:val="24"/>
              </w:rPr>
              <w:t xml:space="preserve"> Benchmark.</w:t>
            </w:r>
          </w:p>
        </w:tc>
        <w:tc>
          <w:tcPr>
            <w:tcW w:w="2340" w:type="dxa"/>
          </w:tcPr>
          <w:p w14:paraId="46638635" w14:textId="246FC217"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لا تُذكر فترة قياس محدّدة.</w:t>
            </w:r>
          </w:p>
        </w:tc>
        <w:tc>
          <w:tcPr>
            <w:tcW w:w="2340" w:type="dxa"/>
          </w:tcPr>
          <w:p w14:paraId="078EE74C" w14:textId="36B7440B"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الحدود الزمانية</w:t>
            </w:r>
          </w:p>
        </w:tc>
        <w:tc>
          <w:tcPr>
            <w:tcW w:w="1098" w:type="dxa"/>
          </w:tcPr>
          <w:p w14:paraId="3C8BE47B" w14:textId="163DE097"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A9413D" w:rsidRPr="00647241" w14:paraId="71BCFBE9" w14:textId="5DC90838" w:rsidTr="00A9413D">
        <w:trPr>
          <w:jc w:val="right"/>
        </w:trPr>
        <w:tc>
          <w:tcPr>
            <w:tcW w:w="3150" w:type="dxa"/>
          </w:tcPr>
          <w:p w14:paraId="26E9C87C" w14:textId="79593E30"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أدرج تصنيفًا للفئات مع أعداد تقديرية وخطة معاينة طبقية.</w:t>
            </w:r>
          </w:p>
        </w:tc>
        <w:tc>
          <w:tcPr>
            <w:tcW w:w="2340" w:type="dxa"/>
          </w:tcPr>
          <w:p w14:paraId="410BB14B" w14:textId="5A9EF716"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غياب توصيف للفئات المعنية (المفتشون/المنشآت/مقاولو الخدمة).</w:t>
            </w:r>
          </w:p>
        </w:tc>
        <w:tc>
          <w:tcPr>
            <w:tcW w:w="2340" w:type="dxa"/>
          </w:tcPr>
          <w:p w14:paraId="4E88BCB5" w14:textId="222617E1"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الحدود البشرية</w:t>
            </w:r>
          </w:p>
        </w:tc>
        <w:tc>
          <w:tcPr>
            <w:tcW w:w="1098" w:type="dxa"/>
          </w:tcPr>
          <w:p w14:paraId="044D23CA" w14:textId="7AB08FDE"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r w:rsidR="00A9413D" w:rsidRPr="00647241" w14:paraId="5C93CD22" w14:textId="1E62AEE3" w:rsidTr="00A9413D">
        <w:trPr>
          <w:jc w:val="right"/>
        </w:trPr>
        <w:tc>
          <w:tcPr>
            <w:tcW w:w="3150" w:type="dxa"/>
          </w:tcPr>
          <w:p w14:paraId="302A29D6" w14:textId="380DFA8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اذكر المستبعدات وتعليل استبعادها وتأثير ذلك على التعميم.</w:t>
            </w:r>
          </w:p>
        </w:tc>
        <w:tc>
          <w:tcPr>
            <w:tcW w:w="2340" w:type="dxa"/>
          </w:tcPr>
          <w:p w14:paraId="4AB35F0A" w14:textId="3B8AC8B2"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لا تُذكر المستبعدات (الخدمات البيئية الأخرى/تفتيش خاص عالي المخاطر).</w:t>
            </w:r>
          </w:p>
        </w:tc>
        <w:tc>
          <w:tcPr>
            <w:tcW w:w="2340" w:type="dxa"/>
          </w:tcPr>
          <w:p w14:paraId="48CC3E1F" w14:textId="40FF5F11"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الحدود الموضوعية</w:t>
            </w:r>
          </w:p>
        </w:tc>
        <w:tc>
          <w:tcPr>
            <w:tcW w:w="1098" w:type="dxa"/>
          </w:tcPr>
          <w:p w14:paraId="4ADBFE46" w14:textId="298845F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4</w:t>
            </w:r>
          </w:p>
        </w:tc>
      </w:tr>
    </w:tbl>
    <w:p w14:paraId="5E654BE4"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مصطلحات</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942"/>
        <w:gridCol w:w="2462"/>
        <w:gridCol w:w="2153"/>
        <w:gridCol w:w="1073"/>
      </w:tblGrid>
      <w:tr w:rsidR="00A9413D" w:rsidRPr="00647241" w14:paraId="28639C0F" w14:textId="51D432AA" w:rsidTr="00A9413D">
        <w:trPr>
          <w:jc w:val="right"/>
        </w:trPr>
        <w:tc>
          <w:tcPr>
            <w:tcW w:w="3064" w:type="dxa"/>
          </w:tcPr>
          <w:p w14:paraId="4B6CCF90" w14:textId="2E4C3661"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340" w:type="dxa"/>
          </w:tcPr>
          <w:p w14:paraId="793A2CA1" w14:textId="68D9F6EE"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340" w:type="dxa"/>
          </w:tcPr>
          <w:p w14:paraId="079C7921" w14:textId="7D0C90B6"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098" w:type="dxa"/>
          </w:tcPr>
          <w:p w14:paraId="54A8834A" w14:textId="56C1CB54"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A9413D" w:rsidRPr="00647241" w14:paraId="20490479" w14:textId="5FC19E6C" w:rsidTr="00A9413D">
        <w:trPr>
          <w:jc w:val="right"/>
        </w:trPr>
        <w:tc>
          <w:tcPr>
            <w:tcW w:w="3064" w:type="dxa"/>
          </w:tcPr>
          <w:p w14:paraId="4D285B72" w14:textId="67FCB06B"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اجعل الإجرائي محايدًا: يقتصر على طريقة القياس/المؤشرات/المصدر دون أحكام نتيجة.</w:t>
            </w:r>
          </w:p>
        </w:tc>
        <w:tc>
          <w:tcPr>
            <w:tcW w:w="2340" w:type="dxa"/>
          </w:tcPr>
          <w:p w14:paraId="7092185A" w14:textId="44A1BE1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بعض التعريفات إدراكية/قيمية وتضمّن نتائج مرغوبة داخل التعريف (تحسين الكفاءة).</w:t>
            </w:r>
          </w:p>
        </w:tc>
        <w:tc>
          <w:tcPr>
            <w:tcW w:w="2340" w:type="dxa"/>
          </w:tcPr>
          <w:p w14:paraId="56C806CC" w14:textId="7140011E"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التعاريف الإجرائية</w:t>
            </w:r>
          </w:p>
        </w:tc>
        <w:tc>
          <w:tcPr>
            <w:tcW w:w="1098" w:type="dxa"/>
          </w:tcPr>
          <w:p w14:paraId="21E78EB2" w14:textId="7038D1BF"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A9413D" w:rsidRPr="00647241" w14:paraId="25FCC46B" w14:textId="4B5A0700" w:rsidTr="00A9413D">
        <w:trPr>
          <w:jc w:val="right"/>
        </w:trPr>
        <w:tc>
          <w:tcPr>
            <w:tcW w:w="3064" w:type="dxa"/>
          </w:tcPr>
          <w:p w14:paraId="00FDDC65" w14:textId="23DC792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lastRenderedPageBreak/>
              <w:t>أنشئ جدول مصطلحات ومقاييس موحّد يُستخدم مرجعًا في الفصول اللاحقة.</w:t>
            </w:r>
          </w:p>
        </w:tc>
        <w:tc>
          <w:tcPr>
            <w:tcW w:w="2340" w:type="dxa"/>
          </w:tcPr>
          <w:p w14:paraId="06336972" w14:textId="6C0165E7"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لا يوجد جدول يلخص لكل مفهوم: تعريف نظري، إجرائي، مؤشر، مصدر، مثال بند/معادلة.</w:t>
            </w:r>
          </w:p>
        </w:tc>
        <w:tc>
          <w:tcPr>
            <w:tcW w:w="2340" w:type="dxa"/>
          </w:tcPr>
          <w:p w14:paraId="35091450" w14:textId="3CFC841D"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جدول موحّد للمقاييس</w:t>
            </w:r>
          </w:p>
        </w:tc>
        <w:tc>
          <w:tcPr>
            <w:tcW w:w="1098" w:type="dxa"/>
          </w:tcPr>
          <w:p w14:paraId="57CB57A7" w14:textId="4A611854"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A9413D" w:rsidRPr="00647241" w14:paraId="66D4D81D" w14:textId="2EEE748A" w:rsidTr="00A9413D">
        <w:trPr>
          <w:jc w:val="right"/>
        </w:trPr>
        <w:tc>
          <w:tcPr>
            <w:tcW w:w="3064" w:type="dxa"/>
          </w:tcPr>
          <w:p w14:paraId="1EC42BE6" w14:textId="39CEBB7F"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أضف فقرة تمييزية موجزة وتبنَّ مصطلحًا واحدًا مناسبًا للسياق</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مع ذكر بدائل العقد الممكنة.</w:t>
            </w:r>
          </w:p>
        </w:tc>
        <w:tc>
          <w:tcPr>
            <w:tcW w:w="2340" w:type="dxa"/>
          </w:tcPr>
          <w:p w14:paraId="08A1CBE1" w14:textId="35FDA17D"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تفاوت في استعمال</w:t>
            </w:r>
            <w:r w:rsidRPr="00647241">
              <w:rPr>
                <w:rFonts w:ascii="Simplified Arabic" w:hAnsi="Simplified Arabic" w:cs="Simplified Arabic"/>
                <w:sz w:val="24"/>
                <w:szCs w:val="24"/>
              </w:rPr>
              <w:t xml:space="preserve"> PPP/</w:t>
            </w:r>
            <w:r w:rsidRPr="00647241">
              <w:rPr>
                <w:rFonts w:ascii="Simplified Arabic" w:hAnsi="Simplified Arabic" w:cs="Simplified Arabic"/>
                <w:sz w:val="24"/>
                <w:szCs w:val="24"/>
                <w:rtl/>
              </w:rPr>
              <w:t>التخصيص/الخصخصة رغم اختلافها المفاهيمي.</w:t>
            </w:r>
          </w:p>
        </w:tc>
        <w:tc>
          <w:tcPr>
            <w:tcW w:w="2340" w:type="dxa"/>
          </w:tcPr>
          <w:p w14:paraId="659BF013" w14:textId="68EA5034"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توحيد المسميات</w:t>
            </w:r>
          </w:p>
        </w:tc>
        <w:tc>
          <w:tcPr>
            <w:tcW w:w="1098" w:type="dxa"/>
          </w:tcPr>
          <w:p w14:paraId="0CF9A7EE" w14:textId="133F2B1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bl>
    <w:p w14:paraId="0E73CE45" w14:textId="77777777" w:rsidR="004D1525" w:rsidRPr="00647241" w:rsidRDefault="004D1525" w:rsidP="00E76A7A">
      <w:pPr>
        <w:bidi/>
        <w:rPr>
          <w:rFonts w:ascii="Simplified Arabic" w:hAnsi="Simplified Arabic" w:cs="Simplified Arabic"/>
          <w:sz w:val="24"/>
          <w:szCs w:val="24"/>
        </w:rPr>
      </w:pPr>
    </w:p>
    <w:p w14:paraId="0BBCD89A"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بنية</w:t>
      </w:r>
      <w:r w:rsidRPr="00647241">
        <w:rPr>
          <w:rFonts w:ascii="Simplified Arabic" w:hAnsi="Simplified Arabic" w:cs="Simplified Arabic"/>
          <w:sz w:val="24"/>
          <w:szCs w:val="24"/>
        </w:rPr>
        <w:t>/</w:t>
      </w:r>
      <w:r w:rsidRPr="00647241">
        <w:rPr>
          <w:rFonts w:ascii="Simplified Arabic" w:hAnsi="Simplified Arabic" w:cs="Simplified Arabic"/>
          <w:sz w:val="24"/>
          <w:szCs w:val="24"/>
        </w:rPr>
        <w:t>تنظيم</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فصول</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الأطروحة</w:t>
      </w:r>
    </w:p>
    <w:tbl>
      <w:tblPr>
        <w:tblStyle w:val="TableGrid"/>
        <w:tblW w:w="8856" w:type="dxa"/>
        <w:jc w:val="right"/>
        <w:tblLook w:val="04A0" w:firstRow="1" w:lastRow="0" w:firstColumn="1" w:lastColumn="0" w:noHBand="0" w:noVBand="1"/>
      </w:tblPr>
      <w:tblGrid>
        <w:gridCol w:w="3056"/>
        <w:gridCol w:w="1998"/>
        <w:gridCol w:w="2728"/>
        <w:gridCol w:w="1074"/>
      </w:tblGrid>
      <w:tr w:rsidR="00A9413D" w:rsidRPr="00647241" w14:paraId="5F40359B" w14:textId="5D3ED61D" w:rsidTr="00A9413D">
        <w:trPr>
          <w:jc w:val="right"/>
        </w:trPr>
        <w:tc>
          <w:tcPr>
            <w:tcW w:w="3078" w:type="dxa"/>
          </w:tcPr>
          <w:p w14:paraId="1474A09A" w14:textId="588508D7"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004" w:type="dxa"/>
          </w:tcPr>
          <w:p w14:paraId="594200D2" w14:textId="5B01441E"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b/>
                <w:bCs/>
                <w:sz w:val="24"/>
                <w:szCs w:val="24"/>
                <w:rtl/>
              </w:rPr>
              <w:t>نص الملاحظة (بالعربية الأكاديمية)</w:t>
            </w:r>
          </w:p>
        </w:tc>
        <w:tc>
          <w:tcPr>
            <w:tcW w:w="2698" w:type="dxa"/>
          </w:tcPr>
          <w:p w14:paraId="54266010" w14:textId="2644EE7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b/>
                <w:bCs/>
                <w:sz w:val="24"/>
                <w:szCs w:val="24"/>
                <w:rtl/>
              </w:rPr>
              <w:t>موضع الملاحظة في النص</w:t>
            </w:r>
          </w:p>
        </w:tc>
        <w:tc>
          <w:tcPr>
            <w:tcW w:w="1076" w:type="dxa"/>
          </w:tcPr>
          <w:p w14:paraId="4EA8F937" w14:textId="09A71FCE"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A9413D" w:rsidRPr="00647241" w14:paraId="6A847A32" w14:textId="436D9549" w:rsidTr="00A9413D">
        <w:trPr>
          <w:jc w:val="right"/>
        </w:trPr>
        <w:tc>
          <w:tcPr>
            <w:tcW w:w="3078" w:type="dxa"/>
          </w:tcPr>
          <w:p w14:paraId="0DBBE3F6" w14:textId="49586027"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نهاية الفصل الأول</w:t>
            </w:r>
          </w:p>
        </w:tc>
        <w:tc>
          <w:tcPr>
            <w:tcW w:w="2004" w:type="dxa"/>
          </w:tcPr>
          <w:p w14:paraId="7C251D45" w14:textId="2E7E3F6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لا توجد فقرة موجزة «تنظيم الفصول».</w:t>
            </w:r>
          </w:p>
        </w:tc>
        <w:tc>
          <w:tcPr>
            <w:tcW w:w="2698" w:type="dxa"/>
          </w:tcPr>
          <w:p w14:paraId="36E0D627" w14:textId="5F42C139"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أدرج فقرة 2–3 أسطر لكل فصل (2) أدبيات ونموذج مفاهيمي أولي، (3) منهجية ومحاكاة/تحليل جدوى ومصفوفة المخاطر، (4) النتائج والسيناريوهات، (5) المناقشة والتوصيات والسياسات.</w:t>
            </w:r>
          </w:p>
        </w:tc>
        <w:tc>
          <w:tcPr>
            <w:tcW w:w="1076" w:type="dxa"/>
          </w:tcPr>
          <w:p w14:paraId="5E04F758" w14:textId="33A272A4"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A9413D" w:rsidRPr="00647241" w14:paraId="4431F3E5" w14:textId="7F91E566" w:rsidTr="00A9413D">
        <w:trPr>
          <w:jc w:val="right"/>
        </w:trPr>
        <w:tc>
          <w:tcPr>
            <w:tcW w:w="3078" w:type="dxa"/>
          </w:tcPr>
          <w:p w14:paraId="6F683992" w14:textId="0C73973A"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موضع المنهجية</w:t>
            </w:r>
          </w:p>
        </w:tc>
        <w:tc>
          <w:tcPr>
            <w:tcW w:w="2004" w:type="dxa"/>
          </w:tcPr>
          <w:p w14:paraId="0C75974B" w14:textId="6734D5E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المنهجية مذكورة بصورة عامة إلى حين «تحليل فني» دون تفاصيل أدوات القياس/المحاكاة.</w:t>
            </w:r>
          </w:p>
        </w:tc>
        <w:tc>
          <w:tcPr>
            <w:tcW w:w="2698" w:type="dxa"/>
          </w:tcPr>
          <w:p w14:paraId="1639D876" w14:textId="1CAEE17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حدّد مبكرًا: إطار التحليل</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tl/>
              </w:rPr>
              <w:t xml:space="preserve">تحليل تكاليف–منافع، تحليل حساسية، </w:t>
            </w:r>
            <w:r w:rsidRPr="00647241">
              <w:rPr>
                <w:rFonts w:ascii="Simplified Arabic" w:hAnsi="Simplified Arabic" w:cs="Simplified Arabic"/>
                <w:sz w:val="24"/>
                <w:szCs w:val="24"/>
              </w:rPr>
              <w:t xml:space="preserve">Monte Carlo </w:t>
            </w:r>
            <w:r w:rsidRPr="00647241">
              <w:rPr>
                <w:rFonts w:ascii="Simplified Arabic" w:hAnsi="Simplified Arabic" w:cs="Simplified Arabic"/>
                <w:sz w:val="24"/>
                <w:szCs w:val="24"/>
                <w:rtl/>
              </w:rPr>
              <w:t>إن لزم</w:t>
            </w:r>
            <w:r w:rsidRPr="00647241">
              <w:rPr>
                <w:rFonts w:ascii="Simplified Arabic" w:hAnsi="Simplified Arabic" w:cs="Simplified Arabic"/>
                <w:sz w:val="24"/>
                <w:szCs w:val="24"/>
              </w:rPr>
              <w:t>)</w:t>
            </w:r>
            <w:r w:rsidRPr="00647241">
              <w:rPr>
                <w:rFonts w:ascii="Simplified Arabic" w:hAnsi="Simplified Arabic" w:cs="Simplified Arabic"/>
                <w:sz w:val="24"/>
                <w:szCs w:val="24"/>
                <w:rtl/>
              </w:rPr>
              <w:t>، مصادر البيانات، برامج التحليل، معايير اتخاذ القرار</w:t>
            </w:r>
            <w:r w:rsidRPr="00647241">
              <w:rPr>
                <w:rFonts w:ascii="Simplified Arabic" w:hAnsi="Simplified Arabic" w:cs="Simplified Arabic"/>
                <w:sz w:val="24"/>
                <w:szCs w:val="24"/>
              </w:rPr>
              <w:t xml:space="preserve"> (NPV/IRR/Payback/SLA).</w:t>
            </w:r>
          </w:p>
        </w:tc>
        <w:tc>
          <w:tcPr>
            <w:tcW w:w="1076" w:type="dxa"/>
          </w:tcPr>
          <w:p w14:paraId="1B1A729E" w14:textId="1D4018D5"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bl>
    <w:p w14:paraId="4B66678A" w14:textId="77777777" w:rsidR="004D1525" w:rsidRPr="00647241" w:rsidRDefault="004D1525" w:rsidP="00E76A7A">
      <w:pPr>
        <w:bidi/>
        <w:rPr>
          <w:rFonts w:ascii="Simplified Arabic" w:hAnsi="Simplified Arabic" w:cs="Simplified Arabic"/>
          <w:sz w:val="24"/>
          <w:szCs w:val="24"/>
        </w:rPr>
      </w:pPr>
    </w:p>
    <w:p w14:paraId="329F00AF" w14:textId="77777777" w:rsidR="004D1525" w:rsidRPr="00647241" w:rsidRDefault="0022596B" w:rsidP="00E76A7A">
      <w:pPr>
        <w:pStyle w:val="Heading2"/>
        <w:bidi/>
        <w:rPr>
          <w:rFonts w:ascii="Simplified Arabic" w:hAnsi="Simplified Arabic" w:cs="Simplified Arabic"/>
          <w:sz w:val="24"/>
          <w:szCs w:val="24"/>
        </w:rPr>
      </w:pPr>
      <w:r w:rsidRPr="00647241">
        <w:rPr>
          <w:rFonts w:ascii="Simplified Arabic" w:hAnsi="Simplified Arabic" w:cs="Simplified Arabic"/>
          <w:sz w:val="24"/>
          <w:szCs w:val="24"/>
        </w:rPr>
        <w:t>ملاحظات</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عامة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على</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الأسلوب</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والصياغة</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في</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الفصل</w:t>
      </w:r>
      <w:r w:rsidRPr="00647241">
        <w:rPr>
          <w:rFonts w:ascii="Simplified Arabic" w:hAnsi="Simplified Arabic" w:cs="Simplified Arabic"/>
          <w:sz w:val="24"/>
          <w:szCs w:val="24"/>
        </w:rPr>
        <w:t xml:space="preserve"> </w:t>
      </w:r>
      <w:r w:rsidRPr="00647241">
        <w:rPr>
          <w:rFonts w:ascii="Simplified Arabic" w:hAnsi="Simplified Arabic" w:cs="Simplified Arabic"/>
          <w:sz w:val="24"/>
          <w:szCs w:val="24"/>
        </w:rPr>
        <w:t>الأول</w:t>
      </w:r>
    </w:p>
    <w:tbl>
      <w:tblPr>
        <w:tblStyle w:val="TableGrid"/>
        <w:tblW w:w="0" w:type="auto"/>
        <w:jc w:val="right"/>
        <w:tblLook w:val="04A0" w:firstRow="1" w:lastRow="0" w:firstColumn="1" w:lastColumn="0" w:noHBand="0" w:noVBand="1"/>
      </w:tblPr>
      <w:tblGrid>
        <w:gridCol w:w="205"/>
        <w:gridCol w:w="2787"/>
        <w:gridCol w:w="2022"/>
        <w:gridCol w:w="2527"/>
        <w:gridCol w:w="1089"/>
      </w:tblGrid>
      <w:tr w:rsidR="00A9413D" w:rsidRPr="00647241" w14:paraId="14499568" w14:textId="63A9DD7E" w:rsidTr="00A9413D">
        <w:trPr>
          <w:jc w:val="right"/>
        </w:trPr>
        <w:tc>
          <w:tcPr>
            <w:tcW w:w="3078" w:type="dxa"/>
            <w:gridSpan w:val="2"/>
          </w:tcPr>
          <w:p w14:paraId="5874CF82" w14:textId="3E56FEE0"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b/>
                <w:bCs/>
                <w:sz w:val="24"/>
                <w:szCs w:val="24"/>
                <w:rtl/>
              </w:rPr>
              <w:t>كيفية التنفيذ (خطوات عملية للطالب)</w:t>
            </w:r>
          </w:p>
        </w:tc>
        <w:tc>
          <w:tcPr>
            <w:tcW w:w="2070" w:type="dxa"/>
          </w:tcPr>
          <w:p w14:paraId="42A48AF6" w14:textId="0E5C4900"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نص الملاحظة (بالعربية الأكاديمية)</w:t>
            </w:r>
          </w:p>
        </w:tc>
        <w:tc>
          <w:tcPr>
            <w:tcW w:w="2610" w:type="dxa"/>
          </w:tcPr>
          <w:p w14:paraId="51DD194C" w14:textId="2EB4487F"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موضع الملاحظة في النص</w:t>
            </w:r>
          </w:p>
        </w:tc>
        <w:tc>
          <w:tcPr>
            <w:tcW w:w="1098" w:type="dxa"/>
          </w:tcPr>
          <w:p w14:paraId="06A306B7" w14:textId="2C0A22B4" w:rsidR="00A9413D" w:rsidRPr="00647241" w:rsidRDefault="00A9413D" w:rsidP="00A9413D">
            <w:pPr>
              <w:bidi/>
              <w:rPr>
                <w:rFonts w:ascii="Simplified Arabic" w:hAnsi="Simplified Arabic" w:cs="Simplified Arabic"/>
                <w:b/>
                <w:sz w:val="24"/>
                <w:szCs w:val="24"/>
              </w:rPr>
            </w:pPr>
            <w:r w:rsidRPr="00647241">
              <w:rPr>
                <w:rFonts w:ascii="Simplified Arabic" w:hAnsi="Simplified Arabic" w:cs="Simplified Arabic"/>
                <w:b/>
                <w:bCs/>
                <w:sz w:val="24"/>
                <w:szCs w:val="24"/>
                <w:rtl/>
              </w:rPr>
              <w:t>رقم الملاحظة</w:t>
            </w:r>
          </w:p>
        </w:tc>
      </w:tr>
      <w:tr w:rsidR="00A9413D" w:rsidRPr="00647241" w14:paraId="4903EE2A" w14:textId="37454916" w:rsidTr="00A9413D">
        <w:trPr>
          <w:gridBefore w:val="1"/>
          <w:wBefore w:w="216" w:type="dxa"/>
          <w:jc w:val="right"/>
        </w:trPr>
        <w:tc>
          <w:tcPr>
            <w:tcW w:w="2862" w:type="dxa"/>
          </w:tcPr>
          <w:p w14:paraId="0490FB43" w14:textId="4FD4F12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lastRenderedPageBreak/>
              <w:t>قسّم الفقرات (3–5 أسطر) واجعل لكل فقرة فكرة محورية وتحليلًا موجزًا بدل السرد.</w:t>
            </w:r>
          </w:p>
        </w:tc>
        <w:tc>
          <w:tcPr>
            <w:tcW w:w="2070" w:type="dxa"/>
          </w:tcPr>
          <w:p w14:paraId="227CFF9D" w14:textId="089C2542"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فقرات طويلة تتضمن أكثر من فكرة رئيسة وتكرار لبعض المحتوى من الإستراتيجية الوطنية.</w:t>
            </w:r>
          </w:p>
        </w:tc>
        <w:tc>
          <w:tcPr>
            <w:tcW w:w="2610" w:type="dxa"/>
          </w:tcPr>
          <w:p w14:paraId="36E501FB" w14:textId="708D687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عبر الفصل</w:t>
            </w:r>
          </w:p>
        </w:tc>
        <w:tc>
          <w:tcPr>
            <w:tcW w:w="1098" w:type="dxa"/>
          </w:tcPr>
          <w:p w14:paraId="7811AA14" w14:textId="7FB35211"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1</w:t>
            </w:r>
          </w:p>
        </w:tc>
      </w:tr>
      <w:tr w:rsidR="00A9413D" w:rsidRPr="00647241" w14:paraId="762662CE" w14:textId="58B6C058" w:rsidTr="00A9413D">
        <w:trPr>
          <w:gridBefore w:val="1"/>
          <w:wBefore w:w="216" w:type="dxa"/>
          <w:jc w:val="right"/>
        </w:trPr>
        <w:tc>
          <w:tcPr>
            <w:tcW w:w="2862" w:type="dxa"/>
          </w:tcPr>
          <w:p w14:paraId="62BFE0F8" w14:textId="12CAA567"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اعتمد</w:t>
            </w:r>
            <w:r w:rsidRPr="00647241">
              <w:rPr>
                <w:rFonts w:ascii="Simplified Arabic" w:hAnsi="Simplified Arabic" w:cs="Simplified Arabic"/>
                <w:sz w:val="24"/>
                <w:szCs w:val="24"/>
              </w:rPr>
              <w:t xml:space="preserve"> APA-7</w:t>
            </w:r>
            <w:r w:rsidRPr="00647241">
              <w:rPr>
                <w:rFonts w:ascii="Simplified Arabic" w:hAnsi="Simplified Arabic" w:cs="Simplified Arabic"/>
                <w:sz w:val="24"/>
                <w:szCs w:val="24"/>
                <w:rtl/>
              </w:rPr>
              <w:t>، أضف</w:t>
            </w:r>
            <w:r w:rsidRPr="00647241">
              <w:rPr>
                <w:rFonts w:ascii="Simplified Arabic" w:hAnsi="Simplified Arabic" w:cs="Simplified Arabic"/>
                <w:sz w:val="24"/>
                <w:szCs w:val="24"/>
              </w:rPr>
              <w:t xml:space="preserve"> DOI/</w:t>
            </w:r>
            <w:r w:rsidRPr="00647241">
              <w:rPr>
                <w:rFonts w:ascii="Simplified Arabic" w:hAnsi="Simplified Arabic" w:cs="Simplified Arabic"/>
                <w:sz w:val="24"/>
                <w:szCs w:val="24"/>
                <w:rtl/>
              </w:rPr>
              <w:t>روابط رسمية، وميّز بين مصادر محكّمة وتقارير حكومية.</w:t>
            </w:r>
          </w:p>
        </w:tc>
        <w:tc>
          <w:tcPr>
            <w:tcW w:w="2070" w:type="dxa"/>
          </w:tcPr>
          <w:p w14:paraId="79DBC7C1" w14:textId="1C2609E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تباين في نمط التوثيق وورود مراجع غير محكّمة وغياب</w:t>
            </w:r>
            <w:r w:rsidRPr="00647241">
              <w:rPr>
                <w:rFonts w:ascii="Simplified Arabic" w:hAnsi="Simplified Arabic" w:cs="Simplified Arabic"/>
                <w:sz w:val="24"/>
                <w:szCs w:val="24"/>
              </w:rPr>
              <w:t xml:space="preserve"> DOI.</w:t>
            </w:r>
          </w:p>
        </w:tc>
        <w:tc>
          <w:tcPr>
            <w:tcW w:w="2610" w:type="dxa"/>
          </w:tcPr>
          <w:p w14:paraId="657DB181" w14:textId="0631002A"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التوثيق</w:t>
            </w:r>
          </w:p>
        </w:tc>
        <w:tc>
          <w:tcPr>
            <w:tcW w:w="1098" w:type="dxa"/>
          </w:tcPr>
          <w:p w14:paraId="75FDCC34" w14:textId="4AA9D613"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2</w:t>
            </w:r>
          </w:p>
        </w:tc>
      </w:tr>
      <w:tr w:rsidR="00A9413D" w:rsidRPr="00647241" w14:paraId="510A61DF" w14:textId="248FD7BC" w:rsidTr="00A9413D">
        <w:trPr>
          <w:gridBefore w:val="1"/>
          <w:wBefore w:w="216" w:type="dxa"/>
          <w:jc w:val="right"/>
        </w:trPr>
        <w:tc>
          <w:tcPr>
            <w:tcW w:w="2862" w:type="dxa"/>
          </w:tcPr>
          <w:p w14:paraId="701AD92C" w14:textId="70C838E2"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أجرِ تدقيقًا لغويًا شاملًا وتوحيد علامات الترقيم والمسافات.</w:t>
            </w:r>
          </w:p>
        </w:tc>
        <w:tc>
          <w:tcPr>
            <w:tcW w:w="2070" w:type="dxa"/>
          </w:tcPr>
          <w:p w14:paraId="173E198F" w14:textId="13A8423A"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وجود هنّات طباعية وأخطاء في التشكيل والفواصل.</w:t>
            </w:r>
          </w:p>
        </w:tc>
        <w:tc>
          <w:tcPr>
            <w:tcW w:w="2610" w:type="dxa"/>
          </w:tcPr>
          <w:p w14:paraId="494E1FF0" w14:textId="079FEF7D"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السلامة اللغوية</w:t>
            </w:r>
          </w:p>
        </w:tc>
        <w:tc>
          <w:tcPr>
            <w:tcW w:w="1098" w:type="dxa"/>
          </w:tcPr>
          <w:p w14:paraId="3D54100E" w14:textId="003E5B4A"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3</w:t>
            </w:r>
          </w:p>
        </w:tc>
      </w:tr>
      <w:tr w:rsidR="00A9413D" w:rsidRPr="00647241" w14:paraId="3E80D392" w14:textId="5CF8AADF" w:rsidTr="00A9413D">
        <w:trPr>
          <w:gridBefore w:val="1"/>
          <w:wBefore w:w="216" w:type="dxa"/>
          <w:jc w:val="right"/>
        </w:trPr>
        <w:tc>
          <w:tcPr>
            <w:tcW w:w="2862" w:type="dxa"/>
          </w:tcPr>
          <w:p w14:paraId="50E6BA2B" w14:textId="18782043"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حوّل العبارات التقريرية إلى ادعاءات قابلة للاختبار بمؤشرات وفرضيات واستدلال منهجي.</w:t>
            </w:r>
          </w:p>
        </w:tc>
        <w:tc>
          <w:tcPr>
            <w:tcW w:w="2070" w:type="dxa"/>
          </w:tcPr>
          <w:p w14:paraId="49C4A10F" w14:textId="1CFCF81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مزج بين نبرة تقرير سياسات ونبرة أطروحة أكاديمية.</w:t>
            </w:r>
          </w:p>
        </w:tc>
        <w:tc>
          <w:tcPr>
            <w:tcW w:w="2610" w:type="dxa"/>
          </w:tcPr>
          <w:p w14:paraId="18B28F14" w14:textId="6B268B01"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المواءمة المنهجية</w:t>
            </w:r>
          </w:p>
        </w:tc>
        <w:tc>
          <w:tcPr>
            <w:tcW w:w="1098" w:type="dxa"/>
          </w:tcPr>
          <w:p w14:paraId="4AC01948" w14:textId="29C66796"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4</w:t>
            </w:r>
          </w:p>
        </w:tc>
      </w:tr>
      <w:tr w:rsidR="00A9413D" w:rsidRPr="00647241" w14:paraId="730B8D7C" w14:textId="4696CB0E" w:rsidTr="00A9413D">
        <w:trPr>
          <w:gridBefore w:val="1"/>
          <w:wBefore w:w="216" w:type="dxa"/>
          <w:jc w:val="right"/>
        </w:trPr>
        <w:tc>
          <w:tcPr>
            <w:tcW w:w="2862" w:type="dxa"/>
          </w:tcPr>
          <w:p w14:paraId="0F776933" w14:textId="50900738"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أضف: (أ) مصفوفة مخاطر</w:t>
            </w:r>
            <w:r w:rsidRPr="00647241">
              <w:rPr>
                <w:rFonts w:ascii="Simplified Arabic" w:hAnsi="Simplified Arabic" w:cs="Simplified Arabic"/>
                <w:sz w:val="24"/>
                <w:szCs w:val="24"/>
              </w:rPr>
              <w:t xml:space="preserve"> PPP </w:t>
            </w:r>
            <w:r w:rsidRPr="00647241">
              <w:rPr>
                <w:rFonts w:ascii="Simplified Arabic" w:hAnsi="Simplified Arabic" w:cs="Simplified Arabic"/>
                <w:sz w:val="24"/>
                <w:szCs w:val="24"/>
                <w:rtl/>
              </w:rPr>
              <w:t>(التوزيع بين العام/الخاص)، (ب) خريطة أصحاب المصلحة، (ج) شجرة قرارات بدائل التعاقد.</w:t>
            </w:r>
          </w:p>
        </w:tc>
        <w:tc>
          <w:tcPr>
            <w:tcW w:w="2070" w:type="dxa"/>
          </w:tcPr>
          <w:p w14:paraId="62052C80" w14:textId="6B845C1C"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حاجة إلى رسوم توضيحية أدق من «الإطار الهيكلي» العام.</w:t>
            </w:r>
          </w:p>
        </w:tc>
        <w:tc>
          <w:tcPr>
            <w:tcW w:w="2610" w:type="dxa"/>
          </w:tcPr>
          <w:p w14:paraId="2D9275BF" w14:textId="430F0C86"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tl/>
              </w:rPr>
              <w:t>الأشكال والجداول</w:t>
            </w:r>
          </w:p>
        </w:tc>
        <w:tc>
          <w:tcPr>
            <w:tcW w:w="1098" w:type="dxa"/>
          </w:tcPr>
          <w:p w14:paraId="21F8A125" w14:textId="0FA1C74B" w:rsidR="00A9413D" w:rsidRPr="00647241" w:rsidRDefault="00A9413D" w:rsidP="00A9413D">
            <w:pPr>
              <w:bidi/>
              <w:rPr>
                <w:rFonts w:ascii="Simplified Arabic" w:hAnsi="Simplified Arabic" w:cs="Simplified Arabic"/>
                <w:sz w:val="24"/>
                <w:szCs w:val="24"/>
              </w:rPr>
            </w:pPr>
            <w:r w:rsidRPr="00647241">
              <w:rPr>
                <w:rFonts w:ascii="Simplified Arabic" w:hAnsi="Simplified Arabic" w:cs="Simplified Arabic"/>
                <w:sz w:val="24"/>
                <w:szCs w:val="24"/>
              </w:rPr>
              <w:t>5</w:t>
            </w:r>
          </w:p>
        </w:tc>
      </w:tr>
    </w:tbl>
    <w:p w14:paraId="1D3FC496" w14:textId="77777777" w:rsidR="004D1525" w:rsidRPr="00647241" w:rsidRDefault="004D1525" w:rsidP="00E76A7A">
      <w:pPr>
        <w:bidi/>
        <w:rPr>
          <w:rFonts w:ascii="Simplified Arabic" w:hAnsi="Simplified Arabic" w:cs="Simplified Arabic"/>
          <w:sz w:val="24"/>
          <w:szCs w:val="24"/>
        </w:rPr>
      </w:pPr>
    </w:p>
    <w:p w14:paraId="543FF717" w14:textId="5117BD41" w:rsidR="00647241" w:rsidRPr="00647241" w:rsidRDefault="00647241" w:rsidP="00647241">
      <w:pPr>
        <w:bidi/>
        <w:rPr>
          <w:rFonts w:ascii="Simplified Arabic" w:hAnsi="Simplified Arabic" w:cs="Simplified Arabic"/>
          <w:b/>
          <w:bCs/>
          <w:sz w:val="24"/>
          <w:szCs w:val="24"/>
          <w:rtl/>
          <w:lang w:bidi="ar-JO"/>
        </w:rPr>
      </w:pPr>
      <w:r w:rsidRPr="00647241">
        <w:rPr>
          <w:rFonts w:ascii="Simplified Arabic" w:hAnsi="Simplified Arabic" w:cs="Simplified Arabic"/>
          <w:b/>
          <w:bCs/>
          <w:sz w:val="24"/>
          <w:szCs w:val="24"/>
          <w:rtl/>
          <w:lang w:bidi="ar-JO"/>
        </w:rPr>
        <w:t>الخاتمة</w:t>
      </w:r>
    </w:p>
    <w:p w14:paraId="48EC2AF8" w14:textId="059D6D0A"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تمهيد وسياق الدراسة</w:t>
      </w:r>
    </w:p>
    <w:p w14:paraId="01466FAF" w14:textId="77777777" w:rsidR="00747B6E" w:rsidRDefault="00747B6E" w:rsidP="00747B6E">
      <w:pPr>
        <w:pStyle w:val="NormalWeb"/>
        <w:bidi/>
        <w:spacing w:before="0" w:beforeAutospacing="0" w:after="0" w:afterAutospacing="0"/>
        <w:jc w:val="both"/>
        <w:rPr>
          <w:rFonts w:ascii="Simplified Arabic" w:hAnsi="Simplified Arabic" w:cs="Simplified Arabic"/>
          <w:rtl/>
        </w:rPr>
      </w:pPr>
      <w:r w:rsidRPr="00747B6E">
        <w:rPr>
          <w:rFonts w:ascii="Simplified Arabic" w:hAnsi="Simplified Arabic" w:cs="Simplified Arabic"/>
          <w:rtl/>
        </w:rPr>
        <w:t xml:space="preserve">ينبغي أن تُعاد كتابة افتتاحية الفصل الأول بصياغة سردية تركّز منذ السطر الأول على </w:t>
      </w:r>
      <w:r w:rsidRPr="00747B6E">
        <w:rPr>
          <w:rFonts w:ascii="Simplified Arabic" w:hAnsi="Simplified Arabic" w:cs="Simplified Arabic"/>
          <w:b/>
          <w:bCs/>
          <w:rtl/>
        </w:rPr>
        <w:t>السياق المؤسسي السعودي</w:t>
      </w:r>
      <w:r w:rsidRPr="00747B6E">
        <w:rPr>
          <w:rFonts w:ascii="Simplified Arabic" w:hAnsi="Simplified Arabic" w:cs="Simplified Arabic"/>
          <w:rtl/>
        </w:rPr>
        <w:t xml:space="preserve"> لقطاع البيئة بعد إطلاق الاستراتيجية الوطنية للبيئة وإنشاء المراكز الوطنية وصندوق البيئة. الهدف من هذا التمهيد ليس تقديم تاريخ عام للشراكات، بل </w:t>
      </w:r>
      <w:r w:rsidRPr="00747B6E">
        <w:rPr>
          <w:rFonts w:ascii="Simplified Arabic" w:hAnsi="Simplified Arabic" w:cs="Simplified Arabic"/>
          <w:b/>
          <w:bCs/>
          <w:rtl/>
        </w:rPr>
        <w:t>ترسيخ منطق الحاجة</w:t>
      </w:r>
      <w:r w:rsidRPr="00747B6E">
        <w:rPr>
          <w:rFonts w:ascii="Simplified Arabic" w:hAnsi="Simplified Arabic" w:cs="Simplified Arabic"/>
          <w:rtl/>
        </w:rPr>
        <w:t xml:space="preserve"> إلى تطوير خدمة التفتيش البيئي تحديدًا داخل هذا الإطار المؤسسي: من يشرف؟ كيف تُموَّل الخدمة؟ ما أبرز التحديات التشغيلية؟ وكيف انعكس ذلك على جودة التفتيش والتغطية الجغرافية وزمن إغلاق المخالفة؟</w:t>
      </w:r>
    </w:p>
    <w:p w14:paraId="273956A5" w14:textId="06372F32"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يستحسن أن تختتم فقرة التمهيد بجملة انتقالية تمهّد مباشرةً لطرح المشكلة: «وعلى الرغم من هذا التطوّر التنظيمي، ما تزال خدمة التفتيش البيئي تواجه تحدّياتٍ تشغيلية ومالية، الأمر الذي يستدعي دراسةَ جدوى نموذجٍ مُحكمٍ للشراكة بين القطاعين العام والخاص يراعي الخصوصية المؤسسية في المملكة</w:t>
      </w:r>
      <w:r w:rsidRPr="00747B6E">
        <w:rPr>
          <w:rFonts w:ascii="Simplified Arabic" w:hAnsi="Simplified Arabic" w:cs="Simplified Arabic"/>
        </w:rPr>
        <w:t>».</w:t>
      </w:r>
    </w:p>
    <w:p w14:paraId="5DBDB6A8" w14:textId="0E1A417F"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بناء مشكلة الدراسة وصياغتها</w:t>
      </w:r>
    </w:p>
    <w:p w14:paraId="734BCFE5" w14:textId="77777777" w:rsidR="00747B6E" w:rsidRDefault="00747B6E" w:rsidP="00747B6E">
      <w:pPr>
        <w:pStyle w:val="NormalWeb"/>
        <w:bidi/>
        <w:spacing w:before="0" w:beforeAutospacing="0" w:after="0" w:afterAutospacing="0"/>
        <w:jc w:val="both"/>
        <w:rPr>
          <w:rFonts w:ascii="Simplified Arabic" w:hAnsi="Simplified Arabic" w:cs="Simplified Arabic"/>
          <w:rtl/>
        </w:rPr>
      </w:pPr>
      <w:r w:rsidRPr="00747B6E">
        <w:rPr>
          <w:rFonts w:ascii="Simplified Arabic" w:hAnsi="Simplified Arabic" w:cs="Simplified Arabic"/>
          <w:rtl/>
        </w:rPr>
        <w:lastRenderedPageBreak/>
        <w:t>بعد التمهيد، انتقل بسردٍ متماسك إلى تصويرٍ مُقنع للمشكلة عبر مؤشرات قابلة للقياس: تكلفة الزيارة الواحدة إلى المنشأة، زمن إغلاق المخالفة من لحظة الضبط حتى إتمام الإجراءات، نسبة التغطية الجغرافية مقارنةً بعدد المنشآت الخاضعة للتفتيش، ونسبة العود للمخالفة بعد الزيارة. لا تكتفِ بالوصف؛ اربط كل مؤشر بأثره العملي (تكلفة مرتفعة تعني استدامة أقل، زمن إغلاق طويل يضعف الردع، تغطية محدودة تخلق فجوات امتثال)</w:t>
      </w:r>
      <w:r w:rsidRPr="00747B6E">
        <w:rPr>
          <w:rFonts w:ascii="Simplified Arabic" w:hAnsi="Simplified Arabic" w:cs="Simplified Arabic"/>
        </w:rPr>
        <w:t>.</w:t>
      </w:r>
      <w:r w:rsidRPr="00747B6E">
        <w:rPr>
          <w:rFonts w:ascii="Simplified Arabic" w:hAnsi="Simplified Arabic" w:cs="Simplified Arabic"/>
        </w:rPr>
        <w:br/>
      </w:r>
      <w:r w:rsidRPr="00747B6E">
        <w:rPr>
          <w:rFonts w:ascii="Simplified Arabic" w:hAnsi="Simplified Arabic" w:cs="Simplified Arabic"/>
          <w:rtl/>
        </w:rPr>
        <w:t>اختم هذه الفقرة بصياغة محكمة للمشكلة بصيغة تقريرية تصلح للاقتباس</w:t>
      </w:r>
      <w:r w:rsidRPr="00747B6E">
        <w:rPr>
          <w:rFonts w:ascii="Simplified Arabic" w:hAnsi="Simplified Arabic" w:cs="Simplified Arabic"/>
        </w:rPr>
        <w:t>:</w:t>
      </w:r>
    </w:p>
    <w:p w14:paraId="52152625" w14:textId="3E736FCA"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b/>
          <w:bCs/>
        </w:rPr>
        <w:t>«</w:t>
      </w:r>
      <w:r w:rsidRPr="00747B6E">
        <w:rPr>
          <w:rFonts w:ascii="Simplified Arabic" w:hAnsi="Simplified Arabic" w:cs="Simplified Arabic"/>
          <w:b/>
          <w:bCs/>
          <w:rtl/>
        </w:rPr>
        <w:t>تتمثّل مشكلة الدراسة في غياب نموذجٍ تشغيليٍّ وتمويليٍّ مُبرهَن لخدمة التفتيش البيئي في المملكة يوازن بين الكفاءة التشغيلية وجودة الامتثال وتخفيف العبء المالي على الجهة المشرفة، مع تحديدٍ واضح لتوزيع المخاطر بين الشريكَيْن وآلية ربط المقابل المالي بمؤشرات أداء قابلة للقياس</w:t>
      </w:r>
      <w:r w:rsidRPr="00747B6E">
        <w:rPr>
          <w:rFonts w:ascii="Simplified Arabic" w:hAnsi="Simplified Arabic" w:cs="Simplified Arabic"/>
          <w:b/>
          <w:bCs/>
        </w:rPr>
        <w:t>».</w:t>
      </w:r>
    </w:p>
    <w:p w14:paraId="10652E7D" w14:textId="204F6A2E"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خلاصة الفجوة العلمية والعملية</w:t>
      </w:r>
    </w:p>
    <w:p w14:paraId="14B52B1C"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قدّم في فقرة واحدة</w:t>
      </w:r>
      <w:r w:rsidRPr="00747B6E">
        <w:rPr>
          <w:rFonts w:ascii="Simplified Arabic" w:hAnsi="Simplified Arabic" w:cs="Simplified Arabic"/>
        </w:rPr>
        <w:t xml:space="preserve"> «</w:t>
      </w:r>
      <w:r w:rsidRPr="00747B6E">
        <w:rPr>
          <w:rFonts w:ascii="Simplified Arabic" w:hAnsi="Simplified Arabic" w:cs="Simplified Arabic"/>
          <w:rtl/>
        </w:rPr>
        <w:t>خلاصة فجوة</w:t>
      </w:r>
      <w:r w:rsidRPr="00747B6E">
        <w:rPr>
          <w:rFonts w:ascii="Simplified Arabic" w:hAnsi="Simplified Arabic" w:cs="Simplified Arabic"/>
        </w:rPr>
        <w:t xml:space="preserve">» </w:t>
      </w:r>
      <w:r w:rsidRPr="00747B6E">
        <w:rPr>
          <w:rFonts w:ascii="Simplified Arabic" w:hAnsi="Simplified Arabic" w:cs="Simplified Arabic"/>
          <w:rtl/>
        </w:rPr>
        <w:t>تُبيّن أن الأدبيات الدولية درست الشراكات في خدماتٍ قريبة (المياه، النفايات، النقل)، لكنها لم تختبر بصورة مباشرة خدمة التفتيش البيئي في المملكة بمكوّناتها المؤسسية، ولا قدّمت نموذجًا يدمج: تصميم العقد، ومصفوفة المخاطر، وآليات التسعير، ومعايير الحكم على الجدوى التشغيلية والمالية ضمن إطار وطني محدّد. بيّن بوضوح أنّ دراستك تسدّ هذه الفجوة عبر تصميمٍ قابل للتطبيق ومقارنته بسيناريوهات بديلة</w:t>
      </w:r>
      <w:r w:rsidRPr="00747B6E">
        <w:rPr>
          <w:rFonts w:ascii="Simplified Arabic" w:hAnsi="Simplified Arabic" w:cs="Simplified Arabic"/>
        </w:rPr>
        <w:t>.</w:t>
      </w:r>
    </w:p>
    <w:p w14:paraId="05437F68" w14:textId="71FD513D"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 xml:space="preserve">أهداف الدراسة ومؤشرات الأداء </w:t>
      </w:r>
    </w:p>
    <w:p w14:paraId="097B6F08"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صُغ الأهداف كجمل سردية دقيقة تُثبت القيد المكاني والزماني، وتربط كلّ هدف بمؤشرات أداء محدّدة</w:t>
      </w:r>
      <w:r w:rsidRPr="00747B6E">
        <w:rPr>
          <w:rFonts w:ascii="Simplified Arabic" w:hAnsi="Simplified Arabic" w:cs="Simplified Arabic"/>
          <w:b/>
          <w:bCs/>
        </w:rPr>
        <w:t>:</w:t>
      </w:r>
    </w:p>
    <w:p w14:paraId="5F5F4CDD" w14:textId="77777777" w:rsidR="00747B6E" w:rsidRPr="00747B6E" w:rsidRDefault="00747B6E" w:rsidP="00747B6E">
      <w:pPr>
        <w:pStyle w:val="NormalWeb"/>
        <w:numPr>
          <w:ilvl w:val="0"/>
          <w:numId w:val="10"/>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تهدف الدراسة إلى تشخيص الوضع التشغيلي الراهن لخدمة التفتيش البيئي في المملكة خلال فترة زمنية محدّدة، وذلك بقياس تكلفة الزيارة، وزمن إغلاق المخالفة، ونسبة التغطية، ونسبة العود</w:t>
      </w:r>
      <w:r w:rsidRPr="00747B6E">
        <w:rPr>
          <w:rFonts w:ascii="Simplified Arabic" w:hAnsi="Simplified Arabic" w:cs="Simplified Arabic"/>
        </w:rPr>
        <w:t>.</w:t>
      </w:r>
    </w:p>
    <w:p w14:paraId="661494A6" w14:textId="77777777" w:rsidR="00747B6E" w:rsidRPr="00747B6E" w:rsidRDefault="00747B6E" w:rsidP="00747B6E">
      <w:pPr>
        <w:pStyle w:val="NormalWeb"/>
        <w:numPr>
          <w:ilvl w:val="0"/>
          <w:numId w:val="10"/>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وتهدف إلى إعداد تحليل جدوى تشغيلية ومالية لبدائل تصميم العقد، مستخدمةً صافي القيمة الحالية، ومعدل العائد الداخلي، وفترة الاسترداد، ومؤشرات اتفاقيات مستوى الخدمة معيارًا للحكم</w:t>
      </w:r>
      <w:r w:rsidRPr="00747B6E">
        <w:rPr>
          <w:rFonts w:ascii="Simplified Arabic" w:hAnsi="Simplified Arabic" w:cs="Simplified Arabic"/>
        </w:rPr>
        <w:t>.</w:t>
      </w:r>
    </w:p>
    <w:p w14:paraId="3E978064" w14:textId="77777777" w:rsidR="00747B6E" w:rsidRPr="00747B6E" w:rsidRDefault="00747B6E" w:rsidP="00747B6E">
      <w:pPr>
        <w:pStyle w:val="NormalWeb"/>
        <w:numPr>
          <w:ilvl w:val="0"/>
          <w:numId w:val="10"/>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كما تهدف إلى تصميم بدائل تعاقدية مناسبة (مثل البناء والتشغيل، أو البناء والتمويل والتشغيل والصيانة، أو التعهيد الانتقائي)، مع تحليلٍ مفصّل للمخاطر وتوزيعها</w:t>
      </w:r>
      <w:r w:rsidRPr="00747B6E">
        <w:rPr>
          <w:rFonts w:ascii="Simplified Arabic" w:hAnsi="Simplified Arabic" w:cs="Simplified Arabic"/>
        </w:rPr>
        <w:t>.</w:t>
      </w:r>
    </w:p>
    <w:p w14:paraId="2F466D80" w14:textId="77777777" w:rsidR="00747B6E" w:rsidRDefault="00747B6E" w:rsidP="00747B6E">
      <w:pPr>
        <w:pStyle w:val="NormalWeb"/>
        <w:numPr>
          <w:ilvl w:val="0"/>
          <w:numId w:val="10"/>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وتهدف أخيرًا إلى محاكاة سيناريوهات تسعير تربط المقابل المالي بمستوى الأداء، واختبار أثر كل سيناريو على التكلفة للزيارة، وزمن الإغلاق، واتساع التغطية</w:t>
      </w:r>
      <w:r w:rsidRPr="00747B6E">
        <w:rPr>
          <w:rFonts w:ascii="Simplified Arabic" w:hAnsi="Simplified Arabic" w:cs="Simplified Arabic"/>
        </w:rPr>
        <w:t>.</w:t>
      </w:r>
    </w:p>
    <w:p w14:paraId="55255F3C" w14:textId="3BE386E4" w:rsidR="00747B6E" w:rsidRPr="00747B6E" w:rsidRDefault="00747B6E" w:rsidP="00747B6E">
      <w:pPr>
        <w:pStyle w:val="NormalWeb"/>
        <w:numPr>
          <w:ilvl w:val="0"/>
          <w:numId w:val="10"/>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اجعل لكل هدف «حدًّا مستهدفًا» (مثل: خفض تكلفة الزيارة بنسبة تقديرية، تقليص زمن الإغلاق إلى حدّ معياري، توسيع التغطية إلى نسبة محدّدة) لتسهيل التقييم اللاحق</w:t>
      </w:r>
      <w:r w:rsidRPr="00747B6E">
        <w:rPr>
          <w:rFonts w:ascii="Simplified Arabic" w:hAnsi="Simplified Arabic" w:cs="Simplified Arabic"/>
        </w:rPr>
        <w:t>.</w:t>
      </w:r>
    </w:p>
    <w:p w14:paraId="15C351A6" w14:textId="6D7C71C7"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 xml:space="preserve">المنهجية وإطار التحليل </w:t>
      </w:r>
    </w:p>
    <w:p w14:paraId="01200069"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اشرح كيف ستنجز التحليل: مصادر البيانات (سجلات الجهة، قواعد بيانات رسمية، مقابلات خبراء عند الحاجة)، وخطوات التنظيف والتحقق، ثم الأدوات</w:t>
      </w:r>
      <w:r w:rsidRPr="00747B6E">
        <w:rPr>
          <w:rFonts w:ascii="Simplified Arabic" w:hAnsi="Simplified Arabic" w:cs="Simplified Arabic"/>
        </w:rPr>
        <w:t>:</w:t>
      </w:r>
    </w:p>
    <w:p w14:paraId="43BC6AFA" w14:textId="77777777" w:rsidR="00747B6E" w:rsidRPr="00747B6E" w:rsidRDefault="00747B6E" w:rsidP="00747B6E">
      <w:pPr>
        <w:pStyle w:val="NormalWeb"/>
        <w:numPr>
          <w:ilvl w:val="0"/>
          <w:numId w:val="11"/>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تحليل المنافع والتكاليف لقياس الجدوى المالية لكل بديل تعاقدي</w:t>
      </w:r>
      <w:r w:rsidRPr="00747B6E">
        <w:rPr>
          <w:rFonts w:ascii="Simplified Arabic" w:hAnsi="Simplified Arabic" w:cs="Simplified Arabic"/>
        </w:rPr>
        <w:t>.</w:t>
      </w:r>
    </w:p>
    <w:p w14:paraId="2E60C074" w14:textId="77777777" w:rsidR="00747B6E" w:rsidRPr="00747B6E" w:rsidRDefault="00747B6E" w:rsidP="00747B6E">
      <w:pPr>
        <w:pStyle w:val="NormalWeb"/>
        <w:numPr>
          <w:ilvl w:val="0"/>
          <w:numId w:val="11"/>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تحليل الحساسية لقياس متانة النتائج عند تغيّر الافتراضات (رسوم الخدمة، أحجام الزيارات، تكاليف التشغيل)</w:t>
      </w:r>
      <w:r w:rsidRPr="00747B6E">
        <w:rPr>
          <w:rFonts w:ascii="Simplified Arabic" w:hAnsi="Simplified Arabic" w:cs="Simplified Arabic"/>
        </w:rPr>
        <w:t>.</w:t>
      </w:r>
    </w:p>
    <w:p w14:paraId="50C3F9F5" w14:textId="77777777" w:rsidR="00747B6E" w:rsidRPr="00747B6E" w:rsidRDefault="00747B6E" w:rsidP="00747B6E">
      <w:pPr>
        <w:pStyle w:val="NormalWeb"/>
        <w:numPr>
          <w:ilvl w:val="0"/>
          <w:numId w:val="11"/>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محاكاة السيناريوهات عندما يلزم، لإظهار أثر ربط المقابل المالي بمستوى الأداء على السلوك التشغيلي</w:t>
      </w:r>
      <w:r w:rsidRPr="00747B6E">
        <w:rPr>
          <w:rFonts w:ascii="Simplified Arabic" w:hAnsi="Simplified Arabic" w:cs="Simplified Arabic"/>
        </w:rPr>
        <w:t>.</w:t>
      </w:r>
    </w:p>
    <w:p w14:paraId="0959015A" w14:textId="77777777" w:rsidR="00747B6E" w:rsidRPr="00747B6E" w:rsidRDefault="00747B6E" w:rsidP="00747B6E">
      <w:pPr>
        <w:pStyle w:val="NormalWeb"/>
        <w:numPr>
          <w:ilvl w:val="0"/>
          <w:numId w:val="11"/>
        </w:numPr>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lastRenderedPageBreak/>
        <w:t>معايير اتخاذ القرار</w:t>
      </w:r>
      <w:r w:rsidRPr="00747B6E">
        <w:rPr>
          <w:rFonts w:ascii="Simplified Arabic" w:hAnsi="Simplified Arabic" w:cs="Simplified Arabic"/>
        </w:rPr>
        <w:t xml:space="preserve">: </w:t>
      </w:r>
      <w:r w:rsidRPr="00747B6E">
        <w:rPr>
          <w:rFonts w:ascii="Simplified Arabic" w:hAnsi="Simplified Arabic" w:cs="Simplified Arabic"/>
          <w:rtl/>
        </w:rPr>
        <w:t>تُعدُّ البدائل مجدية عندما يكون صافي القيمة الحالية موجبًا، ومعدل العائد الداخلي أعلى من تكلفة رأس المال، وتتحقّق مستويات اتفاقية الخدمة المتفق عليها</w:t>
      </w:r>
      <w:r w:rsidRPr="00747B6E">
        <w:rPr>
          <w:rFonts w:ascii="Simplified Arabic" w:hAnsi="Simplified Arabic" w:cs="Simplified Arabic"/>
        </w:rPr>
        <w:t>.</w:t>
      </w:r>
      <w:r w:rsidRPr="00747B6E">
        <w:rPr>
          <w:rFonts w:ascii="Simplified Arabic" w:hAnsi="Simplified Arabic" w:cs="Simplified Arabic"/>
        </w:rPr>
        <w:br/>
      </w:r>
      <w:r w:rsidRPr="00747B6E">
        <w:rPr>
          <w:rFonts w:ascii="Simplified Arabic" w:hAnsi="Simplified Arabic" w:cs="Simplified Arabic"/>
          <w:rtl/>
        </w:rPr>
        <w:t>اكتب هذه الفقرة في أسطر مترابطة تُظهر منطق الانتقال من البيانات إلى الحكم على البدائل</w:t>
      </w:r>
      <w:r w:rsidRPr="00747B6E">
        <w:rPr>
          <w:rFonts w:ascii="Simplified Arabic" w:hAnsi="Simplified Arabic" w:cs="Simplified Arabic"/>
        </w:rPr>
        <w:t>.</w:t>
      </w:r>
    </w:p>
    <w:p w14:paraId="369588E7" w14:textId="5A25C2B9"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نموذج الشراكة: التصميم التعاقدي ومصفوفة المخاطر</w:t>
      </w:r>
    </w:p>
    <w:p w14:paraId="21B1CA08" w14:textId="75AC0E8B"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في فقرة سردية واحدة مطوّلة، قدّم تصميم العقد المقترح بلغة مفهومة: ما نطاق الخدمة الذي يسنده القطاع العام للشريك الخاص؟ ما التزامات كل طرف؟ كيف يُربط المقابل المالي بمستوى الإنجاز؟ ثم انتقل إلى مصفوفة المخاطر بصيغة وصفية: توضّح أنّ مخاطر التشييد والتمويل تُحمَّل غالبًا على الشريك الخاص، بينما تبقى المخاطر التنظيمية والرقابية لدى الجهة المشرفة، وتتقاسم الأطراف مخاطر الأداء والطلب وفق آلية تحفيزية (جزاءات/حوافز) مرتبطة بمؤشرات متّفق عليها</w:t>
      </w:r>
      <w:r w:rsidRPr="00747B6E">
        <w:rPr>
          <w:rFonts w:ascii="Simplified Arabic" w:hAnsi="Simplified Arabic" w:cs="Simplified Arabic"/>
        </w:rPr>
        <w:t>.</w:t>
      </w:r>
      <w:r w:rsidRPr="00747B6E">
        <w:rPr>
          <w:rFonts w:ascii="Simplified Arabic" w:hAnsi="Simplified Arabic" w:cs="Simplified Arabic"/>
        </w:rPr>
        <w:br/>
      </w:r>
      <w:r w:rsidRPr="00747B6E">
        <w:rPr>
          <w:rFonts w:ascii="Simplified Arabic" w:hAnsi="Simplified Arabic" w:cs="Simplified Arabic"/>
          <w:rtl/>
        </w:rPr>
        <w:t>اختم الفقرة بـخريطة أصحاب المصلحة (الجهة المشرفة، المراكز الوطنية ذات الصلة، الشركات المنفِّذة، المنشآت الخاضعة للتفتيش) مبيّنًا تدفّق المعلومات والمسؤولية بينها، وكيف يضمن التصميم المُقترح جودة التفتيش واستدامته المالية</w:t>
      </w:r>
      <w:r w:rsidRPr="00747B6E">
        <w:rPr>
          <w:rFonts w:ascii="Simplified Arabic" w:hAnsi="Simplified Arabic" w:cs="Simplified Arabic"/>
        </w:rPr>
        <w:t>.</w:t>
      </w:r>
    </w:p>
    <w:p w14:paraId="3CA04CA7" w14:textId="64B6D471"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الحدود ووحدة التحليل</w:t>
      </w:r>
    </w:p>
    <w:p w14:paraId="1F9AE0A2" w14:textId="77777777" w:rsidR="00747B6E" w:rsidRDefault="00747B6E" w:rsidP="00747B6E">
      <w:pPr>
        <w:pStyle w:val="NormalWeb"/>
        <w:bidi/>
        <w:spacing w:before="0" w:beforeAutospacing="0" w:after="0" w:afterAutospacing="0"/>
        <w:jc w:val="both"/>
        <w:rPr>
          <w:rFonts w:ascii="Simplified Arabic" w:hAnsi="Simplified Arabic" w:cs="Simplified Arabic"/>
          <w:rtl/>
        </w:rPr>
      </w:pPr>
      <w:r w:rsidRPr="00747B6E">
        <w:rPr>
          <w:rFonts w:ascii="Simplified Arabic" w:hAnsi="Simplified Arabic" w:cs="Simplified Arabic"/>
          <w:rtl/>
        </w:rPr>
        <w:t>اشرَح بصورة سردية واضحة الحدود التي تلتزم بها الدراسة</w:t>
      </w:r>
      <w:r w:rsidRPr="00747B6E">
        <w:rPr>
          <w:rFonts w:ascii="Simplified Arabic" w:hAnsi="Simplified Arabic" w:cs="Simplified Arabic"/>
        </w:rPr>
        <w:t xml:space="preserve">: </w:t>
      </w:r>
      <w:r w:rsidRPr="00747B6E">
        <w:rPr>
          <w:rFonts w:ascii="Simplified Arabic" w:hAnsi="Simplified Arabic" w:cs="Simplified Arabic"/>
          <w:rtl/>
        </w:rPr>
        <w:t>وحدة التحليل هي خدمة التفتيش البيئي تحت إشراف جهة وطنية محدّدة؛ الحدود المكانية تركّز على مناطق أو مدن بعينها مع بيان أثر ذلك على التعميم؛ الحدود البشرية تشمل فئات المستجيبين المعنيين (المفتشون، ممثلو المنشآت، مزوّدو الخدمة إن وُجدوا)؛ الحدود الزمنية تحدد نافذة القياس (مثل عام واحد) مع تبرير ملاءمتها</w:t>
      </w:r>
      <w:r w:rsidRPr="00747B6E">
        <w:rPr>
          <w:rFonts w:ascii="Simplified Arabic" w:hAnsi="Simplified Arabic" w:cs="Simplified Arabic"/>
        </w:rPr>
        <w:t>.</w:t>
      </w:r>
    </w:p>
    <w:p w14:paraId="6CA981E6" w14:textId="13A870A9"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بيّن كذلك ما يستبعده البحث (خدمات بيئية أخرى، أو أبعاد رقابية خارج التفتيش)، وما يترتّب على ذلك من حدود تفسيرية</w:t>
      </w:r>
      <w:r w:rsidRPr="00747B6E">
        <w:rPr>
          <w:rFonts w:ascii="Simplified Arabic" w:hAnsi="Simplified Arabic" w:cs="Simplified Arabic"/>
        </w:rPr>
        <w:t>.</w:t>
      </w:r>
    </w:p>
    <w:p w14:paraId="3DE94F96" w14:textId="454E5BD6"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توحيد المصطلحات والتعريفات الإجرائية</w:t>
      </w:r>
    </w:p>
    <w:p w14:paraId="3A9F1139"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صُغ فقرة سردية تُثبت فيها أن</w:t>
      </w:r>
      <w:r w:rsidRPr="00747B6E">
        <w:rPr>
          <w:rFonts w:ascii="Simplified Arabic" w:hAnsi="Simplified Arabic" w:cs="Simplified Arabic"/>
        </w:rPr>
        <w:t xml:space="preserve"> «</w:t>
      </w:r>
      <w:r w:rsidRPr="00747B6E">
        <w:rPr>
          <w:rFonts w:ascii="Simplified Arabic" w:hAnsi="Simplified Arabic" w:cs="Simplified Arabic"/>
          <w:rtl/>
        </w:rPr>
        <w:t>الشراكة بين القطاعين العام والخاص</w:t>
      </w:r>
      <w:r w:rsidRPr="00747B6E">
        <w:rPr>
          <w:rFonts w:ascii="Simplified Arabic" w:hAnsi="Simplified Arabic" w:cs="Simplified Arabic"/>
        </w:rPr>
        <w:t xml:space="preserve">» </w:t>
      </w:r>
      <w:r w:rsidRPr="00747B6E">
        <w:rPr>
          <w:rFonts w:ascii="Simplified Arabic" w:hAnsi="Simplified Arabic" w:cs="Simplified Arabic"/>
          <w:rtl/>
        </w:rPr>
        <w:t>هي المصطلح المظلّي، مع التمييز بينها وبين «الخصخصة أو التخصيص». بعد ذلك قدّم ملخّصًا مفاهيميًا نثريًا يوضح لكل مفهوم أساسي: تعريفًا نظريًا مختصرًا ممهورًا بالمصدر، يليه تعريف إجرائي محايد يصف طريقة القياس (كيف تحسب تكلفة الزيارة؟ كيف يُقاس زمن الإغلاق؟ ما صيغة نسبة التغطية ونسبة العود؟ كيف تُقاس مستويات اتفاقية الخدمة؟)</w:t>
      </w:r>
      <w:r w:rsidRPr="00747B6E">
        <w:rPr>
          <w:rFonts w:ascii="Simplified Arabic" w:hAnsi="Simplified Arabic" w:cs="Simplified Arabic"/>
        </w:rPr>
        <w:t>.</w:t>
      </w:r>
      <w:r w:rsidRPr="00747B6E">
        <w:rPr>
          <w:rFonts w:ascii="Simplified Arabic" w:hAnsi="Simplified Arabic" w:cs="Simplified Arabic"/>
        </w:rPr>
        <w:br/>
      </w:r>
      <w:r w:rsidRPr="00747B6E">
        <w:rPr>
          <w:rFonts w:ascii="Simplified Arabic" w:hAnsi="Simplified Arabic" w:cs="Simplified Arabic"/>
          <w:rtl/>
        </w:rPr>
        <w:t xml:space="preserve">احرص على أن تُكتب التعريفات بضمير محايد من دون تضمين أحكام أو نتائج مسبقة، وعلى أن تُستخدم </w:t>
      </w:r>
      <w:r w:rsidRPr="00747B6E">
        <w:rPr>
          <w:rFonts w:ascii="Simplified Arabic" w:hAnsi="Simplified Arabic" w:cs="Simplified Arabic"/>
          <w:b/>
          <w:bCs/>
          <w:rtl/>
        </w:rPr>
        <w:t xml:space="preserve">نفس </w:t>
      </w:r>
      <w:r w:rsidRPr="00747B6E">
        <w:rPr>
          <w:rFonts w:ascii="Simplified Arabic" w:hAnsi="Simplified Arabic" w:cs="Simplified Arabic"/>
          <w:rtl/>
        </w:rPr>
        <w:t>المسميات حرفيًا في الأهداف والمنهجية والنتائج</w:t>
      </w:r>
      <w:r w:rsidRPr="00747B6E">
        <w:rPr>
          <w:rFonts w:ascii="Simplified Arabic" w:hAnsi="Simplified Arabic" w:cs="Simplified Arabic"/>
        </w:rPr>
        <w:t>.</w:t>
      </w:r>
    </w:p>
    <w:p w14:paraId="0364887C" w14:textId="35F4D816"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التوثيق واللغة</w:t>
      </w:r>
    </w:p>
    <w:p w14:paraId="42D4A92E"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اشرح في فقرة موجزة أنّ التزامك سيكون بأسلوب توثيقٍ موحّد في المتن والقائمة وفق المعايير المعتمدة، مع استبدال</w:t>
      </w:r>
      <w:r w:rsidRPr="00747B6E">
        <w:rPr>
          <w:rFonts w:ascii="Simplified Arabic" w:hAnsi="Simplified Arabic" w:cs="Simplified Arabic"/>
          <w:b/>
          <w:bCs/>
          <w:rtl/>
        </w:rPr>
        <w:t xml:space="preserve"> </w:t>
      </w:r>
      <w:r w:rsidRPr="00747B6E">
        <w:rPr>
          <w:rFonts w:ascii="Simplified Arabic" w:hAnsi="Simplified Arabic" w:cs="Simplified Arabic"/>
          <w:rtl/>
        </w:rPr>
        <w:t>الروابط العامة أو التعليمية غير العلمية بمراجع رسمية ومحكّمة حديثة، وإضافة المعرّفات الرقمية حيثما توافرت. وفي المستوى اللغوي، التزم الجمل القصيرة المتماسكة، وقسّم الفقرات الطويلة إلى وحدات من ثلاث إلى خمس جُمَل تنتهي كل منها بجملة انتقالية تُمهّد للفقرة التالية، مع مراجعة علامات الترقيم والتراكيب لضمان سلاسة القراءة</w:t>
      </w:r>
      <w:r w:rsidRPr="00747B6E">
        <w:rPr>
          <w:rFonts w:ascii="Simplified Arabic" w:hAnsi="Simplified Arabic" w:cs="Simplified Arabic"/>
        </w:rPr>
        <w:t>.</w:t>
      </w:r>
    </w:p>
    <w:p w14:paraId="736B2306" w14:textId="1CD95617"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 xml:space="preserve">تنظيم فصول الأطروحة </w:t>
      </w:r>
    </w:p>
    <w:p w14:paraId="702B8ACC"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lastRenderedPageBreak/>
        <w:t>اختم الفصل الأول بفقرة قصيرة تشرح</w:t>
      </w:r>
      <w:r w:rsidRPr="00747B6E">
        <w:rPr>
          <w:rFonts w:ascii="Simplified Arabic" w:hAnsi="Simplified Arabic" w:cs="Simplified Arabic"/>
        </w:rPr>
        <w:t xml:space="preserve"> «</w:t>
      </w:r>
      <w:r w:rsidRPr="00747B6E">
        <w:rPr>
          <w:rFonts w:ascii="Simplified Arabic" w:hAnsi="Simplified Arabic" w:cs="Simplified Arabic"/>
          <w:rtl/>
        </w:rPr>
        <w:t>خارطة الطريق</w:t>
      </w:r>
      <w:r w:rsidRPr="00747B6E">
        <w:rPr>
          <w:rFonts w:ascii="Simplified Arabic" w:hAnsi="Simplified Arabic" w:cs="Simplified Arabic"/>
        </w:rPr>
        <w:t xml:space="preserve">»: </w:t>
      </w:r>
      <w:r w:rsidRPr="00747B6E">
        <w:rPr>
          <w:rFonts w:ascii="Simplified Arabic" w:hAnsi="Simplified Arabic" w:cs="Simplified Arabic"/>
          <w:rtl/>
        </w:rPr>
        <w:t>يقدّم الفصل الثاني مراجعةً مُركّزة للأدبيات والنموذج المفاهيمي النهائي وفجوة البحث؛ ويعرض الفصل الثالث المنهجية التفصيلية وأداة القياس ومصفوفة المخاطر وخطة التحليل؛ ثم يقدّم الفصل الرابع نتائج تقييم السيناريوهات التشغيلية والمالية؛ ويختتم الفصل الخامس بالمناقشة والتوصيات والسياسات والحدود والبحوث المستقبلية. هذه الفقرة تُسهّل على القارئ تتبّع منطق الرسالة وتمنع التكرار بين الفصول</w:t>
      </w:r>
      <w:r w:rsidRPr="00747B6E">
        <w:rPr>
          <w:rFonts w:ascii="Simplified Arabic" w:hAnsi="Simplified Arabic" w:cs="Simplified Arabic"/>
        </w:rPr>
        <w:t>.</w:t>
      </w:r>
    </w:p>
    <w:p w14:paraId="5178AA6C" w14:textId="1C70DF9F" w:rsidR="00747B6E" w:rsidRPr="00747B6E" w:rsidRDefault="00747B6E" w:rsidP="00747B6E">
      <w:pPr>
        <w:pStyle w:val="NormalWeb"/>
        <w:bidi/>
        <w:spacing w:before="0" w:beforeAutospacing="0" w:after="0" w:afterAutospacing="0"/>
        <w:jc w:val="both"/>
        <w:rPr>
          <w:rFonts w:ascii="Simplified Arabic" w:hAnsi="Simplified Arabic" w:cs="Simplified Arabic"/>
          <w:b/>
          <w:bCs/>
        </w:rPr>
      </w:pPr>
      <w:r w:rsidRPr="00747B6E">
        <w:rPr>
          <w:rFonts w:ascii="Simplified Arabic" w:hAnsi="Simplified Arabic" w:cs="Simplified Arabic"/>
          <w:b/>
          <w:bCs/>
          <w:rtl/>
        </w:rPr>
        <w:t xml:space="preserve">خريطة تنفيذ عملية </w:t>
      </w:r>
    </w:p>
    <w:p w14:paraId="1D2EC3E2" w14:textId="77777777" w:rsidR="00747B6E" w:rsidRPr="00747B6E" w:rsidRDefault="00747B6E" w:rsidP="00747B6E">
      <w:pPr>
        <w:pStyle w:val="NormalWeb"/>
        <w:bidi/>
        <w:spacing w:before="0" w:beforeAutospacing="0" w:after="0" w:afterAutospacing="0"/>
        <w:jc w:val="both"/>
        <w:rPr>
          <w:rFonts w:ascii="Simplified Arabic" w:hAnsi="Simplified Arabic" w:cs="Simplified Arabic"/>
        </w:rPr>
      </w:pPr>
      <w:r w:rsidRPr="00747B6E">
        <w:rPr>
          <w:rFonts w:ascii="Simplified Arabic" w:hAnsi="Simplified Arabic" w:cs="Simplified Arabic"/>
          <w:rtl/>
        </w:rPr>
        <w:t>ابدأ أوّلًا بإعادة كتابة التمهيد وربطِه بالسياق المؤسسي السعودي، ثم حرّر «خلاصة الفجوة» بحيث تبيّن بنبرةٍ حاسمةٍ ما الذي غاب عن الأدبيات محليًا. بعد ذلك اصغ المشكلة بصياغةٍ مقتضبة قابلة للاقتباس، وانتقل إلى الأهداف بصيغة قياس واختبار، مثبتًا الحدود المكانية والزمانية داخل النص. واصل السرد لتوضيح المنهجية: مصادر البيانات، خطوات التحليل، معايير القرار، ثم صمّم نموذج الشراكة مبيّنًا نطاق الخدمة وآليات التعويض وربط المقابل بمعايير الأداء. أدرج بعدها وصفًا صريحًا لمصفوفة المخاطر وخريطة أصحاب المصلحة، ثم أنهِ بملخّصٍ مفاهيمي للتعريفات الإجرائية، ومراجعةٍ لغوية وتوثيقية تُهيّئ الفصل للنشر الأكاديمي والتحكيم</w:t>
      </w:r>
      <w:r w:rsidRPr="00747B6E">
        <w:rPr>
          <w:rFonts w:ascii="Simplified Arabic" w:hAnsi="Simplified Arabic" w:cs="Simplified Arabic"/>
        </w:rPr>
        <w:t>.</w:t>
      </w:r>
    </w:p>
    <w:p w14:paraId="43F89FCF" w14:textId="4B279782" w:rsidR="00647241" w:rsidRPr="00747B6E" w:rsidRDefault="00647241" w:rsidP="00647241">
      <w:pPr>
        <w:pStyle w:val="NormalWeb"/>
        <w:bidi/>
        <w:spacing w:before="0" w:beforeAutospacing="0" w:after="0" w:afterAutospacing="0"/>
        <w:jc w:val="both"/>
        <w:rPr>
          <w:rFonts w:ascii="Simplified Arabic" w:hAnsi="Simplified Arabic" w:cs="Simplified Arabic"/>
        </w:rPr>
      </w:pPr>
    </w:p>
    <w:p w14:paraId="021A519E" w14:textId="77777777" w:rsidR="00647241" w:rsidRPr="00647241" w:rsidRDefault="00647241" w:rsidP="00647241">
      <w:pPr>
        <w:bidi/>
        <w:spacing w:after="0"/>
        <w:jc w:val="both"/>
        <w:rPr>
          <w:rFonts w:ascii="Simplified Arabic" w:hAnsi="Simplified Arabic" w:cs="Simplified Arabic"/>
          <w:sz w:val="24"/>
          <w:szCs w:val="24"/>
          <w:rtl/>
          <w:lang w:bidi="ar-JO"/>
        </w:rPr>
      </w:pPr>
    </w:p>
    <w:sectPr w:rsidR="00647241" w:rsidRPr="0064724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AE7E15"/>
    <w:multiLevelType w:val="multilevel"/>
    <w:tmpl w:val="7D1C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B01A0B"/>
    <w:multiLevelType w:val="multilevel"/>
    <w:tmpl w:val="9328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4753976">
    <w:abstractNumId w:val="8"/>
  </w:num>
  <w:num w:numId="2" w16cid:durableId="628824815">
    <w:abstractNumId w:val="6"/>
  </w:num>
  <w:num w:numId="3" w16cid:durableId="205261">
    <w:abstractNumId w:val="5"/>
  </w:num>
  <w:num w:numId="4" w16cid:durableId="1438594966">
    <w:abstractNumId w:val="4"/>
  </w:num>
  <w:num w:numId="5" w16cid:durableId="249118622">
    <w:abstractNumId w:val="7"/>
  </w:num>
  <w:num w:numId="6" w16cid:durableId="1372805458">
    <w:abstractNumId w:val="3"/>
  </w:num>
  <w:num w:numId="7" w16cid:durableId="1797941193">
    <w:abstractNumId w:val="2"/>
  </w:num>
  <w:num w:numId="8" w16cid:durableId="263198462">
    <w:abstractNumId w:val="1"/>
  </w:num>
  <w:num w:numId="9" w16cid:durableId="2135320529">
    <w:abstractNumId w:val="0"/>
  </w:num>
  <w:num w:numId="10" w16cid:durableId="761074708">
    <w:abstractNumId w:val="9"/>
  </w:num>
  <w:num w:numId="11" w16cid:durableId="19593302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cwMjUzMTEytLAwMjNU0lEKTi0uzszPAykwrAUAKtjIhywAAAA="/>
  </w:docVars>
  <w:rsids>
    <w:rsidRoot w:val="00B47730"/>
    <w:rsid w:val="00034616"/>
    <w:rsid w:val="0006063C"/>
    <w:rsid w:val="0015074B"/>
    <w:rsid w:val="0022596B"/>
    <w:rsid w:val="0029639D"/>
    <w:rsid w:val="00326F90"/>
    <w:rsid w:val="004D1525"/>
    <w:rsid w:val="00647241"/>
    <w:rsid w:val="00747B6E"/>
    <w:rsid w:val="009C1CA4"/>
    <w:rsid w:val="00A9413D"/>
    <w:rsid w:val="00AA1D8D"/>
    <w:rsid w:val="00B47730"/>
    <w:rsid w:val="00B47AF6"/>
    <w:rsid w:val="00CB0664"/>
    <w:rsid w:val="00E76A7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F38AD4"/>
  <w14:defaultImageDpi w14:val="300"/>
  <w15:docId w15:val="{EB9C5F91-6F03-493A-AF9C-A731B4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4724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2193</Words>
  <Characters>12503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2025-11-17T04:05:00Z</dcterms:created>
  <dcterms:modified xsi:type="dcterms:W3CDTF">2025-11-17T04:11:00Z</dcterms:modified>
  <cp:category/>
</cp:coreProperties>
</file>