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67ED9" w:rsidRDefault="009125CE">
      <w:pP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 xml:space="preserve">جامعة ميدأوشن </w:t>
      </w:r>
    </w:p>
    <w:p w14:paraId="1E957002" w14:textId="04B27A9D" w:rsidR="00F546CE" w:rsidRPr="00567ED9" w:rsidRDefault="009125CE">
      <w:pPr>
        <w:rPr>
          <w:rFonts w:ascii="Simplified Arabic" w:hAnsi="Simplified Arabic" w:cs="Simplified Arabic"/>
          <w:b/>
          <w:bCs/>
          <w:sz w:val="28"/>
          <w:szCs w:val="28"/>
          <w:rtl/>
          <w:lang w:bidi="ar-EG"/>
        </w:rPr>
      </w:pPr>
      <w:r w:rsidRPr="00567ED9">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67ED9">
        <w:rPr>
          <w:rFonts w:ascii="Simplified Arabic" w:hAnsi="Simplified Arabic" w:cs="Simplified Arabic"/>
          <w:b/>
          <w:bCs/>
          <w:sz w:val="28"/>
          <w:szCs w:val="28"/>
          <w:lang w:bidi="ar-EG"/>
        </w:rPr>
        <w:t xml:space="preserve">    </w:t>
      </w:r>
      <w:r w:rsidRPr="00567ED9">
        <w:rPr>
          <w:rFonts w:ascii="Simplified Arabic" w:hAnsi="Simplified Arabic" w:cs="Simplified Arabic"/>
          <w:b/>
          <w:bCs/>
          <w:sz w:val="28"/>
          <w:szCs w:val="28"/>
          <w:rtl/>
          <w:lang w:bidi="ar-EG"/>
        </w:rPr>
        <w:t xml:space="preserve">كلية الإدارة </w:t>
      </w:r>
    </w:p>
    <w:p w14:paraId="0217C513" w14:textId="3F260D8C" w:rsidR="009125CE" w:rsidRPr="00567ED9" w:rsidRDefault="009125CE">
      <w:pPr>
        <w:rPr>
          <w:rFonts w:ascii="Simplified Arabic" w:hAnsi="Simplified Arabic" w:cs="Simplified Arabic"/>
          <w:sz w:val="28"/>
          <w:szCs w:val="28"/>
          <w:rtl/>
        </w:rPr>
      </w:pPr>
      <w:r w:rsidRPr="00567ED9">
        <w:rPr>
          <w:rFonts w:ascii="Simplified Arabic" w:hAnsi="Simplified Arabic" w:cs="Simplified Arabic"/>
          <w:b/>
          <w:bCs/>
          <w:sz w:val="28"/>
          <w:szCs w:val="28"/>
          <w:rtl/>
          <w:lang w:bidi="ar-EG"/>
        </w:rPr>
        <w:t>قسم / تخصص</w:t>
      </w:r>
      <w:r w:rsidR="000828A3" w:rsidRPr="00567ED9">
        <w:rPr>
          <w:rFonts w:ascii="Simplified Arabic" w:hAnsi="Simplified Arabic" w:cs="Simplified Arabic"/>
          <w:b/>
          <w:bCs/>
          <w:sz w:val="28"/>
          <w:szCs w:val="28"/>
          <w:lang w:bidi="ar-EG"/>
        </w:rPr>
        <w:t xml:space="preserve">  </w:t>
      </w:r>
      <w:r w:rsidR="000828A3" w:rsidRPr="00567ED9">
        <w:rPr>
          <w:rFonts w:ascii="Simplified Arabic" w:hAnsi="Simplified Arabic" w:cs="Simplified Arabic"/>
          <w:b/>
          <w:bCs/>
          <w:sz w:val="28"/>
          <w:szCs w:val="28"/>
          <w:rtl/>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D522EE" w14:textId="77777777" w:rsidR="000828A3" w:rsidRPr="000828A3" w:rsidRDefault="000828A3" w:rsidP="000828A3">
      <w:pPr>
        <w:spacing w:line="360" w:lineRule="auto"/>
        <w:jc w:val="center"/>
        <w:rPr>
          <w:sz w:val="40"/>
          <w:szCs w:val="40"/>
        </w:rPr>
      </w:pPr>
      <w:r w:rsidRPr="000828A3">
        <w:rPr>
          <w:rFonts w:ascii="Times New Roman" w:eastAsia="Times New Roman" w:hAnsi="Times New Roman" w:cs="Times New Roman"/>
          <w:b/>
          <w:bCs/>
          <w:sz w:val="40"/>
          <w:szCs w:val="40"/>
          <w:rtl/>
        </w:rPr>
        <w:t>أثر حوكمة الملف الإلكتروني للمريض على أداء وفاعلية شركات التأمين الصحي في المملكة العربية السعودية</w:t>
      </w:r>
    </w:p>
    <w:p w14:paraId="08401F45" w14:textId="0F75AF5C" w:rsidR="009125CE" w:rsidRPr="000828A3" w:rsidRDefault="009125CE" w:rsidP="009125CE">
      <w:pPr>
        <w:jc w:val="center"/>
        <w:rPr>
          <w:rFonts w:ascii="Sakkal Majalla" w:hAnsi="Sakkal Majalla" w:cs="Sakkal Majalla"/>
          <w:b/>
          <w:bCs/>
          <w:sz w:val="40"/>
          <w:szCs w:val="40"/>
          <w:rtl/>
          <w:lang w:bidi="ar-EG"/>
        </w:rPr>
      </w:pPr>
    </w:p>
    <w:p w14:paraId="0EB57E30" w14:textId="77777777" w:rsidR="009125CE" w:rsidRPr="00567ED9" w:rsidRDefault="009125CE" w:rsidP="000828A3">
      <w:pPr>
        <w:rPr>
          <w:rFonts w:ascii="Simplified Arabic" w:hAnsi="Simplified Arabic" w:cs="Simplified Arabic"/>
          <w:b/>
          <w:bCs/>
          <w:sz w:val="28"/>
          <w:szCs w:val="28"/>
          <w:rtl/>
          <w:lang w:bidi="ar-EG"/>
        </w:rPr>
      </w:pPr>
    </w:p>
    <w:p w14:paraId="751A7E65" w14:textId="6D872A85" w:rsidR="009125CE" w:rsidRPr="00567ED9" w:rsidRDefault="009125CE" w:rsidP="009125CE">
      <w:pPr>
        <w:jc w:val="cente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إعداد الطالب/</w:t>
      </w:r>
    </w:p>
    <w:p w14:paraId="4A97DC7F" w14:textId="14E0AEE6" w:rsidR="000828A3" w:rsidRPr="00567ED9" w:rsidRDefault="000828A3" w:rsidP="009125CE">
      <w:pPr>
        <w:jc w:val="cente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آمال فهد الحصيني</w:t>
      </w:r>
    </w:p>
    <w:p w14:paraId="0D6605FF" w14:textId="050706E8" w:rsidR="000828A3" w:rsidRPr="00567ED9" w:rsidRDefault="000828A3" w:rsidP="000828A3">
      <w:pPr>
        <w:spacing w:line="360" w:lineRule="auto"/>
        <w:jc w:val="center"/>
        <w:rPr>
          <w:rFonts w:ascii="Simplified Arabic" w:hAnsi="Simplified Arabic" w:cs="Simplified Arabic"/>
        </w:rPr>
      </w:pPr>
      <w:r w:rsidRPr="00567ED9">
        <w:rPr>
          <w:rFonts w:ascii="Simplified Arabic" w:eastAsia="Times New Roman" w:hAnsi="Simplified Arabic" w:cs="Simplified Arabic"/>
          <w:sz w:val="24"/>
          <w:szCs w:val="24"/>
          <w:rtl/>
        </w:rPr>
        <w:t>252000663</w:t>
      </w:r>
    </w:p>
    <w:p w14:paraId="3D3CBDF8" w14:textId="77777777" w:rsidR="009125CE" w:rsidRPr="00567ED9" w:rsidRDefault="009125CE" w:rsidP="000828A3">
      <w:pPr>
        <w:rPr>
          <w:rFonts w:ascii="Simplified Arabic" w:hAnsi="Simplified Arabic" w:cs="Simplified Arabic"/>
          <w:b/>
          <w:bCs/>
          <w:sz w:val="28"/>
          <w:szCs w:val="28"/>
          <w:rtl/>
          <w:lang w:bidi="ar-EG"/>
        </w:rPr>
      </w:pPr>
    </w:p>
    <w:p w14:paraId="58D6152F" w14:textId="77777777" w:rsidR="009125CE" w:rsidRPr="00567ED9" w:rsidRDefault="009125CE" w:rsidP="009125CE">
      <w:pPr>
        <w:jc w:val="center"/>
        <w:rPr>
          <w:rFonts w:ascii="Simplified Arabic" w:hAnsi="Simplified Arabic" w:cs="Simplified Arabic"/>
          <w:b/>
          <w:bCs/>
          <w:sz w:val="28"/>
          <w:szCs w:val="28"/>
          <w:rtl/>
          <w:lang w:bidi="ar-EG"/>
        </w:rPr>
      </w:pPr>
    </w:p>
    <w:p w14:paraId="5F4EE2DE" w14:textId="1A92484F" w:rsidR="009125CE" w:rsidRPr="00567ED9" w:rsidRDefault="009125CE" w:rsidP="009125CE">
      <w:pPr>
        <w:jc w:val="cente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إشراف/</w:t>
      </w:r>
    </w:p>
    <w:p w14:paraId="2EFA31CD" w14:textId="63FDA1D0" w:rsidR="009125CE" w:rsidRPr="00567ED9" w:rsidRDefault="00D04F62" w:rsidP="009125CE">
      <w:pPr>
        <w:jc w:val="cente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د.الفيصل عبد الحميد</w:t>
      </w:r>
      <w:r w:rsidRPr="00567ED9">
        <w:rPr>
          <w:rFonts w:ascii="Simplified Arabic" w:hAnsi="Simplified Arabic" w:cs="Simplified Arabic"/>
          <w:b/>
          <w:bCs/>
          <w:sz w:val="28"/>
          <w:szCs w:val="28"/>
          <w:rtl/>
          <w:lang w:bidi="ar-EG"/>
        </w:rPr>
        <w:br/>
        <w:t>د.فايز جراد</w:t>
      </w:r>
    </w:p>
    <w:p w14:paraId="16CF2D6A" w14:textId="77777777" w:rsidR="009125CE" w:rsidRPr="00567ED9" w:rsidRDefault="009125CE" w:rsidP="009125CE">
      <w:pPr>
        <w:jc w:val="center"/>
        <w:rPr>
          <w:rFonts w:ascii="Simplified Arabic" w:hAnsi="Simplified Arabic" w:cs="Simplified Arabic"/>
          <w:b/>
          <w:bCs/>
          <w:sz w:val="28"/>
          <w:szCs w:val="28"/>
          <w:rtl/>
          <w:lang w:bidi="ar-EG"/>
        </w:rPr>
      </w:pPr>
    </w:p>
    <w:p w14:paraId="22738CC6" w14:textId="77777777" w:rsidR="009125CE" w:rsidRPr="00567ED9" w:rsidRDefault="009125CE" w:rsidP="009125CE">
      <w:pPr>
        <w:jc w:val="center"/>
        <w:rPr>
          <w:rFonts w:ascii="Simplified Arabic" w:hAnsi="Simplified Arabic" w:cs="Simplified Arabic"/>
          <w:b/>
          <w:bCs/>
          <w:sz w:val="28"/>
          <w:szCs w:val="28"/>
          <w:rtl/>
          <w:lang w:bidi="ar-EG"/>
        </w:rPr>
      </w:pPr>
    </w:p>
    <w:p w14:paraId="14480418" w14:textId="78A6C3AC" w:rsidR="009125CE" w:rsidRPr="00567ED9" w:rsidRDefault="009125CE" w:rsidP="009125CE">
      <w:pPr>
        <w:jc w:val="center"/>
        <w:rPr>
          <w:rFonts w:ascii="Simplified Arabic" w:hAnsi="Simplified Arabic" w:cs="Simplified Arabic"/>
          <w:b/>
          <w:bCs/>
          <w:sz w:val="28"/>
          <w:szCs w:val="28"/>
          <w:rtl/>
          <w:lang w:bidi="ar-EG"/>
        </w:rPr>
      </w:pPr>
      <w:r w:rsidRPr="00567ED9">
        <w:rPr>
          <w:rFonts w:ascii="Simplified Arabic" w:hAnsi="Simplified Arabic" w:cs="Simplified Arabic"/>
          <w:b/>
          <w:bCs/>
          <w:sz w:val="28"/>
          <w:szCs w:val="28"/>
          <w:rtl/>
          <w:lang w:bidi="ar-EG"/>
        </w:rPr>
        <w:t>العام الدراسي:</w:t>
      </w:r>
    </w:p>
    <w:p w14:paraId="5DBA947E" w14:textId="43EA0D24" w:rsidR="009125CE" w:rsidRPr="00567ED9" w:rsidRDefault="009125CE" w:rsidP="000828A3">
      <w:pPr>
        <w:jc w:val="center"/>
        <w:rPr>
          <w:rFonts w:ascii="Simplified Arabic" w:hAnsi="Simplified Arabic" w:cs="Simplified Arabic"/>
          <w:b/>
          <w:bCs/>
          <w:sz w:val="28"/>
          <w:szCs w:val="28"/>
          <w:lang w:bidi="ar-EG"/>
        </w:rPr>
      </w:pPr>
      <w:r w:rsidRPr="00567ED9">
        <w:rPr>
          <w:rFonts w:ascii="Simplified Arabic" w:hAnsi="Simplified Arabic" w:cs="Simplified Arabic"/>
          <w:b/>
          <w:bCs/>
          <w:sz w:val="28"/>
          <w:szCs w:val="28"/>
          <w:rtl/>
          <w:lang w:bidi="ar-EG"/>
        </w:rPr>
        <w:t>202</w:t>
      </w:r>
      <w:r w:rsidR="000828A3" w:rsidRPr="00567ED9">
        <w:rPr>
          <w:rFonts w:ascii="Simplified Arabic" w:hAnsi="Simplified Arabic" w:cs="Simplified Arabic"/>
          <w:b/>
          <w:bCs/>
          <w:sz w:val="28"/>
          <w:szCs w:val="28"/>
          <w:rtl/>
          <w:lang w:bidi="ar-EG"/>
        </w:rPr>
        <w:t>6</w:t>
      </w:r>
    </w:p>
    <w:p w14:paraId="26C614A6" w14:textId="77777777" w:rsidR="00635161" w:rsidRDefault="00635161" w:rsidP="000828A3">
      <w:pPr>
        <w:rPr>
          <w:rFonts w:ascii="Sakkal Majalla" w:hAnsi="Sakkal Majalla" w:cs="Sakkal Majalla"/>
          <w:b/>
          <w:bCs/>
          <w:sz w:val="28"/>
          <w:szCs w:val="28"/>
          <w:rtl/>
          <w:lang w:bidi="ar-EG"/>
        </w:rPr>
        <w:sectPr w:rsidR="0063516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5884174" w14:textId="6166E97C" w:rsidR="00EA2076" w:rsidRDefault="00EA2076" w:rsidP="000828A3">
      <w:pPr>
        <w:rPr>
          <w:rFonts w:ascii="Sakkal Majalla" w:hAnsi="Sakkal Majalla" w:cs="Sakkal Majalla"/>
          <w:b/>
          <w:bCs/>
          <w:sz w:val="28"/>
          <w:szCs w:val="28"/>
          <w:rtl/>
          <w:lang w:bidi="ar-EG"/>
        </w:rPr>
      </w:pPr>
    </w:p>
    <w:p w14:paraId="12E474F0" w14:textId="4E4231A6" w:rsidR="000828A3" w:rsidRPr="00DB28BF" w:rsidRDefault="00EA2076" w:rsidP="00DB28BF">
      <w:pPr>
        <w:pStyle w:val="Heading1"/>
        <w:rPr>
          <w:rFonts w:ascii="Simplified Arabic" w:hAnsi="Simplified Arabic" w:cs="Simplified Arabic"/>
          <w:b/>
          <w:bCs/>
          <w:color w:val="auto"/>
          <w:rtl/>
          <w:lang w:bidi="ar-EG"/>
        </w:rPr>
      </w:pPr>
      <w:bookmarkStart w:id="0" w:name="_Toc224661453"/>
      <w:r w:rsidRPr="00DB28BF">
        <w:rPr>
          <w:rFonts w:ascii="Simplified Arabic" w:hAnsi="Simplified Arabic" w:cs="Simplified Arabic"/>
          <w:b/>
          <w:bCs/>
          <w:color w:val="auto"/>
          <w:rtl/>
          <w:lang w:bidi="ar-EG"/>
        </w:rPr>
        <w:t>المستخلص</w:t>
      </w:r>
      <w:bookmarkEnd w:id="0"/>
    </w:p>
    <w:p w14:paraId="3C4A63E4" w14:textId="05523709" w:rsidR="00EA2076" w:rsidRPr="00635161" w:rsidRDefault="00EA2076" w:rsidP="00DB28BF">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تسعى هذه الدراسة إلى قياس أثر حوكمة الملف الإلكتروني للمريض على مستوى الأداء والفاعلية المؤسسية لشركات التأمين الصحي في المملكة العربية السعودية. استندت الدراسة في بنائها النظري إلى نظرية حوكمة تكنولوجيا المعلومات، ونظرية الموارد والكفاءات، وإطار DAMA-DMBOK للحوكمة، واعتمدت المنهج الكمي الوصفي الارتباطي. جُمعت البيانات من (51) مستجيباً من موظفي شركات التأمين الصحي وأقسام التأمين في المستشفيات السعودية عبر استبانة إلكترونية مكوّنة من (20) فقرة بمقياس ليكرت الخماسي وُزِّعت عبر منصة Google Forms، وحُلِّلت البيانات ببرنامج SPSS الإصدار 26 بتوظيف: معامل ألفا كرونباخ، والإحصاء الوصفي، وارتباط بيرسون، والانحدار الخطي البسيط.</w:t>
      </w:r>
    </w:p>
    <w:p w14:paraId="1396C934" w14:textId="57F687AE" w:rsidR="00EA2076" w:rsidRPr="00635161" w:rsidRDefault="00EA2076" w:rsidP="00DB28BF">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أثبتت النتائج أن حوكمة الملف الإلكتروني للمريض تُفسِّر (26.6%) من التباين في مستوى الأداء والفاعلية المؤسسية (R² = 0.266، </w:t>
      </w:r>
      <w:r w:rsidRPr="00635161">
        <w:rPr>
          <w:rFonts w:ascii="Cambria" w:eastAsia="Times New Roman" w:hAnsi="Cambria" w:cs="Cambria" w:hint="cs"/>
          <w:sz w:val="28"/>
          <w:szCs w:val="28"/>
          <w:rtl/>
        </w:rPr>
        <w:t>β</w:t>
      </w:r>
      <w:r w:rsidRPr="00635161">
        <w:rPr>
          <w:rFonts w:ascii="Simplified Arabic" w:eastAsia="Times New Roman" w:hAnsi="Simplified Arabic" w:cs="Simplified Arabic"/>
          <w:sz w:val="28"/>
          <w:szCs w:val="28"/>
          <w:rtl/>
        </w:rPr>
        <w:t xml:space="preserve"> = 0.515</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 F = 17.719</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 p = 0.000)</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وهو</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أثر</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موجب</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وذو</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دلالة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إحصائية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عند</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مستوى</w:t>
      </w:r>
      <w:r w:rsidRPr="00635161">
        <w:rPr>
          <w:rFonts w:ascii="Simplified Arabic" w:eastAsia="Times New Roman" w:hAnsi="Simplified Arabic" w:cs="Simplified Arabic"/>
          <w:sz w:val="28"/>
          <w:szCs w:val="28"/>
          <w:rtl/>
        </w:rPr>
        <w:t xml:space="preserve"> (</w:t>
      </w:r>
      <w:r w:rsidRPr="00635161">
        <w:rPr>
          <w:rFonts w:ascii="Cambria" w:eastAsia="Times New Roman" w:hAnsi="Cambria" w:cs="Cambria" w:hint="cs"/>
          <w:sz w:val="28"/>
          <w:szCs w:val="28"/>
          <w:rtl/>
        </w:rPr>
        <w:t>α</w:t>
      </w:r>
      <w:r w:rsidRPr="00635161">
        <w:rPr>
          <w:rFonts w:ascii="Simplified Arabic" w:eastAsia="Times New Roman" w:hAnsi="Simplified Arabic" w:cs="Simplified Arabic"/>
          <w:sz w:val="28"/>
          <w:szCs w:val="28"/>
          <w:rtl/>
        </w:rPr>
        <w:t xml:space="preserve"> </w:t>
      </w:r>
      <w:r w:rsidRPr="00635161">
        <w:rPr>
          <w:rFonts w:ascii="Cambria Math" w:eastAsia="Times New Roman" w:hAnsi="Cambria Math" w:cs="Cambria Math" w:hint="cs"/>
          <w:sz w:val="28"/>
          <w:szCs w:val="28"/>
          <w:rtl/>
        </w:rPr>
        <w:t>≤</w:t>
      </w:r>
      <w:r w:rsidRPr="00635161">
        <w:rPr>
          <w:rFonts w:ascii="Simplified Arabic" w:eastAsia="Times New Roman" w:hAnsi="Simplified Arabic" w:cs="Simplified Arabic"/>
          <w:sz w:val="28"/>
          <w:szCs w:val="28"/>
          <w:rtl/>
        </w:rPr>
        <w:t xml:space="preserve"> 0.05). </w:t>
      </w:r>
      <w:r w:rsidRPr="00635161">
        <w:rPr>
          <w:rFonts w:ascii="Simplified Arabic" w:eastAsia="Times New Roman" w:hAnsi="Simplified Arabic" w:cs="Simplified Arabic" w:hint="cs"/>
          <w:sz w:val="28"/>
          <w:szCs w:val="28"/>
          <w:rtl/>
        </w:rPr>
        <w:t>كما</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كشف</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تحليل</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الارتباط</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عن</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ارتباطات</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موجبة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بين</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الأبعاد</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الخمسة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للحوكمة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ومؤشرات</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الأداء</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المؤسسي</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تراوحت</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بين</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المتوسطة</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والقوية</w:t>
      </w:r>
      <w:r w:rsidRPr="00635161">
        <w:rPr>
          <w:rFonts w:ascii="Simplified Arabic" w:eastAsia="Times New Roman" w:hAnsi="Simplified Arabic" w:cs="Simplified Arabic"/>
          <w:sz w:val="28"/>
          <w:szCs w:val="28"/>
          <w:rtl/>
        </w:rPr>
        <w:t xml:space="preserve"> (r = 0.288</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0.559</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 p &lt; 0.05).</w:t>
      </w:r>
    </w:p>
    <w:p w14:paraId="26DE60C3" w14:textId="77777777" w:rsidR="00EA2076" w:rsidRPr="00DB28BF" w:rsidRDefault="00EA2076" w:rsidP="00DB28BF">
      <w:pPr>
        <w:rPr>
          <w:rFonts w:ascii="Simplified Arabic" w:hAnsi="Simplified Arabic" w:cs="Simplified Arabic"/>
          <w:sz w:val="28"/>
          <w:szCs w:val="28"/>
        </w:rPr>
      </w:pPr>
    </w:p>
    <w:p w14:paraId="3C32E352" w14:textId="77777777" w:rsidR="00EA2076" w:rsidRPr="00635161" w:rsidRDefault="00EA2076" w:rsidP="00DB28BF">
      <w:pPr>
        <w:ind w:firstLine="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الكلمات المفتاحية: الملف الإلكتروني للمريض، حوكمة البيانات الصحية، التأمين الصحي، الأداء المؤسسي، المملكة العربية السعودية، رؤية 2030.</w:t>
      </w:r>
    </w:p>
    <w:p w14:paraId="07478966" w14:textId="77777777" w:rsidR="00EA2076" w:rsidRDefault="00EA2076" w:rsidP="00DB28BF">
      <w:pPr>
        <w:rPr>
          <w:rFonts w:ascii="Simplified Arabic" w:hAnsi="Simplified Arabic" w:cs="Simplified Arabic"/>
          <w:sz w:val="28"/>
          <w:szCs w:val="28"/>
        </w:rPr>
      </w:pPr>
      <w:r w:rsidRPr="00635161">
        <w:rPr>
          <w:rFonts w:ascii="Simplified Arabic" w:hAnsi="Simplified Arabic" w:cs="Simplified Arabic"/>
          <w:sz w:val="28"/>
          <w:szCs w:val="28"/>
        </w:rPr>
        <w:br w:type="page"/>
      </w:r>
    </w:p>
    <w:p w14:paraId="148F2256" w14:textId="77777777" w:rsidR="002A63BC" w:rsidRDefault="002A63BC" w:rsidP="002A63BC">
      <w:pPr>
        <w:rPr>
          <w:rtl/>
          <w:lang w:bidi="ar-EG"/>
        </w:rPr>
      </w:pPr>
    </w:p>
    <w:p w14:paraId="3EB0C6C0" w14:textId="693E42A2" w:rsidR="00DB28BF" w:rsidRPr="00DB28BF" w:rsidRDefault="00DB28BF" w:rsidP="00DB28BF">
      <w:pPr>
        <w:pStyle w:val="Heading1"/>
        <w:jc w:val="center"/>
        <w:rPr>
          <w:rFonts w:ascii="Simplified Arabic" w:hAnsi="Simplified Arabic" w:cs="Simplified Arabic"/>
          <w:b/>
          <w:bCs/>
          <w:color w:val="auto"/>
          <w:sz w:val="36"/>
          <w:szCs w:val="36"/>
          <w:rtl/>
          <w:lang w:bidi="ar-EG"/>
        </w:rPr>
      </w:pPr>
      <w:bookmarkStart w:id="1" w:name="_Toc224661454"/>
      <w:r w:rsidRPr="00DB28BF">
        <w:rPr>
          <w:rFonts w:ascii="Simplified Arabic" w:hAnsi="Simplified Arabic" w:cs="Simplified Arabic"/>
          <w:b/>
          <w:bCs/>
          <w:color w:val="auto"/>
          <w:sz w:val="36"/>
          <w:szCs w:val="36"/>
          <w:rtl/>
          <w:lang w:bidi="ar-EG"/>
        </w:rPr>
        <w:t>الإهداء</w:t>
      </w:r>
      <w:bookmarkEnd w:id="1"/>
    </w:p>
    <w:p w14:paraId="1EC594B6" w14:textId="77777777" w:rsidR="00DB28BF" w:rsidRPr="00DB28BF" w:rsidRDefault="00DB28BF" w:rsidP="00DB28BF">
      <w:pPr>
        <w:rPr>
          <w:rFonts w:ascii="Simplified Arabic" w:hAnsi="Simplified Arabic" w:cs="Simplified Arabic"/>
          <w:sz w:val="28"/>
          <w:szCs w:val="28"/>
          <w:rtl/>
          <w:lang w:bidi="ar-EG"/>
        </w:rPr>
      </w:pPr>
    </w:p>
    <w:p w14:paraId="1CE6BF3E" w14:textId="77777777" w:rsidR="00DB28BF" w:rsidRPr="00DB28BF" w:rsidRDefault="00DB28BF" w:rsidP="00DB28BF">
      <w:pPr>
        <w:jc w:val="center"/>
        <w:rPr>
          <w:rFonts w:ascii="Simplified Arabic" w:hAnsi="Simplified Arabic" w:cs="Simplified Arabic"/>
          <w:sz w:val="28"/>
          <w:szCs w:val="28"/>
          <w:lang w:bidi="ar-EG"/>
        </w:rPr>
      </w:pPr>
      <w:r w:rsidRPr="00DB28BF">
        <w:rPr>
          <w:rFonts w:ascii="Simplified Arabic" w:hAnsi="Simplified Arabic" w:cs="Simplified Arabic"/>
          <w:sz w:val="28"/>
          <w:szCs w:val="28"/>
          <w:rtl/>
        </w:rPr>
        <w:t>إلى روح أمي الغالية،</w:t>
      </w:r>
    </w:p>
    <w:p w14:paraId="5B437F0B" w14:textId="77777777" w:rsidR="00DB28BF" w:rsidRPr="00DB28BF" w:rsidRDefault="00DB28BF" w:rsidP="00DB28BF">
      <w:pPr>
        <w:jc w:val="center"/>
        <w:rPr>
          <w:rFonts w:ascii="Simplified Arabic" w:hAnsi="Simplified Arabic" w:cs="Simplified Arabic"/>
          <w:sz w:val="28"/>
          <w:szCs w:val="28"/>
          <w:lang w:bidi="ar-EG"/>
        </w:rPr>
      </w:pPr>
      <w:r w:rsidRPr="00DB28BF">
        <w:rPr>
          <w:rFonts w:ascii="Simplified Arabic" w:hAnsi="Simplified Arabic" w:cs="Simplified Arabic"/>
          <w:sz w:val="28"/>
          <w:szCs w:val="28"/>
          <w:rtl/>
        </w:rPr>
        <w:t>إلى تلك المرأة التي كانت لي سندًا في الحياة، والتي ما زالت ذكراها حاضرة في قلبي في كل خطوة من خطواتي. إلى دفء قلبها ودعواتها الصادقة التي كانت دائمًا مصدر طمأنينة وقوة.</w:t>
      </w:r>
    </w:p>
    <w:p w14:paraId="476DBAD0" w14:textId="77777777" w:rsidR="00DB28BF" w:rsidRPr="00DB28BF" w:rsidRDefault="00DB28BF" w:rsidP="00DB28BF">
      <w:pPr>
        <w:jc w:val="center"/>
        <w:rPr>
          <w:rFonts w:ascii="Simplified Arabic" w:hAnsi="Simplified Arabic" w:cs="Simplified Arabic"/>
          <w:sz w:val="28"/>
          <w:szCs w:val="28"/>
          <w:lang w:bidi="ar-EG"/>
        </w:rPr>
      </w:pPr>
      <w:r w:rsidRPr="00DB28BF">
        <w:rPr>
          <w:rFonts w:ascii="Simplified Arabic" w:hAnsi="Simplified Arabic" w:cs="Simplified Arabic"/>
          <w:sz w:val="28"/>
          <w:szCs w:val="28"/>
          <w:rtl/>
        </w:rPr>
        <w:t>رحمكِ الله يا أمي وجعل مثواكِ الجنة</w:t>
      </w:r>
      <w:r w:rsidRPr="00DB28BF">
        <w:rPr>
          <w:rFonts w:ascii="Simplified Arabic" w:hAnsi="Simplified Arabic" w:cs="Simplified Arabic"/>
          <w:sz w:val="28"/>
          <w:szCs w:val="28"/>
          <w:lang w:bidi="ar-EG"/>
        </w:rPr>
        <w:br/>
      </w:r>
      <w:r w:rsidRPr="00DB28BF">
        <w:rPr>
          <w:rFonts w:ascii="Simplified Arabic" w:hAnsi="Simplified Arabic" w:cs="Simplified Arabic"/>
          <w:sz w:val="28"/>
          <w:szCs w:val="28"/>
          <w:rtl/>
        </w:rPr>
        <w:t>أهدي هذا العمل لروحك الطاهرة تقديرًا لما غرستِه في نفسي من إيمان وعزيمة وأمل</w:t>
      </w:r>
      <w:r w:rsidRPr="00DB28BF">
        <w:rPr>
          <w:rFonts w:ascii="Simplified Arabic" w:hAnsi="Simplified Arabic" w:cs="Simplified Arabic"/>
          <w:sz w:val="28"/>
          <w:szCs w:val="28"/>
          <w:rtl/>
          <w:lang w:bidi="ar-EG"/>
        </w:rPr>
        <w:t>.</w:t>
      </w:r>
    </w:p>
    <w:p w14:paraId="57A49407" w14:textId="77777777" w:rsidR="00DB28BF" w:rsidRPr="00DB28BF" w:rsidRDefault="00DB28BF" w:rsidP="00DB28BF">
      <w:pPr>
        <w:rPr>
          <w:rFonts w:ascii="Simplified Arabic" w:hAnsi="Simplified Arabic" w:cs="Simplified Arabic"/>
          <w:sz w:val="28"/>
          <w:szCs w:val="28"/>
          <w:rtl/>
          <w:lang w:bidi="ar-EG"/>
        </w:rPr>
      </w:pPr>
    </w:p>
    <w:p w14:paraId="5FCFC1E8" w14:textId="77777777" w:rsidR="00DB28BF" w:rsidRPr="00DB28BF" w:rsidRDefault="00DB28BF" w:rsidP="00DB28BF">
      <w:pPr>
        <w:rPr>
          <w:rFonts w:ascii="Simplified Arabic" w:hAnsi="Simplified Arabic" w:cs="Simplified Arabic"/>
          <w:sz w:val="28"/>
          <w:szCs w:val="28"/>
          <w:rtl/>
          <w:lang w:bidi="ar-EG"/>
        </w:rPr>
      </w:pPr>
    </w:p>
    <w:p w14:paraId="404EDAAA" w14:textId="77777777" w:rsidR="00DB28BF" w:rsidRPr="00DB28BF" w:rsidRDefault="00DB28BF" w:rsidP="00DB28BF">
      <w:pPr>
        <w:rPr>
          <w:rFonts w:ascii="Simplified Arabic" w:hAnsi="Simplified Arabic" w:cs="Simplified Arabic"/>
          <w:sz w:val="28"/>
          <w:szCs w:val="28"/>
          <w:rtl/>
          <w:lang w:bidi="ar-EG"/>
        </w:rPr>
      </w:pPr>
    </w:p>
    <w:p w14:paraId="2C278F7D" w14:textId="77777777" w:rsidR="00DB28BF" w:rsidRPr="00DB28BF" w:rsidRDefault="00DB28BF" w:rsidP="00DB28BF">
      <w:pPr>
        <w:rPr>
          <w:rFonts w:ascii="Simplified Arabic" w:hAnsi="Simplified Arabic" w:cs="Simplified Arabic"/>
          <w:sz w:val="28"/>
          <w:szCs w:val="28"/>
          <w:rtl/>
          <w:lang w:bidi="ar-EG"/>
        </w:rPr>
      </w:pPr>
    </w:p>
    <w:p w14:paraId="04B87F30" w14:textId="77777777" w:rsidR="00DB28BF" w:rsidRPr="00DB28BF" w:rsidRDefault="00DB28BF" w:rsidP="00DB28BF">
      <w:pPr>
        <w:rPr>
          <w:rFonts w:ascii="Simplified Arabic" w:hAnsi="Simplified Arabic" w:cs="Simplified Arabic"/>
          <w:sz w:val="28"/>
          <w:szCs w:val="28"/>
          <w:rtl/>
          <w:lang w:bidi="ar-EG"/>
        </w:rPr>
      </w:pPr>
    </w:p>
    <w:p w14:paraId="34F40092" w14:textId="77777777" w:rsidR="00DB28BF" w:rsidRPr="00DB28BF" w:rsidRDefault="00DB28BF" w:rsidP="00DB28BF">
      <w:pPr>
        <w:rPr>
          <w:rFonts w:ascii="Simplified Arabic" w:hAnsi="Simplified Arabic" w:cs="Simplified Arabic"/>
          <w:sz w:val="28"/>
          <w:szCs w:val="28"/>
          <w:rtl/>
          <w:lang w:bidi="ar-EG"/>
        </w:rPr>
      </w:pPr>
    </w:p>
    <w:p w14:paraId="0FC6BA5B" w14:textId="77777777" w:rsidR="00DB28BF" w:rsidRPr="00DB28BF" w:rsidRDefault="00DB28BF" w:rsidP="00DB28BF">
      <w:pPr>
        <w:rPr>
          <w:rFonts w:ascii="Simplified Arabic" w:hAnsi="Simplified Arabic" w:cs="Simplified Arabic"/>
          <w:sz w:val="28"/>
          <w:szCs w:val="28"/>
          <w:rtl/>
          <w:lang w:bidi="ar-EG"/>
        </w:rPr>
      </w:pPr>
    </w:p>
    <w:p w14:paraId="55E7FC50" w14:textId="77777777" w:rsidR="00DB28BF" w:rsidRPr="00DB28BF" w:rsidRDefault="00DB28BF" w:rsidP="00DB28BF">
      <w:pPr>
        <w:rPr>
          <w:rFonts w:ascii="Simplified Arabic" w:hAnsi="Simplified Arabic" w:cs="Simplified Arabic"/>
          <w:sz w:val="28"/>
          <w:szCs w:val="28"/>
          <w:rtl/>
          <w:lang w:bidi="ar-EG"/>
        </w:rPr>
      </w:pPr>
    </w:p>
    <w:p w14:paraId="3FC77F4D" w14:textId="77777777" w:rsidR="00DB28BF" w:rsidRPr="00DB28BF" w:rsidRDefault="00DB28BF" w:rsidP="00DB28BF">
      <w:pPr>
        <w:rPr>
          <w:rFonts w:ascii="Simplified Arabic" w:hAnsi="Simplified Arabic" w:cs="Simplified Arabic"/>
          <w:sz w:val="28"/>
          <w:szCs w:val="28"/>
          <w:rtl/>
          <w:lang w:bidi="ar-EG"/>
        </w:rPr>
      </w:pPr>
    </w:p>
    <w:p w14:paraId="636B7893" w14:textId="77777777" w:rsidR="00DB28BF" w:rsidRPr="00DB28BF" w:rsidRDefault="00DB28BF" w:rsidP="00DB28BF">
      <w:pPr>
        <w:rPr>
          <w:rFonts w:ascii="Simplified Arabic" w:hAnsi="Simplified Arabic" w:cs="Simplified Arabic"/>
          <w:sz w:val="28"/>
          <w:szCs w:val="28"/>
          <w:rtl/>
          <w:lang w:bidi="ar-EG"/>
        </w:rPr>
      </w:pPr>
    </w:p>
    <w:p w14:paraId="2CFD83CF" w14:textId="77777777" w:rsidR="00DB28BF" w:rsidRPr="00DB28BF" w:rsidRDefault="00DB28BF" w:rsidP="00DB28BF">
      <w:pPr>
        <w:rPr>
          <w:rFonts w:ascii="Simplified Arabic" w:hAnsi="Simplified Arabic" w:cs="Simplified Arabic"/>
          <w:sz w:val="28"/>
          <w:szCs w:val="28"/>
          <w:rtl/>
          <w:lang w:bidi="ar-EG"/>
        </w:rPr>
      </w:pPr>
    </w:p>
    <w:p w14:paraId="14B65EF7" w14:textId="77777777" w:rsidR="00DB28BF" w:rsidRPr="00DB28BF" w:rsidRDefault="00DB28BF" w:rsidP="00DB28BF">
      <w:pPr>
        <w:rPr>
          <w:rFonts w:ascii="Simplified Arabic" w:hAnsi="Simplified Arabic" w:cs="Simplified Arabic"/>
          <w:sz w:val="28"/>
          <w:szCs w:val="28"/>
          <w:rtl/>
          <w:lang w:bidi="ar-EG"/>
        </w:rPr>
      </w:pPr>
    </w:p>
    <w:p w14:paraId="3365D723" w14:textId="77777777" w:rsidR="00DB28BF" w:rsidRPr="00DB28BF" w:rsidRDefault="00DB28BF" w:rsidP="00DB28BF">
      <w:pPr>
        <w:rPr>
          <w:rFonts w:ascii="Simplified Arabic" w:hAnsi="Simplified Arabic" w:cs="Simplified Arabic"/>
          <w:sz w:val="28"/>
          <w:szCs w:val="28"/>
          <w:rtl/>
          <w:lang w:bidi="ar-EG"/>
        </w:rPr>
      </w:pPr>
    </w:p>
    <w:p w14:paraId="64FB3666" w14:textId="77777777" w:rsidR="00DB28BF" w:rsidRPr="00DB28BF" w:rsidRDefault="00DB28BF" w:rsidP="00DB28BF">
      <w:pPr>
        <w:rPr>
          <w:rFonts w:ascii="Simplified Arabic" w:hAnsi="Simplified Arabic" w:cs="Simplified Arabic"/>
          <w:sz w:val="28"/>
          <w:szCs w:val="28"/>
          <w:rtl/>
          <w:lang w:bidi="ar-EG"/>
        </w:rPr>
      </w:pPr>
    </w:p>
    <w:p w14:paraId="1462DB59" w14:textId="77777777" w:rsidR="00DB28BF" w:rsidRPr="00DB28BF" w:rsidRDefault="00DB28BF" w:rsidP="00DB28BF">
      <w:pPr>
        <w:rPr>
          <w:rFonts w:ascii="Simplified Arabic" w:hAnsi="Simplified Arabic" w:cs="Simplified Arabic"/>
          <w:sz w:val="28"/>
          <w:szCs w:val="28"/>
          <w:rtl/>
          <w:lang w:bidi="ar-EG"/>
        </w:rPr>
      </w:pPr>
    </w:p>
    <w:p w14:paraId="2F859536" w14:textId="77777777" w:rsidR="00DB28BF" w:rsidRPr="00DB28BF" w:rsidRDefault="00DB28BF" w:rsidP="00DB28BF">
      <w:pPr>
        <w:rPr>
          <w:rFonts w:ascii="Simplified Arabic" w:hAnsi="Simplified Arabic" w:cs="Simplified Arabic"/>
          <w:sz w:val="28"/>
          <w:szCs w:val="28"/>
          <w:rtl/>
          <w:lang w:bidi="ar-EG"/>
        </w:rPr>
      </w:pPr>
    </w:p>
    <w:p w14:paraId="32BA1514" w14:textId="77777777" w:rsidR="00DB28BF" w:rsidRPr="00DB28BF" w:rsidRDefault="00DB28BF" w:rsidP="00DB28BF">
      <w:pPr>
        <w:rPr>
          <w:rFonts w:ascii="Simplified Arabic" w:hAnsi="Simplified Arabic" w:cs="Simplified Arabic"/>
          <w:sz w:val="28"/>
          <w:szCs w:val="28"/>
          <w:lang w:bidi="ar-EG"/>
        </w:rPr>
      </w:pPr>
    </w:p>
    <w:p w14:paraId="543D22D0" w14:textId="77777777" w:rsidR="002A63BC" w:rsidRDefault="002A63BC" w:rsidP="00DB28BF">
      <w:pPr>
        <w:rPr>
          <w:rFonts w:ascii="Simplified Arabic" w:hAnsi="Simplified Arabic" w:cs="Simplified Arabic"/>
          <w:sz w:val="28"/>
          <w:szCs w:val="28"/>
          <w:rtl/>
          <w:lang w:bidi="ar-EG"/>
        </w:rPr>
      </w:pPr>
    </w:p>
    <w:p w14:paraId="26C3C629" w14:textId="77777777" w:rsidR="002A63BC" w:rsidRDefault="002A63BC" w:rsidP="00DB28BF">
      <w:pPr>
        <w:rPr>
          <w:rFonts w:ascii="Simplified Arabic" w:hAnsi="Simplified Arabic" w:cs="Simplified Arabic"/>
          <w:sz w:val="28"/>
          <w:szCs w:val="28"/>
          <w:rtl/>
          <w:lang w:bidi="ar-EG"/>
        </w:rPr>
      </w:pPr>
    </w:p>
    <w:p w14:paraId="27C77FA7" w14:textId="486D5E34" w:rsidR="00DB28BF" w:rsidRPr="002A63BC" w:rsidRDefault="00DB28BF" w:rsidP="002A63BC">
      <w:pPr>
        <w:pStyle w:val="Heading1"/>
        <w:jc w:val="center"/>
        <w:rPr>
          <w:rFonts w:ascii="Simplified Arabic" w:hAnsi="Simplified Arabic" w:cs="Simplified Arabic"/>
          <w:b/>
          <w:bCs/>
          <w:color w:val="auto"/>
          <w:sz w:val="36"/>
          <w:szCs w:val="36"/>
          <w:rtl/>
          <w:lang w:bidi="ar-EG"/>
        </w:rPr>
      </w:pPr>
      <w:bookmarkStart w:id="2" w:name="_Toc224661455"/>
      <w:r w:rsidRPr="002A63BC">
        <w:rPr>
          <w:rFonts w:ascii="Simplified Arabic" w:hAnsi="Simplified Arabic" w:cs="Simplified Arabic"/>
          <w:b/>
          <w:bCs/>
          <w:color w:val="auto"/>
          <w:sz w:val="36"/>
          <w:szCs w:val="36"/>
          <w:rtl/>
          <w:lang w:bidi="ar-EG"/>
        </w:rPr>
        <w:t>الشكر والتقدير</w:t>
      </w:r>
      <w:bookmarkEnd w:id="2"/>
    </w:p>
    <w:p w14:paraId="2B78E5E9" w14:textId="77777777" w:rsidR="00DB28BF" w:rsidRPr="00DB28BF" w:rsidRDefault="00DB28BF" w:rsidP="002A63BC">
      <w:pPr>
        <w:jc w:val="center"/>
        <w:rPr>
          <w:rFonts w:ascii="Simplified Arabic" w:hAnsi="Simplified Arabic" w:cs="Simplified Arabic"/>
          <w:sz w:val="28"/>
          <w:szCs w:val="28"/>
        </w:rPr>
      </w:pPr>
      <w:r w:rsidRPr="00DB28BF">
        <w:rPr>
          <w:rFonts w:ascii="Simplified Arabic" w:hAnsi="Simplified Arabic" w:cs="Simplified Arabic"/>
          <w:sz w:val="28"/>
          <w:szCs w:val="28"/>
          <w:rtl/>
        </w:rPr>
        <w:t>الحمد لله أولاً وآخراً الذي وفقني لإتمام هذا العمل، وأعانني على إكمال هذه الدراسة، وأسأله أن يجعل هذا الجهد خالصاً لوجهه الكريم ونافعاً للعلم والمجتمع</w:t>
      </w:r>
      <w:r w:rsidRPr="00DB28BF">
        <w:rPr>
          <w:rFonts w:ascii="Simplified Arabic" w:hAnsi="Simplified Arabic" w:cs="Simplified Arabic"/>
          <w:sz w:val="28"/>
          <w:szCs w:val="28"/>
        </w:rPr>
        <w:t>.</w:t>
      </w:r>
    </w:p>
    <w:p w14:paraId="5818F6FB" w14:textId="77777777" w:rsidR="00DB28BF" w:rsidRPr="00DB28BF" w:rsidRDefault="00DB28BF" w:rsidP="002A63BC">
      <w:pPr>
        <w:jc w:val="center"/>
        <w:rPr>
          <w:rFonts w:ascii="Simplified Arabic" w:hAnsi="Simplified Arabic" w:cs="Simplified Arabic"/>
          <w:sz w:val="28"/>
          <w:szCs w:val="28"/>
        </w:rPr>
      </w:pPr>
      <w:r w:rsidRPr="00DB28BF">
        <w:rPr>
          <w:rFonts w:ascii="Simplified Arabic" w:hAnsi="Simplified Arabic" w:cs="Simplified Arabic"/>
          <w:sz w:val="28"/>
          <w:szCs w:val="28"/>
          <w:rtl/>
        </w:rPr>
        <w:t>أتقدم بخالص الشكر والتقدير إلى جامعة ميدأوشن – كلية الإدارة، وإلى أعضاء هيئة التدريس لما قدموه من علم وتوجيه كان له الأثر في إنجاز هذه الدراسة.</w:t>
      </w:r>
    </w:p>
    <w:p w14:paraId="50C7E522" w14:textId="77777777" w:rsidR="00DB28BF" w:rsidRPr="00DB28BF" w:rsidRDefault="00DB28BF" w:rsidP="002A63BC">
      <w:pPr>
        <w:jc w:val="center"/>
        <w:rPr>
          <w:rFonts w:ascii="Simplified Arabic" w:hAnsi="Simplified Arabic" w:cs="Simplified Arabic"/>
          <w:sz w:val="28"/>
          <w:szCs w:val="28"/>
        </w:rPr>
      </w:pPr>
      <w:r w:rsidRPr="00DB28BF">
        <w:rPr>
          <w:rFonts w:ascii="Simplified Arabic" w:hAnsi="Simplified Arabic" w:cs="Simplified Arabic"/>
          <w:sz w:val="28"/>
          <w:szCs w:val="28"/>
          <w:rtl/>
        </w:rPr>
        <w:t>كما أتقدم بالشكر لكل من شارك في تعبئة الاستبانة وأسهم في إنجاح الجانب التطبيقي من هذا البحث.</w:t>
      </w:r>
    </w:p>
    <w:p w14:paraId="1FAE1D0C" w14:textId="77777777" w:rsidR="00DB28BF" w:rsidRPr="00DB28BF" w:rsidRDefault="00DB28BF" w:rsidP="002A63BC">
      <w:pPr>
        <w:jc w:val="center"/>
        <w:rPr>
          <w:rFonts w:ascii="Simplified Arabic" w:hAnsi="Simplified Arabic" w:cs="Simplified Arabic"/>
          <w:sz w:val="28"/>
          <w:szCs w:val="28"/>
        </w:rPr>
      </w:pPr>
      <w:r w:rsidRPr="00DB28BF">
        <w:rPr>
          <w:rFonts w:ascii="Simplified Arabic" w:hAnsi="Simplified Arabic" w:cs="Simplified Arabic"/>
          <w:sz w:val="28"/>
          <w:szCs w:val="28"/>
          <w:rtl/>
        </w:rPr>
        <w:t>كما أود أن أعبر عن امتناني لزميلي الذي كان دائم الدعم والمساندة خلال فترة إعداد هذه الدراسة، وكان لتشجيعه ومساعدته أثر كبير في إتمام هذا العمل.</w:t>
      </w:r>
    </w:p>
    <w:p w14:paraId="759D2B13" w14:textId="77777777" w:rsidR="00DB28BF" w:rsidRPr="00DB28BF" w:rsidRDefault="00DB28BF" w:rsidP="002A63BC">
      <w:pPr>
        <w:bidi w:val="0"/>
        <w:jc w:val="left"/>
        <w:rPr>
          <w:rFonts w:ascii="Simplified Arabic" w:hAnsi="Simplified Arabic" w:cs="Simplified Arabic"/>
          <w:sz w:val="28"/>
          <w:szCs w:val="28"/>
        </w:rPr>
      </w:pPr>
      <w:r w:rsidRPr="00DB28BF">
        <w:rPr>
          <w:rFonts w:ascii="Simplified Arabic" w:hAnsi="Simplified Arabic" w:cs="Simplified Arabic"/>
          <w:sz w:val="28"/>
          <w:szCs w:val="28"/>
          <w:rtl/>
        </w:rPr>
        <w:t>والله ولي التوفيق.</w:t>
      </w:r>
    </w:p>
    <w:p w14:paraId="298A7050" w14:textId="77777777" w:rsidR="00DB28BF" w:rsidRPr="00DB28BF" w:rsidRDefault="00DB28BF" w:rsidP="002A63BC">
      <w:pPr>
        <w:jc w:val="center"/>
        <w:rPr>
          <w:rFonts w:ascii="Simplified Arabic" w:hAnsi="Simplified Arabic" w:cs="Simplified Arabic"/>
          <w:sz w:val="28"/>
          <w:szCs w:val="28"/>
          <w:rtl/>
          <w:lang w:bidi="ar-EG"/>
        </w:rPr>
      </w:pPr>
    </w:p>
    <w:p w14:paraId="3F038301" w14:textId="77777777" w:rsidR="00DB28BF" w:rsidRPr="00DB28BF" w:rsidRDefault="00DB28BF" w:rsidP="002A63BC">
      <w:pPr>
        <w:jc w:val="center"/>
        <w:rPr>
          <w:rFonts w:ascii="Simplified Arabic" w:hAnsi="Simplified Arabic" w:cs="Simplified Arabic"/>
          <w:sz w:val="28"/>
          <w:szCs w:val="28"/>
          <w:rtl/>
          <w:lang w:bidi="ar-EG"/>
        </w:rPr>
      </w:pPr>
    </w:p>
    <w:p w14:paraId="04C5A452" w14:textId="77777777" w:rsidR="00DB28BF" w:rsidRPr="00DB28BF" w:rsidRDefault="00DB28BF" w:rsidP="002A63BC">
      <w:pPr>
        <w:jc w:val="center"/>
        <w:rPr>
          <w:rFonts w:ascii="Simplified Arabic" w:hAnsi="Simplified Arabic" w:cs="Simplified Arabic"/>
          <w:sz w:val="28"/>
          <w:szCs w:val="28"/>
          <w:lang w:bidi="ar-EG"/>
        </w:rPr>
      </w:pPr>
    </w:p>
    <w:p w14:paraId="689BDE6C" w14:textId="2B880B92" w:rsidR="00DB28BF" w:rsidRPr="00DB28BF" w:rsidRDefault="00DB28BF" w:rsidP="002A63BC">
      <w:pPr>
        <w:jc w:val="center"/>
        <w:rPr>
          <w:rFonts w:ascii="Simplified Arabic" w:hAnsi="Simplified Arabic" w:cs="Simplified Arabic"/>
          <w:sz w:val="28"/>
          <w:szCs w:val="28"/>
          <w:rtl/>
          <w:lang w:bidi="ar-EG"/>
        </w:rPr>
      </w:pPr>
      <w:r w:rsidRPr="00DB28BF">
        <w:rPr>
          <w:rFonts w:ascii="Simplified Arabic" w:hAnsi="Simplified Arabic" w:cs="Simplified Arabic"/>
          <w:sz w:val="28"/>
          <w:szCs w:val="28"/>
          <w:lang w:bidi="ar-EG"/>
        </w:rPr>
        <w:br w:type="page"/>
      </w:r>
    </w:p>
    <w:bookmarkStart w:id="3" w:name="_Toc224661456" w:displacedByCustomXml="next"/>
    <w:sdt>
      <w:sdtPr>
        <w:rPr>
          <w:rFonts w:ascii="Simplified Arabic" w:eastAsiaTheme="minorHAnsi" w:hAnsi="Simplified Arabic" w:cs="Simplified Arabic"/>
          <w:color w:val="auto"/>
          <w:sz w:val="28"/>
          <w:szCs w:val="28"/>
          <w:rtl/>
        </w:rPr>
        <w:id w:val="-1545752143"/>
        <w:docPartObj>
          <w:docPartGallery w:val="Table of Contents"/>
          <w:docPartUnique/>
        </w:docPartObj>
      </w:sdtPr>
      <w:sdtContent>
        <w:p w14:paraId="28C65BA9" w14:textId="26DC841B" w:rsidR="002A63BC" w:rsidRPr="004B46A0" w:rsidRDefault="00DA5CB4" w:rsidP="00A25C21">
          <w:pPr>
            <w:pStyle w:val="Heading1"/>
            <w:jc w:val="center"/>
            <w:rPr>
              <w:rFonts w:ascii="Simplified Arabic" w:hAnsi="Simplified Arabic" w:cs="Simplified Arabic"/>
              <w:b/>
              <w:bCs/>
              <w:color w:val="auto"/>
              <w:sz w:val="28"/>
              <w:szCs w:val="28"/>
              <w:lang w:bidi="ar-EG"/>
            </w:rPr>
          </w:pPr>
          <w:r w:rsidRPr="004B46A0">
            <w:rPr>
              <w:rFonts w:ascii="Simplified Arabic" w:hAnsi="Simplified Arabic" w:cs="Simplified Arabic"/>
              <w:b/>
              <w:bCs/>
              <w:color w:val="auto"/>
              <w:sz w:val="28"/>
              <w:szCs w:val="28"/>
              <w:rtl/>
              <w:lang w:bidi="ar-EG"/>
            </w:rPr>
            <w:t>فهرس المحتويات</w:t>
          </w:r>
          <w:bookmarkEnd w:id="3"/>
        </w:p>
        <w:p w14:paraId="338609F5" w14:textId="3E264388" w:rsidR="004B46A0" w:rsidRPr="004B46A0" w:rsidRDefault="002A63BC">
          <w:pPr>
            <w:pStyle w:val="TOC1"/>
            <w:tabs>
              <w:tab w:val="right" w:leader="dot" w:pos="9061"/>
            </w:tabs>
            <w:rPr>
              <w:rFonts w:ascii="Simplified Arabic" w:eastAsiaTheme="minorEastAsia" w:hAnsi="Simplified Arabic" w:cs="Simplified Arabic"/>
              <w:noProof/>
              <w:sz w:val="28"/>
              <w:szCs w:val="28"/>
              <w:rtl/>
            </w:rPr>
          </w:pPr>
          <w:r w:rsidRPr="004B46A0">
            <w:rPr>
              <w:rFonts w:ascii="Simplified Arabic" w:hAnsi="Simplified Arabic" w:cs="Simplified Arabic"/>
              <w:sz w:val="28"/>
              <w:szCs w:val="28"/>
            </w:rPr>
            <w:fldChar w:fldCharType="begin"/>
          </w:r>
          <w:r w:rsidRPr="004B46A0">
            <w:rPr>
              <w:rFonts w:ascii="Simplified Arabic" w:hAnsi="Simplified Arabic" w:cs="Simplified Arabic"/>
              <w:sz w:val="28"/>
              <w:szCs w:val="28"/>
            </w:rPr>
            <w:instrText xml:space="preserve"> TOC \o "1-3" \h \z \u </w:instrText>
          </w:r>
          <w:r w:rsidRPr="004B46A0">
            <w:rPr>
              <w:rFonts w:ascii="Simplified Arabic" w:hAnsi="Simplified Arabic" w:cs="Simplified Arabic"/>
              <w:sz w:val="28"/>
              <w:szCs w:val="28"/>
            </w:rPr>
            <w:fldChar w:fldCharType="separate"/>
          </w:r>
          <w:hyperlink w:anchor="_Toc224661453" w:history="1">
            <w:r w:rsidR="004B46A0" w:rsidRPr="004B46A0">
              <w:rPr>
                <w:rStyle w:val="Hyperlink"/>
                <w:rFonts w:ascii="Simplified Arabic" w:hAnsi="Simplified Arabic" w:cs="Simplified Arabic"/>
                <w:b/>
                <w:bCs/>
                <w:noProof/>
                <w:sz w:val="28"/>
                <w:szCs w:val="28"/>
                <w:rtl/>
                <w:lang w:bidi="ar-EG"/>
              </w:rPr>
              <w:t>المستخلص</w:t>
            </w:r>
            <w:r w:rsidR="004B46A0" w:rsidRPr="004B46A0">
              <w:rPr>
                <w:rFonts w:ascii="Simplified Arabic" w:hAnsi="Simplified Arabic" w:cs="Simplified Arabic"/>
                <w:noProof/>
                <w:webHidden/>
                <w:sz w:val="28"/>
                <w:szCs w:val="28"/>
                <w:rtl/>
              </w:rPr>
              <w:tab/>
            </w:r>
            <w:r w:rsidR="004B46A0" w:rsidRPr="004B46A0">
              <w:rPr>
                <w:rFonts w:ascii="Simplified Arabic" w:hAnsi="Simplified Arabic" w:cs="Simplified Arabic"/>
                <w:noProof/>
                <w:webHidden/>
                <w:sz w:val="28"/>
                <w:szCs w:val="28"/>
                <w:rtl/>
              </w:rPr>
              <w:fldChar w:fldCharType="begin"/>
            </w:r>
            <w:r w:rsidR="004B46A0" w:rsidRPr="004B46A0">
              <w:rPr>
                <w:rFonts w:ascii="Simplified Arabic" w:hAnsi="Simplified Arabic" w:cs="Simplified Arabic"/>
                <w:noProof/>
                <w:webHidden/>
                <w:sz w:val="28"/>
                <w:szCs w:val="28"/>
                <w:rtl/>
              </w:rPr>
              <w:instrText xml:space="preserve"> </w:instrText>
            </w:r>
            <w:r w:rsidR="004B46A0" w:rsidRPr="004B46A0">
              <w:rPr>
                <w:rFonts w:ascii="Simplified Arabic" w:hAnsi="Simplified Arabic" w:cs="Simplified Arabic"/>
                <w:noProof/>
                <w:webHidden/>
                <w:sz w:val="28"/>
                <w:szCs w:val="28"/>
              </w:rPr>
              <w:instrText>PAGEREF</w:instrText>
            </w:r>
            <w:r w:rsidR="004B46A0" w:rsidRPr="004B46A0">
              <w:rPr>
                <w:rFonts w:ascii="Simplified Arabic" w:hAnsi="Simplified Arabic" w:cs="Simplified Arabic"/>
                <w:noProof/>
                <w:webHidden/>
                <w:sz w:val="28"/>
                <w:szCs w:val="28"/>
                <w:rtl/>
              </w:rPr>
              <w:instrText xml:space="preserve"> _</w:instrText>
            </w:r>
            <w:r w:rsidR="004B46A0" w:rsidRPr="004B46A0">
              <w:rPr>
                <w:rFonts w:ascii="Simplified Arabic" w:hAnsi="Simplified Arabic" w:cs="Simplified Arabic"/>
                <w:noProof/>
                <w:webHidden/>
                <w:sz w:val="28"/>
                <w:szCs w:val="28"/>
              </w:rPr>
              <w:instrText>Toc224661453 \h</w:instrText>
            </w:r>
            <w:r w:rsidR="004B46A0" w:rsidRPr="004B46A0">
              <w:rPr>
                <w:rFonts w:ascii="Simplified Arabic" w:hAnsi="Simplified Arabic" w:cs="Simplified Arabic"/>
                <w:noProof/>
                <w:webHidden/>
                <w:sz w:val="28"/>
                <w:szCs w:val="28"/>
                <w:rtl/>
              </w:rPr>
              <w:instrText xml:space="preserve"> </w:instrText>
            </w:r>
            <w:r w:rsidR="004B46A0" w:rsidRPr="004B46A0">
              <w:rPr>
                <w:rFonts w:ascii="Simplified Arabic" w:hAnsi="Simplified Arabic" w:cs="Simplified Arabic"/>
                <w:noProof/>
                <w:webHidden/>
                <w:sz w:val="28"/>
                <w:szCs w:val="28"/>
                <w:rtl/>
              </w:rPr>
            </w:r>
            <w:r w:rsidR="004B46A0" w:rsidRPr="004B46A0">
              <w:rPr>
                <w:rFonts w:ascii="Simplified Arabic" w:hAnsi="Simplified Arabic" w:cs="Simplified Arabic"/>
                <w:noProof/>
                <w:webHidden/>
                <w:sz w:val="28"/>
                <w:szCs w:val="28"/>
                <w:rtl/>
              </w:rPr>
              <w:fldChar w:fldCharType="separate"/>
            </w:r>
            <w:r w:rsidR="004B46A0">
              <w:rPr>
                <w:rFonts w:ascii="Simplified Arabic" w:hAnsi="Simplified Arabic" w:cs="Simplified Arabic" w:hint="eastAsia"/>
                <w:noProof/>
                <w:webHidden/>
                <w:sz w:val="28"/>
                <w:szCs w:val="28"/>
                <w:rtl/>
              </w:rPr>
              <w:t>‌أ</w:t>
            </w:r>
            <w:r w:rsidR="004B46A0" w:rsidRPr="004B46A0">
              <w:rPr>
                <w:rFonts w:ascii="Simplified Arabic" w:hAnsi="Simplified Arabic" w:cs="Simplified Arabic"/>
                <w:noProof/>
                <w:webHidden/>
                <w:sz w:val="28"/>
                <w:szCs w:val="28"/>
                <w:rtl/>
              </w:rPr>
              <w:fldChar w:fldCharType="end"/>
            </w:r>
          </w:hyperlink>
        </w:p>
        <w:p w14:paraId="3838C2E3" w14:textId="6EF61AD7"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4" w:history="1">
            <w:r w:rsidRPr="004B46A0">
              <w:rPr>
                <w:rStyle w:val="Hyperlink"/>
                <w:rFonts w:ascii="Simplified Arabic" w:hAnsi="Simplified Arabic" w:cs="Simplified Arabic"/>
                <w:b/>
                <w:bCs/>
                <w:noProof/>
                <w:sz w:val="28"/>
                <w:szCs w:val="28"/>
                <w:rtl/>
                <w:lang w:bidi="ar-EG"/>
              </w:rPr>
              <w:t>الإهداء</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Toc224661454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hint="eastAsia"/>
                <w:noProof/>
                <w:webHidden/>
                <w:sz w:val="28"/>
                <w:szCs w:val="28"/>
                <w:rtl/>
              </w:rPr>
              <w:t>‌ب</w:t>
            </w:r>
            <w:r w:rsidRPr="004B46A0">
              <w:rPr>
                <w:rFonts w:ascii="Simplified Arabic" w:hAnsi="Simplified Arabic" w:cs="Simplified Arabic"/>
                <w:noProof/>
                <w:webHidden/>
                <w:sz w:val="28"/>
                <w:szCs w:val="28"/>
                <w:rtl/>
              </w:rPr>
              <w:fldChar w:fldCharType="end"/>
            </w:r>
          </w:hyperlink>
        </w:p>
        <w:p w14:paraId="749951DB" w14:textId="63123AC2"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5" w:history="1">
            <w:r w:rsidRPr="004B46A0">
              <w:rPr>
                <w:rStyle w:val="Hyperlink"/>
                <w:rFonts w:ascii="Simplified Arabic" w:hAnsi="Simplified Arabic" w:cs="Simplified Arabic"/>
                <w:b/>
                <w:bCs/>
                <w:noProof/>
                <w:sz w:val="28"/>
                <w:szCs w:val="28"/>
                <w:rtl/>
                <w:lang w:bidi="ar-EG"/>
              </w:rPr>
              <w:t>الشكر والتقدير</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Toc224661455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hint="eastAsia"/>
                <w:noProof/>
                <w:webHidden/>
                <w:sz w:val="28"/>
                <w:szCs w:val="28"/>
                <w:rtl/>
              </w:rPr>
              <w:t>‌ج</w:t>
            </w:r>
            <w:r w:rsidRPr="004B46A0">
              <w:rPr>
                <w:rFonts w:ascii="Simplified Arabic" w:hAnsi="Simplified Arabic" w:cs="Simplified Arabic"/>
                <w:noProof/>
                <w:webHidden/>
                <w:sz w:val="28"/>
                <w:szCs w:val="28"/>
                <w:rtl/>
              </w:rPr>
              <w:fldChar w:fldCharType="end"/>
            </w:r>
          </w:hyperlink>
        </w:p>
        <w:p w14:paraId="38E64521" w14:textId="38EA1F2A"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6" w:history="1">
            <w:r w:rsidRPr="004B46A0">
              <w:rPr>
                <w:rStyle w:val="Hyperlink"/>
                <w:rFonts w:ascii="Simplified Arabic" w:hAnsi="Simplified Arabic" w:cs="Simplified Arabic"/>
                <w:b/>
                <w:bCs/>
                <w:noProof/>
                <w:sz w:val="28"/>
                <w:szCs w:val="28"/>
                <w:rtl/>
                <w:lang w:bidi="ar-EG"/>
              </w:rPr>
              <w:t>فهرس المحتويات</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Toc224661456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hint="eastAsia"/>
                <w:noProof/>
                <w:webHidden/>
                <w:sz w:val="28"/>
                <w:szCs w:val="28"/>
                <w:rtl/>
              </w:rPr>
              <w:t>‌د</w:t>
            </w:r>
            <w:r w:rsidRPr="004B46A0">
              <w:rPr>
                <w:rFonts w:ascii="Simplified Arabic" w:hAnsi="Simplified Arabic" w:cs="Simplified Arabic"/>
                <w:noProof/>
                <w:webHidden/>
                <w:sz w:val="28"/>
                <w:szCs w:val="28"/>
                <w:rtl/>
              </w:rPr>
              <w:fldChar w:fldCharType="end"/>
            </w:r>
          </w:hyperlink>
        </w:p>
        <w:p w14:paraId="74F6E584" w14:textId="70FC26FA"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7" w:history="1">
            <w:r w:rsidRPr="004B46A0">
              <w:rPr>
                <w:rStyle w:val="Hyperlink"/>
                <w:rFonts w:ascii="Simplified Arabic" w:hAnsi="Simplified Arabic" w:cs="Simplified Arabic"/>
                <w:b/>
                <w:bCs/>
                <w:noProof/>
                <w:sz w:val="28"/>
                <w:szCs w:val="28"/>
                <w:rtl/>
                <w:lang w:bidi="ar-EG"/>
              </w:rPr>
              <w:t xml:space="preserve">قائمة </w:t>
            </w:r>
            <w:r w:rsidRPr="004B46A0">
              <w:rPr>
                <w:rStyle w:val="Hyperlink"/>
                <w:rFonts w:ascii="Simplified Arabic" w:hAnsi="Simplified Arabic" w:cs="Simplified Arabic"/>
                <w:b/>
                <w:bCs/>
                <w:noProof/>
                <w:sz w:val="28"/>
                <w:szCs w:val="28"/>
                <w:rtl/>
              </w:rPr>
              <w:t>الجداول</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Toc224661457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hint="eastAsia"/>
                <w:noProof/>
                <w:webHidden/>
                <w:sz w:val="28"/>
                <w:szCs w:val="28"/>
                <w:rtl/>
              </w:rPr>
              <w:t>‌و</w:t>
            </w:r>
            <w:r w:rsidRPr="004B46A0">
              <w:rPr>
                <w:rFonts w:ascii="Simplified Arabic" w:hAnsi="Simplified Arabic" w:cs="Simplified Arabic"/>
                <w:noProof/>
                <w:webHidden/>
                <w:sz w:val="28"/>
                <w:szCs w:val="28"/>
                <w:rtl/>
              </w:rPr>
              <w:fldChar w:fldCharType="end"/>
            </w:r>
          </w:hyperlink>
        </w:p>
        <w:p w14:paraId="3ECFF3B0" w14:textId="30F555DC"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8" w:history="1">
            <w:r w:rsidRPr="004B46A0">
              <w:rPr>
                <w:rStyle w:val="Hyperlink"/>
                <w:rFonts w:ascii="Simplified Arabic" w:hAnsi="Simplified Arabic" w:cs="Simplified Arabic"/>
                <w:b/>
                <w:bCs/>
                <w:noProof/>
                <w:sz w:val="28"/>
                <w:szCs w:val="28"/>
                <w:rtl/>
                <w:lang w:bidi="ar-EG"/>
              </w:rPr>
              <w:t>فهرس الأشكال</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Toc224661458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hint="eastAsia"/>
                <w:noProof/>
                <w:webHidden/>
                <w:sz w:val="28"/>
                <w:szCs w:val="28"/>
                <w:rtl/>
              </w:rPr>
              <w:t>‌ز</w:t>
            </w:r>
            <w:r w:rsidRPr="004B46A0">
              <w:rPr>
                <w:rFonts w:ascii="Simplified Arabic" w:hAnsi="Simplified Arabic" w:cs="Simplified Arabic"/>
                <w:noProof/>
                <w:webHidden/>
                <w:sz w:val="28"/>
                <w:szCs w:val="28"/>
                <w:rtl/>
              </w:rPr>
              <w:fldChar w:fldCharType="end"/>
            </w:r>
          </w:hyperlink>
        </w:p>
        <w:p w14:paraId="4AC46ECB" w14:textId="42B45A55"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59" w:history="1">
            <w:r w:rsidRPr="004B46A0">
              <w:rPr>
                <w:rStyle w:val="Hyperlink"/>
                <w:rFonts w:ascii="Simplified Arabic" w:hAnsi="Simplified Arabic" w:cs="Simplified Arabic"/>
                <w:b/>
                <w:bCs/>
                <w:noProof/>
                <w:sz w:val="28"/>
                <w:szCs w:val="28"/>
                <w:rtl/>
              </w:rPr>
              <w:t>الفصل الأول: الإطار العام للدراسة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Toc224661459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w:t>
            </w:r>
            <w:r w:rsidRPr="004B46A0">
              <w:rPr>
                <w:rFonts w:ascii="Simplified Arabic" w:hAnsi="Simplified Arabic" w:cs="Simplified Arabic"/>
                <w:noProof/>
                <w:webHidden/>
                <w:sz w:val="28"/>
                <w:szCs w:val="28"/>
                <w:rtl/>
              </w:rPr>
              <w:fldChar w:fldCharType="end"/>
            </w:r>
          </w:hyperlink>
        </w:p>
        <w:p w14:paraId="6CDB4300" w14:textId="6ABEF848"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0" w:history="1">
            <w:r w:rsidRPr="004B46A0">
              <w:rPr>
                <w:rStyle w:val="Hyperlink"/>
                <w:rFonts w:ascii="Simplified Arabic" w:hAnsi="Simplified Arabic" w:cs="Simplified Arabic"/>
                <w:b/>
                <w:bCs/>
                <w:noProof/>
                <w:sz w:val="28"/>
                <w:szCs w:val="28"/>
                <w:rtl/>
              </w:rPr>
              <w:t>1.1المقدمة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Toc224661460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w:t>
            </w:r>
            <w:r w:rsidRPr="004B46A0">
              <w:rPr>
                <w:rFonts w:ascii="Simplified Arabic" w:hAnsi="Simplified Arabic" w:cs="Simplified Arabic"/>
                <w:noProof/>
                <w:webHidden/>
                <w:sz w:val="28"/>
                <w:szCs w:val="28"/>
                <w:rtl/>
              </w:rPr>
              <w:fldChar w:fldCharType="end"/>
            </w:r>
          </w:hyperlink>
        </w:p>
        <w:p w14:paraId="32A64E5D" w14:textId="4E67E4BE"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1" w:history="1">
            <w:r w:rsidRPr="004B46A0">
              <w:rPr>
                <w:rStyle w:val="Hyperlink"/>
                <w:rFonts w:ascii="Simplified Arabic" w:eastAsia="Times New Roman" w:hAnsi="Simplified Arabic" w:cs="Simplified Arabic"/>
                <w:b/>
                <w:bCs/>
                <w:noProof/>
                <w:sz w:val="28"/>
                <w:szCs w:val="28"/>
                <w:rtl/>
              </w:rPr>
              <w:t>1.2 مشكلة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Toc224661461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w:t>
            </w:r>
            <w:r w:rsidRPr="004B46A0">
              <w:rPr>
                <w:rFonts w:ascii="Simplified Arabic" w:hAnsi="Simplified Arabic" w:cs="Simplified Arabic"/>
                <w:noProof/>
                <w:webHidden/>
                <w:sz w:val="28"/>
                <w:szCs w:val="28"/>
                <w:rtl/>
              </w:rPr>
              <w:fldChar w:fldCharType="end"/>
            </w:r>
          </w:hyperlink>
        </w:p>
        <w:p w14:paraId="311906E6" w14:textId="7A2E9EDC"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2" w:history="1">
            <w:r w:rsidRPr="004B46A0">
              <w:rPr>
                <w:rStyle w:val="Hyperlink"/>
                <w:rFonts w:ascii="Simplified Arabic" w:eastAsia="Times New Roman" w:hAnsi="Simplified Arabic" w:cs="Simplified Arabic"/>
                <w:b/>
                <w:bCs/>
                <w:noProof/>
                <w:sz w:val="28"/>
                <w:szCs w:val="28"/>
              </w:rPr>
              <w:t>1.3</w:t>
            </w:r>
            <w:r w:rsidRPr="004B46A0">
              <w:rPr>
                <w:rStyle w:val="Hyperlink"/>
                <w:rFonts w:ascii="Simplified Arabic" w:eastAsia="Times New Roman" w:hAnsi="Simplified Arabic" w:cs="Simplified Arabic"/>
                <w:b/>
                <w:bCs/>
                <w:noProof/>
                <w:sz w:val="28"/>
                <w:szCs w:val="28"/>
                <w:rtl/>
              </w:rPr>
              <w:t>أهمية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Toc224661462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w:t>
            </w:r>
            <w:r w:rsidRPr="004B46A0">
              <w:rPr>
                <w:rFonts w:ascii="Simplified Arabic" w:hAnsi="Simplified Arabic" w:cs="Simplified Arabic"/>
                <w:noProof/>
                <w:webHidden/>
                <w:sz w:val="28"/>
                <w:szCs w:val="28"/>
                <w:rtl/>
              </w:rPr>
              <w:fldChar w:fldCharType="end"/>
            </w:r>
          </w:hyperlink>
        </w:p>
        <w:p w14:paraId="282A797A" w14:textId="07568B94"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3" w:history="1">
            <w:r w:rsidRPr="004B46A0">
              <w:rPr>
                <w:rStyle w:val="Hyperlink"/>
                <w:rFonts w:ascii="Simplified Arabic" w:eastAsia="Times New Roman" w:hAnsi="Simplified Arabic" w:cs="Simplified Arabic"/>
                <w:b/>
                <w:bCs/>
                <w:noProof/>
                <w:sz w:val="28"/>
                <w:szCs w:val="28"/>
                <w:rtl/>
                <w:lang w:bidi="ar-EG"/>
              </w:rPr>
              <w:t>1.4</w:t>
            </w:r>
            <w:r w:rsidRPr="004B46A0">
              <w:rPr>
                <w:rStyle w:val="Hyperlink"/>
                <w:rFonts w:ascii="Simplified Arabic" w:eastAsia="Times New Roman" w:hAnsi="Simplified Arabic" w:cs="Simplified Arabic"/>
                <w:b/>
                <w:bCs/>
                <w:noProof/>
                <w:sz w:val="28"/>
                <w:szCs w:val="28"/>
                <w:rtl/>
              </w:rPr>
              <w:t xml:space="preserve"> أهداف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Toc224661463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w:t>
            </w:r>
            <w:r w:rsidRPr="004B46A0">
              <w:rPr>
                <w:rFonts w:ascii="Simplified Arabic" w:hAnsi="Simplified Arabic" w:cs="Simplified Arabic"/>
                <w:noProof/>
                <w:webHidden/>
                <w:sz w:val="28"/>
                <w:szCs w:val="28"/>
                <w:rtl/>
              </w:rPr>
              <w:fldChar w:fldCharType="end"/>
            </w:r>
          </w:hyperlink>
        </w:p>
        <w:p w14:paraId="00830196" w14:textId="01FECD96"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4" w:history="1">
            <w:r w:rsidRPr="004B46A0">
              <w:rPr>
                <w:rStyle w:val="Hyperlink"/>
                <w:rFonts w:ascii="Simplified Arabic" w:eastAsia="Times New Roman" w:hAnsi="Simplified Arabic" w:cs="Simplified Arabic"/>
                <w:b/>
                <w:bCs/>
                <w:noProof/>
                <w:sz w:val="28"/>
                <w:szCs w:val="28"/>
                <w:rtl/>
              </w:rPr>
              <w:t>1.5  تساؤلات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Toc224661464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w:t>
            </w:r>
            <w:r w:rsidRPr="004B46A0">
              <w:rPr>
                <w:rFonts w:ascii="Simplified Arabic" w:hAnsi="Simplified Arabic" w:cs="Simplified Arabic"/>
                <w:noProof/>
                <w:webHidden/>
                <w:sz w:val="28"/>
                <w:szCs w:val="28"/>
                <w:rtl/>
              </w:rPr>
              <w:fldChar w:fldCharType="end"/>
            </w:r>
          </w:hyperlink>
        </w:p>
        <w:p w14:paraId="3CE076D0" w14:textId="5031F3BA"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5" w:history="1">
            <w:r w:rsidRPr="004B46A0">
              <w:rPr>
                <w:rStyle w:val="Hyperlink"/>
                <w:rFonts w:ascii="Simplified Arabic" w:eastAsia="Times New Roman" w:hAnsi="Simplified Arabic" w:cs="Simplified Arabic"/>
                <w:b/>
                <w:bCs/>
                <w:noProof/>
                <w:sz w:val="28"/>
                <w:szCs w:val="28"/>
                <w:rtl/>
              </w:rPr>
              <w:t>1.6  فروض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Toc224661465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6</w:t>
            </w:r>
            <w:r w:rsidRPr="004B46A0">
              <w:rPr>
                <w:rFonts w:ascii="Simplified Arabic" w:hAnsi="Simplified Arabic" w:cs="Simplified Arabic"/>
                <w:noProof/>
                <w:webHidden/>
                <w:sz w:val="28"/>
                <w:szCs w:val="28"/>
                <w:rtl/>
              </w:rPr>
              <w:fldChar w:fldCharType="end"/>
            </w:r>
          </w:hyperlink>
        </w:p>
        <w:p w14:paraId="0A3AE08F" w14:textId="282D9721"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6" w:history="1">
            <w:r w:rsidRPr="004B46A0">
              <w:rPr>
                <w:rStyle w:val="Hyperlink"/>
                <w:rFonts w:ascii="Simplified Arabic" w:eastAsia="Times New Roman" w:hAnsi="Simplified Arabic" w:cs="Simplified Arabic"/>
                <w:b/>
                <w:bCs/>
                <w:noProof/>
                <w:sz w:val="28"/>
                <w:szCs w:val="28"/>
                <w:rtl/>
              </w:rPr>
              <w:t>1.7  النظرية العلمية المتبعة لإعداد البحث</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Toc224661466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7</w:t>
            </w:r>
            <w:r w:rsidRPr="004B46A0">
              <w:rPr>
                <w:rFonts w:ascii="Simplified Arabic" w:hAnsi="Simplified Arabic" w:cs="Simplified Arabic"/>
                <w:noProof/>
                <w:webHidden/>
                <w:sz w:val="28"/>
                <w:szCs w:val="28"/>
                <w:rtl/>
              </w:rPr>
              <w:fldChar w:fldCharType="end"/>
            </w:r>
          </w:hyperlink>
        </w:p>
        <w:p w14:paraId="0FC58879" w14:textId="7073B70D"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7" w:history="1">
            <w:r w:rsidRPr="004B46A0">
              <w:rPr>
                <w:rStyle w:val="Hyperlink"/>
                <w:rFonts w:ascii="Simplified Arabic" w:eastAsia="Times New Roman" w:hAnsi="Simplified Arabic" w:cs="Simplified Arabic"/>
                <w:b/>
                <w:bCs/>
                <w:noProof/>
                <w:sz w:val="28"/>
                <w:szCs w:val="28"/>
                <w:rtl/>
              </w:rPr>
              <w:t>الفصل الثاني: الدراسات السابقة والإطار النظري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Toc224661467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9</w:t>
            </w:r>
            <w:r w:rsidRPr="004B46A0">
              <w:rPr>
                <w:rFonts w:ascii="Simplified Arabic" w:hAnsi="Simplified Arabic" w:cs="Simplified Arabic"/>
                <w:noProof/>
                <w:webHidden/>
                <w:sz w:val="28"/>
                <w:szCs w:val="28"/>
                <w:rtl/>
              </w:rPr>
              <w:fldChar w:fldCharType="end"/>
            </w:r>
          </w:hyperlink>
        </w:p>
        <w:p w14:paraId="2811381D" w14:textId="6524A105"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8" w:history="1">
            <w:r w:rsidRPr="004B46A0">
              <w:rPr>
                <w:rStyle w:val="Hyperlink"/>
                <w:rFonts w:ascii="Simplified Arabic" w:hAnsi="Simplified Arabic" w:cs="Simplified Arabic"/>
                <w:b/>
                <w:bCs/>
                <w:noProof/>
                <w:sz w:val="28"/>
                <w:szCs w:val="28"/>
                <w:rtl/>
              </w:rPr>
              <w:t>2.1  مقدمة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Toc224661468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9</w:t>
            </w:r>
            <w:r w:rsidRPr="004B46A0">
              <w:rPr>
                <w:rFonts w:ascii="Simplified Arabic" w:hAnsi="Simplified Arabic" w:cs="Simplified Arabic"/>
                <w:noProof/>
                <w:webHidden/>
                <w:sz w:val="28"/>
                <w:szCs w:val="28"/>
                <w:rtl/>
              </w:rPr>
              <w:fldChar w:fldCharType="end"/>
            </w:r>
          </w:hyperlink>
        </w:p>
        <w:p w14:paraId="37A2862E" w14:textId="0C4E6473"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69" w:history="1">
            <w:r w:rsidRPr="004B46A0">
              <w:rPr>
                <w:rStyle w:val="Hyperlink"/>
                <w:rFonts w:ascii="Simplified Arabic" w:eastAsia="Times New Roman" w:hAnsi="Simplified Arabic" w:cs="Simplified Arabic"/>
                <w:b/>
                <w:bCs/>
                <w:noProof/>
                <w:sz w:val="28"/>
                <w:szCs w:val="28"/>
                <w:rtl/>
              </w:rPr>
              <w:t>2.2  حوكمة الملف الإلكتروني للمريض: المفهوم والأُطر والأبعاد</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Toc224661469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10</w:t>
            </w:r>
            <w:r w:rsidRPr="004B46A0">
              <w:rPr>
                <w:rFonts w:ascii="Simplified Arabic" w:hAnsi="Simplified Arabic" w:cs="Simplified Arabic"/>
                <w:noProof/>
                <w:webHidden/>
                <w:sz w:val="28"/>
                <w:szCs w:val="28"/>
                <w:rtl/>
              </w:rPr>
              <w:fldChar w:fldCharType="end"/>
            </w:r>
          </w:hyperlink>
        </w:p>
        <w:p w14:paraId="71025DC9" w14:textId="0D4F3517"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0" w:history="1">
            <w:r w:rsidRPr="004B46A0">
              <w:rPr>
                <w:rStyle w:val="Hyperlink"/>
                <w:rFonts w:ascii="Simplified Arabic" w:hAnsi="Simplified Arabic" w:cs="Simplified Arabic"/>
                <w:noProof/>
                <w:sz w:val="28"/>
                <w:szCs w:val="28"/>
                <w:rtl/>
              </w:rPr>
              <w:t>2.2.1  مفهوم الملف الإلكتروني للمريض وتطوره المعرفي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Toc224661470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10</w:t>
            </w:r>
            <w:r w:rsidRPr="004B46A0">
              <w:rPr>
                <w:rFonts w:ascii="Simplified Arabic" w:hAnsi="Simplified Arabic" w:cs="Simplified Arabic"/>
                <w:noProof/>
                <w:webHidden/>
                <w:sz w:val="28"/>
                <w:szCs w:val="28"/>
                <w:rtl/>
              </w:rPr>
              <w:fldChar w:fldCharType="end"/>
            </w:r>
          </w:hyperlink>
        </w:p>
        <w:p w14:paraId="02D4E860" w14:textId="4C21FED6"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1" w:history="1">
            <w:r w:rsidRPr="004B46A0">
              <w:rPr>
                <w:rStyle w:val="Hyperlink"/>
                <w:rFonts w:ascii="Simplified Arabic" w:hAnsi="Simplified Arabic" w:cs="Simplified Arabic"/>
                <w:noProof/>
                <w:sz w:val="28"/>
                <w:szCs w:val="28"/>
                <w:rtl/>
              </w:rPr>
              <w:t>2.2.2  الحوكمة بوصفها شرطاً لتحقيق القيمة من الملف الإلكتروني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Toc224661471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12</w:t>
            </w:r>
            <w:r w:rsidRPr="004B46A0">
              <w:rPr>
                <w:rFonts w:ascii="Simplified Arabic" w:hAnsi="Simplified Arabic" w:cs="Simplified Arabic"/>
                <w:noProof/>
                <w:webHidden/>
                <w:sz w:val="28"/>
                <w:szCs w:val="28"/>
                <w:rtl/>
              </w:rPr>
              <w:fldChar w:fldCharType="end"/>
            </w:r>
          </w:hyperlink>
        </w:p>
        <w:p w14:paraId="3CE36432" w14:textId="08FCB6BE"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2" w:history="1">
            <w:r w:rsidRPr="004B46A0">
              <w:rPr>
                <w:rStyle w:val="Hyperlink"/>
                <w:rFonts w:ascii="Simplified Arabic" w:hAnsi="Simplified Arabic" w:cs="Simplified Arabic"/>
                <w:noProof/>
                <w:sz w:val="28"/>
                <w:szCs w:val="28"/>
                <w:rtl/>
              </w:rPr>
              <w:t>2.2.3  الأبعاد الخمسة لحوكمة الملف الإلكتروني للمريض</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Toc224661472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14</w:t>
            </w:r>
            <w:r w:rsidRPr="004B46A0">
              <w:rPr>
                <w:rFonts w:ascii="Simplified Arabic" w:hAnsi="Simplified Arabic" w:cs="Simplified Arabic"/>
                <w:noProof/>
                <w:webHidden/>
                <w:sz w:val="28"/>
                <w:szCs w:val="28"/>
                <w:rtl/>
              </w:rPr>
              <w:fldChar w:fldCharType="end"/>
            </w:r>
          </w:hyperlink>
        </w:p>
        <w:p w14:paraId="7A87AA47" w14:textId="7E8B9782"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3" w:history="1">
            <w:r w:rsidRPr="004B46A0">
              <w:rPr>
                <w:rStyle w:val="Hyperlink"/>
                <w:rFonts w:ascii="Simplified Arabic" w:hAnsi="Simplified Arabic" w:cs="Simplified Arabic"/>
                <w:noProof/>
                <w:sz w:val="28"/>
                <w:szCs w:val="28"/>
                <w:rtl/>
              </w:rPr>
              <w:t>2.2.4  دور حوكمة الملف الإلكتروني في المنظومة التأمينية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Toc224661473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17</w:t>
            </w:r>
            <w:r w:rsidRPr="004B46A0">
              <w:rPr>
                <w:rFonts w:ascii="Simplified Arabic" w:hAnsi="Simplified Arabic" w:cs="Simplified Arabic"/>
                <w:noProof/>
                <w:webHidden/>
                <w:sz w:val="28"/>
                <w:szCs w:val="28"/>
                <w:rtl/>
              </w:rPr>
              <w:fldChar w:fldCharType="end"/>
            </w:r>
          </w:hyperlink>
        </w:p>
        <w:p w14:paraId="419C6E03" w14:textId="5999FEA4"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4" w:history="1">
            <w:r w:rsidRPr="004B46A0">
              <w:rPr>
                <w:rStyle w:val="Hyperlink"/>
                <w:rFonts w:ascii="Simplified Arabic" w:hAnsi="Simplified Arabic" w:cs="Simplified Arabic"/>
                <w:noProof/>
                <w:sz w:val="28"/>
                <w:szCs w:val="28"/>
                <w:rtl/>
              </w:rPr>
              <w:t>2.2.5  حوكمة الملف الإلكتروني في سياق التحول الرقمي الصحي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Toc224661474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19</w:t>
            </w:r>
            <w:r w:rsidRPr="004B46A0">
              <w:rPr>
                <w:rFonts w:ascii="Simplified Arabic" w:hAnsi="Simplified Arabic" w:cs="Simplified Arabic"/>
                <w:noProof/>
                <w:webHidden/>
                <w:sz w:val="28"/>
                <w:szCs w:val="28"/>
                <w:rtl/>
              </w:rPr>
              <w:fldChar w:fldCharType="end"/>
            </w:r>
          </w:hyperlink>
        </w:p>
        <w:p w14:paraId="29354B9F" w14:textId="16CCCDF2"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75" w:history="1">
            <w:r w:rsidRPr="004B46A0">
              <w:rPr>
                <w:rStyle w:val="Hyperlink"/>
                <w:rFonts w:ascii="Simplified Arabic" w:eastAsia="Times New Roman" w:hAnsi="Simplified Arabic" w:cs="Simplified Arabic"/>
                <w:b/>
                <w:bCs/>
                <w:noProof/>
                <w:sz w:val="28"/>
                <w:szCs w:val="28"/>
                <w:rtl/>
              </w:rPr>
              <w:t>2.3  الأداء والفاعلية المؤسسية في شركات التأمين الصحي: المفهوم والمؤشرات</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Toc224661475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20</w:t>
            </w:r>
            <w:r w:rsidRPr="004B46A0">
              <w:rPr>
                <w:rFonts w:ascii="Simplified Arabic" w:hAnsi="Simplified Arabic" w:cs="Simplified Arabic"/>
                <w:noProof/>
                <w:webHidden/>
                <w:sz w:val="28"/>
                <w:szCs w:val="28"/>
                <w:rtl/>
              </w:rPr>
              <w:fldChar w:fldCharType="end"/>
            </w:r>
          </w:hyperlink>
        </w:p>
        <w:p w14:paraId="7CA2E721" w14:textId="4E705598"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6" w:history="1">
            <w:r w:rsidRPr="004B46A0">
              <w:rPr>
                <w:rStyle w:val="Hyperlink"/>
                <w:rFonts w:ascii="Simplified Arabic" w:hAnsi="Simplified Arabic" w:cs="Simplified Arabic"/>
                <w:noProof/>
                <w:sz w:val="28"/>
                <w:szCs w:val="28"/>
                <w:rtl/>
              </w:rPr>
              <w:t>2.3.1  مفهوم الأداء والفاعلية المؤسسية: التأصيل النظري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Toc224661476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20</w:t>
            </w:r>
            <w:r w:rsidRPr="004B46A0">
              <w:rPr>
                <w:rFonts w:ascii="Simplified Arabic" w:hAnsi="Simplified Arabic" w:cs="Simplified Arabic"/>
                <w:noProof/>
                <w:webHidden/>
                <w:sz w:val="28"/>
                <w:szCs w:val="28"/>
                <w:rtl/>
              </w:rPr>
              <w:fldChar w:fldCharType="end"/>
            </w:r>
          </w:hyperlink>
        </w:p>
        <w:p w14:paraId="1089CB10" w14:textId="30E2EABC"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7" w:history="1">
            <w:r w:rsidRPr="004B46A0">
              <w:rPr>
                <w:rStyle w:val="Hyperlink"/>
                <w:rFonts w:ascii="Simplified Arabic" w:hAnsi="Simplified Arabic" w:cs="Simplified Arabic"/>
                <w:noProof/>
                <w:sz w:val="28"/>
                <w:szCs w:val="28"/>
                <w:rtl/>
              </w:rPr>
              <w:t>2.3.2  مؤشرات الأداء الرئيسية في شركات التأمين الصحي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Toc224661477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22</w:t>
            </w:r>
            <w:r w:rsidRPr="004B46A0">
              <w:rPr>
                <w:rFonts w:ascii="Simplified Arabic" w:hAnsi="Simplified Arabic" w:cs="Simplified Arabic"/>
                <w:noProof/>
                <w:webHidden/>
                <w:sz w:val="28"/>
                <w:szCs w:val="28"/>
                <w:rtl/>
              </w:rPr>
              <w:fldChar w:fldCharType="end"/>
            </w:r>
          </w:hyperlink>
        </w:p>
        <w:p w14:paraId="113FD1D9" w14:textId="0CDD6E81"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8" w:history="1">
            <w:r w:rsidRPr="004B46A0">
              <w:rPr>
                <w:rStyle w:val="Hyperlink"/>
                <w:rFonts w:ascii="Simplified Arabic" w:hAnsi="Simplified Arabic" w:cs="Simplified Arabic"/>
                <w:noProof/>
                <w:sz w:val="28"/>
                <w:szCs w:val="28"/>
                <w:rtl/>
              </w:rPr>
              <w:t>2.3.3  جودة الخدمة وفاعلية القرار: أبعاد نوعية للأداء التأميني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Toc224661478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23</w:t>
            </w:r>
            <w:r w:rsidRPr="004B46A0">
              <w:rPr>
                <w:rFonts w:ascii="Simplified Arabic" w:hAnsi="Simplified Arabic" w:cs="Simplified Arabic"/>
                <w:noProof/>
                <w:webHidden/>
                <w:sz w:val="28"/>
                <w:szCs w:val="28"/>
                <w:rtl/>
              </w:rPr>
              <w:fldChar w:fldCharType="end"/>
            </w:r>
          </w:hyperlink>
        </w:p>
        <w:p w14:paraId="58622BAD" w14:textId="5F0C299C"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79" w:history="1">
            <w:r w:rsidRPr="004B46A0">
              <w:rPr>
                <w:rStyle w:val="Hyperlink"/>
                <w:rFonts w:ascii="Simplified Arabic" w:hAnsi="Simplified Arabic" w:cs="Simplified Arabic"/>
                <w:noProof/>
                <w:sz w:val="28"/>
                <w:szCs w:val="28"/>
                <w:rtl/>
              </w:rPr>
              <w:t>2.3.4  كفاءة التكاليف ورضا المستفيدين: أثران متشابكان</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Toc224661479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24</w:t>
            </w:r>
            <w:r w:rsidRPr="004B46A0">
              <w:rPr>
                <w:rFonts w:ascii="Simplified Arabic" w:hAnsi="Simplified Arabic" w:cs="Simplified Arabic"/>
                <w:noProof/>
                <w:webHidden/>
                <w:sz w:val="28"/>
                <w:szCs w:val="28"/>
                <w:rtl/>
              </w:rPr>
              <w:fldChar w:fldCharType="end"/>
            </w:r>
          </w:hyperlink>
        </w:p>
        <w:p w14:paraId="49326E61" w14:textId="0B9C8069"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80" w:history="1">
            <w:r w:rsidRPr="004B46A0">
              <w:rPr>
                <w:rStyle w:val="Hyperlink"/>
                <w:rFonts w:ascii="Simplified Arabic" w:hAnsi="Simplified Arabic" w:cs="Simplified Arabic"/>
                <w:noProof/>
                <w:sz w:val="28"/>
                <w:szCs w:val="28"/>
                <w:rtl/>
              </w:rPr>
              <w:t>2.3.5  ربط المتغير التابع بالمتغير المستقل: منطق العلاقة السببية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Toc224661480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26</w:t>
            </w:r>
            <w:r w:rsidRPr="004B46A0">
              <w:rPr>
                <w:rFonts w:ascii="Simplified Arabic" w:hAnsi="Simplified Arabic" w:cs="Simplified Arabic"/>
                <w:noProof/>
                <w:webHidden/>
                <w:sz w:val="28"/>
                <w:szCs w:val="28"/>
                <w:rtl/>
              </w:rPr>
              <w:fldChar w:fldCharType="end"/>
            </w:r>
          </w:hyperlink>
        </w:p>
        <w:p w14:paraId="2EC1539C" w14:textId="5462034C"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1" w:history="1">
            <w:r w:rsidRPr="004B46A0">
              <w:rPr>
                <w:rStyle w:val="Hyperlink"/>
                <w:rFonts w:ascii="Simplified Arabic" w:eastAsia="Times New Roman" w:hAnsi="Simplified Arabic" w:cs="Simplified Arabic"/>
                <w:b/>
                <w:bCs/>
                <w:noProof/>
                <w:sz w:val="28"/>
                <w:szCs w:val="28"/>
                <w:rtl/>
              </w:rPr>
              <w:t>2.4  الدراسات السابقة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Toc224661481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27</w:t>
            </w:r>
            <w:r w:rsidRPr="004B46A0">
              <w:rPr>
                <w:rFonts w:ascii="Simplified Arabic" w:hAnsi="Simplified Arabic" w:cs="Simplified Arabic"/>
                <w:noProof/>
                <w:webHidden/>
                <w:sz w:val="28"/>
                <w:szCs w:val="28"/>
                <w:rtl/>
              </w:rPr>
              <w:fldChar w:fldCharType="end"/>
            </w:r>
          </w:hyperlink>
        </w:p>
        <w:p w14:paraId="49B14F61" w14:textId="6636D0AC"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82" w:history="1">
            <w:r w:rsidRPr="004B46A0">
              <w:rPr>
                <w:rStyle w:val="Hyperlink"/>
                <w:rFonts w:ascii="Simplified Arabic" w:hAnsi="Simplified Arabic" w:cs="Simplified Arabic"/>
                <w:noProof/>
                <w:sz w:val="28"/>
                <w:szCs w:val="28"/>
                <w:rtl/>
              </w:rPr>
              <w:t>1.4.2  المناقشة النقدية المقارنة والفجوة البحثية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Toc224661482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29</w:t>
            </w:r>
            <w:r w:rsidRPr="004B46A0">
              <w:rPr>
                <w:rFonts w:ascii="Simplified Arabic" w:hAnsi="Simplified Arabic" w:cs="Simplified Arabic"/>
                <w:noProof/>
                <w:webHidden/>
                <w:sz w:val="28"/>
                <w:szCs w:val="28"/>
                <w:rtl/>
              </w:rPr>
              <w:fldChar w:fldCharType="end"/>
            </w:r>
          </w:hyperlink>
        </w:p>
        <w:p w14:paraId="323F0F8F" w14:textId="1E749B11" w:rsidR="004B46A0" w:rsidRPr="004B46A0" w:rsidRDefault="004B46A0">
          <w:pPr>
            <w:pStyle w:val="TOC2"/>
            <w:tabs>
              <w:tab w:val="right" w:leader="dot" w:pos="9061"/>
            </w:tabs>
            <w:rPr>
              <w:rFonts w:ascii="Simplified Arabic" w:eastAsiaTheme="minorEastAsia" w:hAnsi="Simplified Arabic" w:cs="Simplified Arabic"/>
              <w:noProof/>
              <w:sz w:val="28"/>
              <w:szCs w:val="28"/>
              <w:rtl/>
            </w:rPr>
          </w:pPr>
          <w:hyperlink w:anchor="_Toc224661483" w:history="1">
            <w:r w:rsidRPr="004B46A0">
              <w:rPr>
                <w:rStyle w:val="Hyperlink"/>
                <w:rFonts w:ascii="Simplified Arabic" w:hAnsi="Simplified Arabic" w:cs="Simplified Arabic"/>
                <w:noProof/>
                <w:sz w:val="28"/>
                <w:szCs w:val="28"/>
              </w:rPr>
              <w:t xml:space="preserve">2.4.3 </w:t>
            </w:r>
            <w:r w:rsidRPr="004B46A0">
              <w:rPr>
                <w:rStyle w:val="Hyperlink"/>
                <w:rFonts w:ascii="Simplified Arabic" w:hAnsi="Simplified Arabic" w:cs="Simplified Arabic"/>
                <w:noProof/>
                <w:sz w:val="28"/>
                <w:szCs w:val="28"/>
                <w:rtl/>
              </w:rPr>
              <w:t>موقع الدراسة الحالية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Toc224661483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31</w:t>
            </w:r>
            <w:r w:rsidRPr="004B46A0">
              <w:rPr>
                <w:rFonts w:ascii="Simplified Arabic" w:hAnsi="Simplified Arabic" w:cs="Simplified Arabic"/>
                <w:noProof/>
                <w:webHidden/>
                <w:sz w:val="28"/>
                <w:szCs w:val="28"/>
                <w:rtl/>
              </w:rPr>
              <w:fldChar w:fldCharType="end"/>
            </w:r>
          </w:hyperlink>
        </w:p>
        <w:p w14:paraId="3844BA31" w14:textId="587F28E8"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4" w:history="1">
            <w:r w:rsidRPr="004B46A0">
              <w:rPr>
                <w:rStyle w:val="Hyperlink"/>
                <w:rFonts w:ascii="Simplified Arabic" w:eastAsia="Times New Roman" w:hAnsi="Simplified Arabic" w:cs="Simplified Arabic"/>
                <w:b/>
                <w:bCs/>
                <w:noProof/>
                <w:sz w:val="28"/>
                <w:szCs w:val="28"/>
                <w:rtl/>
              </w:rPr>
              <w:t>2.5  خلاصة الفصل الثاني</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Toc224661484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32</w:t>
            </w:r>
            <w:r w:rsidRPr="004B46A0">
              <w:rPr>
                <w:rFonts w:ascii="Simplified Arabic" w:hAnsi="Simplified Arabic" w:cs="Simplified Arabic"/>
                <w:noProof/>
                <w:webHidden/>
                <w:sz w:val="28"/>
                <w:szCs w:val="28"/>
                <w:rtl/>
              </w:rPr>
              <w:fldChar w:fldCharType="end"/>
            </w:r>
          </w:hyperlink>
        </w:p>
        <w:p w14:paraId="3FA7AA17" w14:textId="43EDA561"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5" w:history="1">
            <w:r w:rsidRPr="004B46A0">
              <w:rPr>
                <w:rStyle w:val="Hyperlink"/>
                <w:rFonts w:ascii="Simplified Arabic" w:hAnsi="Simplified Arabic" w:cs="Simplified Arabic"/>
                <w:b/>
                <w:bCs/>
                <w:noProof/>
                <w:sz w:val="28"/>
                <w:szCs w:val="28"/>
                <w:rtl/>
              </w:rPr>
              <w:t>الفصل الثالث: منهجية الدراسة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Toc224661485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33</w:t>
            </w:r>
            <w:r w:rsidRPr="004B46A0">
              <w:rPr>
                <w:rFonts w:ascii="Simplified Arabic" w:hAnsi="Simplified Arabic" w:cs="Simplified Arabic"/>
                <w:noProof/>
                <w:webHidden/>
                <w:sz w:val="28"/>
                <w:szCs w:val="28"/>
                <w:rtl/>
              </w:rPr>
              <w:fldChar w:fldCharType="end"/>
            </w:r>
          </w:hyperlink>
        </w:p>
        <w:p w14:paraId="1E35085A" w14:textId="66D4A3AE"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6" w:history="1">
            <w:r w:rsidRPr="004B46A0">
              <w:rPr>
                <w:rStyle w:val="Hyperlink"/>
                <w:rFonts w:ascii="Simplified Arabic" w:hAnsi="Simplified Arabic" w:cs="Simplified Arabic"/>
                <w:b/>
                <w:bCs/>
                <w:noProof/>
                <w:sz w:val="28"/>
                <w:szCs w:val="28"/>
              </w:rPr>
              <w:t xml:space="preserve">3.1 </w:t>
            </w:r>
            <w:r w:rsidRPr="004B46A0">
              <w:rPr>
                <w:rStyle w:val="Hyperlink"/>
                <w:rFonts w:ascii="Simplified Arabic" w:hAnsi="Simplified Arabic" w:cs="Simplified Arabic"/>
                <w:b/>
                <w:bCs/>
                <w:noProof/>
                <w:sz w:val="28"/>
                <w:szCs w:val="28"/>
                <w:rtl/>
              </w:rPr>
              <w:t>مقدمة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Toc224661486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33</w:t>
            </w:r>
            <w:r w:rsidRPr="004B46A0">
              <w:rPr>
                <w:rFonts w:ascii="Simplified Arabic" w:hAnsi="Simplified Arabic" w:cs="Simplified Arabic"/>
                <w:noProof/>
                <w:webHidden/>
                <w:sz w:val="28"/>
                <w:szCs w:val="28"/>
                <w:rtl/>
              </w:rPr>
              <w:fldChar w:fldCharType="end"/>
            </w:r>
          </w:hyperlink>
        </w:p>
        <w:p w14:paraId="738E2FEC" w14:textId="1704C8E1"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7" w:history="1">
            <w:r w:rsidRPr="004B46A0">
              <w:rPr>
                <w:rStyle w:val="Hyperlink"/>
                <w:rFonts w:ascii="Simplified Arabic" w:hAnsi="Simplified Arabic" w:cs="Simplified Arabic"/>
                <w:b/>
                <w:bCs/>
                <w:noProof/>
                <w:sz w:val="28"/>
                <w:szCs w:val="28"/>
              </w:rPr>
              <w:t>3.2</w:t>
            </w:r>
            <w:r w:rsidRPr="004B46A0">
              <w:rPr>
                <w:rStyle w:val="Hyperlink"/>
                <w:rFonts w:ascii="Simplified Arabic" w:hAnsi="Simplified Arabic" w:cs="Simplified Arabic"/>
                <w:b/>
                <w:bCs/>
                <w:noProof/>
                <w:sz w:val="28"/>
                <w:szCs w:val="28"/>
                <w:rtl/>
              </w:rPr>
              <w:t>المنهجية وطرق البحث</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Toc224661487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33</w:t>
            </w:r>
            <w:r w:rsidRPr="004B46A0">
              <w:rPr>
                <w:rFonts w:ascii="Simplified Arabic" w:hAnsi="Simplified Arabic" w:cs="Simplified Arabic"/>
                <w:noProof/>
                <w:webHidden/>
                <w:sz w:val="28"/>
                <w:szCs w:val="28"/>
                <w:rtl/>
              </w:rPr>
              <w:fldChar w:fldCharType="end"/>
            </w:r>
          </w:hyperlink>
        </w:p>
        <w:p w14:paraId="30D158A9" w14:textId="31CCB030"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8" w:history="1">
            <w:r w:rsidRPr="004B46A0">
              <w:rPr>
                <w:rStyle w:val="Hyperlink"/>
                <w:rFonts w:ascii="Simplified Arabic" w:hAnsi="Simplified Arabic" w:cs="Simplified Arabic"/>
                <w:b/>
                <w:bCs/>
                <w:noProof/>
                <w:sz w:val="28"/>
                <w:szCs w:val="28"/>
              </w:rPr>
              <w:t>3.3</w:t>
            </w:r>
            <w:r w:rsidRPr="004B46A0">
              <w:rPr>
                <w:rStyle w:val="Hyperlink"/>
                <w:rFonts w:ascii="Simplified Arabic" w:hAnsi="Simplified Arabic" w:cs="Simplified Arabic"/>
                <w:b/>
                <w:bCs/>
                <w:noProof/>
                <w:sz w:val="28"/>
                <w:szCs w:val="28"/>
                <w:rtl/>
              </w:rPr>
              <w:t>مجتمع البحث</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Toc224661488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36</w:t>
            </w:r>
            <w:r w:rsidRPr="004B46A0">
              <w:rPr>
                <w:rFonts w:ascii="Simplified Arabic" w:hAnsi="Simplified Arabic" w:cs="Simplified Arabic"/>
                <w:noProof/>
                <w:webHidden/>
                <w:sz w:val="28"/>
                <w:szCs w:val="28"/>
                <w:rtl/>
              </w:rPr>
              <w:fldChar w:fldCharType="end"/>
            </w:r>
          </w:hyperlink>
        </w:p>
        <w:p w14:paraId="6A4322D5" w14:textId="70743DCF"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89" w:history="1">
            <w:r w:rsidRPr="004B46A0">
              <w:rPr>
                <w:rStyle w:val="Hyperlink"/>
                <w:rFonts w:ascii="Simplified Arabic" w:hAnsi="Simplified Arabic" w:cs="Simplified Arabic"/>
                <w:b/>
                <w:bCs/>
                <w:noProof/>
                <w:sz w:val="28"/>
                <w:szCs w:val="28"/>
              </w:rPr>
              <w:t>3.4</w:t>
            </w:r>
            <w:r w:rsidRPr="004B46A0">
              <w:rPr>
                <w:rStyle w:val="Hyperlink"/>
                <w:rFonts w:ascii="Simplified Arabic" w:hAnsi="Simplified Arabic" w:cs="Simplified Arabic"/>
                <w:b/>
                <w:bCs/>
                <w:noProof/>
                <w:sz w:val="28"/>
                <w:szCs w:val="28"/>
                <w:rtl/>
              </w:rPr>
              <w:t>حدود البحث</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Toc224661489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38</w:t>
            </w:r>
            <w:r w:rsidRPr="004B46A0">
              <w:rPr>
                <w:rFonts w:ascii="Simplified Arabic" w:hAnsi="Simplified Arabic" w:cs="Simplified Arabic"/>
                <w:noProof/>
                <w:webHidden/>
                <w:sz w:val="28"/>
                <w:szCs w:val="28"/>
                <w:rtl/>
              </w:rPr>
              <w:fldChar w:fldCharType="end"/>
            </w:r>
          </w:hyperlink>
        </w:p>
        <w:p w14:paraId="2C9C449C" w14:textId="22643452"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0" w:history="1">
            <w:r w:rsidRPr="004B46A0">
              <w:rPr>
                <w:rStyle w:val="Hyperlink"/>
                <w:rFonts w:ascii="Simplified Arabic" w:hAnsi="Simplified Arabic" w:cs="Simplified Arabic"/>
                <w:b/>
                <w:bCs/>
                <w:noProof/>
                <w:sz w:val="28"/>
                <w:szCs w:val="28"/>
              </w:rPr>
              <w:t xml:space="preserve">3.5 </w:t>
            </w:r>
            <w:r w:rsidRPr="004B46A0">
              <w:rPr>
                <w:rStyle w:val="Hyperlink"/>
                <w:rFonts w:ascii="Simplified Arabic" w:hAnsi="Simplified Arabic" w:cs="Simplified Arabic"/>
                <w:b/>
                <w:bCs/>
                <w:noProof/>
                <w:sz w:val="28"/>
                <w:szCs w:val="28"/>
                <w:rtl/>
              </w:rPr>
              <w:t>خلاصة الفصل</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Toc224661490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38</w:t>
            </w:r>
            <w:r w:rsidRPr="004B46A0">
              <w:rPr>
                <w:rFonts w:ascii="Simplified Arabic" w:hAnsi="Simplified Arabic" w:cs="Simplified Arabic"/>
                <w:noProof/>
                <w:webHidden/>
                <w:sz w:val="28"/>
                <w:szCs w:val="28"/>
                <w:rtl/>
              </w:rPr>
              <w:fldChar w:fldCharType="end"/>
            </w:r>
          </w:hyperlink>
        </w:p>
        <w:p w14:paraId="0200D87C" w14:textId="746CE9F6"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1" w:history="1">
            <w:r w:rsidRPr="004B46A0">
              <w:rPr>
                <w:rStyle w:val="Hyperlink"/>
                <w:rFonts w:ascii="Simplified Arabic" w:hAnsi="Simplified Arabic" w:cs="Simplified Arabic"/>
                <w:b/>
                <w:bCs/>
                <w:noProof/>
                <w:sz w:val="28"/>
                <w:szCs w:val="28"/>
                <w:rtl/>
              </w:rPr>
              <w:t xml:space="preserve">الفصل الرابع: </w:t>
            </w:r>
            <w:r w:rsidRPr="004B46A0">
              <w:rPr>
                <w:rStyle w:val="Hyperlink"/>
                <w:rFonts w:ascii="Simplified Arabic" w:hAnsi="Simplified Arabic" w:cs="Simplified Arabic"/>
                <w:b/>
                <w:bCs/>
                <w:noProof/>
                <w:sz w:val="28"/>
                <w:szCs w:val="28"/>
                <w:rtl/>
                <w:lang w:bidi="ar-EG"/>
              </w:rPr>
              <w:t>النتائج والتوصيات</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Toc224661491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40</w:t>
            </w:r>
            <w:r w:rsidRPr="004B46A0">
              <w:rPr>
                <w:rFonts w:ascii="Simplified Arabic" w:hAnsi="Simplified Arabic" w:cs="Simplified Arabic"/>
                <w:noProof/>
                <w:webHidden/>
                <w:sz w:val="28"/>
                <w:szCs w:val="28"/>
                <w:rtl/>
              </w:rPr>
              <w:fldChar w:fldCharType="end"/>
            </w:r>
          </w:hyperlink>
        </w:p>
        <w:p w14:paraId="757DCF48" w14:textId="096E059F"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2" w:history="1">
            <w:r w:rsidRPr="004B46A0">
              <w:rPr>
                <w:rStyle w:val="Hyperlink"/>
                <w:rFonts w:ascii="Simplified Arabic" w:hAnsi="Simplified Arabic" w:cs="Simplified Arabic"/>
                <w:b/>
                <w:bCs/>
                <w:noProof/>
                <w:sz w:val="28"/>
                <w:szCs w:val="28"/>
              </w:rPr>
              <w:t>4.1</w:t>
            </w:r>
            <w:r w:rsidRPr="004B46A0">
              <w:rPr>
                <w:rStyle w:val="Hyperlink"/>
                <w:rFonts w:ascii="Simplified Arabic" w:hAnsi="Simplified Arabic" w:cs="Simplified Arabic"/>
                <w:b/>
                <w:bCs/>
                <w:noProof/>
                <w:sz w:val="28"/>
                <w:szCs w:val="28"/>
                <w:rtl/>
              </w:rPr>
              <w:t>مقدمة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Toc224661492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40</w:t>
            </w:r>
            <w:r w:rsidRPr="004B46A0">
              <w:rPr>
                <w:rFonts w:ascii="Simplified Arabic" w:hAnsi="Simplified Arabic" w:cs="Simplified Arabic"/>
                <w:noProof/>
                <w:webHidden/>
                <w:sz w:val="28"/>
                <w:szCs w:val="28"/>
                <w:rtl/>
              </w:rPr>
              <w:fldChar w:fldCharType="end"/>
            </w:r>
          </w:hyperlink>
        </w:p>
        <w:p w14:paraId="7685ECE0" w14:textId="3E4A1B69"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3" w:history="1">
            <w:r w:rsidRPr="004B46A0">
              <w:rPr>
                <w:rStyle w:val="Hyperlink"/>
                <w:rFonts w:ascii="Simplified Arabic" w:hAnsi="Simplified Arabic" w:cs="Simplified Arabic"/>
                <w:b/>
                <w:bCs/>
                <w:noProof/>
                <w:sz w:val="28"/>
                <w:szCs w:val="28"/>
              </w:rPr>
              <w:t>4.2</w:t>
            </w:r>
            <w:r w:rsidRPr="004B46A0">
              <w:rPr>
                <w:rStyle w:val="Hyperlink"/>
                <w:rFonts w:ascii="Simplified Arabic" w:hAnsi="Simplified Arabic" w:cs="Simplified Arabic"/>
                <w:b/>
                <w:bCs/>
                <w:noProof/>
                <w:sz w:val="28"/>
                <w:szCs w:val="28"/>
                <w:rtl/>
              </w:rPr>
              <w:t>تحليل البيانات</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Toc224661493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40</w:t>
            </w:r>
            <w:r w:rsidRPr="004B46A0">
              <w:rPr>
                <w:rFonts w:ascii="Simplified Arabic" w:hAnsi="Simplified Arabic" w:cs="Simplified Arabic"/>
                <w:noProof/>
                <w:webHidden/>
                <w:sz w:val="28"/>
                <w:szCs w:val="28"/>
                <w:rtl/>
              </w:rPr>
              <w:fldChar w:fldCharType="end"/>
            </w:r>
          </w:hyperlink>
        </w:p>
        <w:p w14:paraId="0ADD378D" w14:textId="775AB77F"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4" w:history="1">
            <w:r w:rsidRPr="004B46A0">
              <w:rPr>
                <w:rStyle w:val="Hyperlink"/>
                <w:rFonts w:ascii="Simplified Arabic" w:hAnsi="Simplified Arabic" w:cs="Simplified Arabic"/>
                <w:b/>
                <w:bCs/>
                <w:noProof/>
                <w:sz w:val="28"/>
                <w:szCs w:val="28"/>
              </w:rPr>
              <w:t>4.3</w:t>
            </w:r>
            <w:r w:rsidRPr="004B46A0">
              <w:rPr>
                <w:rStyle w:val="Hyperlink"/>
                <w:rFonts w:ascii="Simplified Arabic" w:hAnsi="Simplified Arabic" w:cs="Simplified Arabic"/>
                <w:b/>
                <w:bCs/>
                <w:noProof/>
                <w:sz w:val="28"/>
                <w:szCs w:val="28"/>
                <w:rtl/>
              </w:rPr>
              <w:t>النتائج</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Toc224661494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45</w:t>
            </w:r>
            <w:r w:rsidRPr="004B46A0">
              <w:rPr>
                <w:rFonts w:ascii="Simplified Arabic" w:hAnsi="Simplified Arabic" w:cs="Simplified Arabic"/>
                <w:noProof/>
                <w:webHidden/>
                <w:sz w:val="28"/>
                <w:szCs w:val="28"/>
                <w:rtl/>
              </w:rPr>
              <w:fldChar w:fldCharType="end"/>
            </w:r>
          </w:hyperlink>
        </w:p>
        <w:p w14:paraId="63A8DE88" w14:textId="70D10073"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5" w:history="1">
            <w:r w:rsidRPr="004B46A0">
              <w:rPr>
                <w:rStyle w:val="Hyperlink"/>
                <w:rFonts w:ascii="Simplified Arabic" w:hAnsi="Simplified Arabic" w:cs="Simplified Arabic"/>
                <w:b/>
                <w:bCs/>
                <w:noProof/>
                <w:sz w:val="28"/>
                <w:szCs w:val="28"/>
                <w:rtl/>
                <w:lang w:bidi="ar-EG"/>
              </w:rPr>
              <w:t>4.4 مناقشة النتائج</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Toc224661495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48</w:t>
            </w:r>
            <w:r w:rsidRPr="004B46A0">
              <w:rPr>
                <w:rFonts w:ascii="Simplified Arabic" w:hAnsi="Simplified Arabic" w:cs="Simplified Arabic"/>
                <w:noProof/>
                <w:webHidden/>
                <w:sz w:val="28"/>
                <w:szCs w:val="28"/>
                <w:rtl/>
              </w:rPr>
              <w:fldChar w:fldCharType="end"/>
            </w:r>
          </w:hyperlink>
        </w:p>
        <w:p w14:paraId="606DFE17" w14:textId="4FB60436"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6" w:history="1">
            <w:r w:rsidRPr="004B46A0">
              <w:rPr>
                <w:rStyle w:val="Hyperlink"/>
                <w:rFonts w:ascii="Simplified Arabic" w:hAnsi="Simplified Arabic" w:cs="Simplified Arabic"/>
                <w:b/>
                <w:bCs/>
                <w:noProof/>
                <w:sz w:val="28"/>
                <w:szCs w:val="28"/>
                <w:rtl/>
              </w:rPr>
              <w:t>4.5 التوصيات</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Toc224661496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52</w:t>
            </w:r>
            <w:r w:rsidRPr="004B46A0">
              <w:rPr>
                <w:rFonts w:ascii="Simplified Arabic" w:hAnsi="Simplified Arabic" w:cs="Simplified Arabic"/>
                <w:noProof/>
                <w:webHidden/>
                <w:sz w:val="28"/>
                <w:szCs w:val="28"/>
                <w:rtl/>
              </w:rPr>
              <w:fldChar w:fldCharType="end"/>
            </w:r>
          </w:hyperlink>
        </w:p>
        <w:p w14:paraId="76B9ADC4" w14:textId="002C2D61"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7" w:history="1">
            <w:r w:rsidRPr="004B46A0">
              <w:rPr>
                <w:rStyle w:val="Hyperlink"/>
                <w:rFonts w:ascii="Simplified Arabic" w:hAnsi="Simplified Arabic" w:cs="Simplified Arabic"/>
                <w:b/>
                <w:bCs/>
                <w:noProof/>
                <w:sz w:val="28"/>
                <w:szCs w:val="28"/>
                <w:rtl/>
              </w:rPr>
              <w:t>المراجع</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Toc224661497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54</w:t>
            </w:r>
            <w:r w:rsidRPr="004B46A0">
              <w:rPr>
                <w:rFonts w:ascii="Simplified Arabic" w:hAnsi="Simplified Arabic" w:cs="Simplified Arabic"/>
                <w:noProof/>
                <w:webHidden/>
                <w:sz w:val="28"/>
                <w:szCs w:val="28"/>
                <w:rtl/>
              </w:rPr>
              <w:fldChar w:fldCharType="end"/>
            </w:r>
          </w:hyperlink>
        </w:p>
        <w:p w14:paraId="4C4C2A3E" w14:textId="50CC4B70"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8" w:history="1">
            <w:r w:rsidRPr="004B46A0">
              <w:rPr>
                <w:rStyle w:val="Hyperlink"/>
                <w:rFonts w:ascii="Simplified Arabic" w:hAnsi="Simplified Arabic" w:cs="Simplified Arabic"/>
                <w:b/>
                <w:bCs/>
                <w:noProof/>
                <w:sz w:val="28"/>
                <w:szCs w:val="28"/>
                <w:rtl/>
              </w:rPr>
              <w:t>المراجع العربية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Toc224661498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54</w:t>
            </w:r>
            <w:r w:rsidRPr="004B46A0">
              <w:rPr>
                <w:rFonts w:ascii="Simplified Arabic" w:hAnsi="Simplified Arabic" w:cs="Simplified Arabic"/>
                <w:noProof/>
                <w:webHidden/>
                <w:sz w:val="28"/>
                <w:szCs w:val="28"/>
                <w:rtl/>
              </w:rPr>
              <w:fldChar w:fldCharType="end"/>
            </w:r>
          </w:hyperlink>
        </w:p>
        <w:p w14:paraId="20FD780C" w14:textId="16FB4415"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499" w:history="1">
            <w:r w:rsidRPr="004B46A0">
              <w:rPr>
                <w:rStyle w:val="Hyperlink"/>
                <w:rFonts w:ascii="Simplified Arabic" w:hAnsi="Simplified Arabic" w:cs="Simplified Arabic"/>
                <w:b/>
                <w:bCs/>
                <w:noProof/>
                <w:sz w:val="28"/>
                <w:szCs w:val="28"/>
                <w:rtl/>
              </w:rPr>
              <w:t>المراجع الأجنبية</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Toc224661499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54</w:t>
            </w:r>
            <w:r w:rsidRPr="004B46A0">
              <w:rPr>
                <w:rFonts w:ascii="Simplified Arabic" w:hAnsi="Simplified Arabic" w:cs="Simplified Arabic"/>
                <w:noProof/>
                <w:webHidden/>
                <w:sz w:val="28"/>
                <w:szCs w:val="28"/>
                <w:rtl/>
              </w:rPr>
              <w:fldChar w:fldCharType="end"/>
            </w:r>
          </w:hyperlink>
        </w:p>
        <w:p w14:paraId="36F330F0" w14:textId="16B5463F"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500" w:history="1">
            <w:r w:rsidRPr="004B46A0">
              <w:rPr>
                <w:rStyle w:val="Hyperlink"/>
                <w:rFonts w:ascii="Simplified Arabic" w:eastAsia="Times New Roman" w:hAnsi="Simplified Arabic" w:cs="Simplified Arabic"/>
                <w:b/>
                <w:bCs/>
                <w:noProof/>
                <w:sz w:val="28"/>
                <w:szCs w:val="28"/>
              </w:rPr>
              <w:t>Abstract</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Toc224661500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57</w:t>
            </w:r>
            <w:r w:rsidRPr="004B46A0">
              <w:rPr>
                <w:rFonts w:ascii="Simplified Arabic" w:hAnsi="Simplified Arabic" w:cs="Simplified Arabic"/>
                <w:noProof/>
                <w:webHidden/>
                <w:sz w:val="28"/>
                <w:szCs w:val="28"/>
                <w:rtl/>
              </w:rPr>
              <w:fldChar w:fldCharType="end"/>
            </w:r>
          </w:hyperlink>
        </w:p>
        <w:p w14:paraId="2AA93317" w14:textId="1E09F0C3" w:rsidR="004B46A0" w:rsidRPr="004B46A0" w:rsidRDefault="004B46A0">
          <w:pPr>
            <w:pStyle w:val="TOC1"/>
            <w:tabs>
              <w:tab w:val="right" w:leader="dot" w:pos="9061"/>
            </w:tabs>
            <w:rPr>
              <w:rFonts w:ascii="Simplified Arabic" w:eastAsiaTheme="minorEastAsia" w:hAnsi="Simplified Arabic" w:cs="Simplified Arabic"/>
              <w:noProof/>
              <w:sz w:val="28"/>
              <w:szCs w:val="28"/>
              <w:rtl/>
            </w:rPr>
          </w:pPr>
          <w:hyperlink w:anchor="_Toc224661501" w:history="1">
            <w:r w:rsidRPr="004B46A0">
              <w:rPr>
                <w:rStyle w:val="Hyperlink"/>
                <w:rFonts w:ascii="Simplified Arabic" w:hAnsi="Simplified Arabic" w:cs="Simplified Arabic"/>
                <w:b/>
                <w:bCs/>
                <w:noProof/>
                <w:sz w:val="28"/>
                <w:szCs w:val="28"/>
                <w:rtl/>
              </w:rPr>
              <w:t>الملاحق</w:t>
            </w:r>
            <w:r w:rsidRPr="004B46A0">
              <w:rPr>
                <w:rFonts w:ascii="Simplified Arabic" w:hAnsi="Simplified Arabic" w:cs="Simplified Arabic"/>
                <w:noProof/>
                <w:webHidden/>
                <w:sz w:val="28"/>
                <w:szCs w:val="28"/>
                <w:rtl/>
              </w:rPr>
              <w:tab/>
            </w:r>
            <w:r w:rsidRPr="004B46A0">
              <w:rPr>
                <w:rFonts w:ascii="Simplified Arabic" w:hAnsi="Simplified Arabic" w:cs="Simplified Arabic"/>
                <w:noProof/>
                <w:webHidden/>
                <w:sz w:val="28"/>
                <w:szCs w:val="28"/>
                <w:rtl/>
              </w:rPr>
              <w:fldChar w:fldCharType="begin"/>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Pr>
              <w:instrText>PAGEREF</w:instrText>
            </w:r>
            <w:r w:rsidRPr="004B46A0">
              <w:rPr>
                <w:rFonts w:ascii="Simplified Arabic" w:hAnsi="Simplified Arabic" w:cs="Simplified Arabic"/>
                <w:noProof/>
                <w:webHidden/>
                <w:sz w:val="28"/>
                <w:szCs w:val="28"/>
                <w:rtl/>
              </w:rPr>
              <w:instrText xml:space="preserve"> _</w:instrText>
            </w:r>
            <w:r w:rsidRPr="004B46A0">
              <w:rPr>
                <w:rFonts w:ascii="Simplified Arabic" w:hAnsi="Simplified Arabic" w:cs="Simplified Arabic"/>
                <w:noProof/>
                <w:webHidden/>
                <w:sz w:val="28"/>
                <w:szCs w:val="28"/>
              </w:rPr>
              <w:instrText>Toc224661501 \h</w:instrText>
            </w:r>
            <w:r w:rsidRPr="004B46A0">
              <w:rPr>
                <w:rFonts w:ascii="Simplified Arabic" w:hAnsi="Simplified Arabic" w:cs="Simplified Arabic"/>
                <w:noProof/>
                <w:webHidden/>
                <w:sz w:val="28"/>
                <w:szCs w:val="28"/>
                <w:rtl/>
              </w:rPr>
              <w:instrText xml:space="preserve"> </w:instrText>
            </w:r>
            <w:r w:rsidRPr="004B46A0">
              <w:rPr>
                <w:rFonts w:ascii="Simplified Arabic" w:hAnsi="Simplified Arabic" w:cs="Simplified Arabic"/>
                <w:noProof/>
                <w:webHidden/>
                <w:sz w:val="28"/>
                <w:szCs w:val="28"/>
                <w:rtl/>
              </w:rPr>
            </w:r>
            <w:r w:rsidRPr="004B46A0">
              <w:rPr>
                <w:rFonts w:ascii="Simplified Arabic" w:hAnsi="Simplified Arabic" w:cs="Simplified Arabic"/>
                <w:noProof/>
                <w:webHidden/>
                <w:sz w:val="28"/>
                <w:szCs w:val="28"/>
                <w:rtl/>
              </w:rPr>
              <w:fldChar w:fldCharType="separate"/>
            </w:r>
            <w:r>
              <w:rPr>
                <w:rFonts w:ascii="Simplified Arabic" w:hAnsi="Simplified Arabic" w:cs="Simplified Arabic"/>
                <w:noProof/>
                <w:webHidden/>
                <w:sz w:val="28"/>
                <w:szCs w:val="28"/>
                <w:rtl/>
              </w:rPr>
              <w:t>58</w:t>
            </w:r>
            <w:r w:rsidRPr="004B46A0">
              <w:rPr>
                <w:rFonts w:ascii="Simplified Arabic" w:hAnsi="Simplified Arabic" w:cs="Simplified Arabic"/>
                <w:noProof/>
                <w:webHidden/>
                <w:sz w:val="28"/>
                <w:szCs w:val="28"/>
                <w:rtl/>
              </w:rPr>
              <w:fldChar w:fldCharType="end"/>
            </w:r>
          </w:hyperlink>
        </w:p>
        <w:p w14:paraId="5CB732DE" w14:textId="3819D345" w:rsidR="002A63BC" w:rsidRPr="00B54C6D" w:rsidRDefault="002A63BC" w:rsidP="00B54C6D">
          <w:pPr>
            <w:rPr>
              <w:rFonts w:ascii="Simplified Arabic" w:hAnsi="Simplified Arabic" w:cs="Simplified Arabic"/>
              <w:sz w:val="28"/>
              <w:szCs w:val="28"/>
            </w:rPr>
          </w:pPr>
          <w:r w:rsidRPr="004B46A0">
            <w:rPr>
              <w:rFonts w:ascii="Simplified Arabic" w:hAnsi="Simplified Arabic" w:cs="Simplified Arabic"/>
              <w:b/>
              <w:bCs/>
              <w:noProof/>
              <w:sz w:val="28"/>
              <w:szCs w:val="28"/>
            </w:rPr>
            <w:lastRenderedPageBreak/>
            <w:fldChar w:fldCharType="end"/>
          </w:r>
        </w:p>
      </w:sdtContent>
    </w:sdt>
    <w:p w14:paraId="40A61660" w14:textId="16B8C25B" w:rsidR="009125CE" w:rsidRPr="002A1B0E" w:rsidRDefault="009125CE" w:rsidP="002A1B0E">
      <w:pPr>
        <w:pStyle w:val="Heading1"/>
        <w:jc w:val="center"/>
        <w:rPr>
          <w:rFonts w:ascii="Simplified Arabic" w:hAnsi="Simplified Arabic" w:cs="Simplified Arabic"/>
          <w:b/>
          <w:bCs/>
          <w:color w:val="auto"/>
          <w:sz w:val="36"/>
          <w:szCs w:val="36"/>
          <w:rtl/>
          <w:lang w:bidi="ar-EG"/>
        </w:rPr>
      </w:pPr>
      <w:bookmarkStart w:id="4" w:name="_Toc224661457"/>
      <w:r w:rsidRPr="002A1B0E">
        <w:rPr>
          <w:rFonts w:ascii="Simplified Arabic" w:hAnsi="Simplified Arabic" w:cs="Simplified Arabic"/>
          <w:b/>
          <w:bCs/>
          <w:color w:val="auto"/>
          <w:sz w:val="36"/>
          <w:szCs w:val="36"/>
          <w:rtl/>
          <w:lang w:bidi="ar-EG"/>
        </w:rPr>
        <w:t xml:space="preserve">قائمة </w:t>
      </w:r>
      <w:r w:rsidRPr="002A1B0E">
        <w:rPr>
          <w:rFonts w:ascii="Simplified Arabic" w:hAnsi="Simplified Arabic" w:cs="Simplified Arabic"/>
          <w:b/>
          <w:bCs/>
          <w:color w:val="auto"/>
          <w:sz w:val="36"/>
          <w:szCs w:val="36"/>
          <w:rtl/>
        </w:rPr>
        <w:t>الجداول</w:t>
      </w:r>
      <w:bookmarkEnd w:id="4"/>
    </w:p>
    <w:p w14:paraId="6CD8E9F7" w14:textId="30FD0E3B" w:rsidR="0038371E" w:rsidRPr="00635161" w:rsidRDefault="0038371E" w:rsidP="00635161">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(2-</w:t>
      </w:r>
      <w:r w:rsidR="005F0F43">
        <w:rPr>
          <w:rFonts w:ascii="Simplified Arabic" w:eastAsia="Times New Roman" w:hAnsi="Simplified Arabic" w:cs="Simplified Arabic" w:hint="cs"/>
          <w:sz w:val="28"/>
          <w:szCs w:val="28"/>
          <w:rtl/>
        </w:rPr>
        <w:t>1</w:t>
      </w:r>
      <w:r w:rsidRPr="00635161">
        <w:rPr>
          <w:rFonts w:ascii="Simplified Arabic" w:eastAsia="Times New Roman" w:hAnsi="Simplified Arabic" w:cs="Simplified Arabic"/>
          <w:sz w:val="28"/>
          <w:szCs w:val="28"/>
          <w:rtl/>
        </w:rPr>
        <w:t xml:space="preserve">)  </w:t>
      </w:r>
      <w:r w:rsidR="00F52F8C" w:rsidRPr="00F52F8C">
        <w:rPr>
          <w:rFonts w:ascii="Simplified Arabic" w:eastAsia="Times New Roman" w:hAnsi="Simplified Arabic" w:cs="Simplified Arabic"/>
          <w:sz w:val="28"/>
          <w:szCs w:val="28"/>
          <w:rtl/>
        </w:rPr>
        <w:t>الأبعاد الخمسة لحوكمة الملف الإلكتروني للمريض وأثرها المؤسسي</w:t>
      </w:r>
      <w:r w:rsidRPr="00635161">
        <w:rPr>
          <w:rFonts w:ascii="Simplified Arabic" w:eastAsia="Times New Roman" w:hAnsi="Simplified Arabic" w:cs="Simplified Arabic"/>
          <w:sz w:val="28"/>
          <w:szCs w:val="28"/>
        </w:rPr>
        <w:tab/>
      </w:r>
      <w:r w:rsidR="00F52F8C">
        <w:rPr>
          <w:rFonts w:ascii="Simplified Arabic" w:eastAsia="Times New Roman" w:hAnsi="Simplified Arabic" w:cs="Simplified Arabic"/>
          <w:sz w:val="28"/>
          <w:szCs w:val="28"/>
        </w:rPr>
        <w:t>14</w:t>
      </w:r>
    </w:p>
    <w:p w14:paraId="589488CA" w14:textId="403FDE3C" w:rsidR="0038371E" w:rsidRPr="00635161" w:rsidRDefault="0038371E" w:rsidP="00635161">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(2-</w:t>
      </w:r>
      <w:r w:rsidR="00086946">
        <w:rPr>
          <w:rFonts w:ascii="Simplified Arabic" w:eastAsia="Times New Roman" w:hAnsi="Simplified Arabic" w:cs="Simplified Arabic" w:hint="cs"/>
          <w:sz w:val="28"/>
          <w:szCs w:val="28"/>
          <w:rtl/>
        </w:rPr>
        <w:t>2</w:t>
      </w:r>
      <w:r w:rsidRPr="00635161">
        <w:rPr>
          <w:rFonts w:ascii="Simplified Arabic" w:eastAsia="Times New Roman" w:hAnsi="Simplified Arabic" w:cs="Simplified Arabic"/>
          <w:sz w:val="28"/>
          <w:szCs w:val="28"/>
          <w:rtl/>
        </w:rPr>
        <w:t xml:space="preserve">)  </w:t>
      </w:r>
      <w:r w:rsidR="00905E3E" w:rsidRPr="00905E3E">
        <w:rPr>
          <w:rFonts w:ascii="Simplified Arabic" w:eastAsia="Times New Roman" w:hAnsi="Simplified Arabic" w:cs="Simplified Arabic"/>
          <w:sz w:val="28"/>
          <w:szCs w:val="28"/>
          <w:rtl/>
        </w:rPr>
        <w:t>مؤشرات الأداء الرئيسية في شركات التأمين الصحي وصلتها بحوكمة الملف الإلكتروني</w:t>
      </w:r>
      <w:r w:rsidRPr="00635161">
        <w:rPr>
          <w:rFonts w:ascii="Simplified Arabic" w:eastAsia="Times New Roman" w:hAnsi="Simplified Arabic" w:cs="Simplified Arabic"/>
          <w:sz w:val="28"/>
          <w:szCs w:val="28"/>
        </w:rPr>
        <w:tab/>
      </w:r>
      <w:r w:rsidR="00905E3E">
        <w:rPr>
          <w:rFonts w:ascii="Simplified Arabic" w:hAnsi="Simplified Arabic" w:cs="Simplified Arabic"/>
          <w:sz w:val="28"/>
          <w:szCs w:val="28"/>
        </w:rPr>
        <w:t>22</w:t>
      </w:r>
    </w:p>
    <w:p w14:paraId="79050F24" w14:textId="0F04B92C" w:rsidR="006328EF" w:rsidRPr="00635161" w:rsidRDefault="006328EF" w:rsidP="006328EF">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جدول (3-1)  </w:t>
      </w:r>
      <w:r w:rsidR="00246707" w:rsidRPr="00246707">
        <w:rPr>
          <w:rFonts w:ascii="Simplified Arabic" w:eastAsia="Times New Roman" w:hAnsi="Simplified Arabic" w:cs="Simplified Arabic"/>
          <w:sz w:val="28"/>
          <w:szCs w:val="28"/>
          <w:rtl/>
        </w:rPr>
        <w:t>معيار تفسير قيم المتوسطات الحسابية وفق مقياس ليكرت الخماسي</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34</w:t>
      </w:r>
    </w:p>
    <w:p w14:paraId="3386A42D" w14:textId="2940965C" w:rsidR="004961BC" w:rsidRPr="004961BC" w:rsidRDefault="004961BC" w:rsidP="004961BC">
      <w:pPr>
        <w:tabs>
          <w:tab w:val="right" w:leader="dot" w:pos="8640"/>
        </w:tabs>
        <w:ind w:right="360"/>
        <w:rPr>
          <w:rFonts w:ascii="Simplified Arabic" w:hAnsi="Simplified Arabic" w:cs="Simplified Arabic"/>
          <w:sz w:val="28"/>
          <w:szCs w:val="28"/>
          <w:rtl/>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sz w:val="28"/>
          <w:szCs w:val="28"/>
        </w:rPr>
        <w:t>2</w:t>
      </w:r>
      <w:r w:rsidRPr="00635161">
        <w:rPr>
          <w:rFonts w:ascii="Simplified Arabic" w:eastAsia="Times New Roman" w:hAnsi="Simplified Arabic" w:cs="Simplified Arabic"/>
          <w:sz w:val="28"/>
          <w:szCs w:val="28"/>
          <w:rtl/>
        </w:rPr>
        <w:t xml:space="preserve">)  </w:t>
      </w:r>
      <w:r w:rsidRPr="004961BC">
        <w:rPr>
          <w:rFonts w:ascii="Simplified Arabic" w:eastAsia="Times New Roman" w:hAnsi="Simplified Arabic" w:cs="Simplified Arabic"/>
          <w:sz w:val="28"/>
          <w:szCs w:val="28"/>
          <w:rtl/>
        </w:rPr>
        <w:t>معامل ألفا كرونباخ لمحاور الاستبانة</w:t>
      </w:r>
      <w:r w:rsidRPr="00635161">
        <w:rPr>
          <w:rFonts w:ascii="Simplified Arabic" w:eastAsia="Times New Roman" w:hAnsi="Simplified Arabic" w:cs="Simplified Arabic"/>
          <w:sz w:val="28"/>
          <w:szCs w:val="28"/>
        </w:rPr>
        <w:tab/>
      </w:r>
      <w:r w:rsidR="00832413">
        <w:rPr>
          <w:rFonts w:ascii="Simplified Arabic" w:eastAsia="Times New Roman" w:hAnsi="Simplified Arabic" w:cs="Simplified Arabic" w:hint="cs"/>
          <w:sz w:val="28"/>
          <w:szCs w:val="28"/>
          <w:rtl/>
        </w:rPr>
        <w:t>35</w:t>
      </w:r>
    </w:p>
    <w:p w14:paraId="5222D0C9" w14:textId="4857CC1C" w:rsidR="006328EF" w:rsidRPr="00635161" w:rsidRDefault="006328EF" w:rsidP="006328EF">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sidR="004961BC">
        <w:rPr>
          <w:rFonts w:ascii="Simplified Arabic" w:eastAsia="Times New Roman" w:hAnsi="Simplified Arabic" w:cs="Simplified Arabic" w:hint="cs"/>
          <w:sz w:val="28"/>
          <w:szCs w:val="28"/>
          <w:rtl/>
        </w:rPr>
        <w:t>3</w:t>
      </w:r>
      <w:r w:rsidRPr="00635161">
        <w:rPr>
          <w:rFonts w:ascii="Simplified Arabic" w:eastAsia="Times New Roman" w:hAnsi="Simplified Arabic" w:cs="Simplified Arabic"/>
          <w:sz w:val="28"/>
          <w:szCs w:val="28"/>
          <w:rtl/>
        </w:rPr>
        <w:t xml:space="preserve">)  </w:t>
      </w:r>
      <w:r w:rsidR="00A53EDA" w:rsidRPr="00A53EDA">
        <w:rPr>
          <w:rFonts w:ascii="Simplified Arabic" w:eastAsia="Times New Roman" w:hAnsi="Simplified Arabic" w:cs="Simplified Arabic"/>
          <w:sz w:val="28"/>
          <w:szCs w:val="28"/>
          <w:rtl/>
        </w:rPr>
        <w:t>الأساليب الإحصائية المستخدمة في الدراسة</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35</w:t>
      </w:r>
    </w:p>
    <w:p w14:paraId="76A65AE4" w14:textId="5811D814"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4</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الجنس</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36</w:t>
      </w:r>
    </w:p>
    <w:p w14:paraId="66F9E1F9" w14:textId="32A29641"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5</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الفئة العمرية</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36</w:t>
      </w:r>
    </w:p>
    <w:p w14:paraId="1B5F051F" w14:textId="642C78C0"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6</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المؤهل العلمي</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37</w:t>
      </w:r>
    </w:p>
    <w:p w14:paraId="27542CD0" w14:textId="63F74957"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7</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سنوات الخبرة</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37</w:t>
      </w:r>
    </w:p>
    <w:p w14:paraId="6347E407" w14:textId="1320A6E1"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8</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المسمى الوظيفي</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37</w:t>
      </w:r>
    </w:p>
    <w:p w14:paraId="5803D0C9" w14:textId="0B58C336" w:rsidR="004961BC" w:rsidRPr="00635161" w:rsidRDefault="003019C2"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(3-</w:t>
      </w:r>
      <w:r>
        <w:rPr>
          <w:rFonts w:ascii="Simplified Arabic" w:eastAsia="Times New Roman" w:hAnsi="Simplified Arabic" w:cs="Simplified Arabic" w:hint="cs"/>
          <w:sz w:val="28"/>
          <w:szCs w:val="28"/>
          <w:rtl/>
        </w:rPr>
        <w:t>9</w:t>
      </w:r>
      <w:r w:rsidRPr="00635161">
        <w:rPr>
          <w:rFonts w:ascii="Simplified Arabic" w:eastAsia="Times New Roman" w:hAnsi="Simplified Arabic" w:cs="Simplified Arabic"/>
          <w:sz w:val="28"/>
          <w:szCs w:val="28"/>
          <w:rtl/>
        </w:rPr>
        <w:t xml:space="preserve">)  </w:t>
      </w:r>
      <w:r w:rsidR="004961BC" w:rsidRPr="00635161">
        <w:rPr>
          <w:rFonts w:ascii="Simplified Arabic" w:eastAsia="Times New Roman" w:hAnsi="Simplified Arabic" w:cs="Simplified Arabic"/>
          <w:sz w:val="28"/>
          <w:szCs w:val="28"/>
          <w:rtl/>
        </w:rPr>
        <w:t>توزيع أفراد العيّنة حسب نوع المنظمة</w:t>
      </w:r>
      <w:r w:rsidR="004961BC"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37</w:t>
      </w:r>
    </w:p>
    <w:p w14:paraId="256D8C9B" w14:textId="3FC334BD"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1</w:t>
      </w:r>
      <w:r w:rsidRPr="00635161">
        <w:rPr>
          <w:rFonts w:ascii="Simplified Arabic" w:eastAsia="Times New Roman" w:hAnsi="Simplified Arabic" w:cs="Simplified Arabic"/>
          <w:sz w:val="28"/>
          <w:szCs w:val="28"/>
          <w:rtl/>
        </w:rPr>
        <w:t xml:space="preserve">)  </w:t>
      </w:r>
      <w:r w:rsidR="000B7E64" w:rsidRPr="000B7E64">
        <w:rPr>
          <w:rFonts w:ascii="Simplified Arabic" w:eastAsia="Times New Roman" w:hAnsi="Simplified Arabic" w:cs="Simplified Arabic"/>
          <w:sz w:val="28"/>
          <w:szCs w:val="28"/>
          <w:rtl/>
        </w:rPr>
        <w:t>الإحصاء الوصفي لفقرات محور حوكمة الملف الإلكتروني للمريض</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40</w:t>
      </w:r>
    </w:p>
    <w:p w14:paraId="76B7EB20" w14:textId="7B73472F"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2</w:t>
      </w:r>
      <w:r w:rsidRPr="00635161">
        <w:rPr>
          <w:rFonts w:ascii="Simplified Arabic" w:eastAsia="Times New Roman" w:hAnsi="Simplified Arabic" w:cs="Simplified Arabic"/>
          <w:sz w:val="28"/>
          <w:szCs w:val="28"/>
          <w:rtl/>
        </w:rPr>
        <w:t xml:space="preserve">)  </w:t>
      </w:r>
      <w:r w:rsidR="0012745D" w:rsidRPr="0012745D">
        <w:rPr>
          <w:rFonts w:ascii="Simplified Arabic" w:eastAsia="Times New Roman" w:hAnsi="Simplified Arabic" w:cs="Simplified Arabic"/>
          <w:sz w:val="28"/>
          <w:szCs w:val="28"/>
          <w:rtl/>
        </w:rPr>
        <w:t>الإحصاء الوصفي لفقرات الأداء والفاعلية المؤسسية</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43</w:t>
      </w:r>
    </w:p>
    <w:p w14:paraId="08C41C25" w14:textId="7E7575A1"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3</w:t>
      </w:r>
      <w:r w:rsidRPr="00635161">
        <w:rPr>
          <w:rFonts w:ascii="Simplified Arabic" w:eastAsia="Times New Roman" w:hAnsi="Simplified Arabic" w:cs="Simplified Arabic"/>
          <w:sz w:val="28"/>
          <w:szCs w:val="28"/>
          <w:rtl/>
        </w:rPr>
        <w:t xml:space="preserve">)  </w:t>
      </w:r>
      <w:r w:rsidR="002F1BB3" w:rsidRPr="002F1BB3">
        <w:rPr>
          <w:rFonts w:ascii="Simplified Arabic" w:eastAsia="Times New Roman" w:hAnsi="Simplified Arabic" w:cs="Simplified Arabic"/>
          <w:sz w:val="28"/>
          <w:szCs w:val="28"/>
          <w:rtl/>
        </w:rPr>
        <w:t>نتائج اختبار التوزيع الطبيعي</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45</w:t>
      </w:r>
    </w:p>
    <w:p w14:paraId="6678721C" w14:textId="41FDCC9C"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4</w:t>
      </w:r>
      <w:r w:rsidRPr="00635161">
        <w:rPr>
          <w:rFonts w:ascii="Simplified Arabic" w:eastAsia="Times New Roman" w:hAnsi="Simplified Arabic" w:cs="Simplified Arabic"/>
          <w:sz w:val="28"/>
          <w:szCs w:val="28"/>
          <w:rtl/>
        </w:rPr>
        <w:t xml:space="preserve">)  </w:t>
      </w:r>
      <w:r w:rsidR="004C7FD2" w:rsidRPr="004C7FD2">
        <w:rPr>
          <w:rFonts w:ascii="Simplified Arabic" w:eastAsia="Times New Roman" w:hAnsi="Simplified Arabic" w:cs="Simplified Arabic"/>
          <w:sz w:val="28"/>
          <w:szCs w:val="28"/>
          <w:rtl/>
        </w:rPr>
        <w:t>معامل ارتباط بيرسون بين المتغيرين</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46</w:t>
      </w:r>
    </w:p>
    <w:p w14:paraId="35BE7EA1" w14:textId="490EBD95"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5</w:t>
      </w:r>
      <w:r w:rsidRPr="00635161">
        <w:rPr>
          <w:rFonts w:ascii="Simplified Arabic" w:eastAsia="Times New Roman" w:hAnsi="Simplified Arabic" w:cs="Simplified Arabic"/>
          <w:sz w:val="28"/>
          <w:szCs w:val="28"/>
          <w:rtl/>
        </w:rPr>
        <w:t xml:space="preserve">)  </w:t>
      </w:r>
      <w:r w:rsidR="00970AC5" w:rsidRPr="00970AC5">
        <w:rPr>
          <w:rFonts w:ascii="Simplified Arabic" w:eastAsia="Times New Roman" w:hAnsi="Simplified Arabic" w:cs="Simplified Arabic"/>
          <w:sz w:val="28"/>
          <w:szCs w:val="28"/>
          <w:rtl/>
        </w:rPr>
        <w:t>ملخص نموذج الانحدار الخطي البسيط</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47</w:t>
      </w:r>
    </w:p>
    <w:p w14:paraId="680CB3E3" w14:textId="28F4A0D6" w:rsidR="004961BC" w:rsidRPr="00635161" w:rsidRDefault="004961BC" w:rsidP="004961BC">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جدول (4-</w:t>
      </w:r>
      <w:r w:rsidR="003019C2">
        <w:rPr>
          <w:rFonts w:ascii="Simplified Arabic" w:eastAsia="Times New Roman" w:hAnsi="Simplified Arabic" w:cs="Simplified Arabic" w:hint="cs"/>
          <w:sz w:val="28"/>
          <w:szCs w:val="28"/>
          <w:rtl/>
        </w:rPr>
        <w:t>6</w:t>
      </w:r>
      <w:r w:rsidRPr="00635161">
        <w:rPr>
          <w:rFonts w:ascii="Simplified Arabic" w:eastAsia="Times New Roman" w:hAnsi="Simplified Arabic" w:cs="Simplified Arabic"/>
          <w:sz w:val="28"/>
          <w:szCs w:val="28"/>
          <w:rtl/>
        </w:rPr>
        <w:t xml:space="preserve">)  </w:t>
      </w:r>
      <w:r w:rsidR="00EC521C" w:rsidRPr="00EC521C">
        <w:rPr>
          <w:rFonts w:ascii="Simplified Arabic" w:eastAsia="Times New Roman" w:hAnsi="Simplified Arabic" w:cs="Simplified Arabic"/>
          <w:sz w:val="28"/>
          <w:szCs w:val="28"/>
          <w:rtl/>
        </w:rPr>
        <w:t>معاملات الانحدار</w:t>
      </w:r>
      <w:r w:rsidRPr="00635161">
        <w:rPr>
          <w:rFonts w:ascii="Simplified Arabic" w:eastAsia="Times New Roman" w:hAnsi="Simplified Arabic" w:cs="Simplified Arabic"/>
          <w:sz w:val="28"/>
          <w:szCs w:val="28"/>
        </w:rPr>
        <w:tab/>
      </w:r>
      <w:r w:rsidR="005476A7">
        <w:rPr>
          <w:rFonts w:ascii="Simplified Arabic" w:eastAsia="Times New Roman" w:hAnsi="Simplified Arabic" w:cs="Simplified Arabic"/>
          <w:sz w:val="28"/>
          <w:szCs w:val="28"/>
        </w:rPr>
        <w:t>47</w:t>
      </w:r>
    </w:p>
    <w:p w14:paraId="6B3B8E73" w14:textId="77777777" w:rsidR="0038371E" w:rsidRPr="004961BC" w:rsidRDefault="0038371E" w:rsidP="00635161">
      <w:pPr>
        <w:rPr>
          <w:rFonts w:ascii="Simplified Arabic" w:hAnsi="Simplified Arabic" w:cs="Simplified Arabic"/>
          <w:sz w:val="28"/>
          <w:szCs w:val="28"/>
          <w:rtl/>
          <w:lang w:bidi="ar-EG"/>
        </w:rPr>
      </w:pPr>
    </w:p>
    <w:p w14:paraId="3A504109" w14:textId="77777777" w:rsidR="009125CE" w:rsidRPr="00635161" w:rsidRDefault="009125CE" w:rsidP="00635161">
      <w:pPr>
        <w:rPr>
          <w:rFonts w:ascii="Simplified Arabic" w:hAnsi="Simplified Arabic" w:cs="Simplified Arabic"/>
          <w:sz w:val="28"/>
          <w:szCs w:val="28"/>
          <w:rtl/>
          <w:lang w:bidi="ar-EG"/>
        </w:rPr>
      </w:pPr>
    </w:p>
    <w:p w14:paraId="11198760" w14:textId="77777777" w:rsidR="009125CE" w:rsidRPr="00635161" w:rsidRDefault="009125CE" w:rsidP="00635161">
      <w:pPr>
        <w:rPr>
          <w:rFonts w:ascii="Simplified Arabic" w:hAnsi="Simplified Arabic" w:cs="Simplified Arabic"/>
          <w:sz w:val="28"/>
          <w:szCs w:val="28"/>
          <w:rtl/>
          <w:lang w:bidi="ar-EG"/>
        </w:rPr>
      </w:pPr>
    </w:p>
    <w:p w14:paraId="791EDD87" w14:textId="77777777" w:rsidR="009125CE" w:rsidRPr="00635161" w:rsidRDefault="009125CE" w:rsidP="00635161">
      <w:pPr>
        <w:rPr>
          <w:rFonts w:ascii="Simplified Arabic" w:hAnsi="Simplified Arabic" w:cs="Simplified Arabic"/>
          <w:sz w:val="28"/>
          <w:szCs w:val="28"/>
          <w:rtl/>
          <w:lang w:bidi="ar-EG"/>
        </w:rPr>
      </w:pPr>
    </w:p>
    <w:p w14:paraId="2766B80E" w14:textId="77777777" w:rsidR="009125CE" w:rsidRPr="00635161" w:rsidRDefault="009125CE" w:rsidP="00635161">
      <w:pPr>
        <w:rPr>
          <w:rFonts w:ascii="Simplified Arabic" w:hAnsi="Simplified Arabic" w:cs="Simplified Arabic"/>
          <w:sz w:val="28"/>
          <w:szCs w:val="28"/>
          <w:rtl/>
          <w:lang w:bidi="ar-EG"/>
        </w:rPr>
      </w:pPr>
    </w:p>
    <w:p w14:paraId="5741615F" w14:textId="0EC65068" w:rsidR="00D52480" w:rsidRPr="002A1B0E" w:rsidRDefault="00D52480" w:rsidP="002A1B0E">
      <w:pPr>
        <w:pStyle w:val="Heading1"/>
        <w:jc w:val="center"/>
        <w:rPr>
          <w:rFonts w:ascii="Simplified Arabic" w:hAnsi="Simplified Arabic" w:cs="Simplified Arabic"/>
          <w:b/>
          <w:bCs/>
          <w:color w:val="auto"/>
          <w:sz w:val="36"/>
          <w:szCs w:val="36"/>
          <w:rtl/>
          <w:lang w:bidi="ar-EG"/>
        </w:rPr>
      </w:pPr>
      <w:bookmarkStart w:id="5" w:name="_Toc224661458"/>
      <w:r w:rsidRPr="002A1B0E">
        <w:rPr>
          <w:rFonts w:ascii="Simplified Arabic" w:hAnsi="Simplified Arabic" w:cs="Simplified Arabic"/>
          <w:b/>
          <w:bCs/>
          <w:color w:val="auto"/>
          <w:sz w:val="36"/>
          <w:szCs w:val="36"/>
          <w:rtl/>
          <w:lang w:bidi="ar-EG"/>
        </w:rPr>
        <w:lastRenderedPageBreak/>
        <w:t>فهرس الأشكال</w:t>
      </w:r>
      <w:bookmarkEnd w:id="5"/>
    </w:p>
    <w:p w14:paraId="6A3A4356" w14:textId="0706FA4A" w:rsidR="0038371E" w:rsidRPr="00635161" w:rsidRDefault="0038371E" w:rsidP="00635161">
      <w:pPr>
        <w:tabs>
          <w:tab w:val="right" w:leader="dot" w:pos="8640"/>
        </w:tabs>
        <w:ind w:right="360"/>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شكل (1-1)  النموذج البحثي</w:t>
      </w:r>
      <w:r w:rsidR="00DA7123">
        <w:rPr>
          <w:rFonts w:ascii="Simplified Arabic" w:eastAsia="Times New Roman" w:hAnsi="Simplified Arabic" w:cs="Simplified Arabic" w:hint="cs"/>
          <w:sz w:val="28"/>
          <w:szCs w:val="28"/>
          <w:rtl/>
        </w:rPr>
        <w:t xml:space="preserve"> المقترح</w:t>
      </w:r>
      <w:r w:rsidRPr="00635161">
        <w:rPr>
          <w:rFonts w:ascii="Simplified Arabic" w:eastAsia="Times New Roman" w:hAnsi="Simplified Arabic" w:cs="Simplified Arabic"/>
          <w:sz w:val="28"/>
          <w:szCs w:val="28"/>
          <w:rtl/>
        </w:rPr>
        <w:t xml:space="preserve"> للدراسة</w:t>
      </w:r>
      <w:r w:rsidRPr="00635161">
        <w:rPr>
          <w:rFonts w:ascii="Simplified Arabic" w:eastAsia="Times New Roman" w:hAnsi="Simplified Arabic" w:cs="Simplified Arabic"/>
          <w:sz w:val="28"/>
          <w:szCs w:val="28"/>
        </w:rPr>
        <w:tab/>
      </w:r>
      <w:r w:rsidR="00DA7123">
        <w:rPr>
          <w:rFonts w:ascii="Simplified Arabic" w:eastAsia="Times New Roman" w:hAnsi="Simplified Arabic" w:cs="Simplified Arabic" w:hint="cs"/>
          <w:sz w:val="28"/>
          <w:szCs w:val="28"/>
          <w:rtl/>
        </w:rPr>
        <w:t>8</w:t>
      </w:r>
    </w:p>
    <w:p w14:paraId="1DAEEFEB" w14:textId="77777777" w:rsidR="00D52480" w:rsidRPr="00635161" w:rsidRDefault="00D52480" w:rsidP="00635161">
      <w:pPr>
        <w:rPr>
          <w:rFonts w:ascii="Simplified Arabic" w:hAnsi="Simplified Arabic" w:cs="Simplified Arabic"/>
          <w:sz w:val="28"/>
          <w:szCs w:val="28"/>
          <w:rtl/>
          <w:lang w:bidi="ar-EG"/>
        </w:rPr>
      </w:pPr>
    </w:p>
    <w:p w14:paraId="5DE48217" w14:textId="77777777" w:rsidR="00D52480" w:rsidRPr="00635161" w:rsidRDefault="00D52480" w:rsidP="00635161">
      <w:pPr>
        <w:rPr>
          <w:rFonts w:ascii="Simplified Arabic" w:hAnsi="Simplified Arabic" w:cs="Simplified Arabic"/>
          <w:sz w:val="28"/>
          <w:szCs w:val="28"/>
          <w:rtl/>
          <w:lang w:bidi="ar-EG"/>
        </w:rPr>
      </w:pPr>
    </w:p>
    <w:p w14:paraId="467534C8" w14:textId="77777777" w:rsidR="00D52480" w:rsidRPr="00635161" w:rsidRDefault="00D52480" w:rsidP="00635161">
      <w:pPr>
        <w:rPr>
          <w:rFonts w:ascii="Simplified Arabic" w:hAnsi="Simplified Arabic" w:cs="Simplified Arabic"/>
          <w:sz w:val="28"/>
          <w:szCs w:val="28"/>
          <w:rtl/>
          <w:lang w:bidi="ar-EG"/>
        </w:rPr>
      </w:pPr>
    </w:p>
    <w:p w14:paraId="7CF5D8C4" w14:textId="77777777" w:rsidR="00D52480" w:rsidRPr="00635161" w:rsidRDefault="00D52480" w:rsidP="00635161">
      <w:pPr>
        <w:rPr>
          <w:rFonts w:ascii="Simplified Arabic" w:hAnsi="Simplified Arabic" w:cs="Simplified Arabic"/>
          <w:sz w:val="28"/>
          <w:szCs w:val="28"/>
          <w:rtl/>
          <w:lang w:bidi="ar-EG"/>
        </w:rPr>
      </w:pPr>
    </w:p>
    <w:p w14:paraId="0A4A34D3" w14:textId="77777777" w:rsidR="00D52480" w:rsidRPr="00635161" w:rsidRDefault="00D52480" w:rsidP="00635161">
      <w:pPr>
        <w:rPr>
          <w:rFonts w:ascii="Simplified Arabic" w:hAnsi="Simplified Arabic" w:cs="Simplified Arabic"/>
          <w:sz w:val="28"/>
          <w:szCs w:val="28"/>
          <w:rtl/>
          <w:lang w:bidi="ar-EG"/>
        </w:rPr>
      </w:pPr>
    </w:p>
    <w:p w14:paraId="35C22FE3" w14:textId="77777777" w:rsidR="00D52480" w:rsidRPr="00635161" w:rsidRDefault="00D52480" w:rsidP="00635161">
      <w:pPr>
        <w:rPr>
          <w:rFonts w:ascii="Simplified Arabic" w:hAnsi="Simplified Arabic" w:cs="Simplified Arabic"/>
          <w:sz w:val="28"/>
          <w:szCs w:val="28"/>
          <w:rtl/>
          <w:lang w:bidi="ar-EG"/>
        </w:rPr>
      </w:pPr>
    </w:p>
    <w:p w14:paraId="121D9BF2" w14:textId="77777777" w:rsidR="00D52480" w:rsidRPr="00635161" w:rsidRDefault="00D52480" w:rsidP="00635161">
      <w:pPr>
        <w:rPr>
          <w:rFonts w:ascii="Simplified Arabic" w:hAnsi="Simplified Arabic" w:cs="Simplified Arabic"/>
          <w:sz w:val="28"/>
          <w:szCs w:val="28"/>
          <w:rtl/>
          <w:lang w:bidi="ar-EG"/>
        </w:rPr>
      </w:pPr>
    </w:p>
    <w:p w14:paraId="78B64D96" w14:textId="77777777" w:rsidR="00D52480" w:rsidRPr="00635161" w:rsidRDefault="00D52480" w:rsidP="00635161">
      <w:pPr>
        <w:rPr>
          <w:rFonts w:ascii="Simplified Arabic" w:hAnsi="Simplified Arabic" w:cs="Simplified Arabic"/>
          <w:sz w:val="28"/>
          <w:szCs w:val="28"/>
          <w:rtl/>
          <w:lang w:bidi="ar-EG"/>
        </w:rPr>
      </w:pPr>
    </w:p>
    <w:p w14:paraId="09D2200E" w14:textId="77777777" w:rsidR="00D52480" w:rsidRPr="00635161" w:rsidRDefault="00D52480" w:rsidP="00635161">
      <w:pPr>
        <w:rPr>
          <w:rFonts w:ascii="Simplified Arabic" w:hAnsi="Simplified Arabic" w:cs="Simplified Arabic"/>
          <w:sz w:val="28"/>
          <w:szCs w:val="28"/>
          <w:rtl/>
          <w:lang w:bidi="ar-EG"/>
        </w:rPr>
      </w:pPr>
    </w:p>
    <w:p w14:paraId="5B1D6E32" w14:textId="77777777" w:rsidR="00D52480" w:rsidRPr="00635161" w:rsidRDefault="00D52480" w:rsidP="00635161">
      <w:pPr>
        <w:rPr>
          <w:rFonts w:ascii="Simplified Arabic" w:hAnsi="Simplified Arabic" w:cs="Simplified Arabic"/>
          <w:sz w:val="28"/>
          <w:szCs w:val="28"/>
          <w:rtl/>
          <w:lang w:bidi="ar-EG"/>
        </w:rPr>
      </w:pPr>
    </w:p>
    <w:p w14:paraId="4FFFC96F" w14:textId="77777777" w:rsidR="00D52480" w:rsidRPr="00635161" w:rsidRDefault="00D52480" w:rsidP="00635161">
      <w:pPr>
        <w:rPr>
          <w:rFonts w:ascii="Simplified Arabic" w:hAnsi="Simplified Arabic" w:cs="Simplified Arabic"/>
          <w:sz w:val="28"/>
          <w:szCs w:val="28"/>
          <w:rtl/>
          <w:lang w:bidi="ar-EG"/>
        </w:rPr>
      </w:pPr>
    </w:p>
    <w:p w14:paraId="76CC3300" w14:textId="77777777" w:rsidR="00D52480" w:rsidRPr="00635161" w:rsidRDefault="00D52480" w:rsidP="00635161">
      <w:pPr>
        <w:rPr>
          <w:rFonts w:ascii="Simplified Arabic" w:hAnsi="Simplified Arabic" w:cs="Simplified Arabic"/>
          <w:sz w:val="28"/>
          <w:szCs w:val="28"/>
          <w:rtl/>
          <w:lang w:bidi="ar-EG"/>
        </w:rPr>
      </w:pPr>
    </w:p>
    <w:p w14:paraId="6FCBDE9A" w14:textId="77777777" w:rsidR="00D52480" w:rsidRPr="00635161" w:rsidRDefault="00D52480" w:rsidP="00635161">
      <w:pPr>
        <w:rPr>
          <w:rFonts w:ascii="Simplified Arabic" w:hAnsi="Simplified Arabic" w:cs="Simplified Arabic"/>
          <w:sz w:val="28"/>
          <w:szCs w:val="28"/>
          <w:rtl/>
          <w:lang w:bidi="ar-EG"/>
        </w:rPr>
      </w:pPr>
    </w:p>
    <w:p w14:paraId="3A76DFA8" w14:textId="77777777" w:rsidR="00D52480" w:rsidRPr="00635161" w:rsidRDefault="00D52480" w:rsidP="00635161">
      <w:pPr>
        <w:rPr>
          <w:rFonts w:ascii="Simplified Arabic" w:hAnsi="Simplified Arabic" w:cs="Simplified Arabic"/>
          <w:sz w:val="28"/>
          <w:szCs w:val="28"/>
          <w:rtl/>
          <w:lang w:bidi="ar-EG"/>
        </w:rPr>
      </w:pPr>
    </w:p>
    <w:p w14:paraId="29617019" w14:textId="77777777" w:rsidR="00D52480" w:rsidRPr="00635161" w:rsidRDefault="00D52480" w:rsidP="00635161">
      <w:pPr>
        <w:rPr>
          <w:rFonts w:ascii="Simplified Arabic" w:hAnsi="Simplified Arabic" w:cs="Simplified Arabic"/>
          <w:sz w:val="28"/>
          <w:szCs w:val="28"/>
          <w:rtl/>
          <w:lang w:bidi="ar-EG"/>
        </w:rPr>
      </w:pPr>
    </w:p>
    <w:p w14:paraId="606C0046" w14:textId="77777777" w:rsidR="00D52480" w:rsidRDefault="00D52480" w:rsidP="00635161">
      <w:pPr>
        <w:rPr>
          <w:rFonts w:ascii="Simplified Arabic" w:hAnsi="Simplified Arabic" w:cs="Simplified Arabic"/>
          <w:sz w:val="28"/>
          <w:szCs w:val="28"/>
          <w:rtl/>
          <w:lang w:bidi="ar-EG"/>
        </w:rPr>
      </w:pPr>
    </w:p>
    <w:p w14:paraId="43D1299B" w14:textId="77777777" w:rsidR="00DA5CB4" w:rsidRDefault="00DA5CB4" w:rsidP="00635161">
      <w:pPr>
        <w:rPr>
          <w:rFonts w:ascii="Simplified Arabic" w:hAnsi="Simplified Arabic" w:cs="Simplified Arabic"/>
          <w:sz w:val="28"/>
          <w:szCs w:val="28"/>
          <w:rtl/>
          <w:lang w:bidi="ar-EG"/>
        </w:rPr>
      </w:pPr>
    </w:p>
    <w:p w14:paraId="5F4AB9FB" w14:textId="77777777" w:rsidR="00DA5CB4" w:rsidRDefault="00DA5CB4" w:rsidP="00635161">
      <w:pPr>
        <w:rPr>
          <w:rFonts w:ascii="Simplified Arabic" w:hAnsi="Simplified Arabic" w:cs="Simplified Arabic"/>
          <w:sz w:val="28"/>
          <w:szCs w:val="28"/>
          <w:rtl/>
          <w:lang w:bidi="ar-EG"/>
        </w:rPr>
      </w:pPr>
    </w:p>
    <w:p w14:paraId="020FFD05" w14:textId="77777777" w:rsidR="00DA5CB4" w:rsidRPr="00635161" w:rsidRDefault="00DA5CB4" w:rsidP="00635161">
      <w:pPr>
        <w:rPr>
          <w:rFonts w:ascii="Simplified Arabic" w:hAnsi="Simplified Arabic" w:cs="Simplified Arabic"/>
          <w:sz w:val="28"/>
          <w:szCs w:val="28"/>
          <w:rtl/>
          <w:lang w:bidi="ar-EG"/>
        </w:rPr>
      </w:pPr>
    </w:p>
    <w:p w14:paraId="7FB8310D" w14:textId="77777777" w:rsidR="00D52480" w:rsidRDefault="00D52480" w:rsidP="00635161">
      <w:pPr>
        <w:rPr>
          <w:rFonts w:ascii="Simplified Arabic" w:hAnsi="Simplified Arabic" w:cs="Simplified Arabic"/>
          <w:sz w:val="28"/>
          <w:szCs w:val="28"/>
          <w:rtl/>
          <w:lang w:bidi="ar-EG"/>
        </w:rPr>
      </w:pPr>
    </w:p>
    <w:p w14:paraId="2C373968" w14:textId="77777777" w:rsidR="00E603AC" w:rsidRPr="00635161" w:rsidRDefault="00E603AC" w:rsidP="00635161">
      <w:pPr>
        <w:rPr>
          <w:rFonts w:ascii="Simplified Arabic" w:hAnsi="Simplified Arabic" w:cs="Simplified Arabic"/>
          <w:sz w:val="28"/>
          <w:szCs w:val="28"/>
          <w:rtl/>
          <w:lang w:bidi="ar-EG"/>
        </w:rPr>
      </w:pPr>
    </w:p>
    <w:p w14:paraId="2055030B" w14:textId="77777777" w:rsidR="003A0A87" w:rsidRDefault="003A0A87" w:rsidP="00635161">
      <w:pPr>
        <w:rPr>
          <w:rFonts w:ascii="Simplified Arabic" w:hAnsi="Simplified Arabic" w:cs="Simplified Arabic"/>
          <w:sz w:val="28"/>
          <w:szCs w:val="28"/>
          <w:rtl/>
        </w:rPr>
        <w:sectPr w:rsidR="003A0A87" w:rsidSect="00E603AC">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31E38BB" w14:textId="1934946A" w:rsidR="009125CE" w:rsidRPr="00DA5CB4" w:rsidRDefault="009125CE" w:rsidP="00DA5CB4">
      <w:pPr>
        <w:pStyle w:val="Heading1"/>
        <w:jc w:val="center"/>
        <w:rPr>
          <w:rFonts w:ascii="Simplified Arabic" w:hAnsi="Simplified Arabic" w:cs="Simplified Arabic"/>
          <w:b/>
          <w:bCs/>
          <w:color w:val="auto"/>
          <w:sz w:val="40"/>
          <w:szCs w:val="40"/>
          <w:rtl/>
        </w:rPr>
      </w:pPr>
      <w:bookmarkStart w:id="6" w:name="_Toc224661459"/>
      <w:r w:rsidRPr="00DA5CB4">
        <w:rPr>
          <w:rFonts w:ascii="Simplified Arabic" w:hAnsi="Simplified Arabic" w:cs="Simplified Arabic"/>
          <w:b/>
          <w:bCs/>
          <w:color w:val="auto"/>
          <w:sz w:val="40"/>
          <w:szCs w:val="40"/>
          <w:rtl/>
        </w:rPr>
        <w:lastRenderedPageBreak/>
        <w:t>الفصل الأول</w:t>
      </w:r>
      <w:r w:rsidR="00981EAB" w:rsidRPr="00DA5CB4">
        <w:rPr>
          <w:rFonts w:ascii="Simplified Arabic" w:hAnsi="Simplified Arabic" w:cs="Simplified Arabic"/>
          <w:b/>
          <w:bCs/>
          <w:color w:val="auto"/>
          <w:sz w:val="40"/>
          <w:szCs w:val="40"/>
          <w:rtl/>
        </w:rPr>
        <w:t>: الإطار العام للدراسة</w:t>
      </w:r>
      <w:bookmarkEnd w:id="6"/>
    </w:p>
    <w:p w14:paraId="0BD21712" w14:textId="1934946A" w:rsidR="00024493" w:rsidRPr="0094529E" w:rsidRDefault="0094529E" w:rsidP="00843162">
      <w:pPr>
        <w:pStyle w:val="Heading1"/>
        <w:ind w:firstLine="0"/>
        <w:rPr>
          <w:rFonts w:ascii="Simplified Arabic" w:hAnsi="Simplified Arabic" w:cs="Simplified Arabic"/>
          <w:b/>
          <w:bCs/>
          <w:color w:val="auto"/>
        </w:rPr>
      </w:pPr>
      <w:bookmarkStart w:id="7" w:name="_Toc224661460"/>
      <w:r w:rsidRPr="0094529E">
        <w:rPr>
          <w:rFonts w:ascii="Simplified Arabic" w:hAnsi="Simplified Arabic" w:cs="Simplified Arabic"/>
          <w:b/>
          <w:bCs/>
          <w:color w:val="auto"/>
          <w:rtl/>
        </w:rPr>
        <w:t>1.1</w:t>
      </w:r>
      <w:r w:rsidR="009125CE" w:rsidRPr="0094529E">
        <w:rPr>
          <w:rFonts w:ascii="Simplified Arabic" w:hAnsi="Simplified Arabic" w:cs="Simplified Arabic"/>
          <w:b/>
          <w:bCs/>
          <w:color w:val="auto"/>
          <w:rtl/>
        </w:rPr>
        <w:t>المقدمة</w:t>
      </w:r>
      <w:bookmarkEnd w:id="7"/>
    </w:p>
    <w:p w14:paraId="2A59F099" w14:textId="77777777" w:rsidR="00EB0FED" w:rsidRPr="00EB0FED" w:rsidRDefault="00EB0FED" w:rsidP="00EB0FED">
      <w:pPr>
        <w:rPr>
          <w:rFonts w:ascii="Simplified Arabic" w:eastAsia="Times New Roman" w:hAnsi="Simplified Arabic" w:cs="Simplified Arabic"/>
          <w:color w:val="1A1A1A"/>
          <w:sz w:val="28"/>
          <w:szCs w:val="28"/>
        </w:rPr>
      </w:pPr>
      <w:r w:rsidRPr="00EB0FED">
        <w:rPr>
          <w:rFonts w:ascii="Simplified Arabic" w:eastAsia="Times New Roman" w:hAnsi="Simplified Arabic" w:cs="Simplified Arabic"/>
          <w:color w:val="1A1A1A"/>
          <w:sz w:val="28"/>
          <w:szCs w:val="28"/>
          <w:rtl/>
        </w:rPr>
        <w:t>أصبحت البيانات الصحية في القرن الحادي والعشرين تمثل أحد المرتكزات الأساسية في بناء أنظمة الرعاية الصحية الحديثة وتطويرها، إذ اتجهت النظم الصحية في مختلف دول العالم إلى التحول من الاعتماد على السجلات الورقية التقليدية إلى أنظمة رقمية متكاملة تتيح تخزين المعلومات الصحية واسترجاعها وتبادلها وتحليلها بكفاءة أعلى، بما يدعم جودة الرعاية الصحية وسلامة المرضى وفعالية القرارات الطبية والإدارية</w:t>
      </w:r>
      <w:r w:rsidRPr="00EB0FED">
        <w:rPr>
          <w:rFonts w:ascii="Simplified Arabic" w:eastAsia="Times New Roman" w:hAnsi="Simplified Arabic" w:cs="Simplified Arabic"/>
          <w:color w:val="1A1A1A"/>
          <w:sz w:val="28"/>
          <w:szCs w:val="28"/>
        </w:rPr>
        <w:t xml:space="preserve"> (H</w:t>
      </w:r>
      <w:r w:rsidRPr="00EB0FED">
        <w:rPr>
          <w:rFonts w:ascii="Cambria" w:eastAsia="Times New Roman" w:hAnsi="Cambria" w:cs="Cambria"/>
          <w:color w:val="1A1A1A"/>
          <w:sz w:val="28"/>
          <w:szCs w:val="28"/>
        </w:rPr>
        <w:t>ä</w:t>
      </w:r>
      <w:r w:rsidRPr="00EB0FED">
        <w:rPr>
          <w:rFonts w:ascii="Simplified Arabic" w:eastAsia="Times New Roman" w:hAnsi="Simplified Arabic" w:cs="Simplified Arabic"/>
          <w:color w:val="1A1A1A"/>
          <w:sz w:val="28"/>
          <w:szCs w:val="28"/>
        </w:rPr>
        <w:t xml:space="preserve">yrinen et al., 2008; Menachemi &amp; Collum, 2011; World Health Organization, 2021). </w:t>
      </w:r>
      <w:r w:rsidRPr="00EB0FED">
        <w:rPr>
          <w:rFonts w:ascii="Simplified Arabic" w:eastAsia="Times New Roman" w:hAnsi="Simplified Arabic" w:cs="Simplified Arabic"/>
          <w:color w:val="1A1A1A"/>
          <w:sz w:val="28"/>
          <w:szCs w:val="28"/>
          <w:rtl/>
        </w:rPr>
        <w:t>ويُعد الملف الإلكتروني للمريض من أبرز أدوات هذا التحول، بوصفه سجلًا رقميًا منظمًا يجمع البيانات السريرية والتشخيصية والعلاجية والإدارية في صيغة موحدة قابلة للاستخدام من قبل الجهات المعنية بالرعاية الصحية وفق ضوابط محددة</w:t>
      </w:r>
      <w:r w:rsidRPr="00EB0FED">
        <w:rPr>
          <w:rFonts w:ascii="Simplified Arabic" w:eastAsia="Times New Roman" w:hAnsi="Simplified Arabic" w:cs="Simplified Arabic"/>
          <w:color w:val="1A1A1A"/>
          <w:sz w:val="28"/>
          <w:szCs w:val="28"/>
        </w:rPr>
        <w:t xml:space="preserve"> (Bates &amp; Gawande, 2003; Shortliffe &amp; Cimino, 2014).</w:t>
      </w:r>
    </w:p>
    <w:p w14:paraId="576FDCD2" w14:textId="77777777" w:rsidR="00EB0FED" w:rsidRPr="00EB0FED" w:rsidRDefault="00EB0FED" w:rsidP="00EB0FED">
      <w:pPr>
        <w:rPr>
          <w:rFonts w:ascii="Simplified Arabic" w:eastAsia="Times New Roman" w:hAnsi="Simplified Arabic" w:cs="Simplified Arabic"/>
          <w:color w:val="1A1A1A"/>
          <w:sz w:val="28"/>
          <w:szCs w:val="28"/>
        </w:rPr>
      </w:pPr>
      <w:r w:rsidRPr="00EB0FED">
        <w:rPr>
          <w:rFonts w:ascii="Simplified Arabic" w:eastAsia="Times New Roman" w:hAnsi="Simplified Arabic" w:cs="Simplified Arabic"/>
          <w:color w:val="1A1A1A"/>
          <w:sz w:val="28"/>
          <w:szCs w:val="28"/>
          <w:rtl/>
        </w:rPr>
        <w:t>وقد أسهم التوسع في استخدام الملف الإلكتروني للمريض في تحسين كفاءة تقديم الخدمات الصحية، ورفع جودة التنسيق بين مقدمي الرعاية، وتعزيز القدرة على الوصول إلى المعلومات الصحية الدقيقة في الوقت المناسب، كما دعم جهود الحد من الأخطاء الطبية وتحسين سلامة المرضى وكفاءة إدارة الموارد الصحية</w:t>
      </w:r>
      <w:r w:rsidRPr="00EB0FED">
        <w:rPr>
          <w:rFonts w:ascii="Simplified Arabic" w:eastAsia="Times New Roman" w:hAnsi="Simplified Arabic" w:cs="Simplified Arabic"/>
          <w:color w:val="1A1A1A"/>
          <w:sz w:val="28"/>
          <w:szCs w:val="28"/>
        </w:rPr>
        <w:t xml:space="preserve"> (Hillestad et al., 2005; Jha et al., 2009; Alotaibi &amp; Federico, 2020). </w:t>
      </w:r>
      <w:r w:rsidRPr="00EB0FED">
        <w:rPr>
          <w:rFonts w:ascii="Simplified Arabic" w:eastAsia="Times New Roman" w:hAnsi="Simplified Arabic" w:cs="Simplified Arabic"/>
          <w:color w:val="1A1A1A"/>
          <w:sz w:val="28"/>
          <w:szCs w:val="28"/>
          <w:rtl/>
        </w:rPr>
        <w:t>ومع ذلك، فإن القيمة الحقيقية لهذا الملف لا تتوقف على مجرد التحول من الشكل الورقي إلى الشكل الإلكتروني، بل تعتمد بدرجة كبيرة على مدى خضوعه لإطار حوكمة واضح يضمن دقة البيانات، وأمنها، وسريتها، وتكاملها، وإمكانية الوصول المنضبط إليها، بما يحقق الاستخدام الأمثل للمعلومات الصحية ويحد من المخاطر المرتبطة بها</w:t>
      </w:r>
      <w:r w:rsidRPr="00EB0FED">
        <w:rPr>
          <w:rFonts w:ascii="Simplified Arabic" w:eastAsia="Times New Roman" w:hAnsi="Simplified Arabic" w:cs="Simplified Arabic"/>
          <w:color w:val="1A1A1A"/>
          <w:sz w:val="28"/>
          <w:szCs w:val="28"/>
        </w:rPr>
        <w:t xml:space="preserve"> (DAMA International, 2017; Tallon, 2013).</w:t>
      </w:r>
    </w:p>
    <w:p w14:paraId="797749D0" w14:textId="77777777" w:rsidR="00EB0FED" w:rsidRPr="00EB0FED" w:rsidRDefault="00EB0FED" w:rsidP="00EB0FED">
      <w:pPr>
        <w:rPr>
          <w:rFonts w:ascii="Simplified Arabic" w:eastAsia="Times New Roman" w:hAnsi="Simplified Arabic" w:cs="Simplified Arabic"/>
          <w:color w:val="1A1A1A"/>
          <w:sz w:val="28"/>
          <w:szCs w:val="28"/>
        </w:rPr>
      </w:pPr>
      <w:r w:rsidRPr="00EB0FED">
        <w:rPr>
          <w:rFonts w:ascii="Simplified Arabic" w:eastAsia="Times New Roman" w:hAnsi="Simplified Arabic" w:cs="Simplified Arabic"/>
          <w:color w:val="1A1A1A"/>
          <w:sz w:val="28"/>
          <w:szCs w:val="28"/>
          <w:rtl/>
        </w:rPr>
        <w:t xml:space="preserve">وفي سياق المملكة العربية السعودية، اكتسب التحول الرقمي الصحي مكانة استراتيجية متقدمة في ضوء مستهدفات رؤية المملكة 2030، وما صاحبها من مبادرات وطنية لتطوير البنية الرقمية الصحية وتعزيز التكامل بين الجهات الصحية والتأمينية، بما في ذلك التوسع في أنظمة الملف الإلكتروني للمريض، ومشروعات الربط البيني، ومنصة التبادل الإلكتروني للخدمات الصحية والتأمينية، ومشروع الملف الصحي الوطني الموحّد (مجلس الضمان الصحي التعاوني، 2022؛ وزارة الصحة، 2023؛ المركز الوطني للمعلومات الصحية، 2023). وقد أشارت تقارير وطنية ودراسات حديثة إلى أن القطاع الصحي السعودي يشهد تقدمًا ملحوظًا في جاهزية التحول الرقمي، إلا أن هذا التقدم لا يزال يواجه تحديات ترتبط بجودة البيانات، والتشغيل البيني، والبنية الحوكمية، والامتثال التنظيمي، خاصةً في البيئات التي تتطلب تبادلًا </w:t>
      </w:r>
      <w:r w:rsidRPr="00EB0FED">
        <w:rPr>
          <w:rFonts w:ascii="Simplified Arabic" w:eastAsia="Times New Roman" w:hAnsi="Simplified Arabic" w:cs="Simplified Arabic"/>
          <w:color w:val="1A1A1A"/>
          <w:sz w:val="28"/>
          <w:szCs w:val="28"/>
          <w:rtl/>
        </w:rPr>
        <w:lastRenderedPageBreak/>
        <w:t>مكثفًا للبيانات بين أكثر من طرف مؤسسي</w:t>
      </w:r>
      <w:r w:rsidRPr="00EB0FED">
        <w:rPr>
          <w:rFonts w:ascii="Simplified Arabic" w:eastAsia="Times New Roman" w:hAnsi="Simplified Arabic" w:cs="Simplified Arabic"/>
          <w:color w:val="1A1A1A"/>
          <w:sz w:val="28"/>
          <w:szCs w:val="28"/>
        </w:rPr>
        <w:t xml:space="preserve"> (Alasmary et al., 2021; Al-Kahtani et al., 2022; AlSadrah, 2020).</w:t>
      </w:r>
    </w:p>
    <w:p w14:paraId="7057B57C" w14:textId="77777777" w:rsidR="00EB0FED" w:rsidRPr="00EB0FED" w:rsidRDefault="00EB0FED" w:rsidP="00EB0FED">
      <w:pPr>
        <w:rPr>
          <w:rFonts w:ascii="Simplified Arabic" w:eastAsia="Times New Roman" w:hAnsi="Simplified Arabic" w:cs="Simplified Arabic"/>
          <w:color w:val="1A1A1A"/>
          <w:sz w:val="28"/>
          <w:szCs w:val="28"/>
        </w:rPr>
      </w:pPr>
      <w:r w:rsidRPr="00EB0FED">
        <w:rPr>
          <w:rFonts w:ascii="Simplified Arabic" w:eastAsia="Times New Roman" w:hAnsi="Simplified Arabic" w:cs="Simplified Arabic"/>
          <w:color w:val="1A1A1A"/>
          <w:sz w:val="28"/>
          <w:szCs w:val="28"/>
          <w:rtl/>
        </w:rPr>
        <w:t>وتتزايد أهمية حوكمة الملف الإلكتروني للمريض في قطاع التأمين الصحي على وجه الخصوص، نظرًا إلى أن شركات التأمين تعتمد بصورة مباشرة على البيانات الصحية والإدارية الواردة في هذه الملفات عند دراسة المطالبات، واتخاذ القرارات التأمينية، وضبط التكاليف، والحد من الاحتيال، وتقييم جودة الخدمات المقدمة للمستفيدين. ومن ثم، فإن أي قصور في دقة البيانات أو أمنها أو تكاملها أو امتثالها للضوابط التنظيمية قد ينعكس سلبًا على الأداء التشغيلي والمالي والمؤسسي لشركات التأمين الصحي</w:t>
      </w:r>
      <w:r w:rsidRPr="00EB0FED">
        <w:rPr>
          <w:rFonts w:ascii="Simplified Arabic" w:eastAsia="Times New Roman" w:hAnsi="Simplified Arabic" w:cs="Simplified Arabic"/>
          <w:color w:val="1A1A1A"/>
          <w:sz w:val="28"/>
          <w:szCs w:val="28"/>
        </w:rPr>
        <w:t xml:space="preserve"> (Jiang et al., 2017; Bani-Salameh et al., 2023; Porter &amp; Lee, 2013).</w:t>
      </w:r>
    </w:p>
    <w:p w14:paraId="6FDA38E0" w14:textId="77777777" w:rsidR="00EB0FED" w:rsidRPr="00EB0FED" w:rsidRDefault="00EB0FED" w:rsidP="00EB0FED">
      <w:pPr>
        <w:rPr>
          <w:rFonts w:ascii="Simplified Arabic" w:eastAsia="Times New Roman" w:hAnsi="Simplified Arabic" w:cs="Simplified Arabic"/>
          <w:color w:val="1A1A1A"/>
          <w:sz w:val="28"/>
          <w:szCs w:val="28"/>
        </w:rPr>
      </w:pPr>
      <w:r w:rsidRPr="00EB0FED">
        <w:rPr>
          <w:rFonts w:ascii="Simplified Arabic" w:eastAsia="Times New Roman" w:hAnsi="Simplified Arabic" w:cs="Simplified Arabic"/>
          <w:color w:val="1A1A1A"/>
          <w:sz w:val="28"/>
          <w:szCs w:val="28"/>
          <w:rtl/>
        </w:rPr>
        <w:t>وعلى الرغم من هذه الأهمية، لا يزال التناول الأكاديمي العربي لموضوع حوكمة الملف الإلكتروني للمريض في علاقته بالأداء والفاعلية المؤسسية لشركات التأمين الصحي محدودًا، إذ ركزت كثير من الدراسات السابقة على التحول الرقمي الصحي أو واقع السجلات الصحية الإلكترونية في المؤسسات الصحية بوجه عام، دون اختبار مباشر للأبعاد الحوكمية للملف الإلكتروني باعتبارها محددًا من محددات الأداء التأميني والمؤسسي. ومن هنا تنبع أهمية هذه الدراسة، التي تسعى إلى بحث أثر حوكمة الملف الإلكتروني للمريض بأبعادها الخمسة، وهي دقة البيانات، وأمن المعلومات، والامتثال التنظيمي، وإمكانية الوصول، والشفافية والمساءلة، على الأداء والفاعلية المؤسسية لشركات التأمين الصحي في المملكة العربية السعودية، بما يسهم في تقديم فهم علمي أكثر عمقًا للعلاقة بين الحوكمة الرقمية الصحية وكفاءة الأداء في القطاع التأميني</w:t>
      </w:r>
      <w:r w:rsidRPr="00EB0FED">
        <w:rPr>
          <w:rFonts w:ascii="Simplified Arabic" w:eastAsia="Times New Roman" w:hAnsi="Simplified Arabic" w:cs="Simplified Arabic"/>
          <w:color w:val="1A1A1A"/>
          <w:sz w:val="28"/>
          <w:szCs w:val="28"/>
        </w:rPr>
        <w:t>.</w:t>
      </w:r>
    </w:p>
    <w:p w14:paraId="3AA8394C" w14:textId="36E678CD" w:rsidR="00701003" w:rsidRPr="00DA5CB4" w:rsidRDefault="00843162" w:rsidP="00843162">
      <w:pPr>
        <w:pStyle w:val="Heading1"/>
        <w:ind w:firstLine="0"/>
        <w:rPr>
          <w:rFonts w:ascii="Simplified Arabic" w:hAnsi="Simplified Arabic" w:cs="Simplified Arabic"/>
          <w:b/>
          <w:bCs/>
          <w:color w:val="auto"/>
        </w:rPr>
      </w:pPr>
      <w:bookmarkStart w:id="8" w:name="_Toc224661461"/>
      <w:r>
        <w:rPr>
          <w:rFonts w:ascii="Simplified Arabic" w:eastAsia="Times New Roman" w:hAnsi="Simplified Arabic" w:cs="Simplified Arabic" w:hint="cs"/>
          <w:b/>
          <w:bCs/>
          <w:color w:val="auto"/>
          <w:rtl/>
        </w:rPr>
        <w:t xml:space="preserve">1.2 </w:t>
      </w:r>
      <w:r w:rsidR="00701003" w:rsidRPr="00DA5CB4">
        <w:rPr>
          <w:rFonts w:ascii="Simplified Arabic" w:eastAsia="Times New Roman" w:hAnsi="Simplified Arabic" w:cs="Simplified Arabic"/>
          <w:b/>
          <w:bCs/>
          <w:color w:val="auto"/>
          <w:rtl/>
        </w:rPr>
        <w:t>مشكلة الدراسة</w:t>
      </w:r>
      <w:bookmarkEnd w:id="8"/>
    </w:p>
    <w:p w14:paraId="56D64B4F" w14:textId="77777777"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شهدت المملكة العربية السعودية خلال السنوات الأخيرة توسعًا ملحوظًا في مشاريع التحول الرقمي الصحي، بما في ذلك مبادرات الربط البيني للبيانات الصحية، وتطوير المنصات الوطنية لتبادل المعلومات الصحية والتأمينية، وتوسيع نطاق استخدام الملفات الإلكترونية للمريض في المنشآت الصحية. وعلى الرغم من هذا التقدم، لا يزال قطاع التأمين الصحي يواجه عددًا من التحديات التشغيلية والتنظيمية التي ترتبط، بصورة مباشرة أو غير مباشرة، بضعف حوكمة الملف الإلكتروني للمريض أو تباين تطبيقها بين الجهات المختلفة</w:t>
      </w:r>
      <w:r w:rsidRPr="00EB0FED">
        <w:rPr>
          <w:rFonts w:ascii="Simplified Arabic" w:hAnsi="Simplified Arabic" w:cs="Simplified Arabic"/>
          <w:sz w:val="28"/>
          <w:szCs w:val="28"/>
        </w:rPr>
        <w:t>.</w:t>
      </w:r>
    </w:p>
    <w:p w14:paraId="7613F8C0" w14:textId="77777777"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 xml:space="preserve">وتتجلى هذه الإشكالية في عدد من المظاهر العملية؛ من أبرزها تفاوت جودة البيانات المدخلة في أنظمة الملف الإلكتروني بين المنشآت الصحية، وما يترتب على ذلك من اختلاف في دقة المعلومات التي تصل إلى شركات التأمين، الأمر الذي يؤثر في سلامة معالجة المطالبات، وسرعة اتخاذ القرار التأميني، ومستوى الاتساق في الإجراءات. كما تبرز تحديات أخرى ترتبط بأمن المعلومات وحماية الخصوصية، خاصة في </w:t>
      </w:r>
      <w:r w:rsidRPr="00EB0FED">
        <w:rPr>
          <w:rFonts w:ascii="Simplified Arabic" w:hAnsi="Simplified Arabic" w:cs="Simplified Arabic"/>
          <w:sz w:val="28"/>
          <w:szCs w:val="28"/>
          <w:rtl/>
        </w:rPr>
        <w:lastRenderedPageBreak/>
        <w:t>ظل اتساع نطاق تبادل البيانات بين المنشآت الصحية والجهات التأمينية، وما يتطلبه ذلك من تنظيم دقيق لصلاحيات الوصول، وتطبيق فعّال لإجراءات التشفير والرقابة وحماية البيانات</w:t>
      </w:r>
      <w:r w:rsidRPr="00EB0FED">
        <w:rPr>
          <w:rFonts w:ascii="Simplified Arabic" w:hAnsi="Simplified Arabic" w:cs="Simplified Arabic"/>
          <w:sz w:val="28"/>
          <w:szCs w:val="28"/>
        </w:rPr>
        <w:t>.</w:t>
      </w:r>
    </w:p>
    <w:p w14:paraId="773AE2E5" w14:textId="77777777"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وعلى الرغم من التطورات التنظيمية التي شهدها قطاع التأمين الصحي، وما صاحبها من تعزيز لاستخدام المطالبات الإلكترونية والربط مع المنصات الوطنية ذات العلاقة، فإن بعض شركات التأمين لا تزال تواجه ارتفاعًا في معدلات رفض المطالبات أو تأخرًا في معالجتها نتيجة عدم اكتمال البيانات أو ضعف جودتها أو قصور تكاملها. كما أن محدودية الوصول الفوري والمنظم إلى المعلومات الصحية في بعض الحالات قد تؤثر في سرعة الاستجابة التأمينية وكفاءة إدارة التكاليف، لا سيما في الحالات التي تتطلب قرارات عاجلة أو معالجة دقيقة للبيانات الطبية والتأمينية</w:t>
      </w:r>
      <w:r w:rsidRPr="00EB0FED">
        <w:rPr>
          <w:rFonts w:ascii="Simplified Arabic" w:hAnsi="Simplified Arabic" w:cs="Simplified Arabic"/>
          <w:sz w:val="28"/>
          <w:szCs w:val="28"/>
        </w:rPr>
        <w:t>.</w:t>
      </w:r>
    </w:p>
    <w:p w14:paraId="291F62DB" w14:textId="77777777"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وتتضح المشكلة البحثية بصورة أكبر عند مراجعة الأدبيات العربية، إذ يلاحظ وجود نقص في الدراسات الكمية التي تناولت أثر حوكمة الملف الإلكتروني للمريض على الأداء والفاعلية المؤسسية لشركات التأمين الصحي في السياق السعودي. فمعظم الدراسات المتاحة ركزت على التحول الرقمي الصحي بصفة عامة، أو على واقع استخدام السجلات الصحية الإلكترونية في المنشآت الصحية، دون بناء نموذج تحليلي يختبر بصورة مباشرة العلاقة بين أبعاد الحوكمة الرقمية للملف الإلكتروني ومؤشرات الأداء التأميني والمؤسسي</w:t>
      </w:r>
      <w:r w:rsidRPr="00EB0FED">
        <w:rPr>
          <w:rFonts w:ascii="Simplified Arabic" w:hAnsi="Simplified Arabic" w:cs="Simplified Arabic"/>
          <w:sz w:val="28"/>
          <w:szCs w:val="28"/>
        </w:rPr>
        <w:t>.</w:t>
      </w:r>
    </w:p>
    <w:p w14:paraId="3420222F" w14:textId="77777777"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وعليه، تتمثل مشكلة الدراسة في الحاجة إلى الكشف عن مستوى أثر حوكمة الملف الإلكتروني للمريض، بأبعادها المختلفة، على الأداء والفاعلية المؤسسية لشركات التأمين الصحي في المملكة العربية السعودية، في ضوء ما يفرضه التحول الرقمي الصحي من متطلبات تنظيمية وتشغيلية متزايدة</w:t>
      </w:r>
      <w:r w:rsidRPr="00EB0FED">
        <w:rPr>
          <w:rFonts w:ascii="Simplified Arabic" w:hAnsi="Simplified Arabic" w:cs="Simplified Arabic"/>
          <w:sz w:val="28"/>
          <w:szCs w:val="28"/>
        </w:rPr>
        <w:t>.</w:t>
      </w:r>
    </w:p>
    <w:p w14:paraId="648D7BD2" w14:textId="77777777" w:rsidR="00EB0FED" w:rsidRPr="00EB0FED" w:rsidRDefault="00EB0FED" w:rsidP="00EB0FED">
      <w:pPr>
        <w:ind w:firstLine="0"/>
        <w:rPr>
          <w:rFonts w:ascii="Simplified Arabic" w:hAnsi="Simplified Arabic" w:cs="Simplified Arabic"/>
          <w:b/>
          <w:bCs/>
          <w:sz w:val="28"/>
          <w:szCs w:val="28"/>
        </w:rPr>
      </w:pPr>
      <w:r w:rsidRPr="00EB0FED">
        <w:rPr>
          <w:rFonts w:ascii="Simplified Arabic" w:hAnsi="Simplified Arabic" w:cs="Simplified Arabic"/>
          <w:b/>
          <w:bCs/>
          <w:sz w:val="28"/>
          <w:szCs w:val="28"/>
          <w:rtl/>
        </w:rPr>
        <w:t>السؤال الرئيس للدراسة</w:t>
      </w:r>
    </w:p>
    <w:p w14:paraId="70FA4CE9" w14:textId="3B980B90" w:rsidR="00EB0FED" w:rsidRPr="00EB0FED" w:rsidRDefault="00EB0FED" w:rsidP="00EB0FED">
      <w:pPr>
        <w:rPr>
          <w:rFonts w:ascii="Simplified Arabic" w:hAnsi="Simplified Arabic" w:cs="Simplified Arabic"/>
          <w:sz w:val="28"/>
          <w:szCs w:val="28"/>
        </w:rPr>
      </w:pPr>
      <w:r w:rsidRPr="00EB0FED">
        <w:rPr>
          <w:rFonts w:ascii="Simplified Arabic" w:hAnsi="Simplified Arabic" w:cs="Simplified Arabic"/>
          <w:sz w:val="28"/>
          <w:szCs w:val="28"/>
          <w:rtl/>
        </w:rPr>
        <w:t>ما مستوى أثر حوكمة الملف الإلكتروني للمريض بأبعادها الخمسة: دقة البيانات، وأمن المعلومات، والامتثال التنظيمي، وإمكانية الوصول، والشفافية والمساءلة، على الأداء والفاعلية المؤسسية لشركات التأمين الصحي العاملة في المملكة العربية السعودية؟</w:t>
      </w:r>
    </w:p>
    <w:p w14:paraId="47BD462E" w14:textId="3B980B90" w:rsidR="00A52D28" w:rsidRPr="000769AF" w:rsidRDefault="00A52D28" w:rsidP="00843162">
      <w:pPr>
        <w:pStyle w:val="Heading1"/>
        <w:ind w:firstLine="0"/>
        <w:rPr>
          <w:rFonts w:ascii="Simplified Arabic" w:hAnsi="Simplified Arabic" w:cs="Simplified Arabic"/>
          <w:b/>
          <w:bCs/>
          <w:color w:val="auto"/>
        </w:rPr>
      </w:pPr>
      <w:bookmarkStart w:id="9" w:name="_Toc224661462"/>
      <w:r w:rsidRPr="000769AF">
        <w:rPr>
          <w:rFonts w:ascii="Simplified Arabic" w:eastAsia="Times New Roman" w:hAnsi="Simplified Arabic" w:cs="Simplified Arabic"/>
          <w:b/>
          <w:bCs/>
          <w:color w:val="auto"/>
        </w:rPr>
        <w:t>1.3</w:t>
      </w:r>
      <w:r w:rsidRPr="000769AF">
        <w:rPr>
          <w:rFonts w:ascii="Simplified Arabic" w:eastAsia="Times New Roman" w:hAnsi="Simplified Arabic" w:cs="Simplified Arabic"/>
          <w:b/>
          <w:bCs/>
          <w:color w:val="auto"/>
          <w:rtl/>
        </w:rPr>
        <w:t>أهمية الدراسة</w:t>
      </w:r>
      <w:bookmarkEnd w:id="9"/>
    </w:p>
    <w:p w14:paraId="7A6678D0" w14:textId="77777777" w:rsidR="00843162" w:rsidRPr="00843162" w:rsidRDefault="00843162" w:rsidP="00843162">
      <w:pPr>
        <w:spacing w:before="60" w:after="60"/>
        <w:ind w:right="440"/>
        <w:rPr>
          <w:rFonts w:ascii="Simplified Arabic" w:hAnsi="Simplified Arabic" w:cs="Simplified Arabic"/>
          <w:b/>
          <w:bCs/>
          <w:sz w:val="28"/>
          <w:szCs w:val="28"/>
        </w:rPr>
      </w:pPr>
      <w:r w:rsidRPr="00843162">
        <w:rPr>
          <w:rFonts w:ascii="Simplified Arabic" w:hAnsi="Simplified Arabic" w:cs="Simplified Arabic"/>
          <w:b/>
          <w:bCs/>
          <w:sz w:val="28"/>
          <w:szCs w:val="28"/>
          <w:rtl/>
        </w:rPr>
        <w:t>أولًا: الأهمية العلمية</w:t>
      </w:r>
    </w:p>
    <w:p w14:paraId="4835B959" w14:textId="77777777"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t>تستمد هذه الدراسة أهميتها العلمية من كونها تتناول موضوعًا حديثًا ومتداخل الأبعاد يقع عند تقاطع إدارة المعلومات الصحية، والتحول الرقمي، وحوكمة البيانات، والأداء المؤسسي في قطاع التأمين الصحي. كما تسهم في معالجة فجوة معرفية في الأدب العربي تتمثل في محدودية الدراسات الكمية التي اختبرت العلاقة المباشرة بين حوكمة الملف الإلكتروني للمريض ومؤشرات الأداء المؤسسي في شركات التأمين الصحي السعودية</w:t>
      </w:r>
      <w:r w:rsidRPr="00843162">
        <w:rPr>
          <w:rFonts w:ascii="Simplified Arabic" w:hAnsi="Simplified Arabic" w:cs="Simplified Arabic"/>
          <w:sz w:val="28"/>
          <w:szCs w:val="28"/>
        </w:rPr>
        <w:t>.</w:t>
      </w:r>
    </w:p>
    <w:p w14:paraId="501479DA" w14:textId="77777777"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lastRenderedPageBreak/>
        <w:t>وتنبع أهميتها كذلك من اعتمادها على بناء نظري مركب يجمع بين نظرية حوكمة تكنولوجيا المعلومات، ونظرية الموارد والكفاءات، وإطار حوكمة البيانات، بما يوفر أساسًا مفاهيميًا متماسكًا لتفسير العلاقة بين جودة الحوكمة الرقمية للملف الإلكتروني وبين تحسين الأداء المؤسسي. كما تقدم الدراسة أداة قياس محكمة يمكن الإفادة منها في الدراسات المستقبلية ذات الصلة، سواء في البيئة السعودية أو في بيئات عربية مشابهة</w:t>
      </w:r>
      <w:r w:rsidRPr="00843162">
        <w:rPr>
          <w:rFonts w:ascii="Simplified Arabic" w:hAnsi="Simplified Arabic" w:cs="Simplified Arabic"/>
          <w:sz w:val="28"/>
          <w:szCs w:val="28"/>
        </w:rPr>
        <w:t>.</w:t>
      </w:r>
    </w:p>
    <w:p w14:paraId="3C9376F6" w14:textId="77777777"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t>ومن جانب آخر، فإن نتائج هذه الدراسة قد تفتح المجال أمام دراسات لاحقة تتناول جوانب أكثر تقدمًا في حوكمة البيانات الصحية، مثل توظيف الذكاء الاصطناعي، وتحليلات البيانات الضخمة، والحوكمة الذكية للأنظمة الصحية الرقمية، وعلاقتها بتحسين كفاءة قطاع التأمين الصحي وجودة خدماته</w:t>
      </w:r>
      <w:r w:rsidRPr="00843162">
        <w:rPr>
          <w:rFonts w:ascii="Simplified Arabic" w:hAnsi="Simplified Arabic" w:cs="Simplified Arabic"/>
          <w:sz w:val="28"/>
          <w:szCs w:val="28"/>
        </w:rPr>
        <w:t>.</w:t>
      </w:r>
    </w:p>
    <w:p w14:paraId="0047A23F" w14:textId="77777777" w:rsidR="00843162" w:rsidRPr="00843162" w:rsidRDefault="00843162" w:rsidP="00843162">
      <w:pPr>
        <w:spacing w:before="60" w:after="60"/>
        <w:ind w:right="440" w:firstLine="0"/>
        <w:rPr>
          <w:rFonts w:ascii="Simplified Arabic" w:hAnsi="Simplified Arabic" w:cs="Simplified Arabic"/>
          <w:b/>
          <w:bCs/>
          <w:sz w:val="28"/>
          <w:szCs w:val="28"/>
        </w:rPr>
      </w:pPr>
      <w:r w:rsidRPr="00843162">
        <w:rPr>
          <w:rFonts w:ascii="Simplified Arabic" w:hAnsi="Simplified Arabic" w:cs="Simplified Arabic"/>
          <w:b/>
          <w:bCs/>
          <w:sz w:val="28"/>
          <w:szCs w:val="28"/>
          <w:rtl/>
        </w:rPr>
        <w:t>ثانيًا: الأهمية العملية والتطبيقية</w:t>
      </w:r>
    </w:p>
    <w:p w14:paraId="57280D6C" w14:textId="77777777"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t>تنبع الأهمية التطبيقية للدراسة من ارتباطها المباشر بقطاع حيوي يشهد توسعًا مستمرًا في المملكة العربية السعودية، وهو قطاع التأمين الصحي، الذي يتأثر بدرجة كبيرة بجودة البيانات الصحية المتبادلة بينه وبين مقدمي الخدمات الصحية. ومن ثم، فإن نتائج الدراسة يمكن أن توفر أدلة كمية تساعد الجهات التنظيمية على تطوير سياسات أكثر فاعلية في مجال حوكمة الملف الإلكتروني للمريض، وتعزيز الضوابط المرتبطة بجودة البيانات، والامتثال التنظيمي، وأمن المعلومات</w:t>
      </w:r>
      <w:r w:rsidRPr="00843162">
        <w:rPr>
          <w:rFonts w:ascii="Simplified Arabic" w:hAnsi="Simplified Arabic" w:cs="Simplified Arabic"/>
          <w:sz w:val="28"/>
          <w:szCs w:val="28"/>
        </w:rPr>
        <w:t>.</w:t>
      </w:r>
    </w:p>
    <w:p w14:paraId="3697CD77" w14:textId="77777777"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t>كما يمكن أن تساعد الدراسة شركات التأمين الصحي على تشخيص أوجه القصور في المنظومة الحوكمية المرتبطة باستخدام الملفات الإلكترونية، وتحديد الأبعاد الأكثر تأثيرًا في الأداء والفاعلية المؤسسية، بما يسهم في توجيه قراراتها الإدارية والتقنية نحو مجالات التحسين ذات الأولوية. كذلك تمثل الدراسة مرجعًا عمليًا للمنشآت الصحية المتعاقدة مع شركات التأمين، من خلال إبراز المتطلبات الحوكمية التي تسهم في تحسين جودة التبادل الإلكتروني للبيانات وتقليل الأخطاء ورفع كفاءة معالجة المطالبات</w:t>
      </w:r>
      <w:r w:rsidRPr="00843162">
        <w:rPr>
          <w:rFonts w:ascii="Simplified Arabic" w:hAnsi="Simplified Arabic" w:cs="Simplified Arabic"/>
          <w:sz w:val="28"/>
          <w:szCs w:val="28"/>
        </w:rPr>
        <w:t>.</w:t>
      </w:r>
    </w:p>
    <w:p w14:paraId="6615349C" w14:textId="29AAD185" w:rsidR="00843162" w:rsidRPr="00843162" w:rsidRDefault="00843162" w:rsidP="00843162">
      <w:pPr>
        <w:spacing w:before="60" w:after="60"/>
        <w:ind w:right="440"/>
        <w:rPr>
          <w:rFonts w:ascii="Simplified Arabic" w:hAnsi="Simplified Arabic" w:cs="Simplified Arabic"/>
          <w:sz w:val="28"/>
          <w:szCs w:val="28"/>
        </w:rPr>
      </w:pPr>
      <w:r w:rsidRPr="00843162">
        <w:rPr>
          <w:rFonts w:ascii="Simplified Arabic" w:hAnsi="Simplified Arabic" w:cs="Simplified Arabic"/>
          <w:sz w:val="28"/>
          <w:szCs w:val="28"/>
          <w:rtl/>
        </w:rPr>
        <w:t>وتتضح الأهمية التطبيقية أيضًا في أن الدراسة قد تسهم في دعم الجهود الرامية إلى ترشيد الإنفاق الصحي، من خلال الكشف عن العلاقة بين جودة الحوكمة الرقمية للملف الإلكتروني والحد من الهدر، وتقليل فرص الاحتيال، وتحسين كفاءة إدارة التكاليف، وتعزيز رضا المستفيدين والثقة المؤسسية في الخدمات التأمينية والصحية</w:t>
      </w:r>
      <w:r w:rsidRPr="00843162">
        <w:rPr>
          <w:rFonts w:ascii="Simplified Arabic" w:hAnsi="Simplified Arabic" w:cs="Simplified Arabic"/>
          <w:sz w:val="28"/>
          <w:szCs w:val="28"/>
        </w:rPr>
        <w:t>.</w:t>
      </w:r>
    </w:p>
    <w:p w14:paraId="57ECBC76" w14:textId="50BB731E" w:rsidR="00A52D28" w:rsidRPr="000769AF" w:rsidRDefault="002C1776" w:rsidP="002C1776">
      <w:pPr>
        <w:pStyle w:val="Heading1"/>
        <w:ind w:firstLine="0"/>
        <w:rPr>
          <w:rFonts w:ascii="Simplified Arabic" w:hAnsi="Simplified Arabic" w:cs="Simplified Arabic"/>
          <w:b/>
          <w:bCs/>
          <w:color w:val="auto"/>
        </w:rPr>
      </w:pPr>
      <w:bookmarkStart w:id="10" w:name="_Toc224661463"/>
      <w:r>
        <w:rPr>
          <w:rFonts w:ascii="Simplified Arabic" w:eastAsia="Times New Roman" w:hAnsi="Simplified Arabic" w:cs="Simplified Arabic" w:hint="cs"/>
          <w:b/>
          <w:bCs/>
          <w:color w:val="auto"/>
          <w:rtl/>
          <w:lang w:bidi="ar-EG"/>
        </w:rPr>
        <w:t>1.4</w:t>
      </w:r>
      <w:r w:rsidR="000769AF" w:rsidRPr="000769AF">
        <w:rPr>
          <w:rFonts w:ascii="Simplified Arabic" w:eastAsia="Times New Roman" w:hAnsi="Simplified Arabic" w:cs="Simplified Arabic"/>
          <w:b/>
          <w:bCs/>
          <w:color w:val="auto"/>
          <w:rtl/>
        </w:rPr>
        <w:t xml:space="preserve"> أهداف</w:t>
      </w:r>
      <w:r w:rsidR="00A52D28" w:rsidRPr="000769AF">
        <w:rPr>
          <w:rFonts w:ascii="Simplified Arabic" w:eastAsia="Times New Roman" w:hAnsi="Simplified Arabic" w:cs="Simplified Arabic"/>
          <w:b/>
          <w:bCs/>
          <w:color w:val="auto"/>
          <w:rtl/>
        </w:rPr>
        <w:t xml:space="preserve"> الدراسة</w:t>
      </w:r>
      <w:bookmarkEnd w:id="10"/>
    </w:p>
    <w:p w14:paraId="3B4248A8" w14:textId="77777777" w:rsidR="002C1776" w:rsidRPr="002C1776" w:rsidRDefault="002C1776" w:rsidP="002C1776">
      <w:pPr>
        <w:ind w:firstLine="0"/>
        <w:rPr>
          <w:rFonts w:ascii="Simplified Arabic" w:hAnsi="Simplified Arabic" w:cs="Simplified Arabic"/>
          <w:b/>
          <w:bCs/>
          <w:sz w:val="28"/>
          <w:szCs w:val="28"/>
        </w:rPr>
      </w:pPr>
      <w:r w:rsidRPr="002C1776">
        <w:rPr>
          <w:rFonts w:ascii="Simplified Arabic" w:hAnsi="Simplified Arabic" w:cs="Simplified Arabic"/>
          <w:b/>
          <w:bCs/>
          <w:sz w:val="28"/>
          <w:szCs w:val="28"/>
          <w:rtl/>
        </w:rPr>
        <w:t>أولًا: الهدف العام</w:t>
      </w:r>
    </w:p>
    <w:p w14:paraId="78EA1D7C" w14:textId="77777777" w:rsidR="002C1776" w:rsidRPr="002C1776" w:rsidRDefault="002C1776" w:rsidP="002C1776">
      <w:pPr>
        <w:rPr>
          <w:rFonts w:ascii="Simplified Arabic" w:hAnsi="Simplified Arabic" w:cs="Simplified Arabic"/>
          <w:sz w:val="28"/>
          <w:szCs w:val="28"/>
        </w:rPr>
      </w:pPr>
      <w:r w:rsidRPr="002C1776">
        <w:rPr>
          <w:rFonts w:ascii="Simplified Arabic" w:hAnsi="Simplified Arabic" w:cs="Simplified Arabic"/>
          <w:sz w:val="28"/>
          <w:szCs w:val="28"/>
          <w:rtl/>
        </w:rPr>
        <w:t xml:space="preserve">تهدف الدراسة بصفة رئيسة إلى التعرف إلى أثر حوكمة الملف الإلكتروني للمريض، بأبعادها الخمسة، على مستوى الأداء والفاعلية المؤسسية لشركات التأمين الصحي في المملكة العربية السعودية، وصولًا إلى </w:t>
      </w:r>
      <w:r w:rsidRPr="002C1776">
        <w:rPr>
          <w:rFonts w:ascii="Simplified Arabic" w:hAnsi="Simplified Arabic" w:cs="Simplified Arabic"/>
          <w:sz w:val="28"/>
          <w:szCs w:val="28"/>
          <w:rtl/>
        </w:rPr>
        <w:lastRenderedPageBreak/>
        <w:t>تقديم توصيات عملية تسهم في تعزيز كفاءة هذه الشركات وقدرتها على استثمار حوكمة البيانات الصحية بوصفها ركيزة استراتيجية لتحسين الأداء التشغيلي والمؤسسي</w:t>
      </w:r>
      <w:r w:rsidRPr="002C1776">
        <w:rPr>
          <w:rFonts w:ascii="Simplified Arabic" w:hAnsi="Simplified Arabic" w:cs="Simplified Arabic"/>
          <w:sz w:val="28"/>
          <w:szCs w:val="28"/>
        </w:rPr>
        <w:t>.</w:t>
      </w:r>
    </w:p>
    <w:p w14:paraId="487A10B0" w14:textId="77777777" w:rsidR="002C1776" w:rsidRPr="002C1776" w:rsidRDefault="002C1776" w:rsidP="002C1776">
      <w:pPr>
        <w:ind w:firstLine="0"/>
        <w:rPr>
          <w:rFonts w:ascii="Simplified Arabic" w:hAnsi="Simplified Arabic" w:cs="Simplified Arabic"/>
          <w:b/>
          <w:bCs/>
          <w:sz w:val="28"/>
          <w:szCs w:val="28"/>
        </w:rPr>
      </w:pPr>
      <w:r w:rsidRPr="002C1776">
        <w:rPr>
          <w:rFonts w:ascii="Simplified Arabic" w:hAnsi="Simplified Arabic" w:cs="Simplified Arabic"/>
          <w:b/>
          <w:bCs/>
          <w:sz w:val="28"/>
          <w:szCs w:val="28"/>
          <w:rtl/>
        </w:rPr>
        <w:t>ثانيًا: الأهداف الفرعية</w:t>
      </w:r>
    </w:p>
    <w:p w14:paraId="0DDF067C"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التعرف إلى واقع تطبيق حوكمة الملف الإلكتروني للمريض في المنشآت الصحية وشركات التأمين الصحي محل الدراسة</w:t>
      </w:r>
      <w:r w:rsidRPr="002C1776">
        <w:rPr>
          <w:rFonts w:ascii="Simplified Arabic" w:hAnsi="Simplified Arabic" w:cs="Simplified Arabic"/>
          <w:sz w:val="28"/>
          <w:szCs w:val="28"/>
        </w:rPr>
        <w:t>.</w:t>
      </w:r>
    </w:p>
    <w:p w14:paraId="40086EA8"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قياس أثر دقة البيانات وسلامتها في الملف الإلكتروني للمريض على الكفاءة التشغيلية وجودة الخدمة في شركات التأمين الصحي</w:t>
      </w:r>
      <w:r w:rsidRPr="002C1776">
        <w:rPr>
          <w:rFonts w:ascii="Simplified Arabic" w:hAnsi="Simplified Arabic" w:cs="Simplified Arabic"/>
          <w:sz w:val="28"/>
          <w:szCs w:val="28"/>
        </w:rPr>
        <w:t>.</w:t>
      </w:r>
    </w:p>
    <w:p w14:paraId="1E89F1EF"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التعرف إلى أثر آليات أمن المعلومات وإدارة الصلاحيات في الملف الإلكتروني للمريض على فاعلية اتخاذ القرار التأميني والحد من حالات الاحتيال</w:t>
      </w:r>
      <w:r w:rsidRPr="002C1776">
        <w:rPr>
          <w:rFonts w:ascii="Simplified Arabic" w:hAnsi="Simplified Arabic" w:cs="Simplified Arabic"/>
          <w:sz w:val="28"/>
          <w:szCs w:val="28"/>
        </w:rPr>
        <w:t>.</w:t>
      </w:r>
    </w:p>
    <w:p w14:paraId="2D131B91"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قياس أثر الامتثال التنظيمي لأطر الحوكمة الوطنية للملف الإلكتروني للمريض على الأداء المالي والتشغيلي لشركات التأمين الصحي</w:t>
      </w:r>
      <w:r w:rsidRPr="002C1776">
        <w:rPr>
          <w:rFonts w:ascii="Simplified Arabic" w:hAnsi="Simplified Arabic" w:cs="Simplified Arabic"/>
          <w:sz w:val="28"/>
          <w:szCs w:val="28"/>
        </w:rPr>
        <w:t>.</w:t>
      </w:r>
    </w:p>
    <w:p w14:paraId="511556ED"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الكشف عن أثر إمكانية الوصول الفوري إلى الملف الإلكتروني للمريض وتكامله مع منصة نفيس على رضا المستفيدين وكفاءة إدارة التكاليف</w:t>
      </w:r>
      <w:r w:rsidRPr="002C1776">
        <w:rPr>
          <w:rFonts w:ascii="Simplified Arabic" w:hAnsi="Simplified Arabic" w:cs="Simplified Arabic"/>
          <w:sz w:val="28"/>
          <w:szCs w:val="28"/>
        </w:rPr>
        <w:t>.</w:t>
      </w:r>
    </w:p>
    <w:p w14:paraId="3AB4A65A" w14:textId="77777777" w:rsidR="002C1776"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التعرف إلى دور آليات الشفافية والمساءلة المضمنة في نظام الملف الإلكتروني للمريض في تعزيز الفاعلية المؤسسية لشركات التأمين الصحي</w:t>
      </w:r>
      <w:r w:rsidRPr="002C1776">
        <w:rPr>
          <w:rFonts w:ascii="Simplified Arabic" w:hAnsi="Simplified Arabic" w:cs="Simplified Arabic"/>
          <w:sz w:val="28"/>
          <w:szCs w:val="28"/>
        </w:rPr>
        <w:t>.</w:t>
      </w:r>
    </w:p>
    <w:p w14:paraId="07042BA3" w14:textId="49748C72" w:rsidR="00A52D28" w:rsidRPr="002C1776" w:rsidRDefault="002C1776" w:rsidP="002C1776">
      <w:pPr>
        <w:numPr>
          <w:ilvl w:val="0"/>
          <w:numId w:val="14"/>
        </w:numPr>
        <w:rPr>
          <w:rFonts w:ascii="Simplified Arabic" w:hAnsi="Simplified Arabic" w:cs="Simplified Arabic"/>
          <w:sz w:val="28"/>
          <w:szCs w:val="28"/>
        </w:rPr>
      </w:pPr>
      <w:r w:rsidRPr="002C1776">
        <w:rPr>
          <w:rFonts w:ascii="Simplified Arabic" w:hAnsi="Simplified Arabic" w:cs="Simplified Arabic"/>
          <w:sz w:val="28"/>
          <w:szCs w:val="28"/>
          <w:rtl/>
        </w:rPr>
        <w:t>بناء نموذج بحثي يفسر العلاقة بين أبعاد حوكمة الملف الإلكتروني للمريض ومستوى الأداء والفاعلية المؤسسية لشركات التأمين الصحي</w:t>
      </w:r>
      <w:r w:rsidRPr="002C1776">
        <w:rPr>
          <w:rFonts w:ascii="Simplified Arabic" w:hAnsi="Simplified Arabic" w:cs="Simplified Arabic"/>
          <w:sz w:val="28"/>
          <w:szCs w:val="28"/>
        </w:rPr>
        <w:t>.</w:t>
      </w:r>
    </w:p>
    <w:p w14:paraId="37B8C330" w14:textId="67C93616" w:rsidR="00A52D28" w:rsidRPr="000769AF" w:rsidRDefault="00A52D28" w:rsidP="000769AF">
      <w:pPr>
        <w:pStyle w:val="Heading1"/>
        <w:rPr>
          <w:rFonts w:ascii="Simplified Arabic" w:hAnsi="Simplified Arabic" w:cs="Simplified Arabic"/>
          <w:b/>
          <w:bCs/>
          <w:color w:val="auto"/>
        </w:rPr>
      </w:pPr>
      <w:bookmarkStart w:id="11" w:name="_Toc224661464"/>
      <w:r w:rsidRPr="000769AF">
        <w:rPr>
          <w:rFonts w:ascii="Simplified Arabic" w:eastAsia="Times New Roman" w:hAnsi="Simplified Arabic" w:cs="Simplified Arabic"/>
          <w:b/>
          <w:bCs/>
          <w:color w:val="auto"/>
          <w:rtl/>
        </w:rPr>
        <w:t>1.5  تساؤلات الدراسة</w:t>
      </w:r>
      <w:bookmarkEnd w:id="11"/>
    </w:p>
    <w:p w14:paraId="1001D2D5" w14:textId="77777777" w:rsidR="002C1776" w:rsidRPr="002C1776" w:rsidRDefault="002C1776" w:rsidP="002C1776">
      <w:pPr>
        <w:rPr>
          <w:rFonts w:ascii="Simplified Arabic" w:hAnsi="Simplified Arabic" w:cs="Simplified Arabic"/>
          <w:sz w:val="28"/>
          <w:szCs w:val="28"/>
        </w:rPr>
      </w:pPr>
      <w:r w:rsidRPr="002C1776">
        <w:rPr>
          <w:rFonts w:ascii="Simplified Arabic" w:hAnsi="Simplified Arabic" w:cs="Simplified Arabic"/>
          <w:sz w:val="28"/>
          <w:szCs w:val="28"/>
          <w:rtl/>
        </w:rPr>
        <w:t>تنبثق عن السؤال الرئيس للدراسة مجموعة من التساؤلات الفرعية التي توجه مسار البحث وتحدد طبيعة التحليل الإحصائي المطلوب، وذلك على النحو الآتي</w:t>
      </w:r>
      <w:r w:rsidRPr="002C1776">
        <w:rPr>
          <w:rFonts w:ascii="Simplified Arabic" w:hAnsi="Simplified Arabic" w:cs="Simplified Arabic"/>
          <w:sz w:val="28"/>
          <w:szCs w:val="28"/>
        </w:rPr>
        <w:t>:</w:t>
      </w:r>
    </w:p>
    <w:p w14:paraId="3101E5DC" w14:textId="77777777" w:rsidR="002C1776" w:rsidRPr="002C1776" w:rsidRDefault="002C1776" w:rsidP="002C1776">
      <w:pPr>
        <w:numPr>
          <w:ilvl w:val="0"/>
          <w:numId w:val="15"/>
        </w:numPr>
        <w:rPr>
          <w:rFonts w:ascii="Simplified Arabic" w:hAnsi="Simplified Arabic" w:cs="Simplified Arabic"/>
          <w:sz w:val="28"/>
          <w:szCs w:val="28"/>
        </w:rPr>
      </w:pPr>
      <w:r w:rsidRPr="002C1776">
        <w:rPr>
          <w:rFonts w:ascii="Simplified Arabic" w:hAnsi="Simplified Arabic" w:cs="Simplified Arabic"/>
          <w:sz w:val="28"/>
          <w:szCs w:val="28"/>
          <w:rtl/>
        </w:rPr>
        <w:t>ما مستوى أثر دقة البيانات في الملف الإلكتروني للمريض على الكفاءة التشغيلية وجودة الخدمة في شركات التأمين الصحي بالمملكة العربية السعودية؟</w:t>
      </w:r>
    </w:p>
    <w:p w14:paraId="30DBF068" w14:textId="77777777" w:rsidR="002C1776" w:rsidRPr="002C1776" w:rsidRDefault="002C1776" w:rsidP="002C1776">
      <w:pPr>
        <w:numPr>
          <w:ilvl w:val="0"/>
          <w:numId w:val="15"/>
        </w:numPr>
        <w:rPr>
          <w:rFonts w:ascii="Simplified Arabic" w:hAnsi="Simplified Arabic" w:cs="Simplified Arabic"/>
          <w:sz w:val="28"/>
          <w:szCs w:val="28"/>
        </w:rPr>
      </w:pPr>
      <w:r w:rsidRPr="002C1776">
        <w:rPr>
          <w:rFonts w:ascii="Simplified Arabic" w:hAnsi="Simplified Arabic" w:cs="Simplified Arabic"/>
          <w:sz w:val="28"/>
          <w:szCs w:val="28"/>
          <w:rtl/>
        </w:rPr>
        <w:t>ما مستوى أثر آليات أمن المعلومات وإدارة الصلاحيات في الملف الإلكتروني للمريض على فاعلية اتخاذ القرار التأميني والحد من حالات الاحتيال؟</w:t>
      </w:r>
    </w:p>
    <w:p w14:paraId="00A28433" w14:textId="77777777" w:rsidR="002C1776" w:rsidRPr="002C1776" w:rsidRDefault="002C1776" w:rsidP="002C1776">
      <w:pPr>
        <w:numPr>
          <w:ilvl w:val="0"/>
          <w:numId w:val="15"/>
        </w:numPr>
        <w:rPr>
          <w:rFonts w:ascii="Simplified Arabic" w:hAnsi="Simplified Arabic" w:cs="Simplified Arabic"/>
          <w:sz w:val="28"/>
          <w:szCs w:val="28"/>
        </w:rPr>
      </w:pPr>
      <w:r w:rsidRPr="002C1776">
        <w:rPr>
          <w:rFonts w:ascii="Simplified Arabic" w:hAnsi="Simplified Arabic" w:cs="Simplified Arabic"/>
          <w:sz w:val="28"/>
          <w:szCs w:val="28"/>
          <w:rtl/>
        </w:rPr>
        <w:t>ما مستوى أثر الامتثال التنظيمي لأطر الحوكمة الوطنية للملف الإلكتروني للمريض على الأداء المالي والتشغيلي لشركات التأمين الصحي؟</w:t>
      </w:r>
    </w:p>
    <w:p w14:paraId="75B657C4" w14:textId="77777777" w:rsidR="002C1776" w:rsidRPr="002C1776" w:rsidRDefault="002C1776" w:rsidP="002C1776">
      <w:pPr>
        <w:numPr>
          <w:ilvl w:val="0"/>
          <w:numId w:val="15"/>
        </w:numPr>
        <w:rPr>
          <w:rFonts w:ascii="Simplified Arabic" w:hAnsi="Simplified Arabic" w:cs="Simplified Arabic"/>
          <w:sz w:val="28"/>
          <w:szCs w:val="28"/>
        </w:rPr>
      </w:pPr>
      <w:r w:rsidRPr="002C1776">
        <w:rPr>
          <w:rFonts w:ascii="Simplified Arabic" w:hAnsi="Simplified Arabic" w:cs="Simplified Arabic"/>
          <w:sz w:val="28"/>
          <w:szCs w:val="28"/>
          <w:rtl/>
        </w:rPr>
        <w:lastRenderedPageBreak/>
        <w:t>ما مستوى أثر إمكانية الوصول الفوري إلى الملف الإلكتروني للمريض وتكامله مع منصة نفيس على رضا المستفيدين وكفاءة إدارة التكاليف؟</w:t>
      </w:r>
    </w:p>
    <w:p w14:paraId="64A1FC4C" w14:textId="7C50C9F3" w:rsidR="002C1776" w:rsidRPr="002C1776" w:rsidRDefault="002C1776" w:rsidP="002C1776">
      <w:pPr>
        <w:numPr>
          <w:ilvl w:val="0"/>
          <w:numId w:val="15"/>
        </w:numPr>
        <w:rPr>
          <w:rFonts w:ascii="Simplified Arabic" w:hAnsi="Simplified Arabic" w:cs="Simplified Arabic"/>
          <w:sz w:val="28"/>
          <w:szCs w:val="28"/>
        </w:rPr>
      </w:pPr>
      <w:r w:rsidRPr="002C1776">
        <w:rPr>
          <w:rFonts w:ascii="Simplified Arabic" w:hAnsi="Simplified Arabic" w:cs="Simplified Arabic"/>
          <w:sz w:val="28"/>
          <w:szCs w:val="28"/>
          <w:rtl/>
        </w:rPr>
        <w:t>ما مستوى أثر آليات الشفافية والمساءلة المضمنة في نظام الملف الإلكتروني للمريض على الفاعلية المؤسسية لشركات التأمين الصحي في المملكة العربية السعودية؟</w:t>
      </w:r>
    </w:p>
    <w:p w14:paraId="1C974D6D" w14:textId="23B53BCA" w:rsidR="00A52D28" w:rsidRPr="003E75C0" w:rsidRDefault="00A52D28" w:rsidP="003E75C0">
      <w:pPr>
        <w:pStyle w:val="Heading1"/>
        <w:rPr>
          <w:rFonts w:ascii="Simplified Arabic" w:hAnsi="Simplified Arabic" w:cs="Simplified Arabic"/>
          <w:b/>
          <w:bCs/>
          <w:color w:val="auto"/>
        </w:rPr>
      </w:pPr>
      <w:bookmarkStart w:id="12" w:name="_Toc224661465"/>
      <w:r w:rsidRPr="003E75C0">
        <w:rPr>
          <w:rFonts w:ascii="Simplified Arabic" w:eastAsia="Times New Roman" w:hAnsi="Simplified Arabic" w:cs="Simplified Arabic"/>
          <w:b/>
          <w:bCs/>
          <w:color w:val="auto"/>
          <w:rtl/>
        </w:rPr>
        <w:t>1.6  فروض الدراسة</w:t>
      </w:r>
      <w:bookmarkEnd w:id="12"/>
    </w:p>
    <w:p w14:paraId="1487E473" w14:textId="77777777" w:rsidR="00C24248" w:rsidRPr="00C24248" w:rsidRDefault="00C24248" w:rsidP="00C24248">
      <w:p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استنادًا إلى مشكلة الدراسة وتساؤلاتها، وبالاستفادة من الأدبيات ذات الصلة، صيغت الفروض الآتية لاختبارها إحصائيًا عند مستوى الدلالة</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w:t>
      </w:r>
    </w:p>
    <w:p w14:paraId="3C53D22A" w14:textId="77777777" w:rsidR="00C24248" w:rsidRPr="00C24248" w:rsidRDefault="00C24248" w:rsidP="00C24248">
      <w:pPr>
        <w:rPr>
          <w:rFonts w:ascii="Simplified Arabic" w:eastAsia="Times New Roman" w:hAnsi="Simplified Arabic" w:cs="Simplified Arabic"/>
          <w:b/>
          <w:bCs/>
          <w:color w:val="1A1A1A"/>
          <w:sz w:val="28"/>
          <w:szCs w:val="28"/>
        </w:rPr>
      </w:pPr>
      <w:r w:rsidRPr="00C24248">
        <w:rPr>
          <w:rFonts w:ascii="Simplified Arabic" w:eastAsia="Times New Roman" w:hAnsi="Simplified Arabic" w:cs="Simplified Arabic"/>
          <w:b/>
          <w:bCs/>
          <w:color w:val="1A1A1A"/>
          <w:sz w:val="28"/>
          <w:szCs w:val="28"/>
          <w:rtl/>
        </w:rPr>
        <w:t>الفرضية الرئيسة</w:t>
      </w:r>
    </w:p>
    <w:p w14:paraId="76B26C8C" w14:textId="77777777" w:rsidR="00C24248" w:rsidRPr="00C24248" w:rsidRDefault="00C24248" w:rsidP="00C24248">
      <w:p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حوكمة الملف الإلكتروني للمريض بأبعادها الخمسة مجتمعة، وبين الأداء والفاعلية المؤسسية لشركات التأمين الصحي في المملكة العربية السعودية</w:t>
      </w:r>
      <w:r w:rsidRPr="00C24248">
        <w:rPr>
          <w:rFonts w:ascii="Simplified Arabic" w:eastAsia="Times New Roman" w:hAnsi="Simplified Arabic" w:cs="Simplified Arabic"/>
          <w:color w:val="1A1A1A"/>
          <w:sz w:val="28"/>
          <w:szCs w:val="28"/>
        </w:rPr>
        <w:t>.</w:t>
      </w:r>
    </w:p>
    <w:p w14:paraId="35FB2827" w14:textId="77777777" w:rsidR="00C24248" w:rsidRPr="00C24248" w:rsidRDefault="00C24248" w:rsidP="00C24248">
      <w:p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الفرضية الصفرية</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t>لا توجد علاقة ذات دلالة إحصائية بين حوكمة الملف الإلكتروني للمريض بأبعادها الخمسة مجتمعة، وبين الأداء والفاعلية المؤسسية لشركات التأمين الصحي في المملكة العربية السعودية</w:t>
      </w:r>
      <w:r w:rsidRPr="00C24248">
        <w:rPr>
          <w:rFonts w:ascii="Simplified Arabic" w:eastAsia="Times New Roman" w:hAnsi="Simplified Arabic" w:cs="Simplified Arabic"/>
          <w:color w:val="1A1A1A"/>
          <w:sz w:val="28"/>
          <w:szCs w:val="28"/>
        </w:rPr>
        <w:t>.</w:t>
      </w:r>
    </w:p>
    <w:p w14:paraId="7F402C37" w14:textId="77777777" w:rsidR="00C24248" w:rsidRPr="00C24248" w:rsidRDefault="00C24248" w:rsidP="00C24248">
      <w:pPr>
        <w:rPr>
          <w:rFonts w:ascii="Simplified Arabic" w:eastAsia="Times New Roman" w:hAnsi="Simplified Arabic" w:cs="Simplified Arabic"/>
          <w:b/>
          <w:bCs/>
          <w:color w:val="1A1A1A"/>
          <w:sz w:val="28"/>
          <w:szCs w:val="28"/>
        </w:rPr>
      </w:pPr>
      <w:r w:rsidRPr="00C24248">
        <w:rPr>
          <w:rFonts w:ascii="Simplified Arabic" w:eastAsia="Times New Roman" w:hAnsi="Simplified Arabic" w:cs="Simplified Arabic"/>
          <w:b/>
          <w:bCs/>
          <w:color w:val="1A1A1A"/>
          <w:sz w:val="28"/>
          <w:szCs w:val="28"/>
          <w:rtl/>
        </w:rPr>
        <w:t>الفرضيات الفرعية</w:t>
      </w:r>
    </w:p>
    <w:p w14:paraId="5BED4831" w14:textId="77777777" w:rsidR="00C24248" w:rsidRPr="00C24248" w:rsidRDefault="00C24248" w:rsidP="00C24248">
      <w:pPr>
        <w:numPr>
          <w:ilvl w:val="0"/>
          <w:numId w:val="16"/>
        </w:num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دقة البيانات وسلامتها في الملف الإلكتروني للمريض، وبين الكفاءة التشغيلية وجودة الخدمة في شركات التأمين الصحي السعودية</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t>الفرضية الصفرية: لا توجد علاقة ذات دلالة إحصائية بين دقة البيانات وسلامتها، وبين الكفاءة التشغيلية وجودة الخدمة</w:t>
      </w:r>
      <w:r w:rsidRPr="00C24248">
        <w:rPr>
          <w:rFonts w:ascii="Simplified Arabic" w:eastAsia="Times New Roman" w:hAnsi="Simplified Arabic" w:cs="Simplified Arabic"/>
          <w:color w:val="1A1A1A"/>
          <w:sz w:val="28"/>
          <w:szCs w:val="28"/>
        </w:rPr>
        <w:t>.</w:t>
      </w:r>
    </w:p>
    <w:p w14:paraId="38F776B6" w14:textId="77777777" w:rsidR="00C24248" w:rsidRPr="00C24248" w:rsidRDefault="00C24248" w:rsidP="00C24248">
      <w:pPr>
        <w:numPr>
          <w:ilvl w:val="0"/>
          <w:numId w:val="16"/>
        </w:num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آليات أمن المعلومات وإدارة الصلاحيات في الملف الإلكتروني للمريض، وبين فاعلية اتخاذ القرار التأميني والحد من حالات الاحتيال</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t>الفرضية الصفرية: لا توجد علاقة ذات دلالة إحصائية بين آليات أمن المعلومات وإدارة الصلاحيات، وبين فاعلية اتخاذ القرار التأميني والحد من حالات الاحتيال</w:t>
      </w:r>
      <w:r w:rsidRPr="00C24248">
        <w:rPr>
          <w:rFonts w:ascii="Simplified Arabic" w:eastAsia="Times New Roman" w:hAnsi="Simplified Arabic" w:cs="Simplified Arabic"/>
          <w:color w:val="1A1A1A"/>
          <w:sz w:val="28"/>
          <w:szCs w:val="28"/>
        </w:rPr>
        <w:t>.</w:t>
      </w:r>
    </w:p>
    <w:p w14:paraId="08920813" w14:textId="77777777" w:rsidR="00C24248" w:rsidRPr="00C24248" w:rsidRDefault="00C24248" w:rsidP="00C24248">
      <w:pPr>
        <w:numPr>
          <w:ilvl w:val="0"/>
          <w:numId w:val="16"/>
        </w:num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مستوى الامتثال التنظيمي لأطر الحوكمة الوطنية للملف الإلكتروني للمريض، وبين الأداء المالي والتشغيلي لشركات التأمين الصحي</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lastRenderedPageBreak/>
        <w:t>الفرضية الصفرية: لا توجد علاقة ذات دلالة إحصائية بين الامتثال التنظيمي، وبين الأداء المالي والتشغيلي</w:t>
      </w:r>
      <w:r w:rsidRPr="00C24248">
        <w:rPr>
          <w:rFonts w:ascii="Simplified Arabic" w:eastAsia="Times New Roman" w:hAnsi="Simplified Arabic" w:cs="Simplified Arabic"/>
          <w:color w:val="1A1A1A"/>
          <w:sz w:val="28"/>
          <w:szCs w:val="28"/>
        </w:rPr>
        <w:t>.</w:t>
      </w:r>
    </w:p>
    <w:p w14:paraId="654C8037" w14:textId="77777777" w:rsidR="00C24248" w:rsidRPr="00C24248" w:rsidRDefault="00C24248" w:rsidP="00C24248">
      <w:pPr>
        <w:numPr>
          <w:ilvl w:val="0"/>
          <w:numId w:val="16"/>
        </w:numPr>
        <w:rPr>
          <w:rFonts w:ascii="Simplified Arabic" w:eastAsia="Times New Roman" w:hAnsi="Simplified Arabic" w:cs="Simplified Arabic"/>
          <w:color w:val="1A1A1A"/>
          <w:sz w:val="28"/>
          <w:szCs w:val="28"/>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إمكانية الوصول الفوري إلى الملف الإلكتروني للمريض وتكامله مع منصة نفيس، وبين رضا المستفيدين وكفاءة إدارة التكاليف</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t>الفرضية الصفرية: لا توجد علاقة ذات دلالة إحصائية بين إمكانية الوصول والتكامل، وبين رضا المستفيدين وكفاءة إدارة التكاليف</w:t>
      </w:r>
      <w:r w:rsidRPr="00C24248">
        <w:rPr>
          <w:rFonts w:ascii="Simplified Arabic" w:eastAsia="Times New Roman" w:hAnsi="Simplified Arabic" w:cs="Simplified Arabic"/>
          <w:color w:val="1A1A1A"/>
          <w:sz w:val="28"/>
          <w:szCs w:val="28"/>
        </w:rPr>
        <w:t>.</w:t>
      </w:r>
    </w:p>
    <w:p w14:paraId="21A3C320" w14:textId="2824D1F1" w:rsidR="00C24248" w:rsidRPr="00C24248" w:rsidRDefault="00C24248" w:rsidP="00C24248">
      <w:pPr>
        <w:numPr>
          <w:ilvl w:val="0"/>
          <w:numId w:val="16"/>
        </w:numPr>
        <w:rPr>
          <w:rFonts w:ascii="Simplified Arabic" w:eastAsia="Times New Roman" w:hAnsi="Simplified Arabic" w:cs="Simplified Arabic"/>
          <w:color w:val="1A1A1A"/>
          <w:sz w:val="28"/>
          <w:szCs w:val="28"/>
          <w:rtl/>
        </w:rPr>
      </w:pPr>
      <w:r w:rsidRPr="00C24248">
        <w:rPr>
          <w:rFonts w:ascii="Simplified Arabic" w:eastAsia="Times New Roman" w:hAnsi="Simplified Arabic" w:cs="Simplified Arabic"/>
          <w:color w:val="1A1A1A"/>
          <w:sz w:val="28"/>
          <w:szCs w:val="28"/>
          <w:rtl/>
        </w:rPr>
        <w:t>توجد علاقة ذات دلالة إحصائية عند مستوى</w:t>
      </w:r>
      <w:r w:rsidRPr="00C24248">
        <w:rPr>
          <w:rFonts w:ascii="Simplified Arabic" w:eastAsia="Times New Roman" w:hAnsi="Simplified Arabic" w:cs="Simplified Arabic"/>
          <w:color w:val="1A1A1A"/>
          <w:sz w:val="28"/>
          <w:szCs w:val="28"/>
        </w:rPr>
        <w:t xml:space="preserve"> (</w:t>
      </w:r>
      <w:r w:rsidRPr="00C24248">
        <w:rPr>
          <w:rFonts w:ascii="Cambria" w:eastAsia="Times New Roman" w:hAnsi="Cambria" w:cs="Cambria"/>
          <w:color w:val="1A1A1A"/>
          <w:sz w:val="28"/>
          <w:szCs w:val="28"/>
        </w:rPr>
        <w:t>α</w:t>
      </w:r>
      <w:r w:rsidRPr="00C24248">
        <w:rPr>
          <w:rFonts w:ascii="Simplified Arabic" w:eastAsia="Times New Roman" w:hAnsi="Simplified Arabic" w:cs="Simplified Arabic"/>
          <w:color w:val="1A1A1A"/>
          <w:sz w:val="28"/>
          <w:szCs w:val="28"/>
        </w:rPr>
        <w:t xml:space="preserve"> </w:t>
      </w:r>
      <w:r w:rsidRPr="00C24248">
        <w:rPr>
          <w:rFonts w:ascii="Cambria Math" w:eastAsia="Times New Roman" w:hAnsi="Cambria Math" w:cs="Cambria Math"/>
          <w:color w:val="1A1A1A"/>
          <w:sz w:val="28"/>
          <w:szCs w:val="28"/>
        </w:rPr>
        <w:t>≤</w:t>
      </w:r>
      <w:r w:rsidRPr="00C24248">
        <w:rPr>
          <w:rFonts w:ascii="Simplified Arabic" w:eastAsia="Times New Roman" w:hAnsi="Simplified Arabic" w:cs="Simplified Arabic"/>
          <w:color w:val="1A1A1A"/>
          <w:sz w:val="28"/>
          <w:szCs w:val="28"/>
        </w:rPr>
        <w:t xml:space="preserve"> 0.05) </w:t>
      </w:r>
      <w:r w:rsidRPr="00C24248">
        <w:rPr>
          <w:rFonts w:ascii="Simplified Arabic" w:eastAsia="Times New Roman" w:hAnsi="Simplified Arabic" w:cs="Simplified Arabic"/>
          <w:color w:val="1A1A1A"/>
          <w:sz w:val="28"/>
          <w:szCs w:val="28"/>
          <w:rtl/>
        </w:rPr>
        <w:t>بين آليات الشفافية والمساءلة المضمنة في نظام الملف الإلكتروني للمريض، وبين الفاعلية المؤسسية لشركات التأمين الصحي</w:t>
      </w:r>
      <w:r w:rsidRPr="00C24248">
        <w:rPr>
          <w:rFonts w:ascii="Simplified Arabic" w:eastAsia="Times New Roman" w:hAnsi="Simplified Arabic" w:cs="Simplified Arabic"/>
          <w:color w:val="1A1A1A"/>
          <w:sz w:val="28"/>
          <w:szCs w:val="28"/>
        </w:rPr>
        <w:t>.</w:t>
      </w:r>
      <w:r w:rsidRPr="00C24248">
        <w:rPr>
          <w:rFonts w:ascii="Simplified Arabic" w:eastAsia="Times New Roman" w:hAnsi="Simplified Arabic" w:cs="Simplified Arabic"/>
          <w:color w:val="1A1A1A"/>
          <w:sz w:val="28"/>
          <w:szCs w:val="28"/>
        </w:rPr>
        <w:br/>
      </w:r>
      <w:r w:rsidRPr="00C24248">
        <w:rPr>
          <w:rFonts w:ascii="Simplified Arabic" w:eastAsia="Times New Roman" w:hAnsi="Simplified Arabic" w:cs="Simplified Arabic"/>
          <w:color w:val="1A1A1A"/>
          <w:sz w:val="28"/>
          <w:szCs w:val="28"/>
          <w:rtl/>
        </w:rPr>
        <w:t>الفرضية الصفرية: لا توجد علاقة ذات دلالة إحصائية بين الشفافية والمساءلة، وبين الفاعلية المؤسسية</w:t>
      </w:r>
      <w:r w:rsidRPr="00C24248">
        <w:rPr>
          <w:rFonts w:ascii="Simplified Arabic" w:eastAsia="Times New Roman" w:hAnsi="Simplified Arabic" w:cs="Simplified Arabic"/>
          <w:color w:val="1A1A1A"/>
          <w:sz w:val="28"/>
          <w:szCs w:val="28"/>
        </w:rPr>
        <w:t>.</w:t>
      </w:r>
    </w:p>
    <w:p w14:paraId="3AEC380F" w14:textId="2D510BD8" w:rsidR="00A52D28" w:rsidRPr="00FC272D" w:rsidRDefault="00A52D28" w:rsidP="00FC272D">
      <w:pPr>
        <w:pStyle w:val="Heading1"/>
        <w:rPr>
          <w:rFonts w:ascii="Simplified Arabic" w:hAnsi="Simplified Arabic" w:cs="Simplified Arabic"/>
          <w:b/>
          <w:bCs/>
          <w:color w:val="auto"/>
        </w:rPr>
      </w:pPr>
      <w:bookmarkStart w:id="13" w:name="_Toc224661466"/>
      <w:r w:rsidRPr="00FC272D">
        <w:rPr>
          <w:rFonts w:ascii="Simplified Arabic" w:eastAsia="Times New Roman" w:hAnsi="Simplified Arabic" w:cs="Simplified Arabic"/>
          <w:b/>
          <w:bCs/>
          <w:color w:val="auto"/>
          <w:rtl/>
        </w:rPr>
        <w:t>1.7  النظرية العلمية المتبعة لإعداد البحث</w:t>
      </w:r>
      <w:bookmarkEnd w:id="13"/>
    </w:p>
    <w:p w14:paraId="5106AD23" w14:textId="77777777" w:rsidR="00640B67" w:rsidRPr="00640B67" w:rsidRDefault="00640B67" w:rsidP="00640B67">
      <w:pPr>
        <w:rPr>
          <w:rFonts w:ascii="Simplified Arabic" w:eastAsia="Times New Roman" w:hAnsi="Simplified Arabic" w:cs="Simplified Arabic"/>
          <w:color w:val="1A1A1A"/>
          <w:sz w:val="28"/>
          <w:szCs w:val="28"/>
        </w:rPr>
      </w:pPr>
      <w:r w:rsidRPr="00640B67">
        <w:rPr>
          <w:rFonts w:ascii="Simplified Arabic" w:eastAsia="Times New Roman" w:hAnsi="Simplified Arabic" w:cs="Simplified Arabic"/>
          <w:color w:val="1A1A1A"/>
          <w:sz w:val="28"/>
          <w:szCs w:val="28"/>
          <w:rtl/>
        </w:rPr>
        <w:t>يرتكز الإطار النظري للدراسة الحالية على مجموعة من المنظورات النظرية المتكاملة التي تسهم في تفسير العلاقة بين حوكمة الملف الإلكتروني للمريض وبين الأداء والفاعلية المؤسسية لشركات التأمين الصحي، وذلك من خلال توظيف أطر نظرية تفسر الجوانب التنظيمية والاستراتيجية والتطبيقية المرتبطة بإدارة البيانات الصحية وحوكمتها داخل المؤسسات</w:t>
      </w:r>
      <w:r w:rsidRPr="00640B67">
        <w:rPr>
          <w:rFonts w:ascii="Simplified Arabic" w:eastAsia="Times New Roman" w:hAnsi="Simplified Arabic" w:cs="Simplified Arabic"/>
          <w:color w:val="1A1A1A"/>
          <w:sz w:val="28"/>
          <w:szCs w:val="28"/>
        </w:rPr>
        <w:t xml:space="preserve"> (Weill &amp; Ross, 2004; Barney, 1991; DAMA International, 2017).</w:t>
      </w:r>
    </w:p>
    <w:p w14:paraId="082CE857" w14:textId="77777777" w:rsidR="00640B67" w:rsidRPr="00640B67" w:rsidRDefault="00640B67" w:rsidP="00640B67">
      <w:pPr>
        <w:rPr>
          <w:rFonts w:ascii="Simplified Arabic" w:eastAsia="Times New Roman" w:hAnsi="Simplified Arabic" w:cs="Simplified Arabic"/>
          <w:color w:val="1A1A1A"/>
          <w:sz w:val="28"/>
          <w:szCs w:val="28"/>
        </w:rPr>
      </w:pPr>
      <w:r w:rsidRPr="00640B67">
        <w:rPr>
          <w:rFonts w:ascii="Simplified Arabic" w:eastAsia="Times New Roman" w:hAnsi="Simplified Arabic" w:cs="Simplified Arabic"/>
          <w:color w:val="1A1A1A"/>
          <w:sz w:val="28"/>
          <w:szCs w:val="28"/>
          <w:rtl/>
        </w:rPr>
        <w:t>وتُعد نظرية حوكمة تكنولوجيا المعلومات منطلقًا نظريًا مهمًا في هذه الدراسة، إذ تفسر كيفية توزيع حقوق اتخاذ القرار والمسؤوليات المرتبطة بإدارة الأنظمة الرقمية داخل المنظمات، كما توضح أثر وضوح الأدوار التنظيمية والضوابط والإجراءات في تحسين كفاءة الأداء وتحقيق الأهداف التشغيلية والاستراتيجية. ومن هذا المنظور، يمكن فهم حوكمة الملف الإلكتروني للمريض بوصفها إطارًا تنظيميًا يضبط إدارة البيانات الصحية وآليات استخدامها وتبادلها، بما يسهم في تعظيم القيمة المؤسسية وتقليل المخاطر التشغيلية والتنظيمية المرتبطة باستخدام الأنظمة الرقمية في البيئة الصحية والتأمينية</w:t>
      </w:r>
      <w:r w:rsidRPr="00640B67">
        <w:rPr>
          <w:rFonts w:ascii="Simplified Arabic" w:eastAsia="Times New Roman" w:hAnsi="Simplified Arabic" w:cs="Simplified Arabic"/>
          <w:color w:val="1A1A1A"/>
          <w:sz w:val="28"/>
          <w:szCs w:val="28"/>
        </w:rPr>
        <w:t xml:space="preserve"> (Weill &amp; Ross, 2004).</w:t>
      </w:r>
    </w:p>
    <w:p w14:paraId="3DDA162A" w14:textId="77777777" w:rsidR="00640B67" w:rsidRPr="00640B67" w:rsidRDefault="00640B67" w:rsidP="00640B67">
      <w:pPr>
        <w:rPr>
          <w:rFonts w:ascii="Simplified Arabic" w:eastAsia="Times New Roman" w:hAnsi="Simplified Arabic" w:cs="Simplified Arabic"/>
          <w:color w:val="1A1A1A"/>
          <w:sz w:val="28"/>
          <w:szCs w:val="28"/>
        </w:rPr>
      </w:pPr>
      <w:r w:rsidRPr="00640B67">
        <w:rPr>
          <w:rFonts w:ascii="Simplified Arabic" w:eastAsia="Times New Roman" w:hAnsi="Simplified Arabic" w:cs="Simplified Arabic"/>
          <w:color w:val="1A1A1A"/>
          <w:sz w:val="28"/>
          <w:szCs w:val="28"/>
          <w:rtl/>
        </w:rPr>
        <w:t>كما تستند الدراسة إلى نظرية الموارد والكفاءات، التي تنظر إلى موارد المنظمة وإمكاناتها الداخلية بوصفها مصدرًا أساسيًا لتحقيق الميزة التنافسية المستدامة، شريطة أن تتصف هذه الموارد بالقيمة والندرة وصعوبة التقليد وعدم القابلية للاستبدال. وفي ضوء هذه النظرية، يمكن اعتبار البيانات الصحية الموثوقة، عندما تُدار ضمن إطار حوكمي راسخ، موردًا استراتيجيًا يدعم شركات التأمين الصحي في تحسين جودة قراراتها، ورفع كفاءتها التشغيلية، وتعزيز قدرتها على تقديم خدمات أكثر فاعلية وكفاءة، بما ينعكس إيجابًا على مستوى الأداء والفاعلية المؤسسية</w:t>
      </w:r>
      <w:r w:rsidRPr="00640B67">
        <w:rPr>
          <w:rFonts w:ascii="Simplified Arabic" w:eastAsia="Times New Roman" w:hAnsi="Simplified Arabic" w:cs="Simplified Arabic"/>
          <w:color w:val="1A1A1A"/>
          <w:sz w:val="28"/>
          <w:szCs w:val="28"/>
        </w:rPr>
        <w:t xml:space="preserve"> (Barney, 1991).</w:t>
      </w:r>
    </w:p>
    <w:p w14:paraId="72912AD0" w14:textId="77777777" w:rsidR="00640B67" w:rsidRPr="00640B67" w:rsidRDefault="00640B67" w:rsidP="00640B67">
      <w:pPr>
        <w:rPr>
          <w:rFonts w:ascii="Simplified Arabic" w:eastAsia="Times New Roman" w:hAnsi="Simplified Arabic" w:cs="Simplified Arabic"/>
          <w:color w:val="1A1A1A"/>
          <w:sz w:val="28"/>
          <w:szCs w:val="28"/>
        </w:rPr>
      </w:pPr>
      <w:r w:rsidRPr="00640B67">
        <w:rPr>
          <w:rFonts w:ascii="Simplified Arabic" w:eastAsia="Times New Roman" w:hAnsi="Simplified Arabic" w:cs="Simplified Arabic"/>
          <w:color w:val="1A1A1A"/>
          <w:sz w:val="28"/>
          <w:szCs w:val="28"/>
          <w:rtl/>
        </w:rPr>
        <w:lastRenderedPageBreak/>
        <w:t>كذلك تسترشد الدراسة بإطار حوكمة البيانات</w:t>
      </w:r>
      <w:r w:rsidRPr="00640B67">
        <w:rPr>
          <w:rFonts w:ascii="Simplified Arabic" w:eastAsia="Times New Roman" w:hAnsi="Simplified Arabic" w:cs="Simplified Arabic"/>
          <w:color w:val="1A1A1A"/>
          <w:sz w:val="28"/>
          <w:szCs w:val="28"/>
        </w:rPr>
        <w:t xml:space="preserve"> DAMA-DMBOK</w:t>
      </w:r>
      <w:r w:rsidRPr="00640B67">
        <w:rPr>
          <w:rFonts w:ascii="Simplified Arabic" w:eastAsia="Times New Roman" w:hAnsi="Simplified Arabic" w:cs="Simplified Arabic"/>
          <w:color w:val="1A1A1A"/>
          <w:sz w:val="28"/>
          <w:szCs w:val="28"/>
          <w:rtl/>
        </w:rPr>
        <w:t>، الذي يُعد مرجعية تطبيقية ومنهجية في مجال إدارة البيانات وحوكمتها، إذ يوفر أبعادًا واضحة لتحديد متطلبات الحوكمة ومؤشرات قياسها، ولا سيما ما يتعلق بجودة البيانات، وأمنها، وإمكانية الوصول إليها، والامتثال للسياسات والضوابط المنظمة لها، والشفافية في إدارتها. وقد أفاد هذا الإطار في دعم بناء أداة الدراسة، وصياغة الأبعاد الرئيسة للمتغير المستقل، وتحديد المؤشرات التي يمكن من خلالها قياس مستوى حوكمة الملف الإلكتروني للمريض في السياق المؤسسي محل الدراسة</w:t>
      </w:r>
      <w:r w:rsidRPr="00640B67">
        <w:rPr>
          <w:rFonts w:ascii="Simplified Arabic" w:eastAsia="Times New Roman" w:hAnsi="Simplified Arabic" w:cs="Simplified Arabic"/>
          <w:color w:val="1A1A1A"/>
          <w:sz w:val="28"/>
          <w:szCs w:val="28"/>
        </w:rPr>
        <w:t xml:space="preserve"> (DAMA International, 2017).</w:t>
      </w:r>
    </w:p>
    <w:p w14:paraId="2BD208CD" w14:textId="7ADD069D" w:rsidR="00640B67" w:rsidRDefault="00640B67" w:rsidP="00640B67">
      <w:pPr>
        <w:rPr>
          <w:rFonts w:ascii="Simplified Arabic" w:eastAsia="Times New Roman" w:hAnsi="Simplified Arabic" w:cs="Simplified Arabic"/>
          <w:color w:val="1A1A1A"/>
          <w:sz w:val="28"/>
          <w:szCs w:val="28"/>
          <w:rtl/>
        </w:rPr>
      </w:pPr>
      <w:r w:rsidRPr="00640B67">
        <w:rPr>
          <w:rFonts w:ascii="Simplified Arabic" w:eastAsia="Times New Roman" w:hAnsi="Simplified Arabic" w:cs="Simplified Arabic"/>
          <w:color w:val="1A1A1A"/>
          <w:sz w:val="28"/>
          <w:szCs w:val="28"/>
          <w:rtl/>
        </w:rPr>
        <w:t>وانطلاقًا من هذه المنظورات النظرية، تتبنى الدراسة نموذجًا بحثيًا يقوم على اختبار أثر المتغير المستقل، والمتمثل في حوكمة الملف الإلكتروني للمريض بأبعاده الخمسة، على المتغير التابع، والمتمثل في الأداء والفاعلية المؤسسية لشركات التأمين الصحي، بما يشمله من مؤشرات مثل الكفاءة التشغيلية، وجودة الخدمة، وفاعلية اتخاذ القرار، وكفاءة إدارة التكاليف، ورضا المستفيدين. ويتيح هذا النموذج إمكانية اختباره إحصائيًا باستخدام الأساليب المناسبة، مثل معامل ارتباط بيرسون والانحدار الخطي، للكشف عن طبيعة العلاقة بين المتغيرات وقوتها واتجاهها</w:t>
      </w:r>
      <w:r w:rsidRPr="00640B67">
        <w:rPr>
          <w:rFonts w:ascii="Simplified Arabic" w:eastAsia="Times New Roman" w:hAnsi="Simplified Arabic" w:cs="Simplified Arabic"/>
          <w:color w:val="1A1A1A"/>
          <w:sz w:val="28"/>
          <w:szCs w:val="28"/>
        </w:rPr>
        <w:t>.</w:t>
      </w:r>
    </w:p>
    <w:p w14:paraId="3B3767BF" w14:textId="77777777" w:rsidR="00C24248" w:rsidRPr="00635161" w:rsidRDefault="00C24248" w:rsidP="00B40F7E">
      <w:pPr>
        <w:rPr>
          <w:rFonts w:ascii="Simplified Arabic" w:hAnsi="Simplified Arabic" w:cs="Simplified Arabic"/>
          <w:sz w:val="28"/>
          <w:szCs w:val="28"/>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1360"/>
        <w:gridCol w:w="4000"/>
      </w:tblGrid>
      <w:tr w:rsidR="00A52D28" w:rsidRPr="00635161" w14:paraId="655A1250" w14:textId="77777777" w:rsidTr="002B0B60">
        <w:tc>
          <w:tcPr>
            <w:tcW w:w="4000" w:type="dxa"/>
            <w:tcBorders>
              <w:top w:val="single" w:sz="4" w:space="0" w:color="2E74B5"/>
              <w:left w:val="single" w:sz="4" w:space="0" w:color="2E74B5"/>
              <w:bottom w:val="single" w:sz="4" w:space="0" w:color="2E74B5"/>
              <w:right w:val="single" w:sz="4" w:space="0" w:color="2E74B5"/>
            </w:tcBorders>
            <w:shd w:val="clear" w:color="auto" w:fill="EEF5FB"/>
            <w:tcMar>
              <w:top w:w="100" w:type="dxa"/>
              <w:left w:w="160" w:type="dxa"/>
              <w:bottom w:w="100" w:type="dxa"/>
              <w:right w:w="120" w:type="dxa"/>
            </w:tcMar>
          </w:tcPr>
          <w:p w14:paraId="02E91D06" w14:textId="77777777" w:rsidR="00A52D28" w:rsidRPr="00635161" w:rsidRDefault="00A52D28" w:rsidP="007362BB">
            <w:pPr>
              <w:spacing w:after="60"/>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المتغير المستقل</w:t>
            </w:r>
          </w:p>
          <w:p w14:paraId="440B1EAF" w14:textId="77777777" w:rsidR="00A52D28" w:rsidRPr="00635161" w:rsidRDefault="00A52D28" w:rsidP="007362BB">
            <w:pPr>
              <w:spacing w:after="60"/>
              <w:rPr>
                <w:rFonts w:ascii="Simplified Arabic" w:hAnsi="Simplified Arabic" w:cs="Simplified Arabic"/>
                <w:sz w:val="28"/>
                <w:szCs w:val="28"/>
              </w:rPr>
            </w:pPr>
            <w:r w:rsidRPr="00635161">
              <w:rPr>
                <w:rFonts w:ascii="Simplified Arabic" w:eastAsia="Times New Roman" w:hAnsi="Simplified Arabic" w:cs="Simplified Arabic"/>
                <w:b/>
                <w:bCs/>
                <w:color w:val="2E74B5"/>
                <w:sz w:val="28"/>
                <w:szCs w:val="28"/>
                <w:rtl/>
              </w:rPr>
              <w:t>حوكمة الملف الإلكتروني للمريض</w:t>
            </w:r>
          </w:p>
          <w:p w14:paraId="79A4FF8E"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دقة البيانات وسلامتها</w:t>
            </w:r>
          </w:p>
          <w:p w14:paraId="49ECF594"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أمن المعلومات وإدارة الصلاحيات</w:t>
            </w:r>
          </w:p>
          <w:p w14:paraId="22960682"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الامتثال التنظيمي</w:t>
            </w:r>
          </w:p>
          <w:p w14:paraId="70847799"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إمكانية الوصول والتكامل</w:t>
            </w:r>
          </w:p>
          <w:p w14:paraId="24ED28A3"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الشفافية والمساءلة</w:t>
            </w:r>
          </w:p>
        </w:tc>
        <w:tc>
          <w:tcPr>
            <w:tcW w:w="1360" w:type="dxa"/>
            <w:tcBorders>
              <w:top w:val="single" w:sz="4" w:space="0" w:color="2E74B5"/>
              <w:left w:val="single" w:sz="4" w:space="0" w:color="2E74B5"/>
              <w:bottom w:val="single" w:sz="4" w:space="0" w:color="2E74B5"/>
              <w:right w:val="single" w:sz="4" w:space="0" w:color="2E74B5"/>
            </w:tcBorders>
            <w:shd w:val="clear" w:color="auto" w:fill="D6E4F0"/>
            <w:tcMar>
              <w:top w:w="80" w:type="dxa"/>
              <w:left w:w="60" w:type="dxa"/>
              <w:bottom w:w="80" w:type="dxa"/>
              <w:right w:w="60" w:type="dxa"/>
            </w:tcMar>
            <w:vAlign w:val="center"/>
          </w:tcPr>
          <w:p w14:paraId="393CB907" w14:textId="77777777" w:rsidR="00A52D28" w:rsidRPr="00635161" w:rsidRDefault="00A52D28" w:rsidP="007362BB">
            <w:pPr>
              <w:rPr>
                <w:rFonts w:ascii="Simplified Arabic" w:hAnsi="Simplified Arabic" w:cs="Simplified Arabic"/>
                <w:sz w:val="28"/>
                <w:szCs w:val="28"/>
              </w:rPr>
            </w:pPr>
            <w:r w:rsidRPr="00635161">
              <w:rPr>
                <w:rFonts w:ascii="Cambria Math" w:eastAsia="Times New Roman" w:hAnsi="Cambria Math" w:cs="Cambria Math"/>
                <w:b/>
                <w:bCs/>
                <w:color w:val="1F3864"/>
                <w:sz w:val="28"/>
                <w:szCs w:val="28"/>
              </w:rPr>
              <w:t>⟵</w:t>
            </w:r>
          </w:p>
          <w:p w14:paraId="699303C7" w14:textId="77777777" w:rsidR="00A52D28" w:rsidRPr="00635161" w:rsidRDefault="00A52D28" w:rsidP="007362BB">
            <w:pPr>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أثر مباشر</w:t>
            </w:r>
          </w:p>
        </w:tc>
        <w:tc>
          <w:tcPr>
            <w:tcW w:w="4000" w:type="dxa"/>
            <w:tcBorders>
              <w:top w:val="single" w:sz="4" w:space="0" w:color="2E74B5"/>
              <w:left w:val="single" w:sz="4" w:space="0" w:color="2E74B5"/>
              <w:bottom w:val="single" w:sz="4" w:space="0" w:color="2E74B5"/>
              <w:right w:val="single" w:sz="4" w:space="0" w:color="2E74B5"/>
            </w:tcBorders>
            <w:shd w:val="clear" w:color="auto" w:fill="EDFAF3"/>
            <w:tcMar>
              <w:top w:w="100" w:type="dxa"/>
              <w:left w:w="160" w:type="dxa"/>
              <w:bottom w:w="100" w:type="dxa"/>
              <w:right w:w="120" w:type="dxa"/>
            </w:tcMar>
          </w:tcPr>
          <w:p w14:paraId="4804D903" w14:textId="77777777" w:rsidR="00A52D28" w:rsidRPr="00635161" w:rsidRDefault="00A52D28" w:rsidP="007362BB">
            <w:pPr>
              <w:spacing w:after="60"/>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المتغير التابع</w:t>
            </w:r>
          </w:p>
          <w:p w14:paraId="7D061B42" w14:textId="77777777" w:rsidR="00A52D28" w:rsidRPr="00635161" w:rsidRDefault="00A52D28" w:rsidP="007362BB">
            <w:pPr>
              <w:spacing w:after="60"/>
              <w:rPr>
                <w:rFonts w:ascii="Simplified Arabic" w:hAnsi="Simplified Arabic" w:cs="Simplified Arabic"/>
                <w:sz w:val="28"/>
                <w:szCs w:val="28"/>
              </w:rPr>
            </w:pPr>
            <w:r w:rsidRPr="00635161">
              <w:rPr>
                <w:rFonts w:ascii="Simplified Arabic" w:eastAsia="Times New Roman" w:hAnsi="Simplified Arabic" w:cs="Simplified Arabic"/>
                <w:b/>
                <w:bCs/>
                <w:color w:val="1A6B3A"/>
                <w:sz w:val="28"/>
                <w:szCs w:val="28"/>
                <w:rtl/>
              </w:rPr>
              <w:t>الأداء والفاعلية المؤسسية</w:t>
            </w:r>
          </w:p>
          <w:p w14:paraId="6E50A4A4"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الكفاءة التشغيلية</w:t>
            </w:r>
          </w:p>
          <w:p w14:paraId="26C9168C"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جودة الخدمة</w:t>
            </w:r>
          </w:p>
          <w:p w14:paraId="0B72D327"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فاعلية اتخاذ القرار</w:t>
            </w:r>
          </w:p>
          <w:p w14:paraId="4F1B2DEC"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كفاءة إدارة التكاليف</w:t>
            </w:r>
          </w:p>
          <w:p w14:paraId="60BD9DC2" w14:textId="77777777" w:rsidR="00A52D28" w:rsidRPr="00635161" w:rsidRDefault="00A52D28" w:rsidP="007362BB">
            <w:pPr>
              <w:spacing w:after="2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 رضا المستفيدين</w:t>
            </w:r>
          </w:p>
        </w:tc>
      </w:tr>
    </w:tbl>
    <w:p w14:paraId="24740A29" w14:textId="77777777" w:rsidR="00A52D28" w:rsidRPr="00635161" w:rsidRDefault="00A52D28" w:rsidP="00B40F7E">
      <w:pPr>
        <w:ind w:firstLine="0"/>
        <w:jc w:val="center"/>
        <w:rPr>
          <w:rFonts w:ascii="Simplified Arabic" w:hAnsi="Simplified Arabic" w:cs="Simplified Arabic"/>
          <w:sz w:val="28"/>
          <w:szCs w:val="28"/>
        </w:rPr>
      </w:pPr>
      <w:r w:rsidRPr="00635161">
        <w:rPr>
          <w:rFonts w:ascii="Simplified Arabic" w:eastAsia="Times New Roman" w:hAnsi="Simplified Arabic" w:cs="Simplified Arabic"/>
          <w:i/>
          <w:iCs/>
          <w:color w:val="5A6A80"/>
          <w:sz w:val="28"/>
          <w:szCs w:val="28"/>
          <w:rtl/>
        </w:rPr>
        <w:t>شكل (1-1): النموذج البحثي المقترح للدراسة</w:t>
      </w:r>
    </w:p>
    <w:p w14:paraId="5905AB3D" w14:textId="77777777" w:rsidR="00F925D0" w:rsidRPr="00635161" w:rsidRDefault="00F925D0" w:rsidP="007362BB">
      <w:pPr>
        <w:rPr>
          <w:rFonts w:ascii="Simplified Arabic" w:hAnsi="Simplified Arabic" w:cs="Simplified Arabic"/>
          <w:sz w:val="28"/>
          <w:szCs w:val="28"/>
          <w:rtl/>
        </w:rPr>
      </w:pPr>
    </w:p>
    <w:p w14:paraId="619B21B6" w14:textId="77777777" w:rsidR="00F925D0" w:rsidRPr="00635161" w:rsidRDefault="00F925D0" w:rsidP="007362BB">
      <w:pPr>
        <w:rPr>
          <w:rFonts w:ascii="Simplified Arabic" w:hAnsi="Simplified Arabic" w:cs="Simplified Arabic"/>
          <w:sz w:val="28"/>
          <w:szCs w:val="28"/>
          <w:rtl/>
        </w:rPr>
      </w:pPr>
    </w:p>
    <w:p w14:paraId="380143BC" w14:textId="77777777" w:rsidR="00F925D0" w:rsidRPr="00635161" w:rsidRDefault="00F925D0" w:rsidP="007362BB">
      <w:pPr>
        <w:rPr>
          <w:rFonts w:ascii="Simplified Arabic" w:hAnsi="Simplified Arabic" w:cs="Simplified Arabic"/>
          <w:sz w:val="28"/>
          <w:szCs w:val="28"/>
          <w:rtl/>
        </w:rPr>
      </w:pPr>
    </w:p>
    <w:p w14:paraId="73D63EF2" w14:textId="77777777" w:rsidR="00F925D0" w:rsidRPr="00635161" w:rsidRDefault="00F925D0" w:rsidP="007362BB">
      <w:pPr>
        <w:rPr>
          <w:rFonts w:ascii="Simplified Arabic" w:hAnsi="Simplified Arabic" w:cs="Simplified Arabic"/>
          <w:sz w:val="28"/>
          <w:szCs w:val="28"/>
          <w:rtl/>
        </w:rPr>
      </w:pPr>
    </w:p>
    <w:p w14:paraId="2AC9ECB7" w14:textId="77777777" w:rsidR="00F925D0" w:rsidRPr="00635161" w:rsidRDefault="00F925D0" w:rsidP="00635161">
      <w:pPr>
        <w:rPr>
          <w:rFonts w:ascii="Simplified Arabic" w:hAnsi="Simplified Arabic" w:cs="Simplified Arabic"/>
          <w:sz w:val="28"/>
          <w:szCs w:val="28"/>
          <w:rtl/>
        </w:rPr>
      </w:pPr>
    </w:p>
    <w:p w14:paraId="32945915" w14:textId="77777777" w:rsidR="00F925D0" w:rsidRPr="00635161" w:rsidRDefault="00F925D0" w:rsidP="00635161">
      <w:pPr>
        <w:rPr>
          <w:rFonts w:ascii="Simplified Arabic" w:hAnsi="Simplified Arabic" w:cs="Simplified Arabic"/>
          <w:sz w:val="28"/>
          <w:szCs w:val="28"/>
          <w:rtl/>
        </w:rPr>
      </w:pPr>
    </w:p>
    <w:p w14:paraId="0F2B5D78" w14:textId="5E686A63" w:rsidR="00DC561D" w:rsidRPr="00B40F7E" w:rsidRDefault="00DC561D" w:rsidP="00B40F7E">
      <w:pPr>
        <w:pStyle w:val="Heading1"/>
        <w:jc w:val="center"/>
        <w:rPr>
          <w:rFonts w:ascii="Simplified Arabic" w:hAnsi="Simplified Arabic" w:cs="Simplified Arabic"/>
          <w:b/>
          <w:bCs/>
          <w:color w:val="auto"/>
          <w:sz w:val="40"/>
          <w:szCs w:val="40"/>
        </w:rPr>
      </w:pPr>
      <w:bookmarkStart w:id="14" w:name="_Toc224661467"/>
      <w:r w:rsidRPr="00B40F7E">
        <w:rPr>
          <w:rFonts w:ascii="Simplified Arabic" w:eastAsia="Times New Roman" w:hAnsi="Simplified Arabic" w:cs="Simplified Arabic"/>
          <w:b/>
          <w:bCs/>
          <w:color w:val="auto"/>
          <w:sz w:val="40"/>
          <w:szCs w:val="40"/>
          <w:rtl/>
        </w:rPr>
        <w:lastRenderedPageBreak/>
        <w:t>الفصل الثاني: الدراسات السابقة والإطار النظري</w:t>
      </w:r>
      <w:bookmarkEnd w:id="14"/>
    </w:p>
    <w:p w14:paraId="5F574AD8" w14:textId="77777777" w:rsidR="00DC561D" w:rsidRPr="00B40F7E" w:rsidRDefault="00DC561D" w:rsidP="00B40F7E">
      <w:pPr>
        <w:pStyle w:val="Heading1"/>
        <w:rPr>
          <w:rFonts w:ascii="Simplified Arabic" w:hAnsi="Simplified Arabic" w:cs="Simplified Arabic"/>
          <w:b/>
          <w:bCs/>
          <w:color w:val="auto"/>
        </w:rPr>
      </w:pPr>
      <w:bookmarkStart w:id="15" w:name="_Toc224661468"/>
      <w:r w:rsidRPr="00B40F7E">
        <w:rPr>
          <w:rFonts w:ascii="Simplified Arabic" w:hAnsi="Simplified Arabic" w:cs="Simplified Arabic"/>
          <w:b/>
          <w:bCs/>
          <w:color w:val="auto"/>
          <w:rtl/>
        </w:rPr>
        <w:t>2.1  مقدمة</w:t>
      </w:r>
      <w:bookmarkEnd w:id="15"/>
    </w:p>
    <w:p w14:paraId="64F4257D" w14:textId="77777777" w:rsidR="003408DB" w:rsidRPr="003408DB" w:rsidRDefault="003408DB" w:rsidP="003408DB">
      <w:pPr>
        <w:rPr>
          <w:rFonts w:ascii="Simplified Arabic" w:hAnsi="Simplified Arabic" w:cs="Simplified Arabic"/>
          <w:sz w:val="28"/>
          <w:szCs w:val="28"/>
        </w:rPr>
      </w:pPr>
      <w:r w:rsidRPr="003408DB">
        <w:rPr>
          <w:rFonts w:ascii="Simplified Arabic" w:hAnsi="Simplified Arabic" w:cs="Simplified Arabic"/>
          <w:sz w:val="28"/>
          <w:szCs w:val="28"/>
          <w:rtl/>
        </w:rPr>
        <w:t>يمثل استعراض الأدبيات العلمية والدراسات السابقة ركيزة أساسية في بناء البحث الأكاديمي الرصين، إذ لا يقتصر دوره على عرض ما انتهت إليه البحوث السابقة في موضوع الدراسة، بل يمتد إلى تأصيل المشكلة البحثية، وتحديد موقع الدراسة الحالية ضمن التراكم المعرفي القائم، والكشف عن أوجه الاتفاق والاختلاف بين الجهود العلمية السابقة. ومن خلال هذا الاستعراض المنهجي، يتمكن الباحث من تتبع تطور المفاهيم والنماذج النظرية المرتبطة بموضوعه، وتحديد القضايا التي نالت اهتمامًا بحثيًا واسعًا، مقابل الجوانب التي لا تزال بحاجة إلى مزيد من الفحص والتحليل، بما يبرر الحاجة إلى الدراسة الحالية ويعزز أهميتها العلمية</w:t>
      </w:r>
      <w:r w:rsidRPr="003408DB">
        <w:rPr>
          <w:rFonts w:ascii="Simplified Arabic" w:hAnsi="Simplified Arabic" w:cs="Simplified Arabic"/>
          <w:sz w:val="28"/>
          <w:szCs w:val="28"/>
        </w:rPr>
        <w:t>.</w:t>
      </w:r>
    </w:p>
    <w:p w14:paraId="054F0C79" w14:textId="77777777" w:rsidR="003408DB" w:rsidRPr="003408DB" w:rsidRDefault="003408DB" w:rsidP="003408DB">
      <w:pPr>
        <w:rPr>
          <w:rFonts w:ascii="Simplified Arabic" w:hAnsi="Simplified Arabic" w:cs="Simplified Arabic"/>
          <w:sz w:val="28"/>
          <w:szCs w:val="28"/>
        </w:rPr>
      </w:pPr>
      <w:r w:rsidRPr="003408DB">
        <w:rPr>
          <w:rFonts w:ascii="Simplified Arabic" w:hAnsi="Simplified Arabic" w:cs="Simplified Arabic"/>
          <w:sz w:val="28"/>
          <w:szCs w:val="28"/>
          <w:rtl/>
        </w:rPr>
        <w:t>وتزداد أهمية هذا الاستعراض في الدراسة الحالية نظرًا للطبيعة المركبة لموضوعها، الذي يقع عند تقاطع عدد من المجالات المعرفية المتداخلة، وفي مقدمتها إدارة المعلومات الصحية، وحوكمة البيانات، ونظم المعلومات الصحية الرقمية، والأداء والفاعلية المؤسسية في قطاع التأمين الصحي. ومن ثم، فإن تناول الأدبيات السابقة لا يهدف فقط إلى عرض نتائج دراسات منفردة، بل يسعى إلى بناء فهم متكامل للعلاقات المتبادلة بين هذه المجالات، وبيان الكيفية التي يمكن من خلالها أن تؤثر حوكمة الملف الإلكتروني للمريض في كفاءة الأداء المؤسسي داخل شركات التأمين الصحي</w:t>
      </w:r>
      <w:r w:rsidRPr="003408DB">
        <w:rPr>
          <w:rFonts w:ascii="Simplified Arabic" w:hAnsi="Simplified Arabic" w:cs="Simplified Arabic"/>
          <w:sz w:val="28"/>
          <w:szCs w:val="28"/>
        </w:rPr>
        <w:t>.</w:t>
      </w:r>
    </w:p>
    <w:p w14:paraId="449E2C30" w14:textId="77777777" w:rsidR="003408DB" w:rsidRPr="003408DB" w:rsidRDefault="003408DB" w:rsidP="003408DB">
      <w:pPr>
        <w:rPr>
          <w:rFonts w:ascii="Simplified Arabic" w:hAnsi="Simplified Arabic" w:cs="Simplified Arabic"/>
          <w:sz w:val="28"/>
          <w:szCs w:val="28"/>
        </w:rPr>
      </w:pPr>
      <w:r w:rsidRPr="003408DB">
        <w:rPr>
          <w:rFonts w:ascii="Simplified Arabic" w:hAnsi="Simplified Arabic" w:cs="Simplified Arabic"/>
          <w:sz w:val="28"/>
          <w:szCs w:val="28"/>
          <w:rtl/>
        </w:rPr>
        <w:t>وترتكز الدراسة الحالية على متغيرين رئيسيين يشكلان محور التحليل. يتمثل أولهما في حوكمة الملف الإلكتروني للمريض بوصفه متغيرًا مستقلًا، ويُقصد به مجموعة السياسات والإجراءات والضوابط التنظيمية والتقنية التي تهدف إلى ضمان جودة البيانات الصحية ودقتها وسلامتها، وحمايتها من الوصول غير المصرح به، وتنظيم استخدامها وتبادلها بين الجهات ذات العلاقة، بما يعزز الامتثال التنظيمي، والشفافية، والمساءلة في إدارة المعلومات الصحية. أما المتغير الثاني فيتمثل في الأداء والفاعلية المؤسسية لشركات التأمين الصحي بوصفه متغيرًا تابعًا، وهو مفهوم متعدد الأبعاد يشمل الكفاءة التشغيلية في معالجة المطالبات، وجودة الخدمات المقدمة، وفاعلية اتخاذ القرار التأميني، وكفاءة إدارة التكاليف، ومستوى رضا المستفيدين، فضلًا عن قدرة المؤسسة على تحقيق أهدافها بكفاءة واستدامة</w:t>
      </w:r>
      <w:r w:rsidRPr="003408DB">
        <w:rPr>
          <w:rFonts w:ascii="Simplified Arabic" w:hAnsi="Simplified Arabic" w:cs="Simplified Arabic"/>
          <w:sz w:val="28"/>
          <w:szCs w:val="28"/>
        </w:rPr>
        <w:t>.</w:t>
      </w:r>
    </w:p>
    <w:p w14:paraId="717E8204" w14:textId="707FA385" w:rsidR="003408DB" w:rsidRPr="003408DB" w:rsidRDefault="003408DB" w:rsidP="003408DB">
      <w:pPr>
        <w:rPr>
          <w:rFonts w:ascii="Simplified Arabic" w:hAnsi="Simplified Arabic" w:cs="Simplified Arabic"/>
          <w:sz w:val="28"/>
          <w:szCs w:val="28"/>
        </w:rPr>
      </w:pPr>
      <w:r w:rsidRPr="003408DB">
        <w:rPr>
          <w:rFonts w:ascii="Simplified Arabic" w:hAnsi="Simplified Arabic" w:cs="Simplified Arabic"/>
          <w:sz w:val="28"/>
          <w:szCs w:val="28"/>
          <w:rtl/>
        </w:rPr>
        <w:t xml:space="preserve">ويهدف هذا الفصل إلى بناء الأساس النظري والمعرفي الذي تستند إليه الدراسة في اختبار فرضياتها والإجابة عن تساؤلاتها، من خلال تناول عدد من المحاور المتكاملة. ويبدأ الفصل بعرض الإطار النظري المرتبط بحوكمة البيانات ونظم المعلومات الصحية والأداء المؤسسي، ثم ينتقل إلى استعراض الدراسات السابقة ذات الصلة بموضوع الدراسة على المستويين الدولي والإقليمي، مع التركيز على الدراسات التي تناولت حوكمة الملف الإلكتروني للمريض، وجودة البيانات الصحية، والتكامل الرقمي، والأداء المؤسسي في السياق الصحي والتأميني. ويختتم الفصل بتحليل نقدي مقارن لهذه الدراسات، بهدف تحديد الفجوة </w:t>
      </w:r>
      <w:r w:rsidRPr="003408DB">
        <w:rPr>
          <w:rFonts w:ascii="Simplified Arabic" w:hAnsi="Simplified Arabic" w:cs="Simplified Arabic"/>
          <w:sz w:val="28"/>
          <w:szCs w:val="28"/>
          <w:rtl/>
        </w:rPr>
        <w:lastRenderedPageBreak/>
        <w:t>البحثية التي تسعى الدراسة الحالية إلى معالجتها، وإبراز الإضافة العلمية المتوقعة التي يمكن أن تقدمها في هذا المجال</w:t>
      </w:r>
      <w:r w:rsidRPr="003408DB">
        <w:rPr>
          <w:rFonts w:ascii="Simplified Arabic" w:hAnsi="Simplified Arabic" w:cs="Simplified Arabic"/>
          <w:sz w:val="28"/>
          <w:szCs w:val="28"/>
        </w:rPr>
        <w:t>.</w:t>
      </w:r>
    </w:p>
    <w:p w14:paraId="42B843F0" w14:textId="5EF44124" w:rsidR="0035392D" w:rsidRPr="007F1B41" w:rsidRDefault="0035392D" w:rsidP="007F1B41">
      <w:pPr>
        <w:pStyle w:val="Heading1"/>
        <w:rPr>
          <w:rFonts w:ascii="Simplified Arabic" w:hAnsi="Simplified Arabic" w:cs="Simplified Arabic"/>
          <w:b/>
          <w:bCs/>
          <w:color w:val="auto"/>
        </w:rPr>
      </w:pPr>
      <w:bookmarkStart w:id="16" w:name="_Toc224661469"/>
      <w:r w:rsidRPr="007F1B41">
        <w:rPr>
          <w:rFonts w:ascii="Simplified Arabic" w:eastAsia="Times New Roman" w:hAnsi="Simplified Arabic" w:cs="Simplified Arabic"/>
          <w:b/>
          <w:bCs/>
          <w:color w:val="auto"/>
          <w:rtl/>
        </w:rPr>
        <w:t>2.2  حوكمة الملف الإلكتروني للمريض: المفهوم والأُطر والأبعاد</w:t>
      </w:r>
      <w:bookmarkEnd w:id="16"/>
    </w:p>
    <w:p w14:paraId="321335BD" w14:textId="77777777" w:rsidR="0035392D" w:rsidRPr="007F1B41" w:rsidRDefault="0035392D" w:rsidP="007F1B41">
      <w:pPr>
        <w:pStyle w:val="Heading2"/>
      </w:pPr>
      <w:bookmarkStart w:id="17" w:name="_Toc224661470"/>
      <w:r w:rsidRPr="007F1B41">
        <w:rPr>
          <w:rtl/>
        </w:rPr>
        <w:t>2.2.1  مفهوم الملف الإلكتروني للمريض وتطوره المعرفي</w:t>
      </w:r>
      <w:bookmarkEnd w:id="17"/>
    </w:p>
    <w:p w14:paraId="3C26742F"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يُعد الملف الإلكتروني للمريض أحد أبرز المرتكزات المعرفية والتطبيقية التي قامت عليها تحولات الرعاية الصحية المعاصرة نحو البيئة الرقمية، إذ لم يعد التعامل مع المعلومات الصحية مقتصرًا على حفظها في سجلات ورقية مجزأة يصعب تداولها أو تتبعها، بل أصبح قائمًا على منظومات إلكترونية مترابطة تتيح جمع البيانات الصحية وتوثيقها ومعالجتها وتبادلها بصورة أكثر كفاءة وتنظيمًا. وفي هذا السياق، يُعرَّف الملف الإلكتروني للمريض بوصفه نظامًا رقميًا متكاملًا يختص بحفظ البيانات الصحية للفرد على نحو منظم، ويتيح إدخالها واسترجاعها وتحديثها ومشاركتها عبر مختلف المستويات والجهات المقدمة للرعاية الصحية، بما يضمن استمرارية تدفق المعلومات الصحية عبر الزمن وبين مقدمي الخدمة المختلفين</w:t>
      </w:r>
      <w:r w:rsidRPr="00383FB7">
        <w:rPr>
          <w:rFonts w:ascii="Simplified Arabic" w:hAnsi="Simplified Arabic" w:cs="Simplified Arabic"/>
          <w:sz w:val="28"/>
          <w:szCs w:val="28"/>
        </w:rPr>
        <w:t xml:space="preserve"> (H</w:t>
      </w:r>
      <w:r w:rsidRPr="00383FB7">
        <w:rPr>
          <w:rFonts w:ascii="Cambria" w:hAnsi="Cambria" w:cs="Cambria"/>
          <w:sz w:val="28"/>
          <w:szCs w:val="28"/>
        </w:rPr>
        <w:t>ä</w:t>
      </w:r>
      <w:r w:rsidRPr="00383FB7">
        <w:rPr>
          <w:rFonts w:ascii="Simplified Arabic" w:hAnsi="Simplified Arabic" w:cs="Simplified Arabic"/>
          <w:sz w:val="28"/>
          <w:szCs w:val="28"/>
        </w:rPr>
        <w:t xml:space="preserve">yrinen et al., 2008). </w:t>
      </w:r>
      <w:r w:rsidRPr="00383FB7">
        <w:rPr>
          <w:rFonts w:ascii="Simplified Arabic" w:hAnsi="Simplified Arabic" w:cs="Simplified Arabic"/>
          <w:sz w:val="28"/>
          <w:szCs w:val="28"/>
          <w:rtl/>
        </w:rPr>
        <w:t>ومن ثم، فإن الملف الإلكتروني للمريض لا يمثل مجرد بديل رقمي للملف الورقي، بل يمثل بنية معلوماتية ديناميكية ذات قدرة على الربط والتكامل والتحليل، وتُسهم في دعم القرارات الصحية والإدارية والتأمينية على حد سواء</w:t>
      </w:r>
      <w:r w:rsidRPr="00383FB7">
        <w:rPr>
          <w:rFonts w:ascii="Simplified Arabic" w:hAnsi="Simplified Arabic" w:cs="Simplified Arabic"/>
          <w:sz w:val="28"/>
          <w:szCs w:val="28"/>
        </w:rPr>
        <w:t>.</w:t>
      </w:r>
    </w:p>
    <w:p w14:paraId="2A440E16"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وقد شهد المفهوم تطورًا معرفيًا ملحوظًا في الأدبيات المتخصصة، خاصة مع بروز تمايزات مفهومية بين عدد من المصطلحات ذات الصلة، مثل السجل الطبي الإلكتروني والسجل الصحي الإلكتروني والملف الإلكتروني للمريض. فعلى الرغم من أن هذه المصطلحات كثيرًا ما تُستخدم بصورة متبادلة في بعض الأدبيات العامة، فإن الأدبيات المتخصصة في المعلوماتية الصحية تميز بينها من حيث النطاق والوظيفة وامتداد الاستخدام. فالسجل الطبي الإلكتروني غالبًا ما يُشير إلى سجل رقمي يُنشأ داخل مؤسسة صحية واحدة، ويعكس التفاعلات الطبية التي تتم داخل هذه المؤسسة تحديدًا، في حين أن السجل الصحي الإلكتروني أو الملف الإلكتروني للمريض يتسم باتساع نطاقه ليشمل التاريخ الصحي للمريض عبر أكثر من منشأة صحية وأكثر من مقدم خدمة، بما يجعله أقرب إلى صورة شاملة ومستمرة للحالة الصحية للفرد عبر الزمن</w:t>
      </w:r>
      <w:r w:rsidRPr="00383FB7">
        <w:rPr>
          <w:rFonts w:ascii="Simplified Arabic" w:hAnsi="Simplified Arabic" w:cs="Simplified Arabic"/>
          <w:sz w:val="28"/>
          <w:szCs w:val="28"/>
        </w:rPr>
        <w:t xml:space="preserve"> (Tang et al., 2006). </w:t>
      </w:r>
      <w:r w:rsidRPr="00383FB7">
        <w:rPr>
          <w:rFonts w:ascii="Simplified Arabic" w:hAnsi="Simplified Arabic" w:cs="Simplified Arabic"/>
          <w:sz w:val="28"/>
          <w:szCs w:val="28"/>
          <w:rtl/>
        </w:rPr>
        <w:t>ويكتسب هذا التمييز أهمية خاصة في البيئات التي تعتمد على التكامل بين المؤسسات الصحية والجهات التأمينية، لأن الملف الإلكتروني في هذه الحالة يتحول من مجرد وعاء لحفظ البيانات إلى أداة مركزية في التنسيق الصحي والتمويل التأميني وضبط جودة الخدمة</w:t>
      </w:r>
      <w:r w:rsidRPr="00383FB7">
        <w:rPr>
          <w:rFonts w:ascii="Simplified Arabic" w:hAnsi="Simplified Arabic" w:cs="Simplified Arabic"/>
          <w:sz w:val="28"/>
          <w:szCs w:val="28"/>
        </w:rPr>
        <w:t>.</w:t>
      </w:r>
    </w:p>
    <w:p w14:paraId="0FDD21C2"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 xml:space="preserve">ومنذ مطلع الألفية الثالثة، ارتبط تطور الملف الإلكتروني للمريض بتطور أوسع في فلسفة إدارة الخدمات الصحية ذاتها، إذ انتقل النظر إليه من زاوية تقنية ضيقة بوصفه وسيلة لأرشفة المعلومات، إلى زاوية استراتيجية أشمل ترى فيه أداة لتحسين الجودة، وتعزيز سلامة المرضى، وتقليص الأخطاء الطبية، ورفع كفاءة إدارة الموارد والتكاليف. وقد بيّنت الأدبيات أن التبني المتزايد للأنظمة الإلكترونية في القطاع الصحي </w:t>
      </w:r>
      <w:r w:rsidRPr="00383FB7">
        <w:rPr>
          <w:rFonts w:ascii="Simplified Arabic" w:hAnsi="Simplified Arabic" w:cs="Simplified Arabic"/>
          <w:sz w:val="28"/>
          <w:szCs w:val="28"/>
          <w:rtl/>
        </w:rPr>
        <w:lastRenderedPageBreak/>
        <w:t>لم يكن مدفوعًا فقط بالرغبة في التخلص من عبء السجلات الورقية، بل أيضًا بالحاجة إلى بناء بيئة معلوماتية متكاملة تسمح بتحسين اتخاذ القرار الطبي والإداري، ورفع القدرة على تتبع بيانات المرضى، وتيسير الوصول إلى المعلومات في الوقت المناسب، وتقليل التكرار في الإجراءات والفحوصات، وتعزيز كفاءة التنسيق بين المتخصصين والجهات المختلفة</w:t>
      </w:r>
      <w:r w:rsidRPr="00383FB7">
        <w:rPr>
          <w:rFonts w:ascii="Simplified Arabic" w:hAnsi="Simplified Arabic" w:cs="Simplified Arabic"/>
          <w:sz w:val="28"/>
          <w:szCs w:val="28"/>
        </w:rPr>
        <w:t xml:space="preserve"> (Bates &amp; Gawande, 2003; Hillestad et al., 2005).</w:t>
      </w:r>
    </w:p>
    <w:p w14:paraId="3164D90F"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وتتجلى أهمية الملف الإلكتروني للمريض في طبيعة المعلومات التي يستوعبها ويعيد تنظيمها في صورة مترابطة قابلة للاستخدام الفوري، فهو يضم التاريخ المرضي للفرد، ونتائج الفحوصات المخبرية، والتقارير التشخيصية، وصور الأشعة، والخطط العلاجية، والوصفات الدوائية، والحساسيات، والتطعيمات، والإحالات، والمتابعات السريرية، إلى جانب البيانات الإدارية والتأمينية ذات الصلة بالخدمة الصحية المقدمة. وهذه الشمولية لا تمنحه فقط قيمة توثيقية، بل تمنحه أيضًا قيمة معرفية وتشغيلية كبيرة، لأنه يتيح رؤية أكثر تكاملًا لحالة المريض، ويساعد في تقليل الفجوات المعلوماتية بين الجهات المختلفة، ويرفع من جودة القرارات المبنية على البيانات. ولعل هذه الميزة تزداد أهمية في القطاع التأميني، حيث تعتمد شركات التأمين الصحي على المعلومات الواردة في هذا الملف لتقييم المطالبات، والتحقق من الضرورة الطبية، ودراسة التسلسل الزمني للعلاج، وكشف أوجه التناقض أو النقص أو الاستخدام غير المشروع للخدمة الصحية</w:t>
      </w:r>
      <w:r w:rsidRPr="00383FB7">
        <w:rPr>
          <w:rFonts w:ascii="Simplified Arabic" w:hAnsi="Simplified Arabic" w:cs="Simplified Arabic"/>
          <w:sz w:val="28"/>
          <w:szCs w:val="28"/>
        </w:rPr>
        <w:t xml:space="preserve"> (Jha et al., 2009).</w:t>
      </w:r>
    </w:p>
    <w:p w14:paraId="04E7D62A"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كما أن التطور المعرفي للملف الإلكتروني للمريض ارتبط بنشوء مفهوم التشغيل البيني أو التوافقية التشغيلية بين الأنظمة الصحية المختلفة، وهو مفهوم يعني قدرة الأنظمة المتعددة على تبادل البيانات واستخدامها بصورة متجانسة وفعالة. وقد أدى هذا التطور إلى تعزيز دور الملف الإلكتروني بوصفه بنية مركزية في النظام الصحي الرقمي، وليس مجرد نظام داخلي خاص بمؤسسة واحدة. فكلما ازداد مستوى التشغيل البيني بين مقدمي الخدمة والجهات التنظيمية والتأمينية، ازدادت القيمة العملية للملف الإلكتروني للمريض، بوصفه مصدرًا موحدًا للمعلومة يمكن أن يُبنى عليه اتخاذ القرار وتقييم الأداء وضبط الإنفاق وتحقيق التكامل المؤسسي. ومن هنا، فإن تطور الملف الإلكتروني للمريض لم يكن تطورًا تقنيًا فحسب، بل كان تحولًا مفاهيميًا في موقع المعلومة الصحية داخل المنظومة الصحية الحديثة، حيث انتقلت من كونها مخرجات تسجيلية ساكنة إلى أن أصبحت موردًا استراتيجيًا ذا أثر مباشر في الجودة والكفاءة والحوكمة</w:t>
      </w:r>
      <w:r w:rsidRPr="00383FB7">
        <w:rPr>
          <w:rFonts w:ascii="Simplified Arabic" w:hAnsi="Simplified Arabic" w:cs="Simplified Arabic"/>
          <w:sz w:val="28"/>
          <w:szCs w:val="28"/>
        </w:rPr>
        <w:t>.</w:t>
      </w:r>
    </w:p>
    <w:p w14:paraId="5CA36F26" w14:textId="1DC8FC3D" w:rsidR="00B6331B" w:rsidRPr="00635161"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 xml:space="preserve">وبذلك، يمكن القول إن الملف الإلكتروني للمريض يمثل مرحلة متقدمة في تطور نظم المعلومات الصحية، لأنه يجسد الانتقال من منطق الأرشفة إلى منطق الإدارة الذكية للمعلومة الصحية. وهذا التحول هو الذي يفسر اهتمام الأدبيات الحديثة بربط الملف الإلكتروني بمفاهيم الحوكمة والجودة والسلامة والكفاءة المؤسسية، وعدم الاكتفاء بدراسته كأداة تقنية منفصلة. كما يفسر في الوقت نفسه سبب الأهمية المتزايدة لهذا الملف في البيئات التي تتشابك فيها الأطراف الصحية والتنظيمية والتأمينية، كما هو الحال في أنظمة </w:t>
      </w:r>
      <w:r w:rsidRPr="00383FB7">
        <w:rPr>
          <w:rFonts w:ascii="Simplified Arabic" w:hAnsi="Simplified Arabic" w:cs="Simplified Arabic"/>
          <w:sz w:val="28"/>
          <w:szCs w:val="28"/>
          <w:rtl/>
        </w:rPr>
        <w:lastRenderedPageBreak/>
        <w:t>التأمين الصحي الحديثة، حيث تصبح دقة البيانات الصحية وسرعة تداولها وأمنها عناصر حاسمة في كفاءة الأداء المؤسسي واتخاذ القرار</w:t>
      </w:r>
      <w:r w:rsidRPr="00383FB7">
        <w:rPr>
          <w:rFonts w:ascii="Simplified Arabic" w:hAnsi="Simplified Arabic" w:cs="Simplified Arabic"/>
          <w:sz w:val="28"/>
          <w:szCs w:val="28"/>
        </w:rPr>
        <w:t>.</w:t>
      </w:r>
    </w:p>
    <w:p w14:paraId="206CC1F1" w14:textId="77777777" w:rsidR="0035392D" w:rsidRPr="007F1B41" w:rsidRDefault="0035392D" w:rsidP="007F1B41">
      <w:pPr>
        <w:pStyle w:val="Heading2"/>
      </w:pPr>
      <w:bookmarkStart w:id="18" w:name="_Toc224661471"/>
      <w:r w:rsidRPr="007F1B41">
        <w:rPr>
          <w:rtl/>
        </w:rPr>
        <w:t>2.2.2  الحوكمة بوصفها شرطاً لتحقيق القيمة من الملف الإلكتروني</w:t>
      </w:r>
      <w:bookmarkEnd w:id="18"/>
    </w:p>
    <w:p w14:paraId="72DDAFEC"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على الرغم من الأهمية المتزايدة للملف الإلكتروني للمريض وما يتيحه من مزايا تقنية وتشغيلية، فإن مجرد وجود هذا الملف داخل المؤسسة الصحية أو التأمينية لا يعني بالضرورة تحقق القيمة المرجوة منه. فالقيمة المؤسسية للملف الإلكتروني لا تتحدد بمدى توافر النظام في حد ذاته، وإنما تتحدد بدرجة أكبر بمستوى الحوكمة التي تضبط إدارة هذا النظام وتوجه استخدام بياناته وتضمن جودتها وسلامتها وشرعية توظيفها. ومن هنا برزت الحوكمة بوصفها شرطًا جوهريًا لتحقيق المنافع المتوقعة من الملف الإلكتروني للمريض، سواء في تحسين الجودة، أو رفع الكفاءة، أو ترشيد التكاليف، أو تعزيز الثقة والامتثال داخل المنظومة الصحية والتأمينية</w:t>
      </w:r>
      <w:r w:rsidRPr="00383FB7">
        <w:rPr>
          <w:rFonts w:ascii="Simplified Arabic" w:hAnsi="Simplified Arabic" w:cs="Simplified Arabic"/>
          <w:sz w:val="28"/>
          <w:szCs w:val="28"/>
        </w:rPr>
        <w:t>.</w:t>
      </w:r>
    </w:p>
    <w:p w14:paraId="3DB2DC42"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وتشير أدبيات حوكمة تكنولوجيا المعلومات وإدارة البيانات إلى أن الحوكمة تمثل الإطار الذي تُوزّع من خلاله الأدوار والمسؤوليات، وتُحدد صلاحيات اتخاذ القرار، وتُصاغ السياسات المنظمة لاستخدام البيانات، وتُضبط آليات الرقابة والمتابعة والمساءلة بما يضمن توافق تشغيل الأنظمة الرقمية مع الأهداف المؤسسية والاستراتيجية</w:t>
      </w:r>
      <w:r w:rsidRPr="00383FB7">
        <w:rPr>
          <w:rFonts w:ascii="Simplified Arabic" w:hAnsi="Simplified Arabic" w:cs="Simplified Arabic"/>
          <w:sz w:val="28"/>
          <w:szCs w:val="28"/>
        </w:rPr>
        <w:t xml:space="preserve"> (Weill &amp; Ross, 2004; Tallon, 2013). </w:t>
      </w:r>
      <w:r w:rsidRPr="00383FB7">
        <w:rPr>
          <w:rFonts w:ascii="Simplified Arabic" w:hAnsi="Simplified Arabic" w:cs="Simplified Arabic"/>
          <w:sz w:val="28"/>
          <w:szCs w:val="28"/>
          <w:rtl/>
        </w:rPr>
        <w:t>وفي ضوء ذلك، يمكن تعريف حوكمة الملف الإلكتروني للمريض بأنها مجموعة السياسات والضوابط والإجراءات التنظيمية والتقنية والقانونية التي تهدف إلى ضمان جودة بيانات الملف الإلكتروني، وحمايتها، وتنظيم الوصول إليها، وضبط استخدامها وتبادلها، والتأكد من توافقها مع المتطلبات الأخلاقية والتنظيمية والتشغيلية للمؤسسة والقطاع الذي تعمل فيه</w:t>
      </w:r>
      <w:r w:rsidRPr="00383FB7">
        <w:rPr>
          <w:rFonts w:ascii="Simplified Arabic" w:hAnsi="Simplified Arabic" w:cs="Simplified Arabic"/>
          <w:sz w:val="28"/>
          <w:szCs w:val="28"/>
        </w:rPr>
        <w:t>.</w:t>
      </w:r>
    </w:p>
    <w:p w14:paraId="11B89CA2"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ويعني هذا التعريف أن حوكمة الملف الإلكتروني للمريض لا تنحصر في الجوانب الفنية المتعلقة بإدارة النظام أو صيانته أو تحديثه، بل تمتد إلى بُعد أوسع يشمل كيفية اتخاذ القرار بشأن البيانات، ومن يملك الحق في إدخالها أو تعديلها أو الاطلاع عليها أو مشاركتها، وكيفية التحقق من موثوقيتها، وكيفية التعامل مع الأخطاء والانتهاكات والمخاطر المرتبطة بها. لذلك فإن الحوكمة تختلف عن الإدارة التشغيلية اليومية للبيانات، لأن الإدارة تعنى غالبًا بتسيير العمليات الفنية المرتبطة بإدخال البيانات وتخزينها ومعالجتها، في حين تعنى الحوكمة بوضع الإطار الأعلى الذي يحدد القواعد الحاكمة لهذه العمليات، ويضمن توافقها مع متطلبات الجودة والشفافية والامتثال والمساءلة</w:t>
      </w:r>
      <w:r w:rsidRPr="00383FB7">
        <w:rPr>
          <w:rFonts w:ascii="Simplified Arabic" w:hAnsi="Simplified Arabic" w:cs="Simplified Arabic"/>
          <w:sz w:val="28"/>
          <w:szCs w:val="28"/>
        </w:rPr>
        <w:t xml:space="preserve"> (DAMA International, 2017).</w:t>
      </w:r>
    </w:p>
    <w:p w14:paraId="725D9F5B"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وقد أكدت الأدبيات أن الأنظمة الإلكترونية، مهما بلغت درجة تطورها التقني، قد تفشل في تحقيق أهدافها إذا لم تُدار ضمن إطار حوكمي واضح ومطبق بصرامة. فقد تكون المؤسسة مزودة بنظام رقمي متقدم، لكنها لا تحقق فائدة حقيقية منه إذا كانت البيانات المدخلة غير مكتملة أو غير دقيقة، أو إذا كانت صلاحيات الوصول غير منضبطة، أو إذا غابت معايير التحديث والمراجعة، أو إذا لم تتوافر آليات واضحة للمساءلة والتدقيق. وفي هذا السياق، أوضح</w:t>
      </w:r>
      <w:r w:rsidRPr="00383FB7">
        <w:rPr>
          <w:rFonts w:ascii="Simplified Arabic" w:hAnsi="Simplified Arabic" w:cs="Simplified Arabic"/>
          <w:sz w:val="28"/>
          <w:szCs w:val="28"/>
        </w:rPr>
        <w:t xml:space="preserve"> Shortliffe and Cimino (2014) </w:t>
      </w:r>
      <w:r w:rsidRPr="00383FB7">
        <w:rPr>
          <w:rFonts w:ascii="Simplified Arabic" w:hAnsi="Simplified Arabic" w:cs="Simplified Arabic"/>
          <w:sz w:val="28"/>
          <w:szCs w:val="28"/>
          <w:rtl/>
        </w:rPr>
        <w:t xml:space="preserve">أن القيمة الحقيقية للنظم </w:t>
      </w:r>
      <w:r w:rsidRPr="00383FB7">
        <w:rPr>
          <w:rFonts w:ascii="Simplified Arabic" w:hAnsi="Simplified Arabic" w:cs="Simplified Arabic"/>
          <w:sz w:val="28"/>
          <w:szCs w:val="28"/>
          <w:rtl/>
        </w:rPr>
        <w:lastRenderedPageBreak/>
        <w:t>الصحية الرقمية لا تنبع من التقنية بحد ذاتها، بل من قدرة المؤسسة على إدارة البيانات المتولدة عنها وفق سياسات ناضجة وحوكمة فاعلة. وهذا الطرح ينسجم مع التصور الذي يقدمه كل من</w:t>
      </w:r>
      <w:r w:rsidRPr="00383FB7">
        <w:rPr>
          <w:rFonts w:ascii="Simplified Arabic" w:hAnsi="Simplified Arabic" w:cs="Simplified Arabic"/>
          <w:sz w:val="28"/>
          <w:szCs w:val="28"/>
        </w:rPr>
        <w:t xml:space="preserve"> Weill and Ross (2004)</w:t>
      </w:r>
      <w:r w:rsidRPr="00383FB7">
        <w:rPr>
          <w:rFonts w:ascii="Simplified Arabic" w:hAnsi="Simplified Arabic" w:cs="Simplified Arabic"/>
          <w:sz w:val="28"/>
          <w:szCs w:val="28"/>
          <w:rtl/>
        </w:rPr>
        <w:t>، حيث إن نجاح أي بنية رقمية مؤسسية يتوقف على وضوح حقوق القرار، وآليات المتابعة، ومدى مواءمة إدارة التقنية مع الأهداف الاستراتيجية للمؤسسة</w:t>
      </w:r>
      <w:r w:rsidRPr="00383FB7">
        <w:rPr>
          <w:rFonts w:ascii="Simplified Arabic" w:hAnsi="Simplified Arabic" w:cs="Simplified Arabic"/>
          <w:sz w:val="28"/>
          <w:szCs w:val="28"/>
        </w:rPr>
        <w:t>.</w:t>
      </w:r>
    </w:p>
    <w:p w14:paraId="0CB76238"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وتزداد أهمية هذا الأمر في قطاع التأمين الصحي، لأن القرارات التأمينية تعتمد بصورة مباشرة على المعلومات الواردة من الملفات الإلكترونية للمرضى. فإذا كانت هذه البيانات غير دقيقة، أو ناقصة، أو غير قابلة للتحقق، أو غير متاحة في الوقت المناسب، فإن ذلك ينعكس فورًا على جودة معالجة المطالبات، وعلى سلامة التقدير المالي، وعلى عدالة القرار التأميني، بل وعلى قدرة المؤسسة على الحد من الاحتيال والهدر. ومن هنا، فإن الحوكمة في السياق التأميني لا تمثل مجرد عنصر داعم، بل تمثل شرطًا بنيويًا لضمان أن تتحول البيانات الصحية إلى قيمة تشغيلية ومالية وتنظيمية قابلة للاستثمار</w:t>
      </w:r>
      <w:r w:rsidRPr="00383FB7">
        <w:rPr>
          <w:rFonts w:ascii="Simplified Arabic" w:hAnsi="Simplified Arabic" w:cs="Simplified Arabic"/>
          <w:sz w:val="28"/>
          <w:szCs w:val="28"/>
        </w:rPr>
        <w:t>.</w:t>
      </w:r>
    </w:p>
    <w:p w14:paraId="723FB111"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كما أن حوكمة الملف الإلكتروني للمريض تكتسب بعدًا أخلاقيًا وقانونيًا بالغ الأهمية، نظرًا إلى الطبيعة الحساسة للمعلومات الصحية التي يتضمنها هذا الملف. فالمعلومات الصحية ليست بيانات عادية، بل تمثل بيانات شخصية شديدة الخصوصية، وقد يؤدي سوء استخدامها أو تسريبها أو إساءة الوصول إليها إلى أضرار مهنية وحقوقية وإنسانية جسيمة. ولذلك فإن الحوكمة لا تتعلق فقط بتحسين الكفاءة التشغيلية، بل أيضًا بحماية الخصوصية، وصون السرية، والالتزام بالمبادئ الأخلاقية في التعامل مع البيانات الصحية، وضمان أن يكون الوصول إلى المعلومات واستخدامها قائمًا على أسس مشروعة وواضحة وقابلة للمساءلة</w:t>
      </w:r>
      <w:r w:rsidRPr="00383FB7">
        <w:rPr>
          <w:rFonts w:ascii="Simplified Arabic" w:hAnsi="Simplified Arabic" w:cs="Simplified Arabic"/>
          <w:sz w:val="28"/>
          <w:szCs w:val="28"/>
        </w:rPr>
        <w:t>.</w:t>
      </w:r>
    </w:p>
    <w:p w14:paraId="1078D842"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وفي هذا الإطار، يُعد نموذج</w:t>
      </w:r>
      <w:r w:rsidRPr="00383FB7">
        <w:rPr>
          <w:rFonts w:ascii="Simplified Arabic" w:hAnsi="Simplified Arabic" w:cs="Simplified Arabic"/>
          <w:sz w:val="28"/>
          <w:szCs w:val="28"/>
        </w:rPr>
        <w:t xml:space="preserve"> DAMA-DMBOK </w:t>
      </w:r>
      <w:r w:rsidRPr="00383FB7">
        <w:rPr>
          <w:rFonts w:ascii="Simplified Arabic" w:hAnsi="Simplified Arabic" w:cs="Simplified Arabic"/>
          <w:sz w:val="28"/>
          <w:szCs w:val="28"/>
          <w:rtl/>
        </w:rPr>
        <w:t>أحد الأطر المرجعية المهمة في فهم حوكمة البيانات وتطبيقها، إذ يقدم تصورًا منظمًا لإدارة البيانات من منظور مؤسسي شامل، ويغطي عناصر مثل جودة البيانات، وأمنها، وتكاملها، وإتاحتها، والامتثال للسياسات والمعايير، وتحديد المسؤوليات المرتبطة بها</w:t>
      </w:r>
      <w:r w:rsidRPr="00383FB7">
        <w:rPr>
          <w:rFonts w:ascii="Simplified Arabic" w:hAnsi="Simplified Arabic" w:cs="Simplified Arabic"/>
          <w:sz w:val="28"/>
          <w:szCs w:val="28"/>
        </w:rPr>
        <w:t xml:space="preserve"> (DAMA International, 2017). </w:t>
      </w:r>
      <w:r w:rsidRPr="00383FB7">
        <w:rPr>
          <w:rFonts w:ascii="Simplified Arabic" w:hAnsi="Simplified Arabic" w:cs="Simplified Arabic"/>
          <w:sz w:val="28"/>
          <w:szCs w:val="28"/>
          <w:rtl/>
        </w:rPr>
        <w:t>وتنبع أهمية هذا الإطار من كونه لا ينظر إلى البيانات على أنها مجرد مورد تقني، بل على أنها أصل مؤسسي يتطلب الحوكمة والرعاية والضبط مثل أي مورد استراتيجي آخر. ولذلك فقد استفادت منه كثير من الدراسات الحديثة في تقييم مستوى نضج حوكمة البيانات في المؤسسات الصحية، وفي تحديد الفجوات القائمة بين البنية الرقمية المتاحة وبين مستوى الحوكمة الفعلي الذي يحكم تشغيلها</w:t>
      </w:r>
      <w:r w:rsidRPr="00383FB7">
        <w:rPr>
          <w:rFonts w:ascii="Simplified Arabic" w:hAnsi="Simplified Arabic" w:cs="Simplified Arabic"/>
          <w:sz w:val="28"/>
          <w:szCs w:val="28"/>
        </w:rPr>
        <w:t>.</w:t>
      </w:r>
    </w:p>
    <w:p w14:paraId="070D11DB" w14:textId="77777777" w:rsidR="00383FB7" w:rsidRPr="00383FB7"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 xml:space="preserve">ومن الزاوية المؤسسية، ترتبط الحوكمة أيضًا بفكرة تعظيم القيمة من الموارد الداخلية، وهو ما ينسجم مع نظرية الموارد والكفاءات التي ترى أن الموارد لا تتحول إلى مصدر للميزة التنافسية إلا إذا أُحسن تنظيمها وتوظيفها بصورة يصعب تقليدها. وفي هذا السياق، يمكن النظر إلى البيانات الصحية عالية الجودة، عندما تُدار ضمن بنية حوكمة راسخة، باعتبارها موردًا استراتيجيًا يسهم في تحسين اتخاذ القرار، ورفع كفاءة العمليات، وتعزيز الثقة بين الجهات الصحية والتأمينية، وتقليل تكاليف الخطأ والازدواجية والهدر. أما في </w:t>
      </w:r>
      <w:r w:rsidRPr="00383FB7">
        <w:rPr>
          <w:rFonts w:ascii="Simplified Arabic" w:hAnsi="Simplified Arabic" w:cs="Simplified Arabic"/>
          <w:sz w:val="28"/>
          <w:szCs w:val="28"/>
          <w:rtl/>
        </w:rPr>
        <w:lastRenderedPageBreak/>
        <w:t>غياب الحوكمة، فإن هذه البيانات قد تتحول من أصل مؤسسي ذي قيمة إلى مصدر للمخاطر والتعقيد والتكلفة</w:t>
      </w:r>
      <w:r w:rsidRPr="00383FB7">
        <w:rPr>
          <w:rFonts w:ascii="Simplified Arabic" w:hAnsi="Simplified Arabic" w:cs="Simplified Arabic"/>
          <w:sz w:val="28"/>
          <w:szCs w:val="28"/>
        </w:rPr>
        <w:t>.</w:t>
      </w:r>
    </w:p>
    <w:p w14:paraId="53BC524E" w14:textId="558231B5" w:rsidR="00B6331B" w:rsidRPr="00635161" w:rsidRDefault="00383FB7" w:rsidP="00383FB7">
      <w:pPr>
        <w:rPr>
          <w:rFonts w:ascii="Simplified Arabic" w:hAnsi="Simplified Arabic" w:cs="Simplified Arabic"/>
          <w:sz w:val="28"/>
          <w:szCs w:val="28"/>
        </w:rPr>
      </w:pPr>
      <w:r w:rsidRPr="00383FB7">
        <w:rPr>
          <w:rFonts w:ascii="Simplified Arabic" w:hAnsi="Simplified Arabic" w:cs="Simplified Arabic"/>
          <w:sz w:val="28"/>
          <w:szCs w:val="28"/>
          <w:rtl/>
        </w:rPr>
        <w:t>وبناءً على ذلك، فإن الحوكمة تمثل الحلقة التي تصل بين الإمكانات التقنية للملف الإلكتروني للمريض وبين القيمة المؤسسية المتحققة منه. فالتقنية تتيح الإمكان، أما الحوكمة فتضبط الاستخدام، وتحدد المعايير، وتضمن الجودة، وتوجه البيانات نحو خدمة الأهداف التنظيمية والتشغيلية والرقابية. ومن ثم، فإن أي دراسة تسعى إلى فهم أثر الملف الإلكتروني للمريض في الأداء المؤسسي لا يمكن أن تكتفي بدراسة وجود النظام أو وظائفه التقنية، بل يجب أن تنصرف إلى فحص مستوى الحوكمة التي تحكمه، لأنها العامل الذي يفسر لماذا تحقق بعض المؤسسات منافع مرتفعة من النظام، في حين لا تحقق مؤسسات أخرى المنافع ذاتها رغم امتلاكها تقنيات متشابهة</w:t>
      </w:r>
      <w:r w:rsidRPr="00383FB7">
        <w:rPr>
          <w:rFonts w:ascii="Simplified Arabic" w:hAnsi="Simplified Arabic" w:cs="Simplified Arabic"/>
          <w:sz w:val="28"/>
          <w:szCs w:val="28"/>
        </w:rPr>
        <w:t>.</w:t>
      </w:r>
    </w:p>
    <w:p w14:paraId="4A4CBE4F" w14:textId="77777777" w:rsidR="0035392D" w:rsidRPr="00635161" w:rsidRDefault="0035392D" w:rsidP="007F1B41">
      <w:pPr>
        <w:pStyle w:val="Heading2"/>
      </w:pPr>
      <w:bookmarkStart w:id="19" w:name="_Toc224661472"/>
      <w:r w:rsidRPr="00635161">
        <w:rPr>
          <w:rtl/>
        </w:rPr>
        <w:t>2.2.3  الأبعاد الخمسة لحوكمة الملف الإلكتروني للمريض</w:t>
      </w:r>
      <w:bookmarkEnd w:id="19"/>
    </w:p>
    <w:p w14:paraId="77E9AC38" w14:textId="77777777" w:rsidR="00F52F8C" w:rsidRPr="00F52F8C" w:rsidRDefault="00F52F8C" w:rsidP="00F52F8C">
      <w:pPr>
        <w:rPr>
          <w:rFonts w:ascii="Simplified Arabic" w:hAnsi="Simplified Arabic" w:cs="Simplified Arabic"/>
          <w:sz w:val="28"/>
          <w:szCs w:val="28"/>
        </w:rPr>
      </w:pPr>
      <w:r w:rsidRPr="00F52F8C">
        <w:rPr>
          <w:rFonts w:ascii="Simplified Arabic" w:hAnsi="Simplified Arabic" w:cs="Simplified Arabic"/>
          <w:sz w:val="28"/>
          <w:szCs w:val="28"/>
          <w:rtl/>
        </w:rPr>
        <w:t>تتجسد حوكمة الملف الإلكتروني للمريض في صورتها التطبيقية المتقدمة من خلال مجموعة من الأبعاد الجوهرية المتكاملة التي تشكل معًا الإطار العملي لضبط إدارة البيانات الصحية داخل المؤسسات الصحية والتأمينية. ولا تمثل هذه الأبعاد مجرد عناصر فنية منفصلة، بل تعبر عن منظومة مترابطة من المتطلبات التنظيمية والتقنية والأخلاقية والقانونية التي تضمن أن يؤدي الملف الإلكتروني للمريض دوره بكفاءة وموثوقية ضمن البيئة الصحية الرقمية. وقد أكدت الأدبيات المتخصصة في حوكمة تكنولوجيا المعلومات وإدارة البيانات أن فعالية الأنظمة الرقمية لا تُقاس فقط بمدى انتشارها أو تطور بنيتها التقنية، بل بمدى خضوعها لأبعاد حوكمة واضحة تضبط جودة البيانات، وأمنها، وتدفقها، وإتاحتها، وآليات المساءلة المرتبطة بها</w:t>
      </w:r>
      <w:r w:rsidRPr="00F52F8C">
        <w:rPr>
          <w:rFonts w:ascii="Simplified Arabic" w:hAnsi="Simplified Arabic" w:cs="Simplified Arabic"/>
          <w:sz w:val="28"/>
          <w:szCs w:val="28"/>
        </w:rPr>
        <w:t xml:space="preserve"> (Weill &amp; Ross, 2004; DAMA International, 2017; Tallon, 2013).</w:t>
      </w:r>
    </w:p>
    <w:p w14:paraId="0EB27121" w14:textId="09945374" w:rsidR="00F52F8C" w:rsidRPr="00635161" w:rsidRDefault="00F52F8C" w:rsidP="00F52F8C">
      <w:pPr>
        <w:rPr>
          <w:rFonts w:ascii="Simplified Arabic" w:hAnsi="Simplified Arabic" w:cs="Simplified Arabic"/>
          <w:sz w:val="28"/>
          <w:szCs w:val="28"/>
        </w:rPr>
      </w:pPr>
      <w:r w:rsidRPr="00F52F8C">
        <w:rPr>
          <w:rFonts w:ascii="Simplified Arabic" w:hAnsi="Simplified Arabic" w:cs="Simplified Arabic"/>
          <w:sz w:val="28"/>
          <w:szCs w:val="28"/>
          <w:rtl/>
        </w:rPr>
        <w:t>وانطلاقًا من ذلك، تعتمد الدراسة الحالية على خمسة أبعاد رئيسة لحوكمة الملف الإلكتروني للمريض، تتمثل في: دقة البيانات وسلامتها، وأمن المعلومات وإدارة الصلاحيات، والامتثال التنظيمي، وإمكانية الوصول والتكامل البيني، والشفافية والمساءلة. وتمثل هذه الأبعاد مجتمعة الإطار الذي يمكن من خلاله تقييم مستوى الحوكمة الرقمية للملف الإلكتروني للمريض، ومدى انعكاسه على الأداء والفاعلية المؤسسية لشركات التأمين الصحي</w:t>
      </w:r>
      <w:r w:rsidRPr="00F52F8C">
        <w:rPr>
          <w:rFonts w:ascii="Simplified Arabic" w:hAnsi="Simplified Arabic" w:cs="Simplified Arabic"/>
          <w:sz w:val="28"/>
          <w:szCs w:val="28"/>
        </w:rPr>
        <w:t>.</w:t>
      </w:r>
    </w:p>
    <w:p w14:paraId="5F6CEA89" w14:textId="458B8E32" w:rsidR="0035392D" w:rsidRPr="00E32F52" w:rsidRDefault="00E32F52" w:rsidP="00E32F52">
      <w:pPr>
        <w:spacing w:before="40" w:after="20"/>
        <w:jc w:val="center"/>
        <w:rPr>
          <w:rFonts w:ascii="Simplified Arabic" w:hAnsi="Simplified Arabic" w:cs="Simplified Arabic"/>
          <w:sz w:val="28"/>
          <w:szCs w:val="28"/>
        </w:rPr>
      </w:pPr>
      <w:r w:rsidRPr="00E32F52">
        <w:rPr>
          <w:rFonts w:ascii="Simplified Arabic" w:eastAsia="Times New Roman" w:hAnsi="Simplified Arabic" w:cs="Simplified Arabic"/>
          <w:i/>
          <w:iCs/>
          <w:sz w:val="28"/>
          <w:szCs w:val="28"/>
          <w:rtl/>
        </w:rPr>
        <w:t>جدول (2-</w:t>
      </w:r>
      <w:r w:rsidR="005F0F43">
        <w:rPr>
          <w:rFonts w:ascii="Simplified Arabic" w:eastAsia="Times New Roman" w:hAnsi="Simplified Arabic" w:cs="Simplified Arabic" w:hint="cs"/>
          <w:i/>
          <w:iCs/>
          <w:sz w:val="28"/>
          <w:szCs w:val="28"/>
          <w:rtl/>
        </w:rPr>
        <w:t>1</w:t>
      </w:r>
      <w:r w:rsidRPr="00E32F52">
        <w:rPr>
          <w:rFonts w:ascii="Simplified Arabic" w:eastAsia="Times New Roman" w:hAnsi="Simplified Arabic" w:cs="Simplified Arabic"/>
          <w:i/>
          <w:iCs/>
          <w:sz w:val="28"/>
          <w:szCs w:val="28"/>
          <w:rtl/>
        </w:rPr>
        <w:t>): الأبعاد الخمسة لحوكمة الملف الإلكتروني للمريض وأثرها المؤسسي</w:t>
      </w:r>
    </w:p>
    <w:tbl>
      <w:tblPr>
        <w:tblStyle w:val="GridTable5Dark-Accent1"/>
        <w:bidiVisual/>
        <w:tblW w:w="9360" w:type="dxa"/>
        <w:tblLook w:val="0000" w:firstRow="0" w:lastRow="0" w:firstColumn="0" w:lastColumn="0" w:noHBand="0" w:noVBand="0"/>
      </w:tblPr>
      <w:tblGrid>
        <w:gridCol w:w="2200"/>
        <w:gridCol w:w="3680"/>
        <w:gridCol w:w="3480"/>
      </w:tblGrid>
      <w:tr w:rsidR="0035392D" w:rsidRPr="00635161" w14:paraId="155E4BC5" w14:textId="77777777" w:rsidTr="001F6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00" w:type="dxa"/>
          </w:tcPr>
          <w:p w14:paraId="706E6302" w14:textId="77777777" w:rsidR="0035392D" w:rsidRPr="00635161" w:rsidRDefault="0035392D" w:rsidP="001F6EC7">
            <w:pPr>
              <w:jc w:val="left"/>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البُعد الحوكمي</w:t>
            </w:r>
          </w:p>
        </w:tc>
        <w:tc>
          <w:tcPr>
            <w:tcW w:w="3680" w:type="dxa"/>
          </w:tcPr>
          <w:p w14:paraId="55D92A61" w14:textId="77777777" w:rsidR="0035392D" w:rsidRPr="00635161" w:rsidRDefault="0035392D" w:rsidP="001F6EC7">
            <w:pPr>
              <w:ind w:firstLine="288"/>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التعريف الإجرائي</w:t>
            </w:r>
          </w:p>
        </w:tc>
        <w:tc>
          <w:tcPr>
            <w:cnfStyle w:val="000010000000" w:firstRow="0" w:lastRow="0" w:firstColumn="0" w:lastColumn="0" w:oddVBand="1" w:evenVBand="0" w:oddHBand="0" w:evenHBand="0" w:firstRowFirstColumn="0" w:firstRowLastColumn="0" w:lastRowFirstColumn="0" w:lastRowLastColumn="0"/>
            <w:tcW w:w="3480" w:type="dxa"/>
          </w:tcPr>
          <w:p w14:paraId="073B9F63" w14:textId="77777777" w:rsidR="0035392D" w:rsidRPr="00635161" w:rsidRDefault="0035392D" w:rsidP="001F6EC7">
            <w:pPr>
              <w:ind w:firstLine="288"/>
              <w:jc w:val="left"/>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الأثر على المنظومة الصحية والتأمينية</w:t>
            </w:r>
          </w:p>
        </w:tc>
      </w:tr>
      <w:tr w:rsidR="0035392D" w:rsidRPr="00635161" w14:paraId="260A9BA2" w14:textId="77777777" w:rsidTr="001F6EC7">
        <w:tc>
          <w:tcPr>
            <w:cnfStyle w:val="000010000000" w:firstRow="0" w:lastRow="0" w:firstColumn="0" w:lastColumn="0" w:oddVBand="1" w:evenVBand="0" w:oddHBand="0" w:evenHBand="0" w:firstRowFirstColumn="0" w:firstRowLastColumn="0" w:lastRowFirstColumn="0" w:lastRowLastColumn="0"/>
            <w:tcW w:w="2200" w:type="dxa"/>
          </w:tcPr>
          <w:p w14:paraId="5D8D7DE3"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دقة البيانات وسلامتها</w:t>
            </w:r>
          </w:p>
        </w:tc>
        <w:tc>
          <w:tcPr>
            <w:tcW w:w="3680" w:type="dxa"/>
          </w:tcPr>
          <w:p w14:paraId="18234595" w14:textId="77777777" w:rsidR="0035392D" w:rsidRPr="00635161" w:rsidRDefault="0035392D" w:rsidP="001F6EC7">
            <w:pPr>
              <w:ind w:firstLine="0"/>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انعدام الأخطاء في إدخال بيانات المريض وتحديثها المستمر وفق المستجدات السريرية والإدارية.</w:t>
            </w:r>
          </w:p>
        </w:tc>
        <w:tc>
          <w:tcPr>
            <w:cnfStyle w:val="000010000000" w:firstRow="0" w:lastRow="0" w:firstColumn="0" w:lastColumn="0" w:oddVBand="1" w:evenVBand="0" w:oddHBand="0" w:evenHBand="0" w:firstRowFirstColumn="0" w:firstRowLastColumn="0" w:lastRowFirstColumn="0" w:lastRowLastColumn="0"/>
            <w:tcW w:w="3480" w:type="dxa"/>
          </w:tcPr>
          <w:p w14:paraId="1C312FFC"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تُقلّص نسب رفض المطالبات وتُعزّز موثوقية القرارات التأمينية المبنية على سجلات المرضى.</w:t>
            </w:r>
          </w:p>
        </w:tc>
      </w:tr>
      <w:tr w:rsidR="0035392D" w:rsidRPr="00635161" w14:paraId="55DD292C" w14:textId="77777777" w:rsidTr="001F6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00" w:type="dxa"/>
          </w:tcPr>
          <w:p w14:paraId="00015B77"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lastRenderedPageBreak/>
              <w:t>أمن المعلومات وإدارة الصلاحيات</w:t>
            </w:r>
          </w:p>
        </w:tc>
        <w:tc>
          <w:tcPr>
            <w:tcW w:w="3680" w:type="dxa"/>
          </w:tcPr>
          <w:p w14:paraId="4F1E8DE4" w14:textId="77777777" w:rsidR="0035392D" w:rsidRPr="00635161" w:rsidRDefault="0035392D" w:rsidP="001F6EC7">
            <w:pPr>
              <w:ind w:firstLine="0"/>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حماية البيانات من الاختراق والوصول غير المصرّح به عبر تشفير متطور وإدارة هويّات دقيقة.</w:t>
            </w:r>
          </w:p>
        </w:tc>
        <w:tc>
          <w:tcPr>
            <w:cnfStyle w:val="000010000000" w:firstRow="0" w:lastRow="0" w:firstColumn="0" w:lastColumn="0" w:oddVBand="1" w:evenVBand="0" w:oddHBand="0" w:evenHBand="0" w:firstRowFirstColumn="0" w:firstRowLastColumn="0" w:lastRowFirstColumn="0" w:lastRowLastColumn="0"/>
            <w:tcW w:w="3480" w:type="dxa"/>
          </w:tcPr>
          <w:p w14:paraId="62363D5E"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يُحدّ من حالات الاحتيال التأميني ويصون سرية المريض وفق متطلبات التشريعات الصحية الوطنية.</w:t>
            </w:r>
          </w:p>
        </w:tc>
      </w:tr>
      <w:tr w:rsidR="0035392D" w:rsidRPr="00635161" w14:paraId="1CB937F4" w14:textId="77777777" w:rsidTr="001F6EC7">
        <w:tc>
          <w:tcPr>
            <w:cnfStyle w:val="000010000000" w:firstRow="0" w:lastRow="0" w:firstColumn="0" w:lastColumn="0" w:oddVBand="1" w:evenVBand="0" w:oddHBand="0" w:evenHBand="0" w:firstRowFirstColumn="0" w:firstRowLastColumn="0" w:lastRowFirstColumn="0" w:lastRowLastColumn="0"/>
            <w:tcW w:w="2200" w:type="dxa"/>
          </w:tcPr>
          <w:p w14:paraId="208157A6"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الامتثال التنظيمي</w:t>
            </w:r>
          </w:p>
        </w:tc>
        <w:tc>
          <w:tcPr>
            <w:tcW w:w="3680" w:type="dxa"/>
          </w:tcPr>
          <w:p w14:paraId="1D0C4CE7" w14:textId="77777777" w:rsidR="0035392D" w:rsidRPr="00635161" w:rsidRDefault="0035392D" w:rsidP="001F6EC7">
            <w:pPr>
              <w:ind w:firstLine="0"/>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التزام المنشآت الصحية وشركات التأمين بالأطر والمعايير الصادرة عن الجهات التنظيمية المختصة.</w:t>
            </w:r>
          </w:p>
        </w:tc>
        <w:tc>
          <w:tcPr>
            <w:cnfStyle w:val="000010000000" w:firstRow="0" w:lastRow="0" w:firstColumn="0" w:lastColumn="0" w:oddVBand="1" w:evenVBand="0" w:oddHBand="0" w:evenHBand="0" w:firstRowFirstColumn="0" w:firstRowLastColumn="0" w:lastRowFirstColumn="0" w:lastRowLastColumn="0"/>
            <w:tcW w:w="3480" w:type="dxa"/>
          </w:tcPr>
          <w:p w14:paraId="7BEF0C56"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يُجنّب المؤسسات المخاطر القانونية ويُوحّد معايير التبادل الإلكتروني للبيانات بين الأطراف.</w:t>
            </w:r>
          </w:p>
        </w:tc>
      </w:tr>
      <w:tr w:rsidR="0035392D" w:rsidRPr="00635161" w14:paraId="5FD02812" w14:textId="77777777" w:rsidTr="001F6EC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00" w:type="dxa"/>
          </w:tcPr>
          <w:p w14:paraId="08A45719"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إمكانية الوصول والتكامل البيني</w:t>
            </w:r>
          </w:p>
        </w:tc>
        <w:tc>
          <w:tcPr>
            <w:tcW w:w="3680" w:type="dxa"/>
          </w:tcPr>
          <w:p w14:paraId="23AE0A30" w14:textId="77777777" w:rsidR="0035392D" w:rsidRPr="00635161" w:rsidRDefault="0035392D" w:rsidP="001F6EC7">
            <w:pPr>
              <w:ind w:firstLine="0"/>
              <w:jc w:val="lef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القدرة على استدعاء الملف الإلكتروني فورياً وتبادله بين المنظومتين الصحية والتأمينية بسلاسة.</w:t>
            </w:r>
          </w:p>
        </w:tc>
        <w:tc>
          <w:tcPr>
            <w:cnfStyle w:val="000010000000" w:firstRow="0" w:lastRow="0" w:firstColumn="0" w:lastColumn="0" w:oddVBand="1" w:evenVBand="0" w:oddHBand="0" w:evenHBand="0" w:firstRowFirstColumn="0" w:firstRowLastColumn="0" w:lastRowFirstColumn="0" w:lastRowLastColumn="0"/>
            <w:tcW w:w="3480" w:type="dxa"/>
          </w:tcPr>
          <w:p w14:paraId="66C99E70"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يُسرّع دورة الموافقة التأمينية ويُقلّص الفجوات المعلوماتية بين مقدمي الخدمة وشركات التأمين.</w:t>
            </w:r>
          </w:p>
        </w:tc>
      </w:tr>
      <w:tr w:rsidR="0035392D" w:rsidRPr="00635161" w14:paraId="6F7BC455" w14:textId="77777777" w:rsidTr="001F6EC7">
        <w:tc>
          <w:tcPr>
            <w:cnfStyle w:val="000010000000" w:firstRow="0" w:lastRow="0" w:firstColumn="0" w:lastColumn="0" w:oddVBand="1" w:evenVBand="0" w:oddHBand="0" w:evenHBand="0" w:firstRowFirstColumn="0" w:firstRowLastColumn="0" w:lastRowFirstColumn="0" w:lastRowLastColumn="0"/>
            <w:tcW w:w="2200" w:type="dxa"/>
          </w:tcPr>
          <w:p w14:paraId="4F9E1E45"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الشفافية والمساءلة</w:t>
            </w:r>
          </w:p>
        </w:tc>
        <w:tc>
          <w:tcPr>
            <w:tcW w:w="3680" w:type="dxa"/>
          </w:tcPr>
          <w:p w14:paraId="7FFC0DD6" w14:textId="77777777" w:rsidR="0035392D" w:rsidRPr="00635161" w:rsidRDefault="0035392D" w:rsidP="001F6EC7">
            <w:pPr>
              <w:ind w:firstLine="0"/>
              <w:jc w:val="lef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توفير سجلات تدقيق شاملة تُوثّق جميع التعديلات وتُحدّد المسؤوليات لكل طرف معني.</w:t>
            </w:r>
          </w:p>
        </w:tc>
        <w:tc>
          <w:tcPr>
            <w:cnfStyle w:val="000010000000" w:firstRow="0" w:lastRow="0" w:firstColumn="0" w:lastColumn="0" w:oddVBand="1" w:evenVBand="0" w:oddHBand="0" w:evenHBand="0" w:firstRowFirstColumn="0" w:firstRowLastColumn="0" w:lastRowFirstColumn="0" w:lastRowLastColumn="0"/>
            <w:tcW w:w="3480" w:type="dxa"/>
          </w:tcPr>
          <w:p w14:paraId="03ABC39B"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يُعزّز الثقة المؤسسية ويُيسّر مراجعة الأداء ومكافحة الهدر والاستخدام غير المشروع للبيانات.</w:t>
            </w:r>
          </w:p>
        </w:tc>
      </w:tr>
    </w:tbl>
    <w:p w14:paraId="679AF858" w14:textId="77777777" w:rsidR="0035392D" w:rsidRPr="00E32F52" w:rsidRDefault="0035392D" w:rsidP="007F1B41">
      <w:pPr>
        <w:rPr>
          <w:rFonts w:ascii="Simplified Arabic" w:hAnsi="Simplified Arabic" w:cs="Simplified Arabic"/>
          <w:sz w:val="28"/>
          <w:szCs w:val="28"/>
        </w:rPr>
      </w:pPr>
      <w:r w:rsidRPr="00E32F52">
        <w:rPr>
          <w:rFonts w:ascii="Simplified Arabic" w:eastAsia="Times New Roman" w:hAnsi="Simplified Arabic" w:cs="Simplified Arabic"/>
          <w:i/>
          <w:iCs/>
          <w:sz w:val="28"/>
          <w:szCs w:val="28"/>
          <w:rtl/>
        </w:rPr>
        <w:t>المصدر: إعداد الباحثة بالاستناد إلى Weill &amp; Ross (2004)، DAMA International (2017)، Tallon (2013)</w:t>
      </w:r>
    </w:p>
    <w:p w14:paraId="6781A143"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ويعد </w:t>
      </w:r>
      <w:r w:rsidRPr="0010492E">
        <w:rPr>
          <w:rFonts w:ascii="Simplified Arabic" w:eastAsia="Times New Roman" w:hAnsi="Simplified Arabic" w:cs="Simplified Arabic"/>
          <w:b/>
          <w:bCs/>
          <w:color w:val="1A1A1A"/>
          <w:sz w:val="28"/>
          <w:szCs w:val="28"/>
          <w:rtl/>
        </w:rPr>
        <w:t>بُعد دقة البيانات وسلامتها</w:t>
      </w:r>
      <w:r w:rsidRPr="0010492E">
        <w:rPr>
          <w:rFonts w:ascii="Simplified Arabic" w:eastAsia="Times New Roman" w:hAnsi="Simplified Arabic" w:cs="Simplified Arabic"/>
          <w:color w:val="1A1A1A"/>
          <w:sz w:val="28"/>
          <w:szCs w:val="28"/>
          <w:rtl/>
        </w:rPr>
        <w:t xml:space="preserve"> من أكثر الأبعاد مركزية في حوكمة الملف الإلكتروني للمريض، لأن جودة القرارات الصحية والتأمينية تعتمد بدرجة كبيرة على صحة البيانات المسجلة واكتمالها وحداثتها. فالبيانات غير الدقيقة أو الناقصة قد تقود إلى أخطاء في تقييم الحالة الصحية، أو إلى سوء تقدير للتكاليف، أو إلى رفض مطالبات تأمينية مستحقة، أو قبول مطالبات تفتقر إلى الأساس الطبي الكافي. ومن هذا المنطلق، تشير الأدبيات إلى أن جودة البيانات لا ترتبط فقط بخلوها من الأخطاء، بل تشمل أيضًا اكتمالها، واتساقها، وتحديثها المستمر، وقابليتها للاستخدام من قبل مختلف الأطراف ذات العلاقة</w:t>
      </w:r>
      <w:r w:rsidRPr="0010492E">
        <w:rPr>
          <w:rFonts w:ascii="Simplified Arabic" w:eastAsia="Times New Roman" w:hAnsi="Simplified Arabic" w:cs="Simplified Arabic"/>
          <w:color w:val="1A1A1A"/>
          <w:sz w:val="28"/>
          <w:szCs w:val="28"/>
        </w:rPr>
        <w:t xml:space="preserve"> (DAMA International, 2017). </w:t>
      </w:r>
      <w:r w:rsidRPr="0010492E">
        <w:rPr>
          <w:rFonts w:ascii="Simplified Arabic" w:eastAsia="Times New Roman" w:hAnsi="Simplified Arabic" w:cs="Simplified Arabic"/>
          <w:color w:val="1A1A1A"/>
          <w:sz w:val="28"/>
          <w:szCs w:val="28"/>
          <w:rtl/>
        </w:rPr>
        <w:t>وقد دعمت دراسات عدة هذا البعد، إذ بينت دراسة</w:t>
      </w:r>
      <w:r w:rsidRPr="0010492E">
        <w:rPr>
          <w:rFonts w:ascii="Simplified Arabic" w:eastAsia="Times New Roman" w:hAnsi="Simplified Arabic" w:cs="Simplified Arabic"/>
          <w:color w:val="1A1A1A"/>
          <w:sz w:val="28"/>
          <w:szCs w:val="28"/>
        </w:rPr>
        <w:t xml:space="preserve"> Aldossary et al. (2021) </w:t>
      </w:r>
      <w:r w:rsidRPr="0010492E">
        <w:rPr>
          <w:rFonts w:ascii="Simplified Arabic" w:eastAsia="Times New Roman" w:hAnsi="Simplified Arabic" w:cs="Simplified Arabic"/>
          <w:color w:val="1A1A1A"/>
          <w:sz w:val="28"/>
          <w:szCs w:val="28"/>
          <w:rtl/>
        </w:rPr>
        <w:t>أن مشكلات جودة البيانات في الأنظمة الصحية الرقمية ترتبط مباشرة بارتفاع الأخطاء الإدارية والتأمينية، كما أوضحت دراسة</w:t>
      </w:r>
      <w:r w:rsidRPr="0010492E">
        <w:rPr>
          <w:rFonts w:ascii="Simplified Arabic" w:eastAsia="Times New Roman" w:hAnsi="Simplified Arabic" w:cs="Simplified Arabic"/>
          <w:color w:val="1A1A1A"/>
          <w:sz w:val="28"/>
          <w:szCs w:val="28"/>
        </w:rPr>
        <w:t xml:space="preserve"> Jiang et al. (2017) </w:t>
      </w:r>
      <w:r w:rsidRPr="0010492E">
        <w:rPr>
          <w:rFonts w:ascii="Simplified Arabic" w:eastAsia="Times New Roman" w:hAnsi="Simplified Arabic" w:cs="Simplified Arabic"/>
          <w:color w:val="1A1A1A"/>
          <w:sz w:val="28"/>
          <w:szCs w:val="28"/>
          <w:rtl/>
        </w:rPr>
        <w:t>أن تحسن جودة البيانات يسهم في تسريع معالجة المطالبات التأمينية ورفع كفاءة التعامل معها</w:t>
      </w:r>
      <w:r w:rsidRPr="0010492E">
        <w:rPr>
          <w:rFonts w:ascii="Simplified Arabic" w:eastAsia="Times New Roman" w:hAnsi="Simplified Arabic" w:cs="Simplified Arabic"/>
          <w:color w:val="1A1A1A"/>
          <w:sz w:val="28"/>
          <w:szCs w:val="28"/>
        </w:rPr>
        <w:t>.</w:t>
      </w:r>
    </w:p>
    <w:p w14:paraId="73147FF9"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أما </w:t>
      </w:r>
      <w:r w:rsidRPr="0010492E">
        <w:rPr>
          <w:rFonts w:ascii="Simplified Arabic" w:eastAsia="Times New Roman" w:hAnsi="Simplified Arabic" w:cs="Simplified Arabic"/>
          <w:b/>
          <w:bCs/>
          <w:color w:val="1A1A1A"/>
          <w:sz w:val="28"/>
          <w:szCs w:val="28"/>
          <w:rtl/>
        </w:rPr>
        <w:t>بُعد أمن المعلومات وإدارة الصلاحيات</w:t>
      </w:r>
      <w:r w:rsidRPr="0010492E">
        <w:rPr>
          <w:rFonts w:ascii="Simplified Arabic" w:eastAsia="Times New Roman" w:hAnsi="Simplified Arabic" w:cs="Simplified Arabic"/>
          <w:color w:val="1A1A1A"/>
          <w:sz w:val="28"/>
          <w:szCs w:val="28"/>
          <w:rtl/>
        </w:rPr>
        <w:t xml:space="preserve">، فيرتبط بحماية البيانات الصحية من الوصول غير المصرح به أو العبث أو التسريب أو سوء الاستخدام، وذلك من خلال تطبيق ضوابط فنية وإدارية تشمل التشفير، وإدارة الهوية الرقمية، وتحديد مستويات الصلاحيات، وتوثيق عمليات الدخول والتعديل. ويكتسب هذا البعد أهمية مضاعفة في الملف الإلكتروني للمريض، لأن هذا الملف يتضمن معلومات شخصية وصحية شديدة الحساسية، وقد يؤدي أي إخلال بسرّيتها إلى أضرار أخلاقية وقانونية ومهنية كبيرة. وتشير الأدبيات إلى </w:t>
      </w:r>
      <w:r w:rsidRPr="0010492E">
        <w:rPr>
          <w:rFonts w:ascii="Simplified Arabic" w:eastAsia="Times New Roman" w:hAnsi="Simplified Arabic" w:cs="Simplified Arabic"/>
          <w:color w:val="1A1A1A"/>
          <w:sz w:val="28"/>
          <w:szCs w:val="28"/>
          <w:rtl/>
        </w:rPr>
        <w:lastRenderedPageBreak/>
        <w:t>أن أمن البيانات الصحية يمثل أحد الشروط الأساسية لنجاح التحول الرقمي الصحي، وأن ضعف الحماية المعلوماتية قد يقوض ثقة المستخدمين والمؤسسات في الأنظمة الرقمية ذاتها</w:t>
      </w:r>
      <w:r w:rsidRPr="0010492E">
        <w:rPr>
          <w:rFonts w:ascii="Simplified Arabic" w:eastAsia="Times New Roman" w:hAnsi="Simplified Arabic" w:cs="Simplified Arabic"/>
          <w:color w:val="1A1A1A"/>
          <w:sz w:val="28"/>
          <w:szCs w:val="28"/>
        </w:rPr>
        <w:t xml:space="preserve"> (Bates &amp; Gawande, 2003; Shortliffe &amp; Cimino, 2014). </w:t>
      </w:r>
      <w:r w:rsidRPr="0010492E">
        <w:rPr>
          <w:rFonts w:ascii="Simplified Arabic" w:eastAsia="Times New Roman" w:hAnsi="Simplified Arabic" w:cs="Simplified Arabic"/>
          <w:color w:val="1A1A1A"/>
          <w:sz w:val="28"/>
          <w:szCs w:val="28"/>
          <w:rtl/>
        </w:rPr>
        <w:t>كما أن هذا البعد يتصل مباشرة بالقطاع التأميني، إذ إن ضعف التحكم في الصلاحيات أو هشاشة الأنظمة الأمنية قد يفتح المجال أمام إساءة استخدام البيانات أو توظيفها بطرق تؤثر في عدالة القرار التأميني ونزاهته</w:t>
      </w:r>
      <w:r w:rsidRPr="0010492E">
        <w:rPr>
          <w:rFonts w:ascii="Simplified Arabic" w:eastAsia="Times New Roman" w:hAnsi="Simplified Arabic" w:cs="Simplified Arabic"/>
          <w:color w:val="1A1A1A"/>
          <w:sz w:val="28"/>
          <w:szCs w:val="28"/>
        </w:rPr>
        <w:t>.</w:t>
      </w:r>
    </w:p>
    <w:p w14:paraId="747E5E3A"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ويتمثل البعد الثالث في </w:t>
      </w:r>
      <w:r w:rsidRPr="0010492E">
        <w:rPr>
          <w:rFonts w:ascii="Simplified Arabic" w:eastAsia="Times New Roman" w:hAnsi="Simplified Arabic" w:cs="Simplified Arabic"/>
          <w:b/>
          <w:bCs/>
          <w:color w:val="1A1A1A"/>
          <w:sz w:val="28"/>
          <w:szCs w:val="28"/>
          <w:rtl/>
        </w:rPr>
        <w:t>الامتثال التنظيمي</w:t>
      </w:r>
      <w:r w:rsidRPr="0010492E">
        <w:rPr>
          <w:rFonts w:ascii="Simplified Arabic" w:eastAsia="Times New Roman" w:hAnsi="Simplified Arabic" w:cs="Simplified Arabic"/>
          <w:color w:val="1A1A1A"/>
          <w:sz w:val="28"/>
          <w:szCs w:val="28"/>
          <w:rtl/>
        </w:rPr>
        <w:t>، ويقصد به التزام المؤسسات الصحية والتأمينية بالقواعد والمعايير والسياسات المنظمة لإدارة الملف الإلكتروني للمريض وتبادل بياناته، سواء تلك الصادرة عن الجهات الوطنية المنظمة أو المعايير المهنية والتقنية المعتمدة في المجال الصحي الرقمي. ولا يقتصر الامتثال هنا على الجانب القانوني فحسب، بل يمتد إلى الالتزام بمعايير التكويد، والتوثيق، وضبط الجودة، وحماية الخصوصية، وإجراءات التعامل مع البيانات الصحية. وتنبع أهمية هذا البعد من كونه يوفر أساسًا موحدًا لضبط الممارسات المختلفة داخل المنظومة الصحية والتأمينية، ويقلل من التباين المؤسسي في إدارة البيانات وتبادلها. وقد بينت دراسة</w:t>
      </w:r>
      <w:r w:rsidRPr="0010492E">
        <w:rPr>
          <w:rFonts w:ascii="Simplified Arabic" w:eastAsia="Times New Roman" w:hAnsi="Simplified Arabic" w:cs="Simplified Arabic"/>
          <w:color w:val="1A1A1A"/>
          <w:sz w:val="28"/>
          <w:szCs w:val="28"/>
        </w:rPr>
        <w:t xml:space="preserve"> Al-Kahtani et al. (2022) </w:t>
      </w:r>
      <w:r w:rsidRPr="0010492E">
        <w:rPr>
          <w:rFonts w:ascii="Simplified Arabic" w:eastAsia="Times New Roman" w:hAnsi="Simplified Arabic" w:cs="Simplified Arabic"/>
          <w:color w:val="1A1A1A"/>
          <w:sz w:val="28"/>
          <w:szCs w:val="28"/>
          <w:rtl/>
        </w:rPr>
        <w:t>أن نقص المعايير الموحدة لحوكمة البيانات الصحية يمثل أحد معوقات الجاهزية الرقمية للمؤسسات الصحية، كما أكدت التقارير الوطنية المرتبطة بالتحول الصحي في المملكة أهمية بناء بيئة تنظيمية واضحة تعزز الامتثال وتدعم التكامل بين الأطراف المختلفة</w:t>
      </w:r>
      <w:r w:rsidRPr="0010492E">
        <w:rPr>
          <w:rFonts w:ascii="Simplified Arabic" w:eastAsia="Times New Roman" w:hAnsi="Simplified Arabic" w:cs="Simplified Arabic"/>
          <w:color w:val="1A1A1A"/>
          <w:sz w:val="28"/>
          <w:szCs w:val="28"/>
        </w:rPr>
        <w:t xml:space="preserve"> (CCHI, 2022; Ministry of Health, 2023).</w:t>
      </w:r>
    </w:p>
    <w:p w14:paraId="2EF1D121"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أما </w:t>
      </w:r>
      <w:r w:rsidRPr="0010492E">
        <w:rPr>
          <w:rFonts w:ascii="Simplified Arabic" w:eastAsia="Times New Roman" w:hAnsi="Simplified Arabic" w:cs="Simplified Arabic"/>
          <w:b/>
          <w:bCs/>
          <w:color w:val="1A1A1A"/>
          <w:sz w:val="28"/>
          <w:szCs w:val="28"/>
          <w:rtl/>
        </w:rPr>
        <w:t>بُعد إمكانية الوصول والتكامل البيني</w:t>
      </w:r>
      <w:r w:rsidRPr="0010492E">
        <w:rPr>
          <w:rFonts w:ascii="Simplified Arabic" w:eastAsia="Times New Roman" w:hAnsi="Simplified Arabic" w:cs="Simplified Arabic"/>
          <w:color w:val="1A1A1A"/>
          <w:sz w:val="28"/>
          <w:szCs w:val="28"/>
          <w:rtl/>
        </w:rPr>
        <w:t>، فيتعلق بقدرة الأنظمة على إتاحة المعلومات الصحية بسرعة وكفاءة للمخولين بالوصول إليها، وبقدرتها أيضًا على تبادل البيانات بين المؤسسات والأنظمة المختلفة بطريقة تضمن الاستفادة العملية منها. ويعد هذا البعد من أكثر الأبعاد ارتباطًا بالعائد التشغيلي المباشر للملف الإلكتروني للمريض، لأن قيمة البيانات الصحية لا تتحقق بمجرد تخزينها، بل تتحقق عندما تكون متاحة في الوقت المناسب، بالشكل المناسب، وللجهة المناسبة، مع إمكان دمجها ضمن سياق العمل المؤسسي والسريري والتأميني. وقد أكدت الأدبيات أن غياب التكامل البيني بين الأنظمة الصحية المختلفة يمثل أحد أبرز التحديات التي تحد من فعالية الملف الإلكتروني للمريض، حتى وإن كانت البيانات متوافرة داخل أنظمة منفردة</w:t>
      </w:r>
      <w:r w:rsidRPr="0010492E">
        <w:rPr>
          <w:rFonts w:ascii="Simplified Arabic" w:eastAsia="Times New Roman" w:hAnsi="Simplified Arabic" w:cs="Simplified Arabic"/>
          <w:color w:val="1A1A1A"/>
          <w:sz w:val="28"/>
          <w:szCs w:val="28"/>
        </w:rPr>
        <w:t xml:space="preserve"> (Alasmary et al., 2021). </w:t>
      </w:r>
      <w:r w:rsidRPr="0010492E">
        <w:rPr>
          <w:rFonts w:ascii="Simplified Arabic" w:eastAsia="Times New Roman" w:hAnsi="Simplified Arabic" w:cs="Simplified Arabic"/>
          <w:color w:val="1A1A1A"/>
          <w:sz w:val="28"/>
          <w:szCs w:val="28"/>
          <w:rtl/>
        </w:rPr>
        <w:t>كما أظهرت دراسة</w:t>
      </w:r>
      <w:r w:rsidRPr="0010492E">
        <w:rPr>
          <w:rFonts w:ascii="Simplified Arabic" w:eastAsia="Times New Roman" w:hAnsi="Simplified Arabic" w:cs="Simplified Arabic"/>
          <w:color w:val="1A1A1A"/>
          <w:sz w:val="28"/>
          <w:szCs w:val="28"/>
        </w:rPr>
        <w:t xml:space="preserve"> Jiang et al. (2017) </w:t>
      </w:r>
      <w:r w:rsidRPr="0010492E">
        <w:rPr>
          <w:rFonts w:ascii="Simplified Arabic" w:eastAsia="Times New Roman" w:hAnsi="Simplified Arabic" w:cs="Simplified Arabic"/>
          <w:color w:val="1A1A1A"/>
          <w:sz w:val="28"/>
          <w:szCs w:val="28"/>
          <w:rtl/>
        </w:rPr>
        <w:t>أن تكامل البيانات الصحية يسهم في تحسين سرعة معالجة المطالبات التأمينية ويقلل من الفجوات المعلوماتية التي تعطل اتخاذ القرار</w:t>
      </w:r>
      <w:r w:rsidRPr="0010492E">
        <w:rPr>
          <w:rFonts w:ascii="Simplified Arabic" w:eastAsia="Times New Roman" w:hAnsi="Simplified Arabic" w:cs="Simplified Arabic"/>
          <w:color w:val="1A1A1A"/>
          <w:sz w:val="28"/>
          <w:szCs w:val="28"/>
        </w:rPr>
        <w:t>.</w:t>
      </w:r>
    </w:p>
    <w:p w14:paraId="0DF0B4C9"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ويتمثل البعد الخامس في </w:t>
      </w:r>
      <w:r w:rsidRPr="0010492E">
        <w:rPr>
          <w:rFonts w:ascii="Simplified Arabic" w:eastAsia="Times New Roman" w:hAnsi="Simplified Arabic" w:cs="Simplified Arabic"/>
          <w:b/>
          <w:bCs/>
          <w:color w:val="1A1A1A"/>
          <w:sz w:val="28"/>
          <w:szCs w:val="28"/>
          <w:rtl/>
        </w:rPr>
        <w:t>الشفافية والمساءلة</w:t>
      </w:r>
      <w:r w:rsidRPr="0010492E">
        <w:rPr>
          <w:rFonts w:ascii="Simplified Arabic" w:eastAsia="Times New Roman" w:hAnsi="Simplified Arabic" w:cs="Simplified Arabic"/>
          <w:color w:val="1A1A1A"/>
          <w:sz w:val="28"/>
          <w:szCs w:val="28"/>
          <w:rtl/>
        </w:rPr>
        <w:t xml:space="preserve">، ويقصد به توافر آليات واضحة لتتبع التعديلات والإجراءات المرتبطة بالملف الإلكتروني للمريض، بحيث يمكن معرفة من قام بإدخال البيانات أو تعديلها أو الوصول إليها، ومتى تم ذلك، ولأي غرض. ويُترجم هذا البعد عمليًا في وجود سجلات تدقيق رقمية، وسياسات مساءلة واضحة، وإجراءات مراجعة يمكن من خلالها التحقق من سلامة الاستخدام، والكشف عن الانتهاكات أو الأخطاء أو أوجه القصور. وتؤدي الشفافية والمساءلة دورًا مهمًا في بناء الثقة داخل المؤسسة </w:t>
      </w:r>
      <w:r w:rsidRPr="0010492E">
        <w:rPr>
          <w:rFonts w:ascii="Simplified Arabic" w:eastAsia="Times New Roman" w:hAnsi="Simplified Arabic" w:cs="Simplified Arabic"/>
          <w:color w:val="1A1A1A"/>
          <w:sz w:val="28"/>
          <w:szCs w:val="28"/>
          <w:rtl/>
        </w:rPr>
        <w:lastRenderedPageBreak/>
        <w:t>وبين الأطراف المتعاملة مع البيانات، كما تسهم في الحد من الهدر، وتعزيز الرقابة، ورفع مستوى الانضباط المؤسسي في إدارة المعلومات الصحية</w:t>
      </w:r>
      <w:r w:rsidRPr="0010492E">
        <w:rPr>
          <w:rFonts w:ascii="Simplified Arabic" w:eastAsia="Times New Roman" w:hAnsi="Simplified Arabic" w:cs="Simplified Arabic"/>
          <w:color w:val="1A1A1A"/>
          <w:sz w:val="28"/>
          <w:szCs w:val="28"/>
        </w:rPr>
        <w:t xml:space="preserve"> (Weill &amp; Ross, 2004; Tallon, 2013). </w:t>
      </w:r>
      <w:r w:rsidRPr="0010492E">
        <w:rPr>
          <w:rFonts w:ascii="Simplified Arabic" w:eastAsia="Times New Roman" w:hAnsi="Simplified Arabic" w:cs="Simplified Arabic"/>
          <w:color w:val="1A1A1A"/>
          <w:sz w:val="28"/>
          <w:szCs w:val="28"/>
          <w:rtl/>
        </w:rPr>
        <w:t>ومن ثم، فإن هذا البعد لا يمثل مكملاً ثانويًا للحوكمة، بل يمثل أحد شروطها الجوهرية، لأنه يربط بين السلطة والمسؤولية، وبين استخدام البيانات وقابلية التحقق من ذلك الاستخدام</w:t>
      </w:r>
      <w:r w:rsidRPr="0010492E">
        <w:rPr>
          <w:rFonts w:ascii="Simplified Arabic" w:eastAsia="Times New Roman" w:hAnsi="Simplified Arabic" w:cs="Simplified Arabic"/>
          <w:color w:val="1A1A1A"/>
          <w:sz w:val="28"/>
          <w:szCs w:val="28"/>
        </w:rPr>
        <w:t>.</w:t>
      </w:r>
    </w:p>
    <w:p w14:paraId="665435AB"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وتجدر الإشارة إلى أن هذه الأبعاد الخمسة لا تعمل في عزلة بعضها عن بعض، بل تتفاعل ضمن بنية وظيفية مترابطة. فدقة البيانات، على سبيل المثال، لا يمكن ضمانها بصورة مستدامة دون وجود ضوابط وصول تمنع التعديل غير المشروع، كما أن أمن المعلومات لا يحقق غايته الكاملة إذا كانت البيانات نفسها غير دقيقة أو غير محدثة. وبالمثل، فإن الامتثال التنظيمي لا يمكن التحقق منه فعليًا في غياب الشفافية وسجلات التدقيق، كما أن إمكانية الوصول لا تكتسب قيمتها المؤسسية إلا إذا كانت البيانات المتاحة موثوقة وآمنة ومستخدمة ضمن إطار قانوني وتنظيمي واضح. ولهذا، فإن الحوكمة الفاعلة للملف الإلكتروني للمريض لا تتحقق من خلال قوة بعد واحد منفرد، بل من خلال التكامل بين هذه الأبعاد واتساقها داخل المنظومة المؤسسية</w:t>
      </w:r>
      <w:r w:rsidRPr="0010492E">
        <w:rPr>
          <w:rFonts w:ascii="Simplified Arabic" w:eastAsia="Times New Roman" w:hAnsi="Simplified Arabic" w:cs="Simplified Arabic"/>
          <w:color w:val="1A1A1A"/>
          <w:sz w:val="28"/>
          <w:szCs w:val="28"/>
        </w:rPr>
        <w:t xml:space="preserve"> (DAMA International, 2017; Jiang et al., 2017).</w:t>
      </w:r>
    </w:p>
    <w:p w14:paraId="3ED3E1A2" w14:textId="30FAAE3B" w:rsidR="0010492E" w:rsidRDefault="0010492E" w:rsidP="0010492E">
      <w:pPr>
        <w:rPr>
          <w:rFonts w:ascii="Simplified Arabic" w:eastAsia="Times New Roman" w:hAnsi="Simplified Arabic" w:cs="Simplified Arabic"/>
          <w:color w:val="1A1A1A"/>
          <w:sz w:val="28"/>
          <w:szCs w:val="28"/>
          <w:rtl/>
        </w:rPr>
      </w:pPr>
      <w:r w:rsidRPr="0010492E">
        <w:rPr>
          <w:rFonts w:ascii="Simplified Arabic" w:eastAsia="Times New Roman" w:hAnsi="Simplified Arabic" w:cs="Simplified Arabic"/>
          <w:color w:val="1A1A1A"/>
          <w:sz w:val="28"/>
          <w:szCs w:val="28"/>
          <w:rtl/>
        </w:rPr>
        <w:t>وبذلك، فإن اعتماد هذه الأبعاد الخمسة في الدراسة الحالية لا يستند فقط إلى اعتبارات نظرية، بل إلى منطق مؤسسي وتطبيقي ينسجم مع طبيعة عمل شركات التأمين الصحي، التي تعتمد في كفاءتها التشغيلية وقراراتها المؤسسية على بيانات صحية يجب أن تكون دقيقة، وآمنة، وممتثلة، ومتاحة، وقابلة للتدقيق والمساءلة. ومن هنا، فإن هذه الأبعاد تشكل الأساس التحليلي الذي يمكن من خلاله تفسير أثر حوكمة الملف الإلكتروني للمريض في الأداء والفاعلية المؤسسية داخل السياق محل الدراسة</w:t>
      </w:r>
      <w:r w:rsidRPr="0010492E">
        <w:rPr>
          <w:rFonts w:ascii="Simplified Arabic" w:eastAsia="Times New Roman" w:hAnsi="Simplified Arabic" w:cs="Simplified Arabic"/>
          <w:color w:val="1A1A1A"/>
          <w:sz w:val="28"/>
          <w:szCs w:val="28"/>
        </w:rPr>
        <w:t>.</w:t>
      </w:r>
    </w:p>
    <w:p w14:paraId="28095F27" w14:textId="77777777" w:rsidR="0035392D" w:rsidRPr="00635161" w:rsidRDefault="0035392D" w:rsidP="00E32F52">
      <w:pPr>
        <w:pStyle w:val="Heading2"/>
      </w:pPr>
      <w:bookmarkStart w:id="20" w:name="_Toc224661473"/>
      <w:r w:rsidRPr="00635161">
        <w:rPr>
          <w:rtl/>
        </w:rPr>
        <w:t>2.2.4  دور حوكمة الملف الإلكتروني في المنظومة التأمينية</w:t>
      </w:r>
      <w:bookmarkEnd w:id="20"/>
    </w:p>
    <w:p w14:paraId="0A3F8B3E"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تمثل شركات التأمين الصحي بيئة مؤسسية شديدة الحساسية تجاه جودة البيانات الصحية وحوكمتها، وذلك لأنها تعتمد بصورة مباشرة على البيانات الواردة من الملفات الإلكترونية للمرضى عند معالجة المطالبات، وتقدير الاستحقاقات، وتقييم الضرورة الطبية، والكشف عن الحالات غير الاعتيادية أو المشتبه بها، واتخاذ القرارات المالية والتنظيمية المرتبطة بالخدمة الصحية. وبخلاف المؤسسة الصحية التي تُنشئ البيانات أو تتعامل معها في سياق تقديم الرعاية، فإن شركة التأمين تتلقى هذه البيانات بوصفها أساسًا لاتخاذ القرار، ومن ثم فإن أي خلل في دقتها أو اكتمالها أو شرعية استخدامها ينعكس مباشرة على كفاءة عملياتها وعدالتها وموثوقيتها</w:t>
      </w:r>
      <w:r w:rsidRPr="0010492E">
        <w:rPr>
          <w:rFonts w:ascii="Simplified Arabic" w:eastAsia="Times New Roman" w:hAnsi="Simplified Arabic" w:cs="Simplified Arabic"/>
          <w:color w:val="1A1A1A"/>
          <w:sz w:val="28"/>
          <w:szCs w:val="28"/>
        </w:rPr>
        <w:t>.</w:t>
      </w:r>
    </w:p>
    <w:p w14:paraId="42CD725C"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ويتجلى الدور التأميني لحوكمة الملف الإلكتروني للمريض بصورة واضحة في </w:t>
      </w:r>
      <w:r w:rsidRPr="0010492E">
        <w:rPr>
          <w:rFonts w:ascii="Simplified Arabic" w:eastAsia="Times New Roman" w:hAnsi="Simplified Arabic" w:cs="Simplified Arabic"/>
          <w:b/>
          <w:bCs/>
          <w:color w:val="1A1A1A"/>
          <w:sz w:val="28"/>
          <w:szCs w:val="28"/>
          <w:rtl/>
        </w:rPr>
        <w:t>مسار معالجة المطالبات التأمينية</w:t>
      </w:r>
      <w:r w:rsidRPr="0010492E">
        <w:rPr>
          <w:rFonts w:ascii="Simplified Arabic" w:eastAsia="Times New Roman" w:hAnsi="Simplified Arabic" w:cs="Simplified Arabic"/>
          <w:color w:val="1A1A1A"/>
          <w:sz w:val="28"/>
          <w:szCs w:val="28"/>
          <w:rtl/>
        </w:rPr>
        <w:t xml:space="preserve">، إذ ترتبط سرعة اعتماد المطالبة وسلامة التحقق منها ارتباطًا وثيقًا بجودة البيانات السريرية والإدارية والتأمينية المرتبطة بالمريض. فكلما كانت البيانات أكثر اكتمالًا واتساقًا وتكويدًا وفق المعايير المعتمدة، كانت عملية المراجعة أكثر سلاسة، وقلت احتمالات التأخير أو الرفض أو النزاع بين شركة </w:t>
      </w:r>
      <w:r w:rsidRPr="0010492E">
        <w:rPr>
          <w:rFonts w:ascii="Simplified Arabic" w:eastAsia="Times New Roman" w:hAnsi="Simplified Arabic" w:cs="Simplified Arabic"/>
          <w:color w:val="1A1A1A"/>
          <w:sz w:val="28"/>
          <w:szCs w:val="28"/>
          <w:rtl/>
        </w:rPr>
        <w:lastRenderedPageBreak/>
        <w:t>التأمين والجهة المقدمة للخدمة. وقد أكدت دراسة</w:t>
      </w:r>
      <w:r w:rsidRPr="0010492E">
        <w:rPr>
          <w:rFonts w:ascii="Simplified Arabic" w:eastAsia="Times New Roman" w:hAnsi="Simplified Arabic" w:cs="Simplified Arabic"/>
          <w:color w:val="1A1A1A"/>
          <w:sz w:val="28"/>
          <w:szCs w:val="28"/>
        </w:rPr>
        <w:t xml:space="preserve"> Jiang et al. (2017) </w:t>
      </w:r>
      <w:r w:rsidRPr="0010492E">
        <w:rPr>
          <w:rFonts w:ascii="Simplified Arabic" w:eastAsia="Times New Roman" w:hAnsi="Simplified Arabic" w:cs="Simplified Arabic"/>
          <w:color w:val="1A1A1A"/>
          <w:sz w:val="28"/>
          <w:szCs w:val="28"/>
          <w:rtl/>
        </w:rPr>
        <w:t>وجود علاقة إيجابية بين جودة البيانات الصحية وسرعة معالجة المطالبات التأمينية، وهي نتيجة تتفق مع التصور الذي يجعل الحوكمة الرقمية عاملًا حاسمًا في رفع الكفاءة التشغيلية داخل القطاع التأميني</w:t>
      </w:r>
      <w:r w:rsidRPr="0010492E">
        <w:rPr>
          <w:rFonts w:ascii="Simplified Arabic" w:eastAsia="Times New Roman" w:hAnsi="Simplified Arabic" w:cs="Simplified Arabic"/>
          <w:color w:val="1A1A1A"/>
          <w:sz w:val="28"/>
          <w:szCs w:val="28"/>
        </w:rPr>
        <w:t>.</w:t>
      </w:r>
    </w:p>
    <w:p w14:paraId="5EA90D09"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كما يظهر أثر الحوكمة بوضوح في </w:t>
      </w:r>
      <w:r w:rsidRPr="0010492E">
        <w:rPr>
          <w:rFonts w:ascii="Simplified Arabic" w:eastAsia="Times New Roman" w:hAnsi="Simplified Arabic" w:cs="Simplified Arabic"/>
          <w:b/>
          <w:bCs/>
          <w:color w:val="1A1A1A"/>
          <w:sz w:val="28"/>
          <w:szCs w:val="28"/>
          <w:rtl/>
        </w:rPr>
        <w:t>مسار كشف الاحتيال وإدارة المخاطر</w:t>
      </w:r>
      <w:r w:rsidRPr="0010492E">
        <w:rPr>
          <w:rFonts w:ascii="Simplified Arabic" w:eastAsia="Times New Roman" w:hAnsi="Simplified Arabic" w:cs="Simplified Arabic"/>
          <w:color w:val="1A1A1A"/>
          <w:sz w:val="28"/>
          <w:szCs w:val="28"/>
          <w:rtl/>
        </w:rPr>
        <w:t>، حيث تعتمد شركات التأمين بدرجة متزايدة على تحليل الأنماط والروابط داخل البيانات الصحية والإدارية لرصد المطالبات غير المبررة أو المبالغ فيها أو المتعارضة مع التاريخ العلاجي للمريض. غير أن فعالية هذا النوع من التحليل تعتمد على جودة البيانات وأمنها وشفافيتها وقابليتها للتتبع. فإذا كانت البيانات غير مكتملة أو غير دقيقة أو غير موثقة على نحو يتيح التحقق من مصادرها وتعديلاتها، فإن ذلك يضعف قدرة أنظمة الكشف والرقابة على التمييز بين المطالبة السليمة والمطالبة المشكوك فيها. ومن ثم، فإن الحوكمة هنا لا تدعم فقط الكفاءة الإدارية، بل تؤدي دورًا وقائيًا في الحد من الهدر المالي وحماية موارد التأمين الصحي</w:t>
      </w:r>
      <w:r w:rsidRPr="0010492E">
        <w:rPr>
          <w:rFonts w:ascii="Simplified Arabic" w:eastAsia="Times New Roman" w:hAnsi="Simplified Arabic" w:cs="Simplified Arabic"/>
          <w:color w:val="1A1A1A"/>
          <w:sz w:val="28"/>
          <w:szCs w:val="28"/>
        </w:rPr>
        <w:t>.</w:t>
      </w:r>
    </w:p>
    <w:p w14:paraId="1665F567"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 xml:space="preserve">ويمتد دور الحوكمة أيضًا إلى </w:t>
      </w:r>
      <w:r w:rsidRPr="0010492E">
        <w:rPr>
          <w:rFonts w:ascii="Simplified Arabic" w:eastAsia="Times New Roman" w:hAnsi="Simplified Arabic" w:cs="Simplified Arabic"/>
          <w:b/>
          <w:bCs/>
          <w:color w:val="1A1A1A"/>
          <w:sz w:val="28"/>
          <w:szCs w:val="28"/>
          <w:rtl/>
        </w:rPr>
        <w:t>مسار دعم القرار الاستراتيجي داخل شركات التأمين الصحي</w:t>
      </w:r>
      <w:r w:rsidRPr="0010492E">
        <w:rPr>
          <w:rFonts w:ascii="Simplified Arabic" w:eastAsia="Times New Roman" w:hAnsi="Simplified Arabic" w:cs="Simplified Arabic"/>
          <w:color w:val="1A1A1A"/>
          <w:sz w:val="28"/>
          <w:szCs w:val="28"/>
          <w:rtl/>
        </w:rPr>
        <w:t>، إذ تُستخدم البيانات المجمعة من الملفات الإلكترونية في التحليلات الاكتوارية، ودراسة الأنماط المرضية، وتقدير التكاليف المتوقعة، وتصميم البرامج الوقائية، وتطوير السياسات التسعيرية والتعاقدية. وتفقد هذه الاستخدامات الاستراتيجية قيمتها إذا كانت البيانات المدخلة إلى النظام تعاني من التناقض أو النقص أو ضعف التوحيد المعياري، لأن القرارات المبنية عليها ستكون عرضة للخطأ أو الانحياز أو ضعف القدرة التنبؤية. وقد أشار</w:t>
      </w:r>
      <w:r w:rsidRPr="0010492E">
        <w:rPr>
          <w:rFonts w:ascii="Simplified Arabic" w:eastAsia="Times New Roman" w:hAnsi="Simplified Arabic" w:cs="Simplified Arabic"/>
          <w:color w:val="1A1A1A"/>
          <w:sz w:val="28"/>
          <w:szCs w:val="28"/>
        </w:rPr>
        <w:t xml:space="preserve"> Shortliffe and Cimino (2014) </w:t>
      </w:r>
      <w:r w:rsidRPr="0010492E">
        <w:rPr>
          <w:rFonts w:ascii="Simplified Arabic" w:eastAsia="Times New Roman" w:hAnsi="Simplified Arabic" w:cs="Simplified Arabic"/>
          <w:color w:val="1A1A1A"/>
          <w:sz w:val="28"/>
          <w:szCs w:val="28"/>
          <w:rtl/>
        </w:rPr>
        <w:t>إلى أن القيمة الاستراتيجية للبيانات الصحية الرقمية تتوقف على مستوى الانضباط المؤسسي في إدارتها وحوكمتها، وليس على مجرد تراكمها داخل النظام</w:t>
      </w:r>
      <w:r w:rsidRPr="0010492E">
        <w:rPr>
          <w:rFonts w:ascii="Simplified Arabic" w:eastAsia="Times New Roman" w:hAnsi="Simplified Arabic" w:cs="Simplified Arabic"/>
          <w:color w:val="1A1A1A"/>
          <w:sz w:val="28"/>
          <w:szCs w:val="28"/>
        </w:rPr>
        <w:t>.</w:t>
      </w:r>
    </w:p>
    <w:p w14:paraId="60842FCE" w14:textId="77777777" w:rsidR="0010492E" w:rsidRPr="0010492E" w:rsidRDefault="0010492E" w:rsidP="0010492E">
      <w:pPr>
        <w:rPr>
          <w:rFonts w:ascii="Simplified Arabic" w:eastAsia="Times New Roman" w:hAnsi="Simplified Arabic" w:cs="Simplified Arabic"/>
          <w:color w:val="1A1A1A"/>
          <w:sz w:val="28"/>
          <w:szCs w:val="28"/>
        </w:rPr>
      </w:pPr>
      <w:r w:rsidRPr="0010492E">
        <w:rPr>
          <w:rFonts w:ascii="Simplified Arabic" w:eastAsia="Times New Roman" w:hAnsi="Simplified Arabic" w:cs="Simplified Arabic"/>
          <w:color w:val="1A1A1A"/>
          <w:sz w:val="28"/>
          <w:szCs w:val="28"/>
          <w:rtl/>
        </w:rPr>
        <w:t>وفي السياق السعودي، تزداد أهمية هذا الدور في ضوء اتساع نطاق التأمين الصحي، وتطور المنصات الوطنية للتبادل الإلكتروني، وارتفاع الحاجة إلى رفع كفاءة معالجة المطالبات وتحسين جودة التنسيق بين الجهات الصحية والتأمينية. وتشير التقارير التنظيمية إلى أن جزءًا من المطالبات المرفوضة أو المتأخرة يرتبط بمشكلات في البيانات الواردة من الملفات الإلكترونية، سواء من حيث النقص أو عدم الاتساق أو عدم الامتثال للمعايير المعتمدة، وهو ما يعزز أهمية الحوكمة بوصفها متطلبًا تشغيليًا ومؤسسيًا لا يمكن الاستغناء عنه في بيئة التأمين الصحي المعاصرة</w:t>
      </w:r>
      <w:r w:rsidRPr="0010492E">
        <w:rPr>
          <w:rFonts w:ascii="Simplified Arabic" w:eastAsia="Times New Roman" w:hAnsi="Simplified Arabic" w:cs="Simplified Arabic"/>
          <w:color w:val="1A1A1A"/>
          <w:sz w:val="28"/>
          <w:szCs w:val="28"/>
        </w:rPr>
        <w:t xml:space="preserve"> (CCHI, 2022).</w:t>
      </w:r>
    </w:p>
    <w:p w14:paraId="03679B87" w14:textId="45676506" w:rsidR="0010492E" w:rsidRDefault="0010492E" w:rsidP="0010492E">
      <w:pPr>
        <w:rPr>
          <w:rFonts w:ascii="Simplified Arabic" w:eastAsia="Times New Roman" w:hAnsi="Simplified Arabic" w:cs="Simplified Arabic"/>
          <w:color w:val="1A1A1A"/>
          <w:sz w:val="28"/>
          <w:szCs w:val="28"/>
          <w:rtl/>
        </w:rPr>
      </w:pPr>
      <w:r w:rsidRPr="0010492E">
        <w:rPr>
          <w:rFonts w:ascii="Simplified Arabic" w:eastAsia="Times New Roman" w:hAnsi="Simplified Arabic" w:cs="Simplified Arabic"/>
          <w:color w:val="1A1A1A"/>
          <w:sz w:val="28"/>
          <w:szCs w:val="28"/>
          <w:rtl/>
        </w:rPr>
        <w:t>وبذلك، فإن دور حوكمة الملف الإلكتروني في المنظومة التأمينية يتجاوز حدود الضبط التقني للبيانات، ليشمل تحسين كفاءة معالجة المطالبات، والحد من المخاطر والاحتيال، ودعم اتخاذ القرار، وتعزيز الثقة والاتساق بين الأطراف الصحية والتأمينية. وهذا ما يجعلها عنصرًا جوهريًا في تفسير الأداء المؤسسي لشركات التأمين الصحي، وهو ما تسعى الدراسة الحالية إلى اختباره ميدانيًا</w:t>
      </w:r>
      <w:r w:rsidRPr="0010492E">
        <w:rPr>
          <w:rFonts w:ascii="Simplified Arabic" w:eastAsia="Times New Roman" w:hAnsi="Simplified Arabic" w:cs="Simplified Arabic"/>
          <w:color w:val="1A1A1A"/>
          <w:sz w:val="28"/>
          <w:szCs w:val="28"/>
        </w:rPr>
        <w:t>.</w:t>
      </w:r>
    </w:p>
    <w:p w14:paraId="7865633C" w14:textId="77777777" w:rsidR="0035392D" w:rsidRPr="00635161" w:rsidRDefault="0035392D" w:rsidP="00815F92">
      <w:pPr>
        <w:pStyle w:val="Heading2"/>
      </w:pPr>
      <w:bookmarkStart w:id="21" w:name="_Toc224661474"/>
      <w:r w:rsidRPr="00635161">
        <w:rPr>
          <w:rtl/>
        </w:rPr>
        <w:lastRenderedPageBreak/>
        <w:t>2.2.5  حوكمة الملف الإلكتروني في سياق التحول الرقمي الصحي</w:t>
      </w:r>
      <w:bookmarkEnd w:id="21"/>
    </w:p>
    <w:p w14:paraId="242B01AC" w14:textId="77777777" w:rsidR="003C2425" w:rsidRPr="003C2425" w:rsidRDefault="003C2425" w:rsidP="003C2425">
      <w:pPr>
        <w:rPr>
          <w:rFonts w:ascii="Simplified Arabic" w:eastAsia="Times New Roman" w:hAnsi="Simplified Arabic" w:cs="Simplified Arabic"/>
          <w:color w:val="1A1A1A"/>
          <w:sz w:val="28"/>
          <w:szCs w:val="28"/>
        </w:rPr>
      </w:pPr>
      <w:r w:rsidRPr="003C2425">
        <w:rPr>
          <w:rFonts w:ascii="Simplified Arabic" w:eastAsia="Times New Roman" w:hAnsi="Simplified Arabic" w:cs="Simplified Arabic"/>
          <w:color w:val="1A1A1A"/>
          <w:sz w:val="28"/>
          <w:szCs w:val="28"/>
          <w:rtl/>
        </w:rPr>
        <w:t>تندرج حوكمة الملف الإلكتروني للمريض ضمن الإطار الأشمل للتحول الرقمي في القطاع الصحي، وهو تحول لم يعد يُفهم بوصفه مجرد إدخال للتقنية في العمليات التقليدية، بل بوصفه إعادة تشكيل شاملة لنماذج العمل، وأساليب تقديم الخدمة، ومنطق اتخاذ القرار، وطبيعة التفاعل بين الفاعلين داخل المنظومة الصحية. وفي هذا السياق، تمثل الحوكمة البنية التي تضمن أن يتحول الاستخدام المتزايد للتقنية إلى قيمة فعلية قابلة للقياس، بدلًا من أن يكون مجرد توسع في الأدوات دون أثر مؤسسي منظم. وقد أشار</w:t>
      </w:r>
      <w:r w:rsidRPr="003C2425">
        <w:rPr>
          <w:rFonts w:ascii="Simplified Arabic" w:eastAsia="Times New Roman" w:hAnsi="Simplified Arabic" w:cs="Simplified Arabic"/>
          <w:color w:val="1A1A1A"/>
          <w:sz w:val="28"/>
          <w:szCs w:val="28"/>
        </w:rPr>
        <w:t xml:space="preserve"> Topol (2019) </w:t>
      </w:r>
      <w:r w:rsidRPr="003C2425">
        <w:rPr>
          <w:rFonts w:ascii="Simplified Arabic" w:eastAsia="Times New Roman" w:hAnsi="Simplified Arabic" w:cs="Simplified Arabic"/>
          <w:color w:val="1A1A1A"/>
          <w:sz w:val="28"/>
          <w:szCs w:val="28"/>
          <w:rtl/>
        </w:rPr>
        <w:t>إلى أن التحول الرقمي في الصحة يرتبط بقدرة المؤسسات على بناء بيئات معلوماتية موثوقة وقابلة للاستثمار، بينما أكدت منظمة الصحة العالمية أن نجاح الصحة الرقمية يتوقف بدرجة كبيرة على جودة البيانات وحوكمتها ومواءمة استخدامها مع الأطر التنظيمية والاستراتيجية الوطنية</w:t>
      </w:r>
      <w:r w:rsidRPr="003C2425">
        <w:rPr>
          <w:rFonts w:ascii="Simplified Arabic" w:eastAsia="Times New Roman" w:hAnsi="Simplified Arabic" w:cs="Simplified Arabic"/>
          <w:color w:val="1A1A1A"/>
          <w:sz w:val="28"/>
          <w:szCs w:val="28"/>
        </w:rPr>
        <w:t xml:space="preserve"> (World Health Organization, 2021).</w:t>
      </w:r>
    </w:p>
    <w:p w14:paraId="20EBE3DA" w14:textId="77777777" w:rsidR="003C2425" w:rsidRPr="003C2425" w:rsidRDefault="003C2425" w:rsidP="003C2425">
      <w:pPr>
        <w:rPr>
          <w:rFonts w:ascii="Simplified Arabic" w:eastAsia="Times New Roman" w:hAnsi="Simplified Arabic" w:cs="Simplified Arabic"/>
          <w:color w:val="1A1A1A"/>
          <w:sz w:val="28"/>
          <w:szCs w:val="28"/>
        </w:rPr>
      </w:pPr>
      <w:r w:rsidRPr="003C2425">
        <w:rPr>
          <w:rFonts w:ascii="Simplified Arabic" w:eastAsia="Times New Roman" w:hAnsi="Simplified Arabic" w:cs="Simplified Arabic"/>
          <w:color w:val="1A1A1A"/>
          <w:sz w:val="28"/>
          <w:szCs w:val="28"/>
          <w:rtl/>
        </w:rPr>
        <w:t>ومن هذا المنطلق، فإن حوكمة الملف الإلكتروني للمريض تمثل العمود الفقري لمبادرات التحول الرقمي الصحي، لأن مختلف تطبيقات الصحة الرقمية، بما في ذلك التحليلات الذكية، وأنظمة الدعم السريري، ومنصات التبادل الصحي، والتطبيقات التأمينية، تعتمد في كفاءتها على جودة البيانات التي تُغذيها. فإذا كانت البيانات ضعيفة الجودة، أو غير موحدة، أو غير آمنة، أو غير خاضعة لسياسات واضحة في الوصول والاستخدام، فإن حتى أكثر الأنظمة تطورًا لن تحقق القيمة المرجوة منها. لذلك فإن الحوكمة لا تعد عنصرًا لاحقًا لعملية الرقمنة، بل تُعد شرطًا سابقًا ومواكبًا لها، لأنها التي تحدد مدى موثوقية البيانات، وقابليتها للتبادل، وإمكان تحويلها إلى معرفة وقرار</w:t>
      </w:r>
      <w:r w:rsidRPr="003C2425">
        <w:rPr>
          <w:rFonts w:ascii="Simplified Arabic" w:eastAsia="Times New Roman" w:hAnsi="Simplified Arabic" w:cs="Simplified Arabic"/>
          <w:color w:val="1A1A1A"/>
          <w:sz w:val="28"/>
          <w:szCs w:val="28"/>
        </w:rPr>
        <w:t>.</w:t>
      </w:r>
    </w:p>
    <w:p w14:paraId="1490D6CC" w14:textId="77777777" w:rsidR="003C2425" w:rsidRPr="003C2425" w:rsidRDefault="003C2425" w:rsidP="003C2425">
      <w:pPr>
        <w:rPr>
          <w:rFonts w:ascii="Simplified Arabic" w:eastAsia="Times New Roman" w:hAnsi="Simplified Arabic" w:cs="Simplified Arabic"/>
          <w:color w:val="1A1A1A"/>
          <w:sz w:val="28"/>
          <w:szCs w:val="28"/>
        </w:rPr>
      </w:pPr>
      <w:r w:rsidRPr="003C2425">
        <w:rPr>
          <w:rFonts w:ascii="Simplified Arabic" w:eastAsia="Times New Roman" w:hAnsi="Simplified Arabic" w:cs="Simplified Arabic"/>
          <w:color w:val="1A1A1A"/>
          <w:sz w:val="28"/>
          <w:szCs w:val="28"/>
          <w:rtl/>
        </w:rPr>
        <w:t>وفي المملكة العربية السعودية، تتخذ العلاقة بين حوكمة الملف الإلكتروني للمريض والتحول الرقمي الصحي بعدًا استراتيجيًا واضحًا في ضوء برامج تطوير القطاع الصحي المنبثقة عن رؤية المملكة 2030، وما صاحبها من توجهات نحو التكامل الرقمي، والتشغيل البيني، وتوحيد المنصات، وتعزيز التبادل الإلكتروني للبيانات الصحية والتأمينية. وقد أسهمت مبادرات مثل مشروع الملف الصحي الوطني الموحد، ومشروعات الربط البيني، والمنصات الوطنية المرتبطة بالمطالبات والخدمات الصحية، في جعل ملف المريض الإلكتروني عنصرًا محوريًا داخل البنية الرقمية الوطنية للصحة، وليس مجرد نظام مؤسسي محدود النطاق</w:t>
      </w:r>
      <w:r w:rsidRPr="003C2425">
        <w:rPr>
          <w:rFonts w:ascii="Simplified Arabic" w:eastAsia="Times New Roman" w:hAnsi="Simplified Arabic" w:cs="Simplified Arabic"/>
          <w:color w:val="1A1A1A"/>
          <w:sz w:val="28"/>
          <w:szCs w:val="28"/>
        </w:rPr>
        <w:t xml:space="preserve"> (NHIC, 2023; Ministry of Health, 2023).</w:t>
      </w:r>
    </w:p>
    <w:p w14:paraId="138D1738" w14:textId="77777777" w:rsidR="003C2425" w:rsidRPr="003C2425" w:rsidRDefault="003C2425" w:rsidP="003C2425">
      <w:pPr>
        <w:rPr>
          <w:rFonts w:ascii="Simplified Arabic" w:eastAsia="Times New Roman" w:hAnsi="Simplified Arabic" w:cs="Simplified Arabic"/>
          <w:color w:val="1A1A1A"/>
          <w:sz w:val="28"/>
          <w:szCs w:val="28"/>
        </w:rPr>
      </w:pPr>
      <w:r w:rsidRPr="003C2425">
        <w:rPr>
          <w:rFonts w:ascii="Simplified Arabic" w:eastAsia="Times New Roman" w:hAnsi="Simplified Arabic" w:cs="Simplified Arabic"/>
          <w:color w:val="1A1A1A"/>
          <w:sz w:val="28"/>
          <w:szCs w:val="28"/>
          <w:rtl/>
        </w:rPr>
        <w:t>كما دعمت الجهات التنظيمية هذا الاتجاه من خلال إصدار سياسات ومعايير وضوابط تتعلق بتكويد البيانات، وأمنها، وآليات تبادلها، ومتطلبات الامتثال المرتبطة بها، بما يعكس توجهًا مؤسسيًا نحو مأسسة الحوكمة الرقمية للبيانات الصحية وجعلها جزءًا من متطلبات العمل النظامي في القطاعين الصحي والتأميني. وقد أظهرت تقارير مجلس الضمان الصحي التعاوني والمركز الوطني للمعلومات الصحية أن التحول الرقمي لا يمكن أن يحقق أهدافه في رفع الكفاءة وتحسين الجودة ما لم يقترن ببنية حوكمة واضحة تضبط إنتاج البيانات وتدفقها واستخدامها بين مختلف الأطراف</w:t>
      </w:r>
      <w:r w:rsidRPr="003C2425">
        <w:rPr>
          <w:rFonts w:ascii="Simplified Arabic" w:eastAsia="Times New Roman" w:hAnsi="Simplified Arabic" w:cs="Simplified Arabic"/>
          <w:color w:val="1A1A1A"/>
          <w:sz w:val="28"/>
          <w:szCs w:val="28"/>
        </w:rPr>
        <w:t xml:space="preserve"> (CCHI, 2022; NHIC, 2023).</w:t>
      </w:r>
    </w:p>
    <w:p w14:paraId="2A230948" w14:textId="33A91C7B" w:rsidR="0010492E" w:rsidRDefault="003C2425" w:rsidP="003C2425">
      <w:pPr>
        <w:rPr>
          <w:rFonts w:ascii="Simplified Arabic" w:eastAsia="Times New Roman" w:hAnsi="Simplified Arabic" w:cs="Simplified Arabic"/>
          <w:color w:val="1A1A1A"/>
          <w:sz w:val="28"/>
          <w:szCs w:val="28"/>
          <w:rtl/>
        </w:rPr>
      </w:pPr>
      <w:r w:rsidRPr="003C2425">
        <w:rPr>
          <w:rFonts w:ascii="Simplified Arabic" w:eastAsia="Times New Roman" w:hAnsi="Simplified Arabic" w:cs="Simplified Arabic"/>
          <w:color w:val="1A1A1A"/>
          <w:sz w:val="28"/>
          <w:szCs w:val="28"/>
          <w:rtl/>
        </w:rPr>
        <w:lastRenderedPageBreak/>
        <w:t>ومن ثم، فإن حوكمة الملف الإلكتروني للمريض في سياق التحول الرقمي الصحي لا تمثل مجرد متطلب تنظيمي، بل تمثل آلية استراتيجية لتحويل البيانات الصحية إلى أصل مؤسسي منتج للقيمة. فهي التي تضمن أن يكون الملف الإلكتروني أداة لتحسين التنسيق، ودعم القرار، وتقليل الأخطاء، ورفع كفاءة الإنفاق، وتعزيز الثقة المؤسسية في البيئة الصحية والتأمينية. وهذا الفهم هو ما يمنح الدراسة الحالية أهميتها، لأنها لا تنظر إلى الملف الإلكتروني من زاوية تقنية مجردة، بل من زاوية حوكمية مؤسسية تربط بين جودة إدارة هذا الملف وبين مستوى الأداء والفاعلية المؤسسية لشركات التأمين الصحي في المملكة العربية السعودية</w:t>
      </w:r>
      <w:r w:rsidRPr="003C2425">
        <w:rPr>
          <w:rFonts w:ascii="Simplified Arabic" w:eastAsia="Times New Roman" w:hAnsi="Simplified Arabic" w:cs="Simplified Arabic"/>
          <w:color w:val="1A1A1A"/>
          <w:sz w:val="28"/>
          <w:szCs w:val="28"/>
        </w:rPr>
        <w:t>.</w:t>
      </w:r>
    </w:p>
    <w:p w14:paraId="054F6BEB" w14:textId="13F83E65" w:rsidR="0035392D" w:rsidRPr="00815F92" w:rsidRDefault="0035392D" w:rsidP="00815F92">
      <w:pPr>
        <w:pStyle w:val="Heading1"/>
        <w:rPr>
          <w:rFonts w:ascii="Simplified Arabic" w:hAnsi="Simplified Arabic" w:cs="Simplified Arabic"/>
          <w:b/>
          <w:bCs/>
          <w:color w:val="auto"/>
        </w:rPr>
      </w:pPr>
      <w:bookmarkStart w:id="22" w:name="_Toc224661475"/>
      <w:r w:rsidRPr="00815F92">
        <w:rPr>
          <w:rFonts w:ascii="Simplified Arabic" w:eastAsia="Times New Roman" w:hAnsi="Simplified Arabic" w:cs="Simplified Arabic"/>
          <w:b/>
          <w:bCs/>
          <w:color w:val="auto"/>
          <w:rtl/>
        </w:rPr>
        <w:t>2.3  الأداء والفاعلية المؤسسية في شركات التأمين الصحي: المفهوم والمؤشرات</w:t>
      </w:r>
      <w:bookmarkEnd w:id="22"/>
    </w:p>
    <w:p w14:paraId="52EBCCD8" w14:textId="77777777" w:rsidR="0035392D" w:rsidRPr="00635161" w:rsidRDefault="0035392D" w:rsidP="00815F92">
      <w:pPr>
        <w:pStyle w:val="Heading2"/>
      </w:pPr>
      <w:bookmarkStart w:id="23" w:name="_Toc224661476"/>
      <w:r w:rsidRPr="00635161">
        <w:rPr>
          <w:rtl/>
        </w:rPr>
        <w:t>2.3.1  مفهوم الأداء والفاعلية المؤسسية: التأصيل النظري</w:t>
      </w:r>
      <w:bookmarkEnd w:id="23"/>
    </w:p>
    <w:p w14:paraId="19905560"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يُعد مفهوم الأداء المؤسسي من المفاهيم المركزية في الأدبيات الإدارية الحديثة، كما يُعد في الوقت ذاته من أكثرها اتساعًا وتعددًا في زوايا التناول والتحليل، وذلك بسبب ارتباطه بطبيعة المنظمة، وأهدافها، وبيئتها التنافسية، ونوع الموارد التي تعتمد عليها، والمعايير التي يُقاس بها نجاحها أو تعثرها. ولا ينصرف الأداء المؤسسي إلى مجرد قياس حجم المخرجات أو كمية الإنجاز المتحقق، بل يتصل بمجمل قدرة المؤسسة على توظيف مواردها وإمكاناتها وعملياتها التنظيمية بكفاءة وفاعلية لتحقيق أهدافها الاستراتيجية والتشغيلية في بيئة تتسم بالتغير وعدم اليقين واشتداد المنافسة</w:t>
      </w:r>
      <w:r w:rsidRPr="00905E3E">
        <w:rPr>
          <w:rFonts w:ascii="Simplified Arabic" w:eastAsia="Times New Roman" w:hAnsi="Simplified Arabic" w:cs="Simplified Arabic"/>
          <w:color w:val="1A1A1A"/>
          <w:sz w:val="28"/>
          <w:szCs w:val="28"/>
        </w:rPr>
        <w:t xml:space="preserve"> (Kaplan &amp; Norton, 1996). </w:t>
      </w:r>
      <w:r w:rsidRPr="00905E3E">
        <w:rPr>
          <w:rFonts w:ascii="Simplified Arabic" w:eastAsia="Times New Roman" w:hAnsi="Simplified Arabic" w:cs="Simplified Arabic"/>
          <w:color w:val="1A1A1A"/>
          <w:sz w:val="28"/>
          <w:szCs w:val="28"/>
          <w:rtl/>
        </w:rPr>
        <w:t>ومن هذا المنظور، فإن الأداء المؤسسي يعكس النتيجة النهائية للتفاعل بين الموارد، والعمليات، والسياسات، والقرارات، ونظم المعلومات، وقدرة المؤسسة على تحويل هذه العناصر إلى قيمة مضافة ملموسة</w:t>
      </w:r>
      <w:r w:rsidRPr="00905E3E">
        <w:rPr>
          <w:rFonts w:ascii="Simplified Arabic" w:eastAsia="Times New Roman" w:hAnsi="Simplified Arabic" w:cs="Simplified Arabic"/>
          <w:color w:val="1A1A1A"/>
          <w:sz w:val="28"/>
          <w:szCs w:val="28"/>
        </w:rPr>
        <w:t>.</w:t>
      </w:r>
    </w:p>
    <w:p w14:paraId="5127FE78"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أما الفاعلية المؤسسية، فهي تمثل بعدًا أكثر عمقًا واتساعًا من مجرد الكفاءة التشغيلية، إذ تُعنى بمدى قدرة المنظمة على تحقيق أهدافها الحقيقية وإحداث الأثر المرغوب في البيئة التي تعمل فيها. وبينما ترتبط الكفاءة غالبًا بحسن استخدام الموارد وتقليل الفاقد ورفع الإنتاجية، فإن الفاعلية ترتبط بتحقيق النتائج الصحيحة ذات القيمة، أي بمدى نجاح المؤسسة في الوصول إلى غاياتها الجوهرية وليس فقط أداء أنشطتها بأقل تكلفة أو في أقل وقت ممكن</w:t>
      </w:r>
      <w:r w:rsidRPr="00905E3E">
        <w:rPr>
          <w:rFonts w:ascii="Simplified Arabic" w:eastAsia="Times New Roman" w:hAnsi="Simplified Arabic" w:cs="Simplified Arabic"/>
          <w:color w:val="1A1A1A"/>
          <w:sz w:val="28"/>
          <w:szCs w:val="28"/>
        </w:rPr>
        <w:t xml:space="preserve"> (Daft, 2016). </w:t>
      </w:r>
      <w:r w:rsidRPr="00905E3E">
        <w:rPr>
          <w:rFonts w:ascii="Simplified Arabic" w:eastAsia="Times New Roman" w:hAnsi="Simplified Arabic" w:cs="Simplified Arabic"/>
          <w:color w:val="1A1A1A"/>
          <w:sz w:val="28"/>
          <w:szCs w:val="28"/>
          <w:rtl/>
        </w:rPr>
        <w:t>ومن ثم، فقد تكون المؤسسة كفؤة من الناحية التشغيلية، لكنها غير فاعلة إذا كانت سرعة إجراءاتها أو انخفاض تكاليفها لا ينعكس في جودة خدماتها أو رضا المستفيدين أو قدرتها على تحقيق رسالتها الأساسية</w:t>
      </w:r>
      <w:r w:rsidRPr="00905E3E">
        <w:rPr>
          <w:rFonts w:ascii="Simplified Arabic" w:eastAsia="Times New Roman" w:hAnsi="Simplified Arabic" w:cs="Simplified Arabic"/>
          <w:color w:val="1A1A1A"/>
          <w:sz w:val="28"/>
          <w:szCs w:val="28"/>
        </w:rPr>
        <w:t>.</w:t>
      </w:r>
    </w:p>
    <w:p w14:paraId="065A1D16"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 xml:space="preserve">وتتخذ هذه التفرقة بين الأداء والفاعلية، وبين الكفاءة والفاعلية، أهمية خاصة في قطاع التأمين الصحي، لأن طبيعة هذا القطاع تجعل الحكم على نجاح المؤسسة أكثر تعقيدًا من مجرد النظر إلى أرباحها المالية أو قدرتها على معالجة عدد كبير من المطالبات في زمن قصير. فشركة التأمين الصحي قد تُظهر كفاءة عالية في ضبط التكاليف أو تسريع الإجراءات، لكنها قد تفتقر إلى الفاعلية إذا كانت قراراتها التأمينية تفتقر إلى العدالة أو إذا كانت خدماتها لا تلبي احتياجات المستفيدين أو إذا كانت إجراءاتها المعجلة تتم على حساب الدقة والموثوقية. وعلى العكس من ذلك، فإن المؤسسة الفاعلة في هذا القطاع هي التي تستطيع </w:t>
      </w:r>
      <w:r w:rsidRPr="00905E3E">
        <w:rPr>
          <w:rFonts w:ascii="Simplified Arabic" w:eastAsia="Times New Roman" w:hAnsi="Simplified Arabic" w:cs="Simplified Arabic"/>
          <w:color w:val="1A1A1A"/>
          <w:sz w:val="28"/>
          <w:szCs w:val="28"/>
          <w:rtl/>
        </w:rPr>
        <w:lastRenderedPageBreak/>
        <w:t>الموازنة بين اعتبارات الكفاءة التشغيلية، وسلامة القرار التأميني، وجودة الخدمة، ورضا المستفيدين، والاستدامة المالية، ضمن إطار مؤسسي متكامل</w:t>
      </w:r>
      <w:r w:rsidRPr="00905E3E">
        <w:rPr>
          <w:rFonts w:ascii="Simplified Arabic" w:eastAsia="Times New Roman" w:hAnsi="Simplified Arabic" w:cs="Simplified Arabic"/>
          <w:color w:val="1A1A1A"/>
          <w:sz w:val="28"/>
          <w:szCs w:val="28"/>
        </w:rPr>
        <w:t>.</w:t>
      </w:r>
    </w:p>
    <w:p w14:paraId="4A1A8027"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وقد تطور النظر إلى الأداء المؤسسي عبر الأدبيات الإدارية من الاقتصار على المؤشرات المالية التقليدية، مثل الربحية والعائد على الاستثمار وحجم الإيرادات، إلى نماذج أكثر تكاملًا تأخذ في الاعتبار الأبعاد غير المالية والجوانب النوعية في أداء المؤسسات. ويُعد نموذج بطاقة الأداء المتوازن من أبرز النماذج التي أسهمت في هذا التحول، إذ قدمه</w:t>
      </w:r>
      <w:r w:rsidRPr="00905E3E">
        <w:rPr>
          <w:rFonts w:ascii="Simplified Arabic" w:eastAsia="Times New Roman" w:hAnsi="Simplified Arabic" w:cs="Simplified Arabic"/>
          <w:color w:val="1A1A1A"/>
          <w:sz w:val="28"/>
          <w:szCs w:val="28"/>
        </w:rPr>
        <w:t xml:space="preserve"> Kaplan and Norton (1996) </w:t>
      </w:r>
      <w:r w:rsidRPr="00905E3E">
        <w:rPr>
          <w:rFonts w:ascii="Simplified Arabic" w:eastAsia="Times New Roman" w:hAnsi="Simplified Arabic" w:cs="Simplified Arabic"/>
          <w:color w:val="1A1A1A"/>
          <w:sz w:val="28"/>
          <w:szCs w:val="28"/>
          <w:rtl/>
        </w:rPr>
        <w:t>بوصفه إطارًا لقياس الأداء المؤسسي من خلال أربعة مناظير مترابطة هي: المنظور المالي، ومنظور العملاء أو المستفيدين، ومنظور العمليات الداخلية، ومنظور التعلم والنمو. وقد أتاح هذا النموذج تجاوز الاختزال الذي كان يحصر الأداء في النتائج المالية وحدها، وفتح المجال لفهم الأداء باعتباره بناءً متعدد الأبعاد تتداخل فيه الجودة، والرضا، والتحسين الداخلي، والقدرة على التطور المستمر</w:t>
      </w:r>
      <w:r w:rsidRPr="00905E3E">
        <w:rPr>
          <w:rFonts w:ascii="Simplified Arabic" w:eastAsia="Times New Roman" w:hAnsi="Simplified Arabic" w:cs="Simplified Arabic"/>
          <w:color w:val="1A1A1A"/>
          <w:sz w:val="28"/>
          <w:szCs w:val="28"/>
        </w:rPr>
        <w:t>.</w:t>
      </w:r>
    </w:p>
    <w:p w14:paraId="75B3239E"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وفي سياق الرعاية الصحية والتأمين الصحي، ازداد هذا التحول أهمية مع صعود الأدبيات التي تدعو إلى ربط الأداء المؤسسي بمفهوم القيمة المقدمة للمستفيد، وليس فقط بمؤشرات الكفاءة التقليدية. وفي هذا الإطار، دعا</w:t>
      </w:r>
      <w:r w:rsidRPr="00905E3E">
        <w:rPr>
          <w:rFonts w:ascii="Simplified Arabic" w:eastAsia="Times New Roman" w:hAnsi="Simplified Arabic" w:cs="Simplified Arabic"/>
          <w:color w:val="1A1A1A"/>
          <w:sz w:val="28"/>
          <w:szCs w:val="28"/>
        </w:rPr>
        <w:t xml:space="preserve"> Porter and Lee (2013) </w:t>
      </w:r>
      <w:r w:rsidRPr="00905E3E">
        <w:rPr>
          <w:rFonts w:ascii="Simplified Arabic" w:eastAsia="Times New Roman" w:hAnsi="Simplified Arabic" w:cs="Simplified Arabic"/>
          <w:color w:val="1A1A1A"/>
          <w:sz w:val="28"/>
          <w:szCs w:val="28"/>
          <w:rtl/>
        </w:rPr>
        <w:t>إلى تبني منظور القيمة في الرعاية الصحية، الذي يقيس نجاح المؤسسة ليس بكمية الخدمات المقدمة، بل بقدرتها على تحسين النتائج الصحية للمستفيدين مقابل تكلفة مبررة. ويعد هذا الطرح ذا أهمية خاصة لشركات التأمين الصحي، لأنه ينقل تقييم الأداء من مجرد إدارة التمويل والمطالبات إلى تقييم دور الشركة في دعم رعاية صحية أكثر كفاءة وعدالة وجودة. وبذلك، يصبح الأداء المؤسسي في شركات التأمين الصحي مفهومًا مركبًا يتطلب النظر إلى مؤشرات مالية وتشغيلية وخدمية وتنظيمية في آن واحد</w:t>
      </w:r>
      <w:r w:rsidRPr="00905E3E">
        <w:rPr>
          <w:rFonts w:ascii="Simplified Arabic" w:eastAsia="Times New Roman" w:hAnsi="Simplified Arabic" w:cs="Simplified Arabic"/>
          <w:color w:val="1A1A1A"/>
          <w:sz w:val="28"/>
          <w:szCs w:val="28"/>
        </w:rPr>
        <w:t>.</w:t>
      </w:r>
    </w:p>
    <w:p w14:paraId="746A613A" w14:textId="77777777" w:rsidR="00905E3E" w:rsidRPr="00905E3E" w:rsidRDefault="00905E3E" w:rsidP="00905E3E">
      <w:pPr>
        <w:rPr>
          <w:rFonts w:ascii="Simplified Arabic" w:eastAsia="Times New Roman" w:hAnsi="Simplified Arabic" w:cs="Simplified Arabic"/>
          <w:color w:val="1A1A1A"/>
          <w:sz w:val="28"/>
          <w:szCs w:val="28"/>
        </w:rPr>
      </w:pPr>
      <w:r w:rsidRPr="00905E3E">
        <w:rPr>
          <w:rFonts w:ascii="Simplified Arabic" w:eastAsia="Times New Roman" w:hAnsi="Simplified Arabic" w:cs="Simplified Arabic"/>
          <w:color w:val="1A1A1A"/>
          <w:sz w:val="28"/>
          <w:szCs w:val="28"/>
          <w:rtl/>
        </w:rPr>
        <w:t>كما أن الأدبيات الحديثة في إدارة النظم الصحية تشير إلى أن الأداء المؤسسي في هذا القطاع يتأثر بدرجة كبيرة بجودة نظم المعلومات والبيانات التي تستند إليها المؤسسة في تشغيل عملياتها واتخاذ قراراتها. فالمؤسسة التي تعتمد على بيانات دقيقة ومتكاملة ومحدثة تكون أقدر على ضبط عملياتها، وتحسين سرعة استجابتها، ورفع جودة قراراتها، وتقليل التكاليف الناتجة عن الأخطاء والتكرار وضعف التنسيق. ومن هنا، فإن الأداء المؤسسي في شركات التأمين الصحي لا يمكن فصله عن البيئة المعلوماتية التي تعمل داخلها هذه الشركات، ولا عن مستوى الحوكمة التي تضبط تدفق البيانات الصحية التي تعتمد عليها في معظم عملياتها الأساسية</w:t>
      </w:r>
      <w:r w:rsidRPr="00905E3E">
        <w:rPr>
          <w:rFonts w:ascii="Simplified Arabic" w:eastAsia="Times New Roman" w:hAnsi="Simplified Arabic" w:cs="Simplified Arabic"/>
          <w:color w:val="1A1A1A"/>
          <w:sz w:val="28"/>
          <w:szCs w:val="28"/>
        </w:rPr>
        <w:t>.</w:t>
      </w:r>
    </w:p>
    <w:p w14:paraId="0484940F" w14:textId="048A7C1B" w:rsidR="00945EEF" w:rsidRPr="00905E3E" w:rsidRDefault="00905E3E" w:rsidP="00905E3E">
      <w:pPr>
        <w:rPr>
          <w:rFonts w:ascii="Simplified Arabic" w:eastAsia="Times New Roman" w:hAnsi="Simplified Arabic" w:cs="Simplified Arabic"/>
          <w:color w:val="1A1A1A"/>
          <w:sz w:val="28"/>
          <w:szCs w:val="28"/>
          <w:rtl/>
        </w:rPr>
      </w:pPr>
      <w:r w:rsidRPr="00905E3E">
        <w:rPr>
          <w:rFonts w:ascii="Simplified Arabic" w:eastAsia="Times New Roman" w:hAnsi="Simplified Arabic" w:cs="Simplified Arabic"/>
          <w:color w:val="1A1A1A"/>
          <w:sz w:val="28"/>
          <w:szCs w:val="28"/>
          <w:rtl/>
        </w:rPr>
        <w:t xml:space="preserve">وعليه، فإن التأصيل النظري لمفهوم الأداء والفاعلية المؤسسية في الدراسة الحالية ينطلق من فهم هذا المفهوم بوصفه بناءً متعدد الأبعاد يعكس قدرة شركة التأمين الصحي على إدارة مواردها وعملياتها وقراراتها بكفاءة وموثوقية وعدالة، بما يحقق التوازن بين متطلبات الكفاءة التشغيلية، وجودة الخدمة، وسلامة القرار، وإدارة التكاليف، ورضا المستفيدين. وهذا الفهم هو ما يجعل دراسة العلاقة بين حوكمة الملف الإلكتروني </w:t>
      </w:r>
      <w:r w:rsidRPr="00905E3E">
        <w:rPr>
          <w:rFonts w:ascii="Simplified Arabic" w:eastAsia="Times New Roman" w:hAnsi="Simplified Arabic" w:cs="Simplified Arabic"/>
          <w:color w:val="1A1A1A"/>
          <w:sz w:val="28"/>
          <w:szCs w:val="28"/>
          <w:rtl/>
        </w:rPr>
        <w:lastRenderedPageBreak/>
        <w:t>للمريض وبين الأداء والفاعلية المؤسسية دراسة ذات وجاهة نظرية ومنهجية، لأن جودة الأداء في هذا القطاع ترتبط بصورة مباشرة بمدى جودة البيئة البيانية التي تُغذي المؤسسة وتدعم قراراتها</w:t>
      </w:r>
      <w:r w:rsidRPr="00905E3E">
        <w:rPr>
          <w:rFonts w:ascii="Simplified Arabic" w:eastAsia="Times New Roman" w:hAnsi="Simplified Arabic" w:cs="Simplified Arabic"/>
          <w:color w:val="1A1A1A"/>
          <w:sz w:val="28"/>
          <w:szCs w:val="28"/>
        </w:rPr>
        <w:t>.</w:t>
      </w:r>
    </w:p>
    <w:p w14:paraId="39CC0E9E" w14:textId="77777777" w:rsidR="0035392D" w:rsidRPr="00635161" w:rsidRDefault="0035392D" w:rsidP="00815F92">
      <w:pPr>
        <w:pStyle w:val="Heading2"/>
      </w:pPr>
      <w:bookmarkStart w:id="24" w:name="_Toc224661477"/>
      <w:r w:rsidRPr="00635161">
        <w:rPr>
          <w:rtl/>
        </w:rPr>
        <w:t>2.3.2  مؤشرات الأداء الرئيسية في شركات التأمين الصحي</w:t>
      </w:r>
      <w:bookmarkEnd w:id="24"/>
    </w:p>
    <w:p w14:paraId="3BE8E28F" w14:textId="66F72F90" w:rsidR="00905E3E" w:rsidRPr="00905E3E" w:rsidRDefault="00905E3E" w:rsidP="00905E3E">
      <w:pPr>
        <w:rPr>
          <w:rFonts w:ascii="Simplified Arabic" w:hAnsi="Simplified Arabic" w:cs="Simplified Arabic"/>
          <w:sz w:val="28"/>
          <w:szCs w:val="28"/>
          <w:rtl/>
        </w:rPr>
      </w:pPr>
      <w:r w:rsidRPr="00905E3E">
        <w:rPr>
          <w:rFonts w:ascii="Simplified Arabic" w:hAnsi="Simplified Arabic" w:cs="Simplified Arabic"/>
          <w:sz w:val="28"/>
          <w:szCs w:val="28"/>
          <w:rtl/>
        </w:rPr>
        <w:t>تتعدد المؤشرات التي يمكن الاستناد إليها في قياس الأداء والفاعلية المؤسسية لشركات التأمين الصحي، وتختلف هذه المؤشرات تبعًا للإطار النظري المعتمد، وطبيعة المؤسسة، وغايات القياس، والمستوى الذي يتم عنده تقييم الأداء. ومع ذلك، فإن الأدبيات الإدارية والصحية والتأمينية تتجه إلى ترسيخ عدد من المؤشرات الأساسية التي تمثل مجتمعة صورة متوازنة للأداء المؤسسي في هذا القطاع، وتتيح فهمًا أشمل لمدى نجاح المؤسسة في تحقيق أهدافها التشغيلية والخدمية والمالية. وفي ضوء موضوع الدراسة الحالية، أمكن تحديد خمسة مؤشرات رئيسة للأداء والفاعلية المؤسسية في شركات التأمين الصحي، هي: الكفاءة التشغيلية، وجودة الخدمة المقدمة، وفاعلية اتخاذ القرار، وكفاءة إدارة التكاليف، ورضا المستفيدين. وتكتسب هذه المؤشرات أهمية خاصة لأنها ترتبط جميعًا بدرجة أو بأخرى بجودة البيانات الصحية المتاحة للمؤسسة، وبمستوى الحوكمة التي تضبط الملف الإلكتروني للمريض</w:t>
      </w:r>
      <w:r w:rsidRPr="00905E3E">
        <w:rPr>
          <w:rFonts w:ascii="Simplified Arabic" w:hAnsi="Simplified Arabic" w:cs="Simplified Arabic"/>
          <w:sz w:val="28"/>
          <w:szCs w:val="28"/>
        </w:rPr>
        <w:t>.</w:t>
      </w:r>
    </w:p>
    <w:p w14:paraId="3DCA6F42" w14:textId="73DB5FE5" w:rsidR="00815F92" w:rsidRPr="00815F92" w:rsidRDefault="00815F92" w:rsidP="00815F92">
      <w:pPr>
        <w:spacing w:before="40" w:after="20"/>
        <w:ind w:firstLine="0"/>
        <w:rPr>
          <w:rFonts w:ascii="Simplified Arabic" w:hAnsi="Simplified Arabic" w:cs="Simplified Arabic"/>
          <w:sz w:val="28"/>
          <w:szCs w:val="28"/>
        </w:rPr>
      </w:pPr>
      <w:r w:rsidRPr="00635161">
        <w:rPr>
          <w:rFonts w:ascii="Simplified Arabic" w:eastAsia="Times New Roman" w:hAnsi="Simplified Arabic" w:cs="Simplified Arabic"/>
          <w:i/>
          <w:iCs/>
          <w:color w:val="5A6A80"/>
          <w:sz w:val="28"/>
          <w:szCs w:val="28"/>
          <w:rtl/>
        </w:rPr>
        <w:t>جدول (2-</w:t>
      </w:r>
      <w:r w:rsidR="00086946">
        <w:rPr>
          <w:rFonts w:ascii="Simplified Arabic" w:eastAsia="Times New Roman" w:hAnsi="Simplified Arabic" w:cs="Simplified Arabic" w:hint="cs"/>
          <w:i/>
          <w:iCs/>
          <w:color w:val="5A6A80"/>
          <w:sz w:val="28"/>
          <w:szCs w:val="28"/>
          <w:rtl/>
        </w:rPr>
        <w:t>2</w:t>
      </w:r>
      <w:r w:rsidRPr="00635161">
        <w:rPr>
          <w:rFonts w:ascii="Simplified Arabic" w:eastAsia="Times New Roman" w:hAnsi="Simplified Arabic" w:cs="Simplified Arabic"/>
          <w:i/>
          <w:iCs/>
          <w:color w:val="5A6A80"/>
          <w:sz w:val="28"/>
          <w:szCs w:val="28"/>
          <w:rtl/>
        </w:rPr>
        <w:t>): مؤشرات الأداء الرئيسية في شركات التأمين الصحي وصلتها بحوكمة الملف الإلكتروني</w:t>
      </w:r>
    </w:p>
    <w:tbl>
      <w:tblPr>
        <w:bidiVisual/>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680"/>
        <w:gridCol w:w="3480"/>
      </w:tblGrid>
      <w:tr w:rsidR="0035392D" w:rsidRPr="00635161" w14:paraId="47CFF816" w14:textId="77777777" w:rsidTr="00815F92">
        <w:tc>
          <w:tcPr>
            <w:tcW w:w="2200" w:type="dxa"/>
            <w:tcBorders>
              <w:top w:val="single" w:sz="4" w:space="0" w:color="1F3864"/>
              <w:left w:val="single" w:sz="4" w:space="0" w:color="1F3864"/>
              <w:bottom w:val="single" w:sz="4" w:space="0" w:color="1F3864"/>
              <w:right w:val="single" w:sz="4" w:space="0" w:color="1F3864"/>
            </w:tcBorders>
            <w:shd w:val="clear" w:color="auto" w:fill="1F3864"/>
            <w:tcMar>
              <w:top w:w="90" w:type="dxa"/>
              <w:left w:w="140" w:type="dxa"/>
              <w:bottom w:w="90" w:type="dxa"/>
              <w:right w:w="100" w:type="dxa"/>
            </w:tcMar>
          </w:tcPr>
          <w:p w14:paraId="5284B821" w14:textId="77777777" w:rsidR="0035392D" w:rsidRPr="00635161" w:rsidRDefault="0035392D" w:rsidP="001F6EC7">
            <w:pPr>
              <w:jc w:val="left"/>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مؤشر الأداء</w:t>
            </w:r>
          </w:p>
        </w:tc>
        <w:tc>
          <w:tcPr>
            <w:tcW w:w="3680" w:type="dxa"/>
            <w:tcBorders>
              <w:top w:val="single" w:sz="4" w:space="0" w:color="1F3864"/>
              <w:left w:val="single" w:sz="4" w:space="0" w:color="1F3864"/>
              <w:bottom w:val="single" w:sz="4" w:space="0" w:color="1F3864"/>
              <w:right w:val="single" w:sz="4" w:space="0" w:color="1F3864"/>
            </w:tcBorders>
            <w:shd w:val="clear" w:color="auto" w:fill="1F3864"/>
            <w:tcMar>
              <w:top w:w="90" w:type="dxa"/>
              <w:left w:w="140" w:type="dxa"/>
              <w:bottom w:w="90" w:type="dxa"/>
              <w:right w:w="100" w:type="dxa"/>
            </w:tcMar>
          </w:tcPr>
          <w:p w14:paraId="4898B5CF" w14:textId="77777777" w:rsidR="0035392D" w:rsidRPr="00635161" w:rsidRDefault="0035392D" w:rsidP="001F6EC7">
            <w:pPr>
              <w:jc w:val="left"/>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المفهوم في بيئة التأمين الصحي</w:t>
            </w:r>
          </w:p>
        </w:tc>
        <w:tc>
          <w:tcPr>
            <w:tcW w:w="3480" w:type="dxa"/>
            <w:tcBorders>
              <w:top w:val="single" w:sz="4" w:space="0" w:color="1F3864"/>
              <w:left w:val="single" w:sz="4" w:space="0" w:color="1F3864"/>
              <w:bottom w:val="single" w:sz="4" w:space="0" w:color="1F3864"/>
              <w:right w:val="single" w:sz="4" w:space="0" w:color="1F3864"/>
            </w:tcBorders>
            <w:shd w:val="clear" w:color="auto" w:fill="1F3864"/>
            <w:tcMar>
              <w:top w:w="90" w:type="dxa"/>
              <w:left w:w="140" w:type="dxa"/>
              <w:bottom w:w="90" w:type="dxa"/>
              <w:right w:w="100" w:type="dxa"/>
            </w:tcMar>
          </w:tcPr>
          <w:p w14:paraId="2583AEA7" w14:textId="77777777" w:rsidR="0035392D" w:rsidRPr="00635161" w:rsidRDefault="0035392D" w:rsidP="001F6EC7">
            <w:pPr>
              <w:jc w:val="left"/>
              <w:rPr>
                <w:rFonts w:ascii="Simplified Arabic" w:hAnsi="Simplified Arabic" w:cs="Simplified Arabic"/>
                <w:sz w:val="28"/>
                <w:szCs w:val="28"/>
              </w:rPr>
            </w:pPr>
            <w:r w:rsidRPr="00635161">
              <w:rPr>
                <w:rFonts w:ascii="Simplified Arabic" w:eastAsia="Times New Roman" w:hAnsi="Simplified Arabic" w:cs="Simplified Arabic"/>
                <w:b/>
                <w:bCs/>
                <w:color w:val="FFFFFF"/>
                <w:sz w:val="28"/>
                <w:szCs w:val="28"/>
                <w:rtl/>
              </w:rPr>
              <w:t>الصلة بحوكمة الملف الإلكتروني</w:t>
            </w:r>
          </w:p>
        </w:tc>
      </w:tr>
      <w:tr w:rsidR="0035392D" w:rsidRPr="00635161" w14:paraId="386F6D05" w14:textId="77777777" w:rsidTr="00815F92">
        <w:tc>
          <w:tcPr>
            <w:tcW w:w="2200" w:type="dxa"/>
            <w:tcBorders>
              <w:top w:val="single" w:sz="4" w:space="0" w:color="CCCCCC"/>
              <w:left w:val="single" w:sz="4" w:space="0" w:color="CCCCCC"/>
              <w:bottom w:val="single" w:sz="4" w:space="0" w:color="CCCCCC"/>
              <w:right w:val="single" w:sz="4" w:space="0" w:color="CCCCCC"/>
            </w:tcBorders>
            <w:shd w:val="clear" w:color="auto" w:fill="D6E4F0"/>
            <w:tcMar>
              <w:top w:w="90" w:type="dxa"/>
              <w:left w:w="140" w:type="dxa"/>
              <w:bottom w:w="90" w:type="dxa"/>
              <w:right w:w="100" w:type="dxa"/>
            </w:tcMar>
            <w:vAlign w:val="center"/>
          </w:tcPr>
          <w:p w14:paraId="106D3F68"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الكفاءة التشغيلية</w:t>
            </w:r>
          </w:p>
        </w:tc>
        <w:tc>
          <w:tcPr>
            <w:tcW w:w="36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4A264356"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سرعة معالجة المطالبات واعتمادها وتقليص أوقات الدورة التشغيلية في جميع مراحل العمليات.</w:t>
            </w:r>
          </w:p>
        </w:tc>
        <w:tc>
          <w:tcPr>
            <w:tcW w:w="34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38F209D1"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البيانات الدقيقة المكتملة تُقلّص الاستفسارات المتكررة وتُسرّع عمليات التحقق والموافقة.</w:t>
            </w:r>
          </w:p>
        </w:tc>
      </w:tr>
      <w:tr w:rsidR="0035392D" w:rsidRPr="00635161" w14:paraId="18C42A44" w14:textId="77777777" w:rsidTr="00815F92">
        <w:tc>
          <w:tcPr>
            <w:tcW w:w="2200" w:type="dxa"/>
            <w:tcBorders>
              <w:top w:val="single" w:sz="4" w:space="0" w:color="CCCCCC"/>
              <w:left w:val="single" w:sz="4" w:space="0" w:color="CCCCCC"/>
              <w:bottom w:val="single" w:sz="4" w:space="0" w:color="CCCCCC"/>
              <w:right w:val="single" w:sz="4" w:space="0" w:color="CCCCCC"/>
            </w:tcBorders>
            <w:shd w:val="clear" w:color="auto" w:fill="D6E4F0"/>
            <w:tcMar>
              <w:top w:w="90" w:type="dxa"/>
              <w:left w:w="140" w:type="dxa"/>
              <w:bottom w:w="90" w:type="dxa"/>
              <w:right w:w="100" w:type="dxa"/>
            </w:tcMar>
            <w:vAlign w:val="center"/>
          </w:tcPr>
          <w:p w14:paraId="25B62758"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جودة الخدمة المُقدَّمة</w:t>
            </w:r>
          </w:p>
        </w:tc>
        <w:tc>
          <w:tcPr>
            <w:tcW w:w="3680" w:type="dxa"/>
            <w:tcBorders>
              <w:top w:val="single" w:sz="4" w:space="0" w:color="CCCCCC"/>
              <w:left w:val="single" w:sz="4" w:space="0" w:color="CCCCCC"/>
              <w:bottom w:val="single" w:sz="4" w:space="0" w:color="CCCCCC"/>
              <w:right w:val="single" w:sz="4" w:space="0" w:color="CCCCCC"/>
            </w:tcBorders>
            <w:shd w:val="clear" w:color="auto" w:fill="EEF5FB"/>
            <w:tcMar>
              <w:top w:w="90" w:type="dxa"/>
              <w:left w:w="140" w:type="dxa"/>
              <w:bottom w:w="90" w:type="dxa"/>
              <w:right w:w="100" w:type="dxa"/>
            </w:tcMar>
            <w:vAlign w:val="center"/>
          </w:tcPr>
          <w:p w14:paraId="58101C3B"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مستوى التجربة الإجمالية للمستفيد من دقة التغطية ووضوح التواصل إلى سرعة الاستجابة.</w:t>
            </w:r>
          </w:p>
        </w:tc>
        <w:tc>
          <w:tcPr>
            <w:tcW w:w="3480" w:type="dxa"/>
            <w:tcBorders>
              <w:top w:val="single" w:sz="4" w:space="0" w:color="CCCCCC"/>
              <w:left w:val="single" w:sz="4" w:space="0" w:color="CCCCCC"/>
              <w:bottom w:val="single" w:sz="4" w:space="0" w:color="CCCCCC"/>
              <w:right w:val="single" w:sz="4" w:space="0" w:color="CCCCCC"/>
            </w:tcBorders>
            <w:shd w:val="clear" w:color="auto" w:fill="EEF5FB"/>
            <w:tcMar>
              <w:top w:w="90" w:type="dxa"/>
              <w:left w:w="140" w:type="dxa"/>
              <w:bottom w:w="90" w:type="dxa"/>
              <w:right w:w="100" w:type="dxa"/>
            </w:tcMar>
            <w:vAlign w:val="center"/>
          </w:tcPr>
          <w:p w14:paraId="7D17E549"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التكامل البيني للملف الإلكتروني يُتيح تقديم استجابات مستنيرة وشخصية للمستفيدين.</w:t>
            </w:r>
          </w:p>
        </w:tc>
      </w:tr>
      <w:tr w:rsidR="0035392D" w:rsidRPr="00635161" w14:paraId="24917E14" w14:textId="77777777" w:rsidTr="00815F92">
        <w:tc>
          <w:tcPr>
            <w:tcW w:w="2200" w:type="dxa"/>
            <w:tcBorders>
              <w:top w:val="single" w:sz="4" w:space="0" w:color="CCCCCC"/>
              <w:left w:val="single" w:sz="4" w:space="0" w:color="CCCCCC"/>
              <w:bottom w:val="single" w:sz="4" w:space="0" w:color="CCCCCC"/>
              <w:right w:val="single" w:sz="4" w:space="0" w:color="CCCCCC"/>
            </w:tcBorders>
            <w:shd w:val="clear" w:color="auto" w:fill="D6E4F0"/>
            <w:tcMar>
              <w:top w:w="90" w:type="dxa"/>
              <w:left w:w="140" w:type="dxa"/>
              <w:bottom w:w="90" w:type="dxa"/>
              <w:right w:w="100" w:type="dxa"/>
            </w:tcMar>
            <w:vAlign w:val="center"/>
          </w:tcPr>
          <w:p w14:paraId="38963936"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فاعلية اتخاذ القرار</w:t>
            </w:r>
          </w:p>
        </w:tc>
        <w:tc>
          <w:tcPr>
            <w:tcW w:w="36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761DA388"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قدرة الشركة على إصدار قرارات تأمينية موضوعية ومدعومة بأدلة بيانية واضحة وموثوقة.</w:t>
            </w:r>
          </w:p>
        </w:tc>
        <w:tc>
          <w:tcPr>
            <w:tcW w:w="34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6A178D38"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حوكمة البيانات تُوفّر سجلاً دقيقاً يُمكّن من إصدار قرارات تأمينية مبنية على أدلة.</w:t>
            </w:r>
          </w:p>
        </w:tc>
      </w:tr>
      <w:tr w:rsidR="0035392D" w:rsidRPr="00635161" w14:paraId="493ACAE3" w14:textId="77777777" w:rsidTr="00815F92">
        <w:tc>
          <w:tcPr>
            <w:tcW w:w="2200" w:type="dxa"/>
            <w:tcBorders>
              <w:top w:val="single" w:sz="4" w:space="0" w:color="CCCCCC"/>
              <w:left w:val="single" w:sz="4" w:space="0" w:color="CCCCCC"/>
              <w:bottom w:val="single" w:sz="4" w:space="0" w:color="CCCCCC"/>
              <w:right w:val="single" w:sz="4" w:space="0" w:color="CCCCCC"/>
            </w:tcBorders>
            <w:shd w:val="clear" w:color="auto" w:fill="D6E4F0"/>
            <w:tcMar>
              <w:top w:w="90" w:type="dxa"/>
              <w:left w:w="140" w:type="dxa"/>
              <w:bottom w:w="90" w:type="dxa"/>
              <w:right w:w="100" w:type="dxa"/>
            </w:tcMar>
            <w:vAlign w:val="center"/>
          </w:tcPr>
          <w:p w14:paraId="7C9E8BD8"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t>كفاءة إدارة التكاليف</w:t>
            </w:r>
          </w:p>
        </w:tc>
        <w:tc>
          <w:tcPr>
            <w:tcW w:w="3680" w:type="dxa"/>
            <w:tcBorders>
              <w:top w:val="single" w:sz="4" w:space="0" w:color="CCCCCC"/>
              <w:left w:val="single" w:sz="4" w:space="0" w:color="CCCCCC"/>
              <w:bottom w:val="single" w:sz="4" w:space="0" w:color="CCCCCC"/>
              <w:right w:val="single" w:sz="4" w:space="0" w:color="CCCCCC"/>
            </w:tcBorders>
            <w:shd w:val="clear" w:color="auto" w:fill="EEF5FB"/>
            <w:tcMar>
              <w:top w:w="90" w:type="dxa"/>
              <w:left w:w="140" w:type="dxa"/>
              <w:bottom w:w="90" w:type="dxa"/>
              <w:right w:w="100" w:type="dxa"/>
            </w:tcMar>
            <w:vAlign w:val="center"/>
          </w:tcPr>
          <w:p w14:paraId="6967E1B7"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قدرة الشركة على ضبط الإنفاق وتقليص الهدر والكشف عن التكاليف غير المبررة.</w:t>
            </w:r>
          </w:p>
        </w:tc>
        <w:tc>
          <w:tcPr>
            <w:tcW w:w="3480" w:type="dxa"/>
            <w:tcBorders>
              <w:top w:val="single" w:sz="4" w:space="0" w:color="CCCCCC"/>
              <w:left w:val="single" w:sz="4" w:space="0" w:color="CCCCCC"/>
              <w:bottom w:val="single" w:sz="4" w:space="0" w:color="CCCCCC"/>
              <w:right w:val="single" w:sz="4" w:space="0" w:color="CCCCCC"/>
            </w:tcBorders>
            <w:shd w:val="clear" w:color="auto" w:fill="EEF5FB"/>
            <w:tcMar>
              <w:top w:w="90" w:type="dxa"/>
              <w:left w:w="140" w:type="dxa"/>
              <w:bottom w:w="90" w:type="dxa"/>
              <w:right w:w="100" w:type="dxa"/>
            </w:tcMar>
            <w:vAlign w:val="center"/>
          </w:tcPr>
          <w:p w14:paraId="514B1A3F"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شفافية بيانات الملف تُكشف أنماط الاحتيال والازدواجية وتُخفّض تكاليف المعالجة.</w:t>
            </w:r>
          </w:p>
        </w:tc>
      </w:tr>
      <w:tr w:rsidR="0035392D" w:rsidRPr="00635161" w14:paraId="543BF908" w14:textId="77777777" w:rsidTr="00815F92">
        <w:tc>
          <w:tcPr>
            <w:tcW w:w="2200" w:type="dxa"/>
            <w:tcBorders>
              <w:top w:val="single" w:sz="4" w:space="0" w:color="CCCCCC"/>
              <w:left w:val="single" w:sz="4" w:space="0" w:color="CCCCCC"/>
              <w:bottom w:val="single" w:sz="4" w:space="0" w:color="CCCCCC"/>
              <w:right w:val="single" w:sz="4" w:space="0" w:color="CCCCCC"/>
            </w:tcBorders>
            <w:shd w:val="clear" w:color="auto" w:fill="D6E4F0"/>
            <w:tcMar>
              <w:top w:w="90" w:type="dxa"/>
              <w:left w:w="140" w:type="dxa"/>
              <w:bottom w:w="90" w:type="dxa"/>
              <w:right w:w="100" w:type="dxa"/>
            </w:tcMar>
            <w:vAlign w:val="center"/>
          </w:tcPr>
          <w:p w14:paraId="6F8644CC" w14:textId="77777777" w:rsidR="0035392D" w:rsidRPr="00635161" w:rsidRDefault="0035392D" w:rsidP="001F6EC7">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b/>
                <w:bCs/>
                <w:color w:val="1F3864"/>
                <w:sz w:val="28"/>
                <w:szCs w:val="28"/>
                <w:rtl/>
              </w:rPr>
              <w:lastRenderedPageBreak/>
              <w:t>رضا المستفيدين</w:t>
            </w:r>
          </w:p>
        </w:tc>
        <w:tc>
          <w:tcPr>
            <w:tcW w:w="36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0D0A3A40"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مستوى إدراك المستفيدين لجودة الخدمة التأمينية ومدى تلبيتها لتوقعاتهم واحتياجاتهم.</w:t>
            </w:r>
          </w:p>
        </w:tc>
        <w:tc>
          <w:tcPr>
            <w:tcW w:w="3480" w:type="dxa"/>
            <w:tcBorders>
              <w:top w:val="single" w:sz="4" w:space="0" w:color="CCCCCC"/>
              <w:left w:val="single" w:sz="4" w:space="0" w:color="CCCCCC"/>
              <w:bottom w:val="single" w:sz="4" w:space="0" w:color="CCCCCC"/>
              <w:right w:val="single" w:sz="4" w:space="0" w:color="CCCCCC"/>
            </w:tcBorders>
            <w:shd w:val="clear" w:color="auto" w:fill="FFFFFF"/>
            <w:tcMar>
              <w:top w:w="90" w:type="dxa"/>
              <w:left w:w="140" w:type="dxa"/>
              <w:bottom w:w="90" w:type="dxa"/>
              <w:right w:w="100" w:type="dxa"/>
            </w:tcMar>
            <w:vAlign w:val="center"/>
          </w:tcPr>
          <w:p w14:paraId="5C6971B4" w14:textId="77777777" w:rsidR="0035392D" w:rsidRPr="00635161" w:rsidRDefault="0035392D" w:rsidP="004B46A0">
            <w:pPr>
              <w:ind w:firstLine="0"/>
              <w:jc w:val="left"/>
              <w:rPr>
                <w:rFonts w:ascii="Simplified Arabic" w:hAnsi="Simplified Arabic" w:cs="Simplified Arabic"/>
                <w:sz w:val="28"/>
                <w:szCs w:val="28"/>
              </w:rPr>
            </w:pPr>
            <w:r w:rsidRPr="00635161">
              <w:rPr>
                <w:rFonts w:ascii="Simplified Arabic" w:eastAsia="Times New Roman" w:hAnsi="Simplified Arabic" w:cs="Simplified Arabic"/>
                <w:color w:val="1A1A1A"/>
                <w:sz w:val="28"/>
                <w:szCs w:val="28"/>
                <w:rtl/>
              </w:rPr>
              <w:t>الردود السريعة والمطالبات المُعالَجة بدقة ترفع تجربة المستفيد ومستوى ثقته بالشركة.</w:t>
            </w:r>
          </w:p>
        </w:tc>
      </w:tr>
    </w:tbl>
    <w:p w14:paraId="1AD367DF" w14:textId="2E066200" w:rsidR="0035392D" w:rsidRPr="00635161" w:rsidRDefault="0035392D" w:rsidP="00FE507F">
      <w:pPr>
        <w:rPr>
          <w:rFonts w:ascii="Simplified Arabic" w:hAnsi="Simplified Arabic" w:cs="Simplified Arabic"/>
          <w:sz w:val="28"/>
          <w:szCs w:val="28"/>
        </w:rPr>
      </w:pPr>
      <w:r w:rsidRPr="00635161">
        <w:rPr>
          <w:rFonts w:ascii="Simplified Arabic" w:eastAsia="Times New Roman" w:hAnsi="Simplified Arabic" w:cs="Simplified Arabic"/>
          <w:i/>
          <w:iCs/>
          <w:color w:val="5A6A80"/>
          <w:sz w:val="28"/>
          <w:szCs w:val="28"/>
          <w:rtl/>
        </w:rPr>
        <w:t>المصدر: إعداد الباحثة بالاستناد إلى Kaplan &amp; Norton (1996)، Porter &amp; Lee (2013)، Parasuraman et al. (1988)، Wan et al. (2017)</w:t>
      </w:r>
    </w:p>
    <w:p w14:paraId="50FF90D5" w14:textId="537C371B" w:rsidR="00835922" w:rsidRPr="00835922" w:rsidRDefault="00835922" w:rsidP="00835922">
      <w:pPr>
        <w:rPr>
          <w:rFonts w:ascii="Simplified Arabic" w:hAnsi="Simplified Arabic" w:cs="Simplified Arabic"/>
          <w:sz w:val="28"/>
          <w:szCs w:val="28"/>
          <w:rtl/>
          <w:lang w:bidi="ar-EG"/>
        </w:rPr>
      </w:pPr>
      <w:r w:rsidRPr="00835922">
        <w:rPr>
          <w:rFonts w:ascii="Simplified Arabic" w:hAnsi="Simplified Arabic" w:cs="Simplified Arabic"/>
          <w:sz w:val="28"/>
          <w:szCs w:val="28"/>
          <w:rtl/>
        </w:rPr>
        <w:t>ويعد مؤشر الكفاءة التشغيلية من أكثر مؤشرات الأداء المؤسسي وضوحًا وقابلية للقياس في شركات التأمين الصحي، لأنه يعكس قدرة الشركة على تنفيذ عملياتها اليومية بسرعة وانتظام ودقة، بدءًا من استقبال المطالبات ومراجعتها، مرورًا بعمليات التحقق والتدقيق، وانتهاءً بإصدار القرار المالي أو التأميني المناسب. وتتجسد الكفاءة التشغيلية في هذا السياق في زمن دورة المطالبة، ومعدل المطالبات المنجزة إلكترونيًا دون تدخل يدوي، ومستوى الأخطاء الإجرائية، وكفاءة التنسيق بين الإدارات والوحدات المختلفة داخل الشركة</w:t>
      </w:r>
      <w:r w:rsidRPr="00835922">
        <w:rPr>
          <w:rFonts w:ascii="Simplified Arabic" w:hAnsi="Simplified Arabic" w:cs="Simplified Arabic"/>
          <w:sz w:val="28"/>
          <w:szCs w:val="28"/>
          <w:lang w:bidi="ar-EG"/>
        </w:rPr>
        <w:t xml:space="preserve"> (Wan et al., 2017). </w:t>
      </w:r>
      <w:r w:rsidRPr="00835922">
        <w:rPr>
          <w:rFonts w:ascii="Simplified Arabic" w:hAnsi="Simplified Arabic" w:cs="Simplified Arabic"/>
          <w:sz w:val="28"/>
          <w:szCs w:val="28"/>
          <w:rtl/>
        </w:rPr>
        <w:t>وتزداد أهمية هذا المؤشر لأن طبيعة سوق التأمين الصحي تتطلب استجابة سريعة ومنضبطة، كما أن أي بطء أو تعثر أو تكرار غير مبرر في العمليات ينعكس سلبًا على كل من المستفيد، ومقدم الخدمة، والوضع المالي للمؤسسة. وتؤكد التقارير التنظيمية أن جزءًا معتبرًا من تأخر معالجة المطالبات في السوق السعودية يرتبط بمشكلات في البيانات الواردة من الأنظمة الصحية، وهو ما يدعم العلاقة المباشرة بين جودة الملف الإلكتروني وحوكمة بياناته وبين الكفاءة التشغيلية لشركات التأمين الصحي</w:t>
      </w:r>
      <w:r w:rsidRPr="00835922">
        <w:rPr>
          <w:rFonts w:ascii="Simplified Arabic" w:hAnsi="Simplified Arabic" w:cs="Simplified Arabic"/>
          <w:sz w:val="28"/>
          <w:szCs w:val="28"/>
          <w:lang w:bidi="ar-EG"/>
        </w:rPr>
        <w:t xml:space="preserve"> (CCHI, 2022).</w:t>
      </w:r>
    </w:p>
    <w:p w14:paraId="32575122" w14:textId="77777777" w:rsidR="0035392D" w:rsidRPr="00635161" w:rsidRDefault="0035392D" w:rsidP="00437AE9">
      <w:pPr>
        <w:pStyle w:val="Heading2"/>
      </w:pPr>
      <w:bookmarkStart w:id="25" w:name="_Toc224661478"/>
      <w:r w:rsidRPr="00635161">
        <w:rPr>
          <w:rtl/>
        </w:rPr>
        <w:t>2.3.3  جودة الخدمة وفاعلية القرار: أبعاد نوعية للأداء التأميني</w:t>
      </w:r>
      <w:bookmarkEnd w:id="25"/>
    </w:p>
    <w:p w14:paraId="3FB12669" w14:textId="77777777" w:rsidR="00835922" w:rsidRPr="00835922" w:rsidRDefault="00835922" w:rsidP="00835922">
      <w:pPr>
        <w:rPr>
          <w:rFonts w:ascii="Simplified Arabic" w:eastAsia="Times New Roman" w:hAnsi="Simplified Arabic" w:cs="Simplified Arabic"/>
          <w:color w:val="1A1A1A"/>
          <w:sz w:val="28"/>
          <w:szCs w:val="28"/>
        </w:rPr>
      </w:pPr>
      <w:r w:rsidRPr="00835922">
        <w:rPr>
          <w:rFonts w:ascii="Simplified Arabic" w:eastAsia="Times New Roman" w:hAnsi="Simplified Arabic" w:cs="Simplified Arabic"/>
          <w:color w:val="1A1A1A"/>
          <w:sz w:val="28"/>
          <w:szCs w:val="28"/>
          <w:rtl/>
        </w:rPr>
        <w:t xml:space="preserve">إذا كانت الكفاءة التشغيلية تعكس البعد الإجرائي والزمني للأداء المؤسسي، فإن </w:t>
      </w:r>
      <w:r w:rsidRPr="00835922">
        <w:rPr>
          <w:rFonts w:ascii="Simplified Arabic" w:eastAsia="Times New Roman" w:hAnsi="Simplified Arabic" w:cs="Simplified Arabic"/>
          <w:b/>
          <w:bCs/>
          <w:color w:val="1A1A1A"/>
          <w:sz w:val="28"/>
          <w:szCs w:val="28"/>
          <w:rtl/>
        </w:rPr>
        <w:t>جودة الخدمة</w:t>
      </w:r>
      <w:r w:rsidRPr="00835922">
        <w:rPr>
          <w:rFonts w:ascii="Simplified Arabic" w:eastAsia="Times New Roman" w:hAnsi="Simplified Arabic" w:cs="Simplified Arabic"/>
          <w:color w:val="1A1A1A"/>
          <w:sz w:val="28"/>
          <w:szCs w:val="28"/>
          <w:rtl/>
        </w:rPr>
        <w:t xml:space="preserve"> تمثل البعد النوعي الذي يعبّر عن تجربة المستفيد ومدى اتساق الخدمة المقدمة مع توقعاته واحتياجاته. ويعد هذا البعد من أكثر الأبعاد حساسية في قطاع التأمين الصحي، لأن المستفيد لا يقيم الشركة فقط من خلال سرعة الرد أو عدد الخدمات المغطاة، بل من خلال مدى وضوح الإجراءات، ودقة التغطية، وعدالة التعامل، وسهولة الوصول إلى المعلومات، وقدرة الشركة على الاستجابة بطريقة موثوقة ومنصفة. وقد طوّر</w:t>
      </w:r>
      <w:r w:rsidRPr="00835922">
        <w:rPr>
          <w:rFonts w:ascii="Simplified Arabic" w:eastAsia="Times New Roman" w:hAnsi="Simplified Arabic" w:cs="Simplified Arabic"/>
          <w:color w:val="1A1A1A"/>
          <w:sz w:val="28"/>
          <w:szCs w:val="28"/>
        </w:rPr>
        <w:t xml:space="preserve"> Parasuraman et al. (1988) </w:t>
      </w:r>
      <w:r w:rsidRPr="00835922">
        <w:rPr>
          <w:rFonts w:ascii="Simplified Arabic" w:eastAsia="Times New Roman" w:hAnsi="Simplified Arabic" w:cs="Simplified Arabic"/>
          <w:color w:val="1A1A1A"/>
          <w:sz w:val="28"/>
          <w:szCs w:val="28"/>
          <w:rtl/>
        </w:rPr>
        <w:t>نموذج</w:t>
      </w:r>
      <w:r w:rsidRPr="00835922">
        <w:rPr>
          <w:rFonts w:ascii="Simplified Arabic" w:eastAsia="Times New Roman" w:hAnsi="Simplified Arabic" w:cs="Simplified Arabic"/>
          <w:color w:val="1A1A1A"/>
          <w:sz w:val="28"/>
          <w:szCs w:val="28"/>
        </w:rPr>
        <w:t xml:space="preserve"> SERVQUAL </w:t>
      </w:r>
      <w:r w:rsidRPr="00835922">
        <w:rPr>
          <w:rFonts w:ascii="Simplified Arabic" w:eastAsia="Times New Roman" w:hAnsi="Simplified Arabic" w:cs="Simplified Arabic"/>
          <w:color w:val="1A1A1A"/>
          <w:sz w:val="28"/>
          <w:szCs w:val="28"/>
          <w:rtl/>
        </w:rPr>
        <w:t>ليكون أحد أكثر النماذج استخدامًا في قياس جودة الخدمة، وحدد من خلاله خمسة أبعاد رئيسة هي: الملموسية، والموثوقية، والاستجابة، والضمان، والتعاطف. ورغم أن هذا النموذج طُبّق في قطاعات خدمية متعددة، فإن أبعاده اكتسبت أهمية خاصة في قطاع التأمين الصحي، حيث تتصدر الموثوقية والاستجابة والوضوح قائمة المحددات التي تشكل الحكم العام للمستفيد على جودة الخدمة</w:t>
      </w:r>
      <w:r w:rsidRPr="00835922">
        <w:rPr>
          <w:rFonts w:ascii="Simplified Arabic" w:eastAsia="Times New Roman" w:hAnsi="Simplified Arabic" w:cs="Simplified Arabic"/>
          <w:color w:val="1A1A1A"/>
          <w:sz w:val="28"/>
          <w:szCs w:val="28"/>
        </w:rPr>
        <w:t>.</w:t>
      </w:r>
    </w:p>
    <w:p w14:paraId="0A1B5108" w14:textId="77777777" w:rsidR="00835922" w:rsidRPr="00835922" w:rsidRDefault="00835922" w:rsidP="00835922">
      <w:pPr>
        <w:rPr>
          <w:rFonts w:ascii="Simplified Arabic" w:eastAsia="Times New Roman" w:hAnsi="Simplified Arabic" w:cs="Simplified Arabic"/>
          <w:color w:val="1A1A1A"/>
          <w:sz w:val="28"/>
          <w:szCs w:val="28"/>
        </w:rPr>
      </w:pPr>
      <w:r w:rsidRPr="00835922">
        <w:rPr>
          <w:rFonts w:ascii="Simplified Arabic" w:eastAsia="Times New Roman" w:hAnsi="Simplified Arabic" w:cs="Simplified Arabic"/>
          <w:color w:val="1A1A1A"/>
          <w:sz w:val="28"/>
          <w:szCs w:val="28"/>
          <w:rtl/>
        </w:rPr>
        <w:t xml:space="preserve">وفي السياق الصحي والتأميني، تتصل جودة الخدمة على نحو مباشر بجودة المعلومات المتاحة لدى شركة التأمين. فكلما كانت البيانات الصحية والتأمينية الخاصة بالمستفيد دقيقة ومكتملة ومحدثة، استطاعت </w:t>
      </w:r>
      <w:r w:rsidRPr="00835922">
        <w:rPr>
          <w:rFonts w:ascii="Simplified Arabic" w:eastAsia="Times New Roman" w:hAnsi="Simplified Arabic" w:cs="Simplified Arabic"/>
          <w:color w:val="1A1A1A"/>
          <w:sz w:val="28"/>
          <w:szCs w:val="28"/>
          <w:rtl/>
        </w:rPr>
        <w:lastRenderedPageBreak/>
        <w:t>الشركة أن تقدم خدمة أكثر اتساقًا وأقل عرضة للالتباس أو التأخير أو التناقض في القرار. ولهذا، فإن الموثوقية، بوصفها أحد أهم أبعاد الجودة، لا تنفصل عن جودة الملف الإلكتروني للمريض ولا عن مستوى حوكمته. وقد بينت دراسة</w:t>
      </w:r>
      <w:r w:rsidRPr="00835922">
        <w:rPr>
          <w:rFonts w:ascii="Simplified Arabic" w:eastAsia="Times New Roman" w:hAnsi="Simplified Arabic" w:cs="Simplified Arabic"/>
          <w:color w:val="1A1A1A"/>
          <w:sz w:val="28"/>
          <w:szCs w:val="28"/>
        </w:rPr>
        <w:t xml:space="preserve"> Lim and Tang (2000) </w:t>
      </w:r>
      <w:r w:rsidRPr="00835922">
        <w:rPr>
          <w:rFonts w:ascii="Simplified Arabic" w:eastAsia="Times New Roman" w:hAnsi="Simplified Arabic" w:cs="Simplified Arabic"/>
          <w:color w:val="1A1A1A"/>
          <w:sz w:val="28"/>
          <w:szCs w:val="28"/>
          <w:rtl/>
        </w:rPr>
        <w:t>أن الاتساق والدقة وسرعة الاستجابة من أهم محددات جودة الخدمة في المؤسسات الصحية، وهي محددات تتأثر بصورة جوهرية بمدى توافر المعلومات الصحيحة في الوقت المناسب. ومن ثم، فإن حوكمة الملف الإلكتروني تمثل أساسًا غير مباشر ولكن حاسمًا في بناء جودة الخدمة التأمينية وتحسينها</w:t>
      </w:r>
      <w:r w:rsidRPr="00835922">
        <w:rPr>
          <w:rFonts w:ascii="Simplified Arabic" w:eastAsia="Times New Roman" w:hAnsi="Simplified Arabic" w:cs="Simplified Arabic"/>
          <w:color w:val="1A1A1A"/>
          <w:sz w:val="28"/>
          <w:szCs w:val="28"/>
        </w:rPr>
        <w:t>.</w:t>
      </w:r>
    </w:p>
    <w:p w14:paraId="55004CF0" w14:textId="77777777" w:rsidR="00835922" w:rsidRPr="00835922" w:rsidRDefault="00835922" w:rsidP="00835922">
      <w:pPr>
        <w:rPr>
          <w:rFonts w:ascii="Simplified Arabic" w:eastAsia="Times New Roman" w:hAnsi="Simplified Arabic" w:cs="Simplified Arabic"/>
          <w:color w:val="1A1A1A"/>
          <w:sz w:val="28"/>
          <w:szCs w:val="28"/>
        </w:rPr>
      </w:pPr>
      <w:r w:rsidRPr="00835922">
        <w:rPr>
          <w:rFonts w:ascii="Simplified Arabic" w:eastAsia="Times New Roman" w:hAnsi="Simplified Arabic" w:cs="Simplified Arabic"/>
          <w:color w:val="1A1A1A"/>
          <w:sz w:val="28"/>
          <w:szCs w:val="28"/>
          <w:rtl/>
        </w:rPr>
        <w:t>أما فاعلية اتخاذ القرار التأميني، فهي تمثل بعدًا محوريًا في الأداء المؤسسي لشركات التأمين الصحي، لأن جوهر عمل هذه الشركات يقوم على اتخاذ قرارات متكررة ومؤثرة تتعلق بالموافقة على المطالبات، أو رفضها، أو طلب مستندات إضافية، أو تحديد التغطية، أو تقييم الضرورة الطبية، أو رصد الحالات التي تتطلب مراجعة خاصة. ولا يمكن النظر إلى القرار التأميني الفعال بوصفه قرارًا سريعًا فقط، بل يجب أن يكون قرارًا موضوعيًا، ومتسقًا، وقابلًا للتبرير، ومستندًا إلى معلومات موثوقة وكافية. وهذا ما يجعل العلاقة بين فاعلية القرار وبين جودة الملف الإلكتروني للمريض علاقة عضوية، لأن القرار التأميني الجيد يتوقف على توفر تاريخ طبي واضح، وتشخيصات دقيقة، وخطط علاجية موثقة، وسجلات يمكن الرجوع إليها والتحقق منها</w:t>
      </w:r>
      <w:r w:rsidRPr="00835922">
        <w:rPr>
          <w:rFonts w:ascii="Simplified Arabic" w:eastAsia="Times New Roman" w:hAnsi="Simplified Arabic" w:cs="Simplified Arabic"/>
          <w:color w:val="1A1A1A"/>
          <w:sz w:val="28"/>
          <w:szCs w:val="28"/>
        </w:rPr>
        <w:t xml:space="preserve"> (Jiang et al., 2017).</w:t>
      </w:r>
    </w:p>
    <w:p w14:paraId="03CBD462" w14:textId="6820F6FD" w:rsidR="00835922" w:rsidRDefault="00835922" w:rsidP="00835922">
      <w:pPr>
        <w:rPr>
          <w:rFonts w:ascii="Simplified Arabic" w:eastAsia="Times New Roman" w:hAnsi="Simplified Arabic" w:cs="Simplified Arabic"/>
          <w:color w:val="1A1A1A"/>
          <w:sz w:val="28"/>
          <w:szCs w:val="28"/>
          <w:rtl/>
        </w:rPr>
      </w:pPr>
      <w:r w:rsidRPr="00835922">
        <w:rPr>
          <w:rFonts w:ascii="Simplified Arabic" w:eastAsia="Times New Roman" w:hAnsi="Simplified Arabic" w:cs="Simplified Arabic"/>
          <w:color w:val="1A1A1A"/>
          <w:sz w:val="28"/>
          <w:szCs w:val="28"/>
          <w:rtl/>
        </w:rPr>
        <w:t>وتزداد أهمية هذا البعد في البيئات التي يتوسع فيها استخدام المراجعات الطبية المسبقة والموافقات التأمينية الإلكترونية، كما هو الحال في السوق السعودية، حيث يتطلب كثير من القرارات التأمينية الرجوع إلى بيانات سريرية وإدارية مفصلة ومترابطة. وكلما كانت هذه البيانات أكثر دقة وأمانًا وتكاملًا، ارتفعت قدرة الشركة على إصدار قرار صحيح في الوقت المناسب، وانخفضت احتمالات الطعون أو النزاعات أو القرارات غير العادلة. ومن هذا المنطلق، يمكن فهم ما ذكرته الأدبيات من أن النظم الصحية الرقمية لا ترفع فقط كفاءة الإجراءات، بل تسهم أيضًا في تحسين نوعية القرارات داخل المؤسسات الصحية والتأمينية حين تكون البيانات المتاحة ذات جودة عالية ومحوكمة بصرامة</w:t>
      </w:r>
      <w:r w:rsidRPr="00835922">
        <w:rPr>
          <w:rFonts w:ascii="Simplified Arabic" w:eastAsia="Times New Roman" w:hAnsi="Simplified Arabic" w:cs="Simplified Arabic"/>
          <w:color w:val="1A1A1A"/>
          <w:sz w:val="28"/>
          <w:szCs w:val="28"/>
        </w:rPr>
        <w:t xml:space="preserve"> (Alotaibi &amp; Federico, 2020).</w:t>
      </w:r>
    </w:p>
    <w:p w14:paraId="2B783AD9" w14:textId="77777777" w:rsidR="0035392D" w:rsidRPr="00635161" w:rsidRDefault="0035392D" w:rsidP="007F1B41">
      <w:pPr>
        <w:rPr>
          <w:rFonts w:ascii="Simplified Arabic" w:hAnsi="Simplified Arabic" w:cs="Simplified Arabic"/>
          <w:sz w:val="28"/>
          <w:szCs w:val="28"/>
        </w:rPr>
      </w:pPr>
    </w:p>
    <w:p w14:paraId="3E765912" w14:textId="77777777" w:rsidR="0035392D" w:rsidRPr="00635161" w:rsidRDefault="0035392D" w:rsidP="00437AE9">
      <w:pPr>
        <w:pStyle w:val="Heading2"/>
      </w:pPr>
      <w:bookmarkStart w:id="26" w:name="_Toc224661479"/>
      <w:r w:rsidRPr="00635161">
        <w:rPr>
          <w:rtl/>
        </w:rPr>
        <w:t>2.3.4  كفاءة التكاليف ورضا المستفيدين: أثران متشابكان</w:t>
      </w:r>
      <w:bookmarkEnd w:id="26"/>
    </w:p>
    <w:p w14:paraId="59B6B818" w14:textId="77777777" w:rsidR="00C247DE" w:rsidRPr="00C247DE" w:rsidRDefault="00C247DE" w:rsidP="00C247DE">
      <w:pPr>
        <w:rPr>
          <w:rFonts w:ascii="Simplified Arabic" w:eastAsia="Times New Roman" w:hAnsi="Simplified Arabic" w:cs="Simplified Arabic"/>
          <w:color w:val="1A1A1A"/>
          <w:sz w:val="28"/>
          <w:szCs w:val="28"/>
        </w:rPr>
      </w:pPr>
      <w:r w:rsidRPr="00C247DE">
        <w:rPr>
          <w:rFonts w:ascii="Simplified Arabic" w:eastAsia="Times New Roman" w:hAnsi="Simplified Arabic" w:cs="Simplified Arabic"/>
          <w:color w:val="1A1A1A"/>
          <w:sz w:val="28"/>
          <w:szCs w:val="28"/>
          <w:rtl/>
        </w:rPr>
        <w:t xml:space="preserve">يمثل مؤشر كفاءة إدارة التكاليف أحد أكثر المؤشرات حساسية وأهمية في شركات التأمين الصحي، لأنه يرتبط مباشرة بقدرة الشركة على تحقيق الاستدامة المالية، وضبط الإنفاق، وتقليل الهدر، وتحسين استخدام الموارد. ولا تقتصر كفاءة التكاليف على تخفيض النفقات بصورة مجردة، بل تعني قدرة المؤسسة على التمييز بين التكلفة المبررة وغير المبررة، وكشف أوجه التكرار أو الازدواجية أو الاحتيال، وتوجيه الإنفاق نحو المجالات ذات القيمة الحقيقية للمستفيد والمنظومة الصحية. وفي هذا السياق، ترتبط كفاءة التكاليف ارتباطًا وثيقًا بجودة البيانات الصحية والإدارية المتاحة للشركة، لأن غياب البيانات الدقيقة أو تكاملها </w:t>
      </w:r>
      <w:r w:rsidRPr="00C247DE">
        <w:rPr>
          <w:rFonts w:ascii="Simplified Arabic" w:eastAsia="Times New Roman" w:hAnsi="Simplified Arabic" w:cs="Simplified Arabic"/>
          <w:color w:val="1A1A1A"/>
          <w:sz w:val="28"/>
          <w:szCs w:val="28"/>
          <w:rtl/>
        </w:rPr>
        <w:lastRenderedPageBreak/>
        <w:t>المحدود يؤدي إلى تكرار الإجراءات، وإطالة زمن المراجعة، وصعوبة التحقق من الاستحقاق، وهو ما يرفع كلفة التشغيل ويزيد احتمالات الهدر</w:t>
      </w:r>
      <w:r w:rsidRPr="00C247DE">
        <w:rPr>
          <w:rFonts w:ascii="Simplified Arabic" w:eastAsia="Times New Roman" w:hAnsi="Simplified Arabic" w:cs="Simplified Arabic"/>
          <w:color w:val="1A1A1A"/>
          <w:sz w:val="28"/>
          <w:szCs w:val="28"/>
        </w:rPr>
        <w:t>.</w:t>
      </w:r>
    </w:p>
    <w:p w14:paraId="51C14802" w14:textId="77777777" w:rsidR="00C247DE" w:rsidRPr="00C247DE" w:rsidRDefault="00C247DE" w:rsidP="00C247DE">
      <w:pPr>
        <w:rPr>
          <w:rFonts w:ascii="Simplified Arabic" w:eastAsia="Times New Roman" w:hAnsi="Simplified Arabic" w:cs="Simplified Arabic"/>
          <w:color w:val="1A1A1A"/>
          <w:sz w:val="28"/>
          <w:szCs w:val="28"/>
        </w:rPr>
      </w:pPr>
      <w:r w:rsidRPr="00C247DE">
        <w:rPr>
          <w:rFonts w:ascii="Simplified Arabic" w:eastAsia="Times New Roman" w:hAnsi="Simplified Arabic" w:cs="Simplified Arabic"/>
          <w:color w:val="1A1A1A"/>
          <w:sz w:val="28"/>
          <w:szCs w:val="28"/>
          <w:rtl/>
        </w:rPr>
        <w:t>وقد أوضحت الأدبيات الدولية أن جانبًا من التضخم في تكاليف الرعاية الصحية يعود إلى ضعف التنسيق المعلوماتي بين الجهات الصحية والتأمينية، وإلى تكرار الفحوصات والإجراءات الناتج عن عدم توافر سجل صحي موحد ومتكامل للمريض</w:t>
      </w:r>
      <w:r w:rsidRPr="00C247DE">
        <w:rPr>
          <w:rFonts w:ascii="Simplified Arabic" w:eastAsia="Times New Roman" w:hAnsi="Simplified Arabic" w:cs="Simplified Arabic"/>
          <w:color w:val="1A1A1A"/>
          <w:sz w:val="28"/>
          <w:szCs w:val="28"/>
        </w:rPr>
        <w:t xml:space="preserve"> (Hillestad et al., 2005). </w:t>
      </w:r>
      <w:r w:rsidRPr="00C247DE">
        <w:rPr>
          <w:rFonts w:ascii="Simplified Arabic" w:eastAsia="Times New Roman" w:hAnsi="Simplified Arabic" w:cs="Simplified Arabic"/>
          <w:color w:val="1A1A1A"/>
          <w:sz w:val="28"/>
          <w:szCs w:val="28"/>
          <w:rtl/>
        </w:rPr>
        <w:t>كما أن نظم الملف الإلكتروني المتكاملة، عندما تُدار بصورة جيدة، يمكن أن تسهم في الحد من هذه المشكلات عبر إتاحة تاريخ علاجي أوضح، وتقليل الحاجة إلى إعادة الإجراءات، وتمكين شركات التأمين من التحقق بصورة أسرع وأكثر دقة من المطالبات والخدمات المقدمة. ومن هنا، فإن حوكمة الملف الإلكتروني للمريض لا تمثل فقط دعمًا للإجراءات، بل تمثل أيضًا أداة مؤثرة في ضبط التكاليف وتحسين الكفاءة الاقتصادية للمؤسسة</w:t>
      </w:r>
      <w:r w:rsidRPr="00C247DE">
        <w:rPr>
          <w:rFonts w:ascii="Simplified Arabic" w:eastAsia="Times New Roman" w:hAnsi="Simplified Arabic" w:cs="Simplified Arabic"/>
          <w:color w:val="1A1A1A"/>
          <w:sz w:val="28"/>
          <w:szCs w:val="28"/>
        </w:rPr>
        <w:t>.</w:t>
      </w:r>
    </w:p>
    <w:p w14:paraId="7EF46604" w14:textId="77777777" w:rsidR="00C247DE" w:rsidRPr="00C247DE" w:rsidRDefault="00C247DE" w:rsidP="00C247DE">
      <w:pPr>
        <w:rPr>
          <w:rFonts w:ascii="Simplified Arabic" w:eastAsia="Times New Roman" w:hAnsi="Simplified Arabic" w:cs="Simplified Arabic"/>
          <w:color w:val="1A1A1A"/>
          <w:sz w:val="28"/>
          <w:szCs w:val="28"/>
        </w:rPr>
      </w:pPr>
      <w:r w:rsidRPr="00C247DE">
        <w:rPr>
          <w:rFonts w:ascii="Simplified Arabic" w:eastAsia="Times New Roman" w:hAnsi="Simplified Arabic" w:cs="Simplified Arabic"/>
          <w:color w:val="1A1A1A"/>
          <w:sz w:val="28"/>
          <w:szCs w:val="28"/>
          <w:rtl/>
        </w:rPr>
        <w:t>أما رضا المستفيدين، فهو من أكثر مؤشرات الأداء المؤسسي شمولًا وتعقيدًا، لأنه يجسد المحصلة النهائية لتفاعل المستفيد مع جميع عناصر الخدمة التأمينية تقريبًا. ولا يرتبط رضا المستفيد فقط بنجاح الشركة في تقديم تغطية تأمينية مناسبة، بل أيضًا بسرعة البت في المطالبات، ووضوح الإجراءات، وشفافية القرار، وسهولة الحصول على المعلومة، وعدالة المعاملة، والقدرة على تقليل التوتر وعدم اليقين المرتبطين بالخدمة الصحية والتأمينية. وقد طرح</w:t>
      </w:r>
      <w:r w:rsidRPr="00C247DE">
        <w:rPr>
          <w:rFonts w:ascii="Simplified Arabic" w:eastAsia="Times New Roman" w:hAnsi="Simplified Arabic" w:cs="Simplified Arabic"/>
          <w:color w:val="1A1A1A"/>
          <w:sz w:val="28"/>
          <w:szCs w:val="28"/>
        </w:rPr>
        <w:t xml:space="preserve"> Oliver (1999) </w:t>
      </w:r>
      <w:r w:rsidRPr="00C247DE">
        <w:rPr>
          <w:rFonts w:ascii="Simplified Arabic" w:eastAsia="Times New Roman" w:hAnsi="Simplified Arabic" w:cs="Simplified Arabic"/>
          <w:color w:val="1A1A1A"/>
          <w:sz w:val="28"/>
          <w:szCs w:val="28"/>
          <w:rtl/>
        </w:rPr>
        <w:t>تصورًا نظريًا يربط الرضا بدرجة تطابق الأداء الفعلي مع التوقعات السابقة للمستفيد، وهو تصور ينطبق بوضوح على قطاع التأمين الصحي، حيث تتشكل التوقعات حول سرعة الموافقة، ودقة التغطية، ووضوح التواصل، واستمرارية الخدمة</w:t>
      </w:r>
      <w:r w:rsidRPr="00C247DE">
        <w:rPr>
          <w:rFonts w:ascii="Simplified Arabic" w:eastAsia="Times New Roman" w:hAnsi="Simplified Arabic" w:cs="Simplified Arabic"/>
          <w:color w:val="1A1A1A"/>
          <w:sz w:val="28"/>
          <w:szCs w:val="28"/>
        </w:rPr>
        <w:t>.</w:t>
      </w:r>
    </w:p>
    <w:p w14:paraId="00FA99DF" w14:textId="77777777" w:rsidR="00C247DE" w:rsidRPr="00C247DE" w:rsidRDefault="00C247DE" w:rsidP="00C247DE">
      <w:pPr>
        <w:rPr>
          <w:rFonts w:ascii="Simplified Arabic" w:eastAsia="Times New Roman" w:hAnsi="Simplified Arabic" w:cs="Simplified Arabic"/>
          <w:color w:val="1A1A1A"/>
          <w:sz w:val="28"/>
          <w:szCs w:val="28"/>
        </w:rPr>
      </w:pPr>
      <w:r w:rsidRPr="00C247DE">
        <w:rPr>
          <w:rFonts w:ascii="Simplified Arabic" w:eastAsia="Times New Roman" w:hAnsi="Simplified Arabic" w:cs="Simplified Arabic"/>
          <w:color w:val="1A1A1A"/>
          <w:sz w:val="28"/>
          <w:szCs w:val="28"/>
          <w:rtl/>
        </w:rPr>
        <w:t>وفي هذا السياق، ترتبط علاقة الرضا بجودة الملف الإلكتروني للمريض على نحو غير مباشر ولكنه مؤثر. فحين تكون بيانات المستفيد مكتملة وواضحة ومتاحة في الوقت المناسب، تصبح قرارات الشركة أسرع وأكثر دقة، وتقل الحاجة إلى طلبات متكررة للمستندات أو إلى تأخير غير مبرر في البت في المطالبات، وهو ما ينعكس إيجابًا على تجربة المستفيد وثقته في الشركة. كما أن وضوح البيانات وموثوقيتها يقللان من احتمالات التناقض في الخدمة أو المفاجآت المرتبطة بالتغطية أو الرفض، وهي أمور تمثل من أكثر أسباب الاستياء شيوعًا في قطاع التأمين الصحي. وقد أكدت دراسة</w:t>
      </w:r>
      <w:r w:rsidRPr="00C247DE">
        <w:rPr>
          <w:rFonts w:ascii="Simplified Arabic" w:eastAsia="Times New Roman" w:hAnsi="Simplified Arabic" w:cs="Simplified Arabic"/>
          <w:color w:val="1A1A1A"/>
          <w:sz w:val="28"/>
          <w:szCs w:val="28"/>
        </w:rPr>
        <w:t xml:space="preserve"> Lim and Tang (2000) </w:t>
      </w:r>
      <w:r w:rsidRPr="00C247DE">
        <w:rPr>
          <w:rFonts w:ascii="Simplified Arabic" w:eastAsia="Times New Roman" w:hAnsi="Simplified Arabic" w:cs="Simplified Arabic"/>
          <w:color w:val="1A1A1A"/>
          <w:sz w:val="28"/>
          <w:szCs w:val="28"/>
          <w:rtl/>
        </w:rPr>
        <w:t>أن جودة التواصل وسرعة الاستجابة والموثوقية تعد من المكونات الجوهرية في بناء الرضا في المؤسسات الصحية، وهي مكونات تتأثر في السياق التأميني بجودة المعلومات ودرجة تكاملها وحوكمتها</w:t>
      </w:r>
      <w:r w:rsidRPr="00C247DE">
        <w:rPr>
          <w:rFonts w:ascii="Simplified Arabic" w:eastAsia="Times New Roman" w:hAnsi="Simplified Arabic" w:cs="Simplified Arabic"/>
          <w:color w:val="1A1A1A"/>
          <w:sz w:val="28"/>
          <w:szCs w:val="28"/>
        </w:rPr>
        <w:t>.</w:t>
      </w:r>
    </w:p>
    <w:p w14:paraId="32F1120E" w14:textId="56B7B7DC" w:rsidR="00C247DE" w:rsidRPr="00C247DE" w:rsidRDefault="00C247DE" w:rsidP="00C247DE">
      <w:pPr>
        <w:rPr>
          <w:rFonts w:ascii="Simplified Arabic" w:eastAsia="Times New Roman" w:hAnsi="Simplified Arabic" w:cs="Simplified Arabic"/>
          <w:color w:val="1A1A1A"/>
          <w:sz w:val="28"/>
          <w:szCs w:val="28"/>
          <w:rtl/>
        </w:rPr>
      </w:pPr>
      <w:r w:rsidRPr="00C247DE">
        <w:rPr>
          <w:rFonts w:ascii="Simplified Arabic" w:eastAsia="Times New Roman" w:hAnsi="Simplified Arabic" w:cs="Simplified Arabic"/>
          <w:color w:val="1A1A1A"/>
          <w:sz w:val="28"/>
          <w:szCs w:val="28"/>
          <w:rtl/>
        </w:rPr>
        <w:t>ومن ثم، فإن كفاءة إدارة التكاليف ورضا المستفيدين لا ينبغي النظر إليهما بوصفهما بعدين منفصلين تمامًا، بل بوصفهما أثرين متشابكين يتأثران بالبيئة المعلوماتية ذاتها. فالمؤسسة التي تدير بياناتها الصحية والتأمينية بصورة محكمة تكون أقدر على تقليل الهدر والتكلفة غير الضرورية، وفي الوقت نفسه أقدر على تحسين سرعة الاستجابة ودقة القرار ووضوح الخدمة، وهو ما يرفع رضا المستفيدين. وبذلك، فإن حوكمة الملف الإلكتروني للمريض تمثل نقطة التقاء مهمة بين البعد الاقتصادي والبعد الخدمي في الأداء المؤسسي لشركات التأمين الصحي</w:t>
      </w:r>
      <w:r w:rsidRPr="00C247DE">
        <w:rPr>
          <w:rFonts w:ascii="Simplified Arabic" w:eastAsia="Times New Roman" w:hAnsi="Simplified Arabic" w:cs="Simplified Arabic"/>
          <w:color w:val="1A1A1A"/>
          <w:sz w:val="28"/>
          <w:szCs w:val="28"/>
        </w:rPr>
        <w:t>.</w:t>
      </w:r>
    </w:p>
    <w:p w14:paraId="29F27DE3" w14:textId="77777777" w:rsidR="0035392D" w:rsidRPr="00635161" w:rsidRDefault="0035392D" w:rsidP="00437AE9">
      <w:pPr>
        <w:pStyle w:val="Heading2"/>
      </w:pPr>
      <w:bookmarkStart w:id="27" w:name="_Toc224661480"/>
      <w:r w:rsidRPr="00635161">
        <w:rPr>
          <w:rtl/>
        </w:rPr>
        <w:lastRenderedPageBreak/>
        <w:t>2.3.5  ربط المتغير التابع بالمتغير المستقل: منطق العلاقة السببية</w:t>
      </w:r>
      <w:bookmarkEnd w:id="27"/>
    </w:p>
    <w:p w14:paraId="22ACA0A8" w14:textId="77777777" w:rsidR="0068333D" w:rsidRPr="0068333D" w:rsidRDefault="0068333D" w:rsidP="0068333D">
      <w:pPr>
        <w:rPr>
          <w:rFonts w:ascii="Simplified Arabic" w:eastAsia="Times New Roman" w:hAnsi="Simplified Arabic" w:cs="Simplified Arabic"/>
          <w:color w:val="1A1A1A"/>
          <w:sz w:val="28"/>
          <w:szCs w:val="28"/>
        </w:rPr>
      </w:pPr>
      <w:r w:rsidRPr="0068333D">
        <w:rPr>
          <w:rFonts w:ascii="Simplified Arabic" w:eastAsia="Times New Roman" w:hAnsi="Simplified Arabic" w:cs="Simplified Arabic"/>
          <w:color w:val="1A1A1A"/>
          <w:sz w:val="28"/>
          <w:szCs w:val="28"/>
          <w:rtl/>
        </w:rPr>
        <w:t>يكشف استعراض مؤشرات الأداء والفاعلية المؤسسية السابقة أن القاسم المشترك بينها جميعًا يتمثل في اعتمادها بدرجات متفاوتة على جودة البيانات التي تستند إليها شركة التأمين الصحي في تشغيل عملياتها واتخاذ قراراتها. فالكفاءة التشغيلية تتأثر بسرعة تدفق البيانات ودقتها، وجودة الخدمة تتأثر بموثوقية المعلومات ووضوحها، وفاعلية اتخاذ القرار ترتبط مباشرة بسلامة البيانات وتمامها، وكفاءة إدارة التكاليف تعتمد على القدرة على كشف الهدر والازدواجية من خلال المعلومات المتاحة، كما أن رضا المستفيدين يتأثر بنتائج هذه العمليات مجتمعة. ومن ثم، فإن العلاقة بين المتغير التابع في هذه الدراسة، وهو الأداء والفاعلية المؤسسية، وبين المتغير المستقل، وهو حوكمة الملف الإلكتروني للمريض، ليست علاقة عرضية أو افتراضية مجردة، بل هي علاقة منطقية مؤسسة نظريًا على طبيعة عمل شركات التأمين الصحي ذاتها</w:t>
      </w:r>
      <w:r w:rsidRPr="0068333D">
        <w:rPr>
          <w:rFonts w:ascii="Simplified Arabic" w:eastAsia="Times New Roman" w:hAnsi="Simplified Arabic" w:cs="Simplified Arabic"/>
          <w:color w:val="1A1A1A"/>
          <w:sz w:val="28"/>
          <w:szCs w:val="28"/>
        </w:rPr>
        <w:t>.</w:t>
      </w:r>
    </w:p>
    <w:p w14:paraId="539C169C" w14:textId="77777777" w:rsidR="0068333D" w:rsidRPr="0068333D" w:rsidRDefault="0068333D" w:rsidP="0068333D">
      <w:pPr>
        <w:rPr>
          <w:rFonts w:ascii="Simplified Arabic" w:eastAsia="Times New Roman" w:hAnsi="Simplified Arabic" w:cs="Simplified Arabic"/>
          <w:color w:val="1A1A1A"/>
          <w:sz w:val="28"/>
          <w:szCs w:val="28"/>
        </w:rPr>
      </w:pPr>
      <w:r w:rsidRPr="0068333D">
        <w:rPr>
          <w:rFonts w:ascii="Simplified Arabic" w:eastAsia="Times New Roman" w:hAnsi="Simplified Arabic" w:cs="Simplified Arabic"/>
          <w:color w:val="1A1A1A"/>
          <w:sz w:val="28"/>
          <w:szCs w:val="28"/>
          <w:rtl/>
        </w:rPr>
        <w:t>فإذا كانت حوكمة الملف الإلكتروني للمريض تعني ضمان دقة البيانات، وأمنها، وامتثالها، وإتاحتها، وقابليتها للتتبع والمساءلة، فإن من الطبيعي أن ينعكس تحسن هذه الجوانب في صورة تحسن في الأداء المؤسسي، لأن المؤسسة ستعمل حينئذٍ ضمن بيئة معلوماتية أكثر انضباطًا وموثوقية وقدرة على دعم القرار. أما إذا كانت الحوكمة ضعيفة، فإن البيانات قد تصبح ناقصة أو متناقضة أو بطيئة الوصول أو عرضة للأخطاء وسوء الاستخدام، وهو ما ينعكس سلبًا على جميع مؤشرات الأداء تقريبًا. وهذا المنطق ينسجم مع ما طرحته الأدبيات في مجالات حوكمة البيانات وإدارة النظم الصحية، التي أكدت أن جودة البيئة البيانية تمثل محددًا رئيسًا من محددات جودة الأداء المؤسسي في المؤسسات المعتمدة على المعلومات</w:t>
      </w:r>
      <w:r w:rsidRPr="0068333D">
        <w:rPr>
          <w:rFonts w:ascii="Simplified Arabic" w:eastAsia="Times New Roman" w:hAnsi="Simplified Arabic" w:cs="Simplified Arabic"/>
          <w:color w:val="1A1A1A"/>
          <w:sz w:val="28"/>
          <w:szCs w:val="28"/>
        </w:rPr>
        <w:t xml:space="preserve"> (Weill &amp; Ross, 2004; DAMA International, 2017).</w:t>
      </w:r>
    </w:p>
    <w:p w14:paraId="261C46C0" w14:textId="77777777" w:rsidR="0068333D" w:rsidRPr="0068333D" w:rsidRDefault="0068333D" w:rsidP="0068333D">
      <w:pPr>
        <w:rPr>
          <w:rFonts w:ascii="Simplified Arabic" w:eastAsia="Times New Roman" w:hAnsi="Simplified Arabic" w:cs="Simplified Arabic"/>
          <w:color w:val="1A1A1A"/>
          <w:sz w:val="28"/>
          <w:szCs w:val="28"/>
        </w:rPr>
      </w:pPr>
      <w:r w:rsidRPr="0068333D">
        <w:rPr>
          <w:rFonts w:ascii="Simplified Arabic" w:eastAsia="Times New Roman" w:hAnsi="Simplified Arabic" w:cs="Simplified Arabic"/>
          <w:color w:val="1A1A1A"/>
          <w:sz w:val="28"/>
          <w:szCs w:val="28"/>
          <w:rtl/>
        </w:rPr>
        <w:t>وقد دعمت بعض الدراسات السابقة أجزاءً من هذه العلاقة، حتى وإن لم تتناولها جميعًا في إطار واحد أو داخل السياق السعودي تحديدًا. فقد بينت دراسة</w:t>
      </w:r>
      <w:r w:rsidRPr="0068333D">
        <w:rPr>
          <w:rFonts w:ascii="Simplified Arabic" w:eastAsia="Times New Roman" w:hAnsi="Simplified Arabic" w:cs="Simplified Arabic"/>
          <w:color w:val="1A1A1A"/>
          <w:sz w:val="28"/>
          <w:szCs w:val="28"/>
        </w:rPr>
        <w:t xml:space="preserve"> Menachemi and Collum (2011) </w:t>
      </w:r>
      <w:r w:rsidRPr="0068333D">
        <w:rPr>
          <w:rFonts w:ascii="Simplified Arabic" w:eastAsia="Times New Roman" w:hAnsi="Simplified Arabic" w:cs="Simplified Arabic"/>
          <w:color w:val="1A1A1A"/>
          <w:sz w:val="28"/>
          <w:szCs w:val="28"/>
          <w:rtl/>
        </w:rPr>
        <w:t>أن تبني أنظمة الملف الإلكتروني يسهم في تحسين جودة المعلومات الإدارية والطبية، بما ينعكس في رفع كفاءة العمليات داخل المؤسسات الصحية. كما أشارت دراسة</w:t>
      </w:r>
      <w:r w:rsidRPr="0068333D">
        <w:rPr>
          <w:rFonts w:ascii="Simplified Arabic" w:eastAsia="Times New Roman" w:hAnsi="Simplified Arabic" w:cs="Simplified Arabic"/>
          <w:color w:val="1A1A1A"/>
          <w:sz w:val="28"/>
          <w:szCs w:val="28"/>
        </w:rPr>
        <w:t xml:space="preserve"> Kruse et al. (2018) </w:t>
      </w:r>
      <w:r w:rsidRPr="0068333D">
        <w:rPr>
          <w:rFonts w:ascii="Simplified Arabic" w:eastAsia="Times New Roman" w:hAnsi="Simplified Arabic" w:cs="Simplified Arabic"/>
          <w:color w:val="1A1A1A"/>
          <w:sz w:val="28"/>
          <w:szCs w:val="28"/>
          <w:rtl/>
        </w:rPr>
        <w:t>إلى أن فاعلية أنظمة المعلومات الصحية ترتبط بمستوى الحوكمة والتنظيم الذي يحكم تشغيلها. وخلصت دراسة</w:t>
      </w:r>
      <w:r w:rsidRPr="0068333D">
        <w:rPr>
          <w:rFonts w:ascii="Simplified Arabic" w:eastAsia="Times New Roman" w:hAnsi="Simplified Arabic" w:cs="Simplified Arabic"/>
          <w:color w:val="1A1A1A"/>
          <w:sz w:val="28"/>
          <w:szCs w:val="28"/>
        </w:rPr>
        <w:t xml:space="preserve"> Jiang et al. (2017) </w:t>
      </w:r>
      <w:r w:rsidRPr="0068333D">
        <w:rPr>
          <w:rFonts w:ascii="Simplified Arabic" w:eastAsia="Times New Roman" w:hAnsi="Simplified Arabic" w:cs="Simplified Arabic"/>
          <w:color w:val="1A1A1A"/>
          <w:sz w:val="28"/>
          <w:szCs w:val="28"/>
          <w:rtl/>
        </w:rPr>
        <w:t>إلى وجود ارتباط إيجابي بين جودة البيانات وسرعة معالجة المطالبات التأمينية، في حين أوضحت دراسة</w:t>
      </w:r>
      <w:r w:rsidRPr="0068333D">
        <w:rPr>
          <w:rFonts w:ascii="Simplified Arabic" w:eastAsia="Times New Roman" w:hAnsi="Simplified Arabic" w:cs="Simplified Arabic"/>
          <w:color w:val="1A1A1A"/>
          <w:sz w:val="28"/>
          <w:szCs w:val="28"/>
        </w:rPr>
        <w:t xml:space="preserve"> Aldossary et al. (2021) </w:t>
      </w:r>
      <w:r w:rsidRPr="0068333D">
        <w:rPr>
          <w:rFonts w:ascii="Simplified Arabic" w:eastAsia="Times New Roman" w:hAnsi="Simplified Arabic" w:cs="Simplified Arabic"/>
          <w:color w:val="1A1A1A"/>
          <w:sz w:val="28"/>
          <w:szCs w:val="28"/>
          <w:rtl/>
        </w:rPr>
        <w:t>أن مشكلات جودة البيانات ترتبط بزيادة المشكلات التشغيلية وارتفاع احتمالات رفض المطالبات. أما</w:t>
      </w:r>
      <w:r w:rsidRPr="0068333D">
        <w:rPr>
          <w:rFonts w:ascii="Simplified Arabic" w:eastAsia="Times New Roman" w:hAnsi="Simplified Arabic" w:cs="Simplified Arabic"/>
          <w:color w:val="1A1A1A"/>
          <w:sz w:val="28"/>
          <w:szCs w:val="28"/>
        </w:rPr>
        <w:t xml:space="preserve"> Tallon (2013)</w:t>
      </w:r>
      <w:r w:rsidRPr="0068333D">
        <w:rPr>
          <w:rFonts w:ascii="Simplified Arabic" w:eastAsia="Times New Roman" w:hAnsi="Simplified Arabic" w:cs="Simplified Arabic"/>
          <w:color w:val="1A1A1A"/>
          <w:sz w:val="28"/>
          <w:szCs w:val="28"/>
          <w:rtl/>
        </w:rPr>
        <w:t>، فقد قدم أساسًا نظريًا مهمًا يربط بين حوكمة تكنولوجيا المعلومات وارتفاع مستوى الأداء المؤسسي في المؤسسات التي تعتمد على البيانات في تشغيل أعمالها واتخاذ قراراتها</w:t>
      </w:r>
      <w:r w:rsidRPr="0068333D">
        <w:rPr>
          <w:rFonts w:ascii="Simplified Arabic" w:eastAsia="Times New Roman" w:hAnsi="Simplified Arabic" w:cs="Simplified Arabic"/>
          <w:color w:val="1A1A1A"/>
          <w:sz w:val="28"/>
          <w:szCs w:val="28"/>
        </w:rPr>
        <w:t>.</w:t>
      </w:r>
    </w:p>
    <w:p w14:paraId="25D2F2B1" w14:textId="77777777" w:rsidR="0068333D" w:rsidRPr="0068333D" w:rsidRDefault="0068333D" w:rsidP="0068333D">
      <w:pPr>
        <w:rPr>
          <w:rFonts w:ascii="Simplified Arabic" w:eastAsia="Times New Roman" w:hAnsi="Simplified Arabic" w:cs="Simplified Arabic"/>
          <w:color w:val="1A1A1A"/>
          <w:sz w:val="28"/>
          <w:szCs w:val="28"/>
        </w:rPr>
      </w:pPr>
      <w:r w:rsidRPr="0068333D">
        <w:rPr>
          <w:rFonts w:ascii="Simplified Arabic" w:eastAsia="Times New Roman" w:hAnsi="Simplified Arabic" w:cs="Simplified Arabic"/>
          <w:color w:val="1A1A1A"/>
          <w:sz w:val="28"/>
          <w:szCs w:val="28"/>
          <w:rtl/>
        </w:rPr>
        <w:t xml:space="preserve">وعلى الرغم من أهمية هذه الدراسات، فإن معظمها تناول العلاقة بين جودة النظم أو حوكمة البيانات والأداء من زوايا جزئية أو في سياقات تختلف عن السياق السعودي أو عن قطاع التأمين الصحي تحديدًا. ومن هنا تنشأ القيمة العلمية للدراسة الحالية، إذ تسعى إلى اختبار هذه العلاقة بصورة مباشرة داخل شركات </w:t>
      </w:r>
      <w:r w:rsidRPr="0068333D">
        <w:rPr>
          <w:rFonts w:ascii="Simplified Arabic" w:eastAsia="Times New Roman" w:hAnsi="Simplified Arabic" w:cs="Simplified Arabic"/>
          <w:color w:val="1A1A1A"/>
          <w:sz w:val="28"/>
          <w:szCs w:val="28"/>
          <w:rtl/>
        </w:rPr>
        <w:lastRenderedPageBreak/>
        <w:t>التأمين الصحي في المملكة العربية السعودية، من خلال فحص أثر حوكمة الملف الإلكتروني للمريض في الأداء والفاعلية المؤسسية اعتمادًا على نموذج تحليلي واضح وأداة كمية ميدانية. وبذلك، فإن الدراسة الحالية لا تكتفي بتبني العلاقة على المستوى النظري، بل تسعى إلى التحقق منها تجريبيًا وإحصائيًا، بما يسهم في سد فجوة قائمة في الأدبيات ذات الصلة</w:t>
      </w:r>
      <w:r w:rsidRPr="0068333D">
        <w:rPr>
          <w:rFonts w:ascii="Simplified Arabic" w:eastAsia="Times New Roman" w:hAnsi="Simplified Arabic" w:cs="Simplified Arabic"/>
          <w:color w:val="1A1A1A"/>
          <w:sz w:val="28"/>
          <w:szCs w:val="28"/>
        </w:rPr>
        <w:t>.</w:t>
      </w:r>
    </w:p>
    <w:p w14:paraId="595BDE7C" w14:textId="6DD9DE38" w:rsidR="00FA6923" w:rsidRPr="00437AE9" w:rsidRDefault="00FA6923" w:rsidP="00437AE9">
      <w:pPr>
        <w:pStyle w:val="Heading1"/>
        <w:rPr>
          <w:rFonts w:ascii="Simplified Arabic" w:hAnsi="Simplified Arabic" w:cs="Simplified Arabic"/>
          <w:b/>
          <w:bCs/>
          <w:color w:val="auto"/>
        </w:rPr>
      </w:pPr>
      <w:bookmarkStart w:id="28" w:name="_Toc224661481"/>
      <w:r w:rsidRPr="00437AE9">
        <w:rPr>
          <w:rFonts w:ascii="Simplified Arabic" w:eastAsia="Times New Roman" w:hAnsi="Simplified Arabic" w:cs="Simplified Arabic"/>
          <w:b/>
          <w:bCs/>
          <w:color w:val="auto"/>
          <w:rtl/>
        </w:rPr>
        <w:t>2.4  الدراسات السابقة</w:t>
      </w:r>
      <w:bookmarkEnd w:id="28"/>
    </w:p>
    <w:p w14:paraId="6DAF5321" w14:textId="77777777"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يهدف هذا القسم إلى استعراض الدراسات السابقة ذات الصلة بموضوع الدراسة الحالية، وذلك من خلال تنظيمها وفق متغيري الدراسة الرئيسين، بما يسهم في بناء خلفية علمية أكثر اتساقًا مع الإطار النظري والنموذج البحثي المعتمد. ويُعد هذا الأسلوب في العرض أكثر ملاءمة من التصنيف الجغرافي أو الزمني وحده، لأنه يربط مباشرة بين الأدبيات السابقة وبين مكونات الدراسة الحالية، ويُبرز طبيعة الإسهام العلمي الذي تسعى إليه. وانطلاقًا من ذلك، جرى تقسيم الدراسات السابقة إلى محورين رئيسين: دراسات تناولت المتغير المستقل، وهو حوكمة الملف الإلكتروني للمريض، ودراسات تناولت المتغير التابع، وهو الأداء والفاعلية المؤسسية في قطاع الرعاية الصحية والتأمين الصحي</w:t>
      </w:r>
      <w:r w:rsidRPr="00C9026E">
        <w:rPr>
          <w:rFonts w:ascii="Simplified Arabic" w:hAnsi="Simplified Arabic" w:cs="Simplified Arabic"/>
          <w:sz w:val="28"/>
          <w:szCs w:val="28"/>
        </w:rPr>
        <w:t>.</w:t>
      </w:r>
    </w:p>
    <w:p w14:paraId="7A150269" w14:textId="77777777" w:rsidR="00C9026E" w:rsidRPr="00C9026E" w:rsidRDefault="00C9026E" w:rsidP="00C9026E">
      <w:pPr>
        <w:ind w:firstLine="0"/>
        <w:rPr>
          <w:rFonts w:ascii="Simplified Arabic" w:hAnsi="Simplified Arabic" w:cs="Simplified Arabic"/>
          <w:b/>
          <w:bCs/>
          <w:sz w:val="28"/>
          <w:szCs w:val="28"/>
        </w:rPr>
      </w:pPr>
      <w:r w:rsidRPr="00C9026E">
        <w:rPr>
          <w:rFonts w:ascii="Simplified Arabic" w:hAnsi="Simplified Arabic" w:cs="Simplified Arabic"/>
          <w:b/>
          <w:bCs/>
          <w:sz w:val="28"/>
          <w:szCs w:val="28"/>
          <w:rtl/>
        </w:rPr>
        <w:t>أولًا: الدراسات التي تناولت المتغير المستقل: حوكمة الملف الإلكتروني للمريض</w:t>
      </w:r>
    </w:p>
    <w:p w14:paraId="12F9E678"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Federico and Alotaibi (2020)</w:t>
      </w:r>
    </w:p>
    <w:p w14:paraId="10F2A289" w14:textId="6EDC42C1"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تحليل أثر تقنيات المعلومات الصحية في الحد من الأخطاء الدوائية وتحسين سلامة المرضى. واعتمدت على مراجعة منهجية للدراسات المرتبطة باستخدام نظم المعلومات الصحية. وأظهرت النتائج أن الأنظمة الصحية الرقمية تساعد في تقليل الأخطاء الطبية وتحسين جودة الرعاية الصحية. وتدعم هذه الدراسة أهمية جودة المعلومات الصحية ودور النظم الرقمية في تحسين المخرجات، وهو ما يتقاطع مع أحد أبعاد حوكمة الملف الإلكتروني للمريض، خاصة من حيث دقة البيانات وسلامتها</w:t>
      </w:r>
      <w:r w:rsidRPr="00C9026E">
        <w:rPr>
          <w:rFonts w:ascii="Simplified Arabic" w:hAnsi="Simplified Arabic" w:cs="Simplified Arabic"/>
          <w:sz w:val="28"/>
          <w:szCs w:val="28"/>
        </w:rPr>
        <w:t>.</w:t>
      </w:r>
    </w:p>
    <w:p w14:paraId="06A00D7B"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Kruse et al. (2018)</w:t>
      </w:r>
    </w:p>
    <w:p w14:paraId="47520DAD" w14:textId="0312E321"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تحديد أبرز التحديات التنظيمية والتقنية التي تواجه تطبيق أنظمة الملف الإلكتروني للمريض. واعتمدت على مسح كمي شمل عددًا من المؤسسات الصحية. وأظهرت النتائج أن القيود المالية وضعف حوكمة البيانات من أبرز العوائق أمام تطبيق الأنظمة الصحية الرقمية بصورة فعالة. وتُعد هذه الدراسة من الدراسات المهمة بالنسبة للدراسة الحالية، لأنها تُبرز الحوكمة بوصفها عاملًا حاسمًا في نجاح النظم الصحية الرقمية، وليس مجرد عنصر تنظيمي ثانوي</w:t>
      </w:r>
      <w:r w:rsidRPr="00C9026E">
        <w:rPr>
          <w:rFonts w:ascii="Simplified Arabic" w:hAnsi="Simplified Arabic" w:cs="Simplified Arabic"/>
          <w:sz w:val="28"/>
          <w:szCs w:val="28"/>
        </w:rPr>
        <w:t>.</w:t>
      </w:r>
    </w:p>
    <w:p w14:paraId="077335A9"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AlSadrah (2020)</w:t>
      </w:r>
    </w:p>
    <w:p w14:paraId="31E3909F" w14:textId="27551E2C"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 xml:space="preserve">هدفت هذه الدراسة إلى استعراض واقع تطبيق أنظمة الملف الإلكتروني للمريض في المملكة العربية السعودية. واعتمدت على مراجعة تحليلية للدراسات المرتبطة بالتحول الرقمي في القطاع الصحي السعودي. </w:t>
      </w:r>
      <w:r w:rsidRPr="00C9026E">
        <w:rPr>
          <w:rFonts w:ascii="Simplified Arabic" w:hAnsi="Simplified Arabic" w:cs="Simplified Arabic"/>
          <w:sz w:val="28"/>
          <w:szCs w:val="28"/>
          <w:rtl/>
        </w:rPr>
        <w:lastRenderedPageBreak/>
        <w:t>وأظهرت النتائج وجود تفاوت في مستوى تطبيق الأنظمة الرقمية بين المؤسسات الصحية. وتفيد هذه الدراسة في توضيح السياق الوطني الذي تتحرك فيه الدراسة الحالية، كما تكشف أن تطبيق الأنظمة الرقمية لا يتم بالمستوى ذاته في جميع المؤسسات، وهو ما يعزز الحاجة إلى دراسة الحوكمة بوصفها متغيرًا مفسرًا لهذا التفاوت</w:t>
      </w:r>
      <w:r w:rsidRPr="00C9026E">
        <w:rPr>
          <w:rFonts w:ascii="Simplified Arabic" w:hAnsi="Simplified Arabic" w:cs="Simplified Arabic"/>
          <w:sz w:val="28"/>
          <w:szCs w:val="28"/>
        </w:rPr>
        <w:t>.</w:t>
      </w:r>
    </w:p>
    <w:p w14:paraId="7F04EE42"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Al-Kahtani et al. (2022)</w:t>
      </w:r>
    </w:p>
    <w:p w14:paraId="022FF763" w14:textId="0F3BAA67"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قياس مستوى الجاهزية الرقمية للمستشفيات الحكومية والخاصة. واعتمدت على مسح كمي للمستشفيات، وأظهرت النتائج وجود نقص في تطبيق معايير موحدة لحوكمة البيانات الصحية، إلى جانب تفاوت في الجاهزية الرقمية بين المؤسسات. وتكتسب هذه الدراسة أهمية خاصة لأنها تركز على بُعد الامتثال التنظيمي والحوكمة المعيارية، وهو أحد الأبعاد الرئيسة للمتغير المستقل في الدراسة الحالية</w:t>
      </w:r>
      <w:r w:rsidRPr="00C9026E">
        <w:rPr>
          <w:rFonts w:ascii="Simplified Arabic" w:hAnsi="Simplified Arabic" w:cs="Simplified Arabic"/>
          <w:sz w:val="28"/>
          <w:szCs w:val="28"/>
        </w:rPr>
        <w:t>.</w:t>
      </w:r>
    </w:p>
    <w:p w14:paraId="251DA55E"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Alasmary et al. (2021)</w:t>
      </w:r>
    </w:p>
    <w:p w14:paraId="0532395B" w14:textId="45E60A15"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استكشاف التحديات التقنية والإدارية المرتبطة بتبادل البيانات الصحية. واعتمدت على منهج نوعي قائم على مقابلات مع خبراء في المعلومات الصحية. وأظهرت النتائج أن غياب المعايير الموحدة لإدارة البيانات يمثل تحديًا رئيسًا أمام تحقيق التكامل الصحي. وتدعم هذه الدراسة بعد إمكانية الوصول والتكامل البيني في حوكمة الملف الإلكتروني للمريض، كما تؤكد أن ضعف التكامل لا يرتبط بالبنية التقنية وحدها، بل بمنظومة الحوكمة التي تنظم تبادل البيانات</w:t>
      </w:r>
      <w:r w:rsidRPr="00C9026E">
        <w:rPr>
          <w:rFonts w:ascii="Simplified Arabic" w:hAnsi="Simplified Arabic" w:cs="Simplified Arabic"/>
          <w:sz w:val="28"/>
          <w:szCs w:val="28"/>
        </w:rPr>
        <w:t>.</w:t>
      </w:r>
    </w:p>
    <w:p w14:paraId="174F6D91" w14:textId="77777777" w:rsidR="00C9026E" w:rsidRDefault="00C9026E" w:rsidP="00C9026E">
      <w:pPr>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Aldossary et al. (2021)</w:t>
      </w:r>
    </w:p>
    <w:p w14:paraId="72CF07DD" w14:textId="11236E69" w:rsidR="00C9026E" w:rsidRP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تحليل مشكلات جودة البيانات في الأنظمة الصحية الرقمية. واعتمدت على مسح وصفي للعاملين في نظم المعلومات الصحية. وأظهرت النتائج وجود علاقة إيجابية بين جودة البيانات الصحية وتقليل رفض المطالبات. وتعد هذه الدراسة من أكثر الدراسات ارتباطًا بأحد الأبعاد الجوهرية للمتغير المستقل، وهو دقة البيانات وسلامتها، كما أنها تربط ضمنيًا بين جودة الحوكمة الرقمية وبين نتائج تشغيلية ذات صلة بالقطاع التأميني</w:t>
      </w:r>
      <w:r w:rsidRPr="00C9026E">
        <w:rPr>
          <w:rFonts w:ascii="Simplified Arabic" w:hAnsi="Simplified Arabic" w:cs="Simplified Arabic"/>
          <w:sz w:val="28"/>
          <w:szCs w:val="28"/>
        </w:rPr>
        <w:t>.</w:t>
      </w:r>
    </w:p>
    <w:p w14:paraId="0617983D" w14:textId="77777777" w:rsidR="00C9026E" w:rsidRPr="00C9026E" w:rsidRDefault="00C9026E" w:rsidP="00C9026E">
      <w:pPr>
        <w:ind w:firstLine="0"/>
        <w:rPr>
          <w:rFonts w:ascii="Simplified Arabic" w:hAnsi="Simplified Arabic" w:cs="Simplified Arabic"/>
          <w:b/>
          <w:bCs/>
          <w:sz w:val="28"/>
          <w:szCs w:val="28"/>
        </w:rPr>
      </w:pPr>
      <w:r w:rsidRPr="00C9026E">
        <w:rPr>
          <w:rFonts w:ascii="Simplified Arabic" w:hAnsi="Simplified Arabic" w:cs="Simplified Arabic"/>
          <w:b/>
          <w:bCs/>
          <w:sz w:val="28"/>
          <w:szCs w:val="28"/>
          <w:rtl/>
        </w:rPr>
        <w:t>ثانيًا: الدراسات التي تناولت المتغير التابع: الأداء والفاعلية المؤسسية في شركات التأمين الصحي</w:t>
      </w:r>
    </w:p>
    <w:p w14:paraId="65C4A532"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Hillestad et al. (2005)</w:t>
      </w:r>
    </w:p>
    <w:p w14:paraId="5237FE54" w14:textId="56FA921F"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تقدير حجم الوفورات المالية الناتجة عن تطبيق أنظمة الملف الإلكتروني في القطاع الصحي. واعتمدت على نماذج تحليلية كمية استندت إلى بيانات الإنفاق الصحي. وأظهرت النتائج أن تطبيق الأنظمة الرقمية يسهم في تقليل التكاليف التشغيلية وتقليل الفحوصات المكررة. وتفيد هذه الدراسة في دعم أحد مؤشرات المتغير التابع، وهو كفاءة إدارة التكاليف، كما تبرز العلاقة بين جودة المعلومات الصحية وتحسين الكفاءة المالية للمؤسسات</w:t>
      </w:r>
      <w:r w:rsidRPr="00C9026E">
        <w:rPr>
          <w:rFonts w:ascii="Simplified Arabic" w:hAnsi="Simplified Arabic" w:cs="Simplified Arabic"/>
          <w:sz w:val="28"/>
          <w:szCs w:val="28"/>
        </w:rPr>
        <w:t>.</w:t>
      </w:r>
    </w:p>
    <w:p w14:paraId="6B57B525"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Jiang et al. (2017)</w:t>
      </w:r>
    </w:p>
    <w:p w14:paraId="4924AFC3" w14:textId="2BE7814A"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lastRenderedPageBreak/>
        <w:t>هدفت هذه الدراسة إلى تحليل أثر أنظمة المعلومات الصحية المتكاملة في تحسين كفاءة معالجة المطالبات التأمينية. واعتمدت على تحليل بيانات المؤسسات الصحية قبل وبعد تطبيق الأنظمة الرقمية. وأظهرت النتائج وجود علاقة إيجابية بين جودة البيانات وسرعة معالجة المطالبات التأمينية. وتعد هذه الدراسة من أقرب الدراسات إلى موضوع الدراسة الحالية، لأنها ترتبط مباشرة بأحد أهم مؤشرات الأداء المؤسسي في شركات التأمين الصحي، وهو الكفاءة التشغيلية</w:t>
      </w:r>
      <w:r w:rsidRPr="00C9026E">
        <w:rPr>
          <w:rFonts w:ascii="Simplified Arabic" w:hAnsi="Simplified Arabic" w:cs="Simplified Arabic"/>
          <w:sz w:val="28"/>
          <w:szCs w:val="28"/>
        </w:rPr>
        <w:t>.</w:t>
      </w:r>
    </w:p>
    <w:p w14:paraId="0956C573"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Tallon (2013)</w:t>
      </w:r>
    </w:p>
    <w:p w14:paraId="1F779E1D" w14:textId="4075FC24"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هدفت هذه الدراسة إلى تحليل العلاقة بين حوكمة تكنولوجيا المعلومات والأداء المؤسسي. واعتمدت على تحليل مقارن لمؤسسات تطبق حوكمة تكنولوجيا المعلومات. وأظهرت النتائج أن المؤسسات التي تطبق حوكمة واضحة تحقق أداء مؤسسيًا أعلى. ورغم أن الدراسة لا تتناول شركات التأمين الصحي مباشرة، فإنها تقدم أساسًا نظريًا مهمًا لفهم العلاقة بين التنظيم الرقمي والأداء المؤسسي، وهو ما يفيد في تأصيل المتغير التابع في الدراسة الحالية</w:t>
      </w:r>
      <w:r w:rsidRPr="00C9026E">
        <w:rPr>
          <w:rFonts w:ascii="Simplified Arabic" w:hAnsi="Simplified Arabic" w:cs="Simplified Arabic"/>
          <w:sz w:val="28"/>
          <w:szCs w:val="28"/>
        </w:rPr>
        <w:t>.</w:t>
      </w:r>
    </w:p>
    <w:p w14:paraId="47A6A2B7" w14:textId="77777777" w:rsidR="00C9026E" w:rsidRDefault="00C9026E" w:rsidP="00C9026E">
      <w:pPr>
        <w:ind w:firstLine="0"/>
        <w:rPr>
          <w:rFonts w:ascii="Simplified Arabic" w:hAnsi="Simplified Arabic" w:cs="Simplified Arabic"/>
          <w:sz w:val="28"/>
          <w:szCs w:val="28"/>
        </w:rPr>
      </w:pPr>
      <w:r w:rsidRPr="00C9026E">
        <w:rPr>
          <w:rFonts w:ascii="Simplified Arabic" w:hAnsi="Simplified Arabic" w:cs="Simplified Arabic"/>
          <w:b/>
          <w:bCs/>
          <w:sz w:val="28"/>
          <w:szCs w:val="28"/>
          <w:rtl/>
        </w:rPr>
        <w:t>دراسة</w:t>
      </w:r>
      <w:r w:rsidRPr="00C9026E">
        <w:rPr>
          <w:rFonts w:ascii="Simplified Arabic" w:hAnsi="Simplified Arabic" w:cs="Simplified Arabic"/>
          <w:b/>
          <w:bCs/>
          <w:sz w:val="28"/>
          <w:szCs w:val="28"/>
        </w:rPr>
        <w:t xml:space="preserve"> Wan et al. (2017)</w:t>
      </w:r>
    </w:p>
    <w:p w14:paraId="5641C385" w14:textId="170C22FB"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تناولت هذه الدراسة إدارة النظم الصحية القائمة على الأدلة، وركزت على مؤشرات الأداء المؤسسي في المنظمات الصحية، بما في ذلك الكفاءة التشغيلية، وجودة القرارات، وكفاءة استخدام الموارد. وتفيد هذه الدراسة في تأصيل مؤشرات المتغير التابع في الدراسة الحالية، ولا سيما الكفاءة التشغيلية وفاعلية اتخاذ القرار وكفاءة إدارة التكاليف</w:t>
      </w:r>
      <w:r w:rsidRPr="00C9026E">
        <w:rPr>
          <w:rFonts w:ascii="Simplified Arabic" w:hAnsi="Simplified Arabic" w:cs="Simplified Arabic"/>
          <w:sz w:val="28"/>
          <w:szCs w:val="28"/>
        </w:rPr>
        <w:t>.</w:t>
      </w:r>
    </w:p>
    <w:p w14:paraId="33F69B7C" w14:textId="77777777" w:rsidR="00C9026E" w:rsidRPr="00C9026E" w:rsidRDefault="00C9026E" w:rsidP="00C9026E">
      <w:pPr>
        <w:rPr>
          <w:rFonts w:ascii="Simplified Arabic" w:hAnsi="Simplified Arabic" w:cs="Simplified Arabic"/>
          <w:sz w:val="28"/>
          <w:szCs w:val="28"/>
        </w:rPr>
      </w:pPr>
      <w:r w:rsidRPr="00C9026E">
        <w:rPr>
          <w:rFonts w:ascii="Simplified Arabic" w:hAnsi="Simplified Arabic" w:cs="Simplified Arabic"/>
          <w:sz w:val="28"/>
          <w:szCs w:val="28"/>
          <w:rtl/>
        </w:rPr>
        <w:t>ومن خلال استعراض هذه الدراسات، يتبين أن الأدبيات السابقة قد تناولت الأداء والفاعلية المؤسسية من خلال مؤشرات متنوعة، مثل الكفاءة التشغيلية، وخفض التكاليف، وسرعة معالجة المطالبات، وجودة الخدمة، ورضا المستفيدين، وفاعلية القرار</w:t>
      </w:r>
      <w:r w:rsidRPr="00C9026E">
        <w:rPr>
          <w:rFonts w:ascii="Simplified Arabic" w:hAnsi="Simplified Arabic" w:cs="Simplified Arabic"/>
          <w:sz w:val="28"/>
          <w:szCs w:val="28"/>
        </w:rPr>
        <w:t xml:space="preserve">. </w:t>
      </w:r>
      <w:r w:rsidRPr="00C9026E">
        <w:rPr>
          <w:rFonts w:ascii="Simplified Arabic" w:hAnsi="Simplified Arabic" w:cs="Simplified Arabic"/>
          <w:sz w:val="28"/>
          <w:szCs w:val="28"/>
          <w:rtl/>
        </w:rPr>
        <w:t>إلا أن معظم هذه الدراسات لم تختبر هذه المؤشرات داخل إطار بحثي يربطها مباشرة بحوكمة الملف الإلكتروني للمريض بوصفه متغيرًا مستقلًا، خاصة في سياق شركات التأمين الصحي في المملكة العربية السعودية</w:t>
      </w:r>
      <w:r w:rsidRPr="00C9026E">
        <w:rPr>
          <w:rFonts w:ascii="Simplified Arabic" w:hAnsi="Simplified Arabic" w:cs="Simplified Arabic"/>
          <w:sz w:val="28"/>
          <w:szCs w:val="28"/>
        </w:rPr>
        <w:t>.</w:t>
      </w:r>
    </w:p>
    <w:p w14:paraId="3D546AF2" w14:textId="4321B03B" w:rsidR="00013B58" w:rsidRPr="00635161" w:rsidRDefault="00866CEF" w:rsidP="00B948E9">
      <w:pPr>
        <w:pStyle w:val="Heading2"/>
      </w:pPr>
      <w:bookmarkStart w:id="29" w:name="_Toc224661482"/>
      <w:r>
        <w:rPr>
          <w:rFonts w:hint="cs"/>
          <w:rtl/>
        </w:rPr>
        <w:t>1</w:t>
      </w:r>
      <w:r w:rsidR="00013B58" w:rsidRPr="00635161">
        <w:rPr>
          <w:rtl/>
        </w:rPr>
        <w:t>.4.2  المناقشة النقدية المقارنة والفجوة البحثية</w:t>
      </w:r>
      <w:bookmarkEnd w:id="29"/>
    </w:p>
    <w:p w14:paraId="725753CE"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يكشف التحليل المقارن للدراسات السابقة عن اتجاهين رئيسين في الأدبيات ذات الصلة بموضوع الدراسة الحالية. يتمثل الاتجاه الأول في الدراسات الدولية التي تناولت أنظمة الملف الإلكتروني للمريض ونظم المعلومات الصحية من زاوية أثرها التقني والتشغيلي في تحسين جودة الرعاية الصحية، ورفع كفاءة العمليات، وتقليل الأخطاء والتكاليف. ورغم أهمية هذه الدراسات في ترسيخ القيمة الوظيفية للنظم الصحية الرقمية، فإن معظمها لم يتناول حوكمة الملف الإلكتروني للمريض بوصفها متغيرًا مستقلًا ذا أبعاد محددة يمكن قياسها واختبار أثرها في الأداء المؤسسي، بل ركزت غالبًا على فوائد التطبيق العام للأنظمة الرقمية أو على بعض عناصرها الجزئية، مثل جودة البيانات أو التكامل أو السلامة الدوائية</w:t>
      </w:r>
      <w:r w:rsidRPr="001A3F74">
        <w:rPr>
          <w:rFonts w:ascii="Simplified Arabic" w:hAnsi="Simplified Arabic" w:cs="Simplified Arabic"/>
          <w:sz w:val="28"/>
          <w:szCs w:val="28"/>
        </w:rPr>
        <w:t>.</w:t>
      </w:r>
    </w:p>
    <w:p w14:paraId="1B36FE9F"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lastRenderedPageBreak/>
        <w:t>أما الاتجاه الثاني، فيتمثل في الدراسات الإقليمية والسعودية التي أسهمت في توصيف السياق المحلي للتحول الرقمي الصحي، وكشفت عددًا من التحديات المرتبطة بالجاهزية الرقمية، وتفاوت مستويات التطبيق، وضعف توحيد معايير إدارة البيانات، والتحديات المتعلقة بالتشغيل البيني وجودة المعلومات الصحية. غير أن هذه الدراسات، على الرغم من أهميتها في فهم البيئة السعودية، بقيت في معظمها ضمن حدود الوصف والتشخيص، ولم تتجه إلى بناء نموذج تحليلي يختبر بصورة مباشرة العلاقة بين حوكمة الملف الإلكتروني للمريض وبين الأداء المؤسسي لشركات التأمين الصحي باستخدام أدوات كمية واضحة</w:t>
      </w:r>
      <w:r w:rsidRPr="001A3F74">
        <w:rPr>
          <w:rFonts w:ascii="Simplified Arabic" w:hAnsi="Simplified Arabic" w:cs="Simplified Arabic"/>
          <w:sz w:val="28"/>
          <w:szCs w:val="28"/>
        </w:rPr>
        <w:t>.</w:t>
      </w:r>
    </w:p>
    <w:p w14:paraId="27D2EC1C"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وعلى المستوى المنهجي، يلاحظ أن عددًا من الدراسات الأكثر صلة بموضوع الدراسة الحالية في السياق السعودي، مثل دراسة</w:t>
      </w:r>
      <w:r w:rsidRPr="001A3F74">
        <w:rPr>
          <w:rFonts w:ascii="Simplified Arabic" w:hAnsi="Simplified Arabic" w:cs="Simplified Arabic"/>
          <w:sz w:val="28"/>
          <w:szCs w:val="28"/>
        </w:rPr>
        <w:t xml:space="preserve"> AlSadrah (2020)</w:t>
      </w:r>
      <w:r w:rsidRPr="001A3F74">
        <w:rPr>
          <w:rFonts w:ascii="Simplified Arabic" w:hAnsi="Simplified Arabic" w:cs="Simplified Arabic"/>
          <w:sz w:val="28"/>
          <w:szCs w:val="28"/>
          <w:rtl/>
        </w:rPr>
        <w:t>، ودراسة</w:t>
      </w:r>
      <w:r w:rsidRPr="001A3F74">
        <w:rPr>
          <w:rFonts w:ascii="Simplified Arabic" w:hAnsi="Simplified Arabic" w:cs="Simplified Arabic"/>
          <w:sz w:val="28"/>
          <w:szCs w:val="28"/>
        </w:rPr>
        <w:t xml:space="preserve"> Alasmary et al. (2021)</w:t>
      </w:r>
      <w:r w:rsidRPr="001A3F74">
        <w:rPr>
          <w:rFonts w:ascii="Simplified Arabic" w:hAnsi="Simplified Arabic" w:cs="Simplified Arabic"/>
          <w:sz w:val="28"/>
          <w:szCs w:val="28"/>
          <w:rtl/>
        </w:rPr>
        <w:t>، ودراسة</w:t>
      </w:r>
      <w:r w:rsidRPr="001A3F74">
        <w:rPr>
          <w:rFonts w:ascii="Simplified Arabic" w:hAnsi="Simplified Arabic" w:cs="Simplified Arabic"/>
          <w:sz w:val="28"/>
          <w:szCs w:val="28"/>
        </w:rPr>
        <w:t xml:space="preserve"> Aldossary et al. (2021)</w:t>
      </w:r>
      <w:r w:rsidRPr="001A3F74">
        <w:rPr>
          <w:rFonts w:ascii="Simplified Arabic" w:hAnsi="Simplified Arabic" w:cs="Simplified Arabic"/>
          <w:sz w:val="28"/>
          <w:szCs w:val="28"/>
          <w:rtl/>
        </w:rPr>
        <w:t>، اعتمدت إما على مراجعات تحليلية، أو مناهج نوعية، أو مسوح وصفية ذات نطاق محدود، وهو ما جعل قدرتها على اختبار العلاقات بين المتغيرات محدودة، كما قيد إمكان تعميم نتائجها على وحدات تحليل أوسع. ويضاف إلى ذلك أن أغلب هذه الدراسات ركز على المؤسسات الصحية أو العاملين في نظم المعلومات الصحية أو واقع التحول الرقمي في المستشفيات، في حين لم يحظ قطاع التأمين الصحي بوصفه وحدة تحليل مستقلة بالعناية البحثية الكافية، رغم أن هذا القطاع يمثل أحد أبرز المستفيدين والمتأثرين بجودة البيانات الصحية وحوكمتها</w:t>
      </w:r>
      <w:r w:rsidRPr="001A3F74">
        <w:rPr>
          <w:rFonts w:ascii="Simplified Arabic" w:hAnsi="Simplified Arabic" w:cs="Simplified Arabic"/>
          <w:sz w:val="28"/>
          <w:szCs w:val="28"/>
        </w:rPr>
        <w:t>.</w:t>
      </w:r>
    </w:p>
    <w:p w14:paraId="61B8B98C"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كما يظهر على مستوى بناء المتغيرات أن الدراسات السابقة لم تتناول حوكمة الملف الإلكتروني للمريض بوصفها بناءً متكاملًا متعدد الأبعاد كما تعتمدها الدراسة الحالية. فمع أن بعض الدراسات تناولت أبعادًا منفردة، مثل جودة البيانات، أو أمن المعلومات، أو التكامل بين الأنظمة، فإنها لم تقدم الحوكمة في إطار شامل يضم أبعادها الخمسة المتمثلة في دقة البيانات، وأمن المعلومات، والامتثال التنظيمي، وإمكانية الوصول، والشفافية والمساءلة، ثم يربط بينها وبين مؤشرات الأداء المؤسسي في قطاع التأمين الصحي ضمن نموذج بحثي موحد</w:t>
      </w:r>
      <w:r w:rsidRPr="001A3F74">
        <w:rPr>
          <w:rFonts w:ascii="Simplified Arabic" w:hAnsi="Simplified Arabic" w:cs="Simplified Arabic"/>
          <w:sz w:val="28"/>
          <w:szCs w:val="28"/>
        </w:rPr>
        <w:t>.</w:t>
      </w:r>
    </w:p>
    <w:p w14:paraId="06B325BA"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ومن ثم، تتحدد الفجوة البحثية في ثلاثة مستويات مترابطة. يتمثل المستوى الأول في فجوة موضوعية تتعلق بغياب الدراسات التي بحثت بصورة مباشرة أثر حوكمة الملف الإلكتروني للمريض في الأداء والفاعلية المؤسسية لشركات التأمين الصحي. ويتمثل المستوى الثاني في فجوة منهجية ترتبط بندرة الدراسات الكمية التي اختبرت هذه العلاقة في البيئة السعودية باستخدام أدوات قياس وتحليل إحصائي واضحة. أما المستوى الثالث فيتعلق بفجوة تطبيقية، تتمثل في محدودية الدراسات التي تناولت شركات التأمين الصحي كوحدة تحليل مستقلة، رغم تصاعد أهميتها داخل المنظومة الصحية السعودية في ظل التحول الرقمي والتنظيمي المتسارع</w:t>
      </w:r>
      <w:r w:rsidRPr="001A3F74">
        <w:rPr>
          <w:rFonts w:ascii="Simplified Arabic" w:hAnsi="Simplified Arabic" w:cs="Simplified Arabic"/>
          <w:sz w:val="28"/>
          <w:szCs w:val="28"/>
        </w:rPr>
        <w:t>.</w:t>
      </w:r>
    </w:p>
    <w:p w14:paraId="366DC621" w14:textId="33A63FB9" w:rsidR="00B866CD" w:rsidRPr="00635161"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وبناءً على ذلك، فإن الدراسة الحالية تنطلق لسد هذه الفجوة من خلال فحص العلاقة بين حوكمة الملف الإلكتروني للمريض والأداء والفاعلية المؤسسية في شركات التأمين الصحي في المملكة العربية السعودية، اعتمادًا على تصور نظري واضح، ومتغيرات محددة، ومنهجية كمية تحليلية مناسبة</w:t>
      </w:r>
      <w:r w:rsidRPr="001A3F74">
        <w:rPr>
          <w:rFonts w:ascii="Simplified Arabic" w:hAnsi="Simplified Arabic" w:cs="Simplified Arabic"/>
          <w:sz w:val="28"/>
          <w:szCs w:val="28"/>
        </w:rPr>
        <w:t>.</w:t>
      </w:r>
    </w:p>
    <w:p w14:paraId="730F566D" w14:textId="011EC91A" w:rsidR="00ED124C" w:rsidRPr="00635161" w:rsidRDefault="00ED124C" w:rsidP="00B948E9">
      <w:pPr>
        <w:pStyle w:val="Heading2"/>
      </w:pPr>
      <w:bookmarkStart w:id="30" w:name="_Toc224661483"/>
      <w:r w:rsidRPr="00635161">
        <w:lastRenderedPageBreak/>
        <w:t xml:space="preserve">2.4.3 </w:t>
      </w:r>
      <w:r w:rsidR="001A3F74">
        <w:rPr>
          <w:rFonts w:hint="cs"/>
          <w:rtl/>
        </w:rPr>
        <w:t>موقع الدراسة الحالية</w:t>
      </w:r>
      <w:bookmarkEnd w:id="30"/>
    </w:p>
    <w:p w14:paraId="53C9BEEE"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يكشف التحليل المقارن للدراسات السابقة عن اتجاهين رئيسين في الأدبيات ذات الصلة بموضوع الدراسة الحالية. يتمثل الاتجاه الأول في الدراسات الدولية التي تناولت أنظمة الملف الإلكتروني للمريض ونظم المعلومات الصحية من زاوية أثرها التقني والتشغيلي في تحسين جودة الرعاية الصحية، ورفع كفاءة العمليات، وتقليل الأخطاء والتكاليف. ورغم أهمية هذه الدراسات في ترسيخ القيمة الوظيفية للنظم الصحية الرقمية، فإن معظمها لم يتناول حوكمة الملف الإلكتروني للمريض بوصفها متغيرًا مستقلًا ذا أبعاد محددة يمكن قياسها واختبار أثرها في الأداء المؤسسي، بل ركزت غالبًا على فوائد التطبيق العام للأنظمة الرقمية أو على بعض عناصرها الجزئية، مثل جودة البيانات أو التكامل أو السلامة الدوائية</w:t>
      </w:r>
      <w:r w:rsidRPr="001A3F74">
        <w:rPr>
          <w:rFonts w:ascii="Simplified Arabic" w:hAnsi="Simplified Arabic" w:cs="Simplified Arabic"/>
          <w:sz w:val="28"/>
          <w:szCs w:val="28"/>
        </w:rPr>
        <w:t>.</w:t>
      </w:r>
    </w:p>
    <w:p w14:paraId="7DAE9D41"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أما الاتجاه الثاني، فيتمثل في الدراسات الإقليمية والسعودية التي أسهمت في توصيف السياق المحلي للتحول الرقمي الصحي، وكشفت عددًا من التحديات المرتبطة بالجاهزية الرقمية، وتفاوت مستويات التطبيق، وضعف توحيد معايير إدارة البيانات، والتحديات المتعلقة بالتشغيل البيني وجودة المعلومات الصحية. غير أن هذه الدراسات، على الرغم من أهميتها في فهم البيئة السعودية، بقيت في معظمها ضمن حدود الوصف والتشخيص، ولم تتجه إلى بناء نموذج تحليلي يختبر بصورة مباشرة العلاقة بين حوكمة الملف الإلكتروني للمريض وبين الأداء المؤسسي لشركات التأمين الصحي باستخدام أدوات كمية واضحة</w:t>
      </w:r>
      <w:r w:rsidRPr="001A3F74">
        <w:rPr>
          <w:rFonts w:ascii="Simplified Arabic" w:hAnsi="Simplified Arabic" w:cs="Simplified Arabic"/>
          <w:sz w:val="28"/>
          <w:szCs w:val="28"/>
        </w:rPr>
        <w:t>.</w:t>
      </w:r>
    </w:p>
    <w:p w14:paraId="2ED3BCED"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وعلى المستوى المنهجي، يلاحظ أن عددًا من الدراسات الأكثر صلة بموضوع الدراسة الحالية في السياق السعودي، مثل دراسة</w:t>
      </w:r>
      <w:r w:rsidRPr="001A3F74">
        <w:rPr>
          <w:rFonts w:ascii="Simplified Arabic" w:hAnsi="Simplified Arabic" w:cs="Simplified Arabic"/>
          <w:sz w:val="28"/>
          <w:szCs w:val="28"/>
        </w:rPr>
        <w:t xml:space="preserve"> AlSadrah (2020)</w:t>
      </w:r>
      <w:r w:rsidRPr="001A3F74">
        <w:rPr>
          <w:rFonts w:ascii="Simplified Arabic" w:hAnsi="Simplified Arabic" w:cs="Simplified Arabic"/>
          <w:sz w:val="28"/>
          <w:szCs w:val="28"/>
          <w:rtl/>
        </w:rPr>
        <w:t>، ودراسة</w:t>
      </w:r>
      <w:r w:rsidRPr="001A3F74">
        <w:rPr>
          <w:rFonts w:ascii="Simplified Arabic" w:hAnsi="Simplified Arabic" w:cs="Simplified Arabic"/>
          <w:sz w:val="28"/>
          <w:szCs w:val="28"/>
        </w:rPr>
        <w:t xml:space="preserve"> Alasmary et al. (2021)</w:t>
      </w:r>
      <w:r w:rsidRPr="001A3F74">
        <w:rPr>
          <w:rFonts w:ascii="Simplified Arabic" w:hAnsi="Simplified Arabic" w:cs="Simplified Arabic"/>
          <w:sz w:val="28"/>
          <w:szCs w:val="28"/>
          <w:rtl/>
        </w:rPr>
        <w:t>، ودراسة</w:t>
      </w:r>
      <w:r w:rsidRPr="001A3F74">
        <w:rPr>
          <w:rFonts w:ascii="Simplified Arabic" w:hAnsi="Simplified Arabic" w:cs="Simplified Arabic"/>
          <w:sz w:val="28"/>
          <w:szCs w:val="28"/>
        </w:rPr>
        <w:t xml:space="preserve"> Aldossary et al. (2021)</w:t>
      </w:r>
      <w:r w:rsidRPr="001A3F74">
        <w:rPr>
          <w:rFonts w:ascii="Simplified Arabic" w:hAnsi="Simplified Arabic" w:cs="Simplified Arabic"/>
          <w:sz w:val="28"/>
          <w:szCs w:val="28"/>
          <w:rtl/>
        </w:rPr>
        <w:t>، اعتمدت إما على مراجعات تحليلية، أو مناهج نوعية، أو مسوح وصفية ذات نطاق محدود، وهو ما جعل قدرتها على اختبار العلاقات بين المتغيرات محدودة، كما قيد إمكان تعميم نتائجها على وحدات تحليل أوسع. ويضاف إلى ذلك أن أغلب هذه الدراسات ركز على المؤسسات الصحية أو العاملين في نظم المعلومات الصحية أو واقع التحول الرقمي في المستشفيات، في حين لم يحظ قطاع التأمين الصحي بوصفه وحدة تحليل مستقلة بالعناية البحثية الكافية، رغم أن هذا القطاع يمثل أحد أبرز المستفيدين والمتأثرين بجودة البيانات الصحية وحوكمتها</w:t>
      </w:r>
      <w:r w:rsidRPr="001A3F74">
        <w:rPr>
          <w:rFonts w:ascii="Simplified Arabic" w:hAnsi="Simplified Arabic" w:cs="Simplified Arabic"/>
          <w:sz w:val="28"/>
          <w:szCs w:val="28"/>
        </w:rPr>
        <w:t>.</w:t>
      </w:r>
    </w:p>
    <w:p w14:paraId="0C03A2BF"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كما يظهر على مستوى بناء المتغيرات أن الدراسات السابقة لم تتناول حوكمة الملف الإلكتروني للمريض بوصفها بناءً متكاملًا متعدد الأبعاد كما تعتمدها الدراسة الحالية. فمع أن بعض الدراسات تناولت أبعادًا منفردة، مثل جودة البيانات، أو أمن المعلومات، أو التكامل بين الأنظمة، فإنها لم تقدم الحوكمة في إطار شامل يضم أبعادها الخمسة المتمثلة في دقة البيانات، وأمن المعلومات، والامتثال التنظيمي، وإمكانية الوصول، والشفافية والمساءلة، ثم يربط بينها وبين مؤشرات الأداء المؤسسي في قطاع التأمين الصحي ضمن نموذج بحثي موحد</w:t>
      </w:r>
      <w:r w:rsidRPr="001A3F74">
        <w:rPr>
          <w:rFonts w:ascii="Simplified Arabic" w:hAnsi="Simplified Arabic" w:cs="Simplified Arabic"/>
          <w:sz w:val="28"/>
          <w:szCs w:val="28"/>
        </w:rPr>
        <w:t>.</w:t>
      </w:r>
    </w:p>
    <w:p w14:paraId="02873A47" w14:textId="77777777" w:rsidR="001A3F74"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lastRenderedPageBreak/>
        <w:t>ومن ثم، تتحدد الفجوة البحثية في ثلاثة مستويات مترابطة. يتمثل المستوى الأول في فجوة موضوعية تتعلق بغياب الدراسات التي بحثت بصورة مباشرة أثر حوكمة الملف الإلكتروني للمريض في الأداء والفاعلية المؤسسية لشركات التأمين الصحي. ويتمثل المستوى الثاني في فجوة منهجية ترتبط بندرة الدراسات الكمية التي اختبرت هذه العلاقة في البيئة السعودية باستخدام أدوات قياس وتحليل إحصائي واضحة. أما المستوى الثالث فيتعلق بفجوة تطبيقية، تتمثل في محدودية الدراسات التي تناولت شركات التأمين الصحي كوحدة تحليل مستقلة، رغم تصاعد أهميتها داخل المنظومة الصحية السعودية في ظل التحول الرقمي والتنظيمي المتسارع</w:t>
      </w:r>
      <w:r w:rsidRPr="001A3F74">
        <w:rPr>
          <w:rFonts w:ascii="Simplified Arabic" w:hAnsi="Simplified Arabic" w:cs="Simplified Arabic"/>
          <w:sz w:val="28"/>
          <w:szCs w:val="28"/>
        </w:rPr>
        <w:t>.</w:t>
      </w:r>
    </w:p>
    <w:p w14:paraId="27C449FB" w14:textId="62E249F9" w:rsidR="00B866CD" w:rsidRPr="001A3F74" w:rsidRDefault="001A3F74" w:rsidP="001A3F74">
      <w:pPr>
        <w:rPr>
          <w:rFonts w:ascii="Simplified Arabic" w:hAnsi="Simplified Arabic" w:cs="Simplified Arabic"/>
          <w:sz w:val="28"/>
          <w:szCs w:val="28"/>
        </w:rPr>
      </w:pPr>
      <w:r w:rsidRPr="001A3F74">
        <w:rPr>
          <w:rFonts w:ascii="Simplified Arabic" w:hAnsi="Simplified Arabic" w:cs="Simplified Arabic"/>
          <w:sz w:val="28"/>
          <w:szCs w:val="28"/>
          <w:rtl/>
        </w:rPr>
        <w:t>وبناءً على ذلك، فإن الدراسة الحالية تنطلق لسد هذه الفجوة من خلال فحص العلاقة بين حوكمة الملف الإلكتروني للمريض والأداء والفاعلية المؤسسية في شركات التأمين الصحي في المملكة العربية السعودية، اعتمادًا على تصور نظري واضح، ومتغيرات محددة، ومنهجية كمية تحليلية مناسبة</w:t>
      </w:r>
      <w:r w:rsidRPr="001A3F74">
        <w:rPr>
          <w:rFonts w:ascii="Simplified Arabic" w:hAnsi="Simplified Arabic" w:cs="Simplified Arabic"/>
          <w:sz w:val="28"/>
          <w:szCs w:val="28"/>
        </w:rPr>
        <w:t>.</w:t>
      </w:r>
    </w:p>
    <w:p w14:paraId="28CEEECB" w14:textId="4A9DFDE8" w:rsidR="00013B58" w:rsidRPr="00B948E9" w:rsidRDefault="00013B58" w:rsidP="00B948E9">
      <w:pPr>
        <w:pStyle w:val="Heading1"/>
        <w:rPr>
          <w:rFonts w:ascii="Simplified Arabic" w:hAnsi="Simplified Arabic" w:cs="Simplified Arabic"/>
          <w:b/>
          <w:bCs/>
          <w:color w:val="auto"/>
        </w:rPr>
      </w:pPr>
      <w:bookmarkStart w:id="31" w:name="_Toc224661484"/>
      <w:r w:rsidRPr="00B948E9">
        <w:rPr>
          <w:rFonts w:ascii="Simplified Arabic" w:eastAsia="Times New Roman" w:hAnsi="Simplified Arabic" w:cs="Simplified Arabic"/>
          <w:b/>
          <w:bCs/>
          <w:color w:val="auto"/>
          <w:rtl/>
        </w:rPr>
        <w:t>2.5  خلاصة الفصل الثاني</w:t>
      </w:r>
      <w:bookmarkEnd w:id="31"/>
    </w:p>
    <w:p w14:paraId="097BCF10" w14:textId="77777777" w:rsidR="00D62046" w:rsidRPr="00D62046" w:rsidRDefault="00D62046" w:rsidP="00D62046">
      <w:pPr>
        <w:rPr>
          <w:rFonts w:ascii="Simplified Arabic" w:hAnsi="Simplified Arabic" w:cs="Simplified Arabic"/>
          <w:sz w:val="28"/>
          <w:szCs w:val="28"/>
        </w:rPr>
      </w:pPr>
      <w:r w:rsidRPr="00D62046">
        <w:rPr>
          <w:rFonts w:ascii="Simplified Arabic" w:hAnsi="Simplified Arabic" w:cs="Simplified Arabic"/>
          <w:sz w:val="28"/>
          <w:szCs w:val="28"/>
          <w:rtl/>
        </w:rPr>
        <w:t>عرض هذا الفصل الإطار النظري والأدبي الذي تستند إليه الدراسة الحالية، من خلال تناول مفهوم حوكمة الملف الإلكتروني للمريض، وأبعاده الرئيسة، وموقعه ضمن سياق التحول الرقمي الصحي، ثم تناول مفهوم الأداء والفاعلية المؤسسية في شركات التأمين الصحي، ومؤشراتهما الأساسية، مع بيان الصلة النظرية بين المتغيرين. كما استعرض الفصل عددًا من الدراسات السابقة ذات الصلة، وصنفها وفق متغيري الدراسة، بما أتاح بناء صورة أكثر اتساقًا عن التراكم المعرفي القائم في الموضوع</w:t>
      </w:r>
      <w:r w:rsidRPr="00D62046">
        <w:rPr>
          <w:rFonts w:ascii="Simplified Arabic" w:hAnsi="Simplified Arabic" w:cs="Simplified Arabic"/>
          <w:sz w:val="28"/>
          <w:szCs w:val="28"/>
        </w:rPr>
        <w:t>.</w:t>
      </w:r>
    </w:p>
    <w:p w14:paraId="6DC34F0F" w14:textId="77777777" w:rsidR="00D62046" w:rsidRPr="00D62046" w:rsidRDefault="00D62046" w:rsidP="00D62046">
      <w:pPr>
        <w:rPr>
          <w:rFonts w:ascii="Simplified Arabic" w:hAnsi="Simplified Arabic" w:cs="Simplified Arabic"/>
          <w:sz w:val="28"/>
          <w:szCs w:val="28"/>
        </w:rPr>
      </w:pPr>
      <w:r w:rsidRPr="00D62046">
        <w:rPr>
          <w:rFonts w:ascii="Simplified Arabic" w:hAnsi="Simplified Arabic" w:cs="Simplified Arabic"/>
          <w:sz w:val="28"/>
          <w:szCs w:val="28"/>
          <w:rtl/>
        </w:rPr>
        <w:t>وقد بين العرض النظري أن حوكمة الملف الإلكتروني للمريض لا تمثل مجرد ممارسة تقنية لإدارة البيانات الصحية، بل تمثل إطارًا مؤسسيًا متكاملًا يهدف إلى ضمان جودة البيانات، وأمنها، وامتثالها، وإتاحتها، وقابليتها للتتبع والمساءلة، بما يعزز موثوقية استخدامها داخل المنظومة الصحية والتأمينية. كما أوضح الفصل أن الأداء والفاعلية المؤسسية في شركات التأمين الصحي يمثلان بناءً متعدد الأبعاد يتصل بالكفاءة التشغيلية، وجودة الخدمة، وفاعلية اتخاذ القرار، وكفاءة إدارة التكاليف، ورضا المستفيدين، وهي مؤشرات تتأثر بدرجات متفاوتة بجودة البيئة البيانية التي تعمل داخلها المؤسسة</w:t>
      </w:r>
      <w:r w:rsidRPr="00D62046">
        <w:rPr>
          <w:rFonts w:ascii="Simplified Arabic" w:hAnsi="Simplified Arabic" w:cs="Simplified Arabic"/>
          <w:sz w:val="28"/>
          <w:szCs w:val="28"/>
        </w:rPr>
        <w:t>.</w:t>
      </w:r>
    </w:p>
    <w:p w14:paraId="710F7194" w14:textId="648B55BF" w:rsidR="00B866CD" w:rsidRDefault="00D62046" w:rsidP="00D62046">
      <w:pPr>
        <w:rPr>
          <w:rFonts w:ascii="Simplified Arabic" w:hAnsi="Simplified Arabic" w:cs="Simplified Arabic"/>
          <w:sz w:val="28"/>
          <w:szCs w:val="28"/>
          <w:rtl/>
        </w:rPr>
      </w:pPr>
      <w:r w:rsidRPr="00D62046">
        <w:rPr>
          <w:rFonts w:ascii="Simplified Arabic" w:hAnsi="Simplified Arabic" w:cs="Simplified Arabic"/>
          <w:sz w:val="28"/>
          <w:szCs w:val="28"/>
          <w:rtl/>
        </w:rPr>
        <w:t>وأظهر تحليل الدراسات السابقة أن الأدبيات المتاحة، على الرغم من أهميتها، لم تقدم معالجة كافية ومباشرة للعلاقة بين حوكمة الملف الإلكتروني للمريض وبين الأداء والفاعلية المؤسسية في شركات التأمين الصحي السعودية، سواء من حيث بناء المتغيرات أو من حيث المنهجية الكمية أو من حيث وحدة التحليل. ومن هنا، أسهم هذا الفصل في تحديد الفجوة البحثية التي تنطلق منها الدراسة الحالية، وفي تهيئة الأساس النظري والمنهجي اللازم للانتقال إلى الفصل التالي الخاص بمنهجية الدراسة وإجراءاتها التطبيقية</w:t>
      </w:r>
      <w:r w:rsidRPr="00D62046">
        <w:rPr>
          <w:rFonts w:ascii="Simplified Arabic" w:hAnsi="Simplified Arabic" w:cs="Simplified Arabic"/>
          <w:sz w:val="28"/>
          <w:szCs w:val="28"/>
        </w:rPr>
        <w:t>.</w:t>
      </w:r>
    </w:p>
    <w:p w14:paraId="5BE42D80" w14:textId="77777777" w:rsidR="00D62046" w:rsidRDefault="00D62046" w:rsidP="00D62046">
      <w:pPr>
        <w:rPr>
          <w:rFonts w:ascii="Simplified Arabic" w:hAnsi="Simplified Arabic" w:cs="Simplified Arabic"/>
          <w:sz w:val="28"/>
          <w:szCs w:val="28"/>
          <w:rtl/>
        </w:rPr>
      </w:pPr>
    </w:p>
    <w:p w14:paraId="0F8E1250" w14:textId="77777777" w:rsidR="00D62046" w:rsidRDefault="00D62046" w:rsidP="004B46A0">
      <w:pPr>
        <w:ind w:firstLine="0"/>
        <w:rPr>
          <w:rFonts w:ascii="Simplified Arabic" w:hAnsi="Simplified Arabic" w:cs="Simplified Arabic"/>
          <w:sz w:val="28"/>
          <w:szCs w:val="28"/>
          <w:rtl/>
        </w:rPr>
      </w:pPr>
    </w:p>
    <w:p w14:paraId="52767D44" w14:textId="29C7CA8B" w:rsidR="004163C7" w:rsidRPr="00E75D06" w:rsidRDefault="004163C7" w:rsidP="00E75D06">
      <w:pPr>
        <w:pStyle w:val="Heading1"/>
        <w:jc w:val="center"/>
        <w:rPr>
          <w:rFonts w:ascii="Simplified Arabic" w:hAnsi="Simplified Arabic" w:cs="Simplified Arabic"/>
          <w:b/>
          <w:bCs/>
          <w:color w:val="auto"/>
          <w:sz w:val="40"/>
          <w:szCs w:val="40"/>
        </w:rPr>
      </w:pPr>
      <w:bookmarkStart w:id="32" w:name="_Toc224661497"/>
      <w:r w:rsidRPr="00E75D06">
        <w:rPr>
          <w:rFonts w:ascii="Simplified Arabic" w:hAnsi="Simplified Arabic" w:cs="Simplified Arabic"/>
          <w:b/>
          <w:bCs/>
          <w:color w:val="auto"/>
          <w:sz w:val="40"/>
          <w:szCs w:val="40"/>
          <w:rtl/>
        </w:rPr>
        <w:lastRenderedPageBreak/>
        <w:t>المراجع</w:t>
      </w:r>
      <w:bookmarkEnd w:id="32"/>
    </w:p>
    <w:p w14:paraId="451EC17C" w14:textId="7BCF21AE" w:rsidR="00D22171" w:rsidRPr="00E75D06" w:rsidRDefault="004163C7" w:rsidP="00E75D06">
      <w:pPr>
        <w:pStyle w:val="Heading1"/>
        <w:rPr>
          <w:rFonts w:ascii="Simplified Arabic" w:hAnsi="Simplified Arabic" w:cs="Simplified Arabic"/>
          <w:b/>
          <w:bCs/>
          <w:color w:val="auto"/>
        </w:rPr>
      </w:pPr>
      <w:bookmarkStart w:id="33" w:name="_Toc224661498"/>
      <w:r w:rsidRPr="00E75D06">
        <w:rPr>
          <w:rFonts w:ascii="Simplified Arabic" w:hAnsi="Simplified Arabic" w:cs="Simplified Arabic"/>
          <w:b/>
          <w:bCs/>
          <w:color w:val="auto"/>
          <w:rtl/>
        </w:rPr>
        <w:t>المراجع العربية</w:t>
      </w:r>
      <w:bookmarkEnd w:id="33"/>
    </w:p>
    <w:p w14:paraId="0B696CDB" w14:textId="77777777" w:rsidR="008E5FC8" w:rsidRPr="00802932" w:rsidRDefault="008E5FC8" w:rsidP="00E75D06">
      <w:pPr>
        <w:ind w:firstLine="0"/>
        <w:rPr>
          <w:rFonts w:ascii="Simplified Arabic" w:hAnsi="Simplified Arabic" w:cs="Simplified Arabic"/>
          <w:sz w:val="28"/>
          <w:szCs w:val="28"/>
        </w:rPr>
      </w:pPr>
      <w:r w:rsidRPr="00802932">
        <w:rPr>
          <w:rFonts w:ascii="Simplified Arabic" w:hAnsi="Simplified Arabic" w:cs="Simplified Arabic"/>
          <w:sz w:val="28"/>
          <w:szCs w:val="28"/>
          <w:rtl/>
        </w:rPr>
        <w:t>مجلس الضمان الصحي التعاوني</w:t>
      </w:r>
      <w:r w:rsidRPr="00802932">
        <w:rPr>
          <w:rFonts w:ascii="Simplified Arabic" w:hAnsi="Simplified Arabic" w:cs="Simplified Arabic"/>
          <w:sz w:val="28"/>
          <w:szCs w:val="28"/>
        </w:rPr>
        <w:t xml:space="preserve">. (2022). </w:t>
      </w:r>
      <w:r w:rsidRPr="00802932">
        <w:rPr>
          <w:rFonts w:ascii="Simplified Arabic" w:hAnsi="Simplified Arabic" w:cs="Simplified Arabic"/>
          <w:sz w:val="28"/>
          <w:szCs w:val="28"/>
          <w:rtl/>
        </w:rPr>
        <w:t>التقرير السنوي 2022</w:t>
      </w:r>
      <w:r w:rsidRPr="00802932">
        <w:rPr>
          <w:rFonts w:ascii="Simplified Arabic" w:hAnsi="Simplified Arabic" w:cs="Simplified Arabic"/>
          <w:sz w:val="28"/>
          <w:szCs w:val="28"/>
        </w:rPr>
        <w:t xml:space="preserve">. </w:t>
      </w:r>
      <w:r w:rsidRPr="00802932">
        <w:rPr>
          <w:rFonts w:ascii="Simplified Arabic" w:hAnsi="Simplified Arabic" w:cs="Simplified Arabic"/>
          <w:sz w:val="28"/>
          <w:szCs w:val="28"/>
          <w:rtl/>
        </w:rPr>
        <w:t>المملكة العربية السعودية</w:t>
      </w:r>
      <w:r w:rsidRPr="00802932">
        <w:rPr>
          <w:rFonts w:ascii="Simplified Arabic" w:hAnsi="Simplified Arabic" w:cs="Simplified Arabic"/>
          <w:sz w:val="28"/>
          <w:szCs w:val="28"/>
        </w:rPr>
        <w:t>.</w:t>
      </w:r>
    </w:p>
    <w:p w14:paraId="6681C0E2" w14:textId="77777777" w:rsidR="008E5FC8" w:rsidRPr="00802932" w:rsidRDefault="008E5FC8" w:rsidP="00E75D06">
      <w:pPr>
        <w:ind w:firstLine="0"/>
        <w:rPr>
          <w:rFonts w:ascii="Simplified Arabic" w:hAnsi="Simplified Arabic" w:cs="Simplified Arabic"/>
          <w:sz w:val="28"/>
          <w:szCs w:val="28"/>
        </w:rPr>
      </w:pPr>
      <w:r w:rsidRPr="00802932">
        <w:rPr>
          <w:rFonts w:ascii="Simplified Arabic" w:hAnsi="Simplified Arabic" w:cs="Simplified Arabic"/>
          <w:sz w:val="28"/>
          <w:szCs w:val="28"/>
          <w:rtl/>
        </w:rPr>
        <w:t>المركز الوطني للمعلومات الصحية</w:t>
      </w:r>
      <w:r w:rsidRPr="00802932">
        <w:rPr>
          <w:rFonts w:ascii="Simplified Arabic" w:hAnsi="Simplified Arabic" w:cs="Simplified Arabic"/>
          <w:sz w:val="28"/>
          <w:szCs w:val="28"/>
        </w:rPr>
        <w:t xml:space="preserve">. (2023). </w:t>
      </w:r>
      <w:r w:rsidRPr="00802932">
        <w:rPr>
          <w:rFonts w:ascii="Simplified Arabic" w:hAnsi="Simplified Arabic" w:cs="Simplified Arabic"/>
          <w:sz w:val="28"/>
          <w:szCs w:val="28"/>
          <w:rtl/>
        </w:rPr>
        <w:t>مشروع الملف الصحي الوطني الموحّد</w:t>
      </w:r>
      <w:r w:rsidRPr="00802932">
        <w:rPr>
          <w:rFonts w:ascii="Simplified Arabic" w:hAnsi="Simplified Arabic" w:cs="Simplified Arabic"/>
          <w:sz w:val="28"/>
          <w:szCs w:val="28"/>
        </w:rPr>
        <w:t xml:space="preserve">. </w:t>
      </w:r>
      <w:r w:rsidRPr="00802932">
        <w:rPr>
          <w:rFonts w:ascii="Simplified Arabic" w:hAnsi="Simplified Arabic" w:cs="Simplified Arabic"/>
          <w:sz w:val="28"/>
          <w:szCs w:val="28"/>
          <w:rtl/>
        </w:rPr>
        <w:t>المملكة العربية السعودية</w:t>
      </w:r>
      <w:r w:rsidRPr="00802932">
        <w:rPr>
          <w:rFonts w:ascii="Simplified Arabic" w:hAnsi="Simplified Arabic" w:cs="Simplified Arabic"/>
          <w:sz w:val="28"/>
          <w:szCs w:val="28"/>
        </w:rPr>
        <w:t>.</w:t>
      </w:r>
    </w:p>
    <w:p w14:paraId="6CCD4BCF" w14:textId="3ACC7221" w:rsidR="004163C7" w:rsidRPr="00802932" w:rsidRDefault="008E5FC8" w:rsidP="00E75D06">
      <w:pPr>
        <w:ind w:firstLine="0"/>
        <w:rPr>
          <w:rFonts w:ascii="Simplified Arabic" w:hAnsi="Simplified Arabic" w:cs="Simplified Arabic"/>
          <w:sz w:val="28"/>
          <w:szCs w:val="28"/>
        </w:rPr>
      </w:pPr>
      <w:r w:rsidRPr="00802932">
        <w:rPr>
          <w:rFonts w:ascii="Simplified Arabic" w:hAnsi="Simplified Arabic" w:cs="Simplified Arabic"/>
          <w:sz w:val="28"/>
          <w:szCs w:val="28"/>
          <w:rtl/>
        </w:rPr>
        <w:t>وزارة الصحة</w:t>
      </w:r>
      <w:r w:rsidRPr="00802932">
        <w:rPr>
          <w:rFonts w:ascii="Simplified Arabic" w:hAnsi="Simplified Arabic" w:cs="Simplified Arabic"/>
          <w:sz w:val="28"/>
          <w:szCs w:val="28"/>
        </w:rPr>
        <w:t xml:space="preserve">. (2023). </w:t>
      </w:r>
      <w:r w:rsidRPr="00802932">
        <w:rPr>
          <w:rFonts w:ascii="Simplified Arabic" w:hAnsi="Simplified Arabic" w:cs="Simplified Arabic"/>
          <w:sz w:val="28"/>
          <w:szCs w:val="28"/>
          <w:rtl/>
        </w:rPr>
        <w:t>تقرير الصحة</w:t>
      </w:r>
      <w:r w:rsidRPr="00802932">
        <w:rPr>
          <w:rFonts w:ascii="Simplified Arabic" w:hAnsi="Simplified Arabic" w:cs="Simplified Arabic"/>
          <w:sz w:val="28"/>
          <w:szCs w:val="28"/>
        </w:rPr>
        <w:t xml:space="preserve"> </w:t>
      </w:r>
      <w:r w:rsidRPr="00802932">
        <w:rPr>
          <w:rFonts w:ascii="Simplified Arabic" w:hAnsi="Simplified Arabic" w:cs="Simplified Arabic"/>
          <w:sz w:val="28"/>
          <w:szCs w:val="28"/>
          <w:rtl/>
        </w:rPr>
        <w:t>الرقمية في المملكة العربية السعودية لعام 2023</w:t>
      </w:r>
      <w:r w:rsidRPr="00802932">
        <w:rPr>
          <w:rFonts w:ascii="Simplified Arabic" w:hAnsi="Simplified Arabic" w:cs="Simplified Arabic"/>
          <w:sz w:val="28"/>
          <w:szCs w:val="28"/>
        </w:rPr>
        <w:t xml:space="preserve">. </w:t>
      </w:r>
      <w:r w:rsidRPr="00802932">
        <w:rPr>
          <w:rFonts w:ascii="Simplified Arabic" w:hAnsi="Simplified Arabic" w:cs="Simplified Arabic"/>
          <w:sz w:val="28"/>
          <w:szCs w:val="28"/>
          <w:rtl/>
        </w:rPr>
        <w:t>المملكة العربية السعودية</w:t>
      </w:r>
      <w:r w:rsidRPr="00802932">
        <w:rPr>
          <w:rFonts w:ascii="Simplified Arabic" w:hAnsi="Simplified Arabic" w:cs="Simplified Arabic"/>
          <w:sz w:val="28"/>
          <w:szCs w:val="28"/>
        </w:rPr>
        <w:t>.</w:t>
      </w:r>
    </w:p>
    <w:p w14:paraId="732DCEC5" w14:textId="69466589" w:rsidR="004163C7" w:rsidRPr="00E75D06" w:rsidRDefault="004163C7" w:rsidP="00E75D06">
      <w:pPr>
        <w:pStyle w:val="Heading1"/>
        <w:rPr>
          <w:rFonts w:ascii="Simplified Arabic" w:hAnsi="Simplified Arabic" w:cs="Simplified Arabic"/>
          <w:b/>
          <w:bCs/>
          <w:color w:val="auto"/>
          <w:rtl/>
        </w:rPr>
      </w:pPr>
      <w:bookmarkStart w:id="34" w:name="_Toc224661499"/>
      <w:r w:rsidRPr="00E75D06">
        <w:rPr>
          <w:rFonts w:ascii="Simplified Arabic" w:hAnsi="Simplified Arabic" w:cs="Simplified Arabic"/>
          <w:b/>
          <w:bCs/>
          <w:color w:val="auto"/>
          <w:rtl/>
        </w:rPr>
        <w:t>المراجع الأجنبية</w:t>
      </w:r>
      <w:bookmarkEnd w:id="34"/>
    </w:p>
    <w:p w14:paraId="66A71EE2"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Alasmary, M.; Alohali, N.; Househ, M. (2021). </w:t>
      </w:r>
      <w:r w:rsidRPr="00802932">
        <w:rPr>
          <w:rFonts w:asciiTheme="majorBidi" w:hAnsiTheme="majorBidi" w:cstheme="majorBidi"/>
          <w:i/>
          <w:iCs/>
          <w:sz w:val="28"/>
          <w:szCs w:val="28"/>
        </w:rPr>
        <w:t>Interoperability of electronic medical record systems in Saudi hospitals: Barriers and current status.</w:t>
      </w:r>
      <w:r w:rsidRPr="00802932">
        <w:rPr>
          <w:rFonts w:asciiTheme="majorBidi" w:hAnsiTheme="majorBidi" w:cstheme="majorBidi"/>
          <w:sz w:val="28"/>
          <w:szCs w:val="28"/>
        </w:rPr>
        <w:t xml:space="preserve"> International Journal of Medical Informatics, 153, 104527.</w:t>
      </w:r>
    </w:p>
    <w:p w14:paraId="3458A296"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Aldossary, A.; Almutairi, H.; Balkhi, B. (2021). </w:t>
      </w:r>
      <w:r w:rsidRPr="00802932">
        <w:rPr>
          <w:rFonts w:asciiTheme="majorBidi" w:hAnsiTheme="majorBidi" w:cstheme="majorBidi"/>
          <w:i/>
          <w:iCs/>
          <w:sz w:val="28"/>
          <w:szCs w:val="28"/>
        </w:rPr>
        <w:t>Data quality challenges in electronic health record systems in Saudi Arabia.</w:t>
      </w:r>
      <w:r w:rsidRPr="00802932">
        <w:rPr>
          <w:rFonts w:asciiTheme="majorBidi" w:hAnsiTheme="majorBidi" w:cstheme="majorBidi"/>
          <w:sz w:val="28"/>
          <w:szCs w:val="28"/>
        </w:rPr>
        <w:t xml:space="preserve"> Journal of Healthcare Informatics Research, 5(3), 112–129.</w:t>
      </w:r>
    </w:p>
    <w:p w14:paraId="47623034"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Al-Kahtani, N.; Al-Dossary, R.; Almulhim, S. (2022). </w:t>
      </w:r>
      <w:r w:rsidRPr="00802932">
        <w:rPr>
          <w:rFonts w:asciiTheme="majorBidi" w:hAnsiTheme="majorBidi" w:cstheme="majorBidi"/>
          <w:i/>
          <w:iCs/>
          <w:sz w:val="28"/>
          <w:szCs w:val="28"/>
        </w:rPr>
        <w:t>Digital health transformation readiness in Saudi hospitals: Governance and infrastructure assessment.</w:t>
      </w:r>
      <w:r w:rsidRPr="00802932">
        <w:rPr>
          <w:rFonts w:asciiTheme="majorBidi" w:hAnsiTheme="majorBidi" w:cstheme="majorBidi"/>
          <w:sz w:val="28"/>
          <w:szCs w:val="28"/>
        </w:rPr>
        <w:t xml:space="preserve"> Saudi Medical Journal, 43(7), 781–793.</w:t>
      </w:r>
    </w:p>
    <w:p w14:paraId="1CE02152"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AlSadrah, S. A. (2020). </w:t>
      </w:r>
      <w:r w:rsidRPr="00802932">
        <w:rPr>
          <w:rFonts w:asciiTheme="majorBidi" w:hAnsiTheme="majorBidi" w:cstheme="majorBidi"/>
          <w:i/>
          <w:iCs/>
          <w:sz w:val="28"/>
          <w:szCs w:val="28"/>
        </w:rPr>
        <w:t>Electronic medical records and health care promotion in Saudi Arabia: An overview.</w:t>
      </w:r>
      <w:r w:rsidRPr="00802932">
        <w:rPr>
          <w:rFonts w:asciiTheme="majorBidi" w:hAnsiTheme="majorBidi" w:cstheme="majorBidi"/>
          <w:sz w:val="28"/>
          <w:szCs w:val="28"/>
        </w:rPr>
        <w:t xml:space="preserve"> Journal of Family &amp; Community Medicine, 27(2), 136–142.</w:t>
      </w:r>
    </w:p>
    <w:p w14:paraId="5D6B05E1"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Alotaibi, Y. K.; Federico, F. (2020). </w:t>
      </w:r>
      <w:r w:rsidRPr="00802932">
        <w:rPr>
          <w:rFonts w:asciiTheme="majorBidi" w:hAnsiTheme="majorBidi" w:cstheme="majorBidi"/>
          <w:i/>
          <w:iCs/>
          <w:sz w:val="28"/>
          <w:szCs w:val="28"/>
        </w:rPr>
        <w:t>The impact of health information technology on patient safety.</w:t>
      </w:r>
      <w:r w:rsidRPr="00802932">
        <w:rPr>
          <w:rFonts w:asciiTheme="majorBidi" w:hAnsiTheme="majorBidi" w:cstheme="majorBidi"/>
          <w:sz w:val="28"/>
          <w:szCs w:val="28"/>
        </w:rPr>
        <w:t xml:space="preserve"> Saudi Medical Journal, 41(12), 1253–1259.</w:t>
      </w:r>
    </w:p>
    <w:p w14:paraId="6DCD6054"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Bani-Salameh, A.; Al-Rawashda, N.; Jarrah, M.; Al-Harazneh, Y. (2023). </w:t>
      </w:r>
      <w:r w:rsidRPr="00802932">
        <w:rPr>
          <w:rFonts w:asciiTheme="majorBidi" w:hAnsiTheme="majorBidi" w:cstheme="majorBidi"/>
          <w:i/>
          <w:iCs/>
          <w:sz w:val="28"/>
          <w:szCs w:val="28"/>
        </w:rPr>
        <w:t>The impact of health information systems governance on the effectiveness of health insurance companies in Jordan.</w:t>
      </w:r>
      <w:r w:rsidRPr="00802932">
        <w:rPr>
          <w:rFonts w:asciiTheme="majorBidi" w:hAnsiTheme="majorBidi" w:cstheme="majorBidi"/>
          <w:sz w:val="28"/>
          <w:szCs w:val="28"/>
        </w:rPr>
        <w:t xml:space="preserve"> International Journal of Business and Management, 18(4), 45–62.</w:t>
      </w:r>
    </w:p>
    <w:p w14:paraId="7AF55D50"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Barney, J. (1991). </w:t>
      </w:r>
      <w:r w:rsidRPr="00802932">
        <w:rPr>
          <w:rFonts w:asciiTheme="majorBidi" w:hAnsiTheme="majorBidi" w:cstheme="majorBidi"/>
          <w:i/>
          <w:iCs/>
          <w:sz w:val="28"/>
          <w:szCs w:val="28"/>
        </w:rPr>
        <w:t>Firm resources and sustained competitive advantage.</w:t>
      </w:r>
      <w:r w:rsidRPr="00802932">
        <w:rPr>
          <w:rFonts w:asciiTheme="majorBidi" w:hAnsiTheme="majorBidi" w:cstheme="majorBidi"/>
          <w:sz w:val="28"/>
          <w:szCs w:val="28"/>
        </w:rPr>
        <w:t xml:space="preserve"> Journal of Management, 17(1), 99–120.</w:t>
      </w:r>
    </w:p>
    <w:p w14:paraId="3209CE5C"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Bates, D. W.; Gawande, A. A. (2003). </w:t>
      </w:r>
      <w:r w:rsidRPr="00802932">
        <w:rPr>
          <w:rFonts w:asciiTheme="majorBidi" w:hAnsiTheme="majorBidi" w:cstheme="majorBidi"/>
          <w:i/>
          <w:iCs/>
          <w:sz w:val="28"/>
          <w:szCs w:val="28"/>
        </w:rPr>
        <w:t>Improving safety with information technology.</w:t>
      </w:r>
      <w:r w:rsidRPr="00802932">
        <w:rPr>
          <w:rFonts w:asciiTheme="majorBidi" w:hAnsiTheme="majorBidi" w:cstheme="majorBidi"/>
          <w:sz w:val="28"/>
          <w:szCs w:val="28"/>
        </w:rPr>
        <w:t xml:space="preserve"> New England Journal of Medicine, 348(25), 2526–2534.</w:t>
      </w:r>
    </w:p>
    <w:p w14:paraId="75FF8338"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Daft, R. L. (2016). Organization Theory and Design (12th ed.). Cengage Learning.</w:t>
      </w:r>
    </w:p>
    <w:p w14:paraId="6659F879"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DAMA International. (2017). DAMA-DMBOK: Data Management Body of Knowledge (2nd ed.). Technics Publications.</w:t>
      </w:r>
    </w:p>
    <w:p w14:paraId="2C571359"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lastRenderedPageBreak/>
        <w:t xml:space="preserve">Häyrinen, K.; Saranto, K.; Nykänen, P. (2008). </w:t>
      </w:r>
      <w:r w:rsidRPr="00802932">
        <w:rPr>
          <w:rFonts w:asciiTheme="majorBidi" w:hAnsiTheme="majorBidi" w:cstheme="majorBidi"/>
          <w:i/>
          <w:iCs/>
          <w:sz w:val="28"/>
          <w:szCs w:val="28"/>
        </w:rPr>
        <w:t>Definition, structure, content, use and impacts of electronic health records: A review of the research literature.</w:t>
      </w:r>
      <w:r w:rsidRPr="00802932">
        <w:rPr>
          <w:rFonts w:asciiTheme="majorBidi" w:hAnsiTheme="majorBidi" w:cstheme="majorBidi"/>
          <w:sz w:val="28"/>
          <w:szCs w:val="28"/>
        </w:rPr>
        <w:t xml:space="preserve"> International Journal of Medical Informatics, 77(5), 291–304.</w:t>
      </w:r>
    </w:p>
    <w:p w14:paraId="238E0052"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Hillestad, R.; Bigelow, J.; Bower, A.; Girosi, F.; Meili, R.; Scoville, R.; Taylor, R. (2005). </w:t>
      </w:r>
      <w:r w:rsidRPr="00802932">
        <w:rPr>
          <w:rFonts w:asciiTheme="majorBidi" w:hAnsiTheme="majorBidi" w:cstheme="majorBidi"/>
          <w:i/>
          <w:iCs/>
          <w:sz w:val="28"/>
          <w:szCs w:val="28"/>
        </w:rPr>
        <w:t>Can electronic medical record systems transform health care?</w:t>
      </w:r>
      <w:r w:rsidRPr="00802932">
        <w:rPr>
          <w:rFonts w:asciiTheme="majorBidi" w:hAnsiTheme="majorBidi" w:cstheme="majorBidi"/>
          <w:sz w:val="28"/>
          <w:szCs w:val="28"/>
        </w:rPr>
        <w:t xml:space="preserve"> Health Affairs, 24(5), 1103–1117.</w:t>
      </w:r>
    </w:p>
    <w:p w14:paraId="19AF0C1A"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Jha, A. K.; DesRoches, C. M.; Campbell, E. G.; Donelan, K.; Rao, S. R.; Ferris, T. G.; Blumenthal, D. (2009). </w:t>
      </w:r>
      <w:r w:rsidRPr="00802932">
        <w:rPr>
          <w:rFonts w:asciiTheme="majorBidi" w:hAnsiTheme="majorBidi" w:cstheme="majorBidi"/>
          <w:i/>
          <w:iCs/>
          <w:sz w:val="28"/>
          <w:szCs w:val="28"/>
        </w:rPr>
        <w:t>Use of electronic health records in U.S. hospitals.</w:t>
      </w:r>
      <w:r w:rsidRPr="00802932">
        <w:rPr>
          <w:rFonts w:asciiTheme="majorBidi" w:hAnsiTheme="majorBidi" w:cstheme="majorBidi"/>
          <w:sz w:val="28"/>
          <w:szCs w:val="28"/>
        </w:rPr>
        <w:t xml:space="preserve"> New England Journal of Medicine, 360(16), 1628–1638.</w:t>
      </w:r>
    </w:p>
    <w:p w14:paraId="6B7011C4"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Jiang, S.; Johnson, M.; Chen, Y. (2017). </w:t>
      </w:r>
      <w:r w:rsidRPr="00802932">
        <w:rPr>
          <w:rFonts w:asciiTheme="majorBidi" w:hAnsiTheme="majorBidi" w:cstheme="majorBidi"/>
          <w:i/>
          <w:iCs/>
          <w:sz w:val="28"/>
          <w:szCs w:val="28"/>
        </w:rPr>
        <w:t>Health information technology adoption and insurance claims management efficiency.</w:t>
      </w:r>
      <w:r w:rsidRPr="00802932">
        <w:rPr>
          <w:rFonts w:asciiTheme="majorBidi" w:hAnsiTheme="majorBidi" w:cstheme="majorBidi"/>
          <w:sz w:val="28"/>
          <w:szCs w:val="28"/>
        </w:rPr>
        <w:t xml:space="preserve"> Journal of Health Information Management, 31(4), 18–27.</w:t>
      </w:r>
    </w:p>
    <w:p w14:paraId="4566819E"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Kaplan, R. S.; Norton, D. P. (1996). The Balanced Scorecard: Translating Strategy into Action. Harvard Business School Press.</w:t>
      </w:r>
    </w:p>
    <w:p w14:paraId="08875628"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Kruse, C. S.; Stein, A.; Thomas, H.; Kaur, H. (2018). </w:t>
      </w:r>
      <w:r w:rsidRPr="00802932">
        <w:rPr>
          <w:rFonts w:asciiTheme="majorBidi" w:hAnsiTheme="majorBidi" w:cstheme="majorBidi"/>
          <w:i/>
          <w:iCs/>
          <w:sz w:val="28"/>
          <w:szCs w:val="28"/>
        </w:rPr>
        <w:t>The use of electronic health records to support population health: A systematic review of the literature.</w:t>
      </w:r>
      <w:r w:rsidRPr="00802932">
        <w:rPr>
          <w:rFonts w:asciiTheme="majorBidi" w:hAnsiTheme="majorBidi" w:cstheme="majorBidi"/>
          <w:sz w:val="28"/>
          <w:szCs w:val="28"/>
        </w:rPr>
        <w:t xml:space="preserve"> Journal of Medical Systems, 42(11), 214.</w:t>
      </w:r>
    </w:p>
    <w:p w14:paraId="4B00E225"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Lim, P. C.; Tang, N. K. H. (2000). </w:t>
      </w:r>
      <w:r w:rsidRPr="00802932">
        <w:rPr>
          <w:rFonts w:asciiTheme="majorBidi" w:hAnsiTheme="majorBidi" w:cstheme="majorBidi"/>
          <w:i/>
          <w:iCs/>
          <w:sz w:val="28"/>
          <w:szCs w:val="28"/>
        </w:rPr>
        <w:t>A study of patients' expectations and satisfaction in Singapore hospitals.</w:t>
      </w:r>
      <w:r w:rsidRPr="00802932">
        <w:rPr>
          <w:rFonts w:asciiTheme="majorBidi" w:hAnsiTheme="majorBidi" w:cstheme="majorBidi"/>
          <w:sz w:val="28"/>
          <w:szCs w:val="28"/>
        </w:rPr>
        <w:t xml:space="preserve"> International Journal of Health Care Quality Assurance, 13(7), 290–299.</w:t>
      </w:r>
    </w:p>
    <w:p w14:paraId="7BF08652"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Menachemi, N.; Collum, T. H. (2011). </w:t>
      </w:r>
      <w:r w:rsidRPr="00802932">
        <w:rPr>
          <w:rFonts w:asciiTheme="majorBidi" w:hAnsiTheme="majorBidi" w:cstheme="majorBidi"/>
          <w:i/>
          <w:iCs/>
          <w:sz w:val="28"/>
          <w:szCs w:val="28"/>
        </w:rPr>
        <w:t>Benefits and drawbacks of electronic health record systems.</w:t>
      </w:r>
      <w:r w:rsidRPr="00802932">
        <w:rPr>
          <w:rFonts w:asciiTheme="majorBidi" w:hAnsiTheme="majorBidi" w:cstheme="majorBidi"/>
          <w:sz w:val="28"/>
          <w:szCs w:val="28"/>
        </w:rPr>
        <w:t xml:space="preserve"> Risk Management and Healthcare Policy, 4, 47–55.</w:t>
      </w:r>
    </w:p>
    <w:p w14:paraId="555DF2AC"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NHIC — National Health Information Center. (2023). National Unified Health Record Project. Kingdom of Saudi Arabia.</w:t>
      </w:r>
    </w:p>
    <w:p w14:paraId="23AD6B12"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Oliver, R. L. (1999). </w:t>
      </w:r>
      <w:r w:rsidRPr="00802932">
        <w:rPr>
          <w:rFonts w:asciiTheme="majorBidi" w:hAnsiTheme="majorBidi" w:cstheme="majorBidi"/>
          <w:i/>
          <w:iCs/>
          <w:sz w:val="28"/>
          <w:szCs w:val="28"/>
        </w:rPr>
        <w:t>Whence consumer loyalty?</w:t>
      </w:r>
      <w:r w:rsidRPr="00802932">
        <w:rPr>
          <w:rFonts w:asciiTheme="majorBidi" w:hAnsiTheme="majorBidi" w:cstheme="majorBidi"/>
          <w:sz w:val="28"/>
          <w:szCs w:val="28"/>
        </w:rPr>
        <w:t xml:space="preserve"> Journal of Marketing, 63(Special Issue), 33–44.</w:t>
      </w:r>
    </w:p>
    <w:p w14:paraId="5FC084CB"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Parasuraman, A.; Zeithaml, V. A.; Berry, L. L. (1988). </w:t>
      </w:r>
      <w:r w:rsidRPr="00802932">
        <w:rPr>
          <w:rFonts w:asciiTheme="majorBidi" w:hAnsiTheme="majorBidi" w:cstheme="majorBidi"/>
          <w:i/>
          <w:iCs/>
          <w:sz w:val="28"/>
          <w:szCs w:val="28"/>
        </w:rPr>
        <w:t>SERVQUAL: A multiple-item scale for measuring consumer perceptions of service quality.</w:t>
      </w:r>
      <w:r w:rsidRPr="00802932">
        <w:rPr>
          <w:rFonts w:asciiTheme="majorBidi" w:hAnsiTheme="majorBidi" w:cstheme="majorBidi"/>
          <w:sz w:val="28"/>
          <w:szCs w:val="28"/>
        </w:rPr>
        <w:t xml:space="preserve"> Journal of Retailing, 64(1), 12–40.</w:t>
      </w:r>
    </w:p>
    <w:p w14:paraId="77B35515"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Porter, M. E.; Lee, T. H. (2013). </w:t>
      </w:r>
      <w:r w:rsidRPr="00802932">
        <w:rPr>
          <w:rFonts w:asciiTheme="majorBidi" w:hAnsiTheme="majorBidi" w:cstheme="majorBidi"/>
          <w:i/>
          <w:iCs/>
          <w:sz w:val="28"/>
          <w:szCs w:val="28"/>
        </w:rPr>
        <w:t>The strategy that will fix health care.</w:t>
      </w:r>
      <w:r w:rsidRPr="00802932">
        <w:rPr>
          <w:rFonts w:asciiTheme="majorBidi" w:hAnsiTheme="majorBidi" w:cstheme="majorBidi"/>
          <w:sz w:val="28"/>
          <w:szCs w:val="28"/>
        </w:rPr>
        <w:t xml:space="preserve"> Harvard Business Review, 91(10), 50–70.</w:t>
      </w:r>
    </w:p>
    <w:p w14:paraId="1EEC4F99"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Shortliffe, E. H.; Cimino, J. J. (Eds.). (2014). Biomedical Informatics: Computer Applications in Health Care and Biomedicine (4th ed.). Springer.</w:t>
      </w:r>
    </w:p>
    <w:p w14:paraId="6AB665D0"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Tallon, P. P. (2013). </w:t>
      </w:r>
      <w:r w:rsidRPr="00802932">
        <w:rPr>
          <w:rFonts w:asciiTheme="majorBidi" w:hAnsiTheme="majorBidi" w:cstheme="majorBidi"/>
          <w:i/>
          <w:iCs/>
          <w:sz w:val="28"/>
          <w:szCs w:val="28"/>
        </w:rPr>
        <w:t>Corporate governance of big data: Perspectives on value, risk, and cost.</w:t>
      </w:r>
      <w:r w:rsidRPr="00802932">
        <w:rPr>
          <w:rFonts w:asciiTheme="majorBidi" w:hAnsiTheme="majorBidi" w:cstheme="majorBidi"/>
          <w:sz w:val="28"/>
          <w:szCs w:val="28"/>
        </w:rPr>
        <w:t xml:space="preserve"> Computer, 46(6), 32–38.</w:t>
      </w:r>
    </w:p>
    <w:p w14:paraId="726CD678"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 xml:space="preserve">Tang, P. C.; Ash, J. S.; Bates, D. W.; Overhage, J. M.; Sands, D. Z. (2006). </w:t>
      </w:r>
      <w:r w:rsidRPr="00802932">
        <w:rPr>
          <w:rFonts w:asciiTheme="majorBidi" w:hAnsiTheme="majorBidi" w:cstheme="majorBidi"/>
          <w:i/>
          <w:iCs/>
          <w:sz w:val="28"/>
          <w:szCs w:val="28"/>
        </w:rPr>
        <w:t>Personal health records: Definitions, benefits, and strategies for overcoming barriers to adoption.</w:t>
      </w:r>
      <w:r w:rsidRPr="00802932">
        <w:rPr>
          <w:rFonts w:asciiTheme="majorBidi" w:hAnsiTheme="majorBidi" w:cstheme="majorBidi"/>
          <w:sz w:val="28"/>
          <w:szCs w:val="28"/>
        </w:rPr>
        <w:t xml:space="preserve"> Journal of the American Medical Informatics Association, 13(2), 121–126.</w:t>
      </w:r>
    </w:p>
    <w:p w14:paraId="546CA7BD"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lastRenderedPageBreak/>
        <w:t xml:space="preserve">Topol, E. J. (2019). </w:t>
      </w:r>
      <w:r w:rsidRPr="00802932">
        <w:rPr>
          <w:rFonts w:asciiTheme="majorBidi" w:hAnsiTheme="majorBidi" w:cstheme="majorBidi"/>
          <w:i/>
          <w:iCs/>
          <w:sz w:val="28"/>
          <w:szCs w:val="28"/>
        </w:rPr>
        <w:t>High-performance medicine: The convergence of human and artificial intelligence.</w:t>
      </w:r>
      <w:r w:rsidRPr="00802932">
        <w:rPr>
          <w:rFonts w:asciiTheme="majorBidi" w:hAnsiTheme="majorBidi" w:cstheme="majorBidi"/>
          <w:sz w:val="28"/>
          <w:szCs w:val="28"/>
        </w:rPr>
        <w:t xml:space="preserve"> Nature Medicine, 25(1), 44–56.</w:t>
      </w:r>
    </w:p>
    <w:p w14:paraId="676BD819"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Wan, T. T.; Terry, A.; Coppola, N. (2017). Evidence-Based Health Systems Management. Jones &amp; Bartlett Learning.</w:t>
      </w:r>
    </w:p>
    <w:p w14:paraId="2F4E1A23"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Weill, P.; Ross, J. W. (2004). IT Governance: How Top Performers Manage IT Decision Rights for Superior Results. Harvard Business School Press.</w:t>
      </w:r>
    </w:p>
    <w:p w14:paraId="624D8F7F" w14:textId="77777777" w:rsidR="008E5FC8" w:rsidRPr="00802932" w:rsidRDefault="008E5FC8" w:rsidP="00802932">
      <w:pPr>
        <w:bidi w:val="0"/>
        <w:ind w:firstLine="0"/>
        <w:rPr>
          <w:rFonts w:asciiTheme="majorBidi" w:hAnsiTheme="majorBidi" w:cstheme="majorBidi"/>
          <w:sz w:val="28"/>
          <w:szCs w:val="28"/>
        </w:rPr>
      </w:pPr>
      <w:r w:rsidRPr="00802932">
        <w:rPr>
          <w:rFonts w:asciiTheme="majorBidi" w:hAnsiTheme="majorBidi" w:cstheme="majorBidi"/>
          <w:sz w:val="28"/>
          <w:szCs w:val="28"/>
        </w:rPr>
        <w:t>World Health Organization. (2021). Global Strategy on Digital Health 2020–2025. WHO Press.</w:t>
      </w:r>
    </w:p>
    <w:p w14:paraId="38F23B52" w14:textId="77777777" w:rsidR="004163C7" w:rsidRPr="00635161" w:rsidRDefault="004163C7" w:rsidP="00635161">
      <w:pPr>
        <w:rPr>
          <w:rFonts w:ascii="Simplified Arabic" w:hAnsi="Simplified Arabic" w:cs="Simplified Arabic"/>
          <w:sz w:val="28"/>
          <w:szCs w:val="28"/>
          <w:rtl/>
        </w:rPr>
      </w:pPr>
    </w:p>
    <w:p w14:paraId="3D60915F" w14:textId="77777777" w:rsidR="004163C7" w:rsidRPr="00635161" w:rsidRDefault="004163C7" w:rsidP="00635161">
      <w:pPr>
        <w:rPr>
          <w:rFonts w:ascii="Simplified Arabic" w:hAnsi="Simplified Arabic" w:cs="Simplified Arabic"/>
          <w:sz w:val="28"/>
          <w:szCs w:val="28"/>
          <w:rtl/>
        </w:rPr>
      </w:pPr>
    </w:p>
    <w:p w14:paraId="21CF7F7E" w14:textId="77777777" w:rsidR="004163C7" w:rsidRPr="00635161" w:rsidRDefault="004163C7" w:rsidP="00635161">
      <w:pPr>
        <w:rPr>
          <w:rFonts w:ascii="Simplified Arabic" w:hAnsi="Simplified Arabic" w:cs="Simplified Arabic"/>
          <w:sz w:val="28"/>
          <w:szCs w:val="28"/>
          <w:rtl/>
        </w:rPr>
      </w:pPr>
    </w:p>
    <w:p w14:paraId="274F1367" w14:textId="77777777" w:rsidR="004163C7" w:rsidRPr="00635161" w:rsidRDefault="004163C7" w:rsidP="00635161">
      <w:pPr>
        <w:rPr>
          <w:rFonts w:ascii="Simplified Arabic" w:hAnsi="Simplified Arabic" w:cs="Simplified Arabic"/>
          <w:sz w:val="28"/>
          <w:szCs w:val="28"/>
          <w:rtl/>
        </w:rPr>
      </w:pPr>
    </w:p>
    <w:p w14:paraId="0D931C3A" w14:textId="77777777" w:rsidR="004163C7" w:rsidRDefault="004163C7" w:rsidP="00635161">
      <w:pPr>
        <w:rPr>
          <w:rFonts w:ascii="Simplified Arabic" w:hAnsi="Simplified Arabic" w:cs="Simplified Arabic"/>
          <w:sz w:val="28"/>
          <w:szCs w:val="28"/>
          <w:rtl/>
        </w:rPr>
      </w:pPr>
    </w:p>
    <w:p w14:paraId="1199DFEF" w14:textId="77777777" w:rsidR="00D36709" w:rsidRDefault="00D36709" w:rsidP="00635161">
      <w:pPr>
        <w:rPr>
          <w:rFonts w:ascii="Simplified Arabic" w:hAnsi="Simplified Arabic" w:cs="Simplified Arabic"/>
          <w:sz w:val="28"/>
          <w:szCs w:val="28"/>
          <w:rtl/>
        </w:rPr>
      </w:pPr>
    </w:p>
    <w:p w14:paraId="7D3ED592" w14:textId="77777777" w:rsidR="00D36709" w:rsidRDefault="00D36709" w:rsidP="00635161">
      <w:pPr>
        <w:rPr>
          <w:rFonts w:ascii="Simplified Arabic" w:hAnsi="Simplified Arabic" w:cs="Simplified Arabic"/>
          <w:sz w:val="28"/>
          <w:szCs w:val="28"/>
          <w:rtl/>
        </w:rPr>
      </w:pPr>
    </w:p>
    <w:p w14:paraId="47A462F2" w14:textId="77777777" w:rsidR="00D36709" w:rsidRDefault="00D36709" w:rsidP="00635161">
      <w:pPr>
        <w:rPr>
          <w:rFonts w:ascii="Simplified Arabic" w:hAnsi="Simplified Arabic" w:cs="Simplified Arabic"/>
          <w:sz w:val="28"/>
          <w:szCs w:val="28"/>
          <w:rtl/>
        </w:rPr>
      </w:pPr>
    </w:p>
    <w:p w14:paraId="7EFF8CB3" w14:textId="77777777" w:rsidR="00D36709" w:rsidRDefault="00D36709" w:rsidP="00635161">
      <w:pPr>
        <w:rPr>
          <w:rFonts w:ascii="Simplified Arabic" w:hAnsi="Simplified Arabic" w:cs="Simplified Arabic"/>
          <w:sz w:val="28"/>
          <w:szCs w:val="28"/>
          <w:rtl/>
        </w:rPr>
      </w:pPr>
    </w:p>
    <w:p w14:paraId="342E5B38" w14:textId="77777777" w:rsidR="00D36709" w:rsidRDefault="00D36709" w:rsidP="00635161">
      <w:pPr>
        <w:rPr>
          <w:rFonts w:ascii="Simplified Arabic" w:hAnsi="Simplified Arabic" w:cs="Simplified Arabic"/>
          <w:sz w:val="28"/>
          <w:szCs w:val="28"/>
          <w:rtl/>
        </w:rPr>
      </w:pPr>
    </w:p>
    <w:p w14:paraId="2F4BF8FB" w14:textId="77777777" w:rsidR="00D36709" w:rsidRDefault="00D36709" w:rsidP="00635161">
      <w:pPr>
        <w:rPr>
          <w:rFonts w:ascii="Simplified Arabic" w:hAnsi="Simplified Arabic" w:cs="Simplified Arabic"/>
          <w:sz w:val="28"/>
          <w:szCs w:val="28"/>
          <w:rtl/>
        </w:rPr>
      </w:pPr>
    </w:p>
    <w:p w14:paraId="38ED8052" w14:textId="77777777" w:rsidR="00D36709" w:rsidRDefault="00D36709" w:rsidP="00635161">
      <w:pPr>
        <w:rPr>
          <w:rFonts w:ascii="Simplified Arabic" w:hAnsi="Simplified Arabic" w:cs="Simplified Arabic"/>
          <w:sz w:val="28"/>
          <w:szCs w:val="28"/>
          <w:rtl/>
        </w:rPr>
      </w:pPr>
    </w:p>
    <w:p w14:paraId="3769B50F" w14:textId="77777777" w:rsidR="00D36709" w:rsidRDefault="00D36709" w:rsidP="00635161">
      <w:pPr>
        <w:rPr>
          <w:rFonts w:ascii="Simplified Arabic" w:hAnsi="Simplified Arabic" w:cs="Simplified Arabic"/>
          <w:sz w:val="28"/>
          <w:szCs w:val="28"/>
          <w:rtl/>
        </w:rPr>
      </w:pPr>
    </w:p>
    <w:p w14:paraId="442C6317" w14:textId="77777777" w:rsidR="00D36709" w:rsidRDefault="00D36709" w:rsidP="00635161">
      <w:pPr>
        <w:rPr>
          <w:rFonts w:ascii="Simplified Arabic" w:hAnsi="Simplified Arabic" w:cs="Simplified Arabic"/>
          <w:sz w:val="28"/>
          <w:szCs w:val="28"/>
          <w:rtl/>
        </w:rPr>
      </w:pPr>
    </w:p>
    <w:p w14:paraId="04ABA1AB" w14:textId="77777777" w:rsidR="00D36709" w:rsidRDefault="00D36709" w:rsidP="00635161">
      <w:pPr>
        <w:rPr>
          <w:rFonts w:ascii="Simplified Arabic" w:hAnsi="Simplified Arabic" w:cs="Simplified Arabic"/>
          <w:sz w:val="28"/>
          <w:szCs w:val="28"/>
          <w:rtl/>
        </w:rPr>
      </w:pPr>
    </w:p>
    <w:p w14:paraId="263FE36E" w14:textId="77777777" w:rsidR="00D36709" w:rsidRDefault="00D36709" w:rsidP="00635161">
      <w:pPr>
        <w:rPr>
          <w:rFonts w:ascii="Simplified Arabic" w:hAnsi="Simplified Arabic" w:cs="Simplified Arabic"/>
          <w:sz w:val="28"/>
          <w:szCs w:val="28"/>
          <w:rtl/>
        </w:rPr>
      </w:pPr>
    </w:p>
    <w:p w14:paraId="5DBBF6F5" w14:textId="77777777" w:rsidR="00D36709" w:rsidRDefault="00D36709" w:rsidP="00635161">
      <w:pPr>
        <w:rPr>
          <w:rFonts w:ascii="Simplified Arabic" w:hAnsi="Simplified Arabic" w:cs="Simplified Arabic"/>
          <w:sz w:val="28"/>
          <w:szCs w:val="28"/>
          <w:rtl/>
        </w:rPr>
      </w:pPr>
    </w:p>
    <w:p w14:paraId="3E7BA93F" w14:textId="77777777" w:rsidR="00D36709" w:rsidRDefault="00D36709" w:rsidP="00635161">
      <w:pPr>
        <w:rPr>
          <w:rFonts w:ascii="Simplified Arabic" w:hAnsi="Simplified Arabic" w:cs="Simplified Arabic"/>
          <w:sz w:val="28"/>
          <w:szCs w:val="28"/>
          <w:rtl/>
        </w:rPr>
      </w:pPr>
    </w:p>
    <w:p w14:paraId="7C355991" w14:textId="77777777" w:rsidR="00B54C6D" w:rsidRPr="00635161" w:rsidRDefault="00B54C6D" w:rsidP="00635161">
      <w:pPr>
        <w:rPr>
          <w:rFonts w:ascii="Simplified Arabic" w:hAnsi="Simplified Arabic" w:cs="Simplified Arabic"/>
          <w:sz w:val="28"/>
          <w:szCs w:val="28"/>
          <w:rtl/>
        </w:rPr>
      </w:pPr>
    </w:p>
    <w:p w14:paraId="48C38752" w14:textId="77777777" w:rsidR="004163C7" w:rsidRPr="00635161" w:rsidRDefault="004163C7" w:rsidP="00635161">
      <w:pPr>
        <w:rPr>
          <w:rFonts w:ascii="Simplified Arabic" w:hAnsi="Simplified Arabic" w:cs="Simplified Arabic"/>
          <w:sz w:val="28"/>
          <w:szCs w:val="28"/>
          <w:rtl/>
        </w:rPr>
      </w:pPr>
    </w:p>
    <w:p w14:paraId="7C830697" w14:textId="77777777" w:rsidR="008E5FC8" w:rsidRPr="00802932" w:rsidRDefault="008E5FC8" w:rsidP="00802932">
      <w:pPr>
        <w:pStyle w:val="Heading1"/>
        <w:bidi w:val="0"/>
        <w:jc w:val="left"/>
        <w:rPr>
          <w:rFonts w:asciiTheme="majorBidi" w:hAnsiTheme="majorBidi"/>
          <w:b/>
          <w:bCs/>
          <w:color w:val="auto"/>
        </w:rPr>
      </w:pPr>
      <w:bookmarkStart w:id="35" w:name="_Toc224661500"/>
      <w:r w:rsidRPr="00802932">
        <w:rPr>
          <w:rFonts w:asciiTheme="majorBidi" w:eastAsia="Times New Roman" w:hAnsiTheme="majorBidi"/>
          <w:b/>
          <w:bCs/>
          <w:color w:val="auto"/>
        </w:rPr>
        <w:lastRenderedPageBreak/>
        <w:t>Abstract</w:t>
      </w:r>
      <w:bookmarkEnd w:id="35"/>
    </w:p>
    <w:p w14:paraId="49A0D294" w14:textId="77777777" w:rsidR="008E5FC8" w:rsidRPr="00802932" w:rsidRDefault="008E5FC8" w:rsidP="00802932">
      <w:pPr>
        <w:bidi w:val="0"/>
        <w:rPr>
          <w:rFonts w:asciiTheme="majorBidi" w:hAnsiTheme="majorBidi" w:cstheme="majorBidi"/>
          <w:sz w:val="28"/>
          <w:szCs w:val="28"/>
        </w:rPr>
      </w:pPr>
    </w:p>
    <w:p w14:paraId="714C7570" w14:textId="2D5CFDDF" w:rsidR="008E5FC8" w:rsidRPr="002634CE" w:rsidRDefault="008E5FC8" w:rsidP="002634CE">
      <w:pPr>
        <w:bidi w:val="0"/>
        <w:spacing w:line="360" w:lineRule="auto"/>
        <w:jc w:val="left"/>
        <w:rPr>
          <w:rFonts w:asciiTheme="majorBidi" w:hAnsiTheme="majorBidi" w:cstheme="majorBidi"/>
          <w:sz w:val="28"/>
          <w:szCs w:val="28"/>
        </w:rPr>
      </w:pPr>
      <w:r w:rsidRPr="002634CE">
        <w:rPr>
          <w:rFonts w:asciiTheme="majorBidi" w:eastAsia="Times New Roman" w:hAnsiTheme="majorBidi" w:cstheme="majorBidi"/>
          <w:sz w:val="28"/>
          <w:szCs w:val="28"/>
        </w:rPr>
        <w:t xml:space="preserve">This study examines the impact of Electronic Patient File (EPF) governance on the performance and effectiveness of health insurance companies in Saudi Arabia. Grounded in IT Governance Theory, the Resource-Based View, and the DAMA-DMBOK framework, the study adopts a quantitative descriptive-correlational design. Data </w:t>
      </w:r>
      <w:r w:rsidR="001F6EC7">
        <w:rPr>
          <w:rFonts w:asciiTheme="majorBidi" w:eastAsia="Times New Roman" w:hAnsiTheme="majorBidi" w:cstheme="majorBidi"/>
          <w:sz w:val="28"/>
          <w:szCs w:val="28"/>
        </w:rPr>
        <w:t>were</w:t>
      </w:r>
      <w:r w:rsidRPr="002634CE">
        <w:rPr>
          <w:rFonts w:asciiTheme="majorBidi" w:eastAsia="Times New Roman" w:hAnsiTheme="majorBidi" w:cstheme="majorBidi"/>
          <w:sz w:val="28"/>
          <w:szCs w:val="28"/>
        </w:rPr>
        <w:t xml:space="preserve"> collected from 51 employees of health insurance companies and hospital insurance departments using </w:t>
      </w:r>
      <w:r w:rsidR="001F6EC7">
        <w:rPr>
          <w:rFonts w:asciiTheme="majorBidi" w:eastAsia="Times New Roman" w:hAnsiTheme="majorBidi" w:cstheme="majorBidi"/>
          <w:sz w:val="28"/>
          <w:szCs w:val="28"/>
        </w:rPr>
        <w:t xml:space="preserve">a </w:t>
      </w:r>
      <w:r w:rsidRPr="002634CE">
        <w:rPr>
          <w:rFonts w:asciiTheme="majorBidi" w:eastAsia="Times New Roman" w:hAnsiTheme="majorBidi" w:cstheme="majorBidi"/>
          <w:sz w:val="28"/>
          <w:szCs w:val="28"/>
        </w:rPr>
        <w:t>20-item Likert-scale online questionnaire distributed via Google Forms. Analysis was conducted using SPSS v.26, employing Cronbach's Alpha (α = 0.921), descriptive statistics, Pearson correlation, and simple linear regression.</w:t>
      </w:r>
    </w:p>
    <w:p w14:paraId="1092BEC0" w14:textId="66D3AFD4" w:rsidR="008E5FC8" w:rsidRPr="002634CE" w:rsidRDefault="008E5FC8" w:rsidP="002634CE">
      <w:pPr>
        <w:bidi w:val="0"/>
        <w:spacing w:line="360" w:lineRule="auto"/>
        <w:jc w:val="left"/>
        <w:rPr>
          <w:rFonts w:asciiTheme="majorBidi" w:hAnsiTheme="majorBidi" w:cstheme="majorBidi"/>
          <w:sz w:val="28"/>
          <w:szCs w:val="28"/>
        </w:rPr>
      </w:pPr>
      <w:r w:rsidRPr="002634CE">
        <w:rPr>
          <w:rFonts w:asciiTheme="majorBidi" w:eastAsia="Times New Roman" w:hAnsiTheme="majorBidi" w:cstheme="majorBidi"/>
          <w:sz w:val="28"/>
          <w:szCs w:val="28"/>
        </w:rPr>
        <w:t>Results revealed that EPF governance explains 26.6% of the variance in institutional performance (R² = 0.266, β = 0.515, F = 17.719, p = 0.000), confirming a statistically significant positive effect at α ≤ 0.05. The five governance dimensions demonstrated positive correlations with performance indicators ranging from moderate to strong (r = 0.288–0.559, p &lt; 0.05).</w:t>
      </w:r>
    </w:p>
    <w:p w14:paraId="3F992336" w14:textId="77777777" w:rsidR="008E5FC8" w:rsidRPr="002634CE" w:rsidRDefault="008E5FC8" w:rsidP="002634CE">
      <w:pPr>
        <w:bidi w:val="0"/>
        <w:spacing w:line="360" w:lineRule="auto"/>
        <w:jc w:val="left"/>
        <w:rPr>
          <w:rFonts w:asciiTheme="majorBidi" w:hAnsiTheme="majorBidi" w:cstheme="majorBidi"/>
          <w:sz w:val="28"/>
          <w:szCs w:val="28"/>
        </w:rPr>
      </w:pPr>
    </w:p>
    <w:p w14:paraId="70E8B438" w14:textId="77777777" w:rsidR="008E5FC8" w:rsidRPr="002634CE" w:rsidRDefault="008E5FC8" w:rsidP="002634CE">
      <w:pPr>
        <w:bidi w:val="0"/>
        <w:spacing w:line="360" w:lineRule="auto"/>
        <w:ind w:firstLine="0"/>
        <w:jc w:val="left"/>
        <w:rPr>
          <w:rFonts w:asciiTheme="majorBidi" w:hAnsiTheme="majorBidi" w:cstheme="majorBidi"/>
          <w:sz w:val="28"/>
          <w:szCs w:val="28"/>
        </w:rPr>
      </w:pPr>
      <w:r w:rsidRPr="002634CE">
        <w:rPr>
          <w:rFonts w:asciiTheme="majorBidi" w:eastAsia="Times New Roman" w:hAnsiTheme="majorBidi" w:cstheme="majorBidi"/>
          <w:b/>
          <w:bCs/>
          <w:sz w:val="28"/>
          <w:szCs w:val="28"/>
        </w:rPr>
        <w:t>Keywords:</w:t>
      </w:r>
      <w:r w:rsidRPr="002634CE">
        <w:rPr>
          <w:rFonts w:asciiTheme="majorBidi" w:eastAsia="Times New Roman" w:hAnsiTheme="majorBidi" w:cstheme="majorBidi"/>
          <w:sz w:val="28"/>
          <w:szCs w:val="28"/>
        </w:rPr>
        <w:t xml:space="preserve"> Electronic Patient File, Health Data Governance, Health Insurance, Organizational Performance, Saudi Arabia, Vision 2030.</w:t>
      </w:r>
    </w:p>
    <w:p w14:paraId="6C0E6661" w14:textId="77777777" w:rsidR="008E5FC8" w:rsidRPr="002634CE" w:rsidRDefault="008E5FC8" w:rsidP="002634CE">
      <w:pPr>
        <w:bidi w:val="0"/>
        <w:spacing w:line="360" w:lineRule="auto"/>
        <w:jc w:val="left"/>
        <w:rPr>
          <w:rFonts w:asciiTheme="majorBidi" w:hAnsiTheme="majorBidi" w:cstheme="majorBidi"/>
          <w:b/>
          <w:bCs/>
          <w:sz w:val="24"/>
          <w:szCs w:val="24"/>
        </w:rPr>
      </w:pPr>
    </w:p>
    <w:p w14:paraId="1B58CFA9" w14:textId="77777777" w:rsidR="008E5FC8" w:rsidRPr="00802932" w:rsidRDefault="008E5FC8" w:rsidP="00802932">
      <w:pPr>
        <w:bidi w:val="0"/>
        <w:rPr>
          <w:rFonts w:asciiTheme="majorBidi" w:hAnsiTheme="majorBidi" w:cstheme="majorBidi"/>
          <w:b/>
          <w:bCs/>
          <w:sz w:val="28"/>
          <w:szCs w:val="28"/>
        </w:rPr>
      </w:pPr>
    </w:p>
    <w:p w14:paraId="1BF93D70" w14:textId="77777777" w:rsidR="008E5FC8" w:rsidRDefault="008E5FC8" w:rsidP="00635161">
      <w:pPr>
        <w:rPr>
          <w:rFonts w:ascii="Simplified Arabic" w:hAnsi="Simplified Arabic" w:cs="Simplified Arabic"/>
          <w:b/>
          <w:bCs/>
          <w:sz w:val="28"/>
          <w:szCs w:val="28"/>
          <w:rtl/>
          <w:lang w:bidi="ar-EG"/>
        </w:rPr>
      </w:pPr>
    </w:p>
    <w:p w14:paraId="533D233E" w14:textId="77777777" w:rsidR="00802932" w:rsidRDefault="00802932" w:rsidP="00635161">
      <w:pPr>
        <w:rPr>
          <w:rFonts w:ascii="Simplified Arabic" w:hAnsi="Simplified Arabic" w:cs="Simplified Arabic"/>
          <w:b/>
          <w:bCs/>
          <w:sz w:val="28"/>
          <w:szCs w:val="28"/>
          <w:rtl/>
          <w:lang w:bidi="ar-EG"/>
        </w:rPr>
      </w:pPr>
    </w:p>
    <w:p w14:paraId="4DD4B2F6" w14:textId="77777777" w:rsidR="003D51FE" w:rsidRDefault="003D51FE" w:rsidP="00635161">
      <w:pPr>
        <w:rPr>
          <w:rFonts w:ascii="Simplified Arabic" w:hAnsi="Simplified Arabic" w:cs="Simplified Arabic"/>
          <w:b/>
          <w:bCs/>
          <w:sz w:val="28"/>
          <w:szCs w:val="28"/>
          <w:rtl/>
          <w:lang w:bidi="ar-EG"/>
        </w:rPr>
      </w:pPr>
    </w:p>
    <w:p w14:paraId="09BFB990" w14:textId="77777777" w:rsidR="00B54C6D" w:rsidRDefault="00B54C6D" w:rsidP="00635161">
      <w:pPr>
        <w:rPr>
          <w:rFonts w:ascii="Simplified Arabic" w:hAnsi="Simplified Arabic" w:cs="Simplified Arabic"/>
          <w:b/>
          <w:bCs/>
          <w:sz w:val="28"/>
          <w:szCs w:val="28"/>
          <w:rtl/>
          <w:lang w:bidi="ar-EG"/>
        </w:rPr>
      </w:pPr>
    </w:p>
    <w:p w14:paraId="488254D4" w14:textId="77777777" w:rsidR="00B54C6D" w:rsidRDefault="00B54C6D" w:rsidP="00635161">
      <w:pPr>
        <w:rPr>
          <w:rFonts w:ascii="Simplified Arabic" w:hAnsi="Simplified Arabic" w:cs="Simplified Arabic"/>
          <w:b/>
          <w:bCs/>
          <w:sz w:val="28"/>
          <w:szCs w:val="28"/>
          <w:rtl/>
          <w:lang w:bidi="ar-EG"/>
        </w:rPr>
      </w:pPr>
    </w:p>
    <w:p w14:paraId="4E0B87AF" w14:textId="77777777" w:rsidR="003D51FE" w:rsidRDefault="003D51FE" w:rsidP="00635161">
      <w:pPr>
        <w:rPr>
          <w:rFonts w:ascii="Simplified Arabic" w:hAnsi="Simplified Arabic" w:cs="Simplified Arabic"/>
          <w:b/>
          <w:bCs/>
          <w:sz w:val="28"/>
          <w:szCs w:val="28"/>
          <w:rtl/>
          <w:lang w:bidi="ar-EG"/>
        </w:rPr>
      </w:pPr>
    </w:p>
    <w:p w14:paraId="578322E0" w14:textId="77777777" w:rsidR="00802932" w:rsidRPr="00635161" w:rsidRDefault="00802932" w:rsidP="00635161">
      <w:pPr>
        <w:rPr>
          <w:rFonts w:ascii="Simplified Arabic" w:hAnsi="Simplified Arabic" w:cs="Simplified Arabic"/>
          <w:b/>
          <w:bCs/>
          <w:sz w:val="28"/>
          <w:szCs w:val="28"/>
          <w:lang w:bidi="ar-EG"/>
        </w:rPr>
      </w:pPr>
    </w:p>
    <w:p w14:paraId="74088E94" w14:textId="39235824" w:rsidR="004163C7" w:rsidRPr="00AB293B" w:rsidRDefault="004163C7" w:rsidP="003D51FE">
      <w:pPr>
        <w:pStyle w:val="Heading1"/>
        <w:jc w:val="center"/>
        <w:rPr>
          <w:rFonts w:ascii="Simplified Arabic" w:hAnsi="Simplified Arabic" w:cs="Simplified Arabic"/>
          <w:b/>
          <w:bCs/>
          <w:color w:val="auto"/>
          <w:sz w:val="40"/>
          <w:szCs w:val="40"/>
        </w:rPr>
      </w:pPr>
      <w:bookmarkStart w:id="36" w:name="_Toc224661501"/>
      <w:r w:rsidRPr="00AB293B">
        <w:rPr>
          <w:rFonts w:ascii="Simplified Arabic" w:hAnsi="Simplified Arabic" w:cs="Simplified Arabic"/>
          <w:b/>
          <w:bCs/>
          <w:color w:val="auto"/>
          <w:sz w:val="40"/>
          <w:szCs w:val="40"/>
          <w:rtl/>
        </w:rPr>
        <w:lastRenderedPageBreak/>
        <w:t>الملاحق</w:t>
      </w:r>
      <w:bookmarkEnd w:id="36"/>
    </w:p>
    <w:p w14:paraId="3FFD7177"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استبانة بحثية</w:t>
      </w:r>
    </w:p>
    <w:p w14:paraId="2C5D72EE" w14:textId="6BA01EEC"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أثر حوكمة الملف الإلكتروني للمريض على أداء وفاعلية شركات التأمين الصحي في المملكة العربية السعودية</w:t>
      </w:r>
    </w:p>
    <w:p w14:paraId="180ED161"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السادة والسيدات المحترمون،</w:t>
      </w:r>
    </w:p>
    <w:p w14:paraId="0B834391" w14:textId="77777777" w:rsidR="008E5FC8" w:rsidRPr="00635161" w:rsidRDefault="008E5FC8" w:rsidP="00635161">
      <w:pPr>
        <w:ind w:firstLine="709"/>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تحية طيبة وبعد،</w:t>
      </w:r>
    </w:p>
    <w:p w14:paraId="050A1CD7" w14:textId="78CF31A7" w:rsidR="008E5FC8" w:rsidRPr="00635161" w:rsidRDefault="008E5FC8" w:rsidP="00AB293B">
      <w:pPr>
        <w:ind w:firstLine="709"/>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تُقدّم الباحثة استبانة هذه الدراسة في إطار متطلبات درجة الماجستير في إدارة الأعمال من جامعة ميدأوشن. يُرجى الإجابة على جميع الفقرات بصدق وموضوعية علماً بأن بياناتكم ستُعامَل بسرية تامة ولن تُستخدَم إلا لأغراض البحث العلمي. الاستجابة تطوعية وهوية المشارك غير مطلوبة.</w:t>
      </w:r>
    </w:p>
    <w:p w14:paraId="75543C67" w14:textId="3FB0BF7D"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القسم الأول: البيانات الديموغرافية</w:t>
      </w:r>
    </w:p>
    <w:p w14:paraId="3C90C07B" w14:textId="7AAF06EF"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الجنس:  ذكر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أنثى</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43D182A8" w14:textId="27A9E793" w:rsidR="008E5FC8" w:rsidRPr="00AB293B"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2. الفئة العمرية:  أقل من 30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30</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39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40</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49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50 </w:t>
      </w:r>
      <w:r w:rsidRPr="00635161">
        <w:rPr>
          <w:rFonts w:ascii="Simplified Arabic" w:eastAsia="Times New Roman" w:hAnsi="Simplified Arabic" w:cs="Simplified Arabic" w:hint="cs"/>
          <w:sz w:val="28"/>
          <w:szCs w:val="28"/>
          <w:rtl/>
        </w:rPr>
        <w:t>فأكثر</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0683E663" w14:textId="3C25C9D8"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3. المؤهل العلمي:  دبلوم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بكالوريوس</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ماجستير</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دكتوراه</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231438C0" w14:textId="10BD3C56" w:rsidR="008E5FC8" w:rsidRPr="00AB293B"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4. سنوات الخبرة:  أقل من 5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9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10</w:t>
      </w:r>
      <w:r w:rsidRPr="00635161">
        <w:rPr>
          <w:rFonts w:ascii="Simplified Arabic" w:eastAsia="Times New Roman" w:hAnsi="Simplified Arabic" w:cs="Simplified Arabic" w:hint="cs"/>
          <w:sz w:val="28"/>
          <w:szCs w:val="28"/>
          <w:rtl/>
        </w:rPr>
        <w:t>–</w:t>
      </w:r>
      <w:r w:rsidRPr="00635161">
        <w:rPr>
          <w:rFonts w:ascii="Simplified Arabic" w:eastAsia="Times New Roman" w:hAnsi="Simplified Arabic" w:cs="Simplified Arabic"/>
          <w:sz w:val="28"/>
          <w:szCs w:val="28"/>
          <w:rtl/>
        </w:rPr>
        <w:t xml:space="preserve">14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15 </w:t>
      </w:r>
      <w:r w:rsidRPr="00635161">
        <w:rPr>
          <w:rFonts w:ascii="Simplified Arabic" w:eastAsia="Times New Roman" w:hAnsi="Simplified Arabic" w:cs="Simplified Arabic" w:hint="cs"/>
          <w:sz w:val="28"/>
          <w:szCs w:val="28"/>
          <w:rtl/>
        </w:rPr>
        <w:t>فأكثر</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644E2D78" w14:textId="46C0730D" w:rsidR="008E5FC8" w:rsidRPr="00AB293B"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5. المسمى الوظيفي:  محلل مطالبات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مدير</w:t>
      </w:r>
      <w:r w:rsidRPr="00635161">
        <w:rPr>
          <w:rFonts w:ascii="Simplified Arabic" w:eastAsia="Times New Roman" w:hAnsi="Simplified Arabic" w:cs="Simplified Arabic"/>
          <w:sz w:val="28"/>
          <w:szCs w:val="28"/>
          <w:rtl/>
        </w:rPr>
        <w:t>/</w:t>
      </w:r>
      <w:r w:rsidRPr="00635161">
        <w:rPr>
          <w:rFonts w:ascii="Simplified Arabic" w:eastAsia="Times New Roman" w:hAnsi="Simplified Arabic" w:cs="Simplified Arabic" w:hint="cs"/>
          <w:sz w:val="28"/>
          <w:szCs w:val="28"/>
          <w:rtl/>
        </w:rPr>
        <w:t>مشرف</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تأمين</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متخصص</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نظم</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معلومات</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مراجع</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طبي</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أخرى</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26334271"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6. نوع المنظمة:  شركة تأمين صحي خاصة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قسم</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تأمين</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بمستشفى</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خاص</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قسم</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تأمين</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بمستشفى</w:t>
      </w:r>
      <w:r w:rsidRPr="00635161">
        <w:rPr>
          <w:rFonts w:ascii="Simplified Arabic" w:eastAsia="Times New Roman" w:hAnsi="Simplified Arabic" w:cs="Simplified Arabic"/>
          <w:sz w:val="28"/>
          <w:szCs w:val="28"/>
          <w:rtl/>
        </w:rPr>
        <w:t xml:space="preserve"> </w:t>
      </w:r>
      <w:r w:rsidRPr="00635161">
        <w:rPr>
          <w:rFonts w:ascii="Simplified Arabic" w:eastAsia="Times New Roman" w:hAnsi="Simplified Arabic" w:cs="Simplified Arabic" w:hint="cs"/>
          <w:sz w:val="28"/>
          <w:szCs w:val="28"/>
          <w:rtl/>
        </w:rPr>
        <w:t>حكومي</w:t>
      </w:r>
      <w:r w:rsidRPr="00635161">
        <w:rPr>
          <w:rFonts w:ascii="Simplified Arabic" w:eastAsia="Times New Roman" w:hAnsi="Simplified Arabic" w:cs="Simplified Arabic"/>
          <w:sz w:val="28"/>
          <w:szCs w:val="28"/>
          <w:rtl/>
        </w:rPr>
        <w:t xml:space="preserve">  </w:t>
      </w:r>
      <w:r w:rsidRPr="00635161">
        <w:rPr>
          <w:rFonts w:ascii="Times New Roman" w:eastAsia="Times New Roman" w:hAnsi="Times New Roman" w:cs="Times New Roman" w:hint="cs"/>
          <w:sz w:val="28"/>
          <w:szCs w:val="28"/>
          <w:rtl/>
        </w:rPr>
        <w:t>○</w:t>
      </w:r>
    </w:p>
    <w:p w14:paraId="7B8881E7" w14:textId="77777777" w:rsidR="008E5FC8" w:rsidRPr="00635161" w:rsidRDefault="008E5FC8" w:rsidP="00AB293B">
      <w:pPr>
        <w:jc w:val="cente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القسم الثاني: حوكمة الملف الإلكتروني للمريض (المتغير المستقل)</w:t>
      </w:r>
    </w:p>
    <w:p w14:paraId="11F41DBC" w14:textId="600AA252"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الرجاء تحديد درجة موافقتك على كل فقرة وفق المقياس: 1=غير موافق بشدة، 2=غير موافق، 3=محايد، 4=موافق، 5=موافق بشدة</w:t>
      </w:r>
    </w:p>
    <w:p w14:paraId="5D257416"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X1. البيانات التي أتعامل معها في نظام الملف الإلكتروني دقيقة وخالية من الأخطاء.</w:t>
      </w:r>
    </w:p>
    <w:p w14:paraId="2BD073D4" w14:textId="13021383" w:rsidR="008E5FC8" w:rsidRPr="00635161" w:rsidRDefault="008E5FC8" w:rsidP="00AB293B">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76F84615"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X2. تُحدَّث بيانات الملف الإلكتروني للمريض بصفة منتظمة وفي الوقت المناسب.</w:t>
      </w:r>
    </w:p>
    <w:p w14:paraId="2DA59691"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448E0F5E" w14:textId="77777777" w:rsidR="008E5FC8" w:rsidRPr="00635161" w:rsidRDefault="008E5FC8" w:rsidP="00635161">
      <w:pPr>
        <w:rPr>
          <w:rFonts w:ascii="Simplified Arabic" w:hAnsi="Simplified Arabic" w:cs="Simplified Arabic"/>
          <w:sz w:val="28"/>
          <w:szCs w:val="28"/>
        </w:rPr>
      </w:pPr>
    </w:p>
    <w:p w14:paraId="18F0690F"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lastRenderedPageBreak/>
        <w:t>X3. يُطبَّق في مؤسستي نظام صلاحيات محكوم يمنع الوصول غير المصرّح به للبيانات الصحية.</w:t>
      </w:r>
    </w:p>
    <w:p w14:paraId="13B18FAA" w14:textId="5DCF4420"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1DE132F8"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X4. تُوجَد آليات تشفير وحماية فاعلة لبيانات الملف الإلكتروني للمريض في مؤسستي.</w:t>
      </w:r>
    </w:p>
    <w:p w14:paraId="69EA90A6" w14:textId="73756A05"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66BC0F76"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X5. تلتزم مؤسستي بمعايير التشفير والترميز الطبي المُعتمَدة من الجهات التنظيمية السعودية.</w:t>
      </w:r>
    </w:p>
    <w:p w14:paraId="3318332A" w14:textId="7A713F51"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426F94B8"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X6. تُطبَّق سياسات حماية البيانات الصحية وفق متطلبات CCHI والأطر التنظيمية ذات الصلة.</w:t>
      </w:r>
    </w:p>
    <w:p w14:paraId="6F67139D" w14:textId="65971038"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606860D3"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X7. يُمكن الوصول إلى الملف الإلكتروني للمريض فورياً عند الحاجة لمعالجة المطالبات.</w:t>
      </w:r>
    </w:p>
    <w:p w14:paraId="767D1956" w14:textId="6F560FAE"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3841F67F"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X8. يتكامل نظام الملف الإلكتروني لدينا مع أنظمة التأمين والمنشآت الصحية الأخرى بسلاسة.</w:t>
      </w:r>
    </w:p>
    <w:p w14:paraId="19F6E719" w14:textId="53A47029"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300C6A72"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X9. تُوجَد سجلات تدقيق واضحة تُوثّق جميع التعديلات على بيانات الملف الإلكتروني.</w:t>
      </w:r>
    </w:p>
    <w:p w14:paraId="609CBA58" w14:textId="666FA8BD"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77A5AA44"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X10. تُحدَّد المسؤوليات بوضوح عند وقوع أي خطأ أو خلل في بيانات الملف الإلكتروني.</w:t>
      </w:r>
    </w:p>
    <w:p w14:paraId="2981ECEA"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4E35B887" w14:textId="64A93E50" w:rsidR="008E5FC8" w:rsidRPr="0027230A" w:rsidRDefault="008E5FC8" w:rsidP="0027230A">
      <w:pPr>
        <w:jc w:val="center"/>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القسم الثالث: الأداء والفاعلية المؤسسية (المتغير التابع)</w:t>
      </w:r>
    </w:p>
    <w:p w14:paraId="7DF4F86B"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Y1. تُعالَج المطالبات التأمينية في مؤسستي بسرعة وكفاءة عالية.</w:t>
      </w:r>
    </w:p>
    <w:p w14:paraId="0AFF177C" w14:textId="4BC8733B"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7734AB3D"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Y2. تنخفض نسبة الأخطاء في إصدار الفواتير والمطالبات التأمينية في مؤسستي.</w:t>
      </w:r>
    </w:p>
    <w:p w14:paraId="483179E6" w14:textId="63F9750D"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2D1E41F9"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Y3. تُقدّم مؤسستي خدمات تأمينية ذات جودة عالية تلبّي توقعات المستفيدين.</w:t>
      </w:r>
    </w:p>
    <w:p w14:paraId="30B2FBA0" w14:textId="740C4CA9"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5D6C07C2"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Y4. تستجيب مؤسستي باستمرار لاحتياجات واستفسارات المستفيدين بصورة سريعة ودقيقة.</w:t>
      </w:r>
    </w:p>
    <w:p w14:paraId="08B6B4D0" w14:textId="16E5E08A"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64434F66"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Y5. تعتمد مؤسستي في قراراتها التأمينية على بيانات موثوقة ومحدّثة من الملف الإلكتروني.</w:t>
      </w:r>
    </w:p>
    <w:p w14:paraId="00FAD1B0" w14:textId="0BE3CC67"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lastRenderedPageBreak/>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314B0C41"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Y6. تتسم قرارات الموافقة أو الرفض للمطالبات التأمينية بالدقة والموضوعية في مؤسستي.</w:t>
      </w:r>
    </w:p>
    <w:p w14:paraId="59918853" w14:textId="3D253CB9"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3F27C9DB"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Y7. تُسهم حوكمة الملف الإلكتروني الجيدة في خفض التكاليف التشغيلية في مؤسستي.</w:t>
      </w:r>
    </w:p>
    <w:p w14:paraId="2F83218C" w14:textId="58974C9D"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54AAB945"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Y8. تُكشف حالات الازدواجية والهدر في التكاليف الطبية من خلال تحليل بيانات الملف الإلكتروني.</w:t>
      </w:r>
    </w:p>
    <w:p w14:paraId="72A6810F" w14:textId="3F6300D9"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78B209FE"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Y9. يُبدي المستفيدون رضاهم عن سرعة ودقة المطالبات التأمينية التي تعالجها مؤسستي.</w:t>
      </w:r>
    </w:p>
    <w:p w14:paraId="79F61808" w14:textId="54244831"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7104F406" w14:textId="77777777" w:rsidR="008E5FC8" w:rsidRPr="00635161" w:rsidRDefault="008E5FC8" w:rsidP="00635161">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Y10. يرتبط مستوى ثقة المستفيدين بمؤسستنا ارتباطاً مباشراً بجودة نظام الملف الإلكتروني لدينا.</w:t>
      </w:r>
    </w:p>
    <w:p w14:paraId="6CE9CAA9" w14:textId="0EF264F5" w:rsidR="008E5FC8" w:rsidRPr="00635161" w:rsidRDefault="008E5FC8" w:rsidP="0027230A">
      <w:pPr>
        <w:rPr>
          <w:rFonts w:ascii="Simplified Arabic" w:hAnsi="Simplified Arabic" w:cs="Simplified Arabic"/>
          <w:sz w:val="28"/>
          <w:szCs w:val="28"/>
        </w:rPr>
      </w:pPr>
      <w:r w:rsidRPr="00635161">
        <w:rPr>
          <w:rFonts w:ascii="Simplified Arabic" w:eastAsia="Times New Roman" w:hAnsi="Simplified Arabic" w:cs="Simplified Arabic"/>
          <w:sz w:val="28"/>
          <w:szCs w:val="28"/>
          <w:rtl/>
        </w:rPr>
        <w:t xml:space="preserve">1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2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3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4  </w:t>
      </w:r>
      <w:r w:rsidRPr="00635161">
        <w:rPr>
          <w:rFonts w:ascii="Times New Roman" w:eastAsia="Times New Roman" w:hAnsi="Times New Roman" w:cs="Times New Roman" w:hint="cs"/>
          <w:sz w:val="28"/>
          <w:szCs w:val="28"/>
          <w:rtl/>
        </w:rPr>
        <w:t>○</w:t>
      </w:r>
      <w:r w:rsidRPr="00635161">
        <w:rPr>
          <w:rFonts w:ascii="Simplified Arabic" w:eastAsia="Times New Roman" w:hAnsi="Simplified Arabic" w:cs="Simplified Arabic"/>
          <w:sz w:val="28"/>
          <w:szCs w:val="28"/>
          <w:rtl/>
        </w:rPr>
        <w:t xml:space="preserve">     5  </w:t>
      </w:r>
      <w:r w:rsidRPr="00635161">
        <w:rPr>
          <w:rFonts w:ascii="Times New Roman" w:eastAsia="Times New Roman" w:hAnsi="Times New Roman" w:cs="Times New Roman" w:hint="cs"/>
          <w:sz w:val="28"/>
          <w:szCs w:val="28"/>
          <w:rtl/>
        </w:rPr>
        <w:t>○</w:t>
      </w:r>
    </w:p>
    <w:p w14:paraId="6010AEED" w14:textId="77777777" w:rsidR="008E5FC8" w:rsidRPr="00635161" w:rsidRDefault="008E5FC8" w:rsidP="00635161">
      <w:pPr>
        <w:rPr>
          <w:rFonts w:ascii="Simplified Arabic" w:hAnsi="Simplified Arabic" w:cs="Simplified Arabic"/>
          <w:sz w:val="28"/>
          <w:szCs w:val="28"/>
        </w:rPr>
      </w:pPr>
    </w:p>
    <w:p w14:paraId="7B13ABE9" w14:textId="77777777" w:rsidR="008E5FC8" w:rsidRPr="00635161" w:rsidRDefault="008E5FC8" w:rsidP="0027230A">
      <w:pPr>
        <w:bidi w:val="0"/>
        <w:jc w:val="left"/>
        <w:rPr>
          <w:rFonts w:ascii="Simplified Arabic" w:hAnsi="Simplified Arabic" w:cs="Simplified Arabic"/>
          <w:sz w:val="28"/>
          <w:szCs w:val="28"/>
        </w:rPr>
      </w:pPr>
      <w:r w:rsidRPr="00635161">
        <w:rPr>
          <w:rFonts w:ascii="Simplified Arabic" w:eastAsia="Times New Roman" w:hAnsi="Simplified Arabic" w:cs="Simplified Arabic"/>
          <w:b/>
          <w:bCs/>
          <w:sz w:val="28"/>
          <w:szCs w:val="28"/>
          <w:rtl/>
        </w:rPr>
        <w:t>شكراً جزيلاً على مشاركتكم الكريمة في هذه الدراسة</w:t>
      </w:r>
    </w:p>
    <w:p w14:paraId="4760F7AC" w14:textId="12F716E8" w:rsidR="004163C7" w:rsidRPr="00635161" w:rsidRDefault="008E5FC8" w:rsidP="0027230A">
      <w:pPr>
        <w:bidi w:val="0"/>
        <w:rPr>
          <w:rFonts w:ascii="Simplified Arabic" w:hAnsi="Simplified Arabic" w:cs="Simplified Arabic"/>
          <w:sz w:val="28"/>
          <w:szCs w:val="28"/>
          <w:rtl/>
        </w:rPr>
      </w:pPr>
      <w:r w:rsidRPr="00635161">
        <w:rPr>
          <w:rFonts w:ascii="Simplified Arabic" w:eastAsia="Times New Roman" w:hAnsi="Simplified Arabic" w:cs="Simplified Arabic"/>
          <w:sz w:val="28"/>
          <w:szCs w:val="28"/>
          <w:rtl/>
        </w:rPr>
        <w:t>الباحثة: آمال فهد الحصيني— جامعة ميدأوشن — 2025/2026</w:t>
      </w:r>
    </w:p>
    <w:p w14:paraId="1C8F85A6" w14:textId="77777777" w:rsidR="004163C7" w:rsidRPr="00635161" w:rsidRDefault="004163C7" w:rsidP="00635161">
      <w:pPr>
        <w:rPr>
          <w:rFonts w:ascii="Simplified Arabic" w:hAnsi="Simplified Arabic" w:cs="Simplified Arabic"/>
          <w:sz w:val="28"/>
          <w:szCs w:val="28"/>
          <w:rtl/>
        </w:rPr>
      </w:pPr>
    </w:p>
    <w:p w14:paraId="2A274B73" w14:textId="77777777" w:rsidR="004163C7" w:rsidRPr="00635161" w:rsidRDefault="004163C7" w:rsidP="00635161">
      <w:pPr>
        <w:rPr>
          <w:rFonts w:ascii="Simplified Arabic" w:hAnsi="Simplified Arabic" w:cs="Simplified Arabic"/>
          <w:sz w:val="28"/>
          <w:szCs w:val="28"/>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6B4DDFC1" w:rsidR="004163C7" w:rsidRDefault="004163C7" w:rsidP="009125CE">
      <w:pPr>
        <w:rPr>
          <w:rFonts w:ascii="Sakkal Majalla" w:hAnsi="Sakkal Majalla" w:cs="Sakkal Majalla"/>
          <w:sz w:val="28"/>
          <w:szCs w:val="28"/>
          <w:u w:val="single"/>
          <w:rtl/>
        </w:rPr>
      </w:pPr>
    </w:p>
    <w:p w14:paraId="4C65BEBF" w14:textId="77777777" w:rsidR="00B54C6D" w:rsidRDefault="00B54C6D" w:rsidP="009125CE">
      <w:pPr>
        <w:rPr>
          <w:rFonts w:ascii="Sakkal Majalla" w:hAnsi="Sakkal Majalla" w:cs="Sakkal Majalla"/>
          <w:sz w:val="28"/>
          <w:szCs w:val="28"/>
          <w:u w:val="single"/>
          <w:rtl/>
        </w:rPr>
      </w:pPr>
    </w:p>
    <w:p w14:paraId="63D036AD" w14:textId="77777777" w:rsidR="00B54C6D" w:rsidRDefault="00B54C6D"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60AC88AE" w14:textId="45FD3C6F" w:rsidR="009125CE" w:rsidRPr="001C7D3B" w:rsidRDefault="00567ED9" w:rsidP="001C7D3B">
      <w:pPr>
        <w:bidi w:val="0"/>
        <w:ind w:firstLine="0"/>
        <w:rPr>
          <w:rFonts w:asciiTheme="majorBidi" w:hAnsiTheme="majorBidi" w:cstheme="majorBidi"/>
          <w:sz w:val="32"/>
          <w:szCs w:val="32"/>
        </w:rPr>
      </w:pPr>
      <w:r>
        <w:rPr>
          <w:rFonts w:asciiTheme="majorBidi" w:hAnsiTheme="majorBidi" w:cstheme="majorBidi"/>
          <w:noProof/>
          <w:sz w:val="32"/>
          <w:szCs w:val="32"/>
        </w:rPr>
        <w:lastRenderedPageBreak/>
        <w:drawing>
          <wp:anchor distT="0" distB="0" distL="114300" distR="114300" simplePos="0" relativeHeight="251661312" behindDoc="0" locked="0" layoutInCell="1" allowOverlap="1" wp14:anchorId="44EB35B1" wp14:editId="365F0779">
            <wp:simplePos x="0" y="0"/>
            <wp:positionH relativeFrom="margin">
              <wp:posOffset>3686175</wp:posOffset>
            </wp:positionH>
            <wp:positionV relativeFrom="margin">
              <wp:posOffset>-193675</wp:posOffset>
            </wp:positionV>
            <wp:extent cx="1895475" cy="1755140"/>
            <wp:effectExtent l="0" t="0" r="9525" b="0"/>
            <wp:wrapSquare wrapText="bothSides"/>
            <wp:docPr id="1467091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5475" cy="1755140"/>
                    </a:xfrm>
                    <a:prstGeom prst="rect">
                      <a:avLst/>
                    </a:prstGeom>
                    <a:noFill/>
                  </pic:spPr>
                </pic:pic>
              </a:graphicData>
            </a:graphic>
            <wp14:sizeRelH relativeFrom="margin">
              <wp14:pctWidth>0</wp14:pctWidth>
            </wp14:sizeRelH>
            <wp14:sizeRelV relativeFrom="margin">
              <wp14:pctHeight>0</wp14:pctHeight>
            </wp14:sizeRelV>
          </wp:anchor>
        </w:drawing>
      </w:r>
      <w:r w:rsidR="009125CE" w:rsidRPr="001C7D3B">
        <w:rPr>
          <w:rFonts w:asciiTheme="majorBidi" w:hAnsiTheme="majorBidi" w:cstheme="majorBidi"/>
          <w:sz w:val="32"/>
          <w:szCs w:val="32"/>
        </w:rPr>
        <w:t xml:space="preserve">Midocean University </w:t>
      </w:r>
    </w:p>
    <w:p w14:paraId="188EE430" w14:textId="193CA11B" w:rsidR="009125CE" w:rsidRPr="001C7D3B" w:rsidRDefault="009125CE" w:rsidP="001C7D3B">
      <w:pPr>
        <w:bidi w:val="0"/>
        <w:ind w:firstLine="0"/>
        <w:rPr>
          <w:rFonts w:asciiTheme="majorBidi" w:hAnsiTheme="majorBidi" w:cstheme="majorBidi"/>
          <w:sz w:val="32"/>
          <w:szCs w:val="32"/>
        </w:rPr>
      </w:pPr>
      <w:r w:rsidRPr="001C7D3B">
        <w:rPr>
          <w:rFonts w:asciiTheme="majorBidi" w:hAnsiTheme="majorBidi" w:cstheme="majorBidi"/>
          <w:sz w:val="32"/>
          <w:szCs w:val="32"/>
        </w:rPr>
        <w:t>College of Management</w:t>
      </w:r>
    </w:p>
    <w:p w14:paraId="20966BA7" w14:textId="20A748A9" w:rsidR="009125CE" w:rsidRPr="001C7D3B" w:rsidRDefault="009125CE" w:rsidP="001C7D3B">
      <w:pPr>
        <w:bidi w:val="0"/>
        <w:ind w:firstLine="0"/>
        <w:rPr>
          <w:rFonts w:asciiTheme="majorBidi" w:hAnsiTheme="majorBidi" w:cstheme="majorBidi"/>
          <w:sz w:val="32"/>
          <w:szCs w:val="32"/>
          <w:rtl/>
        </w:rPr>
      </w:pPr>
      <w:r w:rsidRPr="001C7D3B">
        <w:rPr>
          <w:rFonts w:asciiTheme="majorBidi" w:hAnsiTheme="majorBidi" w:cstheme="majorBidi"/>
          <w:sz w:val="32"/>
          <w:szCs w:val="32"/>
        </w:rPr>
        <w:t>Department of</w:t>
      </w:r>
      <w:r w:rsidR="00100401" w:rsidRPr="001C7D3B">
        <w:rPr>
          <w:rFonts w:asciiTheme="majorBidi" w:hAnsiTheme="majorBidi" w:cstheme="majorBidi"/>
          <w:sz w:val="32"/>
          <w:szCs w:val="32"/>
          <w:rtl/>
        </w:rPr>
        <w:t xml:space="preserve"> </w:t>
      </w:r>
      <w:r w:rsidR="00100401" w:rsidRPr="001C7D3B">
        <w:rPr>
          <w:rFonts w:asciiTheme="majorBidi" w:eastAsia="Times New Roman" w:hAnsiTheme="majorBidi" w:cstheme="majorBidi"/>
          <w:sz w:val="28"/>
          <w:szCs w:val="28"/>
        </w:rPr>
        <w:t>Business Administration</w:t>
      </w:r>
    </w:p>
    <w:p w14:paraId="0544D210" w14:textId="1ACEFC18" w:rsidR="009125CE" w:rsidRDefault="009125CE" w:rsidP="009125CE">
      <w:pPr>
        <w:tabs>
          <w:tab w:val="left" w:pos="942"/>
        </w:tabs>
        <w:rPr>
          <w:rFonts w:asciiTheme="majorBidi" w:hAnsiTheme="majorBidi" w:cstheme="majorBidi"/>
          <w:b/>
          <w:bCs/>
          <w:sz w:val="32"/>
          <w:szCs w:val="32"/>
          <w:rtl/>
          <w:lang w:bidi="ar-EG"/>
        </w:rPr>
      </w:pPr>
      <w:r w:rsidRPr="001C7D3B">
        <w:rPr>
          <w:rFonts w:asciiTheme="majorBidi" w:hAnsiTheme="majorBidi" w:cstheme="majorBidi"/>
          <w:b/>
          <w:bCs/>
          <w:sz w:val="32"/>
          <w:szCs w:val="32"/>
          <w:rtl/>
        </w:rPr>
        <w:tab/>
      </w:r>
    </w:p>
    <w:p w14:paraId="52980E4E" w14:textId="77777777" w:rsidR="001C7D3B" w:rsidRDefault="001C7D3B" w:rsidP="009125CE">
      <w:pPr>
        <w:tabs>
          <w:tab w:val="left" w:pos="942"/>
        </w:tabs>
        <w:rPr>
          <w:rFonts w:asciiTheme="majorBidi" w:hAnsiTheme="majorBidi" w:cstheme="majorBidi"/>
          <w:b/>
          <w:bCs/>
          <w:sz w:val="32"/>
          <w:szCs w:val="32"/>
          <w:rtl/>
          <w:lang w:bidi="ar-EG"/>
        </w:rPr>
      </w:pPr>
    </w:p>
    <w:p w14:paraId="012536BC" w14:textId="77777777" w:rsidR="00567ED9" w:rsidRPr="001C7D3B" w:rsidRDefault="00567ED9" w:rsidP="009125CE">
      <w:pPr>
        <w:tabs>
          <w:tab w:val="left" w:pos="942"/>
        </w:tabs>
        <w:rPr>
          <w:rFonts w:asciiTheme="majorBidi" w:hAnsiTheme="majorBidi" w:cstheme="majorBidi"/>
          <w:b/>
          <w:bCs/>
          <w:sz w:val="32"/>
          <w:szCs w:val="32"/>
          <w:rtl/>
          <w:lang w:bidi="ar-EG"/>
        </w:rPr>
      </w:pPr>
    </w:p>
    <w:p w14:paraId="43DD606C" w14:textId="3F4810B9" w:rsidR="00100401" w:rsidRPr="001C7D3B" w:rsidRDefault="00100401" w:rsidP="001C7D3B">
      <w:pPr>
        <w:bidi w:val="0"/>
        <w:jc w:val="center"/>
        <w:rPr>
          <w:rFonts w:asciiTheme="majorBidi" w:hAnsiTheme="majorBidi" w:cstheme="majorBidi"/>
          <w:sz w:val="32"/>
          <w:szCs w:val="32"/>
          <w:rtl/>
        </w:rPr>
      </w:pPr>
      <w:r w:rsidRPr="001C7D3B">
        <w:rPr>
          <w:rFonts w:asciiTheme="majorBidi" w:hAnsiTheme="majorBidi" w:cstheme="majorBidi"/>
          <w:b/>
          <w:bCs/>
          <w:sz w:val="32"/>
          <w:szCs w:val="32"/>
        </w:rPr>
        <w:t>The Impact of Electronic Patient File Governance on the Performance and Effectiveness</w:t>
      </w:r>
      <w:r w:rsidR="001C7D3B" w:rsidRPr="001C7D3B">
        <w:rPr>
          <w:rFonts w:asciiTheme="majorBidi" w:hAnsiTheme="majorBidi" w:cstheme="majorBidi"/>
          <w:sz w:val="32"/>
          <w:szCs w:val="32"/>
        </w:rPr>
        <w:t xml:space="preserve"> </w:t>
      </w:r>
      <w:r w:rsidRPr="001C7D3B">
        <w:rPr>
          <w:rFonts w:asciiTheme="majorBidi" w:hAnsiTheme="majorBidi" w:cstheme="majorBidi"/>
          <w:b/>
          <w:bCs/>
          <w:sz w:val="32"/>
          <w:szCs w:val="32"/>
        </w:rPr>
        <w:t>of Health Insurance Companies in Saudi Arabia</w:t>
      </w:r>
    </w:p>
    <w:p w14:paraId="4902DBD3" w14:textId="77777777" w:rsidR="009125CE" w:rsidRPr="001C7D3B" w:rsidRDefault="009125CE" w:rsidP="001C7D3B">
      <w:pPr>
        <w:bidi w:val="0"/>
        <w:jc w:val="center"/>
        <w:rPr>
          <w:rFonts w:asciiTheme="majorBidi" w:hAnsiTheme="majorBidi" w:cstheme="majorBidi"/>
          <w:sz w:val="32"/>
          <w:szCs w:val="32"/>
        </w:rPr>
      </w:pPr>
    </w:p>
    <w:p w14:paraId="0EAD9CF2" w14:textId="25FA0A35" w:rsidR="009125CE" w:rsidRPr="001C7D3B" w:rsidRDefault="009125CE" w:rsidP="00567ED9">
      <w:pPr>
        <w:tabs>
          <w:tab w:val="left" w:pos="5562"/>
        </w:tabs>
        <w:bidi w:val="0"/>
        <w:rPr>
          <w:rFonts w:asciiTheme="majorBidi" w:hAnsiTheme="majorBidi" w:cstheme="majorBidi"/>
          <w:sz w:val="32"/>
          <w:szCs w:val="32"/>
        </w:rPr>
      </w:pPr>
      <w:r w:rsidRPr="001C7D3B">
        <w:rPr>
          <w:rFonts w:asciiTheme="majorBidi" w:hAnsiTheme="majorBidi" w:cstheme="majorBidi"/>
          <w:sz w:val="32"/>
          <w:szCs w:val="32"/>
          <w:rtl/>
        </w:rPr>
        <w:tab/>
      </w:r>
    </w:p>
    <w:p w14:paraId="55C6339D" w14:textId="77777777" w:rsidR="009125CE" w:rsidRPr="001C7D3B" w:rsidRDefault="009125CE" w:rsidP="001C7D3B">
      <w:pPr>
        <w:tabs>
          <w:tab w:val="left" w:pos="5562"/>
        </w:tabs>
        <w:bidi w:val="0"/>
        <w:rPr>
          <w:rFonts w:asciiTheme="majorBidi" w:hAnsiTheme="majorBidi" w:cstheme="majorBidi"/>
          <w:sz w:val="32"/>
          <w:szCs w:val="32"/>
          <w:rtl/>
        </w:rPr>
      </w:pPr>
    </w:p>
    <w:p w14:paraId="17A525A5" w14:textId="6106C18C" w:rsidR="009125CE" w:rsidRPr="001C7D3B" w:rsidRDefault="009125CE" w:rsidP="001C7D3B">
      <w:pPr>
        <w:bidi w:val="0"/>
        <w:jc w:val="center"/>
        <w:rPr>
          <w:rFonts w:asciiTheme="majorBidi" w:hAnsiTheme="majorBidi" w:cstheme="majorBidi"/>
          <w:b/>
          <w:bCs/>
          <w:sz w:val="32"/>
          <w:szCs w:val="32"/>
        </w:rPr>
      </w:pPr>
      <w:r w:rsidRPr="001C7D3B">
        <w:rPr>
          <w:rFonts w:asciiTheme="majorBidi" w:hAnsiTheme="majorBidi" w:cstheme="majorBidi"/>
          <w:b/>
          <w:bCs/>
          <w:sz w:val="32"/>
          <w:szCs w:val="32"/>
        </w:rPr>
        <w:t>Prepared by:</w:t>
      </w:r>
    </w:p>
    <w:p w14:paraId="2851F391" w14:textId="3503743F" w:rsidR="009125CE" w:rsidRPr="001C7D3B" w:rsidRDefault="00100401" w:rsidP="001C7D3B">
      <w:pPr>
        <w:bidi w:val="0"/>
        <w:jc w:val="center"/>
        <w:rPr>
          <w:rFonts w:asciiTheme="majorBidi" w:hAnsiTheme="majorBidi" w:cstheme="majorBidi"/>
          <w:b/>
          <w:bCs/>
          <w:sz w:val="32"/>
          <w:szCs w:val="32"/>
        </w:rPr>
      </w:pPr>
      <w:r w:rsidRPr="001C7D3B">
        <w:rPr>
          <w:rFonts w:asciiTheme="majorBidi" w:hAnsiTheme="majorBidi" w:cstheme="majorBidi"/>
          <w:b/>
          <w:bCs/>
          <w:sz w:val="32"/>
          <w:szCs w:val="32"/>
        </w:rPr>
        <w:t>Amal Fahad Alhusayni</w:t>
      </w:r>
    </w:p>
    <w:p w14:paraId="0E2ACB58" w14:textId="77777777" w:rsidR="009125CE" w:rsidRPr="001C7D3B" w:rsidRDefault="009125CE" w:rsidP="001C7D3B">
      <w:pPr>
        <w:bidi w:val="0"/>
        <w:jc w:val="center"/>
        <w:rPr>
          <w:rFonts w:asciiTheme="majorBidi" w:hAnsiTheme="majorBidi" w:cstheme="majorBidi"/>
          <w:b/>
          <w:bCs/>
          <w:sz w:val="32"/>
          <w:szCs w:val="32"/>
        </w:rPr>
      </w:pPr>
    </w:p>
    <w:p w14:paraId="7919F0CA" w14:textId="7396D6CB" w:rsidR="009125CE" w:rsidRPr="001C7D3B" w:rsidRDefault="009125CE" w:rsidP="001C7D3B">
      <w:pPr>
        <w:bidi w:val="0"/>
        <w:jc w:val="center"/>
        <w:rPr>
          <w:rFonts w:asciiTheme="majorBidi" w:hAnsiTheme="majorBidi" w:cstheme="majorBidi"/>
          <w:b/>
          <w:bCs/>
          <w:sz w:val="32"/>
          <w:szCs w:val="32"/>
        </w:rPr>
      </w:pPr>
      <w:r w:rsidRPr="001C7D3B">
        <w:rPr>
          <w:rFonts w:asciiTheme="majorBidi" w:hAnsiTheme="majorBidi" w:cstheme="majorBidi"/>
          <w:b/>
          <w:bCs/>
          <w:sz w:val="32"/>
          <w:szCs w:val="32"/>
        </w:rPr>
        <w:t>Supervised by:</w:t>
      </w:r>
    </w:p>
    <w:p w14:paraId="6961BB4B" w14:textId="77777777" w:rsidR="00100401" w:rsidRPr="001C7D3B" w:rsidRDefault="00100401" w:rsidP="001C7D3B">
      <w:pPr>
        <w:bidi w:val="0"/>
        <w:jc w:val="center"/>
        <w:rPr>
          <w:rFonts w:asciiTheme="majorBidi" w:hAnsiTheme="majorBidi" w:cstheme="majorBidi"/>
          <w:b/>
          <w:bCs/>
          <w:sz w:val="32"/>
          <w:szCs w:val="32"/>
        </w:rPr>
      </w:pPr>
      <w:r w:rsidRPr="001C7D3B">
        <w:rPr>
          <w:rFonts w:asciiTheme="majorBidi" w:hAnsiTheme="majorBidi" w:cstheme="majorBidi"/>
          <w:b/>
          <w:bCs/>
          <w:sz w:val="32"/>
          <w:szCs w:val="32"/>
        </w:rPr>
        <w:t>Dr. Al-Faisal Abdul Hamid Muhammad Hassan</w:t>
      </w:r>
    </w:p>
    <w:p w14:paraId="33679F79" w14:textId="69AB3D76" w:rsidR="009125CE" w:rsidRPr="001C7D3B" w:rsidRDefault="00100401" w:rsidP="001C7D3B">
      <w:pPr>
        <w:bidi w:val="0"/>
        <w:jc w:val="center"/>
        <w:rPr>
          <w:rFonts w:asciiTheme="majorBidi" w:hAnsiTheme="majorBidi" w:cstheme="majorBidi"/>
          <w:b/>
          <w:bCs/>
          <w:sz w:val="32"/>
          <w:szCs w:val="32"/>
        </w:rPr>
      </w:pPr>
      <w:r w:rsidRPr="001C7D3B">
        <w:rPr>
          <w:rFonts w:asciiTheme="majorBidi" w:hAnsiTheme="majorBidi" w:cstheme="majorBidi"/>
          <w:b/>
          <w:bCs/>
          <w:sz w:val="32"/>
          <w:szCs w:val="32"/>
        </w:rPr>
        <w:t xml:space="preserve"> Dr. Fayez Jarad</w:t>
      </w:r>
    </w:p>
    <w:p w14:paraId="0BC0F18B" w14:textId="77777777" w:rsidR="009125CE" w:rsidRPr="001C7D3B" w:rsidRDefault="009125CE" w:rsidP="001C7D3B">
      <w:pPr>
        <w:bidi w:val="0"/>
        <w:jc w:val="center"/>
        <w:rPr>
          <w:rFonts w:asciiTheme="majorBidi" w:hAnsiTheme="majorBidi" w:cstheme="majorBidi"/>
          <w:b/>
          <w:bCs/>
          <w:sz w:val="32"/>
          <w:szCs w:val="32"/>
        </w:rPr>
      </w:pPr>
    </w:p>
    <w:p w14:paraId="67F58914" w14:textId="77777777" w:rsidR="00567ED9" w:rsidRDefault="00567ED9" w:rsidP="001C7D3B">
      <w:pPr>
        <w:bidi w:val="0"/>
        <w:jc w:val="center"/>
        <w:rPr>
          <w:rFonts w:asciiTheme="majorBidi" w:hAnsiTheme="majorBidi" w:cstheme="majorBidi"/>
          <w:b/>
          <w:bCs/>
          <w:sz w:val="32"/>
          <w:szCs w:val="32"/>
        </w:rPr>
      </w:pPr>
    </w:p>
    <w:p w14:paraId="6B125425" w14:textId="77777777" w:rsidR="00567ED9" w:rsidRDefault="00567ED9" w:rsidP="00567ED9">
      <w:pPr>
        <w:bidi w:val="0"/>
        <w:jc w:val="center"/>
        <w:rPr>
          <w:rFonts w:asciiTheme="majorBidi" w:hAnsiTheme="majorBidi" w:cstheme="majorBidi"/>
          <w:b/>
          <w:bCs/>
          <w:sz w:val="32"/>
          <w:szCs w:val="32"/>
        </w:rPr>
      </w:pPr>
    </w:p>
    <w:p w14:paraId="75091469" w14:textId="77777777" w:rsidR="00567ED9" w:rsidRDefault="00567ED9" w:rsidP="00567ED9">
      <w:pPr>
        <w:bidi w:val="0"/>
        <w:jc w:val="center"/>
        <w:rPr>
          <w:rFonts w:asciiTheme="majorBidi" w:hAnsiTheme="majorBidi" w:cstheme="majorBidi"/>
          <w:b/>
          <w:bCs/>
          <w:sz w:val="32"/>
          <w:szCs w:val="32"/>
        </w:rPr>
      </w:pPr>
    </w:p>
    <w:p w14:paraId="2D5A796C" w14:textId="77777777" w:rsidR="00567ED9" w:rsidRDefault="00567ED9" w:rsidP="00567ED9">
      <w:pPr>
        <w:bidi w:val="0"/>
        <w:jc w:val="center"/>
        <w:rPr>
          <w:rFonts w:asciiTheme="majorBidi" w:hAnsiTheme="majorBidi" w:cstheme="majorBidi"/>
          <w:b/>
          <w:bCs/>
          <w:sz w:val="32"/>
          <w:szCs w:val="32"/>
        </w:rPr>
      </w:pPr>
    </w:p>
    <w:p w14:paraId="72B782EB" w14:textId="77777777" w:rsidR="00567ED9" w:rsidRDefault="00567ED9" w:rsidP="00567ED9">
      <w:pPr>
        <w:bidi w:val="0"/>
        <w:jc w:val="center"/>
        <w:rPr>
          <w:rFonts w:asciiTheme="majorBidi" w:hAnsiTheme="majorBidi" w:cstheme="majorBidi"/>
          <w:b/>
          <w:bCs/>
          <w:sz w:val="32"/>
          <w:szCs w:val="32"/>
        </w:rPr>
      </w:pPr>
    </w:p>
    <w:p w14:paraId="2E3664C9" w14:textId="77777777" w:rsidR="00567ED9" w:rsidRDefault="00567ED9" w:rsidP="00567ED9">
      <w:pPr>
        <w:bidi w:val="0"/>
        <w:jc w:val="center"/>
        <w:rPr>
          <w:rFonts w:asciiTheme="majorBidi" w:hAnsiTheme="majorBidi" w:cstheme="majorBidi"/>
          <w:b/>
          <w:bCs/>
          <w:sz w:val="32"/>
          <w:szCs w:val="32"/>
        </w:rPr>
      </w:pPr>
    </w:p>
    <w:p w14:paraId="62F235D5" w14:textId="77777777" w:rsidR="00567ED9" w:rsidRDefault="00567ED9" w:rsidP="00567ED9">
      <w:pPr>
        <w:bidi w:val="0"/>
        <w:jc w:val="center"/>
        <w:rPr>
          <w:rFonts w:asciiTheme="majorBidi" w:hAnsiTheme="majorBidi" w:cstheme="majorBidi"/>
          <w:b/>
          <w:bCs/>
          <w:sz w:val="32"/>
          <w:szCs w:val="32"/>
        </w:rPr>
      </w:pPr>
    </w:p>
    <w:p w14:paraId="6E52896B" w14:textId="1DF4639A" w:rsidR="009125CE" w:rsidRPr="001C7D3B" w:rsidRDefault="009125CE" w:rsidP="00567ED9">
      <w:pPr>
        <w:bidi w:val="0"/>
        <w:jc w:val="center"/>
        <w:rPr>
          <w:rFonts w:ascii="Sakkal Majalla" w:hAnsi="Sakkal Majalla" w:cs="Sakkal Majalla"/>
          <w:b/>
          <w:bCs/>
          <w:sz w:val="28"/>
          <w:szCs w:val="28"/>
          <w:rtl/>
        </w:rPr>
      </w:pPr>
      <w:r w:rsidRPr="001C7D3B">
        <w:rPr>
          <w:rFonts w:asciiTheme="majorBidi" w:hAnsiTheme="majorBidi" w:cstheme="majorBidi"/>
          <w:b/>
          <w:bCs/>
          <w:sz w:val="32"/>
          <w:szCs w:val="32"/>
        </w:rPr>
        <w:t>Year:202</w:t>
      </w:r>
      <w:r w:rsidR="00100401" w:rsidRPr="001C7D3B">
        <w:rPr>
          <w:rFonts w:asciiTheme="majorBidi" w:hAnsiTheme="majorBidi" w:cstheme="majorBidi"/>
          <w:b/>
          <w:bCs/>
          <w:sz w:val="32"/>
          <w:szCs w:val="32"/>
        </w:rPr>
        <w:t>6</w:t>
      </w:r>
    </w:p>
    <w:p w14:paraId="0BE00E41" w14:textId="77777777" w:rsidR="001C7D3B" w:rsidRPr="001C7D3B" w:rsidRDefault="001C7D3B" w:rsidP="001C7D3B">
      <w:pPr>
        <w:rPr>
          <w:rFonts w:ascii="Sakkal Majalla" w:hAnsi="Sakkal Majalla" w:cs="Sakkal Majalla"/>
          <w:b/>
          <w:bCs/>
          <w:sz w:val="28"/>
          <w:szCs w:val="28"/>
        </w:rPr>
      </w:pPr>
    </w:p>
    <w:sectPr w:rsidR="001C7D3B" w:rsidRPr="001C7D3B" w:rsidSect="00843162">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ADF9A" w14:textId="77777777" w:rsidR="00ED4845" w:rsidRDefault="00ED4845" w:rsidP="009125CE">
      <w:pPr>
        <w:spacing w:after="0"/>
      </w:pPr>
      <w:r>
        <w:separator/>
      </w:r>
    </w:p>
  </w:endnote>
  <w:endnote w:type="continuationSeparator" w:id="0">
    <w:p w14:paraId="2C53F11A" w14:textId="77777777" w:rsidR="00ED4845" w:rsidRDefault="00ED4845"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9401317"/>
      <w:docPartObj>
        <w:docPartGallery w:val="Page Numbers (Bottom of Page)"/>
        <w:docPartUnique/>
      </w:docPartObj>
    </w:sdtPr>
    <w:sdtContent>
      <w:p w14:paraId="6204C47A" w14:textId="77777777" w:rsidR="00635161" w:rsidRDefault="006351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F255EF" w14:textId="77777777" w:rsidR="00635161" w:rsidRDefault="00635161">
    <w:pPr>
      <w:pStyle w:val="Foo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53196299"/>
      <w:docPartObj>
        <w:docPartGallery w:val="Page Numbers (Bottom of Page)"/>
        <w:docPartUnique/>
      </w:docPartObj>
    </w:sdtPr>
    <w:sdtContent>
      <w:p w14:paraId="2E4F7BD5" w14:textId="77777777" w:rsidR="003A0A87" w:rsidRDefault="003A0A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E5FFD" w14:textId="77777777" w:rsidR="003A0A87" w:rsidRDefault="003A0A87">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7E868" w14:textId="77777777" w:rsidR="00ED4845" w:rsidRDefault="00ED4845" w:rsidP="009125CE">
      <w:pPr>
        <w:spacing w:after="0"/>
      </w:pPr>
      <w:r>
        <w:separator/>
      </w:r>
    </w:p>
  </w:footnote>
  <w:footnote w:type="continuationSeparator" w:id="0">
    <w:p w14:paraId="11D69278" w14:textId="77777777" w:rsidR="00ED4845" w:rsidRDefault="00ED4845"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76605"/>
    <w:multiLevelType w:val="hybridMultilevel"/>
    <w:tmpl w:val="23A039E8"/>
    <w:lvl w:ilvl="0" w:tplc="47EEFDC2">
      <w:start w:val="1"/>
      <w:numFmt w:val="decimal"/>
      <w:lvlText w:val="%1."/>
      <w:lvlJc w:val="left"/>
      <w:pPr>
        <w:ind w:left="674" w:hanging="390"/>
      </w:pPr>
      <w:rPr>
        <w:rFonts w:eastAsia="Times New Roman" w:hint="default"/>
        <w:b/>
        <w:color w:val="1F386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B4D82"/>
    <w:multiLevelType w:val="multilevel"/>
    <w:tmpl w:val="89503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FD7541"/>
    <w:multiLevelType w:val="hybridMultilevel"/>
    <w:tmpl w:val="2CECC02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F0D613A"/>
    <w:multiLevelType w:val="hybridMultilevel"/>
    <w:tmpl w:val="7118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F3128F"/>
    <w:multiLevelType w:val="hybridMultilevel"/>
    <w:tmpl w:val="47784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291B30"/>
    <w:multiLevelType w:val="multilevel"/>
    <w:tmpl w:val="85ACA94C"/>
    <w:lvl w:ilvl="0">
      <w:start w:val="1"/>
      <w:numFmt w:val="decimal"/>
      <w:lvlText w:val="%1"/>
      <w:lvlJc w:val="left"/>
      <w:pPr>
        <w:ind w:left="468" w:hanging="468"/>
      </w:pPr>
      <w:rPr>
        <w:rFonts w:ascii="Simplified Arabic" w:hAnsi="Simplified Arabic" w:cs="Simplified Arabic" w:hint="default"/>
      </w:rPr>
    </w:lvl>
    <w:lvl w:ilvl="1">
      <w:start w:val="1"/>
      <w:numFmt w:val="decimal"/>
      <w:lvlText w:val="%1.%2"/>
      <w:lvlJc w:val="left"/>
      <w:pPr>
        <w:ind w:left="468" w:hanging="468"/>
      </w:pPr>
      <w:rPr>
        <w:rFonts w:ascii="Simplified Arabic" w:hAnsi="Simplified Arabic" w:cs="Simplified Arabic" w:hint="default"/>
      </w:rPr>
    </w:lvl>
    <w:lvl w:ilvl="2">
      <w:start w:val="1"/>
      <w:numFmt w:val="decimal"/>
      <w:lvlText w:val="%1.%2.%3"/>
      <w:lvlJc w:val="left"/>
      <w:pPr>
        <w:ind w:left="720" w:hanging="720"/>
      </w:pPr>
      <w:rPr>
        <w:rFonts w:ascii="Simplified Arabic" w:hAnsi="Simplified Arabic" w:cs="Simplified Arabic" w:hint="default"/>
      </w:rPr>
    </w:lvl>
    <w:lvl w:ilvl="3">
      <w:start w:val="1"/>
      <w:numFmt w:val="decimal"/>
      <w:lvlText w:val="%1.%2.%3.%4"/>
      <w:lvlJc w:val="left"/>
      <w:pPr>
        <w:ind w:left="720" w:hanging="720"/>
      </w:pPr>
      <w:rPr>
        <w:rFonts w:ascii="Simplified Arabic" w:hAnsi="Simplified Arabic" w:cs="Simplified Arabic" w:hint="default"/>
      </w:rPr>
    </w:lvl>
    <w:lvl w:ilvl="4">
      <w:start w:val="1"/>
      <w:numFmt w:val="decimal"/>
      <w:lvlText w:val="%1.%2.%3.%4.%5"/>
      <w:lvlJc w:val="left"/>
      <w:pPr>
        <w:ind w:left="1080" w:hanging="1080"/>
      </w:pPr>
      <w:rPr>
        <w:rFonts w:ascii="Simplified Arabic" w:hAnsi="Simplified Arabic" w:cs="Simplified Arabic" w:hint="default"/>
      </w:rPr>
    </w:lvl>
    <w:lvl w:ilvl="5">
      <w:start w:val="1"/>
      <w:numFmt w:val="decimal"/>
      <w:lvlText w:val="%1.%2.%3.%4.%5.%6"/>
      <w:lvlJc w:val="left"/>
      <w:pPr>
        <w:ind w:left="1080" w:hanging="1080"/>
      </w:pPr>
      <w:rPr>
        <w:rFonts w:ascii="Simplified Arabic" w:hAnsi="Simplified Arabic" w:cs="Simplified Arabic" w:hint="default"/>
      </w:rPr>
    </w:lvl>
    <w:lvl w:ilvl="6">
      <w:start w:val="1"/>
      <w:numFmt w:val="decimal"/>
      <w:lvlText w:val="%1.%2.%3.%4.%5.%6.%7"/>
      <w:lvlJc w:val="left"/>
      <w:pPr>
        <w:ind w:left="1440" w:hanging="1440"/>
      </w:pPr>
      <w:rPr>
        <w:rFonts w:ascii="Simplified Arabic" w:hAnsi="Simplified Arabic" w:cs="Simplified Arabic" w:hint="default"/>
      </w:rPr>
    </w:lvl>
    <w:lvl w:ilvl="7">
      <w:start w:val="1"/>
      <w:numFmt w:val="decimal"/>
      <w:lvlText w:val="%1.%2.%3.%4.%5.%6.%7.%8"/>
      <w:lvlJc w:val="left"/>
      <w:pPr>
        <w:ind w:left="1440" w:hanging="1440"/>
      </w:pPr>
      <w:rPr>
        <w:rFonts w:ascii="Simplified Arabic" w:hAnsi="Simplified Arabic" w:cs="Simplified Arabic" w:hint="default"/>
      </w:rPr>
    </w:lvl>
    <w:lvl w:ilvl="8">
      <w:start w:val="1"/>
      <w:numFmt w:val="decimal"/>
      <w:lvlText w:val="%1.%2.%3.%4.%5.%6.%7.%8.%9"/>
      <w:lvlJc w:val="left"/>
      <w:pPr>
        <w:ind w:left="1800" w:hanging="1800"/>
      </w:pPr>
      <w:rPr>
        <w:rFonts w:ascii="Simplified Arabic" w:hAnsi="Simplified Arabic" w:cs="Simplified Arabic" w:hint="default"/>
      </w:rPr>
    </w:lvl>
  </w:abstractNum>
  <w:abstractNum w:abstractNumId="6" w15:restartNumberingAfterBreak="0">
    <w:nsid w:val="337D09B2"/>
    <w:multiLevelType w:val="hybridMultilevel"/>
    <w:tmpl w:val="524493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7A037B7"/>
    <w:multiLevelType w:val="multilevel"/>
    <w:tmpl w:val="534CE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D03F25"/>
    <w:multiLevelType w:val="hybridMultilevel"/>
    <w:tmpl w:val="4C223F82"/>
    <w:lvl w:ilvl="0" w:tplc="A46891EA">
      <w:start w:val="1"/>
      <w:numFmt w:val="decimal"/>
      <w:lvlText w:val="%1."/>
      <w:lvlJc w:val="left"/>
      <w:pPr>
        <w:ind w:left="674" w:hanging="390"/>
      </w:pPr>
      <w:rPr>
        <w:rFonts w:eastAsia="Times New Roman" w:hint="default"/>
        <w:b/>
        <w:color w:val="1F386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461F5D7A"/>
    <w:multiLevelType w:val="multilevel"/>
    <w:tmpl w:val="925C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F53DF9"/>
    <w:multiLevelType w:val="hybridMultilevel"/>
    <w:tmpl w:val="0C24052E"/>
    <w:lvl w:ilvl="0" w:tplc="C0261FE6">
      <w:start w:val="1"/>
      <w:numFmt w:val="decimal"/>
      <w:lvlText w:val="%1."/>
      <w:lvlJc w:val="left"/>
      <w:pPr>
        <w:ind w:left="644" w:hanging="360"/>
      </w:pPr>
      <w:rPr>
        <w:rFonts w:eastAsia="Times New Roman" w:hint="default"/>
        <w:b/>
        <w:color w:val="1F386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4D265EC9"/>
    <w:multiLevelType w:val="hybridMultilevel"/>
    <w:tmpl w:val="1DD4D6D2"/>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2C761EA"/>
    <w:multiLevelType w:val="hybridMultilevel"/>
    <w:tmpl w:val="36A23DD6"/>
    <w:lvl w:ilvl="0" w:tplc="4C9A1168">
      <w:start w:val="1"/>
      <w:numFmt w:val="decimal"/>
      <w:lvlText w:val="%1."/>
      <w:lvlJc w:val="left"/>
      <w:pPr>
        <w:ind w:left="928" w:hanging="360"/>
      </w:pPr>
      <w:rPr>
        <w:rFonts w:eastAsia="Times New Roman" w:hint="default"/>
        <w:b/>
        <w:color w:val="1F3864"/>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57120ADA"/>
    <w:multiLevelType w:val="hybridMultilevel"/>
    <w:tmpl w:val="CE845E4C"/>
    <w:lvl w:ilvl="0" w:tplc="47EEFDC2">
      <w:start w:val="1"/>
      <w:numFmt w:val="decimal"/>
      <w:lvlText w:val="%1."/>
      <w:lvlJc w:val="left"/>
      <w:pPr>
        <w:ind w:left="1004" w:hanging="360"/>
      </w:pPr>
      <w:rPr>
        <w:rFonts w:eastAsia="Times New Roman" w:hint="default"/>
        <w:b/>
        <w:color w:val="1F3864"/>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4" w15:restartNumberingAfterBreak="0">
    <w:nsid w:val="574C3820"/>
    <w:multiLevelType w:val="hybridMultilevel"/>
    <w:tmpl w:val="DBC46D4C"/>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9E041E8"/>
    <w:multiLevelType w:val="hybridMultilevel"/>
    <w:tmpl w:val="398E5AD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69FD4C01"/>
    <w:multiLevelType w:val="hybridMultilevel"/>
    <w:tmpl w:val="2B78F346"/>
    <w:lvl w:ilvl="0" w:tplc="4C9A1168">
      <w:start w:val="1"/>
      <w:numFmt w:val="decimal"/>
      <w:lvlText w:val="%1."/>
      <w:lvlJc w:val="left"/>
      <w:pPr>
        <w:ind w:left="644" w:hanging="360"/>
      </w:pPr>
      <w:rPr>
        <w:rFonts w:eastAsia="Times New Roman" w:hint="default"/>
        <w:b/>
        <w:color w:val="1F386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7FE07A9B"/>
    <w:multiLevelType w:val="hybridMultilevel"/>
    <w:tmpl w:val="BD701C62"/>
    <w:lvl w:ilvl="0" w:tplc="47EEFDC2">
      <w:start w:val="1"/>
      <w:numFmt w:val="decimal"/>
      <w:lvlText w:val="%1."/>
      <w:lvlJc w:val="left"/>
      <w:pPr>
        <w:ind w:left="674" w:hanging="390"/>
      </w:pPr>
      <w:rPr>
        <w:rFonts w:eastAsia="Times New Roman" w:hint="default"/>
        <w:b/>
        <w:color w:val="1F386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937711689">
    <w:abstractNumId w:val="5"/>
  </w:num>
  <w:num w:numId="2" w16cid:durableId="18313337">
    <w:abstractNumId w:val="2"/>
  </w:num>
  <w:num w:numId="3" w16cid:durableId="1629161776">
    <w:abstractNumId w:val="16"/>
  </w:num>
  <w:num w:numId="4" w16cid:durableId="1155297289">
    <w:abstractNumId w:val="12"/>
  </w:num>
  <w:num w:numId="5" w16cid:durableId="643657013">
    <w:abstractNumId w:val="8"/>
  </w:num>
  <w:num w:numId="6" w16cid:durableId="254554056">
    <w:abstractNumId w:val="11"/>
  </w:num>
  <w:num w:numId="7" w16cid:durableId="1029454365">
    <w:abstractNumId w:val="17"/>
  </w:num>
  <w:num w:numId="8" w16cid:durableId="2138641481">
    <w:abstractNumId w:val="13"/>
  </w:num>
  <w:num w:numId="9" w16cid:durableId="1618831046">
    <w:abstractNumId w:val="0"/>
  </w:num>
  <w:num w:numId="10" w16cid:durableId="651905994">
    <w:abstractNumId w:val="15"/>
  </w:num>
  <w:num w:numId="11" w16cid:durableId="745420308">
    <w:abstractNumId w:val="10"/>
  </w:num>
  <w:num w:numId="12" w16cid:durableId="267205646">
    <w:abstractNumId w:val="4"/>
  </w:num>
  <w:num w:numId="13" w16cid:durableId="807405810">
    <w:abstractNumId w:val="14"/>
  </w:num>
  <w:num w:numId="14" w16cid:durableId="897207386">
    <w:abstractNumId w:val="7"/>
  </w:num>
  <w:num w:numId="15" w16cid:durableId="2117208183">
    <w:abstractNumId w:val="9"/>
  </w:num>
  <w:num w:numId="16" w16cid:durableId="790247975">
    <w:abstractNumId w:val="1"/>
  </w:num>
  <w:num w:numId="17" w16cid:durableId="1720006740">
    <w:abstractNumId w:val="6"/>
  </w:num>
  <w:num w:numId="18" w16cid:durableId="1013803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B58"/>
    <w:rsid w:val="0002149D"/>
    <w:rsid w:val="00024493"/>
    <w:rsid w:val="00066C75"/>
    <w:rsid w:val="00072FF3"/>
    <w:rsid w:val="00073C0E"/>
    <w:rsid w:val="000769AF"/>
    <w:rsid w:val="000828A3"/>
    <w:rsid w:val="00086946"/>
    <w:rsid w:val="00090F21"/>
    <w:rsid w:val="000B7E64"/>
    <w:rsid w:val="000B7FDB"/>
    <w:rsid w:val="000E18DD"/>
    <w:rsid w:val="000F44B4"/>
    <w:rsid w:val="00100401"/>
    <w:rsid w:val="0010492E"/>
    <w:rsid w:val="00114BBB"/>
    <w:rsid w:val="0012745D"/>
    <w:rsid w:val="00134ED8"/>
    <w:rsid w:val="001523F7"/>
    <w:rsid w:val="001902DB"/>
    <w:rsid w:val="001A3F74"/>
    <w:rsid w:val="001C2162"/>
    <w:rsid w:val="001C7D3B"/>
    <w:rsid w:val="001D735F"/>
    <w:rsid w:val="001F6EC7"/>
    <w:rsid w:val="00246707"/>
    <w:rsid w:val="002634CE"/>
    <w:rsid w:val="0027230A"/>
    <w:rsid w:val="002A1B0E"/>
    <w:rsid w:val="002A63BC"/>
    <w:rsid w:val="002C1776"/>
    <w:rsid w:val="002F1BB3"/>
    <w:rsid w:val="002F60EC"/>
    <w:rsid w:val="003019C2"/>
    <w:rsid w:val="00315A71"/>
    <w:rsid w:val="00324B0B"/>
    <w:rsid w:val="00325381"/>
    <w:rsid w:val="00326373"/>
    <w:rsid w:val="003408DB"/>
    <w:rsid w:val="0035392D"/>
    <w:rsid w:val="003702AB"/>
    <w:rsid w:val="0038371E"/>
    <w:rsid w:val="00383FB7"/>
    <w:rsid w:val="00393F81"/>
    <w:rsid w:val="003A0A87"/>
    <w:rsid w:val="003C2425"/>
    <w:rsid w:val="003D51FE"/>
    <w:rsid w:val="003E75C0"/>
    <w:rsid w:val="004163C7"/>
    <w:rsid w:val="00436194"/>
    <w:rsid w:val="00437AE9"/>
    <w:rsid w:val="004961BC"/>
    <w:rsid w:val="004B46A0"/>
    <w:rsid w:val="004B6B92"/>
    <w:rsid w:val="004C7FD2"/>
    <w:rsid w:val="004D5140"/>
    <w:rsid w:val="004E163F"/>
    <w:rsid w:val="004F17B6"/>
    <w:rsid w:val="00505594"/>
    <w:rsid w:val="00521F88"/>
    <w:rsid w:val="005434BF"/>
    <w:rsid w:val="005476A7"/>
    <w:rsid w:val="00547C78"/>
    <w:rsid w:val="00567ED9"/>
    <w:rsid w:val="0057059A"/>
    <w:rsid w:val="00576387"/>
    <w:rsid w:val="005D1967"/>
    <w:rsid w:val="005F0F43"/>
    <w:rsid w:val="00602EAB"/>
    <w:rsid w:val="006328EF"/>
    <w:rsid w:val="00635161"/>
    <w:rsid w:val="00640B67"/>
    <w:rsid w:val="0068333D"/>
    <w:rsid w:val="006878B6"/>
    <w:rsid w:val="006948DE"/>
    <w:rsid w:val="00696B64"/>
    <w:rsid w:val="006B2380"/>
    <w:rsid w:val="006E346A"/>
    <w:rsid w:val="00701003"/>
    <w:rsid w:val="007362BB"/>
    <w:rsid w:val="00750E33"/>
    <w:rsid w:val="00753CF7"/>
    <w:rsid w:val="007B0E54"/>
    <w:rsid w:val="007E3A20"/>
    <w:rsid w:val="007F1B41"/>
    <w:rsid w:val="00802932"/>
    <w:rsid w:val="00815F92"/>
    <w:rsid w:val="00832413"/>
    <w:rsid w:val="00835922"/>
    <w:rsid w:val="00843162"/>
    <w:rsid w:val="00852118"/>
    <w:rsid w:val="00866CEF"/>
    <w:rsid w:val="00877AAC"/>
    <w:rsid w:val="00887DAA"/>
    <w:rsid w:val="00896FE4"/>
    <w:rsid w:val="008976D2"/>
    <w:rsid w:val="008D3B01"/>
    <w:rsid w:val="008E5FC8"/>
    <w:rsid w:val="008F1EAE"/>
    <w:rsid w:val="00905E3E"/>
    <w:rsid w:val="009125CE"/>
    <w:rsid w:val="00917E2D"/>
    <w:rsid w:val="0094529E"/>
    <w:rsid w:val="00945EEF"/>
    <w:rsid w:val="00946F5F"/>
    <w:rsid w:val="00970AC5"/>
    <w:rsid w:val="00981EAB"/>
    <w:rsid w:val="00995CBF"/>
    <w:rsid w:val="009A5321"/>
    <w:rsid w:val="009B6888"/>
    <w:rsid w:val="009C0161"/>
    <w:rsid w:val="009D108D"/>
    <w:rsid w:val="009E1436"/>
    <w:rsid w:val="009E44F0"/>
    <w:rsid w:val="009E5668"/>
    <w:rsid w:val="009F730E"/>
    <w:rsid w:val="00A25C21"/>
    <w:rsid w:val="00A35F81"/>
    <w:rsid w:val="00A52D28"/>
    <w:rsid w:val="00A53EDA"/>
    <w:rsid w:val="00A63D99"/>
    <w:rsid w:val="00A73B6A"/>
    <w:rsid w:val="00A75443"/>
    <w:rsid w:val="00AA79E9"/>
    <w:rsid w:val="00AB0A70"/>
    <w:rsid w:val="00AB293B"/>
    <w:rsid w:val="00AC5DF2"/>
    <w:rsid w:val="00AF0709"/>
    <w:rsid w:val="00AF4A5E"/>
    <w:rsid w:val="00B16420"/>
    <w:rsid w:val="00B344B8"/>
    <w:rsid w:val="00B40F7E"/>
    <w:rsid w:val="00B54C6D"/>
    <w:rsid w:val="00B60B59"/>
    <w:rsid w:val="00B6331B"/>
    <w:rsid w:val="00B63B0F"/>
    <w:rsid w:val="00B664D0"/>
    <w:rsid w:val="00B7678A"/>
    <w:rsid w:val="00B820A4"/>
    <w:rsid w:val="00B866CD"/>
    <w:rsid w:val="00B948E9"/>
    <w:rsid w:val="00BC094B"/>
    <w:rsid w:val="00BD541A"/>
    <w:rsid w:val="00BE43B7"/>
    <w:rsid w:val="00BE4C0A"/>
    <w:rsid w:val="00C036DC"/>
    <w:rsid w:val="00C2227B"/>
    <w:rsid w:val="00C24248"/>
    <w:rsid w:val="00C247DE"/>
    <w:rsid w:val="00C72744"/>
    <w:rsid w:val="00C9026E"/>
    <w:rsid w:val="00CB2A44"/>
    <w:rsid w:val="00D04F62"/>
    <w:rsid w:val="00D07D0C"/>
    <w:rsid w:val="00D20AAA"/>
    <w:rsid w:val="00D22171"/>
    <w:rsid w:val="00D24B37"/>
    <w:rsid w:val="00D33DED"/>
    <w:rsid w:val="00D36709"/>
    <w:rsid w:val="00D50946"/>
    <w:rsid w:val="00D52480"/>
    <w:rsid w:val="00D62046"/>
    <w:rsid w:val="00D92FF0"/>
    <w:rsid w:val="00DA5CB4"/>
    <w:rsid w:val="00DA6E82"/>
    <w:rsid w:val="00DA7123"/>
    <w:rsid w:val="00DB28BF"/>
    <w:rsid w:val="00DC561D"/>
    <w:rsid w:val="00E32F52"/>
    <w:rsid w:val="00E4311F"/>
    <w:rsid w:val="00E469E7"/>
    <w:rsid w:val="00E603AC"/>
    <w:rsid w:val="00E75D06"/>
    <w:rsid w:val="00E76FAF"/>
    <w:rsid w:val="00E80FD9"/>
    <w:rsid w:val="00EA2076"/>
    <w:rsid w:val="00EB0FED"/>
    <w:rsid w:val="00EC521C"/>
    <w:rsid w:val="00ED124C"/>
    <w:rsid w:val="00ED4845"/>
    <w:rsid w:val="00EF687D"/>
    <w:rsid w:val="00F47A61"/>
    <w:rsid w:val="00F52F8C"/>
    <w:rsid w:val="00F546CE"/>
    <w:rsid w:val="00F925D0"/>
    <w:rsid w:val="00FA0B54"/>
    <w:rsid w:val="00FA6923"/>
    <w:rsid w:val="00FC272D"/>
    <w:rsid w:val="00FE507F"/>
    <w:rsid w:val="00FE72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80" w:after="8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F1B41"/>
    <w:pPr>
      <w:keepNext/>
      <w:keepLines/>
      <w:spacing w:before="40" w:after="0"/>
      <w:outlineLvl w:val="1"/>
    </w:pPr>
    <w:rPr>
      <w:rFonts w:ascii="Simplified Arabic" w:eastAsia="Times New Roman" w:hAnsi="Simplified Arabic" w:cs="Simplified Arabic"/>
      <w:b/>
      <w:bCs/>
      <w:sz w:val="28"/>
      <w:szCs w:val="28"/>
    </w:rPr>
  </w:style>
  <w:style w:type="paragraph" w:styleId="Heading3">
    <w:name w:val="heading 3"/>
    <w:basedOn w:val="Normal"/>
    <w:next w:val="Normal"/>
    <w:link w:val="Heading3Char"/>
    <w:uiPriority w:val="9"/>
    <w:semiHidden/>
    <w:unhideWhenUsed/>
    <w:qFormat/>
    <w:rsid w:val="00ED12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3702AB"/>
    <w:rPr>
      <w:rFonts w:ascii="Times New Roman" w:hAnsi="Times New Roman" w:cs="Times New Roman"/>
      <w:sz w:val="24"/>
      <w:szCs w:val="24"/>
    </w:rPr>
  </w:style>
  <w:style w:type="paragraph" w:styleId="ListParagraph">
    <w:name w:val="List Paragraph"/>
    <w:basedOn w:val="Normal"/>
    <w:uiPriority w:val="34"/>
    <w:qFormat/>
    <w:rsid w:val="00981EAB"/>
    <w:pPr>
      <w:ind w:left="720"/>
      <w:contextualSpacing/>
    </w:pPr>
  </w:style>
  <w:style w:type="character" w:customStyle="1" w:styleId="Heading1Char">
    <w:name w:val="Heading 1 Char"/>
    <w:basedOn w:val="DefaultParagraphFont"/>
    <w:link w:val="Heading1"/>
    <w:uiPriority w:val="9"/>
    <w:rsid w:val="00013B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124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F1B41"/>
    <w:rPr>
      <w:rFonts w:ascii="Simplified Arabic" w:eastAsia="Times New Roman" w:hAnsi="Simplified Arabic" w:cs="Simplified Arabic"/>
      <w:b/>
      <w:bCs/>
      <w:sz w:val="28"/>
      <w:szCs w:val="28"/>
    </w:rPr>
  </w:style>
  <w:style w:type="paragraph" w:styleId="Title">
    <w:name w:val="Title"/>
    <w:basedOn w:val="Normal"/>
    <w:next w:val="Normal"/>
    <w:link w:val="TitleChar"/>
    <w:uiPriority w:val="10"/>
    <w:qFormat/>
    <w:rsid w:val="00437AE9"/>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AE9"/>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B7FDB"/>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60B59"/>
    <w:pPr>
      <w:spacing w:after="0"/>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2A63BC"/>
    <w:pPr>
      <w:bidi w:val="0"/>
      <w:spacing w:line="259" w:lineRule="auto"/>
      <w:ind w:firstLine="0"/>
      <w:jc w:val="left"/>
      <w:outlineLvl w:val="9"/>
    </w:pPr>
    <w:rPr>
      <w:kern w:val="0"/>
      <w14:ligatures w14:val="none"/>
    </w:rPr>
  </w:style>
  <w:style w:type="paragraph" w:styleId="TOC1">
    <w:name w:val="toc 1"/>
    <w:basedOn w:val="Normal"/>
    <w:next w:val="Normal"/>
    <w:autoRedefine/>
    <w:uiPriority w:val="39"/>
    <w:unhideWhenUsed/>
    <w:rsid w:val="002A63BC"/>
    <w:pPr>
      <w:spacing w:after="100"/>
    </w:pPr>
  </w:style>
  <w:style w:type="paragraph" w:styleId="TOC2">
    <w:name w:val="toc 2"/>
    <w:basedOn w:val="Normal"/>
    <w:next w:val="Normal"/>
    <w:autoRedefine/>
    <w:uiPriority w:val="39"/>
    <w:unhideWhenUsed/>
    <w:rsid w:val="002A63BC"/>
    <w:pPr>
      <w:spacing w:after="100"/>
      <w:ind w:left="220"/>
    </w:pPr>
  </w:style>
  <w:style w:type="character" w:styleId="Hyperlink">
    <w:name w:val="Hyperlink"/>
    <w:basedOn w:val="DefaultParagraphFont"/>
    <w:uiPriority w:val="99"/>
    <w:unhideWhenUsed/>
    <w:rsid w:val="002A63BC"/>
    <w:rPr>
      <w:color w:val="0563C1" w:themeColor="hyperlink"/>
      <w:u w:val="single"/>
    </w:rPr>
  </w:style>
  <w:style w:type="table" w:styleId="GridTable5Dark-Accent1">
    <w:name w:val="Grid Table 5 Dark Accent 1"/>
    <w:basedOn w:val="TableNormal"/>
    <w:uiPriority w:val="50"/>
    <w:rsid w:val="00887DAA"/>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917E2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1">
    <w:name w:val="Grid Table 4 Accent 1"/>
    <w:basedOn w:val="TableNormal"/>
    <w:uiPriority w:val="49"/>
    <w:rsid w:val="001F6EC7"/>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3E3E2-1347-4F4C-9825-E7D0E2BD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13821</Words>
  <Characters>78780</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amal fahad</cp:lastModifiedBy>
  <cp:revision>3</cp:revision>
  <dcterms:created xsi:type="dcterms:W3CDTF">2026-03-18T19:14:00Z</dcterms:created>
  <dcterms:modified xsi:type="dcterms:W3CDTF">2026-03-18T19:17:00Z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