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5DE8E837" w14:textId="77777777" w:rsidR="00E2258E" w:rsidRDefault="00EB387B" w:rsidP="00E2258E">
      <w:pPr>
        <w:rPr>
          <w:b/>
          <w:bCs/>
          <w:rtl/>
        </w:rPr>
      </w:pPr>
      <w:r>
        <w:t xml:space="preserve">Leader Name: </w:t>
      </w:r>
      <w:r w:rsidR="00E2258E" w:rsidRPr="00E2258E">
        <w:rPr>
          <w:b/>
          <w:bCs/>
          <w:rtl/>
        </w:rPr>
        <w:t>رائد حمود السلمي</w:t>
      </w:r>
    </w:p>
    <w:p w14:paraId="63412707" w14:textId="05D88166" w:rsidR="008239B5" w:rsidRDefault="00EB387B" w:rsidP="00E2258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 w:rsidP="00E22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DD8E2E" w14:textId="77777777" w:rsidR="00E2258E" w:rsidRDefault="00E2258E" w:rsidP="00E2258E">
            <w:pPr>
              <w:bidi/>
            </w:pPr>
          </w:p>
          <w:p w14:paraId="69A45200" w14:textId="2CFAF11B" w:rsidR="00E2258E" w:rsidRDefault="00E2258E" w:rsidP="00E2258E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5FEABB4A" w14:textId="54DF4BA0" w:rsidR="00E2258E" w:rsidRDefault="00E2258E" w:rsidP="00E2258E">
            <w:pPr>
              <w:bidi/>
            </w:pPr>
            <w:r>
              <w:rPr>
                <w:rtl/>
              </w:rPr>
              <w:t xml:space="preserve">العينة والمنهجية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استخدام العينة القصدية</w:t>
            </w:r>
            <w:r>
              <w:t xml:space="preserve"> (Purposive Sampling) </w:t>
            </w:r>
            <w:r>
              <w:rPr>
                <w:rtl/>
              </w:rPr>
              <w:t>مع تبرير منهجي ممتاز. أشيد بهذا التبرير الواعي. كما تم إضافة العينة الحصصية</w:t>
            </w:r>
            <w:r>
              <w:t xml:space="preserve"> (Quota Sampling) </w:t>
            </w:r>
            <w:r>
              <w:rPr>
                <w:rtl/>
              </w:rPr>
              <w:t>كإجراء مكمل. هذا يدل على دقة منهجية عالية</w:t>
            </w:r>
            <w:r>
              <w:t>.</w:t>
            </w:r>
          </w:p>
          <w:p w14:paraId="4B1FF84C" w14:textId="77777777" w:rsidR="00E2258E" w:rsidRDefault="00E2258E" w:rsidP="00E2258E">
            <w:pPr>
              <w:bidi/>
            </w:pPr>
          </w:p>
          <w:p w14:paraId="24856376" w14:textId="6181404E" w:rsidR="00E2258E" w:rsidRDefault="00E2258E" w:rsidP="00E2258E">
            <w:pPr>
              <w:bidi/>
            </w:pPr>
            <w:r>
              <w:rPr>
                <w:rtl/>
              </w:rPr>
              <w:t xml:space="preserve">حجم العينة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تحديد حجم العينة بـ 300 مشارك، مع تبرير إحصائي دقيق باستخدام قاعدة (5-10) أمثال عدد الفقرات في تحليل</w:t>
            </w:r>
            <w:r>
              <w:t xml:space="preserve"> SEM. </w:t>
            </w:r>
            <w:r>
              <w:rPr>
                <w:rtl/>
              </w:rPr>
              <w:t>هذا إجراء علمي ممتاز</w:t>
            </w:r>
            <w:r>
              <w:t>.</w:t>
            </w:r>
          </w:p>
          <w:p w14:paraId="2C457644" w14:textId="77777777" w:rsidR="00E2258E" w:rsidRDefault="00E2258E" w:rsidP="00E2258E">
            <w:pPr>
              <w:bidi/>
            </w:pPr>
          </w:p>
          <w:p w14:paraId="7FD6E4B8" w14:textId="77777777" w:rsidR="00E2258E" w:rsidRDefault="00E2258E" w:rsidP="00E2258E">
            <w:pPr>
              <w:bidi/>
            </w:pPr>
            <w:r>
              <w:rPr>
                <w:rtl/>
              </w:rPr>
              <w:t>اختبارات الصدق والثبات (صفحة 38): تم ذكر اختبارات الصدق (المحكمين، البناء) والثبات (كرونباخ ألفا). يُنصح بإضافة الصدق التقاربي</w:t>
            </w:r>
            <w:r>
              <w:t xml:space="preserve"> (Convergent Validity) </w:t>
            </w:r>
            <w:r>
              <w:rPr>
                <w:rtl/>
              </w:rPr>
              <w:t>باستخدام متوسط التباين المستخرج</w:t>
            </w:r>
            <w:r>
              <w:t xml:space="preserve"> (AVE) </w:t>
            </w:r>
            <w:r>
              <w:rPr>
                <w:rtl/>
              </w:rPr>
              <w:t>والثبات المركب</w:t>
            </w:r>
            <w:r>
              <w:t xml:space="preserve"> (CR)</w:t>
            </w:r>
            <w:r>
              <w:rPr>
                <w:rtl/>
              </w:rPr>
              <w:t>، والصدق التمييزي</w:t>
            </w:r>
            <w:r>
              <w:t xml:space="preserve"> (Discriminant Validity) </w:t>
            </w:r>
            <w:r>
              <w:rPr>
                <w:rtl/>
              </w:rPr>
              <w:t>باستخدام معيار فورنيل والزكر</w:t>
            </w:r>
            <w:r>
              <w:t xml:space="preserve"> (Fornell-</w:t>
            </w:r>
            <w:proofErr w:type="spellStart"/>
            <w:r>
              <w:t>Larcker</w:t>
            </w:r>
            <w:proofErr w:type="spellEnd"/>
            <w:r>
              <w:t xml:space="preserve"> Criterion).</w:t>
            </w:r>
          </w:p>
          <w:p w14:paraId="721154C3" w14:textId="77777777" w:rsidR="00E2258E" w:rsidRDefault="00E2258E" w:rsidP="00E2258E">
            <w:pPr>
              <w:bidi/>
            </w:pPr>
          </w:p>
          <w:p w14:paraId="1DEDA8AA" w14:textId="56766101" w:rsidR="00E2258E" w:rsidRDefault="00E2258E" w:rsidP="00E2258E">
            <w:pPr>
              <w:bidi/>
            </w:pPr>
            <w:r>
              <w:rPr>
                <w:rtl/>
              </w:rPr>
              <w:t xml:space="preserve">النموذج المفاهيمي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النموذج المفاهيمي موضح بشكل ممتاز مع الشكل التوضيحي. أشيد بهذا الجهد</w:t>
            </w:r>
            <w:r>
              <w:t>.</w:t>
            </w:r>
          </w:p>
          <w:p w14:paraId="416C43EB" w14:textId="77777777" w:rsidR="00E2258E" w:rsidRDefault="00E2258E" w:rsidP="00E2258E">
            <w:pPr>
              <w:bidi/>
            </w:pPr>
          </w:p>
          <w:p w14:paraId="7176771E" w14:textId="167447C5" w:rsidR="00E2258E" w:rsidRDefault="00E2258E" w:rsidP="00E2258E">
            <w:pPr>
              <w:bidi/>
            </w:pPr>
            <w:r>
              <w:rPr>
                <w:rtl/>
              </w:rPr>
              <w:t>التحليل الإحصائي: تم ذكر استخدام تحليل المسار</w:t>
            </w:r>
            <w:r>
              <w:t xml:space="preserve"> (Path Analysis) </w:t>
            </w:r>
            <w:r>
              <w:rPr>
                <w:rtl/>
              </w:rPr>
              <w:t>ونمذجة المعادلات الهيكلية</w:t>
            </w:r>
            <w:r>
              <w:t xml:space="preserve"> (SEM) </w:t>
            </w:r>
            <w:r>
              <w:rPr>
                <w:rtl/>
              </w:rPr>
              <w:t>في</w:t>
            </w:r>
            <w:r>
              <w:t xml:space="preserve"> AMOS. </w:t>
            </w:r>
            <w:r>
              <w:rPr>
                <w:rtl/>
              </w:rPr>
              <w:t>هذا ممتاز. يُنصح أيضًا باستخدام اختبار</w:t>
            </w:r>
            <w:r>
              <w:t xml:space="preserve"> (Bootstrap) </w:t>
            </w:r>
            <w:r>
              <w:rPr>
                <w:rtl/>
              </w:rPr>
              <w:t>في</w:t>
            </w:r>
            <w:r>
              <w:t xml:space="preserve"> AMOS </w:t>
            </w:r>
            <w:r>
              <w:rPr>
                <w:rtl/>
              </w:rPr>
              <w:t>لاختبار التأثيرات غير المباشرة (الوساطة المتسلسلة) بشكل أكثر دقة</w:t>
            </w:r>
            <w:r>
              <w:t>.</w:t>
            </w:r>
          </w:p>
          <w:p w14:paraId="68C4B78D" w14:textId="77777777" w:rsidR="00E2258E" w:rsidRDefault="00E2258E" w:rsidP="00E2258E">
            <w:pPr>
              <w:bidi/>
            </w:pPr>
          </w:p>
          <w:p w14:paraId="7435E8FC" w14:textId="5DC28D96" w:rsidR="008239B5" w:rsidRDefault="00E2258E" w:rsidP="00E2258E">
            <w:pPr>
              <w:bidi/>
            </w:pPr>
            <w:r>
              <w:rPr>
                <w:rtl/>
              </w:rPr>
              <w:t>المراجع العربية: قائمة المراجع العربية محدودة (مرجعان فقط). يُنصح بإضافة المزيد من المراجع العربية الحديثة في مجال إدارة الأداء والموارد البشرية في السياق السعودي</w:t>
            </w:r>
            <w:r>
              <w:t>.</w:t>
            </w:r>
          </w:p>
        </w:tc>
      </w:tr>
    </w:tbl>
    <w:p w14:paraId="255EB692" w14:textId="77777777" w:rsidR="008239B5" w:rsidRDefault="00EB387B" w:rsidP="00E2258E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2258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