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3A909" w14:textId="29889C75" w:rsidR="00D76A50" w:rsidRDefault="00D76A50" w:rsidP="00D76A50">
      <w:pPr>
        <w:spacing w:before="240" w:line="480" w:lineRule="auto"/>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59264" behindDoc="1" locked="0" layoutInCell="1" allowOverlap="1" wp14:anchorId="78E6F457" wp14:editId="17E2B95A">
            <wp:simplePos x="0" y="0"/>
            <wp:positionH relativeFrom="margin">
              <wp:posOffset>-7620</wp:posOffset>
            </wp:positionH>
            <wp:positionV relativeFrom="paragraph">
              <wp:posOffset>0</wp:posOffset>
            </wp:positionV>
            <wp:extent cx="2423160" cy="1076325"/>
            <wp:effectExtent l="0" t="0" r="0" b="9525"/>
            <wp:wrapTight wrapText="bothSides">
              <wp:wrapPolygon edited="0">
                <wp:start x="0" y="0"/>
                <wp:lineTo x="0" y="21409"/>
                <wp:lineTo x="21396" y="21409"/>
                <wp:lineTo x="21396" y="0"/>
                <wp:lineTo x="0" y="0"/>
              </wp:wrapPolygon>
            </wp:wrapTight>
            <wp:docPr id="4" name="Picture 4"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423160" cy="1076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AB6AEF" w14:textId="77777777" w:rsidR="00D76A50" w:rsidRPr="00D76A50" w:rsidRDefault="00D76A50" w:rsidP="00D76A50">
      <w:pPr>
        <w:jc w:val="center"/>
        <w:rPr>
          <w:rFonts w:asciiTheme="majorBidi" w:hAnsiTheme="majorBidi" w:cstheme="majorBidi"/>
          <w:b/>
          <w:bCs/>
          <w:sz w:val="36"/>
          <w:szCs w:val="36"/>
        </w:rPr>
      </w:pPr>
      <w:r>
        <w:tab/>
      </w:r>
      <w:r w:rsidRPr="00D76A50">
        <w:rPr>
          <w:rFonts w:asciiTheme="majorBidi" w:hAnsiTheme="majorBidi" w:cstheme="majorBidi"/>
          <w:b/>
          <w:bCs/>
          <w:sz w:val="36"/>
          <w:szCs w:val="36"/>
        </w:rPr>
        <w:t xml:space="preserve">Midocean University </w:t>
      </w:r>
    </w:p>
    <w:p w14:paraId="243219A2" w14:textId="5B6DEFAD" w:rsidR="00D76A50" w:rsidRPr="00D76A50" w:rsidRDefault="00D76A50" w:rsidP="00D76A50">
      <w:pPr>
        <w:rPr>
          <w:rFonts w:asciiTheme="majorBidi" w:hAnsiTheme="majorBidi" w:cstheme="majorBidi"/>
          <w:b/>
          <w:bCs/>
          <w:sz w:val="36"/>
          <w:szCs w:val="36"/>
        </w:rPr>
      </w:pPr>
      <w:r w:rsidRPr="00D76A50">
        <w:rPr>
          <w:rFonts w:asciiTheme="majorBidi" w:hAnsiTheme="majorBidi" w:cstheme="majorBidi"/>
          <w:b/>
          <w:bCs/>
          <w:sz w:val="36"/>
          <w:szCs w:val="36"/>
        </w:rPr>
        <w:t xml:space="preserve">           </w:t>
      </w:r>
      <w:r>
        <w:rPr>
          <w:rFonts w:asciiTheme="majorBidi" w:hAnsiTheme="majorBidi" w:cstheme="majorBidi"/>
          <w:b/>
          <w:bCs/>
          <w:sz w:val="36"/>
          <w:szCs w:val="36"/>
        </w:rPr>
        <w:t xml:space="preserve"> </w:t>
      </w:r>
      <w:r w:rsidRPr="00D76A50">
        <w:rPr>
          <w:rFonts w:asciiTheme="majorBidi" w:hAnsiTheme="majorBidi" w:cstheme="majorBidi"/>
          <w:b/>
          <w:bCs/>
          <w:sz w:val="36"/>
          <w:szCs w:val="36"/>
        </w:rPr>
        <w:t xml:space="preserve">  College of Management</w:t>
      </w:r>
    </w:p>
    <w:p w14:paraId="0B58A994" w14:textId="77777777" w:rsidR="00D76A50" w:rsidRDefault="00D76A50" w:rsidP="00D76A50">
      <w:pPr>
        <w:spacing w:before="240" w:line="480" w:lineRule="auto"/>
      </w:pPr>
    </w:p>
    <w:p w14:paraId="39106890" w14:textId="7AFC11C3" w:rsidR="00C8520B" w:rsidRPr="00D76A50" w:rsidRDefault="00000000" w:rsidP="00D76A50">
      <w:pPr>
        <w:spacing w:before="240"/>
        <w:jc w:val="center"/>
        <w:rPr>
          <w:b/>
          <w:bCs/>
          <w:sz w:val="40"/>
          <w:szCs w:val="40"/>
        </w:rPr>
      </w:pPr>
      <w:r w:rsidRPr="00D76A50">
        <w:rPr>
          <w:b/>
          <w:bCs/>
          <w:sz w:val="40"/>
          <w:szCs w:val="40"/>
        </w:rPr>
        <w:t>Evaluating the Efficiency and Effectiveness of AI-Driven Sales Forecasting in the Oil and Gas</w:t>
      </w:r>
      <w:r w:rsidR="00D76A50">
        <w:rPr>
          <w:b/>
          <w:bCs/>
          <w:sz w:val="40"/>
          <w:szCs w:val="40"/>
        </w:rPr>
        <w:t xml:space="preserve"> </w:t>
      </w:r>
      <w:r w:rsidRPr="00D76A50">
        <w:rPr>
          <w:b/>
          <w:bCs/>
          <w:sz w:val="40"/>
          <w:szCs w:val="40"/>
        </w:rPr>
        <w:t>Sector: A Mixed-Methods Study of Mid-Sized Companies in Central and Eastern Saudi Arabia</w:t>
      </w:r>
    </w:p>
    <w:p w14:paraId="45882CEF" w14:textId="77777777" w:rsidR="00C8520B" w:rsidRDefault="00000000">
      <w:pPr>
        <w:spacing w:before="240" w:line="480" w:lineRule="auto"/>
        <w:jc w:val="center"/>
      </w:pPr>
      <w:r>
        <w:t xml:space="preserve"> </w:t>
      </w:r>
    </w:p>
    <w:p w14:paraId="5C1DD03C" w14:textId="77777777" w:rsidR="00D76A50" w:rsidRPr="00D76A50" w:rsidRDefault="00D76A50" w:rsidP="00D76A50">
      <w:pPr>
        <w:jc w:val="center"/>
        <w:rPr>
          <w:rFonts w:asciiTheme="majorBidi" w:hAnsiTheme="majorBidi" w:cstheme="majorBidi"/>
          <w:b/>
          <w:bCs/>
          <w:sz w:val="36"/>
          <w:szCs w:val="36"/>
        </w:rPr>
      </w:pPr>
      <w:bookmarkStart w:id="0" w:name="_qp7vwupq14bq" w:colFirst="0" w:colLast="0"/>
      <w:bookmarkEnd w:id="0"/>
      <w:r w:rsidRPr="00D76A50">
        <w:rPr>
          <w:rFonts w:asciiTheme="majorBidi" w:hAnsiTheme="majorBidi" w:cstheme="majorBidi"/>
          <w:b/>
          <w:bCs/>
          <w:sz w:val="36"/>
          <w:szCs w:val="36"/>
        </w:rPr>
        <w:t xml:space="preserve">Prepared by: </w:t>
      </w:r>
    </w:p>
    <w:p w14:paraId="7ECA7651"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 xml:space="preserve">Mohammed A. Alhussain </w:t>
      </w:r>
    </w:p>
    <w:p w14:paraId="382A108A"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 xml:space="preserve">Student ID#: </w:t>
      </w:r>
    </w:p>
    <w:p w14:paraId="40C95593"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251002774</w:t>
      </w:r>
    </w:p>
    <w:p w14:paraId="06E4C145" w14:textId="77777777" w:rsidR="00D76A50" w:rsidRPr="00D76A50" w:rsidRDefault="00D76A50" w:rsidP="00D76A50">
      <w:pPr>
        <w:jc w:val="center"/>
        <w:rPr>
          <w:rFonts w:asciiTheme="majorBidi" w:hAnsiTheme="majorBidi" w:cstheme="majorBidi"/>
          <w:b/>
          <w:bCs/>
          <w:sz w:val="36"/>
          <w:szCs w:val="36"/>
        </w:rPr>
      </w:pPr>
    </w:p>
    <w:p w14:paraId="10D737E1"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 xml:space="preserve">Supervised by: </w:t>
      </w:r>
    </w:p>
    <w:p w14:paraId="2B8774FA"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 xml:space="preserve">Dr. </w:t>
      </w:r>
      <w:proofErr w:type="spellStart"/>
      <w:r w:rsidRPr="00D76A50">
        <w:rPr>
          <w:rFonts w:asciiTheme="majorBidi" w:hAnsiTheme="majorBidi" w:cstheme="majorBidi"/>
          <w:b/>
          <w:bCs/>
          <w:sz w:val="36"/>
          <w:szCs w:val="36"/>
        </w:rPr>
        <w:t>AlFaisal</w:t>
      </w:r>
      <w:proofErr w:type="spellEnd"/>
      <w:r w:rsidRPr="00D76A50">
        <w:rPr>
          <w:rFonts w:asciiTheme="majorBidi" w:hAnsiTheme="majorBidi" w:cstheme="majorBidi"/>
          <w:b/>
          <w:bCs/>
          <w:sz w:val="36"/>
          <w:szCs w:val="36"/>
        </w:rPr>
        <w:t xml:space="preserve"> </w:t>
      </w:r>
      <w:proofErr w:type="spellStart"/>
      <w:r w:rsidRPr="00D76A50">
        <w:rPr>
          <w:rFonts w:asciiTheme="majorBidi" w:hAnsiTheme="majorBidi" w:cstheme="majorBidi"/>
          <w:b/>
          <w:bCs/>
          <w:sz w:val="36"/>
          <w:szCs w:val="36"/>
        </w:rPr>
        <w:t>Abdulhamid</w:t>
      </w:r>
      <w:proofErr w:type="spellEnd"/>
      <w:r w:rsidRPr="00D76A50">
        <w:rPr>
          <w:rFonts w:asciiTheme="majorBidi" w:hAnsiTheme="majorBidi" w:cstheme="majorBidi"/>
          <w:b/>
          <w:bCs/>
          <w:sz w:val="36"/>
          <w:szCs w:val="36"/>
        </w:rPr>
        <w:t xml:space="preserve"> Mohammed Hassan </w:t>
      </w:r>
    </w:p>
    <w:p w14:paraId="069F642E"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&amp;</w:t>
      </w:r>
    </w:p>
    <w:p w14:paraId="2BD2E585"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 xml:space="preserve">Dr. </w:t>
      </w:r>
      <w:proofErr w:type="spellStart"/>
      <w:r w:rsidRPr="00D76A50">
        <w:rPr>
          <w:rFonts w:asciiTheme="majorBidi" w:hAnsiTheme="majorBidi" w:cstheme="majorBidi"/>
          <w:b/>
          <w:bCs/>
          <w:sz w:val="36"/>
          <w:szCs w:val="36"/>
        </w:rPr>
        <w:t>Fayz</w:t>
      </w:r>
      <w:proofErr w:type="spellEnd"/>
      <w:r w:rsidRPr="00D76A50">
        <w:rPr>
          <w:rFonts w:asciiTheme="majorBidi" w:hAnsiTheme="majorBidi" w:cstheme="majorBidi"/>
          <w:b/>
          <w:bCs/>
          <w:sz w:val="36"/>
          <w:szCs w:val="36"/>
        </w:rPr>
        <w:t xml:space="preserve"> </w:t>
      </w:r>
      <w:proofErr w:type="spellStart"/>
      <w:r w:rsidRPr="00D76A50">
        <w:rPr>
          <w:rFonts w:asciiTheme="majorBidi" w:hAnsiTheme="majorBidi" w:cstheme="majorBidi"/>
          <w:b/>
          <w:bCs/>
          <w:sz w:val="36"/>
          <w:szCs w:val="36"/>
        </w:rPr>
        <w:t>Jrad</w:t>
      </w:r>
      <w:proofErr w:type="spellEnd"/>
    </w:p>
    <w:p w14:paraId="54BBEA9E" w14:textId="77777777" w:rsidR="00D76A50" w:rsidRPr="00D76A50" w:rsidRDefault="00D76A50" w:rsidP="00D76A50">
      <w:pPr>
        <w:jc w:val="center"/>
        <w:rPr>
          <w:rFonts w:asciiTheme="majorBidi" w:hAnsiTheme="majorBidi" w:cstheme="majorBidi"/>
          <w:b/>
          <w:bCs/>
          <w:sz w:val="36"/>
          <w:szCs w:val="36"/>
        </w:rPr>
      </w:pPr>
    </w:p>
    <w:p w14:paraId="48249E4B" w14:textId="77777777" w:rsidR="00D76A50" w:rsidRPr="00D76A50" w:rsidRDefault="00D76A50" w:rsidP="00D76A50">
      <w:pPr>
        <w:jc w:val="center"/>
        <w:rPr>
          <w:rFonts w:asciiTheme="majorBidi" w:hAnsiTheme="majorBidi" w:cstheme="majorBidi"/>
          <w:b/>
          <w:bCs/>
          <w:sz w:val="36"/>
          <w:szCs w:val="36"/>
        </w:rPr>
      </w:pPr>
    </w:p>
    <w:p w14:paraId="3FD9767E" w14:textId="77777777" w:rsidR="00D76A50" w:rsidRPr="00D76A50" w:rsidRDefault="00D76A50" w:rsidP="00D76A50">
      <w:pPr>
        <w:jc w:val="center"/>
        <w:rPr>
          <w:rFonts w:asciiTheme="majorBidi" w:hAnsiTheme="majorBidi" w:cstheme="majorBidi"/>
          <w:b/>
          <w:bCs/>
          <w:sz w:val="36"/>
          <w:szCs w:val="36"/>
        </w:rPr>
      </w:pPr>
      <w:r w:rsidRPr="00D76A50">
        <w:rPr>
          <w:rFonts w:asciiTheme="majorBidi" w:hAnsiTheme="majorBidi" w:cstheme="majorBidi"/>
          <w:b/>
          <w:bCs/>
          <w:sz w:val="36"/>
          <w:szCs w:val="36"/>
        </w:rPr>
        <w:t>Academic Year:</w:t>
      </w:r>
    </w:p>
    <w:p w14:paraId="02C0E931" w14:textId="77777777" w:rsidR="00A0251B" w:rsidRDefault="00D76A50" w:rsidP="00A0251B">
      <w:pPr>
        <w:spacing w:line="360" w:lineRule="auto"/>
        <w:jc w:val="center"/>
        <w:rPr>
          <w:rFonts w:asciiTheme="majorBidi" w:hAnsiTheme="majorBidi" w:cstheme="majorBidi"/>
          <w:b/>
          <w:bCs/>
          <w:sz w:val="36"/>
          <w:szCs w:val="36"/>
        </w:rPr>
      </w:pPr>
      <w:r w:rsidRPr="00D76A50">
        <w:rPr>
          <w:rFonts w:asciiTheme="majorBidi" w:hAnsiTheme="majorBidi" w:cstheme="majorBidi"/>
          <w:b/>
          <w:bCs/>
          <w:sz w:val="36"/>
          <w:szCs w:val="36"/>
        </w:rPr>
        <w:t>2025</w:t>
      </w:r>
      <w:bookmarkStart w:id="1" w:name="_6zykqz2gt9pw" w:colFirst="0" w:colLast="0"/>
      <w:bookmarkStart w:id="2" w:name="_rb4c2uq9l6vc" w:colFirst="0" w:colLast="0"/>
      <w:bookmarkStart w:id="3" w:name="_ju9bufct1mcm" w:colFirst="0" w:colLast="0"/>
      <w:bookmarkStart w:id="4" w:name="_g81bdoed7c59" w:colFirst="0" w:colLast="0"/>
      <w:bookmarkStart w:id="5" w:name="_bno56qp8wf5u" w:colFirst="0" w:colLast="0"/>
      <w:bookmarkStart w:id="6" w:name="_6z4itppbgmha" w:colFirst="0" w:colLast="0"/>
      <w:bookmarkStart w:id="7" w:name="_o4o1rf3de6mf" w:colFirst="0" w:colLast="0"/>
      <w:bookmarkStart w:id="8" w:name="_lbwd467rxw4l" w:colFirst="0" w:colLast="0"/>
      <w:bookmarkStart w:id="9" w:name="_ts5l3v9vkl82" w:colFirst="0" w:colLast="0"/>
      <w:bookmarkStart w:id="10" w:name="_8xtfn0ck3i2u" w:colFirst="0" w:colLast="0"/>
      <w:bookmarkStart w:id="11" w:name="_2lgitorfbjp7" w:colFirst="0" w:colLast="0"/>
      <w:bookmarkStart w:id="12" w:name="_frkoiobr502d" w:colFirst="0" w:colLast="0"/>
      <w:bookmarkEnd w:id="1"/>
      <w:bookmarkEnd w:id="2"/>
      <w:bookmarkEnd w:id="3"/>
      <w:bookmarkEnd w:id="4"/>
      <w:bookmarkEnd w:id="5"/>
      <w:bookmarkEnd w:id="6"/>
      <w:bookmarkEnd w:id="7"/>
      <w:bookmarkEnd w:id="8"/>
      <w:bookmarkEnd w:id="9"/>
      <w:bookmarkEnd w:id="10"/>
      <w:bookmarkEnd w:id="11"/>
      <w:bookmarkEnd w:id="12"/>
    </w:p>
    <w:p w14:paraId="582F9D73" w14:textId="77777777" w:rsidR="00A0251B" w:rsidRDefault="00A0251B" w:rsidP="00A0251B">
      <w:pPr>
        <w:spacing w:line="360" w:lineRule="auto"/>
        <w:jc w:val="center"/>
        <w:rPr>
          <w:rFonts w:asciiTheme="majorBidi" w:hAnsiTheme="majorBidi" w:cstheme="majorBidi"/>
          <w:b/>
          <w:bCs/>
          <w:sz w:val="36"/>
          <w:szCs w:val="36"/>
        </w:rPr>
      </w:pPr>
    </w:p>
    <w:p w14:paraId="7D1FF0B8" w14:textId="3DBEB4EC" w:rsidR="00C8520B" w:rsidRPr="00A0251B" w:rsidRDefault="00000000" w:rsidP="00A0251B">
      <w:pPr>
        <w:spacing w:line="360" w:lineRule="auto"/>
        <w:jc w:val="center"/>
        <w:rPr>
          <w:rFonts w:asciiTheme="majorBidi" w:hAnsiTheme="majorBidi" w:cstheme="majorBidi"/>
          <w:b/>
          <w:bCs/>
          <w:sz w:val="36"/>
          <w:szCs w:val="36"/>
        </w:rPr>
      </w:pPr>
      <w:r>
        <w:rPr>
          <w:rFonts w:ascii="Times New Roman" w:eastAsia="Times New Roman" w:hAnsi="Times New Roman" w:cs="Times New Roman"/>
          <w:b/>
          <w:bCs/>
          <w:sz w:val="44"/>
          <w:szCs w:val="44"/>
        </w:rPr>
        <w:lastRenderedPageBreak/>
        <w:t>Chapter 1: Introduction</w:t>
      </w:r>
    </w:p>
    <w:p w14:paraId="4D62BEDA"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13" w:name="_wwxobpyqfnr3" w:colFirst="0" w:colLast="0"/>
      <w:bookmarkEnd w:id="13"/>
      <w:r w:rsidRPr="0023707D">
        <w:rPr>
          <w:rFonts w:ascii="Times New Roman" w:eastAsia="Times New Roman" w:hAnsi="Times New Roman" w:cs="Times New Roman"/>
          <w:b/>
          <w:bCs/>
          <w:sz w:val="28"/>
          <w:szCs w:val="28"/>
        </w:rPr>
        <w:t>1.1. The Modern Imperative in the Oil and Gas Sector</w:t>
      </w:r>
    </w:p>
    <w:p w14:paraId="604087E3" w14:textId="731109DA" w:rsidR="00C8520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recent progress in the global</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oil and gas (O&amp;G) sector optimistically </w:t>
      </w:r>
      <w:r w:rsidR="00A0251B">
        <w:rPr>
          <w:rFonts w:ascii="Times New Roman" w:eastAsia="Times New Roman" w:hAnsi="Times New Roman" w:cs="Times New Roman"/>
          <w:sz w:val="24"/>
          <w:szCs w:val="24"/>
        </w:rPr>
        <w:t>recognizes</w:t>
      </w:r>
      <w:r>
        <w:rPr>
          <w:rFonts w:ascii="Times New Roman" w:eastAsia="Times New Roman" w:hAnsi="Times New Roman" w:cs="Times New Roman"/>
          <w:sz w:val="24"/>
          <w:szCs w:val="24"/>
        </w:rPr>
        <w:t xml:space="preserve"> artificial intelligence (AI) as a tool of the next major transformation. The transformation includes industrial efficiency, innovation, and sustainability. The AI integration into energy operations has optimized</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rPr>
        <w:t>systems, accelerated simulation processes, and enhanced predictive accuracy across production and innovation functions.</w:t>
      </w:r>
    </w:p>
    <w:p w14:paraId="26A9EF60" w14:textId="77777777" w:rsidR="00C8520B" w:rsidRDefault="00C8520B">
      <w:pPr>
        <w:rPr>
          <w:rFonts w:ascii="Times New Roman" w:eastAsia="Times New Roman" w:hAnsi="Times New Roman" w:cs="Times New Roman"/>
          <w:sz w:val="24"/>
          <w:szCs w:val="24"/>
        </w:rPr>
      </w:pPr>
    </w:p>
    <w:p w14:paraId="6050FC88" w14:textId="77777777" w:rsidR="00C8520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the case study of Royal Dutch Shell provides a proof of the potential of AI in the O &amp; G sector. As reported by Marr (2024), Shell’s partnership with NVIDIA has enabled it to conduct energy simulations up to </w:t>
      </w:r>
      <w:r>
        <w:rPr>
          <w:rFonts w:ascii="Times New Roman" w:eastAsia="Times New Roman" w:hAnsi="Times New Roman" w:cs="Times New Roman"/>
          <w:i/>
          <w:iCs/>
          <w:sz w:val="24"/>
          <w:szCs w:val="24"/>
        </w:rPr>
        <w:t>100 folds faster</w:t>
      </w:r>
      <w:r>
        <w:rPr>
          <w:rFonts w:ascii="Times New Roman" w:eastAsia="Times New Roman" w:hAnsi="Times New Roman" w:cs="Times New Roman"/>
          <w:sz w:val="24"/>
          <w:szCs w:val="24"/>
        </w:rPr>
        <w:t xml:space="preserve"> and develop AI models capable of analyzing carbon storage</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opportunities </w:t>
      </w:r>
      <w:r>
        <w:rPr>
          <w:rFonts w:ascii="Times New Roman" w:eastAsia="Times New Roman" w:hAnsi="Times New Roman" w:cs="Times New Roman"/>
          <w:i/>
          <w:iCs/>
          <w:sz w:val="24"/>
          <w:szCs w:val="24"/>
        </w:rPr>
        <w:t>100,000 folds faster</w:t>
      </w:r>
      <w:r>
        <w:rPr>
          <w:rFonts w:ascii="Times New Roman" w:eastAsia="Times New Roman" w:hAnsi="Times New Roman" w:cs="Times New Roman"/>
          <w:sz w:val="24"/>
          <w:szCs w:val="24"/>
        </w:rPr>
        <w:t xml:space="preserve"> than traditional modeling methods. These achievements illustrate an innovation-driven model where AI acts as a tool for the</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energy transition and improves the traditional industrial operations. But, research shows that current data infrastructure is not ready for the adoption of AI </w:t>
      </w:r>
      <w:proofErr w:type="gramStart"/>
      <w:r>
        <w:rPr>
          <w:rFonts w:ascii="Times New Roman" w:eastAsia="Times New Roman" w:hAnsi="Times New Roman" w:cs="Times New Roman"/>
          <w:sz w:val="24"/>
          <w:szCs w:val="24"/>
        </w:rPr>
        <w:t>solutions .</w:t>
      </w:r>
      <w:proofErr w:type="gramEnd"/>
      <w:r>
        <w:rPr>
          <w:rFonts w:ascii="Times New Roman" w:eastAsia="Times New Roman" w:hAnsi="Times New Roman" w:cs="Times New Roman"/>
          <w:sz w:val="24"/>
          <w:szCs w:val="24"/>
        </w:rPr>
        <w:t xml:space="preserve"> Fisher et al. (2020), in a cross-industry study based on the Cross-Industry Standard</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Process for Data Mining (CRISP-DM) framework, highlights that the input data organization (quality and structure) fundamentally limits successful AI adoption. They argued that before any</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highlight w:val="white"/>
        </w:rPr>
        <w:t xml:space="preserve">significant </w:t>
      </w:r>
      <w:r>
        <w:rPr>
          <w:rFonts w:ascii="Times New Roman" w:eastAsia="Times New Roman" w:hAnsi="Times New Roman" w:cs="Times New Roman"/>
          <w:sz w:val="24"/>
          <w:szCs w:val="24"/>
        </w:rPr>
        <w:t>performance improvements are realized, organizations must overcome challenges like data structure and quality. It includes data acquisition, cleansing, and integration processes that are often underestimated while strategic planning.</w:t>
      </w:r>
    </w:p>
    <w:p w14:paraId="1DF4D243" w14:textId="77777777" w:rsidR="00C8520B" w:rsidRDefault="00C8520B">
      <w:pPr>
        <w:rPr>
          <w:rFonts w:ascii="Times New Roman" w:eastAsia="Times New Roman" w:hAnsi="Times New Roman" w:cs="Times New Roman"/>
          <w:sz w:val="24"/>
          <w:szCs w:val="24"/>
        </w:rPr>
      </w:pPr>
    </w:p>
    <w:p w14:paraId="54331A8C" w14:textId="77777777" w:rsidR="00C8520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contrast between Marr’s (2024) report of successful AI integration by Shell and Fisher et al.’s (2020) report of data-infrastructure highlights an important gap to be addressed. AI’s transformative power can be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only with robust and reliable data-infrastructure, success of AI is not an intrinsic property of itself. Poor data-infrastructure becomes even more adverse among mid-sized firms, which mostly lacks huge financial and technological resources available</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to giants such as Shell. In the context of Saudi, it becomes more relevant as Mid-sized firms form</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the backbone of its O&amp;G ecosystem.</w:t>
      </w:r>
    </w:p>
    <w:p w14:paraId="478E4E44" w14:textId="77777777" w:rsidR="00C8520B" w:rsidRDefault="00000000">
      <w:pPr>
        <w:pStyle w:val="Heading2"/>
        <w:keepNext w:val="0"/>
        <w:keepLines w:val="0"/>
        <w:spacing w:after="80"/>
        <w:rPr>
          <w:rFonts w:ascii="Times New Roman" w:eastAsia="Times New Roman" w:hAnsi="Times New Roman" w:cs="Times New Roman"/>
          <w:b/>
          <w:bCs/>
          <w:sz w:val="24"/>
          <w:szCs w:val="24"/>
        </w:rPr>
      </w:pPr>
      <w:bookmarkStart w:id="14" w:name="_ob5p2ad91v8l" w:colFirst="0" w:colLast="0"/>
      <w:bookmarkEnd w:id="14"/>
      <w:r>
        <w:rPr>
          <w:rFonts w:ascii="Times New Roman" w:eastAsia="Times New Roman" w:hAnsi="Times New Roman" w:cs="Times New Roman"/>
          <w:b/>
          <w:bCs/>
          <w:sz w:val="24"/>
          <w:szCs w:val="24"/>
        </w:rPr>
        <w:t>1.2. The Saudi</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b/>
          <w:bCs/>
          <w:sz w:val="24"/>
          <w:szCs w:val="24"/>
        </w:rPr>
        <w:t>Arabian Context and Global Significance</w:t>
      </w:r>
    </w:p>
    <w:p w14:paraId="395D65A3" w14:textId="572761B5"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AI which is seen as a tool for achieving strategic national goals such as industrial preparedness and environmental sustainability in advancing</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economies. For instance, Song et al. (2025) </w:t>
      </w:r>
      <w:r w:rsidR="0023707D">
        <w:rPr>
          <w:rFonts w:ascii="Times New Roman" w:eastAsia="Times New Roman" w:hAnsi="Times New Roman" w:cs="Times New Roman"/>
          <w:sz w:val="24"/>
          <w:szCs w:val="24"/>
        </w:rPr>
        <w:t>demonstrates</w:t>
      </w:r>
      <w:r>
        <w:rPr>
          <w:rFonts w:ascii="Times New Roman" w:eastAsia="Times New Roman" w:hAnsi="Times New Roman" w:cs="Times New Roman"/>
          <w:sz w:val="24"/>
          <w:szCs w:val="24"/>
        </w:rPr>
        <w:t xml:space="preserve"> how using a threshold model in 31 Chinese provinces (2000–2022) played a key role in strengthening the relation between</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renewable energy consumption and economic growth. Their findings suggest how AI functions as a macro-level policy instrument, helping economic modernization and the growth of sustainable industries, while this being true, contrastively </w:t>
      </w:r>
      <w:r>
        <w:rPr>
          <w:rFonts w:ascii="Times New Roman" w:eastAsia="Times New Roman" w:hAnsi="Times New Roman" w:cs="Times New Roman"/>
          <w:sz w:val="24"/>
          <w:szCs w:val="24"/>
        </w:rPr>
        <w:lastRenderedPageBreak/>
        <w:t>ground organizational preparedness is far from this</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 xml:space="preserve">macroeconomic optimism, as reported by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reports, alongside technological capacity for O&amp;G industry, other non-technical factors like organizational culture, leadership vision, and innovation</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highlight w:val="white"/>
        </w:rPr>
        <w:t xml:space="preserve">adaptation and </w:t>
      </w:r>
      <w:r>
        <w:rPr>
          <w:rFonts w:ascii="Times New Roman" w:eastAsia="Times New Roman" w:hAnsi="Times New Roman" w:cs="Times New Roman"/>
          <w:sz w:val="24"/>
          <w:szCs w:val="24"/>
        </w:rPr>
        <w:t xml:space="preserve">management practices play a key role in success; hence, of the 92% of O&amp;G firms that tried AI through pilot projects, only 8% have successfully integrated AI in their core operations; this highlights pattern of </w:t>
      </w:r>
      <w:proofErr w:type="spellStart"/>
      <w:r>
        <w:rPr>
          <w:rFonts w:ascii="Times New Roman" w:eastAsia="Times New Roman" w:hAnsi="Times New Roman" w:cs="Times New Roman"/>
          <w:sz w:val="24"/>
          <w:szCs w:val="24"/>
        </w:rPr>
        <w:t>unorganised</w:t>
      </w:r>
      <w:proofErr w:type="spellEnd"/>
      <w:r>
        <w:rPr>
          <w:rFonts w:ascii="Times New Roman" w:eastAsia="Times New Roman" w:hAnsi="Times New Roman" w:cs="Times New Roman"/>
          <w:sz w:val="24"/>
          <w:szCs w:val="24"/>
        </w:rPr>
        <w:t xml:space="preserve"> adoption that undermines the potential of AI to</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deliver effective results.</w:t>
      </w:r>
    </w:p>
    <w:p w14:paraId="4F10FD60"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contrast highlighted by (Song et al., 2025) and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between macro-level economic and ground level organizational realities highlights a vital implementation gap. For Saudi Arabia, with Vision 2030 where it aims to transform its economy into a digital first one, this gap is particularly significant, for achieving the national objective of technological</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leadership necessitates alleviating cultural barriers and promoting AI as an important means of transformation.</w:t>
      </w:r>
    </w:p>
    <w:p w14:paraId="59D5199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study addresses this lacuna; it aims to evaluate the effectiveness</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of AI-driven sales forecasting among mid-sized Saudi O&amp;G firms, providing quantitative insights to bridge the existing gap between potential and practice.</w:t>
      </w:r>
    </w:p>
    <w:p w14:paraId="5F43041A"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15" w:name="_xbc70gy3rcck" w:colFirst="0" w:colLast="0"/>
      <w:bookmarkEnd w:id="15"/>
      <w:r w:rsidRPr="0023707D">
        <w:rPr>
          <w:rFonts w:ascii="Times New Roman" w:eastAsia="Times New Roman" w:hAnsi="Times New Roman" w:cs="Times New Roman"/>
          <w:b/>
          <w:bCs/>
          <w:sz w:val="28"/>
          <w:szCs w:val="28"/>
        </w:rPr>
        <w:t>1.3. Statement of the Problem: Forecasting Inaccuracy and the AI Adoption Gap</w:t>
      </w:r>
    </w:p>
    <w:p w14:paraId="29014246"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main</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challenge that O&amp;G industry faces is not a lack of technical competence, but the disconnect between AI’s proven capabilities and firms’ ability to adopt it effectively. As</w:t>
      </w:r>
      <w:r>
        <w:rPr>
          <w:rFonts w:ascii="Times New Roman" w:eastAsia="Times New Roman" w:hAnsi="Times New Roman" w:cs="Times New Roman"/>
          <w:color w:val="FFFFFF"/>
          <w:sz w:val="24"/>
          <w:szCs w:val="24"/>
          <w:highlight w:val="white"/>
        </w:rPr>
        <w:t xml:space="preserve">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mentions, flawed</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AI algorithms are rarely a reason behind their failure; they fail due to challenges firms’ face, namely absence of strategic vision, leadership commitment, and organizational readiness. Their</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analysis reveals that without a shift in organizational culture and data governance, firms will end</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up achieving only marginal gains or none, failing to adapt altogether, which accelerates the</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decline of the oil era within decades.</w:t>
      </w:r>
    </w:p>
    <w:p w14:paraId="30582F54"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contrast, Marr’s (2024) case</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study of Shell proves that given visionary leadership and organizational alignment can translate strategic intent into measurable performance outcomes. Pointed initiatives aligning with strategic intent, such as the Visual Remote Sensing (VERS) program and the creation of a</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Vice President of Digital Innovation by Shell translated their strategic intent into measurable performance outcomes.</w:t>
      </w:r>
    </w:p>
    <w:p w14:paraId="421C705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tension between the risk-averse</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 xml:space="preserve">organizational culture as described by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and the case study of Shell underscores a central research problem:</w:t>
      </w:r>
    </w:p>
    <w:p w14:paraId="580DEC94" w14:textId="77777777" w:rsidR="00C8520B" w:rsidRDefault="00000000">
      <w:pPr>
        <w:spacing w:before="240" w:after="240"/>
        <w:ind w:left="600" w:right="60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Why do most firms remain</w:t>
      </w:r>
      <w:r>
        <w:rPr>
          <w:rFonts w:ascii="Times New Roman" w:eastAsia="Times New Roman" w:hAnsi="Times New Roman" w:cs="Times New Roman"/>
          <w:i/>
          <w:iCs/>
          <w:color w:val="FFFFFF"/>
          <w:sz w:val="24"/>
          <w:szCs w:val="24"/>
        </w:rPr>
        <w:t xml:space="preserve"> </w:t>
      </w:r>
      <w:r>
        <w:rPr>
          <w:rFonts w:ascii="Times New Roman" w:eastAsia="Times New Roman" w:hAnsi="Times New Roman" w:cs="Times New Roman"/>
          <w:i/>
          <w:iCs/>
          <w:sz w:val="24"/>
          <w:szCs w:val="24"/>
        </w:rPr>
        <w:t>trapped in pilot experimentation, while a few achieve transformative outcomes through AI?</w:t>
      </w:r>
    </w:p>
    <w:p w14:paraId="2939CE19"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study argues that one of the</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 xml:space="preserve">important </w:t>
      </w:r>
      <w:proofErr w:type="gramStart"/>
      <w:r>
        <w:rPr>
          <w:rFonts w:ascii="Times New Roman" w:eastAsia="Times New Roman" w:hAnsi="Times New Roman" w:cs="Times New Roman"/>
          <w:sz w:val="24"/>
          <w:szCs w:val="24"/>
        </w:rPr>
        <w:t>reason</w:t>
      </w:r>
      <w:proofErr w:type="gramEnd"/>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for this stagnation is the lack of empirical, quantitative evidence proving the direct financial and operational</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returns of AI</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integration in business functions such as sales</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forecasting, which connects operational capability to financial outcomes. Addressing this gap may</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sz w:val="24"/>
          <w:szCs w:val="24"/>
        </w:rPr>
        <w:t>provide mid-sized firms with the empirical proof needed to overcome strategic hesitation</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and</w:t>
      </w:r>
      <w:r>
        <w:rPr>
          <w:rFonts w:ascii="Times New Roman" w:eastAsia="Times New Roman" w:hAnsi="Times New Roman" w:cs="Times New Roman"/>
          <w:color w:val="FFFFFF"/>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inertia to integrate AI solutions at scale.</w:t>
      </w:r>
    </w:p>
    <w:p w14:paraId="29A450E0"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16" w:name="_itq2lssij326" w:colFirst="0" w:colLast="0"/>
      <w:bookmarkEnd w:id="16"/>
      <w:r w:rsidRPr="0023707D">
        <w:rPr>
          <w:rFonts w:ascii="Times New Roman" w:eastAsia="Times New Roman" w:hAnsi="Times New Roman" w:cs="Times New Roman"/>
          <w:b/>
          <w:bCs/>
          <w:sz w:val="28"/>
          <w:szCs w:val="28"/>
        </w:rPr>
        <w:t>1.4. Research Justification</w:t>
      </w:r>
    </w:p>
    <w:p w14:paraId="1FBF7945"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17" w:name="_eb8h30502x9j" w:colFirst="0" w:colLast="0"/>
      <w:bookmarkEnd w:id="17"/>
      <w:r w:rsidRPr="0023707D">
        <w:rPr>
          <w:rFonts w:ascii="Times New Roman" w:eastAsia="Times New Roman" w:hAnsi="Times New Roman" w:cs="Times New Roman"/>
          <w:b/>
          <w:bCs/>
          <w:color w:val="000000"/>
        </w:rPr>
        <w:t>1.4.1. Rationale for Topic Selection</w:t>
      </w:r>
    </w:p>
    <w:p w14:paraId="0F9C0205"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AI-driven sales forecasting represents</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an important but under-explored commercial function in the O&amp;G value chain. While most of the existing research focuses on</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upstream operations like exploration and production, however little attention has been paid to revenue-generating processes in midstream and downstream segments. For mid-sized firms, whose value creation is linked to refining, transformation, and market</w:t>
      </w:r>
      <w:r>
        <w:rPr>
          <w:rFonts w:ascii="Times New Roman" w:eastAsia="Times New Roman" w:hAnsi="Times New Roman" w:cs="Times New Roman"/>
          <w:color w:val="FFFFFF"/>
          <w:sz w:val="24"/>
          <w:szCs w:val="24"/>
          <w:highlight w:val="white"/>
        </w:rPr>
        <w:t xml:space="preserve"> </w:t>
      </w:r>
      <w:r>
        <w:rPr>
          <w:rFonts w:ascii="Times New Roman" w:eastAsia="Times New Roman" w:hAnsi="Times New Roman" w:cs="Times New Roman"/>
          <w:sz w:val="24"/>
          <w:szCs w:val="24"/>
        </w:rPr>
        <w:t>distribution, the sales forecast accuracy directly affects production scheduling, and logistics efficiency.</w:t>
      </w:r>
    </w:p>
    <w:p w14:paraId="6F0624E6"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we aim to shift the analytical focus from AI’s cost-saving potential in operations to its revenue-enhancing potential in strategic decision-making. By understanding the performance impact of AI on forecasting precision and sales outcomes, the work contributes to a holistic understanding of AI’s contribution across the complete industry ecosystem.</w:t>
      </w:r>
    </w:p>
    <w:p w14:paraId="59C27667"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18" w:name="_dzx3unqth4hf" w:colFirst="0" w:colLast="0"/>
      <w:bookmarkEnd w:id="18"/>
      <w:r w:rsidRPr="0023707D">
        <w:rPr>
          <w:rFonts w:ascii="Times New Roman" w:eastAsia="Times New Roman" w:hAnsi="Times New Roman" w:cs="Times New Roman"/>
          <w:b/>
          <w:bCs/>
          <w:color w:val="000000"/>
        </w:rPr>
        <w:t>1.4.2. The Need for Advanced Forecasting</w:t>
      </w:r>
    </w:p>
    <w:p w14:paraId="14452829"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data-driven forecasting methods in the O&amp;G sector has become urgent due to multiple reasons such as volatile market conditions and high financial exposure associated with forecasting errors. Inaccurate forecasts can lead to excessive inventories, reducing margins, or to supply shortages, having adverse effects such as damaging customer relationships and revenue continuity.</w:t>
      </w:r>
    </w:p>
    <w:p w14:paraId="3C225F19"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Recent advancement like cloud computing, Internet of Things (IoT) make AI forecasting systems both feasible and economically viable (Fisher et al., 2020). However, as highlighted by Fisher’s work, the success of these solutions depends on the integration of technical and organizational systems along with AI model sophistication.</w:t>
      </w:r>
    </w:p>
    <w:p w14:paraId="0DA7106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quantifying the financial and operational gains of adopting AI-driven forecasting, this study seeks to produce evidence-based insights enabling organizations to overcome the inertia that keeps them dependent on outdated analytical methods.</w:t>
      </w:r>
    </w:p>
    <w:p w14:paraId="5D2C5252"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19" w:name="_g0ugtzfgy5ye" w:colFirst="0" w:colLast="0"/>
      <w:bookmarkEnd w:id="19"/>
      <w:r w:rsidRPr="0023707D">
        <w:rPr>
          <w:rFonts w:ascii="Times New Roman" w:eastAsia="Times New Roman" w:hAnsi="Times New Roman" w:cs="Times New Roman"/>
          <w:b/>
          <w:bCs/>
          <w:sz w:val="28"/>
          <w:szCs w:val="28"/>
        </w:rPr>
        <w:t>1.5. Research Questions</w:t>
      </w:r>
    </w:p>
    <w:p w14:paraId="085F0203"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20" w:name="_m4obtel9r2" w:colFirst="0" w:colLast="0"/>
      <w:bookmarkEnd w:id="20"/>
      <w:r w:rsidRPr="0023707D">
        <w:rPr>
          <w:rFonts w:ascii="Times New Roman" w:eastAsia="Times New Roman" w:hAnsi="Times New Roman" w:cs="Times New Roman"/>
          <w:b/>
          <w:bCs/>
          <w:color w:val="000000"/>
        </w:rPr>
        <w:lastRenderedPageBreak/>
        <w:t>1.5.1. Primary Research Question</w:t>
      </w:r>
    </w:p>
    <w:p w14:paraId="3FDCE7FC" w14:textId="77777777" w:rsidR="00C8520B" w:rsidRDefault="00000000">
      <w:pPr>
        <w:spacing w:before="240" w:after="240"/>
        <w:ind w:left="600" w:right="6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what extent does </w:t>
      </w:r>
      <w:proofErr w:type="gramStart"/>
      <w:r>
        <w:rPr>
          <w:rFonts w:ascii="Times New Roman" w:eastAsia="Times New Roman" w:hAnsi="Times New Roman" w:cs="Times New Roman"/>
          <w:sz w:val="24"/>
          <w:szCs w:val="24"/>
        </w:rPr>
        <w:t>the an</w:t>
      </w:r>
      <w:proofErr w:type="gramEnd"/>
      <w:r>
        <w:rPr>
          <w:rFonts w:ascii="Times New Roman" w:eastAsia="Times New Roman" w:hAnsi="Times New Roman" w:cs="Times New Roman"/>
          <w:sz w:val="24"/>
          <w:szCs w:val="24"/>
        </w:rPr>
        <w:t xml:space="preserve"> AI-driven sales forecasting system impact the operational efficiency, and financial performance of mid-sized Saudi Arabian petrochemical companies?</w:t>
      </w:r>
    </w:p>
    <w:p w14:paraId="18BC7F8C"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21" w:name="_8wc5fyci59bo" w:colFirst="0" w:colLast="0"/>
      <w:bookmarkEnd w:id="21"/>
      <w:r w:rsidRPr="0023707D">
        <w:rPr>
          <w:rFonts w:ascii="Times New Roman" w:eastAsia="Times New Roman" w:hAnsi="Times New Roman" w:cs="Times New Roman"/>
          <w:b/>
          <w:bCs/>
          <w:color w:val="000000"/>
        </w:rPr>
        <w:t>1.5.2. Sub-Questions</w:t>
      </w:r>
    </w:p>
    <w:p w14:paraId="1275DEE6" w14:textId="77777777" w:rsidR="00C8520B" w:rsidRDefault="00000000">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measurable change in forecasting accuracy (e.g., Mean Absolute Percentage Error) is observed by integrating AI enabled solutions?</w:t>
      </w:r>
    </w:p>
    <w:p w14:paraId="4EF4EA81" w14:textId="77777777" w:rsidR="00C8520B" w:rsidRDefault="0000000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AI solution adoption affects the efficiency of sales-related planning and decision-making processes (e.g., planning cycle time)?</w:t>
      </w:r>
    </w:p>
    <w:p w14:paraId="24D5459C" w14:textId="77777777" w:rsidR="00C8520B" w:rsidRDefault="0000000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AI sales forecasting affect commercial effectiveness (e.g., sales target attainment rates)?</w:t>
      </w:r>
    </w:p>
    <w:p w14:paraId="24DC36FC" w14:textId="77777777" w:rsidR="00C8520B" w:rsidRDefault="00000000">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relationship between improvements in forecasting accuracy and realized sales revenue, controlling for external market variables?</w:t>
      </w:r>
    </w:p>
    <w:p w14:paraId="2F3615B3"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22" w:name="_j4uhq9q2m2ly" w:colFirst="0" w:colLast="0"/>
      <w:bookmarkEnd w:id="22"/>
      <w:r w:rsidRPr="0023707D">
        <w:rPr>
          <w:rFonts w:ascii="Times New Roman" w:eastAsia="Times New Roman" w:hAnsi="Times New Roman" w:cs="Times New Roman"/>
          <w:b/>
          <w:bCs/>
          <w:sz w:val="28"/>
          <w:szCs w:val="28"/>
        </w:rPr>
        <w:t>1.6. Research Objectives</w:t>
      </w:r>
    </w:p>
    <w:p w14:paraId="48EB37B0" w14:textId="77777777" w:rsidR="00C8520B" w:rsidRDefault="00000000">
      <w:pPr>
        <w:numPr>
          <w:ilvl w:val="0"/>
          <w:numId w:val="18"/>
        </w:numPr>
        <w:spacing w:before="240"/>
        <w:rPr>
          <w:sz w:val="24"/>
          <w:szCs w:val="24"/>
        </w:rPr>
      </w:pPr>
      <w:r>
        <w:rPr>
          <w:rFonts w:ascii="Times New Roman" w:eastAsia="Times New Roman" w:hAnsi="Times New Roman" w:cs="Times New Roman"/>
          <w:b/>
          <w:bCs/>
          <w:sz w:val="24"/>
          <w:szCs w:val="24"/>
        </w:rPr>
        <w:t>Quantify Forecasting Accuracy Improvement:</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Benchmark the accuracy of AI-driven forecasting solutions against traditional/conventional methods using historical sales data and standard error metrics (MAPE, RMSE).</w:t>
      </w:r>
    </w:p>
    <w:p w14:paraId="02C4359B" w14:textId="77777777" w:rsidR="00C8520B" w:rsidRDefault="00000000">
      <w:pPr>
        <w:numPr>
          <w:ilvl w:val="0"/>
          <w:numId w:val="18"/>
        </w:numPr>
        <w:rPr>
          <w:sz w:val="24"/>
          <w:szCs w:val="24"/>
        </w:rPr>
      </w:pPr>
      <w:r>
        <w:rPr>
          <w:rFonts w:ascii="Times New Roman" w:eastAsia="Times New Roman" w:hAnsi="Times New Roman" w:cs="Times New Roman"/>
          <w:b/>
          <w:bCs/>
          <w:sz w:val="24"/>
          <w:szCs w:val="24"/>
        </w:rPr>
        <w:t>Measure Decision-Making Efficiency: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Measure the impact of AI forecasting on sales planning efficiency through quantifiable indicators such as time-to-decision and resource allocation speed.</w:t>
      </w:r>
    </w:p>
    <w:p w14:paraId="3C49268B" w14:textId="77777777" w:rsidR="00C8520B" w:rsidRDefault="00000000">
      <w:pPr>
        <w:numPr>
          <w:ilvl w:val="0"/>
          <w:numId w:val="18"/>
        </w:numPr>
        <w:rPr>
          <w:sz w:val="24"/>
          <w:szCs w:val="24"/>
        </w:rPr>
      </w:pPr>
      <w:r>
        <w:rPr>
          <w:rFonts w:ascii="Times New Roman" w:eastAsia="Times New Roman" w:hAnsi="Times New Roman" w:cs="Times New Roman"/>
          <w:b/>
          <w:bCs/>
          <w:sz w:val="24"/>
          <w:szCs w:val="24"/>
        </w:rPr>
        <w:t>Evaluate Decision-Making Effectiveness: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Evaluate the correlation among AI-informed decisions and business outcomes such as target achievement and revenue variance.</w:t>
      </w:r>
    </w:p>
    <w:p w14:paraId="5D5874EB" w14:textId="77777777" w:rsidR="00C8520B" w:rsidRDefault="00000000">
      <w:pPr>
        <w:numPr>
          <w:ilvl w:val="0"/>
          <w:numId w:val="18"/>
        </w:numPr>
        <w:spacing w:after="240"/>
        <w:rPr>
          <w:sz w:val="24"/>
          <w:szCs w:val="24"/>
        </w:rPr>
      </w:pPr>
      <w:r>
        <w:rPr>
          <w:rFonts w:ascii="Times New Roman" w:eastAsia="Times New Roman" w:hAnsi="Times New Roman" w:cs="Times New Roman"/>
          <w:b/>
          <w:bCs/>
          <w:sz w:val="24"/>
          <w:szCs w:val="24"/>
        </w:rPr>
        <w:t>Analyze the Sales–Revenue Relationship:</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Conduct regression or correlation analyses to quantify the magnitude and significance of the link between forecast accuracy improvements and revenue growth.</w:t>
      </w:r>
    </w:p>
    <w:p w14:paraId="258A44B9" w14:textId="77777777" w:rsidR="00C8520B" w:rsidRDefault="00000000">
      <w:pPr>
        <w:pStyle w:val="Heading2"/>
        <w:keepNext w:val="0"/>
        <w:keepLines w:val="0"/>
        <w:spacing w:after="80"/>
        <w:rPr>
          <w:rFonts w:ascii="Times New Roman" w:eastAsia="Times New Roman" w:hAnsi="Times New Roman" w:cs="Times New Roman"/>
          <w:b/>
          <w:bCs/>
          <w:sz w:val="24"/>
          <w:szCs w:val="24"/>
        </w:rPr>
      </w:pPr>
      <w:bookmarkStart w:id="23" w:name="_77ajewgy01h8" w:colFirst="0" w:colLast="0"/>
      <w:bookmarkEnd w:id="23"/>
      <w:r w:rsidRPr="0023707D">
        <w:rPr>
          <w:rFonts w:ascii="Times New Roman" w:eastAsia="Times New Roman" w:hAnsi="Times New Roman" w:cs="Times New Roman"/>
          <w:b/>
          <w:bCs/>
          <w:sz w:val="28"/>
          <w:szCs w:val="28"/>
        </w:rPr>
        <w:t>1.7. Significance of the Research</w:t>
      </w:r>
    </w:p>
    <w:p w14:paraId="447B2F85"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24" w:name="_hp3mnb9695i6" w:colFirst="0" w:colLast="0"/>
      <w:bookmarkEnd w:id="24"/>
      <w:r w:rsidRPr="0023707D">
        <w:rPr>
          <w:rFonts w:ascii="Times New Roman" w:eastAsia="Times New Roman" w:hAnsi="Times New Roman" w:cs="Times New Roman"/>
          <w:b/>
          <w:bCs/>
          <w:color w:val="000000"/>
        </w:rPr>
        <w:t>1.7.1. Industrial Implications</w:t>
      </w:r>
    </w:p>
    <w:p w14:paraId="44DAD1A4"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Saudi Arabia’s mid-sized O&amp;G firms, the research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the potential to translate national AI ambitions into practical, evidence-based strategies. By quantifying the return on investment (ROI) of AI solution in a core business process, present study aims to provide decision makers with a reproducible model for assessing AI’s commercial impact. The results will help address </w:t>
      </w:r>
      <w:r>
        <w:rPr>
          <w:rFonts w:ascii="Times New Roman" w:eastAsia="Times New Roman" w:hAnsi="Times New Roman" w:cs="Times New Roman"/>
          <w:sz w:val="24"/>
          <w:szCs w:val="24"/>
        </w:rPr>
        <w:lastRenderedPageBreak/>
        <w:t xml:space="preserve">the issues of financial hesitation, and strategic ambiguity identified by </w:t>
      </w: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(2021), helping in adoption of value-generating digital technologies across the sector and enhancing overall performance.</w:t>
      </w:r>
    </w:p>
    <w:p w14:paraId="19A94FA1"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25" w:name="_mmwpsbcb15yt" w:colFirst="0" w:colLast="0"/>
      <w:bookmarkEnd w:id="25"/>
      <w:r w:rsidRPr="0023707D">
        <w:rPr>
          <w:rFonts w:ascii="Times New Roman" w:eastAsia="Times New Roman" w:hAnsi="Times New Roman" w:cs="Times New Roman"/>
          <w:b/>
          <w:bCs/>
          <w:color w:val="000000"/>
        </w:rPr>
        <w:t>1.7.2. Broader Policy and Economic Relevance</w:t>
      </w:r>
    </w:p>
    <w:p w14:paraId="0F609F2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Beyond individual firm-level relevance, this study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broader implication contributing to the digital transformation agenda aligning with Saudi Vision 2030. By quantifying the benefits of AI driven solutions on economic and operational level in one of the Kingdom’s most critical industries, the study will help policy-makers with actionable evidence for creating incentive schemes, capacity-building initiatives, and industrial policies strengthening the synergy between technological innovation and sustainable economic development. In accordance with the findings of Song et al. (2025), study reinforces the vision that AI integration across major industries can serve as a tool of inclusive, knowledge-based growth.</w:t>
      </w:r>
    </w:p>
    <w:p w14:paraId="08C6F9A2" w14:textId="77777777" w:rsidR="00C8520B" w:rsidRDefault="00C8520B">
      <w:pPr>
        <w:rPr>
          <w:rFonts w:ascii="Times New Roman" w:eastAsia="Times New Roman" w:hAnsi="Times New Roman" w:cs="Times New Roman"/>
          <w:sz w:val="24"/>
          <w:szCs w:val="24"/>
        </w:rPr>
      </w:pPr>
    </w:p>
    <w:p w14:paraId="54637A7E" w14:textId="77777777" w:rsidR="00C8520B" w:rsidRDefault="00C8520B">
      <w:pPr>
        <w:rPr>
          <w:rFonts w:ascii="Times New Roman" w:eastAsia="Times New Roman" w:hAnsi="Times New Roman" w:cs="Times New Roman"/>
          <w:sz w:val="24"/>
          <w:szCs w:val="24"/>
        </w:rPr>
      </w:pPr>
    </w:p>
    <w:p w14:paraId="075F07EC" w14:textId="77777777" w:rsidR="00C8520B" w:rsidRDefault="00C8520B">
      <w:pPr>
        <w:rPr>
          <w:rFonts w:ascii="Times New Roman" w:eastAsia="Times New Roman" w:hAnsi="Times New Roman" w:cs="Times New Roman"/>
          <w:sz w:val="24"/>
          <w:szCs w:val="24"/>
        </w:rPr>
      </w:pPr>
    </w:p>
    <w:p w14:paraId="63BF9B89" w14:textId="77777777" w:rsidR="00C8520B" w:rsidRDefault="00C8520B">
      <w:pPr>
        <w:rPr>
          <w:rFonts w:ascii="Times New Roman" w:eastAsia="Times New Roman" w:hAnsi="Times New Roman" w:cs="Times New Roman"/>
          <w:sz w:val="24"/>
          <w:szCs w:val="24"/>
        </w:rPr>
      </w:pPr>
    </w:p>
    <w:p w14:paraId="48BEB674" w14:textId="77777777" w:rsidR="00C8520B" w:rsidRDefault="00C8520B">
      <w:pPr>
        <w:rPr>
          <w:rFonts w:ascii="Times New Roman" w:eastAsia="Times New Roman" w:hAnsi="Times New Roman" w:cs="Times New Roman"/>
          <w:sz w:val="24"/>
          <w:szCs w:val="24"/>
        </w:rPr>
      </w:pPr>
    </w:p>
    <w:p w14:paraId="576A5841" w14:textId="77777777" w:rsidR="00C8520B" w:rsidRDefault="00C8520B">
      <w:pPr>
        <w:rPr>
          <w:rFonts w:ascii="Times New Roman" w:eastAsia="Times New Roman" w:hAnsi="Times New Roman" w:cs="Times New Roman"/>
          <w:sz w:val="24"/>
          <w:szCs w:val="24"/>
        </w:rPr>
      </w:pPr>
    </w:p>
    <w:p w14:paraId="25C8A6D5" w14:textId="77777777" w:rsidR="00C8520B" w:rsidRDefault="00C8520B">
      <w:pPr>
        <w:rPr>
          <w:rFonts w:ascii="Times New Roman" w:eastAsia="Times New Roman" w:hAnsi="Times New Roman" w:cs="Times New Roman"/>
          <w:sz w:val="24"/>
          <w:szCs w:val="24"/>
        </w:rPr>
      </w:pPr>
    </w:p>
    <w:p w14:paraId="1DB4FE77" w14:textId="77777777" w:rsidR="00C8520B" w:rsidRDefault="00C8520B">
      <w:pPr>
        <w:rPr>
          <w:rFonts w:ascii="Times New Roman" w:eastAsia="Times New Roman" w:hAnsi="Times New Roman" w:cs="Times New Roman"/>
          <w:sz w:val="24"/>
          <w:szCs w:val="24"/>
        </w:rPr>
      </w:pPr>
    </w:p>
    <w:p w14:paraId="4392E0D7" w14:textId="77777777" w:rsidR="00C8520B" w:rsidRDefault="00C8520B">
      <w:pPr>
        <w:rPr>
          <w:rFonts w:ascii="Times New Roman" w:eastAsia="Times New Roman" w:hAnsi="Times New Roman" w:cs="Times New Roman"/>
          <w:sz w:val="24"/>
          <w:szCs w:val="24"/>
        </w:rPr>
      </w:pPr>
    </w:p>
    <w:p w14:paraId="74C86820" w14:textId="77777777" w:rsidR="00C8520B" w:rsidRDefault="00C8520B">
      <w:pPr>
        <w:rPr>
          <w:rFonts w:ascii="Times New Roman" w:eastAsia="Times New Roman" w:hAnsi="Times New Roman" w:cs="Times New Roman"/>
          <w:sz w:val="24"/>
          <w:szCs w:val="24"/>
        </w:rPr>
      </w:pPr>
    </w:p>
    <w:p w14:paraId="474F9387" w14:textId="77777777" w:rsidR="00C8520B" w:rsidRDefault="00C8520B">
      <w:pPr>
        <w:rPr>
          <w:rFonts w:ascii="Times New Roman" w:eastAsia="Times New Roman" w:hAnsi="Times New Roman" w:cs="Times New Roman"/>
          <w:sz w:val="24"/>
          <w:szCs w:val="24"/>
        </w:rPr>
      </w:pPr>
    </w:p>
    <w:p w14:paraId="52DB7E47" w14:textId="77777777" w:rsidR="00C8520B" w:rsidRDefault="00C8520B">
      <w:pPr>
        <w:rPr>
          <w:rFonts w:ascii="Times New Roman" w:eastAsia="Times New Roman" w:hAnsi="Times New Roman" w:cs="Times New Roman"/>
          <w:sz w:val="24"/>
          <w:szCs w:val="24"/>
        </w:rPr>
      </w:pPr>
    </w:p>
    <w:p w14:paraId="49885AA2" w14:textId="77777777" w:rsidR="00C8520B" w:rsidRDefault="00C8520B">
      <w:pPr>
        <w:rPr>
          <w:rFonts w:ascii="Times New Roman" w:eastAsia="Times New Roman" w:hAnsi="Times New Roman" w:cs="Times New Roman"/>
          <w:sz w:val="24"/>
          <w:szCs w:val="24"/>
        </w:rPr>
      </w:pPr>
    </w:p>
    <w:p w14:paraId="0F09E7D3" w14:textId="77777777" w:rsidR="00C8520B" w:rsidRDefault="00C8520B">
      <w:pPr>
        <w:rPr>
          <w:rFonts w:ascii="Times New Roman" w:eastAsia="Times New Roman" w:hAnsi="Times New Roman" w:cs="Times New Roman"/>
          <w:sz w:val="24"/>
          <w:szCs w:val="24"/>
        </w:rPr>
      </w:pPr>
    </w:p>
    <w:p w14:paraId="0A0F3D82" w14:textId="77777777" w:rsidR="00C8520B" w:rsidRDefault="00C8520B">
      <w:pPr>
        <w:rPr>
          <w:rFonts w:ascii="Times New Roman" w:eastAsia="Times New Roman" w:hAnsi="Times New Roman" w:cs="Times New Roman"/>
          <w:sz w:val="24"/>
          <w:szCs w:val="24"/>
        </w:rPr>
      </w:pPr>
    </w:p>
    <w:p w14:paraId="05B74C04" w14:textId="77777777" w:rsidR="00C8520B" w:rsidRDefault="00C8520B">
      <w:pPr>
        <w:rPr>
          <w:rFonts w:ascii="Times New Roman" w:eastAsia="Times New Roman" w:hAnsi="Times New Roman" w:cs="Times New Roman"/>
          <w:sz w:val="24"/>
          <w:szCs w:val="24"/>
        </w:rPr>
      </w:pPr>
    </w:p>
    <w:p w14:paraId="63EBFA3C" w14:textId="77777777" w:rsidR="00C8520B" w:rsidRDefault="00C8520B">
      <w:pPr>
        <w:rPr>
          <w:rFonts w:ascii="Times New Roman" w:eastAsia="Times New Roman" w:hAnsi="Times New Roman" w:cs="Times New Roman"/>
          <w:sz w:val="24"/>
          <w:szCs w:val="24"/>
        </w:rPr>
      </w:pPr>
    </w:p>
    <w:p w14:paraId="6EEBC642" w14:textId="77777777" w:rsidR="00C8520B" w:rsidRDefault="00C8520B">
      <w:pPr>
        <w:rPr>
          <w:rFonts w:ascii="Times New Roman" w:eastAsia="Times New Roman" w:hAnsi="Times New Roman" w:cs="Times New Roman"/>
          <w:sz w:val="24"/>
          <w:szCs w:val="24"/>
        </w:rPr>
      </w:pPr>
    </w:p>
    <w:p w14:paraId="6621B27B" w14:textId="77777777" w:rsidR="00C8520B" w:rsidRDefault="00C8520B">
      <w:pPr>
        <w:rPr>
          <w:rFonts w:ascii="Times New Roman" w:eastAsia="Times New Roman" w:hAnsi="Times New Roman" w:cs="Times New Roman"/>
          <w:sz w:val="24"/>
          <w:szCs w:val="24"/>
        </w:rPr>
      </w:pPr>
    </w:p>
    <w:p w14:paraId="35C91717" w14:textId="77777777" w:rsidR="00C8520B" w:rsidRDefault="00C8520B">
      <w:pPr>
        <w:rPr>
          <w:rFonts w:ascii="Times New Roman" w:eastAsia="Times New Roman" w:hAnsi="Times New Roman" w:cs="Times New Roman"/>
          <w:sz w:val="24"/>
          <w:szCs w:val="24"/>
        </w:rPr>
      </w:pPr>
    </w:p>
    <w:p w14:paraId="7E87913D" w14:textId="77777777" w:rsidR="00C8520B" w:rsidRDefault="00C8520B">
      <w:pPr>
        <w:rPr>
          <w:rFonts w:ascii="Times New Roman" w:eastAsia="Times New Roman" w:hAnsi="Times New Roman" w:cs="Times New Roman"/>
          <w:sz w:val="24"/>
          <w:szCs w:val="24"/>
        </w:rPr>
      </w:pPr>
    </w:p>
    <w:p w14:paraId="31DBC0BB" w14:textId="77777777" w:rsidR="00C8520B" w:rsidRDefault="00C8520B">
      <w:pPr>
        <w:rPr>
          <w:rFonts w:ascii="Times New Roman" w:eastAsia="Times New Roman" w:hAnsi="Times New Roman" w:cs="Times New Roman"/>
          <w:sz w:val="24"/>
          <w:szCs w:val="24"/>
        </w:rPr>
      </w:pPr>
    </w:p>
    <w:p w14:paraId="567D8B3E" w14:textId="77777777" w:rsidR="00C8520B" w:rsidRDefault="00C8520B">
      <w:pPr>
        <w:rPr>
          <w:rFonts w:ascii="Times New Roman" w:eastAsia="Times New Roman" w:hAnsi="Times New Roman" w:cs="Times New Roman"/>
          <w:sz w:val="24"/>
          <w:szCs w:val="24"/>
        </w:rPr>
      </w:pPr>
    </w:p>
    <w:p w14:paraId="2953A40A" w14:textId="77777777" w:rsidR="00C8520B" w:rsidRDefault="00C8520B">
      <w:pPr>
        <w:rPr>
          <w:rFonts w:ascii="Times New Roman" w:eastAsia="Times New Roman" w:hAnsi="Times New Roman" w:cs="Times New Roman"/>
          <w:sz w:val="24"/>
          <w:szCs w:val="24"/>
        </w:rPr>
      </w:pPr>
    </w:p>
    <w:p w14:paraId="08C8D74C" w14:textId="77777777" w:rsidR="00C8520B" w:rsidRDefault="00C8520B">
      <w:pPr>
        <w:rPr>
          <w:rFonts w:ascii="Times New Roman" w:eastAsia="Times New Roman" w:hAnsi="Times New Roman" w:cs="Times New Roman"/>
          <w:sz w:val="24"/>
          <w:szCs w:val="24"/>
        </w:rPr>
      </w:pPr>
    </w:p>
    <w:p w14:paraId="1BF832E9" w14:textId="77777777" w:rsidR="00C8520B" w:rsidRDefault="00C8520B">
      <w:pPr>
        <w:rPr>
          <w:rFonts w:ascii="Times New Roman" w:eastAsia="Times New Roman" w:hAnsi="Times New Roman" w:cs="Times New Roman"/>
          <w:sz w:val="24"/>
          <w:szCs w:val="24"/>
        </w:rPr>
      </w:pPr>
    </w:p>
    <w:p w14:paraId="1BC5E63E" w14:textId="77777777" w:rsidR="00C8520B" w:rsidRDefault="00C8520B">
      <w:pPr>
        <w:rPr>
          <w:rFonts w:ascii="Times New Roman" w:eastAsia="Times New Roman" w:hAnsi="Times New Roman" w:cs="Times New Roman"/>
          <w:sz w:val="24"/>
          <w:szCs w:val="24"/>
        </w:rPr>
      </w:pPr>
    </w:p>
    <w:p w14:paraId="121EAAF3" w14:textId="77777777" w:rsidR="00C8520B" w:rsidRDefault="00000000">
      <w:pPr>
        <w:pStyle w:val="Heading1"/>
        <w:jc w:val="center"/>
        <w:rPr>
          <w:rFonts w:ascii="Times New Roman" w:eastAsia="Times New Roman" w:hAnsi="Times New Roman" w:cs="Times New Roman"/>
          <w:b/>
          <w:bCs/>
          <w:sz w:val="24"/>
          <w:szCs w:val="24"/>
        </w:rPr>
      </w:pPr>
      <w:bookmarkStart w:id="26" w:name="_az6gbvndnpun" w:colFirst="0" w:colLast="0"/>
      <w:bookmarkEnd w:id="26"/>
      <w:r>
        <w:rPr>
          <w:rFonts w:ascii="Times New Roman" w:eastAsia="Times New Roman" w:hAnsi="Times New Roman" w:cs="Times New Roman"/>
          <w:b/>
          <w:bCs/>
          <w:sz w:val="44"/>
          <w:szCs w:val="44"/>
        </w:rPr>
        <w:t>Chapter 2: Literature Review and Theoretical Framework</w:t>
      </w:r>
    </w:p>
    <w:p w14:paraId="3D90D843"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27" w:name="_6l6vy3x5m0me" w:colFirst="0" w:colLast="0"/>
      <w:bookmarkEnd w:id="27"/>
      <w:r w:rsidRPr="0023707D">
        <w:rPr>
          <w:rFonts w:ascii="Times New Roman" w:eastAsia="Times New Roman" w:hAnsi="Times New Roman" w:cs="Times New Roman"/>
          <w:b/>
          <w:bCs/>
          <w:sz w:val="28"/>
          <w:szCs w:val="28"/>
        </w:rPr>
        <w:t>2.1 The Evolution of Sales Forecasting Methodologies</w:t>
      </w:r>
    </w:p>
    <w:p w14:paraId="78C54DB7"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Sales forecasting plays an important role in business decision-making. Over time sales forecasting methods have evolved as the technology progressed and data infrastructure evolved. In the earlier decades of business management, forecasting was largely a qualitative exercise, heavily reliant on managerial intuition, expert judgment, and experience. Techniques such as the Delphi method, executive opinions, and salesforce composite approaches dominated the field. These approaches were relatively simple to use, required limited data, and allowed for flexibility in uncertain markets. However, they were also prone to bias, inconsistency, and limited scalability.</w:t>
      </w:r>
    </w:p>
    <w:p w14:paraId="44435B58"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computational power and data storage capabilities expanded, the field gradually shifted toward quantitative and data-driven methods. According to the systematic mapping study conducted by </w:t>
      </w:r>
      <w:proofErr w:type="spellStart"/>
      <w:r>
        <w:rPr>
          <w:rFonts w:ascii="Times New Roman" w:eastAsia="Times New Roman" w:hAnsi="Times New Roman" w:cs="Times New Roman"/>
          <w:sz w:val="24"/>
          <w:szCs w:val="24"/>
        </w:rPr>
        <w:t>Ahaggach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Abrouk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Lebon</w:t>
      </w:r>
      <w:proofErr w:type="spellEnd"/>
      <w:r>
        <w:rPr>
          <w:rFonts w:ascii="Times New Roman" w:eastAsia="Times New Roman" w:hAnsi="Times New Roman" w:cs="Times New Roman"/>
          <w:sz w:val="24"/>
          <w:szCs w:val="24"/>
        </w:rPr>
        <w:t xml:space="preserve"> (2024), which analyzed 354 scholarly papers published between 2012 and 2023, this transformation has been profound. Their meta-analysis revealed that machine learning (ML) and deep learning (DL) models now dominate contemporary research in sales forecasting—accounting for approximately 45% and 21% of new studies, respectively. The study also found that forecasting models are becoming increasingly sophisticated, leveraging non-linear relationships, ensemble approaches, and hybrid systems that integrate multiple algorithms. This growing emphasis on computational methods highlights a paradigm shift in the research community toward maximizing predictive accuracy through algorithmic complexity.</w:t>
      </w:r>
    </w:p>
    <w:p w14:paraId="67140E2A"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this academic enthusiasm for advanced modeling does not necessarily translate seamlessly into business practice. Many organizations, particularly those with limited data maturity or analytical infrastructure, find such sophisticated techniques difficult to adopt. The practitioner-focused guide by </w:t>
      </w:r>
      <w:proofErr w:type="spellStart"/>
      <w:r>
        <w:rPr>
          <w:rFonts w:ascii="Times New Roman" w:eastAsia="Times New Roman" w:hAnsi="Times New Roman" w:cs="Times New Roman"/>
          <w:sz w:val="24"/>
          <w:szCs w:val="24"/>
        </w:rPr>
        <w:t>Krasovytskyi</w:t>
      </w:r>
      <w:proofErr w:type="spellEnd"/>
      <w:r>
        <w:rPr>
          <w:rFonts w:ascii="Times New Roman" w:eastAsia="Times New Roman" w:hAnsi="Times New Roman" w:cs="Times New Roman"/>
          <w:sz w:val="24"/>
          <w:szCs w:val="24"/>
        </w:rPr>
        <w:t xml:space="preserve"> (2025) provides a refreshing counterpoint to the academic narrative. In his work, he identifies thirteen practical forecasting methods—ranging from classical time-series models and regression analysis to qualitative approaches like Delphi and customer-intent assessments. The guide stresses that there is </w:t>
      </w:r>
      <w:r>
        <w:rPr>
          <w:rFonts w:ascii="Times New Roman" w:eastAsia="Times New Roman" w:hAnsi="Times New Roman" w:cs="Times New Roman"/>
          <w:i/>
          <w:iCs/>
          <w:sz w:val="24"/>
          <w:szCs w:val="24"/>
        </w:rPr>
        <w:t>no universally superior forecasting method</w:t>
      </w:r>
      <w:r>
        <w:rPr>
          <w:rFonts w:ascii="Times New Roman" w:eastAsia="Times New Roman" w:hAnsi="Times New Roman" w:cs="Times New Roman"/>
          <w:sz w:val="24"/>
          <w:szCs w:val="24"/>
        </w:rPr>
        <w:t>; instead, the appropriate choice depends on the organization’s data quality, resources, forecasting horizon, and market complexity.</w:t>
      </w:r>
    </w:p>
    <w:p w14:paraId="0770613D"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Krasovytskyi</w:t>
      </w:r>
      <w:proofErr w:type="spellEnd"/>
      <w:r>
        <w:rPr>
          <w:rFonts w:ascii="Times New Roman" w:eastAsia="Times New Roman" w:hAnsi="Times New Roman" w:cs="Times New Roman"/>
          <w:sz w:val="24"/>
          <w:szCs w:val="24"/>
        </w:rPr>
        <w:t xml:space="preserve"> also highlights persistent problems that plague organizations attempting to modernize their forecasting. For example, time-series methods require long, accurate, and consistent datasets—conditions rarely met in volatile industries such as energy. Regression models, while statistically rigorous, demand expertise that many sales teams lack. Even qualitative approaches like salesforce composites can be compromised by human bias, limited industry awareness, or optimism among sales representatives. These constraints illustrate a reality often ignored in academia: the limiting factor in sales forecasting is not always the algorithm, but the organization’s ability to use it effectively.</w:t>
      </w:r>
    </w:p>
    <w:p w14:paraId="7D4F1DEC"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we juxtapose the two perspectives—the academically driven pursuit of model perfection and the practitioner’s concern with practical feasibility—a significant gap becomes apparent. The research frontier emphasizes algorithmic power, while the business frontier prioritizes usability, interpretability, and cost-effectiveness. This contrast reveals what can be termed a “sophistication–implementation gap”: a widening divide between what forecasting technologies </w:t>
      </w:r>
      <w:r>
        <w:rPr>
          <w:rFonts w:ascii="Times New Roman" w:eastAsia="Times New Roman" w:hAnsi="Times New Roman" w:cs="Times New Roman"/>
          <w:i/>
          <w:iCs/>
          <w:sz w:val="24"/>
          <w:szCs w:val="24"/>
        </w:rPr>
        <w:t>can</w:t>
      </w:r>
      <w:r>
        <w:rPr>
          <w:rFonts w:ascii="Times New Roman" w:eastAsia="Times New Roman" w:hAnsi="Times New Roman" w:cs="Times New Roman"/>
          <w:sz w:val="24"/>
          <w:szCs w:val="24"/>
        </w:rPr>
        <w:t xml:space="preserve"> do and what businesses are realistically able to apply.</w:t>
      </w:r>
    </w:p>
    <w:p w14:paraId="5F3BF2D9"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forecasting progress is not linear. It operates on two distinct dimensions. The first is technological evolution, where academic researchers continually push the boundaries of algorithmic sophistication. The second is organizational evolution, where companies work to develop the data, talent, and infrastructure required to apply these tools effectively. For most firms—especially those in traditional industries like oil and gas—the real challenge lies not in inventing new algorithms but in developing the capability to implement them successfully. The transformation from intuition-based to AI-based forecasting is therefore as much an organizational journey as it is a technological one.</w:t>
      </w:r>
    </w:p>
    <w:p w14:paraId="19E06273"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28" w:name="_4wwdgaii55n4" w:colFirst="0" w:colLast="0"/>
      <w:bookmarkEnd w:id="28"/>
      <w:r w:rsidRPr="0023707D">
        <w:rPr>
          <w:rFonts w:ascii="Times New Roman" w:eastAsia="Times New Roman" w:hAnsi="Times New Roman" w:cs="Times New Roman"/>
          <w:b/>
          <w:bCs/>
          <w:sz w:val="28"/>
          <w:szCs w:val="28"/>
        </w:rPr>
        <w:t>2.2 AI Applications in the Global Oil and Gas Sector</w:t>
      </w:r>
    </w:p>
    <w:p w14:paraId="502D93A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oil and gas (O&amp;G) industry has been one of the earliest heavy industries to experiment with artificial intelligence, mainly because of its complex operations, massive datasets, and capital-intensive nature. Yet, despite its early adoption, the distribution of AI applications across the value chain has been highly uneven.</w:t>
      </w:r>
    </w:p>
    <w:p w14:paraId="7F86E24E"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large-scale bibliometric analysis conducted by Marcelo et al. (2025) reviewed more than 11,000 academic articles indexed in Scopus and </w:t>
      </w:r>
      <w:proofErr w:type="spellStart"/>
      <w:r>
        <w:rPr>
          <w:rFonts w:ascii="Times New Roman" w:eastAsia="Times New Roman" w:hAnsi="Times New Roman" w:cs="Times New Roman"/>
          <w:sz w:val="24"/>
          <w:szCs w:val="24"/>
        </w:rPr>
        <w:t>OnePetro</w:t>
      </w:r>
      <w:proofErr w:type="spellEnd"/>
      <w:r>
        <w:rPr>
          <w:rFonts w:ascii="Times New Roman" w:eastAsia="Times New Roman" w:hAnsi="Times New Roman" w:cs="Times New Roman"/>
          <w:sz w:val="24"/>
          <w:szCs w:val="24"/>
        </w:rPr>
        <w:t xml:space="preserve"> to understand where and how AI is applied within the O&amp;G sector. Their findings show that most published research and industrial case studies concentrate overwhelmingly on upstream operations—such as exploration, drilling, and production optimization. The dominant clusters in the literature include predictive maintenance, seismic data interpretation, and reservoir modeling. The study also noted that nearly 40% of the research originates from Society of Petroleum Engineers (SPE) conferences and journals, reinforcing a strong engineering and technical focus.</w:t>
      </w:r>
    </w:p>
    <w:p w14:paraId="74A4CCB5"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trend suggests that AI in O&amp;G is primarily being used to optimize physical processes—to enhance equipment reliability, reduce downtime, or identify new extraction opportunities. While such applications have clear operational value, they do not necessarily translate into broader commercial or strategic transformation. Most AI initiatives remain siloed within engineering departments and do not address the full data ecosystem that spans operations, logistics, and market activities.</w:t>
      </w:r>
    </w:p>
    <w:p w14:paraId="714E3E0D"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limitation is highlighted by Sircar et al. (2021), whose comprehensive state-of-the-art review argues that the O&amp;G industry’s real bottleneck is not a lack of algorithms but rather the fragmented management of data. Their work points out that every stage of the oil and gas value chain generates enormous amounts of data—from geological surveys to pipeline monitoring to customer transactions—but these datasets are often disconnected and managed independently. Without integration, the industry struggles to derive holistic insights that connect production to commercial outcomes.</w:t>
      </w:r>
    </w:p>
    <w:p w14:paraId="61AF7421"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combination of these two studies—Marcelo et al.’s quantitative mapping and Sircar et al.’s qualitative diagnosis—reveals a strategic dissonance within the sector. On one hand, AI research and investment focus heavily on solving </w:t>
      </w:r>
      <w:r>
        <w:rPr>
          <w:rFonts w:ascii="Times New Roman" w:eastAsia="Times New Roman" w:hAnsi="Times New Roman" w:cs="Times New Roman"/>
          <w:i/>
          <w:iCs/>
          <w:sz w:val="24"/>
          <w:szCs w:val="24"/>
        </w:rPr>
        <w:t>technical</w:t>
      </w:r>
      <w:r>
        <w:rPr>
          <w:rFonts w:ascii="Times New Roman" w:eastAsia="Times New Roman" w:hAnsi="Times New Roman" w:cs="Times New Roman"/>
          <w:sz w:val="24"/>
          <w:szCs w:val="24"/>
        </w:rPr>
        <w:t xml:space="preserve"> problems; on the other, the </w:t>
      </w:r>
      <w:r>
        <w:rPr>
          <w:rFonts w:ascii="Times New Roman" w:eastAsia="Times New Roman" w:hAnsi="Times New Roman" w:cs="Times New Roman"/>
          <w:i/>
          <w:iCs/>
          <w:sz w:val="24"/>
          <w:szCs w:val="24"/>
        </w:rPr>
        <w:t>organizational and data-integration</w:t>
      </w:r>
      <w:r>
        <w:rPr>
          <w:rFonts w:ascii="Times New Roman" w:eastAsia="Times New Roman" w:hAnsi="Times New Roman" w:cs="Times New Roman"/>
          <w:sz w:val="24"/>
          <w:szCs w:val="24"/>
        </w:rPr>
        <w:t xml:space="preserve"> challenges that underpin long-term competitiveness receive far less attention. As a result, the industry risks becoming “technically advanced but commercially fragmented.”</w:t>
      </w:r>
    </w:p>
    <w:p w14:paraId="2306F620"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Interestingly, even when AI research ventures beyond core production areas, the focus remains largely physical and operational. For example, Li et al. (2020) investigated the use of machine learning in reservoir management and drilling optimization, while Waqar et al. (2023) examined AI’s role in construction projects related to energy infrastructure and sustainability. Both studies measure success in terms of barrels produced, downtime reduced, or cost avoided—metrics rooted in operational efficiency rather than business agility or profitability.</w:t>
      </w:r>
    </w:p>
    <w:p w14:paraId="5D1CDED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contrast, functions such as sales forecasting, demand planning, and market analytics—which sit closer to the commercial side of the business—have attracted far less academic or industrial research. These functions are essential because they link production capacity to market demand, providing a bridge between the technical and financial dimensions of a company. If the next generation of AI in O&amp;G is to deliver strategic rather than tactical value, it must integrate these commercial processes into the broader data ecosystem.</w:t>
      </w:r>
    </w:p>
    <w:p w14:paraId="379D1D25"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while the O&amp;G industry continues to make impressive strides in AI-enabled engineering, it remains underdeveloped in the application of AI to revenue-generating activities. Addressing this imbalance offers an opportunity to achieve not just operational excellence but also improved market responsiveness, profitability, and resilience.</w:t>
      </w:r>
    </w:p>
    <w:p w14:paraId="2173DBC6"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29" w:name="_qfxumrsmtbgx" w:colFirst="0" w:colLast="0"/>
      <w:bookmarkEnd w:id="29"/>
      <w:r w:rsidRPr="0023707D">
        <w:rPr>
          <w:rFonts w:ascii="Times New Roman" w:eastAsia="Times New Roman" w:hAnsi="Times New Roman" w:cs="Times New Roman"/>
          <w:b/>
          <w:bCs/>
          <w:sz w:val="28"/>
          <w:szCs w:val="28"/>
        </w:rPr>
        <w:t>2.3 Identifying the Research Gap</w:t>
      </w:r>
    </w:p>
    <w:p w14:paraId="74C311C5"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Based on the review above, the research gap for this study can be understood through three interrelated dimensions.</w:t>
      </w:r>
    </w:p>
    <w:p w14:paraId="7A8DA068" w14:textId="77777777" w:rsidR="00C8520B" w:rsidRDefault="00000000">
      <w:pPr>
        <w:pStyle w:val="Heading3"/>
        <w:keepNext w:val="0"/>
        <w:keepLines w:val="0"/>
        <w:spacing w:before="280"/>
        <w:rPr>
          <w:rFonts w:ascii="Times New Roman" w:eastAsia="Times New Roman" w:hAnsi="Times New Roman" w:cs="Times New Roman"/>
          <w:color w:val="000000"/>
          <w:sz w:val="24"/>
          <w:szCs w:val="24"/>
        </w:rPr>
      </w:pPr>
      <w:bookmarkStart w:id="30" w:name="_74c1stig3hyl" w:colFirst="0" w:colLast="0"/>
      <w:bookmarkEnd w:id="30"/>
      <w:r>
        <w:rPr>
          <w:rFonts w:ascii="Times New Roman" w:eastAsia="Times New Roman" w:hAnsi="Times New Roman" w:cs="Times New Roman"/>
          <w:color w:val="000000"/>
          <w:sz w:val="24"/>
          <w:szCs w:val="24"/>
        </w:rPr>
        <w:t>(1) The sophistication–implementation gap in forecasting methodologies</w:t>
      </w:r>
    </w:p>
    <w:p w14:paraId="264FC11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research has advanced rapidly toward complex ML and DL forecasting models, as shown by </w:t>
      </w:r>
      <w:proofErr w:type="spellStart"/>
      <w:r>
        <w:rPr>
          <w:rFonts w:ascii="Times New Roman" w:eastAsia="Times New Roman" w:hAnsi="Times New Roman" w:cs="Times New Roman"/>
          <w:sz w:val="24"/>
          <w:szCs w:val="24"/>
        </w:rPr>
        <w:t>Ahaggach</w:t>
      </w:r>
      <w:proofErr w:type="spellEnd"/>
      <w:r>
        <w:rPr>
          <w:rFonts w:ascii="Times New Roman" w:eastAsia="Times New Roman" w:hAnsi="Times New Roman" w:cs="Times New Roman"/>
          <w:sz w:val="24"/>
          <w:szCs w:val="24"/>
        </w:rPr>
        <w:t xml:space="preserve"> et al. (2024). However, in practice, many firms—especially those in traditional industries—continue to rely on basic statistical models or manual judgment. </w:t>
      </w:r>
      <w:proofErr w:type="spellStart"/>
      <w:r>
        <w:rPr>
          <w:rFonts w:ascii="Times New Roman" w:eastAsia="Times New Roman" w:hAnsi="Times New Roman" w:cs="Times New Roman"/>
          <w:sz w:val="24"/>
          <w:szCs w:val="24"/>
        </w:rPr>
        <w:t>Krasovytskyi</w:t>
      </w:r>
      <w:proofErr w:type="spellEnd"/>
      <w:r>
        <w:rPr>
          <w:rFonts w:ascii="Times New Roman" w:eastAsia="Times New Roman" w:hAnsi="Times New Roman" w:cs="Times New Roman"/>
          <w:sz w:val="24"/>
          <w:szCs w:val="24"/>
        </w:rPr>
        <w:t xml:space="preserve"> (2025) notes that this is often due to insufficient data quality, inadequate analytical skills, and limited technical infrastructure. This mismatch leaves a void where cutting-edge research fails to inform or transform business operations.</w:t>
      </w:r>
    </w:p>
    <w:p w14:paraId="5CAEC327" w14:textId="77777777" w:rsidR="00C8520B" w:rsidRDefault="00000000">
      <w:pPr>
        <w:pStyle w:val="Heading3"/>
        <w:keepNext w:val="0"/>
        <w:keepLines w:val="0"/>
        <w:spacing w:before="280"/>
        <w:rPr>
          <w:rFonts w:ascii="Times New Roman" w:eastAsia="Times New Roman" w:hAnsi="Times New Roman" w:cs="Times New Roman"/>
          <w:color w:val="000000"/>
          <w:sz w:val="24"/>
          <w:szCs w:val="24"/>
        </w:rPr>
      </w:pPr>
      <w:bookmarkStart w:id="31" w:name="_fj67ba801fd2" w:colFirst="0" w:colLast="0"/>
      <w:bookmarkEnd w:id="31"/>
      <w:r>
        <w:rPr>
          <w:rFonts w:ascii="Times New Roman" w:eastAsia="Times New Roman" w:hAnsi="Times New Roman" w:cs="Times New Roman"/>
          <w:color w:val="000000"/>
          <w:sz w:val="24"/>
          <w:szCs w:val="24"/>
        </w:rPr>
        <w:t>(2) The upstream–commercial gap in AI adoption</w:t>
      </w:r>
    </w:p>
    <w:p w14:paraId="3781936C"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Marcelo et al. (2025) demonstrate, most O&amp;G research focuses on upstream activities. AI is predominantly applied to enhance production and reduce engineering risk, while the commercial side—sales, marketing, forecasting, and pricing—remains largely unexplored. This imbalance reflects a wider cultural and structural divide between operational and commercial units. As Sircar et al. (2021) argue, data integration across these functions is essential for unlocking full organizational value. Therefore, understanding AI’s role in bridging operational efficiency and commercial effectiveness represents a key area for research.</w:t>
      </w:r>
    </w:p>
    <w:p w14:paraId="0101716D" w14:textId="77777777" w:rsidR="00C8520B" w:rsidRDefault="00000000">
      <w:pPr>
        <w:pStyle w:val="Heading3"/>
        <w:keepNext w:val="0"/>
        <w:keepLines w:val="0"/>
        <w:spacing w:before="280"/>
        <w:rPr>
          <w:rFonts w:ascii="Times New Roman" w:eastAsia="Times New Roman" w:hAnsi="Times New Roman" w:cs="Times New Roman"/>
          <w:color w:val="000000"/>
          <w:sz w:val="24"/>
          <w:szCs w:val="24"/>
        </w:rPr>
      </w:pPr>
      <w:bookmarkStart w:id="32" w:name="_qan5bpi3plg2" w:colFirst="0" w:colLast="0"/>
      <w:bookmarkEnd w:id="32"/>
      <w:r>
        <w:rPr>
          <w:rFonts w:ascii="Times New Roman" w:eastAsia="Times New Roman" w:hAnsi="Times New Roman" w:cs="Times New Roman"/>
          <w:color w:val="000000"/>
          <w:sz w:val="24"/>
          <w:szCs w:val="24"/>
        </w:rPr>
        <w:t>(3) The supermajor–mid-sized gap in organizational capacity</w:t>
      </w:r>
    </w:p>
    <w:p w14:paraId="2F69183F"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Much of the existing literature is based on the experiences of global supermajors such as Shell, BP, or ExxonMobil, or on national oil companies (NOCs) with vast resources. These firms possess the budgets, talent, and infrastructure to experiment with advanced technologies. However, mid-sized companies—which make up a large portion of Saudi Arabia’s energy ecosystem, particularly in the Central and Eastern regions—operate under different constraints. They face tighter budgets, smaller data pools, and lower risk tolerance. Consequently, best practices derived from supermajors may not apply directly to them. Research focusing on mid-sized companies in these Saudi regions (and neighboring Bahrain, given its close commercial integration) is therefore essential for developing context-specific insights and scalable strategies for AI adoption.</w:t>
      </w:r>
    </w:p>
    <w:p w14:paraId="6DD404D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addressing all three dimensions, this study contributes to closing a multi-layered research gap: it investigates AI-based forecasting (the methodological frontier), applies it to a commercial process (the functional frontier), and does so within mid-sized oil and gas firms operating in the Central and Eastern regions of Saudi Arabia (the contextual frontier).</w:t>
      </w:r>
    </w:p>
    <w:p w14:paraId="79C9F31F"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33" w:name="_3xt3w1dxrxoc" w:colFirst="0" w:colLast="0"/>
      <w:bookmarkEnd w:id="33"/>
      <w:r w:rsidRPr="0023707D">
        <w:rPr>
          <w:rFonts w:ascii="Times New Roman" w:eastAsia="Times New Roman" w:hAnsi="Times New Roman" w:cs="Times New Roman"/>
          <w:b/>
          <w:bCs/>
          <w:sz w:val="28"/>
          <w:szCs w:val="28"/>
        </w:rPr>
        <w:lastRenderedPageBreak/>
        <w:t>2.4 Theoretical Framework: Organizational Information Processing Theory (OIPT)</w:t>
      </w:r>
    </w:p>
    <w:p w14:paraId="5380D409"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34" w:name="_exexjhjqvaxa" w:colFirst="0" w:colLast="0"/>
      <w:bookmarkEnd w:id="34"/>
      <w:r w:rsidRPr="0023707D">
        <w:rPr>
          <w:rFonts w:ascii="Times New Roman" w:eastAsia="Times New Roman" w:hAnsi="Times New Roman" w:cs="Times New Roman"/>
          <w:b/>
          <w:bCs/>
          <w:color w:val="000000"/>
        </w:rPr>
        <w:t>2.4.1 Core Tenets of OIPT</w:t>
      </w:r>
    </w:p>
    <w:p w14:paraId="10534D24"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is grounded in Galbraith’s (1974) Organizational Information Processing Theory (OIPT), which provides a framework for understanding how firms manage uncertainty. According to OIPT, the core challenge in any organization is balancing the information required to perform tasks with the information available within the organization. The gap between these two creates uncertainty. To reduce it, firms can either lower the need for information (by simplifying processes, creating slack, or standardizing procedures) or increase their capacity to process information (by improving communication, coordination, and data systems).</w:t>
      </w:r>
    </w:p>
    <w:p w14:paraId="66C318D2"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Later scholars, such as </w:t>
      </w:r>
      <w:proofErr w:type="spellStart"/>
      <w:r>
        <w:rPr>
          <w:rFonts w:ascii="Times New Roman" w:eastAsia="Times New Roman" w:hAnsi="Times New Roman" w:cs="Times New Roman"/>
          <w:sz w:val="24"/>
          <w:szCs w:val="24"/>
        </w:rPr>
        <w:t>Haußmann</w:t>
      </w:r>
      <w:proofErr w:type="spellEnd"/>
      <w:r>
        <w:rPr>
          <w:rFonts w:ascii="Times New Roman" w:eastAsia="Times New Roman" w:hAnsi="Times New Roman" w:cs="Times New Roman"/>
          <w:sz w:val="24"/>
          <w:szCs w:val="24"/>
        </w:rPr>
        <w:t xml:space="preserve"> et al. (2011), emphasized that information processing is the backbone of organizational design. Structures, technologies, and decision-making systems exist primarily to facilitate information flow. In complex environments—like the oil and gas industry—organizations must continually enhance their information-processing capacity to handle uncertainty in markets, production, and customer demand.</w:t>
      </w:r>
    </w:p>
    <w:p w14:paraId="659C19B6"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35" w:name="_ozahexgxt15h" w:colFirst="0" w:colLast="0"/>
      <w:bookmarkEnd w:id="35"/>
      <w:r w:rsidRPr="0023707D">
        <w:rPr>
          <w:rFonts w:ascii="Times New Roman" w:eastAsia="Times New Roman" w:hAnsi="Times New Roman" w:cs="Times New Roman"/>
          <w:b/>
          <w:bCs/>
          <w:color w:val="000000"/>
        </w:rPr>
        <w:t>2.4.2 AI as an Information-Processing Mechanism</w:t>
      </w:r>
    </w:p>
    <w:p w14:paraId="30934AC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today’s digital era, AI platforms can be viewed as powerful enablers of information processing. They collect, analyze, and interpret massive datasets, enabling faster and more accurate decisions. The role that hierarchical communication or management dashboards once played is now being enhanced—or replaced—by algorithmic intelligence.</w:t>
      </w:r>
    </w:p>
    <w:p w14:paraId="1DA7E70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quantitative study by </w:t>
      </w:r>
      <w:proofErr w:type="spellStart"/>
      <w:r>
        <w:rPr>
          <w:rFonts w:ascii="Times New Roman" w:eastAsia="Times New Roman" w:hAnsi="Times New Roman" w:cs="Times New Roman"/>
          <w:sz w:val="24"/>
          <w:szCs w:val="24"/>
        </w:rPr>
        <w:t>Kassa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Worku</w:t>
      </w:r>
      <w:proofErr w:type="spellEnd"/>
      <w:r>
        <w:rPr>
          <w:rFonts w:ascii="Times New Roman" w:eastAsia="Times New Roman" w:hAnsi="Times New Roman" w:cs="Times New Roman"/>
          <w:sz w:val="24"/>
          <w:szCs w:val="24"/>
        </w:rPr>
        <w:t xml:space="preserve"> (2025), using Partial Least Squares Structural Equation Modeling (PLS-SEM) on data from 172 employees, found a strong positive relationship between AI implementation and organizational performance. Interestingly, employee productivity acted as a partial mediator, suggesting that AI’s impact is realized not just through automation but through enabling human decision-making. This finding aligns with the Resource-Based View (RBV) of the firm, which sees AI as a strategic resource that enhances competitive advantage.</w:t>
      </w:r>
    </w:p>
    <w:p w14:paraId="4D57606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not all scholars treat AI as a purely technical enhancement. </w:t>
      </w:r>
      <w:proofErr w:type="spellStart"/>
      <w:r>
        <w:rPr>
          <w:rFonts w:ascii="Times New Roman" w:eastAsia="Times New Roman" w:hAnsi="Times New Roman" w:cs="Times New Roman"/>
          <w:sz w:val="24"/>
          <w:szCs w:val="24"/>
        </w:rPr>
        <w:t>Rachlitz</w:t>
      </w:r>
      <w:proofErr w:type="spellEnd"/>
      <w:r>
        <w:rPr>
          <w:rFonts w:ascii="Times New Roman" w:eastAsia="Times New Roman" w:hAnsi="Times New Roman" w:cs="Times New Roman"/>
          <w:sz w:val="24"/>
          <w:szCs w:val="24"/>
        </w:rPr>
        <w:t xml:space="preserve"> (2023) argues that digital platforms represent a </w:t>
      </w:r>
      <w:r>
        <w:rPr>
          <w:rFonts w:ascii="Times New Roman" w:eastAsia="Times New Roman" w:hAnsi="Times New Roman" w:cs="Times New Roman"/>
          <w:i/>
          <w:iCs/>
          <w:sz w:val="24"/>
          <w:szCs w:val="24"/>
        </w:rPr>
        <w:t>new form of social organization</w:t>
      </w:r>
      <w:r>
        <w:rPr>
          <w:rFonts w:ascii="Times New Roman" w:eastAsia="Times New Roman" w:hAnsi="Times New Roman" w:cs="Times New Roman"/>
          <w:sz w:val="24"/>
          <w:szCs w:val="24"/>
        </w:rPr>
        <w:t>. They reshape internal relationships, decision hierarchies, and even power dynamics within firms. From this perspective, AI does not merely expand information-processing capacity—it reconfigures the very nature of organizational processing, introducing new forms of coordination and control.</w:t>
      </w:r>
    </w:p>
    <w:p w14:paraId="2C1AD764"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Integrating both views offers a more nuanced understanding: AI acts simultaneously as a technical mechanism (improving data throughput, prediction accuracy, and speed) and as an organizational mechanism (changing how decisions are made, who makes them, and how information circulates). For this reason, AI adoption can be interpreted as a modern extension of Galbraith’s theory, where the “processing mechanisms” of the digital firm are algorithmic rather than manual.</w:t>
      </w:r>
    </w:p>
    <w:p w14:paraId="1CC5EE19" w14:textId="77777777" w:rsidR="00C8520B" w:rsidRPr="0023707D" w:rsidRDefault="00000000">
      <w:pPr>
        <w:pStyle w:val="Heading3"/>
        <w:keepNext w:val="0"/>
        <w:keepLines w:val="0"/>
        <w:spacing w:before="280"/>
        <w:rPr>
          <w:rFonts w:ascii="Times New Roman" w:eastAsia="Times New Roman" w:hAnsi="Times New Roman" w:cs="Times New Roman"/>
          <w:b/>
          <w:bCs/>
          <w:color w:val="000000"/>
        </w:rPr>
      </w:pPr>
      <w:bookmarkStart w:id="36" w:name="_cf18ds725v56" w:colFirst="0" w:colLast="0"/>
      <w:bookmarkEnd w:id="36"/>
      <w:r w:rsidRPr="0023707D">
        <w:rPr>
          <w:rFonts w:ascii="Times New Roman" w:eastAsia="Times New Roman" w:hAnsi="Times New Roman" w:cs="Times New Roman"/>
          <w:b/>
          <w:bCs/>
          <w:color w:val="000000"/>
        </w:rPr>
        <w:t>2.4.3 Conceptual Model and Hypotheses</w:t>
      </w:r>
    </w:p>
    <w:p w14:paraId="704BF598"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on the reviewed literature and theoretical grounding, the study proposes the following conceptual relationships:</w:t>
      </w:r>
    </w:p>
    <w:p w14:paraId="2D19B11F" w14:textId="77777777" w:rsidR="00C8520B" w:rsidRDefault="00000000">
      <w:pPr>
        <w:numPr>
          <w:ilvl w:val="0"/>
          <w:numId w:val="1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H1: Adoption of AI-based forecasting is positively associated with improved forecasting accuracy in mid-sized oil and gas companies located in the Central and Eastern regions of Saudi Arabia</w:t>
      </w:r>
      <w:r>
        <w:rPr>
          <w:rFonts w:ascii="Times New Roman" w:eastAsia="Times New Roman" w:hAnsi="Times New Roman" w:cs="Times New Roman"/>
          <w:sz w:val="24"/>
          <w:szCs w:val="24"/>
        </w:rPr>
        <w:br/>
      </w:r>
    </w:p>
    <w:p w14:paraId="4DACB120" w14:textId="77777777" w:rsidR="00C8520B" w:rsidRDefault="00000000">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H2: Leadership commitment, employee training, and openness to technological change positively influence the adoption and effective use of AI tools in sales forecasting.</w:t>
      </w:r>
      <w:r>
        <w:rPr>
          <w:rFonts w:ascii="Times New Roman" w:eastAsia="Times New Roman" w:hAnsi="Times New Roman" w:cs="Times New Roman"/>
          <w:sz w:val="24"/>
          <w:szCs w:val="24"/>
        </w:rPr>
        <w:br/>
      </w:r>
    </w:p>
    <w:p w14:paraId="751401AC" w14:textId="77777777" w:rsidR="00C8520B" w:rsidRDefault="00000000">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H3: Perceived usefulness, ease of use, system compatibility, and data quality significantly influence a company’s decision to adopt and successfully implement AI-based forecasting solutions.</w:t>
      </w:r>
      <w:r>
        <w:rPr>
          <w:rFonts w:ascii="Times New Roman" w:eastAsia="Times New Roman" w:hAnsi="Times New Roman" w:cs="Times New Roman"/>
          <w:sz w:val="24"/>
          <w:szCs w:val="24"/>
        </w:rPr>
        <w:br/>
      </w:r>
    </w:p>
    <w:p w14:paraId="1B9116A7" w14:textId="77777777" w:rsidR="00C8520B" w:rsidRDefault="00000000">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H4: Competitive pressure, customer expectations, and market volatility positively affect the likelihood of adopting AI-driven forecasting tools.</w:t>
      </w:r>
      <w:r>
        <w:rPr>
          <w:rFonts w:ascii="Times New Roman" w:eastAsia="Times New Roman" w:hAnsi="Times New Roman" w:cs="Times New Roman"/>
          <w:sz w:val="24"/>
          <w:szCs w:val="24"/>
        </w:rPr>
        <w:br/>
      </w:r>
    </w:p>
    <w:p w14:paraId="281EBF30" w14:textId="77777777" w:rsidR="00C8520B" w:rsidRDefault="00000000">
      <w:pPr>
        <w:numPr>
          <w:ilvl w:val="0"/>
          <w:numId w:val="1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H5: Integration of AI into sales forecasting results in higher forecast accuracy, improved resource planning, and better overall sales performance.</w:t>
      </w:r>
      <w:r>
        <w:rPr>
          <w:rFonts w:ascii="Times New Roman" w:eastAsia="Times New Roman" w:hAnsi="Times New Roman" w:cs="Times New Roman"/>
          <w:sz w:val="24"/>
          <w:szCs w:val="24"/>
        </w:rPr>
        <w:br/>
      </w:r>
    </w:p>
    <w:p w14:paraId="3E9968F5"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These hypotheses reflect both the information-processing logic of OIPT and the organizational determinants that condition successful AI adoption. They collectively establish a theoretical bridge between technology performance (algorithmic outcomes) and organizational behavior (human and structural readiness).</w:t>
      </w:r>
    </w:p>
    <w:p w14:paraId="1E5C54A6" w14:textId="77777777" w:rsidR="00C8520B" w:rsidRPr="0023707D" w:rsidRDefault="00000000">
      <w:pPr>
        <w:pStyle w:val="Heading2"/>
        <w:keepNext w:val="0"/>
        <w:keepLines w:val="0"/>
        <w:spacing w:after="80"/>
        <w:rPr>
          <w:rFonts w:ascii="Times New Roman" w:eastAsia="Times New Roman" w:hAnsi="Times New Roman" w:cs="Times New Roman"/>
          <w:b/>
          <w:bCs/>
          <w:sz w:val="28"/>
          <w:szCs w:val="28"/>
        </w:rPr>
      </w:pPr>
      <w:bookmarkStart w:id="37" w:name="_ej89xwdfv5kj" w:colFirst="0" w:colLast="0"/>
      <w:bookmarkEnd w:id="37"/>
      <w:r w:rsidRPr="0023707D">
        <w:rPr>
          <w:rFonts w:ascii="Times New Roman" w:eastAsia="Times New Roman" w:hAnsi="Times New Roman" w:cs="Times New Roman"/>
          <w:b/>
          <w:bCs/>
          <w:sz w:val="28"/>
          <w:szCs w:val="28"/>
        </w:rPr>
        <w:t>2.5 Summary</w:t>
      </w:r>
    </w:p>
    <w:p w14:paraId="06B52CB2" w14:textId="1CDC5371" w:rsidR="00C8520B" w:rsidRDefault="00000000" w:rsidP="0023707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literature shows that while AI and machine learning are revolutionizing forecasting methods and operational efficiency in the oil and gas sector, organizational and contextual realities still determine the extent of success. Most existing research focuses on large firms and upstream operations, leaving a clear gap in understanding how AI can enhance </w:t>
      </w:r>
      <w:r>
        <w:rPr>
          <w:rFonts w:ascii="Times New Roman" w:eastAsia="Times New Roman" w:hAnsi="Times New Roman" w:cs="Times New Roman"/>
          <w:sz w:val="24"/>
          <w:szCs w:val="24"/>
        </w:rPr>
        <w:lastRenderedPageBreak/>
        <w:t>commercial performance in mid-sized companies. By situating AI within the Organizational Information Processing Theory, this study treats it not just as a technology but as a mechanism of organizational adaptation. The forthcoming chapters will empirically examine this proposition through a mixed-methods analysis of mid-sized Saudi Arabian firms—testing how AI-driven forecasting affects efficiency, effectiveness, and financial outcomes.</w:t>
      </w:r>
    </w:p>
    <w:p w14:paraId="6F804B6E" w14:textId="77777777" w:rsidR="00C8520B" w:rsidRDefault="00C8520B">
      <w:pPr>
        <w:rPr>
          <w:rFonts w:ascii="Times New Roman" w:eastAsia="Times New Roman" w:hAnsi="Times New Roman" w:cs="Times New Roman"/>
          <w:sz w:val="24"/>
          <w:szCs w:val="24"/>
        </w:rPr>
      </w:pPr>
    </w:p>
    <w:p w14:paraId="68B3A692" w14:textId="77777777" w:rsidR="00A0251B" w:rsidRDefault="00A0251B">
      <w:pPr>
        <w:rPr>
          <w:rFonts w:ascii="Times New Roman" w:eastAsia="Times New Roman" w:hAnsi="Times New Roman" w:cs="Times New Roman"/>
          <w:sz w:val="24"/>
          <w:szCs w:val="24"/>
        </w:rPr>
      </w:pPr>
    </w:p>
    <w:p w14:paraId="50D51C75" w14:textId="77777777" w:rsidR="00A0251B" w:rsidRDefault="00A0251B">
      <w:pPr>
        <w:rPr>
          <w:rFonts w:ascii="Times New Roman" w:eastAsia="Times New Roman" w:hAnsi="Times New Roman" w:cs="Times New Roman"/>
          <w:sz w:val="24"/>
          <w:szCs w:val="24"/>
        </w:rPr>
      </w:pPr>
    </w:p>
    <w:p w14:paraId="2C0CF0D8" w14:textId="77777777" w:rsidR="00A0251B" w:rsidRDefault="00A0251B">
      <w:pPr>
        <w:rPr>
          <w:rFonts w:ascii="Times New Roman" w:eastAsia="Times New Roman" w:hAnsi="Times New Roman" w:cs="Times New Roman"/>
          <w:sz w:val="24"/>
          <w:szCs w:val="24"/>
        </w:rPr>
      </w:pPr>
    </w:p>
    <w:p w14:paraId="62CFC026" w14:textId="77777777" w:rsidR="00A0251B" w:rsidRDefault="00A0251B">
      <w:pPr>
        <w:rPr>
          <w:rFonts w:ascii="Times New Roman" w:eastAsia="Times New Roman" w:hAnsi="Times New Roman" w:cs="Times New Roman"/>
          <w:sz w:val="24"/>
          <w:szCs w:val="24"/>
        </w:rPr>
      </w:pPr>
    </w:p>
    <w:p w14:paraId="67EBC467" w14:textId="77777777" w:rsidR="00A0251B" w:rsidRDefault="00A0251B">
      <w:pPr>
        <w:rPr>
          <w:rFonts w:ascii="Times New Roman" w:eastAsia="Times New Roman" w:hAnsi="Times New Roman" w:cs="Times New Roman"/>
          <w:sz w:val="24"/>
          <w:szCs w:val="24"/>
        </w:rPr>
      </w:pPr>
    </w:p>
    <w:p w14:paraId="0FCCA78F" w14:textId="77777777" w:rsidR="00A0251B" w:rsidRDefault="00A0251B">
      <w:pPr>
        <w:rPr>
          <w:rFonts w:ascii="Times New Roman" w:eastAsia="Times New Roman" w:hAnsi="Times New Roman" w:cs="Times New Roman"/>
          <w:sz w:val="24"/>
          <w:szCs w:val="24"/>
        </w:rPr>
      </w:pPr>
    </w:p>
    <w:p w14:paraId="20B0B445" w14:textId="77777777" w:rsidR="00A0251B" w:rsidRDefault="00A0251B">
      <w:pPr>
        <w:rPr>
          <w:rFonts w:ascii="Times New Roman" w:eastAsia="Times New Roman" w:hAnsi="Times New Roman" w:cs="Times New Roman"/>
          <w:sz w:val="24"/>
          <w:szCs w:val="24"/>
        </w:rPr>
      </w:pPr>
    </w:p>
    <w:p w14:paraId="4CA5B940" w14:textId="77777777" w:rsidR="00A0251B" w:rsidRDefault="00A0251B">
      <w:pPr>
        <w:rPr>
          <w:rFonts w:ascii="Times New Roman" w:eastAsia="Times New Roman" w:hAnsi="Times New Roman" w:cs="Times New Roman"/>
          <w:sz w:val="24"/>
          <w:szCs w:val="24"/>
        </w:rPr>
      </w:pPr>
    </w:p>
    <w:p w14:paraId="55999310" w14:textId="77777777" w:rsidR="00A0251B" w:rsidRDefault="00A0251B">
      <w:pPr>
        <w:rPr>
          <w:rFonts w:ascii="Times New Roman" w:eastAsia="Times New Roman" w:hAnsi="Times New Roman" w:cs="Times New Roman"/>
          <w:sz w:val="24"/>
          <w:szCs w:val="24"/>
        </w:rPr>
      </w:pPr>
    </w:p>
    <w:p w14:paraId="7644F06D" w14:textId="77777777" w:rsidR="00A0251B" w:rsidRDefault="00A0251B">
      <w:pPr>
        <w:rPr>
          <w:rFonts w:ascii="Times New Roman" w:eastAsia="Times New Roman" w:hAnsi="Times New Roman" w:cs="Times New Roman"/>
          <w:sz w:val="24"/>
          <w:szCs w:val="24"/>
        </w:rPr>
      </w:pPr>
    </w:p>
    <w:p w14:paraId="1D1E8520" w14:textId="77777777" w:rsidR="00A0251B" w:rsidRDefault="00A0251B">
      <w:pPr>
        <w:rPr>
          <w:rFonts w:ascii="Times New Roman" w:eastAsia="Times New Roman" w:hAnsi="Times New Roman" w:cs="Times New Roman"/>
          <w:sz w:val="24"/>
          <w:szCs w:val="24"/>
        </w:rPr>
      </w:pPr>
    </w:p>
    <w:p w14:paraId="2947E8CD" w14:textId="77777777" w:rsidR="00A0251B" w:rsidRDefault="00A0251B">
      <w:pPr>
        <w:rPr>
          <w:rFonts w:ascii="Times New Roman" w:eastAsia="Times New Roman" w:hAnsi="Times New Roman" w:cs="Times New Roman"/>
          <w:sz w:val="24"/>
          <w:szCs w:val="24"/>
        </w:rPr>
      </w:pPr>
    </w:p>
    <w:p w14:paraId="05CC897A" w14:textId="77777777" w:rsidR="00A0251B" w:rsidRDefault="00A0251B">
      <w:pPr>
        <w:rPr>
          <w:rFonts w:ascii="Times New Roman" w:eastAsia="Times New Roman" w:hAnsi="Times New Roman" w:cs="Times New Roman"/>
          <w:sz w:val="24"/>
          <w:szCs w:val="24"/>
        </w:rPr>
      </w:pPr>
    </w:p>
    <w:p w14:paraId="536B4F4A" w14:textId="77777777" w:rsidR="00A0251B" w:rsidRDefault="00A0251B">
      <w:pPr>
        <w:rPr>
          <w:rFonts w:ascii="Times New Roman" w:eastAsia="Times New Roman" w:hAnsi="Times New Roman" w:cs="Times New Roman"/>
          <w:sz w:val="24"/>
          <w:szCs w:val="24"/>
        </w:rPr>
      </w:pPr>
    </w:p>
    <w:p w14:paraId="2D367D8A" w14:textId="77777777" w:rsidR="00A0251B" w:rsidRDefault="00A0251B">
      <w:pPr>
        <w:rPr>
          <w:rFonts w:ascii="Times New Roman" w:eastAsia="Times New Roman" w:hAnsi="Times New Roman" w:cs="Times New Roman"/>
          <w:sz w:val="24"/>
          <w:szCs w:val="24"/>
        </w:rPr>
      </w:pPr>
    </w:p>
    <w:p w14:paraId="6C58FF30" w14:textId="77777777" w:rsidR="00A0251B" w:rsidRDefault="00A0251B">
      <w:pPr>
        <w:rPr>
          <w:rFonts w:ascii="Times New Roman" w:eastAsia="Times New Roman" w:hAnsi="Times New Roman" w:cs="Times New Roman"/>
          <w:sz w:val="24"/>
          <w:szCs w:val="24"/>
        </w:rPr>
      </w:pPr>
    </w:p>
    <w:p w14:paraId="76F5D3FB" w14:textId="77777777" w:rsidR="00A0251B" w:rsidRDefault="00A0251B">
      <w:pPr>
        <w:rPr>
          <w:rFonts w:ascii="Times New Roman" w:eastAsia="Times New Roman" w:hAnsi="Times New Roman" w:cs="Times New Roman"/>
          <w:sz w:val="24"/>
          <w:szCs w:val="24"/>
        </w:rPr>
      </w:pPr>
    </w:p>
    <w:p w14:paraId="5009821F" w14:textId="77777777" w:rsidR="00A0251B" w:rsidRDefault="00A0251B">
      <w:pPr>
        <w:rPr>
          <w:rFonts w:ascii="Times New Roman" w:eastAsia="Times New Roman" w:hAnsi="Times New Roman" w:cs="Times New Roman"/>
          <w:sz w:val="24"/>
          <w:szCs w:val="24"/>
        </w:rPr>
      </w:pPr>
    </w:p>
    <w:p w14:paraId="67406361" w14:textId="77777777" w:rsidR="00A0251B" w:rsidRDefault="00A0251B">
      <w:pPr>
        <w:rPr>
          <w:rFonts w:ascii="Times New Roman" w:eastAsia="Times New Roman" w:hAnsi="Times New Roman" w:cs="Times New Roman"/>
          <w:sz w:val="24"/>
          <w:szCs w:val="24"/>
        </w:rPr>
      </w:pPr>
    </w:p>
    <w:p w14:paraId="7D36D8FA" w14:textId="77777777" w:rsidR="00A0251B" w:rsidRDefault="00A0251B">
      <w:pPr>
        <w:rPr>
          <w:rFonts w:ascii="Times New Roman" w:eastAsia="Times New Roman" w:hAnsi="Times New Roman" w:cs="Times New Roman"/>
          <w:sz w:val="24"/>
          <w:szCs w:val="24"/>
        </w:rPr>
      </w:pPr>
    </w:p>
    <w:p w14:paraId="6DF3BDC0" w14:textId="77777777" w:rsidR="00A0251B" w:rsidRDefault="00A0251B">
      <w:pPr>
        <w:rPr>
          <w:rFonts w:ascii="Times New Roman" w:eastAsia="Times New Roman" w:hAnsi="Times New Roman" w:cs="Times New Roman"/>
          <w:sz w:val="24"/>
          <w:szCs w:val="24"/>
        </w:rPr>
      </w:pPr>
    </w:p>
    <w:p w14:paraId="7619FD3F" w14:textId="77777777" w:rsidR="00A0251B" w:rsidRDefault="00A0251B">
      <w:pPr>
        <w:rPr>
          <w:rFonts w:ascii="Times New Roman" w:eastAsia="Times New Roman" w:hAnsi="Times New Roman" w:cs="Times New Roman"/>
          <w:sz w:val="24"/>
          <w:szCs w:val="24"/>
        </w:rPr>
      </w:pPr>
    </w:p>
    <w:p w14:paraId="704E42CB" w14:textId="77777777" w:rsidR="00A0251B" w:rsidRDefault="00A0251B">
      <w:pPr>
        <w:rPr>
          <w:rFonts w:ascii="Times New Roman" w:eastAsia="Times New Roman" w:hAnsi="Times New Roman" w:cs="Times New Roman"/>
          <w:sz w:val="24"/>
          <w:szCs w:val="24"/>
        </w:rPr>
      </w:pPr>
    </w:p>
    <w:p w14:paraId="1AA3B407" w14:textId="77777777" w:rsidR="00A0251B" w:rsidRDefault="00A0251B">
      <w:pPr>
        <w:rPr>
          <w:rFonts w:ascii="Times New Roman" w:eastAsia="Times New Roman" w:hAnsi="Times New Roman" w:cs="Times New Roman"/>
          <w:sz w:val="24"/>
          <w:szCs w:val="24"/>
        </w:rPr>
      </w:pPr>
    </w:p>
    <w:p w14:paraId="0FE99819" w14:textId="77777777" w:rsidR="00A0251B" w:rsidRDefault="00A0251B">
      <w:pPr>
        <w:rPr>
          <w:rFonts w:ascii="Times New Roman" w:eastAsia="Times New Roman" w:hAnsi="Times New Roman" w:cs="Times New Roman"/>
          <w:sz w:val="24"/>
          <w:szCs w:val="24"/>
        </w:rPr>
      </w:pPr>
    </w:p>
    <w:p w14:paraId="3E48CEDF" w14:textId="77777777" w:rsidR="00A0251B" w:rsidRDefault="00A0251B">
      <w:pPr>
        <w:rPr>
          <w:rFonts w:ascii="Times New Roman" w:eastAsia="Times New Roman" w:hAnsi="Times New Roman" w:cs="Times New Roman"/>
          <w:sz w:val="24"/>
          <w:szCs w:val="24"/>
        </w:rPr>
      </w:pPr>
    </w:p>
    <w:p w14:paraId="2EF2B5CC" w14:textId="77777777" w:rsidR="00A0251B" w:rsidRDefault="00A0251B">
      <w:pPr>
        <w:rPr>
          <w:rFonts w:ascii="Times New Roman" w:eastAsia="Times New Roman" w:hAnsi="Times New Roman" w:cs="Times New Roman"/>
          <w:sz w:val="24"/>
          <w:szCs w:val="24"/>
        </w:rPr>
      </w:pPr>
    </w:p>
    <w:p w14:paraId="7F24C4D2" w14:textId="77777777" w:rsidR="00A0251B" w:rsidRDefault="00A0251B">
      <w:pPr>
        <w:rPr>
          <w:rFonts w:ascii="Times New Roman" w:eastAsia="Times New Roman" w:hAnsi="Times New Roman" w:cs="Times New Roman"/>
          <w:sz w:val="24"/>
          <w:szCs w:val="24"/>
        </w:rPr>
      </w:pPr>
    </w:p>
    <w:p w14:paraId="4A2D3E23" w14:textId="77777777" w:rsidR="00A0251B" w:rsidRDefault="00A0251B">
      <w:pPr>
        <w:rPr>
          <w:rFonts w:ascii="Times New Roman" w:eastAsia="Times New Roman" w:hAnsi="Times New Roman" w:cs="Times New Roman"/>
          <w:sz w:val="24"/>
          <w:szCs w:val="24"/>
        </w:rPr>
      </w:pPr>
    </w:p>
    <w:p w14:paraId="05B32938" w14:textId="77777777" w:rsidR="00A0251B" w:rsidRDefault="00A0251B">
      <w:pPr>
        <w:rPr>
          <w:rFonts w:ascii="Times New Roman" w:eastAsia="Times New Roman" w:hAnsi="Times New Roman" w:cs="Times New Roman"/>
          <w:sz w:val="24"/>
          <w:szCs w:val="24"/>
        </w:rPr>
      </w:pPr>
    </w:p>
    <w:p w14:paraId="776DDF0E" w14:textId="447D688B" w:rsidR="00A0251B" w:rsidRPr="00A0251B" w:rsidRDefault="00000000" w:rsidP="00A0251B">
      <w:pPr>
        <w:pStyle w:val="Heading1"/>
        <w:ind w:left="2880" w:firstLine="720"/>
        <w:rPr>
          <w:rFonts w:ascii="Times New Roman" w:eastAsia="Times New Roman" w:hAnsi="Times New Roman" w:cs="Times New Roman"/>
          <w:b/>
          <w:bCs/>
          <w:sz w:val="44"/>
          <w:szCs w:val="44"/>
        </w:rPr>
      </w:pPr>
      <w:bookmarkStart w:id="38" w:name="_we4m9qkanz50" w:colFirst="0" w:colLast="0"/>
      <w:bookmarkStart w:id="39" w:name="_n7wd78jhjxr9" w:colFirst="0" w:colLast="0"/>
      <w:bookmarkEnd w:id="38"/>
      <w:bookmarkEnd w:id="39"/>
      <w:r>
        <w:rPr>
          <w:rFonts w:ascii="Times New Roman" w:eastAsia="Times New Roman" w:hAnsi="Times New Roman" w:cs="Times New Roman"/>
          <w:b/>
          <w:bCs/>
          <w:sz w:val="44"/>
          <w:szCs w:val="44"/>
        </w:rPr>
        <w:lastRenderedPageBreak/>
        <w:t>References</w:t>
      </w:r>
    </w:p>
    <w:p w14:paraId="79F0CE90"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Ahaggach</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Abrouk</w:t>
      </w:r>
      <w:proofErr w:type="spellEnd"/>
      <w:r>
        <w:rPr>
          <w:rFonts w:ascii="Times New Roman" w:eastAsia="Times New Roman" w:hAnsi="Times New Roman" w:cs="Times New Roman"/>
          <w:sz w:val="24"/>
          <w:szCs w:val="24"/>
        </w:rPr>
        <w:t xml:space="preserve">, L., &amp; </w:t>
      </w:r>
      <w:proofErr w:type="spellStart"/>
      <w:r>
        <w:rPr>
          <w:rFonts w:ascii="Times New Roman" w:eastAsia="Times New Roman" w:hAnsi="Times New Roman" w:cs="Times New Roman"/>
          <w:sz w:val="24"/>
          <w:szCs w:val="24"/>
        </w:rPr>
        <w:t>Lebon</w:t>
      </w:r>
      <w:proofErr w:type="spellEnd"/>
      <w:r>
        <w:rPr>
          <w:rFonts w:ascii="Times New Roman" w:eastAsia="Times New Roman" w:hAnsi="Times New Roman" w:cs="Times New Roman"/>
          <w:sz w:val="24"/>
          <w:szCs w:val="24"/>
        </w:rPr>
        <w:t xml:space="preserve">, E. (2024). </w:t>
      </w:r>
      <w:r>
        <w:rPr>
          <w:rFonts w:ascii="Times New Roman" w:eastAsia="Times New Roman" w:hAnsi="Times New Roman" w:cs="Times New Roman"/>
          <w:i/>
          <w:iCs/>
          <w:sz w:val="24"/>
          <w:szCs w:val="24"/>
        </w:rPr>
        <w:t>Systematic mapping study of sales forecasting: Methods, trends, and future directions.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Forecasting</w:t>
      </w:r>
      <w:r>
        <w:rPr>
          <w:rFonts w:ascii="Times New Roman" w:eastAsia="Times New Roman" w:hAnsi="Times New Roman" w:cs="Times New Roman"/>
          <w:sz w:val="24"/>
          <w:szCs w:val="24"/>
        </w:rPr>
        <w:t>, 6(3), 502–532.</w:t>
      </w:r>
    </w:p>
    <w:p w14:paraId="2631708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J. C., &amp; Gerbing, D. W. (1988). Structural equation modelling in practice: A review and recommended two-step approach. </w:t>
      </w:r>
      <w:r>
        <w:rPr>
          <w:rFonts w:ascii="Times New Roman" w:eastAsia="Times New Roman" w:hAnsi="Times New Roman" w:cs="Times New Roman"/>
          <w:i/>
          <w:iCs/>
          <w:sz w:val="24"/>
          <w:szCs w:val="24"/>
        </w:rPr>
        <w:t>Psychological Bulletin</w:t>
      </w:r>
      <w:r>
        <w:rPr>
          <w:rFonts w:ascii="Times New Roman" w:eastAsia="Times New Roman" w:hAnsi="Times New Roman" w:cs="Times New Roman"/>
          <w:sz w:val="24"/>
          <w:szCs w:val="24"/>
        </w:rPr>
        <w:t>, 103(3), 411–423.</w:t>
      </w:r>
    </w:p>
    <w:p w14:paraId="51B6115A"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Braun, V., &amp; Clarke, V. (2006). Using thematic analysis in psychology. </w:t>
      </w:r>
      <w:r>
        <w:rPr>
          <w:rFonts w:ascii="Times New Roman" w:eastAsia="Times New Roman" w:hAnsi="Times New Roman" w:cs="Times New Roman"/>
          <w:i/>
          <w:iCs/>
          <w:sz w:val="24"/>
          <w:szCs w:val="24"/>
        </w:rPr>
        <w:t>Qualitative Research in Psychology</w:t>
      </w:r>
      <w:r>
        <w:rPr>
          <w:rFonts w:ascii="Times New Roman" w:eastAsia="Times New Roman" w:hAnsi="Times New Roman" w:cs="Times New Roman"/>
          <w:sz w:val="24"/>
          <w:szCs w:val="24"/>
        </w:rPr>
        <w:t>, 3(2), 77–101.</w:t>
      </w:r>
    </w:p>
    <w:p w14:paraId="50C499A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 W., &amp; Plano Clark, V. L. (2018). </w:t>
      </w:r>
      <w:r>
        <w:rPr>
          <w:rFonts w:ascii="Times New Roman" w:eastAsia="Times New Roman" w:hAnsi="Times New Roman" w:cs="Times New Roman"/>
          <w:i/>
          <w:iCs/>
          <w:sz w:val="24"/>
          <w:szCs w:val="24"/>
        </w:rPr>
        <w:t>Designing and Conducting Mixed Methods Research</w:t>
      </w:r>
      <w:r>
        <w:rPr>
          <w:rFonts w:ascii="Times New Roman" w:eastAsia="Times New Roman" w:hAnsi="Times New Roman" w:cs="Times New Roman"/>
          <w:sz w:val="24"/>
          <w:szCs w:val="24"/>
        </w:rPr>
        <w:t xml:space="preserve"> (3rd ed.). Thousand Oaks, CA: SAGE.</w:t>
      </w:r>
    </w:p>
    <w:p w14:paraId="2146EA4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Fisher, O. J., Watson, N. J., </w:t>
      </w:r>
      <w:proofErr w:type="spellStart"/>
      <w:r>
        <w:rPr>
          <w:rFonts w:ascii="Times New Roman" w:eastAsia="Times New Roman" w:hAnsi="Times New Roman" w:cs="Times New Roman"/>
          <w:sz w:val="24"/>
          <w:szCs w:val="24"/>
        </w:rPr>
        <w:t>Escrig</w:t>
      </w:r>
      <w:proofErr w:type="spellEnd"/>
      <w:r>
        <w:rPr>
          <w:rFonts w:ascii="Times New Roman" w:eastAsia="Times New Roman" w:hAnsi="Times New Roman" w:cs="Times New Roman"/>
          <w:sz w:val="24"/>
          <w:szCs w:val="24"/>
        </w:rPr>
        <w:t xml:space="preserve">, J. E., Witt, R., </w:t>
      </w:r>
      <w:proofErr w:type="spellStart"/>
      <w:r>
        <w:rPr>
          <w:rFonts w:ascii="Times New Roman" w:eastAsia="Times New Roman" w:hAnsi="Times New Roman" w:cs="Times New Roman"/>
          <w:sz w:val="24"/>
          <w:szCs w:val="24"/>
        </w:rPr>
        <w:t>Porcu</w:t>
      </w:r>
      <w:proofErr w:type="spellEnd"/>
      <w:r>
        <w:rPr>
          <w:rFonts w:ascii="Times New Roman" w:eastAsia="Times New Roman" w:hAnsi="Times New Roman" w:cs="Times New Roman"/>
          <w:sz w:val="24"/>
          <w:szCs w:val="24"/>
        </w:rPr>
        <w:t xml:space="preserve">, L., Bacon, D., Rigley, M., &amp; Gomes, R. L. (2020). Considerations, challenges and opportunities when developing data-driven models for process manufacturing systems. </w:t>
      </w:r>
      <w:r>
        <w:rPr>
          <w:rFonts w:ascii="Times New Roman" w:eastAsia="Times New Roman" w:hAnsi="Times New Roman" w:cs="Times New Roman"/>
          <w:i/>
          <w:iCs/>
          <w:sz w:val="24"/>
          <w:szCs w:val="24"/>
        </w:rPr>
        <w:t>Computers &amp; Chemical Engineering</w:t>
      </w:r>
      <w:r>
        <w:rPr>
          <w:rFonts w:ascii="Times New Roman" w:eastAsia="Times New Roman" w:hAnsi="Times New Roman" w:cs="Times New Roman"/>
          <w:sz w:val="24"/>
          <w:szCs w:val="24"/>
        </w:rPr>
        <w:t>, 140, 106881.</w:t>
      </w:r>
    </w:p>
    <w:p w14:paraId="3896FE30"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Galbraith, J. R. (1974). </w:t>
      </w:r>
      <w:r>
        <w:rPr>
          <w:rFonts w:ascii="Times New Roman" w:eastAsia="Times New Roman" w:hAnsi="Times New Roman" w:cs="Times New Roman"/>
          <w:i/>
          <w:iCs/>
          <w:sz w:val="24"/>
          <w:szCs w:val="24"/>
        </w:rPr>
        <w:t>Organization Design: An Information Processing View.</w:t>
      </w:r>
      <w:r>
        <w:rPr>
          <w:rFonts w:ascii="Times New Roman" w:eastAsia="Times New Roman" w:hAnsi="Times New Roman" w:cs="Times New Roman"/>
          <w:sz w:val="24"/>
          <w:szCs w:val="24"/>
        </w:rPr>
        <w:t xml:space="preserve"> Reading, MA: Addison-Wesley.</w:t>
      </w:r>
    </w:p>
    <w:p w14:paraId="13A24118"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Haußmann</w:t>
      </w:r>
      <w:proofErr w:type="spellEnd"/>
      <w:r>
        <w:rPr>
          <w:rFonts w:ascii="Times New Roman" w:eastAsia="Times New Roman" w:hAnsi="Times New Roman" w:cs="Times New Roman"/>
          <w:sz w:val="24"/>
          <w:szCs w:val="24"/>
        </w:rPr>
        <w:t xml:space="preserve">, C., Dwivedi, Y. K., </w:t>
      </w:r>
      <w:proofErr w:type="spellStart"/>
      <w:r>
        <w:rPr>
          <w:rFonts w:ascii="Times New Roman" w:eastAsia="Times New Roman" w:hAnsi="Times New Roman" w:cs="Times New Roman"/>
          <w:sz w:val="24"/>
          <w:szCs w:val="24"/>
        </w:rPr>
        <w:t>Venkitachalam</w:t>
      </w:r>
      <w:proofErr w:type="spellEnd"/>
      <w:r>
        <w:rPr>
          <w:rFonts w:ascii="Times New Roman" w:eastAsia="Times New Roman" w:hAnsi="Times New Roman" w:cs="Times New Roman"/>
          <w:sz w:val="24"/>
          <w:szCs w:val="24"/>
        </w:rPr>
        <w:t xml:space="preserve">, K., &amp; Williams, M. D. (2011). A summary and review of Galbraith’s organizational information processing theory. In </w:t>
      </w:r>
      <w:r>
        <w:rPr>
          <w:rFonts w:ascii="Times New Roman" w:eastAsia="Times New Roman" w:hAnsi="Times New Roman" w:cs="Times New Roman"/>
          <w:i/>
          <w:iCs/>
          <w:sz w:val="24"/>
          <w:szCs w:val="24"/>
        </w:rPr>
        <w:t>Information Systems Theory</w:t>
      </w:r>
      <w:r>
        <w:rPr>
          <w:rFonts w:ascii="Times New Roman" w:eastAsia="Times New Roman" w:hAnsi="Times New Roman" w:cs="Times New Roman"/>
          <w:sz w:val="24"/>
          <w:szCs w:val="24"/>
        </w:rPr>
        <w:t xml:space="preserve"> (Vol. 29, pp. 71–93). Springer.</w:t>
      </w:r>
    </w:p>
    <w:p w14:paraId="52A7FE66"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Henseler</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Ringle</w:t>
      </w:r>
      <w:proofErr w:type="spellEnd"/>
      <w:r>
        <w:rPr>
          <w:rFonts w:ascii="Times New Roman" w:eastAsia="Times New Roman" w:hAnsi="Times New Roman" w:cs="Times New Roman"/>
          <w:sz w:val="24"/>
          <w:szCs w:val="24"/>
        </w:rPr>
        <w:t xml:space="preserve">, C. M., &amp; Sarstedt, M. (2015). A new criterion for assessing discriminant validity in variance-based structural equation modelling. </w:t>
      </w:r>
      <w:r>
        <w:rPr>
          <w:rFonts w:ascii="Times New Roman" w:eastAsia="Times New Roman" w:hAnsi="Times New Roman" w:cs="Times New Roman"/>
          <w:i/>
          <w:iCs/>
          <w:sz w:val="24"/>
          <w:szCs w:val="24"/>
        </w:rPr>
        <w:t>Journal of the Academy of Marketing Science</w:t>
      </w:r>
      <w:r>
        <w:rPr>
          <w:rFonts w:ascii="Times New Roman" w:eastAsia="Times New Roman" w:hAnsi="Times New Roman" w:cs="Times New Roman"/>
          <w:sz w:val="24"/>
          <w:szCs w:val="24"/>
        </w:rPr>
        <w:t>, 43, 115–135.</w:t>
      </w:r>
    </w:p>
    <w:p w14:paraId="11D7703D"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 L. T., &amp; </w:t>
      </w:r>
      <w:proofErr w:type="spellStart"/>
      <w:r>
        <w:rPr>
          <w:rFonts w:ascii="Times New Roman" w:eastAsia="Times New Roman" w:hAnsi="Times New Roman" w:cs="Times New Roman"/>
          <w:sz w:val="24"/>
          <w:szCs w:val="24"/>
        </w:rPr>
        <w:t>Bentler</w:t>
      </w:r>
      <w:proofErr w:type="spellEnd"/>
      <w:r>
        <w:rPr>
          <w:rFonts w:ascii="Times New Roman" w:eastAsia="Times New Roman" w:hAnsi="Times New Roman" w:cs="Times New Roman"/>
          <w:sz w:val="24"/>
          <w:szCs w:val="24"/>
        </w:rPr>
        <w:t xml:space="preserve">, P. M. (1999). Cutoff criteria for fit indexes in covariance structure analysis: Conventional criteria versus new alternatives. </w:t>
      </w:r>
      <w:r>
        <w:rPr>
          <w:rFonts w:ascii="Times New Roman" w:eastAsia="Times New Roman" w:hAnsi="Times New Roman" w:cs="Times New Roman"/>
          <w:i/>
          <w:iCs/>
          <w:sz w:val="24"/>
          <w:szCs w:val="24"/>
        </w:rPr>
        <w:t>Structural Equation Modeling: A Multidisciplinary Journal</w:t>
      </w:r>
      <w:r>
        <w:rPr>
          <w:rFonts w:ascii="Times New Roman" w:eastAsia="Times New Roman" w:hAnsi="Times New Roman" w:cs="Times New Roman"/>
          <w:sz w:val="24"/>
          <w:szCs w:val="24"/>
        </w:rPr>
        <w:t>, 6(1), 1–55.</w:t>
      </w:r>
    </w:p>
    <w:p w14:paraId="10F99E31"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Kassa</w:t>
      </w:r>
      <w:proofErr w:type="spellEnd"/>
      <w:r>
        <w:rPr>
          <w:rFonts w:ascii="Times New Roman" w:eastAsia="Times New Roman" w:hAnsi="Times New Roman" w:cs="Times New Roman"/>
          <w:sz w:val="24"/>
          <w:szCs w:val="24"/>
        </w:rPr>
        <w:t xml:space="preserve">, B. Y., &amp; </w:t>
      </w:r>
      <w:proofErr w:type="spellStart"/>
      <w:r>
        <w:rPr>
          <w:rFonts w:ascii="Times New Roman" w:eastAsia="Times New Roman" w:hAnsi="Times New Roman" w:cs="Times New Roman"/>
          <w:sz w:val="24"/>
          <w:szCs w:val="24"/>
        </w:rPr>
        <w:t>Worku</w:t>
      </w:r>
      <w:proofErr w:type="spellEnd"/>
      <w:r>
        <w:rPr>
          <w:rFonts w:ascii="Times New Roman" w:eastAsia="Times New Roman" w:hAnsi="Times New Roman" w:cs="Times New Roman"/>
          <w:sz w:val="24"/>
          <w:szCs w:val="24"/>
        </w:rPr>
        <w:t xml:space="preserve">, E. K. (2025). The impact of artificial intelligence on organizational performance: The mediating role of employee productivity. </w:t>
      </w:r>
      <w:r>
        <w:rPr>
          <w:rFonts w:ascii="Times New Roman" w:eastAsia="Times New Roman" w:hAnsi="Times New Roman" w:cs="Times New Roman"/>
          <w:i/>
          <w:iCs/>
          <w:sz w:val="24"/>
          <w:szCs w:val="24"/>
        </w:rPr>
        <w:t>Journal of Open Innovation: Technology, Market, and Complexity</w:t>
      </w:r>
      <w:r>
        <w:rPr>
          <w:rFonts w:ascii="Times New Roman" w:eastAsia="Times New Roman" w:hAnsi="Times New Roman" w:cs="Times New Roman"/>
          <w:sz w:val="24"/>
          <w:szCs w:val="24"/>
        </w:rPr>
        <w:t>, 11(1), 100474.</w:t>
      </w:r>
    </w:p>
    <w:p w14:paraId="533682F5"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Koroteev</w:t>
      </w:r>
      <w:proofErr w:type="spellEnd"/>
      <w:r>
        <w:rPr>
          <w:rFonts w:ascii="Times New Roman" w:eastAsia="Times New Roman" w:hAnsi="Times New Roman" w:cs="Times New Roman"/>
          <w:sz w:val="24"/>
          <w:szCs w:val="24"/>
        </w:rPr>
        <w:t xml:space="preserve">, D., &amp; </w:t>
      </w:r>
      <w:proofErr w:type="spellStart"/>
      <w:r>
        <w:rPr>
          <w:rFonts w:ascii="Times New Roman" w:eastAsia="Times New Roman" w:hAnsi="Times New Roman" w:cs="Times New Roman"/>
          <w:sz w:val="24"/>
          <w:szCs w:val="24"/>
        </w:rPr>
        <w:t>Tekic</w:t>
      </w:r>
      <w:proofErr w:type="spellEnd"/>
      <w:r>
        <w:rPr>
          <w:rFonts w:ascii="Times New Roman" w:eastAsia="Times New Roman" w:hAnsi="Times New Roman" w:cs="Times New Roman"/>
          <w:sz w:val="24"/>
          <w:szCs w:val="24"/>
        </w:rPr>
        <w:t xml:space="preserve">, Z. (2021). Artificial intelligence in oil and gas upstream: Trends, challenges, and scenarios for the future. </w:t>
      </w:r>
      <w:r>
        <w:rPr>
          <w:rFonts w:ascii="Times New Roman" w:eastAsia="Times New Roman" w:hAnsi="Times New Roman" w:cs="Times New Roman"/>
          <w:i/>
          <w:iCs/>
          <w:sz w:val="24"/>
          <w:szCs w:val="24"/>
        </w:rPr>
        <w:t>Energy &amp; AI</w:t>
      </w:r>
      <w:r>
        <w:rPr>
          <w:rFonts w:ascii="Times New Roman" w:eastAsia="Times New Roman" w:hAnsi="Times New Roman" w:cs="Times New Roman"/>
          <w:sz w:val="24"/>
          <w:szCs w:val="24"/>
        </w:rPr>
        <w:t>, 3, 100041.</w:t>
      </w:r>
    </w:p>
    <w:p w14:paraId="6D4AE3F1" w14:textId="77777777" w:rsidR="00C8520B" w:rsidRDefault="00000000">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Li, H., Yu, H., Cao, N., Tian, H., &amp; Cheng, S. (2020). Applications of artificial intelligence in oil and gas development. </w:t>
      </w:r>
      <w:r>
        <w:rPr>
          <w:rFonts w:ascii="Times New Roman" w:eastAsia="Times New Roman" w:hAnsi="Times New Roman" w:cs="Times New Roman"/>
          <w:i/>
          <w:iCs/>
          <w:sz w:val="24"/>
          <w:szCs w:val="24"/>
        </w:rPr>
        <w:t>Archives of Computational Methods in Engineering.</w:t>
      </w:r>
    </w:p>
    <w:p w14:paraId="6D1786D0"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Marcelo, M., Moreira, J. F., Severino, A. C., </w:t>
      </w:r>
      <w:proofErr w:type="spellStart"/>
      <w:r>
        <w:rPr>
          <w:rFonts w:ascii="Times New Roman" w:eastAsia="Times New Roman" w:hAnsi="Times New Roman" w:cs="Times New Roman"/>
          <w:sz w:val="24"/>
          <w:szCs w:val="24"/>
        </w:rPr>
        <w:t>Cezario</w:t>
      </w:r>
      <w:proofErr w:type="spellEnd"/>
      <w:r>
        <w:rPr>
          <w:rFonts w:ascii="Times New Roman" w:eastAsia="Times New Roman" w:hAnsi="Times New Roman" w:cs="Times New Roman"/>
          <w:sz w:val="24"/>
          <w:szCs w:val="24"/>
        </w:rPr>
        <w:t xml:space="preserve">, B. S., Azevedo, L., &amp; Gilson, G. (2025). Artificial Intelligence in the Oil and Gas Industry: Applications, challenges, and future directions.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15(14), 7918.</w:t>
      </w:r>
    </w:p>
    <w:p w14:paraId="3A9BD9EA" w14:textId="77777777" w:rsidR="00C8520B" w:rsidRDefault="00000000">
      <w:pPr>
        <w:spacing w:before="240" w:after="24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Marr, B. (2024, December 20). The future of energy: How Shell is harnessing AI to transform the energy sector. </w:t>
      </w:r>
      <w:r>
        <w:rPr>
          <w:rFonts w:ascii="Times New Roman" w:eastAsia="Times New Roman" w:hAnsi="Times New Roman" w:cs="Times New Roman"/>
          <w:i/>
          <w:iCs/>
          <w:sz w:val="24"/>
          <w:szCs w:val="24"/>
        </w:rPr>
        <w:t>Forbes.</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https://www.forbes.com/sites/bernardmarr/2024/12/20/the-future-of-energy-how-shell-is-harnessing-ai-to-transform-the-energy-sector/</w:t>
        </w:r>
      </w:hyperlink>
    </w:p>
    <w:p w14:paraId="0803C5B2" w14:textId="77777777" w:rsidR="00C8520B" w:rsidRDefault="00000000">
      <w:pPr>
        <w:spacing w:before="240" w:after="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Rachlitz</w:t>
      </w:r>
      <w:proofErr w:type="spellEnd"/>
      <w:r>
        <w:rPr>
          <w:rFonts w:ascii="Times New Roman" w:eastAsia="Times New Roman" w:hAnsi="Times New Roman" w:cs="Times New Roman"/>
          <w:sz w:val="24"/>
          <w:szCs w:val="24"/>
        </w:rPr>
        <w:t xml:space="preserve">, K. (2023). Platform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and platform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iCs/>
          <w:sz w:val="24"/>
          <w:szCs w:val="24"/>
        </w:rPr>
        <w:t>puntOorg</w:t>
      </w:r>
      <w:proofErr w:type="spellEnd"/>
      <w:r>
        <w:rPr>
          <w:rFonts w:ascii="Times New Roman" w:eastAsia="Times New Roman" w:hAnsi="Times New Roman" w:cs="Times New Roman"/>
          <w:i/>
          <w:iCs/>
          <w:sz w:val="24"/>
          <w:szCs w:val="24"/>
        </w:rPr>
        <w:t xml:space="preserve"> International Journal</w:t>
      </w:r>
      <w:r>
        <w:rPr>
          <w:rFonts w:ascii="Times New Roman" w:eastAsia="Times New Roman" w:hAnsi="Times New Roman" w:cs="Times New Roman"/>
          <w:sz w:val="24"/>
          <w:szCs w:val="24"/>
        </w:rPr>
        <w:t>, 8(1), 3–35.</w:t>
      </w:r>
    </w:p>
    <w:p w14:paraId="13C3EF6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Sircar, A., Yadav, K., </w:t>
      </w:r>
      <w:proofErr w:type="spellStart"/>
      <w:r>
        <w:rPr>
          <w:rFonts w:ascii="Times New Roman" w:eastAsia="Times New Roman" w:hAnsi="Times New Roman" w:cs="Times New Roman"/>
          <w:sz w:val="24"/>
          <w:szCs w:val="24"/>
        </w:rPr>
        <w:t>Rayavarapu</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Bist</w:t>
      </w:r>
      <w:proofErr w:type="spellEnd"/>
      <w:r>
        <w:rPr>
          <w:rFonts w:ascii="Times New Roman" w:eastAsia="Times New Roman" w:hAnsi="Times New Roman" w:cs="Times New Roman"/>
          <w:sz w:val="24"/>
          <w:szCs w:val="24"/>
        </w:rPr>
        <w:t xml:space="preserve">, N., &amp; </w:t>
      </w:r>
      <w:proofErr w:type="spellStart"/>
      <w:r>
        <w:rPr>
          <w:rFonts w:ascii="Times New Roman" w:eastAsia="Times New Roman" w:hAnsi="Times New Roman" w:cs="Times New Roman"/>
          <w:sz w:val="24"/>
          <w:szCs w:val="24"/>
        </w:rPr>
        <w:t>Oza</w:t>
      </w:r>
      <w:proofErr w:type="spellEnd"/>
      <w:r>
        <w:rPr>
          <w:rFonts w:ascii="Times New Roman" w:eastAsia="Times New Roman" w:hAnsi="Times New Roman" w:cs="Times New Roman"/>
          <w:sz w:val="24"/>
          <w:szCs w:val="24"/>
        </w:rPr>
        <w:t xml:space="preserve">, H. (2021). Application of machine learning and artificial intelligence in oil and gas industry. </w:t>
      </w:r>
      <w:r>
        <w:rPr>
          <w:rFonts w:ascii="Times New Roman" w:eastAsia="Times New Roman" w:hAnsi="Times New Roman" w:cs="Times New Roman"/>
          <w:i/>
          <w:iCs/>
          <w:sz w:val="24"/>
          <w:szCs w:val="24"/>
        </w:rPr>
        <w:t>Petroleum Research</w:t>
      </w:r>
      <w:r>
        <w:rPr>
          <w:rFonts w:ascii="Times New Roman" w:eastAsia="Times New Roman" w:hAnsi="Times New Roman" w:cs="Times New Roman"/>
          <w:sz w:val="24"/>
          <w:szCs w:val="24"/>
        </w:rPr>
        <w:t>, 6(4).</w:t>
      </w:r>
    </w:p>
    <w:p w14:paraId="5EC4A6B9"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Song, D., Hu, Y., Zhang, Q., Wang, S., &amp; Bi, C. (2025). Harnessing AI for renewable energy transition: Threshold effects on China’s economic growth. </w:t>
      </w:r>
      <w:r>
        <w:rPr>
          <w:rFonts w:ascii="Times New Roman" w:eastAsia="Times New Roman" w:hAnsi="Times New Roman" w:cs="Times New Roman"/>
          <w:i/>
          <w:iCs/>
          <w:sz w:val="24"/>
          <w:szCs w:val="24"/>
        </w:rPr>
        <w:t>Sustainable Futures</w:t>
      </w:r>
      <w:r>
        <w:rPr>
          <w:rFonts w:ascii="Times New Roman" w:eastAsia="Times New Roman" w:hAnsi="Times New Roman" w:cs="Times New Roman"/>
          <w:sz w:val="24"/>
          <w:szCs w:val="24"/>
        </w:rPr>
        <w:t>, 10, 101349.</w:t>
      </w:r>
    </w:p>
    <w:p w14:paraId="393CF2A8"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Venkatesh, V., Morris, M. G., Davis, G. B., &amp; Davis, F. D. (2003). User acceptance of information technology: Toward a unified view. </w:t>
      </w:r>
      <w:r>
        <w:rPr>
          <w:rFonts w:ascii="Times New Roman" w:eastAsia="Times New Roman" w:hAnsi="Times New Roman" w:cs="Times New Roman"/>
          <w:i/>
          <w:iCs/>
          <w:sz w:val="24"/>
          <w:szCs w:val="24"/>
        </w:rPr>
        <w:t>MIS Quarterly</w:t>
      </w:r>
      <w:r>
        <w:rPr>
          <w:rFonts w:ascii="Times New Roman" w:eastAsia="Times New Roman" w:hAnsi="Times New Roman" w:cs="Times New Roman"/>
          <w:sz w:val="24"/>
          <w:szCs w:val="24"/>
        </w:rPr>
        <w:t>, 27(3), 425–478.</w:t>
      </w:r>
    </w:p>
    <w:p w14:paraId="7235DCA3"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Waqar, A., Othman, I., Shafiq, N., &amp; Mansoor, M. S. (2023). Applications of AI in oil and gas projects towards sustainable development: A systematic literature review. </w:t>
      </w:r>
      <w:r>
        <w:rPr>
          <w:rFonts w:ascii="Times New Roman" w:eastAsia="Times New Roman" w:hAnsi="Times New Roman" w:cs="Times New Roman"/>
          <w:i/>
          <w:iCs/>
          <w:sz w:val="24"/>
          <w:szCs w:val="24"/>
        </w:rPr>
        <w:t>Artificial Intelligence Review</w:t>
      </w:r>
      <w:r>
        <w:rPr>
          <w:rFonts w:ascii="Times New Roman" w:eastAsia="Times New Roman" w:hAnsi="Times New Roman" w:cs="Times New Roman"/>
          <w:sz w:val="24"/>
          <w:szCs w:val="24"/>
        </w:rPr>
        <w:t>, 56.</w:t>
      </w:r>
    </w:p>
    <w:p w14:paraId="175E4F9B" w14:textId="77777777" w:rsidR="00C8520B"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Yin, R. K. (2018). </w:t>
      </w:r>
      <w:r>
        <w:rPr>
          <w:rFonts w:ascii="Times New Roman" w:eastAsia="Times New Roman" w:hAnsi="Times New Roman" w:cs="Times New Roman"/>
          <w:i/>
          <w:iCs/>
          <w:sz w:val="24"/>
          <w:szCs w:val="24"/>
        </w:rPr>
        <w:t>Case Study Research and Applications: Design and Methods</w:t>
      </w:r>
      <w:r>
        <w:rPr>
          <w:rFonts w:ascii="Times New Roman" w:eastAsia="Times New Roman" w:hAnsi="Times New Roman" w:cs="Times New Roman"/>
          <w:sz w:val="24"/>
          <w:szCs w:val="24"/>
        </w:rPr>
        <w:t xml:space="preserve"> (6th ed.). Thousand Oaks, CA: SAGE.</w:t>
      </w:r>
    </w:p>
    <w:p w14:paraId="1820A07D" w14:textId="77777777" w:rsidR="00C8520B" w:rsidRDefault="00000000">
      <w:pPr>
        <w:spacing w:before="240" w:after="240"/>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Zlotko</w:t>
      </w:r>
      <w:proofErr w:type="spellEnd"/>
      <w:r>
        <w:rPr>
          <w:rFonts w:ascii="Times New Roman" w:eastAsia="Times New Roman" w:hAnsi="Times New Roman" w:cs="Times New Roman"/>
          <w:sz w:val="24"/>
          <w:szCs w:val="24"/>
        </w:rPr>
        <w:t xml:space="preserve">, A. (2025, January 10). Sales Forecasting Methods – Techniques to predict revenue. </w:t>
      </w:r>
      <w:r>
        <w:rPr>
          <w:rFonts w:ascii="Times New Roman" w:eastAsia="Times New Roman" w:hAnsi="Times New Roman" w:cs="Times New Roman"/>
          <w:i/>
          <w:iCs/>
          <w:sz w:val="24"/>
          <w:szCs w:val="24"/>
        </w:rPr>
        <w:t>Forecastio.ai.</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https://forecastio.ai/blog/sales-forecasting-methods</w:t>
        </w:r>
      </w:hyperlink>
    </w:p>
    <w:p w14:paraId="36B99136" w14:textId="77777777" w:rsidR="00C8520B" w:rsidRDefault="00C8520B">
      <w:pPr>
        <w:rPr>
          <w:rFonts w:ascii="Times New Roman" w:eastAsia="Times New Roman" w:hAnsi="Times New Roman" w:cs="Times New Roman"/>
          <w:sz w:val="24"/>
          <w:szCs w:val="24"/>
        </w:rPr>
      </w:pPr>
    </w:p>
    <w:p w14:paraId="6AAE24C2" w14:textId="77777777" w:rsidR="00A0251B" w:rsidRDefault="00A0251B">
      <w:pPr>
        <w:rPr>
          <w:rFonts w:ascii="Times New Roman" w:eastAsia="Times New Roman" w:hAnsi="Times New Roman" w:cs="Times New Roman"/>
          <w:sz w:val="24"/>
          <w:szCs w:val="24"/>
        </w:rPr>
      </w:pPr>
    </w:p>
    <w:p w14:paraId="65B1E6AB" w14:textId="77777777" w:rsidR="00A0251B" w:rsidRDefault="00A0251B">
      <w:pPr>
        <w:rPr>
          <w:rFonts w:ascii="Times New Roman" w:eastAsia="Times New Roman" w:hAnsi="Times New Roman" w:cs="Times New Roman"/>
          <w:sz w:val="24"/>
          <w:szCs w:val="24"/>
        </w:rPr>
      </w:pPr>
    </w:p>
    <w:p w14:paraId="7A0CFDF9" w14:textId="77777777" w:rsidR="00A0251B" w:rsidRDefault="00A0251B">
      <w:pPr>
        <w:rPr>
          <w:rFonts w:ascii="Times New Roman" w:eastAsia="Times New Roman" w:hAnsi="Times New Roman" w:cs="Times New Roman"/>
          <w:sz w:val="24"/>
          <w:szCs w:val="24"/>
        </w:rPr>
      </w:pPr>
    </w:p>
    <w:p w14:paraId="20716F5A" w14:textId="77777777" w:rsidR="00A0251B" w:rsidRDefault="00A0251B">
      <w:pPr>
        <w:rPr>
          <w:rFonts w:ascii="Times New Roman" w:eastAsia="Times New Roman" w:hAnsi="Times New Roman" w:cs="Times New Roman"/>
          <w:sz w:val="24"/>
          <w:szCs w:val="24"/>
        </w:rPr>
      </w:pPr>
    </w:p>
    <w:p w14:paraId="64406C89" w14:textId="77777777" w:rsidR="00A0251B" w:rsidRDefault="00A0251B">
      <w:pPr>
        <w:rPr>
          <w:rFonts w:ascii="Times New Roman" w:eastAsia="Times New Roman" w:hAnsi="Times New Roman" w:cs="Times New Roman"/>
          <w:sz w:val="24"/>
          <w:szCs w:val="24"/>
        </w:rPr>
      </w:pPr>
    </w:p>
    <w:p w14:paraId="48FD6D2D" w14:textId="77777777" w:rsidR="00A0251B" w:rsidRDefault="00A0251B">
      <w:pPr>
        <w:rPr>
          <w:rFonts w:ascii="Times New Roman" w:eastAsia="Times New Roman" w:hAnsi="Times New Roman" w:cs="Times New Roman"/>
          <w:sz w:val="24"/>
          <w:szCs w:val="24"/>
        </w:rPr>
      </w:pPr>
    </w:p>
    <w:p w14:paraId="08048822" w14:textId="77777777" w:rsidR="00C8520B" w:rsidRDefault="00C8520B">
      <w:pPr>
        <w:rPr>
          <w:rFonts w:ascii="Times New Roman" w:eastAsia="Times New Roman" w:hAnsi="Times New Roman" w:cs="Times New Roman"/>
          <w:sz w:val="24"/>
          <w:szCs w:val="24"/>
        </w:rPr>
      </w:pPr>
    </w:p>
    <w:p w14:paraId="7C308FC6" w14:textId="77777777" w:rsidR="00C8520B" w:rsidRDefault="00C8520B">
      <w:pPr>
        <w:rPr>
          <w:rFonts w:ascii="Times New Roman" w:eastAsia="Times New Roman" w:hAnsi="Times New Roman" w:cs="Times New Roman"/>
          <w:sz w:val="24"/>
          <w:szCs w:val="24"/>
        </w:rPr>
      </w:pPr>
    </w:p>
    <w:p w14:paraId="6E08911E" w14:textId="77777777" w:rsidR="00C8520B" w:rsidRDefault="00000000">
      <w:pPr>
        <w:pStyle w:val="Heading1"/>
        <w:jc w:val="center"/>
        <w:rPr>
          <w:rFonts w:ascii="Times New Roman" w:eastAsia="Times New Roman" w:hAnsi="Times New Roman" w:cs="Times New Roman"/>
          <w:sz w:val="24"/>
          <w:szCs w:val="24"/>
        </w:rPr>
      </w:pPr>
      <w:bookmarkStart w:id="40" w:name="_aod2mww7s2yd" w:colFirst="0" w:colLast="0"/>
      <w:bookmarkEnd w:id="40"/>
      <w:r>
        <w:rPr>
          <w:b/>
          <w:bCs/>
          <w:sz w:val="44"/>
          <w:szCs w:val="44"/>
        </w:rPr>
        <w:lastRenderedPageBreak/>
        <w:t>Appendix A</w:t>
      </w:r>
    </w:p>
    <w:p w14:paraId="59B42535" w14:textId="5A5B3180"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To measure how mid-sized Saudi Arabia oil and gas companies adopt -based forecasting tools, what drives that adoption, and how it affects forecast accuracy, planning efficiency, and sales performance we designed a questionnaire, built from validated constructs used in published research, </w:t>
      </w:r>
      <w:r w:rsidR="0071785F" w:rsidRPr="0071785F">
        <w:rPr>
          <w:rFonts w:asciiTheme="majorBidi" w:hAnsiTheme="majorBidi" w:cstheme="majorBidi"/>
          <w:sz w:val="24"/>
          <w:szCs w:val="24"/>
        </w:rPr>
        <w:t>contextualized</w:t>
      </w:r>
      <w:r w:rsidRPr="0071785F">
        <w:rPr>
          <w:rFonts w:asciiTheme="majorBidi" w:hAnsiTheme="majorBidi" w:cstheme="majorBidi"/>
          <w:sz w:val="24"/>
          <w:szCs w:val="24"/>
        </w:rPr>
        <w:t xml:space="preserve"> according to study.</w:t>
      </w:r>
    </w:p>
    <w:p w14:paraId="6F043F16"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All perception-based items are measured on a </w:t>
      </w:r>
      <w:r w:rsidRPr="0071785F">
        <w:rPr>
          <w:rFonts w:asciiTheme="majorBidi" w:hAnsiTheme="majorBidi" w:cstheme="majorBidi"/>
          <w:b/>
          <w:bCs/>
          <w:sz w:val="24"/>
          <w:szCs w:val="24"/>
        </w:rPr>
        <w:t>7-point Likert Scale</w:t>
      </w:r>
      <w:r w:rsidRPr="0071785F">
        <w:rPr>
          <w:rFonts w:asciiTheme="majorBidi" w:hAnsiTheme="majorBidi" w:cstheme="majorBidi"/>
          <w:sz w:val="24"/>
          <w:szCs w:val="24"/>
        </w:rPr>
        <w:t>:</w:t>
      </w:r>
    </w:p>
    <w:p w14:paraId="10F53139"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1 = Strongly Disagree | 2 = Disagree | 3 = Somewhat Disagree | 4 = Neutral | 5 = Somewhat Agree | 6 = Agree | 7 = Strongly Agree</w:t>
      </w:r>
    </w:p>
    <w:p w14:paraId="296DFF7F" w14:textId="77777777" w:rsidR="00C8520B" w:rsidRPr="0071785F" w:rsidRDefault="00000000">
      <w:pPr>
        <w:spacing w:before="240" w:after="240"/>
        <w:rPr>
          <w:rFonts w:asciiTheme="majorBidi" w:hAnsiTheme="majorBidi" w:cstheme="majorBidi"/>
          <w:b/>
          <w:bCs/>
          <w:sz w:val="24"/>
          <w:szCs w:val="24"/>
        </w:rPr>
      </w:pPr>
      <w:r w:rsidRPr="0071785F">
        <w:rPr>
          <w:rFonts w:asciiTheme="majorBidi" w:hAnsiTheme="majorBidi" w:cstheme="majorBidi"/>
          <w:b/>
          <w:bCs/>
          <w:sz w:val="24"/>
          <w:szCs w:val="24"/>
        </w:rPr>
        <w:t>Structure:</w:t>
      </w:r>
    </w:p>
    <w:p w14:paraId="7BEF6FEB" w14:textId="007C8BDF"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The questionnaire is </w:t>
      </w:r>
      <w:r w:rsidR="0071785F" w:rsidRPr="0071785F">
        <w:rPr>
          <w:rFonts w:asciiTheme="majorBidi" w:hAnsiTheme="majorBidi" w:cstheme="majorBidi"/>
          <w:sz w:val="24"/>
          <w:szCs w:val="24"/>
        </w:rPr>
        <w:t>organized</w:t>
      </w:r>
      <w:r w:rsidRPr="0071785F">
        <w:rPr>
          <w:rFonts w:asciiTheme="majorBidi" w:hAnsiTheme="majorBidi" w:cstheme="majorBidi"/>
          <w:sz w:val="24"/>
          <w:szCs w:val="24"/>
        </w:rPr>
        <w:t xml:space="preserve"> in following 6 sections</w:t>
      </w:r>
    </w:p>
    <w:p w14:paraId="2BA580D6" w14:textId="77777777" w:rsidR="00C8520B" w:rsidRPr="0071785F" w:rsidRDefault="00000000">
      <w:pPr>
        <w:numPr>
          <w:ilvl w:val="0"/>
          <w:numId w:val="40"/>
        </w:numPr>
        <w:spacing w:before="240" w:after="240"/>
        <w:rPr>
          <w:rFonts w:asciiTheme="majorBidi" w:hAnsiTheme="majorBidi" w:cstheme="majorBidi"/>
          <w:b/>
          <w:bCs/>
          <w:sz w:val="28"/>
          <w:szCs w:val="28"/>
        </w:rPr>
      </w:pPr>
      <w:r w:rsidRPr="0071785F">
        <w:rPr>
          <w:rFonts w:asciiTheme="majorBidi" w:hAnsiTheme="majorBidi" w:cstheme="majorBidi"/>
          <w:b/>
          <w:bCs/>
          <w:sz w:val="28"/>
          <w:szCs w:val="28"/>
        </w:rPr>
        <w:t>Section A: Firm Profile</w:t>
      </w:r>
    </w:p>
    <w:p w14:paraId="074C4BF7" w14:textId="77777777" w:rsidR="00C8520B" w:rsidRPr="0071785F" w:rsidRDefault="00000000">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This section collects background information about each participating firm — including size, segment, location, and technology environment — to control for contextual differences in analysis. These firm-level details (size, revenue, digital maturity) influence the capacity and motivation to </w:t>
      </w:r>
      <w:proofErr w:type="gramStart"/>
      <w:r w:rsidRPr="0071785F">
        <w:rPr>
          <w:rFonts w:asciiTheme="majorBidi" w:hAnsiTheme="majorBidi" w:cstheme="majorBidi"/>
          <w:sz w:val="24"/>
          <w:szCs w:val="24"/>
        </w:rPr>
        <w:t>adopt  systems</w:t>
      </w:r>
      <w:proofErr w:type="gramEnd"/>
      <w:r w:rsidRPr="0071785F">
        <w:rPr>
          <w:rFonts w:asciiTheme="majorBidi" w:hAnsiTheme="majorBidi" w:cstheme="majorBidi"/>
          <w:sz w:val="24"/>
          <w:szCs w:val="24"/>
        </w:rPr>
        <w:t xml:space="preserve"> (Li et al., 2020; Marcelo et al., 2025). Controlling for these variables allows more valid comparisons across firms and improves model generalizability. (Descriptive, not scored — used as control variables)</w:t>
      </w:r>
      <w:r w:rsidRPr="0071785F">
        <w:rPr>
          <w:rFonts w:asciiTheme="majorBidi" w:hAnsiTheme="majorBidi" w:cstheme="majorBidi"/>
          <w:sz w:val="24"/>
          <w:szCs w:val="24"/>
        </w:rPr>
        <w:br/>
      </w:r>
    </w:p>
    <w:p w14:paraId="150AFB61" w14:textId="77777777" w:rsidR="00C8520B" w:rsidRPr="0071785F" w:rsidRDefault="00000000">
      <w:pPr>
        <w:numPr>
          <w:ilvl w:val="0"/>
          <w:numId w:val="40"/>
        </w:numPr>
        <w:spacing w:before="240" w:after="240"/>
        <w:rPr>
          <w:rFonts w:asciiTheme="majorBidi" w:hAnsiTheme="majorBidi" w:cstheme="majorBidi"/>
          <w:b/>
          <w:bCs/>
          <w:sz w:val="28"/>
          <w:szCs w:val="28"/>
        </w:rPr>
      </w:pPr>
      <w:r w:rsidRPr="0071785F">
        <w:rPr>
          <w:rFonts w:asciiTheme="majorBidi" w:hAnsiTheme="majorBidi" w:cstheme="majorBidi"/>
          <w:b/>
          <w:bCs/>
          <w:sz w:val="28"/>
          <w:szCs w:val="28"/>
        </w:rPr>
        <w:t xml:space="preserve">Section B: Antecedents </w:t>
      </w:r>
      <w:proofErr w:type="gramStart"/>
      <w:r w:rsidRPr="0071785F">
        <w:rPr>
          <w:rFonts w:asciiTheme="majorBidi" w:hAnsiTheme="majorBidi" w:cstheme="majorBidi"/>
          <w:b/>
          <w:bCs/>
          <w:sz w:val="28"/>
          <w:szCs w:val="28"/>
        </w:rPr>
        <w:t>of  Adoption</w:t>
      </w:r>
      <w:proofErr w:type="gramEnd"/>
    </w:p>
    <w:p w14:paraId="615A7800" w14:textId="77777777" w:rsidR="00C8520B" w:rsidRPr="0071785F" w:rsidRDefault="00000000">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Examines the key organizational and environmental factors that influence a company’s readiness and motivation to adopt -based forecasting tools. Previous studies emphasize that organizational readiness, leadership vision, and external competition shape technology diffusion (Venkatesh et al., 2003; </w:t>
      </w:r>
      <w:proofErr w:type="spellStart"/>
      <w:r w:rsidRPr="0071785F">
        <w:rPr>
          <w:rFonts w:asciiTheme="majorBidi" w:hAnsiTheme="majorBidi" w:cstheme="majorBidi"/>
          <w:sz w:val="24"/>
          <w:szCs w:val="24"/>
        </w:rPr>
        <w:t>Koroteev</w:t>
      </w:r>
      <w:proofErr w:type="spellEnd"/>
      <w:r w:rsidRPr="0071785F">
        <w:rPr>
          <w:rFonts w:asciiTheme="majorBidi" w:hAnsiTheme="majorBidi" w:cstheme="majorBidi"/>
          <w:sz w:val="24"/>
          <w:szCs w:val="24"/>
        </w:rPr>
        <w:t xml:space="preserve"> &amp; </w:t>
      </w:r>
      <w:proofErr w:type="spellStart"/>
      <w:r w:rsidRPr="0071785F">
        <w:rPr>
          <w:rFonts w:asciiTheme="majorBidi" w:hAnsiTheme="majorBidi" w:cstheme="majorBidi"/>
          <w:sz w:val="24"/>
          <w:szCs w:val="24"/>
        </w:rPr>
        <w:t>Tekic</w:t>
      </w:r>
      <w:proofErr w:type="spellEnd"/>
      <w:r w:rsidRPr="0071785F">
        <w:rPr>
          <w:rFonts w:asciiTheme="majorBidi" w:hAnsiTheme="majorBidi" w:cstheme="majorBidi"/>
          <w:sz w:val="24"/>
          <w:szCs w:val="24"/>
        </w:rPr>
        <w:t>, 2021). These antecedents form the foundation for understanding adoption dynamics in industrial contexts.</w:t>
      </w:r>
      <w:r w:rsidRPr="0071785F">
        <w:rPr>
          <w:rFonts w:asciiTheme="majorBidi" w:hAnsiTheme="majorBidi" w:cstheme="majorBidi"/>
          <w:sz w:val="24"/>
          <w:szCs w:val="24"/>
        </w:rPr>
        <w:br/>
      </w:r>
    </w:p>
    <w:p w14:paraId="66BA87F1" w14:textId="77777777" w:rsidR="00C8520B" w:rsidRPr="0071785F" w:rsidRDefault="00000000">
      <w:pPr>
        <w:numPr>
          <w:ilvl w:val="0"/>
          <w:numId w:val="40"/>
        </w:numPr>
        <w:spacing w:before="240" w:after="240"/>
        <w:rPr>
          <w:rFonts w:asciiTheme="majorBidi" w:hAnsiTheme="majorBidi" w:cstheme="majorBidi"/>
          <w:b/>
          <w:bCs/>
          <w:sz w:val="28"/>
          <w:szCs w:val="28"/>
        </w:rPr>
      </w:pPr>
      <w:r w:rsidRPr="0071785F">
        <w:rPr>
          <w:rFonts w:asciiTheme="majorBidi" w:hAnsiTheme="majorBidi" w:cstheme="majorBidi"/>
          <w:b/>
          <w:bCs/>
          <w:sz w:val="28"/>
          <w:szCs w:val="28"/>
        </w:rPr>
        <w:t>Section C:  Forecasting Adoption &amp; Usage</w:t>
      </w:r>
    </w:p>
    <w:p w14:paraId="1CFE10A1" w14:textId="77777777" w:rsidR="00C8520B" w:rsidRPr="0071785F" w:rsidRDefault="00000000">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Captures the current level </w:t>
      </w:r>
      <w:proofErr w:type="gramStart"/>
      <w:r w:rsidRPr="0071785F">
        <w:rPr>
          <w:rFonts w:asciiTheme="majorBidi" w:hAnsiTheme="majorBidi" w:cstheme="majorBidi"/>
          <w:sz w:val="24"/>
          <w:szCs w:val="24"/>
        </w:rPr>
        <w:t>of  adoption</w:t>
      </w:r>
      <w:proofErr w:type="gramEnd"/>
      <w:r w:rsidRPr="0071785F">
        <w:rPr>
          <w:rFonts w:asciiTheme="majorBidi" w:hAnsiTheme="majorBidi" w:cstheme="majorBidi"/>
          <w:sz w:val="24"/>
          <w:szCs w:val="24"/>
        </w:rPr>
        <w:t xml:space="preserve"> and the extent to which  is embedded in the organization’s forecasting and planning processes. Adoption depth reflects not only technical implementation but also organizational learning and process alignment (Marcelo et al., 2025). It operationalizes the transition from pilot projects to </w:t>
      </w:r>
      <w:r w:rsidRPr="0071785F">
        <w:rPr>
          <w:rFonts w:asciiTheme="majorBidi" w:hAnsiTheme="majorBidi" w:cstheme="majorBidi"/>
          <w:sz w:val="24"/>
          <w:szCs w:val="24"/>
        </w:rPr>
        <w:lastRenderedPageBreak/>
        <w:t>institutionalized use.</w:t>
      </w:r>
      <w:r w:rsidRPr="0071785F">
        <w:rPr>
          <w:rFonts w:asciiTheme="majorBidi" w:hAnsiTheme="majorBidi" w:cstheme="majorBidi"/>
          <w:sz w:val="24"/>
          <w:szCs w:val="24"/>
        </w:rPr>
        <w:br/>
      </w:r>
    </w:p>
    <w:p w14:paraId="59D0AF6D" w14:textId="77777777" w:rsidR="00C8520B" w:rsidRPr="004C2022" w:rsidRDefault="00000000">
      <w:pPr>
        <w:numPr>
          <w:ilvl w:val="0"/>
          <w:numId w:val="40"/>
        </w:numPr>
        <w:spacing w:before="240" w:after="240"/>
        <w:rPr>
          <w:rFonts w:asciiTheme="majorBidi" w:hAnsiTheme="majorBidi" w:cstheme="majorBidi"/>
          <w:b/>
          <w:bCs/>
          <w:sz w:val="28"/>
          <w:szCs w:val="28"/>
        </w:rPr>
      </w:pPr>
      <w:r w:rsidRPr="004C2022">
        <w:rPr>
          <w:rFonts w:asciiTheme="majorBidi" w:hAnsiTheme="majorBidi" w:cstheme="majorBidi"/>
          <w:b/>
          <w:bCs/>
          <w:sz w:val="28"/>
          <w:szCs w:val="28"/>
        </w:rPr>
        <w:t>Section D: Forecasting Accuracy and Efficiency Outcomes</w:t>
      </w:r>
    </w:p>
    <w:p w14:paraId="35E6D89E" w14:textId="04184333" w:rsidR="00C8520B" w:rsidRPr="0071785F" w:rsidRDefault="00000000">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Assesses the tangible outcomes </w:t>
      </w:r>
      <w:proofErr w:type="gramStart"/>
      <w:r w:rsidRPr="0071785F">
        <w:rPr>
          <w:rFonts w:asciiTheme="majorBidi" w:hAnsiTheme="majorBidi" w:cstheme="majorBidi"/>
          <w:sz w:val="24"/>
          <w:szCs w:val="24"/>
        </w:rPr>
        <w:t>of  adoption</w:t>
      </w:r>
      <w:proofErr w:type="gramEnd"/>
      <w:r w:rsidRPr="0071785F">
        <w:rPr>
          <w:rFonts w:asciiTheme="majorBidi" w:hAnsiTheme="majorBidi" w:cstheme="majorBidi"/>
          <w:sz w:val="24"/>
          <w:szCs w:val="24"/>
        </w:rPr>
        <w:t xml:space="preserve"> on forecasting precision and the speed or coordination of planning activities. Forecast accuracy and efficiency are critical indicators </w:t>
      </w:r>
      <w:r w:rsidR="004C2022" w:rsidRPr="0071785F">
        <w:rPr>
          <w:rFonts w:asciiTheme="majorBidi" w:hAnsiTheme="majorBidi" w:cstheme="majorBidi"/>
          <w:sz w:val="24"/>
          <w:szCs w:val="24"/>
        </w:rPr>
        <w:t>of system</w:t>
      </w:r>
      <w:r w:rsidRPr="0071785F">
        <w:rPr>
          <w:rFonts w:asciiTheme="majorBidi" w:hAnsiTheme="majorBidi" w:cstheme="majorBidi"/>
          <w:sz w:val="24"/>
          <w:szCs w:val="24"/>
        </w:rPr>
        <w:t xml:space="preserve"> performance in sales and planning contexts (Fisher et al., 2020; </w:t>
      </w:r>
      <w:proofErr w:type="spellStart"/>
      <w:r w:rsidRPr="0071785F">
        <w:rPr>
          <w:rFonts w:asciiTheme="majorBidi" w:hAnsiTheme="majorBidi" w:cstheme="majorBidi"/>
          <w:sz w:val="24"/>
          <w:szCs w:val="24"/>
        </w:rPr>
        <w:t>Ahaggach</w:t>
      </w:r>
      <w:proofErr w:type="spellEnd"/>
      <w:r w:rsidRPr="0071785F">
        <w:rPr>
          <w:rFonts w:asciiTheme="majorBidi" w:hAnsiTheme="majorBidi" w:cstheme="majorBidi"/>
          <w:sz w:val="24"/>
          <w:szCs w:val="24"/>
        </w:rPr>
        <w:t xml:space="preserve"> et al., 2024). They link technological use to tangible business outcomes.</w:t>
      </w:r>
      <w:r w:rsidRPr="0071785F">
        <w:rPr>
          <w:rFonts w:asciiTheme="majorBidi" w:hAnsiTheme="majorBidi" w:cstheme="majorBidi"/>
          <w:sz w:val="24"/>
          <w:szCs w:val="24"/>
        </w:rPr>
        <w:br/>
      </w:r>
    </w:p>
    <w:p w14:paraId="7410EE13" w14:textId="77777777" w:rsidR="00C8520B" w:rsidRPr="004C2022" w:rsidRDefault="00000000">
      <w:pPr>
        <w:numPr>
          <w:ilvl w:val="0"/>
          <w:numId w:val="40"/>
        </w:numPr>
        <w:spacing w:before="240" w:after="240"/>
        <w:rPr>
          <w:rFonts w:asciiTheme="majorBidi" w:hAnsiTheme="majorBidi" w:cstheme="majorBidi"/>
          <w:b/>
          <w:bCs/>
          <w:sz w:val="28"/>
          <w:szCs w:val="28"/>
        </w:rPr>
      </w:pPr>
      <w:r w:rsidRPr="004C2022">
        <w:rPr>
          <w:rFonts w:asciiTheme="majorBidi" w:hAnsiTheme="majorBidi" w:cstheme="majorBidi"/>
          <w:b/>
          <w:bCs/>
          <w:sz w:val="28"/>
          <w:szCs w:val="28"/>
        </w:rPr>
        <w:t>Section E: Organizational Performance Indicators</w:t>
      </w:r>
    </w:p>
    <w:p w14:paraId="488A5673" w14:textId="77777777" w:rsidR="00C8520B" w:rsidRPr="0071785F" w:rsidRDefault="00000000">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Evaluates how improvements in forecasting and efficiency translate into overall business performance. Organizational performance provides the ultimate test of ’s effectiveness. Studies </w:t>
      </w:r>
      <w:proofErr w:type="gramStart"/>
      <w:r w:rsidRPr="0071785F">
        <w:rPr>
          <w:rFonts w:asciiTheme="majorBidi" w:hAnsiTheme="majorBidi" w:cstheme="majorBidi"/>
          <w:sz w:val="24"/>
          <w:szCs w:val="24"/>
        </w:rPr>
        <w:t>show  impacts</w:t>
      </w:r>
      <w:proofErr w:type="gramEnd"/>
      <w:r w:rsidRPr="0071785F">
        <w:rPr>
          <w:rFonts w:asciiTheme="majorBidi" w:hAnsiTheme="majorBidi" w:cstheme="majorBidi"/>
          <w:sz w:val="24"/>
          <w:szCs w:val="24"/>
        </w:rPr>
        <w:t xml:space="preserve"> both immediate operational metrics and broader strategic competitiveness (</w:t>
      </w:r>
      <w:proofErr w:type="spellStart"/>
      <w:r w:rsidRPr="0071785F">
        <w:rPr>
          <w:rFonts w:asciiTheme="majorBidi" w:hAnsiTheme="majorBidi" w:cstheme="majorBidi"/>
          <w:sz w:val="24"/>
          <w:szCs w:val="24"/>
        </w:rPr>
        <w:t>Kassa</w:t>
      </w:r>
      <w:proofErr w:type="spellEnd"/>
      <w:r w:rsidRPr="0071785F">
        <w:rPr>
          <w:rFonts w:asciiTheme="majorBidi" w:hAnsiTheme="majorBidi" w:cstheme="majorBidi"/>
          <w:sz w:val="24"/>
          <w:szCs w:val="24"/>
        </w:rPr>
        <w:t xml:space="preserve"> &amp; </w:t>
      </w:r>
      <w:proofErr w:type="spellStart"/>
      <w:r w:rsidRPr="0071785F">
        <w:rPr>
          <w:rFonts w:asciiTheme="majorBidi" w:hAnsiTheme="majorBidi" w:cstheme="majorBidi"/>
          <w:sz w:val="24"/>
          <w:szCs w:val="24"/>
        </w:rPr>
        <w:t>Worku</w:t>
      </w:r>
      <w:proofErr w:type="spellEnd"/>
      <w:r w:rsidRPr="0071785F">
        <w:rPr>
          <w:rFonts w:asciiTheme="majorBidi" w:hAnsiTheme="majorBidi" w:cstheme="majorBidi"/>
          <w:sz w:val="24"/>
          <w:szCs w:val="24"/>
        </w:rPr>
        <w:t>, 2025; Song et al., 2025).</w:t>
      </w:r>
      <w:r w:rsidRPr="0071785F">
        <w:rPr>
          <w:rFonts w:asciiTheme="majorBidi" w:hAnsiTheme="majorBidi" w:cstheme="majorBidi"/>
          <w:sz w:val="24"/>
          <w:szCs w:val="24"/>
        </w:rPr>
        <w:br/>
      </w:r>
    </w:p>
    <w:p w14:paraId="7E2343E1" w14:textId="77777777" w:rsidR="00C8520B" w:rsidRPr="004C2022" w:rsidRDefault="00000000">
      <w:pPr>
        <w:numPr>
          <w:ilvl w:val="0"/>
          <w:numId w:val="40"/>
        </w:numPr>
        <w:spacing w:before="240" w:after="240"/>
        <w:rPr>
          <w:rFonts w:asciiTheme="majorBidi" w:hAnsiTheme="majorBidi" w:cstheme="majorBidi"/>
          <w:b/>
          <w:bCs/>
          <w:sz w:val="24"/>
          <w:szCs w:val="24"/>
        </w:rPr>
      </w:pPr>
      <w:r w:rsidRPr="004C2022">
        <w:rPr>
          <w:rFonts w:asciiTheme="majorBidi" w:hAnsiTheme="majorBidi" w:cstheme="majorBidi"/>
          <w:b/>
          <w:bCs/>
          <w:sz w:val="24"/>
          <w:szCs w:val="24"/>
        </w:rPr>
        <w:t>Section F: Control Variables</w:t>
      </w:r>
    </w:p>
    <w:p w14:paraId="17182366" w14:textId="1412BD0D" w:rsidR="004C2022" w:rsidRPr="0071785F" w:rsidRDefault="00000000" w:rsidP="004C2022">
      <w:pPr>
        <w:spacing w:before="240" w:after="240"/>
        <w:ind w:left="720"/>
        <w:rPr>
          <w:rFonts w:asciiTheme="majorBidi" w:hAnsiTheme="majorBidi" w:cstheme="majorBidi"/>
          <w:sz w:val="24"/>
          <w:szCs w:val="24"/>
        </w:rPr>
      </w:pPr>
      <w:r w:rsidRPr="0071785F">
        <w:rPr>
          <w:rFonts w:asciiTheme="majorBidi" w:hAnsiTheme="majorBidi" w:cstheme="majorBidi"/>
          <w:sz w:val="24"/>
          <w:szCs w:val="24"/>
        </w:rPr>
        <w:t xml:space="preserve">Includes firm-level characteristics (e.g., size, age, country, P maturity) used as statistical controls in regression and SEM analyses. Controlling for these variables prevents bias and ensures that observed relationships </w:t>
      </w:r>
      <w:proofErr w:type="gramStart"/>
      <w:r w:rsidRPr="0071785F">
        <w:rPr>
          <w:rFonts w:asciiTheme="majorBidi" w:hAnsiTheme="majorBidi" w:cstheme="majorBidi"/>
          <w:sz w:val="24"/>
          <w:szCs w:val="24"/>
        </w:rPr>
        <w:t>between  adoption</w:t>
      </w:r>
      <w:proofErr w:type="gramEnd"/>
      <w:r w:rsidRPr="0071785F">
        <w:rPr>
          <w:rFonts w:asciiTheme="majorBidi" w:hAnsiTheme="majorBidi" w:cstheme="majorBidi"/>
          <w:sz w:val="24"/>
          <w:szCs w:val="24"/>
        </w:rPr>
        <w:t xml:space="preserve"> and performance are not confounded by structural or market factors (Li et al., 2020; Waqar et al., 2023).</w:t>
      </w:r>
    </w:p>
    <w:p w14:paraId="776BFCE3" w14:textId="367572C5" w:rsidR="00C8520B" w:rsidRPr="004C2022"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41" w:name="_bpslxyzeoa4z" w:colFirst="0" w:colLast="0"/>
      <w:bookmarkEnd w:id="41"/>
      <w:r w:rsidRPr="004C2022">
        <w:rPr>
          <w:rFonts w:asciiTheme="majorBidi" w:hAnsiTheme="majorBidi" w:cstheme="majorBidi"/>
          <w:b/>
          <w:bCs/>
          <w:sz w:val="28"/>
          <w:szCs w:val="28"/>
        </w:rPr>
        <w:t xml:space="preserve">Section </w:t>
      </w:r>
      <w:r w:rsidR="004C2022" w:rsidRPr="004C2022">
        <w:rPr>
          <w:rFonts w:asciiTheme="majorBidi" w:hAnsiTheme="majorBidi" w:cstheme="majorBidi"/>
          <w:b/>
          <w:bCs/>
          <w:sz w:val="28"/>
          <w:szCs w:val="28"/>
        </w:rPr>
        <w:t>G</w:t>
      </w:r>
      <w:r w:rsidRPr="004C2022">
        <w:rPr>
          <w:rFonts w:asciiTheme="majorBidi" w:hAnsiTheme="majorBidi" w:cstheme="majorBidi"/>
          <w:b/>
          <w:bCs/>
          <w:sz w:val="28"/>
          <w:szCs w:val="28"/>
        </w:rPr>
        <w:t>: Organizational Profile</w:t>
      </w:r>
    </w:p>
    <w:p w14:paraId="04D1831C" w14:textId="77777777" w:rsidR="00C8520B" w:rsidRPr="0071785F" w:rsidRDefault="00000000">
      <w:pPr>
        <w:numPr>
          <w:ilvl w:val="0"/>
          <w:numId w:val="34"/>
        </w:numPr>
        <w:spacing w:before="240"/>
        <w:rPr>
          <w:rFonts w:asciiTheme="majorBidi" w:hAnsiTheme="majorBidi" w:cstheme="majorBidi"/>
          <w:sz w:val="24"/>
          <w:szCs w:val="24"/>
        </w:rPr>
      </w:pPr>
      <w:r w:rsidRPr="0071785F">
        <w:rPr>
          <w:rFonts w:asciiTheme="majorBidi" w:hAnsiTheme="majorBidi" w:cstheme="majorBidi"/>
          <w:sz w:val="24"/>
          <w:szCs w:val="24"/>
        </w:rPr>
        <w:t>Country of headquarters (Saudi Arabia / UAE / Kuwait / Qatar / Oman / Bahrain)</w:t>
      </w:r>
    </w:p>
    <w:p w14:paraId="749F7959"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Primary business segment (Upstream / Midstream / Downstream)</w:t>
      </w:r>
    </w:p>
    <w:p w14:paraId="24FF43AB"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Number of employees</w:t>
      </w:r>
    </w:p>
    <w:p w14:paraId="6FD3C62B"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Annual revenue (SAR)</w:t>
      </w:r>
    </w:p>
    <w:p w14:paraId="2A6651AA"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Firm age (years since establishment)</w:t>
      </w:r>
    </w:p>
    <w:p w14:paraId="3257ABEB"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Current P system (SAP / Oracle / Custom / None)</w:t>
      </w:r>
    </w:p>
    <w:p w14:paraId="686B22F2" w14:textId="77777777" w:rsidR="00C8520B" w:rsidRPr="0071785F" w:rsidRDefault="00000000">
      <w:pPr>
        <w:numPr>
          <w:ilvl w:val="0"/>
          <w:numId w:val="34"/>
        </w:numPr>
        <w:rPr>
          <w:rFonts w:asciiTheme="majorBidi" w:hAnsiTheme="majorBidi" w:cstheme="majorBidi"/>
          <w:sz w:val="24"/>
          <w:szCs w:val="24"/>
        </w:rPr>
      </w:pPr>
      <w:r w:rsidRPr="0071785F">
        <w:rPr>
          <w:rFonts w:asciiTheme="majorBidi" w:hAnsiTheme="majorBidi" w:cstheme="majorBidi"/>
          <w:sz w:val="24"/>
          <w:szCs w:val="24"/>
        </w:rPr>
        <w:t>Does your organization currently use any machine learning system in sales forecasting? (Yes / No)</w:t>
      </w:r>
    </w:p>
    <w:p w14:paraId="7128902D" w14:textId="77777777" w:rsidR="00C8520B" w:rsidRPr="0071785F" w:rsidRDefault="00000000">
      <w:pPr>
        <w:numPr>
          <w:ilvl w:val="0"/>
          <w:numId w:val="34"/>
        </w:numPr>
        <w:spacing w:after="240"/>
        <w:rPr>
          <w:rFonts w:asciiTheme="majorBidi" w:hAnsiTheme="majorBidi" w:cstheme="majorBidi"/>
          <w:sz w:val="24"/>
          <w:szCs w:val="24"/>
        </w:rPr>
      </w:pPr>
      <w:r w:rsidRPr="0071785F">
        <w:rPr>
          <w:rFonts w:asciiTheme="majorBidi" w:hAnsiTheme="majorBidi" w:cstheme="majorBidi"/>
          <w:sz w:val="24"/>
          <w:szCs w:val="24"/>
        </w:rPr>
        <w:t>If yes, which platform(s) are used? (Open response)</w:t>
      </w:r>
    </w:p>
    <w:p w14:paraId="3C300EA0" w14:textId="24E05CA8" w:rsidR="00C8520B" w:rsidRPr="004C2022"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42" w:name="_i2ac9w2mxza" w:colFirst="0" w:colLast="0"/>
      <w:bookmarkEnd w:id="42"/>
      <w:r w:rsidRPr="004C2022">
        <w:rPr>
          <w:rFonts w:asciiTheme="majorBidi" w:hAnsiTheme="majorBidi" w:cstheme="majorBidi"/>
          <w:b/>
          <w:bCs/>
          <w:sz w:val="28"/>
          <w:szCs w:val="28"/>
        </w:rPr>
        <w:t xml:space="preserve">Section </w:t>
      </w:r>
      <w:r w:rsidR="004C2022" w:rsidRPr="004C2022">
        <w:rPr>
          <w:rFonts w:asciiTheme="majorBidi" w:hAnsiTheme="majorBidi" w:cstheme="majorBidi"/>
          <w:b/>
          <w:bCs/>
          <w:sz w:val="28"/>
          <w:szCs w:val="28"/>
        </w:rPr>
        <w:t>H</w:t>
      </w:r>
      <w:r w:rsidRPr="004C2022">
        <w:rPr>
          <w:rFonts w:asciiTheme="majorBidi" w:hAnsiTheme="majorBidi" w:cstheme="majorBidi"/>
          <w:b/>
          <w:bCs/>
          <w:sz w:val="28"/>
          <w:szCs w:val="28"/>
        </w:rPr>
        <w:t xml:space="preserve">: Antecedents </w:t>
      </w:r>
      <w:proofErr w:type="gramStart"/>
      <w:r w:rsidRPr="004C2022">
        <w:rPr>
          <w:rFonts w:asciiTheme="majorBidi" w:hAnsiTheme="majorBidi" w:cstheme="majorBidi"/>
          <w:b/>
          <w:bCs/>
          <w:sz w:val="28"/>
          <w:szCs w:val="28"/>
        </w:rPr>
        <w:t>of  Adoption</w:t>
      </w:r>
      <w:proofErr w:type="gramEnd"/>
      <w:r w:rsidRPr="004C2022">
        <w:rPr>
          <w:rFonts w:asciiTheme="majorBidi" w:hAnsiTheme="majorBidi" w:cstheme="majorBidi"/>
          <w:b/>
          <w:bCs/>
          <w:sz w:val="28"/>
          <w:szCs w:val="28"/>
        </w:rPr>
        <w:t xml:space="preserve"> (measured on a 7-point Likert Scale)</w:t>
      </w:r>
    </w:p>
    <w:p w14:paraId="1AADE8C5"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43" w:name="_9oms5g7n91vd" w:colFirst="0" w:colLast="0"/>
      <w:bookmarkEnd w:id="43"/>
      <w:r w:rsidRPr="0071785F">
        <w:rPr>
          <w:rFonts w:asciiTheme="majorBidi" w:hAnsiTheme="majorBidi" w:cstheme="majorBidi"/>
          <w:color w:val="000000"/>
          <w:sz w:val="24"/>
          <w:szCs w:val="24"/>
        </w:rPr>
        <w:lastRenderedPageBreak/>
        <w:t>1. Leadership Commitment</w:t>
      </w:r>
    </w:p>
    <w:p w14:paraId="1CC77C79"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Senior management strongly supports the use of forecasting and planning.</w:t>
      </w:r>
      <w:r w:rsidRPr="0071785F">
        <w:rPr>
          <w:rFonts w:asciiTheme="majorBidi" w:hAnsiTheme="majorBidi" w:cstheme="majorBidi"/>
          <w:sz w:val="24"/>
          <w:szCs w:val="24"/>
        </w:rPr>
        <w:br/>
        <w:t xml:space="preserve"> 2 – Leadership communicates a clear vision </w:t>
      </w:r>
      <w:proofErr w:type="gramStart"/>
      <w:r w:rsidRPr="0071785F">
        <w:rPr>
          <w:rFonts w:asciiTheme="majorBidi" w:hAnsiTheme="majorBidi" w:cstheme="majorBidi"/>
          <w:sz w:val="24"/>
          <w:szCs w:val="24"/>
        </w:rPr>
        <w:t>for  adoption</w:t>
      </w:r>
      <w:proofErr w:type="gramEnd"/>
      <w:r w:rsidRPr="0071785F">
        <w:rPr>
          <w:rFonts w:asciiTheme="majorBidi" w:hAnsiTheme="majorBidi" w:cstheme="majorBidi"/>
          <w:sz w:val="24"/>
          <w:szCs w:val="24"/>
        </w:rPr>
        <w:t xml:space="preserve"> across departments.</w:t>
      </w:r>
      <w:r w:rsidRPr="0071785F">
        <w:rPr>
          <w:rFonts w:asciiTheme="majorBidi" w:hAnsiTheme="majorBidi" w:cstheme="majorBidi"/>
          <w:sz w:val="24"/>
          <w:szCs w:val="24"/>
        </w:rPr>
        <w:br/>
        <w:t xml:space="preserve"> 3 – Adequate resources (budget, staff, training) are allocated to -based projects.</w:t>
      </w:r>
      <w:r w:rsidRPr="0071785F">
        <w:rPr>
          <w:rFonts w:asciiTheme="majorBidi" w:hAnsiTheme="majorBidi" w:cstheme="majorBidi"/>
          <w:sz w:val="24"/>
          <w:szCs w:val="24"/>
        </w:rPr>
        <w:br/>
        <w:t xml:space="preserve"> 4 – Top managers actively participate in reviewing  forecasting outputs.</w:t>
      </w:r>
      <w:r w:rsidRPr="0071785F">
        <w:rPr>
          <w:rFonts w:asciiTheme="majorBidi" w:hAnsiTheme="majorBidi" w:cstheme="majorBidi"/>
          <w:sz w:val="24"/>
          <w:szCs w:val="24"/>
        </w:rPr>
        <w:br/>
        <w:t xml:space="preserve"> 5 – Leadership encourages experimentation and learning with new digital tools.</w:t>
      </w:r>
    </w:p>
    <w:p w14:paraId="2BFEFC8F"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44" w:name="_z8pag96c4dec" w:colFirst="0" w:colLast="0"/>
      <w:bookmarkEnd w:id="44"/>
      <w:r w:rsidRPr="0071785F">
        <w:rPr>
          <w:rFonts w:asciiTheme="majorBidi" w:hAnsiTheme="majorBidi" w:cstheme="majorBidi"/>
          <w:color w:val="000000"/>
          <w:sz w:val="24"/>
          <w:szCs w:val="24"/>
        </w:rPr>
        <w:t xml:space="preserve">2. Perceived Usefulness </w:t>
      </w:r>
    </w:p>
    <w:p w14:paraId="702BC22D"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Using -based forecasting enhances my ability to make accurate sales decisions.</w:t>
      </w:r>
      <w:r w:rsidRPr="0071785F">
        <w:rPr>
          <w:rFonts w:asciiTheme="majorBidi" w:hAnsiTheme="majorBidi" w:cstheme="majorBidi"/>
          <w:sz w:val="24"/>
          <w:szCs w:val="24"/>
        </w:rPr>
        <w:br/>
        <w:t xml:space="preserve"> 2 </w:t>
      </w:r>
      <w:proofErr w:type="gramStart"/>
      <w:r w:rsidRPr="0071785F">
        <w:rPr>
          <w:rFonts w:asciiTheme="majorBidi" w:hAnsiTheme="majorBidi" w:cstheme="majorBidi"/>
          <w:sz w:val="24"/>
          <w:szCs w:val="24"/>
        </w:rPr>
        <w:t>–  forecasting</w:t>
      </w:r>
      <w:proofErr w:type="gramEnd"/>
      <w:r w:rsidRPr="0071785F">
        <w:rPr>
          <w:rFonts w:asciiTheme="majorBidi" w:hAnsiTheme="majorBidi" w:cstheme="majorBidi"/>
          <w:sz w:val="24"/>
          <w:szCs w:val="24"/>
        </w:rPr>
        <w:t xml:space="preserve"> provides insights that would otherwise be difficult to obtain.</w:t>
      </w:r>
      <w:r w:rsidRPr="0071785F">
        <w:rPr>
          <w:rFonts w:asciiTheme="majorBidi" w:hAnsiTheme="majorBidi" w:cstheme="majorBidi"/>
          <w:sz w:val="24"/>
          <w:szCs w:val="24"/>
        </w:rPr>
        <w:br/>
        <w:t xml:space="preserve"> 3 –  tools improve the speed of forecasting and decision-making processes.</w:t>
      </w:r>
      <w:r w:rsidRPr="0071785F">
        <w:rPr>
          <w:rFonts w:asciiTheme="majorBidi" w:hAnsiTheme="majorBidi" w:cstheme="majorBidi"/>
          <w:sz w:val="24"/>
          <w:szCs w:val="24"/>
        </w:rPr>
        <w:br/>
        <w:t xml:space="preserve"> 4 –  adoption improves the coordination between sales and production planning.</w:t>
      </w:r>
      <w:r w:rsidRPr="0071785F">
        <w:rPr>
          <w:rFonts w:asciiTheme="majorBidi" w:hAnsiTheme="majorBidi" w:cstheme="majorBidi"/>
          <w:sz w:val="24"/>
          <w:szCs w:val="24"/>
        </w:rPr>
        <w:br/>
        <w:t xml:space="preserve"> 5 – Overall, -driven forecasting contributes positively to organizational performance.</w:t>
      </w:r>
    </w:p>
    <w:p w14:paraId="59C53C72"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45" w:name="_ffqexlsrx9kt" w:colFirst="0" w:colLast="0"/>
      <w:bookmarkEnd w:id="45"/>
      <w:r w:rsidRPr="0071785F">
        <w:rPr>
          <w:rFonts w:asciiTheme="majorBidi" w:hAnsiTheme="majorBidi" w:cstheme="majorBidi"/>
          <w:color w:val="000000"/>
          <w:sz w:val="24"/>
          <w:szCs w:val="24"/>
        </w:rPr>
        <w:t xml:space="preserve">3. Perceived Ease of Use </w:t>
      </w:r>
    </w:p>
    <w:p w14:paraId="7EACC43E"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Learning to use </w:t>
      </w:r>
      <w:proofErr w:type="gramStart"/>
      <w:r w:rsidRPr="0071785F">
        <w:rPr>
          <w:rFonts w:asciiTheme="majorBidi" w:hAnsiTheme="majorBidi" w:cstheme="majorBidi"/>
          <w:sz w:val="24"/>
          <w:szCs w:val="24"/>
        </w:rPr>
        <w:t>the  forecasting</w:t>
      </w:r>
      <w:proofErr w:type="gramEnd"/>
      <w:r w:rsidRPr="0071785F">
        <w:rPr>
          <w:rFonts w:asciiTheme="majorBidi" w:hAnsiTheme="majorBidi" w:cstheme="majorBidi"/>
          <w:sz w:val="24"/>
          <w:szCs w:val="24"/>
        </w:rPr>
        <w:t xml:space="preserve"> system is easy for our staff.</w:t>
      </w:r>
      <w:r w:rsidRPr="0071785F">
        <w:rPr>
          <w:rFonts w:asciiTheme="majorBidi" w:hAnsiTheme="majorBidi" w:cstheme="majorBidi"/>
          <w:sz w:val="24"/>
          <w:szCs w:val="24"/>
        </w:rPr>
        <w:br/>
        <w:t xml:space="preserve"> 2 – The  tools are user-friendly and intuitive.</w:t>
      </w:r>
      <w:r w:rsidRPr="0071785F">
        <w:rPr>
          <w:rFonts w:asciiTheme="majorBidi" w:hAnsiTheme="majorBidi" w:cstheme="majorBidi"/>
          <w:sz w:val="24"/>
          <w:szCs w:val="24"/>
        </w:rPr>
        <w:br/>
        <w:t xml:space="preserve"> 3 – Interacting with the  forecasting platform does not require much effort.</w:t>
      </w:r>
      <w:r w:rsidRPr="0071785F">
        <w:rPr>
          <w:rFonts w:asciiTheme="majorBidi" w:hAnsiTheme="majorBidi" w:cstheme="majorBidi"/>
          <w:sz w:val="24"/>
          <w:szCs w:val="24"/>
        </w:rPr>
        <w:br/>
        <w:t xml:space="preserve"> 4 – We can easily integrate -generated forecasts into our existing reporting tools.</w:t>
      </w:r>
    </w:p>
    <w:p w14:paraId="44F16EC4"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46" w:name="_dmtbaf6h8x4i" w:colFirst="0" w:colLast="0"/>
      <w:bookmarkEnd w:id="46"/>
      <w:r w:rsidRPr="0071785F">
        <w:rPr>
          <w:rFonts w:asciiTheme="majorBidi" w:hAnsiTheme="majorBidi" w:cstheme="majorBidi"/>
          <w:color w:val="000000"/>
          <w:sz w:val="24"/>
          <w:szCs w:val="24"/>
        </w:rPr>
        <w:t>4. Data Quality and System Compatibility</w:t>
      </w:r>
    </w:p>
    <w:p w14:paraId="7D3332EF"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Our data systems provide timely and accurate </w:t>
      </w:r>
      <w:proofErr w:type="spellStart"/>
      <w:r w:rsidRPr="0071785F">
        <w:rPr>
          <w:rFonts w:asciiTheme="majorBidi" w:hAnsiTheme="majorBidi" w:cstheme="majorBidi"/>
          <w:sz w:val="24"/>
          <w:szCs w:val="24"/>
        </w:rPr>
        <w:t>ints</w:t>
      </w:r>
      <w:proofErr w:type="spellEnd"/>
      <w:r w:rsidRPr="0071785F">
        <w:rPr>
          <w:rFonts w:asciiTheme="majorBidi" w:hAnsiTheme="majorBidi" w:cstheme="majorBidi"/>
          <w:sz w:val="24"/>
          <w:szCs w:val="24"/>
        </w:rPr>
        <w:t xml:space="preserve"> </w:t>
      </w:r>
      <w:proofErr w:type="gramStart"/>
      <w:r w:rsidRPr="0071785F">
        <w:rPr>
          <w:rFonts w:asciiTheme="majorBidi" w:hAnsiTheme="majorBidi" w:cstheme="majorBidi"/>
          <w:sz w:val="24"/>
          <w:szCs w:val="24"/>
        </w:rPr>
        <w:t>for  forecasting</w:t>
      </w:r>
      <w:proofErr w:type="gramEnd"/>
      <w:r w:rsidRPr="0071785F">
        <w:rPr>
          <w:rFonts w:asciiTheme="majorBidi" w:hAnsiTheme="majorBidi" w:cstheme="majorBidi"/>
          <w:sz w:val="24"/>
          <w:szCs w:val="24"/>
        </w:rPr>
        <w:t>.</w:t>
      </w:r>
      <w:r w:rsidRPr="0071785F">
        <w:rPr>
          <w:rFonts w:asciiTheme="majorBidi" w:hAnsiTheme="majorBidi" w:cstheme="majorBidi"/>
          <w:sz w:val="24"/>
          <w:szCs w:val="24"/>
        </w:rPr>
        <w:br/>
        <w:t xml:space="preserve"> 2 – Data from different departments (sales, operations, logistics) are well integrated.</w:t>
      </w:r>
      <w:r w:rsidRPr="0071785F">
        <w:rPr>
          <w:rFonts w:asciiTheme="majorBidi" w:hAnsiTheme="majorBidi" w:cstheme="majorBidi"/>
          <w:sz w:val="24"/>
          <w:szCs w:val="24"/>
        </w:rPr>
        <w:br/>
        <w:t xml:space="preserve"> 3 – We have a reliable data-cleaning and validation process before the model runs.</w:t>
      </w:r>
      <w:r w:rsidRPr="0071785F">
        <w:rPr>
          <w:rFonts w:asciiTheme="majorBidi" w:hAnsiTheme="majorBidi" w:cstheme="majorBidi"/>
          <w:sz w:val="24"/>
          <w:szCs w:val="24"/>
        </w:rPr>
        <w:br/>
        <w:t xml:space="preserve"> 4 –  forecasting tools are compatible with our existing IT systems and P platforms.</w:t>
      </w:r>
      <w:r w:rsidRPr="0071785F">
        <w:rPr>
          <w:rFonts w:asciiTheme="majorBidi" w:hAnsiTheme="majorBidi" w:cstheme="majorBidi"/>
          <w:sz w:val="24"/>
          <w:szCs w:val="24"/>
        </w:rPr>
        <w:br/>
        <w:t xml:space="preserve"> 5 – The  models can access historical and real-time data seamlessly.</w:t>
      </w:r>
    </w:p>
    <w:p w14:paraId="303603F2"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47" w:name="_3zwuetr1sj41" w:colFirst="0" w:colLast="0"/>
      <w:bookmarkEnd w:id="47"/>
      <w:r w:rsidRPr="0071785F">
        <w:rPr>
          <w:rFonts w:asciiTheme="majorBidi" w:hAnsiTheme="majorBidi" w:cstheme="majorBidi"/>
          <w:color w:val="000000"/>
          <w:sz w:val="24"/>
          <w:szCs w:val="24"/>
        </w:rPr>
        <w:t>5. Competitive Pressure</w:t>
      </w:r>
    </w:p>
    <w:p w14:paraId="23421DFA" w14:textId="77777777" w:rsidR="00C8520B"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Our competitors are increasingly adopting decision-making.</w:t>
      </w:r>
      <w:r w:rsidRPr="0071785F">
        <w:rPr>
          <w:rFonts w:asciiTheme="majorBidi" w:hAnsiTheme="majorBidi" w:cstheme="majorBidi"/>
          <w:sz w:val="24"/>
          <w:szCs w:val="24"/>
        </w:rPr>
        <w:br/>
        <w:t xml:space="preserve"> 2 – Customers expect faster and more accurate sales forecasts.</w:t>
      </w:r>
      <w:r w:rsidRPr="0071785F">
        <w:rPr>
          <w:rFonts w:asciiTheme="majorBidi" w:hAnsiTheme="majorBidi" w:cstheme="majorBidi"/>
          <w:sz w:val="24"/>
          <w:szCs w:val="24"/>
        </w:rPr>
        <w:br/>
        <w:t xml:space="preserve"> 3 – We feel pressure to </w:t>
      </w:r>
      <w:proofErr w:type="gramStart"/>
      <w:r w:rsidRPr="0071785F">
        <w:rPr>
          <w:rFonts w:asciiTheme="majorBidi" w:hAnsiTheme="majorBidi" w:cstheme="majorBidi"/>
          <w:sz w:val="24"/>
          <w:szCs w:val="24"/>
        </w:rPr>
        <w:t>implement  to</w:t>
      </w:r>
      <w:proofErr w:type="gramEnd"/>
      <w:r w:rsidRPr="0071785F">
        <w:rPr>
          <w:rFonts w:asciiTheme="majorBidi" w:hAnsiTheme="majorBidi" w:cstheme="majorBidi"/>
          <w:sz w:val="24"/>
          <w:szCs w:val="24"/>
        </w:rPr>
        <w:t xml:space="preserve"> remain competitive in the market.</w:t>
      </w:r>
      <w:r w:rsidRPr="0071785F">
        <w:rPr>
          <w:rFonts w:asciiTheme="majorBidi" w:hAnsiTheme="majorBidi" w:cstheme="majorBidi"/>
          <w:sz w:val="24"/>
          <w:szCs w:val="24"/>
        </w:rPr>
        <w:br/>
        <w:t xml:space="preserve"> 4 – External stakeholders (partners, regulators, clients) encourage digital innovation.</w:t>
      </w:r>
    </w:p>
    <w:p w14:paraId="67E19488" w14:textId="77777777" w:rsidR="004C2022" w:rsidRDefault="004C2022">
      <w:pPr>
        <w:spacing w:before="240" w:after="240"/>
        <w:rPr>
          <w:rFonts w:asciiTheme="majorBidi" w:hAnsiTheme="majorBidi" w:cstheme="majorBidi"/>
          <w:sz w:val="24"/>
          <w:szCs w:val="24"/>
        </w:rPr>
      </w:pPr>
    </w:p>
    <w:p w14:paraId="6BF85DCC" w14:textId="77777777" w:rsidR="004C2022" w:rsidRPr="0071785F" w:rsidRDefault="004C2022">
      <w:pPr>
        <w:spacing w:before="240" w:after="240"/>
        <w:rPr>
          <w:rFonts w:asciiTheme="majorBidi" w:hAnsiTheme="majorBidi" w:cstheme="majorBidi"/>
          <w:sz w:val="24"/>
          <w:szCs w:val="24"/>
        </w:rPr>
      </w:pPr>
    </w:p>
    <w:p w14:paraId="3A84C91A" w14:textId="77B0CA8F" w:rsidR="00C8520B"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48" w:name="_bvtgycociwtu" w:colFirst="0" w:colLast="0"/>
      <w:bookmarkEnd w:id="48"/>
      <w:r w:rsidRPr="004C2022">
        <w:rPr>
          <w:rFonts w:asciiTheme="majorBidi" w:hAnsiTheme="majorBidi" w:cstheme="majorBidi"/>
          <w:b/>
          <w:bCs/>
          <w:sz w:val="28"/>
          <w:szCs w:val="28"/>
        </w:rPr>
        <w:lastRenderedPageBreak/>
        <w:t xml:space="preserve">Section </w:t>
      </w:r>
      <w:r w:rsidR="004C2022" w:rsidRPr="004C2022">
        <w:rPr>
          <w:rFonts w:asciiTheme="majorBidi" w:hAnsiTheme="majorBidi" w:cstheme="majorBidi"/>
          <w:b/>
          <w:bCs/>
          <w:sz w:val="28"/>
          <w:szCs w:val="28"/>
        </w:rPr>
        <w:t>I</w:t>
      </w:r>
      <w:r w:rsidRPr="004C2022">
        <w:rPr>
          <w:rFonts w:asciiTheme="majorBidi" w:hAnsiTheme="majorBidi" w:cstheme="majorBidi"/>
          <w:b/>
          <w:bCs/>
          <w:sz w:val="28"/>
          <w:szCs w:val="28"/>
        </w:rPr>
        <w:t>:  Forecasting Adoption &amp; Usage (measured on a 7-point Likert Scale)</w:t>
      </w:r>
    </w:p>
    <w:p w14:paraId="65E34CB4" w14:textId="77777777" w:rsidR="004C2022" w:rsidRPr="004C2022" w:rsidRDefault="004C2022" w:rsidP="004C2022"/>
    <w:p w14:paraId="1323B6A7" w14:textId="0AFBFE95" w:rsidR="00C8520B" w:rsidRPr="0071785F" w:rsidRDefault="00000000">
      <w:pPr>
        <w:pStyle w:val="Heading3"/>
        <w:keepNext w:val="0"/>
        <w:keepLines w:val="0"/>
        <w:spacing w:before="280"/>
        <w:rPr>
          <w:rFonts w:asciiTheme="majorBidi" w:hAnsiTheme="majorBidi" w:cstheme="majorBidi"/>
          <w:color w:val="000000"/>
          <w:sz w:val="24"/>
          <w:szCs w:val="24"/>
        </w:rPr>
      </w:pPr>
      <w:bookmarkStart w:id="49" w:name="_z8t6zlb74dyp" w:colFirst="0" w:colLast="0"/>
      <w:bookmarkEnd w:id="49"/>
      <w:r w:rsidRPr="0071785F">
        <w:rPr>
          <w:rFonts w:asciiTheme="majorBidi" w:hAnsiTheme="majorBidi" w:cstheme="majorBidi"/>
          <w:color w:val="000000"/>
          <w:sz w:val="24"/>
          <w:szCs w:val="24"/>
        </w:rPr>
        <w:t xml:space="preserve">1. Level </w:t>
      </w:r>
      <w:r w:rsidR="007E7712" w:rsidRPr="0071785F">
        <w:rPr>
          <w:rFonts w:asciiTheme="majorBidi" w:hAnsiTheme="majorBidi" w:cstheme="majorBidi"/>
          <w:color w:val="000000"/>
          <w:sz w:val="24"/>
          <w:szCs w:val="24"/>
        </w:rPr>
        <w:t>of Adoption</w:t>
      </w:r>
    </w:p>
    <w:p w14:paraId="5C22CDBA" w14:textId="6EBDD471"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Our forecasting process relies primarily </w:t>
      </w:r>
      <w:r w:rsidR="00915E3C" w:rsidRPr="0071785F">
        <w:rPr>
          <w:rFonts w:asciiTheme="majorBidi" w:hAnsiTheme="majorBidi" w:cstheme="majorBidi"/>
          <w:sz w:val="24"/>
          <w:szCs w:val="24"/>
        </w:rPr>
        <w:t>on algorithms</w:t>
      </w:r>
      <w:r w:rsidRPr="0071785F">
        <w:rPr>
          <w:rFonts w:asciiTheme="majorBidi" w:hAnsiTheme="majorBidi" w:cstheme="majorBidi"/>
          <w:sz w:val="24"/>
          <w:szCs w:val="24"/>
        </w:rPr>
        <w:t xml:space="preserve"> rather than manual methods.</w:t>
      </w:r>
      <w:r w:rsidRPr="0071785F">
        <w:rPr>
          <w:rFonts w:asciiTheme="majorBidi" w:hAnsiTheme="majorBidi" w:cstheme="majorBidi"/>
          <w:sz w:val="24"/>
          <w:szCs w:val="24"/>
        </w:rPr>
        <w:br/>
        <w:t xml:space="preserve"> 2 – -generated forecasts are integrated into our regular planning meetings.</w:t>
      </w:r>
      <w:r w:rsidRPr="0071785F">
        <w:rPr>
          <w:rFonts w:asciiTheme="majorBidi" w:hAnsiTheme="majorBidi" w:cstheme="majorBidi"/>
          <w:sz w:val="24"/>
          <w:szCs w:val="24"/>
        </w:rPr>
        <w:br/>
        <w:t xml:space="preserve"> 3 – We have automated data collection and model training processes.</w:t>
      </w:r>
      <w:r w:rsidRPr="0071785F">
        <w:rPr>
          <w:rFonts w:asciiTheme="majorBidi" w:hAnsiTheme="majorBidi" w:cstheme="majorBidi"/>
          <w:sz w:val="24"/>
          <w:szCs w:val="24"/>
        </w:rPr>
        <w:br/>
        <w:t xml:space="preserve"> 4 – Forecasting models are regularly updated using new data and techniques.</w:t>
      </w:r>
      <w:r w:rsidRPr="0071785F">
        <w:rPr>
          <w:rFonts w:asciiTheme="majorBidi" w:hAnsiTheme="majorBidi" w:cstheme="majorBidi"/>
          <w:sz w:val="24"/>
          <w:szCs w:val="24"/>
        </w:rPr>
        <w:br/>
        <w:t xml:space="preserve"> 5 – Our organization continuously evaluates the performance </w:t>
      </w:r>
      <w:proofErr w:type="gramStart"/>
      <w:r w:rsidRPr="0071785F">
        <w:rPr>
          <w:rFonts w:asciiTheme="majorBidi" w:hAnsiTheme="majorBidi" w:cstheme="majorBidi"/>
          <w:sz w:val="24"/>
          <w:szCs w:val="24"/>
        </w:rPr>
        <w:t>of  forecasting</w:t>
      </w:r>
      <w:proofErr w:type="gramEnd"/>
      <w:r w:rsidRPr="0071785F">
        <w:rPr>
          <w:rFonts w:asciiTheme="majorBidi" w:hAnsiTheme="majorBidi" w:cstheme="majorBidi"/>
          <w:sz w:val="24"/>
          <w:szCs w:val="24"/>
        </w:rPr>
        <w:t xml:space="preserve"> tools.</w:t>
      </w:r>
    </w:p>
    <w:p w14:paraId="3E3B4717"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50" w:name="_orvc8pve11o2" w:colFirst="0" w:colLast="0"/>
      <w:bookmarkEnd w:id="50"/>
      <w:r w:rsidRPr="0071785F">
        <w:rPr>
          <w:rFonts w:asciiTheme="majorBidi" w:hAnsiTheme="majorBidi" w:cstheme="majorBidi"/>
          <w:color w:val="000000"/>
          <w:sz w:val="24"/>
          <w:szCs w:val="24"/>
        </w:rPr>
        <w:t>2. Employee Readiness and Training</w:t>
      </w:r>
    </w:p>
    <w:p w14:paraId="03231420" w14:textId="26768A9C"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Employees have received sufficient training </w:t>
      </w:r>
      <w:r w:rsidR="00915E3C" w:rsidRPr="0071785F">
        <w:rPr>
          <w:rFonts w:asciiTheme="majorBidi" w:hAnsiTheme="majorBidi" w:cstheme="majorBidi"/>
          <w:sz w:val="24"/>
          <w:szCs w:val="24"/>
        </w:rPr>
        <w:t>in forecasting</w:t>
      </w:r>
      <w:r w:rsidRPr="0071785F">
        <w:rPr>
          <w:rFonts w:asciiTheme="majorBidi" w:hAnsiTheme="majorBidi" w:cstheme="majorBidi"/>
          <w:sz w:val="24"/>
          <w:szCs w:val="24"/>
        </w:rPr>
        <w:t xml:space="preserve"> tools.</w:t>
      </w:r>
      <w:r w:rsidRPr="0071785F">
        <w:rPr>
          <w:rFonts w:asciiTheme="majorBidi" w:hAnsiTheme="majorBidi" w:cstheme="majorBidi"/>
          <w:sz w:val="24"/>
          <w:szCs w:val="24"/>
        </w:rPr>
        <w:br/>
        <w:t xml:space="preserve"> 2 – Staff understand </w:t>
      </w:r>
      <w:proofErr w:type="gramStart"/>
      <w:r w:rsidRPr="0071785F">
        <w:rPr>
          <w:rFonts w:asciiTheme="majorBidi" w:hAnsiTheme="majorBidi" w:cstheme="majorBidi"/>
          <w:sz w:val="24"/>
          <w:szCs w:val="24"/>
        </w:rPr>
        <w:t>how  forecasts</w:t>
      </w:r>
      <w:proofErr w:type="gramEnd"/>
      <w:r w:rsidRPr="0071785F">
        <w:rPr>
          <w:rFonts w:asciiTheme="majorBidi" w:hAnsiTheme="majorBidi" w:cstheme="majorBidi"/>
          <w:sz w:val="24"/>
          <w:szCs w:val="24"/>
        </w:rPr>
        <w:t xml:space="preserve"> are generated and used.</w:t>
      </w:r>
      <w:r w:rsidRPr="0071785F">
        <w:rPr>
          <w:rFonts w:asciiTheme="majorBidi" w:hAnsiTheme="majorBidi" w:cstheme="majorBidi"/>
          <w:sz w:val="24"/>
          <w:szCs w:val="24"/>
        </w:rPr>
        <w:br/>
        <w:t xml:space="preserve"> 3 –  training has improved employees’ analytical skills.</w:t>
      </w:r>
      <w:r w:rsidRPr="0071785F">
        <w:rPr>
          <w:rFonts w:asciiTheme="majorBidi" w:hAnsiTheme="majorBidi" w:cstheme="majorBidi"/>
          <w:sz w:val="24"/>
          <w:szCs w:val="24"/>
        </w:rPr>
        <w:br/>
        <w:t xml:space="preserve"> 4 – There is a culture of openness to technological change in our organization.</w:t>
      </w:r>
    </w:p>
    <w:p w14:paraId="73C7D023" w14:textId="3D46FEF8" w:rsidR="00C8520B" w:rsidRPr="004C2022"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51" w:name="_4ojjl3cyq2mi" w:colFirst="0" w:colLast="0"/>
      <w:bookmarkEnd w:id="51"/>
      <w:r w:rsidRPr="004C2022">
        <w:rPr>
          <w:rFonts w:asciiTheme="majorBidi" w:hAnsiTheme="majorBidi" w:cstheme="majorBidi"/>
          <w:b/>
          <w:bCs/>
          <w:sz w:val="28"/>
          <w:szCs w:val="28"/>
        </w:rPr>
        <w:t xml:space="preserve">Section </w:t>
      </w:r>
      <w:r w:rsidR="004C2022" w:rsidRPr="004C2022">
        <w:rPr>
          <w:rFonts w:asciiTheme="majorBidi" w:hAnsiTheme="majorBidi" w:cstheme="majorBidi"/>
          <w:b/>
          <w:bCs/>
          <w:sz w:val="28"/>
          <w:szCs w:val="28"/>
        </w:rPr>
        <w:t>J</w:t>
      </w:r>
      <w:r w:rsidRPr="004C2022">
        <w:rPr>
          <w:rFonts w:asciiTheme="majorBidi" w:hAnsiTheme="majorBidi" w:cstheme="majorBidi"/>
          <w:b/>
          <w:bCs/>
          <w:sz w:val="28"/>
          <w:szCs w:val="28"/>
        </w:rPr>
        <w:t>: Forecasting Accuracy and Efficiency (measured on a 7-point Likert Scale)</w:t>
      </w:r>
    </w:p>
    <w:p w14:paraId="5388B79E"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52" w:name="_8sb55yvx2nqr" w:colFirst="0" w:colLast="0"/>
      <w:bookmarkEnd w:id="52"/>
      <w:r w:rsidRPr="0071785F">
        <w:rPr>
          <w:rFonts w:asciiTheme="majorBidi" w:hAnsiTheme="majorBidi" w:cstheme="majorBidi"/>
          <w:color w:val="000000"/>
          <w:sz w:val="24"/>
          <w:szCs w:val="24"/>
        </w:rPr>
        <w:t>1. Forecasting Accuracy (Objective and Perceived)</w:t>
      </w:r>
    </w:p>
    <w:p w14:paraId="3EF8FE57"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i/>
          <w:iCs/>
          <w:sz w:val="24"/>
          <w:szCs w:val="24"/>
        </w:rPr>
        <w:br/>
      </w:r>
      <w:r w:rsidRPr="0071785F">
        <w:rPr>
          <w:rFonts w:asciiTheme="majorBidi" w:hAnsiTheme="majorBidi" w:cstheme="majorBidi"/>
          <w:sz w:val="24"/>
          <w:szCs w:val="24"/>
        </w:rPr>
        <w:t xml:space="preserve"> 1 – AI-based forecasts are more accurate than traditional forecasts.</w:t>
      </w:r>
      <w:r w:rsidRPr="0071785F">
        <w:rPr>
          <w:rFonts w:asciiTheme="majorBidi" w:hAnsiTheme="majorBidi" w:cstheme="majorBidi"/>
          <w:sz w:val="24"/>
          <w:szCs w:val="24"/>
        </w:rPr>
        <w:br/>
        <w:t xml:space="preserve"> 2 – The Mean Absolute Percentage Error (MAPE) of our forecasts has decreased after AI implementation.</w:t>
      </w:r>
      <w:r w:rsidRPr="0071785F">
        <w:rPr>
          <w:rFonts w:asciiTheme="majorBidi" w:hAnsiTheme="majorBidi" w:cstheme="majorBidi"/>
          <w:sz w:val="24"/>
          <w:szCs w:val="24"/>
        </w:rPr>
        <w:br/>
        <w:t xml:space="preserve"> 3 – Our AI system adapts quickly to changes in market demand.</w:t>
      </w:r>
      <w:r w:rsidRPr="0071785F">
        <w:rPr>
          <w:rFonts w:asciiTheme="majorBidi" w:hAnsiTheme="majorBidi" w:cstheme="majorBidi"/>
          <w:sz w:val="24"/>
          <w:szCs w:val="24"/>
        </w:rPr>
        <w:br/>
        <w:t xml:space="preserve"> 4 – Forecast accuracy has improved over the last three years.</w:t>
      </w:r>
      <w:r w:rsidRPr="0071785F">
        <w:rPr>
          <w:rFonts w:asciiTheme="majorBidi" w:hAnsiTheme="majorBidi" w:cstheme="majorBidi"/>
          <w:sz w:val="24"/>
          <w:szCs w:val="24"/>
        </w:rPr>
        <w:br/>
        <w:t xml:space="preserve"> 5 – The forecasting process has become more data-driven and less reliant on intuition.</w:t>
      </w:r>
    </w:p>
    <w:p w14:paraId="7142368E"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53" w:name="_iig73twmr3qp" w:colFirst="0" w:colLast="0"/>
      <w:bookmarkEnd w:id="53"/>
      <w:r w:rsidRPr="0071785F">
        <w:rPr>
          <w:rFonts w:asciiTheme="majorBidi" w:hAnsiTheme="majorBidi" w:cstheme="majorBidi"/>
          <w:color w:val="000000"/>
          <w:sz w:val="24"/>
          <w:szCs w:val="24"/>
        </w:rPr>
        <w:t>2. Planning Efficiency</w:t>
      </w:r>
    </w:p>
    <w:p w14:paraId="1433D575"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 xml:space="preserve"> 1 – AI forecasts have reduced the time required to prepare sales plans.</w:t>
      </w:r>
      <w:r w:rsidRPr="0071785F">
        <w:rPr>
          <w:rFonts w:asciiTheme="majorBidi" w:hAnsiTheme="majorBidi" w:cstheme="majorBidi"/>
          <w:sz w:val="24"/>
          <w:szCs w:val="24"/>
        </w:rPr>
        <w:br/>
        <w:t xml:space="preserve"> 2 – Coordination between departments has improved due to AI insights.</w:t>
      </w:r>
      <w:r w:rsidRPr="0071785F">
        <w:rPr>
          <w:rFonts w:asciiTheme="majorBidi" w:hAnsiTheme="majorBidi" w:cstheme="majorBidi"/>
          <w:sz w:val="24"/>
          <w:szCs w:val="24"/>
        </w:rPr>
        <w:br/>
        <w:t xml:space="preserve"> 3 – AI has enhanced the consistency of demand and production planning.</w:t>
      </w:r>
      <w:r w:rsidRPr="0071785F">
        <w:rPr>
          <w:rFonts w:asciiTheme="majorBidi" w:hAnsiTheme="majorBidi" w:cstheme="majorBidi"/>
          <w:sz w:val="24"/>
          <w:szCs w:val="24"/>
        </w:rPr>
        <w:br/>
        <w:t xml:space="preserve"> 4 – Forecast updates and revisions are completed more quickly than before.</w:t>
      </w:r>
      <w:r w:rsidRPr="0071785F">
        <w:rPr>
          <w:rFonts w:asciiTheme="majorBidi" w:hAnsiTheme="majorBidi" w:cstheme="majorBidi"/>
          <w:sz w:val="24"/>
          <w:szCs w:val="24"/>
        </w:rPr>
        <w:br/>
        <w:t xml:space="preserve"> 5 – Our decision-making process is more proactive since adopting AI forecasting.</w:t>
      </w:r>
    </w:p>
    <w:p w14:paraId="2390A453" w14:textId="4F2487A9" w:rsidR="00C8520B" w:rsidRPr="004C2022"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54" w:name="_8wxq7qyda87r" w:colFirst="0" w:colLast="0"/>
      <w:bookmarkEnd w:id="54"/>
      <w:r w:rsidRPr="004C2022">
        <w:rPr>
          <w:rFonts w:asciiTheme="majorBidi" w:hAnsiTheme="majorBidi" w:cstheme="majorBidi"/>
          <w:b/>
          <w:bCs/>
          <w:sz w:val="28"/>
          <w:szCs w:val="28"/>
        </w:rPr>
        <w:lastRenderedPageBreak/>
        <w:t xml:space="preserve">Section </w:t>
      </w:r>
      <w:r w:rsidR="004C2022" w:rsidRPr="004C2022">
        <w:rPr>
          <w:rFonts w:asciiTheme="majorBidi" w:hAnsiTheme="majorBidi" w:cstheme="majorBidi"/>
          <w:b/>
          <w:bCs/>
          <w:sz w:val="28"/>
          <w:szCs w:val="28"/>
        </w:rPr>
        <w:t>K</w:t>
      </w:r>
      <w:r w:rsidRPr="004C2022">
        <w:rPr>
          <w:rFonts w:asciiTheme="majorBidi" w:hAnsiTheme="majorBidi" w:cstheme="majorBidi"/>
          <w:b/>
          <w:bCs/>
          <w:sz w:val="28"/>
          <w:szCs w:val="28"/>
        </w:rPr>
        <w:t>: Organizational Performance Outcomes</w:t>
      </w:r>
    </w:p>
    <w:p w14:paraId="7EFCCE2E"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55" w:name="_mqpa5txkyycq" w:colFirst="0" w:colLast="0"/>
      <w:bookmarkEnd w:id="55"/>
      <w:r w:rsidRPr="0071785F">
        <w:rPr>
          <w:rFonts w:asciiTheme="majorBidi" w:hAnsiTheme="majorBidi" w:cstheme="majorBidi"/>
          <w:color w:val="000000"/>
          <w:sz w:val="24"/>
          <w:szCs w:val="24"/>
        </w:rPr>
        <w:t>1. Sales Performance and Operational Efficiency</w:t>
      </w:r>
    </w:p>
    <w:p w14:paraId="437EA63C"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i/>
          <w:iCs/>
          <w:sz w:val="24"/>
          <w:szCs w:val="24"/>
        </w:rPr>
        <w:br/>
      </w:r>
      <w:r w:rsidRPr="0071785F">
        <w:rPr>
          <w:rFonts w:asciiTheme="majorBidi" w:hAnsiTheme="majorBidi" w:cstheme="majorBidi"/>
          <w:sz w:val="24"/>
          <w:szCs w:val="24"/>
        </w:rPr>
        <w:t>1 – Overall sales revenue has improved since adopting AI forecasting.</w:t>
      </w:r>
      <w:r w:rsidRPr="0071785F">
        <w:rPr>
          <w:rFonts w:asciiTheme="majorBidi" w:hAnsiTheme="majorBidi" w:cstheme="majorBidi"/>
          <w:sz w:val="24"/>
          <w:szCs w:val="24"/>
        </w:rPr>
        <w:br/>
        <w:t>2 – Customer satisfaction has increased due to more reliable demand fulfillment.</w:t>
      </w:r>
      <w:r w:rsidRPr="0071785F">
        <w:rPr>
          <w:rFonts w:asciiTheme="majorBidi" w:hAnsiTheme="majorBidi" w:cstheme="majorBidi"/>
          <w:sz w:val="24"/>
          <w:szCs w:val="24"/>
        </w:rPr>
        <w:br/>
        <w:t>3 – AI forecasting has reduced the incidence of stockouts or overproduction.</w:t>
      </w:r>
      <w:r w:rsidRPr="0071785F">
        <w:rPr>
          <w:rFonts w:asciiTheme="majorBidi" w:hAnsiTheme="majorBidi" w:cstheme="majorBidi"/>
          <w:sz w:val="24"/>
          <w:szCs w:val="24"/>
        </w:rPr>
        <w:br/>
        <w:t>4 – Planning accuracy has led to improved profit margins.</w:t>
      </w:r>
      <w:r w:rsidRPr="0071785F">
        <w:rPr>
          <w:rFonts w:asciiTheme="majorBidi" w:hAnsiTheme="majorBidi" w:cstheme="majorBidi"/>
          <w:sz w:val="24"/>
          <w:szCs w:val="24"/>
        </w:rPr>
        <w:br/>
        <w:t>5 – The organization has achieved its sales targets more consistently.</w:t>
      </w:r>
    </w:p>
    <w:p w14:paraId="6CBC1872" w14:textId="77777777" w:rsidR="00C8520B" w:rsidRPr="0071785F" w:rsidRDefault="00000000">
      <w:pPr>
        <w:pStyle w:val="Heading3"/>
        <w:keepNext w:val="0"/>
        <w:keepLines w:val="0"/>
        <w:spacing w:before="280"/>
        <w:rPr>
          <w:rFonts w:asciiTheme="majorBidi" w:hAnsiTheme="majorBidi" w:cstheme="majorBidi"/>
          <w:color w:val="000000"/>
          <w:sz w:val="24"/>
          <w:szCs w:val="24"/>
        </w:rPr>
      </w:pPr>
      <w:bookmarkStart w:id="56" w:name="_txxy5fn350st" w:colFirst="0" w:colLast="0"/>
      <w:bookmarkEnd w:id="56"/>
      <w:r w:rsidRPr="0071785F">
        <w:rPr>
          <w:rFonts w:asciiTheme="majorBidi" w:hAnsiTheme="majorBidi" w:cstheme="majorBidi"/>
          <w:color w:val="000000"/>
          <w:sz w:val="24"/>
          <w:szCs w:val="24"/>
        </w:rPr>
        <w:t>2. Strategic Impact</w:t>
      </w:r>
    </w:p>
    <w:p w14:paraId="0702C6A7" w14:textId="77777777" w:rsidR="00C8520B" w:rsidRPr="0071785F" w:rsidRDefault="00000000">
      <w:pPr>
        <w:spacing w:before="240" w:after="240"/>
        <w:rPr>
          <w:rFonts w:asciiTheme="majorBidi" w:hAnsiTheme="majorBidi" w:cstheme="majorBidi"/>
          <w:sz w:val="24"/>
          <w:szCs w:val="24"/>
        </w:rPr>
      </w:pPr>
      <w:r w:rsidRPr="0071785F">
        <w:rPr>
          <w:rFonts w:asciiTheme="majorBidi" w:hAnsiTheme="majorBidi" w:cstheme="majorBidi"/>
          <w:sz w:val="24"/>
          <w:szCs w:val="24"/>
        </w:rPr>
        <w:t>1 – AI forecasting supports long-term strategic decision-making.</w:t>
      </w:r>
      <w:r w:rsidRPr="0071785F">
        <w:rPr>
          <w:rFonts w:asciiTheme="majorBidi" w:hAnsiTheme="majorBidi" w:cstheme="majorBidi"/>
          <w:sz w:val="24"/>
          <w:szCs w:val="24"/>
        </w:rPr>
        <w:br/>
        <w:t>2 – AI systems provide early warnings about market fluctuations.</w:t>
      </w:r>
      <w:r w:rsidRPr="0071785F">
        <w:rPr>
          <w:rFonts w:asciiTheme="majorBidi" w:hAnsiTheme="majorBidi" w:cstheme="majorBidi"/>
          <w:sz w:val="24"/>
          <w:szCs w:val="24"/>
        </w:rPr>
        <w:br/>
        <w:t>3 – Adoption of AI has improved our firm’s competitive advantage.</w:t>
      </w:r>
      <w:r w:rsidRPr="0071785F">
        <w:rPr>
          <w:rFonts w:asciiTheme="majorBidi" w:hAnsiTheme="majorBidi" w:cstheme="majorBidi"/>
          <w:sz w:val="24"/>
          <w:szCs w:val="24"/>
        </w:rPr>
        <w:br/>
        <w:t>4 – AI forecasting contributes to our digital transformation objectives.</w:t>
      </w:r>
    </w:p>
    <w:p w14:paraId="108BA440" w14:textId="5FCABA09" w:rsidR="00C8520B" w:rsidRPr="004C2022" w:rsidRDefault="00000000" w:rsidP="004C2022">
      <w:pPr>
        <w:pStyle w:val="Heading2"/>
        <w:keepNext w:val="0"/>
        <w:keepLines w:val="0"/>
        <w:numPr>
          <w:ilvl w:val="0"/>
          <w:numId w:val="51"/>
        </w:numPr>
        <w:spacing w:after="80"/>
        <w:rPr>
          <w:rFonts w:asciiTheme="majorBidi" w:hAnsiTheme="majorBidi" w:cstheme="majorBidi"/>
          <w:b/>
          <w:bCs/>
          <w:sz w:val="28"/>
          <w:szCs w:val="28"/>
        </w:rPr>
      </w:pPr>
      <w:bookmarkStart w:id="57" w:name="_nqvr7j9ilqpy" w:colFirst="0" w:colLast="0"/>
      <w:bookmarkEnd w:id="57"/>
      <w:r w:rsidRPr="004C2022">
        <w:rPr>
          <w:rFonts w:asciiTheme="majorBidi" w:hAnsiTheme="majorBidi" w:cstheme="majorBidi"/>
          <w:b/>
          <w:bCs/>
          <w:sz w:val="28"/>
          <w:szCs w:val="28"/>
        </w:rPr>
        <w:t xml:space="preserve">Section </w:t>
      </w:r>
      <w:r w:rsidR="004C2022" w:rsidRPr="004C2022">
        <w:rPr>
          <w:rFonts w:asciiTheme="majorBidi" w:hAnsiTheme="majorBidi" w:cstheme="majorBidi"/>
          <w:b/>
          <w:bCs/>
          <w:sz w:val="28"/>
          <w:szCs w:val="28"/>
        </w:rPr>
        <w:t>L</w:t>
      </w:r>
      <w:r w:rsidRPr="004C2022">
        <w:rPr>
          <w:rFonts w:asciiTheme="majorBidi" w:hAnsiTheme="majorBidi" w:cstheme="majorBidi"/>
          <w:b/>
          <w:bCs/>
          <w:sz w:val="28"/>
          <w:szCs w:val="28"/>
        </w:rPr>
        <w:t xml:space="preserve">: Control Variables and Demographics </w:t>
      </w:r>
    </w:p>
    <w:p w14:paraId="5828EBD6" w14:textId="77777777" w:rsidR="00C8520B" w:rsidRPr="0071785F" w:rsidRDefault="00000000">
      <w:pPr>
        <w:numPr>
          <w:ilvl w:val="0"/>
          <w:numId w:val="28"/>
        </w:numPr>
        <w:spacing w:before="240"/>
        <w:rPr>
          <w:rFonts w:asciiTheme="majorBidi" w:hAnsiTheme="majorBidi" w:cstheme="majorBidi"/>
          <w:sz w:val="24"/>
          <w:szCs w:val="24"/>
        </w:rPr>
      </w:pPr>
      <w:r w:rsidRPr="0071785F">
        <w:rPr>
          <w:rFonts w:asciiTheme="majorBidi" w:hAnsiTheme="majorBidi" w:cstheme="majorBidi"/>
          <w:sz w:val="24"/>
          <w:szCs w:val="24"/>
        </w:rPr>
        <w:t>Firm age (years)</w:t>
      </w:r>
    </w:p>
    <w:p w14:paraId="34EC609C" w14:textId="77777777" w:rsidR="00C8520B" w:rsidRPr="0071785F" w:rsidRDefault="00000000">
      <w:pPr>
        <w:numPr>
          <w:ilvl w:val="0"/>
          <w:numId w:val="28"/>
        </w:numPr>
        <w:rPr>
          <w:rFonts w:asciiTheme="majorBidi" w:hAnsiTheme="majorBidi" w:cstheme="majorBidi"/>
          <w:sz w:val="24"/>
          <w:szCs w:val="24"/>
        </w:rPr>
      </w:pPr>
      <w:r w:rsidRPr="0071785F">
        <w:rPr>
          <w:rFonts w:asciiTheme="majorBidi" w:hAnsiTheme="majorBidi" w:cstheme="majorBidi"/>
          <w:sz w:val="24"/>
          <w:szCs w:val="24"/>
        </w:rPr>
        <w:t>Number of employees</w:t>
      </w:r>
    </w:p>
    <w:p w14:paraId="6B4321C7" w14:textId="77777777" w:rsidR="00C8520B" w:rsidRPr="0071785F" w:rsidRDefault="00000000">
      <w:pPr>
        <w:numPr>
          <w:ilvl w:val="0"/>
          <w:numId w:val="28"/>
        </w:numPr>
        <w:rPr>
          <w:rFonts w:asciiTheme="majorBidi" w:hAnsiTheme="majorBidi" w:cstheme="majorBidi"/>
          <w:sz w:val="24"/>
          <w:szCs w:val="24"/>
        </w:rPr>
      </w:pPr>
      <w:r w:rsidRPr="0071785F">
        <w:rPr>
          <w:rFonts w:asciiTheme="majorBidi" w:hAnsiTheme="majorBidi" w:cstheme="majorBidi"/>
          <w:sz w:val="24"/>
          <w:szCs w:val="24"/>
        </w:rPr>
        <w:t>Annual revenue (SAR range)</w:t>
      </w:r>
    </w:p>
    <w:p w14:paraId="0973B8B9" w14:textId="77777777" w:rsidR="00C8520B" w:rsidRPr="0071785F" w:rsidRDefault="00000000">
      <w:pPr>
        <w:numPr>
          <w:ilvl w:val="0"/>
          <w:numId w:val="28"/>
        </w:numPr>
        <w:rPr>
          <w:rFonts w:asciiTheme="majorBidi" w:hAnsiTheme="majorBidi" w:cstheme="majorBidi"/>
          <w:sz w:val="24"/>
          <w:szCs w:val="24"/>
        </w:rPr>
      </w:pPr>
      <w:r w:rsidRPr="0071785F">
        <w:rPr>
          <w:rFonts w:asciiTheme="majorBidi" w:hAnsiTheme="majorBidi" w:cstheme="majorBidi"/>
          <w:sz w:val="24"/>
          <w:szCs w:val="24"/>
        </w:rPr>
        <w:t>Value-chain segment (Upstream/Mid/Downstream)</w:t>
      </w:r>
    </w:p>
    <w:p w14:paraId="37823433" w14:textId="77777777" w:rsidR="00C8520B" w:rsidRPr="0071785F" w:rsidRDefault="00000000">
      <w:pPr>
        <w:numPr>
          <w:ilvl w:val="0"/>
          <w:numId w:val="28"/>
        </w:numPr>
        <w:rPr>
          <w:rFonts w:asciiTheme="majorBidi" w:hAnsiTheme="majorBidi" w:cstheme="majorBidi"/>
          <w:sz w:val="24"/>
          <w:szCs w:val="24"/>
        </w:rPr>
      </w:pPr>
      <w:r w:rsidRPr="0071785F">
        <w:rPr>
          <w:rFonts w:asciiTheme="majorBidi" w:hAnsiTheme="majorBidi" w:cstheme="majorBidi"/>
          <w:sz w:val="24"/>
          <w:szCs w:val="24"/>
        </w:rPr>
        <w:t>Country of operation</w:t>
      </w:r>
    </w:p>
    <w:p w14:paraId="19195BB3" w14:textId="77777777" w:rsidR="00C8520B" w:rsidRPr="0071785F" w:rsidRDefault="00000000">
      <w:pPr>
        <w:numPr>
          <w:ilvl w:val="0"/>
          <w:numId w:val="28"/>
        </w:numPr>
        <w:spacing w:after="240"/>
        <w:rPr>
          <w:rFonts w:asciiTheme="majorBidi" w:hAnsiTheme="majorBidi" w:cstheme="majorBidi"/>
          <w:sz w:val="24"/>
          <w:szCs w:val="24"/>
        </w:rPr>
      </w:pPr>
      <w:r w:rsidRPr="0071785F">
        <w:rPr>
          <w:rFonts w:asciiTheme="majorBidi" w:hAnsiTheme="majorBidi" w:cstheme="majorBidi"/>
          <w:sz w:val="24"/>
          <w:szCs w:val="24"/>
        </w:rPr>
        <w:t>ERP system maturity (Low / Moderate / High)</w:t>
      </w:r>
    </w:p>
    <w:p w14:paraId="7CDFAD54" w14:textId="77777777" w:rsidR="00C8520B" w:rsidRDefault="00C8520B">
      <w:pPr>
        <w:rPr>
          <w:rFonts w:ascii="Times New Roman" w:eastAsia="Times New Roman" w:hAnsi="Times New Roman" w:cs="Times New Roman"/>
          <w:sz w:val="24"/>
          <w:szCs w:val="24"/>
        </w:rPr>
      </w:pPr>
    </w:p>
    <w:p w14:paraId="2C095E69" w14:textId="77777777" w:rsidR="00C8520B" w:rsidRDefault="00C8520B">
      <w:pPr>
        <w:rPr>
          <w:rFonts w:ascii="Times New Roman" w:eastAsia="Times New Roman" w:hAnsi="Times New Roman" w:cs="Times New Roman"/>
          <w:sz w:val="24"/>
          <w:szCs w:val="24"/>
        </w:rPr>
      </w:pPr>
    </w:p>
    <w:p w14:paraId="7E77B563" w14:textId="77777777" w:rsidR="00C8520B" w:rsidRDefault="00C8520B">
      <w:pPr>
        <w:rPr>
          <w:rFonts w:ascii="Times New Roman" w:eastAsia="Times New Roman" w:hAnsi="Times New Roman" w:cs="Times New Roman"/>
          <w:sz w:val="24"/>
          <w:szCs w:val="24"/>
        </w:rPr>
      </w:pPr>
    </w:p>
    <w:p w14:paraId="51768F99" w14:textId="77777777" w:rsidR="00C8520B" w:rsidRDefault="00C8520B">
      <w:pPr>
        <w:rPr>
          <w:rFonts w:ascii="Times New Roman" w:eastAsia="Times New Roman" w:hAnsi="Times New Roman" w:cs="Times New Roman"/>
          <w:sz w:val="24"/>
          <w:szCs w:val="24"/>
        </w:rPr>
      </w:pPr>
    </w:p>
    <w:p w14:paraId="4C6FCB81" w14:textId="77777777" w:rsidR="00C8520B" w:rsidRDefault="00C8520B">
      <w:pPr>
        <w:rPr>
          <w:rFonts w:ascii="Times New Roman" w:eastAsia="Times New Roman" w:hAnsi="Times New Roman" w:cs="Times New Roman"/>
          <w:sz w:val="24"/>
          <w:szCs w:val="24"/>
        </w:rPr>
      </w:pPr>
    </w:p>
    <w:p w14:paraId="77DEF56B" w14:textId="77777777" w:rsidR="00C8520B" w:rsidRDefault="00C8520B">
      <w:pPr>
        <w:rPr>
          <w:rFonts w:ascii="Times New Roman" w:eastAsia="Times New Roman" w:hAnsi="Times New Roman" w:cs="Times New Roman"/>
          <w:sz w:val="24"/>
          <w:szCs w:val="24"/>
        </w:rPr>
      </w:pPr>
    </w:p>
    <w:p w14:paraId="3F79F6BE" w14:textId="77777777" w:rsidR="00C8520B" w:rsidRDefault="00C8520B">
      <w:pPr>
        <w:rPr>
          <w:rFonts w:ascii="Times New Roman" w:eastAsia="Times New Roman" w:hAnsi="Times New Roman" w:cs="Times New Roman"/>
          <w:sz w:val="24"/>
          <w:szCs w:val="24"/>
        </w:rPr>
      </w:pPr>
    </w:p>
    <w:p w14:paraId="74A23C12" w14:textId="77777777" w:rsidR="004C2022" w:rsidRDefault="004C2022">
      <w:pPr>
        <w:rPr>
          <w:rFonts w:ascii="Times New Roman" w:eastAsia="Times New Roman" w:hAnsi="Times New Roman" w:cs="Times New Roman"/>
          <w:sz w:val="24"/>
          <w:szCs w:val="24"/>
        </w:rPr>
      </w:pPr>
    </w:p>
    <w:p w14:paraId="5DF99E9B" w14:textId="77777777" w:rsidR="004C2022" w:rsidRDefault="004C2022">
      <w:pPr>
        <w:rPr>
          <w:rFonts w:ascii="Times New Roman" w:eastAsia="Times New Roman" w:hAnsi="Times New Roman" w:cs="Times New Roman"/>
          <w:sz w:val="24"/>
          <w:szCs w:val="24"/>
        </w:rPr>
      </w:pPr>
    </w:p>
    <w:p w14:paraId="477DED54" w14:textId="77777777" w:rsidR="004C2022" w:rsidRDefault="004C2022">
      <w:pPr>
        <w:rPr>
          <w:rFonts w:ascii="Times New Roman" w:eastAsia="Times New Roman" w:hAnsi="Times New Roman" w:cs="Times New Roman"/>
          <w:sz w:val="24"/>
          <w:szCs w:val="24"/>
        </w:rPr>
      </w:pPr>
    </w:p>
    <w:p w14:paraId="28150B1E" w14:textId="77777777" w:rsidR="004C2022" w:rsidRDefault="004C2022">
      <w:pPr>
        <w:rPr>
          <w:rFonts w:ascii="Times New Roman" w:eastAsia="Times New Roman" w:hAnsi="Times New Roman" w:cs="Times New Roman"/>
          <w:sz w:val="24"/>
          <w:szCs w:val="24"/>
        </w:rPr>
      </w:pPr>
    </w:p>
    <w:p w14:paraId="394D694A" w14:textId="77777777" w:rsidR="004C2022" w:rsidRDefault="004C2022">
      <w:pPr>
        <w:rPr>
          <w:rFonts w:ascii="Times New Roman" w:eastAsia="Times New Roman" w:hAnsi="Times New Roman" w:cs="Times New Roman"/>
          <w:sz w:val="24"/>
          <w:szCs w:val="24"/>
        </w:rPr>
      </w:pPr>
    </w:p>
    <w:p w14:paraId="7D457AAD" w14:textId="77777777" w:rsidR="004C2022" w:rsidRDefault="004C2022">
      <w:pPr>
        <w:rPr>
          <w:rFonts w:ascii="Times New Roman" w:eastAsia="Times New Roman" w:hAnsi="Times New Roman" w:cs="Times New Roman"/>
          <w:sz w:val="24"/>
          <w:szCs w:val="24"/>
        </w:rPr>
      </w:pPr>
    </w:p>
    <w:p w14:paraId="671BAEC8" w14:textId="77777777" w:rsidR="00FF7708" w:rsidRPr="00FF7708" w:rsidRDefault="00FF7708">
      <w:pPr>
        <w:rPr>
          <w:rFonts w:ascii="Times New Roman" w:eastAsia="Times New Roman" w:hAnsi="Times New Roman" w:cs="Times New Roman"/>
          <w:b/>
          <w:bCs/>
          <w:sz w:val="40"/>
          <w:szCs w:val="40"/>
          <w:lang w:val="en-US"/>
        </w:rPr>
      </w:pPr>
    </w:p>
    <w:sectPr w:rsidR="00FF7708" w:rsidRPr="00FF7708">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17B5A" w14:textId="77777777" w:rsidR="00B42A9C" w:rsidRDefault="00B42A9C">
      <w:pPr>
        <w:spacing w:line="240" w:lineRule="auto"/>
      </w:pPr>
      <w:r>
        <w:separator/>
      </w:r>
    </w:p>
  </w:endnote>
  <w:endnote w:type="continuationSeparator" w:id="0">
    <w:p w14:paraId="2C8AB454" w14:textId="77777777" w:rsidR="00B42A9C" w:rsidRDefault="00B42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E28CCC7-8E3C-4FDA-AD7E-7B766FEC5C6D}"/>
  </w:font>
  <w:font w:name="Calibri">
    <w:panose1 w:val="020F0502020204030204"/>
    <w:charset w:val="00"/>
    <w:family w:val="swiss"/>
    <w:pitch w:val="variable"/>
    <w:sig w:usb0="E4002EFF" w:usb1="C200247B" w:usb2="00000009" w:usb3="00000000" w:csb0="000001FF" w:csb1="00000000"/>
    <w:embedRegular r:id="rId2" w:fontKey="{E23DA6A2-BD1F-4CB2-8759-F0196B75D588}"/>
  </w:font>
  <w:font w:name="Simplified Arabic">
    <w:panose1 w:val="02020603050405020304"/>
    <w:charset w:val="00"/>
    <w:family w:val="roman"/>
    <w:pitch w:val="variable"/>
    <w:sig w:usb0="00002003" w:usb1="80000000" w:usb2="00000008" w:usb3="00000000" w:csb0="00000041" w:csb1="00000000"/>
    <w:embedBold r:id="rId3" w:fontKey="{D66373FA-77F0-4628-B343-1F528BDE33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B6C8" w14:textId="77777777" w:rsidR="00C8520B" w:rsidRDefault="00000000">
    <w:pPr>
      <w:jc w:val="right"/>
    </w:pPr>
    <w:r>
      <w:fldChar w:fldCharType="begin"/>
    </w:r>
    <w:r>
      <w:instrText>PAGE</w:instrText>
    </w:r>
    <w:r>
      <w:fldChar w:fldCharType="separate"/>
    </w:r>
    <w:r w:rsidR="00D76A5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FB16A" w14:textId="77777777" w:rsidR="00B42A9C" w:rsidRDefault="00B42A9C">
      <w:pPr>
        <w:spacing w:line="240" w:lineRule="auto"/>
      </w:pPr>
      <w:r>
        <w:separator/>
      </w:r>
    </w:p>
  </w:footnote>
  <w:footnote w:type="continuationSeparator" w:id="0">
    <w:p w14:paraId="216F543B" w14:textId="77777777" w:rsidR="00B42A9C" w:rsidRDefault="00B42A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A5632"/>
    <w:multiLevelType w:val="multilevel"/>
    <w:tmpl w:val="169E1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6C67B9"/>
    <w:multiLevelType w:val="multilevel"/>
    <w:tmpl w:val="FC1C4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51F44"/>
    <w:multiLevelType w:val="multilevel"/>
    <w:tmpl w:val="34423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DA1B7B"/>
    <w:multiLevelType w:val="multilevel"/>
    <w:tmpl w:val="E7F2D9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F683BE5"/>
    <w:multiLevelType w:val="multilevel"/>
    <w:tmpl w:val="E160D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13D0895"/>
    <w:multiLevelType w:val="multilevel"/>
    <w:tmpl w:val="D77AF2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25509D0"/>
    <w:multiLevelType w:val="multilevel"/>
    <w:tmpl w:val="31863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3FF5508"/>
    <w:multiLevelType w:val="multilevel"/>
    <w:tmpl w:val="AA46B4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A6142A5"/>
    <w:multiLevelType w:val="multilevel"/>
    <w:tmpl w:val="F246E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EE3049"/>
    <w:multiLevelType w:val="multilevel"/>
    <w:tmpl w:val="5C102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F8520D"/>
    <w:multiLevelType w:val="multilevel"/>
    <w:tmpl w:val="F9607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8334D1"/>
    <w:multiLevelType w:val="multilevel"/>
    <w:tmpl w:val="ED0A2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A306C8"/>
    <w:multiLevelType w:val="multilevel"/>
    <w:tmpl w:val="944E14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26473080"/>
    <w:multiLevelType w:val="multilevel"/>
    <w:tmpl w:val="B802A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231441"/>
    <w:multiLevelType w:val="multilevel"/>
    <w:tmpl w:val="6E88B1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2A61046B"/>
    <w:multiLevelType w:val="multilevel"/>
    <w:tmpl w:val="7854C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2B0A53FE"/>
    <w:multiLevelType w:val="multilevel"/>
    <w:tmpl w:val="EEB63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D2F1845"/>
    <w:multiLevelType w:val="multilevel"/>
    <w:tmpl w:val="9BA48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03F2C84"/>
    <w:multiLevelType w:val="multilevel"/>
    <w:tmpl w:val="DC042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3615FCB"/>
    <w:multiLevelType w:val="multilevel"/>
    <w:tmpl w:val="552605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4666A28"/>
    <w:multiLevelType w:val="multilevel"/>
    <w:tmpl w:val="B36CA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6C96B31"/>
    <w:multiLevelType w:val="multilevel"/>
    <w:tmpl w:val="E9724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71E33EF"/>
    <w:multiLevelType w:val="multilevel"/>
    <w:tmpl w:val="05968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C4201AB"/>
    <w:multiLevelType w:val="multilevel"/>
    <w:tmpl w:val="4738B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DD01C26"/>
    <w:multiLevelType w:val="multilevel"/>
    <w:tmpl w:val="48EE4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E743B82"/>
    <w:multiLevelType w:val="multilevel"/>
    <w:tmpl w:val="6F707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FEE491E"/>
    <w:multiLevelType w:val="multilevel"/>
    <w:tmpl w:val="9AF29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306AB1"/>
    <w:multiLevelType w:val="multilevel"/>
    <w:tmpl w:val="89E0F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9BC69AB"/>
    <w:multiLevelType w:val="multilevel"/>
    <w:tmpl w:val="2F449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AC82140"/>
    <w:multiLevelType w:val="hybridMultilevel"/>
    <w:tmpl w:val="A76A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150EA3"/>
    <w:multiLevelType w:val="multilevel"/>
    <w:tmpl w:val="74A42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F011109"/>
    <w:multiLevelType w:val="multilevel"/>
    <w:tmpl w:val="64EC3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F343FD2"/>
    <w:multiLevelType w:val="multilevel"/>
    <w:tmpl w:val="589CD9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4F4958F5"/>
    <w:multiLevelType w:val="multilevel"/>
    <w:tmpl w:val="D2664E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4F8022D0"/>
    <w:multiLevelType w:val="multilevel"/>
    <w:tmpl w:val="5D1EC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7047031"/>
    <w:multiLevelType w:val="multilevel"/>
    <w:tmpl w:val="B338DC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57E95B6B"/>
    <w:multiLevelType w:val="multilevel"/>
    <w:tmpl w:val="B0A2B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5A60669C"/>
    <w:multiLevelType w:val="multilevel"/>
    <w:tmpl w:val="68060A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5B2020F0"/>
    <w:multiLevelType w:val="multilevel"/>
    <w:tmpl w:val="82883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B9B1E2B"/>
    <w:multiLevelType w:val="multilevel"/>
    <w:tmpl w:val="0A0A6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1D16059"/>
    <w:multiLevelType w:val="multilevel"/>
    <w:tmpl w:val="055CE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34933A9"/>
    <w:multiLevelType w:val="multilevel"/>
    <w:tmpl w:val="3F2CC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3D36841"/>
    <w:multiLevelType w:val="multilevel"/>
    <w:tmpl w:val="9692DD5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15:restartNumberingAfterBreak="0">
    <w:nsid w:val="6B9A31F7"/>
    <w:multiLevelType w:val="multilevel"/>
    <w:tmpl w:val="2D104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15:restartNumberingAfterBreak="0">
    <w:nsid w:val="70E70F48"/>
    <w:multiLevelType w:val="multilevel"/>
    <w:tmpl w:val="D05E5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21E4BEA"/>
    <w:multiLevelType w:val="multilevel"/>
    <w:tmpl w:val="3C029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3927D7C"/>
    <w:multiLevelType w:val="multilevel"/>
    <w:tmpl w:val="8AC2C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6317573"/>
    <w:multiLevelType w:val="multilevel"/>
    <w:tmpl w:val="F7F41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C6D2E21"/>
    <w:multiLevelType w:val="multilevel"/>
    <w:tmpl w:val="C2D05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C790ADC"/>
    <w:multiLevelType w:val="multilevel"/>
    <w:tmpl w:val="B2E6B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F497908"/>
    <w:multiLevelType w:val="multilevel"/>
    <w:tmpl w:val="D82839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57999434">
    <w:abstractNumId w:val="20"/>
  </w:num>
  <w:num w:numId="2" w16cid:durableId="1383089846">
    <w:abstractNumId w:val="19"/>
  </w:num>
  <w:num w:numId="3" w16cid:durableId="622347894">
    <w:abstractNumId w:val="2"/>
  </w:num>
  <w:num w:numId="4" w16cid:durableId="1934851795">
    <w:abstractNumId w:val="30"/>
  </w:num>
  <w:num w:numId="5" w16cid:durableId="496650320">
    <w:abstractNumId w:val="22"/>
  </w:num>
  <w:num w:numId="6" w16cid:durableId="1705793116">
    <w:abstractNumId w:val="21"/>
  </w:num>
  <w:num w:numId="7" w16cid:durableId="1013604903">
    <w:abstractNumId w:val="5"/>
  </w:num>
  <w:num w:numId="8" w16cid:durableId="1943563373">
    <w:abstractNumId w:val="24"/>
  </w:num>
  <w:num w:numId="9" w16cid:durableId="1559900313">
    <w:abstractNumId w:val="46"/>
  </w:num>
  <w:num w:numId="10" w16cid:durableId="2073309755">
    <w:abstractNumId w:val="1"/>
  </w:num>
  <w:num w:numId="11" w16cid:durableId="1133131781">
    <w:abstractNumId w:val="48"/>
  </w:num>
  <w:num w:numId="12" w16cid:durableId="2119134883">
    <w:abstractNumId w:val="31"/>
  </w:num>
  <w:num w:numId="13" w16cid:durableId="1231044412">
    <w:abstractNumId w:val="6"/>
  </w:num>
  <w:num w:numId="14" w16cid:durableId="791363071">
    <w:abstractNumId w:val="18"/>
  </w:num>
  <w:num w:numId="15" w16cid:durableId="1785806548">
    <w:abstractNumId w:val="11"/>
  </w:num>
  <w:num w:numId="16" w16cid:durableId="1168061031">
    <w:abstractNumId w:val="27"/>
  </w:num>
  <w:num w:numId="17" w16cid:durableId="10763872">
    <w:abstractNumId w:val="9"/>
  </w:num>
  <w:num w:numId="18" w16cid:durableId="1028217633">
    <w:abstractNumId w:val="4"/>
  </w:num>
  <w:num w:numId="19" w16cid:durableId="339963935">
    <w:abstractNumId w:val="13"/>
  </w:num>
  <w:num w:numId="20" w16cid:durableId="257718522">
    <w:abstractNumId w:val="37"/>
  </w:num>
  <w:num w:numId="21" w16cid:durableId="130756582">
    <w:abstractNumId w:val="8"/>
  </w:num>
  <w:num w:numId="22" w16cid:durableId="1586110054">
    <w:abstractNumId w:val="39"/>
  </w:num>
  <w:num w:numId="23" w16cid:durableId="1036272665">
    <w:abstractNumId w:val="17"/>
  </w:num>
  <w:num w:numId="24" w16cid:durableId="716469593">
    <w:abstractNumId w:val="15"/>
  </w:num>
  <w:num w:numId="25" w16cid:durableId="1792094861">
    <w:abstractNumId w:val="14"/>
  </w:num>
  <w:num w:numId="26" w16cid:durableId="1599561800">
    <w:abstractNumId w:val="35"/>
  </w:num>
  <w:num w:numId="27" w16cid:durableId="1534267151">
    <w:abstractNumId w:val="0"/>
  </w:num>
  <w:num w:numId="28" w16cid:durableId="2103142711">
    <w:abstractNumId w:val="7"/>
  </w:num>
  <w:num w:numId="29" w16cid:durableId="1339112616">
    <w:abstractNumId w:val="34"/>
  </w:num>
  <w:num w:numId="30" w16cid:durableId="1982617027">
    <w:abstractNumId w:val="45"/>
  </w:num>
  <w:num w:numId="31" w16cid:durableId="328556529">
    <w:abstractNumId w:val="16"/>
  </w:num>
  <w:num w:numId="32" w16cid:durableId="265383546">
    <w:abstractNumId w:val="33"/>
  </w:num>
  <w:num w:numId="33" w16cid:durableId="461002646">
    <w:abstractNumId w:val="36"/>
  </w:num>
  <w:num w:numId="34" w16cid:durableId="704064991">
    <w:abstractNumId w:val="50"/>
  </w:num>
  <w:num w:numId="35" w16cid:durableId="821383503">
    <w:abstractNumId w:val="25"/>
  </w:num>
  <w:num w:numId="36" w16cid:durableId="785543047">
    <w:abstractNumId w:val="49"/>
  </w:num>
  <w:num w:numId="37" w16cid:durableId="1444962270">
    <w:abstractNumId w:val="41"/>
  </w:num>
  <w:num w:numId="38" w16cid:durableId="115224628">
    <w:abstractNumId w:val="44"/>
  </w:num>
  <w:num w:numId="39" w16cid:durableId="204408754">
    <w:abstractNumId w:val="42"/>
  </w:num>
  <w:num w:numId="40" w16cid:durableId="83694799">
    <w:abstractNumId w:val="40"/>
  </w:num>
  <w:num w:numId="41" w16cid:durableId="2054501073">
    <w:abstractNumId w:val="10"/>
  </w:num>
  <w:num w:numId="42" w16cid:durableId="1872526790">
    <w:abstractNumId w:val="43"/>
  </w:num>
  <w:num w:numId="43" w16cid:durableId="1674840564">
    <w:abstractNumId w:val="3"/>
  </w:num>
  <w:num w:numId="44" w16cid:durableId="976645537">
    <w:abstractNumId w:val="12"/>
  </w:num>
  <w:num w:numId="45" w16cid:durableId="935210615">
    <w:abstractNumId w:val="26"/>
  </w:num>
  <w:num w:numId="46" w16cid:durableId="1449082686">
    <w:abstractNumId w:val="23"/>
  </w:num>
  <w:num w:numId="47" w16cid:durableId="948970732">
    <w:abstractNumId w:val="28"/>
  </w:num>
  <w:num w:numId="48" w16cid:durableId="1296989459">
    <w:abstractNumId w:val="38"/>
  </w:num>
  <w:num w:numId="49" w16cid:durableId="1818304223">
    <w:abstractNumId w:val="47"/>
  </w:num>
  <w:num w:numId="50" w16cid:durableId="320622886">
    <w:abstractNumId w:val="32"/>
  </w:num>
  <w:num w:numId="51" w16cid:durableId="104668587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20B"/>
    <w:rsid w:val="0017009E"/>
    <w:rsid w:val="00176CA9"/>
    <w:rsid w:val="00194E21"/>
    <w:rsid w:val="0023707D"/>
    <w:rsid w:val="00442604"/>
    <w:rsid w:val="004C2022"/>
    <w:rsid w:val="00537872"/>
    <w:rsid w:val="005B34D2"/>
    <w:rsid w:val="0071785F"/>
    <w:rsid w:val="007E7712"/>
    <w:rsid w:val="008E5AAE"/>
    <w:rsid w:val="00915E3C"/>
    <w:rsid w:val="00984DDF"/>
    <w:rsid w:val="00A0222A"/>
    <w:rsid w:val="00A0251B"/>
    <w:rsid w:val="00AE7171"/>
    <w:rsid w:val="00AF38EE"/>
    <w:rsid w:val="00B17D64"/>
    <w:rsid w:val="00B42A9C"/>
    <w:rsid w:val="00BE49DB"/>
    <w:rsid w:val="00C5307C"/>
    <w:rsid w:val="00C8520B"/>
    <w:rsid w:val="00D76A50"/>
    <w:rsid w:val="00F73A50"/>
    <w:rsid w:val="00FA6B6F"/>
    <w:rsid w:val="00FF77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ECA90"/>
  <w15:docId w15:val="{2178CE9B-5A85-4FF8-9EAC-1A331782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TOC1">
    <w:name w:val="toc 1"/>
    <w:basedOn w:val="Normal"/>
    <w:next w:val="Normal"/>
    <w:autoRedefine/>
    <w:uiPriority w:val="39"/>
    <w:unhideWhenUsed/>
    <w:rsid w:val="00A0222A"/>
    <w:pPr>
      <w:spacing w:after="100"/>
    </w:pPr>
  </w:style>
  <w:style w:type="paragraph" w:styleId="TOC2">
    <w:name w:val="toc 2"/>
    <w:basedOn w:val="Normal"/>
    <w:next w:val="Normal"/>
    <w:autoRedefine/>
    <w:uiPriority w:val="39"/>
    <w:unhideWhenUsed/>
    <w:rsid w:val="00A0222A"/>
    <w:pPr>
      <w:spacing w:after="100"/>
      <w:ind w:left="220"/>
    </w:pPr>
  </w:style>
  <w:style w:type="paragraph" w:styleId="TOC3">
    <w:name w:val="toc 3"/>
    <w:basedOn w:val="Normal"/>
    <w:next w:val="Normal"/>
    <w:autoRedefine/>
    <w:uiPriority w:val="39"/>
    <w:unhideWhenUsed/>
    <w:rsid w:val="00A0222A"/>
    <w:pPr>
      <w:spacing w:after="100"/>
      <w:ind w:left="440"/>
    </w:pPr>
  </w:style>
  <w:style w:type="paragraph" w:styleId="TOC4">
    <w:name w:val="toc 4"/>
    <w:basedOn w:val="Normal"/>
    <w:next w:val="Normal"/>
    <w:autoRedefine/>
    <w:uiPriority w:val="39"/>
    <w:unhideWhenUsed/>
    <w:rsid w:val="00A0222A"/>
    <w:pPr>
      <w:spacing w:after="100"/>
      <w:ind w:left="660"/>
    </w:pPr>
  </w:style>
  <w:style w:type="paragraph" w:styleId="TOC5">
    <w:name w:val="toc 5"/>
    <w:basedOn w:val="Normal"/>
    <w:next w:val="Normal"/>
    <w:autoRedefine/>
    <w:uiPriority w:val="39"/>
    <w:unhideWhenUsed/>
    <w:rsid w:val="00A0222A"/>
    <w:pPr>
      <w:spacing w:after="100" w:line="278" w:lineRule="auto"/>
      <w:ind w:left="960"/>
    </w:pPr>
    <w:rPr>
      <w:rFonts w:asciiTheme="minorHAnsi" w:eastAsiaTheme="minorEastAsia" w:hAnsiTheme="minorHAnsi" w:cstheme="minorBidi"/>
      <w:kern w:val="2"/>
      <w:sz w:val="24"/>
      <w:szCs w:val="24"/>
      <w:lang w:val="en-US"/>
      <w14:ligatures w14:val="standardContextual"/>
    </w:rPr>
  </w:style>
  <w:style w:type="paragraph" w:styleId="TOC6">
    <w:name w:val="toc 6"/>
    <w:basedOn w:val="Normal"/>
    <w:next w:val="Normal"/>
    <w:autoRedefine/>
    <w:uiPriority w:val="39"/>
    <w:unhideWhenUsed/>
    <w:rsid w:val="00A0222A"/>
    <w:pPr>
      <w:spacing w:after="100" w:line="278" w:lineRule="auto"/>
      <w:ind w:left="1200"/>
    </w:pPr>
    <w:rPr>
      <w:rFonts w:asciiTheme="minorHAnsi" w:eastAsiaTheme="minorEastAsia" w:hAnsiTheme="minorHAnsi" w:cstheme="minorBidi"/>
      <w:kern w:val="2"/>
      <w:sz w:val="24"/>
      <w:szCs w:val="24"/>
      <w:lang w:val="en-US"/>
      <w14:ligatures w14:val="standardContextual"/>
    </w:rPr>
  </w:style>
  <w:style w:type="paragraph" w:styleId="TOC7">
    <w:name w:val="toc 7"/>
    <w:basedOn w:val="Normal"/>
    <w:next w:val="Normal"/>
    <w:autoRedefine/>
    <w:uiPriority w:val="39"/>
    <w:unhideWhenUsed/>
    <w:rsid w:val="00A0222A"/>
    <w:pPr>
      <w:spacing w:after="100" w:line="278" w:lineRule="auto"/>
      <w:ind w:left="1440"/>
    </w:pPr>
    <w:rPr>
      <w:rFonts w:asciiTheme="minorHAnsi" w:eastAsiaTheme="minorEastAsia" w:hAnsiTheme="minorHAnsi" w:cstheme="minorBidi"/>
      <w:kern w:val="2"/>
      <w:sz w:val="24"/>
      <w:szCs w:val="24"/>
      <w:lang w:val="en-US"/>
      <w14:ligatures w14:val="standardContextual"/>
    </w:rPr>
  </w:style>
  <w:style w:type="paragraph" w:styleId="TOC8">
    <w:name w:val="toc 8"/>
    <w:basedOn w:val="Normal"/>
    <w:next w:val="Normal"/>
    <w:autoRedefine/>
    <w:uiPriority w:val="39"/>
    <w:unhideWhenUsed/>
    <w:rsid w:val="00A0222A"/>
    <w:pPr>
      <w:spacing w:after="100" w:line="278" w:lineRule="auto"/>
      <w:ind w:left="1680"/>
    </w:pPr>
    <w:rPr>
      <w:rFonts w:asciiTheme="minorHAnsi" w:eastAsiaTheme="minorEastAsia" w:hAnsiTheme="minorHAnsi" w:cstheme="minorBidi"/>
      <w:kern w:val="2"/>
      <w:sz w:val="24"/>
      <w:szCs w:val="24"/>
      <w:lang w:val="en-US"/>
      <w14:ligatures w14:val="standardContextual"/>
    </w:rPr>
  </w:style>
  <w:style w:type="paragraph" w:styleId="TOC9">
    <w:name w:val="toc 9"/>
    <w:basedOn w:val="Normal"/>
    <w:next w:val="Normal"/>
    <w:autoRedefine/>
    <w:uiPriority w:val="39"/>
    <w:unhideWhenUsed/>
    <w:rsid w:val="00A0222A"/>
    <w:pPr>
      <w:spacing w:after="100" w:line="278" w:lineRule="auto"/>
      <w:ind w:left="1920"/>
    </w:pPr>
    <w:rPr>
      <w:rFonts w:asciiTheme="minorHAnsi" w:eastAsiaTheme="minorEastAsia" w:hAnsiTheme="minorHAnsi" w:cstheme="minorBidi"/>
      <w:kern w:val="2"/>
      <w:sz w:val="24"/>
      <w:szCs w:val="24"/>
      <w:lang w:val="en-US"/>
      <w14:ligatures w14:val="standardContextual"/>
    </w:rPr>
  </w:style>
  <w:style w:type="character" w:styleId="Hyperlink">
    <w:name w:val="Hyperlink"/>
    <w:basedOn w:val="DefaultParagraphFont"/>
    <w:uiPriority w:val="99"/>
    <w:unhideWhenUsed/>
    <w:rsid w:val="00A0222A"/>
    <w:rPr>
      <w:color w:val="0000FF" w:themeColor="hyperlink"/>
      <w:u w:val="single"/>
    </w:rPr>
  </w:style>
  <w:style w:type="character" w:styleId="UnresolvedMention">
    <w:name w:val="Unresolved Mention"/>
    <w:basedOn w:val="DefaultParagraphFont"/>
    <w:uiPriority w:val="99"/>
    <w:semiHidden/>
    <w:unhideWhenUsed/>
    <w:rsid w:val="00A0222A"/>
    <w:rPr>
      <w:color w:val="605E5C"/>
      <w:shd w:val="clear" w:color="auto" w:fill="E1DFDD"/>
    </w:rPr>
  </w:style>
  <w:style w:type="paragraph" w:styleId="TOCHeading">
    <w:name w:val="TOC Heading"/>
    <w:basedOn w:val="Heading1"/>
    <w:next w:val="Normal"/>
    <w:uiPriority w:val="39"/>
    <w:unhideWhenUsed/>
    <w:qFormat/>
    <w:rsid w:val="0017009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NoSpacing">
    <w:name w:val="No Spacing"/>
    <w:uiPriority w:val="1"/>
    <w:qFormat/>
    <w:rsid w:val="00C5307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0373">
      <w:bodyDiv w:val="1"/>
      <w:marLeft w:val="0"/>
      <w:marRight w:val="0"/>
      <w:marTop w:val="0"/>
      <w:marBottom w:val="0"/>
      <w:divBdr>
        <w:top w:val="none" w:sz="0" w:space="0" w:color="auto"/>
        <w:left w:val="none" w:sz="0" w:space="0" w:color="auto"/>
        <w:bottom w:val="none" w:sz="0" w:space="0" w:color="auto"/>
        <w:right w:val="none" w:sz="0" w:space="0" w:color="auto"/>
      </w:divBdr>
    </w:div>
    <w:div w:id="145901123">
      <w:bodyDiv w:val="1"/>
      <w:marLeft w:val="0"/>
      <w:marRight w:val="0"/>
      <w:marTop w:val="0"/>
      <w:marBottom w:val="0"/>
      <w:divBdr>
        <w:top w:val="none" w:sz="0" w:space="0" w:color="auto"/>
        <w:left w:val="none" w:sz="0" w:space="0" w:color="auto"/>
        <w:bottom w:val="none" w:sz="0" w:space="0" w:color="auto"/>
        <w:right w:val="none" w:sz="0" w:space="0" w:color="auto"/>
      </w:divBdr>
    </w:div>
    <w:div w:id="525221089">
      <w:bodyDiv w:val="1"/>
      <w:marLeft w:val="0"/>
      <w:marRight w:val="0"/>
      <w:marTop w:val="0"/>
      <w:marBottom w:val="0"/>
      <w:divBdr>
        <w:top w:val="none" w:sz="0" w:space="0" w:color="auto"/>
        <w:left w:val="none" w:sz="0" w:space="0" w:color="auto"/>
        <w:bottom w:val="none" w:sz="0" w:space="0" w:color="auto"/>
        <w:right w:val="none" w:sz="0" w:space="0" w:color="auto"/>
      </w:divBdr>
    </w:div>
    <w:div w:id="952857122">
      <w:bodyDiv w:val="1"/>
      <w:marLeft w:val="0"/>
      <w:marRight w:val="0"/>
      <w:marTop w:val="0"/>
      <w:marBottom w:val="0"/>
      <w:divBdr>
        <w:top w:val="none" w:sz="0" w:space="0" w:color="auto"/>
        <w:left w:val="none" w:sz="0" w:space="0" w:color="auto"/>
        <w:bottom w:val="none" w:sz="0" w:space="0" w:color="auto"/>
        <w:right w:val="none" w:sz="0" w:space="0" w:color="auto"/>
      </w:divBdr>
    </w:div>
    <w:div w:id="1068311493">
      <w:bodyDiv w:val="1"/>
      <w:marLeft w:val="0"/>
      <w:marRight w:val="0"/>
      <w:marTop w:val="0"/>
      <w:marBottom w:val="0"/>
      <w:divBdr>
        <w:top w:val="none" w:sz="0" w:space="0" w:color="auto"/>
        <w:left w:val="none" w:sz="0" w:space="0" w:color="auto"/>
        <w:bottom w:val="none" w:sz="0" w:space="0" w:color="auto"/>
        <w:right w:val="none" w:sz="0" w:space="0" w:color="auto"/>
      </w:divBdr>
    </w:div>
    <w:div w:id="2071877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ecastio.ai/blog/sales-forecasting-method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ecastio.ai/blog/sales-forecasting-method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rbes.com/sites/bernardmarr/2024/12/20/the-future-of-energy-how-shell-is-harnessing-ai-to-transform-the-energy-sector/?utm_source=chatgpt.com" TargetMode="External"/><Relationship Id="rId4" Type="http://schemas.openxmlformats.org/officeDocument/2006/relationships/settings" Target="settings.xml"/><Relationship Id="rId9" Type="http://schemas.openxmlformats.org/officeDocument/2006/relationships/hyperlink" Target="https://www.forbes.com/sites/bernardmarr/2024/12/20/the-future-of-energy-how-shell-is-harnessing-ai-to-transform-the-energy-sector/?utm_source=chatgpt.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58877-81C6-423C-80BF-2A2677F7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20</Pages>
  <Words>6032</Words>
  <Characters>34386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Sales</dc:creator>
  <cp:lastModifiedBy>Mohammed  Al Hussain</cp:lastModifiedBy>
  <cp:revision>17</cp:revision>
  <cp:lastPrinted>2025-11-21T15:02:00Z</cp:lastPrinted>
  <dcterms:created xsi:type="dcterms:W3CDTF">2025-11-20T13:38:00Z</dcterms:created>
  <dcterms:modified xsi:type="dcterms:W3CDTF">2025-11-21T15:08:00Z</dcterms:modified>
</cp:coreProperties>
</file>