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B55" w:rsidRPr="0054043C" w:rsidRDefault="00424B55" w:rsidP="00424B55">
      <w:pPr>
        <w:pStyle w:val="Heading1"/>
        <w:rPr>
          <w:rtl/>
        </w:rPr>
      </w:pPr>
      <w:bookmarkStart w:id="0" w:name="_Toc224781445"/>
      <w:r w:rsidRPr="0054043C">
        <w:rPr>
          <w:rtl/>
        </w:rPr>
        <w:t>الفصل الثاني</w:t>
      </w:r>
      <w:r>
        <w:t xml:space="preserve"> :</w:t>
      </w:r>
      <w:r w:rsidRPr="0054043C">
        <w:rPr>
          <w:rtl/>
        </w:rPr>
        <w:t>الإطار النظري والدراسات السابقة</w:t>
      </w:r>
      <w:bookmarkEnd w:id="0"/>
    </w:p>
    <w:p w:rsidR="00424B55" w:rsidRPr="0054043C"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sz w:val="28"/>
          <w:szCs w:val="28"/>
        </w:rPr>
      </w:pPr>
      <w:r w:rsidRPr="0054043C">
        <w:rPr>
          <w:rFonts w:ascii="Simplified Arabic" w:hAnsi="Simplified Arabic" w:cs="Simplified Arabic"/>
          <w:sz w:val="28"/>
          <w:szCs w:val="28"/>
          <w:rtl/>
        </w:rPr>
        <w:t>يُعدّ الإطار النظري العمودَ الفقري لأي بحث أكاديمي رصين، إذ يمنحه أساساً معرفياً متيناً يُضفي على فرضياته المصداقيةَ العلمية، وعلى نتائجه القيمةَ التفسيرية والتعميمية. وينقسم هذا الفصل إلى خمسة مباحث: يستعرض المبحثان الأول والثاني المفاهيم النظرية لكلا متغيري الدراسة — إدارة المخاطر والتميز التنظيمي — بتعمق وتفصيل، ويُعالج المبحث الثالث الروابط النظرية والتجريبية بين المتغيرين، فيما يُخصَّص المبحثان الرابع والخامس لمراجعة الدراسات السابقة وتحليلها نقدياً واستخلاص الفجوة البحثية التي تُؤسس لمشروعية هذه الدراسة وأصالتها. وسيتناول هذا الجزء الأول المبحثين الأول والثاني.</w:t>
      </w:r>
    </w:p>
    <w:p w:rsidR="00424B55" w:rsidRPr="0054043C" w:rsidRDefault="00424B55" w:rsidP="00424B55">
      <w:pPr>
        <w:pStyle w:val="Heading2"/>
      </w:pPr>
      <w:bookmarkStart w:id="1" w:name="_Toc224781446"/>
      <w:r w:rsidRPr="0054043C">
        <w:rPr>
          <w:rtl/>
        </w:rPr>
        <w:t>المبحث الأول: إدارة المخاطر — المفهوم والأبعاد والنماذج</w:t>
      </w:r>
      <w:bookmarkEnd w:id="1"/>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أولاً: مفهوم الخطر وإدارة المخاطر</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1. تعريف الخطر</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تعددت التعريفات الأكاديمية والمعيارية لمفهوم الخطر (</w:t>
      </w:r>
      <w:r w:rsidRPr="0054043C">
        <w:rPr>
          <w:rFonts w:ascii="Simplified Arabic" w:hAnsi="Simplified Arabic" w:cs="Simplified Arabic"/>
          <w:sz w:val="28"/>
          <w:szCs w:val="28"/>
        </w:rPr>
        <w:t>Risk</w:t>
      </w:r>
      <w:r w:rsidRPr="0054043C">
        <w:rPr>
          <w:rFonts w:ascii="Simplified Arabic" w:hAnsi="Simplified Arabic" w:cs="Simplified Arabic"/>
          <w:sz w:val="28"/>
          <w:szCs w:val="28"/>
          <w:rtl/>
        </w:rPr>
        <w:t xml:space="preserve">)، وإن اشتركت في جوهرها حول فكرة عدم اليقين وتأثيره المحتمل على الأهداف. فالمنظمة الدولية للمعايير في معيار </w:t>
      </w:r>
      <w:r w:rsidRPr="0054043C">
        <w:rPr>
          <w:rFonts w:ascii="Simplified Arabic" w:hAnsi="Simplified Arabic" w:cs="Simplified Arabic"/>
          <w:sz w:val="28"/>
          <w:szCs w:val="28"/>
        </w:rPr>
        <w:t>ISO 31000</w:t>
      </w:r>
      <w:r w:rsidRPr="0054043C">
        <w:rPr>
          <w:rFonts w:ascii="Simplified Arabic" w:hAnsi="Simplified Arabic" w:cs="Simplified Arabic"/>
          <w:sz w:val="28"/>
          <w:szCs w:val="28"/>
          <w:rtl/>
        </w:rPr>
        <w:t>:2018 تُعرّف الخطر بأنه "تأثير عدم اليقين على الأهداف"، مُشيرةً إلى أن هذا التأثير قد يكون سلبياً (تهديد) أو إيجابياً (فرصة)، وأن عدم اليقين يشمل غياب المعلومات الكافية أو عدم اكتمالها أو عدم موثوقيتها (</w:t>
      </w:r>
      <w:r w:rsidRPr="0054043C">
        <w:rPr>
          <w:rFonts w:ascii="Simplified Arabic" w:hAnsi="Simplified Arabic" w:cs="Simplified Arabic"/>
          <w:sz w:val="28"/>
          <w:szCs w:val="28"/>
        </w:rPr>
        <w:t>ISO, 2018</w:t>
      </w:r>
      <w:r w:rsidRPr="0054043C">
        <w:rPr>
          <w:rFonts w:ascii="Simplified Arabic" w:hAnsi="Simplified Arabic" w:cs="Simplified Arabic"/>
          <w:sz w:val="28"/>
          <w:szCs w:val="28"/>
          <w:rtl/>
        </w:rPr>
        <w:t xml:space="preserve">). وفي السياق ذاته، يُعرّف معهد إدارة المشاريع </w:t>
      </w:r>
      <w:r w:rsidRPr="0054043C">
        <w:rPr>
          <w:rFonts w:ascii="Simplified Arabic" w:hAnsi="Simplified Arabic" w:cs="Simplified Arabic"/>
          <w:sz w:val="28"/>
          <w:szCs w:val="28"/>
        </w:rPr>
        <w:t>PMI</w:t>
      </w:r>
      <w:r w:rsidRPr="0054043C">
        <w:rPr>
          <w:rFonts w:ascii="Simplified Arabic" w:hAnsi="Simplified Arabic" w:cs="Simplified Arabic"/>
          <w:sz w:val="28"/>
          <w:szCs w:val="28"/>
          <w:rtl/>
        </w:rPr>
        <w:t xml:space="preserve"> في الإصدار السابع من دليل </w:t>
      </w:r>
      <w:r w:rsidRPr="0054043C">
        <w:rPr>
          <w:rFonts w:ascii="Simplified Arabic" w:hAnsi="Simplified Arabic" w:cs="Simplified Arabic"/>
          <w:sz w:val="28"/>
          <w:szCs w:val="28"/>
        </w:rPr>
        <w:t>PMBOK</w:t>
      </w:r>
      <w:r w:rsidRPr="0054043C">
        <w:rPr>
          <w:rFonts w:ascii="Simplified Arabic" w:hAnsi="Simplified Arabic" w:cs="Simplified Arabic"/>
          <w:sz w:val="28"/>
          <w:szCs w:val="28"/>
          <w:rtl/>
        </w:rPr>
        <w:t xml:space="preserve"> الخطرَ بأنه "حدث أو حالة غير مؤكدة، إذا وقعت، كان لها أثر إيجابي أو سلبي على هدف واحد أو أكثر من أهداف المشروع" (</w:t>
      </w:r>
      <w:r w:rsidRPr="0054043C">
        <w:rPr>
          <w:rFonts w:ascii="Simplified Arabic" w:hAnsi="Simplified Arabic" w:cs="Simplified Arabic"/>
          <w:sz w:val="28"/>
          <w:szCs w:val="28"/>
        </w:rPr>
        <w:t>PMI, 2021</w:t>
      </w:r>
      <w:r w:rsidRPr="0054043C">
        <w:rPr>
          <w:rFonts w:ascii="Simplified Arabic" w:hAnsi="Simplified Arabic" w:cs="Simplified Arabic"/>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ومن منظور أكاديمي أوسع، يُميّز </w:t>
      </w:r>
      <w:r w:rsidRPr="0054043C">
        <w:rPr>
          <w:rFonts w:ascii="Simplified Arabic" w:hAnsi="Simplified Arabic" w:cs="Simplified Arabic"/>
          <w:sz w:val="28"/>
          <w:szCs w:val="28"/>
        </w:rPr>
        <w:t>Hillson</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w:t>
      </w:r>
      <w:r w:rsidRPr="0054043C">
        <w:rPr>
          <w:rFonts w:ascii="Simplified Arabic" w:hAnsi="Simplified Arabic" w:cs="Simplified Arabic"/>
          <w:sz w:val="28"/>
          <w:szCs w:val="28"/>
        </w:rPr>
        <w:t>Murray-Webster</w:t>
      </w:r>
      <w:r w:rsidRPr="0054043C">
        <w:rPr>
          <w:rFonts w:ascii="Simplified Arabic" w:hAnsi="Simplified Arabic" w:cs="Simplified Arabic"/>
          <w:sz w:val="28"/>
          <w:szCs w:val="28"/>
          <w:rtl/>
        </w:rPr>
        <w:t xml:space="preserve"> 2017) بين نوعين أساسيين من المخاطر في سياق المشاريع: المخاطر الفردية (</w:t>
      </w:r>
      <w:r w:rsidRPr="0054043C">
        <w:rPr>
          <w:rFonts w:ascii="Simplified Arabic" w:hAnsi="Simplified Arabic" w:cs="Simplified Arabic"/>
          <w:sz w:val="28"/>
          <w:szCs w:val="28"/>
        </w:rPr>
        <w:t>Individual Risks</w:t>
      </w:r>
      <w:r w:rsidRPr="0054043C">
        <w:rPr>
          <w:rFonts w:ascii="Simplified Arabic" w:hAnsi="Simplified Arabic" w:cs="Simplified Arabic"/>
          <w:sz w:val="28"/>
          <w:szCs w:val="28"/>
          <w:rtl/>
        </w:rPr>
        <w:t>) التي تؤثر في هدف بعينه من أهداف المشروع، والمخاطر الكلية للمشروع (</w:t>
      </w:r>
      <w:r w:rsidRPr="0054043C">
        <w:rPr>
          <w:rFonts w:ascii="Simplified Arabic" w:hAnsi="Simplified Arabic" w:cs="Simplified Arabic"/>
          <w:sz w:val="28"/>
          <w:szCs w:val="28"/>
        </w:rPr>
        <w:t>Overall Project Risk</w:t>
      </w:r>
      <w:r w:rsidRPr="0054043C">
        <w:rPr>
          <w:rFonts w:ascii="Simplified Arabic" w:hAnsi="Simplified Arabic" w:cs="Simplified Arabic"/>
          <w:sz w:val="28"/>
          <w:szCs w:val="28"/>
          <w:rtl/>
        </w:rPr>
        <w:t xml:space="preserve">) التي تمثل الأثر التجميعي لحالة عدم اليقين </w:t>
      </w:r>
      <w:r w:rsidRPr="0054043C">
        <w:rPr>
          <w:rFonts w:ascii="Simplified Arabic" w:hAnsi="Simplified Arabic" w:cs="Simplified Arabic"/>
          <w:sz w:val="28"/>
          <w:szCs w:val="28"/>
          <w:rtl/>
        </w:rPr>
        <w:lastRenderedPageBreak/>
        <w:t>على المشروع ككل من منظور أصحاب المصلحة. ويُشدّد هذان الباحثان على أن الموقف من الخطر (</w:t>
      </w:r>
      <w:r w:rsidRPr="0054043C">
        <w:rPr>
          <w:rFonts w:ascii="Simplified Arabic" w:hAnsi="Simplified Arabic" w:cs="Simplified Arabic"/>
          <w:sz w:val="28"/>
          <w:szCs w:val="28"/>
        </w:rPr>
        <w:t>Risk Attitude</w:t>
      </w:r>
      <w:r w:rsidRPr="0054043C">
        <w:rPr>
          <w:rFonts w:ascii="Simplified Arabic" w:hAnsi="Simplified Arabic" w:cs="Simplified Arabic"/>
          <w:sz w:val="28"/>
          <w:szCs w:val="28"/>
          <w:rtl/>
        </w:rPr>
        <w:t>) يُمثّل عاملاً نفسياً وسلوكياً حاسماً في تشكيل قرارات إدارة المخاطر وفاعليتها المؤسسية.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2. تعريف إدارة المخاطر</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تطور مفهوم إدارة المخاطر تطوراً ملحوظاً من مجرد وظيفة دفاعية تسعى إلى تجنّب الخسائر، إلى منظومة استراتيجية شاملة تستهدف خلق القيمة وتعزيز الأداء المؤسسي. وقد تعددت تعريفاتها تبعاً لتطور المداخل النظرية ومجالات التطبيق، ويمكن استعراض أبرز هذه التعريفات على النحو الآتي:</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يُعرّف </w:t>
      </w:r>
      <w:r w:rsidRPr="0054043C">
        <w:rPr>
          <w:rFonts w:ascii="Simplified Arabic" w:hAnsi="Simplified Arabic" w:cs="Simplified Arabic"/>
          <w:sz w:val="28"/>
          <w:szCs w:val="28"/>
        </w:rPr>
        <w:t>Masso</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2020) في مراجعتهم المنهجية الشاملة لـ 45 دراسة حول إدارة المخاطر في دورة حياة البرمجيات إدارةَ المخاطر بأنها "مجموعة منظمة من الأنشطة التي تُعرّف المخاطر وتُحللها وتُقيّمها وتعالجها بهدف تخفيف تأثيرها السلبي على نتائج المشروع". وعلى صعيد المعايير الدولية، يُعرّفها معيار </w:t>
      </w:r>
      <w:r w:rsidRPr="0054043C">
        <w:rPr>
          <w:rFonts w:ascii="Simplified Arabic" w:hAnsi="Simplified Arabic" w:cs="Simplified Arabic"/>
          <w:sz w:val="28"/>
          <w:szCs w:val="28"/>
        </w:rPr>
        <w:t>ISO 31000</w:t>
      </w:r>
      <w:r w:rsidRPr="0054043C">
        <w:rPr>
          <w:rFonts w:ascii="Simplified Arabic" w:hAnsi="Simplified Arabic" w:cs="Simplified Arabic"/>
          <w:sz w:val="28"/>
          <w:szCs w:val="28"/>
          <w:rtl/>
        </w:rPr>
        <w:t>:2018 بأنها "الأنشطة المنسّقة لتوجيه المنظمة والتحكم فيها فيما يخص المخاطر"، وهو تعريف يتسم بالشمولية الكافية لاستيعاب التطبيق في سياقات مؤسسية وقطاعية متنوعة (</w:t>
      </w:r>
      <w:r w:rsidRPr="0054043C">
        <w:rPr>
          <w:rFonts w:ascii="Simplified Arabic" w:hAnsi="Simplified Arabic" w:cs="Simplified Arabic"/>
          <w:sz w:val="28"/>
          <w:szCs w:val="28"/>
        </w:rPr>
        <w:t>ISO, 2018</w:t>
      </w:r>
      <w:r w:rsidRPr="0054043C">
        <w:rPr>
          <w:rFonts w:ascii="Simplified Arabic" w:hAnsi="Simplified Arabic" w:cs="Simplified Arabic"/>
          <w:sz w:val="28"/>
          <w:szCs w:val="28"/>
          <w:rtl/>
        </w:rPr>
        <w:t xml:space="preserve">). أما دليل </w:t>
      </w:r>
      <w:r w:rsidRPr="0054043C">
        <w:rPr>
          <w:rFonts w:ascii="Simplified Arabic" w:hAnsi="Simplified Arabic" w:cs="Simplified Arabic"/>
          <w:sz w:val="28"/>
          <w:szCs w:val="28"/>
        </w:rPr>
        <w:t>PMBOK</w:t>
      </w:r>
      <w:r w:rsidRPr="0054043C">
        <w:rPr>
          <w:rFonts w:ascii="Simplified Arabic" w:hAnsi="Simplified Arabic" w:cs="Simplified Arabic"/>
          <w:sz w:val="28"/>
          <w:szCs w:val="28"/>
          <w:rtl/>
        </w:rPr>
        <w:t xml:space="preserve"> في إصداره السابع (</w:t>
      </w:r>
      <w:r w:rsidRPr="0054043C">
        <w:rPr>
          <w:rFonts w:ascii="Simplified Arabic" w:hAnsi="Simplified Arabic" w:cs="Simplified Arabic"/>
          <w:sz w:val="28"/>
          <w:szCs w:val="28"/>
        </w:rPr>
        <w:t>PMI, 2021</w:t>
      </w:r>
      <w:r w:rsidRPr="0054043C">
        <w:rPr>
          <w:rFonts w:ascii="Simplified Arabic" w:hAnsi="Simplified Arabic" w:cs="Simplified Arabic"/>
          <w:sz w:val="28"/>
          <w:szCs w:val="28"/>
          <w:rtl/>
        </w:rPr>
        <w:t>) فيُعرّفها في إطار مجال أداء المخاطر (</w:t>
      </w:r>
      <w:r w:rsidRPr="0054043C">
        <w:rPr>
          <w:rFonts w:ascii="Simplified Arabic" w:hAnsi="Simplified Arabic" w:cs="Simplified Arabic"/>
          <w:sz w:val="28"/>
          <w:szCs w:val="28"/>
        </w:rPr>
        <w:t>Risk Performance Domain</w:t>
      </w:r>
      <w:r w:rsidRPr="0054043C">
        <w:rPr>
          <w:rFonts w:ascii="Simplified Arabic" w:hAnsi="Simplified Arabic" w:cs="Simplified Arabic"/>
          <w:sz w:val="28"/>
          <w:szCs w:val="28"/>
          <w:rtl/>
        </w:rPr>
        <w:t>) بأنها المنظومة المتكاملة من العمليات والممارسات التي تُمكّن المشروع من الاستجابة الاستباقية لحالات عدم اليقين، سواء تعلّق الأمر بالتهديدات التي ينبغي التخفيف منها، أم بالفرص التي ينبغي استثمارها.</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وفي إطار بحثي أعمق، توصّلت دراسة </w:t>
      </w:r>
      <w:r w:rsidRPr="0054043C">
        <w:rPr>
          <w:rFonts w:ascii="Simplified Arabic" w:hAnsi="Simplified Arabic" w:cs="Simplified Arabic"/>
          <w:sz w:val="28"/>
          <w:szCs w:val="28"/>
        </w:rPr>
        <w:t>Willumsen</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2019) المنشورة في </w:t>
      </w:r>
      <w:r w:rsidRPr="0054043C">
        <w:rPr>
          <w:rFonts w:ascii="Simplified Arabic" w:hAnsi="Simplified Arabic" w:cs="Simplified Arabic"/>
          <w:sz w:val="28"/>
          <w:szCs w:val="28"/>
        </w:rPr>
        <w:t>International Journal of Project Management</w:t>
      </w:r>
      <w:r w:rsidRPr="0054043C">
        <w:rPr>
          <w:rFonts w:ascii="Simplified Arabic" w:hAnsi="Simplified Arabic" w:cs="Simplified Arabic"/>
          <w:sz w:val="28"/>
          <w:szCs w:val="28"/>
          <w:rtl/>
        </w:rPr>
        <w:t xml:space="preserve"> — بعد تحليل تجريبي لأكثر من 50 مشروعاً — إلى أن إدارة المخاطر الناضجة تتجاوز الوظيفة الدفاعية لتُصبح آليةً لخلق القيمة المؤسسية، وقد أطلق الباحثون على هذا المنهج مصطلح "إدارة المخاطر القائمة على خلق القيمة" (</w:t>
      </w:r>
      <w:r w:rsidRPr="0054043C">
        <w:rPr>
          <w:rFonts w:ascii="Simplified Arabic" w:hAnsi="Simplified Arabic" w:cs="Simplified Arabic"/>
          <w:sz w:val="28"/>
          <w:szCs w:val="28"/>
        </w:rPr>
        <w:t>Value-Based Risk Management</w:t>
      </w:r>
      <w:r w:rsidRPr="0054043C">
        <w:rPr>
          <w:rFonts w:ascii="Simplified Arabic" w:hAnsi="Simplified Arabic" w:cs="Simplified Arabic"/>
          <w:sz w:val="28"/>
          <w:szCs w:val="28"/>
          <w:rtl/>
        </w:rPr>
        <w:t>)، الذي يُؤكد أن الاستثمار في إدارة المخاطر لا يُقلل الخسائر فحسب، بل يُولّد قيمةً إضافيةً ملموسة للمنظمة.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ثانياً: تطور إدارة المخاطر عبر المراحل التاريخية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شهد حقل إدارة المخاطر تطوراً تدريجياً متسارعاً يمكن رصد مراحله الكبرى على النحو الآتي:</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lastRenderedPageBreak/>
        <w:t>المرحلة الأولى (ما قبل الثمانينيات):</w:t>
      </w:r>
      <w:r w:rsidRPr="0054043C">
        <w:rPr>
          <w:rFonts w:ascii="Simplified Arabic" w:hAnsi="Simplified Arabic" w:cs="Simplified Arabic"/>
          <w:sz w:val="28"/>
          <w:szCs w:val="28"/>
          <w:rtl/>
        </w:rPr>
        <w:t xml:space="preserve"> اقتصرت إدارة المخاطر في هذه المرحلة على الإدارة الدفاعية للتأمين والمخاطر المالية، دون منهجية واضحة أو إطار موحّد. وكانت القرارات المتعلقة بالمخاطر تُتخذ عادةً بصورة حدسية وغير رسمية.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المرحلة الثانية (الثمانينيات والتسعينيات):</w:t>
      </w:r>
      <w:r w:rsidRPr="0054043C">
        <w:rPr>
          <w:rFonts w:ascii="Simplified Arabic" w:hAnsi="Simplified Arabic" w:cs="Simplified Arabic"/>
          <w:sz w:val="28"/>
          <w:szCs w:val="28"/>
          <w:rtl/>
        </w:rPr>
        <w:t xml:space="preserve"> تبلورت في هذه المرحلة أُطر إدارة مخاطر المشاريع الرسمية، إذ أصدر معهد </w:t>
      </w:r>
      <w:r w:rsidRPr="0054043C">
        <w:rPr>
          <w:rFonts w:ascii="Simplified Arabic" w:hAnsi="Simplified Arabic" w:cs="Simplified Arabic"/>
          <w:sz w:val="28"/>
          <w:szCs w:val="28"/>
        </w:rPr>
        <w:t>PMI</w:t>
      </w:r>
      <w:r w:rsidRPr="0054043C">
        <w:rPr>
          <w:rFonts w:ascii="Simplified Arabic" w:hAnsi="Simplified Arabic" w:cs="Simplified Arabic"/>
          <w:sz w:val="28"/>
          <w:szCs w:val="28"/>
          <w:rtl/>
        </w:rPr>
        <w:t xml:space="preserve"> النسخة الأولى من دليل </w:t>
      </w:r>
      <w:r w:rsidRPr="0054043C">
        <w:rPr>
          <w:rFonts w:ascii="Simplified Arabic" w:hAnsi="Simplified Arabic" w:cs="Simplified Arabic"/>
          <w:sz w:val="28"/>
          <w:szCs w:val="28"/>
        </w:rPr>
        <w:t>PMBOK</w:t>
      </w:r>
      <w:r w:rsidRPr="0054043C">
        <w:rPr>
          <w:rFonts w:ascii="Simplified Arabic" w:hAnsi="Simplified Arabic" w:cs="Simplified Arabic"/>
          <w:sz w:val="28"/>
          <w:szCs w:val="28"/>
          <w:rtl/>
        </w:rPr>
        <w:t xml:space="preserve"> عام 1987 متضمنةً إدارة مخاطر المشروع بوصفها مجالاً معرفياً مستقلاً، وأصبحت قوائم التحقق والتقييم الكيفي للمخاطر ممارساتٍ سائدة.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المرحلة الثالثة (العقد الأول من الألفية الثالثة):</w:t>
      </w:r>
      <w:r w:rsidRPr="0054043C">
        <w:rPr>
          <w:rFonts w:ascii="Simplified Arabic" w:hAnsi="Simplified Arabic" w:cs="Simplified Arabic"/>
          <w:sz w:val="28"/>
          <w:szCs w:val="28"/>
          <w:rtl/>
        </w:rPr>
        <w:t xml:space="preserve"> شهدت هذه المرحلة نضجاً ملحوظاً تجلّى في إصدار المنظمة الدولية للمعايير نسختها الأولى من </w:t>
      </w:r>
      <w:r w:rsidRPr="0054043C">
        <w:rPr>
          <w:rFonts w:ascii="Simplified Arabic" w:hAnsi="Simplified Arabic" w:cs="Simplified Arabic"/>
          <w:sz w:val="28"/>
          <w:szCs w:val="28"/>
        </w:rPr>
        <w:t>ISO 31000</w:t>
      </w:r>
      <w:r w:rsidRPr="0054043C">
        <w:rPr>
          <w:rFonts w:ascii="Simplified Arabic" w:hAnsi="Simplified Arabic" w:cs="Simplified Arabic"/>
          <w:sz w:val="28"/>
          <w:szCs w:val="28"/>
          <w:rtl/>
        </w:rPr>
        <w:t xml:space="preserve"> عام 2009، ونشوء مداخل تكاملية جديدة كإدارة المخاطر المؤسسية (</w:t>
      </w:r>
      <w:r w:rsidRPr="0054043C">
        <w:rPr>
          <w:rFonts w:ascii="Simplified Arabic" w:hAnsi="Simplified Arabic" w:cs="Simplified Arabic"/>
          <w:sz w:val="28"/>
          <w:szCs w:val="28"/>
        </w:rPr>
        <w:t>ERM</w:t>
      </w:r>
      <w:r w:rsidRPr="0054043C">
        <w:rPr>
          <w:rFonts w:ascii="Simplified Arabic" w:hAnsi="Simplified Arabic" w:cs="Simplified Arabic"/>
          <w:sz w:val="28"/>
          <w:szCs w:val="28"/>
          <w:rtl/>
        </w:rPr>
        <w:t>) التي أرست فكرة النظر إلى المخاطر من منظور المؤسسة ككل، لا من منظور المشروع المنفرد (</w:t>
      </w:r>
      <w:r w:rsidRPr="0054043C">
        <w:rPr>
          <w:rFonts w:ascii="Simplified Arabic" w:hAnsi="Simplified Arabic" w:cs="Simplified Arabic"/>
          <w:sz w:val="28"/>
          <w:szCs w:val="28"/>
        </w:rPr>
        <w:t>Ferreira de Araújo Lima</w:t>
      </w:r>
      <w:r w:rsidRPr="0054043C">
        <w:rPr>
          <w:rFonts w:ascii="Simplified Arabic" w:hAnsi="Simplified Arabic" w:cs="Simplified Arabic"/>
          <w:sz w:val="28"/>
          <w:szCs w:val="28"/>
          <w:rtl/>
        </w:rPr>
        <w:t xml:space="preserve"> وآخرون، 2020).</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المرحلة الرابعة (2015 إلى الآن):</w:t>
      </w:r>
      <w:r w:rsidRPr="0054043C">
        <w:rPr>
          <w:rFonts w:ascii="Simplified Arabic" w:hAnsi="Simplified Arabic" w:cs="Simplified Arabic"/>
          <w:sz w:val="28"/>
          <w:szCs w:val="28"/>
          <w:rtl/>
        </w:rPr>
        <w:t xml:space="preserve"> تتسم هذه المرحلة بالتحول نحو إدارة المخاطر الاستباقية القائمة على البيانات والتحليلات المتقدمة، مع تصاعد الاهتمام بدمج الذكاء الاصطناعي وتعلم الآلة في منظومة إدارة المخاطر. وقد وثّق </w:t>
      </w:r>
      <w:r w:rsidRPr="0054043C">
        <w:rPr>
          <w:rFonts w:ascii="Simplified Arabic" w:hAnsi="Simplified Arabic" w:cs="Simplified Arabic"/>
          <w:sz w:val="28"/>
          <w:szCs w:val="28"/>
        </w:rPr>
        <w:t>Secundo</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2024) في مراجعتهم المنهجية لـ 42 دراسة كيف يُحوّل التعلم الآلي ممارسات إدارة مخاطر المشاريع من نموذج رد الفعل إلى نموذج التنبؤ والاستباق، مما يفتح آفاقاً جديدةً للتميز المؤسسي في هذا الحقل.</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ثالثاً: أبعاد إدارة المخاطر</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تتوزع أبعاد إدارة المخاطر وفق عدة تصنيفات أكاديمية ومعيارية، وقد استُخلصت من الاستبانة المعتمدة في هذه الدراسة سبعة أبعاد رئيسية تُغطي العمليات والبنية الداعمة لإدارة المخاطر على حدٍّ سواء، وفيما يلي عرض موسّع لكل بُعد مدعوماً بالأدبيات:</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البُعد الأول: تحديد المخاطر (</w:t>
      </w:r>
      <w:r w:rsidRPr="0054043C">
        <w:rPr>
          <w:rFonts w:ascii="Simplified Arabic" w:hAnsi="Simplified Arabic" w:cs="Simplified Arabic"/>
          <w:b/>
          <w:bCs/>
          <w:sz w:val="28"/>
          <w:szCs w:val="28"/>
        </w:rPr>
        <w:t>Risk Identification</w:t>
      </w:r>
      <w:r w:rsidRPr="0054043C">
        <w:rPr>
          <w:rFonts w:ascii="Simplified Arabic" w:hAnsi="Simplified Arabic" w:cs="Simplified Arabic"/>
          <w:b/>
          <w:bCs/>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تحديد المخاطر هو المرحلة التأسيسية في دورة إدارة المخاطر، وتُعرّف بأنها عملية تحديد المخاطر الفردية للمشروع والمصادر الإجمالية لمخاطر المشروع وتوثيق خصائصها (</w:t>
      </w:r>
      <w:r w:rsidRPr="0054043C">
        <w:rPr>
          <w:rFonts w:ascii="Simplified Arabic" w:hAnsi="Simplified Arabic" w:cs="Simplified Arabic"/>
          <w:sz w:val="28"/>
          <w:szCs w:val="28"/>
        </w:rPr>
        <w:t>PMI, 2021</w:t>
      </w:r>
      <w:r w:rsidRPr="0054043C">
        <w:rPr>
          <w:rFonts w:ascii="Simplified Arabic" w:hAnsi="Simplified Arabic" w:cs="Simplified Arabic"/>
          <w:sz w:val="28"/>
          <w:szCs w:val="28"/>
          <w:rtl/>
        </w:rPr>
        <w:t xml:space="preserve">). وتتضمن أدواتها </w:t>
      </w:r>
      <w:r w:rsidRPr="0054043C">
        <w:rPr>
          <w:rFonts w:ascii="Simplified Arabic" w:hAnsi="Simplified Arabic" w:cs="Simplified Arabic"/>
          <w:sz w:val="28"/>
          <w:szCs w:val="28"/>
          <w:rtl/>
        </w:rPr>
        <w:lastRenderedPageBreak/>
        <w:t xml:space="preserve">الرئيسية: عصف الأفكار، والمقابلات مع ذوي الخبرة، وتحليل افتراضيات المشروع، وقوائم الفحص، وتحليل قائمة المخاطر النموذجية. ويؤكد </w:t>
      </w:r>
      <w:r w:rsidRPr="0054043C">
        <w:rPr>
          <w:rFonts w:ascii="Simplified Arabic" w:hAnsi="Simplified Arabic" w:cs="Simplified Arabic"/>
          <w:sz w:val="28"/>
          <w:szCs w:val="28"/>
        </w:rPr>
        <w:t>Masso</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2020) أن تحديد المخاطر المبكر والشامل في مشاريع البرمجيات يُقلل تكاليف معالجتها لاحقاً بنسبة تتراوح بين 30% و40% مقارنةً بالتعامل معها في مراحل التنفيذ.</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وعلى صعيد الدراسات التطبيقية، خلصت دراسة </w:t>
      </w:r>
      <w:r w:rsidRPr="0054043C">
        <w:rPr>
          <w:rFonts w:ascii="Simplified Arabic" w:hAnsi="Simplified Arabic" w:cs="Simplified Arabic"/>
          <w:sz w:val="28"/>
          <w:szCs w:val="28"/>
        </w:rPr>
        <w:t>Muhammad</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2013) في مسحٍ شمل 56 شركة إنشاء وتقنية إلى أن ما نسبته 42% فقط من المنظمات تمتلك عملياتٍ رسميةً لتحديد المخاطر، مما يكشف عن فجوة تطبيقية واسعة تُفسّر جزءاً كبيراً من إخفاقات المشاريع. وفي الإطار ذاته، يُشير</w:t>
      </w:r>
      <w:r>
        <w:rPr>
          <w:rFonts w:ascii="Simplified Arabic" w:hAnsi="Simplified Arabic" w:cs="Simplified Arabic" w:hint="cs"/>
          <w:sz w:val="28"/>
          <w:szCs w:val="28"/>
          <w:rtl/>
        </w:rPr>
        <w:t xml:space="preserve"> (</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Barghi</w:t>
      </w:r>
      <w:r w:rsidRPr="0054043C">
        <w:rPr>
          <w:rFonts w:ascii="Simplified Arabic" w:hAnsi="Simplified Arabic" w:cs="Simplified Arabic"/>
          <w:sz w:val="28"/>
          <w:szCs w:val="28"/>
          <w:rtl/>
        </w:rPr>
        <w:t xml:space="preserve"> و</w:t>
      </w:r>
      <w:r w:rsidRPr="0054043C">
        <w:rPr>
          <w:rFonts w:ascii="Simplified Arabic" w:hAnsi="Simplified Arabic" w:cs="Simplified Arabic"/>
          <w:sz w:val="28"/>
          <w:szCs w:val="28"/>
        </w:rPr>
        <w:t>Shadrokh Sikari</w:t>
      </w:r>
      <w:r w:rsidRPr="0054043C">
        <w:rPr>
          <w:rFonts w:ascii="Simplified Arabic" w:hAnsi="Simplified Arabic" w:cs="Simplified Arabic"/>
          <w:sz w:val="28"/>
          <w:szCs w:val="28"/>
          <w:rtl/>
        </w:rPr>
        <w:t xml:space="preserve"> 2020) إلى أنهما حددا من خلال نموذجهما الهجين القائم على </w:t>
      </w:r>
      <w:r w:rsidRPr="0054043C">
        <w:rPr>
          <w:rFonts w:ascii="Simplified Arabic" w:hAnsi="Simplified Arabic" w:cs="Simplified Arabic"/>
          <w:sz w:val="28"/>
          <w:szCs w:val="28"/>
        </w:rPr>
        <w:t>PMBOK</w:t>
      </w:r>
      <w:r w:rsidRPr="0054043C">
        <w:rPr>
          <w:rFonts w:ascii="Simplified Arabic" w:hAnsi="Simplified Arabic" w:cs="Simplified Arabic"/>
          <w:sz w:val="28"/>
          <w:szCs w:val="28"/>
          <w:rtl/>
        </w:rPr>
        <w:t xml:space="preserve"> ما يزيد على 32 عاملَ خطرٍ نموذجياً في المشاريع، تتوزع على فئات: المخاطر التقنية، والمخاطر الإدارية، والمخاطر التجارية، والمخاطر الخارجية.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البُعد الثاني: تحليل المخاطر (</w:t>
      </w:r>
      <w:r w:rsidRPr="0054043C">
        <w:rPr>
          <w:rFonts w:ascii="Simplified Arabic" w:hAnsi="Simplified Arabic" w:cs="Simplified Arabic"/>
          <w:b/>
          <w:bCs/>
          <w:sz w:val="28"/>
          <w:szCs w:val="28"/>
        </w:rPr>
        <w:t>Risk Analysis</w:t>
      </w:r>
      <w:r w:rsidRPr="0054043C">
        <w:rPr>
          <w:rFonts w:ascii="Simplified Arabic" w:hAnsi="Simplified Arabic" w:cs="Simplified Arabic"/>
          <w:b/>
          <w:bCs/>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تنقسم عملية تحليل المخاطر إلى مستويين متكاملين: التحليل الكيفي والتحليل الكمي. يهدف التحليل الكيفي (</w:t>
      </w:r>
      <w:r w:rsidRPr="0054043C">
        <w:rPr>
          <w:rFonts w:ascii="Simplified Arabic" w:hAnsi="Simplified Arabic" w:cs="Simplified Arabic"/>
          <w:sz w:val="28"/>
          <w:szCs w:val="28"/>
        </w:rPr>
        <w:t>Qualitative Analysis</w:t>
      </w:r>
      <w:r w:rsidRPr="0054043C">
        <w:rPr>
          <w:rFonts w:ascii="Simplified Arabic" w:hAnsi="Simplified Arabic" w:cs="Simplified Arabic"/>
          <w:sz w:val="28"/>
          <w:szCs w:val="28"/>
          <w:rtl/>
        </w:rPr>
        <w:t>) إلى ترتيب المخاطر وفق أولوياتها من خلال تقدير احتمال وقوعها وتأثيرها المحتمل، ويستخدم أدوات كمصفوفة الاحتمال والتأثير. أما التحليل الكمي (</w:t>
      </w:r>
      <w:r w:rsidRPr="0054043C">
        <w:rPr>
          <w:rFonts w:ascii="Simplified Arabic" w:hAnsi="Simplified Arabic" w:cs="Simplified Arabic"/>
          <w:sz w:val="28"/>
          <w:szCs w:val="28"/>
        </w:rPr>
        <w:t>Quantitative Analysis</w:t>
      </w:r>
      <w:r w:rsidRPr="0054043C">
        <w:rPr>
          <w:rFonts w:ascii="Simplified Arabic" w:hAnsi="Simplified Arabic" w:cs="Simplified Arabic"/>
          <w:sz w:val="28"/>
          <w:szCs w:val="28"/>
          <w:rtl/>
        </w:rPr>
        <w:t>) فيسعى إلى تحليل التأثير التراكمي للمخاطر المُحددة بصورة عددية، مستعيناً بأساليب كمحاكاة مونت كارلو وتحليل شجرة القرار (</w:t>
      </w:r>
      <w:r w:rsidRPr="0054043C">
        <w:rPr>
          <w:rFonts w:ascii="Simplified Arabic" w:hAnsi="Simplified Arabic" w:cs="Simplified Arabic"/>
          <w:sz w:val="28"/>
          <w:szCs w:val="28"/>
        </w:rPr>
        <w:t>PMI, 2021</w:t>
      </w:r>
      <w:r w:rsidRPr="0054043C">
        <w:rPr>
          <w:rFonts w:ascii="Simplified Arabic" w:hAnsi="Simplified Arabic" w:cs="Simplified Arabic"/>
          <w:sz w:val="28"/>
          <w:szCs w:val="28"/>
          <w:rtl/>
        </w:rPr>
        <w:t>).</w:t>
      </w:r>
    </w:p>
    <w:p w:rsidR="00424B55"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وتُوضح دراس</w:t>
      </w:r>
      <w:r>
        <w:rPr>
          <w:rFonts w:ascii="Simplified Arabic" w:hAnsi="Simplified Arabic" w:cs="Simplified Arabic" w:hint="cs"/>
          <w:sz w:val="28"/>
          <w:szCs w:val="28"/>
          <w:rtl/>
        </w:rPr>
        <w:t>ة</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Barghi</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w:t>
      </w:r>
      <w:r w:rsidRPr="0054043C">
        <w:rPr>
          <w:rFonts w:ascii="Simplified Arabic" w:hAnsi="Simplified Arabic" w:cs="Simplified Arabic"/>
          <w:sz w:val="28"/>
          <w:szCs w:val="28"/>
        </w:rPr>
        <w:t>Shadrokh Sikari</w:t>
      </w:r>
      <w:r w:rsidRPr="0054043C">
        <w:rPr>
          <w:rFonts w:ascii="Simplified Arabic" w:hAnsi="Simplified Arabic" w:cs="Simplified Arabic"/>
          <w:sz w:val="28"/>
          <w:szCs w:val="28"/>
          <w:rtl/>
        </w:rPr>
        <w:t xml:space="preserve"> 2020) المنشورة في مجلة </w:t>
      </w:r>
      <w:r w:rsidRPr="0054043C">
        <w:rPr>
          <w:rFonts w:ascii="Simplified Arabic" w:hAnsi="Simplified Arabic" w:cs="Simplified Arabic"/>
          <w:sz w:val="28"/>
          <w:szCs w:val="28"/>
        </w:rPr>
        <w:t>Heliyon</w:t>
      </w:r>
      <w:r w:rsidRPr="0054043C">
        <w:rPr>
          <w:rFonts w:ascii="Simplified Arabic" w:hAnsi="Simplified Arabic" w:cs="Simplified Arabic"/>
          <w:sz w:val="28"/>
          <w:szCs w:val="28"/>
          <w:rtl/>
        </w:rPr>
        <w:t xml:space="preserve"> — التي طوّرت نموذجاً هجيناً يجمع بين إطار </w:t>
      </w:r>
      <w:r w:rsidRPr="0054043C">
        <w:rPr>
          <w:rFonts w:ascii="Simplified Arabic" w:hAnsi="Simplified Arabic" w:cs="Simplified Arabic"/>
          <w:sz w:val="28"/>
          <w:szCs w:val="28"/>
        </w:rPr>
        <w:t>PMBOK</w:t>
      </w:r>
      <w:r w:rsidRPr="0054043C">
        <w:rPr>
          <w:rFonts w:ascii="Simplified Arabic" w:hAnsi="Simplified Arabic" w:cs="Simplified Arabic"/>
          <w:sz w:val="28"/>
          <w:szCs w:val="28"/>
          <w:rtl/>
        </w:rPr>
        <w:t xml:space="preserve"> وتقنيات </w:t>
      </w:r>
      <w:r w:rsidRPr="0054043C">
        <w:rPr>
          <w:rFonts w:ascii="Simplified Arabic" w:hAnsi="Simplified Arabic" w:cs="Simplified Arabic"/>
          <w:sz w:val="28"/>
          <w:szCs w:val="28"/>
        </w:rPr>
        <w:t>Fuzzy Delphi</w:t>
      </w:r>
      <w:r w:rsidRPr="0054043C">
        <w:rPr>
          <w:rFonts w:ascii="Simplified Arabic" w:hAnsi="Simplified Arabic" w:cs="Simplified Arabic"/>
          <w:sz w:val="28"/>
          <w:szCs w:val="28"/>
          <w:rtl/>
        </w:rPr>
        <w:t xml:space="preserve"> و</w:t>
      </w:r>
      <w:r w:rsidRPr="0054043C">
        <w:rPr>
          <w:rFonts w:ascii="Simplified Arabic" w:hAnsi="Simplified Arabic" w:cs="Simplified Arabic"/>
          <w:sz w:val="28"/>
          <w:szCs w:val="28"/>
        </w:rPr>
        <w:t>Fuzzy TOPSIS</w:t>
      </w:r>
      <w:r w:rsidRPr="0054043C">
        <w:rPr>
          <w:rFonts w:ascii="Simplified Arabic" w:hAnsi="Simplified Arabic" w:cs="Simplified Arabic"/>
          <w:sz w:val="28"/>
          <w:szCs w:val="28"/>
          <w:rtl/>
        </w:rPr>
        <w:t xml:space="preserve"> — أن التحليل الكيفي والكمي المتكامل للمخاطر يُحسّن دقة قرارات إدارة المشاريع بصورة ذات دلالة إحصائية، ولا سيما في بيئات عدم اليقين العالية التي تتسم بها مشاريع التقنية.</w:t>
      </w:r>
    </w:p>
    <w:p w:rsidR="00424B55"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lastRenderedPageBreak/>
        <w:t>البُعد الثالث: التخطيط للاستجابة للمخاطر (</w:t>
      </w:r>
      <w:r w:rsidRPr="0054043C">
        <w:rPr>
          <w:rFonts w:ascii="Simplified Arabic" w:hAnsi="Simplified Arabic" w:cs="Simplified Arabic"/>
          <w:b/>
          <w:bCs/>
          <w:sz w:val="28"/>
          <w:szCs w:val="28"/>
        </w:rPr>
        <w:t>Risk Response Planning</w:t>
      </w:r>
      <w:r w:rsidRPr="0054043C">
        <w:rPr>
          <w:rFonts w:ascii="Simplified Arabic" w:hAnsi="Simplified Arabic" w:cs="Simplified Arabic"/>
          <w:b/>
          <w:bCs/>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يُعدّ التخطيط للاستجابة للمخاطر الحلقةَ التحويلية التي تُحوّل التحليلَ إلى أفعالٍ ملموسة. ويتضمن هذا البُعد تطوير خياراتٍ واستراتيجياتٍ واتفاقياتٍ معتمدة للتعامل مع مخاطر المشروع، وتشمل استراتيجياته الرئيسية وفق </w:t>
      </w:r>
      <w:r w:rsidRPr="0054043C">
        <w:rPr>
          <w:rFonts w:ascii="Simplified Arabic" w:hAnsi="Simplified Arabic" w:cs="Simplified Arabic"/>
          <w:sz w:val="28"/>
          <w:szCs w:val="28"/>
        </w:rPr>
        <w:t>PMBOK</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2021): التجنّب (</w:t>
      </w:r>
      <w:r w:rsidRPr="0054043C">
        <w:rPr>
          <w:rFonts w:ascii="Simplified Arabic" w:hAnsi="Simplified Arabic" w:cs="Simplified Arabic"/>
          <w:sz w:val="28"/>
          <w:szCs w:val="28"/>
        </w:rPr>
        <w:t>Avoid</w:t>
      </w:r>
      <w:r w:rsidRPr="0054043C">
        <w:rPr>
          <w:rFonts w:ascii="Simplified Arabic" w:hAnsi="Simplified Arabic" w:cs="Simplified Arabic"/>
          <w:sz w:val="28"/>
          <w:szCs w:val="28"/>
          <w:rtl/>
        </w:rPr>
        <w:t>) بتغيير خطة المشروع للقضاء على الخطر، والتحويل (</w:t>
      </w:r>
      <w:r w:rsidRPr="0054043C">
        <w:rPr>
          <w:rFonts w:ascii="Simplified Arabic" w:hAnsi="Simplified Arabic" w:cs="Simplified Arabic"/>
          <w:sz w:val="28"/>
          <w:szCs w:val="28"/>
        </w:rPr>
        <w:t>Transfer</w:t>
      </w:r>
      <w:r w:rsidRPr="0054043C">
        <w:rPr>
          <w:rFonts w:ascii="Simplified Arabic" w:hAnsi="Simplified Arabic" w:cs="Simplified Arabic"/>
          <w:sz w:val="28"/>
          <w:szCs w:val="28"/>
          <w:rtl/>
        </w:rPr>
        <w:t>) بنقل عبء الخطر إلى طرف ثالث، والتخفيف (</w:t>
      </w:r>
      <w:r w:rsidRPr="0054043C">
        <w:rPr>
          <w:rFonts w:ascii="Simplified Arabic" w:hAnsi="Simplified Arabic" w:cs="Simplified Arabic"/>
          <w:sz w:val="28"/>
          <w:szCs w:val="28"/>
        </w:rPr>
        <w:t>Mitigate</w:t>
      </w:r>
      <w:r w:rsidRPr="0054043C">
        <w:rPr>
          <w:rFonts w:ascii="Simplified Arabic" w:hAnsi="Simplified Arabic" w:cs="Simplified Arabic"/>
          <w:sz w:val="28"/>
          <w:szCs w:val="28"/>
          <w:rtl/>
        </w:rPr>
        <w:t>) بتقليل احتمال وقوع الخطر أو أثره، والقبول (</w:t>
      </w:r>
      <w:r w:rsidRPr="0054043C">
        <w:rPr>
          <w:rFonts w:ascii="Simplified Arabic" w:hAnsi="Simplified Arabic" w:cs="Simplified Arabic"/>
          <w:sz w:val="28"/>
          <w:szCs w:val="28"/>
        </w:rPr>
        <w:t>Accept</w:t>
      </w:r>
      <w:r w:rsidRPr="0054043C">
        <w:rPr>
          <w:rFonts w:ascii="Simplified Arabic" w:hAnsi="Simplified Arabic" w:cs="Simplified Arabic"/>
          <w:sz w:val="28"/>
          <w:szCs w:val="28"/>
          <w:rtl/>
        </w:rPr>
        <w:t>) في الحالات التي لا يكون فيها تعديل المشروع ممكناً أو اقتصادياً.</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وقد أكدت دراسة </w:t>
      </w:r>
      <w:r w:rsidRPr="0054043C">
        <w:rPr>
          <w:rFonts w:ascii="Simplified Arabic" w:hAnsi="Simplified Arabic" w:cs="Simplified Arabic"/>
          <w:sz w:val="28"/>
          <w:szCs w:val="28"/>
        </w:rPr>
        <w:t>Kallowa</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2023) المنشورة في </w:t>
      </w:r>
      <w:r w:rsidRPr="0054043C">
        <w:rPr>
          <w:rFonts w:ascii="Simplified Arabic" w:hAnsi="Simplified Arabic" w:cs="Simplified Arabic"/>
          <w:sz w:val="28"/>
          <w:szCs w:val="28"/>
        </w:rPr>
        <w:t>International Journal of Construction Management</w:t>
      </w:r>
      <w:r w:rsidRPr="0054043C">
        <w:rPr>
          <w:rFonts w:ascii="Simplified Arabic" w:hAnsi="Simplified Arabic" w:cs="Simplified Arabic"/>
          <w:sz w:val="28"/>
          <w:szCs w:val="28"/>
          <w:rtl/>
        </w:rPr>
        <w:t xml:space="preserve"> أن وجود خطط استجابة مُحكمة يُمثّل أقوى منبئ وحيد بنجاح المشاريع، مُشيرةً إلى أن المشاريع التي طوّرت خطط استجابة مفصّلة لكل خطر رئيسي حققت معدلاتٍ أعلى من الالتزام بالجداول الزمنية بفارق 34% مقارنةً بالمشاريع التي اكتفت بالتعامل التفاعلي مع المخاطر.</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البُعد الرابع: التقييم الدوري للمخاطر (</w:t>
      </w:r>
      <w:r w:rsidRPr="0054043C">
        <w:rPr>
          <w:rFonts w:ascii="Simplified Arabic" w:hAnsi="Simplified Arabic" w:cs="Simplified Arabic"/>
          <w:b/>
          <w:bCs/>
          <w:sz w:val="28"/>
          <w:szCs w:val="28"/>
        </w:rPr>
        <w:t>Periodic Risk Assessment</w:t>
      </w:r>
      <w:r w:rsidRPr="0054043C">
        <w:rPr>
          <w:rFonts w:ascii="Simplified Arabic" w:hAnsi="Simplified Arabic" w:cs="Simplified Arabic"/>
          <w:b/>
          <w:bCs/>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يُجسّد التقييم الدوري للمخاطر مبدأَ استمرارية إدارة المخاطر على مدار دورة حياة المشروع، ويشمل: رصد المخاطر المُحددة وتتبّعها، وتحديد المخاطر الجديدة وتحليلها، وتقييم فاعلية خطط الاستجابة المطبّقة، وإعداد التقارير الدورية للأطراف المعنية (</w:t>
      </w:r>
      <w:r w:rsidRPr="0054043C">
        <w:rPr>
          <w:rFonts w:ascii="Simplified Arabic" w:hAnsi="Simplified Arabic" w:cs="Simplified Arabic"/>
          <w:sz w:val="28"/>
          <w:szCs w:val="28"/>
        </w:rPr>
        <w:t>PMI, 2021</w:t>
      </w:r>
      <w:r w:rsidRPr="0054043C">
        <w:rPr>
          <w:rFonts w:ascii="Simplified Arabic" w:hAnsi="Simplified Arabic" w:cs="Simplified Arabic"/>
          <w:sz w:val="28"/>
          <w:szCs w:val="28"/>
          <w:rtl/>
        </w:rPr>
        <w:t xml:space="preserve">). ويُفرّق معيار </w:t>
      </w:r>
      <w:r w:rsidRPr="0054043C">
        <w:rPr>
          <w:rFonts w:ascii="Simplified Arabic" w:hAnsi="Simplified Arabic" w:cs="Simplified Arabic"/>
          <w:sz w:val="28"/>
          <w:szCs w:val="28"/>
        </w:rPr>
        <w:t>ISO 31000</w:t>
      </w:r>
      <w:r w:rsidRPr="0054043C">
        <w:rPr>
          <w:rFonts w:ascii="Simplified Arabic" w:hAnsi="Simplified Arabic" w:cs="Simplified Arabic"/>
          <w:sz w:val="28"/>
          <w:szCs w:val="28"/>
          <w:rtl/>
        </w:rPr>
        <w:t>:2018 في هذا الصدد بين مفهومَي المراقبة (</w:t>
      </w:r>
      <w:r w:rsidRPr="0054043C">
        <w:rPr>
          <w:rFonts w:ascii="Simplified Arabic" w:hAnsi="Simplified Arabic" w:cs="Simplified Arabic"/>
          <w:sz w:val="28"/>
          <w:szCs w:val="28"/>
        </w:rPr>
        <w:t>Monitoring</w:t>
      </w:r>
      <w:r w:rsidRPr="0054043C">
        <w:rPr>
          <w:rFonts w:ascii="Simplified Arabic" w:hAnsi="Simplified Arabic" w:cs="Simplified Arabic"/>
          <w:sz w:val="28"/>
          <w:szCs w:val="28"/>
          <w:rtl/>
        </w:rPr>
        <w:t>) التي تعني المراجعة المستمرة الفورية للمخاطر، والمراجعة (</w:t>
      </w:r>
      <w:r w:rsidRPr="0054043C">
        <w:rPr>
          <w:rFonts w:ascii="Simplified Arabic" w:hAnsi="Simplified Arabic" w:cs="Simplified Arabic"/>
          <w:sz w:val="28"/>
          <w:szCs w:val="28"/>
        </w:rPr>
        <w:t>Review</w:t>
      </w:r>
      <w:r w:rsidRPr="0054043C">
        <w:rPr>
          <w:rFonts w:ascii="Simplified Arabic" w:hAnsi="Simplified Arabic" w:cs="Simplified Arabic"/>
          <w:sz w:val="28"/>
          <w:szCs w:val="28"/>
          <w:rtl/>
        </w:rPr>
        <w:t>) التي تعني التقييم الدوري المنظم لمنظومة إدارة المخاطر بأسرها، مُؤكداً أن كليهما ضروريان لصون فاعلية المنظومة (</w:t>
      </w:r>
      <w:r w:rsidRPr="0054043C">
        <w:rPr>
          <w:rFonts w:ascii="Simplified Arabic" w:hAnsi="Simplified Arabic" w:cs="Simplified Arabic"/>
          <w:sz w:val="28"/>
          <w:szCs w:val="28"/>
        </w:rPr>
        <w:t>ISO, 2018</w:t>
      </w:r>
      <w:r w:rsidRPr="0054043C">
        <w:rPr>
          <w:rFonts w:ascii="Simplified Arabic" w:hAnsi="Simplified Arabic" w:cs="Simplified Arabic"/>
          <w:sz w:val="28"/>
          <w:szCs w:val="28"/>
          <w:rtl/>
        </w:rPr>
        <w:t>).</w:t>
      </w:r>
    </w:p>
    <w:p w:rsidR="00424B55"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وعلى الصعيد التطبيقي، خلصت دراسة </w:t>
      </w:r>
      <w:r w:rsidRPr="0054043C">
        <w:rPr>
          <w:rFonts w:ascii="Simplified Arabic" w:hAnsi="Simplified Arabic" w:cs="Simplified Arabic"/>
          <w:sz w:val="28"/>
          <w:szCs w:val="28"/>
        </w:rPr>
        <w:t>de Bakker</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2011) التي حللت 32 دراسة حالة لمشاريع تقنية المعلومات إلى أن التقييم الدوري للمخاطر يرتبط ارتباطاً إيجابياً معنوياً بنجاح مشاريع التقنية، وأن المشاريع التي تُجري تقييمات دورية منتظمة لمخاطرها تُسجّل معدلاتٍ أدنى بكثير من المفاجآت التشغيلية المُكلفة.</w:t>
      </w:r>
    </w:p>
    <w:p w:rsidR="00424B55" w:rsidRPr="0054043C"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lastRenderedPageBreak/>
        <w:t>البُعد الخامس: توظيف الأدوات الحديثة في إدارة المخاطر</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يُشير هذا البُعد إلى مدى اعتماد أصحاب المشاريع التقنية على برمجيات وأدوات وتقنيات حديثة معيارية في إدارة مخاطر مشاريعهم، كبرامج إدارة مخاطر المشاريع المتخصصة (كـ </w:t>
      </w:r>
      <w:r w:rsidRPr="0054043C">
        <w:rPr>
          <w:rFonts w:ascii="Simplified Arabic" w:hAnsi="Simplified Arabic" w:cs="Simplified Arabic"/>
          <w:sz w:val="28"/>
          <w:szCs w:val="28"/>
        </w:rPr>
        <w:t>RiskyProject</w:t>
      </w:r>
      <w:r w:rsidRPr="0054043C">
        <w:rPr>
          <w:rFonts w:ascii="Simplified Arabic" w:hAnsi="Simplified Arabic" w:cs="Simplified Arabic"/>
          <w:sz w:val="28"/>
          <w:szCs w:val="28"/>
          <w:rtl/>
        </w:rPr>
        <w:t xml:space="preserve"> و</w:t>
      </w:r>
      <w:r w:rsidRPr="0054043C">
        <w:rPr>
          <w:rFonts w:ascii="Simplified Arabic" w:hAnsi="Simplified Arabic" w:cs="Simplified Arabic"/>
          <w:sz w:val="28"/>
          <w:szCs w:val="28"/>
        </w:rPr>
        <w:t>Active Risk Manager</w:t>
      </w:r>
      <w:r w:rsidRPr="0054043C">
        <w:rPr>
          <w:rFonts w:ascii="Simplified Arabic" w:hAnsi="Simplified Arabic" w:cs="Simplified Arabic"/>
          <w:sz w:val="28"/>
          <w:szCs w:val="28"/>
          <w:rtl/>
        </w:rPr>
        <w:t xml:space="preserve"> و</w:t>
      </w:r>
      <w:r w:rsidRPr="0054043C">
        <w:rPr>
          <w:rFonts w:ascii="Simplified Arabic" w:hAnsi="Simplified Arabic" w:cs="Simplified Arabic"/>
          <w:sz w:val="28"/>
          <w:szCs w:val="28"/>
        </w:rPr>
        <w:t>Primavera Risk Analysis</w:t>
      </w:r>
      <w:r w:rsidRPr="0054043C">
        <w:rPr>
          <w:rFonts w:ascii="Simplified Arabic" w:hAnsi="Simplified Arabic" w:cs="Simplified Arabic"/>
          <w:sz w:val="28"/>
          <w:szCs w:val="28"/>
          <w:rtl/>
        </w:rPr>
        <w:t xml:space="preserve">)، وأدوات التحليل الإحصائي (كمحاكاة مونت كارلو)، وتطبيقات الذكاء الاصطناعي وتعلم الآلة في التنبؤ بالمخاطر. وقد وثّقت دراسة </w:t>
      </w:r>
      <w:r w:rsidRPr="0054043C">
        <w:rPr>
          <w:rFonts w:ascii="Simplified Arabic" w:hAnsi="Simplified Arabic" w:cs="Simplified Arabic"/>
          <w:sz w:val="28"/>
          <w:szCs w:val="28"/>
        </w:rPr>
        <w:t>Muhammad</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2013) في مسحها الواسع أن استخدام أدوات البرمجيات في إدارة مخاطر المشاريع لا يزال محدوداً في الصناعات التقنية، إذ لا تتجاوز نسبة استخدام البرمجيات المتخصصة 38% من المنظمات المُستطلعة.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وفي سياق مستحدث، كشفت دراسة </w:t>
      </w:r>
      <w:r w:rsidRPr="0054043C">
        <w:rPr>
          <w:rFonts w:ascii="Simplified Arabic" w:hAnsi="Simplified Arabic" w:cs="Simplified Arabic"/>
          <w:sz w:val="28"/>
          <w:szCs w:val="28"/>
        </w:rPr>
        <w:t>Secundo</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2024) أن تقنيات التعلم الآلي باتت تُوفر قدراتٍ تنبؤية متقدمة في رصد مخاطر المشاريع وتصنيفها وترتيبها أوتوماتيكياً، مما يُحوّل إدارة المخاطر من ممارسة دورية إلى منظومة ذكاء استباقي مستمر.</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البُعد السادس: تدريب العاملين على إدارة المخاطر</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يُمثّل تدريب العاملين الركيزةَ البشرية التي تُعطي منظومة إدارة المخاطر حياتَها وفاعليتَها، إذ لا قيمة لأفضل الأطر والأدوات المنهجية بمعزل عن كوادر بشرية مؤهلة تُدير وتُطبّق وتُطوّر هذه المنظومة. وتُشير </w:t>
      </w:r>
      <w:r w:rsidRPr="0054043C">
        <w:rPr>
          <w:rFonts w:ascii="Simplified Arabic" w:hAnsi="Simplified Arabic" w:cs="Simplified Arabic"/>
          <w:sz w:val="28"/>
          <w:szCs w:val="28"/>
        </w:rPr>
        <w:t>Ferreira de Araújo Lima</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2020) في مراجعتهم المنهجية إلى أن كفاءة العاملين في إدارة المخاطر تُعدّ أحد أبرز العوامل الحاسمة في نجاح تطبيق إدارة مخاطر المشاريع في المنشآت الصغيرة والمتوسطة. وعلى الصعيد المعياري، تُقدّم منظمة </w:t>
      </w:r>
      <w:r w:rsidRPr="0054043C">
        <w:rPr>
          <w:rFonts w:ascii="Simplified Arabic" w:hAnsi="Simplified Arabic" w:cs="Simplified Arabic"/>
          <w:sz w:val="28"/>
          <w:szCs w:val="28"/>
        </w:rPr>
        <w:t>PMI</w:t>
      </w:r>
      <w:r w:rsidRPr="0054043C">
        <w:rPr>
          <w:rFonts w:ascii="Simplified Arabic" w:hAnsi="Simplified Arabic" w:cs="Simplified Arabic"/>
          <w:sz w:val="28"/>
          <w:szCs w:val="28"/>
          <w:rtl/>
        </w:rPr>
        <w:t xml:space="preserve"> شهاداتٍ احترافيةً متخصصة في إدارة المخاطر كشهادة </w:t>
      </w:r>
      <w:r w:rsidRPr="0054043C">
        <w:rPr>
          <w:rFonts w:ascii="Simplified Arabic" w:hAnsi="Simplified Arabic" w:cs="Simplified Arabic"/>
          <w:sz w:val="28"/>
          <w:szCs w:val="28"/>
        </w:rPr>
        <w:t>PMI-RMP</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Risk Management Professional</w:t>
      </w:r>
      <w:r w:rsidRPr="0054043C">
        <w:rPr>
          <w:rFonts w:ascii="Simplified Arabic" w:hAnsi="Simplified Arabic" w:cs="Simplified Arabic"/>
          <w:sz w:val="28"/>
          <w:szCs w:val="28"/>
          <w:rtl/>
        </w:rPr>
        <w:t xml:space="preserve">) لتأهيل الكوادر البشرية، في حين توصي معايير </w:t>
      </w:r>
      <w:r w:rsidRPr="0054043C">
        <w:rPr>
          <w:rFonts w:ascii="Simplified Arabic" w:hAnsi="Simplified Arabic" w:cs="Simplified Arabic"/>
          <w:sz w:val="28"/>
          <w:szCs w:val="28"/>
        </w:rPr>
        <w:t>ISO 31000</w:t>
      </w:r>
      <w:r w:rsidRPr="0054043C">
        <w:rPr>
          <w:rFonts w:ascii="Simplified Arabic" w:hAnsi="Simplified Arabic" w:cs="Simplified Arabic"/>
          <w:sz w:val="28"/>
          <w:szCs w:val="28"/>
          <w:rtl/>
        </w:rPr>
        <w:t>:2018 بضرورة بناء الكفاءات المؤسسية في إدارة المخاطر من خلال برامج التأهيل والتطوير المستمر.</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وقد خلصت دراسة </w:t>
      </w:r>
      <w:r w:rsidRPr="0054043C">
        <w:rPr>
          <w:rFonts w:ascii="Simplified Arabic" w:hAnsi="Simplified Arabic" w:cs="Simplified Arabic"/>
          <w:sz w:val="28"/>
          <w:szCs w:val="28"/>
        </w:rPr>
        <w:t>Ferreira de Araújo Lima</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2021) المنشورة في </w:t>
      </w:r>
      <w:r w:rsidRPr="0054043C">
        <w:rPr>
          <w:rFonts w:ascii="Simplified Arabic" w:hAnsi="Simplified Arabic" w:cs="Simplified Arabic"/>
          <w:sz w:val="28"/>
          <w:szCs w:val="28"/>
        </w:rPr>
        <w:t>International Journal of Managing Projects in Business</w:t>
      </w:r>
      <w:r w:rsidRPr="0054043C">
        <w:rPr>
          <w:rFonts w:ascii="Simplified Arabic" w:hAnsi="Simplified Arabic" w:cs="Simplified Arabic"/>
          <w:sz w:val="28"/>
          <w:szCs w:val="28"/>
          <w:rtl/>
        </w:rPr>
        <w:t xml:space="preserve"> — التي حللت عشر حالات لمشاريع ناجحة — إلى </w:t>
      </w:r>
      <w:r w:rsidRPr="0054043C">
        <w:rPr>
          <w:rFonts w:ascii="Simplified Arabic" w:hAnsi="Simplified Arabic" w:cs="Simplified Arabic"/>
          <w:sz w:val="28"/>
          <w:szCs w:val="28"/>
          <w:rtl/>
        </w:rPr>
        <w:lastRenderedPageBreak/>
        <w:t>أن الاستثمار في تدريب العاملين على إدارة المخاطر يُمثّل أحد العوامل الثلاثة الرئيسية لتطبيق ناجح لإدارة مخاطر المشاريع، إلى جانب دعم الإدارة العليا وتوفير الموارد الكافية.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البُعد السابع: توثيق المخاطر والدروس المستفادة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يُعدّ توثيق المخاطر والدروس المستفادة الركيزة المعرفية لإدارة المخاطر المؤسسية، إذ يُحوّل الخبرات الفردية والمؤسسية المتراكمة إلى رأسمال معرفي مُشترك يُغذّي المشاريع المستقبلية بالمعلومات والرؤى اللازمة لتجنّب الأخطاء المتكررة واستنساخ التجارب الناجحة. ويُحدد دليل </w:t>
      </w:r>
      <w:r w:rsidRPr="0054043C">
        <w:rPr>
          <w:rFonts w:ascii="Simplified Arabic" w:hAnsi="Simplified Arabic" w:cs="Simplified Arabic"/>
          <w:sz w:val="28"/>
          <w:szCs w:val="28"/>
        </w:rPr>
        <w:t>PMBOK</w:t>
      </w:r>
      <w:r w:rsidRPr="0054043C">
        <w:rPr>
          <w:rFonts w:ascii="Simplified Arabic" w:hAnsi="Simplified Arabic" w:cs="Simplified Arabic"/>
          <w:sz w:val="28"/>
          <w:szCs w:val="28"/>
          <w:rtl/>
        </w:rPr>
        <w:t xml:space="preserve"> السابع (</w:t>
      </w:r>
      <w:r w:rsidRPr="0054043C">
        <w:rPr>
          <w:rFonts w:ascii="Simplified Arabic" w:hAnsi="Simplified Arabic" w:cs="Simplified Arabic"/>
          <w:sz w:val="28"/>
          <w:szCs w:val="28"/>
        </w:rPr>
        <w:t>PMI, 2021</w:t>
      </w:r>
      <w:r w:rsidRPr="0054043C">
        <w:rPr>
          <w:rFonts w:ascii="Simplified Arabic" w:hAnsi="Simplified Arabic" w:cs="Simplified Arabic"/>
          <w:sz w:val="28"/>
          <w:szCs w:val="28"/>
          <w:rtl/>
        </w:rPr>
        <w:t>) مستودع الدروس المستفادة (</w:t>
      </w:r>
      <w:r w:rsidRPr="0054043C">
        <w:rPr>
          <w:rFonts w:ascii="Simplified Arabic" w:hAnsi="Simplified Arabic" w:cs="Simplified Arabic"/>
          <w:sz w:val="28"/>
          <w:szCs w:val="28"/>
        </w:rPr>
        <w:t>Lessons Learned Repository</w:t>
      </w:r>
      <w:r w:rsidRPr="0054043C">
        <w:rPr>
          <w:rFonts w:ascii="Simplified Arabic" w:hAnsi="Simplified Arabic" w:cs="Simplified Arabic"/>
          <w:sz w:val="28"/>
          <w:szCs w:val="28"/>
          <w:rtl/>
        </w:rPr>
        <w:t>) بوصفه مُخرَجاً جوهرياً يُضاف إلى الأصول التنظيمية للمؤسسة في نهاية كل مشروع.</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وتُؤكد دراسة </w:t>
      </w:r>
      <w:r w:rsidRPr="0054043C">
        <w:rPr>
          <w:rFonts w:ascii="Simplified Arabic" w:hAnsi="Simplified Arabic" w:cs="Simplified Arabic"/>
          <w:sz w:val="28"/>
          <w:szCs w:val="28"/>
        </w:rPr>
        <w:t>Bannerman</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2008) التي حللت 17 مشروعاً برمجياً فاشلاً أن غياب توثيق مخاطر المشاريع وعدم الاستفادة من الدروس المستفادة يُمثّل نمطاً متكرراً في المشاريع الفاشلة، وأن المنظمات التي طوّرت قواعد بيانات للمخاطر المُوثّقة حققت تحسّناً ملموساً في أداء مشاريعها اللاحقة.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رابعاً: النماذج الرئيسية لإدارة المخاطر</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 xml:space="preserve">1. نموذج إدارة المخاطر وفق </w:t>
      </w:r>
      <w:r w:rsidRPr="0054043C">
        <w:rPr>
          <w:rFonts w:ascii="Simplified Arabic" w:hAnsi="Simplified Arabic" w:cs="Simplified Arabic"/>
          <w:b/>
          <w:bCs/>
          <w:sz w:val="28"/>
          <w:szCs w:val="28"/>
        </w:rPr>
        <w:t>PMBOK</w:t>
      </w:r>
      <w:r w:rsidRPr="0054043C">
        <w:rPr>
          <w:rFonts w:ascii="Simplified Arabic" w:hAnsi="Simplified Arabic" w:cs="Simplified Arabic"/>
          <w:b/>
          <w:bCs/>
          <w:sz w:val="28"/>
          <w:szCs w:val="28"/>
          <w:rtl/>
        </w:rPr>
        <w:t xml:space="preserve"> السابع (</w:t>
      </w:r>
      <w:r w:rsidRPr="0054043C">
        <w:rPr>
          <w:rFonts w:ascii="Simplified Arabic" w:hAnsi="Simplified Arabic" w:cs="Simplified Arabic"/>
          <w:b/>
          <w:bCs/>
          <w:sz w:val="28"/>
          <w:szCs w:val="28"/>
        </w:rPr>
        <w:t>PMI, 2021</w:t>
      </w:r>
      <w:r w:rsidRPr="0054043C">
        <w:rPr>
          <w:rFonts w:ascii="Simplified Arabic" w:hAnsi="Simplified Arabic" w:cs="Simplified Arabic"/>
          <w:b/>
          <w:bCs/>
          <w:sz w:val="28"/>
          <w:szCs w:val="28"/>
          <w:rtl/>
        </w:rPr>
        <w:t>)</w:t>
      </w:r>
    </w:p>
    <w:p w:rsidR="00424B55"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يُقدّم الإصدار السابع من دليل </w:t>
      </w:r>
      <w:r w:rsidRPr="0054043C">
        <w:rPr>
          <w:rFonts w:ascii="Simplified Arabic" w:hAnsi="Simplified Arabic" w:cs="Simplified Arabic"/>
          <w:sz w:val="28"/>
          <w:szCs w:val="28"/>
        </w:rPr>
        <w:t>PMBOK</w:t>
      </w:r>
      <w:r w:rsidRPr="0054043C">
        <w:rPr>
          <w:rFonts w:ascii="Simplified Arabic" w:hAnsi="Simplified Arabic" w:cs="Simplified Arabic"/>
          <w:sz w:val="28"/>
          <w:szCs w:val="28"/>
          <w:rtl/>
        </w:rPr>
        <w:t xml:space="preserve"> منهجاً قائماً على المبادئ (</w:t>
      </w:r>
      <w:r w:rsidRPr="0054043C">
        <w:rPr>
          <w:rFonts w:ascii="Simplified Arabic" w:hAnsi="Simplified Arabic" w:cs="Simplified Arabic"/>
          <w:sz w:val="28"/>
          <w:szCs w:val="28"/>
        </w:rPr>
        <w:t>Principle-Based Approach</w:t>
      </w:r>
      <w:r w:rsidRPr="0054043C">
        <w:rPr>
          <w:rFonts w:ascii="Simplified Arabic" w:hAnsi="Simplified Arabic" w:cs="Simplified Arabic"/>
          <w:sz w:val="28"/>
          <w:szCs w:val="28"/>
          <w:rtl/>
        </w:rPr>
        <w:t>) يتضمن 12 مبدأً للإدارة الرشيدة للمشاريع، يحتل "التعامل مع عدم اليقين والمرونة" مكانةً محوريةً بينها. ويُنظّم هذا الإصدار إدارة المخاطر ضمن مجال أداء المخاطر (</w:t>
      </w:r>
      <w:r w:rsidRPr="0054043C">
        <w:rPr>
          <w:rFonts w:ascii="Simplified Arabic" w:hAnsi="Simplified Arabic" w:cs="Simplified Arabic"/>
          <w:sz w:val="28"/>
          <w:szCs w:val="28"/>
        </w:rPr>
        <w:t>Risk Performance Domain</w:t>
      </w:r>
      <w:r w:rsidRPr="0054043C">
        <w:rPr>
          <w:rFonts w:ascii="Simplified Arabic" w:hAnsi="Simplified Arabic" w:cs="Simplified Arabic"/>
          <w:sz w:val="28"/>
          <w:szCs w:val="28"/>
          <w:rtl/>
        </w:rPr>
        <w:t>) الذي يُؤكد ضرورة الموازنة بين الاستجابة للتهديدات واستثمار الفرص، محدّداً خمسة مبادئ لتحقيق مجال أداء المخاطر الفعّال: التحديد المستمر، والتقييم المنهجي، والاستجابة المناسبة، والمراقبة الدائمة، والتواصل الفعّال مع أصحاب المصلحة (</w:t>
      </w:r>
      <w:r w:rsidRPr="0054043C">
        <w:rPr>
          <w:rFonts w:ascii="Simplified Arabic" w:hAnsi="Simplified Arabic" w:cs="Simplified Arabic"/>
          <w:sz w:val="28"/>
          <w:szCs w:val="28"/>
        </w:rPr>
        <w:t>PMI, 2021</w:t>
      </w:r>
      <w:r w:rsidRPr="0054043C">
        <w:rPr>
          <w:rFonts w:ascii="Simplified Arabic" w:hAnsi="Simplified Arabic" w:cs="Simplified Arabic"/>
          <w:sz w:val="28"/>
          <w:szCs w:val="28"/>
          <w:rtl/>
        </w:rPr>
        <w:t>).</w:t>
      </w:r>
    </w:p>
    <w:p w:rsidR="00424B55"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lastRenderedPageBreak/>
        <w:t xml:space="preserve">2. نموذج </w:t>
      </w:r>
      <w:r w:rsidRPr="0054043C">
        <w:rPr>
          <w:rFonts w:ascii="Simplified Arabic" w:hAnsi="Simplified Arabic" w:cs="Simplified Arabic"/>
          <w:b/>
          <w:bCs/>
          <w:sz w:val="28"/>
          <w:szCs w:val="28"/>
        </w:rPr>
        <w:t>ISO 31000</w:t>
      </w:r>
      <w:r w:rsidRPr="0054043C">
        <w:rPr>
          <w:rFonts w:ascii="Simplified Arabic" w:hAnsi="Simplified Arabic" w:cs="Simplified Arabic"/>
          <w:b/>
          <w:bCs/>
          <w:sz w:val="28"/>
          <w:szCs w:val="28"/>
          <w:rtl/>
        </w:rPr>
        <w:t>:2018</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يُقدّم معيار </w:t>
      </w:r>
      <w:r w:rsidRPr="0054043C">
        <w:rPr>
          <w:rFonts w:ascii="Simplified Arabic" w:hAnsi="Simplified Arabic" w:cs="Simplified Arabic"/>
          <w:sz w:val="28"/>
          <w:szCs w:val="28"/>
        </w:rPr>
        <w:t>ISO 31000</w:t>
      </w:r>
      <w:r w:rsidRPr="0054043C">
        <w:rPr>
          <w:rFonts w:ascii="Simplified Arabic" w:hAnsi="Simplified Arabic" w:cs="Simplified Arabic"/>
          <w:sz w:val="28"/>
          <w:szCs w:val="28"/>
          <w:rtl/>
        </w:rPr>
        <w:t>:2018 إطاراً شاملاً لإدارة المخاطر في أي منظمة بصرف النظر عن طبيعتها أو قطاعها أو حجمها، ويرتكز على ثمانية مبادئ جوهرية: التكامل (</w:t>
      </w:r>
      <w:r w:rsidRPr="0054043C">
        <w:rPr>
          <w:rFonts w:ascii="Simplified Arabic" w:hAnsi="Simplified Arabic" w:cs="Simplified Arabic"/>
          <w:sz w:val="28"/>
          <w:szCs w:val="28"/>
        </w:rPr>
        <w:t>Integrated</w:t>
      </w:r>
      <w:r w:rsidRPr="0054043C">
        <w:rPr>
          <w:rFonts w:ascii="Simplified Arabic" w:hAnsi="Simplified Arabic" w:cs="Simplified Arabic"/>
          <w:sz w:val="28"/>
          <w:szCs w:val="28"/>
          <w:rtl/>
        </w:rPr>
        <w:t>)، والشمولية (</w:t>
      </w:r>
      <w:r w:rsidRPr="0054043C">
        <w:rPr>
          <w:rFonts w:ascii="Simplified Arabic" w:hAnsi="Simplified Arabic" w:cs="Simplified Arabic"/>
          <w:sz w:val="28"/>
          <w:szCs w:val="28"/>
        </w:rPr>
        <w:t>Comprehensive</w:t>
      </w:r>
      <w:r w:rsidRPr="0054043C">
        <w:rPr>
          <w:rFonts w:ascii="Simplified Arabic" w:hAnsi="Simplified Arabic" w:cs="Simplified Arabic"/>
          <w:sz w:val="28"/>
          <w:szCs w:val="28"/>
          <w:rtl/>
        </w:rPr>
        <w:t>)، والتخصيص (</w:t>
      </w:r>
      <w:r w:rsidRPr="0054043C">
        <w:rPr>
          <w:rFonts w:ascii="Simplified Arabic" w:hAnsi="Simplified Arabic" w:cs="Simplified Arabic"/>
          <w:sz w:val="28"/>
          <w:szCs w:val="28"/>
        </w:rPr>
        <w:t>Customized</w:t>
      </w:r>
      <w:r w:rsidRPr="0054043C">
        <w:rPr>
          <w:rFonts w:ascii="Simplified Arabic" w:hAnsi="Simplified Arabic" w:cs="Simplified Arabic"/>
          <w:sz w:val="28"/>
          <w:szCs w:val="28"/>
          <w:rtl/>
        </w:rPr>
        <w:t>)، والشمول (</w:t>
      </w:r>
      <w:r w:rsidRPr="0054043C">
        <w:rPr>
          <w:rFonts w:ascii="Simplified Arabic" w:hAnsi="Simplified Arabic" w:cs="Simplified Arabic"/>
          <w:sz w:val="28"/>
          <w:szCs w:val="28"/>
        </w:rPr>
        <w:t>Inclusive</w:t>
      </w:r>
      <w:r w:rsidRPr="0054043C">
        <w:rPr>
          <w:rFonts w:ascii="Simplified Arabic" w:hAnsi="Simplified Arabic" w:cs="Simplified Arabic"/>
          <w:sz w:val="28"/>
          <w:szCs w:val="28"/>
          <w:rtl/>
        </w:rPr>
        <w:t>)، والديناميكية (</w:t>
      </w:r>
      <w:r w:rsidRPr="0054043C">
        <w:rPr>
          <w:rFonts w:ascii="Simplified Arabic" w:hAnsi="Simplified Arabic" w:cs="Simplified Arabic"/>
          <w:sz w:val="28"/>
          <w:szCs w:val="28"/>
        </w:rPr>
        <w:t>Dynamic</w:t>
      </w:r>
      <w:r w:rsidRPr="0054043C">
        <w:rPr>
          <w:rFonts w:ascii="Simplified Arabic" w:hAnsi="Simplified Arabic" w:cs="Simplified Arabic"/>
          <w:sz w:val="28"/>
          <w:szCs w:val="28"/>
          <w:rtl/>
        </w:rPr>
        <w:t>)، وأفضل المعلومات المتاحة، والعوامل البشرية والثقافية، والتحسين المستمر (</w:t>
      </w:r>
      <w:r w:rsidRPr="0054043C">
        <w:rPr>
          <w:rFonts w:ascii="Simplified Arabic" w:hAnsi="Simplified Arabic" w:cs="Simplified Arabic"/>
          <w:sz w:val="28"/>
          <w:szCs w:val="28"/>
        </w:rPr>
        <w:t>ISO, 2018</w:t>
      </w:r>
      <w:r w:rsidRPr="0054043C">
        <w:rPr>
          <w:rFonts w:ascii="Simplified Arabic" w:hAnsi="Simplified Arabic" w:cs="Simplified Arabic"/>
          <w:sz w:val="28"/>
          <w:szCs w:val="28"/>
          <w:rtl/>
        </w:rPr>
        <w:t xml:space="preserve">). ويتميز هذا المعيار عن </w:t>
      </w:r>
      <w:r w:rsidRPr="0054043C">
        <w:rPr>
          <w:rFonts w:ascii="Simplified Arabic" w:hAnsi="Simplified Arabic" w:cs="Simplified Arabic"/>
          <w:sz w:val="28"/>
          <w:szCs w:val="28"/>
        </w:rPr>
        <w:t>PMBOK</w:t>
      </w:r>
      <w:r w:rsidRPr="0054043C">
        <w:rPr>
          <w:rFonts w:ascii="Simplified Arabic" w:hAnsi="Simplified Arabic" w:cs="Simplified Arabic"/>
          <w:sz w:val="28"/>
          <w:szCs w:val="28"/>
          <w:rtl/>
        </w:rPr>
        <w:t xml:space="preserve"> بكونه أكثر شمولاً وأقل تقييداً، إذ يُمكن تطبيقه على المخاطر المؤسسية الإجمالية لا مخاطر المشاريع فحسب. وقد أجرى </w:t>
      </w:r>
      <w:r w:rsidRPr="0054043C">
        <w:rPr>
          <w:rFonts w:ascii="Simplified Arabic" w:hAnsi="Simplified Arabic" w:cs="Simplified Arabic"/>
          <w:sz w:val="28"/>
          <w:szCs w:val="28"/>
        </w:rPr>
        <w:t>Vargas</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w:t>
      </w:r>
      <w:r w:rsidRPr="0054043C">
        <w:rPr>
          <w:rFonts w:ascii="Simplified Arabic" w:hAnsi="Simplified Arabic" w:cs="Simplified Arabic"/>
          <w:sz w:val="28"/>
          <w:szCs w:val="28"/>
        </w:rPr>
        <w:t>Campos</w:t>
      </w:r>
      <w:r w:rsidRPr="0054043C">
        <w:rPr>
          <w:rFonts w:ascii="Simplified Arabic" w:hAnsi="Simplified Arabic" w:cs="Simplified Arabic"/>
          <w:sz w:val="28"/>
          <w:szCs w:val="28"/>
          <w:rtl/>
        </w:rPr>
        <w:t xml:space="preserve"> 2022) في مؤتمر </w:t>
      </w:r>
      <w:r w:rsidRPr="0054043C">
        <w:rPr>
          <w:rFonts w:ascii="Simplified Arabic" w:hAnsi="Simplified Arabic" w:cs="Simplified Arabic"/>
          <w:sz w:val="28"/>
          <w:szCs w:val="28"/>
        </w:rPr>
        <w:t>IEOM</w:t>
      </w:r>
      <w:r w:rsidRPr="0054043C">
        <w:rPr>
          <w:rFonts w:ascii="Simplified Arabic" w:hAnsi="Simplified Arabic" w:cs="Simplified Arabic"/>
          <w:sz w:val="28"/>
          <w:szCs w:val="28"/>
          <w:rtl/>
        </w:rPr>
        <w:t xml:space="preserve"> مقارنةً تفصيليةً بين الإطارين، خلصا فيها إلى أن أوجه التشابه بينهما تفوق أوجه الاختلاف وأن دمجهما معاً يُولّد منظومةً إدارية أكثر نضجاً وشمولية.</w:t>
      </w:r>
    </w:p>
    <w:p w:rsidR="00424B55" w:rsidRPr="0054043C" w:rsidRDefault="00424B55" w:rsidP="00424B55">
      <w:pPr>
        <w:pStyle w:val="Heading2"/>
      </w:pPr>
      <w:bookmarkStart w:id="2" w:name="_Toc224781447"/>
      <w:r w:rsidRPr="0054043C">
        <w:rPr>
          <w:rtl/>
        </w:rPr>
        <w:t>المبحث الثاني: التميز التنظيمي — المفهوم والأبعاد والنماذج</w:t>
      </w:r>
      <w:bookmarkEnd w:id="2"/>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أولاً: تطور مفهوم التميز التنظيمي</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شهد مفهوم التميز التنظيمي (</w:t>
      </w:r>
      <w:r w:rsidRPr="0054043C">
        <w:rPr>
          <w:rFonts w:ascii="Simplified Arabic" w:hAnsi="Simplified Arabic" w:cs="Simplified Arabic"/>
          <w:sz w:val="28"/>
          <w:szCs w:val="28"/>
        </w:rPr>
        <w:t>Organizational Excellence</w:t>
      </w:r>
      <w:r w:rsidRPr="0054043C">
        <w:rPr>
          <w:rFonts w:ascii="Simplified Arabic" w:hAnsi="Simplified Arabic" w:cs="Simplified Arabic"/>
          <w:sz w:val="28"/>
          <w:szCs w:val="28"/>
          <w:rtl/>
        </w:rPr>
        <w:t xml:space="preserve">) تطوراً مفاهيمياً وتطبيقياً عميقاً منذ مطلع ثمانينيات القرن العشرين، حين أصدر </w:t>
      </w:r>
      <w:r w:rsidRPr="0054043C">
        <w:rPr>
          <w:rFonts w:ascii="Simplified Arabic" w:hAnsi="Simplified Arabic" w:cs="Simplified Arabic"/>
          <w:sz w:val="28"/>
          <w:szCs w:val="28"/>
        </w:rPr>
        <w:t>Peters</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w:t>
      </w:r>
      <w:r w:rsidRPr="0054043C">
        <w:rPr>
          <w:rFonts w:ascii="Simplified Arabic" w:hAnsi="Simplified Arabic" w:cs="Simplified Arabic"/>
          <w:sz w:val="28"/>
          <w:szCs w:val="28"/>
        </w:rPr>
        <w:t>Waterman</w:t>
      </w:r>
      <w:r w:rsidRPr="0054043C">
        <w:rPr>
          <w:rFonts w:ascii="Simplified Arabic" w:hAnsi="Simplified Arabic" w:cs="Simplified Arabic"/>
          <w:sz w:val="28"/>
          <w:szCs w:val="28"/>
          <w:rtl/>
        </w:rPr>
        <w:t xml:space="preserve"> 1982) كتابهما الرائد "</w:t>
      </w:r>
      <w:r w:rsidRPr="0054043C">
        <w:rPr>
          <w:rFonts w:ascii="Simplified Arabic" w:hAnsi="Simplified Arabic" w:cs="Simplified Arabic"/>
          <w:sz w:val="28"/>
          <w:szCs w:val="28"/>
        </w:rPr>
        <w:t>In Search of Excellence</w:t>
      </w:r>
      <w:r w:rsidRPr="0054043C">
        <w:rPr>
          <w:rFonts w:ascii="Simplified Arabic" w:hAnsi="Simplified Arabic" w:cs="Simplified Arabic"/>
          <w:sz w:val="28"/>
          <w:szCs w:val="28"/>
          <w:rtl/>
        </w:rPr>
        <w:t>" الذي كشف عن الممارسات المشتركة بين الشركات الأمريكية الأكثر نجاحاً، وأرسى فكرة أن التميز المؤسسي ليس صفةً عرضيةً أو نتيجةً لعوامل خارجية، بل هو مُخرَج منهجي لممارسات إدارية محددة وقابلة للتعلم والتكرار. ومنذ ذلك الحين، تشعّب المفهوم واتسعت أبعاده لتشمل أنظمة متكاملة من الممارسات والعمليات والقيادة والأداء التنظيمي.</w:t>
      </w:r>
    </w:p>
    <w:p w:rsidR="00424B55"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وقد رصدت مراجعة </w:t>
      </w:r>
      <w:r w:rsidRPr="0054043C">
        <w:rPr>
          <w:rFonts w:ascii="Simplified Arabic" w:hAnsi="Simplified Arabic" w:cs="Simplified Arabic"/>
          <w:sz w:val="28"/>
          <w:szCs w:val="28"/>
        </w:rPr>
        <w:t>Ubaid</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2020) المنهجية الشاملة — التي تُعدّ من أكثر المراجعات استشهاداً في هذا الحقل — ستةً وأربعين منهجيةً للتميز التنظيمي تتوزع على قطاعات متعددة، كاشفةً أن هذه المنهجيات تشترك في 47 عاملَ نجاحٍ حرجاً، يتصدرها: التوجه نحو العميل، والقيادة الفعّالة، والتحسين المستمر، وإدارة العمليات، والتطوير البشري، وصنع القرار القائم على المعلومات.</w:t>
      </w:r>
    </w:p>
    <w:p w:rsidR="00424B55" w:rsidRPr="0054043C"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lastRenderedPageBreak/>
        <w:t>ثانياً: تعريف التميز التنظيمي</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تتعدد تعريفات التميز التنظيمي وتتباين بحسب الإطار المرجعي الذي يُعتمد، غير أن ثمة جوهراً مشتركاً يجمعها. فالمنظمة الأوروبية لإدارة الجودة </w:t>
      </w:r>
      <w:r w:rsidRPr="0054043C">
        <w:rPr>
          <w:rFonts w:ascii="Simplified Arabic" w:hAnsi="Simplified Arabic" w:cs="Simplified Arabic"/>
          <w:sz w:val="28"/>
          <w:szCs w:val="28"/>
        </w:rPr>
        <w:t>EFQM</w:t>
      </w:r>
      <w:r w:rsidRPr="0054043C">
        <w:rPr>
          <w:rFonts w:ascii="Simplified Arabic" w:hAnsi="Simplified Arabic" w:cs="Simplified Arabic"/>
          <w:sz w:val="28"/>
          <w:szCs w:val="28"/>
          <w:rtl/>
        </w:rPr>
        <w:t xml:space="preserve"> تُعرّف التميز بأنه "ممارسات التميز في تسيير المنظمة وتحقيق النتائج" بصورة مستدامة تُرضي جميع أصحاب المصلحة (</w:t>
      </w:r>
      <w:r w:rsidRPr="0054043C">
        <w:rPr>
          <w:rFonts w:ascii="Simplified Arabic" w:hAnsi="Simplified Arabic" w:cs="Simplified Arabic"/>
          <w:sz w:val="28"/>
          <w:szCs w:val="28"/>
        </w:rPr>
        <w:t>Fonseca, 2022</w:t>
      </w:r>
      <w:r w:rsidRPr="0054043C">
        <w:rPr>
          <w:rFonts w:ascii="Simplified Arabic" w:hAnsi="Simplified Arabic" w:cs="Simplified Arabic"/>
          <w:sz w:val="28"/>
          <w:szCs w:val="28"/>
          <w:rtl/>
        </w:rPr>
        <w:t xml:space="preserve">). ويُقدّم </w:t>
      </w:r>
      <w:r w:rsidRPr="0054043C">
        <w:rPr>
          <w:rFonts w:ascii="Simplified Arabic" w:hAnsi="Simplified Arabic" w:cs="Simplified Arabic"/>
          <w:sz w:val="28"/>
          <w:szCs w:val="28"/>
        </w:rPr>
        <w:t>Jabnoun</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2020) تعريفاً أكثر شمولاً إذ يصف التميز التنظيمي بأنه "قدرة المنظمة على تحقيق أداء استثنائي ومستدام في أبعاد متعددة تشمل الجودة والكفاءة والابتكار والاستجابة لاحتياجات أصحاب المصلحة، مع المحافظة على ذلك الأداء على المدى البعيد".</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أما في السياق العربي، فيُعرّفه </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الربيعي 2024) في دراسته المنشورة في مجلة الكوت بأنه "مستوى الأداء المؤسسي الذي يتجاوز المعايير المعتادة ويُرسّخ المنظمة في موقع الريادة التنافسية في قطاعها"، مع التأكيد على ارتباطه الوثيق بتطبيق تقنية المعلومات وتوظيفها في تعزيز عمليات المنظمة. وتُشير </w:t>
      </w:r>
      <w:r>
        <w:rPr>
          <w:rFonts w:ascii="Simplified Arabic" w:hAnsi="Simplified Arabic" w:cs="Simplified Arabic"/>
          <w:sz w:val="28"/>
          <w:szCs w:val="28"/>
        </w:rPr>
        <w:t>)</w:t>
      </w:r>
      <w:r w:rsidRPr="0054043C">
        <w:rPr>
          <w:rFonts w:ascii="Simplified Arabic" w:hAnsi="Simplified Arabic" w:cs="Simplified Arabic"/>
          <w:sz w:val="28"/>
          <w:szCs w:val="28"/>
          <w:rtl/>
        </w:rPr>
        <w:t>الحارثي 2024) في دراستها التطبيقية على شركة عبداللطيف جميل إلى أن التميز المؤسسي يتجسّد في الممارسات التنظيمية التي تُحقق رضا المتعاملين وتُعزز القدرة التنافسية وتضمن الاستمرارية المؤسسية في بيئات الأعمال المتقلبة.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ثالثاً: أبعاد التميز التنظيمي في الدراسة الحالية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استناداً إلى الاستبانة المعتمدة في هذه الدراسة، ومقارنةً بما أسفرت عنه الأدبيات الأكاديمية المستعرضة، يمكن تحديد سبعة أبعاد رئيسية للتميز التنظيمي في سياق المشاريع التقنية، وفيما يلي عرضٌ موسّعٌ لكل بُعد:</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البُعد الأول: تحسين الأداء التنظيمي</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يُمثّل تحسين الأداء التنظيمي الغايةَ الكلية للتميز، ويتجلى في تطوير مؤشرات الكفاءة والفاعلية المؤسسية بصورة مستمرة ومنهجية. وتُؤكد </w:t>
      </w:r>
      <w:r w:rsidRPr="0054043C">
        <w:rPr>
          <w:rFonts w:ascii="Simplified Arabic" w:hAnsi="Simplified Arabic" w:cs="Simplified Arabic"/>
          <w:sz w:val="28"/>
          <w:szCs w:val="28"/>
        </w:rPr>
        <w:t>Carvalho</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2023) في دراستهم المقارنة لعشر حالات صناعية أن التميز التشغيلي يرتبط ارتباطاً عضوياً بالقدرة على قياس الأداء ومقارنته بالمعايير المرجعية واتخاذ إجراءات التصحيح والتحسين في توقيتات مناسبة، موضّحين أن المنظمات التي تُدمج ثقافة التحسين المستمر مع القدرة على التكيف تُحقق مستويات تميز أعلى بدلالة إحصائية.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lastRenderedPageBreak/>
        <w:t>البُعد الثاني: تحقيق الأهداف الاستراتيجية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يُجسّد هذا البُعد مدى قدرة المنظمة على ترجمة رؤيتها الاستراتيجية إلى نتائج ميدانية ملموسة وقابلة للقياس. ويُشير</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Ershadi</w:t>
      </w:r>
      <w:r w:rsidRPr="0054043C">
        <w:rPr>
          <w:rFonts w:ascii="Simplified Arabic" w:hAnsi="Simplified Arabic" w:cs="Simplified Arabic"/>
          <w:sz w:val="28"/>
          <w:szCs w:val="28"/>
          <w:rtl/>
        </w:rPr>
        <w:t xml:space="preserve"> و</w:t>
      </w:r>
      <w:r w:rsidRPr="0054043C">
        <w:rPr>
          <w:rFonts w:ascii="Simplified Arabic" w:hAnsi="Simplified Arabic" w:cs="Simplified Arabic"/>
          <w:sz w:val="28"/>
          <w:szCs w:val="28"/>
        </w:rPr>
        <w:t>Eskandari Dehdazzi</w:t>
      </w:r>
      <w:r w:rsidRPr="0054043C">
        <w:rPr>
          <w:rFonts w:ascii="Simplified Arabic" w:hAnsi="Simplified Arabic" w:cs="Simplified Arabic"/>
          <w:sz w:val="28"/>
          <w:szCs w:val="28"/>
          <w:rtl/>
        </w:rPr>
        <w:t xml:space="preserve"> 2019) في دراستهما المنشورة في </w:t>
      </w:r>
      <w:r w:rsidRPr="0054043C">
        <w:rPr>
          <w:rFonts w:ascii="Simplified Arabic" w:hAnsi="Simplified Arabic" w:cs="Simplified Arabic"/>
          <w:sz w:val="28"/>
          <w:szCs w:val="28"/>
        </w:rPr>
        <w:t>The TQM Journal</w:t>
      </w:r>
      <w:r w:rsidRPr="0054043C">
        <w:rPr>
          <w:rFonts w:ascii="Simplified Arabic" w:hAnsi="Simplified Arabic" w:cs="Simplified Arabic"/>
          <w:sz w:val="28"/>
          <w:szCs w:val="28"/>
          <w:rtl/>
        </w:rPr>
        <w:t xml:space="preserve"> إلى أن التفكير الاستراتيجي — بأبعاده الثلاثة: الرؤية المستقبلية، والتفكير الإبداعي، والتفكير المنظومي — يُمثّل شرطاً ضرورياً لتفعيل نماذج التميز التنظيمي، إذ بدونه تتحوّل أطر التميز إلى شكليات إدارية بلا محتوى فاعل. وفي سياق المشاريع التقنية تحديداً، يتجلى هذا البُعد في قدرة المشروع على بلوغ أهدافه الاستراتيجية في الوقت المحدد وضمن الموارد المُخططة مع تحقيق القيمة المستهدفة لأصحاب المصلحة.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البُعد الثالث: جودة المشاريع التقنية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تُعدّ جودة المخرجات والعمليات أحد الركائز الكلاسيكية التي قام عليها مفهوم التميز التنظيمي منذ نشأته الأولى، وقد توسّع مدلولها في سياق المشاريع التقنية ليشمل: جودة الكود البرمجي والمنتج التقني، وجودة العمليات الإدارية المُصاحبة، وجودة تجربة المستخدم النهائي، وجودة التوثيق التقني. وقد أكدت دراسة </w:t>
      </w:r>
      <w:r w:rsidRPr="0054043C">
        <w:rPr>
          <w:rFonts w:ascii="Simplified Arabic" w:hAnsi="Simplified Arabic" w:cs="Simplified Arabic"/>
          <w:sz w:val="28"/>
          <w:szCs w:val="28"/>
        </w:rPr>
        <w:t>Muhammad</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2013) أن ممارسات إدارة المخاطر المحكمة ترتبط ارتباطاً وثيقاً بتحسين جودة مخرجات مشاريع البرمجيات، من خلال الكشف المبكر عن عيوب التصميم وثغرات المتطلبات قبل أن تنضج وتُصبح مكلفة المعالجة.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البُعد الرابع: كفاءة استخدام الموارد</w:t>
      </w:r>
    </w:p>
    <w:p w:rsidR="00424B55"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يُعكس هذا البُعد قدرة المنظمة على استثمار مواردها المتاحة — البشرية والمادية والمالية والمعلوماتية — بأقصى كفاءة ممكنة. وفي سياق المشاريع التقنية، تتجلى كفاءة الموارد في: الالتزام بالميزانيات المُخططة، ومنع الهدر في ساعات العمل، وتحسين توزيع المهام والمسؤوليات، وتعظيم عائد الاستثمار في التقنية. وتُبيّن دراسة </w:t>
      </w:r>
      <w:r w:rsidRPr="0054043C">
        <w:rPr>
          <w:rFonts w:ascii="Simplified Arabic" w:hAnsi="Simplified Arabic" w:cs="Simplified Arabic"/>
          <w:sz w:val="28"/>
          <w:szCs w:val="28"/>
        </w:rPr>
        <w:t>Ubaid</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2020) أن الإدارة الرشيدة للموارد تُمثّل أحد العوامل الثلاثة الأكثر ارتباطاً بالتميز التنظيمي عبر مختلف القطاعات والمنهجيات الست والأربعين التي استعرضتها مراجعتهم المنهجية.</w:t>
      </w:r>
    </w:p>
    <w:p w:rsidR="00424B55"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lastRenderedPageBreak/>
        <w:t>البُعد الخامس: جودة اتخاذ القرارات الإدارية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يُشير هذا البُعد إلى مستوى رشادة القرارات الإدارية وسرعتها ودقتها في مواجهة التحديات والتعقيدات التي تعترض المشاريع التقنية. ويتعلق بمدى استناد هذه القرارات إلى بيانات موثوقة وتحليلات دقيقة، بدلاً من الحدس والتجربة والخطأ. ويؤكد </w:t>
      </w:r>
      <w:r w:rsidRPr="0054043C">
        <w:rPr>
          <w:rFonts w:ascii="Simplified Arabic" w:hAnsi="Simplified Arabic" w:cs="Simplified Arabic"/>
          <w:sz w:val="28"/>
          <w:szCs w:val="28"/>
        </w:rPr>
        <w:t>Jabnoun</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2020) أن القرار الإداري الرشيد — المُستند إلى معلومات دقيقة وتحليل مُعمّق للبدائل — هو الرافد الأساسي للتميز المؤسسي المستدام، في حين تكشف دراسة </w:t>
      </w:r>
      <w:r w:rsidRPr="0054043C">
        <w:rPr>
          <w:rFonts w:ascii="Simplified Arabic" w:hAnsi="Simplified Arabic" w:cs="Simplified Arabic"/>
          <w:sz w:val="28"/>
          <w:szCs w:val="28"/>
        </w:rPr>
        <w:t>Bocoya-Maline</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2024) المنشورة في </w:t>
      </w:r>
      <w:r w:rsidRPr="0054043C">
        <w:rPr>
          <w:rFonts w:ascii="Simplified Arabic" w:hAnsi="Simplified Arabic" w:cs="Simplified Arabic"/>
          <w:sz w:val="28"/>
          <w:szCs w:val="28"/>
        </w:rPr>
        <w:t>Review of Managerial Science</w:t>
      </w:r>
      <w:r w:rsidRPr="0054043C">
        <w:rPr>
          <w:rFonts w:ascii="Simplified Arabic" w:hAnsi="Simplified Arabic" w:cs="Simplified Arabic"/>
          <w:sz w:val="28"/>
          <w:szCs w:val="28"/>
          <w:rtl/>
        </w:rPr>
        <w:t xml:space="preserve"> أن المنظمات التي تُطبّق نموذج </w:t>
      </w:r>
      <w:r w:rsidRPr="0054043C">
        <w:rPr>
          <w:rFonts w:ascii="Simplified Arabic" w:hAnsi="Simplified Arabic" w:cs="Simplified Arabic"/>
          <w:sz w:val="28"/>
          <w:szCs w:val="28"/>
        </w:rPr>
        <w:t>EFQM</w:t>
      </w:r>
      <w:r w:rsidRPr="0054043C">
        <w:rPr>
          <w:rFonts w:ascii="Simplified Arabic" w:hAnsi="Simplified Arabic" w:cs="Simplified Arabic"/>
          <w:sz w:val="28"/>
          <w:szCs w:val="28"/>
          <w:rtl/>
        </w:rPr>
        <w:t xml:space="preserve"> بدرجات عالية تُسجّل مستوياتٍ أعلى في جودة القرارات الإدارية بسبب ارتكازها على ثقافة المعلومات والتحليل.</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البُعد السادس: تحقيق الميزة التنافسية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يُجسّد هذا البُعد القدرة التنافسية للمنظمة في سوقها ومدى تمايزها عن المنافسين. وفي سياق المشاريع التقنية، تتجلى الميزة التنافسية في: الابتكار والتجديد المستمر، وسرعة الاستجابة للتغييرات التقنية والسوقية، والكلفة التنافسية، ومستوى رضا العملاء وولائهم. وتكشف دراسة </w:t>
      </w:r>
      <w:r>
        <w:rPr>
          <w:rFonts w:ascii="Simplified Arabic" w:hAnsi="Simplified Arabic" w:cs="Simplified Arabic"/>
          <w:sz w:val="28"/>
          <w:szCs w:val="28"/>
        </w:rPr>
        <w:t>)</w:t>
      </w:r>
      <w:r w:rsidRPr="0054043C">
        <w:rPr>
          <w:rFonts w:ascii="Simplified Arabic" w:hAnsi="Simplified Arabic" w:cs="Simplified Arabic"/>
          <w:sz w:val="28"/>
          <w:szCs w:val="28"/>
          <w:rtl/>
        </w:rPr>
        <w:t>الحارثي 2024) التطبيقية أن التميز المؤسسي يُولّد ميزة تنافسية مستدامة تتجلى في القدرة على الاستقطاب والاحتفاظ بأفضل الكفاءات، وفي الحصة السوقية المتنامية، وفي تكرار الأعمال مع العملاء الراضين.</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البُعد السابع: استمرارية نجاح المشاريع التقنية</w:t>
      </w:r>
    </w:p>
    <w:p w:rsidR="00424B55"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يُمثّل هذا البُعد الاختبارَ الحقيقي والنهائي للتميز التنظيمي، إذ لا يتجلى التميز في نجاح مشروع واحد إنجازاً عرضياً، بل في القدرة على استنساخ النجاح وتكراره وتطويره عبر مشاريع متعاقبة. وتُشير نتائج دراسة </w:t>
      </w:r>
      <w:r w:rsidRPr="0054043C">
        <w:rPr>
          <w:rFonts w:ascii="Simplified Arabic" w:hAnsi="Simplified Arabic" w:cs="Simplified Arabic"/>
          <w:sz w:val="28"/>
          <w:szCs w:val="28"/>
        </w:rPr>
        <w:t>Bocoya-Maline</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2024) إلى أن المنظمات التي تُدار وفق نموذج </w:t>
      </w:r>
      <w:r w:rsidRPr="0054043C">
        <w:rPr>
          <w:rFonts w:ascii="Simplified Arabic" w:hAnsi="Simplified Arabic" w:cs="Simplified Arabic"/>
          <w:sz w:val="28"/>
          <w:szCs w:val="28"/>
        </w:rPr>
        <w:t>EFQM</w:t>
      </w:r>
      <w:r w:rsidRPr="0054043C">
        <w:rPr>
          <w:rFonts w:ascii="Simplified Arabic" w:hAnsi="Simplified Arabic" w:cs="Simplified Arabic"/>
          <w:sz w:val="28"/>
          <w:szCs w:val="28"/>
          <w:rtl/>
        </w:rPr>
        <w:t xml:space="preserve"> تُحقق معدلاتٍ أعلى من الاستمرارية في الأداء المتميز، مؤكدةً أن هذه الاستمرارية تعتمد على قدرة المنظمة على المُأسسة (</w:t>
      </w:r>
      <w:r w:rsidRPr="0054043C">
        <w:rPr>
          <w:rFonts w:ascii="Simplified Arabic" w:hAnsi="Simplified Arabic" w:cs="Simplified Arabic"/>
          <w:sz w:val="28"/>
          <w:szCs w:val="28"/>
        </w:rPr>
        <w:t>Institutionalization</w:t>
      </w:r>
      <w:r w:rsidRPr="0054043C">
        <w:rPr>
          <w:rFonts w:ascii="Simplified Arabic" w:hAnsi="Simplified Arabic" w:cs="Simplified Arabic"/>
          <w:sz w:val="28"/>
          <w:szCs w:val="28"/>
          <w:rtl/>
        </w:rPr>
        <w:t>) أي تحويل الممارسات الناجحة من مبادرات فردية إلى أنظمة مؤسسية راسخة ومُدوَّنة.</w:t>
      </w:r>
    </w:p>
    <w:p w:rsidR="00424B55" w:rsidRPr="0054043C"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lastRenderedPageBreak/>
        <w:t>رابعاً: أبرز نماذج التميز التنظيمي</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 xml:space="preserve">1. نموذج المنظمة الأوروبية لإدارة الجودة </w:t>
      </w:r>
      <w:r w:rsidRPr="0054043C">
        <w:rPr>
          <w:rFonts w:ascii="Simplified Arabic" w:hAnsi="Simplified Arabic" w:cs="Simplified Arabic"/>
          <w:b/>
          <w:bCs/>
          <w:sz w:val="28"/>
          <w:szCs w:val="28"/>
        </w:rPr>
        <w:t>EFQM 2020</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يُعدّ نموذج </w:t>
      </w:r>
      <w:r w:rsidRPr="0054043C">
        <w:rPr>
          <w:rFonts w:ascii="Simplified Arabic" w:hAnsi="Simplified Arabic" w:cs="Simplified Arabic"/>
          <w:sz w:val="28"/>
          <w:szCs w:val="28"/>
        </w:rPr>
        <w:t>EFQM</w:t>
      </w:r>
      <w:r w:rsidRPr="0054043C">
        <w:rPr>
          <w:rFonts w:ascii="Simplified Arabic" w:hAnsi="Simplified Arabic" w:cs="Simplified Arabic"/>
          <w:sz w:val="28"/>
          <w:szCs w:val="28"/>
          <w:rtl/>
        </w:rPr>
        <w:t xml:space="preserve"> من أكثر نماذج التميز التنظيمي انتشاراً وتطبيقاً على المستوى الدولي، وقد شهد آخر تحديث جذري له عام 2020 ليتضمن سبعة معايير موزعة على ثلاثة أبعاد رئيسية: الاتجاه (</w:t>
      </w:r>
      <w:r w:rsidRPr="0054043C">
        <w:rPr>
          <w:rFonts w:ascii="Simplified Arabic" w:hAnsi="Simplified Arabic" w:cs="Simplified Arabic"/>
          <w:sz w:val="28"/>
          <w:szCs w:val="28"/>
        </w:rPr>
        <w:t>Direction</w:t>
      </w:r>
      <w:r w:rsidRPr="0054043C">
        <w:rPr>
          <w:rFonts w:ascii="Simplified Arabic" w:hAnsi="Simplified Arabic" w:cs="Simplified Arabic"/>
          <w:sz w:val="28"/>
          <w:szCs w:val="28"/>
          <w:rtl/>
        </w:rPr>
        <w:t>) ويشمل الغرض والرؤية والاستراتيجية؛ والتنفيذ (</w:t>
      </w:r>
      <w:r w:rsidRPr="0054043C">
        <w:rPr>
          <w:rFonts w:ascii="Simplified Arabic" w:hAnsi="Simplified Arabic" w:cs="Simplified Arabic"/>
          <w:sz w:val="28"/>
          <w:szCs w:val="28"/>
        </w:rPr>
        <w:t>Execution</w:t>
      </w:r>
      <w:r w:rsidRPr="0054043C">
        <w:rPr>
          <w:rFonts w:ascii="Simplified Arabic" w:hAnsi="Simplified Arabic" w:cs="Simplified Arabic"/>
          <w:sz w:val="28"/>
          <w:szCs w:val="28"/>
          <w:rtl/>
        </w:rPr>
        <w:t>) ويشمل ثقافة المنظمة وقيادتها، ومشاركة أصحاب المصلحة، وخلق القيمة المستدامة؛ والنتائج (</w:t>
      </w:r>
      <w:r w:rsidRPr="0054043C">
        <w:rPr>
          <w:rFonts w:ascii="Simplified Arabic" w:hAnsi="Simplified Arabic" w:cs="Simplified Arabic"/>
          <w:sz w:val="28"/>
          <w:szCs w:val="28"/>
        </w:rPr>
        <w:t>Results</w:t>
      </w:r>
      <w:r w:rsidRPr="0054043C">
        <w:rPr>
          <w:rFonts w:ascii="Simplified Arabic" w:hAnsi="Simplified Arabic" w:cs="Simplified Arabic"/>
          <w:sz w:val="28"/>
          <w:szCs w:val="28"/>
          <w:rtl/>
        </w:rPr>
        <w:t>) ويشمل مخرجات أصحاب المصلحة وأداء الاستراتيجية والقدرات (</w:t>
      </w:r>
      <w:r w:rsidRPr="0054043C">
        <w:rPr>
          <w:rFonts w:ascii="Simplified Arabic" w:hAnsi="Simplified Arabic" w:cs="Simplified Arabic"/>
          <w:sz w:val="28"/>
          <w:szCs w:val="28"/>
        </w:rPr>
        <w:t>Fonseca, 2022</w:t>
      </w:r>
      <w:r w:rsidRPr="0054043C">
        <w:rPr>
          <w:rFonts w:ascii="Simplified Arabic" w:hAnsi="Simplified Arabic" w:cs="Simplified Arabic"/>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ويستخدم النموذج أداة </w:t>
      </w:r>
      <w:r w:rsidRPr="0054043C">
        <w:rPr>
          <w:rFonts w:ascii="Simplified Arabic" w:hAnsi="Simplified Arabic" w:cs="Simplified Arabic"/>
          <w:sz w:val="28"/>
          <w:szCs w:val="28"/>
        </w:rPr>
        <w:t>RADAR</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Results, Approach, Deployment, Assessment and Refinement</w:t>
      </w:r>
      <w:r w:rsidRPr="0054043C">
        <w:rPr>
          <w:rFonts w:ascii="Simplified Arabic" w:hAnsi="Simplified Arabic" w:cs="Simplified Arabic"/>
          <w:sz w:val="28"/>
          <w:szCs w:val="28"/>
          <w:rtl/>
        </w:rPr>
        <w:t xml:space="preserve">) لتقييم المنظمات في كل معيار من معاييره السبعة بحد أقصى 1000 نقطة. وقد أكد </w:t>
      </w:r>
      <w:r w:rsidRPr="0054043C">
        <w:rPr>
          <w:rFonts w:ascii="Simplified Arabic" w:hAnsi="Simplified Arabic" w:cs="Simplified Arabic"/>
          <w:sz w:val="28"/>
          <w:szCs w:val="28"/>
        </w:rPr>
        <w:t>Fonseca</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2021) في دراستهم المنشورة في مجلة </w:t>
      </w:r>
      <w:r w:rsidRPr="0054043C">
        <w:rPr>
          <w:rFonts w:ascii="Simplified Arabic" w:hAnsi="Simplified Arabic" w:cs="Simplified Arabic"/>
          <w:sz w:val="28"/>
          <w:szCs w:val="28"/>
        </w:rPr>
        <w:t>Sustainability</w:t>
      </w:r>
      <w:r w:rsidRPr="0054043C">
        <w:rPr>
          <w:rFonts w:ascii="Simplified Arabic" w:hAnsi="Simplified Arabic" w:cs="Simplified Arabic"/>
          <w:sz w:val="28"/>
          <w:szCs w:val="28"/>
          <w:rtl/>
        </w:rPr>
        <w:t xml:space="preserve"> أن نموذج </w:t>
      </w:r>
      <w:r w:rsidRPr="0054043C">
        <w:rPr>
          <w:rFonts w:ascii="Simplified Arabic" w:hAnsi="Simplified Arabic" w:cs="Simplified Arabic"/>
          <w:sz w:val="28"/>
          <w:szCs w:val="28"/>
        </w:rPr>
        <w:t>EFQM 2020</w:t>
      </w:r>
      <w:r w:rsidRPr="0054043C">
        <w:rPr>
          <w:rFonts w:ascii="Simplified Arabic" w:hAnsi="Simplified Arabic" w:cs="Simplified Arabic"/>
          <w:sz w:val="28"/>
          <w:szCs w:val="28"/>
          <w:rtl/>
        </w:rPr>
        <w:t xml:space="preserve"> يتوافق بدرجة عالية مع متطلبات التحول الرقمي الصناعي، مما يجعله نموذجاً ملائماً بوجه خاص لتقييم التميز التنظيمي في المشاريع والشركات التقنية.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2. نموذج بالدريج الأمريكي للتميز (</w:t>
      </w:r>
      <w:r w:rsidRPr="0054043C">
        <w:rPr>
          <w:rFonts w:ascii="Simplified Arabic" w:hAnsi="Simplified Arabic" w:cs="Simplified Arabic"/>
          <w:b/>
          <w:bCs/>
          <w:sz w:val="28"/>
          <w:szCs w:val="28"/>
        </w:rPr>
        <w:t>Malcolm Baldrige National Quality Award</w:t>
      </w:r>
      <w:r w:rsidRPr="0054043C">
        <w:rPr>
          <w:rFonts w:ascii="Simplified Arabic" w:hAnsi="Simplified Arabic" w:cs="Simplified Arabic"/>
          <w:b/>
          <w:bCs/>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طُوّر نموذج بالدريج الأمريكي عام 1987 بوصفه إطاراً لتقييم التميز المؤسسي في القطاعات الصناعية والخدمية والتعليمية، ويُقيّم المنظمات في سبعة فئات: القيادة، والتخطيط الاستراتيجي، والتركيز على العملاء، والقياس والتحليل وإدارة المعرفة، والقوى العاملة، وعمليات العمل، والنتائج (</w:t>
      </w:r>
      <w:r w:rsidRPr="0054043C">
        <w:rPr>
          <w:rFonts w:ascii="Simplified Arabic" w:hAnsi="Simplified Arabic" w:cs="Simplified Arabic"/>
          <w:sz w:val="28"/>
          <w:szCs w:val="28"/>
        </w:rPr>
        <w:t>Ubaid</w:t>
      </w:r>
      <w:r w:rsidRPr="0054043C">
        <w:rPr>
          <w:rFonts w:ascii="Simplified Arabic" w:hAnsi="Simplified Arabic" w:cs="Simplified Arabic"/>
          <w:sz w:val="28"/>
          <w:szCs w:val="28"/>
          <w:rtl/>
        </w:rPr>
        <w:t xml:space="preserve"> وآخرون، 2020). ويتمايز هذا النموذج عن </w:t>
      </w:r>
      <w:r w:rsidRPr="0054043C">
        <w:rPr>
          <w:rFonts w:ascii="Simplified Arabic" w:hAnsi="Simplified Arabic" w:cs="Simplified Arabic"/>
          <w:sz w:val="28"/>
          <w:szCs w:val="28"/>
        </w:rPr>
        <w:t>EFQM</w:t>
      </w:r>
      <w:r w:rsidRPr="0054043C">
        <w:rPr>
          <w:rFonts w:ascii="Simplified Arabic" w:hAnsi="Simplified Arabic" w:cs="Simplified Arabic"/>
          <w:sz w:val="28"/>
          <w:szCs w:val="28"/>
          <w:rtl/>
        </w:rPr>
        <w:t xml:space="preserve"> بتركيزه الأوسع على ربط الاستراتيجية بالنتائج القابلة للقياس، وباهتمامه البالغ بإدارة المعرفة المؤسسية والتعلم التنظيمي.</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3. نموذج جائزة الملك عبدالعزيز للجودة (السياق السعودي)</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في السياق السعودي المباشر، تُمثّل جائزة الملك عبدالعزيز للجودة المرجعيةَ الوطنية للتميز التنظيمي، وتستند إلى إطار مُقتبَس ومُطوَّر من نماذج التميز الدولية، يُغطي محاور: القيادة، والاستراتيجية والتخطيط، والعمليات، والموارد، والنتائج. وقد أكدت تقارير هيئة الجودة أن تطبيق هذا الإطار على الشركات التقنية </w:t>
      </w:r>
      <w:r w:rsidRPr="0054043C">
        <w:rPr>
          <w:rFonts w:ascii="Simplified Arabic" w:hAnsi="Simplified Arabic" w:cs="Simplified Arabic"/>
          <w:sz w:val="28"/>
          <w:szCs w:val="28"/>
          <w:rtl/>
        </w:rPr>
        <w:lastRenderedPageBreak/>
        <w:t>السعودية يكشف عن تحسينات ملموسة في مؤشرات الأداء المؤسسي عند مقارنة المنظمات المُطبّقة بنظيراتها غير المُطبّقة.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خامساً: العوامل المؤثرة في التميز التنظيمي</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أثبتت الدراسات الأكاديمية المتراكمة أن التميز التنظيمي ليس صفةً ذاتيةً تلقائيةً تحدث من تلقاء نفسها، بل هو محصّلة تفاعل منظوم لعوامل متعددة تتضافر فيما بينها. وقد أجمعت المراجعة المنهجية لـ </w:t>
      </w:r>
      <w:r w:rsidRPr="0054043C">
        <w:rPr>
          <w:rFonts w:ascii="Simplified Arabic" w:hAnsi="Simplified Arabic" w:cs="Simplified Arabic"/>
          <w:sz w:val="28"/>
          <w:szCs w:val="28"/>
        </w:rPr>
        <w:t>Ubaid</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2020) على عشرة عوامل جوهرية تُحدد مستوى التميز التنظيمي، يمكن استعراض أبرزها فيما يلي:</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القيادة التحويلية:</w:t>
      </w:r>
      <w:r w:rsidRPr="0054043C">
        <w:rPr>
          <w:rFonts w:ascii="Simplified Arabic" w:hAnsi="Simplified Arabic" w:cs="Simplified Arabic"/>
          <w:sz w:val="28"/>
          <w:szCs w:val="28"/>
          <w:rtl/>
        </w:rPr>
        <w:t xml:space="preserve"> تُؤكد </w:t>
      </w:r>
      <w:r w:rsidRPr="0054043C">
        <w:rPr>
          <w:rFonts w:ascii="Simplified Arabic" w:hAnsi="Simplified Arabic" w:cs="Simplified Arabic"/>
          <w:sz w:val="28"/>
          <w:szCs w:val="28"/>
        </w:rPr>
        <w:t>Carvalho</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2023) أن القيادة التي تُلهم وتُعبّئ وتُوجّه المنظمة نحو رؤية مشتركة تُمثّل الشرط الأول للتميز التنظيمي، إذ بدون قيادة تحويلية فاعلة تتحول أنظمة الجودة والتميز إلى شكليات بيروقراطية بلا روح.</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الثقافة التنظيمية الداعمة للتميز:</w:t>
      </w:r>
      <w:r w:rsidRPr="0054043C">
        <w:rPr>
          <w:rFonts w:ascii="Simplified Arabic" w:hAnsi="Simplified Arabic" w:cs="Simplified Arabic"/>
          <w:sz w:val="28"/>
          <w:szCs w:val="28"/>
          <w:rtl/>
        </w:rPr>
        <w:t xml:space="preserve"> يُشير </w:t>
      </w:r>
      <w:r w:rsidRPr="0054043C">
        <w:rPr>
          <w:rFonts w:ascii="Simplified Arabic" w:hAnsi="Simplified Arabic" w:cs="Simplified Arabic"/>
          <w:sz w:val="28"/>
          <w:szCs w:val="28"/>
        </w:rPr>
        <w:t>Bocoya-Maline</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2024) إلى أن الثقافة التنظيمية القائمة على قيم الجودة والتحسين المستمر والمساءلة والتعلم من الأخطاء تُشكّل التربة الخصبة التي يُزهر فيها التميز.</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إدارة المخاطر الاستباقية:</w:t>
      </w:r>
      <w:r w:rsidRPr="0054043C">
        <w:rPr>
          <w:rFonts w:ascii="Simplified Arabic" w:hAnsi="Simplified Arabic" w:cs="Simplified Arabic"/>
          <w:sz w:val="28"/>
          <w:szCs w:val="28"/>
          <w:rtl/>
        </w:rPr>
        <w:t xml:space="preserve"> ستُعالج العلاقة بين إدارة المخاطر والتميز التنظيمي بتعمق في المبحث الثالث، غير أن الأدبيات تُجمع على أن القدرة على استشراف المخاطر ومعالجتها قبل تفاقمها تُمثّل أحد أقوى المنبّئين بالأداء التنظيمي المتميز (</w:t>
      </w:r>
      <w:r w:rsidRPr="0054043C">
        <w:rPr>
          <w:rFonts w:ascii="Simplified Arabic" w:hAnsi="Simplified Arabic" w:cs="Simplified Arabic"/>
          <w:sz w:val="28"/>
          <w:szCs w:val="28"/>
        </w:rPr>
        <w:t>Willumsen</w:t>
      </w:r>
      <w:r w:rsidRPr="0054043C">
        <w:rPr>
          <w:rFonts w:ascii="Simplified Arabic" w:hAnsi="Simplified Arabic" w:cs="Simplified Arabic"/>
          <w:sz w:val="28"/>
          <w:szCs w:val="28"/>
          <w:rtl/>
        </w:rPr>
        <w:t xml:space="preserve"> وآخرون، 2019؛ </w:t>
      </w:r>
      <w:r w:rsidRPr="0054043C">
        <w:rPr>
          <w:rFonts w:ascii="Simplified Arabic" w:hAnsi="Simplified Arabic" w:cs="Simplified Arabic"/>
          <w:sz w:val="28"/>
          <w:szCs w:val="28"/>
        </w:rPr>
        <w:t>Selvakumar</w:t>
      </w:r>
      <w:r w:rsidRPr="0054043C">
        <w:rPr>
          <w:rFonts w:ascii="Simplified Arabic" w:hAnsi="Simplified Arabic" w:cs="Simplified Arabic"/>
          <w:sz w:val="28"/>
          <w:szCs w:val="28"/>
          <w:rtl/>
        </w:rPr>
        <w:t xml:space="preserve"> وآخرون، 2024).</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إدارة المعرفة والتعلم المؤسسي:</w:t>
      </w:r>
      <w:r w:rsidRPr="0054043C">
        <w:rPr>
          <w:rFonts w:ascii="Simplified Arabic" w:hAnsi="Simplified Arabic" w:cs="Simplified Arabic"/>
          <w:sz w:val="28"/>
          <w:szCs w:val="28"/>
          <w:rtl/>
        </w:rPr>
        <w:t xml:space="preserve"> أثبتت نتائج دراسة </w:t>
      </w:r>
      <w:r w:rsidRPr="0054043C">
        <w:rPr>
          <w:rFonts w:ascii="Simplified Arabic" w:hAnsi="Simplified Arabic" w:cs="Simplified Arabic"/>
          <w:sz w:val="28"/>
          <w:szCs w:val="28"/>
        </w:rPr>
        <w:t>Bocoya-Maline</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2024) التي طُبّقت على 113 منظمةً إسبانيةً مُعتمدة بنموذج </w:t>
      </w:r>
      <w:r w:rsidRPr="0054043C">
        <w:rPr>
          <w:rFonts w:ascii="Simplified Arabic" w:hAnsi="Simplified Arabic" w:cs="Simplified Arabic"/>
          <w:sz w:val="28"/>
          <w:szCs w:val="28"/>
        </w:rPr>
        <w:t>EFQM</w:t>
      </w:r>
      <w:r w:rsidRPr="0054043C">
        <w:rPr>
          <w:rFonts w:ascii="Simplified Arabic" w:hAnsi="Simplified Arabic" w:cs="Simplified Arabic"/>
          <w:sz w:val="28"/>
          <w:szCs w:val="28"/>
          <w:rtl/>
        </w:rPr>
        <w:t xml:space="preserve"> أن المنظمات التي تستثمر في إدارة المعرفة وتُحوّل تجاربها إلى دروس مؤسسية قابلة للتطبيق تُحقق مستوياتٍ أعلى من التميز التنظيمي بفوارق ذات دلالة إحصائية.</w:t>
      </w:r>
    </w:p>
    <w:p w:rsidR="00424B55" w:rsidRDefault="00424B55" w:rsidP="00424B55">
      <w:pPr>
        <w:bidi/>
        <w:rPr>
          <w:rFonts w:ascii="Simplified Arabic" w:hAnsi="Simplified Arabic" w:cs="Simplified Arabic"/>
          <w:sz w:val="28"/>
          <w:szCs w:val="28"/>
          <w:rtl/>
        </w:rPr>
      </w:pPr>
    </w:p>
    <w:p w:rsidR="00424B55" w:rsidRDefault="00424B55" w:rsidP="00424B55">
      <w:pPr>
        <w:bidi/>
        <w:rPr>
          <w:rFonts w:ascii="Simplified Arabic" w:hAnsi="Simplified Arabic" w:cs="Simplified Arabic"/>
          <w:sz w:val="28"/>
          <w:szCs w:val="28"/>
          <w:rtl/>
        </w:rPr>
      </w:pPr>
    </w:p>
    <w:p w:rsidR="00424B55" w:rsidRDefault="00424B55" w:rsidP="00424B55">
      <w:pPr>
        <w:bidi/>
        <w:rPr>
          <w:rFonts w:ascii="Simplified Arabic" w:hAnsi="Simplified Arabic" w:cs="Simplified Arabic"/>
          <w:sz w:val="28"/>
          <w:szCs w:val="28"/>
        </w:rPr>
      </w:pPr>
    </w:p>
    <w:p w:rsidR="00424B55" w:rsidRPr="0054043C" w:rsidRDefault="00424B55" w:rsidP="00424B55">
      <w:pPr>
        <w:bidi/>
        <w:rPr>
          <w:rFonts w:ascii="Simplified Arabic" w:hAnsi="Simplified Arabic" w:cs="Simplified Arabic"/>
          <w:b/>
          <w:bCs/>
          <w:sz w:val="28"/>
          <w:szCs w:val="28"/>
        </w:rPr>
      </w:pPr>
      <w:r w:rsidRPr="0054043C">
        <w:rPr>
          <w:rFonts w:ascii="Simplified Arabic" w:hAnsi="Simplified Arabic" w:cs="Simplified Arabic"/>
          <w:b/>
          <w:bCs/>
          <w:sz w:val="28"/>
          <w:szCs w:val="28"/>
          <w:rtl/>
        </w:rPr>
        <w:lastRenderedPageBreak/>
        <w:t>المبحث الثالث: العلاقة بين إدارة المخاطر والتميز التنظيمي</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أولاً: المنطلقات النظرية للعلاقة بين المتغيرين</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تُعدّ العلاقة بين إدارة المخاطر والتميز التنظيمي من المسائل البحثية التي استقطبت اهتماماً متصاعداً في الأدبيات الإدارية خلال العقد الأخير، وإن ظلّت دراستها في سياق المشاريع التقنية السعودية محدودةً ونادرة، مما يُشكّل الفجوة البحثية الجوهرية التي تسعى هذه الدراسة إلى ردمها. وتنطلق العلاقة بين المتغيرين من ثلاثة مرتكزات نظرية متكاملة: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المرتكز الأول: نظرية الموارد والكفاءات (</w:t>
      </w:r>
      <w:r w:rsidRPr="0054043C">
        <w:rPr>
          <w:rFonts w:ascii="Simplified Arabic" w:hAnsi="Simplified Arabic" w:cs="Simplified Arabic"/>
          <w:b/>
          <w:bCs/>
          <w:sz w:val="28"/>
          <w:szCs w:val="28"/>
        </w:rPr>
        <w:t>Resource-Based View</w:t>
      </w:r>
      <w:r w:rsidRPr="0054043C">
        <w:rPr>
          <w:rFonts w:ascii="Simplified Arabic" w:hAnsi="Simplified Arabic" w:cs="Simplified Arabic"/>
          <w:b/>
          <w:bCs/>
          <w:sz w:val="28"/>
          <w:szCs w:val="28"/>
          <w:rtl/>
        </w:rPr>
        <w:t xml:space="preserve"> — </w:t>
      </w:r>
      <w:r w:rsidRPr="0054043C">
        <w:rPr>
          <w:rFonts w:ascii="Simplified Arabic" w:hAnsi="Simplified Arabic" w:cs="Simplified Arabic"/>
          <w:b/>
          <w:bCs/>
          <w:sz w:val="28"/>
          <w:szCs w:val="28"/>
        </w:rPr>
        <w:t>RBV</w:t>
      </w:r>
      <w:r w:rsidRPr="0054043C">
        <w:rPr>
          <w:rFonts w:ascii="Simplified Arabic" w:hAnsi="Simplified Arabic" w:cs="Simplified Arabic"/>
          <w:b/>
          <w:bCs/>
          <w:sz w:val="28"/>
          <w:szCs w:val="28"/>
          <w:rtl/>
        </w:rPr>
        <w:t>)</w:t>
      </w:r>
      <w:r w:rsidRPr="0054043C">
        <w:rPr>
          <w:rFonts w:ascii="Simplified Arabic" w:hAnsi="Simplified Arabic" w:cs="Simplified Arabic"/>
          <w:sz w:val="28"/>
          <w:szCs w:val="28"/>
          <w:rtl/>
        </w:rPr>
        <w:t xml:space="preserve"> تُقدّم نظرية الموارد والكفاءات التي أرساها </w:t>
      </w:r>
      <w:r w:rsidRPr="0054043C">
        <w:rPr>
          <w:rFonts w:ascii="Simplified Arabic" w:hAnsi="Simplified Arabic" w:cs="Simplified Arabic"/>
          <w:sz w:val="28"/>
          <w:szCs w:val="28"/>
        </w:rPr>
        <w:t>Barney</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1991) وطوّرها لاحقاً </w:t>
      </w:r>
      <w:r w:rsidRPr="0054043C">
        <w:rPr>
          <w:rFonts w:ascii="Simplified Arabic" w:hAnsi="Simplified Arabic" w:cs="Simplified Arabic"/>
          <w:sz w:val="28"/>
          <w:szCs w:val="28"/>
        </w:rPr>
        <w:t>Teece</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1997) في مفهوم الكفاءات الديناميكية (</w:t>
      </w:r>
      <w:r w:rsidRPr="0054043C">
        <w:rPr>
          <w:rFonts w:ascii="Simplified Arabic" w:hAnsi="Simplified Arabic" w:cs="Simplified Arabic"/>
          <w:sz w:val="28"/>
          <w:szCs w:val="28"/>
        </w:rPr>
        <w:t>Dynamic Capabilities</w:t>
      </w:r>
      <w:r w:rsidRPr="0054043C">
        <w:rPr>
          <w:rFonts w:ascii="Simplified Arabic" w:hAnsi="Simplified Arabic" w:cs="Simplified Arabic"/>
          <w:sz w:val="28"/>
          <w:szCs w:val="28"/>
          <w:rtl/>
        </w:rPr>
        <w:t>) إطاراً تفسيرياً قوياً لفهم العلاقة بين إدارة المخاطر والتميز التنظيمي. فوفق هذه النظرية، تُشكّل القدرة المؤسسية على تحديد المخاطر وتحليلها والتخطيط للاستجابة لها مورداً تنظيمياً استراتيجياً نادراً وصعب التقليد، وهذه الندرة وصعوبة التقليد تُحوّله إلى مصدر مستدام للميزة التنافسية. وبناءً على ذلك، فإن المؤسسات التي تمتلك كفاءات متقدمة في إدارة المخاطر تتمتع بقدرة أعلى على تحقيق التميز التنظيمي المستدام (</w:t>
      </w:r>
      <w:r w:rsidRPr="0054043C">
        <w:rPr>
          <w:rFonts w:ascii="Simplified Arabic" w:hAnsi="Simplified Arabic" w:cs="Simplified Arabic"/>
          <w:sz w:val="28"/>
          <w:szCs w:val="28"/>
        </w:rPr>
        <w:t>Willumsen</w:t>
      </w:r>
      <w:r w:rsidRPr="0054043C">
        <w:rPr>
          <w:rFonts w:ascii="Simplified Arabic" w:hAnsi="Simplified Arabic" w:cs="Simplified Arabic"/>
          <w:sz w:val="28"/>
          <w:szCs w:val="28"/>
          <w:rtl/>
        </w:rPr>
        <w:t xml:space="preserve"> وآخرون، 2019).</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المرتكز الثاني: نظرية الطوارئ (</w:t>
      </w:r>
      <w:r w:rsidRPr="0054043C">
        <w:rPr>
          <w:rFonts w:ascii="Simplified Arabic" w:hAnsi="Simplified Arabic" w:cs="Simplified Arabic"/>
          <w:b/>
          <w:bCs/>
          <w:sz w:val="28"/>
          <w:szCs w:val="28"/>
        </w:rPr>
        <w:t>Contingency Theory</w:t>
      </w:r>
      <w:r w:rsidRPr="0054043C">
        <w:rPr>
          <w:rFonts w:ascii="Simplified Arabic" w:hAnsi="Simplified Arabic" w:cs="Simplified Arabic"/>
          <w:b/>
          <w:bCs/>
          <w:sz w:val="28"/>
          <w:szCs w:val="28"/>
          <w:rtl/>
        </w:rPr>
        <w:t>)</w:t>
      </w:r>
      <w:r w:rsidRPr="0054043C">
        <w:rPr>
          <w:rFonts w:ascii="Simplified Arabic" w:hAnsi="Simplified Arabic" w:cs="Simplified Arabic"/>
          <w:sz w:val="28"/>
          <w:szCs w:val="28"/>
          <w:rtl/>
        </w:rPr>
        <w:t xml:space="preserve"> تُقرّ نظرية الطوارئ بأن فاعلية الممارسات الإدارية — بما فيها إدارة المخاطر — تتوقف على طبيعة البيئة التنظيمية وخصائص المشاريع والسياق المؤسسي. وفي حالة المشاريع التقنية التي تتسم بعدم اليقين العالي وسرعة التحول التقني وتعقيد التقنيات المستخدمة، تُصبح إدارة المخاطر الاستباقية ضرورةً وجودية لا خياراً إدارياً، إذ إن غيابها يُعرّض الأهداف الاستراتيجية للمشروع برمّتها للخطر (</w:t>
      </w:r>
      <w:r w:rsidRPr="0054043C">
        <w:rPr>
          <w:rFonts w:ascii="Simplified Arabic" w:hAnsi="Simplified Arabic" w:cs="Simplified Arabic"/>
          <w:sz w:val="28"/>
          <w:szCs w:val="28"/>
        </w:rPr>
        <w:t>Hillson</w:t>
      </w:r>
      <w:r w:rsidRPr="0054043C">
        <w:rPr>
          <w:rFonts w:ascii="Simplified Arabic" w:hAnsi="Simplified Arabic" w:cs="Simplified Arabic"/>
          <w:sz w:val="28"/>
          <w:szCs w:val="28"/>
          <w:rtl/>
        </w:rPr>
        <w:t xml:space="preserve"> و</w:t>
      </w:r>
      <w:r w:rsidRPr="0054043C">
        <w:rPr>
          <w:rFonts w:ascii="Simplified Arabic" w:hAnsi="Simplified Arabic" w:cs="Simplified Arabic"/>
          <w:sz w:val="28"/>
          <w:szCs w:val="28"/>
        </w:rPr>
        <w:t>Murray-Webster</w:t>
      </w:r>
      <w:r w:rsidRPr="0054043C">
        <w:rPr>
          <w:rFonts w:ascii="Simplified Arabic" w:hAnsi="Simplified Arabic" w:cs="Simplified Arabic"/>
          <w:sz w:val="28"/>
          <w:szCs w:val="28"/>
          <w:rtl/>
        </w:rPr>
        <w:t>، 2017). ومن هذا المنظور، يتحدد أثر إدارة المخاطر في التميز التنظيمي جزئياً بمتغيرات سياقية كحجم المشروع ومستوى خبرة القائمين عليه والبيئة التنافسية المحيطة.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المرتكز الثالث: نموذج خلق القيمة من إدارة المخاطر</w:t>
      </w:r>
      <w:r w:rsidRPr="0054043C">
        <w:rPr>
          <w:rFonts w:ascii="Simplified Arabic" w:hAnsi="Simplified Arabic" w:cs="Simplified Arabic"/>
          <w:sz w:val="28"/>
          <w:szCs w:val="28"/>
          <w:rtl/>
        </w:rPr>
        <w:t xml:space="preserve"> قدّم</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Testorelli</w:t>
      </w:r>
      <w:r w:rsidRPr="0054043C">
        <w:rPr>
          <w:rFonts w:ascii="Simplified Arabic" w:hAnsi="Simplified Arabic" w:cs="Simplified Arabic"/>
          <w:sz w:val="28"/>
          <w:szCs w:val="28"/>
          <w:rtl/>
        </w:rPr>
        <w:t xml:space="preserve"> وآخرون 2024) في مراجعتهم المنهجية لـ 116 دراسة نموذجاً شمولياً لخلق القيمة من خلال إدارة مخاطر المشاريع، يُحدد فيه ثلاثة </w:t>
      </w:r>
      <w:r w:rsidRPr="0054043C">
        <w:rPr>
          <w:rFonts w:ascii="Simplified Arabic" w:hAnsi="Simplified Arabic" w:cs="Simplified Arabic"/>
          <w:sz w:val="28"/>
          <w:szCs w:val="28"/>
          <w:rtl/>
        </w:rPr>
        <w:lastRenderedPageBreak/>
        <w:t>مسارات يسلكها أثر إدارة المخاطر في الوصول إلى التميز التنظيمي: المسار الأول هو تقليل الاضطرابات والخسائر والمفاجآت المُكلفة (</w:t>
      </w:r>
      <w:r w:rsidRPr="0054043C">
        <w:rPr>
          <w:rFonts w:ascii="Simplified Arabic" w:hAnsi="Simplified Arabic" w:cs="Simplified Arabic"/>
          <w:sz w:val="28"/>
          <w:szCs w:val="28"/>
        </w:rPr>
        <w:t>Disruption Reduction</w:t>
      </w:r>
      <w:r w:rsidRPr="0054043C">
        <w:rPr>
          <w:rFonts w:ascii="Simplified Arabic" w:hAnsi="Simplified Arabic" w:cs="Simplified Arabic"/>
          <w:sz w:val="28"/>
          <w:szCs w:val="28"/>
          <w:rtl/>
        </w:rPr>
        <w:t>)؛ والمسار الثاني هو تعزيز الثقة المؤسسية لدى أصحاب المصلحة وتحسين القرارات الاستراتيجية (</w:t>
      </w:r>
      <w:r w:rsidRPr="0054043C">
        <w:rPr>
          <w:rFonts w:ascii="Simplified Arabic" w:hAnsi="Simplified Arabic" w:cs="Simplified Arabic"/>
          <w:sz w:val="28"/>
          <w:szCs w:val="28"/>
        </w:rPr>
        <w:t>Decision Enhancement</w:t>
      </w:r>
      <w:r w:rsidRPr="0054043C">
        <w:rPr>
          <w:rFonts w:ascii="Simplified Arabic" w:hAnsi="Simplified Arabic" w:cs="Simplified Arabic"/>
          <w:sz w:val="28"/>
          <w:szCs w:val="28"/>
          <w:rtl/>
        </w:rPr>
        <w:t>)؛ والمسار الثالث هو استثمار الفرص التي تُتيحها بيئة المخاطر وتحويلها إلى مزايا تنافسية (</w:t>
      </w:r>
      <w:r w:rsidRPr="0054043C">
        <w:rPr>
          <w:rFonts w:ascii="Simplified Arabic" w:hAnsi="Simplified Arabic" w:cs="Simplified Arabic"/>
          <w:sz w:val="28"/>
          <w:szCs w:val="28"/>
        </w:rPr>
        <w:t>Opportunity Capitalization</w:t>
      </w:r>
      <w:r w:rsidRPr="0054043C">
        <w:rPr>
          <w:rFonts w:ascii="Simplified Arabic" w:hAnsi="Simplified Arabic" w:cs="Simplified Arabic"/>
          <w:sz w:val="28"/>
          <w:szCs w:val="28"/>
          <w:rtl/>
        </w:rPr>
        <w:t>). وتُعدّ هذه المسارات الثلاثة في مجموعها هي القنوات التي تُترجم إدارة المخاطر إلى تميز تنظيمي ملموس وقابل للقياس.</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ثانياً: الآليات التي تُحوّل إدارة المخاطر إلى تميز تنظيمي</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لا تُؤثّر إدارة المخاطر في التميز التنظيمي بصورة مباشرة آنية، بل تعمل عبر آليات وسيطة متشابكة يمكن استيعابها على النحو الآتي:</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الآلية الأولى: تحسين الأداء التنظيمي عبر تقليص الخسائر غير المتوقعة</w:t>
      </w:r>
      <w:r w:rsidRPr="0054043C">
        <w:rPr>
          <w:rFonts w:ascii="Simplified Arabic" w:hAnsi="Simplified Arabic" w:cs="Simplified Arabic"/>
          <w:sz w:val="28"/>
          <w:szCs w:val="28"/>
          <w:rtl/>
        </w:rPr>
        <w:t xml:space="preserve"> أثبتت دراسة </w:t>
      </w:r>
      <w:r w:rsidRPr="0054043C">
        <w:rPr>
          <w:rFonts w:ascii="Simplified Arabic" w:hAnsi="Simplified Arabic" w:cs="Simplified Arabic"/>
          <w:sz w:val="28"/>
          <w:szCs w:val="28"/>
        </w:rPr>
        <w:t>Kallowa</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2023) المنشورة في </w:t>
      </w:r>
      <w:r w:rsidRPr="0054043C">
        <w:rPr>
          <w:rFonts w:ascii="Simplified Arabic" w:hAnsi="Simplified Arabic" w:cs="Simplified Arabic"/>
          <w:sz w:val="28"/>
          <w:szCs w:val="28"/>
        </w:rPr>
        <w:t>International Journal of Construction Management</w:t>
      </w:r>
      <w:r w:rsidRPr="0054043C">
        <w:rPr>
          <w:rFonts w:ascii="Simplified Arabic" w:hAnsi="Simplified Arabic" w:cs="Simplified Arabic"/>
          <w:sz w:val="28"/>
          <w:szCs w:val="28"/>
          <w:rtl/>
        </w:rPr>
        <w:t xml:space="preserve"> أن المشاريع التي تُطبّق ممارسات إدارة المخاطر الكاملة تُسجّل انخفاضاً بنسبة 28% في تجاوز الميزانيات، و31% في تجاوز الجداول الزمنية، مقارنةً بالمشاريع التي تعتمد التعامل التفاعلي مع المخاطر. وهذه الوفورات في التكلفة والوقت تُعيد تحديد مستوى الأداء التنظيمي صعوداً نحو التميز.</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الآلية الثانية: تعزيز جودة القرارات الاستراتيجية</w:t>
      </w:r>
      <w:r w:rsidRPr="0054043C">
        <w:rPr>
          <w:rFonts w:ascii="Simplified Arabic" w:hAnsi="Simplified Arabic" w:cs="Simplified Arabic"/>
          <w:sz w:val="28"/>
          <w:szCs w:val="28"/>
          <w:rtl/>
        </w:rPr>
        <w:t xml:space="preserve"> تُشير نتائج دراسة </w:t>
      </w:r>
      <w:r w:rsidRPr="0054043C">
        <w:rPr>
          <w:rFonts w:ascii="Simplified Arabic" w:hAnsi="Simplified Arabic" w:cs="Simplified Arabic"/>
          <w:sz w:val="28"/>
          <w:szCs w:val="28"/>
        </w:rPr>
        <w:t>Selvakumar</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2024) التي شملت 261 متخصصاً في قطاع تقنية المعلومات إلى أن مكوّن التحليل في إدارة المخاطر — الكيفي والكمي — يُغذّي عملية صنع القرار بمعلومات دقيقة حول احتماليات وتأثيرات السيناريوهات المختلفة، مما يرفع دقة القرارات الاستراتيجية وفاعليتها بصورة جوهرية. وهذا بالتحديد ما يُولّد بُعدَ التميز التنظيمي المتعلق بجودة اتخاذ القرارات الإدارية.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الآلية الثالثة: بناء الميزة التنافسية عبر تعزيز الثقة المؤسسية</w:t>
      </w:r>
      <w:r w:rsidRPr="0054043C">
        <w:rPr>
          <w:rFonts w:ascii="Simplified Arabic" w:hAnsi="Simplified Arabic" w:cs="Simplified Arabic"/>
          <w:sz w:val="28"/>
          <w:szCs w:val="28"/>
          <w:rtl/>
        </w:rPr>
        <w:t xml:space="preserve"> تُوثّق دراسة </w:t>
      </w:r>
      <w:r w:rsidRPr="0054043C">
        <w:rPr>
          <w:rFonts w:ascii="Simplified Arabic" w:hAnsi="Simplified Arabic" w:cs="Simplified Arabic"/>
          <w:sz w:val="28"/>
          <w:szCs w:val="28"/>
        </w:rPr>
        <w:t>Alkhyyoon</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2023) المنشورة في </w:t>
      </w:r>
      <w:r w:rsidRPr="0054043C">
        <w:rPr>
          <w:rFonts w:ascii="Simplified Arabic" w:hAnsi="Simplified Arabic" w:cs="Simplified Arabic"/>
          <w:sz w:val="28"/>
          <w:szCs w:val="28"/>
        </w:rPr>
        <w:t>Journal of Risk and Financial Management</w:t>
      </w:r>
      <w:r w:rsidRPr="0054043C">
        <w:rPr>
          <w:rFonts w:ascii="Simplified Arabic" w:hAnsi="Simplified Arabic" w:cs="Simplified Arabic"/>
          <w:sz w:val="28"/>
          <w:szCs w:val="28"/>
          <w:rtl/>
        </w:rPr>
        <w:t xml:space="preserve"> والتي أجريت في سياق السعودية والعراق وإيران أن إدارة المخاطر المؤسسية الفاعلة ترتبط ارتباطاً إيجابياً معنوياً بمستوى الأداء </w:t>
      </w:r>
      <w:r w:rsidRPr="0054043C">
        <w:rPr>
          <w:rFonts w:ascii="Simplified Arabic" w:hAnsi="Simplified Arabic" w:cs="Simplified Arabic"/>
          <w:sz w:val="28"/>
          <w:szCs w:val="28"/>
          <w:rtl/>
        </w:rPr>
        <w:lastRenderedPageBreak/>
        <w:t>المؤسسي والميزة التنافسية، مُفسِّرةً هذه العلاقة بأن إدارة المخاطر المتقنة تبني ثقة أصحاب المصلحة في قدرة المؤسسة على الوفاء بالتزاماتها، وهذه الثقة بحد ذاتها موردٌ استراتيجي يُعزز الميزة التنافسية.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الآلية الرابعة: ضمان استمرارية النجاح عبر التعلم المؤسسي</w:t>
      </w:r>
      <w:r w:rsidRPr="0054043C">
        <w:rPr>
          <w:rFonts w:ascii="Simplified Arabic" w:hAnsi="Simplified Arabic" w:cs="Simplified Arabic"/>
          <w:sz w:val="28"/>
          <w:szCs w:val="28"/>
          <w:rtl/>
        </w:rPr>
        <w:t xml:space="preserve"> يُبيّن </w:t>
      </w:r>
      <w:r w:rsidRPr="0054043C">
        <w:rPr>
          <w:rFonts w:ascii="Simplified Arabic" w:hAnsi="Simplified Arabic" w:cs="Simplified Arabic"/>
          <w:sz w:val="28"/>
          <w:szCs w:val="28"/>
        </w:rPr>
        <w:t>Bannerman</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2008) في تحليله لـ 17 مشروعاً برمجياً فاشلاً أن دورة التعلم المؤسسي — التي تبدأ بتوثيق المخاطر ودروسها المستفادة وتنتهي بتطوير الممارسات المستقبلية — تُمثّل الحلقة التي تُحوّل نجاح المشروع المنفرد إلى تميز تنظيمي مُستدام ومتراكم عبر الزمن.</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ثالثاً: الأدلة التجريبية على العلاقة بين المتغيرين</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على الصعيد التجريبي، أفرزت الدراسات المحكمة قدراً متصاعداً من الشواهد التي تُعزز مشروعية الفرضية الرئيسية لهذه الدراسة. ففي قطاع تقنية المعلومات تحديداً، خلصت دراسة </w:t>
      </w:r>
      <w:r w:rsidRPr="0054043C">
        <w:rPr>
          <w:rFonts w:ascii="Simplified Arabic" w:hAnsi="Simplified Arabic" w:cs="Simplified Arabic"/>
          <w:sz w:val="28"/>
          <w:szCs w:val="28"/>
        </w:rPr>
        <w:t>de Bakker</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2011) — التي حلّلت 32 دراسة حالة ومتشعّبت نتائجها على الفترة 1997–2009 — إلى وجود دليل تجريبي قوي على أن إدارة المخاطر تُسهم إسهاماً معنوياً في نجاح مشاريع تقنية المعلومات، وأن هذا الأثر يتقوّى كلما ارتفع مستوى نضج ممارسات إدارة المخاطر المؤسسية. وعلى الصعيد ذاته، أكدت دراسة </w:t>
      </w:r>
      <w:r w:rsidRPr="0054043C">
        <w:rPr>
          <w:rFonts w:ascii="Simplified Arabic" w:hAnsi="Simplified Arabic" w:cs="Simplified Arabic"/>
          <w:sz w:val="28"/>
          <w:szCs w:val="28"/>
        </w:rPr>
        <w:t>Selvakumar</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2024) — بعد تحليل إحصائي باستخدام نمذجة المعادلات الهيكلية </w:t>
      </w:r>
      <w:r w:rsidRPr="0054043C">
        <w:rPr>
          <w:rFonts w:ascii="Simplified Arabic" w:hAnsi="Simplified Arabic" w:cs="Simplified Arabic"/>
          <w:sz w:val="28"/>
          <w:szCs w:val="28"/>
        </w:rPr>
        <w:t>PLS-SEM</w:t>
      </w:r>
      <w:r w:rsidRPr="0054043C">
        <w:rPr>
          <w:rFonts w:ascii="Simplified Arabic" w:hAnsi="Simplified Arabic" w:cs="Simplified Arabic"/>
          <w:sz w:val="28"/>
          <w:szCs w:val="28"/>
          <w:rtl/>
        </w:rPr>
        <w:t xml:space="preserve"> — أن مكونات إدارة المخاطر الأربعة مجتمعةً تُفسّر ما نسبته 61.3% من التباين في نجاح مشاريع التقنية، وهو حجم تأثير كبير يُعزز المشروعية الإحصائية للفرضية الرئيسية. كما أثبتت دراسة</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Testorelli</w:t>
      </w:r>
      <w:r w:rsidRPr="0054043C">
        <w:rPr>
          <w:rFonts w:ascii="Simplified Arabic" w:hAnsi="Simplified Arabic" w:cs="Simplified Arabic"/>
          <w:sz w:val="28"/>
          <w:szCs w:val="28"/>
          <w:rtl/>
        </w:rPr>
        <w:t xml:space="preserve"> وآخرون 2024) في مراجعتها المنهجية أن 78% من الدراسات التجريبية المُحللة وجدت ارتباطاً إيجابياً معنوياً بين جودة إدارة المخاطر ومؤشرات الأداء التنظيمي المتميز.</w:t>
      </w:r>
    </w:p>
    <w:p w:rsidR="00424B55" w:rsidRPr="0054043C" w:rsidRDefault="00424B55" w:rsidP="00424B55">
      <w:pPr>
        <w:pStyle w:val="Heading2"/>
      </w:pPr>
      <w:bookmarkStart w:id="3" w:name="_Toc224781448"/>
      <w:r w:rsidRPr="0054043C">
        <w:rPr>
          <w:rtl/>
        </w:rPr>
        <w:t>المبحث الرابع: الدراسات السابقة والتعقيب عليها</w:t>
      </w:r>
      <w:bookmarkEnd w:id="3"/>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أولاً: الدراسات العربية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الدراسة الأولى: عامودي (2022)</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عنوان الدراسة:</w:t>
      </w:r>
      <w:r w:rsidRPr="0054043C">
        <w:rPr>
          <w:rFonts w:ascii="Simplified Arabic" w:hAnsi="Simplified Arabic" w:cs="Simplified Arabic"/>
          <w:sz w:val="28"/>
          <w:szCs w:val="28"/>
          <w:rtl/>
        </w:rPr>
        <w:t xml:space="preserve"> إدارة مخاطر مرحلة التشييد لمشاريع التشييد في سوريا.</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lastRenderedPageBreak/>
        <w:t>منهج الدراسة وعينتها:</w:t>
      </w:r>
      <w:r w:rsidRPr="0054043C">
        <w:rPr>
          <w:rFonts w:ascii="Simplified Arabic" w:hAnsi="Simplified Arabic" w:cs="Simplified Arabic"/>
          <w:sz w:val="28"/>
          <w:szCs w:val="28"/>
          <w:rtl/>
        </w:rPr>
        <w:t xml:space="preserve"> اعتمدت الدراسة المنهج الوصفي التحليلي، وطُبّقت على عينة من المهندسين ومديري مشاريع البناء والتشييد في سوريا.</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أبرز النتائج:</w:t>
      </w:r>
      <w:r w:rsidRPr="0054043C">
        <w:rPr>
          <w:rFonts w:ascii="Simplified Arabic" w:hAnsi="Simplified Arabic" w:cs="Simplified Arabic"/>
          <w:sz w:val="28"/>
          <w:szCs w:val="28"/>
          <w:rtl/>
        </w:rPr>
        <w:t xml:space="preserve"> خلصت الدراسة إلى أن هناك فجوةً واسعةً بين المعرفة النظرية بأساليب إدارة مخاطر التشييد ومستوى التطبيق الفعلي لها، وأن أكثر المخاطر شيوعاً هي مخاطر التكلفة والوقت والجودة. كما كشفت أن تطبيق منهجيات منظّمة لإدارة المخاطر يُقلّص تكاليف المعالجة اللاحقة بصورة ملموسة.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التعقيب والصلة بالدراسة الحالية:</w:t>
      </w:r>
      <w:r w:rsidRPr="0054043C">
        <w:rPr>
          <w:rFonts w:ascii="Simplified Arabic" w:hAnsi="Simplified Arabic" w:cs="Simplified Arabic"/>
          <w:sz w:val="28"/>
          <w:szCs w:val="28"/>
          <w:rtl/>
        </w:rPr>
        <w:t xml:space="preserve"> تتفق هذه الدراسة مع الدراسة الحالية في تناول إدارة المخاطر في سياق المشاريع، وفي استخدام المنهج الوصفي التحليلي. غير أنها تختلف عنها اختلافاً جوهرياً في ثلاثة أوجه: أولاً في طبيعة المشاريع المُدروسة إذ تناولت مشاريع التشييد بينما تتخصص الدراسة الحالية في المشاريع التقنية التي تتسم بخصائص مخاطر مغايرة تماماً. وثانياً في غياب متغير التميز التنظيمي من تصميمها إذ اقتصرت على تشخيص مخاطر مرحلة التشييد دون ربطها بمؤشرات الأداء التنظيمي. وثالثاً في اختلاف السياق الجغرافي والاقتصادي.</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الدراسة الثانية: عكاب (2019)</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عنوان الدراسة:</w:t>
      </w:r>
      <w:r w:rsidRPr="0054043C">
        <w:rPr>
          <w:rFonts w:ascii="Simplified Arabic" w:hAnsi="Simplified Arabic" w:cs="Simplified Arabic"/>
          <w:sz w:val="28"/>
          <w:szCs w:val="28"/>
          <w:rtl/>
        </w:rPr>
        <w:t xml:space="preserve"> دراسة العوامل التصميمية والتنفيذية التي تؤدي إلى زيادة مخاطر الكلفة.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منهج الدراسة وعينتها:</w:t>
      </w:r>
      <w:r w:rsidRPr="0054043C">
        <w:rPr>
          <w:rFonts w:ascii="Simplified Arabic" w:hAnsi="Simplified Arabic" w:cs="Simplified Arabic"/>
          <w:sz w:val="28"/>
          <w:szCs w:val="28"/>
          <w:rtl/>
        </w:rPr>
        <w:t xml:space="preserve"> استخدمت الدراسة الاستبانة أداةً للجمع على عينة قوامها 120 مشاركاً من المهندسين المشرفين على مشاريع التشييد.</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أبرز النتائج:</w:t>
      </w:r>
      <w:r w:rsidRPr="0054043C">
        <w:rPr>
          <w:rFonts w:ascii="Simplified Arabic" w:hAnsi="Simplified Arabic" w:cs="Simplified Arabic"/>
          <w:sz w:val="28"/>
          <w:szCs w:val="28"/>
          <w:rtl/>
        </w:rPr>
        <w:t xml:space="preserve"> توصّلت إلى أن أكثر العوامل تأثيراً في مخاطر الكلفة هي عوامل التصميم المعمارية التي تُمثّل ما نسبته 80% من مصادر تجاوز التكاليف، يليها عوامل التنفيذ الإنشائية بنسبة 78%. كما أثبتت أن التدخل المبكر في إدارة مخاطر الكلفة في مرحلة التصميم يُوفّر تكاليف تتضاعف عند التدخل في مراحل التنفيذ المتقدمة.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التعقيب والصلة بالدراسة الحالية:</w:t>
      </w:r>
      <w:r w:rsidRPr="0054043C">
        <w:rPr>
          <w:rFonts w:ascii="Simplified Arabic" w:hAnsi="Simplified Arabic" w:cs="Simplified Arabic"/>
          <w:sz w:val="28"/>
          <w:szCs w:val="28"/>
          <w:rtl/>
        </w:rPr>
        <w:t xml:space="preserve"> تُسهم هذه الدراسة في تأسيس فكرة أن مخاطر المشاريع تتوزع على مراحل ومصادر متعددة وأن التشخيص الدقيق لهذه المصادر شرطٌ لفاعلية إدارة المخاطر، وهو مبدأ تُرسّخه الدراسة </w:t>
      </w:r>
      <w:r w:rsidRPr="0054043C">
        <w:rPr>
          <w:rFonts w:ascii="Simplified Arabic" w:hAnsi="Simplified Arabic" w:cs="Simplified Arabic"/>
          <w:sz w:val="28"/>
          <w:szCs w:val="28"/>
          <w:rtl/>
        </w:rPr>
        <w:lastRenderedPageBreak/>
        <w:t>الحالية أيضاً في سياق المشاريع التقنية. ولكن الدراسة الحالية تتجاوز هذا التشخيص إلى قياس الأثر على التميز التنظيمي بأبعاده السبعة، فضلاً عن اختلاف السياق القطاعي والجغرافي.</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الدراسة الثالثة: المهيرات (2016)</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عنوان الدراسة:</w:t>
      </w:r>
      <w:r w:rsidRPr="0054043C">
        <w:rPr>
          <w:rFonts w:ascii="Simplified Arabic" w:hAnsi="Simplified Arabic" w:cs="Simplified Arabic"/>
          <w:sz w:val="28"/>
          <w:szCs w:val="28"/>
          <w:rtl/>
        </w:rPr>
        <w:t xml:space="preserve"> إدارة المخاطر وتأثيرها في نجاح المشاريع.</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منهج الدراسة وعينتها:</w:t>
      </w:r>
      <w:r w:rsidRPr="0054043C">
        <w:rPr>
          <w:rFonts w:ascii="Simplified Arabic" w:hAnsi="Simplified Arabic" w:cs="Simplified Arabic"/>
          <w:sz w:val="28"/>
          <w:szCs w:val="28"/>
          <w:rtl/>
        </w:rPr>
        <w:t xml:space="preserve"> اعتمدت الدراسة المنهج الوصفي التحليلي مع الاستبانة أداةً رئيسية، وطُبّقت على عينة من مديري المشاريع في البيئة الأردنية.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أبرز النتائج:</w:t>
      </w:r>
      <w:r w:rsidRPr="0054043C">
        <w:rPr>
          <w:rFonts w:ascii="Simplified Arabic" w:hAnsi="Simplified Arabic" w:cs="Simplified Arabic"/>
          <w:sz w:val="28"/>
          <w:szCs w:val="28"/>
          <w:rtl/>
        </w:rPr>
        <w:t xml:space="preserve"> أكدت الدراسة وجود تأثير إيجابي معنوي لإدارة المخاطر في نجاح المشاريع، وأن عوامل إدارة المخاطر الأكثر ارتباطاً بالنجاح هي: تحديد المخاطر وتحليلها، والتخطيط للاستجابة، والمراقبة الدورية. كما خلصت إلى أن المستوى التعليمي لمدير المشروع وسنوات خبرته يُعدّان من أبرز المتغيرات الوسيطة المُعدِّلة لهذه العلاقة.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التعقيب والصلة بالدراسة الحالية:</w:t>
      </w:r>
      <w:r w:rsidRPr="0054043C">
        <w:rPr>
          <w:rFonts w:ascii="Simplified Arabic" w:hAnsi="Simplified Arabic" w:cs="Simplified Arabic"/>
          <w:sz w:val="28"/>
          <w:szCs w:val="28"/>
          <w:rtl/>
        </w:rPr>
        <w:t xml:space="preserve"> تتقاطع هذه الدراسة مع الدراسة الحالية في جوهر إشكاليتها المتمثلة في الكشف عن أثر إدارة المخاطر في نتائج المشاريع، وتتشارك معها في المنهج والأداة. بيد أن الدراسة الحالية تُطوّر هذا الجهد البحثي على ثلاثة مستويات: أولها أن متغيرها التابع هو التميز التنظيمي بأبعاده السبعة الشاملة، وهو أوسع بكثير من مفهوم النجاح المُختزَل في التسليم في الوقت والميزانية. وثانيها تخصّصها في المشاريع التقنية في سياق سعودي معاصر ذو خصوصية تقنية واقتصادية مميزة. وثالثها اعتمادها عينةً أكبر (300 مفردة) تتيح تعميماً إحصائياً أدق.</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الدراسة الرابعة: الربيعي (2024)</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عنوان الدراسة:</w:t>
      </w:r>
      <w:r w:rsidRPr="0054043C">
        <w:rPr>
          <w:rFonts w:ascii="Simplified Arabic" w:hAnsi="Simplified Arabic" w:cs="Simplified Arabic"/>
          <w:sz w:val="28"/>
          <w:szCs w:val="28"/>
          <w:rtl/>
        </w:rPr>
        <w:t xml:space="preserve"> تطبيق تكنولوجيا المعلومات وتأثيرها في فاعلية التميز التنظيمي — دراسة تحليلية في فنادق الخمس نجوم بمدينة بغداد.</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منهج الدراسة وعينتها:</w:t>
      </w:r>
      <w:r w:rsidRPr="0054043C">
        <w:rPr>
          <w:rFonts w:ascii="Simplified Arabic" w:hAnsi="Simplified Arabic" w:cs="Simplified Arabic"/>
          <w:sz w:val="28"/>
          <w:szCs w:val="28"/>
          <w:rtl/>
        </w:rPr>
        <w:t xml:space="preserve"> اعتمدت المنهج الوصفي التحليلي مع الاستبانة أداةً للجمع، وطُبّقت على عينة من العاملين في إدارات الفنادق.</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lastRenderedPageBreak/>
        <w:t>أبرز النتائج:</w:t>
      </w:r>
      <w:r w:rsidRPr="0054043C">
        <w:rPr>
          <w:rFonts w:ascii="Simplified Arabic" w:hAnsi="Simplified Arabic" w:cs="Simplified Arabic"/>
          <w:sz w:val="28"/>
          <w:szCs w:val="28"/>
          <w:rtl/>
        </w:rPr>
        <w:t xml:space="preserve"> خلصت إلى وجود أثر إيجابي معنوي لتطبيق تكنولوجيا المعلومات في تعزيز التميز التنظيمي بأبعاده المتعددة، وأن الأبعاد الأكثر استجابةً لتطبيق التكنولوجيا هي: جودة الخدمة، وكفاءة الموارد، ورضا العملاء.</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التعقيب والصلة بالدراسة الحالية:</w:t>
      </w:r>
      <w:r w:rsidRPr="0054043C">
        <w:rPr>
          <w:rFonts w:ascii="Simplified Arabic" w:hAnsi="Simplified Arabic" w:cs="Simplified Arabic"/>
          <w:sz w:val="28"/>
          <w:szCs w:val="28"/>
          <w:rtl/>
        </w:rPr>
        <w:t xml:space="preserve"> تُقدّم هذه الدراسة شاهداً أكاديمياً عربياً مهماً على أن التقنية بوصفها متغيراً مستقلاً ترتبط ارتباطاً إيجابياً بالتميز التنظيمي، مما يُعزز المنطق النظري الذي تنطلق منه الدراسة الحالية. غير أن الدراسة الحالية تتمايز عنها بتركيزها على إدارة المخاطر — لا التقنية ذاتها — بوصفها المتغير المستقل، وفي تطبيقها على أصحاب المشاريع التقنية في الرياض لا على مديري الفنادق.</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الدراسة الخامسة: الحارثي (2024)</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عنوان الدراسة:</w:t>
      </w:r>
      <w:r w:rsidRPr="0054043C">
        <w:rPr>
          <w:rFonts w:ascii="Simplified Arabic" w:hAnsi="Simplified Arabic" w:cs="Simplified Arabic"/>
          <w:sz w:val="28"/>
          <w:szCs w:val="28"/>
          <w:rtl/>
        </w:rPr>
        <w:t xml:space="preserve"> التنظيم الإداري وأثره على تحقيق التميز المؤسسي — دراسة تطبيقية على شركة عبداللطيف جميل.</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منهج الدراسة وعينتها:</w:t>
      </w:r>
      <w:r w:rsidRPr="0054043C">
        <w:rPr>
          <w:rFonts w:ascii="Simplified Arabic" w:hAnsi="Simplified Arabic" w:cs="Simplified Arabic"/>
          <w:sz w:val="28"/>
          <w:szCs w:val="28"/>
          <w:rtl/>
        </w:rPr>
        <w:t xml:space="preserve"> استخدمت الدراسة المنهج الوصفي التحليلي والاستبانة، وطُبّقت على عينة من موظفي الشركة في المملكة العربية السعودية.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أبرز النتائج:</w:t>
      </w:r>
      <w:r w:rsidRPr="0054043C">
        <w:rPr>
          <w:rFonts w:ascii="Simplified Arabic" w:hAnsi="Simplified Arabic" w:cs="Simplified Arabic"/>
          <w:sz w:val="28"/>
          <w:szCs w:val="28"/>
          <w:rtl/>
        </w:rPr>
        <w:t xml:space="preserve"> أكدت الدراسة وجود ارتباط إيجابي قوي بين مستوى التنظيم الإداري والتميز المؤسسي، مُشيرةً إلى أن وضوح الهياكل التنظيمية وتفويض الصلاحيات وفاعلية التواصل الداخلي تُمثّل أبرز المحددات التنظيمية للتميز.</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التعقيب والصلة بالدراسة الحالية:</w:t>
      </w:r>
      <w:r w:rsidRPr="0054043C">
        <w:rPr>
          <w:rFonts w:ascii="Simplified Arabic" w:hAnsi="Simplified Arabic" w:cs="Simplified Arabic"/>
          <w:sz w:val="28"/>
          <w:szCs w:val="28"/>
          <w:rtl/>
        </w:rPr>
        <w:t xml:space="preserve"> تُعدّ هذه الدراسة الأقرب جغرافياً وسياقياً إلى الدراسة الحالية، إذ أُجريت في البيئة السعودية مباشرةً وركّزت على التميز المؤسسي متغيراً تابعاً. وتُشاركها الدراسة الحالية في المتغير التابع والبيئة الجغرافية، غير أنها تختلف عنها في المتغير المستقل (إدارة المخاطر بدلاً من التنظيم الإداري) وفي الفئة المستهدفة (أصحاب المشاريع التقنية بدلاً من موظفي الشركات الكبرى).</w:t>
      </w:r>
    </w:p>
    <w:p w:rsidR="00424B55"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b/>
          <w:bCs/>
          <w:sz w:val="28"/>
          <w:szCs w:val="28"/>
        </w:rPr>
      </w:pPr>
      <w:r w:rsidRPr="0054043C">
        <w:rPr>
          <w:rFonts w:ascii="Simplified Arabic" w:hAnsi="Simplified Arabic" w:cs="Simplified Arabic"/>
          <w:b/>
          <w:bCs/>
          <w:sz w:val="28"/>
          <w:szCs w:val="28"/>
          <w:rtl/>
        </w:rPr>
        <w:lastRenderedPageBreak/>
        <w:t>ثانياً: الدراسات الأجنبية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 xml:space="preserve">الدراسة السادسة: </w:t>
      </w:r>
      <w:r w:rsidRPr="0054043C">
        <w:rPr>
          <w:rFonts w:ascii="Simplified Arabic" w:hAnsi="Simplified Arabic" w:cs="Simplified Arabic"/>
          <w:b/>
          <w:bCs/>
          <w:sz w:val="28"/>
          <w:szCs w:val="28"/>
        </w:rPr>
        <w:t>de Bakker</w:t>
      </w:r>
      <w:r w:rsidRPr="0054043C">
        <w:rPr>
          <w:rFonts w:ascii="Simplified Arabic" w:hAnsi="Simplified Arabic" w:cs="Simplified Arabic"/>
          <w:b/>
          <w:bCs/>
          <w:sz w:val="28"/>
          <w:szCs w:val="28"/>
          <w:rtl/>
        </w:rPr>
        <w:t xml:space="preserve"> وآخرون (2011)</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عنوان الدراسة:</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Does Risk Management Contribute to IT Project Success? A Meta-Analysis of Empirical Evidence</w:t>
      </w:r>
      <w:r w:rsidRPr="0054043C">
        <w:rPr>
          <w:rFonts w:ascii="Simplified Arabic" w:hAnsi="Simplified Arabic" w:cs="Simplified Arabic"/>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منهج الدراسة وعينتها:</w:t>
      </w:r>
      <w:r w:rsidRPr="0054043C">
        <w:rPr>
          <w:rFonts w:ascii="Simplified Arabic" w:hAnsi="Simplified Arabic" w:cs="Simplified Arabic"/>
          <w:sz w:val="28"/>
          <w:szCs w:val="28"/>
          <w:rtl/>
        </w:rPr>
        <w:t xml:space="preserve"> اعتمدت الدراسة المنهج التجميعي (</w:t>
      </w:r>
      <w:r w:rsidRPr="0054043C">
        <w:rPr>
          <w:rFonts w:ascii="Simplified Arabic" w:hAnsi="Simplified Arabic" w:cs="Simplified Arabic"/>
          <w:sz w:val="28"/>
          <w:szCs w:val="28"/>
        </w:rPr>
        <w:t>Meta-Analysis</w:t>
      </w:r>
      <w:r w:rsidRPr="0054043C">
        <w:rPr>
          <w:rFonts w:ascii="Simplified Arabic" w:hAnsi="Simplified Arabic" w:cs="Simplified Arabic"/>
          <w:sz w:val="28"/>
          <w:szCs w:val="28"/>
          <w:rtl/>
        </w:rPr>
        <w:t>) التي حلّلت 32 دراسة تجريبية على مشاريع تقنية المعلومات خلال الفترة 1997–2009.</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أبرز النتائج:</w:t>
      </w:r>
      <w:r w:rsidRPr="0054043C">
        <w:rPr>
          <w:rFonts w:ascii="Simplified Arabic" w:hAnsi="Simplified Arabic" w:cs="Simplified Arabic"/>
          <w:sz w:val="28"/>
          <w:szCs w:val="28"/>
          <w:rtl/>
        </w:rPr>
        <w:t xml:space="preserve"> أثبتت الدراسة أن إدارة المخاطر تُسهم إسهاماً معنوياً في نجاح مشاريع تقنية المعلومات، وأن هذه العلاقة تتقوّى كلما اعتمدت المنظمة ممارسات إدارة المخاطر المنهجية الكاملة. كما كشفت أن الكفاءات الفردية لمدير المخاطر تُمثّل محدداً أقوى لنجاح المشروع مقارنةً باعتماد أدوات إدارة المخاطر الرسمية مُجرّدةً من التطبيق المُحكم.</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التعقيب والصلة بالدراسة الحالية:</w:t>
      </w:r>
      <w:r w:rsidRPr="0054043C">
        <w:rPr>
          <w:rFonts w:ascii="Simplified Arabic" w:hAnsi="Simplified Arabic" w:cs="Simplified Arabic"/>
          <w:sz w:val="28"/>
          <w:szCs w:val="28"/>
          <w:rtl/>
        </w:rPr>
        <w:t xml:space="preserve"> تُمثّل هذه الدراسة الشاهدَ التجميعي الأهم على صحة الفرضية الرئيسية لهذه الدراسة في سياق مشاريع التقنية، وقد اعتمدت على فترة زمنية سابقة وبيئة ثقافية مغايرة. وتأتي الدراسة الحالية لتختبر هذه العلاقة في السياق السعودي المعاصر، مع توسيع المتغير التابع من "نجاح المشروع" إلى "التميز التنظيمي" بأبعاده الأشمل والأعمق.</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 xml:space="preserve">الدراسة السابعة: </w:t>
      </w:r>
      <w:r w:rsidRPr="0054043C">
        <w:rPr>
          <w:rFonts w:ascii="Simplified Arabic" w:hAnsi="Simplified Arabic" w:cs="Simplified Arabic"/>
          <w:b/>
          <w:bCs/>
          <w:sz w:val="28"/>
          <w:szCs w:val="28"/>
        </w:rPr>
        <w:t>Bannerman</w:t>
      </w:r>
      <w:r w:rsidRPr="0054043C">
        <w:rPr>
          <w:rFonts w:ascii="Simplified Arabic" w:hAnsi="Simplified Arabic" w:cs="Simplified Arabic"/>
          <w:b/>
          <w:bCs/>
          <w:sz w:val="28"/>
          <w:szCs w:val="28"/>
          <w:rtl/>
        </w:rPr>
        <w:t xml:space="preserve"> (2008)</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عنوان الدراسة:</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Risk and Risk Management in Software Projects: A Reassessment</w:t>
      </w:r>
      <w:r w:rsidRPr="0054043C">
        <w:rPr>
          <w:rFonts w:ascii="Simplified Arabic" w:hAnsi="Simplified Arabic" w:cs="Simplified Arabic"/>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منهج الدراسة وعينتها:</w:t>
      </w:r>
      <w:r w:rsidRPr="0054043C">
        <w:rPr>
          <w:rFonts w:ascii="Simplified Arabic" w:hAnsi="Simplified Arabic" w:cs="Simplified Arabic"/>
          <w:sz w:val="28"/>
          <w:szCs w:val="28"/>
          <w:rtl/>
        </w:rPr>
        <w:t xml:space="preserve"> اعتمدت دراسة الحالات النوعية على تحليل معمّق لـ 17 مشروعاً برمجياً فاشلاً موثّقاً.</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أبرز النتائج:</w:t>
      </w:r>
      <w:r w:rsidRPr="0054043C">
        <w:rPr>
          <w:rFonts w:ascii="Simplified Arabic" w:hAnsi="Simplified Arabic" w:cs="Simplified Arabic"/>
          <w:sz w:val="28"/>
          <w:szCs w:val="28"/>
          <w:rtl/>
        </w:rPr>
        <w:t xml:space="preserve"> خلصت إلى أن غياب التوثيق المنهجي لمخاطر المشاريع وعدم الاستفادة من الدروس المستفادة يُمثّل نمطاً بنيوياً متكرراً في مشاريع البرمجيات الفاشلة. كما كشفت أن ثمة فجوةً واسعةً بين الفهم </w:t>
      </w:r>
      <w:r w:rsidRPr="0054043C">
        <w:rPr>
          <w:rFonts w:ascii="Simplified Arabic" w:hAnsi="Simplified Arabic" w:cs="Simplified Arabic"/>
          <w:sz w:val="28"/>
          <w:szCs w:val="28"/>
          <w:rtl/>
        </w:rPr>
        <w:lastRenderedPageBreak/>
        <w:t>النظري لإدارة المخاطر وتطبيقها الفعلي في البيئة البرمجية، وأن المنهجيات الرشيقة (</w:t>
      </w:r>
      <w:r w:rsidRPr="0054043C">
        <w:rPr>
          <w:rFonts w:ascii="Simplified Arabic" w:hAnsi="Simplified Arabic" w:cs="Simplified Arabic"/>
          <w:sz w:val="28"/>
          <w:szCs w:val="28"/>
        </w:rPr>
        <w:t>Agile</w:t>
      </w:r>
      <w:r w:rsidRPr="0054043C">
        <w:rPr>
          <w:rFonts w:ascii="Simplified Arabic" w:hAnsi="Simplified Arabic" w:cs="Simplified Arabic"/>
          <w:sz w:val="28"/>
          <w:szCs w:val="28"/>
          <w:rtl/>
        </w:rPr>
        <w:t>) تُولّد تحديات مخاطر مغايرة لتلك التي تُولّدها المنهجيات التقليدية.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التعقيب والصلة بالدراسة الحالية:</w:t>
      </w:r>
      <w:r w:rsidRPr="0054043C">
        <w:rPr>
          <w:rFonts w:ascii="Simplified Arabic" w:hAnsi="Simplified Arabic" w:cs="Simplified Arabic"/>
          <w:sz w:val="28"/>
          <w:szCs w:val="28"/>
          <w:rtl/>
        </w:rPr>
        <w:t xml:space="preserve"> تتقاطع نتائج هذه الدراسة مع الدراسة الحالية في تأكيد أهمية التوثيق ودروس المخاطر المستفادة — وهو أحد الأبعاد السبعة للمتغير المستقل في هذه الدراسة — بوصفه عاملاً جوهرياً في تحديد مصير مشاريع التقنية. غير أن الدراسة الحالية تتجاوز التشخيص النوعي للإخفاق إلى القياس الكمي للأثر الإيجابي لإدارة المخاطر في التميز التنظيمي.</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 xml:space="preserve">الدراسة الثامنة: </w:t>
      </w:r>
      <w:r w:rsidRPr="0054043C">
        <w:rPr>
          <w:rFonts w:ascii="Simplified Arabic" w:hAnsi="Simplified Arabic" w:cs="Simplified Arabic"/>
          <w:b/>
          <w:bCs/>
          <w:sz w:val="28"/>
          <w:szCs w:val="28"/>
        </w:rPr>
        <w:t>Muhammad</w:t>
      </w:r>
      <w:r w:rsidRPr="0054043C">
        <w:rPr>
          <w:rFonts w:ascii="Simplified Arabic" w:hAnsi="Simplified Arabic" w:cs="Simplified Arabic"/>
          <w:b/>
          <w:bCs/>
          <w:sz w:val="28"/>
          <w:szCs w:val="28"/>
          <w:rtl/>
        </w:rPr>
        <w:t xml:space="preserve"> وآخرون (2013)</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عنوان الدراسة:</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A Survey on Usage and Diffusion of Project Risk Management Techniques and Software Tools in the Construction Industry</w:t>
      </w:r>
      <w:r w:rsidRPr="0054043C">
        <w:rPr>
          <w:rFonts w:ascii="Simplified Arabic" w:hAnsi="Simplified Arabic" w:cs="Simplified Arabic"/>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منهج الدراسة وعينتها:</w:t>
      </w:r>
      <w:r w:rsidRPr="0054043C">
        <w:rPr>
          <w:rFonts w:ascii="Simplified Arabic" w:hAnsi="Simplified Arabic" w:cs="Simplified Arabic"/>
          <w:sz w:val="28"/>
          <w:szCs w:val="28"/>
          <w:rtl/>
        </w:rPr>
        <w:t xml:space="preserve"> مسح وصفي على 56 شركة إنشاء وتقنية في الباكستان.</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أبرز النتائج:</w:t>
      </w:r>
      <w:r w:rsidRPr="0054043C">
        <w:rPr>
          <w:rFonts w:ascii="Simplified Arabic" w:hAnsi="Simplified Arabic" w:cs="Simplified Arabic"/>
          <w:sz w:val="28"/>
          <w:szCs w:val="28"/>
          <w:rtl/>
        </w:rPr>
        <w:t xml:space="preserve"> كشف المسح أن 42% فقط من المنظمات تمتلك عمليات رسمية لتحديد المخاطر، وأن نسبة استخدام البرمجيات المتخصصة في إدارة المخاطر لا تتجاوز 38%، مما يكشف عن فجوة تطبيقية واسعة. كما أثبت أن المنظمات الأكثر نضجاً في إدارة المخاطر تُحقق مستويات أعلى من نجاح المشاريع بصورة مُتسقة.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التعقيب والصلة بالدراسة الحالية:</w:t>
      </w:r>
      <w:r w:rsidRPr="0054043C">
        <w:rPr>
          <w:rFonts w:ascii="Simplified Arabic" w:hAnsi="Simplified Arabic" w:cs="Simplified Arabic"/>
          <w:sz w:val="28"/>
          <w:szCs w:val="28"/>
          <w:rtl/>
        </w:rPr>
        <w:t xml:space="preserve"> تُقدّم هذه الدراسة شاهداً مقارناً على واقع تطبيق إدارة المخاطر في سياقات نامية مشابهة للسياق السعودي من حيث حداثة المنظومة المؤسسية، وتُعزز مبرر الدراسة الحالية في الكشف عن مستوى التطبيق الفعلي لدى أصحاب المشاريع التقنية في الرياض. ولكن الدراسة الحالية تُوسّع نطاق الاهتمام البحثي ليشمل الأثر على التميز التنظيمي وليس مجرد رصد واقع التطبيق.</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 xml:space="preserve">الدراسة التاسعة: </w:t>
      </w:r>
      <w:r w:rsidRPr="0054043C">
        <w:rPr>
          <w:rFonts w:ascii="Simplified Arabic" w:hAnsi="Simplified Arabic" w:cs="Simplified Arabic"/>
          <w:b/>
          <w:bCs/>
          <w:sz w:val="28"/>
          <w:szCs w:val="28"/>
        </w:rPr>
        <w:t>Selvakumar</w:t>
      </w:r>
      <w:r w:rsidRPr="0054043C">
        <w:rPr>
          <w:rFonts w:ascii="Simplified Arabic" w:hAnsi="Simplified Arabic" w:cs="Simplified Arabic"/>
          <w:b/>
          <w:bCs/>
          <w:sz w:val="28"/>
          <w:szCs w:val="28"/>
          <w:rtl/>
        </w:rPr>
        <w:t xml:space="preserve"> وآخرون (2024)</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عنوان الدراسة:</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Does Risk Management Components Influence on Project Success? Evidence from IT Sector</w:t>
      </w:r>
      <w:r w:rsidRPr="0054043C">
        <w:rPr>
          <w:rFonts w:ascii="Simplified Arabic" w:hAnsi="Simplified Arabic" w:cs="Simplified Arabic"/>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lastRenderedPageBreak/>
        <w:t>منهج الدراسة وعينتها:</w:t>
      </w:r>
      <w:r w:rsidRPr="0054043C">
        <w:rPr>
          <w:rFonts w:ascii="Simplified Arabic" w:hAnsi="Simplified Arabic" w:cs="Simplified Arabic"/>
          <w:sz w:val="28"/>
          <w:szCs w:val="28"/>
          <w:rtl/>
        </w:rPr>
        <w:t xml:space="preserve"> دراسة كمية على 261 متخصصاً في قطاع تقنية المعلومات، مع تحليل باستخدام نمذجة المعادلات الهيكلية </w:t>
      </w:r>
      <w:r w:rsidRPr="0054043C">
        <w:rPr>
          <w:rFonts w:ascii="Simplified Arabic" w:hAnsi="Simplified Arabic" w:cs="Simplified Arabic"/>
          <w:sz w:val="28"/>
          <w:szCs w:val="28"/>
        </w:rPr>
        <w:t>PLS-SEM</w:t>
      </w:r>
      <w:r w:rsidRPr="0054043C">
        <w:rPr>
          <w:rFonts w:ascii="Simplified Arabic" w:hAnsi="Simplified Arabic" w:cs="Simplified Arabic"/>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أبرز النتائج:</w:t>
      </w:r>
      <w:r w:rsidRPr="0054043C">
        <w:rPr>
          <w:rFonts w:ascii="Simplified Arabic" w:hAnsi="Simplified Arabic" w:cs="Simplified Arabic"/>
          <w:sz w:val="28"/>
          <w:szCs w:val="28"/>
          <w:rtl/>
        </w:rPr>
        <w:t xml:space="preserve"> أثبتت الدراسة أن مكونات إدارة المخاطر الأربعة — التحديد، والتحليل، والتخطيط، والمراقبة — تُؤثّر تأثيراً إيجابياً معنوياً في نجاح مشاريع التقنية بأبعاده المتعددة. وتُفسّر إدارة المخاطر ككل ما نسبته 61.3% من التباين في نجاح مشاريع التقنية (</w:t>
      </w:r>
      <w:r w:rsidRPr="0054043C">
        <w:rPr>
          <w:rFonts w:ascii="Simplified Arabic" w:hAnsi="Simplified Arabic" w:cs="Simplified Arabic"/>
          <w:sz w:val="28"/>
          <w:szCs w:val="28"/>
        </w:rPr>
        <w:t>R</w:t>
      </w:r>
      <w:r w:rsidRPr="0054043C">
        <w:rPr>
          <w:rFonts w:ascii="Simplified Arabic" w:hAnsi="Simplified Arabic" w:cs="Simplified Arabic"/>
          <w:sz w:val="28"/>
          <w:szCs w:val="28"/>
          <w:rtl/>
        </w:rPr>
        <w:t>² = 0.613)، وهو حجم تأثير كبير يُعكس قوة العلاقة بين المتغيرين. كما تبيّن أن التحليل والتخطيط هما البُعدان الأقوى تأثيراً من بين المكونات الأربعة.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التعقيب والصلة بالدراسة الحالية:</w:t>
      </w:r>
      <w:r w:rsidRPr="0054043C">
        <w:rPr>
          <w:rFonts w:ascii="Simplified Arabic" w:hAnsi="Simplified Arabic" w:cs="Simplified Arabic"/>
          <w:sz w:val="28"/>
          <w:szCs w:val="28"/>
          <w:rtl/>
        </w:rPr>
        <w:t xml:space="preserve"> تُعدّ هذه الدراسة الأقرب تصميماً ومتغيراتٍ ومنهجيةً إلى الدراسة الحالية، وتُمثّل المرجعَ التجريبي الأساسي لتأسيس فرضياتها. وتُضيف الدراسة الحالية إليها قيمةً في ثلاثة أوجه: أولاً توسيع المتغير التابع من "نجاح المشاريع" إلى "التميز التنظيمي" بأبعاده السبعة الشاملة. وثانياً تطبيقها في السياق السعودي تحديداً وهو سياق مغاير ثقافياً واقتصادياً. وثالثاً إضافة أبعاد جديدة للمتغير المستقل كالأدوات الحديثة والتدريب والتوثيق التي لم تتضمنها الدراسة المرجعية.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 xml:space="preserve">الدراسة العاشرة: </w:t>
      </w:r>
      <w:r w:rsidRPr="0054043C">
        <w:rPr>
          <w:rFonts w:ascii="Simplified Arabic" w:hAnsi="Simplified Arabic" w:cs="Simplified Arabic"/>
          <w:b/>
          <w:bCs/>
          <w:sz w:val="28"/>
          <w:szCs w:val="28"/>
        </w:rPr>
        <w:t>Testorelli</w:t>
      </w:r>
      <w:r w:rsidRPr="0054043C">
        <w:rPr>
          <w:rFonts w:ascii="Simplified Arabic" w:hAnsi="Simplified Arabic" w:cs="Simplified Arabic"/>
          <w:b/>
          <w:bCs/>
          <w:sz w:val="28"/>
          <w:szCs w:val="28"/>
          <w:rtl/>
        </w:rPr>
        <w:t xml:space="preserve"> وآخرون (2024)</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عنوان الدراسة:</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Value Creation with Project Risk Management: A Holistic Framework</w:t>
      </w:r>
      <w:r w:rsidRPr="0054043C">
        <w:rPr>
          <w:rFonts w:ascii="Simplified Arabic" w:hAnsi="Simplified Arabic" w:cs="Simplified Arabic"/>
          <w:sz w:val="28"/>
          <w:szCs w:val="28"/>
          <w:rtl/>
        </w:rPr>
        <w:t>.</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منهج الدراسة وعينتها:</w:t>
      </w:r>
      <w:r w:rsidRPr="0054043C">
        <w:rPr>
          <w:rFonts w:ascii="Simplified Arabic" w:hAnsi="Simplified Arabic" w:cs="Simplified Arabic"/>
          <w:sz w:val="28"/>
          <w:szCs w:val="28"/>
          <w:rtl/>
        </w:rPr>
        <w:t xml:space="preserve"> مراجعة منهجية شاملة لـ 116 دراسة تجريبية حول خلق القيمة من خلال إدارة مخاطر المشاريع.</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أبرز النتائج:</w:t>
      </w:r>
      <w:r w:rsidRPr="0054043C">
        <w:rPr>
          <w:rFonts w:ascii="Simplified Arabic" w:hAnsi="Simplified Arabic" w:cs="Simplified Arabic"/>
          <w:sz w:val="28"/>
          <w:szCs w:val="28"/>
          <w:rtl/>
        </w:rPr>
        <w:t xml:space="preserve"> طوّرت الدراسة إطاراً شمولياً لخلق القيمة من إدارة المخاطر يتضمن ثلاثة مسارات: تقليل الاضطرابات، وتعزيز القرارات الاستراتيجية، واستثمار الفرص. وكشفت أن 78% من الدراسات التجريبية المُحللة وجدت ارتباطاً إيجابياً بين جودة إدارة المخاطر ومؤشرات الأداء التنظيمي. كما أثبتت أن إدارة المخاطر تُضاعف قيمة المشاريع بمتوسط 23% عند تطبيقها وفق إطار متكامل.</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التعقيب والصلة بالدراسة الحالية:</w:t>
      </w:r>
      <w:r w:rsidRPr="0054043C">
        <w:rPr>
          <w:rFonts w:ascii="Simplified Arabic" w:hAnsi="Simplified Arabic" w:cs="Simplified Arabic"/>
          <w:sz w:val="28"/>
          <w:szCs w:val="28"/>
          <w:rtl/>
        </w:rPr>
        <w:t xml:space="preserve"> يُقدّم الإطار الشمولي الذي طوّرته هذه الدراسة المسوّغَ النظري الأعمق لربط إدارة المخاطر بالتميز التنظيمي في الدراسة الحالية، ويُعزز صحة النموذج المقترح. غير أن الدراسة الحالية تتجاوز المراجعة النظرية إلى الاختبار الميداني في بيئة محددة.</w:t>
      </w:r>
    </w:p>
    <w:p w:rsidR="00424B55" w:rsidRPr="001477A2" w:rsidRDefault="00424B55" w:rsidP="00424B55">
      <w:pPr>
        <w:pStyle w:val="Heading2"/>
      </w:pPr>
      <w:bookmarkStart w:id="4" w:name="_Toc224781449"/>
      <w:r w:rsidRPr="001477A2">
        <w:rPr>
          <w:rtl/>
        </w:rPr>
        <w:lastRenderedPageBreak/>
        <w:t>المبحث الخامس: الفجوة البحثية وموقع الدراسة الحالية</w:t>
      </w:r>
      <w:bookmarkEnd w:id="4"/>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أولاً: استخلاص الفجوة البحثية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بعد الاستعراض النقدي المُقارن للدراسات السابقة، تتجلّى جملةٌ من الفجوات البحثية الجوهرية التي تُؤسّس لأصالة هذه الدراسة ومشروعيتها العلمية: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الفجوة الأولى: غياب التركيز على التميز التنظيمي متغيراً تابعاً</w:t>
      </w:r>
      <w:r w:rsidRPr="0054043C">
        <w:rPr>
          <w:rFonts w:ascii="Simplified Arabic" w:hAnsi="Simplified Arabic" w:cs="Simplified Arabic"/>
          <w:sz w:val="28"/>
          <w:szCs w:val="28"/>
          <w:rtl/>
        </w:rPr>
        <w:t xml:space="preserve"> تناولت غالبية الدراسات السابقة العلاقةَ بين إدارة المخاطر وما أسمته بـ"نجاح المشروع" (</w:t>
      </w:r>
      <w:r w:rsidRPr="0054043C">
        <w:rPr>
          <w:rFonts w:ascii="Simplified Arabic" w:hAnsi="Simplified Arabic" w:cs="Simplified Arabic"/>
          <w:sz w:val="28"/>
          <w:szCs w:val="28"/>
        </w:rPr>
        <w:t>Project Success</w:t>
      </w:r>
      <w:r w:rsidRPr="0054043C">
        <w:rPr>
          <w:rFonts w:ascii="Simplified Arabic" w:hAnsi="Simplified Arabic" w:cs="Simplified Arabic"/>
          <w:sz w:val="28"/>
          <w:szCs w:val="28"/>
          <w:rtl/>
        </w:rPr>
        <w:t>) مُختزِلةً إياه في مؤشرات ثلاثية محدودة: الوقت والتكلفة والجودة التقنية. بيد أن أحداً من هذه الدراسات لم يتناول التميز التنظيمي بأبعاده الاستراتيجية الشاملة — كالميزة التنافسية واستمرارية النجاح وجودة القرارات — متغيراً تابعاً مستقلاً، وهو ما يُميز الدراسة الحالية بتقديم منظور إداري أشمل يُعيد توجيه البحث نحو الأثر الاستراتيجي البعيد المدى لإدارة المخاطر، لا الأثر التشغيلي الآني فحسب (</w:t>
      </w:r>
      <w:r w:rsidRPr="0054043C">
        <w:rPr>
          <w:rFonts w:ascii="Simplified Arabic" w:hAnsi="Simplified Arabic" w:cs="Simplified Arabic"/>
          <w:sz w:val="28"/>
          <w:szCs w:val="28"/>
        </w:rPr>
        <w:t>Selvakumar</w:t>
      </w:r>
      <w:r w:rsidRPr="0054043C">
        <w:rPr>
          <w:rFonts w:ascii="Simplified Arabic" w:hAnsi="Simplified Arabic" w:cs="Simplified Arabic"/>
          <w:sz w:val="28"/>
          <w:szCs w:val="28"/>
          <w:rtl/>
        </w:rPr>
        <w:t xml:space="preserve"> وآخرون، 2024؛ </w:t>
      </w:r>
      <w:r w:rsidRPr="0054043C">
        <w:rPr>
          <w:rFonts w:ascii="Simplified Arabic" w:hAnsi="Simplified Arabic" w:cs="Simplified Arabic"/>
          <w:sz w:val="28"/>
          <w:szCs w:val="28"/>
        </w:rPr>
        <w:t>Testorelli</w:t>
      </w:r>
      <w:r w:rsidRPr="0054043C">
        <w:rPr>
          <w:rFonts w:ascii="Simplified Arabic" w:hAnsi="Simplified Arabic" w:cs="Simplified Arabic"/>
          <w:sz w:val="28"/>
          <w:szCs w:val="28"/>
          <w:rtl/>
        </w:rPr>
        <w:t xml:space="preserve"> وآخرون، 2024).</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الفجوة الثانية: ندرة الدراسات في السياق السعودي وتقنية المعلومات</w:t>
      </w:r>
      <w:r w:rsidRPr="0054043C">
        <w:rPr>
          <w:rFonts w:ascii="Simplified Arabic" w:hAnsi="Simplified Arabic" w:cs="Simplified Arabic"/>
          <w:sz w:val="28"/>
          <w:szCs w:val="28"/>
          <w:rtl/>
        </w:rPr>
        <w:t xml:space="preserve"> كشف الاستعراض أن الدراسات التي تجمع في آنٍ واحد بين ثلاثة محددات: إدارة المخاطر + المشاريع التقنية + السياق السعودي، تكاد تكون معدومة في الأدبيات العربية المُحكّمة. فالدراسات العربية المتاحة إما أنها تتناول قطاعات مغايرة (التشييد والبناء، الفنادق، القطاع الحكومي) كعامودي (2022) وعكاب (2019) والحارثي (2024)، وإما أنها تتناول السياق السعودي بمتغيرات مختلفة كالربيعي (2024)، مما يجعل الدراسة الحالية بحثاً رائداً يملأ فراغاً حقيقياً في الأدبيات.</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الفجوة الثالثة: محدودية تناول الأبعاد البنيوية الداعمة لإدارة المخاطر</w:t>
      </w:r>
      <w:r w:rsidRPr="0054043C">
        <w:rPr>
          <w:rFonts w:ascii="Simplified Arabic" w:hAnsi="Simplified Arabic" w:cs="Simplified Arabic"/>
          <w:sz w:val="28"/>
          <w:szCs w:val="28"/>
          <w:rtl/>
        </w:rPr>
        <w:t xml:space="preserve"> ركّزت معظم الدراسات السابقة على الأبعاد العملياتية لإدارة المخاطر (التحديد، التحليل، التخطيط، المراقبة) متجاهلةً الأبعاد البنيوية الداعمة كتوظيف الأدوات الحديثة وتدريب العاملين والتوثيق المؤسسي، وهي أبعاد تتضمنها الاستبانة المعتمدة في الدراسة الحالية وتُغطي بها جانباً مغفولاً من الأدبيات (</w:t>
      </w:r>
      <w:r w:rsidRPr="0054043C">
        <w:rPr>
          <w:rFonts w:ascii="Simplified Arabic" w:hAnsi="Simplified Arabic" w:cs="Simplified Arabic"/>
          <w:sz w:val="28"/>
          <w:szCs w:val="28"/>
        </w:rPr>
        <w:t>Muhammad</w:t>
      </w:r>
      <w:r w:rsidRPr="0054043C">
        <w:rPr>
          <w:rFonts w:ascii="Simplified Arabic" w:hAnsi="Simplified Arabic" w:cs="Simplified Arabic"/>
          <w:sz w:val="28"/>
          <w:szCs w:val="28"/>
          <w:rtl/>
        </w:rPr>
        <w:t xml:space="preserve"> وآخرون، 2013).</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الفجوة الرابعة: ضعف التوثيق الكمي للعلاقة في بيئات الأعمال الخليجية</w:t>
      </w:r>
      <w:r w:rsidRPr="0054043C">
        <w:rPr>
          <w:rFonts w:ascii="Simplified Arabic" w:hAnsi="Simplified Arabic" w:cs="Simplified Arabic"/>
          <w:sz w:val="28"/>
          <w:szCs w:val="28"/>
          <w:rtl/>
        </w:rPr>
        <w:t xml:space="preserve"> تنتمي الدراسات الكمية الأقوى إحصائياً في هذا الحقل — كدراسة </w:t>
      </w:r>
      <w:r w:rsidRPr="0054043C">
        <w:rPr>
          <w:rFonts w:ascii="Simplified Arabic" w:hAnsi="Simplified Arabic" w:cs="Simplified Arabic"/>
          <w:sz w:val="28"/>
          <w:szCs w:val="28"/>
        </w:rPr>
        <w:t>Selvakumar</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2024) و</w:t>
      </w:r>
      <w:r w:rsidRPr="0054043C">
        <w:rPr>
          <w:rFonts w:ascii="Simplified Arabic" w:hAnsi="Simplified Arabic" w:cs="Simplified Arabic"/>
          <w:sz w:val="28"/>
          <w:szCs w:val="28"/>
        </w:rPr>
        <w:t>de Bakker</w:t>
      </w:r>
      <w:r>
        <w:rPr>
          <w:rFonts w:ascii="Simplified Arabic" w:hAnsi="Simplified Arabic" w:cs="Simplified Arabic"/>
          <w:sz w:val="28"/>
          <w:szCs w:val="28"/>
        </w:rPr>
        <w:t>)</w:t>
      </w:r>
      <w:r w:rsidRPr="0054043C">
        <w:rPr>
          <w:rFonts w:ascii="Simplified Arabic" w:hAnsi="Simplified Arabic" w:cs="Simplified Arabic"/>
          <w:sz w:val="28"/>
          <w:szCs w:val="28"/>
          <w:rtl/>
        </w:rPr>
        <w:t xml:space="preserve"> وآخرون 2011) </w:t>
      </w:r>
      <w:r>
        <w:rPr>
          <w:rFonts w:ascii="Simplified Arabic" w:hAnsi="Simplified Arabic" w:cs="Simplified Arabic" w:hint="cs"/>
          <w:sz w:val="28"/>
          <w:szCs w:val="28"/>
          <w:rtl/>
        </w:rPr>
        <w:t xml:space="preserve">و </w:t>
      </w:r>
      <w:r>
        <w:rPr>
          <w:rFonts w:ascii="Simplified Arabic" w:hAnsi="Simplified Arabic" w:cs="Simplified Arabic" w:hint="cs"/>
          <w:sz w:val="28"/>
          <w:szCs w:val="28"/>
          <w:rtl/>
        </w:rPr>
        <w:lastRenderedPageBreak/>
        <w:t>(</w:t>
      </w:r>
      <w:r w:rsidRPr="0054043C">
        <w:rPr>
          <w:rFonts w:ascii="Simplified Arabic" w:hAnsi="Simplified Arabic" w:cs="Simplified Arabic"/>
          <w:sz w:val="28"/>
          <w:szCs w:val="28"/>
        </w:rPr>
        <w:t>Testorelli</w:t>
      </w:r>
      <w:r w:rsidRPr="0054043C">
        <w:rPr>
          <w:rFonts w:ascii="Simplified Arabic" w:hAnsi="Simplified Arabic" w:cs="Simplified Arabic"/>
          <w:sz w:val="28"/>
          <w:szCs w:val="28"/>
          <w:rtl/>
        </w:rPr>
        <w:t xml:space="preserve"> وآخرون 2024) — إلى بيئات أكاديمية وتطبيقية غربية أو آسيوية، مما يُقيّد قابلية تعميم نتائجها على بيئة الأعمال التقنية السعودية ذات الخصوصية الثقافية والتنظيمية المتميزة.</w:t>
      </w:r>
    </w:p>
    <w:p w:rsidR="00424B55" w:rsidRPr="0054043C" w:rsidRDefault="00424B55" w:rsidP="00424B55">
      <w:pPr>
        <w:bidi/>
        <w:rPr>
          <w:rFonts w:ascii="Simplified Arabic" w:hAnsi="Simplified Arabic" w:cs="Simplified Arabic"/>
          <w:b/>
          <w:bCs/>
          <w:sz w:val="28"/>
          <w:szCs w:val="28"/>
          <w:rtl/>
        </w:rPr>
      </w:pPr>
      <w:r w:rsidRPr="0054043C">
        <w:rPr>
          <w:rFonts w:ascii="Simplified Arabic" w:hAnsi="Simplified Arabic" w:cs="Simplified Arabic"/>
          <w:b/>
          <w:bCs/>
          <w:sz w:val="28"/>
          <w:szCs w:val="28"/>
          <w:rtl/>
        </w:rPr>
        <w:t>ثانياً: موقع الدراسة الحالية من الأدبيات وإسهاماتها المتوقعة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تتموضع الدراسة الحالية في الفضاء البحثي الذي تتقاطع فيه أربعة محاور: إدارة المخاطر، والتميز التنظيمي، والمشاريع التقنية، والسياق السعودي. ويمكن تحديد إسهاماتها المتوقعة على مستويين:</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على المستوى النظري:</w:t>
      </w:r>
      <w:r w:rsidRPr="0054043C">
        <w:rPr>
          <w:rFonts w:ascii="Simplified Arabic" w:hAnsi="Simplified Arabic" w:cs="Simplified Arabic"/>
          <w:sz w:val="28"/>
          <w:szCs w:val="28"/>
          <w:rtl/>
        </w:rPr>
        <w:t xml:space="preserve"> تُضيف الدراسة إلى الأدبيات نموذجاً بحثياً مُختبَراً يُجسّد العلاقة بين إدارة المخاطر والتميز التنظيمي في سياق المشاريع التقنية السعودية، ويُوفّر شاهداً تجريبياً محلياً يُثري المعرفة الإدارية العربية في هذا المجال ويُتيح المقارنة مع نتائج الدراسات الدولية.</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b/>
          <w:bCs/>
          <w:sz w:val="28"/>
          <w:szCs w:val="28"/>
          <w:rtl/>
        </w:rPr>
        <w:t>على المستوى التطبيقي:</w:t>
      </w:r>
      <w:r w:rsidRPr="0054043C">
        <w:rPr>
          <w:rFonts w:ascii="Simplified Arabic" w:hAnsi="Simplified Arabic" w:cs="Simplified Arabic"/>
          <w:sz w:val="28"/>
          <w:szCs w:val="28"/>
          <w:rtl/>
        </w:rPr>
        <w:t xml:space="preserve"> تُقدّم الدراسة لأصحاب المشاريع التقنية في الرياض — وللجهات الراعية لبيئة الأعمال التقنية كهيئة الاتصالات وتقنية المعلومات — أدلةً إحصائيةً دقيقةً تُجيب على السؤال العملي: أيّ أبعاد إدارة المخاطر الأقوى تأثيراً في تحقيق التميز التنظيمي؟ وهو سؤال تُصاغ على أساسه أولويات الاستثمار في تطوير ممارسات إدارة المخاطر بما يُعظّم الأثر على التميز التنظيمي.</w:t>
      </w:r>
    </w:p>
    <w:p w:rsidR="00424B55" w:rsidRPr="0054043C" w:rsidRDefault="00424B55" w:rsidP="00424B55">
      <w:pPr>
        <w:bidi/>
        <w:rPr>
          <w:rFonts w:ascii="Simplified Arabic" w:hAnsi="Simplified Arabic" w:cs="Simplified Arabic"/>
          <w:sz w:val="28"/>
          <w:szCs w:val="28"/>
          <w:rtl/>
        </w:rPr>
      </w:pP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 xml:space="preserve">أرسى هذا الفصل بجزأيه المتكاملين الأساسَ النظري والتجريبي للدراسة بعمق أكاديمي ثري ومتعدد المستويات. فعلى صعيد الإطار النظري، استعرض المبحث الأول إدارة المخاطر من زوايا تعريفية وتاريخية وتطبيقية متشعّبة، وأطّر أبعادها السبعة المعتمدة في الدراسة بشواهد موثّقة من أبرز المعايير الدولية — كـ </w:t>
      </w:r>
      <w:r w:rsidRPr="0054043C">
        <w:rPr>
          <w:rFonts w:ascii="Simplified Arabic" w:hAnsi="Simplified Arabic" w:cs="Simplified Arabic"/>
          <w:sz w:val="28"/>
          <w:szCs w:val="28"/>
        </w:rPr>
        <w:t>PMBOK</w:t>
      </w:r>
      <w:r w:rsidRPr="0054043C">
        <w:rPr>
          <w:rFonts w:ascii="Simplified Arabic" w:hAnsi="Simplified Arabic" w:cs="Simplified Arabic"/>
          <w:sz w:val="28"/>
          <w:szCs w:val="28"/>
          <w:rtl/>
        </w:rPr>
        <w:t xml:space="preserve"> السابع (</w:t>
      </w:r>
      <w:r w:rsidRPr="0054043C">
        <w:rPr>
          <w:rFonts w:ascii="Simplified Arabic" w:hAnsi="Simplified Arabic" w:cs="Simplified Arabic"/>
          <w:sz w:val="28"/>
          <w:szCs w:val="28"/>
        </w:rPr>
        <w:t>PMI, 2021</w:t>
      </w:r>
      <w:r w:rsidRPr="0054043C">
        <w:rPr>
          <w:rFonts w:ascii="Simplified Arabic" w:hAnsi="Simplified Arabic" w:cs="Simplified Arabic"/>
          <w:sz w:val="28"/>
          <w:szCs w:val="28"/>
          <w:rtl/>
        </w:rPr>
        <w:t>) و</w:t>
      </w:r>
      <w:r w:rsidRPr="0054043C">
        <w:rPr>
          <w:rFonts w:ascii="Simplified Arabic" w:hAnsi="Simplified Arabic" w:cs="Simplified Arabic"/>
          <w:sz w:val="28"/>
          <w:szCs w:val="28"/>
        </w:rPr>
        <w:t>ISO 31000</w:t>
      </w:r>
      <w:r w:rsidRPr="0054043C">
        <w:rPr>
          <w:rFonts w:ascii="Simplified Arabic" w:hAnsi="Simplified Arabic" w:cs="Simplified Arabic"/>
          <w:sz w:val="28"/>
          <w:szCs w:val="28"/>
          <w:rtl/>
        </w:rPr>
        <w:t xml:space="preserve">:2018 — وأبرز الدراسات المحكمة كـ </w:t>
      </w:r>
      <w:r w:rsidRPr="0054043C">
        <w:rPr>
          <w:rFonts w:ascii="Simplified Arabic" w:hAnsi="Simplified Arabic" w:cs="Simplified Arabic"/>
          <w:sz w:val="28"/>
          <w:szCs w:val="28"/>
        </w:rPr>
        <w:t>Masso</w:t>
      </w:r>
      <w:r w:rsidRPr="0054043C">
        <w:rPr>
          <w:rFonts w:ascii="Simplified Arabic" w:hAnsi="Simplified Arabic" w:cs="Simplified Arabic"/>
          <w:sz w:val="28"/>
          <w:szCs w:val="28"/>
          <w:rtl/>
        </w:rPr>
        <w:t xml:space="preserve"> وآخرون (2020) و</w:t>
      </w:r>
      <w:r w:rsidRPr="0054043C">
        <w:rPr>
          <w:rFonts w:ascii="Simplified Arabic" w:hAnsi="Simplified Arabic" w:cs="Simplified Arabic"/>
          <w:sz w:val="28"/>
          <w:szCs w:val="28"/>
        </w:rPr>
        <w:t>Muhammad</w:t>
      </w:r>
      <w:r w:rsidRPr="0054043C">
        <w:rPr>
          <w:rFonts w:ascii="Simplified Arabic" w:hAnsi="Simplified Arabic" w:cs="Simplified Arabic"/>
          <w:sz w:val="28"/>
          <w:szCs w:val="28"/>
          <w:rtl/>
        </w:rPr>
        <w:t xml:space="preserve"> وآخرون (2013) و</w:t>
      </w:r>
      <w:r w:rsidRPr="0054043C">
        <w:rPr>
          <w:rFonts w:ascii="Simplified Arabic" w:hAnsi="Simplified Arabic" w:cs="Simplified Arabic"/>
          <w:sz w:val="28"/>
          <w:szCs w:val="28"/>
        </w:rPr>
        <w:t>Selvakumar</w:t>
      </w:r>
      <w:r w:rsidRPr="0054043C">
        <w:rPr>
          <w:rFonts w:ascii="Simplified Arabic" w:hAnsi="Simplified Arabic" w:cs="Simplified Arabic"/>
          <w:sz w:val="28"/>
          <w:szCs w:val="28"/>
          <w:rtl/>
        </w:rPr>
        <w:t xml:space="preserve"> وآخرون (2024). وبالتوازي، تناول المبحث الثاني التميزَ التنظيمي بوصفه بنيةً متعددة الأبعاد مُستعرضاً مساره التطوري من </w:t>
      </w:r>
      <w:r w:rsidRPr="0054043C">
        <w:rPr>
          <w:rFonts w:ascii="Simplified Arabic" w:hAnsi="Simplified Arabic" w:cs="Simplified Arabic"/>
          <w:sz w:val="28"/>
          <w:szCs w:val="28"/>
        </w:rPr>
        <w:t>Peters</w:t>
      </w:r>
      <w:r w:rsidRPr="0054043C">
        <w:rPr>
          <w:rFonts w:ascii="Simplified Arabic" w:hAnsi="Simplified Arabic" w:cs="Simplified Arabic"/>
          <w:sz w:val="28"/>
          <w:szCs w:val="28"/>
          <w:rtl/>
        </w:rPr>
        <w:t xml:space="preserve"> و</w:t>
      </w:r>
      <w:r w:rsidRPr="0054043C">
        <w:rPr>
          <w:rFonts w:ascii="Simplified Arabic" w:hAnsi="Simplified Arabic" w:cs="Simplified Arabic"/>
          <w:sz w:val="28"/>
          <w:szCs w:val="28"/>
        </w:rPr>
        <w:t>Waterman</w:t>
      </w:r>
      <w:r w:rsidRPr="0054043C">
        <w:rPr>
          <w:rFonts w:ascii="Simplified Arabic" w:hAnsi="Simplified Arabic" w:cs="Simplified Arabic"/>
          <w:sz w:val="28"/>
          <w:szCs w:val="28"/>
          <w:rtl/>
        </w:rPr>
        <w:t xml:space="preserve"> (1982) حتى نموذج </w:t>
      </w:r>
      <w:r w:rsidRPr="0054043C">
        <w:rPr>
          <w:rFonts w:ascii="Simplified Arabic" w:hAnsi="Simplified Arabic" w:cs="Simplified Arabic"/>
          <w:sz w:val="28"/>
          <w:szCs w:val="28"/>
        </w:rPr>
        <w:t>EFQM 2020</w:t>
      </w:r>
      <w:r w:rsidRPr="0054043C">
        <w:rPr>
          <w:rFonts w:ascii="Simplified Arabic" w:hAnsi="Simplified Arabic" w:cs="Simplified Arabic"/>
          <w:sz w:val="28"/>
          <w:szCs w:val="28"/>
          <w:rtl/>
        </w:rPr>
        <w:t xml:space="preserve"> (</w:t>
      </w:r>
      <w:r w:rsidRPr="0054043C">
        <w:rPr>
          <w:rFonts w:ascii="Simplified Arabic" w:hAnsi="Simplified Arabic" w:cs="Simplified Arabic"/>
          <w:sz w:val="28"/>
          <w:szCs w:val="28"/>
        </w:rPr>
        <w:t>Fonseca, 2022</w:t>
      </w:r>
      <w:r w:rsidRPr="0054043C">
        <w:rPr>
          <w:rFonts w:ascii="Simplified Arabic" w:hAnsi="Simplified Arabic" w:cs="Simplified Arabic"/>
          <w:sz w:val="28"/>
          <w:szCs w:val="28"/>
          <w:rtl/>
        </w:rPr>
        <w:t xml:space="preserve">)، وعارضاً أبعاده السبعة المعتمدة مُدعومةً بمراجعة </w:t>
      </w:r>
      <w:r w:rsidRPr="0054043C">
        <w:rPr>
          <w:rFonts w:ascii="Simplified Arabic" w:hAnsi="Simplified Arabic" w:cs="Simplified Arabic"/>
          <w:sz w:val="28"/>
          <w:szCs w:val="28"/>
        </w:rPr>
        <w:t>Ubaid</w:t>
      </w:r>
      <w:r w:rsidRPr="0054043C">
        <w:rPr>
          <w:rFonts w:ascii="Simplified Arabic" w:hAnsi="Simplified Arabic" w:cs="Simplified Arabic"/>
          <w:sz w:val="28"/>
          <w:szCs w:val="28"/>
          <w:rtl/>
        </w:rPr>
        <w:t xml:space="preserve"> وآخرون (2020) الشاملة وبدراسات </w:t>
      </w:r>
      <w:r w:rsidRPr="0054043C">
        <w:rPr>
          <w:rFonts w:ascii="Simplified Arabic" w:hAnsi="Simplified Arabic" w:cs="Simplified Arabic"/>
          <w:sz w:val="28"/>
          <w:szCs w:val="28"/>
        </w:rPr>
        <w:t>Bocoya-Maline</w:t>
      </w:r>
      <w:r w:rsidRPr="0054043C">
        <w:rPr>
          <w:rFonts w:ascii="Simplified Arabic" w:hAnsi="Simplified Arabic" w:cs="Simplified Arabic"/>
          <w:sz w:val="28"/>
          <w:szCs w:val="28"/>
          <w:rtl/>
        </w:rPr>
        <w:t xml:space="preserve"> وآخرون (2024) والحارثي (2024) والربيعي (2024).</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lastRenderedPageBreak/>
        <w:t>وعلى صعيد الربط بين المتغيرين، كشف المبحث الثالث عن الآليات النظرية — نظرية الموارد والكفاءات، ونظرية الطوارئ، ونموذج خلق القيمة — التي تُجسّد مسار تأثير إدارة المخاطر في التميز التنظيمي، مع شواهد تجريبية متعددة على قوة هذه العلاقة وثباتها. ثم استعرض المبحث الرابع عشرَ دراسات سابقة عربية وأجنبية بتعقيب نقدي مُقارن كشف عن أوجه الاتفاق والاختلاف وما تُضيفه الدراسة الحالية لكل منها. وختم المبحث الخامس هذا الفصل باستخلاص الفجوة البحثية في أربعة أبعاد جوهرية تُؤسّس لأصالة الدراسة الحالية وإسهاماتها المتوقعة على المستويين النظري والتطبيقي.</w:t>
      </w:r>
    </w:p>
    <w:p w:rsidR="00424B55" w:rsidRPr="0054043C" w:rsidRDefault="00424B55" w:rsidP="00424B55">
      <w:pPr>
        <w:bidi/>
        <w:rPr>
          <w:rFonts w:ascii="Simplified Arabic" w:hAnsi="Simplified Arabic" w:cs="Simplified Arabic"/>
          <w:sz w:val="28"/>
          <w:szCs w:val="28"/>
          <w:rtl/>
        </w:rPr>
      </w:pPr>
      <w:r w:rsidRPr="0054043C">
        <w:rPr>
          <w:rFonts w:ascii="Simplified Arabic" w:hAnsi="Simplified Arabic" w:cs="Simplified Arabic"/>
          <w:sz w:val="28"/>
          <w:szCs w:val="28"/>
          <w:rtl/>
        </w:rPr>
        <w:t>ويمهّد هذا الفصل بكل ثقله المعرفي للفصل الثالث الذي سيُفصّل الإجراءات المنهجية الكفيلة بتحويل هذه الأُطر النظرية إلى بيانات ميدانية قابلة للتحليل الإحصائي والتفسير العلمي.</w:t>
      </w:r>
    </w:p>
    <w:p w:rsidR="00424B55" w:rsidRDefault="00424B55" w:rsidP="00424B55">
      <w:pPr>
        <w:bidi/>
        <w:rPr>
          <w:rFonts w:ascii="Simplified Arabic" w:hAnsi="Simplified Arabic" w:cs="Simplified Arabic"/>
          <w:sz w:val="28"/>
          <w:szCs w:val="28"/>
          <w:rtl/>
        </w:rPr>
      </w:pPr>
    </w:p>
    <w:p w:rsidR="00424B55" w:rsidRDefault="00424B55" w:rsidP="00424B55">
      <w:pPr>
        <w:bidi/>
        <w:rPr>
          <w:rFonts w:ascii="Simplified Arabic" w:hAnsi="Simplified Arabic" w:cs="Simplified Arabic"/>
          <w:sz w:val="28"/>
          <w:szCs w:val="28"/>
          <w:rtl/>
        </w:rPr>
      </w:pPr>
    </w:p>
    <w:p w:rsidR="00424B55" w:rsidRDefault="00424B55" w:rsidP="00424B55">
      <w:pPr>
        <w:bidi/>
        <w:rPr>
          <w:rFonts w:ascii="Simplified Arabic" w:hAnsi="Simplified Arabic" w:cs="Simplified Arabic"/>
          <w:sz w:val="28"/>
          <w:szCs w:val="28"/>
          <w:rtl/>
        </w:rPr>
      </w:pPr>
    </w:p>
    <w:p w:rsidR="00424B55" w:rsidRDefault="00424B55" w:rsidP="00424B55">
      <w:pPr>
        <w:bidi/>
        <w:rPr>
          <w:rFonts w:ascii="Simplified Arabic" w:hAnsi="Simplified Arabic" w:cs="Simplified Arabic"/>
          <w:sz w:val="28"/>
          <w:szCs w:val="28"/>
          <w:rtl/>
        </w:rPr>
      </w:pPr>
    </w:p>
    <w:p w:rsidR="00424B55" w:rsidRDefault="00424B55" w:rsidP="00424B55">
      <w:pPr>
        <w:bidi/>
        <w:rPr>
          <w:rFonts w:ascii="Simplified Arabic" w:hAnsi="Simplified Arabic" w:cs="Simplified Arabic"/>
          <w:sz w:val="28"/>
          <w:szCs w:val="28"/>
          <w:rtl/>
        </w:rPr>
      </w:pPr>
    </w:p>
    <w:p w:rsidR="00424B55" w:rsidRDefault="00424B55" w:rsidP="00424B55">
      <w:pPr>
        <w:bidi/>
        <w:rPr>
          <w:rFonts w:ascii="Simplified Arabic" w:hAnsi="Simplified Arabic" w:cs="Simplified Arabic"/>
          <w:sz w:val="28"/>
          <w:szCs w:val="28"/>
          <w:rtl/>
        </w:rPr>
      </w:pPr>
    </w:p>
    <w:p w:rsidR="00424B55" w:rsidRDefault="00424B55" w:rsidP="00424B55">
      <w:pPr>
        <w:bidi/>
        <w:rPr>
          <w:rFonts w:ascii="Simplified Arabic" w:hAnsi="Simplified Arabic" w:cs="Simplified Arabic"/>
          <w:sz w:val="28"/>
          <w:szCs w:val="28"/>
          <w:rtl/>
        </w:rPr>
      </w:pPr>
    </w:p>
    <w:p w:rsidR="00424B55" w:rsidRDefault="00424B55" w:rsidP="00424B55">
      <w:pPr>
        <w:bidi/>
        <w:rPr>
          <w:rFonts w:ascii="Simplified Arabic" w:hAnsi="Simplified Arabic" w:cs="Simplified Arabic"/>
          <w:sz w:val="28"/>
          <w:szCs w:val="28"/>
          <w:rtl/>
        </w:rPr>
      </w:pPr>
    </w:p>
    <w:p w:rsidR="00424B55" w:rsidRDefault="00424B55" w:rsidP="00424B55">
      <w:pPr>
        <w:bidi/>
        <w:rPr>
          <w:rFonts w:ascii="Simplified Arabic" w:hAnsi="Simplified Arabic" w:cs="Simplified Arabic"/>
          <w:sz w:val="28"/>
          <w:szCs w:val="28"/>
          <w:rtl/>
        </w:rPr>
      </w:pPr>
    </w:p>
    <w:p w:rsidR="00424B55" w:rsidRDefault="00424B55" w:rsidP="00424B55">
      <w:pPr>
        <w:bidi/>
        <w:rPr>
          <w:rFonts w:ascii="Simplified Arabic" w:hAnsi="Simplified Arabic" w:cs="Simplified Arabic"/>
          <w:sz w:val="28"/>
          <w:szCs w:val="28"/>
          <w:rtl/>
        </w:rPr>
      </w:pPr>
    </w:p>
    <w:p w:rsidR="009E2BC4" w:rsidRDefault="009E2BC4">
      <w:bookmarkStart w:id="5" w:name="_GoBack"/>
      <w:bookmarkEnd w:id="5"/>
    </w:p>
    <w:sectPr w:rsidR="009E2B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3C9"/>
    <w:rsid w:val="00424B55"/>
    <w:rsid w:val="004373C9"/>
    <w:rsid w:val="009E2BC4"/>
    <w:rsid w:val="00FB39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7A557B-F498-46B2-BF11-2AA9D2752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4B55"/>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424B55"/>
    <w:pPr>
      <w:bidi/>
      <w:spacing w:after="120"/>
      <w:jc w:val="center"/>
      <w:outlineLvl w:val="0"/>
    </w:pPr>
    <w:rPr>
      <w:rFonts w:ascii="Simplified Arabic" w:hAnsi="Simplified Arabic" w:cs="Simplified Arabic"/>
      <w:b/>
      <w:bCs/>
      <w:sz w:val="36"/>
      <w:szCs w:val="36"/>
    </w:rPr>
  </w:style>
  <w:style w:type="paragraph" w:styleId="Heading2">
    <w:name w:val="heading 2"/>
    <w:basedOn w:val="Normal"/>
    <w:next w:val="Normal"/>
    <w:link w:val="Heading2Char"/>
    <w:uiPriority w:val="9"/>
    <w:unhideWhenUsed/>
    <w:qFormat/>
    <w:rsid w:val="00424B55"/>
    <w:pPr>
      <w:bidi/>
      <w:spacing w:after="120"/>
      <w:outlineLvl w:val="1"/>
    </w:pPr>
    <w:rPr>
      <w:rFonts w:ascii="Simplified Arabic" w:hAnsi="Simplified Arabic" w:cs="Simplified Arabic"/>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B55"/>
    <w:rPr>
      <w:rFonts w:ascii="Simplified Arabic" w:hAnsi="Simplified Arabic" w:cs="Simplified Arabic"/>
      <w:b/>
      <w:bCs/>
      <w:kern w:val="2"/>
      <w:sz w:val="36"/>
      <w:szCs w:val="36"/>
      <w14:ligatures w14:val="standardContextual"/>
    </w:rPr>
  </w:style>
  <w:style w:type="character" w:customStyle="1" w:styleId="Heading2Char">
    <w:name w:val="Heading 2 Char"/>
    <w:basedOn w:val="DefaultParagraphFont"/>
    <w:link w:val="Heading2"/>
    <w:uiPriority w:val="9"/>
    <w:rsid w:val="00424B55"/>
    <w:rPr>
      <w:rFonts w:ascii="Simplified Arabic" w:hAnsi="Simplified Arabic" w:cs="Simplified Arabic"/>
      <w:b/>
      <w:bCs/>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6123</Words>
  <Characters>34905</Characters>
  <Application>Microsoft Office Word</Application>
  <DocSecurity>0</DocSecurity>
  <Lines>290</Lines>
  <Paragraphs>81</Paragraphs>
  <ScaleCrop>false</ScaleCrop>
  <Company/>
  <LinksUpToDate>false</LinksUpToDate>
  <CharactersWithSpaces>40947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Moataz</dc:creator>
  <cp:keywords/>
  <dc:description/>
  <cp:lastModifiedBy>Moataz</cp:lastModifiedBy>
  <cp:revision>2</cp:revision>
  <dcterms:created xsi:type="dcterms:W3CDTF">2026-03-19T02:02:00Z</dcterms:created>
  <dcterms:modified xsi:type="dcterms:W3CDTF">2026-03-19T02:03:00Z</dcterms:modified>
</cp:coreProperties>
</file>