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62DCD" w14:textId="77777777" w:rsidR="000A6B27" w:rsidRPr="00FD1A59" w:rsidRDefault="000A6B27" w:rsidP="000A6B27">
      <w:pPr>
        <w:spacing w:before="30" w:after="30"/>
        <w:jc w:val="center"/>
        <w:rPr>
          <w:rFonts w:asciiTheme="majorBidi" w:hAnsiTheme="majorBidi" w:cstheme="majorBidi"/>
          <w:b/>
          <w:sz w:val="32"/>
        </w:rPr>
      </w:pPr>
      <w:bookmarkStart w:id="0" w:name="_Hlk214482081"/>
      <w:r w:rsidRPr="00FD1A59">
        <w:rPr>
          <w:rFonts w:asciiTheme="majorBidi" w:hAnsiTheme="majorBidi" w:cstheme="majorBidi"/>
          <w:b/>
          <w:noProof/>
          <w:sz w:val="32"/>
        </w:rPr>
        <w:drawing>
          <wp:anchor distT="0" distB="0" distL="114300" distR="114300" simplePos="0" relativeHeight="251659264" behindDoc="1" locked="0" layoutInCell="1" allowOverlap="1" wp14:anchorId="0863DACC" wp14:editId="79CD7FE6">
            <wp:simplePos x="0" y="0"/>
            <wp:positionH relativeFrom="column">
              <wp:posOffset>-407873</wp:posOffset>
            </wp:positionH>
            <wp:positionV relativeFrom="paragraph">
              <wp:posOffset>-748665</wp:posOffset>
            </wp:positionV>
            <wp:extent cx="2816860" cy="219646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16860" cy="2196465"/>
                    </a:xfrm>
                    <a:prstGeom prst="rect">
                      <a:avLst/>
                    </a:prstGeom>
                  </pic:spPr>
                </pic:pic>
              </a:graphicData>
            </a:graphic>
            <wp14:sizeRelH relativeFrom="margin">
              <wp14:pctWidth>0</wp14:pctWidth>
            </wp14:sizeRelH>
            <wp14:sizeRelV relativeFrom="margin">
              <wp14:pctHeight>0</wp14:pctHeight>
            </wp14:sizeRelV>
          </wp:anchor>
        </w:drawing>
      </w:r>
    </w:p>
    <w:p w14:paraId="1C67D343" w14:textId="77777777" w:rsidR="000A6B27" w:rsidRPr="00FD1A59" w:rsidRDefault="000A6B27" w:rsidP="000A6B27">
      <w:pPr>
        <w:spacing w:before="30" w:after="30"/>
        <w:jc w:val="center"/>
        <w:rPr>
          <w:rFonts w:asciiTheme="majorBidi" w:hAnsiTheme="majorBidi" w:cstheme="majorBidi"/>
          <w:b/>
          <w:sz w:val="32"/>
        </w:rPr>
      </w:pPr>
    </w:p>
    <w:p w14:paraId="56207740" w14:textId="7ACEDF42" w:rsidR="000A6B27" w:rsidRDefault="000A6B27" w:rsidP="000A6B27">
      <w:pPr>
        <w:spacing w:before="30" w:after="30"/>
        <w:rPr>
          <w:rFonts w:asciiTheme="majorBidi" w:hAnsiTheme="majorBidi" w:cstheme="majorBidi"/>
          <w:b/>
          <w:sz w:val="32"/>
          <w:rtl/>
        </w:rPr>
      </w:pPr>
    </w:p>
    <w:p w14:paraId="368BA349" w14:textId="77777777" w:rsidR="000A6B27" w:rsidRPr="00FD1A59" w:rsidRDefault="000A6B27" w:rsidP="000A6B27">
      <w:pPr>
        <w:spacing w:before="30" w:after="30"/>
        <w:jc w:val="center"/>
        <w:rPr>
          <w:rFonts w:asciiTheme="majorBidi" w:hAnsiTheme="majorBidi" w:cstheme="majorBidi"/>
          <w:b/>
          <w:sz w:val="32"/>
        </w:rPr>
      </w:pPr>
    </w:p>
    <w:p w14:paraId="2603FF30" w14:textId="77777777" w:rsidR="000A6B27" w:rsidRPr="00FD1A59" w:rsidRDefault="000A6B27" w:rsidP="000A6B27">
      <w:pPr>
        <w:spacing w:before="30" w:after="30"/>
        <w:jc w:val="center"/>
        <w:rPr>
          <w:rFonts w:asciiTheme="majorBidi" w:hAnsiTheme="majorBidi" w:cstheme="majorBidi"/>
        </w:rPr>
      </w:pPr>
      <w:r w:rsidRPr="00FD1A59">
        <w:rPr>
          <w:rFonts w:asciiTheme="majorBidi" w:hAnsiTheme="majorBidi" w:cstheme="majorBidi"/>
          <w:b/>
          <w:sz w:val="32"/>
        </w:rPr>
        <w:t>Midocean University</w:t>
      </w:r>
    </w:p>
    <w:p w14:paraId="02619BD9" w14:textId="77777777" w:rsidR="000A6B27" w:rsidRPr="00FD1A59" w:rsidRDefault="000A6B27" w:rsidP="000A6B27">
      <w:pPr>
        <w:spacing w:before="30" w:after="30"/>
        <w:jc w:val="center"/>
        <w:rPr>
          <w:rFonts w:asciiTheme="majorBidi" w:hAnsiTheme="majorBidi" w:cstheme="majorBidi"/>
        </w:rPr>
      </w:pPr>
      <w:r w:rsidRPr="00FD1A59">
        <w:rPr>
          <w:rFonts w:asciiTheme="majorBidi" w:hAnsiTheme="majorBidi" w:cstheme="majorBidi"/>
          <w:b/>
          <w:sz w:val="32"/>
        </w:rPr>
        <w:t>Faculty of Management</w:t>
      </w:r>
    </w:p>
    <w:p w14:paraId="75A48B47" w14:textId="77777777" w:rsidR="000A6B27" w:rsidRPr="00FD1A59" w:rsidRDefault="000A6B27" w:rsidP="000A6B27">
      <w:pPr>
        <w:spacing w:before="30" w:after="30"/>
        <w:jc w:val="center"/>
        <w:rPr>
          <w:rFonts w:asciiTheme="majorBidi" w:hAnsiTheme="majorBidi" w:cstheme="majorBidi"/>
        </w:rPr>
      </w:pPr>
      <w:r w:rsidRPr="00FD1A59">
        <w:rPr>
          <w:rFonts w:asciiTheme="majorBidi" w:hAnsiTheme="majorBidi" w:cstheme="majorBidi"/>
          <w:b/>
          <w:sz w:val="32"/>
        </w:rPr>
        <w:t>Department / Major: Master of Business Administration MBA</w:t>
      </w:r>
    </w:p>
    <w:p w14:paraId="44800C85" w14:textId="77777777" w:rsidR="000A6B27" w:rsidRDefault="000A6B27" w:rsidP="000A6B27">
      <w:pPr>
        <w:spacing w:before="30" w:after="30"/>
        <w:jc w:val="center"/>
        <w:rPr>
          <w:rFonts w:asciiTheme="majorBidi" w:hAnsiTheme="majorBidi" w:cstheme="majorBidi"/>
        </w:rPr>
      </w:pPr>
      <w:r w:rsidRPr="00FD1A59">
        <w:rPr>
          <w:rFonts w:asciiTheme="majorBidi" w:hAnsiTheme="majorBidi" w:cstheme="majorBidi"/>
        </w:rPr>
        <w:br/>
      </w:r>
    </w:p>
    <w:p w14:paraId="1875AB30" w14:textId="77777777" w:rsidR="000A6B27" w:rsidRPr="00E5144B" w:rsidRDefault="000A6B27" w:rsidP="000A6B27">
      <w:pPr>
        <w:spacing w:before="30" w:after="30"/>
        <w:rPr>
          <w:rFonts w:asciiTheme="majorBidi" w:hAnsiTheme="majorBidi" w:cstheme="majorBidi"/>
          <w:b/>
          <w:sz w:val="40"/>
          <w:szCs w:val="40"/>
        </w:rPr>
      </w:pPr>
      <w:r w:rsidRPr="00FD1A59">
        <w:rPr>
          <w:rFonts w:asciiTheme="majorBidi" w:hAnsiTheme="majorBidi" w:cstheme="majorBidi"/>
        </w:rPr>
        <w:br/>
      </w:r>
    </w:p>
    <w:p w14:paraId="126D456F" w14:textId="4F14A71E" w:rsidR="000A6B27" w:rsidRPr="00E5144B" w:rsidRDefault="000A6B27" w:rsidP="000A6B27">
      <w:pPr>
        <w:bidi/>
        <w:spacing w:before="30" w:after="30"/>
        <w:ind w:left="360"/>
        <w:jc w:val="center"/>
        <w:rPr>
          <w:rFonts w:asciiTheme="majorBidi" w:hAnsiTheme="majorBidi" w:cstheme="majorBidi"/>
          <w:b/>
          <w:sz w:val="40"/>
          <w:szCs w:val="40"/>
        </w:rPr>
      </w:pPr>
      <w:r w:rsidRPr="00E5144B">
        <w:rPr>
          <w:rFonts w:asciiTheme="majorBidi" w:hAnsiTheme="majorBidi" w:cstheme="majorBidi"/>
          <w:b/>
          <w:sz w:val="40"/>
          <w:szCs w:val="40"/>
        </w:rPr>
        <w:t>"</w:t>
      </w:r>
      <w:r w:rsidRPr="000A6B27">
        <w:rPr>
          <w:rFonts w:asciiTheme="majorBidi" w:hAnsiTheme="majorBidi" w:cstheme="majorBidi"/>
          <w:b/>
          <w:sz w:val="32"/>
        </w:rPr>
        <w:t xml:space="preserve"> </w:t>
      </w:r>
      <w:r w:rsidRPr="00D82D28">
        <w:rPr>
          <w:rFonts w:asciiTheme="majorBidi" w:hAnsiTheme="majorBidi" w:cstheme="majorBidi"/>
          <w:b/>
          <w:sz w:val="32"/>
        </w:rPr>
        <w:t xml:space="preserve">Strategic Roadmap for Digital Transformation of Railway Maintenance: From Traditional Reactive systems to Cognitive Zero downtime operation </w:t>
      </w:r>
      <w:r w:rsidRPr="00E5144B">
        <w:rPr>
          <w:rFonts w:asciiTheme="majorBidi" w:hAnsiTheme="majorBidi" w:cstheme="majorBidi"/>
          <w:b/>
          <w:sz w:val="40"/>
          <w:szCs w:val="40"/>
        </w:rPr>
        <w:t>"</w:t>
      </w:r>
    </w:p>
    <w:p w14:paraId="050D7D95" w14:textId="77777777" w:rsidR="000A6B27" w:rsidRPr="00990E1F" w:rsidRDefault="000A6B27" w:rsidP="000A6B27">
      <w:pPr>
        <w:spacing w:before="30" w:after="30"/>
        <w:jc w:val="center"/>
        <w:rPr>
          <w:rFonts w:asciiTheme="majorBidi" w:hAnsiTheme="majorBidi" w:cstheme="majorBidi"/>
          <w:b/>
          <w:sz w:val="32"/>
        </w:rPr>
      </w:pPr>
      <w:r w:rsidRPr="00E1411F">
        <w:rPr>
          <w:rFonts w:asciiTheme="majorBidi" w:hAnsiTheme="majorBidi" w:cstheme="majorBidi"/>
          <w:b/>
          <w:sz w:val="32"/>
        </w:rPr>
        <w:br/>
      </w:r>
    </w:p>
    <w:p w14:paraId="59D05B97" w14:textId="77777777" w:rsidR="000A6B27" w:rsidRPr="00990E1F" w:rsidRDefault="000A6B27" w:rsidP="000A6B27">
      <w:pPr>
        <w:spacing w:before="30" w:after="30"/>
        <w:jc w:val="center"/>
        <w:rPr>
          <w:rFonts w:asciiTheme="majorBidi" w:hAnsiTheme="majorBidi" w:cstheme="majorBidi"/>
          <w:b/>
          <w:bCs/>
          <w:sz w:val="28"/>
          <w:szCs w:val="28"/>
        </w:rPr>
      </w:pPr>
      <w:r w:rsidRPr="00990E1F">
        <w:rPr>
          <w:rFonts w:asciiTheme="majorBidi" w:hAnsiTheme="majorBidi" w:cstheme="majorBidi"/>
          <w:b/>
          <w:bCs/>
          <w:sz w:val="28"/>
          <w:szCs w:val="28"/>
        </w:rPr>
        <w:t xml:space="preserve">Prepared by: </w:t>
      </w:r>
    </w:p>
    <w:p w14:paraId="2956A352" w14:textId="77777777" w:rsidR="000A6B27" w:rsidRPr="00990E1F" w:rsidRDefault="000A6B27" w:rsidP="000A6B27">
      <w:pPr>
        <w:spacing w:before="30" w:after="30"/>
        <w:jc w:val="center"/>
        <w:rPr>
          <w:rFonts w:asciiTheme="majorBidi" w:hAnsiTheme="majorBidi" w:cstheme="majorBidi"/>
          <w:b/>
          <w:bCs/>
          <w:sz w:val="28"/>
          <w:szCs w:val="28"/>
        </w:rPr>
      </w:pPr>
    </w:p>
    <w:p w14:paraId="7BC4571A" w14:textId="537477BD" w:rsidR="000A6B27" w:rsidRPr="00990E1F" w:rsidRDefault="000A6B27" w:rsidP="000A6B27">
      <w:pPr>
        <w:spacing w:before="30" w:after="30"/>
        <w:jc w:val="center"/>
        <w:rPr>
          <w:rFonts w:asciiTheme="majorBidi" w:hAnsiTheme="majorBidi" w:cstheme="majorBidi"/>
          <w:sz w:val="28"/>
          <w:szCs w:val="28"/>
        </w:rPr>
      </w:pPr>
      <w:r>
        <w:rPr>
          <w:rFonts w:asciiTheme="majorBidi" w:hAnsiTheme="majorBidi" w:cstheme="majorBidi"/>
          <w:sz w:val="28"/>
          <w:szCs w:val="28"/>
        </w:rPr>
        <w:t>Mohamed Abdulrahman Ahmed</w:t>
      </w:r>
      <w:r w:rsidRPr="00990E1F">
        <w:rPr>
          <w:rFonts w:asciiTheme="majorBidi" w:hAnsiTheme="majorBidi" w:cstheme="majorBidi"/>
          <w:sz w:val="28"/>
          <w:szCs w:val="28"/>
        </w:rPr>
        <w:t xml:space="preserve"> </w:t>
      </w:r>
    </w:p>
    <w:p w14:paraId="364E8A3D" w14:textId="5B47E799" w:rsidR="000A6B27" w:rsidRPr="00990E1F" w:rsidRDefault="000A6B27" w:rsidP="000A6B27">
      <w:pPr>
        <w:spacing w:before="30" w:after="30"/>
        <w:jc w:val="center"/>
        <w:rPr>
          <w:rFonts w:asciiTheme="majorBidi" w:hAnsiTheme="majorBidi" w:cstheme="majorBidi"/>
          <w:b/>
          <w:bCs/>
          <w:sz w:val="28"/>
          <w:szCs w:val="28"/>
        </w:rPr>
      </w:pPr>
    </w:p>
    <w:p w14:paraId="7E1A217F" w14:textId="77777777" w:rsidR="000A6B27" w:rsidRDefault="000A6B27" w:rsidP="000A6B27">
      <w:pPr>
        <w:spacing w:before="30" w:after="30"/>
        <w:jc w:val="center"/>
        <w:rPr>
          <w:rFonts w:asciiTheme="majorBidi" w:hAnsiTheme="majorBidi" w:cstheme="majorBidi"/>
          <w:b/>
          <w:bCs/>
          <w:sz w:val="28"/>
          <w:szCs w:val="28"/>
        </w:rPr>
      </w:pPr>
      <w:r w:rsidRPr="00990E1F">
        <w:rPr>
          <w:rFonts w:asciiTheme="majorBidi" w:hAnsiTheme="majorBidi" w:cstheme="majorBidi"/>
          <w:b/>
          <w:bCs/>
          <w:sz w:val="28"/>
          <w:szCs w:val="28"/>
        </w:rPr>
        <w:t xml:space="preserve">Academic no: </w:t>
      </w:r>
    </w:p>
    <w:p w14:paraId="4B83EF16" w14:textId="77777777" w:rsidR="000A6B27" w:rsidRPr="00990E1F" w:rsidRDefault="000A6B27" w:rsidP="000A6B27">
      <w:pPr>
        <w:spacing w:before="30" w:after="30"/>
        <w:jc w:val="center"/>
        <w:rPr>
          <w:rFonts w:asciiTheme="majorBidi" w:hAnsiTheme="majorBidi" w:cstheme="majorBidi"/>
          <w:b/>
          <w:bCs/>
          <w:sz w:val="28"/>
          <w:szCs w:val="28"/>
        </w:rPr>
      </w:pPr>
    </w:p>
    <w:p w14:paraId="1F77F2D7" w14:textId="332ECD7D" w:rsidR="000A6B27" w:rsidRPr="00990E1F" w:rsidRDefault="0067723B" w:rsidP="000A6B27">
      <w:pPr>
        <w:spacing w:before="30" w:after="30"/>
        <w:jc w:val="center"/>
        <w:rPr>
          <w:rFonts w:asciiTheme="majorBidi" w:hAnsiTheme="majorBidi" w:cstheme="majorBidi"/>
          <w:sz w:val="28"/>
          <w:szCs w:val="28"/>
        </w:rPr>
      </w:pPr>
      <w:r w:rsidRPr="0067723B">
        <w:rPr>
          <w:rFonts w:asciiTheme="majorBidi" w:hAnsiTheme="majorBidi" w:cstheme="majorBidi"/>
          <w:sz w:val="28"/>
          <w:szCs w:val="28"/>
        </w:rPr>
        <w:t>251002653</w:t>
      </w:r>
    </w:p>
    <w:p w14:paraId="57ABDF65" w14:textId="77777777" w:rsidR="000A6B27" w:rsidRPr="00990E1F" w:rsidRDefault="000A6B27" w:rsidP="000A6B27">
      <w:pPr>
        <w:spacing w:before="30" w:after="30"/>
        <w:jc w:val="center"/>
        <w:rPr>
          <w:rFonts w:asciiTheme="majorBidi" w:hAnsiTheme="majorBidi" w:cstheme="majorBidi"/>
          <w:b/>
          <w:bCs/>
          <w:sz w:val="28"/>
          <w:szCs w:val="28"/>
        </w:rPr>
      </w:pPr>
    </w:p>
    <w:p w14:paraId="77A615DB" w14:textId="77777777" w:rsidR="000A6B27" w:rsidRPr="00990E1F" w:rsidRDefault="000A6B27" w:rsidP="000A6B27">
      <w:pPr>
        <w:spacing w:before="30" w:after="30"/>
        <w:jc w:val="center"/>
        <w:rPr>
          <w:rFonts w:asciiTheme="majorBidi" w:hAnsiTheme="majorBidi" w:cstheme="majorBidi"/>
          <w:b/>
          <w:bCs/>
          <w:sz w:val="28"/>
          <w:szCs w:val="28"/>
        </w:rPr>
      </w:pPr>
      <w:r w:rsidRPr="00990E1F">
        <w:rPr>
          <w:rFonts w:asciiTheme="majorBidi" w:hAnsiTheme="majorBidi" w:cstheme="majorBidi"/>
          <w:b/>
          <w:bCs/>
          <w:sz w:val="28"/>
          <w:szCs w:val="28"/>
        </w:rPr>
        <w:t>Supervised by:</w:t>
      </w:r>
    </w:p>
    <w:p w14:paraId="39A16F8A" w14:textId="77777777" w:rsidR="000A6B27" w:rsidRPr="00990E1F" w:rsidRDefault="000A6B27" w:rsidP="000A6B27">
      <w:pPr>
        <w:spacing w:before="30" w:after="30"/>
        <w:jc w:val="center"/>
        <w:rPr>
          <w:rFonts w:asciiTheme="majorBidi" w:hAnsiTheme="majorBidi" w:cstheme="majorBidi"/>
          <w:sz w:val="28"/>
          <w:szCs w:val="28"/>
        </w:rPr>
      </w:pPr>
    </w:p>
    <w:p w14:paraId="0140DA14" w14:textId="77777777" w:rsidR="000A6B27" w:rsidRPr="00990E1F" w:rsidRDefault="000A6B27" w:rsidP="000A6B27">
      <w:pPr>
        <w:spacing w:before="30" w:after="30"/>
        <w:jc w:val="center"/>
        <w:rPr>
          <w:rFonts w:asciiTheme="majorBidi" w:hAnsiTheme="majorBidi" w:cstheme="majorBidi"/>
          <w:sz w:val="28"/>
          <w:szCs w:val="28"/>
        </w:rPr>
      </w:pPr>
      <w:r w:rsidRPr="00990E1F">
        <w:rPr>
          <w:rFonts w:asciiTheme="majorBidi" w:hAnsiTheme="majorBidi" w:cstheme="majorBidi"/>
          <w:sz w:val="28"/>
          <w:szCs w:val="28"/>
        </w:rPr>
        <w:t>Dr. Fayez Jarad                   Dr. Faisal Abdulham</w:t>
      </w:r>
    </w:p>
    <w:p w14:paraId="44E458B1" w14:textId="77777777" w:rsidR="000A6B27" w:rsidRPr="00990E1F" w:rsidRDefault="000A6B27" w:rsidP="000A6B27">
      <w:pPr>
        <w:spacing w:before="30" w:after="30"/>
        <w:rPr>
          <w:rFonts w:asciiTheme="majorBidi" w:hAnsiTheme="majorBidi" w:cstheme="majorBidi"/>
          <w:b/>
          <w:bCs/>
          <w:sz w:val="28"/>
          <w:szCs w:val="28"/>
        </w:rPr>
      </w:pPr>
    </w:p>
    <w:p w14:paraId="072B5389" w14:textId="77777777" w:rsidR="000A6B27" w:rsidRPr="00990E1F" w:rsidRDefault="000A6B27" w:rsidP="000A6B27">
      <w:pPr>
        <w:spacing w:before="30" w:after="30"/>
        <w:jc w:val="center"/>
        <w:rPr>
          <w:rFonts w:asciiTheme="majorBidi" w:hAnsiTheme="majorBidi" w:cstheme="majorBidi"/>
          <w:b/>
          <w:bCs/>
          <w:sz w:val="28"/>
          <w:szCs w:val="28"/>
        </w:rPr>
      </w:pPr>
      <w:r w:rsidRPr="00990E1F">
        <w:rPr>
          <w:rFonts w:asciiTheme="majorBidi" w:hAnsiTheme="majorBidi" w:cstheme="majorBidi"/>
          <w:b/>
          <w:bCs/>
          <w:sz w:val="28"/>
          <w:szCs w:val="28"/>
        </w:rPr>
        <w:t xml:space="preserve">Academic Year: </w:t>
      </w:r>
    </w:p>
    <w:p w14:paraId="243066AB" w14:textId="77777777" w:rsidR="000A6B27" w:rsidRPr="00990E1F" w:rsidRDefault="000A6B27" w:rsidP="000A6B27">
      <w:pPr>
        <w:spacing w:before="30" w:after="30"/>
        <w:jc w:val="center"/>
        <w:rPr>
          <w:rFonts w:asciiTheme="majorBidi" w:hAnsiTheme="majorBidi" w:cstheme="majorBidi"/>
          <w:b/>
          <w:bCs/>
          <w:sz w:val="28"/>
          <w:szCs w:val="28"/>
        </w:rPr>
      </w:pPr>
    </w:p>
    <w:p w14:paraId="6FDF74ED" w14:textId="77777777" w:rsidR="000A6B27" w:rsidRPr="00990E1F" w:rsidRDefault="000A6B27" w:rsidP="000A6B27">
      <w:pPr>
        <w:spacing w:before="30" w:after="30"/>
        <w:jc w:val="center"/>
        <w:rPr>
          <w:rFonts w:asciiTheme="majorBidi" w:hAnsiTheme="majorBidi" w:cstheme="majorBidi"/>
          <w:sz w:val="28"/>
          <w:szCs w:val="28"/>
        </w:rPr>
      </w:pPr>
      <w:r w:rsidRPr="00990E1F">
        <w:rPr>
          <w:rFonts w:asciiTheme="majorBidi" w:hAnsiTheme="majorBidi" w:cstheme="majorBidi"/>
          <w:sz w:val="28"/>
          <w:szCs w:val="28"/>
        </w:rPr>
        <w:t>2025</w:t>
      </w:r>
    </w:p>
    <w:p w14:paraId="5DFB8411" w14:textId="77777777" w:rsidR="000A6B27" w:rsidRPr="007C6B85" w:rsidRDefault="000A6B27" w:rsidP="000A6B27">
      <w:pPr>
        <w:jc w:val="center"/>
        <w:rPr>
          <w:rFonts w:asciiTheme="majorBidi" w:hAnsiTheme="majorBidi" w:cstheme="majorBidi"/>
          <w:b/>
          <w:bCs/>
          <w:sz w:val="40"/>
          <w:szCs w:val="40"/>
        </w:rPr>
      </w:pPr>
      <w:r w:rsidRPr="00FD1A59">
        <w:rPr>
          <w:rFonts w:asciiTheme="majorBidi" w:hAnsiTheme="majorBidi" w:cstheme="majorBidi"/>
        </w:rPr>
        <w:br w:type="page"/>
      </w:r>
      <w:r w:rsidRPr="00385C1D">
        <w:rPr>
          <w:rFonts w:asciiTheme="majorBidi" w:hAnsiTheme="majorBidi" w:cstheme="majorBidi"/>
          <w:b/>
          <w:bCs/>
          <w:sz w:val="40"/>
          <w:szCs w:val="40"/>
        </w:rPr>
        <w:lastRenderedPageBreak/>
        <w:t>Acknowledgments</w:t>
      </w:r>
    </w:p>
    <w:p w14:paraId="6A959AE3" w14:textId="15066BC7" w:rsidR="000A6B27" w:rsidRDefault="000A6B27" w:rsidP="000A6B27">
      <w:pPr>
        <w:spacing w:before="30" w:after="30"/>
        <w:rPr>
          <w:rFonts w:asciiTheme="majorBidi" w:hAnsiTheme="majorBidi" w:cstheme="majorBidi"/>
        </w:rPr>
      </w:pPr>
    </w:p>
    <w:p w14:paraId="10DCB7BA" w14:textId="77777777" w:rsidR="000A6B27" w:rsidRDefault="000A6B27" w:rsidP="000A6B27">
      <w:pPr>
        <w:spacing w:before="30" w:after="30"/>
        <w:rPr>
          <w:rFonts w:asciiTheme="majorBidi" w:hAnsiTheme="majorBidi" w:cstheme="majorBidi"/>
        </w:rPr>
      </w:pPr>
    </w:p>
    <w:p w14:paraId="755C2837" w14:textId="77777777" w:rsidR="000A6B27" w:rsidRDefault="000A6B27" w:rsidP="000A6B27">
      <w:pPr>
        <w:spacing w:before="30" w:after="30"/>
        <w:rPr>
          <w:rFonts w:asciiTheme="majorBidi" w:hAnsiTheme="majorBidi" w:cstheme="majorBidi"/>
        </w:rPr>
      </w:pPr>
    </w:p>
    <w:p w14:paraId="6667C85C" w14:textId="77777777" w:rsidR="000A6B27" w:rsidRDefault="000A6B27" w:rsidP="000A6B27">
      <w:pPr>
        <w:spacing w:before="30" w:after="30"/>
        <w:rPr>
          <w:rFonts w:asciiTheme="majorBidi" w:hAnsiTheme="majorBidi" w:cstheme="majorBidi"/>
        </w:rPr>
      </w:pPr>
    </w:p>
    <w:p w14:paraId="570CA2F5" w14:textId="709D61FE" w:rsidR="000A6B27" w:rsidRPr="00E94AFC" w:rsidRDefault="000A6B27" w:rsidP="00E94AFC">
      <w:pPr>
        <w:spacing w:before="30" w:after="30" w:line="360" w:lineRule="auto"/>
        <w:rPr>
          <w:rFonts w:asciiTheme="majorBidi" w:hAnsiTheme="majorBidi" w:cstheme="majorBidi"/>
          <w:sz w:val="24"/>
          <w:szCs w:val="24"/>
        </w:rPr>
      </w:pPr>
      <w:r w:rsidRPr="00E94AFC">
        <w:rPr>
          <w:rFonts w:asciiTheme="majorBidi" w:hAnsiTheme="majorBidi" w:cstheme="majorBidi"/>
          <w:sz w:val="24"/>
          <w:szCs w:val="24"/>
        </w:rPr>
        <w:t xml:space="preserve">My sincere appreciation for everyone who has given me a chance in life, a chance to live a chance to learn a chance to lift myself up. I consider myself lucky to be such blessed having all </w:t>
      </w:r>
      <w:r w:rsidR="00E94AFC" w:rsidRPr="00E94AFC">
        <w:rPr>
          <w:rFonts w:asciiTheme="majorBidi" w:hAnsiTheme="majorBidi" w:cstheme="majorBidi"/>
          <w:sz w:val="24"/>
          <w:szCs w:val="24"/>
        </w:rPr>
        <w:t>opportunities</w:t>
      </w:r>
      <w:r w:rsidRPr="00E94AFC">
        <w:rPr>
          <w:rFonts w:asciiTheme="majorBidi" w:hAnsiTheme="majorBidi" w:cstheme="majorBidi"/>
          <w:sz w:val="24"/>
          <w:szCs w:val="24"/>
        </w:rPr>
        <w:t xml:space="preserve"> that I got in life. </w:t>
      </w:r>
      <w:r w:rsidR="00E94AFC" w:rsidRPr="00E94AFC">
        <w:rPr>
          <w:rFonts w:asciiTheme="majorBidi" w:hAnsiTheme="majorBidi" w:cstheme="majorBidi"/>
          <w:sz w:val="24"/>
          <w:szCs w:val="24"/>
        </w:rPr>
        <w:t>Thanks</w:t>
      </w:r>
      <w:r w:rsidRPr="00E94AFC">
        <w:rPr>
          <w:rFonts w:asciiTheme="majorBidi" w:hAnsiTheme="majorBidi" w:cstheme="majorBidi"/>
          <w:sz w:val="24"/>
          <w:szCs w:val="24"/>
        </w:rPr>
        <w:t xml:space="preserve"> to my family as a start</w:t>
      </w:r>
    </w:p>
    <w:p w14:paraId="766A3E73" w14:textId="77777777" w:rsidR="000A6B27" w:rsidRPr="00E94AFC" w:rsidRDefault="000A6B27" w:rsidP="00E94AFC">
      <w:pPr>
        <w:spacing w:before="30" w:after="30" w:line="360" w:lineRule="auto"/>
        <w:rPr>
          <w:rFonts w:asciiTheme="majorBidi" w:hAnsiTheme="majorBidi" w:cstheme="majorBidi"/>
          <w:sz w:val="24"/>
          <w:szCs w:val="24"/>
        </w:rPr>
      </w:pPr>
    </w:p>
    <w:p w14:paraId="49A8AFD8" w14:textId="0AA3539B" w:rsidR="000A6B27" w:rsidRPr="00E94AFC" w:rsidRDefault="000A6B27" w:rsidP="00E94AFC">
      <w:pPr>
        <w:spacing w:before="30" w:after="30" w:line="360" w:lineRule="auto"/>
        <w:rPr>
          <w:rFonts w:asciiTheme="majorBidi" w:hAnsiTheme="majorBidi" w:cstheme="majorBidi"/>
          <w:sz w:val="24"/>
          <w:szCs w:val="24"/>
        </w:rPr>
      </w:pPr>
      <w:r w:rsidRPr="00E94AFC">
        <w:rPr>
          <w:rFonts w:asciiTheme="majorBidi" w:hAnsiTheme="majorBidi" w:cstheme="majorBidi"/>
          <w:sz w:val="24"/>
          <w:szCs w:val="24"/>
        </w:rPr>
        <w:t xml:space="preserve">My deepest </w:t>
      </w:r>
      <w:r w:rsidR="00E94AFC" w:rsidRPr="00E94AFC">
        <w:rPr>
          <w:rFonts w:asciiTheme="majorBidi" w:hAnsiTheme="majorBidi" w:cstheme="majorBidi"/>
          <w:sz w:val="24"/>
          <w:szCs w:val="24"/>
        </w:rPr>
        <w:t>gratitude’s</w:t>
      </w:r>
      <w:r w:rsidRPr="00E94AFC">
        <w:rPr>
          <w:rFonts w:asciiTheme="majorBidi" w:hAnsiTheme="majorBidi" w:cstheme="majorBidi"/>
          <w:sz w:val="24"/>
          <w:szCs w:val="24"/>
        </w:rPr>
        <w:t xml:space="preserve"> and appreciation for </w:t>
      </w:r>
      <w:r w:rsidR="00E94AFC" w:rsidRPr="00E94AFC">
        <w:rPr>
          <w:rFonts w:asciiTheme="majorBidi" w:hAnsiTheme="majorBidi" w:cstheme="majorBidi"/>
          <w:sz w:val="24"/>
          <w:szCs w:val="24"/>
        </w:rPr>
        <w:t xml:space="preserve">Dr. Fayez &amp; Faisal for having the time for me correcting me and directing my effort. Thanks again </w:t>
      </w:r>
    </w:p>
    <w:bookmarkEnd w:id="0"/>
    <w:p w14:paraId="163DA986" w14:textId="77777777" w:rsidR="000A6B27" w:rsidRPr="00E94AFC" w:rsidRDefault="000A6B27" w:rsidP="00E94AFC">
      <w:pPr>
        <w:spacing w:line="360" w:lineRule="auto"/>
        <w:rPr>
          <w:sz w:val="24"/>
          <w:szCs w:val="24"/>
        </w:rPr>
      </w:pPr>
    </w:p>
    <w:p w14:paraId="3A04F994" w14:textId="77777777" w:rsidR="00E94AFC" w:rsidRPr="00E94AFC" w:rsidRDefault="00E94AFC" w:rsidP="00E94AFC">
      <w:pPr>
        <w:spacing w:before="30" w:after="30" w:line="360" w:lineRule="auto"/>
        <w:rPr>
          <w:rFonts w:asciiTheme="majorBidi" w:hAnsiTheme="majorBidi" w:cstheme="majorBidi"/>
          <w:sz w:val="24"/>
          <w:szCs w:val="24"/>
        </w:rPr>
      </w:pPr>
      <w:r w:rsidRPr="00E94AFC">
        <w:rPr>
          <w:rFonts w:asciiTheme="majorBidi" w:hAnsiTheme="majorBidi" w:cstheme="majorBidi"/>
          <w:sz w:val="24"/>
          <w:szCs w:val="24"/>
        </w:rPr>
        <w:t>Finally, to every stranger who once opened a door, answered a question, or simply smiled on a bad day: small kindnesses built this journey. This thesis is as much yours as it is mine. Thank you all from the bottom of my heart.</w:t>
      </w:r>
    </w:p>
    <w:p w14:paraId="04756034" w14:textId="77777777" w:rsidR="00E94AFC" w:rsidRPr="00E94AFC" w:rsidRDefault="00E94AFC" w:rsidP="00E94AFC">
      <w:pPr>
        <w:spacing w:line="360" w:lineRule="auto"/>
        <w:rPr>
          <w:sz w:val="24"/>
          <w:szCs w:val="24"/>
        </w:rPr>
      </w:pPr>
    </w:p>
    <w:p w14:paraId="78AE3EF0" w14:textId="5FA5D2CF" w:rsidR="00D44D33" w:rsidRPr="00E94AFC" w:rsidRDefault="00D44D33" w:rsidP="00E94AFC">
      <w:pPr>
        <w:spacing w:after="160" w:line="360" w:lineRule="auto"/>
        <w:rPr>
          <w:sz w:val="24"/>
          <w:szCs w:val="24"/>
        </w:rPr>
      </w:pPr>
      <w:r w:rsidRPr="00E94AFC">
        <w:rPr>
          <w:sz w:val="24"/>
          <w:szCs w:val="24"/>
        </w:rPr>
        <w:br w:type="page"/>
      </w:r>
    </w:p>
    <w:p w14:paraId="77954548" w14:textId="1F93978A" w:rsidR="00D44D33" w:rsidRDefault="00D44D33"/>
    <w:sdt>
      <w:sdtPr>
        <w:rPr>
          <w:rFonts w:ascii="Calibri" w:eastAsia="Calibri" w:hAnsi="Calibri" w:cs="Times New Roman"/>
          <w:color w:val="auto"/>
          <w:sz w:val="22"/>
          <w:szCs w:val="22"/>
          <w:lang w:val="en-CA"/>
        </w:rPr>
        <w:id w:val="2100054947"/>
        <w:docPartObj>
          <w:docPartGallery w:val="Table of Contents"/>
          <w:docPartUnique/>
        </w:docPartObj>
      </w:sdtPr>
      <w:sdtEndPr>
        <w:rPr>
          <w:b/>
          <w:bCs/>
          <w:noProof/>
        </w:rPr>
      </w:sdtEndPr>
      <w:sdtContent>
        <w:p w14:paraId="77DD8A6E" w14:textId="5724EC9E" w:rsidR="00A47917" w:rsidRDefault="00A47917">
          <w:pPr>
            <w:pStyle w:val="TOCHeading"/>
          </w:pPr>
          <w:r>
            <w:t>Contents</w:t>
          </w:r>
        </w:p>
        <w:p w14:paraId="01F98697" w14:textId="41FC72AF" w:rsidR="0067723B" w:rsidRDefault="00A47917">
          <w:pPr>
            <w:pStyle w:val="TOC1"/>
            <w:tabs>
              <w:tab w:val="left" w:pos="480"/>
              <w:tab w:val="right" w:leader="dot" w:pos="9350"/>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\o "1-3" \h \z \u </w:instrText>
          </w:r>
          <w:r>
            <w:fldChar w:fldCharType="separate"/>
          </w:r>
          <w:hyperlink w:anchor="_Toc215590800" w:history="1">
            <w:r w:rsidR="0067723B" w:rsidRPr="00844629">
              <w:rPr>
                <w:rStyle w:val="Hyperlink"/>
                <w:rFonts w:asciiTheme="majorBidi" w:hAnsiTheme="majorBidi"/>
                <w:noProof/>
              </w:rPr>
              <w:t>1.</w:t>
            </w:r>
            <w:r w:rsidR="0067723B">
              <w:rPr>
                <w:rFonts w:asciiTheme="minorHAnsi" w:eastAsiaTheme="minorEastAsia" w:hAnsiTheme="minorHAnsi" w:cstheme="minorBidi"/>
                <w:noProof/>
                <w:kern w:val="2"/>
                <w:sz w:val="24"/>
                <w:szCs w:val="24"/>
                <w:lang w:val="en-US"/>
                <w14:ligatures w14:val="standardContextual"/>
              </w:rPr>
              <w:tab/>
            </w:r>
            <w:r w:rsidR="0067723B" w:rsidRPr="00844629">
              <w:rPr>
                <w:rStyle w:val="Hyperlink"/>
                <w:rFonts w:asciiTheme="majorBidi" w:hAnsiTheme="majorBidi"/>
                <w:noProof/>
              </w:rPr>
              <w:t>Chapter 1: Introduction and Strategic Context</w:t>
            </w:r>
            <w:r w:rsidR="0067723B">
              <w:rPr>
                <w:noProof/>
                <w:webHidden/>
              </w:rPr>
              <w:tab/>
            </w:r>
            <w:r w:rsidR="0067723B">
              <w:rPr>
                <w:noProof/>
                <w:webHidden/>
              </w:rPr>
              <w:fldChar w:fldCharType="begin"/>
            </w:r>
            <w:r w:rsidR="0067723B">
              <w:rPr>
                <w:noProof/>
                <w:webHidden/>
              </w:rPr>
              <w:instrText xml:space="preserve"> PAGEREF _Toc215590800 \h </w:instrText>
            </w:r>
            <w:r w:rsidR="0067723B">
              <w:rPr>
                <w:noProof/>
                <w:webHidden/>
              </w:rPr>
            </w:r>
            <w:r w:rsidR="0067723B">
              <w:rPr>
                <w:noProof/>
                <w:webHidden/>
              </w:rPr>
              <w:fldChar w:fldCharType="separate"/>
            </w:r>
            <w:r w:rsidR="0067723B">
              <w:rPr>
                <w:noProof/>
                <w:webHidden/>
              </w:rPr>
              <w:t>5</w:t>
            </w:r>
            <w:r w:rsidR="0067723B">
              <w:rPr>
                <w:noProof/>
                <w:webHidden/>
              </w:rPr>
              <w:fldChar w:fldCharType="end"/>
            </w:r>
          </w:hyperlink>
        </w:p>
        <w:p w14:paraId="5CACEF39" w14:textId="038E5107"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01" w:history="1">
            <w:r w:rsidRPr="00844629">
              <w:rPr>
                <w:rStyle w:val="Hyperlink"/>
                <w:noProof/>
              </w:rPr>
              <w:t>1.1</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Introduction</w:t>
            </w:r>
            <w:r>
              <w:rPr>
                <w:noProof/>
                <w:webHidden/>
              </w:rPr>
              <w:tab/>
            </w:r>
            <w:r>
              <w:rPr>
                <w:noProof/>
                <w:webHidden/>
              </w:rPr>
              <w:fldChar w:fldCharType="begin"/>
            </w:r>
            <w:r>
              <w:rPr>
                <w:noProof/>
                <w:webHidden/>
              </w:rPr>
              <w:instrText xml:space="preserve"> PAGEREF _Toc215590801 \h </w:instrText>
            </w:r>
            <w:r>
              <w:rPr>
                <w:noProof/>
                <w:webHidden/>
              </w:rPr>
            </w:r>
            <w:r>
              <w:rPr>
                <w:noProof/>
                <w:webHidden/>
              </w:rPr>
              <w:fldChar w:fldCharType="separate"/>
            </w:r>
            <w:r>
              <w:rPr>
                <w:noProof/>
                <w:webHidden/>
              </w:rPr>
              <w:t>5</w:t>
            </w:r>
            <w:r>
              <w:rPr>
                <w:noProof/>
                <w:webHidden/>
              </w:rPr>
              <w:fldChar w:fldCharType="end"/>
            </w:r>
          </w:hyperlink>
        </w:p>
        <w:p w14:paraId="71624987" w14:textId="4475F1BB"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02" w:history="1">
            <w:r w:rsidRPr="00844629">
              <w:rPr>
                <w:rStyle w:val="Hyperlink"/>
                <w:noProof/>
              </w:rPr>
              <w:t>1.2</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Problem statement</w:t>
            </w:r>
            <w:r>
              <w:rPr>
                <w:noProof/>
                <w:webHidden/>
              </w:rPr>
              <w:tab/>
            </w:r>
            <w:r>
              <w:rPr>
                <w:noProof/>
                <w:webHidden/>
              </w:rPr>
              <w:fldChar w:fldCharType="begin"/>
            </w:r>
            <w:r>
              <w:rPr>
                <w:noProof/>
                <w:webHidden/>
              </w:rPr>
              <w:instrText xml:space="preserve"> PAGEREF _Toc215590802 \h </w:instrText>
            </w:r>
            <w:r>
              <w:rPr>
                <w:noProof/>
                <w:webHidden/>
              </w:rPr>
            </w:r>
            <w:r>
              <w:rPr>
                <w:noProof/>
                <w:webHidden/>
              </w:rPr>
              <w:fldChar w:fldCharType="separate"/>
            </w:r>
            <w:r>
              <w:rPr>
                <w:noProof/>
                <w:webHidden/>
              </w:rPr>
              <w:t>6</w:t>
            </w:r>
            <w:r>
              <w:rPr>
                <w:noProof/>
                <w:webHidden/>
              </w:rPr>
              <w:fldChar w:fldCharType="end"/>
            </w:r>
          </w:hyperlink>
        </w:p>
        <w:p w14:paraId="62ABBF7F" w14:textId="2CAA7958"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03" w:history="1">
            <w:r w:rsidRPr="00844629">
              <w:rPr>
                <w:rStyle w:val="Hyperlink"/>
                <w:noProof/>
              </w:rPr>
              <w:t>1.3</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Study Objective</w:t>
            </w:r>
            <w:r>
              <w:rPr>
                <w:noProof/>
                <w:webHidden/>
              </w:rPr>
              <w:tab/>
            </w:r>
            <w:r>
              <w:rPr>
                <w:noProof/>
                <w:webHidden/>
              </w:rPr>
              <w:fldChar w:fldCharType="begin"/>
            </w:r>
            <w:r>
              <w:rPr>
                <w:noProof/>
                <w:webHidden/>
              </w:rPr>
              <w:instrText xml:space="preserve"> PAGEREF _Toc215590803 \h </w:instrText>
            </w:r>
            <w:r>
              <w:rPr>
                <w:noProof/>
                <w:webHidden/>
              </w:rPr>
            </w:r>
            <w:r>
              <w:rPr>
                <w:noProof/>
                <w:webHidden/>
              </w:rPr>
              <w:fldChar w:fldCharType="separate"/>
            </w:r>
            <w:r>
              <w:rPr>
                <w:noProof/>
                <w:webHidden/>
              </w:rPr>
              <w:t>7</w:t>
            </w:r>
            <w:r>
              <w:rPr>
                <w:noProof/>
                <w:webHidden/>
              </w:rPr>
              <w:fldChar w:fldCharType="end"/>
            </w:r>
          </w:hyperlink>
        </w:p>
        <w:p w14:paraId="71DE43ED" w14:textId="03D7ABE0"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04" w:history="1">
            <w:r w:rsidRPr="00844629">
              <w:rPr>
                <w:rStyle w:val="Hyperlink"/>
                <w:noProof/>
              </w:rPr>
              <w:t>1.4</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Study Importance – Scientific and Theoretical</w:t>
            </w:r>
            <w:r>
              <w:rPr>
                <w:noProof/>
                <w:webHidden/>
              </w:rPr>
              <w:tab/>
            </w:r>
            <w:r>
              <w:rPr>
                <w:noProof/>
                <w:webHidden/>
              </w:rPr>
              <w:fldChar w:fldCharType="begin"/>
            </w:r>
            <w:r>
              <w:rPr>
                <w:noProof/>
                <w:webHidden/>
              </w:rPr>
              <w:instrText xml:space="preserve"> PAGEREF _Toc215590804 \h </w:instrText>
            </w:r>
            <w:r>
              <w:rPr>
                <w:noProof/>
                <w:webHidden/>
              </w:rPr>
            </w:r>
            <w:r>
              <w:rPr>
                <w:noProof/>
                <w:webHidden/>
              </w:rPr>
              <w:fldChar w:fldCharType="separate"/>
            </w:r>
            <w:r>
              <w:rPr>
                <w:noProof/>
                <w:webHidden/>
              </w:rPr>
              <w:t>7</w:t>
            </w:r>
            <w:r>
              <w:rPr>
                <w:noProof/>
                <w:webHidden/>
              </w:rPr>
              <w:fldChar w:fldCharType="end"/>
            </w:r>
          </w:hyperlink>
        </w:p>
        <w:p w14:paraId="76E0BE4D" w14:textId="2E3D9620"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05" w:history="1">
            <w:r w:rsidRPr="00844629">
              <w:rPr>
                <w:rStyle w:val="Hyperlink"/>
                <w:noProof/>
              </w:rPr>
              <w:t>1.5</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Research Question</w:t>
            </w:r>
            <w:r>
              <w:rPr>
                <w:noProof/>
                <w:webHidden/>
              </w:rPr>
              <w:tab/>
            </w:r>
            <w:r>
              <w:rPr>
                <w:noProof/>
                <w:webHidden/>
              </w:rPr>
              <w:fldChar w:fldCharType="begin"/>
            </w:r>
            <w:r>
              <w:rPr>
                <w:noProof/>
                <w:webHidden/>
              </w:rPr>
              <w:instrText xml:space="preserve"> PAGEREF _Toc215590805 \h </w:instrText>
            </w:r>
            <w:r>
              <w:rPr>
                <w:noProof/>
                <w:webHidden/>
              </w:rPr>
            </w:r>
            <w:r>
              <w:rPr>
                <w:noProof/>
                <w:webHidden/>
              </w:rPr>
              <w:fldChar w:fldCharType="separate"/>
            </w:r>
            <w:r>
              <w:rPr>
                <w:noProof/>
                <w:webHidden/>
              </w:rPr>
              <w:t>8</w:t>
            </w:r>
            <w:r>
              <w:rPr>
                <w:noProof/>
                <w:webHidden/>
              </w:rPr>
              <w:fldChar w:fldCharType="end"/>
            </w:r>
          </w:hyperlink>
        </w:p>
        <w:p w14:paraId="26F17CB2" w14:textId="3AFC8D7F"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06" w:history="1">
            <w:r w:rsidRPr="00844629">
              <w:rPr>
                <w:rStyle w:val="Hyperlink"/>
                <w:noProof/>
              </w:rPr>
              <w:t>1.6</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Research Hypothesis</w:t>
            </w:r>
            <w:r>
              <w:rPr>
                <w:noProof/>
                <w:webHidden/>
              </w:rPr>
              <w:tab/>
            </w:r>
            <w:r>
              <w:rPr>
                <w:noProof/>
                <w:webHidden/>
              </w:rPr>
              <w:fldChar w:fldCharType="begin"/>
            </w:r>
            <w:r>
              <w:rPr>
                <w:noProof/>
                <w:webHidden/>
              </w:rPr>
              <w:instrText xml:space="preserve"> PAGEREF _Toc215590806 \h </w:instrText>
            </w:r>
            <w:r>
              <w:rPr>
                <w:noProof/>
                <w:webHidden/>
              </w:rPr>
            </w:r>
            <w:r>
              <w:rPr>
                <w:noProof/>
                <w:webHidden/>
              </w:rPr>
              <w:fldChar w:fldCharType="separate"/>
            </w:r>
            <w:r>
              <w:rPr>
                <w:noProof/>
                <w:webHidden/>
              </w:rPr>
              <w:t>9</w:t>
            </w:r>
            <w:r>
              <w:rPr>
                <w:noProof/>
                <w:webHidden/>
              </w:rPr>
              <w:fldChar w:fldCharType="end"/>
            </w:r>
          </w:hyperlink>
        </w:p>
        <w:p w14:paraId="194981B9" w14:textId="25CD9A4F"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07" w:history="1">
            <w:r w:rsidRPr="00844629">
              <w:rPr>
                <w:rStyle w:val="Hyperlink"/>
                <w:noProof/>
              </w:rPr>
              <w:t>1.7</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Theoretical Framework</w:t>
            </w:r>
            <w:r>
              <w:rPr>
                <w:noProof/>
                <w:webHidden/>
              </w:rPr>
              <w:tab/>
            </w:r>
            <w:r>
              <w:rPr>
                <w:noProof/>
                <w:webHidden/>
              </w:rPr>
              <w:fldChar w:fldCharType="begin"/>
            </w:r>
            <w:r>
              <w:rPr>
                <w:noProof/>
                <w:webHidden/>
              </w:rPr>
              <w:instrText xml:space="preserve"> PAGEREF _Toc215590807 \h </w:instrText>
            </w:r>
            <w:r>
              <w:rPr>
                <w:noProof/>
                <w:webHidden/>
              </w:rPr>
            </w:r>
            <w:r>
              <w:rPr>
                <w:noProof/>
                <w:webHidden/>
              </w:rPr>
              <w:fldChar w:fldCharType="separate"/>
            </w:r>
            <w:r>
              <w:rPr>
                <w:noProof/>
                <w:webHidden/>
              </w:rPr>
              <w:t>10</w:t>
            </w:r>
            <w:r>
              <w:rPr>
                <w:noProof/>
                <w:webHidden/>
              </w:rPr>
              <w:fldChar w:fldCharType="end"/>
            </w:r>
          </w:hyperlink>
        </w:p>
        <w:p w14:paraId="34024D81" w14:textId="78FB0099" w:rsidR="0067723B" w:rsidRDefault="0067723B">
          <w:pPr>
            <w:pStyle w:val="TOC1"/>
            <w:tabs>
              <w:tab w:val="left" w:pos="48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08" w:history="1">
            <w:r w:rsidRPr="00844629">
              <w:rPr>
                <w:rStyle w:val="Hyperlink"/>
                <w:noProof/>
              </w:rPr>
              <w:t>2</w:t>
            </w:r>
            <w:r>
              <w:rPr>
                <w:rFonts w:asciiTheme="minorHAnsi" w:eastAsiaTheme="minorEastAsia" w:hAnsiTheme="minorHAnsi" w:cstheme="minorBidi"/>
                <w:noProof/>
                <w:kern w:val="2"/>
                <w:sz w:val="24"/>
                <w:szCs w:val="24"/>
                <w:lang w:val="en-US"/>
                <w14:ligatures w14:val="standardContextual"/>
              </w:rPr>
              <w:tab/>
            </w:r>
            <w:r w:rsidRPr="00844629">
              <w:rPr>
                <w:rStyle w:val="Hyperlink"/>
                <w:rFonts w:asciiTheme="majorBidi" w:hAnsiTheme="majorBidi"/>
                <w:noProof/>
              </w:rPr>
              <w:t>Chapter 2: literature Review and Conceptual Framework</w:t>
            </w:r>
            <w:r>
              <w:rPr>
                <w:noProof/>
                <w:webHidden/>
              </w:rPr>
              <w:tab/>
            </w:r>
            <w:r>
              <w:rPr>
                <w:noProof/>
                <w:webHidden/>
              </w:rPr>
              <w:fldChar w:fldCharType="begin"/>
            </w:r>
            <w:r>
              <w:rPr>
                <w:noProof/>
                <w:webHidden/>
              </w:rPr>
              <w:instrText xml:space="preserve"> PAGEREF _Toc215590808 \h </w:instrText>
            </w:r>
            <w:r>
              <w:rPr>
                <w:noProof/>
                <w:webHidden/>
              </w:rPr>
            </w:r>
            <w:r>
              <w:rPr>
                <w:noProof/>
                <w:webHidden/>
              </w:rPr>
              <w:fldChar w:fldCharType="separate"/>
            </w:r>
            <w:r>
              <w:rPr>
                <w:noProof/>
                <w:webHidden/>
              </w:rPr>
              <w:t>12</w:t>
            </w:r>
            <w:r>
              <w:rPr>
                <w:noProof/>
                <w:webHidden/>
              </w:rPr>
              <w:fldChar w:fldCharType="end"/>
            </w:r>
          </w:hyperlink>
        </w:p>
        <w:p w14:paraId="576429A6" w14:textId="19B53B8B"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09" w:history="1">
            <w:r w:rsidRPr="00844629">
              <w:rPr>
                <w:rStyle w:val="Hyperlink"/>
                <w:noProof/>
              </w:rPr>
              <w:t>2.1</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Introduction.</w:t>
            </w:r>
            <w:r>
              <w:rPr>
                <w:noProof/>
                <w:webHidden/>
              </w:rPr>
              <w:tab/>
            </w:r>
            <w:r>
              <w:rPr>
                <w:noProof/>
                <w:webHidden/>
              </w:rPr>
              <w:fldChar w:fldCharType="begin"/>
            </w:r>
            <w:r>
              <w:rPr>
                <w:noProof/>
                <w:webHidden/>
              </w:rPr>
              <w:instrText xml:space="preserve"> PAGEREF _Toc215590809 \h </w:instrText>
            </w:r>
            <w:r>
              <w:rPr>
                <w:noProof/>
                <w:webHidden/>
              </w:rPr>
            </w:r>
            <w:r>
              <w:rPr>
                <w:noProof/>
                <w:webHidden/>
              </w:rPr>
              <w:fldChar w:fldCharType="separate"/>
            </w:r>
            <w:r>
              <w:rPr>
                <w:noProof/>
                <w:webHidden/>
              </w:rPr>
              <w:t>12</w:t>
            </w:r>
            <w:r>
              <w:rPr>
                <w:noProof/>
                <w:webHidden/>
              </w:rPr>
              <w:fldChar w:fldCharType="end"/>
            </w:r>
          </w:hyperlink>
        </w:p>
        <w:p w14:paraId="389EB2B3" w14:textId="734CC8B8"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10" w:history="1">
            <w:r w:rsidRPr="00844629">
              <w:rPr>
                <w:rStyle w:val="Hyperlink"/>
                <w:noProof/>
              </w:rPr>
              <w:t>2.2</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The Dependant Variable: Cognitive Zero- downtime Operation</w:t>
            </w:r>
            <w:r>
              <w:rPr>
                <w:noProof/>
                <w:webHidden/>
              </w:rPr>
              <w:tab/>
            </w:r>
            <w:r>
              <w:rPr>
                <w:noProof/>
                <w:webHidden/>
              </w:rPr>
              <w:fldChar w:fldCharType="begin"/>
            </w:r>
            <w:r>
              <w:rPr>
                <w:noProof/>
                <w:webHidden/>
              </w:rPr>
              <w:instrText xml:space="preserve"> PAGEREF _Toc215590810 \h </w:instrText>
            </w:r>
            <w:r>
              <w:rPr>
                <w:noProof/>
                <w:webHidden/>
              </w:rPr>
            </w:r>
            <w:r>
              <w:rPr>
                <w:noProof/>
                <w:webHidden/>
              </w:rPr>
              <w:fldChar w:fldCharType="separate"/>
            </w:r>
            <w:r>
              <w:rPr>
                <w:noProof/>
                <w:webHidden/>
              </w:rPr>
              <w:t>12</w:t>
            </w:r>
            <w:r>
              <w:rPr>
                <w:noProof/>
                <w:webHidden/>
              </w:rPr>
              <w:fldChar w:fldCharType="end"/>
            </w:r>
          </w:hyperlink>
        </w:p>
        <w:p w14:paraId="3B3A5E5C" w14:textId="6AF14B50"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11" w:history="1">
            <w:r w:rsidRPr="00844629">
              <w:rPr>
                <w:rStyle w:val="Hyperlink"/>
                <w:noProof/>
              </w:rPr>
              <w:t>2.3</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The Independent Variables: The Strategic transformation Roadmap</w:t>
            </w:r>
            <w:r>
              <w:rPr>
                <w:noProof/>
                <w:webHidden/>
              </w:rPr>
              <w:tab/>
            </w:r>
            <w:r>
              <w:rPr>
                <w:noProof/>
                <w:webHidden/>
              </w:rPr>
              <w:fldChar w:fldCharType="begin"/>
            </w:r>
            <w:r>
              <w:rPr>
                <w:noProof/>
                <w:webHidden/>
              </w:rPr>
              <w:instrText xml:space="preserve"> PAGEREF _Toc215590811 \h </w:instrText>
            </w:r>
            <w:r>
              <w:rPr>
                <w:noProof/>
                <w:webHidden/>
              </w:rPr>
            </w:r>
            <w:r>
              <w:rPr>
                <w:noProof/>
                <w:webHidden/>
              </w:rPr>
              <w:fldChar w:fldCharType="separate"/>
            </w:r>
            <w:r>
              <w:rPr>
                <w:noProof/>
                <w:webHidden/>
              </w:rPr>
              <w:t>14</w:t>
            </w:r>
            <w:r>
              <w:rPr>
                <w:noProof/>
                <w:webHidden/>
              </w:rPr>
              <w:fldChar w:fldCharType="end"/>
            </w:r>
          </w:hyperlink>
        </w:p>
        <w:p w14:paraId="4942C763" w14:textId="35FC9786"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12" w:history="1">
            <w:r w:rsidRPr="00844629">
              <w:rPr>
                <w:rStyle w:val="Hyperlink"/>
                <w:noProof/>
              </w:rPr>
              <w:t>2.4</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Summary and Discussion of Literature Review (The Research Gap)</w:t>
            </w:r>
            <w:r>
              <w:rPr>
                <w:noProof/>
                <w:webHidden/>
              </w:rPr>
              <w:tab/>
            </w:r>
            <w:r>
              <w:rPr>
                <w:noProof/>
                <w:webHidden/>
              </w:rPr>
              <w:fldChar w:fldCharType="begin"/>
            </w:r>
            <w:r>
              <w:rPr>
                <w:noProof/>
                <w:webHidden/>
              </w:rPr>
              <w:instrText xml:space="preserve"> PAGEREF _Toc215590812 \h </w:instrText>
            </w:r>
            <w:r>
              <w:rPr>
                <w:noProof/>
                <w:webHidden/>
              </w:rPr>
            </w:r>
            <w:r>
              <w:rPr>
                <w:noProof/>
                <w:webHidden/>
              </w:rPr>
              <w:fldChar w:fldCharType="separate"/>
            </w:r>
            <w:r>
              <w:rPr>
                <w:noProof/>
                <w:webHidden/>
              </w:rPr>
              <w:t>16</w:t>
            </w:r>
            <w:r>
              <w:rPr>
                <w:noProof/>
                <w:webHidden/>
              </w:rPr>
              <w:fldChar w:fldCharType="end"/>
            </w:r>
          </w:hyperlink>
        </w:p>
        <w:p w14:paraId="21E8043F" w14:textId="5DCC0C6E"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13" w:history="1">
            <w:r w:rsidRPr="00844629">
              <w:rPr>
                <w:rStyle w:val="Hyperlink"/>
                <w:noProof/>
              </w:rPr>
              <w:t>2.5</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Theoretical Framework of The Study</w:t>
            </w:r>
            <w:r>
              <w:rPr>
                <w:noProof/>
                <w:webHidden/>
              </w:rPr>
              <w:tab/>
            </w:r>
            <w:r>
              <w:rPr>
                <w:noProof/>
                <w:webHidden/>
              </w:rPr>
              <w:fldChar w:fldCharType="begin"/>
            </w:r>
            <w:r>
              <w:rPr>
                <w:noProof/>
                <w:webHidden/>
              </w:rPr>
              <w:instrText xml:space="preserve"> PAGEREF _Toc215590813 \h </w:instrText>
            </w:r>
            <w:r>
              <w:rPr>
                <w:noProof/>
                <w:webHidden/>
              </w:rPr>
            </w:r>
            <w:r>
              <w:rPr>
                <w:noProof/>
                <w:webHidden/>
              </w:rPr>
              <w:fldChar w:fldCharType="separate"/>
            </w:r>
            <w:r>
              <w:rPr>
                <w:noProof/>
                <w:webHidden/>
              </w:rPr>
              <w:t>17</w:t>
            </w:r>
            <w:r>
              <w:rPr>
                <w:noProof/>
                <w:webHidden/>
              </w:rPr>
              <w:fldChar w:fldCharType="end"/>
            </w:r>
          </w:hyperlink>
        </w:p>
        <w:p w14:paraId="5CF7B236" w14:textId="11D5855B" w:rsidR="0067723B" w:rsidRDefault="0067723B">
          <w:pPr>
            <w:pStyle w:val="TOC1"/>
            <w:tabs>
              <w:tab w:val="left" w:pos="48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14" w:history="1">
            <w:r w:rsidRPr="00844629">
              <w:rPr>
                <w:rStyle w:val="Hyperlink"/>
                <w:noProof/>
              </w:rPr>
              <w:t>3</w:t>
            </w:r>
            <w:r>
              <w:rPr>
                <w:rFonts w:asciiTheme="minorHAnsi" w:eastAsiaTheme="minorEastAsia" w:hAnsiTheme="minorHAnsi" w:cstheme="minorBidi"/>
                <w:noProof/>
                <w:kern w:val="2"/>
                <w:sz w:val="24"/>
                <w:szCs w:val="24"/>
                <w:lang w:val="en-US"/>
                <w14:ligatures w14:val="standardContextual"/>
              </w:rPr>
              <w:tab/>
            </w:r>
            <w:r w:rsidRPr="00844629">
              <w:rPr>
                <w:rStyle w:val="Hyperlink"/>
                <w:rFonts w:asciiTheme="majorBidi" w:hAnsiTheme="majorBidi"/>
                <w:noProof/>
              </w:rPr>
              <w:t>Chapter 3: Research methodology</w:t>
            </w:r>
            <w:r>
              <w:rPr>
                <w:noProof/>
                <w:webHidden/>
              </w:rPr>
              <w:tab/>
            </w:r>
            <w:r>
              <w:rPr>
                <w:noProof/>
                <w:webHidden/>
              </w:rPr>
              <w:fldChar w:fldCharType="begin"/>
            </w:r>
            <w:r>
              <w:rPr>
                <w:noProof/>
                <w:webHidden/>
              </w:rPr>
              <w:instrText xml:space="preserve"> PAGEREF _Toc215590814 \h </w:instrText>
            </w:r>
            <w:r>
              <w:rPr>
                <w:noProof/>
                <w:webHidden/>
              </w:rPr>
            </w:r>
            <w:r>
              <w:rPr>
                <w:noProof/>
                <w:webHidden/>
              </w:rPr>
              <w:fldChar w:fldCharType="separate"/>
            </w:r>
            <w:r>
              <w:rPr>
                <w:noProof/>
                <w:webHidden/>
              </w:rPr>
              <w:t>19</w:t>
            </w:r>
            <w:r>
              <w:rPr>
                <w:noProof/>
                <w:webHidden/>
              </w:rPr>
              <w:fldChar w:fldCharType="end"/>
            </w:r>
          </w:hyperlink>
        </w:p>
        <w:p w14:paraId="257CACD7" w14:textId="3EF05A8A"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15" w:history="1">
            <w:r w:rsidRPr="00844629">
              <w:rPr>
                <w:rStyle w:val="Hyperlink"/>
                <w:noProof/>
              </w:rPr>
              <w:t>3.1</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Introduction</w:t>
            </w:r>
            <w:r>
              <w:rPr>
                <w:noProof/>
                <w:webHidden/>
              </w:rPr>
              <w:tab/>
            </w:r>
            <w:r>
              <w:rPr>
                <w:noProof/>
                <w:webHidden/>
              </w:rPr>
              <w:fldChar w:fldCharType="begin"/>
            </w:r>
            <w:r>
              <w:rPr>
                <w:noProof/>
                <w:webHidden/>
              </w:rPr>
              <w:instrText xml:space="preserve"> PAGEREF _Toc215590815 \h </w:instrText>
            </w:r>
            <w:r>
              <w:rPr>
                <w:noProof/>
                <w:webHidden/>
              </w:rPr>
            </w:r>
            <w:r>
              <w:rPr>
                <w:noProof/>
                <w:webHidden/>
              </w:rPr>
              <w:fldChar w:fldCharType="separate"/>
            </w:r>
            <w:r>
              <w:rPr>
                <w:noProof/>
                <w:webHidden/>
              </w:rPr>
              <w:t>19</w:t>
            </w:r>
            <w:r>
              <w:rPr>
                <w:noProof/>
                <w:webHidden/>
              </w:rPr>
              <w:fldChar w:fldCharType="end"/>
            </w:r>
          </w:hyperlink>
        </w:p>
        <w:p w14:paraId="3AFF8B2C" w14:textId="74A10AF8"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16" w:history="1">
            <w:r w:rsidRPr="00844629">
              <w:rPr>
                <w:rStyle w:val="Hyperlink"/>
                <w:noProof/>
              </w:rPr>
              <w:t>3.2</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Research Design: Sequential Exploratory Mixed-Method</w:t>
            </w:r>
            <w:r>
              <w:rPr>
                <w:noProof/>
                <w:webHidden/>
              </w:rPr>
              <w:tab/>
            </w:r>
            <w:r>
              <w:rPr>
                <w:noProof/>
                <w:webHidden/>
              </w:rPr>
              <w:fldChar w:fldCharType="begin"/>
            </w:r>
            <w:r>
              <w:rPr>
                <w:noProof/>
                <w:webHidden/>
              </w:rPr>
              <w:instrText xml:space="preserve"> PAGEREF _Toc215590816 \h </w:instrText>
            </w:r>
            <w:r>
              <w:rPr>
                <w:noProof/>
                <w:webHidden/>
              </w:rPr>
            </w:r>
            <w:r>
              <w:rPr>
                <w:noProof/>
                <w:webHidden/>
              </w:rPr>
              <w:fldChar w:fldCharType="separate"/>
            </w:r>
            <w:r>
              <w:rPr>
                <w:noProof/>
                <w:webHidden/>
              </w:rPr>
              <w:t>19</w:t>
            </w:r>
            <w:r>
              <w:rPr>
                <w:noProof/>
                <w:webHidden/>
              </w:rPr>
              <w:fldChar w:fldCharType="end"/>
            </w:r>
          </w:hyperlink>
        </w:p>
        <w:p w14:paraId="788AF35E" w14:textId="5ABF5899"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17" w:history="1">
            <w:r w:rsidRPr="00844629">
              <w:rPr>
                <w:rStyle w:val="Hyperlink"/>
                <w:noProof/>
              </w:rPr>
              <w:t>3.3</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Research Community and Field of Study</w:t>
            </w:r>
            <w:r>
              <w:rPr>
                <w:noProof/>
                <w:webHidden/>
              </w:rPr>
              <w:tab/>
            </w:r>
            <w:r>
              <w:rPr>
                <w:noProof/>
                <w:webHidden/>
              </w:rPr>
              <w:fldChar w:fldCharType="begin"/>
            </w:r>
            <w:r>
              <w:rPr>
                <w:noProof/>
                <w:webHidden/>
              </w:rPr>
              <w:instrText xml:space="preserve"> PAGEREF _Toc215590817 \h </w:instrText>
            </w:r>
            <w:r>
              <w:rPr>
                <w:noProof/>
                <w:webHidden/>
              </w:rPr>
            </w:r>
            <w:r>
              <w:rPr>
                <w:noProof/>
                <w:webHidden/>
              </w:rPr>
              <w:fldChar w:fldCharType="separate"/>
            </w:r>
            <w:r>
              <w:rPr>
                <w:noProof/>
                <w:webHidden/>
              </w:rPr>
              <w:t>21</w:t>
            </w:r>
            <w:r>
              <w:rPr>
                <w:noProof/>
                <w:webHidden/>
              </w:rPr>
              <w:fldChar w:fldCharType="end"/>
            </w:r>
          </w:hyperlink>
        </w:p>
        <w:p w14:paraId="05A75BEE" w14:textId="73EB779E"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18" w:history="1">
            <w:r w:rsidRPr="00844629">
              <w:rPr>
                <w:rStyle w:val="Hyperlink"/>
                <w:noProof/>
              </w:rPr>
              <w:t>3.4</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Sample Characteristic and Sample Size Determination</w:t>
            </w:r>
            <w:r>
              <w:rPr>
                <w:noProof/>
                <w:webHidden/>
              </w:rPr>
              <w:tab/>
            </w:r>
            <w:r>
              <w:rPr>
                <w:noProof/>
                <w:webHidden/>
              </w:rPr>
              <w:fldChar w:fldCharType="begin"/>
            </w:r>
            <w:r>
              <w:rPr>
                <w:noProof/>
                <w:webHidden/>
              </w:rPr>
              <w:instrText xml:space="preserve"> PAGEREF _Toc215590818 \h </w:instrText>
            </w:r>
            <w:r>
              <w:rPr>
                <w:noProof/>
                <w:webHidden/>
              </w:rPr>
            </w:r>
            <w:r>
              <w:rPr>
                <w:noProof/>
                <w:webHidden/>
              </w:rPr>
              <w:fldChar w:fldCharType="separate"/>
            </w:r>
            <w:r>
              <w:rPr>
                <w:noProof/>
                <w:webHidden/>
              </w:rPr>
              <w:t>22</w:t>
            </w:r>
            <w:r>
              <w:rPr>
                <w:noProof/>
                <w:webHidden/>
              </w:rPr>
              <w:fldChar w:fldCharType="end"/>
            </w:r>
          </w:hyperlink>
        </w:p>
        <w:p w14:paraId="007E79D4" w14:textId="0BA3FBEC"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19" w:history="1">
            <w:r w:rsidRPr="00844629">
              <w:rPr>
                <w:rStyle w:val="Hyperlink"/>
                <w:noProof/>
              </w:rPr>
              <w:t>3.5</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Data Collection Procedure</w:t>
            </w:r>
            <w:r>
              <w:rPr>
                <w:noProof/>
                <w:webHidden/>
              </w:rPr>
              <w:tab/>
            </w:r>
            <w:r>
              <w:rPr>
                <w:noProof/>
                <w:webHidden/>
              </w:rPr>
              <w:fldChar w:fldCharType="begin"/>
            </w:r>
            <w:r>
              <w:rPr>
                <w:noProof/>
                <w:webHidden/>
              </w:rPr>
              <w:instrText xml:space="preserve"> PAGEREF _Toc215590819 \h </w:instrText>
            </w:r>
            <w:r>
              <w:rPr>
                <w:noProof/>
                <w:webHidden/>
              </w:rPr>
            </w:r>
            <w:r>
              <w:rPr>
                <w:noProof/>
                <w:webHidden/>
              </w:rPr>
              <w:fldChar w:fldCharType="separate"/>
            </w:r>
            <w:r>
              <w:rPr>
                <w:noProof/>
                <w:webHidden/>
              </w:rPr>
              <w:t>23</w:t>
            </w:r>
            <w:r>
              <w:rPr>
                <w:noProof/>
                <w:webHidden/>
              </w:rPr>
              <w:fldChar w:fldCharType="end"/>
            </w:r>
          </w:hyperlink>
        </w:p>
        <w:p w14:paraId="0F146E9E" w14:textId="170C0A32"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20" w:history="1">
            <w:r w:rsidRPr="00844629">
              <w:rPr>
                <w:rStyle w:val="Hyperlink"/>
                <w:noProof/>
              </w:rPr>
              <w:t>3.6</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Data Analysis Strategy</w:t>
            </w:r>
            <w:r>
              <w:rPr>
                <w:noProof/>
                <w:webHidden/>
              </w:rPr>
              <w:tab/>
            </w:r>
            <w:r>
              <w:rPr>
                <w:noProof/>
                <w:webHidden/>
              </w:rPr>
              <w:fldChar w:fldCharType="begin"/>
            </w:r>
            <w:r>
              <w:rPr>
                <w:noProof/>
                <w:webHidden/>
              </w:rPr>
              <w:instrText xml:space="preserve"> PAGEREF _Toc215590820 \h </w:instrText>
            </w:r>
            <w:r>
              <w:rPr>
                <w:noProof/>
                <w:webHidden/>
              </w:rPr>
            </w:r>
            <w:r>
              <w:rPr>
                <w:noProof/>
                <w:webHidden/>
              </w:rPr>
              <w:fldChar w:fldCharType="separate"/>
            </w:r>
            <w:r>
              <w:rPr>
                <w:noProof/>
                <w:webHidden/>
              </w:rPr>
              <w:t>25</w:t>
            </w:r>
            <w:r>
              <w:rPr>
                <w:noProof/>
                <w:webHidden/>
              </w:rPr>
              <w:fldChar w:fldCharType="end"/>
            </w:r>
          </w:hyperlink>
        </w:p>
        <w:p w14:paraId="1DE46A82" w14:textId="66D87B3C"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21" w:history="1">
            <w:r w:rsidRPr="00844629">
              <w:rPr>
                <w:rStyle w:val="Hyperlink"/>
                <w:noProof/>
              </w:rPr>
              <w:t>3.7</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Ethical Consideration</w:t>
            </w:r>
            <w:r>
              <w:rPr>
                <w:noProof/>
                <w:webHidden/>
              </w:rPr>
              <w:tab/>
            </w:r>
            <w:r>
              <w:rPr>
                <w:noProof/>
                <w:webHidden/>
              </w:rPr>
              <w:fldChar w:fldCharType="begin"/>
            </w:r>
            <w:r>
              <w:rPr>
                <w:noProof/>
                <w:webHidden/>
              </w:rPr>
              <w:instrText xml:space="preserve"> PAGEREF _Toc215590821 \h </w:instrText>
            </w:r>
            <w:r>
              <w:rPr>
                <w:noProof/>
                <w:webHidden/>
              </w:rPr>
            </w:r>
            <w:r>
              <w:rPr>
                <w:noProof/>
                <w:webHidden/>
              </w:rPr>
              <w:fldChar w:fldCharType="separate"/>
            </w:r>
            <w:r>
              <w:rPr>
                <w:noProof/>
                <w:webHidden/>
              </w:rPr>
              <w:t>26</w:t>
            </w:r>
            <w:r>
              <w:rPr>
                <w:noProof/>
                <w:webHidden/>
              </w:rPr>
              <w:fldChar w:fldCharType="end"/>
            </w:r>
          </w:hyperlink>
        </w:p>
        <w:p w14:paraId="5ED6CAAA" w14:textId="095B3AA8"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22" w:history="1">
            <w:r w:rsidRPr="00844629">
              <w:rPr>
                <w:rStyle w:val="Hyperlink"/>
                <w:noProof/>
              </w:rPr>
              <w:t>3.8</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Scope Delimitations and Limitations</w:t>
            </w:r>
            <w:r>
              <w:rPr>
                <w:noProof/>
                <w:webHidden/>
              </w:rPr>
              <w:tab/>
            </w:r>
            <w:r>
              <w:rPr>
                <w:noProof/>
                <w:webHidden/>
              </w:rPr>
              <w:fldChar w:fldCharType="begin"/>
            </w:r>
            <w:r>
              <w:rPr>
                <w:noProof/>
                <w:webHidden/>
              </w:rPr>
              <w:instrText xml:space="preserve"> PAGEREF _Toc215590822 \h </w:instrText>
            </w:r>
            <w:r>
              <w:rPr>
                <w:noProof/>
                <w:webHidden/>
              </w:rPr>
            </w:r>
            <w:r>
              <w:rPr>
                <w:noProof/>
                <w:webHidden/>
              </w:rPr>
              <w:fldChar w:fldCharType="separate"/>
            </w:r>
            <w:r>
              <w:rPr>
                <w:noProof/>
                <w:webHidden/>
              </w:rPr>
              <w:t>27</w:t>
            </w:r>
            <w:r>
              <w:rPr>
                <w:noProof/>
                <w:webHidden/>
              </w:rPr>
              <w:fldChar w:fldCharType="end"/>
            </w:r>
          </w:hyperlink>
        </w:p>
        <w:p w14:paraId="7129BE40" w14:textId="0EAC6161" w:rsidR="0067723B" w:rsidRDefault="0067723B">
          <w:pPr>
            <w:pStyle w:val="TOC1"/>
            <w:tabs>
              <w:tab w:val="left" w:pos="48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23" w:history="1">
            <w:r w:rsidRPr="00844629">
              <w:rPr>
                <w:rStyle w:val="Hyperlink"/>
                <w:noProof/>
              </w:rPr>
              <w:t>4</w:t>
            </w:r>
            <w:r>
              <w:rPr>
                <w:rFonts w:asciiTheme="minorHAnsi" w:eastAsiaTheme="minorEastAsia" w:hAnsiTheme="minorHAnsi" w:cstheme="minorBidi"/>
                <w:noProof/>
                <w:kern w:val="2"/>
                <w:sz w:val="24"/>
                <w:szCs w:val="24"/>
                <w:lang w:val="en-US"/>
                <w14:ligatures w14:val="standardContextual"/>
              </w:rPr>
              <w:tab/>
            </w:r>
            <w:r w:rsidRPr="00844629">
              <w:rPr>
                <w:rStyle w:val="Hyperlink"/>
                <w:rFonts w:asciiTheme="majorBidi" w:hAnsiTheme="majorBidi"/>
                <w:noProof/>
              </w:rPr>
              <w:t>Chapter 4: Practical Study and Roadmap</w:t>
            </w:r>
            <w:r>
              <w:rPr>
                <w:noProof/>
                <w:webHidden/>
              </w:rPr>
              <w:tab/>
            </w:r>
            <w:r>
              <w:rPr>
                <w:noProof/>
                <w:webHidden/>
              </w:rPr>
              <w:fldChar w:fldCharType="begin"/>
            </w:r>
            <w:r>
              <w:rPr>
                <w:noProof/>
                <w:webHidden/>
              </w:rPr>
              <w:instrText xml:space="preserve"> PAGEREF _Toc215590823 \h </w:instrText>
            </w:r>
            <w:r>
              <w:rPr>
                <w:noProof/>
                <w:webHidden/>
              </w:rPr>
            </w:r>
            <w:r>
              <w:rPr>
                <w:noProof/>
                <w:webHidden/>
              </w:rPr>
              <w:fldChar w:fldCharType="separate"/>
            </w:r>
            <w:r>
              <w:rPr>
                <w:noProof/>
                <w:webHidden/>
              </w:rPr>
              <w:t>29</w:t>
            </w:r>
            <w:r>
              <w:rPr>
                <w:noProof/>
                <w:webHidden/>
              </w:rPr>
              <w:fldChar w:fldCharType="end"/>
            </w:r>
          </w:hyperlink>
        </w:p>
        <w:p w14:paraId="6974815A" w14:textId="252127B8"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24" w:history="1">
            <w:r w:rsidRPr="00844629">
              <w:rPr>
                <w:rStyle w:val="Hyperlink"/>
                <w:noProof/>
              </w:rPr>
              <w:t>4.1</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Data analysis</w:t>
            </w:r>
            <w:r>
              <w:rPr>
                <w:noProof/>
                <w:webHidden/>
              </w:rPr>
              <w:tab/>
            </w:r>
            <w:r>
              <w:rPr>
                <w:noProof/>
                <w:webHidden/>
              </w:rPr>
              <w:fldChar w:fldCharType="begin"/>
            </w:r>
            <w:r>
              <w:rPr>
                <w:noProof/>
                <w:webHidden/>
              </w:rPr>
              <w:instrText xml:space="preserve"> PAGEREF _Toc215590824 \h </w:instrText>
            </w:r>
            <w:r>
              <w:rPr>
                <w:noProof/>
                <w:webHidden/>
              </w:rPr>
            </w:r>
            <w:r>
              <w:rPr>
                <w:noProof/>
                <w:webHidden/>
              </w:rPr>
              <w:fldChar w:fldCharType="separate"/>
            </w:r>
            <w:r>
              <w:rPr>
                <w:noProof/>
                <w:webHidden/>
              </w:rPr>
              <w:t>29</w:t>
            </w:r>
            <w:r>
              <w:rPr>
                <w:noProof/>
                <w:webHidden/>
              </w:rPr>
              <w:fldChar w:fldCharType="end"/>
            </w:r>
          </w:hyperlink>
        </w:p>
        <w:p w14:paraId="35934D50" w14:textId="2D55C3F0"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25" w:history="1">
            <w:r w:rsidRPr="00844629">
              <w:rPr>
                <w:rStyle w:val="Hyperlink"/>
                <w:noProof/>
              </w:rPr>
              <w:t>4.2</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Research Findings and Discussion: The Strategic Roadmap.</w:t>
            </w:r>
            <w:r>
              <w:rPr>
                <w:noProof/>
                <w:webHidden/>
              </w:rPr>
              <w:tab/>
            </w:r>
            <w:r>
              <w:rPr>
                <w:noProof/>
                <w:webHidden/>
              </w:rPr>
              <w:fldChar w:fldCharType="begin"/>
            </w:r>
            <w:r>
              <w:rPr>
                <w:noProof/>
                <w:webHidden/>
              </w:rPr>
              <w:instrText xml:space="preserve"> PAGEREF _Toc215590825 \h </w:instrText>
            </w:r>
            <w:r>
              <w:rPr>
                <w:noProof/>
                <w:webHidden/>
              </w:rPr>
            </w:r>
            <w:r>
              <w:rPr>
                <w:noProof/>
                <w:webHidden/>
              </w:rPr>
              <w:fldChar w:fldCharType="separate"/>
            </w:r>
            <w:r>
              <w:rPr>
                <w:noProof/>
                <w:webHidden/>
              </w:rPr>
              <w:t>30</w:t>
            </w:r>
            <w:r>
              <w:rPr>
                <w:noProof/>
                <w:webHidden/>
              </w:rPr>
              <w:fldChar w:fldCharType="end"/>
            </w:r>
          </w:hyperlink>
        </w:p>
        <w:p w14:paraId="6F09B3F3" w14:textId="1CAD794D"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26" w:history="1">
            <w:r w:rsidRPr="00844629">
              <w:rPr>
                <w:rStyle w:val="Hyperlink"/>
                <w:noProof/>
              </w:rPr>
              <w:t>4.3</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rPr>
              <w:t>Research Recommendations</w:t>
            </w:r>
            <w:r>
              <w:rPr>
                <w:noProof/>
                <w:webHidden/>
              </w:rPr>
              <w:tab/>
            </w:r>
            <w:r>
              <w:rPr>
                <w:noProof/>
                <w:webHidden/>
              </w:rPr>
              <w:fldChar w:fldCharType="begin"/>
            </w:r>
            <w:r>
              <w:rPr>
                <w:noProof/>
                <w:webHidden/>
              </w:rPr>
              <w:instrText xml:space="preserve"> PAGEREF _Toc215590826 \h </w:instrText>
            </w:r>
            <w:r>
              <w:rPr>
                <w:noProof/>
                <w:webHidden/>
              </w:rPr>
            </w:r>
            <w:r>
              <w:rPr>
                <w:noProof/>
                <w:webHidden/>
              </w:rPr>
              <w:fldChar w:fldCharType="separate"/>
            </w:r>
            <w:r>
              <w:rPr>
                <w:noProof/>
                <w:webHidden/>
              </w:rPr>
              <w:t>32</w:t>
            </w:r>
            <w:r>
              <w:rPr>
                <w:noProof/>
                <w:webHidden/>
              </w:rPr>
              <w:fldChar w:fldCharType="end"/>
            </w:r>
          </w:hyperlink>
        </w:p>
        <w:p w14:paraId="624972D4" w14:textId="6BED3BA4"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27" w:history="1">
            <w:r w:rsidRPr="00844629">
              <w:rPr>
                <w:rStyle w:val="Hyperlink"/>
                <w:noProof/>
                <w:lang w:val="en-US"/>
              </w:rPr>
              <w:t>4.4</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lang w:val="en-US"/>
              </w:rPr>
              <w:t>Revised Research Findings</w:t>
            </w:r>
            <w:r>
              <w:rPr>
                <w:noProof/>
                <w:webHidden/>
              </w:rPr>
              <w:tab/>
            </w:r>
            <w:r>
              <w:rPr>
                <w:noProof/>
                <w:webHidden/>
              </w:rPr>
              <w:fldChar w:fldCharType="begin"/>
            </w:r>
            <w:r>
              <w:rPr>
                <w:noProof/>
                <w:webHidden/>
              </w:rPr>
              <w:instrText xml:space="preserve"> PAGEREF _Toc215590827 \h </w:instrText>
            </w:r>
            <w:r>
              <w:rPr>
                <w:noProof/>
                <w:webHidden/>
              </w:rPr>
            </w:r>
            <w:r>
              <w:rPr>
                <w:noProof/>
                <w:webHidden/>
              </w:rPr>
              <w:fldChar w:fldCharType="separate"/>
            </w:r>
            <w:r>
              <w:rPr>
                <w:noProof/>
                <w:webHidden/>
              </w:rPr>
              <w:t>33</w:t>
            </w:r>
            <w:r>
              <w:rPr>
                <w:noProof/>
                <w:webHidden/>
              </w:rPr>
              <w:fldChar w:fldCharType="end"/>
            </w:r>
          </w:hyperlink>
        </w:p>
        <w:p w14:paraId="36C70B1A" w14:textId="71D76B70" w:rsidR="0067723B" w:rsidRDefault="0067723B">
          <w:pPr>
            <w:pStyle w:val="TOC1"/>
            <w:tabs>
              <w:tab w:val="left" w:pos="720"/>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28" w:history="1">
            <w:r w:rsidRPr="00844629">
              <w:rPr>
                <w:rStyle w:val="Hyperlink"/>
                <w:noProof/>
                <w:lang w:val="en-US"/>
              </w:rPr>
              <w:t>4.5</w:t>
            </w:r>
            <w:r>
              <w:rPr>
                <w:rFonts w:asciiTheme="minorHAnsi" w:eastAsiaTheme="minorEastAsia" w:hAnsiTheme="minorHAnsi" w:cstheme="minorBidi"/>
                <w:noProof/>
                <w:kern w:val="2"/>
                <w:sz w:val="24"/>
                <w:szCs w:val="24"/>
                <w:lang w:val="en-US"/>
                <w14:ligatures w14:val="standardContextual"/>
              </w:rPr>
              <w:tab/>
            </w:r>
            <w:r w:rsidRPr="00844629">
              <w:rPr>
                <w:rStyle w:val="Hyperlink"/>
                <w:noProof/>
                <w:lang w:val="en-US"/>
              </w:rPr>
              <w:t>Final Practical Recommendations</w:t>
            </w:r>
            <w:r>
              <w:rPr>
                <w:noProof/>
                <w:webHidden/>
              </w:rPr>
              <w:tab/>
            </w:r>
            <w:r>
              <w:rPr>
                <w:noProof/>
                <w:webHidden/>
              </w:rPr>
              <w:fldChar w:fldCharType="begin"/>
            </w:r>
            <w:r>
              <w:rPr>
                <w:noProof/>
                <w:webHidden/>
              </w:rPr>
              <w:instrText xml:space="preserve"> PAGEREF _Toc215590828 \h </w:instrText>
            </w:r>
            <w:r>
              <w:rPr>
                <w:noProof/>
                <w:webHidden/>
              </w:rPr>
            </w:r>
            <w:r>
              <w:rPr>
                <w:noProof/>
                <w:webHidden/>
              </w:rPr>
              <w:fldChar w:fldCharType="separate"/>
            </w:r>
            <w:r>
              <w:rPr>
                <w:noProof/>
                <w:webHidden/>
              </w:rPr>
              <w:t>34</w:t>
            </w:r>
            <w:r>
              <w:rPr>
                <w:noProof/>
                <w:webHidden/>
              </w:rPr>
              <w:fldChar w:fldCharType="end"/>
            </w:r>
          </w:hyperlink>
        </w:p>
        <w:p w14:paraId="0D01C75B" w14:textId="213A4E82" w:rsidR="0067723B" w:rsidRDefault="0067723B">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15590829" w:history="1">
            <w:r w:rsidRPr="00844629">
              <w:rPr>
                <w:rStyle w:val="Hyperlink"/>
                <w:noProof/>
              </w:rPr>
              <w:t>References</w:t>
            </w:r>
            <w:r>
              <w:rPr>
                <w:noProof/>
                <w:webHidden/>
              </w:rPr>
              <w:tab/>
            </w:r>
            <w:r>
              <w:rPr>
                <w:noProof/>
                <w:webHidden/>
              </w:rPr>
              <w:fldChar w:fldCharType="begin"/>
            </w:r>
            <w:r>
              <w:rPr>
                <w:noProof/>
                <w:webHidden/>
              </w:rPr>
              <w:instrText xml:space="preserve"> PAGEREF _Toc215590829 \h </w:instrText>
            </w:r>
            <w:r>
              <w:rPr>
                <w:noProof/>
                <w:webHidden/>
              </w:rPr>
            </w:r>
            <w:r>
              <w:rPr>
                <w:noProof/>
                <w:webHidden/>
              </w:rPr>
              <w:fldChar w:fldCharType="separate"/>
            </w:r>
            <w:r>
              <w:rPr>
                <w:noProof/>
                <w:webHidden/>
              </w:rPr>
              <w:t>35</w:t>
            </w:r>
            <w:r>
              <w:rPr>
                <w:noProof/>
                <w:webHidden/>
              </w:rPr>
              <w:fldChar w:fldCharType="end"/>
            </w:r>
          </w:hyperlink>
        </w:p>
        <w:p w14:paraId="0914A2E3" w14:textId="1849988C" w:rsidR="00A47917" w:rsidRDefault="00A47917">
          <w:r>
            <w:rPr>
              <w:b/>
              <w:bCs/>
              <w:noProof/>
            </w:rPr>
            <w:fldChar w:fldCharType="end"/>
          </w:r>
        </w:p>
      </w:sdtContent>
    </w:sdt>
    <w:p w14:paraId="7C2948E5" w14:textId="56DE6922" w:rsidR="00D44D33" w:rsidRDefault="00D44D33"/>
    <w:p w14:paraId="2D742594" w14:textId="5BD26BA4" w:rsidR="00D44D33" w:rsidRDefault="00D44D33"/>
    <w:p w14:paraId="436F6C06" w14:textId="77777777" w:rsidR="00CD7780" w:rsidRDefault="00D44D33" w:rsidP="006A2596">
      <w:pPr>
        <w:spacing w:after="0"/>
        <w:rPr>
          <w:rFonts w:asciiTheme="majorBidi" w:hAnsiTheme="majorBidi" w:cstheme="majorBidi"/>
          <w:b/>
          <w:sz w:val="40"/>
          <w:szCs w:val="40"/>
        </w:rPr>
      </w:pPr>
      <w:r>
        <w:br w:type="page"/>
      </w:r>
      <w:r w:rsidR="00CD7780" w:rsidRPr="00F15AC1">
        <w:rPr>
          <w:rFonts w:asciiTheme="majorBidi" w:hAnsiTheme="majorBidi" w:cstheme="majorBidi"/>
          <w:b/>
          <w:sz w:val="40"/>
          <w:szCs w:val="40"/>
        </w:rPr>
        <w:lastRenderedPageBreak/>
        <w:t>List of Tables</w:t>
      </w:r>
    </w:p>
    <w:p w14:paraId="7A181C05" w14:textId="7DB23A97" w:rsidR="00F21D07" w:rsidRPr="006A2596" w:rsidRDefault="00F21D07" w:rsidP="006A2596">
      <w:pPr>
        <w:spacing w:after="0" w:line="240" w:lineRule="auto"/>
        <w:rPr>
          <w:rFonts w:asciiTheme="majorBidi" w:eastAsiaTheme="minorEastAsia" w:hAnsiTheme="majorBidi" w:cstheme="majorBidi"/>
          <w:bCs/>
          <w:sz w:val="24"/>
          <w:szCs w:val="24"/>
          <w:lang w:val="en-US"/>
        </w:rPr>
      </w:pPr>
      <w:r w:rsidRPr="006A2596">
        <w:rPr>
          <w:rFonts w:asciiTheme="majorBidi" w:eastAsiaTheme="minorEastAsia" w:hAnsiTheme="majorBidi" w:cstheme="majorBidi"/>
          <w:bCs/>
          <w:sz w:val="24"/>
          <w:szCs w:val="24"/>
          <w:lang w:val="en-US"/>
        </w:rPr>
        <w:t xml:space="preserve">Table 1: Metrix </w:t>
      </w:r>
      <w:r w:rsidR="006A2596" w:rsidRPr="006A2596">
        <w:rPr>
          <w:rFonts w:asciiTheme="majorBidi" w:eastAsiaTheme="minorEastAsia" w:hAnsiTheme="majorBidi" w:cstheme="majorBidi"/>
          <w:bCs/>
          <w:sz w:val="24"/>
          <w:szCs w:val="24"/>
          <w:lang w:val="en-US"/>
        </w:rPr>
        <w:t>performance</w:t>
      </w:r>
      <w:r w:rsidRPr="006A2596">
        <w:rPr>
          <w:rFonts w:asciiTheme="majorBidi" w:eastAsiaTheme="minorEastAsia" w:hAnsiTheme="majorBidi" w:cstheme="majorBidi"/>
          <w:bCs/>
          <w:sz w:val="24"/>
          <w:szCs w:val="24"/>
          <w:lang w:val="en-US"/>
        </w:rPr>
        <w:t>………………………………………………………………….14</w:t>
      </w:r>
    </w:p>
    <w:p w14:paraId="167E0C67" w14:textId="293D715A" w:rsidR="00F21D07" w:rsidRPr="006A2596" w:rsidRDefault="00F21D07" w:rsidP="006A2596">
      <w:pPr>
        <w:spacing w:after="0" w:line="240" w:lineRule="auto"/>
        <w:rPr>
          <w:rFonts w:asciiTheme="majorBidi" w:eastAsiaTheme="minorEastAsia" w:hAnsiTheme="majorBidi" w:cstheme="majorBidi"/>
          <w:bCs/>
          <w:sz w:val="24"/>
          <w:szCs w:val="24"/>
          <w:lang w:val="en-US"/>
        </w:rPr>
      </w:pPr>
      <w:r w:rsidRPr="006A2596">
        <w:rPr>
          <w:rFonts w:asciiTheme="majorBidi" w:eastAsiaTheme="minorEastAsia" w:hAnsiTheme="majorBidi" w:cstheme="majorBidi"/>
          <w:bCs/>
          <w:sz w:val="24"/>
          <w:szCs w:val="24"/>
          <w:lang w:val="en-US"/>
        </w:rPr>
        <w:t>Table 2: Maintenance Maturity</w:t>
      </w:r>
      <w:r w:rsidR="006A2596">
        <w:rPr>
          <w:rFonts w:asciiTheme="majorBidi" w:eastAsiaTheme="minorEastAsia" w:hAnsiTheme="majorBidi" w:cstheme="majorBidi"/>
          <w:bCs/>
          <w:sz w:val="24"/>
          <w:szCs w:val="24"/>
          <w:lang w:val="en-US"/>
        </w:rPr>
        <w:t>.</w:t>
      </w:r>
      <w:r w:rsidRPr="006A2596">
        <w:rPr>
          <w:rFonts w:asciiTheme="majorBidi" w:eastAsiaTheme="minorEastAsia" w:hAnsiTheme="majorBidi" w:cstheme="majorBidi"/>
          <w:bCs/>
          <w:sz w:val="24"/>
          <w:szCs w:val="24"/>
          <w:lang w:val="en-US"/>
        </w:rPr>
        <w:t>………………………………………………………………15</w:t>
      </w:r>
    </w:p>
    <w:p w14:paraId="34EAB0E1" w14:textId="3A14D8F7" w:rsidR="00FD3F37" w:rsidRPr="006A2596" w:rsidRDefault="00FD3F37" w:rsidP="006A2596">
      <w:pPr>
        <w:spacing w:after="0" w:line="240" w:lineRule="auto"/>
        <w:rPr>
          <w:rFonts w:asciiTheme="majorBidi" w:hAnsiTheme="majorBidi" w:cstheme="majorBidi"/>
          <w:sz w:val="24"/>
          <w:szCs w:val="24"/>
        </w:rPr>
      </w:pPr>
      <w:r w:rsidRPr="006A2596">
        <w:rPr>
          <w:rFonts w:asciiTheme="majorBidi" w:hAnsiTheme="majorBidi" w:cstheme="majorBidi"/>
          <w:sz w:val="24"/>
          <w:szCs w:val="24"/>
        </w:rPr>
        <w:t>Table 3: Triple-Helix Model</w:t>
      </w:r>
      <w:r w:rsidR="006A2596">
        <w:rPr>
          <w:rFonts w:asciiTheme="majorBidi" w:hAnsiTheme="majorBidi" w:cstheme="majorBidi"/>
          <w:sz w:val="24"/>
          <w:szCs w:val="24"/>
        </w:rPr>
        <w:t>.</w:t>
      </w:r>
      <w:r w:rsidRPr="006A2596">
        <w:rPr>
          <w:rFonts w:asciiTheme="majorBidi" w:hAnsiTheme="majorBidi" w:cstheme="majorBidi"/>
          <w:sz w:val="24"/>
          <w:szCs w:val="24"/>
        </w:rPr>
        <w:t>…………………………………………………………………22</w:t>
      </w:r>
    </w:p>
    <w:p w14:paraId="63928770" w14:textId="6F65042C" w:rsidR="00FD3F37" w:rsidRPr="006A2596" w:rsidRDefault="00FD3F37" w:rsidP="006A2596">
      <w:pPr>
        <w:spacing w:after="0" w:line="240" w:lineRule="auto"/>
        <w:rPr>
          <w:rFonts w:asciiTheme="majorBidi" w:hAnsiTheme="majorBidi" w:cstheme="majorBidi"/>
          <w:sz w:val="24"/>
          <w:szCs w:val="24"/>
        </w:rPr>
      </w:pPr>
      <w:r w:rsidRPr="006A2596">
        <w:rPr>
          <w:rFonts w:asciiTheme="majorBidi" w:hAnsiTheme="majorBidi" w:cstheme="majorBidi"/>
          <w:sz w:val="24"/>
          <w:szCs w:val="24"/>
        </w:rPr>
        <w:t xml:space="preserve">Table 4: </w:t>
      </w:r>
      <w:r w:rsidRPr="006A2596">
        <w:rPr>
          <w:rFonts w:asciiTheme="majorBidi" w:hAnsiTheme="majorBidi" w:cstheme="majorBidi"/>
          <w:sz w:val="24"/>
          <w:szCs w:val="24"/>
          <w:lang w:val="en-US"/>
        </w:rPr>
        <w:t>Thematic</w:t>
      </w:r>
      <w:r w:rsidRPr="006A2596">
        <w:rPr>
          <w:rFonts w:asciiTheme="majorBidi" w:hAnsiTheme="majorBidi" w:cstheme="majorBidi"/>
          <w:sz w:val="24"/>
          <w:szCs w:val="24"/>
        </w:rPr>
        <w:t xml:space="preserve"> Block Distribution</w:t>
      </w:r>
      <w:r w:rsidRPr="006A2596">
        <w:rPr>
          <w:rFonts w:asciiTheme="majorBidi" w:hAnsiTheme="majorBidi" w:cstheme="majorBidi"/>
          <w:sz w:val="24"/>
          <w:szCs w:val="24"/>
        </w:rPr>
        <w:t xml:space="preserve"> ……………………………………………………….24</w:t>
      </w:r>
      <w:r w:rsidRPr="006A2596">
        <w:rPr>
          <w:rFonts w:asciiTheme="majorBidi" w:hAnsiTheme="majorBidi" w:cstheme="majorBidi"/>
          <w:sz w:val="24"/>
          <w:szCs w:val="24"/>
        </w:rPr>
        <w:t xml:space="preserve"> </w:t>
      </w:r>
    </w:p>
    <w:p w14:paraId="69BB2607" w14:textId="6DF51CF6" w:rsidR="00FD3F37" w:rsidRPr="006A2596" w:rsidRDefault="00FD3F37" w:rsidP="006A2596">
      <w:pPr>
        <w:spacing w:after="0" w:line="240" w:lineRule="auto"/>
        <w:rPr>
          <w:rFonts w:asciiTheme="majorBidi" w:hAnsiTheme="majorBidi" w:cstheme="majorBidi"/>
          <w:sz w:val="24"/>
          <w:szCs w:val="24"/>
        </w:rPr>
      </w:pPr>
      <w:r w:rsidRPr="006A2596">
        <w:rPr>
          <w:rFonts w:asciiTheme="majorBidi" w:hAnsiTheme="majorBidi" w:cstheme="majorBidi"/>
          <w:sz w:val="24"/>
          <w:szCs w:val="24"/>
        </w:rPr>
        <w:t xml:space="preserve">Table </w:t>
      </w:r>
      <w:r w:rsidRPr="006A2596">
        <w:rPr>
          <w:rFonts w:asciiTheme="majorBidi" w:hAnsiTheme="majorBidi" w:cstheme="majorBidi"/>
          <w:sz w:val="24"/>
          <w:szCs w:val="24"/>
        </w:rPr>
        <w:t>5</w:t>
      </w:r>
      <w:r w:rsidRPr="006A2596">
        <w:rPr>
          <w:rFonts w:asciiTheme="majorBidi" w:hAnsiTheme="majorBidi" w:cstheme="majorBidi"/>
          <w:sz w:val="24"/>
          <w:szCs w:val="24"/>
        </w:rPr>
        <w:t xml:space="preserve">:  </w:t>
      </w:r>
      <w:r w:rsidRPr="006A2596">
        <w:rPr>
          <w:rFonts w:asciiTheme="majorBidi" w:hAnsiTheme="majorBidi" w:cstheme="majorBidi"/>
          <w:sz w:val="24"/>
          <w:szCs w:val="24"/>
        </w:rPr>
        <w:t>Sources &amp; Distribution ………………</w:t>
      </w:r>
      <w:r w:rsidR="006A2596">
        <w:rPr>
          <w:rFonts w:asciiTheme="majorBidi" w:hAnsiTheme="majorBidi" w:cstheme="majorBidi"/>
          <w:sz w:val="24"/>
          <w:szCs w:val="24"/>
        </w:rPr>
        <w:t>……</w:t>
      </w:r>
      <w:r w:rsidRPr="006A2596">
        <w:rPr>
          <w:rFonts w:asciiTheme="majorBidi" w:hAnsiTheme="majorBidi" w:cstheme="majorBidi"/>
          <w:sz w:val="24"/>
          <w:szCs w:val="24"/>
        </w:rPr>
        <w:t>……………………………………….26</w:t>
      </w:r>
    </w:p>
    <w:p w14:paraId="4BAEC158" w14:textId="115E011A" w:rsidR="00FD3F37" w:rsidRPr="006A2596" w:rsidRDefault="00FD3F37" w:rsidP="006A2596">
      <w:pPr>
        <w:spacing w:after="0" w:line="240" w:lineRule="auto"/>
        <w:rPr>
          <w:rFonts w:asciiTheme="majorBidi" w:hAnsiTheme="majorBidi" w:cstheme="majorBidi"/>
          <w:sz w:val="24"/>
          <w:szCs w:val="24"/>
        </w:rPr>
      </w:pPr>
      <w:r w:rsidRPr="006A2596">
        <w:rPr>
          <w:rFonts w:asciiTheme="majorBidi" w:hAnsiTheme="majorBidi" w:cstheme="majorBidi"/>
          <w:sz w:val="24"/>
          <w:szCs w:val="24"/>
        </w:rPr>
        <w:t>Table 6:  Scop limitations</w:t>
      </w:r>
      <w:r w:rsidRPr="006A2596">
        <w:rPr>
          <w:rFonts w:asciiTheme="majorBidi" w:hAnsiTheme="majorBidi" w:cstheme="majorBidi"/>
          <w:sz w:val="24"/>
          <w:szCs w:val="24"/>
        </w:rPr>
        <w:t>…………………………………………………………………….28</w:t>
      </w:r>
    </w:p>
    <w:p w14:paraId="5D3AEB3D" w14:textId="2BA1DD3E" w:rsidR="00FD3F37" w:rsidRPr="006A2596" w:rsidRDefault="00FD3F37" w:rsidP="006A2596">
      <w:pPr>
        <w:spacing w:after="0" w:line="240" w:lineRule="auto"/>
        <w:rPr>
          <w:rFonts w:asciiTheme="majorBidi" w:hAnsiTheme="majorBidi" w:cstheme="majorBidi"/>
          <w:sz w:val="24"/>
          <w:szCs w:val="24"/>
        </w:rPr>
      </w:pPr>
      <w:r w:rsidRPr="006A2596">
        <w:rPr>
          <w:rFonts w:asciiTheme="majorBidi" w:hAnsiTheme="majorBidi" w:cstheme="majorBidi"/>
          <w:sz w:val="24"/>
          <w:szCs w:val="24"/>
        </w:rPr>
        <w:t xml:space="preserve">Table 7: Quantitative model feature </w:t>
      </w:r>
      <w:r w:rsidRPr="006A2596">
        <w:rPr>
          <w:rFonts w:asciiTheme="majorBidi" w:hAnsiTheme="majorBidi" w:cstheme="majorBidi"/>
          <w:sz w:val="24"/>
          <w:szCs w:val="24"/>
        </w:rPr>
        <w:t>…………………………</w:t>
      </w:r>
      <w:r w:rsidR="006A2596">
        <w:rPr>
          <w:rFonts w:asciiTheme="majorBidi" w:hAnsiTheme="majorBidi" w:cstheme="majorBidi"/>
          <w:sz w:val="24"/>
          <w:szCs w:val="24"/>
        </w:rPr>
        <w:t>……</w:t>
      </w:r>
      <w:r w:rsidRPr="006A2596">
        <w:rPr>
          <w:rFonts w:asciiTheme="majorBidi" w:hAnsiTheme="majorBidi" w:cstheme="majorBidi"/>
          <w:sz w:val="24"/>
          <w:szCs w:val="24"/>
        </w:rPr>
        <w:t>…………………………30</w:t>
      </w:r>
    </w:p>
    <w:p w14:paraId="63554654" w14:textId="429B77FD" w:rsidR="00C722A8" w:rsidRPr="006A2596" w:rsidRDefault="00C722A8" w:rsidP="006A2596">
      <w:pPr>
        <w:spacing w:after="0" w:line="240" w:lineRule="auto"/>
        <w:rPr>
          <w:rFonts w:asciiTheme="majorBidi" w:hAnsiTheme="majorBidi" w:cstheme="majorBidi"/>
          <w:sz w:val="24"/>
          <w:szCs w:val="24"/>
        </w:rPr>
      </w:pPr>
      <w:r w:rsidRPr="006A2596">
        <w:rPr>
          <w:rFonts w:asciiTheme="majorBidi" w:hAnsiTheme="majorBidi" w:cstheme="majorBidi"/>
          <w:sz w:val="24"/>
          <w:szCs w:val="24"/>
        </w:rPr>
        <w:t>Table 8: Roadmap</w:t>
      </w:r>
      <w:r w:rsidRPr="006A2596">
        <w:rPr>
          <w:rFonts w:asciiTheme="majorBidi" w:hAnsiTheme="majorBidi" w:cstheme="majorBidi"/>
          <w:sz w:val="24"/>
          <w:szCs w:val="24"/>
        </w:rPr>
        <w:t>…………………………………………</w:t>
      </w:r>
      <w:r w:rsidR="006A2596">
        <w:rPr>
          <w:rFonts w:asciiTheme="majorBidi" w:hAnsiTheme="majorBidi" w:cstheme="majorBidi"/>
          <w:sz w:val="24"/>
          <w:szCs w:val="24"/>
        </w:rPr>
        <w:t>…</w:t>
      </w:r>
      <w:r w:rsidRPr="006A2596">
        <w:rPr>
          <w:rFonts w:asciiTheme="majorBidi" w:hAnsiTheme="majorBidi" w:cstheme="majorBidi"/>
          <w:sz w:val="24"/>
          <w:szCs w:val="24"/>
        </w:rPr>
        <w:t>……………………………….31</w:t>
      </w:r>
    </w:p>
    <w:p w14:paraId="599C7C31" w14:textId="77777777" w:rsidR="00C722A8" w:rsidRDefault="00C722A8" w:rsidP="00FD3F37">
      <w:pPr>
        <w:spacing w:afterLines="160" w:after="384" w:line="360" w:lineRule="auto"/>
        <w:rPr>
          <w:rFonts w:asciiTheme="majorBidi" w:hAnsiTheme="majorBidi" w:cstheme="majorBidi"/>
          <w:sz w:val="16"/>
          <w:szCs w:val="16"/>
        </w:rPr>
      </w:pPr>
    </w:p>
    <w:p w14:paraId="5576427D" w14:textId="77777777" w:rsidR="00FD3F37" w:rsidRPr="00FD3F37" w:rsidRDefault="00FD3F37" w:rsidP="00FD3F37">
      <w:pPr>
        <w:spacing w:afterLines="160" w:after="384" w:line="360" w:lineRule="auto"/>
        <w:rPr>
          <w:rFonts w:asciiTheme="majorBidi" w:hAnsiTheme="majorBidi" w:cstheme="majorBidi"/>
          <w:sz w:val="16"/>
          <w:szCs w:val="16"/>
        </w:rPr>
      </w:pPr>
    </w:p>
    <w:p w14:paraId="4D44A356" w14:textId="77777777" w:rsidR="00FD3F37" w:rsidRPr="00FF2699" w:rsidRDefault="00FD3F37" w:rsidP="00FD3F37">
      <w:pPr>
        <w:spacing w:after="160" w:line="360" w:lineRule="auto"/>
        <w:rPr>
          <w:rFonts w:asciiTheme="majorBidi" w:hAnsiTheme="majorBidi" w:cstheme="majorBidi"/>
          <w:sz w:val="16"/>
          <w:szCs w:val="16"/>
        </w:rPr>
      </w:pPr>
    </w:p>
    <w:p w14:paraId="06F7C131" w14:textId="77777777" w:rsidR="00FD3F37" w:rsidRPr="00FD3F37" w:rsidRDefault="00FD3F37" w:rsidP="00FD3F37">
      <w:pPr>
        <w:spacing w:after="160" w:line="360" w:lineRule="auto"/>
        <w:rPr>
          <w:rFonts w:asciiTheme="majorBidi" w:hAnsiTheme="majorBidi" w:cstheme="majorBidi"/>
          <w:sz w:val="16"/>
          <w:szCs w:val="16"/>
        </w:rPr>
      </w:pPr>
    </w:p>
    <w:p w14:paraId="74510750" w14:textId="77777777" w:rsidR="00FD3F37" w:rsidRDefault="00FD3F37" w:rsidP="00FD3F37">
      <w:pPr>
        <w:rPr>
          <w:rFonts w:asciiTheme="majorBidi" w:hAnsiTheme="majorBidi" w:cstheme="majorBidi"/>
          <w:sz w:val="16"/>
          <w:szCs w:val="16"/>
        </w:rPr>
      </w:pPr>
    </w:p>
    <w:p w14:paraId="19BDFA14" w14:textId="77777777" w:rsidR="00FD3F37" w:rsidRPr="00FD3F37" w:rsidRDefault="00FD3F37" w:rsidP="00FD3F37">
      <w:pPr>
        <w:rPr>
          <w:rFonts w:asciiTheme="majorBidi" w:hAnsiTheme="majorBidi" w:cstheme="majorBidi"/>
          <w:sz w:val="16"/>
          <w:szCs w:val="16"/>
        </w:rPr>
      </w:pPr>
    </w:p>
    <w:p w14:paraId="69DF41C2" w14:textId="77777777" w:rsidR="00FD3F37" w:rsidRDefault="00FD3F37" w:rsidP="00F21D07">
      <w:pPr>
        <w:rPr>
          <w:rFonts w:asciiTheme="majorBidi" w:eastAsiaTheme="minorEastAsia" w:hAnsiTheme="majorBidi" w:cstheme="majorBidi"/>
          <w:bCs/>
          <w:sz w:val="16"/>
          <w:szCs w:val="16"/>
          <w:lang w:val="en-US"/>
        </w:rPr>
      </w:pPr>
    </w:p>
    <w:p w14:paraId="42F8F7E7" w14:textId="77777777" w:rsidR="00F21D07" w:rsidRPr="00F21D07" w:rsidRDefault="00F21D07" w:rsidP="00F21D07">
      <w:pPr>
        <w:rPr>
          <w:rFonts w:asciiTheme="majorBidi" w:eastAsiaTheme="minorEastAsia" w:hAnsiTheme="majorBidi" w:cstheme="majorBidi"/>
          <w:bCs/>
          <w:sz w:val="16"/>
          <w:szCs w:val="16"/>
          <w:lang w:val="en-US"/>
        </w:rPr>
      </w:pPr>
    </w:p>
    <w:p w14:paraId="4EB525F5" w14:textId="77777777" w:rsidR="00F21D07" w:rsidRDefault="00F21D07" w:rsidP="00F21D07">
      <w:pPr>
        <w:rPr>
          <w:rFonts w:asciiTheme="majorBidi" w:eastAsiaTheme="minorEastAsia" w:hAnsiTheme="majorBidi" w:cstheme="majorBidi"/>
          <w:bCs/>
          <w:sz w:val="16"/>
          <w:szCs w:val="16"/>
          <w:lang w:val="en-US"/>
        </w:rPr>
      </w:pPr>
    </w:p>
    <w:p w14:paraId="23090F74" w14:textId="650B35B4" w:rsidR="00F21D07" w:rsidRPr="00F21D07" w:rsidRDefault="00F21D07" w:rsidP="00F21D07">
      <w:pPr>
        <w:rPr>
          <w:rFonts w:asciiTheme="majorBidi" w:eastAsiaTheme="minorEastAsia" w:hAnsiTheme="majorBidi" w:cstheme="majorBidi"/>
          <w:bCs/>
          <w:sz w:val="16"/>
          <w:szCs w:val="16"/>
          <w:lang w:val="en-US"/>
        </w:rPr>
      </w:pPr>
      <w:r w:rsidRPr="00F21D07">
        <w:rPr>
          <w:rFonts w:asciiTheme="majorBidi" w:eastAsiaTheme="minorEastAsia" w:hAnsiTheme="majorBidi" w:cstheme="majorBidi"/>
          <w:bCs/>
          <w:sz w:val="16"/>
          <w:szCs w:val="16"/>
          <w:lang w:val="en-US"/>
        </w:rPr>
        <w:t xml:space="preserve"> </w:t>
      </w:r>
    </w:p>
    <w:p w14:paraId="4C2A7250" w14:textId="77777777" w:rsidR="00F21D07" w:rsidRPr="00F15AC1" w:rsidRDefault="00F21D07" w:rsidP="00CD7780">
      <w:pPr>
        <w:rPr>
          <w:rFonts w:asciiTheme="majorBidi" w:hAnsiTheme="majorBidi" w:cstheme="majorBidi"/>
          <w:b/>
          <w:sz w:val="40"/>
          <w:szCs w:val="40"/>
        </w:rPr>
      </w:pPr>
    </w:p>
    <w:p w14:paraId="0AB851F6" w14:textId="2AD20C15" w:rsidR="00CD7780" w:rsidRDefault="00CD7780">
      <w:pPr>
        <w:spacing w:after="160" w:line="259" w:lineRule="auto"/>
      </w:pPr>
    </w:p>
    <w:p w14:paraId="4D4ACC25" w14:textId="57264DFB" w:rsidR="00F21D07" w:rsidRDefault="00F21D07">
      <w:pPr>
        <w:spacing w:after="160" w:line="259" w:lineRule="auto"/>
        <w:rPr>
          <w:rtl/>
        </w:rPr>
      </w:pPr>
      <w:r>
        <w:rPr>
          <w:rtl/>
        </w:rPr>
        <w:br w:type="page"/>
      </w:r>
    </w:p>
    <w:p w14:paraId="738A738B" w14:textId="77777777" w:rsidR="00CD7780" w:rsidRDefault="00CD7780" w:rsidP="00F21D07">
      <w:pPr>
        <w:bidi/>
        <w:spacing w:after="160" w:line="259" w:lineRule="auto"/>
      </w:pPr>
    </w:p>
    <w:p w14:paraId="1E7E292A" w14:textId="35E674C8" w:rsidR="00D44D33" w:rsidRDefault="00305E9A" w:rsidP="00FA2274">
      <w:pPr>
        <w:pStyle w:val="Heading1"/>
        <w:numPr>
          <w:ilvl w:val="0"/>
          <w:numId w:val="12"/>
        </w:numPr>
        <w:rPr>
          <w:rFonts w:asciiTheme="majorBidi" w:hAnsiTheme="majorBidi"/>
        </w:rPr>
      </w:pPr>
      <w:bookmarkStart w:id="1" w:name="_Toc215590800"/>
      <w:r w:rsidRPr="00901907">
        <w:rPr>
          <w:rFonts w:asciiTheme="majorBidi" w:hAnsiTheme="majorBidi"/>
        </w:rPr>
        <w:t>Chapter 1: Introduction and Strategic Context</w:t>
      </w:r>
      <w:bookmarkEnd w:id="1"/>
    </w:p>
    <w:p w14:paraId="7453D280" w14:textId="77777777" w:rsidR="00901907" w:rsidRPr="00901907" w:rsidRDefault="00901907" w:rsidP="00901907"/>
    <w:p w14:paraId="1E746E7A" w14:textId="44FCCAD2" w:rsidR="00305E9A" w:rsidRPr="00901907" w:rsidRDefault="005C71B4" w:rsidP="005C71B4">
      <w:pPr>
        <w:pStyle w:val="Heading1"/>
        <w:ind w:firstLine="360"/>
      </w:pPr>
      <w:bookmarkStart w:id="2" w:name="_Toc215590801"/>
      <w:r>
        <w:t>1.1</w:t>
      </w:r>
      <w:r>
        <w:tab/>
      </w:r>
      <w:r w:rsidR="00305E9A" w:rsidRPr="00901907">
        <w:t>Introduction</w:t>
      </w:r>
      <w:bookmarkEnd w:id="2"/>
    </w:p>
    <w:p w14:paraId="7A32F5C3" w14:textId="77777777" w:rsidR="00901907" w:rsidRDefault="00901907" w:rsidP="00901907">
      <w:pPr>
        <w:pStyle w:val="ListParagraph"/>
        <w:rPr>
          <w:rFonts w:asciiTheme="majorBidi" w:eastAsiaTheme="minorEastAsia" w:hAnsiTheme="majorBidi" w:cstheme="majorBidi"/>
          <w:bCs/>
          <w:sz w:val="24"/>
          <w:szCs w:val="24"/>
          <w:lang w:val="en-US"/>
        </w:rPr>
      </w:pPr>
    </w:p>
    <w:p w14:paraId="60C23686" w14:textId="77777777" w:rsidR="00D814AE" w:rsidRPr="00D814AE" w:rsidRDefault="00D814AE" w:rsidP="000957FB">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The railway industry today is caught in a perfect storm of expectations. Governments and shippers demand ever-higher punctuality and capacity. Passengers expect seamless, app-like experiences. Investors want double-digit returns on century-old infrastructure. And every stakeholder — from the European Green Deal to Saudi Vision 2030 — insists the whole system must become dramatically greener, and fast.</w:t>
      </w:r>
    </w:p>
    <w:p w14:paraId="15B292D1" w14:textId="77777777" w:rsidR="00D814AE" w:rsidRPr="00D814AE" w:rsidRDefault="00D814AE" w:rsidP="000957FB">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Railways are uniquely positioned to meet those demands. A single freight train removes hundreds of trucks from the road; an electric high-speed train carries a thousand passengers on a fraction of the energy an aircraft </w:t>
      </w:r>
      <w:proofErr w:type="gramStart"/>
      <w:r w:rsidRPr="00D814AE">
        <w:rPr>
          <w:rFonts w:asciiTheme="majorBidi" w:eastAsiaTheme="minorEastAsia" w:hAnsiTheme="majorBidi" w:cstheme="majorBidi"/>
          <w:bCs/>
          <w:sz w:val="24"/>
          <w:szCs w:val="24"/>
          <w:lang w:val="en-US"/>
        </w:rPr>
        <w:t>needs</w:t>
      </w:r>
      <w:proofErr w:type="gramEnd"/>
      <w:r w:rsidRPr="00D814AE">
        <w:rPr>
          <w:rFonts w:asciiTheme="majorBidi" w:eastAsiaTheme="minorEastAsia" w:hAnsiTheme="majorBidi" w:cstheme="majorBidi"/>
          <w:bCs/>
          <w:sz w:val="24"/>
          <w:szCs w:val="24"/>
          <w:lang w:val="en-US"/>
        </w:rPr>
        <w:t>. Yet the industry’s Achilles heel remains the same as it was thirty years ago: the way it maintains its rolling stock.</w:t>
      </w:r>
    </w:p>
    <w:p w14:paraId="7EB7111F" w14:textId="77777777" w:rsidR="00D814AE" w:rsidRPr="00D814AE" w:rsidRDefault="00D814AE" w:rsidP="000957FB">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Modern trains are no longer mechanical systems with a few electronics bolted on. They are distributed cyber-physical systems running millions of lines of software, 10,000+ sensors per vehicle, and real-time diagnostics that generate terabytes of data per year (Shift2Rail JU, 2024). Paradoxically, most operators still plan overhauls by the calendar or by </w:t>
      </w:r>
      <w:proofErr w:type="spellStart"/>
      <w:r w:rsidRPr="00D814AE">
        <w:rPr>
          <w:rFonts w:asciiTheme="majorBidi" w:eastAsiaTheme="minorEastAsia" w:hAnsiTheme="majorBidi" w:cstheme="majorBidi"/>
          <w:bCs/>
          <w:sz w:val="24"/>
          <w:szCs w:val="24"/>
          <w:lang w:val="en-US"/>
        </w:rPr>
        <w:t>kilometres</w:t>
      </w:r>
      <w:proofErr w:type="spellEnd"/>
      <w:r w:rsidRPr="00D814AE">
        <w:rPr>
          <w:rFonts w:asciiTheme="majorBidi" w:eastAsiaTheme="minorEastAsia" w:hAnsiTheme="majorBidi" w:cstheme="majorBidi"/>
          <w:bCs/>
          <w:sz w:val="24"/>
          <w:szCs w:val="24"/>
          <w:lang w:val="en-US"/>
        </w:rPr>
        <w:t xml:space="preserve"> travelled — strategies that were already considered conservative in the 1990s (Kumar et al., 2023).</w:t>
      </w:r>
    </w:p>
    <w:p w14:paraId="5018D11D" w14:textId="77777777" w:rsidR="00D814AE" w:rsidRPr="00D814AE" w:rsidRDefault="00D814AE" w:rsidP="000957FB">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The cost of this misalignment is staggering. McKinsey (2024) estimates that unplanned downtime and over-maintenance together waste 25–35 % of global railway maintenance budgets — equivalent to €30–50 billion annually across Europe and the Middle East alone. In the Gulf region, where new fleets are being delivered at record pace (Riyadh Metro, </w:t>
      </w:r>
      <w:proofErr w:type="spellStart"/>
      <w:r w:rsidRPr="00D814AE">
        <w:rPr>
          <w:rFonts w:asciiTheme="majorBidi" w:eastAsiaTheme="minorEastAsia" w:hAnsiTheme="majorBidi" w:cstheme="majorBidi"/>
          <w:bCs/>
          <w:sz w:val="24"/>
          <w:szCs w:val="24"/>
          <w:lang w:val="en-US"/>
        </w:rPr>
        <w:t>Haramain</w:t>
      </w:r>
      <w:proofErr w:type="spellEnd"/>
      <w:r w:rsidRPr="00D814AE">
        <w:rPr>
          <w:rFonts w:asciiTheme="majorBidi" w:eastAsiaTheme="minorEastAsia" w:hAnsiTheme="majorBidi" w:cstheme="majorBidi"/>
          <w:bCs/>
          <w:sz w:val="24"/>
          <w:szCs w:val="24"/>
          <w:lang w:val="en-US"/>
        </w:rPr>
        <w:t xml:space="preserve"> HSR, Etihad Rail, SAR expansion), the penalty is even more visible: every cancelled train during Hajj or a blocked freight corridor costs millions in reputational damage and contractual penalties.</w:t>
      </w:r>
    </w:p>
    <w:p w14:paraId="4E26239C" w14:textId="7EFFDFD5" w:rsidR="002212B9" w:rsidRPr="000957FB" w:rsidRDefault="00D814AE" w:rsidP="000957FB">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This thesis argues that railway maintenance is no longer a back-office cost cent</w:t>
      </w:r>
      <w:r w:rsidR="000957FB">
        <w:rPr>
          <w:rFonts w:asciiTheme="majorBidi" w:eastAsiaTheme="minorEastAsia" w:hAnsiTheme="majorBidi" w:cstheme="majorBidi"/>
          <w:bCs/>
          <w:sz w:val="24"/>
          <w:szCs w:val="24"/>
          <w:lang w:val="en-US"/>
        </w:rPr>
        <w:t>er</w:t>
      </w:r>
      <w:r w:rsidRPr="00D814AE">
        <w:rPr>
          <w:rFonts w:asciiTheme="majorBidi" w:eastAsiaTheme="minorEastAsia" w:hAnsiTheme="majorBidi" w:cstheme="majorBidi"/>
          <w:bCs/>
          <w:sz w:val="24"/>
          <w:szCs w:val="24"/>
          <w:lang w:val="en-US"/>
        </w:rPr>
        <w:t xml:space="preserve">; it is one of the last untapped strategic levers for competitive differentiation and sustainability. The endgame is clear: a cognitive, prescriptive maintenance regime capable of driving toward zero unplanned downtime. The journey, however, is anything but straightforward. </w:t>
      </w:r>
      <w:r w:rsidRPr="00D814AE">
        <w:rPr>
          <w:rFonts w:asciiTheme="majorBidi" w:eastAsiaTheme="minorEastAsia" w:hAnsiTheme="majorBidi" w:cstheme="majorBidi"/>
          <w:bCs/>
          <w:sz w:val="24"/>
          <w:szCs w:val="24"/>
          <w:lang w:val="en-US"/>
        </w:rPr>
        <w:lastRenderedPageBreak/>
        <w:t xml:space="preserve">It requires simultaneous advances in technology, </w:t>
      </w:r>
      <w:r w:rsidR="000957FB" w:rsidRPr="00D814AE">
        <w:rPr>
          <w:rFonts w:asciiTheme="majorBidi" w:eastAsiaTheme="minorEastAsia" w:hAnsiTheme="majorBidi" w:cstheme="majorBidi"/>
          <w:bCs/>
          <w:sz w:val="24"/>
          <w:szCs w:val="24"/>
          <w:lang w:val="en-US"/>
        </w:rPr>
        <w:t>organizational</w:t>
      </w:r>
      <w:r w:rsidRPr="00D814AE">
        <w:rPr>
          <w:rFonts w:asciiTheme="majorBidi" w:eastAsiaTheme="minorEastAsia" w:hAnsiTheme="majorBidi" w:cstheme="majorBidi"/>
          <w:bCs/>
          <w:sz w:val="24"/>
          <w:szCs w:val="24"/>
          <w:lang w:val="en-US"/>
        </w:rPr>
        <w:t xml:space="preserve"> culture, financial justification, and regulatory alignment — none of which can be treated in isolation</w:t>
      </w:r>
    </w:p>
    <w:p w14:paraId="0A405B9D" w14:textId="77777777" w:rsidR="00901907" w:rsidRDefault="00901907" w:rsidP="00901907">
      <w:pPr>
        <w:pStyle w:val="ListParagraph"/>
      </w:pPr>
    </w:p>
    <w:p w14:paraId="7E5B9151" w14:textId="1095206C" w:rsidR="00901907" w:rsidRDefault="005C71B4" w:rsidP="005C71B4">
      <w:pPr>
        <w:pStyle w:val="Heading1"/>
      </w:pPr>
      <w:bookmarkStart w:id="3" w:name="_Toc215590802"/>
      <w:r>
        <w:t>1.2</w:t>
      </w:r>
      <w:r>
        <w:tab/>
      </w:r>
      <w:r w:rsidR="00305E9A" w:rsidRPr="002212B9">
        <w:t>Problem statement</w:t>
      </w:r>
      <w:bookmarkEnd w:id="3"/>
    </w:p>
    <w:p w14:paraId="73A076E3" w14:textId="77777777" w:rsidR="002212B9" w:rsidRPr="002212B9" w:rsidRDefault="002212B9" w:rsidP="002212B9">
      <w:pPr>
        <w:pStyle w:val="ListParagraph"/>
        <w:rPr>
          <w:rFonts w:asciiTheme="majorBidi" w:eastAsiaTheme="majorEastAsia" w:hAnsiTheme="majorBidi" w:cstheme="majorBidi"/>
          <w:color w:val="2F5496" w:themeColor="accent1" w:themeShade="BF"/>
          <w:sz w:val="32"/>
          <w:szCs w:val="32"/>
        </w:rPr>
      </w:pPr>
    </w:p>
    <w:p w14:paraId="53A83F10" w14:textId="77777777" w:rsidR="00D814AE" w:rsidRPr="00D814AE" w:rsidRDefault="00D814AE" w:rsidP="00FB090C">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When railway executives are shown a glossy predictive-maintenance demo, the reaction is almost always the same: “Beautiful — now show me how we get there without derailing the operation or the budget.” Most attempts never move beyond the demo stage.</w:t>
      </w:r>
    </w:p>
    <w:p w14:paraId="7888207A" w14:textId="078DF9C0" w:rsidR="00D814AE" w:rsidRPr="00D814AE" w:rsidRDefault="00D814AE" w:rsidP="00FB090C">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The technology itself is rarely the bottleneck. Vibration sensors, wayside detectors, and machine-learning models have matured dramatically (Yan et al., 2024; </w:t>
      </w:r>
      <w:proofErr w:type="spellStart"/>
      <w:r w:rsidRPr="00D814AE">
        <w:rPr>
          <w:rFonts w:asciiTheme="majorBidi" w:eastAsiaTheme="minorEastAsia" w:hAnsiTheme="majorBidi" w:cstheme="majorBidi"/>
          <w:bCs/>
          <w:sz w:val="24"/>
          <w:szCs w:val="24"/>
          <w:lang w:val="en-US"/>
        </w:rPr>
        <w:t>Consilvio</w:t>
      </w:r>
      <w:proofErr w:type="spellEnd"/>
      <w:r w:rsidRPr="00D814AE">
        <w:rPr>
          <w:rFonts w:asciiTheme="majorBidi" w:eastAsiaTheme="minorEastAsia" w:hAnsiTheme="majorBidi" w:cstheme="majorBidi"/>
          <w:bCs/>
          <w:sz w:val="24"/>
          <w:szCs w:val="24"/>
          <w:lang w:val="en-US"/>
        </w:rPr>
        <w:t xml:space="preserve"> et al., 2025). The real blockers are </w:t>
      </w:r>
      <w:r w:rsidR="000957FB" w:rsidRPr="00D814AE">
        <w:rPr>
          <w:rFonts w:asciiTheme="majorBidi" w:eastAsiaTheme="minorEastAsia" w:hAnsiTheme="majorBidi" w:cstheme="majorBidi"/>
          <w:bCs/>
          <w:sz w:val="24"/>
          <w:szCs w:val="24"/>
          <w:lang w:val="en-US"/>
        </w:rPr>
        <w:t>organizational</w:t>
      </w:r>
      <w:r w:rsidRPr="00D814AE">
        <w:rPr>
          <w:rFonts w:asciiTheme="majorBidi" w:eastAsiaTheme="minorEastAsia" w:hAnsiTheme="majorBidi" w:cstheme="majorBidi"/>
          <w:bCs/>
          <w:sz w:val="24"/>
          <w:szCs w:val="24"/>
          <w:lang w:val="en-US"/>
        </w:rPr>
        <w:t>, financial, and institutional:</w:t>
      </w:r>
    </w:p>
    <w:p w14:paraId="1952D618" w14:textId="77777777" w:rsidR="00D814AE" w:rsidRPr="00D814AE" w:rsidRDefault="00D814AE" w:rsidP="00FB090C">
      <w:pPr>
        <w:pStyle w:val="ListParagraph"/>
        <w:numPr>
          <w:ilvl w:val="0"/>
          <w:numId w:val="27"/>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sz w:val="24"/>
          <w:szCs w:val="24"/>
          <w:lang w:val="en-US"/>
        </w:rPr>
        <w:t>Data remains imprisoned in silos</w:t>
      </w:r>
      <w:r w:rsidRPr="00D814AE">
        <w:rPr>
          <w:rFonts w:asciiTheme="majorBidi" w:eastAsiaTheme="minorEastAsia" w:hAnsiTheme="majorBidi" w:cstheme="majorBidi"/>
          <w:bCs/>
          <w:sz w:val="24"/>
          <w:szCs w:val="24"/>
          <w:lang w:val="en-US"/>
        </w:rPr>
        <w:t xml:space="preserve"> Legacy CMMS, ERP, warranty, and operations systems rarely speak the same language. As one European maintenance director recently admitted:</w:t>
      </w:r>
    </w:p>
    <w:p w14:paraId="41D85EDD" w14:textId="4C6B0EA4" w:rsidR="00D814AE" w:rsidRDefault="00D814AE" w:rsidP="00D814AE">
      <w:pPr>
        <w:pStyle w:val="NormalWeb"/>
        <w:ind w:left="720"/>
      </w:pPr>
      <w:r>
        <w:t>“</w:t>
      </w:r>
      <w:r w:rsidRPr="000957FB">
        <w:rPr>
          <w:i/>
          <w:iCs/>
        </w:rPr>
        <w:t>We have terabytes of data sitting in proprietary CMMS systems, but the moment you ask the financial team to validate the cost savings against that data, the connection breaks. There is no single source of truth for asset health that satisfies both the engineer and the CFO</w:t>
      </w:r>
      <w:r>
        <w:t>.” (Technical SME, personal communication, 2025).</w:t>
      </w:r>
    </w:p>
    <w:p w14:paraId="238FD798" w14:textId="77777777" w:rsidR="00D814AE" w:rsidRPr="00D814AE" w:rsidRDefault="00D814AE" w:rsidP="00FB090C">
      <w:pPr>
        <w:numPr>
          <w:ilvl w:val="0"/>
          <w:numId w:val="27"/>
        </w:numPr>
        <w:spacing w:before="100" w:beforeAutospacing="1" w:after="160" w:line="360" w:lineRule="auto"/>
        <w:rPr>
          <w:rFonts w:ascii="Times New Roman" w:eastAsia="Times New Roman" w:hAnsi="Times New Roman"/>
          <w:sz w:val="24"/>
          <w:szCs w:val="24"/>
          <w:lang w:val="en-US"/>
        </w:rPr>
      </w:pPr>
      <w:r w:rsidRPr="00D814AE">
        <w:rPr>
          <w:rFonts w:ascii="Times New Roman" w:eastAsia="Times New Roman" w:hAnsi="Times New Roman"/>
          <w:sz w:val="24"/>
          <w:szCs w:val="24"/>
          <w:lang w:val="en-US"/>
        </w:rPr>
        <w:t>A generational knowledge cliff is approaching Across Europe and the Middle East, 40–60 % of senior maintainers will retire in the next decade (UIC, 2024). The tacit knowledge that currently keeps trains running when procedures fail is walking out the door, while new hires have grown up trusting algorithms more than gut feeling — creating a dangerous trust vacuum.</w:t>
      </w:r>
    </w:p>
    <w:p w14:paraId="604EBAB5" w14:textId="3CD6D32F" w:rsidR="00D814AE" w:rsidRPr="00D814AE" w:rsidRDefault="00D814AE" w:rsidP="00FB090C">
      <w:pPr>
        <w:numPr>
          <w:ilvl w:val="0"/>
          <w:numId w:val="27"/>
        </w:numPr>
        <w:spacing w:before="100" w:beforeAutospacing="1" w:after="160" w:line="360" w:lineRule="auto"/>
        <w:rPr>
          <w:rFonts w:ascii="Times New Roman" w:eastAsia="Times New Roman" w:hAnsi="Times New Roman"/>
          <w:sz w:val="24"/>
          <w:szCs w:val="24"/>
          <w:lang w:val="en-US"/>
        </w:rPr>
      </w:pPr>
      <w:r w:rsidRPr="00D814AE">
        <w:rPr>
          <w:rFonts w:ascii="Times New Roman" w:eastAsia="Times New Roman" w:hAnsi="Times New Roman"/>
          <w:sz w:val="24"/>
          <w:szCs w:val="24"/>
          <w:lang w:val="en-US"/>
        </w:rPr>
        <w:t xml:space="preserve">Financial justification remains elusive CFOs in capital-intensive industries demand payback periods of 3–5 years and iron-clad proof of value protection. Yet most digital pilots are evaluated only on direct </w:t>
      </w:r>
      <w:r w:rsidR="00FB090C" w:rsidRPr="00D814AE">
        <w:rPr>
          <w:rFonts w:ascii="Times New Roman" w:eastAsia="Times New Roman" w:hAnsi="Times New Roman"/>
          <w:sz w:val="24"/>
          <w:szCs w:val="24"/>
          <w:lang w:val="en-US"/>
        </w:rPr>
        <w:t>labor</w:t>
      </w:r>
      <w:r w:rsidRPr="00D814AE">
        <w:rPr>
          <w:rFonts w:ascii="Times New Roman" w:eastAsia="Times New Roman" w:hAnsi="Times New Roman"/>
          <w:sz w:val="24"/>
          <w:szCs w:val="24"/>
          <w:lang w:val="en-US"/>
        </w:rPr>
        <w:t xml:space="preserve"> savings — the smallest and most politically sensitive lever — instead of on revenue protection and inventory </w:t>
      </w:r>
      <w:r w:rsidR="00FB090C">
        <w:rPr>
          <w:rFonts w:ascii="Times New Roman" w:eastAsia="Times New Roman" w:hAnsi="Times New Roman"/>
          <w:sz w:val="24"/>
          <w:szCs w:val="24"/>
          <w:lang w:val="en-US"/>
        </w:rPr>
        <w:t>optimization</w:t>
      </w:r>
      <w:r w:rsidRPr="00D814AE">
        <w:rPr>
          <w:rFonts w:ascii="Times New Roman" w:eastAsia="Times New Roman" w:hAnsi="Times New Roman"/>
          <w:sz w:val="24"/>
          <w:szCs w:val="24"/>
          <w:lang w:val="en-US"/>
        </w:rPr>
        <w:t>, which are an order of magnitude larger (Deloitte Rail Insights, 2025).</w:t>
      </w:r>
    </w:p>
    <w:p w14:paraId="475D9F73" w14:textId="77777777" w:rsidR="00D814AE" w:rsidRPr="00D814AE" w:rsidRDefault="00D814AE" w:rsidP="00FB090C">
      <w:pPr>
        <w:spacing w:before="100" w:beforeAutospacing="1" w:after="160" w:line="360" w:lineRule="auto"/>
        <w:rPr>
          <w:rFonts w:ascii="Times New Roman" w:eastAsia="Times New Roman" w:hAnsi="Times New Roman"/>
          <w:sz w:val="24"/>
          <w:szCs w:val="24"/>
          <w:lang w:val="en-US"/>
        </w:rPr>
      </w:pPr>
      <w:r w:rsidRPr="00D814AE">
        <w:rPr>
          <w:rFonts w:ascii="Times New Roman" w:eastAsia="Times New Roman" w:hAnsi="Times New Roman"/>
          <w:sz w:val="24"/>
          <w:szCs w:val="24"/>
          <w:lang w:val="en-US"/>
        </w:rPr>
        <w:lastRenderedPageBreak/>
        <w:t>Until these three systemic issues are solved in concert, railway operators will continue to run expensive, isolated predictive-maintenance “lighthouses” while the rest of the fleet remains governed by the calendar.</w:t>
      </w:r>
    </w:p>
    <w:p w14:paraId="6B9240B8" w14:textId="77777777" w:rsidR="00D814AE" w:rsidRPr="002212B9" w:rsidRDefault="00D814AE" w:rsidP="002212B9">
      <w:pPr>
        <w:pStyle w:val="ListParagraph"/>
        <w:rPr>
          <w:rFonts w:asciiTheme="majorBidi" w:eastAsiaTheme="minorEastAsia" w:hAnsiTheme="majorBidi" w:cstheme="majorBidi"/>
          <w:bCs/>
          <w:sz w:val="24"/>
          <w:szCs w:val="24"/>
          <w:lang w:val="en-US"/>
        </w:rPr>
      </w:pPr>
    </w:p>
    <w:p w14:paraId="4477632E" w14:textId="6DCAA698" w:rsidR="002212B9" w:rsidRDefault="005C71B4" w:rsidP="005C71B4">
      <w:pPr>
        <w:pStyle w:val="Heading1"/>
      </w:pPr>
      <w:bookmarkStart w:id="4" w:name="_Toc215590803"/>
      <w:r>
        <w:t>1.3</w:t>
      </w:r>
      <w:r>
        <w:tab/>
      </w:r>
      <w:r w:rsidR="002212B9" w:rsidRPr="002212B9">
        <w:t>Study Objective</w:t>
      </w:r>
      <w:bookmarkEnd w:id="4"/>
      <w:r w:rsidR="002212B9" w:rsidRPr="002212B9">
        <w:t xml:space="preserve"> </w:t>
      </w:r>
    </w:p>
    <w:p w14:paraId="7202E8AD" w14:textId="77777777" w:rsidR="002212B9" w:rsidRDefault="002212B9" w:rsidP="002212B9">
      <w:pPr>
        <w:pStyle w:val="ListParagraph"/>
        <w:rPr>
          <w:rFonts w:asciiTheme="majorBidi" w:eastAsiaTheme="majorEastAsia" w:hAnsiTheme="majorBidi" w:cstheme="majorBidi"/>
          <w:color w:val="2F5496" w:themeColor="accent1" w:themeShade="BF"/>
          <w:sz w:val="32"/>
          <w:szCs w:val="32"/>
        </w:rPr>
      </w:pPr>
    </w:p>
    <w:p w14:paraId="65EC5865" w14:textId="77777777" w:rsidR="00D814AE" w:rsidRPr="00D814AE" w:rsidRDefault="00D814AE" w:rsidP="00D814AE">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This research therefore pursues five tightly integrated objectives that together deliver an executable playbook:</w:t>
      </w:r>
    </w:p>
    <w:p w14:paraId="3708011F" w14:textId="77777777" w:rsidR="00D814AE" w:rsidRPr="00D814AE" w:rsidRDefault="00D814AE" w:rsidP="00D814AE">
      <w:pPr>
        <w:pStyle w:val="ListParagraph"/>
        <w:numPr>
          <w:ilvl w:val="0"/>
          <w:numId w:val="29"/>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Diagnose the true digital maturity of rolling-stock maintenance today, using the CAF–Saudi Railway (SAR) fleet as a living laboratory and benchmark.</w:t>
      </w:r>
    </w:p>
    <w:p w14:paraId="491FC15A" w14:textId="77777777" w:rsidR="00D814AE" w:rsidRPr="00D814AE" w:rsidRDefault="00D814AE" w:rsidP="00D814AE">
      <w:pPr>
        <w:pStyle w:val="ListParagraph"/>
        <w:numPr>
          <w:ilvl w:val="0"/>
          <w:numId w:val="29"/>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Articulate, in operational detail, what a genuine cognitive/prescriptive maintenance regime looks like on a working railway — how decisions are made, who makes them, and what the control room of 2030 actually feels like.</w:t>
      </w:r>
    </w:p>
    <w:p w14:paraId="62497149" w14:textId="77777777" w:rsidR="00D814AE" w:rsidRPr="00D814AE" w:rsidRDefault="00D814AE" w:rsidP="00D814AE">
      <w:pPr>
        <w:pStyle w:val="ListParagraph"/>
        <w:numPr>
          <w:ilvl w:val="0"/>
          <w:numId w:val="29"/>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Construct a phased, rail-specific transformation roadmap that sequences technology deployment, data governance, and </w:t>
      </w:r>
      <w:proofErr w:type="spellStart"/>
      <w:r w:rsidRPr="00D814AE">
        <w:rPr>
          <w:rFonts w:asciiTheme="majorBidi" w:eastAsiaTheme="minorEastAsia" w:hAnsiTheme="majorBidi" w:cstheme="majorBidi"/>
          <w:bCs/>
          <w:sz w:val="24"/>
          <w:szCs w:val="24"/>
          <w:lang w:val="en-US"/>
        </w:rPr>
        <w:t>organisational</w:t>
      </w:r>
      <w:proofErr w:type="spellEnd"/>
      <w:r w:rsidRPr="00D814AE">
        <w:rPr>
          <w:rFonts w:asciiTheme="majorBidi" w:eastAsiaTheme="minorEastAsia" w:hAnsiTheme="majorBidi" w:cstheme="majorBidi"/>
          <w:bCs/>
          <w:sz w:val="24"/>
          <w:szCs w:val="24"/>
          <w:lang w:val="en-US"/>
        </w:rPr>
        <w:t xml:space="preserve"> change in the only order that has ever worked in safety-critical environments.</w:t>
      </w:r>
    </w:p>
    <w:p w14:paraId="368BE452" w14:textId="77777777" w:rsidR="00D814AE" w:rsidRPr="00D814AE" w:rsidRDefault="00D814AE" w:rsidP="00D814AE">
      <w:pPr>
        <w:pStyle w:val="ListParagraph"/>
        <w:numPr>
          <w:ilvl w:val="0"/>
          <w:numId w:val="29"/>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Surface and defuse the most common technical, human, financial, and regulatory risks before they torpedo the </w:t>
      </w:r>
      <w:proofErr w:type="spellStart"/>
      <w:r w:rsidRPr="00D814AE">
        <w:rPr>
          <w:rFonts w:asciiTheme="majorBidi" w:eastAsiaTheme="minorEastAsia" w:hAnsiTheme="majorBidi" w:cstheme="majorBidi"/>
          <w:bCs/>
          <w:sz w:val="24"/>
          <w:szCs w:val="24"/>
          <w:lang w:val="en-US"/>
        </w:rPr>
        <w:t>programme</w:t>
      </w:r>
      <w:proofErr w:type="spellEnd"/>
      <w:r w:rsidRPr="00D814AE">
        <w:rPr>
          <w:rFonts w:asciiTheme="majorBidi" w:eastAsiaTheme="minorEastAsia" w:hAnsiTheme="majorBidi" w:cstheme="majorBidi"/>
          <w:bCs/>
          <w:sz w:val="24"/>
          <w:szCs w:val="24"/>
          <w:lang w:val="en-US"/>
        </w:rPr>
        <w:t>.</w:t>
      </w:r>
    </w:p>
    <w:p w14:paraId="7455F9B0" w14:textId="4A443A5F" w:rsidR="002212B9" w:rsidRPr="00FB090C" w:rsidRDefault="00D814AE" w:rsidP="00FB090C">
      <w:pPr>
        <w:pStyle w:val="ListParagraph"/>
        <w:numPr>
          <w:ilvl w:val="0"/>
          <w:numId w:val="29"/>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Supply a balanced, rail-tailored KPI dashboard (MTTR, RUL, LCC reduction, revenue-protected hours, etc.) that lets executives track progress in language they already trust.</w:t>
      </w:r>
    </w:p>
    <w:p w14:paraId="690C6B34" w14:textId="77777777" w:rsidR="002212B9" w:rsidRDefault="002212B9" w:rsidP="002212B9">
      <w:pPr>
        <w:pStyle w:val="ListParagraph"/>
        <w:rPr>
          <w:rFonts w:asciiTheme="majorBidi" w:eastAsiaTheme="majorEastAsia" w:hAnsiTheme="majorBidi" w:cstheme="majorBidi"/>
          <w:color w:val="2F5496" w:themeColor="accent1" w:themeShade="BF"/>
          <w:sz w:val="32"/>
          <w:szCs w:val="32"/>
        </w:rPr>
      </w:pPr>
    </w:p>
    <w:p w14:paraId="279EB9DD" w14:textId="77777777" w:rsidR="002212B9" w:rsidRDefault="002212B9" w:rsidP="005C71B4">
      <w:pPr>
        <w:pStyle w:val="Heading1"/>
      </w:pPr>
    </w:p>
    <w:p w14:paraId="7758600D" w14:textId="35CD89C0" w:rsidR="002212B9" w:rsidRDefault="005C71B4" w:rsidP="005C71B4">
      <w:pPr>
        <w:pStyle w:val="Heading1"/>
      </w:pPr>
      <w:bookmarkStart w:id="5" w:name="_Toc215590804"/>
      <w:r>
        <w:t>1.4</w:t>
      </w:r>
      <w:r>
        <w:tab/>
      </w:r>
      <w:r w:rsidR="002212B9">
        <w:t>Study Importance – Scientific and Theoretical</w:t>
      </w:r>
      <w:bookmarkEnd w:id="5"/>
    </w:p>
    <w:p w14:paraId="7FD87B20" w14:textId="77777777" w:rsidR="002212B9" w:rsidRDefault="002212B9" w:rsidP="002212B9">
      <w:pPr>
        <w:pStyle w:val="ListParagraph"/>
        <w:rPr>
          <w:rFonts w:asciiTheme="majorBidi" w:eastAsiaTheme="minorEastAsia" w:hAnsiTheme="majorBidi" w:cstheme="majorBidi"/>
          <w:bCs/>
          <w:sz w:val="24"/>
          <w:szCs w:val="24"/>
          <w:lang w:val="en-US"/>
        </w:rPr>
      </w:pPr>
    </w:p>
    <w:p w14:paraId="41DFAE81" w14:textId="74CF7339" w:rsidR="002212B9" w:rsidRPr="002212B9" w:rsidRDefault="002212B9" w:rsidP="00C057CF">
      <w:pPr>
        <w:pStyle w:val="ListParagraph"/>
        <w:spacing w:after="160" w:line="360" w:lineRule="auto"/>
        <w:rPr>
          <w:rFonts w:asciiTheme="majorBidi" w:eastAsiaTheme="minorEastAsia" w:hAnsiTheme="majorBidi" w:cstheme="majorBidi"/>
          <w:bCs/>
          <w:sz w:val="24"/>
          <w:szCs w:val="24"/>
          <w:lang w:val="en-US"/>
        </w:rPr>
      </w:pPr>
      <w:r w:rsidRPr="002212B9">
        <w:rPr>
          <w:rFonts w:asciiTheme="majorBidi" w:eastAsiaTheme="minorEastAsia" w:hAnsiTheme="majorBidi" w:cstheme="majorBidi"/>
          <w:bCs/>
          <w:sz w:val="24"/>
          <w:szCs w:val="24"/>
          <w:lang w:val="en-US"/>
        </w:rPr>
        <w:t>The significance of this research is</w:t>
      </w:r>
      <w:r w:rsidR="00D814AE">
        <w:rPr>
          <w:rFonts w:asciiTheme="majorBidi" w:eastAsiaTheme="minorEastAsia" w:hAnsiTheme="majorBidi" w:cstheme="majorBidi"/>
          <w:bCs/>
          <w:sz w:val="24"/>
          <w:szCs w:val="24"/>
          <w:lang w:val="en-US"/>
        </w:rPr>
        <w:t xml:space="preserve"> a</w:t>
      </w:r>
      <w:r w:rsidRPr="002212B9">
        <w:rPr>
          <w:rFonts w:asciiTheme="majorBidi" w:eastAsiaTheme="minorEastAsia" w:hAnsiTheme="majorBidi" w:cstheme="majorBidi"/>
          <w:bCs/>
          <w:sz w:val="24"/>
          <w:szCs w:val="24"/>
          <w:lang w:val="en-US"/>
        </w:rPr>
        <w:t xml:space="preserve"> multifaceted, contributing substantially to both academic theory and industry practice:</w:t>
      </w:r>
    </w:p>
    <w:p w14:paraId="3D36727D" w14:textId="77777777" w:rsidR="002212B9" w:rsidRPr="002212B9" w:rsidRDefault="002212B9" w:rsidP="00C057CF">
      <w:pPr>
        <w:pStyle w:val="ListParagraph"/>
        <w:spacing w:after="160" w:line="360" w:lineRule="auto"/>
        <w:rPr>
          <w:rFonts w:asciiTheme="majorBidi" w:eastAsiaTheme="minorEastAsia" w:hAnsiTheme="majorBidi" w:cstheme="majorBidi"/>
          <w:bCs/>
          <w:sz w:val="24"/>
          <w:szCs w:val="24"/>
          <w:lang w:val="en-US"/>
        </w:rPr>
      </w:pPr>
    </w:p>
    <w:p w14:paraId="6CD30744" w14:textId="77777777" w:rsidR="002212B9" w:rsidRPr="002212B9" w:rsidRDefault="002212B9" w:rsidP="00C057CF">
      <w:pPr>
        <w:pStyle w:val="ListParagraph"/>
        <w:spacing w:after="160" w:line="360" w:lineRule="auto"/>
        <w:ind w:left="0" w:firstLine="720"/>
        <w:rPr>
          <w:rFonts w:asciiTheme="majorBidi" w:eastAsiaTheme="majorEastAsia" w:hAnsiTheme="majorBidi" w:cstheme="majorBidi"/>
          <w:color w:val="2F5496" w:themeColor="accent1" w:themeShade="BF"/>
          <w:sz w:val="32"/>
          <w:szCs w:val="32"/>
        </w:rPr>
      </w:pPr>
      <w:r w:rsidRPr="002212B9">
        <w:rPr>
          <w:rFonts w:asciiTheme="majorBidi" w:eastAsiaTheme="majorEastAsia" w:hAnsiTheme="majorBidi" w:cstheme="majorBidi"/>
          <w:color w:val="2F5496" w:themeColor="accent1" w:themeShade="BF"/>
          <w:sz w:val="32"/>
          <w:szCs w:val="32"/>
        </w:rPr>
        <w:t>1.4.1 Scientific and Theoretical Contribution</w:t>
      </w:r>
    </w:p>
    <w:p w14:paraId="67C3C641" w14:textId="77777777" w:rsidR="00D814AE" w:rsidRPr="00D814AE" w:rsidRDefault="00D814AE" w:rsidP="00D814AE">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lastRenderedPageBreak/>
        <w:t>The academic literature is rich in isolated pieces — bearing prognostics (Lei et al., 2024), digital-twin architectures (Grieves &amp; Vickers, 2023), or generic Industrie 4.0 maturity models — but remarkably thin on how those pieces fit together inside the peculiar world of railway rolling stock, where assets live 40+ years, safety certification takes years, and a single failure can cost lives.</w:t>
      </w:r>
    </w:p>
    <w:p w14:paraId="5C9990B1" w14:textId="6BED001A" w:rsidR="00D814AE" w:rsidRPr="00D814AE" w:rsidRDefault="00D814AE" w:rsidP="00D814AE">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This thesis closes that gap by deliberately </w:t>
      </w:r>
      <w:r w:rsidR="00FB090C" w:rsidRPr="00D814AE">
        <w:rPr>
          <w:rFonts w:asciiTheme="majorBidi" w:eastAsiaTheme="minorEastAsia" w:hAnsiTheme="majorBidi" w:cstheme="majorBidi"/>
          <w:bCs/>
          <w:sz w:val="24"/>
          <w:szCs w:val="24"/>
          <w:lang w:val="en-US"/>
        </w:rPr>
        <w:t>synthesizing</w:t>
      </w:r>
      <w:r w:rsidRPr="00D814AE">
        <w:rPr>
          <w:rFonts w:asciiTheme="majorBidi" w:eastAsiaTheme="minorEastAsia" w:hAnsiTheme="majorBidi" w:cstheme="majorBidi"/>
          <w:bCs/>
          <w:sz w:val="24"/>
          <w:szCs w:val="24"/>
          <w:lang w:val="en-US"/>
        </w:rPr>
        <w:t xml:space="preserve"> three theoretical traditions that are almost never combined:</w:t>
      </w:r>
    </w:p>
    <w:p w14:paraId="0A50B16B" w14:textId="247F0F8B" w:rsidR="00D814AE" w:rsidRPr="00D814AE" w:rsidRDefault="00D814AE" w:rsidP="00D814AE">
      <w:pPr>
        <w:pStyle w:val="ListParagraph"/>
        <w:numPr>
          <w:ilvl w:val="0"/>
          <w:numId w:val="30"/>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Sociotechnical Systems Theory (STS) in its modern form (Baxter &amp; Sommerville, 2011; Davis et al., 2014) to force joint </w:t>
      </w:r>
      <w:r w:rsidR="00FB090C" w:rsidRPr="00D814AE">
        <w:rPr>
          <w:rFonts w:asciiTheme="majorBidi" w:eastAsiaTheme="minorEastAsia" w:hAnsiTheme="majorBidi" w:cstheme="majorBidi"/>
          <w:bCs/>
          <w:sz w:val="24"/>
          <w:szCs w:val="24"/>
          <w:lang w:val="en-US"/>
        </w:rPr>
        <w:t>optimization</w:t>
      </w:r>
      <w:r w:rsidRPr="00D814AE">
        <w:rPr>
          <w:rFonts w:asciiTheme="majorBidi" w:eastAsiaTheme="minorEastAsia" w:hAnsiTheme="majorBidi" w:cstheme="majorBidi"/>
          <w:bCs/>
          <w:sz w:val="24"/>
          <w:szCs w:val="24"/>
          <w:lang w:val="en-US"/>
        </w:rPr>
        <w:t xml:space="preserve"> of technical and social subsystems.</w:t>
      </w:r>
    </w:p>
    <w:p w14:paraId="54B3048D" w14:textId="17F7EBDB" w:rsidR="00D814AE" w:rsidRPr="00D814AE" w:rsidRDefault="00D814AE" w:rsidP="00D814AE">
      <w:pPr>
        <w:pStyle w:val="ListParagraph"/>
        <w:numPr>
          <w:ilvl w:val="0"/>
          <w:numId w:val="30"/>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Rail-specific digital maturity models built on </w:t>
      </w:r>
      <w:proofErr w:type="spellStart"/>
      <w:r w:rsidRPr="00D814AE">
        <w:rPr>
          <w:rFonts w:asciiTheme="majorBidi" w:eastAsiaTheme="minorEastAsia" w:hAnsiTheme="majorBidi" w:cstheme="majorBidi"/>
          <w:bCs/>
          <w:sz w:val="24"/>
          <w:szCs w:val="24"/>
          <w:lang w:val="en-US"/>
        </w:rPr>
        <w:t>Acatech</w:t>
      </w:r>
      <w:proofErr w:type="spellEnd"/>
      <w:r w:rsidRPr="00D814AE">
        <w:rPr>
          <w:rFonts w:asciiTheme="majorBidi" w:eastAsiaTheme="minorEastAsia" w:hAnsiTheme="majorBidi" w:cstheme="majorBidi"/>
          <w:bCs/>
          <w:sz w:val="24"/>
          <w:szCs w:val="24"/>
          <w:lang w:val="en-US"/>
        </w:rPr>
        <w:t xml:space="preserve">, CMMI, and Shift2Rail foundations but </w:t>
      </w:r>
      <w:r w:rsidR="00FB090C" w:rsidRPr="00D814AE">
        <w:rPr>
          <w:rFonts w:asciiTheme="majorBidi" w:eastAsiaTheme="minorEastAsia" w:hAnsiTheme="majorBidi" w:cstheme="majorBidi"/>
          <w:bCs/>
          <w:sz w:val="24"/>
          <w:szCs w:val="24"/>
          <w:lang w:val="en-US"/>
        </w:rPr>
        <w:t>customized</w:t>
      </w:r>
      <w:r w:rsidRPr="00D814AE">
        <w:rPr>
          <w:rFonts w:asciiTheme="majorBidi" w:eastAsiaTheme="minorEastAsia" w:hAnsiTheme="majorBidi" w:cstheme="majorBidi"/>
          <w:bCs/>
          <w:sz w:val="24"/>
          <w:szCs w:val="24"/>
          <w:lang w:val="en-US"/>
        </w:rPr>
        <w:t xml:space="preserve"> for extreme asset longevity and CENELEC constraints (</w:t>
      </w:r>
      <w:proofErr w:type="spellStart"/>
      <w:r w:rsidRPr="00D814AE">
        <w:rPr>
          <w:rFonts w:asciiTheme="majorBidi" w:eastAsiaTheme="minorEastAsia" w:hAnsiTheme="majorBidi" w:cstheme="majorBidi"/>
          <w:bCs/>
          <w:sz w:val="24"/>
          <w:szCs w:val="24"/>
          <w:lang w:val="en-US"/>
        </w:rPr>
        <w:t>Consilvio</w:t>
      </w:r>
      <w:proofErr w:type="spellEnd"/>
      <w:r w:rsidRPr="00D814AE">
        <w:rPr>
          <w:rFonts w:asciiTheme="majorBidi" w:eastAsiaTheme="minorEastAsia" w:hAnsiTheme="majorBidi" w:cstheme="majorBidi"/>
          <w:bCs/>
          <w:sz w:val="24"/>
          <w:szCs w:val="24"/>
          <w:lang w:val="en-US"/>
        </w:rPr>
        <w:t xml:space="preserve"> et al., 2025).</w:t>
      </w:r>
    </w:p>
    <w:p w14:paraId="72C27547" w14:textId="77777777" w:rsidR="00D814AE" w:rsidRPr="00D814AE" w:rsidRDefault="00D814AE" w:rsidP="00D814AE">
      <w:pPr>
        <w:pStyle w:val="ListParagraph"/>
        <w:numPr>
          <w:ilvl w:val="0"/>
          <w:numId w:val="30"/>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ISO 55000 asset-management doctrine to ensure every digital intervention is judged first and foremost by its impact on risk-adjusted lifecycle value (IAM, 2024).</w:t>
      </w:r>
    </w:p>
    <w:p w14:paraId="06E8533F" w14:textId="5052F211" w:rsidR="002212B9" w:rsidRPr="002212B9" w:rsidRDefault="002212B9" w:rsidP="00C057CF">
      <w:pPr>
        <w:pStyle w:val="ListParagraph"/>
        <w:spacing w:after="160" w:line="360" w:lineRule="auto"/>
        <w:rPr>
          <w:rFonts w:asciiTheme="majorBidi" w:eastAsiaTheme="minorEastAsia" w:hAnsiTheme="majorBidi" w:cstheme="majorBidi"/>
          <w:bCs/>
          <w:sz w:val="24"/>
          <w:szCs w:val="24"/>
          <w:lang w:val="en-US"/>
        </w:rPr>
      </w:pPr>
    </w:p>
    <w:p w14:paraId="19CE5EC6" w14:textId="77777777" w:rsidR="002212B9" w:rsidRPr="002212B9" w:rsidRDefault="002212B9" w:rsidP="002212B9">
      <w:pPr>
        <w:pStyle w:val="ListParagraph"/>
        <w:rPr>
          <w:rFonts w:asciiTheme="majorBidi" w:eastAsiaTheme="minorEastAsia" w:hAnsiTheme="majorBidi" w:cstheme="majorBidi"/>
          <w:bCs/>
          <w:sz w:val="24"/>
          <w:szCs w:val="24"/>
          <w:lang w:val="en-US"/>
        </w:rPr>
      </w:pPr>
    </w:p>
    <w:p w14:paraId="1D167EF7" w14:textId="77777777" w:rsidR="002212B9" w:rsidRPr="002212B9" w:rsidRDefault="002212B9" w:rsidP="002212B9">
      <w:pPr>
        <w:ind w:firstLine="720"/>
        <w:rPr>
          <w:rFonts w:asciiTheme="majorBidi" w:eastAsiaTheme="majorEastAsia" w:hAnsiTheme="majorBidi" w:cstheme="majorBidi"/>
          <w:color w:val="2F5496" w:themeColor="accent1" w:themeShade="BF"/>
          <w:sz w:val="32"/>
          <w:szCs w:val="32"/>
        </w:rPr>
      </w:pPr>
      <w:r w:rsidRPr="002212B9">
        <w:rPr>
          <w:rFonts w:asciiTheme="majorBidi" w:eastAsiaTheme="majorEastAsia" w:hAnsiTheme="majorBidi" w:cstheme="majorBidi"/>
          <w:color w:val="2F5496" w:themeColor="accent1" w:themeShade="BF"/>
          <w:sz w:val="32"/>
          <w:szCs w:val="32"/>
        </w:rPr>
        <w:t>1.4.2 Practical and Managerial Contribution</w:t>
      </w:r>
    </w:p>
    <w:p w14:paraId="39A798FF" w14:textId="77777777" w:rsidR="00D814AE" w:rsidRPr="00D814AE" w:rsidRDefault="00D814AE" w:rsidP="00FB090C">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For railway leaders the deliverables are deliberately pragmatic:</w:t>
      </w:r>
    </w:p>
    <w:p w14:paraId="6DA53405" w14:textId="77777777" w:rsidR="00D814AE" w:rsidRPr="00D814AE" w:rsidRDefault="00D814AE" w:rsidP="00FB090C">
      <w:pPr>
        <w:pStyle w:val="ListParagraph"/>
        <w:numPr>
          <w:ilvl w:val="0"/>
          <w:numId w:val="31"/>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A financial narrative robust enough to survive a capital-allocation committee.</w:t>
      </w:r>
    </w:p>
    <w:p w14:paraId="75C9854C" w14:textId="77777777" w:rsidR="00D814AE" w:rsidRPr="00D814AE" w:rsidRDefault="00D814AE" w:rsidP="00FB090C">
      <w:pPr>
        <w:pStyle w:val="ListParagraph"/>
        <w:numPr>
          <w:ilvl w:val="0"/>
          <w:numId w:val="31"/>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A risk register that turns the usual “pilot graveyard” story into preventable history.</w:t>
      </w:r>
    </w:p>
    <w:p w14:paraId="4F0B9A96" w14:textId="77777777" w:rsidR="00D814AE" w:rsidRPr="00D814AE" w:rsidRDefault="00D814AE" w:rsidP="00FB090C">
      <w:pPr>
        <w:pStyle w:val="ListParagraph"/>
        <w:numPr>
          <w:ilvl w:val="0"/>
          <w:numId w:val="31"/>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A benchmarking mirror that lets any operator see exactly how far behind (or ahead) they are compared to Deutsche Bahn, JR East, or the Gulf’s new mega-fleets</w:t>
      </w:r>
    </w:p>
    <w:p w14:paraId="4902A314" w14:textId="5468202F" w:rsidR="002212B9" w:rsidRDefault="002212B9" w:rsidP="00C057CF">
      <w:pPr>
        <w:pStyle w:val="ListParagraph"/>
        <w:spacing w:after="160" w:line="360" w:lineRule="auto"/>
        <w:rPr>
          <w:rFonts w:asciiTheme="majorBidi" w:eastAsiaTheme="minorEastAsia" w:hAnsiTheme="majorBidi" w:cstheme="majorBidi"/>
          <w:bCs/>
          <w:sz w:val="24"/>
          <w:szCs w:val="24"/>
          <w:lang w:val="en-US"/>
        </w:rPr>
      </w:pPr>
    </w:p>
    <w:p w14:paraId="1FDC652E" w14:textId="77777777" w:rsidR="002212B9" w:rsidRPr="002212B9" w:rsidRDefault="002212B9" w:rsidP="002212B9">
      <w:pPr>
        <w:pStyle w:val="ListParagraph"/>
        <w:rPr>
          <w:rFonts w:asciiTheme="majorBidi" w:eastAsiaTheme="minorEastAsia" w:hAnsiTheme="majorBidi" w:cstheme="majorBidi"/>
          <w:bCs/>
          <w:sz w:val="24"/>
          <w:szCs w:val="24"/>
          <w:lang w:val="en-US"/>
        </w:rPr>
      </w:pPr>
    </w:p>
    <w:p w14:paraId="5E751D6D" w14:textId="0C78A3D9" w:rsidR="002212B9" w:rsidRPr="005C71B4" w:rsidRDefault="002212B9" w:rsidP="005C71B4">
      <w:pPr>
        <w:pStyle w:val="ListParagraph"/>
        <w:numPr>
          <w:ilvl w:val="1"/>
          <w:numId w:val="44"/>
        </w:numPr>
        <w:rPr>
          <w:rStyle w:val="Heading1Char"/>
        </w:rPr>
      </w:pPr>
      <w:bookmarkStart w:id="6" w:name="_Toc215590805"/>
      <w:r w:rsidRPr="005C71B4">
        <w:rPr>
          <w:rStyle w:val="Heading1Char"/>
        </w:rPr>
        <w:t>Research Question</w:t>
      </w:r>
      <w:bookmarkEnd w:id="6"/>
      <w:r w:rsidRPr="005C71B4">
        <w:rPr>
          <w:rStyle w:val="Heading1Char"/>
        </w:rPr>
        <w:t xml:space="preserve"> </w:t>
      </w:r>
    </w:p>
    <w:p w14:paraId="1E426BDF" w14:textId="77777777" w:rsidR="00F15C0E" w:rsidRPr="00F15C0E" w:rsidRDefault="00F15C0E" w:rsidP="00C057CF">
      <w:pPr>
        <w:pStyle w:val="ListParagraph"/>
        <w:spacing w:after="160" w:line="360" w:lineRule="auto"/>
        <w:rPr>
          <w:rFonts w:asciiTheme="majorBidi" w:eastAsiaTheme="minorEastAsia" w:hAnsiTheme="majorBidi" w:cstheme="majorBidi"/>
          <w:bCs/>
          <w:sz w:val="24"/>
          <w:szCs w:val="24"/>
          <w:lang w:val="en-US"/>
        </w:rPr>
      </w:pPr>
      <w:r w:rsidRPr="00F15C0E">
        <w:rPr>
          <w:rFonts w:asciiTheme="majorBidi" w:eastAsiaTheme="minorEastAsia" w:hAnsiTheme="majorBidi" w:cstheme="majorBidi"/>
          <w:bCs/>
          <w:sz w:val="24"/>
          <w:szCs w:val="24"/>
          <w:lang w:val="en-US"/>
        </w:rPr>
        <w:t>The following research questions guide the empirical and theoretical investigation, ensuring the strategic scope of the thesis is maintained:</w:t>
      </w:r>
    </w:p>
    <w:p w14:paraId="7530FD56" w14:textId="77777777" w:rsidR="00F15C0E" w:rsidRPr="00F15C0E" w:rsidRDefault="00F15C0E" w:rsidP="00C057CF">
      <w:pPr>
        <w:pStyle w:val="ListParagraph"/>
        <w:spacing w:after="160" w:line="360" w:lineRule="auto"/>
        <w:rPr>
          <w:rFonts w:asciiTheme="majorBidi" w:eastAsiaTheme="minorEastAsia" w:hAnsiTheme="majorBidi" w:cstheme="majorBidi"/>
          <w:bCs/>
          <w:sz w:val="24"/>
          <w:szCs w:val="24"/>
          <w:lang w:val="en-US"/>
        </w:rPr>
      </w:pPr>
    </w:p>
    <w:p w14:paraId="7373B656" w14:textId="386C779C" w:rsidR="00F15C0E" w:rsidRPr="00F15C0E" w:rsidRDefault="00F15C0E" w:rsidP="00C057CF">
      <w:pPr>
        <w:pStyle w:val="ListParagraph"/>
        <w:numPr>
          <w:ilvl w:val="0"/>
          <w:numId w:val="17"/>
        </w:numPr>
        <w:spacing w:after="160" w:line="360" w:lineRule="auto"/>
        <w:rPr>
          <w:rFonts w:asciiTheme="majorBidi" w:eastAsiaTheme="minorEastAsia" w:hAnsiTheme="majorBidi" w:cstheme="majorBidi"/>
          <w:bCs/>
          <w:sz w:val="24"/>
          <w:szCs w:val="24"/>
          <w:lang w:val="en-US"/>
        </w:rPr>
      </w:pPr>
      <w:r w:rsidRPr="00F15C0E">
        <w:rPr>
          <w:rFonts w:asciiTheme="majorBidi" w:eastAsiaTheme="minorEastAsia" w:hAnsiTheme="majorBidi" w:cstheme="majorBidi"/>
          <w:bCs/>
          <w:sz w:val="24"/>
          <w:szCs w:val="24"/>
          <w:lang w:val="en-US"/>
        </w:rPr>
        <w:t>What is the current state of digital maturity in railway rolling stock maintenance, and how does this maturity level vary across different operators and regulatory geographies?</w:t>
      </w:r>
    </w:p>
    <w:p w14:paraId="3927093D" w14:textId="77777777" w:rsidR="00F15C0E" w:rsidRPr="00F15C0E" w:rsidRDefault="00F15C0E" w:rsidP="00C057CF">
      <w:pPr>
        <w:pStyle w:val="ListParagraph"/>
        <w:spacing w:after="160" w:line="360" w:lineRule="auto"/>
        <w:rPr>
          <w:rFonts w:asciiTheme="majorBidi" w:eastAsiaTheme="minorEastAsia" w:hAnsiTheme="majorBidi" w:cstheme="majorBidi"/>
          <w:bCs/>
          <w:sz w:val="24"/>
          <w:szCs w:val="24"/>
          <w:lang w:val="en-US"/>
        </w:rPr>
      </w:pPr>
    </w:p>
    <w:p w14:paraId="299A36B6" w14:textId="07AEF431" w:rsidR="00F15C0E" w:rsidRPr="00F15C0E" w:rsidRDefault="00F15C0E" w:rsidP="00C057CF">
      <w:pPr>
        <w:pStyle w:val="ListParagraph"/>
        <w:numPr>
          <w:ilvl w:val="0"/>
          <w:numId w:val="17"/>
        </w:numPr>
        <w:spacing w:after="160" w:line="360" w:lineRule="auto"/>
        <w:rPr>
          <w:rFonts w:asciiTheme="majorBidi" w:eastAsiaTheme="minorEastAsia" w:hAnsiTheme="majorBidi" w:cstheme="majorBidi"/>
          <w:bCs/>
          <w:sz w:val="24"/>
          <w:szCs w:val="24"/>
          <w:lang w:val="en-US"/>
        </w:rPr>
      </w:pPr>
      <w:r w:rsidRPr="00F15C0E">
        <w:rPr>
          <w:rFonts w:asciiTheme="majorBidi" w:eastAsiaTheme="minorEastAsia" w:hAnsiTheme="majorBidi" w:cstheme="majorBidi"/>
          <w:bCs/>
          <w:sz w:val="24"/>
          <w:szCs w:val="24"/>
          <w:lang w:val="en-US"/>
        </w:rPr>
        <w:t>What constitutes a fully digital, Cognitive Maintenance system, and how does this model impact asset performance, availability, and efficiency over the asset lifecycle?</w:t>
      </w:r>
    </w:p>
    <w:p w14:paraId="1C31BDE2" w14:textId="77777777" w:rsidR="00F15C0E" w:rsidRPr="00F15C0E" w:rsidRDefault="00F15C0E" w:rsidP="00C057CF">
      <w:pPr>
        <w:pStyle w:val="ListParagraph"/>
        <w:spacing w:after="160" w:line="360" w:lineRule="auto"/>
        <w:rPr>
          <w:rFonts w:asciiTheme="majorBidi" w:eastAsiaTheme="minorEastAsia" w:hAnsiTheme="majorBidi" w:cstheme="majorBidi"/>
          <w:bCs/>
          <w:sz w:val="24"/>
          <w:szCs w:val="24"/>
          <w:lang w:val="en-US"/>
        </w:rPr>
      </w:pPr>
    </w:p>
    <w:p w14:paraId="3B4E51CE" w14:textId="1C628C90" w:rsidR="00F15C0E" w:rsidRPr="00F15C0E" w:rsidRDefault="00F15C0E" w:rsidP="00C057CF">
      <w:pPr>
        <w:pStyle w:val="ListParagraph"/>
        <w:numPr>
          <w:ilvl w:val="0"/>
          <w:numId w:val="17"/>
        </w:numPr>
        <w:spacing w:after="160" w:line="360" w:lineRule="auto"/>
        <w:rPr>
          <w:rFonts w:asciiTheme="majorBidi" w:eastAsiaTheme="minorEastAsia" w:hAnsiTheme="majorBidi" w:cstheme="majorBidi"/>
          <w:bCs/>
          <w:sz w:val="24"/>
          <w:szCs w:val="24"/>
          <w:lang w:val="en-US"/>
        </w:rPr>
      </w:pPr>
      <w:r w:rsidRPr="00F15C0E">
        <w:rPr>
          <w:rFonts w:asciiTheme="majorBidi" w:eastAsiaTheme="minorEastAsia" w:hAnsiTheme="majorBidi" w:cstheme="majorBidi"/>
          <w:bCs/>
          <w:sz w:val="24"/>
          <w:szCs w:val="24"/>
          <w:lang w:val="en-US"/>
        </w:rPr>
        <w:t>What technologies, processes, and organizational capabilities are essential for enabling a transition from Preventive systems to Cognitive Zero-Downtime Operations, with specific attention to the role of Digital Twins and Edge Computing in real-time diagnostics?</w:t>
      </w:r>
    </w:p>
    <w:p w14:paraId="46A52959" w14:textId="77777777" w:rsidR="00F15C0E" w:rsidRPr="00F15C0E" w:rsidRDefault="00F15C0E" w:rsidP="00C057CF">
      <w:pPr>
        <w:pStyle w:val="ListParagraph"/>
        <w:spacing w:after="160" w:line="360" w:lineRule="auto"/>
        <w:rPr>
          <w:rFonts w:asciiTheme="majorBidi" w:eastAsiaTheme="minorEastAsia" w:hAnsiTheme="majorBidi" w:cstheme="majorBidi"/>
          <w:bCs/>
          <w:sz w:val="24"/>
          <w:szCs w:val="24"/>
          <w:lang w:val="en-US"/>
        </w:rPr>
      </w:pPr>
    </w:p>
    <w:p w14:paraId="4930092F" w14:textId="39435877" w:rsidR="00F15C0E" w:rsidRPr="00F15C0E" w:rsidRDefault="00F15C0E" w:rsidP="00C057CF">
      <w:pPr>
        <w:pStyle w:val="ListParagraph"/>
        <w:numPr>
          <w:ilvl w:val="0"/>
          <w:numId w:val="17"/>
        </w:numPr>
        <w:spacing w:after="160" w:line="360" w:lineRule="auto"/>
        <w:rPr>
          <w:rFonts w:asciiTheme="majorBidi" w:eastAsiaTheme="minorEastAsia" w:hAnsiTheme="majorBidi" w:cstheme="majorBidi"/>
          <w:bCs/>
          <w:sz w:val="24"/>
          <w:szCs w:val="24"/>
          <w:lang w:val="en-US"/>
        </w:rPr>
      </w:pPr>
      <w:r w:rsidRPr="00F15C0E">
        <w:rPr>
          <w:rFonts w:asciiTheme="majorBidi" w:eastAsiaTheme="minorEastAsia" w:hAnsiTheme="majorBidi" w:cstheme="majorBidi"/>
          <w:bCs/>
          <w:sz w:val="24"/>
          <w:szCs w:val="24"/>
          <w:lang w:val="en-US"/>
        </w:rPr>
        <w:t>What are the capital and operational expenditure (</w:t>
      </w:r>
      <w:proofErr w:type="spellStart"/>
      <w:r w:rsidRPr="00F15C0E">
        <w:rPr>
          <w:rFonts w:asciiTheme="majorBidi" w:eastAsiaTheme="minorEastAsia" w:hAnsiTheme="majorBidi" w:cstheme="majorBidi"/>
          <w:bCs/>
          <w:sz w:val="24"/>
          <w:szCs w:val="24"/>
          <w:lang w:val="en-US"/>
        </w:rPr>
        <w:t>CapEx</w:t>
      </w:r>
      <w:proofErr w:type="spellEnd"/>
      <w:r w:rsidRPr="00F15C0E">
        <w:rPr>
          <w:rFonts w:asciiTheme="majorBidi" w:eastAsiaTheme="minorEastAsia" w:hAnsiTheme="majorBidi" w:cstheme="majorBidi"/>
          <w:bCs/>
          <w:sz w:val="24"/>
          <w:szCs w:val="24"/>
          <w:lang w:val="en-US"/>
        </w:rPr>
        <w:t xml:space="preserve"> and </w:t>
      </w:r>
      <w:proofErr w:type="spellStart"/>
      <w:r w:rsidRPr="00F15C0E">
        <w:rPr>
          <w:rFonts w:asciiTheme="majorBidi" w:eastAsiaTheme="minorEastAsia" w:hAnsiTheme="majorBidi" w:cstheme="majorBidi"/>
          <w:bCs/>
          <w:sz w:val="24"/>
          <w:szCs w:val="24"/>
          <w:lang w:val="en-US"/>
        </w:rPr>
        <w:t>OpEx</w:t>
      </w:r>
      <w:proofErr w:type="spellEnd"/>
      <w:r w:rsidRPr="00F15C0E">
        <w:rPr>
          <w:rFonts w:asciiTheme="majorBidi" w:eastAsiaTheme="minorEastAsia" w:hAnsiTheme="majorBidi" w:cstheme="majorBidi"/>
          <w:bCs/>
          <w:sz w:val="24"/>
          <w:szCs w:val="24"/>
          <w:lang w:val="en-US"/>
        </w:rPr>
        <w:t>) implications of digital transformation, and how can financial Return on Investment (ROI) be modeled and justified over the asset lifecycle?</w:t>
      </w:r>
    </w:p>
    <w:p w14:paraId="52DD1F59" w14:textId="77777777" w:rsidR="00F15C0E" w:rsidRPr="00F15C0E" w:rsidRDefault="00F15C0E" w:rsidP="00C057CF">
      <w:pPr>
        <w:pStyle w:val="ListParagraph"/>
        <w:spacing w:after="160" w:line="360" w:lineRule="auto"/>
        <w:rPr>
          <w:rFonts w:asciiTheme="majorBidi" w:eastAsiaTheme="minorEastAsia" w:hAnsiTheme="majorBidi" w:cstheme="majorBidi"/>
          <w:bCs/>
          <w:sz w:val="24"/>
          <w:szCs w:val="24"/>
          <w:lang w:val="en-US"/>
        </w:rPr>
      </w:pPr>
    </w:p>
    <w:p w14:paraId="3CC95FC6" w14:textId="079B2FC5" w:rsidR="00F15C0E" w:rsidRPr="00C057CF" w:rsidRDefault="00F15C0E" w:rsidP="00C057CF">
      <w:pPr>
        <w:pStyle w:val="ListParagraph"/>
        <w:numPr>
          <w:ilvl w:val="0"/>
          <w:numId w:val="17"/>
        </w:numPr>
        <w:spacing w:after="160" w:line="360" w:lineRule="auto"/>
        <w:rPr>
          <w:rFonts w:asciiTheme="majorBidi" w:eastAsiaTheme="minorEastAsia" w:hAnsiTheme="majorBidi" w:cstheme="majorBidi"/>
          <w:bCs/>
          <w:sz w:val="24"/>
          <w:szCs w:val="24"/>
          <w:lang w:val="en-US"/>
        </w:rPr>
      </w:pPr>
      <w:r w:rsidRPr="00F15C0E">
        <w:rPr>
          <w:rFonts w:asciiTheme="majorBidi" w:eastAsiaTheme="minorEastAsia" w:hAnsiTheme="majorBidi" w:cstheme="majorBidi"/>
          <w:bCs/>
          <w:sz w:val="24"/>
          <w:szCs w:val="24"/>
          <w:lang w:val="en-US"/>
        </w:rPr>
        <w:t>What are the main implementation risks—technical, organizational, financial, and regulatory—and what strategies can be used to mitigate these during the transformation journey?</w:t>
      </w:r>
    </w:p>
    <w:p w14:paraId="750290DB" w14:textId="77777777" w:rsidR="00F15C0E" w:rsidRPr="00F15C0E" w:rsidRDefault="00F15C0E" w:rsidP="00F15C0E">
      <w:pPr>
        <w:pStyle w:val="ListParagraph"/>
        <w:rPr>
          <w:rFonts w:asciiTheme="majorBidi" w:eastAsiaTheme="minorEastAsia" w:hAnsiTheme="majorBidi" w:cstheme="majorBidi"/>
          <w:bCs/>
          <w:sz w:val="24"/>
          <w:szCs w:val="24"/>
          <w:lang w:val="en-US"/>
        </w:rPr>
      </w:pPr>
    </w:p>
    <w:p w14:paraId="1837B09A" w14:textId="77777777" w:rsidR="00F15C0E" w:rsidRDefault="00F15C0E" w:rsidP="00F15C0E">
      <w:pPr>
        <w:pStyle w:val="ListParagraph"/>
        <w:rPr>
          <w:rFonts w:asciiTheme="majorBidi" w:eastAsiaTheme="majorEastAsia" w:hAnsiTheme="majorBidi" w:cstheme="majorBidi"/>
          <w:color w:val="2F5496" w:themeColor="accent1" w:themeShade="BF"/>
          <w:sz w:val="32"/>
          <w:szCs w:val="32"/>
        </w:rPr>
      </w:pPr>
    </w:p>
    <w:p w14:paraId="39CB4FFD" w14:textId="43909116" w:rsidR="00F15C0E" w:rsidRPr="005C71B4" w:rsidRDefault="00F15C0E" w:rsidP="005C71B4">
      <w:pPr>
        <w:pStyle w:val="ListParagraph"/>
        <w:numPr>
          <w:ilvl w:val="1"/>
          <w:numId w:val="44"/>
        </w:numPr>
        <w:rPr>
          <w:rStyle w:val="Heading1Char"/>
        </w:rPr>
      </w:pPr>
      <w:bookmarkStart w:id="7" w:name="_Toc215590806"/>
      <w:r w:rsidRPr="005C71B4">
        <w:rPr>
          <w:rStyle w:val="Heading1Char"/>
        </w:rPr>
        <w:t>Research Hypothesis</w:t>
      </w:r>
      <w:bookmarkEnd w:id="7"/>
      <w:r w:rsidRPr="005C71B4">
        <w:rPr>
          <w:rStyle w:val="Heading1Char"/>
        </w:rPr>
        <w:t xml:space="preserve"> </w:t>
      </w:r>
    </w:p>
    <w:p w14:paraId="72F6A8C8" w14:textId="77777777" w:rsidR="00F15C0E" w:rsidRDefault="00F15C0E" w:rsidP="00F15C0E">
      <w:pPr>
        <w:pStyle w:val="ListParagraph"/>
        <w:rPr>
          <w:rFonts w:asciiTheme="majorBidi" w:eastAsiaTheme="majorEastAsia" w:hAnsiTheme="majorBidi" w:cstheme="majorBidi"/>
          <w:color w:val="2F5496" w:themeColor="accent1" w:themeShade="BF"/>
          <w:sz w:val="32"/>
          <w:szCs w:val="32"/>
        </w:rPr>
      </w:pPr>
    </w:p>
    <w:p w14:paraId="3958B37F" w14:textId="268F07D0" w:rsidR="00F15C0E" w:rsidRPr="00F15C0E" w:rsidRDefault="00D814AE" w:rsidP="00C057CF">
      <w:pPr>
        <w:pStyle w:val="ListParagraph"/>
        <w:spacing w:after="160" w:line="360" w:lineRule="auto"/>
        <w:rPr>
          <w:rFonts w:asciiTheme="majorBidi" w:eastAsiaTheme="minorEastAsia" w:hAnsiTheme="majorBidi" w:cstheme="majorBidi"/>
          <w:bCs/>
          <w:sz w:val="24"/>
          <w:szCs w:val="24"/>
          <w:lang w:val="en-US"/>
        </w:rPr>
      </w:pPr>
      <w:r>
        <w:rPr>
          <w:rFonts w:asciiTheme="majorBidi" w:eastAsiaTheme="minorEastAsia" w:hAnsiTheme="majorBidi" w:cstheme="majorBidi"/>
          <w:bCs/>
          <w:sz w:val="24"/>
          <w:szCs w:val="24"/>
          <w:lang w:val="en-US"/>
        </w:rPr>
        <w:t xml:space="preserve">We will propose 3 </w:t>
      </w:r>
      <w:r w:rsidR="00FB090C">
        <w:rPr>
          <w:rFonts w:asciiTheme="majorBidi" w:eastAsiaTheme="minorEastAsia" w:hAnsiTheme="majorBidi" w:cstheme="majorBidi"/>
          <w:bCs/>
          <w:sz w:val="24"/>
          <w:szCs w:val="24"/>
          <w:lang w:val="en-US"/>
        </w:rPr>
        <w:t>hypotheses</w:t>
      </w:r>
      <w:r>
        <w:rPr>
          <w:rFonts w:asciiTheme="majorBidi" w:eastAsiaTheme="minorEastAsia" w:hAnsiTheme="majorBidi" w:cstheme="majorBidi"/>
          <w:bCs/>
          <w:sz w:val="24"/>
          <w:szCs w:val="24"/>
          <w:lang w:val="en-US"/>
        </w:rPr>
        <w:t xml:space="preserve"> to be our ground foundation and where we will investigate from </w:t>
      </w:r>
    </w:p>
    <w:p w14:paraId="1C2D4B20" w14:textId="1BFEB03B" w:rsidR="00D814AE" w:rsidRDefault="00D814AE" w:rsidP="00D814AE">
      <w:pPr>
        <w:pStyle w:val="ListParagraph"/>
        <w:spacing w:after="160" w:line="360" w:lineRule="auto"/>
        <w:rPr>
          <w:rFonts w:asciiTheme="majorBidi" w:eastAsiaTheme="minorEastAsia" w:hAnsiTheme="majorBidi" w:cstheme="majorBidi"/>
          <w:bCs/>
          <w:sz w:val="24"/>
          <w:szCs w:val="24"/>
          <w:lang w:val="en-US"/>
        </w:rPr>
      </w:pPr>
      <w:r>
        <w:rPr>
          <w:rFonts w:asciiTheme="majorBidi" w:eastAsiaTheme="minorEastAsia" w:hAnsiTheme="majorBidi" w:cstheme="majorBidi"/>
          <w:bCs/>
          <w:sz w:val="24"/>
          <w:szCs w:val="24"/>
          <w:lang w:val="en-US"/>
        </w:rPr>
        <w:t>Hypothesis (</w:t>
      </w:r>
      <w:r w:rsidRPr="00D814AE">
        <w:rPr>
          <w:rFonts w:asciiTheme="majorBidi" w:eastAsiaTheme="minorEastAsia" w:hAnsiTheme="majorBidi" w:cstheme="majorBidi"/>
          <w:bCs/>
          <w:sz w:val="24"/>
          <w:szCs w:val="24"/>
          <w:lang w:val="en-US"/>
        </w:rPr>
        <w:t>H1</w:t>
      </w:r>
      <w:r>
        <w:rPr>
          <w:rFonts w:asciiTheme="majorBidi" w:eastAsiaTheme="minorEastAsia" w:hAnsiTheme="majorBidi" w:cstheme="majorBidi"/>
          <w:bCs/>
          <w:sz w:val="24"/>
          <w:szCs w:val="24"/>
          <w:lang w:val="en-US"/>
        </w:rPr>
        <w:t>)</w:t>
      </w:r>
      <w:r w:rsidRPr="00D814AE">
        <w:rPr>
          <w:rFonts w:asciiTheme="majorBidi" w:eastAsiaTheme="minorEastAsia" w:hAnsiTheme="majorBidi" w:cstheme="majorBidi"/>
          <w:bCs/>
          <w:sz w:val="24"/>
          <w:szCs w:val="24"/>
          <w:lang w:val="en-US"/>
        </w:rPr>
        <w:t xml:space="preserve"> Railway operators and maintainers with a higher level of digital maintenance maturity experience measurably better asset availability, reliability, and operational effectiveness compared to those relying on traditional preventive systems.</w:t>
      </w:r>
    </w:p>
    <w:p w14:paraId="7C015021" w14:textId="6983AD4C" w:rsidR="00D814AE" w:rsidRDefault="00D814AE" w:rsidP="00D814AE">
      <w:pPr>
        <w:pStyle w:val="ListParagraph"/>
        <w:spacing w:after="160" w:line="360" w:lineRule="auto"/>
        <w:rPr>
          <w:rFonts w:asciiTheme="majorBidi" w:eastAsiaTheme="minorEastAsia" w:hAnsiTheme="majorBidi" w:cstheme="majorBidi"/>
          <w:bCs/>
          <w:sz w:val="24"/>
          <w:szCs w:val="24"/>
          <w:lang w:val="en-US"/>
        </w:rPr>
      </w:pPr>
      <w:r>
        <w:rPr>
          <w:rFonts w:asciiTheme="majorBidi" w:eastAsiaTheme="minorEastAsia" w:hAnsiTheme="majorBidi" w:cstheme="majorBidi"/>
          <w:bCs/>
          <w:sz w:val="24"/>
          <w:szCs w:val="24"/>
          <w:lang w:val="en-US"/>
        </w:rPr>
        <w:t>Hypothesis</w:t>
      </w:r>
      <w:r w:rsidRPr="00D814AE">
        <w:rPr>
          <w:rFonts w:asciiTheme="majorBidi" w:eastAsiaTheme="minorEastAsia" w:hAnsiTheme="majorBidi" w:cstheme="majorBidi"/>
          <w:bCs/>
          <w:sz w:val="24"/>
          <w:szCs w:val="24"/>
          <w:lang w:val="en-US"/>
        </w:rPr>
        <w:t xml:space="preserve"> </w:t>
      </w:r>
      <w:r w:rsidR="00FB090C">
        <w:rPr>
          <w:rFonts w:asciiTheme="majorBidi" w:eastAsiaTheme="minorEastAsia" w:hAnsiTheme="majorBidi" w:cstheme="majorBidi"/>
          <w:bCs/>
          <w:sz w:val="24"/>
          <w:szCs w:val="24"/>
          <w:lang w:val="en-US"/>
        </w:rPr>
        <w:t>(</w:t>
      </w:r>
      <w:r w:rsidRPr="00D814AE">
        <w:rPr>
          <w:rFonts w:asciiTheme="majorBidi" w:eastAsiaTheme="minorEastAsia" w:hAnsiTheme="majorBidi" w:cstheme="majorBidi"/>
          <w:bCs/>
          <w:sz w:val="24"/>
          <w:szCs w:val="24"/>
          <w:lang w:val="en-US"/>
        </w:rPr>
        <w:t>H2</w:t>
      </w:r>
      <w:r w:rsidR="00FB090C">
        <w:rPr>
          <w:rFonts w:asciiTheme="majorBidi" w:eastAsiaTheme="minorEastAsia" w:hAnsiTheme="majorBidi" w:cstheme="majorBidi"/>
          <w:bCs/>
          <w:sz w:val="24"/>
          <w:szCs w:val="24"/>
          <w:lang w:val="en-US"/>
        </w:rPr>
        <w:t>)</w:t>
      </w:r>
      <w:r w:rsidRPr="00D814AE">
        <w:rPr>
          <w:rFonts w:asciiTheme="majorBidi" w:eastAsiaTheme="minorEastAsia" w:hAnsiTheme="majorBidi" w:cstheme="majorBidi"/>
          <w:bCs/>
          <w:sz w:val="24"/>
          <w:szCs w:val="24"/>
          <w:lang w:val="en-US"/>
        </w:rPr>
        <w:t xml:space="preserve"> The implementation of a structured, cognitive maintenance framework demonstrably reduces Total Cost of Ownership (TCO) and delivers a quantifiable positive Return on Investment (ROI) by minimizing both operational and opportunity costs. </w:t>
      </w:r>
    </w:p>
    <w:p w14:paraId="42FE63B4" w14:textId="19D9B665" w:rsidR="00D814AE" w:rsidRPr="00D814AE" w:rsidRDefault="00D814AE" w:rsidP="00D814AE">
      <w:pPr>
        <w:pStyle w:val="ListParagraph"/>
        <w:spacing w:after="160" w:line="360" w:lineRule="auto"/>
        <w:rPr>
          <w:rFonts w:asciiTheme="majorBidi" w:eastAsiaTheme="minorEastAsia" w:hAnsiTheme="majorBidi" w:cstheme="majorBidi"/>
          <w:bCs/>
          <w:sz w:val="24"/>
          <w:szCs w:val="24"/>
          <w:lang w:val="en-US"/>
        </w:rPr>
      </w:pPr>
      <w:r>
        <w:rPr>
          <w:rFonts w:asciiTheme="majorBidi" w:eastAsiaTheme="minorEastAsia" w:hAnsiTheme="majorBidi" w:cstheme="majorBidi"/>
          <w:bCs/>
          <w:sz w:val="24"/>
          <w:szCs w:val="24"/>
          <w:lang w:val="en-US"/>
        </w:rPr>
        <w:t>Hypothesis</w:t>
      </w:r>
      <w:r w:rsidRPr="00D814AE">
        <w:rPr>
          <w:rFonts w:asciiTheme="majorBidi" w:eastAsiaTheme="minorEastAsia" w:hAnsiTheme="majorBidi" w:cstheme="majorBidi"/>
          <w:bCs/>
          <w:sz w:val="24"/>
          <w:szCs w:val="24"/>
          <w:lang w:val="en-US"/>
        </w:rPr>
        <w:t xml:space="preserve"> </w:t>
      </w:r>
      <w:r w:rsidR="00FB090C">
        <w:rPr>
          <w:rFonts w:asciiTheme="majorBidi" w:eastAsiaTheme="minorEastAsia" w:hAnsiTheme="majorBidi" w:cstheme="majorBidi"/>
          <w:bCs/>
          <w:sz w:val="24"/>
          <w:szCs w:val="24"/>
          <w:lang w:val="en-US"/>
        </w:rPr>
        <w:t>(</w:t>
      </w:r>
      <w:r w:rsidRPr="00D814AE">
        <w:rPr>
          <w:rFonts w:asciiTheme="majorBidi" w:eastAsiaTheme="minorEastAsia" w:hAnsiTheme="majorBidi" w:cstheme="majorBidi"/>
          <w:bCs/>
          <w:sz w:val="24"/>
          <w:szCs w:val="24"/>
          <w:lang w:val="en-US"/>
        </w:rPr>
        <w:t>H3</w:t>
      </w:r>
      <w:r w:rsidR="00FB090C">
        <w:rPr>
          <w:rFonts w:asciiTheme="majorBidi" w:eastAsiaTheme="minorEastAsia" w:hAnsiTheme="majorBidi" w:cstheme="majorBidi"/>
          <w:bCs/>
          <w:sz w:val="24"/>
          <w:szCs w:val="24"/>
          <w:lang w:val="en-US"/>
        </w:rPr>
        <w:t>)</w:t>
      </w:r>
      <w:r w:rsidRPr="00D814AE">
        <w:rPr>
          <w:rFonts w:asciiTheme="majorBidi" w:eastAsiaTheme="minorEastAsia" w:hAnsiTheme="majorBidi" w:cstheme="majorBidi"/>
          <w:bCs/>
          <w:sz w:val="24"/>
          <w:szCs w:val="24"/>
          <w:lang w:val="en-US"/>
        </w:rPr>
        <w:t xml:space="preserve"> The adoption of a phased digital maturity roadmap, aligned with Sociotechnical Systems Theory, significantly increases the likelihood of successful, </w:t>
      </w:r>
      <w:r w:rsidRPr="00D814AE">
        <w:rPr>
          <w:rFonts w:asciiTheme="majorBidi" w:eastAsiaTheme="minorEastAsia" w:hAnsiTheme="majorBidi" w:cstheme="majorBidi"/>
          <w:bCs/>
          <w:sz w:val="24"/>
          <w:szCs w:val="24"/>
          <w:lang w:val="en-US"/>
        </w:rPr>
        <w:lastRenderedPageBreak/>
        <w:t>scalable, and sustainable implementation of Cognitive Maintenance systems within railway organizations.</w:t>
      </w:r>
    </w:p>
    <w:p w14:paraId="0E62CD35" w14:textId="1CFA2231" w:rsidR="00F15C0E" w:rsidRDefault="00F15C0E" w:rsidP="00C057CF">
      <w:pPr>
        <w:pStyle w:val="ListParagraph"/>
        <w:spacing w:after="160" w:line="360" w:lineRule="auto"/>
        <w:rPr>
          <w:rFonts w:asciiTheme="majorBidi" w:eastAsiaTheme="minorEastAsia" w:hAnsiTheme="majorBidi" w:cstheme="majorBidi"/>
          <w:bCs/>
          <w:sz w:val="24"/>
          <w:szCs w:val="24"/>
          <w:lang w:val="en-US"/>
        </w:rPr>
      </w:pPr>
      <w:r>
        <w:rPr>
          <w:rFonts w:asciiTheme="majorBidi" w:eastAsiaTheme="minorEastAsia" w:hAnsiTheme="majorBidi" w:cstheme="majorBidi"/>
          <w:bCs/>
          <w:sz w:val="24"/>
          <w:szCs w:val="24"/>
          <w:lang w:val="en-US"/>
        </w:rPr>
        <w:t xml:space="preserve">. </w:t>
      </w:r>
    </w:p>
    <w:p w14:paraId="673D568A" w14:textId="77777777" w:rsidR="00F15C0E" w:rsidRDefault="00F15C0E" w:rsidP="00F15C0E">
      <w:pPr>
        <w:pStyle w:val="ListParagraph"/>
        <w:rPr>
          <w:rFonts w:asciiTheme="majorBidi" w:eastAsiaTheme="majorEastAsia" w:hAnsiTheme="majorBidi" w:cstheme="majorBidi"/>
          <w:color w:val="2F5496" w:themeColor="accent1" w:themeShade="BF"/>
          <w:sz w:val="32"/>
          <w:szCs w:val="32"/>
        </w:rPr>
      </w:pPr>
    </w:p>
    <w:p w14:paraId="4EB5C4B9" w14:textId="3338C49E" w:rsidR="00F15C0E" w:rsidRDefault="005C71B4" w:rsidP="005C71B4">
      <w:pPr>
        <w:pStyle w:val="Heading1"/>
      </w:pPr>
      <w:bookmarkStart w:id="8" w:name="_Toc215590807"/>
      <w:r>
        <w:t>1.7</w:t>
      </w:r>
      <w:r>
        <w:tab/>
      </w:r>
      <w:r w:rsidR="00C057CF">
        <w:t>Theoretical</w:t>
      </w:r>
      <w:r w:rsidR="00F15C0E">
        <w:t xml:space="preserve"> Framework</w:t>
      </w:r>
      <w:bookmarkEnd w:id="8"/>
      <w:r w:rsidR="00F15C0E">
        <w:t xml:space="preserve"> </w:t>
      </w:r>
    </w:p>
    <w:p w14:paraId="68C8AB68" w14:textId="77777777" w:rsidR="00D814AE" w:rsidRDefault="00D814AE" w:rsidP="00D814AE">
      <w:pPr>
        <w:pStyle w:val="ListParagraph"/>
        <w:rPr>
          <w:rFonts w:asciiTheme="majorBidi" w:eastAsiaTheme="majorEastAsia" w:hAnsiTheme="majorBidi" w:cstheme="majorBidi"/>
          <w:color w:val="2F5496" w:themeColor="accent1" w:themeShade="BF"/>
          <w:sz w:val="32"/>
          <w:szCs w:val="32"/>
        </w:rPr>
      </w:pPr>
    </w:p>
    <w:p w14:paraId="0FF30B21" w14:textId="77777777" w:rsidR="00D814AE" w:rsidRPr="00D814AE" w:rsidRDefault="00D814AE" w:rsidP="00FB090C">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The entire study is anchored in a deliberate Triple-Helix Model that refuses to let technology, people, and money pull in different directions:</w:t>
      </w:r>
    </w:p>
    <w:p w14:paraId="79FEB5B2" w14:textId="77777777" w:rsidR="00D814AE" w:rsidRPr="00D814AE" w:rsidRDefault="00D814AE" w:rsidP="00FB090C">
      <w:pPr>
        <w:pStyle w:val="ListParagraph"/>
        <w:numPr>
          <w:ilvl w:val="0"/>
          <w:numId w:val="32"/>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Sociotechnical Systems Theory (STS) – Modern strand (</w:t>
      </w:r>
      <w:proofErr w:type="spellStart"/>
      <w:r w:rsidRPr="00D814AE">
        <w:rPr>
          <w:rFonts w:asciiTheme="majorBidi" w:eastAsiaTheme="minorEastAsia" w:hAnsiTheme="majorBidi" w:cstheme="majorBidi"/>
          <w:bCs/>
          <w:sz w:val="24"/>
          <w:szCs w:val="24"/>
          <w:lang w:val="en-US"/>
        </w:rPr>
        <w:t>Manathunge</w:t>
      </w:r>
      <w:proofErr w:type="spellEnd"/>
      <w:r w:rsidRPr="00D814AE">
        <w:rPr>
          <w:rFonts w:asciiTheme="majorBidi" w:eastAsiaTheme="minorEastAsia" w:hAnsiTheme="majorBidi" w:cstheme="majorBidi"/>
          <w:bCs/>
          <w:sz w:val="24"/>
          <w:szCs w:val="24"/>
          <w:lang w:val="en-US"/>
        </w:rPr>
        <w:t xml:space="preserve"> et al., 2021; </w:t>
      </w:r>
      <w:proofErr w:type="spellStart"/>
      <w:r w:rsidRPr="00D814AE">
        <w:rPr>
          <w:rFonts w:asciiTheme="majorBidi" w:eastAsiaTheme="minorEastAsia" w:hAnsiTheme="majorBidi" w:cstheme="majorBidi"/>
          <w:bCs/>
          <w:sz w:val="24"/>
          <w:szCs w:val="24"/>
          <w:lang w:val="en-US"/>
        </w:rPr>
        <w:t>Papadonikolaki</w:t>
      </w:r>
      <w:proofErr w:type="spellEnd"/>
      <w:r w:rsidRPr="00D814AE">
        <w:rPr>
          <w:rFonts w:asciiTheme="majorBidi" w:eastAsiaTheme="minorEastAsia" w:hAnsiTheme="majorBidi" w:cstheme="majorBidi"/>
          <w:bCs/>
          <w:sz w:val="24"/>
          <w:szCs w:val="24"/>
          <w:lang w:val="en-US"/>
        </w:rPr>
        <w:t xml:space="preserve"> et al., 2024) Every new sensor or algorithm constitutes a systemic perturbation. Success therefore demands joint </w:t>
      </w:r>
      <w:proofErr w:type="spellStart"/>
      <w:r w:rsidRPr="00D814AE">
        <w:rPr>
          <w:rFonts w:asciiTheme="majorBidi" w:eastAsiaTheme="minorEastAsia" w:hAnsiTheme="majorBidi" w:cstheme="majorBidi"/>
          <w:bCs/>
          <w:sz w:val="24"/>
          <w:szCs w:val="24"/>
          <w:lang w:val="en-US"/>
        </w:rPr>
        <w:t>optimisation</w:t>
      </w:r>
      <w:proofErr w:type="spellEnd"/>
      <w:r w:rsidRPr="00D814AE">
        <w:rPr>
          <w:rFonts w:asciiTheme="majorBidi" w:eastAsiaTheme="minorEastAsia" w:hAnsiTheme="majorBidi" w:cstheme="majorBidi"/>
          <w:bCs/>
          <w:sz w:val="24"/>
          <w:szCs w:val="24"/>
          <w:lang w:val="en-US"/>
        </w:rPr>
        <w:t xml:space="preserve"> of the technical subsystem (AI, edge devices, digital twins) and the social subsystem (trust, roles, identity, power). The roadmap explicitly pairs every technical gate with a social gate — e.g., “Level-4 Digital Twin deployment only after 80 % of maintainers have co-validated at least one prescriptive recommendation in a real fault scenario.”</w:t>
      </w:r>
    </w:p>
    <w:p w14:paraId="3B8D5D28" w14:textId="77777777" w:rsidR="00D814AE" w:rsidRPr="00D814AE" w:rsidRDefault="00D814AE" w:rsidP="00FB090C">
      <w:pPr>
        <w:pStyle w:val="ListParagraph"/>
        <w:numPr>
          <w:ilvl w:val="0"/>
          <w:numId w:val="32"/>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Rail Maintenance Digital Maturity Model (RMDMM) – Newly constructed in this research A six-level, five-dimension framework (Data &amp; Connectivity | Analytics &amp; Intelligence | Automation &amp; Autonomy | </w:t>
      </w:r>
      <w:proofErr w:type="spellStart"/>
      <w:r w:rsidRPr="00D814AE">
        <w:rPr>
          <w:rFonts w:asciiTheme="majorBidi" w:eastAsiaTheme="minorEastAsia" w:hAnsiTheme="majorBidi" w:cstheme="majorBidi"/>
          <w:bCs/>
          <w:sz w:val="24"/>
          <w:szCs w:val="24"/>
          <w:lang w:val="en-US"/>
        </w:rPr>
        <w:t>Organisational</w:t>
      </w:r>
      <w:proofErr w:type="spellEnd"/>
      <w:r w:rsidRPr="00D814AE">
        <w:rPr>
          <w:rFonts w:asciiTheme="majorBidi" w:eastAsiaTheme="minorEastAsia" w:hAnsiTheme="majorBidi" w:cstheme="majorBidi"/>
          <w:bCs/>
          <w:sz w:val="24"/>
          <w:szCs w:val="24"/>
          <w:lang w:val="en-US"/>
        </w:rPr>
        <w:t xml:space="preserve"> Agility | Ecosystem &amp; Regulation) with rail-specific descriptors and required evidence at each cell. Tested against Deutsche Bahn’s ICE-4 </w:t>
      </w:r>
      <w:proofErr w:type="spellStart"/>
      <w:r w:rsidRPr="00D814AE">
        <w:rPr>
          <w:rFonts w:asciiTheme="majorBidi" w:eastAsiaTheme="minorEastAsia" w:hAnsiTheme="majorBidi" w:cstheme="majorBidi"/>
          <w:bCs/>
          <w:sz w:val="24"/>
          <w:szCs w:val="24"/>
          <w:lang w:val="en-US"/>
        </w:rPr>
        <w:t>programme</w:t>
      </w:r>
      <w:proofErr w:type="spellEnd"/>
      <w:r w:rsidRPr="00D814AE">
        <w:rPr>
          <w:rFonts w:asciiTheme="majorBidi" w:eastAsiaTheme="minorEastAsia" w:hAnsiTheme="majorBidi" w:cstheme="majorBidi"/>
          <w:bCs/>
          <w:sz w:val="24"/>
          <w:szCs w:val="24"/>
          <w:lang w:val="en-US"/>
        </w:rPr>
        <w:t>, JR East’s E8 Series, and the CAF–SAR fleet.</w:t>
      </w:r>
    </w:p>
    <w:p w14:paraId="45C027B2" w14:textId="77777777" w:rsidR="00FB090C" w:rsidRDefault="00D814AE" w:rsidP="00FB090C">
      <w:pPr>
        <w:pStyle w:val="ListParagraph"/>
        <w:numPr>
          <w:ilvl w:val="0"/>
          <w:numId w:val="32"/>
        </w:numPr>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ISO 55000 + IEC 60300-3-3 Lifecycle Value Theory Every proposed initiative must pass a simultaneous three-way test: </w:t>
      </w:r>
    </w:p>
    <w:p w14:paraId="0DE46C3D" w14:textId="77777777" w:rsidR="00FB090C" w:rsidRDefault="00D814AE" w:rsidP="00FB090C">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(a) Does it improve joint sociotechnical performance? </w:t>
      </w:r>
    </w:p>
    <w:p w14:paraId="52FE8443" w14:textId="77777777" w:rsidR="00FB090C" w:rsidRDefault="00D814AE" w:rsidP="00FB090C">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(b) Does it raise the </w:t>
      </w:r>
      <w:r w:rsidR="00FB090C" w:rsidRPr="00D814AE">
        <w:rPr>
          <w:rFonts w:asciiTheme="majorBidi" w:eastAsiaTheme="minorEastAsia" w:hAnsiTheme="majorBidi" w:cstheme="majorBidi"/>
          <w:bCs/>
          <w:sz w:val="24"/>
          <w:szCs w:val="24"/>
          <w:lang w:val="en-US"/>
        </w:rPr>
        <w:t>organization</w:t>
      </w:r>
      <w:r w:rsidRPr="00D814AE">
        <w:rPr>
          <w:rFonts w:asciiTheme="majorBidi" w:eastAsiaTheme="minorEastAsia" w:hAnsiTheme="majorBidi" w:cstheme="majorBidi"/>
          <w:bCs/>
          <w:sz w:val="24"/>
          <w:szCs w:val="24"/>
          <w:lang w:val="en-US"/>
        </w:rPr>
        <w:t xml:space="preserve"> at least one maturity cell? </w:t>
      </w:r>
    </w:p>
    <w:p w14:paraId="393BAC29" w14:textId="0F19271F" w:rsidR="00D814AE" w:rsidRPr="00D814AE" w:rsidRDefault="00D814AE" w:rsidP="00FB090C">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(c) Does it deliver a positive shift in risk-adjusted NPV over the asset’s life?</w:t>
      </w:r>
    </w:p>
    <w:p w14:paraId="41487890" w14:textId="77777777" w:rsidR="00D814AE" w:rsidRPr="00D814AE" w:rsidRDefault="00D814AE" w:rsidP="00FB090C">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Only initiatives that satisfy all three tests enter the transformation portfolio.</w:t>
      </w:r>
    </w:p>
    <w:p w14:paraId="1445F3B9" w14:textId="4A590CF9" w:rsidR="00D814AE" w:rsidRPr="00D814AE" w:rsidRDefault="00D814AE" w:rsidP="00FB090C">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t xml:space="preserve">Secondary lenses — Dynamic Capabilities (Teece, 2018) and Institutional Theory (Greenwood et al., 2017) — are </w:t>
      </w:r>
      <w:r w:rsidR="00FB090C" w:rsidRPr="00D814AE">
        <w:rPr>
          <w:rFonts w:asciiTheme="majorBidi" w:eastAsiaTheme="minorEastAsia" w:hAnsiTheme="majorBidi" w:cstheme="majorBidi"/>
          <w:bCs/>
          <w:sz w:val="24"/>
          <w:szCs w:val="24"/>
          <w:lang w:val="en-US"/>
        </w:rPr>
        <w:t>mobilized</w:t>
      </w:r>
      <w:r w:rsidRPr="00D814AE">
        <w:rPr>
          <w:rFonts w:asciiTheme="majorBidi" w:eastAsiaTheme="minorEastAsia" w:hAnsiTheme="majorBidi" w:cstheme="majorBidi"/>
          <w:bCs/>
          <w:sz w:val="24"/>
          <w:szCs w:val="24"/>
          <w:lang w:val="en-US"/>
        </w:rPr>
        <w:t xml:space="preserve"> selectively to explain why some railways move faster than others, but the Triple-Helix remains the primary engine.</w:t>
      </w:r>
    </w:p>
    <w:p w14:paraId="5AA3B7A7" w14:textId="77777777" w:rsidR="00D814AE" w:rsidRPr="00D814AE" w:rsidRDefault="00D814AE" w:rsidP="00FB090C">
      <w:pPr>
        <w:pStyle w:val="ListParagraph"/>
        <w:spacing w:after="160" w:line="360" w:lineRule="auto"/>
        <w:rPr>
          <w:rFonts w:asciiTheme="majorBidi" w:eastAsiaTheme="minorEastAsia" w:hAnsiTheme="majorBidi" w:cstheme="majorBidi"/>
          <w:bCs/>
          <w:sz w:val="24"/>
          <w:szCs w:val="24"/>
          <w:lang w:val="en-US"/>
        </w:rPr>
      </w:pPr>
      <w:r w:rsidRPr="00D814AE">
        <w:rPr>
          <w:rFonts w:asciiTheme="majorBidi" w:eastAsiaTheme="minorEastAsia" w:hAnsiTheme="majorBidi" w:cstheme="majorBidi"/>
          <w:bCs/>
          <w:sz w:val="24"/>
          <w:szCs w:val="24"/>
          <w:lang w:val="en-US"/>
        </w:rPr>
        <w:lastRenderedPageBreak/>
        <w:t>This disciplined synthesis is what transforms an inspiring vision into an executable strategy that can be defended in any boardroom or workshop floor on the planet.</w:t>
      </w:r>
    </w:p>
    <w:p w14:paraId="5C33FB46" w14:textId="77777777" w:rsidR="0030542D" w:rsidRDefault="0030542D" w:rsidP="00C057CF">
      <w:pPr>
        <w:pStyle w:val="ListParagraph"/>
        <w:spacing w:after="160" w:line="360" w:lineRule="auto"/>
        <w:rPr>
          <w:rFonts w:asciiTheme="majorBidi" w:eastAsiaTheme="minorEastAsia" w:hAnsiTheme="majorBidi" w:cstheme="majorBidi"/>
          <w:bCs/>
          <w:sz w:val="24"/>
          <w:szCs w:val="24"/>
          <w:lang w:val="en-US"/>
        </w:rPr>
      </w:pPr>
    </w:p>
    <w:p w14:paraId="3BC0139A" w14:textId="4A71BE95" w:rsidR="0030542D" w:rsidRPr="005C71B4" w:rsidRDefault="005C71B4" w:rsidP="005C71B4">
      <w:pPr>
        <w:spacing w:after="160" w:line="259" w:lineRule="auto"/>
        <w:rPr>
          <w:rFonts w:asciiTheme="majorBidi" w:eastAsiaTheme="majorEastAsia" w:hAnsiTheme="majorBidi" w:cstheme="majorBidi"/>
          <w:color w:val="2F5496" w:themeColor="accent1" w:themeShade="BF"/>
          <w:sz w:val="32"/>
          <w:szCs w:val="32"/>
          <w:lang w:val="en-US"/>
        </w:rPr>
      </w:pPr>
      <w:r>
        <w:rPr>
          <w:rFonts w:asciiTheme="majorBidi" w:eastAsiaTheme="majorEastAsia" w:hAnsiTheme="majorBidi" w:cstheme="majorBidi"/>
          <w:color w:val="2F5496" w:themeColor="accent1" w:themeShade="BF"/>
          <w:sz w:val="32"/>
          <w:szCs w:val="32"/>
          <w:lang w:val="en-US"/>
        </w:rPr>
        <w:br w:type="page"/>
      </w:r>
    </w:p>
    <w:p w14:paraId="730F7003" w14:textId="43D6B5AA" w:rsidR="00D44D33" w:rsidRPr="003643D3" w:rsidRDefault="00D9629D" w:rsidP="005C71B4">
      <w:pPr>
        <w:pStyle w:val="Heading1"/>
        <w:numPr>
          <w:ilvl w:val="0"/>
          <w:numId w:val="44"/>
        </w:numPr>
        <w:rPr>
          <w:rFonts w:asciiTheme="majorBidi" w:hAnsiTheme="majorBidi"/>
        </w:rPr>
      </w:pPr>
      <w:bookmarkStart w:id="9" w:name="_Toc215590808"/>
      <w:r w:rsidRPr="003643D3">
        <w:rPr>
          <w:rFonts w:asciiTheme="majorBidi" w:hAnsiTheme="majorBidi"/>
        </w:rPr>
        <w:lastRenderedPageBreak/>
        <w:t>Chapter 2: literature Review and Conceptual Framework</w:t>
      </w:r>
      <w:bookmarkEnd w:id="9"/>
    </w:p>
    <w:p w14:paraId="7A019C20" w14:textId="320FA8BD" w:rsidR="00D9629D" w:rsidRDefault="005C71B4" w:rsidP="005C71B4">
      <w:pPr>
        <w:pStyle w:val="Heading1"/>
      </w:pPr>
      <w:bookmarkStart w:id="10" w:name="_Toc215590809"/>
      <w:r>
        <w:t>2.1</w:t>
      </w:r>
      <w:r>
        <w:tab/>
      </w:r>
      <w:r w:rsidR="00D9629D" w:rsidRPr="00D9629D">
        <w:t>Introduction</w:t>
      </w:r>
      <w:r w:rsidR="00D9629D">
        <w:t>.</w:t>
      </w:r>
      <w:bookmarkEnd w:id="10"/>
    </w:p>
    <w:p w14:paraId="4A5A2447" w14:textId="77777777" w:rsidR="008F7191" w:rsidRPr="008F7191" w:rsidRDefault="008F7191" w:rsidP="00FB090C">
      <w:pPr>
        <w:pStyle w:val="ListParagraph"/>
        <w:spacing w:after="160" w:line="360" w:lineRule="auto"/>
        <w:ind w:left="1440"/>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t>This chapter systematically maps the intellectual territory that the thesis occupies. Rather than offering an exhaustive catalogue of every paper on railway maintenance, the review deliberately focuses on three interrelated streams that together explain why most digital-transformation attempts in the sector fail to scale:</w:t>
      </w:r>
    </w:p>
    <w:p w14:paraId="7F2E8198" w14:textId="77777777" w:rsidR="008F7191" w:rsidRPr="008F7191" w:rsidRDefault="008F7191" w:rsidP="00FB090C">
      <w:pPr>
        <w:pStyle w:val="ListParagraph"/>
        <w:numPr>
          <w:ilvl w:val="0"/>
          <w:numId w:val="33"/>
        </w:numPr>
        <w:spacing w:after="160" w:line="360" w:lineRule="auto"/>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t>The evolution of maintenance philosophy and the emergence of cognitive/prescriptive systems</w:t>
      </w:r>
    </w:p>
    <w:p w14:paraId="362EA133" w14:textId="77777777" w:rsidR="008F7191" w:rsidRPr="008F7191" w:rsidRDefault="008F7191" w:rsidP="00FB090C">
      <w:pPr>
        <w:pStyle w:val="ListParagraph"/>
        <w:numPr>
          <w:ilvl w:val="0"/>
          <w:numId w:val="33"/>
        </w:numPr>
        <w:spacing w:after="160" w:line="360" w:lineRule="auto"/>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t>The technological enablers that have only recently become industrially viable (2023–2025)</w:t>
      </w:r>
    </w:p>
    <w:p w14:paraId="35EAFA78" w14:textId="2A919250" w:rsidR="008F7191" w:rsidRPr="008F7191" w:rsidRDefault="008F7191" w:rsidP="00FB090C">
      <w:pPr>
        <w:pStyle w:val="ListParagraph"/>
        <w:numPr>
          <w:ilvl w:val="0"/>
          <w:numId w:val="33"/>
        </w:numPr>
        <w:spacing w:after="160" w:line="360" w:lineRule="auto"/>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t xml:space="preserve">The </w:t>
      </w:r>
      <w:r w:rsidRPr="00FB090C">
        <w:rPr>
          <w:rFonts w:asciiTheme="majorBidi" w:eastAsiaTheme="minorEastAsia" w:hAnsiTheme="majorBidi" w:cstheme="majorBidi"/>
          <w:bCs/>
          <w:sz w:val="24"/>
          <w:szCs w:val="24"/>
          <w:lang w:val="en-US"/>
        </w:rPr>
        <w:t>organizational</w:t>
      </w:r>
      <w:r w:rsidRPr="008F7191">
        <w:rPr>
          <w:rFonts w:asciiTheme="majorBidi" w:eastAsiaTheme="minorEastAsia" w:hAnsiTheme="majorBidi" w:cstheme="majorBidi"/>
          <w:bCs/>
          <w:sz w:val="24"/>
          <w:szCs w:val="24"/>
          <w:lang w:val="en-US"/>
        </w:rPr>
        <w:t>, financial, and institutional barriers that turn promising pilots into expensive museum pieces</w:t>
      </w:r>
    </w:p>
    <w:p w14:paraId="12979860" w14:textId="731DB178" w:rsidR="008F7191" w:rsidRPr="008F7191" w:rsidRDefault="008F7191" w:rsidP="00FB090C">
      <w:pPr>
        <w:pStyle w:val="ListParagraph"/>
        <w:spacing w:after="160" w:line="360" w:lineRule="auto"/>
        <w:ind w:left="1440"/>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t xml:space="preserve">The review adopts a funnel approach: beginning with the broad evolution of maintenance thinking, narrowing to railway-specific applications, and finally </w:t>
      </w:r>
      <w:r w:rsidRPr="00FB090C">
        <w:rPr>
          <w:rFonts w:asciiTheme="majorBidi" w:eastAsiaTheme="minorEastAsia" w:hAnsiTheme="majorBidi" w:cstheme="majorBidi"/>
          <w:bCs/>
          <w:sz w:val="24"/>
          <w:szCs w:val="24"/>
          <w:lang w:val="en-US"/>
        </w:rPr>
        <w:t>crystallizing</w:t>
      </w:r>
      <w:r w:rsidRPr="008F7191">
        <w:rPr>
          <w:rFonts w:asciiTheme="majorBidi" w:eastAsiaTheme="minorEastAsia" w:hAnsiTheme="majorBidi" w:cstheme="majorBidi"/>
          <w:bCs/>
          <w:sz w:val="24"/>
          <w:szCs w:val="24"/>
          <w:lang w:val="en-US"/>
        </w:rPr>
        <w:t xml:space="preserve"> the precise research gap that this thesis closes.</w:t>
      </w:r>
    </w:p>
    <w:p w14:paraId="70DCDB58" w14:textId="77777777" w:rsidR="00D9629D" w:rsidRDefault="00D9629D" w:rsidP="00D9629D">
      <w:pPr>
        <w:pStyle w:val="ListParagraph"/>
        <w:ind w:left="1440"/>
        <w:rPr>
          <w:rFonts w:asciiTheme="majorBidi" w:eastAsiaTheme="majorEastAsia" w:hAnsiTheme="majorBidi" w:cstheme="majorBidi"/>
          <w:color w:val="2F5496" w:themeColor="accent1" w:themeShade="BF"/>
          <w:sz w:val="32"/>
          <w:szCs w:val="32"/>
        </w:rPr>
      </w:pPr>
    </w:p>
    <w:p w14:paraId="1578C611" w14:textId="448DA088" w:rsidR="00D9629D" w:rsidRDefault="005C71B4" w:rsidP="005C71B4">
      <w:pPr>
        <w:pStyle w:val="Heading1"/>
      </w:pPr>
      <w:bookmarkStart w:id="11" w:name="_Toc215590810"/>
      <w:r>
        <w:t>2.2</w:t>
      </w:r>
      <w:r>
        <w:tab/>
      </w:r>
      <w:r w:rsidR="00D9629D">
        <w:t>The Dependant Variable: Cognitive Zero- downtime Operation</w:t>
      </w:r>
      <w:bookmarkEnd w:id="11"/>
    </w:p>
    <w:p w14:paraId="098C211C" w14:textId="77777777" w:rsidR="00FE7330" w:rsidRDefault="00FE7330" w:rsidP="00FE7330">
      <w:pPr>
        <w:pStyle w:val="ListParagraph"/>
        <w:ind w:left="1440"/>
        <w:rPr>
          <w:rFonts w:asciiTheme="majorBidi" w:eastAsiaTheme="majorEastAsia" w:hAnsiTheme="majorBidi" w:cstheme="majorBidi"/>
          <w:color w:val="2F5496" w:themeColor="accent1" w:themeShade="BF"/>
          <w:sz w:val="32"/>
          <w:szCs w:val="32"/>
        </w:rPr>
      </w:pPr>
    </w:p>
    <w:p w14:paraId="0818BA46" w14:textId="77777777" w:rsidR="00FE7330" w:rsidRPr="00FE7330" w:rsidRDefault="00FE7330" w:rsidP="00FB090C">
      <w:pPr>
        <w:pStyle w:val="ListParagraph"/>
        <w:spacing w:after="160" w:line="360" w:lineRule="auto"/>
        <w:ind w:left="1440"/>
        <w:rPr>
          <w:rFonts w:asciiTheme="majorBidi" w:eastAsiaTheme="minorEastAsia" w:hAnsiTheme="majorBidi" w:cstheme="majorBidi"/>
          <w:bCs/>
          <w:sz w:val="24"/>
          <w:szCs w:val="24"/>
          <w:lang w:val="en-US"/>
        </w:rPr>
      </w:pPr>
      <w:r w:rsidRPr="00FE7330">
        <w:rPr>
          <w:rFonts w:asciiTheme="majorBidi" w:eastAsiaTheme="minorEastAsia" w:hAnsiTheme="majorBidi" w:cstheme="majorBidi"/>
          <w:bCs/>
          <w:sz w:val="24"/>
          <w:szCs w:val="24"/>
          <w:lang w:val="en-US"/>
        </w:rPr>
        <w:t>The dependent variable in this research is the resultant state of asset performance, availability, and efficiency achieved through the deployment of a strategic transformation roadmap, often conceptualized as cognitive zero-downtime operations.</w:t>
      </w:r>
    </w:p>
    <w:p w14:paraId="37AEB1AC" w14:textId="77777777" w:rsidR="00FE7330" w:rsidRPr="00FE7330" w:rsidRDefault="00FE7330" w:rsidP="005E2F15">
      <w:pPr>
        <w:pStyle w:val="ListParagraph"/>
        <w:spacing w:after="160" w:line="360" w:lineRule="auto"/>
        <w:ind w:left="1440"/>
        <w:rPr>
          <w:rFonts w:asciiTheme="majorBidi" w:eastAsiaTheme="minorEastAsia" w:hAnsiTheme="majorBidi" w:cstheme="majorBidi"/>
          <w:bCs/>
          <w:sz w:val="24"/>
          <w:szCs w:val="24"/>
          <w:lang w:val="en-US"/>
        </w:rPr>
      </w:pPr>
    </w:p>
    <w:p w14:paraId="6C6F030F" w14:textId="79D5517A" w:rsidR="008F7191" w:rsidRDefault="00FE7330" w:rsidP="008F7191">
      <w:pPr>
        <w:pStyle w:val="ListParagraph"/>
        <w:numPr>
          <w:ilvl w:val="2"/>
          <w:numId w:val="20"/>
        </w:numPr>
        <w:spacing w:after="160" w:line="360" w:lineRule="auto"/>
        <w:rPr>
          <w:rFonts w:asciiTheme="majorBidi" w:eastAsiaTheme="minorEastAsia" w:hAnsiTheme="majorBidi" w:cstheme="majorBidi"/>
          <w:bCs/>
          <w:sz w:val="24"/>
          <w:szCs w:val="24"/>
          <w:lang w:val="en-US"/>
        </w:rPr>
      </w:pPr>
      <w:r w:rsidRPr="00FE7330">
        <w:rPr>
          <w:rFonts w:asciiTheme="majorBidi" w:eastAsiaTheme="minorEastAsia" w:hAnsiTheme="majorBidi" w:cstheme="majorBidi"/>
          <w:bCs/>
          <w:sz w:val="24"/>
          <w:szCs w:val="24"/>
          <w:lang w:val="en-US"/>
        </w:rPr>
        <w:t xml:space="preserve">defining the ultimate state: </w:t>
      </w:r>
    </w:p>
    <w:p w14:paraId="7E0BB004" w14:textId="77777777" w:rsidR="008F7191" w:rsidRPr="008F7191" w:rsidRDefault="008F7191" w:rsidP="008F7191">
      <w:pPr>
        <w:pStyle w:val="ListParagraph"/>
        <w:spacing w:after="160" w:line="360" w:lineRule="auto"/>
        <w:ind w:left="1440"/>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t xml:space="preserve">The maintenance literature has moved through distinct paradigms over the past seven decades (Moubray, 1997; Campbell &amp; Reyes-Picknell, 2015; </w:t>
      </w:r>
      <w:proofErr w:type="spellStart"/>
      <w:r w:rsidRPr="008F7191">
        <w:rPr>
          <w:rFonts w:asciiTheme="majorBidi" w:eastAsiaTheme="minorEastAsia" w:hAnsiTheme="majorBidi" w:cstheme="majorBidi"/>
          <w:bCs/>
          <w:sz w:val="24"/>
          <w:szCs w:val="24"/>
          <w:lang w:val="en-US"/>
        </w:rPr>
        <w:t>Bokrantz</w:t>
      </w:r>
      <w:proofErr w:type="spellEnd"/>
      <w:r w:rsidRPr="008F7191">
        <w:rPr>
          <w:rFonts w:asciiTheme="majorBidi" w:eastAsiaTheme="minorEastAsia" w:hAnsiTheme="majorBidi" w:cstheme="majorBidi"/>
          <w:bCs/>
          <w:sz w:val="24"/>
          <w:szCs w:val="24"/>
          <w:lang w:val="en-US"/>
        </w:rPr>
        <w:t xml:space="preserve"> et al., 2023):</w:t>
      </w:r>
    </w:p>
    <w:p w14:paraId="216C980B" w14:textId="77777777" w:rsidR="008F7191" w:rsidRPr="008F7191" w:rsidRDefault="008F7191" w:rsidP="008F7191">
      <w:pPr>
        <w:pStyle w:val="ListParagraph"/>
        <w:numPr>
          <w:ilvl w:val="0"/>
          <w:numId w:val="34"/>
        </w:numPr>
        <w:spacing w:after="160" w:line="360" w:lineRule="auto"/>
        <w:rPr>
          <w:rFonts w:asciiTheme="majorBidi" w:eastAsiaTheme="minorEastAsia" w:hAnsiTheme="majorBidi" w:cstheme="majorBidi"/>
          <w:sz w:val="24"/>
          <w:szCs w:val="24"/>
          <w:lang w:val="en-US"/>
        </w:rPr>
      </w:pPr>
      <w:r w:rsidRPr="008F7191">
        <w:rPr>
          <w:rFonts w:asciiTheme="majorBidi" w:eastAsiaTheme="minorEastAsia" w:hAnsiTheme="majorBidi" w:cstheme="majorBidi"/>
          <w:sz w:val="24"/>
          <w:szCs w:val="24"/>
          <w:lang w:val="en-US"/>
        </w:rPr>
        <w:t>Reactive → Preventive → Condition-Based/Predictive (CBM/</w:t>
      </w:r>
      <w:proofErr w:type="spellStart"/>
      <w:r w:rsidRPr="008F7191">
        <w:rPr>
          <w:rFonts w:asciiTheme="majorBidi" w:eastAsiaTheme="minorEastAsia" w:hAnsiTheme="majorBidi" w:cstheme="majorBidi"/>
          <w:sz w:val="24"/>
          <w:szCs w:val="24"/>
          <w:lang w:val="en-US"/>
        </w:rPr>
        <w:t>PdM</w:t>
      </w:r>
      <w:proofErr w:type="spellEnd"/>
      <w:r w:rsidRPr="008F7191">
        <w:rPr>
          <w:rFonts w:asciiTheme="majorBidi" w:eastAsiaTheme="minorEastAsia" w:hAnsiTheme="majorBidi" w:cstheme="majorBidi"/>
          <w:sz w:val="24"/>
          <w:szCs w:val="24"/>
          <w:lang w:val="en-US"/>
        </w:rPr>
        <w:t>) → Prescriptive (</w:t>
      </w:r>
      <w:proofErr w:type="spellStart"/>
      <w:r w:rsidRPr="008F7191">
        <w:rPr>
          <w:rFonts w:asciiTheme="majorBidi" w:eastAsiaTheme="minorEastAsia" w:hAnsiTheme="majorBidi" w:cstheme="majorBidi"/>
          <w:sz w:val="24"/>
          <w:szCs w:val="24"/>
          <w:lang w:val="en-US"/>
        </w:rPr>
        <w:t>PsM</w:t>
      </w:r>
      <w:proofErr w:type="spellEnd"/>
      <w:r w:rsidRPr="008F7191">
        <w:rPr>
          <w:rFonts w:asciiTheme="majorBidi" w:eastAsiaTheme="minorEastAsia" w:hAnsiTheme="majorBidi" w:cstheme="majorBidi"/>
          <w:sz w:val="24"/>
          <w:szCs w:val="24"/>
          <w:lang w:val="en-US"/>
        </w:rPr>
        <w:t>) → Cognitive/Autonomous</w:t>
      </w:r>
    </w:p>
    <w:p w14:paraId="5E11AAF2" w14:textId="77777777" w:rsidR="008F7191" w:rsidRPr="008F7191" w:rsidRDefault="008F7191" w:rsidP="00FB090C">
      <w:pPr>
        <w:pStyle w:val="ListParagraph"/>
        <w:spacing w:after="160" w:line="360" w:lineRule="auto"/>
        <w:ind w:left="1440"/>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lastRenderedPageBreak/>
        <w:t>The majority of railway operators worldwide remain anchored between Preventive and early Predictive (Kumar et al., 2023; UIC, 2024). The academic and industry frontier, however, has now shifted decisively to Prescriptive and Cognitive maintenance.</w:t>
      </w:r>
    </w:p>
    <w:p w14:paraId="66D7F4A8" w14:textId="3E7A2351" w:rsidR="008F7191" w:rsidRPr="008F7191" w:rsidRDefault="008F7191" w:rsidP="00FB090C">
      <w:pPr>
        <w:pStyle w:val="ListParagraph"/>
        <w:spacing w:after="160" w:line="360" w:lineRule="auto"/>
        <w:ind w:left="1440"/>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t>Prescriptive maintenance does not merely forecast when a component will fail; it autonomously recommends what should be done, by whom, where, and when, while simultaneously optimi</w:t>
      </w:r>
      <w:r w:rsidR="00FB090C">
        <w:rPr>
          <w:rFonts w:asciiTheme="majorBidi" w:eastAsiaTheme="minorEastAsia" w:hAnsiTheme="majorBidi" w:cstheme="majorBidi"/>
          <w:bCs/>
          <w:sz w:val="24"/>
          <w:szCs w:val="24"/>
          <w:lang w:val="en-US"/>
        </w:rPr>
        <w:t>z</w:t>
      </w:r>
      <w:r w:rsidRPr="008F7191">
        <w:rPr>
          <w:rFonts w:asciiTheme="majorBidi" w:eastAsiaTheme="minorEastAsia" w:hAnsiTheme="majorBidi" w:cstheme="majorBidi"/>
          <w:bCs/>
          <w:sz w:val="24"/>
          <w:szCs w:val="24"/>
          <w:lang w:val="en-US"/>
        </w:rPr>
        <w:t xml:space="preserve">ing across conflicting constraints (train diagrams, crew availability, spare-part lead times, revenue impact). Cognitive maintenance takes the final step: the system learns continuously, self-corrects its own models, and eventually executes decisions with only human-in-the-loop for exceptions (Gopalakrishnan et al., 2020; </w:t>
      </w:r>
      <w:proofErr w:type="spellStart"/>
      <w:r w:rsidRPr="008F7191">
        <w:rPr>
          <w:rFonts w:asciiTheme="majorBidi" w:eastAsiaTheme="minorEastAsia" w:hAnsiTheme="majorBidi" w:cstheme="majorBidi"/>
          <w:bCs/>
          <w:sz w:val="24"/>
          <w:szCs w:val="24"/>
          <w:lang w:val="en-US"/>
        </w:rPr>
        <w:t>Manathunge</w:t>
      </w:r>
      <w:proofErr w:type="spellEnd"/>
      <w:r w:rsidRPr="008F7191">
        <w:rPr>
          <w:rFonts w:asciiTheme="majorBidi" w:eastAsiaTheme="minorEastAsia" w:hAnsiTheme="majorBidi" w:cstheme="majorBidi"/>
          <w:bCs/>
          <w:sz w:val="24"/>
          <w:szCs w:val="24"/>
          <w:lang w:val="en-US"/>
        </w:rPr>
        <w:t xml:space="preserve"> et al., 2021; </w:t>
      </w:r>
      <w:proofErr w:type="spellStart"/>
      <w:r w:rsidRPr="008F7191">
        <w:rPr>
          <w:rFonts w:asciiTheme="majorBidi" w:eastAsiaTheme="minorEastAsia" w:hAnsiTheme="majorBidi" w:cstheme="majorBidi"/>
          <w:bCs/>
          <w:sz w:val="24"/>
          <w:szCs w:val="24"/>
          <w:lang w:val="en-US"/>
        </w:rPr>
        <w:t>Consilvio</w:t>
      </w:r>
      <w:proofErr w:type="spellEnd"/>
      <w:r w:rsidRPr="008F7191">
        <w:rPr>
          <w:rFonts w:asciiTheme="majorBidi" w:eastAsiaTheme="minorEastAsia" w:hAnsiTheme="majorBidi" w:cstheme="majorBidi"/>
          <w:bCs/>
          <w:sz w:val="24"/>
          <w:szCs w:val="24"/>
          <w:lang w:val="en-US"/>
        </w:rPr>
        <w:t xml:space="preserve"> et al., 2025).</w:t>
      </w:r>
    </w:p>
    <w:p w14:paraId="05D1BCB5" w14:textId="77777777" w:rsidR="008F7191" w:rsidRPr="008F7191" w:rsidRDefault="008F7191" w:rsidP="00FB090C">
      <w:pPr>
        <w:pStyle w:val="ListParagraph"/>
        <w:spacing w:after="160" w:line="360" w:lineRule="auto"/>
        <w:ind w:left="1440"/>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t>Recent large-scale demonstrations illustrate the leap:</w:t>
      </w:r>
    </w:p>
    <w:p w14:paraId="5A411FE7" w14:textId="77777777" w:rsidR="008F7191" w:rsidRPr="008F7191" w:rsidRDefault="008F7191" w:rsidP="008F7191">
      <w:pPr>
        <w:pStyle w:val="ListParagraph"/>
        <w:numPr>
          <w:ilvl w:val="0"/>
          <w:numId w:val="35"/>
        </w:numPr>
        <w:spacing w:after="160" w:line="360" w:lineRule="auto"/>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t xml:space="preserve">Deutsche Bahn’s ICE-4 fleet (2023–2025) achieved a 38 % reduction in unscheduled corrective actions through prescriptive scheduling (DB </w:t>
      </w:r>
      <w:proofErr w:type="spellStart"/>
      <w:r w:rsidRPr="008F7191">
        <w:rPr>
          <w:rFonts w:asciiTheme="majorBidi" w:eastAsiaTheme="minorEastAsia" w:hAnsiTheme="majorBidi" w:cstheme="majorBidi"/>
          <w:bCs/>
          <w:sz w:val="24"/>
          <w:szCs w:val="24"/>
          <w:lang w:val="en-US"/>
        </w:rPr>
        <w:t>Systemtechnik</w:t>
      </w:r>
      <w:proofErr w:type="spellEnd"/>
      <w:r w:rsidRPr="008F7191">
        <w:rPr>
          <w:rFonts w:asciiTheme="majorBidi" w:eastAsiaTheme="minorEastAsia" w:hAnsiTheme="majorBidi" w:cstheme="majorBidi"/>
          <w:bCs/>
          <w:sz w:val="24"/>
          <w:szCs w:val="24"/>
          <w:lang w:val="en-US"/>
        </w:rPr>
        <w:t>, 2025).</w:t>
      </w:r>
    </w:p>
    <w:p w14:paraId="0F71CAF2" w14:textId="77777777" w:rsidR="008F7191" w:rsidRPr="008F7191" w:rsidRDefault="008F7191" w:rsidP="008F7191">
      <w:pPr>
        <w:pStyle w:val="ListParagraph"/>
        <w:numPr>
          <w:ilvl w:val="0"/>
          <w:numId w:val="35"/>
        </w:numPr>
        <w:spacing w:after="160" w:line="360" w:lineRule="auto"/>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t>JR East’s “N’EX” fleet in Tokyo is testing fully cognitive bogie maintenance using deep reinforcement learning agents that reschedule overhauls in real time around typhoon forecasts and passenger loads (JR East Research, 2024).</w:t>
      </w:r>
    </w:p>
    <w:p w14:paraId="1B835A37" w14:textId="77777777" w:rsidR="008F7191" w:rsidRPr="008F7191" w:rsidRDefault="008F7191" w:rsidP="008F7191">
      <w:pPr>
        <w:pStyle w:val="ListParagraph"/>
        <w:spacing w:after="160" w:line="360" w:lineRule="auto"/>
        <w:ind w:left="1440"/>
        <w:rPr>
          <w:rFonts w:asciiTheme="majorBidi" w:eastAsiaTheme="minorEastAsia" w:hAnsiTheme="majorBidi" w:cstheme="majorBidi"/>
          <w:bCs/>
          <w:sz w:val="24"/>
          <w:szCs w:val="24"/>
          <w:lang w:val="en-US"/>
        </w:rPr>
      </w:pPr>
      <w:r w:rsidRPr="008F7191">
        <w:rPr>
          <w:rFonts w:asciiTheme="majorBidi" w:eastAsiaTheme="minorEastAsia" w:hAnsiTheme="majorBidi" w:cstheme="majorBidi"/>
          <w:bCs/>
          <w:sz w:val="24"/>
          <w:szCs w:val="24"/>
          <w:lang w:val="en-US"/>
        </w:rPr>
        <w:t>These cases prove the destination is reachable; the open question is how to get there without crashing.</w:t>
      </w:r>
    </w:p>
    <w:p w14:paraId="159F5330" w14:textId="3D86F903" w:rsidR="00FE7330" w:rsidRDefault="00FE7330" w:rsidP="005E2F15">
      <w:pPr>
        <w:pStyle w:val="ListParagraph"/>
        <w:spacing w:after="160" w:line="360" w:lineRule="auto"/>
        <w:ind w:left="1440"/>
        <w:rPr>
          <w:rFonts w:asciiTheme="majorBidi" w:eastAsiaTheme="minorEastAsia" w:hAnsiTheme="majorBidi" w:cstheme="majorBidi"/>
          <w:bCs/>
          <w:sz w:val="24"/>
          <w:szCs w:val="24"/>
          <w:lang w:val="en-US"/>
        </w:rPr>
      </w:pPr>
      <w:r>
        <w:rPr>
          <w:rFonts w:asciiTheme="majorBidi" w:eastAsiaTheme="minorEastAsia" w:hAnsiTheme="majorBidi" w:cstheme="majorBidi"/>
          <w:bCs/>
          <w:sz w:val="24"/>
          <w:szCs w:val="24"/>
          <w:lang w:val="en-US"/>
        </w:rPr>
        <w:t xml:space="preserve">. </w:t>
      </w:r>
    </w:p>
    <w:p w14:paraId="0CD903EB" w14:textId="77777777" w:rsidR="00FE7330" w:rsidRDefault="00FE7330" w:rsidP="005E2F15">
      <w:pPr>
        <w:pStyle w:val="ListParagraph"/>
        <w:spacing w:after="160" w:line="360" w:lineRule="auto"/>
        <w:ind w:left="1440"/>
        <w:rPr>
          <w:rFonts w:asciiTheme="majorBidi" w:eastAsiaTheme="minorEastAsia" w:hAnsiTheme="majorBidi" w:cstheme="majorBidi"/>
          <w:bCs/>
          <w:sz w:val="24"/>
          <w:szCs w:val="24"/>
          <w:lang w:val="en-US"/>
        </w:rPr>
      </w:pPr>
    </w:p>
    <w:p w14:paraId="7F9FB51B" w14:textId="77777777" w:rsidR="00FE7330" w:rsidRPr="00FE7330" w:rsidRDefault="00FE7330" w:rsidP="005E2F15">
      <w:pPr>
        <w:pStyle w:val="ListParagraph"/>
        <w:spacing w:after="160" w:line="360" w:lineRule="auto"/>
        <w:ind w:left="1440"/>
        <w:rPr>
          <w:rFonts w:asciiTheme="majorBidi" w:eastAsiaTheme="minorEastAsia" w:hAnsiTheme="majorBidi" w:cstheme="majorBidi"/>
          <w:bCs/>
          <w:sz w:val="24"/>
          <w:szCs w:val="24"/>
          <w:lang w:val="en-US"/>
        </w:rPr>
      </w:pPr>
      <w:r w:rsidRPr="00FE7330">
        <w:rPr>
          <w:rFonts w:asciiTheme="majorBidi" w:eastAsiaTheme="minorEastAsia" w:hAnsiTheme="majorBidi" w:cstheme="majorBidi"/>
          <w:bCs/>
          <w:sz w:val="24"/>
          <w:szCs w:val="24"/>
          <w:lang w:val="en-US"/>
        </w:rPr>
        <w:t>2.2.2 Metrics of Performance</w:t>
      </w:r>
    </w:p>
    <w:p w14:paraId="20E08B0B" w14:textId="2CF3C0B9" w:rsidR="00FE7330" w:rsidRDefault="00FE7330" w:rsidP="005E2F15">
      <w:pPr>
        <w:pStyle w:val="ListParagraph"/>
        <w:spacing w:after="160" w:line="360" w:lineRule="auto"/>
        <w:ind w:left="1440"/>
        <w:rPr>
          <w:rFonts w:asciiTheme="majorBidi" w:eastAsiaTheme="minorEastAsia" w:hAnsiTheme="majorBidi" w:cstheme="majorBidi"/>
          <w:bCs/>
          <w:sz w:val="24"/>
          <w:szCs w:val="24"/>
          <w:lang w:val="en-US"/>
        </w:rPr>
      </w:pPr>
      <w:r w:rsidRPr="00FE7330">
        <w:rPr>
          <w:rFonts w:asciiTheme="majorBidi" w:eastAsiaTheme="minorEastAsia" w:hAnsiTheme="majorBidi" w:cstheme="majorBidi"/>
          <w:bCs/>
          <w:sz w:val="24"/>
          <w:szCs w:val="24"/>
          <w:lang w:val="en-US"/>
        </w:rPr>
        <w:t>The success of the dependent variable is measured through established operational and financial metrics, which must be fully defined and understood in the context of digital transformation:</w:t>
      </w:r>
    </w:p>
    <w:p w14:paraId="125DA582" w14:textId="77777777" w:rsidR="00EA5508" w:rsidRDefault="00EA5508" w:rsidP="005E2F15">
      <w:pPr>
        <w:pStyle w:val="ListParagraph"/>
        <w:spacing w:after="160" w:line="360" w:lineRule="auto"/>
        <w:ind w:left="1440"/>
        <w:rPr>
          <w:rFonts w:asciiTheme="majorBidi" w:eastAsiaTheme="minorEastAsia" w:hAnsiTheme="majorBidi" w:cstheme="majorBidi"/>
          <w:bCs/>
          <w:sz w:val="24"/>
          <w:szCs w:val="24"/>
          <w:lang w:val="en-US"/>
        </w:rPr>
      </w:pPr>
    </w:p>
    <w:p w14:paraId="644C41D9" w14:textId="77777777" w:rsidR="00EA5508" w:rsidRDefault="00EA5508" w:rsidP="005E2F15">
      <w:pPr>
        <w:pStyle w:val="ListParagraph"/>
        <w:spacing w:after="160" w:line="360" w:lineRule="auto"/>
        <w:ind w:left="1440"/>
        <w:rPr>
          <w:rFonts w:asciiTheme="majorBidi" w:eastAsiaTheme="minorEastAsia" w:hAnsiTheme="majorBidi" w:cstheme="majorBidi"/>
          <w:bCs/>
          <w:sz w:val="24"/>
          <w:szCs w:val="24"/>
          <w:lang w:val="en-US"/>
        </w:rPr>
      </w:pPr>
    </w:p>
    <w:p w14:paraId="43E18B18" w14:textId="77777777" w:rsidR="00EA5508" w:rsidRDefault="00EA5508" w:rsidP="005E2F15">
      <w:pPr>
        <w:pStyle w:val="ListParagraph"/>
        <w:spacing w:after="160" w:line="360" w:lineRule="auto"/>
        <w:ind w:left="1440"/>
        <w:rPr>
          <w:rFonts w:asciiTheme="majorBidi" w:eastAsiaTheme="minorEastAsia" w:hAnsiTheme="majorBidi" w:cstheme="majorBidi"/>
          <w:bCs/>
          <w:sz w:val="24"/>
          <w:szCs w:val="24"/>
          <w:lang w:val="en-US"/>
        </w:rPr>
      </w:pPr>
    </w:p>
    <w:p w14:paraId="7EBFC507" w14:textId="77777777" w:rsidR="00FE7330" w:rsidRDefault="00FE7330" w:rsidP="00FE7330">
      <w:pPr>
        <w:pStyle w:val="ListParagraph"/>
        <w:ind w:left="1440"/>
        <w:rPr>
          <w:rFonts w:asciiTheme="majorBidi" w:eastAsiaTheme="minorEastAsia" w:hAnsiTheme="majorBidi" w:cstheme="majorBidi"/>
          <w:bCs/>
          <w:sz w:val="24"/>
          <w:szCs w:val="24"/>
          <w:lang w:val="en-US"/>
        </w:rPr>
      </w:pPr>
    </w:p>
    <w:tbl>
      <w:tblPr>
        <w:tblStyle w:val="TableGrid"/>
        <w:tblW w:w="9828" w:type="dxa"/>
        <w:tblInd w:w="-365" w:type="dxa"/>
        <w:tblLook w:val="04A0" w:firstRow="1" w:lastRow="0" w:firstColumn="1" w:lastColumn="0" w:noHBand="0" w:noVBand="1"/>
      </w:tblPr>
      <w:tblGrid>
        <w:gridCol w:w="1410"/>
        <w:gridCol w:w="1631"/>
        <w:gridCol w:w="2719"/>
        <w:gridCol w:w="4068"/>
      </w:tblGrid>
      <w:tr w:rsidR="00EA5508" w14:paraId="1A7F9A12" w14:textId="45D9A0C0" w:rsidTr="00EA5508">
        <w:trPr>
          <w:trHeight w:val="359"/>
        </w:trPr>
        <w:tc>
          <w:tcPr>
            <w:tcW w:w="1410" w:type="dxa"/>
            <w:shd w:val="clear" w:color="auto" w:fill="FFF2CC" w:themeFill="accent4" w:themeFillTint="33"/>
            <w:vAlign w:val="center"/>
          </w:tcPr>
          <w:p w14:paraId="4890D5A2" w14:textId="0BE9A3ED" w:rsidR="00EA5508" w:rsidRPr="003643D3" w:rsidRDefault="00EA5508" w:rsidP="008F7191">
            <w:pPr>
              <w:pStyle w:val="ListParagraph"/>
              <w:ind w:left="0"/>
              <w:rPr>
                <w:rFonts w:asciiTheme="majorBidi" w:eastAsiaTheme="minorEastAsia" w:hAnsiTheme="majorBidi" w:cstheme="majorBidi"/>
                <w:bCs/>
                <w:sz w:val="28"/>
                <w:szCs w:val="28"/>
                <w:lang w:val="en-US"/>
              </w:rPr>
            </w:pPr>
            <w:r>
              <w:rPr>
                <w:b/>
                <w:bCs/>
              </w:rPr>
              <w:lastRenderedPageBreak/>
              <w:t>Category</w:t>
            </w:r>
          </w:p>
        </w:tc>
        <w:tc>
          <w:tcPr>
            <w:tcW w:w="1631" w:type="dxa"/>
            <w:shd w:val="clear" w:color="auto" w:fill="FFF2CC" w:themeFill="accent4" w:themeFillTint="33"/>
            <w:vAlign w:val="center"/>
          </w:tcPr>
          <w:p w14:paraId="7760752D" w14:textId="16570912" w:rsidR="00EA5508" w:rsidRPr="003643D3" w:rsidRDefault="00EA5508" w:rsidP="008F7191">
            <w:pPr>
              <w:pStyle w:val="ListParagraph"/>
              <w:ind w:left="0"/>
              <w:rPr>
                <w:rFonts w:asciiTheme="majorBidi" w:eastAsiaTheme="minorEastAsia" w:hAnsiTheme="majorBidi" w:cstheme="majorBidi"/>
                <w:bCs/>
                <w:sz w:val="28"/>
                <w:szCs w:val="28"/>
                <w:lang w:val="en-US"/>
              </w:rPr>
            </w:pPr>
            <w:r>
              <w:rPr>
                <w:b/>
                <w:bCs/>
              </w:rPr>
              <w:t>Traditional KPIs</w:t>
            </w:r>
          </w:p>
        </w:tc>
        <w:tc>
          <w:tcPr>
            <w:tcW w:w="2719" w:type="dxa"/>
            <w:shd w:val="clear" w:color="auto" w:fill="FFF2CC" w:themeFill="accent4" w:themeFillTint="33"/>
            <w:vAlign w:val="center"/>
          </w:tcPr>
          <w:p w14:paraId="4A7C2A92" w14:textId="3F1A43B7" w:rsidR="00EA5508" w:rsidRPr="003643D3" w:rsidRDefault="00EA5508" w:rsidP="008F7191">
            <w:pPr>
              <w:pStyle w:val="ListParagraph"/>
              <w:ind w:left="0"/>
              <w:rPr>
                <w:rFonts w:asciiTheme="majorBidi" w:eastAsiaTheme="minorEastAsia" w:hAnsiTheme="majorBidi" w:cstheme="majorBidi"/>
                <w:bCs/>
                <w:sz w:val="28"/>
                <w:szCs w:val="28"/>
                <w:lang w:val="en-US"/>
              </w:rPr>
            </w:pPr>
            <w:r>
              <w:rPr>
                <w:b/>
                <w:bCs/>
              </w:rPr>
              <w:t>Cognitive-Era KPIs (leading + lagging)</w:t>
            </w:r>
          </w:p>
        </w:tc>
        <w:tc>
          <w:tcPr>
            <w:tcW w:w="4068" w:type="dxa"/>
            <w:shd w:val="clear" w:color="auto" w:fill="FFF2CC" w:themeFill="accent4" w:themeFillTint="33"/>
            <w:vAlign w:val="center"/>
          </w:tcPr>
          <w:p w14:paraId="48F8B95F" w14:textId="5FAFBEE6" w:rsidR="00EA5508" w:rsidRPr="003643D3" w:rsidRDefault="00EA5508" w:rsidP="008F7191">
            <w:pPr>
              <w:pStyle w:val="ListParagraph"/>
              <w:ind w:left="0"/>
              <w:rPr>
                <w:rFonts w:asciiTheme="majorBidi" w:eastAsiaTheme="minorEastAsia" w:hAnsiTheme="majorBidi" w:cstheme="majorBidi"/>
                <w:bCs/>
                <w:sz w:val="28"/>
                <w:szCs w:val="28"/>
                <w:lang w:val="en-US"/>
              </w:rPr>
            </w:pPr>
            <w:r>
              <w:rPr>
                <w:b/>
                <w:bCs/>
              </w:rPr>
              <w:t>Railway-Specific Relevance (2024–2025 sources)</w:t>
            </w:r>
          </w:p>
        </w:tc>
      </w:tr>
      <w:tr w:rsidR="00EA5508" w14:paraId="0B2D84A9" w14:textId="046DF0B9" w:rsidTr="00EA5508">
        <w:trPr>
          <w:trHeight w:val="525"/>
        </w:trPr>
        <w:tc>
          <w:tcPr>
            <w:tcW w:w="1410" w:type="dxa"/>
            <w:shd w:val="clear" w:color="auto" w:fill="EDEDED" w:themeFill="accent3" w:themeFillTint="33"/>
            <w:vAlign w:val="center"/>
          </w:tcPr>
          <w:p w14:paraId="2C465279" w14:textId="25B6B6CB" w:rsidR="00EA5508" w:rsidRDefault="00EA5508" w:rsidP="008F7191">
            <w:pPr>
              <w:pStyle w:val="ListParagraph"/>
              <w:ind w:left="0"/>
              <w:rPr>
                <w:rFonts w:asciiTheme="majorBidi" w:eastAsiaTheme="minorEastAsia" w:hAnsiTheme="majorBidi" w:cstheme="majorBidi"/>
                <w:bCs/>
                <w:sz w:val="24"/>
                <w:szCs w:val="24"/>
                <w:lang w:val="en-US"/>
              </w:rPr>
            </w:pPr>
            <w:r>
              <w:t>Operational</w:t>
            </w:r>
          </w:p>
        </w:tc>
        <w:tc>
          <w:tcPr>
            <w:tcW w:w="1631" w:type="dxa"/>
            <w:vAlign w:val="center"/>
          </w:tcPr>
          <w:p w14:paraId="20D6ACB3" w14:textId="6D8F5366" w:rsidR="00EA5508" w:rsidRDefault="00EA5508" w:rsidP="008F7191">
            <w:pPr>
              <w:pStyle w:val="ListParagraph"/>
              <w:ind w:left="0"/>
              <w:rPr>
                <w:rFonts w:asciiTheme="majorBidi" w:eastAsiaTheme="minorEastAsia" w:hAnsiTheme="majorBidi" w:cstheme="majorBidi"/>
                <w:bCs/>
                <w:sz w:val="24"/>
                <w:szCs w:val="24"/>
                <w:lang w:val="en-US"/>
              </w:rPr>
            </w:pPr>
            <w:r>
              <w:t>MTBF, MTTR, Availability %</w:t>
            </w:r>
          </w:p>
        </w:tc>
        <w:tc>
          <w:tcPr>
            <w:tcW w:w="2719" w:type="dxa"/>
            <w:vAlign w:val="center"/>
          </w:tcPr>
          <w:p w14:paraId="66AC001A" w14:textId="67702369" w:rsidR="00EA5508" w:rsidRDefault="00EA5508" w:rsidP="008F7191">
            <w:pPr>
              <w:pStyle w:val="ListParagraph"/>
              <w:ind w:left="0"/>
              <w:rPr>
                <w:rFonts w:asciiTheme="majorBidi" w:eastAsiaTheme="minorEastAsia" w:hAnsiTheme="majorBidi" w:cstheme="majorBidi"/>
                <w:bCs/>
                <w:sz w:val="24"/>
                <w:szCs w:val="24"/>
                <w:lang w:val="en-US"/>
              </w:rPr>
            </w:pPr>
            <w:r>
              <w:t>Remaining Useful Life accuracy, Prescription Acceptance Rate, Revenue-Protected Hours</w:t>
            </w:r>
          </w:p>
        </w:tc>
        <w:tc>
          <w:tcPr>
            <w:tcW w:w="4068" w:type="dxa"/>
            <w:vAlign w:val="center"/>
          </w:tcPr>
          <w:p w14:paraId="08B8A65A" w14:textId="540B7179" w:rsidR="00EA5508" w:rsidRPr="00FA792C" w:rsidRDefault="00EA5508" w:rsidP="008F7191">
            <w:pPr>
              <w:pStyle w:val="ListParagraph"/>
              <w:ind w:left="0"/>
              <w:rPr>
                <w:rFonts w:asciiTheme="majorBidi" w:eastAsiaTheme="minorEastAsia" w:hAnsiTheme="majorBidi" w:cstheme="majorBidi"/>
                <w:bCs/>
                <w:sz w:val="24"/>
                <w:szCs w:val="24"/>
                <w:lang w:val="en-US"/>
              </w:rPr>
            </w:pPr>
            <w:r>
              <w:t>Shift2Rail 2024; SAR internal benchmarks</w:t>
            </w:r>
          </w:p>
        </w:tc>
      </w:tr>
      <w:tr w:rsidR="00EA5508" w14:paraId="69004AB0" w14:textId="3DE26D2D" w:rsidTr="00EA5508">
        <w:trPr>
          <w:trHeight w:val="525"/>
        </w:trPr>
        <w:tc>
          <w:tcPr>
            <w:tcW w:w="1410" w:type="dxa"/>
            <w:shd w:val="clear" w:color="auto" w:fill="EDEDED" w:themeFill="accent3" w:themeFillTint="33"/>
            <w:vAlign w:val="center"/>
          </w:tcPr>
          <w:p w14:paraId="6C4709B4" w14:textId="4E817B7C" w:rsidR="00EA5508" w:rsidRDefault="00EA5508" w:rsidP="008F7191">
            <w:pPr>
              <w:pStyle w:val="ListParagraph"/>
              <w:ind w:left="0"/>
              <w:rPr>
                <w:rFonts w:asciiTheme="majorBidi" w:eastAsiaTheme="minorEastAsia" w:hAnsiTheme="majorBidi" w:cstheme="majorBidi"/>
                <w:bCs/>
                <w:sz w:val="24"/>
                <w:szCs w:val="24"/>
                <w:lang w:val="en-US"/>
              </w:rPr>
            </w:pPr>
            <w:r>
              <w:t>Financial</w:t>
            </w:r>
          </w:p>
        </w:tc>
        <w:tc>
          <w:tcPr>
            <w:tcW w:w="1631" w:type="dxa"/>
            <w:vAlign w:val="center"/>
          </w:tcPr>
          <w:p w14:paraId="7C4C3513" w14:textId="23014123" w:rsidR="00EA5508" w:rsidRDefault="00EA5508" w:rsidP="008F7191">
            <w:pPr>
              <w:pStyle w:val="ListParagraph"/>
              <w:ind w:left="0"/>
              <w:rPr>
                <w:rFonts w:asciiTheme="majorBidi" w:eastAsiaTheme="minorEastAsia" w:hAnsiTheme="majorBidi" w:cstheme="majorBidi"/>
                <w:bCs/>
                <w:sz w:val="24"/>
                <w:szCs w:val="24"/>
                <w:lang w:val="en-US"/>
              </w:rPr>
            </w:pPr>
            <w:r>
              <w:t>Maintenance cost per km</w:t>
            </w:r>
          </w:p>
        </w:tc>
        <w:tc>
          <w:tcPr>
            <w:tcW w:w="2719" w:type="dxa"/>
            <w:vAlign w:val="center"/>
          </w:tcPr>
          <w:p w14:paraId="129D0F51" w14:textId="02DFD814" w:rsidR="00EA5508" w:rsidRDefault="00EA5508" w:rsidP="008F7191">
            <w:pPr>
              <w:pStyle w:val="ListParagraph"/>
              <w:ind w:left="0"/>
              <w:jc w:val="center"/>
              <w:rPr>
                <w:rFonts w:asciiTheme="majorBidi" w:eastAsiaTheme="minorEastAsia" w:hAnsiTheme="majorBidi" w:cstheme="majorBidi"/>
                <w:bCs/>
                <w:sz w:val="24"/>
                <w:szCs w:val="24"/>
                <w:lang w:val="en-US"/>
              </w:rPr>
            </w:pPr>
            <w:r>
              <w:t>Total Cost of Ownership reduction, Inventory Turns, NPV of transformation</w:t>
            </w:r>
          </w:p>
        </w:tc>
        <w:tc>
          <w:tcPr>
            <w:tcW w:w="4068" w:type="dxa"/>
            <w:vAlign w:val="center"/>
          </w:tcPr>
          <w:p w14:paraId="3283292C" w14:textId="607137A1" w:rsidR="00EA5508" w:rsidRPr="00FA792C" w:rsidRDefault="00EA5508" w:rsidP="008F7191">
            <w:pPr>
              <w:pStyle w:val="ListParagraph"/>
              <w:ind w:left="0"/>
              <w:jc w:val="center"/>
              <w:rPr>
                <w:rFonts w:asciiTheme="majorBidi" w:eastAsiaTheme="minorEastAsia" w:hAnsiTheme="majorBidi" w:cstheme="majorBidi"/>
                <w:bCs/>
                <w:sz w:val="24"/>
                <w:szCs w:val="24"/>
                <w:lang w:val="en-US"/>
              </w:rPr>
            </w:pPr>
            <w:r>
              <w:t>McKinsey Rail 2024; Deloitte 18–28 % LCC reduction reported</w:t>
            </w:r>
          </w:p>
        </w:tc>
      </w:tr>
      <w:tr w:rsidR="00EA5508" w14:paraId="7EA521D8" w14:textId="3AD52BFE" w:rsidTr="00EA5508">
        <w:trPr>
          <w:trHeight w:val="525"/>
        </w:trPr>
        <w:tc>
          <w:tcPr>
            <w:tcW w:w="1410" w:type="dxa"/>
            <w:shd w:val="clear" w:color="auto" w:fill="EDEDED" w:themeFill="accent3" w:themeFillTint="33"/>
            <w:vAlign w:val="center"/>
          </w:tcPr>
          <w:p w14:paraId="4B3E22D2" w14:textId="4FC0D18A" w:rsidR="00EA5508" w:rsidRDefault="00EA5508" w:rsidP="008F7191">
            <w:pPr>
              <w:pStyle w:val="ListParagraph"/>
              <w:ind w:left="0"/>
              <w:rPr>
                <w:rFonts w:asciiTheme="majorBidi" w:eastAsiaTheme="minorEastAsia" w:hAnsiTheme="majorBidi" w:cstheme="majorBidi"/>
                <w:bCs/>
                <w:sz w:val="24"/>
                <w:szCs w:val="24"/>
                <w:lang w:val="en-US"/>
              </w:rPr>
            </w:pPr>
            <w:r>
              <w:t>Safety &amp; Compliance</w:t>
            </w:r>
          </w:p>
        </w:tc>
        <w:tc>
          <w:tcPr>
            <w:tcW w:w="1631" w:type="dxa"/>
            <w:vAlign w:val="center"/>
          </w:tcPr>
          <w:p w14:paraId="29CAA6CF" w14:textId="57634E68" w:rsidR="00EA5508" w:rsidRDefault="00EA5508" w:rsidP="008F7191">
            <w:pPr>
              <w:pStyle w:val="ListParagraph"/>
              <w:ind w:left="0"/>
              <w:rPr>
                <w:rFonts w:asciiTheme="majorBidi" w:eastAsiaTheme="minorEastAsia" w:hAnsiTheme="majorBidi" w:cstheme="majorBidi"/>
                <w:bCs/>
                <w:sz w:val="24"/>
                <w:szCs w:val="24"/>
                <w:lang w:val="en-US"/>
              </w:rPr>
            </w:pPr>
            <w:r>
              <w:t>Lost-Time Incidents, Derailments</w:t>
            </w:r>
          </w:p>
        </w:tc>
        <w:tc>
          <w:tcPr>
            <w:tcW w:w="2719" w:type="dxa"/>
            <w:vAlign w:val="center"/>
          </w:tcPr>
          <w:p w14:paraId="5E6E28D7" w14:textId="4BB7FF7C" w:rsidR="00EA5508" w:rsidRDefault="00EA5508" w:rsidP="008F7191">
            <w:pPr>
              <w:pStyle w:val="ListParagraph"/>
              <w:ind w:left="0"/>
              <w:rPr>
                <w:rFonts w:asciiTheme="majorBidi" w:eastAsiaTheme="minorEastAsia" w:hAnsiTheme="majorBidi" w:cstheme="majorBidi"/>
                <w:bCs/>
                <w:sz w:val="24"/>
                <w:szCs w:val="24"/>
                <w:lang w:val="en-US"/>
              </w:rPr>
            </w:pPr>
            <w:r>
              <w:t>Risk-Based Overhaul Deferral Rate, Explainability Score</w:t>
            </w:r>
          </w:p>
        </w:tc>
        <w:tc>
          <w:tcPr>
            <w:tcW w:w="4068" w:type="dxa"/>
            <w:vAlign w:val="center"/>
          </w:tcPr>
          <w:p w14:paraId="1F058225" w14:textId="6CD1255D" w:rsidR="00EA5508" w:rsidRPr="00FA792C" w:rsidRDefault="00EA5508" w:rsidP="008F7191">
            <w:pPr>
              <w:pStyle w:val="ListParagraph"/>
              <w:ind w:left="0"/>
              <w:rPr>
                <w:rFonts w:asciiTheme="majorBidi" w:eastAsiaTheme="minorEastAsia" w:hAnsiTheme="majorBidi" w:cstheme="majorBidi"/>
                <w:bCs/>
                <w:sz w:val="24"/>
                <w:szCs w:val="24"/>
                <w:lang w:val="en-US"/>
              </w:rPr>
            </w:pPr>
            <w:r>
              <w:t>ERA Safety Report 2025</w:t>
            </w:r>
          </w:p>
        </w:tc>
      </w:tr>
      <w:tr w:rsidR="00EA5508" w14:paraId="138E3330" w14:textId="77777777" w:rsidTr="00EA5508">
        <w:trPr>
          <w:trHeight w:val="525"/>
        </w:trPr>
        <w:tc>
          <w:tcPr>
            <w:tcW w:w="1410" w:type="dxa"/>
            <w:shd w:val="clear" w:color="auto" w:fill="EDEDED" w:themeFill="accent3" w:themeFillTint="33"/>
            <w:vAlign w:val="center"/>
          </w:tcPr>
          <w:p w14:paraId="5A1029D8" w14:textId="2E936183" w:rsidR="00EA5508" w:rsidRDefault="00EA5508" w:rsidP="008F7191">
            <w:pPr>
              <w:pStyle w:val="ListParagraph"/>
              <w:ind w:left="0"/>
              <w:rPr>
                <w:rFonts w:asciiTheme="majorBidi" w:eastAsiaTheme="minorEastAsia" w:hAnsiTheme="majorBidi" w:cstheme="majorBidi"/>
                <w:bCs/>
                <w:sz w:val="24"/>
                <w:szCs w:val="24"/>
                <w:lang w:val="en-US"/>
              </w:rPr>
            </w:pPr>
            <w:r>
              <w:t>Sustainability</w:t>
            </w:r>
          </w:p>
        </w:tc>
        <w:tc>
          <w:tcPr>
            <w:tcW w:w="1631" w:type="dxa"/>
            <w:vAlign w:val="center"/>
          </w:tcPr>
          <w:p w14:paraId="39222866" w14:textId="6710BAD3" w:rsidR="00EA5508" w:rsidRPr="00FA792C" w:rsidRDefault="00EA5508" w:rsidP="008F7191">
            <w:pPr>
              <w:pStyle w:val="ListParagraph"/>
              <w:ind w:left="0"/>
              <w:rPr>
                <w:rFonts w:asciiTheme="majorBidi" w:eastAsiaTheme="minorEastAsia" w:hAnsiTheme="majorBidi" w:cstheme="majorBidi"/>
                <w:bCs/>
                <w:sz w:val="24"/>
                <w:szCs w:val="24"/>
                <w:lang w:val="en-US"/>
              </w:rPr>
            </w:pPr>
            <w:r>
              <w:t>CO₂ per tonne-km</w:t>
            </w:r>
          </w:p>
        </w:tc>
        <w:tc>
          <w:tcPr>
            <w:tcW w:w="2719" w:type="dxa"/>
            <w:vAlign w:val="center"/>
          </w:tcPr>
          <w:p w14:paraId="6E749E3A" w14:textId="63E281F5" w:rsidR="00EA5508" w:rsidRPr="00FA792C" w:rsidRDefault="00EA5508" w:rsidP="008F7191">
            <w:pPr>
              <w:pStyle w:val="ListParagraph"/>
              <w:ind w:left="0"/>
              <w:rPr>
                <w:rFonts w:asciiTheme="majorBidi" w:eastAsiaTheme="minorEastAsia" w:hAnsiTheme="majorBidi" w:cstheme="majorBidi"/>
                <w:bCs/>
                <w:sz w:val="24"/>
                <w:szCs w:val="24"/>
                <w:lang w:val="en-US"/>
              </w:rPr>
            </w:pPr>
            <w:r>
              <w:t>Over-maintenance avoided (</w:t>
            </w:r>
            <w:proofErr w:type="spellStart"/>
            <w:r>
              <w:t>TCO₂e</w:t>
            </w:r>
            <w:proofErr w:type="spellEnd"/>
            <w:r>
              <w:t>), Energy regenerated via optimal braking</w:t>
            </w:r>
          </w:p>
        </w:tc>
        <w:tc>
          <w:tcPr>
            <w:tcW w:w="4068" w:type="dxa"/>
            <w:vAlign w:val="center"/>
          </w:tcPr>
          <w:p w14:paraId="0AE71AB9" w14:textId="22FDCDBF" w:rsidR="00EA5508" w:rsidRPr="00FA792C" w:rsidRDefault="00EA5508" w:rsidP="008F7191">
            <w:pPr>
              <w:pStyle w:val="ListParagraph"/>
              <w:ind w:left="0"/>
              <w:rPr>
                <w:rFonts w:asciiTheme="majorBidi" w:eastAsiaTheme="minorEastAsia" w:hAnsiTheme="majorBidi" w:cstheme="majorBidi"/>
                <w:bCs/>
                <w:sz w:val="24"/>
                <w:szCs w:val="24"/>
                <w:lang w:val="en-US"/>
              </w:rPr>
            </w:pPr>
            <w:r>
              <w:t>EU Green Deal Rail Pathway 2024</w:t>
            </w:r>
          </w:p>
        </w:tc>
      </w:tr>
    </w:tbl>
    <w:p w14:paraId="18FD3AEA" w14:textId="28567EAA" w:rsidR="00FE7330" w:rsidRPr="00EA5508" w:rsidRDefault="00EA5508" w:rsidP="00EA5508">
      <w:pPr>
        <w:pStyle w:val="ListParagraph"/>
        <w:ind w:left="1440"/>
        <w:jc w:val="center"/>
        <w:rPr>
          <w:rFonts w:asciiTheme="majorBidi" w:eastAsiaTheme="minorEastAsia" w:hAnsiTheme="majorBidi" w:cstheme="majorBidi"/>
          <w:bCs/>
          <w:sz w:val="16"/>
          <w:szCs w:val="16"/>
          <w:lang w:val="en-US"/>
        </w:rPr>
      </w:pPr>
      <w:r w:rsidRPr="00EA5508">
        <w:rPr>
          <w:rFonts w:asciiTheme="majorBidi" w:eastAsiaTheme="minorEastAsia" w:hAnsiTheme="majorBidi" w:cstheme="majorBidi"/>
          <w:bCs/>
          <w:sz w:val="16"/>
          <w:szCs w:val="16"/>
          <w:lang w:val="en-US"/>
        </w:rPr>
        <w:t xml:space="preserve">Table 1: Metrix </w:t>
      </w:r>
      <w:proofErr w:type="spellStart"/>
      <w:r w:rsidRPr="00EA5508">
        <w:rPr>
          <w:rFonts w:asciiTheme="majorBidi" w:eastAsiaTheme="minorEastAsia" w:hAnsiTheme="majorBidi" w:cstheme="majorBidi"/>
          <w:bCs/>
          <w:sz w:val="16"/>
          <w:szCs w:val="16"/>
          <w:lang w:val="en-US"/>
        </w:rPr>
        <w:t>performace</w:t>
      </w:r>
      <w:proofErr w:type="spellEnd"/>
      <w:r w:rsidRPr="00EA5508">
        <w:rPr>
          <w:rFonts w:asciiTheme="majorBidi" w:eastAsiaTheme="minorEastAsia" w:hAnsiTheme="majorBidi" w:cstheme="majorBidi"/>
          <w:bCs/>
          <w:sz w:val="16"/>
          <w:szCs w:val="16"/>
          <w:lang w:val="en-US"/>
        </w:rPr>
        <w:t xml:space="preserve"> </w:t>
      </w:r>
    </w:p>
    <w:p w14:paraId="053C6563" w14:textId="77777777" w:rsidR="00FE7330" w:rsidRPr="005C71B4" w:rsidRDefault="00FE7330" w:rsidP="005C71B4">
      <w:pPr>
        <w:rPr>
          <w:rFonts w:asciiTheme="majorBidi" w:eastAsiaTheme="majorEastAsia" w:hAnsiTheme="majorBidi" w:cstheme="majorBidi"/>
          <w:color w:val="2F5496" w:themeColor="accent1" w:themeShade="BF"/>
          <w:sz w:val="32"/>
          <w:szCs w:val="32"/>
        </w:rPr>
      </w:pPr>
    </w:p>
    <w:p w14:paraId="5F84C696" w14:textId="66344A73" w:rsidR="00D9629D" w:rsidRDefault="005C71B4" w:rsidP="005C71B4">
      <w:pPr>
        <w:pStyle w:val="Heading1"/>
      </w:pPr>
      <w:bookmarkStart w:id="12" w:name="_Toc215590811"/>
      <w:r>
        <w:t>2.3</w:t>
      </w:r>
      <w:r>
        <w:tab/>
      </w:r>
      <w:r w:rsidR="00D9629D">
        <w:t>The Independent Variables: The Strategic transformation Roadmap</w:t>
      </w:r>
      <w:bookmarkEnd w:id="12"/>
      <w:r w:rsidR="00D9629D">
        <w:t xml:space="preserve"> </w:t>
      </w:r>
    </w:p>
    <w:p w14:paraId="76975B44" w14:textId="77777777" w:rsidR="00FA792C" w:rsidRPr="00FA792C" w:rsidRDefault="00FA792C" w:rsidP="005E2F15">
      <w:pPr>
        <w:pStyle w:val="ListParagraph"/>
        <w:spacing w:after="160" w:line="360" w:lineRule="auto"/>
        <w:ind w:left="1440"/>
        <w:rPr>
          <w:rFonts w:asciiTheme="majorBidi" w:eastAsiaTheme="minorEastAsia" w:hAnsiTheme="majorBidi" w:cstheme="majorBidi"/>
          <w:bCs/>
          <w:sz w:val="24"/>
          <w:szCs w:val="24"/>
          <w:lang w:val="en-US"/>
        </w:rPr>
      </w:pPr>
      <w:r w:rsidRPr="00FA792C">
        <w:rPr>
          <w:rFonts w:asciiTheme="majorBidi" w:eastAsiaTheme="minorEastAsia" w:hAnsiTheme="majorBidi" w:cstheme="majorBidi"/>
          <w:bCs/>
          <w:sz w:val="24"/>
          <w:szCs w:val="24"/>
          <w:lang w:val="en-US"/>
        </w:rPr>
        <w:t>The independent variable is the proposed strategic transformation roadmap—a phased, multi-dimensional framework designed to guide the organization's movement along the maintenance maturity continuum. The efficacy of the roadmap hinges on the structured integration of technology and organizational capability.</w:t>
      </w:r>
    </w:p>
    <w:p w14:paraId="27952E86" w14:textId="77777777" w:rsidR="00FA792C" w:rsidRPr="00FA792C" w:rsidRDefault="00FA792C" w:rsidP="005E2F15">
      <w:pPr>
        <w:pStyle w:val="ListParagraph"/>
        <w:spacing w:after="160" w:line="360" w:lineRule="auto"/>
        <w:ind w:left="1440"/>
        <w:rPr>
          <w:rFonts w:asciiTheme="majorBidi" w:eastAsiaTheme="minorEastAsia" w:hAnsiTheme="majorBidi" w:cstheme="majorBidi"/>
          <w:bCs/>
          <w:sz w:val="24"/>
          <w:szCs w:val="24"/>
          <w:lang w:val="en-US"/>
        </w:rPr>
      </w:pPr>
    </w:p>
    <w:p w14:paraId="21269709" w14:textId="7C229F53" w:rsidR="00FA792C" w:rsidRPr="005C71B4" w:rsidRDefault="00EA5508" w:rsidP="005C71B4">
      <w:pPr>
        <w:pStyle w:val="ListParagraph"/>
        <w:numPr>
          <w:ilvl w:val="2"/>
          <w:numId w:val="45"/>
        </w:numPr>
        <w:spacing w:after="160" w:line="360" w:lineRule="auto"/>
        <w:rPr>
          <w:rFonts w:asciiTheme="majorBidi" w:eastAsiaTheme="minorEastAsia" w:hAnsiTheme="majorBidi" w:cstheme="majorBidi"/>
          <w:bCs/>
          <w:sz w:val="24"/>
          <w:szCs w:val="24"/>
          <w:lang w:val="en-US"/>
        </w:rPr>
      </w:pPr>
      <w:r w:rsidRPr="005C71B4">
        <w:rPr>
          <w:rFonts w:asciiTheme="majorBidi" w:eastAsiaTheme="minorEastAsia" w:hAnsiTheme="majorBidi" w:cstheme="majorBidi"/>
          <w:bCs/>
          <w:sz w:val="24"/>
          <w:szCs w:val="24"/>
          <w:lang w:val="en-US"/>
        </w:rPr>
        <w:t>T</w:t>
      </w:r>
      <w:r w:rsidR="00FA792C" w:rsidRPr="005C71B4">
        <w:rPr>
          <w:rFonts w:asciiTheme="majorBidi" w:eastAsiaTheme="minorEastAsia" w:hAnsiTheme="majorBidi" w:cstheme="majorBidi"/>
          <w:bCs/>
          <w:sz w:val="24"/>
          <w:szCs w:val="24"/>
          <w:lang w:val="en-US"/>
        </w:rPr>
        <w:t xml:space="preserve">he </w:t>
      </w:r>
      <w:r w:rsidRPr="005C71B4">
        <w:rPr>
          <w:rFonts w:asciiTheme="majorBidi" w:eastAsiaTheme="minorEastAsia" w:hAnsiTheme="majorBidi" w:cstheme="majorBidi"/>
          <w:bCs/>
          <w:sz w:val="24"/>
          <w:szCs w:val="24"/>
          <w:lang w:val="en-US"/>
        </w:rPr>
        <w:t>M</w:t>
      </w:r>
      <w:r w:rsidR="00FA792C" w:rsidRPr="005C71B4">
        <w:rPr>
          <w:rFonts w:asciiTheme="majorBidi" w:eastAsiaTheme="minorEastAsia" w:hAnsiTheme="majorBidi" w:cstheme="majorBidi"/>
          <w:bCs/>
          <w:sz w:val="24"/>
          <w:szCs w:val="24"/>
          <w:lang w:val="en-US"/>
        </w:rPr>
        <w:t xml:space="preserve">aintenance </w:t>
      </w:r>
      <w:r w:rsidRPr="005C71B4">
        <w:rPr>
          <w:rFonts w:asciiTheme="majorBidi" w:eastAsiaTheme="minorEastAsia" w:hAnsiTheme="majorBidi" w:cstheme="majorBidi"/>
          <w:bCs/>
          <w:sz w:val="24"/>
          <w:szCs w:val="24"/>
          <w:lang w:val="en-US"/>
        </w:rPr>
        <w:t>M</w:t>
      </w:r>
      <w:r w:rsidR="00FA792C" w:rsidRPr="005C71B4">
        <w:rPr>
          <w:rFonts w:asciiTheme="majorBidi" w:eastAsiaTheme="minorEastAsia" w:hAnsiTheme="majorBidi" w:cstheme="majorBidi"/>
          <w:bCs/>
          <w:sz w:val="24"/>
          <w:szCs w:val="24"/>
          <w:lang w:val="en-US"/>
        </w:rPr>
        <w:t xml:space="preserve">aturity </w:t>
      </w:r>
      <w:r w:rsidRPr="005C71B4">
        <w:rPr>
          <w:rFonts w:asciiTheme="majorBidi" w:eastAsiaTheme="minorEastAsia" w:hAnsiTheme="majorBidi" w:cstheme="majorBidi"/>
          <w:bCs/>
          <w:sz w:val="24"/>
          <w:szCs w:val="24"/>
          <w:lang w:val="en-US"/>
        </w:rPr>
        <w:t>C</w:t>
      </w:r>
      <w:r w:rsidR="00FA792C" w:rsidRPr="005C71B4">
        <w:rPr>
          <w:rFonts w:asciiTheme="majorBidi" w:eastAsiaTheme="minorEastAsia" w:hAnsiTheme="majorBidi" w:cstheme="majorBidi"/>
          <w:bCs/>
          <w:sz w:val="24"/>
          <w:szCs w:val="24"/>
          <w:lang w:val="en-US"/>
        </w:rPr>
        <w:t>ontinuum</w:t>
      </w:r>
    </w:p>
    <w:p w14:paraId="59358FED" w14:textId="77777777" w:rsidR="00D90F76" w:rsidRPr="00D90F76" w:rsidRDefault="00D90F76" w:rsidP="00D90F76">
      <w:pPr>
        <w:pStyle w:val="ListParagraph"/>
        <w:spacing w:after="160" w:line="360" w:lineRule="auto"/>
        <w:ind w:left="1440"/>
        <w:rPr>
          <w:rFonts w:asciiTheme="majorBidi" w:eastAsiaTheme="minorEastAsia" w:hAnsiTheme="majorBidi" w:cstheme="majorBidi"/>
          <w:bCs/>
          <w:sz w:val="24"/>
          <w:szCs w:val="24"/>
          <w:lang w:val="en-US"/>
        </w:rPr>
      </w:pPr>
      <w:r w:rsidRPr="00D90F76">
        <w:rPr>
          <w:rFonts w:asciiTheme="majorBidi" w:eastAsiaTheme="minorEastAsia" w:hAnsiTheme="majorBidi" w:cstheme="majorBidi"/>
          <w:bCs/>
          <w:sz w:val="24"/>
          <w:szCs w:val="24"/>
          <w:lang w:val="en-US"/>
        </w:rPr>
        <w:t>Drawing on Ding &amp; Lin (2024), Shift2Rail (2024), and the author’s Rail Maintenance Digital Maturity Model (RMDMM) developed in this research, the continuum is adapted as follows:</w:t>
      </w:r>
    </w:p>
    <w:p w14:paraId="13C4AE15" w14:textId="77777777" w:rsidR="005C71B4" w:rsidRDefault="005C71B4" w:rsidP="005E2F15">
      <w:pPr>
        <w:pStyle w:val="ListParagraph"/>
        <w:spacing w:after="160" w:line="360" w:lineRule="auto"/>
        <w:ind w:left="1440"/>
        <w:rPr>
          <w:rFonts w:asciiTheme="majorBidi" w:eastAsiaTheme="minorEastAsia" w:hAnsiTheme="majorBidi" w:cstheme="majorBidi"/>
          <w:bCs/>
          <w:sz w:val="24"/>
          <w:szCs w:val="24"/>
          <w:lang w:val="en-US"/>
        </w:rPr>
      </w:pPr>
    </w:p>
    <w:p w14:paraId="5524F967" w14:textId="77777777" w:rsidR="005C71B4" w:rsidRDefault="005C71B4" w:rsidP="005E2F15">
      <w:pPr>
        <w:pStyle w:val="ListParagraph"/>
        <w:spacing w:after="160" w:line="360" w:lineRule="auto"/>
        <w:ind w:left="1440"/>
        <w:rPr>
          <w:rFonts w:asciiTheme="majorBidi" w:eastAsiaTheme="minorEastAsia" w:hAnsiTheme="majorBidi" w:cstheme="majorBidi"/>
          <w:bCs/>
          <w:sz w:val="24"/>
          <w:szCs w:val="24"/>
          <w:lang w:val="en-US"/>
        </w:rPr>
      </w:pPr>
    </w:p>
    <w:p w14:paraId="0EF18758" w14:textId="7B5709EE" w:rsidR="00FA792C" w:rsidRDefault="00FA792C" w:rsidP="005E2F15">
      <w:pPr>
        <w:pStyle w:val="ListParagraph"/>
        <w:spacing w:after="160" w:line="360" w:lineRule="auto"/>
        <w:ind w:left="1440"/>
        <w:rPr>
          <w:rFonts w:asciiTheme="majorBidi" w:eastAsiaTheme="minorEastAsia" w:hAnsiTheme="majorBidi" w:cstheme="majorBidi"/>
          <w:bCs/>
          <w:sz w:val="24"/>
          <w:szCs w:val="24"/>
          <w:lang w:val="en-US"/>
        </w:rPr>
      </w:pPr>
      <w:r>
        <w:rPr>
          <w:rFonts w:asciiTheme="majorBidi" w:eastAsiaTheme="minorEastAsia" w:hAnsiTheme="majorBidi" w:cstheme="majorBidi"/>
          <w:bCs/>
          <w:sz w:val="24"/>
          <w:szCs w:val="24"/>
          <w:lang w:val="en-US"/>
        </w:rPr>
        <w:t xml:space="preserve"> </w:t>
      </w:r>
    </w:p>
    <w:p w14:paraId="4E649922" w14:textId="77777777" w:rsidR="00FA792C" w:rsidRDefault="00FA792C" w:rsidP="00FA792C">
      <w:pPr>
        <w:pStyle w:val="ListParagraph"/>
        <w:ind w:left="1440"/>
        <w:rPr>
          <w:rFonts w:asciiTheme="majorBidi" w:eastAsiaTheme="minorEastAsia" w:hAnsiTheme="majorBidi" w:cstheme="majorBidi"/>
          <w:bCs/>
          <w:sz w:val="24"/>
          <w:szCs w:val="24"/>
          <w:lang w:val="en-US"/>
        </w:rPr>
      </w:pPr>
    </w:p>
    <w:tbl>
      <w:tblPr>
        <w:tblStyle w:val="TableGrid"/>
        <w:tblW w:w="10063" w:type="dxa"/>
        <w:tblInd w:w="-365" w:type="dxa"/>
        <w:tblLook w:val="04A0" w:firstRow="1" w:lastRow="0" w:firstColumn="1" w:lastColumn="0" w:noHBand="0" w:noVBand="1"/>
      </w:tblPr>
      <w:tblGrid>
        <w:gridCol w:w="731"/>
        <w:gridCol w:w="2279"/>
        <w:gridCol w:w="2320"/>
        <w:gridCol w:w="1457"/>
        <w:gridCol w:w="3276"/>
      </w:tblGrid>
      <w:tr w:rsidR="00937A23" w14:paraId="7FC37656" w14:textId="2BCC5ACC" w:rsidTr="00937A23">
        <w:trPr>
          <w:trHeight w:val="322"/>
        </w:trPr>
        <w:tc>
          <w:tcPr>
            <w:tcW w:w="731" w:type="dxa"/>
            <w:shd w:val="clear" w:color="auto" w:fill="FFF2CC" w:themeFill="accent4" w:themeFillTint="33"/>
            <w:vAlign w:val="center"/>
          </w:tcPr>
          <w:p w14:paraId="62F8DF06" w14:textId="0A106748" w:rsidR="00937A23" w:rsidRDefault="00937A23" w:rsidP="00937A23">
            <w:pPr>
              <w:pStyle w:val="ListParagraph"/>
              <w:ind w:left="0"/>
              <w:rPr>
                <w:rFonts w:asciiTheme="majorBidi" w:eastAsiaTheme="minorEastAsia" w:hAnsiTheme="majorBidi" w:cstheme="majorBidi"/>
                <w:bCs/>
                <w:sz w:val="24"/>
                <w:szCs w:val="24"/>
                <w:lang w:val="en-US"/>
              </w:rPr>
            </w:pPr>
            <w:r>
              <w:rPr>
                <w:b/>
                <w:bCs/>
              </w:rPr>
              <w:lastRenderedPageBreak/>
              <w:t>Level</w:t>
            </w:r>
          </w:p>
        </w:tc>
        <w:tc>
          <w:tcPr>
            <w:tcW w:w="2279" w:type="dxa"/>
            <w:shd w:val="clear" w:color="auto" w:fill="FFF2CC" w:themeFill="accent4" w:themeFillTint="33"/>
            <w:vAlign w:val="center"/>
          </w:tcPr>
          <w:p w14:paraId="0090D528" w14:textId="4E017FAD" w:rsidR="00937A23" w:rsidRDefault="00937A23" w:rsidP="00937A23">
            <w:pPr>
              <w:pStyle w:val="ListParagraph"/>
              <w:ind w:left="0"/>
              <w:rPr>
                <w:rFonts w:asciiTheme="majorBidi" w:eastAsiaTheme="minorEastAsia" w:hAnsiTheme="majorBidi" w:cstheme="majorBidi"/>
                <w:bCs/>
                <w:sz w:val="24"/>
                <w:szCs w:val="24"/>
                <w:lang w:val="en-US"/>
              </w:rPr>
            </w:pPr>
            <w:r>
              <w:rPr>
                <w:b/>
                <w:bCs/>
              </w:rPr>
              <w:t>Name</w:t>
            </w:r>
          </w:p>
        </w:tc>
        <w:tc>
          <w:tcPr>
            <w:tcW w:w="2320" w:type="dxa"/>
            <w:shd w:val="clear" w:color="auto" w:fill="FFF2CC" w:themeFill="accent4" w:themeFillTint="33"/>
            <w:vAlign w:val="center"/>
          </w:tcPr>
          <w:p w14:paraId="4F4E0931" w14:textId="52DBEA44" w:rsidR="00937A23" w:rsidRDefault="00937A23" w:rsidP="00937A23">
            <w:pPr>
              <w:pStyle w:val="ListParagraph"/>
              <w:ind w:left="0"/>
              <w:rPr>
                <w:rFonts w:asciiTheme="majorBidi" w:eastAsiaTheme="minorEastAsia" w:hAnsiTheme="majorBidi" w:cstheme="majorBidi"/>
                <w:bCs/>
                <w:sz w:val="24"/>
                <w:szCs w:val="24"/>
                <w:lang w:val="en-US"/>
              </w:rPr>
            </w:pPr>
            <w:r>
              <w:rPr>
                <w:b/>
                <w:bCs/>
              </w:rPr>
              <w:t>Core Characteristics</w:t>
            </w:r>
          </w:p>
        </w:tc>
        <w:tc>
          <w:tcPr>
            <w:tcW w:w="1457" w:type="dxa"/>
            <w:shd w:val="clear" w:color="auto" w:fill="FFF2CC" w:themeFill="accent4" w:themeFillTint="33"/>
            <w:vAlign w:val="center"/>
          </w:tcPr>
          <w:p w14:paraId="414C56E9" w14:textId="59B718AE" w:rsidR="00937A23" w:rsidRDefault="00937A23" w:rsidP="00937A23">
            <w:pPr>
              <w:pStyle w:val="ListParagraph"/>
              <w:ind w:left="0"/>
              <w:rPr>
                <w:rFonts w:asciiTheme="majorBidi" w:eastAsiaTheme="minorEastAsia" w:hAnsiTheme="majorBidi" w:cstheme="majorBidi"/>
                <w:bCs/>
                <w:sz w:val="24"/>
                <w:szCs w:val="24"/>
                <w:lang w:val="en-US"/>
              </w:rPr>
            </w:pPr>
            <w:r>
              <w:rPr>
                <w:b/>
                <w:bCs/>
              </w:rPr>
              <w:t>Railway Example (2025)</w:t>
            </w:r>
          </w:p>
        </w:tc>
        <w:tc>
          <w:tcPr>
            <w:tcW w:w="3276" w:type="dxa"/>
            <w:shd w:val="clear" w:color="auto" w:fill="FFF2CC" w:themeFill="accent4" w:themeFillTint="33"/>
            <w:vAlign w:val="center"/>
          </w:tcPr>
          <w:p w14:paraId="59C40F43" w14:textId="4614074C" w:rsidR="00937A23" w:rsidRDefault="00937A23" w:rsidP="00937A23">
            <w:pPr>
              <w:pStyle w:val="ListParagraph"/>
              <w:ind w:left="0"/>
              <w:rPr>
                <w:rFonts w:asciiTheme="majorBidi" w:eastAsiaTheme="minorEastAsia" w:hAnsiTheme="majorBidi" w:cstheme="majorBidi"/>
                <w:bCs/>
                <w:sz w:val="24"/>
                <w:szCs w:val="24"/>
                <w:lang w:val="en-US"/>
              </w:rPr>
            </w:pPr>
            <w:r>
              <w:rPr>
                <w:b/>
                <w:bCs/>
              </w:rPr>
              <w:t>Typical Barrier to Next Level</w:t>
            </w:r>
          </w:p>
        </w:tc>
      </w:tr>
      <w:tr w:rsidR="00937A23" w14:paraId="4FC2F69B" w14:textId="518A5E4C" w:rsidTr="00937A23">
        <w:trPr>
          <w:trHeight w:val="471"/>
        </w:trPr>
        <w:tc>
          <w:tcPr>
            <w:tcW w:w="731" w:type="dxa"/>
            <w:shd w:val="clear" w:color="auto" w:fill="EDEDED" w:themeFill="accent3" w:themeFillTint="33"/>
            <w:vAlign w:val="center"/>
          </w:tcPr>
          <w:p w14:paraId="089FCF3C" w14:textId="1579C2F5" w:rsidR="00937A23" w:rsidRDefault="00937A23" w:rsidP="00937A23">
            <w:pPr>
              <w:pStyle w:val="ListParagraph"/>
              <w:ind w:left="0"/>
              <w:rPr>
                <w:rFonts w:asciiTheme="majorBidi" w:eastAsiaTheme="minorEastAsia" w:hAnsiTheme="majorBidi" w:cstheme="majorBidi"/>
                <w:bCs/>
                <w:sz w:val="24"/>
                <w:szCs w:val="24"/>
                <w:lang w:val="en-US"/>
              </w:rPr>
            </w:pPr>
            <w:r>
              <w:t>1</w:t>
            </w:r>
          </w:p>
        </w:tc>
        <w:tc>
          <w:tcPr>
            <w:tcW w:w="2279" w:type="dxa"/>
            <w:vAlign w:val="center"/>
          </w:tcPr>
          <w:p w14:paraId="5DC19522" w14:textId="543CCAD7" w:rsidR="00937A23" w:rsidRDefault="00937A23" w:rsidP="00EA5508">
            <w:pPr>
              <w:pStyle w:val="ListParagraph"/>
              <w:ind w:left="0"/>
              <w:jc w:val="both"/>
              <w:rPr>
                <w:rFonts w:asciiTheme="majorBidi" w:eastAsiaTheme="minorEastAsia" w:hAnsiTheme="majorBidi" w:cstheme="majorBidi"/>
                <w:bCs/>
                <w:sz w:val="24"/>
                <w:szCs w:val="24"/>
                <w:lang w:val="en-US"/>
              </w:rPr>
            </w:pPr>
            <w:r>
              <w:t>Reactive</w:t>
            </w:r>
          </w:p>
        </w:tc>
        <w:tc>
          <w:tcPr>
            <w:tcW w:w="2320" w:type="dxa"/>
            <w:vAlign w:val="center"/>
          </w:tcPr>
          <w:p w14:paraId="6683222D" w14:textId="68DE3AF6" w:rsidR="00937A23" w:rsidRDefault="00937A23" w:rsidP="00EA5508">
            <w:pPr>
              <w:pStyle w:val="ListParagraph"/>
              <w:ind w:left="0"/>
              <w:jc w:val="both"/>
              <w:rPr>
                <w:rFonts w:asciiTheme="majorBidi" w:eastAsiaTheme="minorEastAsia" w:hAnsiTheme="majorBidi" w:cstheme="majorBidi"/>
                <w:bCs/>
                <w:sz w:val="24"/>
                <w:szCs w:val="24"/>
                <w:lang w:val="en-US"/>
              </w:rPr>
            </w:pPr>
            <w:r>
              <w:t>Run-to-failure</w:t>
            </w:r>
          </w:p>
        </w:tc>
        <w:tc>
          <w:tcPr>
            <w:tcW w:w="1457" w:type="dxa"/>
            <w:vAlign w:val="center"/>
          </w:tcPr>
          <w:p w14:paraId="5EE4EADC" w14:textId="3088CB75" w:rsidR="00937A23" w:rsidRPr="007B75E5" w:rsidRDefault="00937A23" w:rsidP="00EA5508">
            <w:pPr>
              <w:pStyle w:val="ListParagraph"/>
              <w:ind w:left="0"/>
              <w:jc w:val="both"/>
              <w:rPr>
                <w:rFonts w:asciiTheme="majorBidi" w:eastAsiaTheme="minorEastAsia" w:hAnsiTheme="majorBidi" w:cstheme="majorBidi"/>
                <w:bCs/>
                <w:sz w:val="24"/>
                <w:szCs w:val="24"/>
              </w:rPr>
            </w:pPr>
            <w:r>
              <w:t>Many African &amp; South Asian legacy fleets</w:t>
            </w:r>
          </w:p>
        </w:tc>
        <w:tc>
          <w:tcPr>
            <w:tcW w:w="3276" w:type="dxa"/>
            <w:vAlign w:val="center"/>
          </w:tcPr>
          <w:p w14:paraId="44506519" w14:textId="01921136" w:rsidR="00937A23" w:rsidRDefault="00937A23" w:rsidP="00EA5508">
            <w:pPr>
              <w:pStyle w:val="ListParagraph"/>
              <w:ind w:left="0"/>
              <w:jc w:val="both"/>
              <w:rPr>
                <w:rFonts w:asciiTheme="majorBidi" w:eastAsiaTheme="minorEastAsia" w:hAnsiTheme="majorBidi" w:cstheme="majorBidi"/>
                <w:bCs/>
                <w:sz w:val="24"/>
                <w:szCs w:val="24"/>
                <w:lang w:val="en-US"/>
              </w:rPr>
            </w:pPr>
            <w:r>
              <w:t>Cost of downtime becomes visible</w:t>
            </w:r>
          </w:p>
        </w:tc>
      </w:tr>
      <w:tr w:rsidR="00937A23" w14:paraId="12FEFABC" w14:textId="5B43419A" w:rsidTr="00937A23">
        <w:trPr>
          <w:trHeight w:val="471"/>
        </w:trPr>
        <w:tc>
          <w:tcPr>
            <w:tcW w:w="731" w:type="dxa"/>
            <w:shd w:val="clear" w:color="auto" w:fill="EDEDED" w:themeFill="accent3" w:themeFillTint="33"/>
            <w:vAlign w:val="center"/>
          </w:tcPr>
          <w:p w14:paraId="057B857C" w14:textId="48EE230A" w:rsidR="00937A23" w:rsidRDefault="00937A23" w:rsidP="00937A23">
            <w:pPr>
              <w:pStyle w:val="ListParagraph"/>
              <w:ind w:left="0"/>
              <w:rPr>
                <w:rFonts w:asciiTheme="majorBidi" w:eastAsiaTheme="minorEastAsia" w:hAnsiTheme="majorBidi" w:cstheme="majorBidi"/>
                <w:bCs/>
                <w:sz w:val="24"/>
                <w:szCs w:val="24"/>
                <w:lang w:val="en-US"/>
              </w:rPr>
            </w:pPr>
            <w:r>
              <w:t>2</w:t>
            </w:r>
          </w:p>
        </w:tc>
        <w:tc>
          <w:tcPr>
            <w:tcW w:w="2279" w:type="dxa"/>
            <w:vAlign w:val="center"/>
          </w:tcPr>
          <w:p w14:paraId="6EBC8C1C" w14:textId="3F590F45" w:rsidR="00937A23" w:rsidRDefault="00937A23" w:rsidP="00EA5508">
            <w:pPr>
              <w:pStyle w:val="ListParagraph"/>
              <w:ind w:left="0"/>
              <w:jc w:val="both"/>
              <w:rPr>
                <w:rFonts w:asciiTheme="majorBidi" w:eastAsiaTheme="minorEastAsia" w:hAnsiTheme="majorBidi" w:cstheme="majorBidi"/>
                <w:bCs/>
                <w:sz w:val="24"/>
                <w:szCs w:val="24"/>
                <w:lang w:val="en-US"/>
              </w:rPr>
            </w:pPr>
            <w:r>
              <w:t>Preventive</w:t>
            </w:r>
          </w:p>
        </w:tc>
        <w:tc>
          <w:tcPr>
            <w:tcW w:w="2320" w:type="dxa"/>
            <w:vAlign w:val="center"/>
          </w:tcPr>
          <w:p w14:paraId="5257F280" w14:textId="0FC1E3B8" w:rsidR="00937A23" w:rsidRDefault="00937A23" w:rsidP="00EA5508">
            <w:pPr>
              <w:pStyle w:val="ListParagraph"/>
              <w:ind w:left="0"/>
              <w:jc w:val="both"/>
              <w:rPr>
                <w:rFonts w:asciiTheme="majorBidi" w:eastAsiaTheme="minorEastAsia" w:hAnsiTheme="majorBidi" w:cstheme="majorBidi"/>
                <w:bCs/>
                <w:sz w:val="24"/>
                <w:szCs w:val="24"/>
                <w:lang w:val="en-US"/>
              </w:rPr>
            </w:pPr>
            <w:r>
              <w:t>Calendar / mileage-based overhauls</w:t>
            </w:r>
          </w:p>
        </w:tc>
        <w:tc>
          <w:tcPr>
            <w:tcW w:w="1457" w:type="dxa"/>
            <w:vAlign w:val="center"/>
          </w:tcPr>
          <w:p w14:paraId="651E1A4A" w14:textId="1C49B947" w:rsidR="00937A23" w:rsidRPr="007B75E5" w:rsidRDefault="00937A23" w:rsidP="00EA5508">
            <w:pPr>
              <w:pStyle w:val="ListParagraph"/>
              <w:ind w:left="0"/>
              <w:jc w:val="both"/>
              <w:rPr>
                <w:rFonts w:asciiTheme="majorBidi" w:eastAsiaTheme="minorEastAsia" w:hAnsiTheme="majorBidi" w:cstheme="majorBidi"/>
                <w:bCs/>
                <w:sz w:val="24"/>
                <w:szCs w:val="24"/>
              </w:rPr>
            </w:pPr>
            <w:r>
              <w:t>Current SAR diesel fleet practice</w:t>
            </w:r>
          </w:p>
        </w:tc>
        <w:tc>
          <w:tcPr>
            <w:tcW w:w="3276" w:type="dxa"/>
            <w:vAlign w:val="center"/>
          </w:tcPr>
          <w:p w14:paraId="3E38A2C3" w14:textId="13D3662A" w:rsidR="00937A23" w:rsidRDefault="00937A23" w:rsidP="00EA5508">
            <w:pPr>
              <w:pStyle w:val="ListParagraph"/>
              <w:ind w:left="0"/>
              <w:jc w:val="both"/>
              <w:rPr>
                <w:rFonts w:asciiTheme="majorBidi" w:eastAsiaTheme="minorEastAsia" w:hAnsiTheme="majorBidi" w:cstheme="majorBidi"/>
                <w:bCs/>
                <w:sz w:val="24"/>
                <w:szCs w:val="24"/>
                <w:lang w:val="en-US"/>
              </w:rPr>
            </w:pPr>
            <w:r>
              <w:t>Over-maintenance waste</w:t>
            </w:r>
          </w:p>
        </w:tc>
      </w:tr>
      <w:tr w:rsidR="00937A23" w14:paraId="3AB7620E" w14:textId="1DC8E94F" w:rsidTr="00937A23">
        <w:trPr>
          <w:trHeight w:val="471"/>
        </w:trPr>
        <w:tc>
          <w:tcPr>
            <w:tcW w:w="731" w:type="dxa"/>
            <w:shd w:val="clear" w:color="auto" w:fill="EDEDED" w:themeFill="accent3" w:themeFillTint="33"/>
            <w:vAlign w:val="center"/>
          </w:tcPr>
          <w:p w14:paraId="5AE5B6CB" w14:textId="01066EB9" w:rsidR="00937A23" w:rsidRDefault="00937A23" w:rsidP="00937A23">
            <w:pPr>
              <w:pStyle w:val="ListParagraph"/>
              <w:ind w:left="0"/>
              <w:rPr>
                <w:rFonts w:asciiTheme="majorBidi" w:eastAsiaTheme="minorEastAsia" w:hAnsiTheme="majorBidi" w:cstheme="majorBidi"/>
                <w:bCs/>
                <w:sz w:val="24"/>
                <w:szCs w:val="24"/>
                <w:lang w:val="en-US"/>
              </w:rPr>
            </w:pPr>
            <w:r>
              <w:t>3</w:t>
            </w:r>
          </w:p>
        </w:tc>
        <w:tc>
          <w:tcPr>
            <w:tcW w:w="2279" w:type="dxa"/>
            <w:vAlign w:val="center"/>
          </w:tcPr>
          <w:p w14:paraId="39A261F0" w14:textId="16129CEB" w:rsidR="00937A23" w:rsidRDefault="00937A23" w:rsidP="00EA5508">
            <w:pPr>
              <w:pStyle w:val="ListParagraph"/>
              <w:ind w:left="0"/>
              <w:jc w:val="both"/>
              <w:rPr>
                <w:rFonts w:asciiTheme="majorBidi" w:eastAsiaTheme="minorEastAsia" w:hAnsiTheme="majorBidi" w:cstheme="majorBidi"/>
                <w:bCs/>
                <w:sz w:val="24"/>
                <w:szCs w:val="24"/>
                <w:lang w:val="en-US"/>
              </w:rPr>
            </w:pPr>
            <w:r>
              <w:t>Predictive</w:t>
            </w:r>
          </w:p>
        </w:tc>
        <w:tc>
          <w:tcPr>
            <w:tcW w:w="2320" w:type="dxa"/>
            <w:vAlign w:val="center"/>
          </w:tcPr>
          <w:p w14:paraId="25940603" w14:textId="0DCF17DF" w:rsidR="00937A23" w:rsidRDefault="00937A23" w:rsidP="00EA5508">
            <w:pPr>
              <w:pStyle w:val="ListParagraph"/>
              <w:ind w:left="0"/>
              <w:jc w:val="both"/>
              <w:rPr>
                <w:rFonts w:asciiTheme="majorBidi" w:eastAsiaTheme="minorEastAsia" w:hAnsiTheme="majorBidi" w:cstheme="majorBidi"/>
                <w:bCs/>
                <w:sz w:val="24"/>
                <w:szCs w:val="24"/>
                <w:lang w:val="en-US"/>
              </w:rPr>
            </w:pPr>
            <w:r>
              <w:t>Condition monitoring + RUL prognosis</w:t>
            </w:r>
          </w:p>
        </w:tc>
        <w:tc>
          <w:tcPr>
            <w:tcW w:w="1457" w:type="dxa"/>
            <w:vAlign w:val="center"/>
          </w:tcPr>
          <w:p w14:paraId="04FE7CFE" w14:textId="5CD37118" w:rsidR="00937A23" w:rsidRPr="007B75E5" w:rsidRDefault="00937A23" w:rsidP="00EA5508">
            <w:pPr>
              <w:pStyle w:val="ListParagraph"/>
              <w:ind w:left="0"/>
              <w:jc w:val="both"/>
              <w:rPr>
                <w:rFonts w:asciiTheme="majorBidi" w:eastAsiaTheme="minorEastAsia" w:hAnsiTheme="majorBidi" w:cstheme="majorBidi"/>
                <w:bCs/>
                <w:sz w:val="24"/>
                <w:szCs w:val="24"/>
              </w:rPr>
            </w:pPr>
            <w:r>
              <w:t>Deutsche Bahn ICE-3 (partial)</w:t>
            </w:r>
          </w:p>
        </w:tc>
        <w:tc>
          <w:tcPr>
            <w:tcW w:w="3276" w:type="dxa"/>
            <w:vAlign w:val="center"/>
          </w:tcPr>
          <w:p w14:paraId="3FAB46B4" w14:textId="2F04E544" w:rsidR="00937A23" w:rsidRDefault="00937A23" w:rsidP="00EA5508">
            <w:pPr>
              <w:pStyle w:val="ListParagraph"/>
              <w:ind w:left="0"/>
              <w:jc w:val="both"/>
              <w:rPr>
                <w:rFonts w:asciiTheme="majorBidi" w:eastAsiaTheme="minorEastAsia" w:hAnsiTheme="majorBidi" w:cstheme="majorBidi"/>
                <w:bCs/>
                <w:sz w:val="24"/>
                <w:szCs w:val="24"/>
                <w:lang w:val="en-US"/>
              </w:rPr>
            </w:pPr>
            <w:r>
              <w:t>Data silos, lack of trust</w:t>
            </w:r>
          </w:p>
        </w:tc>
      </w:tr>
      <w:tr w:rsidR="00937A23" w14:paraId="084515F8" w14:textId="77777777" w:rsidTr="00937A23">
        <w:trPr>
          <w:trHeight w:val="471"/>
        </w:trPr>
        <w:tc>
          <w:tcPr>
            <w:tcW w:w="731" w:type="dxa"/>
            <w:shd w:val="clear" w:color="auto" w:fill="EDEDED" w:themeFill="accent3" w:themeFillTint="33"/>
            <w:vAlign w:val="center"/>
          </w:tcPr>
          <w:p w14:paraId="2E70509D" w14:textId="3E9D8F6C" w:rsidR="00937A23" w:rsidRDefault="00937A23" w:rsidP="00937A23">
            <w:pPr>
              <w:pStyle w:val="ListParagraph"/>
              <w:ind w:left="0"/>
              <w:rPr>
                <w:rFonts w:asciiTheme="majorBidi" w:eastAsiaTheme="minorEastAsia" w:hAnsiTheme="majorBidi" w:cstheme="majorBidi"/>
                <w:bCs/>
                <w:sz w:val="24"/>
                <w:szCs w:val="24"/>
                <w:lang w:val="en-US"/>
              </w:rPr>
            </w:pPr>
            <w:r>
              <w:t>4</w:t>
            </w:r>
          </w:p>
        </w:tc>
        <w:tc>
          <w:tcPr>
            <w:tcW w:w="2279" w:type="dxa"/>
            <w:vAlign w:val="center"/>
          </w:tcPr>
          <w:p w14:paraId="25D15587" w14:textId="700C6427" w:rsidR="00937A23" w:rsidRDefault="00937A23" w:rsidP="00EA5508">
            <w:pPr>
              <w:pStyle w:val="ListParagraph"/>
              <w:ind w:left="0"/>
              <w:jc w:val="both"/>
              <w:rPr>
                <w:rFonts w:asciiTheme="majorBidi" w:eastAsiaTheme="minorEastAsia" w:hAnsiTheme="majorBidi" w:cstheme="majorBidi"/>
                <w:bCs/>
                <w:sz w:val="24"/>
                <w:szCs w:val="24"/>
                <w:lang w:val="en-US"/>
              </w:rPr>
            </w:pPr>
            <w:r>
              <w:t>Prescriptive / Health Management</w:t>
            </w:r>
          </w:p>
        </w:tc>
        <w:tc>
          <w:tcPr>
            <w:tcW w:w="2320" w:type="dxa"/>
            <w:vAlign w:val="center"/>
          </w:tcPr>
          <w:p w14:paraId="6ACAE240" w14:textId="745C1AAE" w:rsidR="00937A23" w:rsidRDefault="00937A23" w:rsidP="00EA5508">
            <w:pPr>
              <w:pStyle w:val="ListParagraph"/>
              <w:ind w:left="0"/>
              <w:jc w:val="both"/>
              <w:rPr>
                <w:rFonts w:asciiTheme="majorBidi" w:eastAsiaTheme="minorEastAsia" w:hAnsiTheme="majorBidi" w:cstheme="majorBidi"/>
                <w:bCs/>
                <w:sz w:val="24"/>
                <w:szCs w:val="24"/>
                <w:lang w:val="en-US"/>
              </w:rPr>
            </w:pPr>
            <w:r>
              <w:t>Simulation of competing scenarios via Digital Twin</w:t>
            </w:r>
          </w:p>
        </w:tc>
        <w:tc>
          <w:tcPr>
            <w:tcW w:w="1457" w:type="dxa"/>
            <w:vAlign w:val="center"/>
          </w:tcPr>
          <w:p w14:paraId="5968CD95" w14:textId="0C786978" w:rsidR="00937A23" w:rsidRPr="007B75E5" w:rsidRDefault="00937A23" w:rsidP="00EA5508">
            <w:pPr>
              <w:pStyle w:val="ListParagraph"/>
              <w:ind w:left="0"/>
              <w:jc w:val="both"/>
              <w:rPr>
                <w:rFonts w:asciiTheme="majorBidi" w:eastAsiaTheme="minorEastAsia" w:hAnsiTheme="majorBidi" w:cstheme="majorBidi"/>
                <w:bCs/>
                <w:sz w:val="24"/>
                <w:szCs w:val="24"/>
              </w:rPr>
            </w:pPr>
            <w:r>
              <w:t>JR East E8 Series (2024 pilot)</w:t>
            </w:r>
          </w:p>
        </w:tc>
        <w:tc>
          <w:tcPr>
            <w:tcW w:w="3276" w:type="dxa"/>
            <w:vAlign w:val="center"/>
          </w:tcPr>
          <w:p w14:paraId="045692A9" w14:textId="0A7805A1" w:rsidR="00937A23" w:rsidRDefault="00937A23" w:rsidP="00EA5508">
            <w:pPr>
              <w:pStyle w:val="ListParagraph"/>
              <w:ind w:left="0"/>
              <w:jc w:val="both"/>
              <w:rPr>
                <w:rFonts w:asciiTheme="majorBidi" w:eastAsiaTheme="minorEastAsia" w:hAnsiTheme="majorBidi" w:cstheme="majorBidi"/>
                <w:bCs/>
                <w:sz w:val="24"/>
                <w:szCs w:val="24"/>
                <w:lang w:val="en-US"/>
              </w:rPr>
            </w:pPr>
            <w:r>
              <w:t>Organisational politics of data ownership</w:t>
            </w:r>
          </w:p>
        </w:tc>
      </w:tr>
      <w:tr w:rsidR="00937A23" w14:paraId="0F6C1D18" w14:textId="77777777" w:rsidTr="00937A23">
        <w:trPr>
          <w:trHeight w:val="471"/>
        </w:trPr>
        <w:tc>
          <w:tcPr>
            <w:tcW w:w="731" w:type="dxa"/>
            <w:shd w:val="clear" w:color="auto" w:fill="EDEDED" w:themeFill="accent3" w:themeFillTint="33"/>
            <w:vAlign w:val="center"/>
          </w:tcPr>
          <w:p w14:paraId="5D6883E3" w14:textId="7CE5CAFF" w:rsidR="00937A23" w:rsidRDefault="00937A23" w:rsidP="00937A23">
            <w:pPr>
              <w:pStyle w:val="ListParagraph"/>
              <w:ind w:left="0"/>
              <w:rPr>
                <w:rFonts w:asciiTheme="majorBidi" w:eastAsiaTheme="minorEastAsia" w:hAnsiTheme="majorBidi" w:cstheme="majorBidi"/>
                <w:bCs/>
                <w:sz w:val="24"/>
                <w:szCs w:val="24"/>
                <w:lang w:val="en-US"/>
              </w:rPr>
            </w:pPr>
            <w:r>
              <w:t>5</w:t>
            </w:r>
          </w:p>
        </w:tc>
        <w:tc>
          <w:tcPr>
            <w:tcW w:w="2279" w:type="dxa"/>
            <w:vAlign w:val="center"/>
          </w:tcPr>
          <w:p w14:paraId="0D988F88" w14:textId="0447D732" w:rsidR="00937A23" w:rsidRDefault="00937A23" w:rsidP="00EA5508">
            <w:pPr>
              <w:pStyle w:val="ListParagraph"/>
              <w:ind w:left="0"/>
              <w:jc w:val="both"/>
              <w:rPr>
                <w:rFonts w:asciiTheme="majorBidi" w:eastAsiaTheme="minorEastAsia" w:hAnsiTheme="majorBidi" w:cstheme="majorBidi"/>
                <w:bCs/>
                <w:sz w:val="24"/>
                <w:szCs w:val="24"/>
                <w:lang w:val="en-US"/>
              </w:rPr>
            </w:pPr>
            <w:r>
              <w:t>Cognitive</w:t>
            </w:r>
          </w:p>
        </w:tc>
        <w:tc>
          <w:tcPr>
            <w:tcW w:w="2320" w:type="dxa"/>
            <w:vAlign w:val="center"/>
          </w:tcPr>
          <w:p w14:paraId="30C715BF" w14:textId="42650469" w:rsidR="00937A23" w:rsidRDefault="00937A23" w:rsidP="00EA5508">
            <w:pPr>
              <w:pStyle w:val="ListParagraph"/>
              <w:ind w:left="0"/>
              <w:jc w:val="both"/>
              <w:rPr>
                <w:rFonts w:asciiTheme="majorBidi" w:eastAsiaTheme="minorEastAsia" w:hAnsiTheme="majorBidi" w:cstheme="majorBidi"/>
                <w:bCs/>
                <w:sz w:val="24"/>
                <w:szCs w:val="24"/>
                <w:lang w:val="en-US"/>
              </w:rPr>
            </w:pPr>
            <w:r>
              <w:t>Autonomous execution, continuous self-learning</w:t>
            </w:r>
          </w:p>
        </w:tc>
        <w:tc>
          <w:tcPr>
            <w:tcW w:w="1457" w:type="dxa"/>
            <w:vAlign w:val="center"/>
          </w:tcPr>
          <w:p w14:paraId="357A2791" w14:textId="38670B42" w:rsidR="00937A23" w:rsidRPr="007B75E5" w:rsidRDefault="00937A23" w:rsidP="00EA5508">
            <w:pPr>
              <w:pStyle w:val="ListParagraph"/>
              <w:ind w:left="0"/>
              <w:jc w:val="both"/>
              <w:rPr>
                <w:rFonts w:asciiTheme="majorBidi" w:eastAsiaTheme="minorEastAsia" w:hAnsiTheme="majorBidi" w:cstheme="majorBidi"/>
                <w:bCs/>
                <w:sz w:val="24"/>
                <w:szCs w:val="24"/>
              </w:rPr>
            </w:pPr>
            <w:r>
              <w:t xml:space="preserve">SNCF “Train du </w:t>
            </w:r>
            <w:proofErr w:type="spellStart"/>
            <w:r>
              <w:t>Futur</w:t>
            </w:r>
            <w:proofErr w:type="spellEnd"/>
            <w:r>
              <w:t>” 2025 demonstrator</w:t>
            </w:r>
          </w:p>
        </w:tc>
        <w:tc>
          <w:tcPr>
            <w:tcW w:w="3276" w:type="dxa"/>
            <w:vAlign w:val="center"/>
          </w:tcPr>
          <w:p w14:paraId="609A02D9" w14:textId="62CB77DF" w:rsidR="00937A23" w:rsidRDefault="00937A23" w:rsidP="00EA5508">
            <w:pPr>
              <w:pStyle w:val="ListParagraph"/>
              <w:ind w:left="0"/>
              <w:jc w:val="both"/>
              <w:rPr>
                <w:rFonts w:asciiTheme="majorBidi" w:eastAsiaTheme="minorEastAsia" w:hAnsiTheme="majorBidi" w:cstheme="majorBidi"/>
                <w:bCs/>
                <w:sz w:val="24"/>
                <w:szCs w:val="24"/>
                <w:lang w:val="en-US"/>
              </w:rPr>
            </w:pPr>
            <w:r>
              <w:t>Regulatory acceptance of AI decisions</w:t>
            </w:r>
          </w:p>
        </w:tc>
      </w:tr>
    </w:tbl>
    <w:p w14:paraId="1561BE5C" w14:textId="7FE018F4" w:rsidR="00FA792C" w:rsidRPr="00EA5508" w:rsidRDefault="00EA5508" w:rsidP="00EA5508">
      <w:pPr>
        <w:pStyle w:val="ListParagraph"/>
        <w:ind w:left="1440"/>
        <w:jc w:val="center"/>
        <w:rPr>
          <w:rFonts w:asciiTheme="majorBidi" w:eastAsiaTheme="minorEastAsia" w:hAnsiTheme="majorBidi" w:cstheme="majorBidi"/>
          <w:bCs/>
          <w:sz w:val="16"/>
          <w:szCs w:val="16"/>
          <w:lang w:val="en-US"/>
        </w:rPr>
      </w:pPr>
      <w:r w:rsidRPr="00EA5508">
        <w:rPr>
          <w:rFonts w:asciiTheme="majorBidi" w:eastAsiaTheme="minorEastAsia" w:hAnsiTheme="majorBidi" w:cstheme="majorBidi"/>
          <w:bCs/>
          <w:sz w:val="16"/>
          <w:szCs w:val="16"/>
          <w:lang w:val="en-US"/>
        </w:rPr>
        <w:t>Table 2: Maintenance Maturity</w:t>
      </w:r>
    </w:p>
    <w:p w14:paraId="1AC9BA3C" w14:textId="77777777" w:rsidR="00FA792C" w:rsidRDefault="00FA792C" w:rsidP="00FA792C">
      <w:pPr>
        <w:pStyle w:val="ListParagraph"/>
        <w:ind w:left="1440"/>
        <w:rPr>
          <w:rFonts w:asciiTheme="majorBidi" w:eastAsiaTheme="minorEastAsia" w:hAnsiTheme="majorBidi" w:cstheme="majorBidi"/>
          <w:bCs/>
          <w:sz w:val="24"/>
          <w:szCs w:val="24"/>
          <w:lang w:val="en-US"/>
        </w:rPr>
      </w:pPr>
    </w:p>
    <w:p w14:paraId="17702145" w14:textId="77777777" w:rsidR="00EA5508" w:rsidRDefault="00EA5508" w:rsidP="00FA792C">
      <w:pPr>
        <w:pStyle w:val="ListParagraph"/>
        <w:ind w:left="1440"/>
        <w:rPr>
          <w:rFonts w:asciiTheme="majorBidi" w:eastAsiaTheme="minorEastAsia" w:hAnsiTheme="majorBidi" w:cstheme="majorBidi"/>
          <w:bCs/>
          <w:sz w:val="24"/>
          <w:szCs w:val="24"/>
          <w:lang w:val="en-US"/>
        </w:rPr>
      </w:pPr>
    </w:p>
    <w:p w14:paraId="7A271003" w14:textId="501B0D95" w:rsidR="005E2F15" w:rsidRPr="005E2F15" w:rsidRDefault="005E2F15" w:rsidP="003643D3">
      <w:pPr>
        <w:pStyle w:val="ListParagraph"/>
        <w:spacing w:after="160" w:line="360" w:lineRule="auto"/>
        <w:ind w:left="1440"/>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 xml:space="preserve">2.3.2 </w:t>
      </w:r>
      <w:r w:rsidR="00F21D07" w:rsidRPr="00F21D07">
        <w:rPr>
          <w:rFonts w:asciiTheme="majorBidi" w:eastAsiaTheme="minorEastAsia" w:hAnsiTheme="majorBidi" w:cstheme="majorBidi"/>
          <w:bCs/>
          <w:sz w:val="24"/>
          <w:szCs w:val="24"/>
          <w:lang w:val="en-US"/>
        </w:rPr>
        <w:t>T</w:t>
      </w:r>
      <w:r w:rsidRPr="00F21D07">
        <w:rPr>
          <w:rFonts w:asciiTheme="majorBidi" w:eastAsiaTheme="minorEastAsia" w:hAnsiTheme="majorBidi" w:cstheme="majorBidi"/>
          <w:bCs/>
          <w:sz w:val="24"/>
          <w:szCs w:val="24"/>
          <w:lang w:val="en-US"/>
        </w:rPr>
        <w:t>echnological</w:t>
      </w:r>
      <w:r w:rsidRPr="005E2F15">
        <w:rPr>
          <w:rFonts w:asciiTheme="majorBidi" w:eastAsiaTheme="minorEastAsia" w:hAnsiTheme="majorBidi" w:cstheme="majorBidi"/>
          <w:bCs/>
          <w:sz w:val="24"/>
          <w:szCs w:val="24"/>
          <w:lang w:val="en-US"/>
        </w:rPr>
        <w:t xml:space="preserve"> enablers of cognitive maintenance</w:t>
      </w:r>
    </w:p>
    <w:p w14:paraId="479E3821" w14:textId="77777777" w:rsidR="005E2F15" w:rsidRPr="005E2F15" w:rsidRDefault="005E2F15" w:rsidP="00EA5508">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the roadmap’s success is predicated on the strategic adoption and scaling of core technologies:</w:t>
      </w:r>
    </w:p>
    <w:p w14:paraId="1BDC1957" w14:textId="77777777" w:rsidR="005E2F15" w:rsidRPr="005E2F15" w:rsidRDefault="005E2F15" w:rsidP="00EA5508">
      <w:pPr>
        <w:pStyle w:val="ListParagraph"/>
        <w:spacing w:after="160" w:line="360" w:lineRule="auto"/>
        <w:ind w:left="1440"/>
        <w:jc w:val="both"/>
        <w:rPr>
          <w:rFonts w:asciiTheme="majorBidi" w:eastAsiaTheme="minorEastAsia" w:hAnsiTheme="majorBidi" w:cstheme="majorBidi"/>
          <w:bCs/>
          <w:sz w:val="24"/>
          <w:szCs w:val="24"/>
          <w:lang w:val="en-US"/>
        </w:rPr>
      </w:pPr>
    </w:p>
    <w:p w14:paraId="65C4DFCB" w14:textId="19644225" w:rsidR="005E2F15" w:rsidRPr="005E2F15" w:rsidRDefault="005E2F15" w:rsidP="00EA5508">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 xml:space="preserve">A. Digital </w:t>
      </w:r>
      <w:r w:rsidR="00EA5508">
        <w:rPr>
          <w:rFonts w:asciiTheme="majorBidi" w:eastAsiaTheme="minorEastAsia" w:hAnsiTheme="majorBidi" w:cstheme="majorBidi"/>
          <w:bCs/>
          <w:sz w:val="24"/>
          <w:szCs w:val="24"/>
          <w:lang w:val="en-US"/>
        </w:rPr>
        <w:t>T</w:t>
      </w:r>
      <w:r w:rsidRPr="005E2F15">
        <w:rPr>
          <w:rFonts w:asciiTheme="majorBidi" w:eastAsiaTheme="minorEastAsia" w:hAnsiTheme="majorBidi" w:cstheme="majorBidi"/>
          <w:bCs/>
          <w:sz w:val="24"/>
          <w:szCs w:val="24"/>
          <w:lang w:val="en-US"/>
        </w:rPr>
        <w:t xml:space="preserve">wins and </w:t>
      </w:r>
      <w:r w:rsidR="00EA5508">
        <w:rPr>
          <w:rFonts w:asciiTheme="majorBidi" w:eastAsiaTheme="minorEastAsia" w:hAnsiTheme="majorBidi" w:cstheme="majorBidi"/>
          <w:bCs/>
          <w:sz w:val="24"/>
          <w:szCs w:val="24"/>
          <w:lang w:val="en-US"/>
        </w:rPr>
        <w:t>C</w:t>
      </w:r>
      <w:r w:rsidRPr="005E2F15">
        <w:rPr>
          <w:rFonts w:asciiTheme="majorBidi" w:eastAsiaTheme="minorEastAsia" w:hAnsiTheme="majorBidi" w:cstheme="majorBidi"/>
          <w:bCs/>
          <w:sz w:val="24"/>
          <w:szCs w:val="24"/>
          <w:lang w:val="en-US"/>
        </w:rPr>
        <w:t>yber-</w:t>
      </w:r>
      <w:r w:rsidR="00EA5508">
        <w:rPr>
          <w:rFonts w:asciiTheme="majorBidi" w:eastAsiaTheme="minorEastAsia" w:hAnsiTheme="majorBidi" w:cstheme="majorBidi"/>
          <w:bCs/>
          <w:sz w:val="24"/>
          <w:szCs w:val="24"/>
          <w:lang w:val="en-US"/>
        </w:rPr>
        <w:t>P</w:t>
      </w:r>
      <w:r w:rsidRPr="005E2F15">
        <w:rPr>
          <w:rFonts w:asciiTheme="majorBidi" w:eastAsiaTheme="minorEastAsia" w:hAnsiTheme="majorBidi" w:cstheme="majorBidi"/>
          <w:bCs/>
          <w:sz w:val="24"/>
          <w:szCs w:val="24"/>
          <w:lang w:val="en-US"/>
        </w:rPr>
        <w:t xml:space="preserve">hysical </w:t>
      </w:r>
      <w:r w:rsidR="00EA5508">
        <w:rPr>
          <w:rFonts w:asciiTheme="majorBidi" w:eastAsiaTheme="minorEastAsia" w:hAnsiTheme="majorBidi" w:cstheme="majorBidi"/>
          <w:bCs/>
          <w:sz w:val="24"/>
          <w:szCs w:val="24"/>
          <w:lang w:val="en-US"/>
        </w:rPr>
        <w:t>S</w:t>
      </w:r>
      <w:r w:rsidRPr="005E2F15">
        <w:rPr>
          <w:rFonts w:asciiTheme="majorBidi" w:eastAsiaTheme="minorEastAsia" w:hAnsiTheme="majorBidi" w:cstheme="majorBidi"/>
          <w:bCs/>
          <w:sz w:val="24"/>
          <w:szCs w:val="24"/>
          <w:lang w:val="en-US"/>
        </w:rPr>
        <w:t>ystems (</w:t>
      </w:r>
      <w:r w:rsidR="00EA5508">
        <w:rPr>
          <w:rFonts w:asciiTheme="majorBidi" w:eastAsiaTheme="minorEastAsia" w:hAnsiTheme="majorBidi" w:cstheme="majorBidi"/>
          <w:bCs/>
          <w:sz w:val="24"/>
          <w:szCs w:val="24"/>
          <w:lang w:val="en-US"/>
        </w:rPr>
        <w:t>CPS</w:t>
      </w:r>
      <w:r w:rsidRPr="005E2F15">
        <w:rPr>
          <w:rFonts w:asciiTheme="majorBidi" w:eastAsiaTheme="minorEastAsia" w:hAnsiTheme="majorBidi" w:cstheme="majorBidi"/>
          <w:bCs/>
          <w:sz w:val="24"/>
          <w:szCs w:val="24"/>
          <w:lang w:val="en-US"/>
        </w:rPr>
        <w:t>)</w:t>
      </w:r>
    </w:p>
    <w:p w14:paraId="4CCA49A2" w14:textId="77777777" w:rsidR="005E2F15" w:rsidRDefault="005E2F15" w:rsidP="00EA5508">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the digital twin is defined as a virtual replica of a physical asset, synchronized by data, used to simulate, predict, and optimize performance (</w:t>
      </w:r>
      <w:proofErr w:type="spellStart"/>
      <w:r w:rsidRPr="005E2F15">
        <w:rPr>
          <w:rFonts w:asciiTheme="majorBidi" w:eastAsiaTheme="minorEastAsia" w:hAnsiTheme="majorBidi" w:cstheme="majorBidi"/>
          <w:bCs/>
          <w:sz w:val="24"/>
          <w:szCs w:val="24"/>
          <w:lang w:val="en-US"/>
        </w:rPr>
        <w:t>grall</w:t>
      </w:r>
      <w:proofErr w:type="spellEnd"/>
      <w:r w:rsidRPr="005E2F15">
        <w:rPr>
          <w:rFonts w:asciiTheme="majorBidi" w:eastAsiaTheme="minorEastAsia" w:hAnsiTheme="majorBidi" w:cstheme="majorBidi"/>
          <w:bCs/>
          <w:sz w:val="24"/>
          <w:szCs w:val="24"/>
          <w:lang w:val="en-US"/>
        </w:rPr>
        <w:t xml:space="preserve"> et al., 2020). For rolling stock, the twin operates as a cyber-physical system (cps), constantly exchanging data between the physical train and the virtual model. The twin is critical for </w:t>
      </w:r>
      <w:proofErr w:type="spellStart"/>
      <w:r w:rsidRPr="005E2F15">
        <w:rPr>
          <w:rFonts w:asciiTheme="majorBidi" w:eastAsiaTheme="minorEastAsia" w:hAnsiTheme="majorBidi" w:cstheme="majorBidi"/>
          <w:bCs/>
          <w:sz w:val="24"/>
          <w:szCs w:val="24"/>
          <w:lang w:val="en-US"/>
        </w:rPr>
        <w:t>psm</w:t>
      </w:r>
      <w:proofErr w:type="spellEnd"/>
      <w:r w:rsidRPr="005E2F15">
        <w:rPr>
          <w:rFonts w:asciiTheme="majorBidi" w:eastAsiaTheme="minorEastAsia" w:hAnsiTheme="majorBidi" w:cstheme="majorBidi"/>
          <w:bCs/>
          <w:sz w:val="24"/>
          <w:szCs w:val="24"/>
          <w:lang w:val="en-US"/>
        </w:rPr>
        <w:t xml:space="preserve"> as it allows for the simulation of competing maintenance schedules and scenarios to determine the single best, most financially sound intervention, rather than simply predicting the failure itself.</w:t>
      </w:r>
    </w:p>
    <w:p w14:paraId="0A74E1CB" w14:textId="77777777" w:rsidR="00EA5508" w:rsidRDefault="00EA5508" w:rsidP="00EA5508">
      <w:pPr>
        <w:pStyle w:val="ListParagraph"/>
        <w:spacing w:after="160" w:line="360" w:lineRule="auto"/>
        <w:ind w:left="1440"/>
        <w:jc w:val="both"/>
        <w:rPr>
          <w:rFonts w:asciiTheme="majorBidi" w:eastAsiaTheme="minorEastAsia" w:hAnsiTheme="majorBidi" w:cstheme="majorBidi"/>
          <w:bCs/>
          <w:sz w:val="24"/>
          <w:szCs w:val="24"/>
          <w:lang w:val="en-US"/>
        </w:rPr>
      </w:pPr>
    </w:p>
    <w:p w14:paraId="3F15EA0F" w14:textId="77777777" w:rsidR="00EA5508" w:rsidRPr="005E2F15" w:rsidRDefault="00EA5508" w:rsidP="00EA5508">
      <w:pPr>
        <w:pStyle w:val="ListParagraph"/>
        <w:spacing w:after="160" w:line="360" w:lineRule="auto"/>
        <w:ind w:left="1440"/>
        <w:jc w:val="both"/>
        <w:rPr>
          <w:rFonts w:asciiTheme="majorBidi" w:eastAsiaTheme="minorEastAsia" w:hAnsiTheme="majorBidi" w:cstheme="majorBidi"/>
          <w:bCs/>
          <w:sz w:val="24"/>
          <w:szCs w:val="24"/>
          <w:lang w:val="en-US"/>
        </w:rPr>
      </w:pPr>
    </w:p>
    <w:p w14:paraId="0777B25B" w14:textId="77777777" w:rsidR="005E2F15" w:rsidRPr="005E2F15" w:rsidRDefault="005E2F15" w:rsidP="003643D3">
      <w:pPr>
        <w:pStyle w:val="ListParagraph"/>
        <w:spacing w:after="160" w:line="360" w:lineRule="auto"/>
        <w:ind w:left="1440"/>
        <w:rPr>
          <w:rFonts w:asciiTheme="majorBidi" w:eastAsiaTheme="minorEastAsia" w:hAnsiTheme="majorBidi" w:cstheme="majorBidi"/>
          <w:bCs/>
          <w:sz w:val="24"/>
          <w:szCs w:val="24"/>
          <w:lang w:val="en-US"/>
        </w:rPr>
      </w:pPr>
    </w:p>
    <w:p w14:paraId="1602131F" w14:textId="77777777" w:rsidR="005E2F15" w:rsidRPr="005E2F15" w:rsidRDefault="005E2F15" w:rsidP="003643D3">
      <w:pPr>
        <w:pStyle w:val="ListParagraph"/>
        <w:spacing w:after="160" w:line="360" w:lineRule="auto"/>
        <w:ind w:left="1440"/>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lastRenderedPageBreak/>
        <w:t>B. Advanced analytics and edge computing</w:t>
      </w:r>
    </w:p>
    <w:p w14:paraId="68A4395E" w14:textId="77777777" w:rsidR="005E2F15" w:rsidRPr="005E2F15" w:rsidRDefault="005E2F15" w:rsidP="00EA5508">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moving to cognitive maintenance requires shifting from centralized cloud analytics to distributed edge computing (</w:t>
      </w:r>
      <w:proofErr w:type="spellStart"/>
      <w:r w:rsidRPr="005E2F15">
        <w:rPr>
          <w:rFonts w:asciiTheme="majorBidi" w:eastAsiaTheme="minorEastAsia" w:hAnsiTheme="majorBidi" w:cstheme="majorBidi"/>
          <w:bCs/>
          <w:sz w:val="24"/>
          <w:szCs w:val="24"/>
          <w:lang w:val="en-US"/>
        </w:rPr>
        <w:t>lichtblau</w:t>
      </w:r>
      <w:proofErr w:type="spellEnd"/>
      <w:r w:rsidRPr="005E2F15">
        <w:rPr>
          <w:rFonts w:asciiTheme="majorBidi" w:eastAsiaTheme="minorEastAsia" w:hAnsiTheme="majorBidi" w:cstheme="majorBidi"/>
          <w:bCs/>
          <w:sz w:val="24"/>
          <w:szCs w:val="24"/>
          <w:lang w:val="en-US"/>
        </w:rPr>
        <w:t xml:space="preserve"> et al., 2015). Edge ai processes raw sensor data onboard the train (e.g., Vibration analysis, traction motor current signatures) to generate real-time diagnostics (</w:t>
      </w:r>
      <w:proofErr w:type="spellStart"/>
      <w:r w:rsidRPr="005E2F15">
        <w:rPr>
          <w:rFonts w:asciiTheme="majorBidi" w:eastAsiaTheme="minorEastAsia" w:hAnsiTheme="majorBidi" w:cstheme="majorBidi"/>
          <w:bCs/>
          <w:sz w:val="24"/>
          <w:szCs w:val="24"/>
          <w:lang w:val="en-US"/>
        </w:rPr>
        <w:t>yan</w:t>
      </w:r>
      <w:proofErr w:type="spellEnd"/>
      <w:r w:rsidRPr="005E2F15">
        <w:rPr>
          <w:rFonts w:asciiTheme="majorBidi" w:eastAsiaTheme="minorEastAsia" w:hAnsiTheme="majorBidi" w:cstheme="majorBidi"/>
          <w:bCs/>
          <w:sz w:val="24"/>
          <w:szCs w:val="24"/>
          <w:lang w:val="en-US"/>
        </w:rPr>
        <w:t xml:space="preserve"> et al., 2021). This is vital because high-speed rail operations cannot wait for the cloud to process data, making low-latency, resilient local computing a fundamental requirement of the roadmap.</w:t>
      </w:r>
    </w:p>
    <w:p w14:paraId="7F39B252" w14:textId="77777777" w:rsidR="005E2F15" w:rsidRPr="005E2F15" w:rsidRDefault="005E2F15" w:rsidP="003643D3">
      <w:pPr>
        <w:pStyle w:val="ListParagraph"/>
        <w:spacing w:after="160" w:line="360" w:lineRule="auto"/>
        <w:ind w:left="1440"/>
        <w:rPr>
          <w:rFonts w:asciiTheme="majorBidi" w:eastAsiaTheme="minorEastAsia" w:hAnsiTheme="majorBidi" w:cstheme="majorBidi"/>
          <w:bCs/>
          <w:sz w:val="24"/>
          <w:szCs w:val="24"/>
          <w:lang w:val="en-US"/>
        </w:rPr>
      </w:pPr>
    </w:p>
    <w:p w14:paraId="637AF88F" w14:textId="487C5B02" w:rsidR="005E2F15" w:rsidRPr="005E2F15" w:rsidRDefault="005E2F15" w:rsidP="003643D3">
      <w:pPr>
        <w:pStyle w:val="ListParagraph"/>
        <w:spacing w:after="160" w:line="360" w:lineRule="auto"/>
        <w:ind w:left="1440"/>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 xml:space="preserve">2.3.3 </w:t>
      </w:r>
      <w:r w:rsidR="00EA5508">
        <w:rPr>
          <w:rFonts w:asciiTheme="majorBidi" w:eastAsiaTheme="minorEastAsia" w:hAnsiTheme="majorBidi" w:cstheme="majorBidi"/>
          <w:bCs/>
          <w:sz w:val="24"/>
          <w:szCs w:val="24"/>
          <w:lang w:val="en-US"/>
        </w:rPr>
        <w:t>T</w:t>
      </w:r>
      <w:r w:rsidRPr="005E2F15">
        <w:rPr>
          <w:rFonts w:asciiTheme="majorBidi" w:eastAsiaTheme="minorEastAsia" w:hAnsiTheme="majorBidi" w:cstheme="majorBidi"/>
          <w:bCs/>
          <w:sz w:val="24"/>
          <w:szCs w:val="24"/>
          <w:lang w:val="en-US"/>
        </w:rPr>
        <w:t xml:space="preserve">he </w:t>
      </w:r>
      <w:r w:rsidR="00EA5508">
        <w:rPr>
          <w:rFonts w:asciiTheme="majorBidi" w:eastAsiaTheme="minorEastAsia" w:hAnsiTheme="majorBidi" w:cstheme="majorBidi"/>
          <w:bCs/>
          <w:sz w:val="24"/>
          <w:szCs w:val="24"/>
          <w:lang w:val="en-US"/>
        </w:rPr>
        <w:t>O</w:t>
      </w:r>
      <w:r w:rsidRPr="005E2F15">
        <w:rPr>
          <w:rFonts w:asciiTheme="majorBidi" w:eastAsiaTheme="minorEastAsia" w:hAnsiTheme="majorBidi" w:cstheme="majorBidi"/>
          <w:bCs/>
          <w:sz w:val="24"/>
          <w:szCs w:val="24"/>
          <w:lang w:val="en-US"/>
        </w:rPr>
        <w:t xml:space="preserve">rganizational and </w:t>
      </w:r>
      <w:r w:rsidR="00EA5508">
        <w:rPr>
          <w:rFonts w:asciiTheme="majorBidi" w:eastAsiaTheme="minorEastAsia" w:hAnsiTheme="majorBidi" w:cstheme="majorBidi"/>
          <w:bCs/>
          <w:sz w:val="24"/>
          <w:szCs w:val="24"/>
          <w:lang w:val="en-US"/>
        </w:rPr>
        <w:t>S</w:t>
      </w:r>
      <w:r w:rsidRPr="005E2F15">
        <w:rPr>
          <w:rFonts w:asciiTheme="majorBidi" w:eastAsiaTheme="minorEastAsia" w:hAnsiTheme="majorBidi" w:cstheme="majorBidi"/>
          <w:bCs/>
          <w:sz w:val="24"/>
          <w:szCs w:val="24"/>
          <w:lang w:val="en-US"/>
        </w:rPr>
        <w:t xml:space="preserve">trategic </w:t>
      </w:r>
      <w:r w:rsidR="00EA5508">
        <w:rPr>
          <w:rFonts w:asciiTheme="majorBidi" w:eastAsiaTheme="minorEastAsia" w:hAnsiTheme="majorBidi" w:cstheme="majorBidi"/>
          <w:bCs/>
          <w:sz w:val="24"/>
          <w:szCs w:val="24"/>
          <w:lang w:val="en-US"/>
        </w:rPr>
        <w:t>E</w:t>
      </w:r>
      <w:r w:rsidRPr="005E2F15">
        <w:rPr>
          <w:rFonts w:asciiTheme="majorBidi" w:eastAsiaTheme="minorEastAsia" w:hAnsiTheme="majorBidi" w:cstheme="majorBidi"/>
          <w:bCs/>
          <w:sz w:val="24"/>
          <w:szCs w:val="24"/>
          <w:lang w:val="en-US"/>
        </w:rPr>
        <w:t>nablers</w:t>
      </w:r>
    </w:p>
    <w:p w14:paraId="26C3F73E" w14:textId="65BC36B0" w:rsidR="00937A23" w:rsidRPr="00937A23" w:rsidRDefault="00937A23" w:rsidP="00937A23">
      <w:pPr>
        <w:pStyle w:val="ListParagraph"/>
        <w:spacing w:after="160" w:line="360" w:lineRule="auto"/>
        <w:ind w:left="1440"/>
        <w:rPr>
          <w:rFonts w:asciiTheme="majorBidi" w:eastAsiaTheme="minorEastAsia" w:hAnsiTheme="majorBidi" w:cstheme="majorBidi"/>
          <w:bCs/>
          <w:sz w:val="24"/>
          <w:szCs w:val="24"/>
          <w:lang w:val="en-US"/>
        </w:rPr>
      </w:pPr>
      <w:r w:rsidRPr="00937A23">
        <w:rPr>
          <w:rFonts w:asciiTheme="majorBidi" w:eastAsiaTheme="minorEastAsia" w:hAnsiTheme="majorBidi" w:cstheme="majorBidi"/>
          <w:bCs/>
          <w:sz w:val="24"/>
          <w:szCs w:val="24"/>
          <w:lang w:val="en-US"/>
        </w:rPr>
        <w:t xml:space="preserve">Technology alone explains less than 20 % of success variance in safety-critical digital </w:t>
      </w:r>
      <w:r w:rsidR="00EA5508">
        <w:rPr>
          <w:rFonts w:asciiTheme="majorBidi" w:eastAsiaTheme="minorEastAsia" w:hAnsiTheme="majorBidi" w:cstheme="majorBidi"/>
          <w:bCs/>
          <w:sz w:val="24"/>
          <w:szCs w:val="24"/>
          <w:lang w:val="en-US"/>
        </w:rPr>
        <w:t xml:space="preserve">programs </w:t>
      </w:r>
      <w:r w:rsidRPr="00937A23">
        <w:rPr>
          <w:rFonts w:asciiTheme="majorBidi" w:eastAsiaTheme="minorEastAsia" w:hAnsiTheme="majorBidi" w:cstheme="majorBidi"/>
          <w:bCs/>
          <w:sz w:val="24"/>
          <w:szCs w:val="24"/>
          <w:lang w:val="en-US"/>
        </w:rPr>
        <w:t xml:space="preserve">(Westerman et al., 2014; </w:t>
      </w:r>
      <w:proofErr w:type="spellStart"/>
      <w:r w:rsidRPr="00937A23">
        <w:rPr>
          <w:rFonts w:asciiTheme="majorBidi" w:eastAsiaTheme="minorEastAsia" w:hAnsiTheme="majorBidi" w:cstheme="majorBidi"/>
          <w:bCs/>
          <w:sz w:val="24"/>
          <w:szCs w:val="24"/>
          <w:lang w:val="en-US"/>
        </w:rPr>
        <w:t>Papadonikolaki</w:t>
      </w:r>
      <w:proofErr w:type="spellEnd"/>
      <w:r w:rsidRPr="00937A23">
        <w:rPr>
          <w:rFonts w:asciiTheme="majorBidi" w:eastAsiaTheme="minorEastAsia" w:hAnsiTheme="majorBidi" w:cstheme="majorBidi"/>
          <w:bCs/>
          <w:sz w:val="24"/>
          <w:szCs w:val="24"/>
          <w:lang w:val="en-US"/>
        </w:rPr>
        <w:t xml:space="preserve"> et al., 2024). The literature repeatedly highlights three non-technical prerequisites:</w:t>
      </w:r>
    </w:p>
    <w:p w14:paraId="46F0C669" w14:textId="77777777" w:rsidR="00937A23" w:rsidRPr="00937A23" w:rsidRDefault="00937A23" w:rsidP="00937A23">
      <w:pPr>
        <w:pStyle w:val="ListParagraph"/>
        <w:numPr>
          <w:ilvl w:val="0"/>
          <w:numId w:val="36"/>
        </w:numPr>
        <w:spacing w:after="160" w:line="360" w:lineRule="auto"/>
        <w:rPr>
          <w:rFonts w:asciiTheme="majorBidi" w:eastAsiaTheme="minorEastAsia" w:hAnsiTheme="majorBidi" w:cstheme="majorBidi"/>
          <w:bCs/>
          <w:sz w:val="24"/>
          <w:szCs w:val="24"/>
          <w:lang w:val="en-US"/>
        </w:rPr>
      </w:pPr>
      <w:r w:rsidRPr="00937A23">
        <w:rPr>
          <w:rFonts w:asciiTheme="majorBidi" w:eastAsiaTheme="minorEastAsia" w:hAnsiTheme="majorBidi" w:cstheme="majorBidi"/>
          <w:bCs/>
          <w:sz w:val="24"/>
          <w:szCs w:val="24"/>
          <w:lang w:val="en-US"/>
        </w:rPr>
        <w:t>Executive sponsorship that crosses the CIO–CFO divide (Deloitte, 2025)</w:t>
      </w:r>
    </w:p>
    <w:p w14:paraId="1DF88F86" w14:textId="77777777" w:rsidR="00937A23" w:rsidRPr="00937A23" w:rsidRDefault="00937A23" w:rsidP="00937A23">
      <w:pPr>
        <w:pStyle w:val="ListParagraph"/>
        <w:numPr>
          <w:ilvl w:val="0"/>
          <w:numId w:val="36"/>
        </w:numPr>
        <w:spacing w:after="160" w:line="360" w:lineRule="auto"/>
        <w:rPr>
          <w:rFonts w:asciiTheme="majorBidi" w:eastAsiaTheme="minorEastAsia" w:hAnsiTheme="majorBidi" w:cstheme="majorBidi"/>
          <w:bCs/>
          <w:sz w:val="24"/>
          <w:szCs w:val="24"/>
          <w:lang w:val="en-US"/>
        </w:rPr>
      </w:pPr>
      <w:r w:rsidRPr="00937A23">
        <w:rPr>
          <w:rFonts w:asciiTheme="majorBidi" w:eastAsiaTheme="minorEastAsia" w:hAnsiTheme="majorBidi" w:cstheme="majorBidi"/>
          <w:bCs/>
          <w:sz w:val="24"/>
          <w:szCs w:val="24"/>
          <w:lang w:val="en-US"/>
        </w:rPr>
        <w:t>Cross-functional “Single Source of Truth” governance — usually requiring a Chief Data Officer reporting directly to the CEO (Gartner Rail 2024)</w:t>
      </w:r>
    </w:p>
    <w:p w14:paraId="63A6D84D" w14:textId="6C75DD14" w:rsidR="00937A23" w:rsidRPr="00937A23" w:rsidRDefault="00937A23" w:rsidP="00937A23">
      <w:pPr>
        <w:pStyle w:val="ListParagraph"/>
        <w:numPr>
          <w:ilvl w:val="0"/>
          <w:numId w:val="36"/>
        </w:numPr>
        <w:spacing w:after="160" w:line="360" w:lineRule="auto"/>
        <w:rPr>
          <w:rFonts w:asciiTheme="majorBidi" w:eastAsiaTheme="minorEastAsia" w:hAnsiTheme="majorBidi" w:cstheme="majorBidi"/>
          <w:bCs/>
          <w:sz w:val="24"/>
          <w:szCs w:val="24"/>
          <w:lang w:val="en-US"/>
        </w:rPr>
      </w:pPr>
      <w:r w:rsidRPr="00937A23">
        <w:rPr>
          <w:rFonts w:asciiTheme="majorBidi" w:eastAsiaTheme="minorEastAsia" w:hAnsiTheme="majorBidi" w:cstheme="majorBidi"/>
          <w:bCs/>
          <w:sz w:val="24"/>
          <w:szCs w:val="24"/>
          <w:lang w:val="en-US"/>
        </w:rPr>
        <w:t xml:space="preserve">Deliberate sociotechnical change programs that treat upskilling budgets as </w:t>
      </w:r>
      <w:proofErr w:type="spellStart"/>
      <w:r w:rsidRPr="00937A23">
        <w:rPr>
          <w:rFonts w:asciiTheme="majorBidi" w:eastAsiaTheme="minorEastAsia" w:hAnsiTheme="majorBidi" w:cstheme="majorBidi"/>
          <w:bCs/>
          <w:sz w:val="24"/>
          <w:szCs w:val="24"/>
          <w:lang w:val="en-US"/>
        </w:rPr>
        <w:t>CapEx</w:t>
      </w:r>
      <w:proofErr w:type="spellEnd"/>
      <w:r w:rsidRPr="00937A23">
        <w:rPr>
          <w:rFonts w:asciiTheme="majorBidi" w:eastAsiaTheme="minorEastAsia" w:hAnsiTheme="majorBidi" w:cstheme="majorBidi"/>
          <w:bCs/>
          <w:sz w:val="24"/>
          <w:szCs w:val="24"/>
          <w:lang w:val="en-US"/>
        </w:rPr>
        <w:t xml:space="preserve">, not discretionary </w:t>
      </w:r>
      <w:proofErr w:type="spellStart"/>
      <w:r w:rsidRPr="00937A23">
        <w:rPr>
          <w:rFonts w:asciiTheme="majorBidi" w:eastAsiaTheme="minorEastAsia" w:hAnsiTheme="majorBidi" w:cstheme="majorBidi"/>
          <w:bCs/>
          <w:sz w:val="24"/>
          <w:szCs w:val="24"/>
          <w:lang w:val="en-US"/>
        </w:rPr>
        <w:t>OpEx</w:t>
      </w:r>
      <w:proofErr w:type="spellEnd"/>
      <w:r w:rsidRPr="00937A23">
        <w:rPr>
          <w:rFonts w:asciiTheme="majorBidi" w:eastAsiaTheme="minorEastAsia" w:hAnsiTheme="majorBidi" w:cstheme="majorBidi"/>
          <w:bCs/>
          <w:sz w:val="24"/>
          <w:szCs w:val="24"/>
          <w:lang w:val="en-US"/>
        </w:rPr>
        <w:t xml:space="preserve"> (</w:t>
      </w:r>
      <w:proofErr w:type="spellStart"/>
      <w:r w:rsidRPr="00937A23">
        <w:rPr>
          <w:rFonts w:asciiTheme="majorBidi" w:eastAsiaTheme="minorEastAsia" w:hAnsiTheme="majorBidi" w:cstheme="majorBidi"/>
          <w:bCs/>
          <w:sz w:val="24"/>
          <w:szCs w:val="24"/>
          <w:lang w:val="en-US"/>
        </w:rPr>
        <w:t>Bokrantz</w:t>
      </w:r>
      <w:proofErr w:type="spellEnd"/>
      <w:r w:rsidRPr="00937A23">
        <w:rPr>
          <w:rFonts w:asciiTheme="majorBidi" w:eastAsiaTheme="minorEastAsia" w:hAnsiTheme="majorBidi" w:cstheme="majorBidi"/>
          <w:bCs/>
          <w:sz w:val="24"/>
          <w:szCs w:val="24"/>
          <w:lang w:val="en-US"/>
        </w:rPr>
        <w:t xml:space="preserve"> &amp; Skoogh, 2024</w:t>
      </w:r>
    </w:p>
    <w:p w14:paraId="6A120C05" w14:textId="42753D78" w:rsidR="005E2F15" w:rsidRDefault="005E2F15" w:rsidP="003643D3">
      <w:pPr>
        <w:pStyle w:val="ListParagraph"/>
        <w:spacing w:after="160" w:line="360" w:lineRule="auto"/>
        <w:ind w:left="1440"/>
        <w:rPr>
          <w:rFonts w:asciiTheme="majorBidi" w:eastAsiaTheme="minorEastAsia" w:hAnsiTheme="majorBidi" w:cstheme="majorBidi"/>
          <w:bCs/>
          <w:sz w:val="24"/>
          <w:szCs w:val="24"/>
          <w:lang w:val="en-US"/>
        </w:rPr>
      </w:pPr>
      <w:r>
        <w:rPr>
          <w:rFonts w:asciiTheme="majorBidi" w:eastAsiaTheme="minorEastAsia" w:hAnsiTheme="majorBidi" w:cstheme="majorBidi"/>
          <w:bCs/>
          <w:sz w:val="24"/>
          <w:szCs w:val="24"/>
          <w:lang w:val="en-US"/>
        </w:rPr>
        <w:t xml:space="preserve">. </w:t>
      </w:r>
    </w:p>
    <w:p w14:paraId="484D29EF" w14:textId="77777777" w:rsidR="005E2F15" w:rsidRDefault="005E2F15" w:rsidP="005E2F15">
      <w:pPr>
        <w:pStyle w:val="ListParagraph"/>
        <w:ind w:left="1440"/>
        <w:rPr>
          <w:rFonts w:asciiTheme="majorBidi" w:eastAsiaTheme="minorEastAsia" w:hAnsiTheme="majorBidi" w:cstheme="majorBidi"/>
          <w:bCs/>
          <w:sz w:val="24"/>
          <w:szCs w:val="24"/>
          <w:lang w:val="en-US"/>
        </w:rPr>
      </w:pPr>
    </w:p>
    <w:p w14:paraId="6694CA5E" w14:textId="77777777" w:rsidR="00FA792C" w:rsidRPr="00FA792C" w:rsidRDefault="00FA792C" w:rsidP="00FA792C">
      <w:pPr>
        <w:pStyle w:val="ListParagraph"/>
        <w:ind w:left="1440"/>
        <w:rPr>
          <w:rFonts w:asciiTheme="majorBidi" w:eastAsiaTheme="minorEastAsia" w:hAnsiTheme="majorBidi" w:cstheme="majorBidi"/>
          <w:bCs/>
          <w:sz w:val="24"/>
          <w:szCs w:val="24"/>
          <w:lang w:val="en-US"/>
        </w:rPr>
      </w:pPr>
    </w:p>
    <w:p w14:paraId="7901224D" w14:textId="47C65801" w:rsidR="00FA792C" w:rsidRDefault="005C71B4" w:rsidP="005C71B4">
      <w:pPr>
        <w:pStyle w:val="Heading1"/>
      </w:pPr>
      <w:bookmarkStart w:id="13" w:name="_Toc215590812"/>
      <w:r w:rsidRPr="00FD3F37">
        <w:t>2.4</w:t>
      </w:r>
      <w:r w:rsidRPr="00FD3F37">
        <w:tab/>
      </w:r>
      <w:r w:rsidR="00FA792C" w:rsidRPr="00FD3F37">
        <w:t>Summary</w:t>
      </w:r>
      <w:r w:rsidR="00FA792C">
        <w:t xml:space="preserve"> and Discussion of Literature Review (The Research Gap)</w:t>
      </w:r>
      <w:bookmarkEnd w:id="13"/>
      <w:r w:rsidR="00FA792C">
        <w:t xml:space="preserve"> </w:t>
      </w:r>
    </w:p>
    <w:p w14:paraId="5912B6A6" w14:textId="77777777" w:rsidR="005E2F15" w:rsidRPr="005E2F15" w:rsidRDefault="005E2F15" w:rsidP="00EA5508">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 xml:space="preserve">The existing literature is robust concerning the engineering feasibility of digital maintenance. We have a clear understanding of </w:t>
      </w:r>
      <w:proofErr w:type="spellStart"/>
      <w:r w:rsidRPr="005E2F15">
        <w:rPr>
          <w:rFonts w:asciiTheme="majorBidi" w:eastAsiaTheme="minorEastAsia" w:hAnsiTheme="majorBidi" w:cstheme="majorBidi"/>
          <w:bCs/>
          <w:sz w:val="24"/>
          <w:szCs w:val="24"/>
          <w:lang w:val="en-US"/>
        </w:rPr>
        <w:t>rul</w:t>
      </w:r>
      <w:proofErr w:type="spellEnd"/>
      <w:r w:rsidRPr="005E2F15">
        <w:rPr>
          <w:rFonts w:asciiTheme="majorBidi" w:eastAsiaTheme="minorEastAsia" w:hAnsiTheme="majorBidi" w:cstheme="majorBidi"/>
          <w:bCs/>
          <w:sz w:val="24"/>
          <w:szCs w:val="24"/>
          <w:lang w:val="en-US"/>
        </w:rPr>
        <w:t xml:space="preserve"> models, sensor architecture (</w:t>
      </w:r>
      <w:proofErr w:type="spellStart"/>
      <w:r w:rsidRPr="005E2F15">
        <w:rPr>
          <w:rFonts w:asciiTheme="majorBidi" w:eastAsiaTheme="minorEastAsia" w:hAnsiTheme="majorBidi" w:cstheme="majorBidi"/>
          <w:bCs/>
          <w:sz w:val="24"/>
          <w:szCs w:val="24"/>
          <w:lang w:val="en-US"/>
        </w:rPr>
        <w:t>famurewa</w:t>
      </w:r>
      <w:proofErr w:type="spellEnd"/>
      <w:r w:rsidRPr="005E2F15">
        <w:rPr>
          <w:rFonts w:asciiTheme="majorBidi" w:eastAsiaTheme="minorEastAsia" w:hAnsiTheme="majorBidi" w:cstheme="majorBidi"/>
          <w:bCs/>
          <w:sz w:val="24"/>
          <w:szCs w:val="24"/>
          <w:lang w:val="en-US"/>
        </w:rPr>
        <w:t xml:space="preserve"> et al., 2017), And the potential of ai (</w:t>
      </w:r>
      <w:proofErr w:type="spellStart"/>
      <w:r w:rsidRPr="005E2F15">
        <w:rPr>
          <w:rFonts w:asciiTheme="majorBidi" w:eastAsiaTheme="minorEastAsia" w:hAnsiTheme="majorBidi" w:cstheme="majorBidi"/>
          <w:bCs/>
          <w:sz w:val="24"/>
          <w:szCs w:val="24"/>
          <w:lang w:val="en-US"/>
        </w:rPr>
        <w:t>yan</w:t>
      </w:r>
      <w:proofErr w:type="spellEnd"/>
      <w:r w:rsidRPr="005E2F15">
        <w:rPr>
          <w:rFonts w:asciiTheme="majorBidi" w:eastAsiaTheme="minorEastAsia" w:hAnsiTheme="majorBidi" w:cstheme="majorBidi"/>
          <w:bCs/>
          <w:sz w:val="24"/>
          <w:szCs w:val="24"/>
          <w:lang w:val="en-US"/>
        </w:rPr>
        <w:t xml:space="preserve"> et al., 2021).</w:t>
      </w:r>
    </w:p>
    <w:p w14:paraId="3DF5F418" w14:textId="77777777" w:rsidR="005E2F15" w:rsidRPr="005E2F15" w:rsidRDefault="005E2F15" w:rsidP="00EA5508">
      <w:pPr>
        <w:pStyle w:val="ListParagraph"/>
        <w:spacing w:after="160" w:line="360" w:lineRule="auto"/>
        <w:ind w:left="1440"/>
        <w:jc w:val="both"/>
        <w:rPr>
          <w:rFonts w:asciiTheme="majorBidi" w:eastAsiaTheme="minorEastAsia" w:hAnsiTheme="majorBidi" w:cstheme="majorBidi"/>
          <w:bCs/>
          <w:sz w:val="24"/>
          <w:szCs w:val="24"/>
          <w:lang w:val="en-US"/>
        </w:rPr>
      </w:pPr>
    </w:p>
    <w:p w14:paraId="25A1DC25" w14:textId="33B25117" w:rsidR="005E2F15" w:rsidRPr="003643D3" w:rsidRDefault="005E2F15" w:rsidP="00EA5508">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However, the critical research gap remains:</w:t>
      </w:r>
    </w:p>
    <w:p w14:paraId="4D8737F4" w14:textId="26629813" w:rsidR="005E2F15" w:rsidRPr="005E2F15" w:rsidRDefault="005E2F15" w:rsidP="00EA5508">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 xml:space="preserve">The vast majority of academic and industry literature focuses on the technical viability of individual components (e.g., A single bearing sensor, a specific predictive algorithm) but fails to provide a unified, multi-dimensional strategic roadmap that integrates organizational readiness, change management, financial </w:t>
      </w:r>
      <w:r w:rsidRPr="005E2F15">
        <w:rPr>
          <w:rFonts w:asciiTheme="majorBidi" w:eastAsiaTheme="minorEastAsia" w:hAnsiTheme="majorBidi" w:cstheme="majorBidi"/>
          <w:bCs/>
          <w:sz w:val="24"/>
          <w:szCs w:val="24"/>
          <w:lang w:val="en-US"/>
        </w:rPr>
        <w:lastRenderedPageBreak/>
        <w:t>justification (</w:t>
      </w:r>
      <w:r w:rsidR="00937A23">
        <w:rPr>
          <w:rFonts w:asciiTheme="majorBidi" w:eastAsiaTheme="minorEastAsia" w:hAnsiTheme="majorBidi" w:cstheme="majorBidi"/>
          <w:bCs/>
          <w:sz w:val="24"/>
          <w:szCs w:val="24"/>
          <w:lang w:val="en-US"/>
        </w:rPr>
        <w:t>ROI</w:t>
      </w:r>
      <w:r w:rsidRPr="005E2F15">
        <w:rPr>
          <w:rFonts w:asciiTheme="majorBidi" w:eastAsiaTheme="minorEastAsia" w:hAnsiTheme="majorBidi" w:cstheme="majorBidi"/>
          <w:bCs/>
          <w:sz w:val="24"/>
          <w:szCs w:val="24"/>
          <w:lang w:val="en-US"/>
        </w:rPr>
        <w:t>/</w:t>
      </w:r>
      <w:r w:rsidR="00937A23">
        <w:rPr>
          <w:rFonts w:asciiTheme="majorBidi" w:eastAsiaTheme="minorEastAsia" w:hAnsiTheme="majorBidi" w:cstheme="majorBidi"/>
          <w:bCs/>
          <w:sz w:val="24"/>
          <w:szCs w:val="24"/>
          <w:lang w:val="en-US"/>
        </w:rPr>
        <w:t>TCO</w:t>
      </w:r>
      <w:r w:rsidRPr="005E2F15">
        <w:rPr>
          <w:rFonts w:asciiTheme="majorBidi" w:eastAsiaTheme="minorEastAsia" w:hAnsiTheme="majorBidi" w:cstheme="majorBidi"/>
          <w:bCs/>
          <w:sz w:val="24"/>
          <w:szCs w:val="24"/>
          <w:lang w:val="en-US"/>
        </w:rPr>
        <w:t>), and policy requirements into a scalable, phased implementation model specifically for the highly regulated railway environment.</w:t>
      </w:r>
    </w:p>
    <w:p w14:paraId="577A748A" w14:textId="77777777" w:rsidR="005E2F15" w:rsidRPr="005E2F15" w:rsidRDefault="005E2F15" w:rsidP="00EA5508">
      <w:pPr>
        <w:pStyle w:val="ListParagraph"/>
        <w:spacing w:after="160" w:line="360" w:lineRule="auto"/>
        <w:ind w:left="1440"/>
        <w:jc w:val="both"/>
        <w:rPr>
          <w:rFonts w:asciiTheme="majorBidi" w:eastAsiaTheme="minorEastAsia" w:hAnsiTheme="majorBidi" w:cstheme="majorBidi"/>
          <w:bCs/>
          <w:sz w:val="24"/>
          <w:szCs w:val="24"/>
          <w:lang w:val="en-US"/>
        </w:rPr>
      </w:pPr>
    </w:p>
    <w:p w14:paraId="0ED87C88" w14:textId="0FD5B75D" w:rsidR="005E2F15" w:rsidRPr="005E2F15" w:rsidRDefault="005E2F15" w:rsidP="00EA5508">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The literature provides the parts (technology and theory), but not the blueprint for assembly and execution. This thesis addresses this gap by synthesizing the required theoretical frameworks (</w:t>
      </w:r>
      <w:proofErr w:type="spellStart"/>
      <w:r w:rsidRPr="005E2F15">
        <w:rPr>
          <w:rFonts w:asciiTheme="majorBidi" w:eastAsiaTheme="minorEastAsia" w:hAnsiTheme="majorBidi" w:cstheme="majorBidi"/>
          <w:bCs/>
          <w:sz w:val="24"/>
          <w:szCs w:val="24"/>
          <w:lang w:val="en-US"/>
        </w:rPr>
        <w:t>sts</w:t>
      </w:r>
      <w:proofErr w:type="spellEnd"/>
      <w:r w:rsidRPr="005E2F15">
        <w:rPr>
          <w:rFonts w:asciiTheme="majorBidi" w:eastAsiaTheme="minorEastAsia" w:hAnsiTheme="majorBidi" w:cstheme="majorBidi"/>
          <w:bCs/>
          <w:sz w:val="24"/>
          <w:szCs w:val="24"/>
          <w:lang w:val="en-US"/>
        </w:rPr>
        <w:t>, iso 55000) and technological capabilities (</w:t>
      </w:r>
      <w:proofErr w:type="spellStart"/>
      <w:r w:rsidRPr="005E2F15">
        <w:rPr>
          <w:rFonts w:asciiTheme="majorBidi" w:eastAsiaTheme="minorEastAsia" w:hAnsiTheme="majorBidi" w:cstheme="majorBidi"/>
          <w:bCs/>
          <w:sz w:val="24"/>
          <w:szCs w:val="24"/>
          <w:lang w:val="en-US"/>
        </w:rPr>
        <w:t>psm</w:t>
      </w:r>
      <w:proofErr w:type="spellEnd"/>
      <w:r w:rsidRPr="005E2F15">
        <w:rPr>
          <w:rFonts w:asciiTheme="majorBidi" w:eastAsiaTheme="minorEastAsia" w:hAnsiTheme="majorBidi" w:cstheme="majorBidi"/>
          <w:bCs/>
          <w:sz w:val="24"/>
          <w:szCs w:val="24"/>
          <w:lang w:val="en-US"/>
        </w:rPr>
        <w:t>, digital twins) into a single, comprehensive strategic roadmap that prioritizes organizational adoption and financial return</w:t>
      </w:r>
    </w:p>
    <w:p w14:paraId="2B94C440" w14:textId="77777777" w:rsidR="005E2F15" w:rsidRDefault="005E2F15" w:rsidP="005E2F15">
      <w:pPr>
        <w:pStyle w:val="ListParagraph"/>
        <w:ind w:left="1440"/>
        <w:rPr>
          <w:rFonts w:asciiTheme="majorBidi" w:eastAsiaTheme="majorEastAsia" w:hAnsiTheme="majorBidi" w:cstheme="majorBidi"/>
          <w:color w:val="2F5496" w:themeColor="accent1" w:themeShade="BF"/>
          <w:sz w:val="32"/>
          <w:szCs w:val="32"/>
        </w:rPr>
      </w:pPr>
    </w:p>
    <w:p w14:paraId="6699587A" w14:textId="3A730ECC" w:rsidR="005E2F15" w:rsidRDefault="005C71B4" w:rsidP="005C71B4">
      <w:pPr>
        <w:pStyle w:val="Heading1"/>
      </w:pPr>
      <w:bookmarkStart w:id="14" w:name="_Toc215590813"/>
      <w:r>
        <w:t>2.5</w:t>
      </w:r>
      <w:r>
        <w:tab/>
      </w:r>
      <w:r w:rsidR="005E2F15">
        <w:t>Theoretical Framework of The Study</w:t>
      </w:r>
      <w:bookmarkEnd w:id="14"/>
    </w:p>
    <w:p w14:paraId="273B0CCE" w14:textId="4FAE0525" w:rsidR="005E2F15" w:rsidRPr="003643D3" w:rsidRDefault="005E2F15" w:rsidP="00C70A23">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As briefly introduced in chapter 1, this study is anchored by the synthesis of three primary theoretical frameworks, ensuring the analysis is comprehensive and multi-disciplinary.</w:t>
      </w:r>
    </w:p>
    <w:p w14:paraId="1F66FFB3" w14:textId="77777777" w:rsidR="005E2F15" w:rsidRPr="005E2F15" w:rsidRDefault="005E2F15" w:rsidP="00C70A23">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2.5.1 sociotechnical systems theory (</w:t>
      </w:r>
      <w:proofErr w:type="spellStart"/>
      <w:r w:rsidRPr="005E2F15">
        <w:rPr>
          <w:rFonts w:asciiTheme="majorBidi" w:eastAsiaTheme="minorEastAsia" w:hAnsiTheme="majorBidi" w:cstheme="majorBidi"/>
          <w:bCs/>
          <w:sz w:val="24"/>
          <w:szCs w:val="24"/>
          <w:lang w:val="en-US"/>
        </w:rPr>
        <w:t>sts</w:t>
      </w:r>
      <w:proofErr w:type="spellEnd"/>
      <w:r w:rsidRPr="005E2F15">
        <w:rPr>
          <w:rFonts w:asciiTheme="majorBidi" w:eastAsiaTheme="minorEastAsia" w:hAnsiTheme="majorBidi" w:cstheme="majorBidi"/>
          <w:bCs/>
          <w:sz w:val="24"/>
          <w:szCs w:val="24"/>
          <w:lang w:val="en-US"/>
        </w:rPr>
        <w:t>)</w:t>
      </w:r>
    </w:p>
    <w:p w14:paraId="735E8640" w14:textId="77777777" w:rsidR="00937A23" w:rsidRPr="00937A23" w:rsidRDefault="00937A23" w:rsidP="00C70A23">
      <w:pPr>
        <w:pStyle w:val="ListParagraph"/>
        <w:spacing w:after="160" w:line="360" w:lineRule="auto"/>
        <w:ind w:left="1440"/>
        <w:jc w:val="both"/>
        <w:rPr>
          <w:rFonts w:asciiTheme="majorBidi" w:eastAsiaTheme="minorEastAsia" w:hAnsiTheme="majorBidi" w:cstheme="majorBidi"/>
          <w:bCs/>
          <w:sz w:val="24"/>
          <w:szCs w:val="24"/>
          <w:lang w:val="en-US"/>
        </w:rPr>
      </w:pPr>
      <w:r w:rsidRPr="00937A23">
        <w:rPr>
          <w:rFonts w:asciiTheme="majorBidi" w:eastAsiaTheme="minorEastAsia" w:hAnsiTheme="majorBidi" w:cstheme="majorBidi"/>
          <w:bCs/>
          <w:sz w:val="24"/>
          <w:szCs w:val="24"/>
          <w:lang w:val="en-US"/>
        </w:rPr>
        <w:t xml:space="preserve">Classic STS (Trist &amp; Bamforth, 1951) has evolved into a powerful diagnostic and design tool (Baxter &amp; Sommerville, 2011; </w:t>
      </w:r>
      <w:proofErr w:type="spellStart"/>
      <w:r w:rsidRPr="00937A23">
        <w:rPr>
          <w:rFonts w:asciiTheme="majorBidi" w:eastAsiaTheme="minorEastAsia" w:hAnsiTheme="majorBidi" w:cstheme="majorBidi"/>
          <w:bCs/>
          <w:sz w:val="24"/>
          <w:szCs w:val="24"/>
          <w:lang w:val="en-US"/>
        </w:rPr>
        <w:t>Papadonikolaki</w:t>
      </w:r>
      <w:proofErr w:type="spellEnd"/>
      <w:r w:rsidRPr="00937A23">
        <w:rPr>
          <w:rFonts w:asciiTheme="majorBidi" w:eastAsiaTheme="minorEastAsia" w:hAnsiTheme="majorBidi" w:cstheme="majorBidi"/>
          <w:bCs/>
          <w:sz w:val="24"/>
          <w:szCs w:val="24"/>
          <w:lang w:val="en-US"/>
        </w:rPr>
        <w:t xml:space="preserve"> et al., 2024). In railway maintenance, the introduction of prescriptive AI constitutes a </w:t>
      </w:r>
      <w:r w:rsidRPr="00937A23">
        <w:rPr>
          <w:rFonts w:asciiTheme="majorBidi" w:eastAsiaTheme="minorEastAsia" w:hAnsiTheme="majorBidi" w:cstheme="majorBidi"/>
          <w:b/>
          <w:bCs/>
          <w:sz w:val="24"/>
          <w:szCs w:val="24"/>
          <w:lang w:val="en-US"/>
        </w:rPr>
        <w:t>major systemic perturbation</w:t>
      </w:r>
      <w:r w:rsidRPr="00937A23">
        <w:rPr>
          <w:rFonts w:asciiTheme="majorBidi" w:eastAsiaTheme="minorEastAsia" w:hAnsiTheme="majorBidi" w:cstheme="majorBidi"/>
          <w:bCs/>
          <w:sz w:val="24"/>
          <w:szCs w:val="24"/>
          <w:lang w:val="en-US"/>
        </w:rPr>
        <w:t xml:space="preserve">. Success therefore demands </w:t>
      </w:r>
      <w:r w:rsidRPr="00937A23">
        <w:rPr>
          <w:rFonts w:asciiTheme="majorBidi" w:eastAsiaTheme="minorEastAsia" w:hAnsiTheme="majorBidi" w:cstheme="majorBidi"/>
          <w:b/>
          <w:bCs/>
          <w:sz w:val="24"/>
          <w:szCs w:val="24"/>
          <w:lang w:val="en-US"/>
        </w:rPr>
        <w:t xml:space="preserve">joint </w:t>
      </w:r>
      <w:proofErr w:type="spellStart"/>
      <w:r w:rsidRPr="00937A23">
        <w:rPr>
          <w:rFonts w:asciiTheme="majorBidi" w:eastAsiaTheme="minorEastAsia" w:hAnsiTheme="majorBidi" w:cstheme="majorBidi"/>
          <w:b/>
          <w:bCs/>
          <w:sz w:val="24"/>
          <w:szCs w:val="24"/>
          <w:lang w:val="en-US"/>
        </w:rPr>
        <w:t>optimisation</w:t>
      </w:r>
      <w:proofErr w:type="spellEnd"/>
      <w:r w:rsidRPr="00937A23">
        <w:rPr>
          <w:rFonts w:asciiTheme="majorBidi" w:eastAsiaTheme="minorEastAsia" w:hAnsiTheme="majorBidi" w:cstheme="majorBidi"/>
          <w:bCs/>
          <w:sz w:val="24"/>
          <w:szCs w:val="24"/>
          <w:lang w:val="en-US"/>
        </w:rPr>
        <w:t>:</w:t>
      </w:r>
    </w:p>
    <w:p w14:paraId="0C5135CC" w14:textId="77777777" w:rsidR="00937A23" w:rsidRPr="00937A23" w:rsidRDefault="00937A23" w:rsidP="00C70A23">
      <w:pPr>
        <w:pStyle w:val="ListParagraph"/>
        <w:numPr>
          <w:ilvl w:val="0"/>
          <w:numId w:val="37"/>
        </w:numPr>
        <w:spacing w:after="160" w:line="360" w:lineRule="auto"/>
        <w:jc w:val="both"/>
        <w:rPr>
          <w:rFonts w:asciiTheme="majorBidi" w:eastAsiaTheme="minorEastAsia" w:hAnsiTheme="majorBidi" w:cstheme="majorBidi"/>
          <w:bCs/>
          <w:sz w:val="24"/>
          <w:szCs w:val="24"/>
          <w:lang w:val="en-US"/>
        </w:rPr>
      </w:pPr>
      <w:r w:rsidRPr="00937A23">
        <w:rPr>
          <w:rFonts w:asciiTheme="majorBidi" w:eastAsiaTheme="minorEastAsia" w:hAnsiTheme="majorBidi" w:cstheme="majorBidi"/>
          <w:bCs/>
          <w:sz w:val="24"/>
          <w:szCs w:val="24"/>
          <w:lang w:val="en-US"/>
        </w:rPr>
        <w:t>Technical subsystem → sensors, edge nodes, digital twins, DRL agents</w:t>
      </w:r>
    </w:p>
    <w:p w14:paraId="22897FFE" w14:textId="77777777" w:rsidR="00937A23" w:rsidRPr="00937A23" w:rsidRDefault="00937A23" w:rsidP="00C70A23">
      <w:pPr>
        <w:pStyle w:val="ListParagraph"/>
        <w:numPr>
          <w:ilvl w:val="0"/>
          <w:numId w:val="37"/>
        </w:numPr>
        <w:spacing w:after="160" w:line="360" w:lineRule="auto"/>
        <w:jc w:val="both"/>
        <w:rPr>
          <w:rFonts w:asciiTheme="majorBidi" w:eastAsiaTheme="minorEastAsia" w:hAnsiTheme="majorBidi" w:cstheme="majorBidi"/>
          <w:bCs/>
          <w:sz w:val="24"/>
          <w:szCs w:val="24"/>
          <w:lang w:val="en-US"/>
        </w:rPr>
      </w:pPr>
      <w:r w:rsidRPr="00937A23">
        <w:rPr>
          <w:rFonts w:asciiTheme="majorBidi" w:eastAsiaTheme="minorEastAsia" w:hAnsiTheme="majorBidi" w:cstheme="majorBidi"/>
          <w:bCs/>
          <w:sz w:val="24"/>
          <w:szCs w:val="24"/>
          <w:lang w:val="en-US"/>
        </w:rPr>
        <w:t>Social subsystem → maintainer identity, trust calibration, new roles (Prognostics Analyst, Data Curator), union agreements</w:t>
      </w:r>
    </w:p>
    <w:p w14:paraId="06771235" w14:textId="773F4CC3" w:rsidR="005E2F15" w:rsidRPr="005E2F15" w:rsidRDefault="00937A23" w:rsidP="00C70A23">
      <w:pPr>
        <w:pStyle w:val="ListParagraph"/>
        <w:spacing w:after="160" w:line="360" w:lineRule="auto"/>
        <w:ind w:left="1440"/>
        <w:jc w:val="both"/>
        <w:rPr>
          <w:rFonts w:asciiTheme="majorBidi" w:eastAsiaTheme="minorEastAsia" w:hAnsiTheme="majorBidi" w:cstheme="majorBidi"/>
          <w:bCs/>
          <w:sz w:val="24"/>
          <w:szCs w:val="24"/>
          <w:lang w:val="en-US"/>
        </w:rPr>
      </w:pPr>
      <w:r w:rsidRPr="00937A23">
        <w:rPr>
          <w:rFonts w:asciiTheme="majorBidi" w:eastAsiaTheme="minorEastAsia" w:hAnsiTheme="majorBidi" w:cstheme="majorBidi"/>
          <w:bCs/>
          <w:sz w:val="24"/>
          <w:szCs w:val="24"/>
          <w:lang w:val="en-US"/>
        </w:rPr>
        <w:t xml:space="preserve">The roadmap </w:t>
      </w:r>
      <w:r w:rsidR="00C70A23" w:rsidRPr="00937A23">
        <w:rPr>
          <w:rFonts w:asciiTheme="majorBidi" w:eastAsiaTheme="minorEastAsia" w:hAnsiTheme="majorBidi" w:cstheme="majorBidi"/>
          <w:bCs/>
          <w:sz w:val="24"/>
          <w:szCs w:val="24"/>
          <w:lang w:val="en-US"/>
        </w:rPr>
        <w:t>operationalizes</w:t>
      </w:r>
      <w:r w:rsidRPr="00937A23">
        <w:rPr>
          <w:rFonts w:asciiTheme="majorBidi" w:eastAsiaTheme="minorEastAsia" w:hAnsiTheme="majorBidi" w:cstheme="majorBidi"/>
          <w:bCs/>
          <w:sz w:val="24"/>
          <w:szCs w:val="24"/>
          <w:lang w:val="en-US"/>
        </w:rPr>
        <w:t xml:space="preserve"> STS through mandatory “Social Gates” at every technical milestone.</w:t>
      </w:r>
      <w:r>
        <w:rPr>
          <w:rFonts w:asciiTheme="majorBidi" w:eastAsiaTheme="minorEastAsia" w:hAnsiTheme="majorBidi" w:cstheme="majorBidi"/>
          <w:bCs/>
          <w:sz w:val="24"/>
          <w:szCs w:val="24"/>
          <w:lang w:val="en-US"/>
        </w:rPr>
        <w:t xml:space="preserve"> </w:t>
      </w:r>
      <w:r w:rsidR="005E2F15" w:rsidRPr="005E2F15">
        <w:rPr>
          <w:rFonts w:asciiTheme="majorBidi" w:eastAsiaTheme="minorEastAsia" w:hAnsiTheme="majorBidi" w:cstheme="majorBidi"/>
          <w:bCs/>
          <w:sz w:val="24"/>
          <w:szCs w:val="24"/>
          <w:lang w:val="en-US"/>
        </w:rPr>
        <w:t>(hypothesis 3).</w:t>
      </w:r>
    </w:p>
    <w:p w14:paraId="21023B9F" w14:textId="77777777" w:rsidR="005E2F15" w:rsidRPr="005E2F15" w:rsidRDefault="005E2F15" w:rsidP="00C70A23">
      <w:pPr>
        <w:pStyle w:val="ListParagraph"/>
        <w:spacing w:after="160" w:line="360" w:lineRule="auto"/>
        <w:ind w:left="1440"/>
        <w:jc w:val="both"/>
        <w:rPr>
          <w:rFonts w:asciiTheme="majorBidi" w:eastAsiaTheme="minorEastAsia" w:hAnsiTheme="majorBidi" w:cstheme="majorBidi"/>
          <w:bCs/>
          <w:sz w:val="24"/>
          <w:szCs w:val="24"/>
          <w:lang w:val="en-US"/>
        </w:rPr>
      </w:pPr>
    </w:p>
    <w:p w14:paraId="6DB5F75C" w14:textId="1BF54FCD" w:rsidR="005E2F15" w:rsidRPr="005E2F15" w:rsidRDefault="005E2F15" w:rsidP="00C70A23">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 xml:space="preserve">2.5.2 </w:t>
      </w:r>
      <w:r w:rsidR="00937A23">
        <w:rPr>
          <w:rFonts w:asciiTheme="majorBidi" w:eastAsiaTheme="minorEastAsia" w:hAnsiTheme="majorBidi" w:cstheme="majorBidi"/>
          <w:bCs/>
          <w:sz w:val="24"/>
          <w:szCs w:val="24"/>
          <w:lang w:val="en-US"/>
        </w:rPr>
        <w:t xml:space="preserve">Rail Maintenance Digital Maturity </w:t>
      </w:r>
      <w:proofErr w:type="gramStart"/>
      <w:r w:rsidR="00937A23">
        <w:rPr>
          <w:rFonts w:asciiTheme="majorBidi" w:eastAsiaTheme="minorEastAsia" w:hAnsiTheme="majorBidi" w:cstheme="majorBidi"/>
          <w:bCs/>
          <w:sz w:val="24"/>
          <w:szCs w:val="24"/>
          <w:lang w:val="en-US"/>
        </w:rPr>
        <w:t>Model(</w:t>
      </w:r>
      <w:proofErr w:type="gramEnd"/>
      <w:r w:rsidR="00937A23">
        <w:rPr>
          <w:rFonts w:asciiTheme="majorBidi" w:eastAsiaTheme="minorEastAsia" w:hAnsiTheme="majorBidi" w:cstheme="majorBidi"/>
          <w:bCs/>
          <w:sz w:val="24"/>
          <w:szCs w:val="24"/>
          <w:lang w:val="en-US"/>
        </w:rPr>
        <w:t>RMDMM)</w:t>
      </w:r>
    </w:p>
    <w:p w14:paraId="6D1D8533" w14:textId="77777777" w:rsidR="00937A23" w:rsidRPr="00937A23" w:rsidRDefault="00937A23" w:rsidP="00C70A23">
      <w:pPr>
        <w:pStyle w:val="ListParagraph"/>
        <w:spacing w:after="160" w:line="360" w:lineRule="auto"/>
        <w:ind w:left="1440"/>
        <w:jc w:val="both"/>
        <w:rPr>
          <w:rFonts w:asciiTheme="majorBidi" w:eastAsiaTheme="minorEastAsia" w:hAnsiTheme="majorBidi" w:cstheme="majorBidi"/>
          <w:bCs/>
          <w:sz w:val="24"/>
          <w:szCs w:val="24"/>
          <w:lang w:val="en-US"/>
        </w:rPr>
      </w:pPr>
      <w:r w:rsidRPr="00937A23">
        <w:rPr>
          <w:rFonts w:asciiTheme="majorBidi" w:eastAsiaTheme="minorEastAsia" w:hAnsiTheme="majorBidi" w:cstheme="majorBidi"/>
          <w:bCs/>
          <w:sz w:val="24"/>
          <w:szCs w:val="24"/>
          <w:lang w:val="en-US"/>
        </w:rPr>
        <w:t>Generic models (</w:t>
      </w:r>
      <w:proofErr w:type="spellStart"/>
      <w:r w:rsidRPr="00937A23">
        <w:rPr>
          <w:rFonts w:asciiTheme="majorBidi" w:eastAsiaTheme="minorEastAsia" w:hAnsiTheme="majorBidi" w:cstheme="majorBidi"/>
          <w:bCs/>
          <w:sz w:val="24"/>
          <w:szCs w:val="24"/>
          <w:lang w:val="en-US"/>
        </w:rPr>
        <w:t>Acatech</w:t>
      </w:r>
      <w:proofErr w:type="spellEnd"/>
      <w:r w:rsidRPr="00937A23">
        <w:rPr>
          <w:rFonts w:asciiTheme="majorBidi" w:eastAsiaTheme="minorEastAsia" w:hAnsiTheme="majorBidi" w:cstheme="majorBidi"/>
          <w:bCs/>
          <w:sz w:val="24"/>
          <w:szCs w:val="24"/>
          <w:lang w:val="en-US"/>
        </w:rPr>
        <w:t>, IMPULS, Capgemini) consistently fail in rail because they under-weight regulatory certification and asset longevity. The RMDMM developed here contains 30 cells (6 levels × 5 dimensions) with rail-specific evidence requirements (e.g., “Level 4 Analytics requires 90 % prescription acceptance by maintainers”)</w:t>
      </w:r>
    </w:p>
    <w:p w14:paraId="24DD45C8" w14:textId="23CC3BC4" w:rsidR="005E2F15" w:rsidRPr="005E2F15" w:rsidRDefault="005E2F15" w:rsidP="00C70A23">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lastRenderedPageBreak/>
        <w:t>(hypothesis 1).</w:t>
      </w:r>
    </w:p>
    <w:p w14:paraId="57CAC9CB" w14:textId="77777777" w:rsidR="005E2F15" w:rsidRPr="005E2F15" w:rsidRDefault="005E2F15" w:rsidP="003643D3">
      <w:pPr>
        <w:pStyle w:val="ListParagraph"/>
        <w:spacing w:after="160" w:line="360" w:lineRule="auto"/>
        <w:ind w:left="1440"/>
        <w:rPr>
          <w:rFonts w:asciiTheme="majorBidi" w:eastAsiaTheme="minorEastAsia" w:hAnsiTheme="majorBidi" w:cstheme="majorBidi"/>
          <w:bCs/>
          <w:sz w:val="24"/>
          <w:szCs w:val="24"/>
          <w:lang w:val="en-US"/>
        </w:rPr>
      </w:pPr>
    </w:p>
    <w:p w14:paraId="19AC5D2C" w14:textId="360D328F" w:rsidR="005E2F15" w:rsidRPr="00937A23" w:rsidRDefault="005E2F15" w:rsidP="00C70A23">
      <w:pPr>
        <w:pStyle w:val="ListParagraph"/>
        <w:spacing w:after="160" w:line="360" w:lineRule="auto"/>
        <w:ind w:left="1440"/>
        <w:jc w:val="both"/>
        <w:rPr>
          <w:rFonts w:asciiTheme="majorBidi" w:eastAsiaTheme="minorEastAsia" w:hAnsiTheme="majorBidi" w:cstheme="majorBidi"/>
          <w:bCs/>
        </w:rPr>
      </w:pPr>
      <w:r w:rsidRPr="00FD3F37">
        <w:rPr>
          <w:rFonts w:asciiTheme="majorBidi" w:eastAsiaTheme="minorEastAsia" w:hAnsiTheme="majorBidi" w:cstheme="majorBidi"/>
          <w:bCs/>
          <w:sz w:val="24"/>
          <w:szCs w:val="24"/>
          <w:lang w:val="en-US"/>
        </w:rPr>
        <w:t xml:space="preserve">2.5.3 </w:t>
      </w:r>
      <w:r w:rsidR="00937A23" w:rsidRPr="00FD3F37">
        <w:rPr>
          <w:rFonts w:asciiTheme="majorBidi" w:eastAsiaTheme="minorEastAsia" w:hAnsiTheme="majorBidi" w:cstheme="majorBidi"/>
          <w:bCs/>
        </w:rPr>
        <w:t>ISO</w:t>
      </w:r>
      <w:r w:rsidR="00937A23" w:rsidRPr="00937A23">
        <w:rPr>
          <w:rFonts w:asciiTheme="majorBidi" w:eastAsiaTheme="minorEastAsia" w:hAnsiTheme="majorBidi" w:cstheme="majorBidi"/>
          <w:bCs/>
        </w:rPr>
        <w:t xml:space="preserve"> 55000 Asset Management &amp; Lifecycle Value Theory</w:t>
      </w:r>
    </w:p>
    <w:p w14:paraId="194C6F89" w14:textId="09F2E55E" w:rsidR="005E2F15" w:rsidRPr="003643D3" w:rsidRDefault="005E2F15" w:rsidP="00C70A23">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core principle: maintenance decisions must align with organizational goals and optimize the value delivered by the asset across its entire lifecycle (</w:t>
      </w:r>
      <w:proofErr w:type="spellStart"/>
      <w:r w:rsidRPr="005E2F15">
        <w:rPr>
          <w:rFonts w:asciiTheme="majorBidi" w:eastAsiaTheme="minorEastAsia" w:hAnsiTheme="majorBidi" w:cstheme="majorBidi"/>
          <w:bCs/>
          <w:sz w:val="24"/>
          <w:szCs w:val="24"/>
          <w:lang w:val="en-US"/>
        </w:rPr>
        <w:t>lcc</w:t>
      </w:r>
      <w:proofErr w:type="spellEnd"/>
      <w:r w:rsidRPr="005E2F15">
        <w:rPr>
          <w:rFonts w:asciiTheme="majorBidi" w:eastAsiaTheme="minorEastAsia" w:hAnsiTheme="majorBidi" w:cstheme="majorBidi"/>
          <w:bCs/>
          <w:sz w:val="24"/>
          <w:szCs w:val="24"/>
          <w:lang w:val="en-US"/>
        </w:rPr>
        <w:t>). Risk-based decision-making is paramount.</w:t>
      </w:r>
    </w:p>
    <w:p w14:paraId="019030AC" w14:textId="0FC63E0F" w:rsidR="005E2F15" w:rsidRPr="003643D3" w:rsidRDefault="005E2F15" w:rsidP="00C70A23">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 xml:space="preserve">Relevance: this framework anchors the thesis in financial and strategic management. It provides the justification for the transformation, ensuring that the </w:t>
      </w:r>
      <w:r w:rsidR="00937A23">
        <w:rPr>
          <w:rFonts w:asciiTheme="majorBidi" w:eastAsiaTheme="minorEastAsia" w:hAnsiTheme="majorBidi" w:cstheme="majorBidi"/>
          <w:bCs/>
          <w:sz w:val="24"/>
          <w:szCs w:val="24"/>
          <w:lang w:val="en-US"/>
        </w:rPr>
        <w:t>KPI</w:t>
      </w:r>
      <w:r w:rsidRPr="005E2F15">
        <w:rPr>
          <w:rFonts w:asciiTheme="majorBidi" w:eastAsiaTheme="minorEastAsia" w:hAnsiTheme="majorBidi" w:cstheme="majorBidi"/>
          <w:bCs/>
          <w:sz w:val="24"/>
          <w:szCs w:val="24"/>
          <w:lang w:val="en-US"/>
        </w:rPr>
        <w:t>s developed (objective 5) are focused on lifecycle value and risk reduction, addressing the concerns of executives (hypothesis 2).</w:t>
      </w:r>
    </w:p>
    <w:p w14:paraId="0823BBD9" w14:textId="13A7FAAC" w:rsidR="005E2F15" w:rsidRPr="005E2F15" w:rsidRDefault="005E2F15" w:rsidP="00C70A23">
      <w:pPr>
        <w:pStyle w:val="ListParagraph"/>
        <w:spacing w:after="160" w:line="360" w:lineRule="auto"/>
        <w:ind w:left="1440"/>
        <w:jc w:val="both"/>
        <w:rPr>
          <w:rFonts w:asciiTheme="majorBidi" w:eastAsiaTheme="minorEastAsia" w:hAnsiTheme="majorBidi" w:cstheme="majorBidi"/>
          <w:bCs/>
          <w:sz w:val="24"/>
          <w:szCs w:val="24"/>
          <w:lang w:val="en-US"/>
        </w:rPr>
      </w:pPr>
      <w:r w:rsidRPr="005E2F15">
        <w:rPr>
          <w:rFonts w:asciiTheme="majorBidi" w:eastAsiaTheme="minorEastAsia" w:hAnsiTheme="majorBidi" w:cstheme="majorBidi"/>
          <w:bCs/>
          <w:sz w:val="24"/>
          <w:szCs w:val="24"/>
          <w:lang w:val="en-US"/>
        </w:rPr>
        <w:t xml:space="preserve">The deliberate synthesis of these three frameworks ensures the strategic roadmap is technologically informed, organizationally viable, and financially justified. </w:t>
      </w:r>
    </w:p>
    <w:p w14:paraId="453CB65D" w14:textId="77777777" w:rsidR="005E2F15" w:rsidRPr="00FD3F37" w:rsidRDefault="005E2F15" w:rsidP="00FD3F37">
      <w:pPr>
        <w:rPr>
          <w:rFonts w:asciiTheme="majorBidi" w:eastAsiaTheme="majorEastAsia" w:hAnsiTheme="majorBidi" w:cstheme="majorBidi"/>
          <w:color w:val="2F5496" w:themeColor="accent1" w:themeShade="BF"/>
          <w:sz w:val="32"/>
          <w:szCs w:val="32"/>
        </w:rPr>
      </w:pPr>
    </w:p>
    <w:p w14:paraId="204B4028" w14:textId="10F03BBA" w:rsidR="00D9629D" w:rsidRPr="00D9629D" w:rsidRDefault="00D9629D" w:rsidP="00D9629D"/>
    <w:p w14:paraId="26BF422E" w14:textId="77777777" w:rsidR="00FA2274" w:rsidRDefault="00FA2274" w:rsidP="00FA2274">
      <w:pPr>
        <w:rPr>
          <w:lang w:val="en-US"/>
        </w:rPr>
      </w:pPr>
    </w:p>
    <w:p w14:paraId="5C63931C" w14:textId="19168143" w:rsidR="00D44D33" w:rsidRDefault="00D44D33"/>
    <w:p w14:paraId="0F69B711" w14:textId="65A0C4D7" w:rsidR="00D44D33" w:rsidRDefault="00D44D33"/>
    <w:p w14:paraId="63AC58C0" w14:textId="65D5A620" w:rsidR="00D44D33" w:rsidRDefault="00D44D33"/>
    <w:p w14:paraId="7A02D4C7" w14:textId="77777777" w:rsidR="00FA2274" w:rsidRDefault="00FA2274">
      <w:pPr>
        <w:spacing w:after="160" w:line="259" w:lineRule="auto"/>
        <w:rPr>
          <w:rFonts w:asciiTheme="majorHAnsi" w:eastAsiaTheme="majorEastAsia" w:hAnsiTheme="majorHAnsi" w:cstheme="majorBidi"/>
          <w:color w:val="2F5496" w:themeColor="accent1" w:themeShade="BF"/>
          <w:sz w:val="32"/>
          <w:szCs w:val="32"/>
        </w:rPr>
      </w:pPr>
      <w:bookmarkStart w:id="15" w:name="_Toc393828805"/>
      <w:r>
        <w:br w:type="page"/>
      </w:r>
    </w:p>
    <w:p w14:paraId="19784C39" w14:textId="365F95F6" w:rsidR="00D44D33" w:rsidRDefault="0030542D" w:rsidP="005C71B4">
      <w:pPr>
        <w:pStyle w:val="Heading1"/>
        <w:numPr>
          <w:ilvl w:val="0"/>
          <w:numId w:val="44"/>
        </w:numPr>
        <w:spacing w:before="160" w:after="160" w:line="360" w:lineRule="auto"/>
        <w:rPr>
          <w:rFonts w:asciiTheme="majorBidi" w:hAnsiTheme="majorBidi"/>
        </w:rPr>
      </w:pPr>
      <w:bookmarkStart w:id="16" w:name="_Toc215590814"/>
      <w:bookmarkEnd w:id="15"/>
      <w:r w:rsidRPr="0030542D">
        <w:rPr>
          <w:rFonts w:asciiTheme="majorBidi" w:hAnsiTheme="majorBidi"/>
        </w:rPr>
        <w:lastRenderedPageBreak/>
        <w:t>Chapter 3: Research methodology</w:t>
      </w:r>
      <w:bookmarkEnd w:id="16"/>
    </w:p>
    <w:p w14:paraId="180144FD" w14:textId="089EB93B" w:rsidR="0030542D" w:rsidRPr="009831A8" w:rsidRDefault="00B458A4" w:rsidP="00B458A4">
      <w:pPr>
        <w:pStyle w:val="Heading1"/>
      </w:pPr>
      <w:bookmarkStart w:id="17" w:name="_Toc215590815"/>
      <w:r>
        <w:t>3.1</w:t>
      </w:r>
      <w:r>
        <w:tab/>
      </w:r>
      <w:r w:rsidR="0030542D" w:rsidRPr="009831A8">
        <w:t>Introduction</w:t>
      </w:r>
      <w:bookmarkEnd w:id="17"/>
      <w:r w:rsidR="0030542D" w:rsidRPr="009831A8">
        <w:t xml:space="preserve"> </w:t>
      </w:r>
    </w:p>
    <w:p w14:paraId="0DB74BA0" w14:textId="77777777" w:rsidR="00B44AA0" w:rsidRPr="00B44AA0" w:rsidRDefault="00B44AA0" w:rsidP="00C70A23">
      <w:pPr>
        <w:pStyle w:val="ListParagraph"/>
        <w:spacing w:after="160" w:line="360" w:lineRule="auto"/>
        <w:jc w:val="both"/>
        <w:rPr>
          <w:rFonts w:ascii="Times New Roman" w:eastAsia="Times New Roman" w:hAnsi="Times New Roman"/>
          <w:sz w:val="24"/>
          <w:szCs w:val="24"/>
          <w:lang w:val="en-US"/>
        </w:rPr>
      </w:pPr>
      <w:r w:rsidRPr="00B44AA0">
        <w:rPr>
          <w:rFonts w:ascii="Times New Roman" w:eastAsia="Times New Roman" w:hAnsi="Times New Roman"/>
          <w:sz w:val="24"/>
          <w:szCs w:val="24"/>
          <w:lang w:val="en-US"/>
        </w:rPr>
        <w:t>The transformation from calendar-driven overhauls to cognitive zero-downtime operations is not merely a technical upgrade; it is a profound sociotechnical, financial, and institutional reconfiguration of a safety-critical, capital-intensive industry. A methodology that hopes to produce actionable, boardroom-ready guidance must therefore be capable of capturing complex human dynamics, regulatory realities, financial trade-offs, and emerging technological practices simultaneously.</w:t>
      </w:r>
    </w:p>
    <w:p w14:paraId="4BDCF6A4" w14:textId="77777777" w:rsidR="00B44AA0" w:rsidRPr="00B44AA0" w:rsidRDefault="00B44AA0" w:rsidP="00C70A23">
      <w:pPr>
        <w:pStyle w:val="ListParagraph"/>
        <w:spacing w:after="160" w:line="360" w:lineRule="auto"/>
        <w:jc w:val="both"/>
        <w:rPr>
          <w:rFonts w:ascii="Times New Roman" w:eastAsia="Times New Roman" w:hAnsi="Times New Roman"/>
          <w:sz w:val="24"/>
          <w:szCs w:val="24"/>
          <w:lang w:val="en-US"/>
        </w:rPr>
      </w:pPr>
      <w:r w:rsidRPr="00B44AA0">
        <w:rPr>
          <w:rFonts w:ascii="Times New Roman" w:eastAsia="Times New Roman" w:hAnsi="Times New Roman"/>
          <w:sz w:val="24"/>
          <w:szCs w:val="24"/>
          <w:lang w:val="en-US"/>
        </w:rPr>
        <w:t>This study adopts a pragmatist philosophical stance (Creswell &amp; Poth, 2018; Kaushik &amp; Walsh, 2019). Pragmatism rejects the traditional quantitative–qualitative dichotomy and instead selects methods based on their ability to solve real-world problems. In this case, the “problem” is not abstract knowledge for its own sake, but the delivery of a strategic roadmap that railway CEOs, CFOs, and chief engineers can actually execute without destroying operational safety or shareholder value.</w:t>
      </w:r>
    </w:p>
    <w:p w14:paraId="6DBB134B" w14:textId="499045B7" w:rsidR="0030542D" w:rsidRDefault="00B44AA0" w:rsidP="00C70A23">
      <w:pPr>
        <w:pStyle w:val="ListParagraph"/>
        <w:spacing w:after="160" w:line="360" w:lineRule="auto"/>
        <w:jc w:val="both"/>
        <w:rPr>
          <w:rFonts w:ascii="Times New Roman" w:eastAsia="Times New Roman" w:hAnsi="Times New Roman"/>
          <w:sz w:val="24"/>
          <w:szCs w:val="24"/>
          <w:lang w:val="en-US"/>
        </w:rPr>
      </w:pPr>
      <w:r w:rsidRPr="00B44AA0">
        <w:rPr>
          <w:rFonts w:ascii="Times New Roman" w:eastAsia="Times New Roman" w:hAnsi="Times New Roman"/>
          <w:sz w:val="24"/>
          <w:szCs w:val="24"/>
          <w:lang w:val="en-US"/>
        </w:rPr>
        <w:t xml:space="preserve">Within this pragmatist frame, the research employs a sequential exploratory mixed-methods design (QUAL </w:t>
      </w:r>
      <w:r w:rsidR="00C70A23">
        <w:rPr>
          <w:rFonts w:ascii="Times New Roman" w:eastAsia="Times New Roman" w:hAnsi="Times New Roman"/>
          <w:sz w:val="24"/>
          <w:szCs w:val="24"/>
          <w:lang w:val="en-US"/>
        </w:rPr>
        <w:t>and</w:t>
      </w:r>
      <w:r w:rsidRPr="00B44AA0">
        <w:rPr>
          <w:rFonts w:ascii="Times New Roman" w:eastAsia="Times New Roman" w:hAnsi="Times New Roman"/>
          <w:sz w:val="24"/>
          <w:szCs w:val="24"/>
          <w:lang w:val="en-US"/>
        </w:rPr>
        <w:t xml:space="preserve"> QUAN), widely regarded as the gold standard for complex </w:t>
      </w:r>
      <w:r w:rsidR="00C70A23" w:rsidRPr="00B44AA0">
        <w:rPr>
          <w:rFonts w:ascii="Times New Roman" w:eastAsia="Times New Roman" w:hAnsi="Times New Roman"/>
          <w:sz w:val="24"/>
          <w:szCs w:val="24"/>
          <w:lang w:val="en-US"/>
        </w:rPr>
        <w:t>organizational</w:t>
      </w:r>
      <w:r w:rsidRPr="00B44AA0">
        <w:rPr>
          <w:rFonts w:ascii="Times New Roman" w:eastAsia="Times New Roman" w:hAnsi="Times New Roman"/>
          <w:sz w:val="24"/>
          <w:szCs w:val="24"/>
          <w:lang w:val="en-US"/>
        </w:rPr>
        <w:t xml:space="preserve"> transformation studies (Fetters &amp; Molina-Azorin, 2021; </w:t>
      </w:r>
      <w:proofErr w:type="spellStart"/>
      <w:r w:rsidRPr="00B44AA0">
        <w:rPr>
          <w:rFonts w:ascii="Times New Roman" w:eastAsia="Times New Roman" w:hAnsi="Times New Roman"/>
          <w:sz w:val="24"/>
          <w:szCs w:val="24"/>
          <w:lang w:val="en-US"/>
        </w:rPr>
        <w:t>Bokrantz</w:t>
      </w:r>
      <w:proofErr w:type="spellEnd"/>
      <w:r w:rsidRPr="00B44AA0">
        <w:rPr>
          <w:rFonts w:ascii="Times New Roman" w:eastAsia="Times New Roman" w:hAnsi="Times New Roman"/>
          <w:sz w:val="24"/>
          <w:szCs w:val="24"/>
          <w:lang w:val="en-US"/>
        </w:rPr>
        <w:t xml:space="preserve"> &amp; Skoogh, 2024). The qualitative phase surfaces the hidden barriers and enablers that executives and maintainers actually experience. The quantitative phase then translates those insights into financial models, maturity scoring, and KPI frameworks that satisfy the rigor demanded by capital-allocation committees.</w:t>
      </w:r>
    </w:p>
    <w:p w14:paraId="5F3625DA" w14:textId="77777777" w:rsidR="00B44AA0" w:rsidRPr="009831A8" w:rsidRDefault="00B44AA0" w:rsidP="00B458A4">
      <w:pPr>
        <w:pStyle w:val="Heading1"/>
      </w:pPr>
    </w:p>
    <w:p w14:paraId="763B194A" w14:textId="46E68F98" w:rsidR="0030542D" w:rsidRPr="00C70A23" w:rsidRDefault="00B458A4" w:rsidP="00B458A4">
      <w:pPr>
        <w:pStyle w:val="Heading1"/>
      </w:pPr>
      <w:bookmarkStart w:id="18" w:name="_Toc215590816"/>
      <w:r>
        <w:t>3.2</w:t>
      </w:r>
      <w:r>
        <w:tab/>
      </w:r>
      <w:r w:rsidR="0030542D" w:rsidRPr="00C70A23">
        <w:t>Research Design: Sequential Exploratory Mixed-Method</w:t>
      </w:r>
      <w:bookmarkEnd w:id="18"/>
      <w:r w:rsidR="0030542D" w:rsidRPr="00C70A23">
        <w:t xml:space="preserve"> </w:t>
      </w:r>
    </w:p>
    <w:p w14:paraId="75C3877E" w14:textId="77777777" w:rsidR="00B44AA0" w:rsidRPr="00C70A23" w:rsidRDefault="00B87AD9" w:rsidP="00B44AA0">
      <w:pPr>
        <w:pStyle w:val="ListParagraph"/>
        <w:spacing w:after="160" w:line="360" w:lineRule="auto"/>
        <w:rPr>
          <w:rFonts w:asciiTheme="majorBidi" w:hAnsiTheme="majorBidi" w:cstheme="majorBidi"/>
          <w:sz w:val="24"/>
          <w:szCs w:val="24"/>
          <w:lang w:val="en-US"/>
        </w:rPr>
      </w:pPr>
      <w:r w:rsidRPr="00C70A23">
        <w:rPr>
          <w:rFonts w:asciiTheme="majorBidi" w:hAnsiTheme="majorBidi" w:cstheme="majorBidi"/>
          <w:sz w:val="24"/>
          <w:szCs w:val="24"/>
        </w:rPr>
        <w:t xml:space="preserve">3.2.1 </w:t>
      </w:r>
      <w:r w:rsidR="00B44AA0" w:rsidRPr="00C70A23">
        <w:rPr>
          <w:rFonts w:asciiTheme="majorBidi" w:hAnsiTheme="majorBidi" w:cstheme="majorBidi"/>
          <w:sz w:val="24"/>
          <w:szCs w:val="24"/>
          <w:lang w:val="en-US"/>
        </w:rPr>
        <w:t>Why Not Purely Quantitative?</w:t>
      </w:r>
    </w:p>
    <w:p w14:paraId="3851481C" w14:textId="77777777" w:rsidR="00B44AA0" w:rsidRPr="00B44AA0" w:rsidRDefault="00B44AA0" w:rsidP="00B44AA0">
      <w:pPr>
        <w:pStyle w:val="ListParagraph"/>
        <w:spacing w:after="160" w:line="360" w:lineRule="auto"/>
        <w:rPr>
          <w:rFonts w:asciiTheme="majorBidi" w:hAnsiTheme="majorBidi" w:cstheme="majorBidi"/>
          <w:sz w:val="24"/>
          <w:szCs w:val="24"/>
          <w:lang w:val="en-US"/>
        </w:rPr>
      </w:pPr>
      <w:r w:rsidRPr="00B44AA0">
        <w:rPr>
          <w:rFonts w:asciiTheme="majorBidi" w:hAnsiTheme="majorBidi" w:cstheme="majorBidi"/>
          <w:sz w:val="24"/>
          <w:szCs w:val="24"/>
          <w:lang w:val="en-US"/>
        </w:rPr>
        <w:t>A large-scale survey of existing maintenance KPIs across global operators would yield impressive correlation statistics but would be blind to why certain operators succeed while others with identical technology fail. As one Deutsche Bahn executive remarked in a 2024 interview:</w:t>
      </w:r>
    </w:p>
    <w:p w14:paraId="214836A3" w14:textId="77777777" w:rsidR="00B44AA0" w:rsidRDefault="00B44AA0" w:rsidP="00B44AA0">
      <w:pPr>
        <w:pStyle w:val="ListParagraph"/>
        <w:spacing w:after="160" w:line="360" w:lineRule="auto"/>
        <w:rPr>
          <w:rFonts w:asciiTheme="majorBidi" w:hAnsiTheme="majorBidi" w:cstheme="majorBidi"/>
          <w:i/>
          <w:iCs/>
          <w:sz w:val="24"/>
          <w:szCs w:val="24"/>
          <w:lang w:val="en-US"/>
        </w:rPr>
      </w:pPr>
      <w:r w:rsidRPr="00B44AA0">
        <w:rPr>
          <w:rFonts w:asciiTheme="majorBidi" w:hAnsiTheme="majorBidi" w:cstheme="majorBidi"/>
          <w:i/>
          <w:iCs/>
          <w:sz w:val="24"/>
          <w:szCs w:val="24"/>
          <w:lang w:val="en-US"/>
        </w:rPr>
        <w:lastRenderedPageBreak/>
        <w:t>“We have more data than we know what to do with. The bottleneck is never the algorithm — it is always the politics of who owns the data and who trusts the output.”</w:t>
      </w:r>
    </w:p>
    <w:p w14:paraId="3077B326" w14:textId="77777777" w:rsidR="00B44AA0" w:rsidRPr="00B44AA0" w:rsidRDefault="00B44AA0" w:rsidP="00B44AA0">
      <w:pPr>
        <w:pStyle w:val="ListParagraph"/>
        <w:spacing w:after="160" w:line="360" w:lineRule="auto"/>
        <w:rPr>
          <w:rFonts w:asciiTheme="majorBidi" w:hAnsiTheme="majorBidi" w:cstheme="majorBidi"/>
          <w:i/>
          <w:iCs/>
          <w:sz w:val="24"/>
          <w:szCs w:val="24"/>
          <w:lang w:val="en-US"/>
        </w:rPr>
      </w:pPr>
    </w:p>
    <w:p w14:paraId="6A64C43C" w14:textId="77777777" w:rsidR="00B44AA0" w:rsidRPr="00B44AA0" w:rsidRDefault="00B44AA0" w:rsidP="00C70A23">
      <w:pPr>
        <w:pStyle w:val="ListParagraph"/>
        <w:spacing w:afterLines="160" w:after="384" w:line="360" w:lineRule="auto"/>
        <w:jc w:val="both"/>
        <w:rPr>
          <w:rFonts w:asciiTheme="majorBidi" w:hAnsiTheme="majorBidi" w:cstheme="majorBidi"/>
          <w:sz w:val="24"/>
          <w:szCs w:val="24"/>
          <w:lang w:val="en-US"/>
        </w:rPr>
      </w:pPr>
      <w:r w:rsidRPr="00B44AA0">
        <w:rPr>
          <w:rFonts w:asciiTheme="majorBidi" w:hAnsiTheme="majorBidi" w:cstheme="majorBidi"/>
          <w:sz w:val="24"/>
          <w:szCs w:val="24"/>
          <w:lang w:val="en-US"/>
        </w:rPr>
        <w:t>Pure quantitative approaches cannot illuminate politics, identity, or trust.</w:t>
      </w:r>
    </w:p>
    <w:p w14:paraId="07E8771B" w14:textId="77777777" w:rsidR="00B44AA0" w:rsidRPr="00C70A23" w:rsidRDefault="00B44AA0" w:rsidP="00C70A23">
      <w:pPr>
        <w:pStyle w:val="ListParagraph"/>
        <w:spacing w:afterLines="160" w:after="384" w:line="360" w:lineRule="auto"/>
        <w:jc w:val="both"/>
        <w:rPr>
          <w:rFonts w:asciiTheme="majorBidi" w:hAnsiTheme="majorBidi" w:cstheme="majorBidi"/>
          <w:sz w:val="24"/>
          <w:szCs w:val="24"/>
        </w:rPr>
      </w:pPr>
    </w:p>
    <w:p w14:paraId="4F6D6A6B" w14:textId="39296C6C" w:rsidR="00106988" w:rsidRPr="00C70A23" w:rsidRDefault="00B87AD9" w:rsidP="00C70A23">
      <w:pPr>
        <w:pStyle w:val="ListParagraph"/>
        <w:spacing w:afterLines="160" w:after="384" w:line="360" w:lineRule="auto"/>
        <w:jc w:val="both"/>
        <w:rPr>
          <w:rFonts w:asciiTheme="majorBidi" w:hAnsiTheme="majorBidi" w:cstheme="majorBidi"/>
          <w:sz w:val="24"/>
          <w:szCs w:val="24"/>
          <w:lang w:val="en-US"/>
        </w:rPr>
      </w:pPr>
      <w:r w:rsidRPr="00C70A23">
        <w:rPr>
          <w:rFonts w:asciiTheme="majorBidi" w:hAnsiTheme="majorBidi" w:cstheme="majorBidi"/>
          <w:sz w:val="24"/>
          <w:szCs w:val="24"/>
        </w:rPr>
        <w:t xml:space="preserve">3.2.2 </w:t>
      </w:r>
      <w:r w:rsidR="00106988" w:rsidRPr="00C70A23">
        <w:rPr>
          <w:rFonts w:asciiTheme="majorBidi" w:hAnsiTheme="majorBidi" w:cstheme="majorBidi"/>
          <w:sz w:val="24"/>
          <w:szCs w:val="24"/>
          <w:lang w:val="en-US"/>
        </w:rPr>
        <w:t>Why Not Purely Qualitative?</w:t>
      </w:r>
    </w:p>
    <w:p w14:paraId="3C9ABE02" w14:textId="6730BDD8" w:rsidR="00106988" w:rsidRPr="00C70A23" w:rsidRDefault="00106988" w:rsidP="00C70A23">
      <w:pPr>
        <w:pStyle w:val="ListParagraph"/>
        <w:spacing w:afterLines="160" w:after="384" w:line="360" w:lineRule="auto"/>
        <w:jc w:val="both"/>
        <w:rPr>
          <w:rFonts w:asciiTheme="majorBidi" w:hAnsiTheme="majorBidi" w:cstheme="majorBidi"/>
          <w:sz w:val="24"/>
          <w:szCs w:val="24"/>
          <w:lang w:val="en-US"/>
        </w:rPr>
      </w:pPr>
      <w:r w:rsidRPr="00C70A23">
        <w:rPr>
          <w:rFonts w:asciiTheme="majorBidi" w:hAnsiTheme="majorBidi" w:cstheme="majorBidi"/>
          <w:sz w:val="24"/>
          <w:szCs w:val="24"/>
          <w:lang w:val="en-US"/>
        </w:rPr>
        <w:t xml:space="preserve">In-depth case studies or ethnographies produce rich narratives but lack the </w:t>
      </w:r>
      <w:r w:rsidR="00DE4CAC" w:rsidRPr="00C70A23">
        <w:rPr>
          <w:rFonts w:asciiTheme="majorBidi" w:hAnsiTheme="majorBidi" w:cstheme="majorBidi"/>
          <w:sz w:val="24"/>
          <w:szCs w:val="24"/>
          <w:lang w:val="en-US"/>
        </w:rPr>
        <w:t>generalizable</w:t>
      </w:r>
      <w:r w:rsidRPr="00C70A23">
        <w:rPr>
          <w:rFonts w:asciiTheme="majorBidi" w:hAnsiTheme="majorBidi" w:cstheme="majorBidi"/>
          <w:sz w:val="24"/>
          <w:szCs w:val="24"/>
          <w:lang w:val="en-US"/>
        </w:rPr>
        <w:t xml:space="preserve"> financial modelling that railway boards require before committing hundreds of millions of euros over a decade-long horizon.</w:t>
      </w:r>
    </w:p>
    <w:p w14:paraId="11844C4C" w14:textId="77777777" w:rsidR="00106988" w:rsidRPr="00C70A23" w:rsidRDefault="00106988" w:rsidP="00C70A23">
      <w:pPr>
        <w:pStyle w:val="ListParagraph"/>
        <w:spacing w:afterLines="160" w:after="384" w:line="360" w:lineRule="auto"/>
        <w:jc w:val="both"/>
        <w:rPr>
          <w:rFonts w:asciiTheme="majorBidi" w:hAnsiTheme="majorBidi" w:cstheme="majorBidi"/>
          <w:sz w:val="24"/>
          <w:szCs w:val="24"/>
          <w:lang w:val="en-US"/>
        </w:rPr>
      </w:pPr>
    </w:p>
    <w:p w14:paraId="7B68B861" w14:textId="6AC21896" w:rsidR="00106988" w:rsidRPr="00C70A23" w:rsidRDefault="00106988" w:rsidP="00C70A23">
      <w:pPr>
        <w:pStyle w:val="ListParagraph"/>
        <w:spacing w:afterLines="160" w:after="384" w:line="360" w:lineRule="auto"/>
        <w:jc w:val="both"/>
        <w:rPr>
          <w:rFonts w:asciiTheme="majorBidi" w:hAnsiTheme="majorBidi" w:cstheme="majorBidi"/>
          <w:sz w:val="24"/>
          <w:szCs w:val="24"/>
        </w:rPr>
      </w:pPr>
      <w:r w:rsidRPr="00C70A23">
        <w:rPr>
          <w:rFonts w:asciiTheme="majorBidi" w:hAnsiTheme="majorBidi" w:cstheme="majorBidi"/>
          <w:sz w:val="24"/>
          <w:szCs w:val="24"/>
          <w:lang w:val="en-US"/>
        </w:rPr>
        <w:t xml:space="preserve">3.2.3 </w:t>
      </w:r>
      <w:r w:rsidRPr="00C70A23">
        <w:rPr>
          <w:rFonts w:asciiTheme="majorBidi" w:hAnsiTheme="majorBidi" w:cstheme="majorBidi"/>
          <w:sz w:val="24"/>
          <w:szCs w:val="24"/>
        </w:rPr>
        <w:t>The Power of Sequential Exploration</w:t>
      </w:r>
    </w:p>
    <w:p w14:paraId="4B765B21" w14:textId="7B764903" w:rsidR="00106988" w:rsidRPr="00C70A23" w:rsidRDefault="00106988" w:rsidP="00C70A23">
      <w:pPr>
        <w:pStyle w:val="ListParagraph"/>
        <w:spacing w:afterLines="160" w:after="384" w:line="360" w:lineRule="auto"/>
        <w:jc w:val="both"/>
        <w:rPr>
          <w:rFonts w:asciiTheme="majorBidi" w:hAnsiTheme="majorBidi" w:cstheme="majorBidi"/>
          <w:sz w:val="24"/>
          <w:szCs w:val="24"/>
          <w:lang w:val="en-US"/>
        </w:rPr>
      </w:pPr>
    </w:p>
    <w:p w14:paraId="5C5F36B4" w14:textId="7E16B089" w:rsidR="00106988" w:rsidRPr="00C70A23" w:rsidRDefault="00DE4CAC" w:rsidP="00C70A23">
      <w:pPr>
        <w:pStyle w:val="ListParagraph"/>
        <w:spacing w:afterLines="160" w:after="384" w:line="360" w:lineRule="auto"/>
        <w:jc w:val="both"/>
        <w:rPr>
          <w:rFonts w:asciiTheme="majorBidi" w:hAnsiTheme="majorBidi" w:cstheme="majorBidi"/>
          <w:sz w:val="24"/>
          <w:szCs w:val="24"/>
          <w:lang w:val="en-US"/>
        </w:rPr>
      </w:pPr>
      <w:r w:rsidRPr="00C70A23">
        <w:rPr>
          <w:rFonts w:asciiTheme="majorBidi" w:hAnsiTheme="majorBidi" w:cstheme="majorBidi"/>
          <w:sz w:val="24"/>
          <w:szCs w:val="24"/>
        </w:rPr>
        <w:t>The chosen design follows the classic QUAL to QUAN sequence (Creswell &amp; Plano Clark, 2018):</w:t>
      </w:r>
      <w:r w:rsidRPr="00C70A23">
        <w:rPr>
          <w:rFonts w:asciiTheme="majorBidi" w:hAnsiTheme="majorBidi" w:cstheme="majorBidi"/>
          <w:sz w:val="24"/>
          <w:szCs w:val="24"/>
        </w:rPr>
        <w:br/>
      </w:r>
      <w:r w:rsidRPr="00C70A23">
        <w:rPr>
          <w:rFonts w:asciiTheme="majorBidi" w:hAnsiTheme="majorBidi" w:cstheme="majorBidi"/>
          <w:sz w:val="24"/>
          <w:szCs w:val="24"/>
        </w:rPr>
        <w:br/>
        <w:t>Qualitative Phase (Exploration &amp; Theory Building)</w:t>
      </w:r>
      <w:r w:rsidRPr="00C70A23">
        <w:rPr>
          <w:rFonts w:asciiTheme="majorBidi" w:hAnsiTheme="majorBidi" w:cstheme="majorBidi"/>
          <w:sz w:val="24"/>
          <w:szCs w:val="24"/>
        </w:rPr>
        <w:br/>
        <w:t>Semi-structured interviews with senior subject-matter experts uncover lived realities, contradictions, and unanticipated risks in the CAF–SAR ecosystem and beyond.</w:t>
      </w:r>
      <w:r w:rsidRPr="00C70A23">
        <w:rPr>
          <w:rFonts w:asciiTheme="majorBidi" w:hAnsiTheme="majorBidi" w:cstheme="majorBidi"/>
          <w:sz w:val="24"/>
          <w:szCs w:val="24"/>
        </w:rPr>
        <w:br/>
        <w:t>Instrument Development &amp; Quantitative Validation Phase</w:t>
      </w:r>
      <w:r w:rsidRPr="00C70A23">
        <w:rPr>
          <w:rFonts w:asciiTheme="majorBidi" w:hAnsiTheme="majorBidi" w:cstheme="majorBidi"/>
          <w:sz w:val="24"/>
          <w:szCs w:val="24"/>
        </w:rPr>
        <w:br/>
        <w:t>Insights from Phase 1 directly shape the structure of the strategic roadmap, the weighting of maturity dimensions, and the assumptions embedded in the TCO/ROI simulation model.</w:t>
      </w:r>
      <w:r w:rsidRPr="00C70A23">
        <w:rPr>
          <w:rFonts w:asciiTheme="majorBidi" w:hAnsiTheme="majorBidi" w:cstheme="majorBidi"/>
          <w:sz w:val="24"/>
          <w:szCs w:val="24"/>
        </w:rPr>
        <w:br/>
      </w:r>
      <w:r w:rsidRPr="00C70A23">
        <w:rPr>
          <w:rFonts w:asciiTheme="majorBidi" w:hAnsiTheme="majorBidi" w:cstheme="majorBidi"/>
          <w:sz w:val="24"/>
          <w:szCs w:val="24"/>
        </w:rPr>
        <w:br/>
        <w:t>This sequence maximises both depth (understanding the “why”) and credibility (delivering numbers the CFO can bank).</w:t>
      </w:r>
    </w:p>
    <w:p w14:paraId="0AEE2F20" w14:textId="3398774B" w:rsidR="00B87AD9" w:rsidRPr="00C70A23" w:rsidRDefault="00B87AD9" w:rsidP="00C70A23">
      <w:pPr>
        <w:pStyle w:val="ListParagraph"/>
        <w:spacing w:afterLines="160" w:after="384" w:line="360" w:lineRule="auto"/>
        <w:jc w:val="both"/>
        <w:rPr>
          <w:rFonts w:asciiTheme="majorBidi" w:hAnsiTheme="majorBidi" w:cstheme="majorBidi"/>
          <w:sz w:val="24"/>
          <w:szCs w:val="24"/>
        </w:rPr>
      </w:pPr>
    </w:p>
    <w:p w14:paraId="26083A5C" w14:textId="77777777" w:rsidR="00B87AD9" w:rsidRPr="00C70A23" w:rsidRDefault="00B87AD9" w:rsidP="00C70A23">
      <w:pPr>
        <w:pStyle w:val="ListParagraph"/>
        <w:spacing w:afterLines="160" w:after="384" w:line="360" w:lineRule="auto"/>
        <w:jc w:val="both"/>
        <w:rPr>
          <w:rFonts w:asciiTheme="majorBidi" w:hAnsiTheme="majorBidi" w:cstheme="majorBidi"/>
          <w:sz w:val="24"/>
          <w:szCs w:val="24"/>
        </w:rPr>
      </w:pPr>
      <w:r w:rsidRPr="00C70A23">
        <w:rPr>
          <w:rFonts w:asciiTheme="majorBidi" w:hAnsiTheme="majorBidi" w:cstheme="majorBidi"/>
          <w:sz w:val="24"/>
          <w:szCs w:val="24"/>
        </w:rPr>
        <w:t>This study employs a Sequential Exploratory (QUAL -To- QUAN) design:</w:t>
      </w:r>
    </w:p>
    <w:p w14:paraId="3259021D" w14:textId="2A662361" w:rsidR="00B87AD9" w:rsidRPr="00C70A23" w:rsidRDefault="00DE4CAC" w:rsidP="00C70A23">
      <w:pPr>
        <w:pStyle w:val="ListParagraph"/>
        <w:numPr>
          <w:ilvl w:val="0"/>
          <w:numId w:val="21"/>
        </w:numPr>
        <w:spacing w:afterLines="160" w:after="384" w:line="360" w:lineRule="auto"/>
        <w:jc w:val="both"/>
        <w:rPr>
          <w:rFonts w:asciiTheme="majorBidi" w:hAnsiTheme="majorBidi" w:cstheme="majorBidi"/>
          <w:sz w:val="24"/>
          <w:szCs w:val="24"/>
        </w:rPr>
      </w:pPr>
      <w:r w:rsidRPr="00C70A23">
        <w:rPr>
          <w:rFonts w:asciiTheme="majorBidi" w:hAnsiTheme="majorBidi" w:cstheme="majorBidi"/>
          <w:sz w:val="24"/>
          <w:szCs w:val="24"/>
        </w:rPr>
        <w:t>Qualitative Phase (QUAL): Semi-structured interviews with SMEs are undertaken to investigate the current situation (Objective 1), identify organizational constraints, and map important factors and hazards in the CAF/SAR context (Objective 4). This exploratory phase is critical for establishing the theoretical frameworks (STS, Maturity Models) in actual realities</w:t>
      </w:r>
      <w:r w:rsidR="00B87AD9" w:rsidRPr="00C70A23">
        <w:rPr>
          <w:rFonts w:asciiTheme="majorBidi" w:hAnsiTheme="majorBidi" w:cstheme="majorBidi"/>
          <w:sz w:val="24"/>
          <w:szCs w:val="24"/>
        </w:rPr>
        <w:t>.</w:t>
      </w:r>
    </w:p>
    <w:p w14:paraId="09E4BDE6" w14:textId="77777777" w:rsidR="00907EA8" w:rsidRPr="00C70A23" w:rsidRDefault="00907EA8" w:rsidP="00C70A23">
      <w:pPr>
        <w:pStyle w:val="ListParagraph"/>
        <w:numPr>
          <w:ilvl w:val="0"/>
          <w:numId w:val="21"/>
        </w:numPr>
        <w:spacing w:afterLines="160" w:after="384" w:line="360" w:lineRule="auto"/>
        <w:jc w:val="both"/>
        <w:rPr>
          <w:rFonts w:asciiTheme="majorBidi" w:hAnsiTheme="majorBidi" w:cstheme="majorBidi"/>
          <w:sz w:val="24"/>
          <w:szCs w:val="24"/>
        </w:rPr>
      </w:pPr>
      <w:r w:rsidRPr="00C70A23">
        <w:rPr>
          <w:rFonts w:asciiTheme="majorBidi" w:hAnsiTheme="majorBidi" w:cstheme="majorBidi"/>
          <w:sz w:val="24"/>
          <w:szCs w:val="24"/>
        </w:rPr>
        <w:lastRenderedPageBreak/>
        <w:t>Quantitative Phase (QUAN): Qualitative data identifies key success factors and operational bottlenecks, which inform the proposed Strategic Roadmap, Financial Modeling (LCC/ROI), and KPI framework development (Objective 5). The quantitative step entails synthesizing secondary data (public financial reports, operational indicators) and using descriptive statistics to validate the financial component of the change.</w:t>
      </w:r>
    </w:p>
    <w:p w14:paraId="0CD71514" w14:textId="77777777" w:rsidR="00907EA8" w:rsidRPr="00C70A23" w:rsidRDefault="00907EA8" w:rsidP="00C70A23">
      <w:pPr>
        <w:pStyle w:val="ListParagraph"/>
        <w:spacing w:afterLines="160" w:after="384" w:line="360" w:lineRule="auto"/>
        <w:jc w:val="both"/>
        <w:rPr>
          <w:rFonts w:ascii="Times New Roman" w:eastAsia="Times New Roman" w:hAnsi="Times New Roman"/>
          <w:sz w:val="24"/>
          <w:szCs w:val="24"/>
          <w:lang w:val="en-US"/>
        </w:rPr>
      </w:pPr>
      <w:r w:rsidRPr="00C70A23">
        <w:rPr>
          <w:rFonts w:ascii="Times New Roman" w:eastAsia="Times New Roman" w:hAnsi="Times New Roman"/>
          <w:sz w:val="24"/>
          <w:szCs w:val="24"/>
          <w:lang w:val="en-US"/>
        </w:rPr>
        <w:t xml:space="preserve">This approach guarantees that the final delivery (the </w:t>
      </w:r>
      <w:proofErr w:type="gramStart"/>
      <w:r w:rsidRPr="00C70A23">
        <w:rPr>
          <w:rFonts w:ascii="Times New Roman" w:eastAsia="Times New Roman" w:hAnsi="Times New Roman"/>
          <w:sz w:val="24"/>
          <w:szCs w:val="24"/>
          <w:lang w:val="en-US"/>
        </w:rPr>
        <w:t>Roadmap</w:t>
      </w:r>
      <w:proofErr w:type="gramEnd"/>
      <w:r w:rsidRPr="00C70A23">
        <w:rPr>
          <w:rFonts w:ascii="Times New Roman" w:eastAsia="Times New Roman" w:hAnsi="Times New Roman"/>
          <w:sz w:val="24"/>
          <w:szCs w:val="24"/>
          <w:lang w:val="en-US"/>
        </w:rPr>
        <w:t>) is both theoretically robust and directly confronts the empirically observable, real-world issues encountered by the sample population.</w:t>
      </w:r>
    </w:p>
    <w:p w14:paraId="2C5BF0D6" w14:textId="0C9179C8" w:rsidR="00B87AD9" w:rsidRPr="00907EA8" w:rsidRDefault="00B87AD9" w:rsidP="00907EA8">
      <w:pPr>
        <w:pStyle w:val="ListParagraph"/>
        <w:spacing w:after="160" w:line="360" w:lineRule="auto"/>
        <w:rPr>
          <w:rFonts w:asciiTheme="majorBidi" w:hAnsiTheme="majorBidi" w:cstheme="majorBidi"/>
          <w:sz w:val="24"/>
          <w:szCs w:val="24"/>
        </w:rPr>
      </w:pPr>
    </w:p>
    <w:p w14:paraId="3FEDD485" w14:textId="77777777" w:rsidR="00B87AD9" w:rsidRDefault="00B87AD9" w:rsidP="00B87AD9">
      <w:pPr>
        <w:pStyle w:val="ListParagraph"/>
      </w:pPr>
    </w:p>
    <w:p w14:paraId="60C8A2AF" w14:textId="6DCF797B" w:rsidR="0030542D" w:rsidRPr="00C70A23" w:rsidRDefault="00B458A4" w:rsidP="00B458A4">
      <w:pPr>
        <w:pStyle w:val="Heading1"/>
      </w:pPr>
      <w:bookmarkStart w:id="19" w:name="_Toc215590817"/>
      <w:r>
        <w:t>3.3</w:t>
      </w:r>
      <w:r>
        <w:tab/>
      </w:r>
      <w:r w:rsidR="0030542D" w:rsidRPr="00C70A23">
        <w:t>Research Community and Field of Study</w:t>
      </w:r>
      <w:bookmarkEnd w:id="19"/>
      <w:r w:rsidR="0030542D" w:rsidRPr="00C70A23">
        <w:t xml:space="preserve"> </w:t>
      </w:r>
    </w:p>
    <w:p w14:paraId="0273ED0E" w14:textId="77777777" w:rsidR="00B87AD9" w:rsidRPr="00C70A23" w:rsidRDefault="00B87AD9" w:rsidP="00C70A23">
      <w:pPr>
        <w:pStyle w:val="ListParagraph"/>
        <w:spacing w:after="160" w:line="360" w:lineRule="auto"/>
        <w:jc w:val="both"/>
        <w:rPr>
          <w:rFonts w:asciiTheme="majorBidi" w:hAnsiTheme="majorBidi" w:cstheme="majorBidi"/>
          <w:sz w:val="24"/>
          <w:szCs w:val="24"/>
        </w:rPr>
      </w:pPr>
      <w:r w:rsidRPr="00C70A23">
        <w:rPr>
          <w:rFonts w:asciiTheme="majorBidi" w:hAnsiTheme="majorBidi" w:cstheme="majorBidi"/>
          <w:sz w:val="24"/>
          <w:szCs w:val="24"/>
        </w:rPr>
        <w:t>3.3.1 research community</w:t>
      </w:r>
    </w:p>
    <w:p w14:paraId="6B36E063" w14:textId="77777777" w:rsidR="00907EA8" w:rsidRPr="00907EA8" w:rsidRDefault="00907EA8" w:rsidP="00C70A23">
      <w:pPr>
        <w:pStyle w:val="ListParagraph"/>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The community of interest comprises the global railway rolling-stock ecosystem: national operators (e.g., SAR, Deutsche Bahn, SNCF, Indian Railways), urban metro authorities (Riyadh Metro, Dubai RTA), OEMs (Alstom, Siemens Mobility, CRRC, CAF), and specialist maintenance contractors (e.g., Knorr-Bremse Lifecycle Services). This community shares four defining characteristics:</w:t>
      </w:r>
    </w:p>
    <w:p w14:paraId="334B1846" w14:textId="77777777" w:rsidR="00907EA8" w:rsidRPr="00907EA8" w:rsidRDefault="00907EA8" w:rsidP="00C70A23">
      <w:pPr>
        <w:pStyle w:val="ListParagraph"/>
        <w:numPr>
          <w:ilvl w:val="0"/>
          <w:numId w:val="38"/>
        </w:numPr>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Extreme capital intensity (€1–4 billion per major fleet)</w:t>
      </w:r>
    </w:p>
    <w:p w14:paraId="62EEF4E4" w14:textId="77777777" w:rsidR="00907EA8" w:rsidRPr="00907EA8" w:rsidRDefault="00907EA8" w:rsidP="00C70A23">
      <w:pPr>
        <w:pStyle w:val="ListParagraph"/>
        <w:numPr>
          <w:ilvl w:val="0"/>
          <w:numId w:val="38"/>
        </w:numPr>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Asset lives of 35–50 years</w:t>
      </w:r>
    </w:p>
    <w:p w14:paraId="0435C944" w14:textId="77777777" w:rsidR="00907EA8" w:rsidRPr="00907EA8" w:rsidRDefault="00907EA8" w:rsidP="00C70A23">
      <w:pPr>
        <w:pStyle w:val="ListParagraph"/>
        <w:numPr>
          <w:ilvl w:val="0"/>
          <w:numId w:val="38"/>
        </w:numPr>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Zero tolerance for catastrophic failure</w:t>
      </w:r>
    </w:p>
    <w:p w14:paraId="1E76E18A" w14:textId="77777777" w:rsidR="00907EA8" w:rsidRPr="00907EA8" w:rsidRDefault="00907EA8" w:rsidP="00C70A23">
      <w:pPr>
        <w:pStyle w:val="ListParagraph"/>
        <w:numPr>
          <w:ilvl w:val="0"/>
          <w:numId w:val="38"/>
        </w:numPr>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Multi-stakeholder governance (owner, operator, regulator, infrastructure manager)</w:t>
      </w:r>
    </w:p>
    <w:p w14:paraId="7A43DA67" w14:textId="77777777" w:rsidR="00B87AD9" w:rsidRPr="00C70A23" w:rsidRDefault="00B87AD9" w:rsidP="00C70A23">
      <w:pPr>
        <w:pStyle w:val="ListParagraph"/>
        <w:spacing w:after="160" w:line="360" w:lineRule="auto"/>
        <w:jc w:val="both"/>
        <w:rPr>
          <w:rFonts w:asciiTheme="majorBidi" w:hAnsiTheme="majorBidi" w:cstheme="majorBidi"/>
          <w:sz w:val="24"/>
          <w:szCs w:val="24"/>
        </w:rPr>
      </w:pPr>
    </w:p>
    <w:p w14:paraId="5579EB4F" w14:textId="101B3736" w:rsidR="00907EA8" w:rsidRPr="00C70A23" w:rsidRDefault="00B87AD9" w:rsidP="00C70A23">
      <w:pPr>
        <w:pStyle w:val="ListParagraph"/>
        <w:spacing w:after="160" w:line="360" w:lineRule="auto"/>
        <w:jc w:val="both"/>
        <w:rPr>
          <w:rFonts w:asciiTheme="majorBidi" w:hAnsiTheme="majorBidi" w:cstheme="majorBidi"/>
          <w:sz w:val="24"/>
          <w:szCs w:val="24"/>
          <w:lang w:val="en-US"/>
        </w:rPr>
      </w:pPr>
      <w:r w:rsidRPr="00C70A23">
        <w:rPr>
          <w:rFonts w:asciiTheme="majorBidi" w:hAnsiTheme="majorBidi" w:cstheme="majorBidi"/>
          <w:sz w:val="24"/>
          <w:szCs w:val="24"/>
        </w:rPr>
        <w:t xml:space="preserve">3.3.2 </w:t>
      </w:r>
      <w:r w:rsidR="00907EA8" w:rsidRPr="00C70A23">
        <w:rPr>
          <w:rFonts w:asciiTheme="majorBidi" w:hAnsiTheme="majorBidi" w:cstheme="majorBidi"/>
          <w:sz w:val="24"/>
          <w:szCs w:val="24"/>
          <w:lang w:val="en-US"/>
        </w:rPr>
        <w:t>Primary Empirical Site: The CAF–Saudi Railway (SAR) Strategic Partnership</w:t>
      </w:r>
    </w:p>
    <w:p w14:paraId="181E9BC7" w14:textId="414508B8" w:rsidR="00B87AD9" w:rsidRPr="00C70A23" w:rsidRDefault="00B87AD9" w:rsidP="00C70A23">
      <w:pPr>
        <w:pStyle w:val="ListParagraph"/>
        <w:spacing w:after="160" w:line="360" w:lineRule="auto"/>
        <w:jc w:val="both"/>
        <w:rPr>
          <w:rFonts w:asciiTheme="majorBidi" w:hAnsiTheme="majorBidi" w:cstheme="majorBidi"/>
          <w:sz w:val="24"/>
          <w:szCs w:val="24"/>
        </w:rPr>
      </w:pPr>
    </w:p>
    <w:p w14:paraId="4E4C1C3F" w14:textId="77777777" w:rsidR="00907EA8" w:rsidRPr="00907EA8" w:rsidRDefault="00907EA8" w:rsidP="00C70A23">
      <w:pPr>
        <w:pStyle w:val="ListParagraph"/>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The CAF–SAR partnership was selected as the primary field site for five compelling reasons:</w:t>
      </w:r>
    </w:p>
    <w:p w14:paraId="58E46CE9" w14:textId="77777777" w:rsidR="00907EA8" w:rsidRPr="00907EA8" w:rsidRDefault="00907EA8" w:rsidP="00C70A23">
      <w:pPr>
        <w:pStyle w:val="ListParagraph"/>
        <w:numPr>
          <w:ilvl w:val="0"/>
          <w:numId w:val="39"/>
        </w:numPr>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Full-lifecycle visibility – from design and manufacturing through to 15-year maintenance contracts.</w:t>
      </w:r>
    </w:p>
    <w:p w14:paraId="4E33002F" w14:textId="72314AB7" w:rsidR="00907EA8" w:rsidRPr="00907EA8" w:rsidRDefault="00907EA8" w:rsidP="00C70A23">
      <w:pPr>
        <w:pStyle w:val="ListParagraph"/>
        <w:numPr>
          <w:ilvl w:val="0"/>
          <w:numId w:val="39"/>
        </w:numPr>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 xml:space="preserve">Rapid </w:t>
      </w:r>
      <w:r w:rsidR="00C70A23" w:rsidRPr="00907EA8">
        <w:rPr>
          <w:rFonts w:asciiTheme="majorBidi" w:hAnsiTheme="majorBidi" w:cstheme="majorBidi"/>
          <w:sz w:val="24"/>
          <w:szCs w:val="24"/>
          <w:lang w:val="en-US"/>
        </w:rPr>
        <w:t>modernization</w:t>
      </w:r>
      <w:r w:rsidRPr="00907EA8">
        <w:rPr>
          <w:rFonts w:asciiTheme="majorBidi" w:hAnsiTheme="majorBidi" w:cstheme="majorBidi"/>
          <w:sz w:val="24"/>
          <w:szCs w:val="24"/>
          <w:lang w:val="en-US"/>
        </w:rPr>
        <w:t xml:space="preserve"> context – SAR is simultaneously absorbing 200+ new locomotives and EMUs while retiring 1970s-era fleets, creating intense pressure for digital acceleration.</w:t>
      </w:r>
    </w:p>
    <w:p w14:paraId="159AE73D" w14:textId="77777777" w:rsidR="00907EA8" w:rsidRPr="00907EA8" w:rsidRDefault="00907EA8" w:rsidP="00C70A23">
      <w:pPr>
        <w:pStyle w:val="ListParagraph"/>
        <w:numPr>
          <w:ilvl w:val="0"/>
          <w:numId w:val="39"/>
        </w:numPr>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lastRenderedPageBreak/>
        <w:t>Gulf regulatory environment – less mature than Europe but more agile than North America, making it an ideal “fast-follower” laboratory.</w:t>
      </w:r>
    </w:p>
    <w:p w14:paraId="72A5D2AB" w14:textId="77777777" w:rsidR="00907EA8" w:rsidRPr="00907EA8" w:rsidRDefault="00907EA8" w:rsidP="00C70A23">
      <w:pPr>
        <w:pStyle w:val="ListParagraph"/>
        <w:numPr>
          <w:ilvl w:val="0"/>
          <w:numId w:val="39"/>
        </w:numPr>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Direct researcher access – institutional relationships enabled candid participation from C-suite to workshop floor.</w:t>
      </w:r>
    </w:p>
    <w:p w14:paraId="5E8FDD36" w14:textId="77777777" w:rsidR="00907EA8" w:rsidRPr="00907EA8" w:rsidRDefault="00907EA8" w:rsidP="00C70A23">
      <w:pPr>
        <w:pStyle w:val="ListParagraph"/>
        <w:numPr>
          <w:ilvl w:val="0"/>
          <w:numId w:val="39"/>
        </w:numPr>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Transferability – lessons from a desert, high-temperature, sand-ingression environment have direct relevance to Etihad Rail, Qatar Rail, and Australian mineral railways.</w:t>
      </w:r>
    </w:p>
    <w:p w14:paraId="50263A75" w14:textId="6ABB2744" w:rsidR="00907EA8" w:rsidRPr="00907EA8" w:rsidRDefault="00907EA8" w:rsidP="00C70A23">
      <w:pPr>
        <w:pStyle w:val="ListParagraph"/>
        <w:spacing w:after="160"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 xml:space="preserve">Secondary benchmarking draws on publicly available data from Deutsche Bahn’s ICE-4 program, JR East’s E8 Series, and SNCF’s “Train du </w:t>
      </w:r>
      <w:proofErr w:type="spellStart"/>
      <w:r w:rsidRPr="00907EA8">
        <w:rPr>
          <w:rFonts w:asciiTheme="majorBidi" w:hAnsiTheme="majorBidi" w:cstheme="majorBidi"/>
          <w:sz w:val="24"/>
          <w:szCs w:val="24"/>
          <w:lang w:val="en-US"/>
        </w:rPr>
        <w:t>Futur</w:t>
      </w:r>
      <w:proofErr w:type="spellEnd"/>
      <w:r w:rsidRPr="00907EA8">
        <w:rPr>
          <w:rFonts w:asciiTheme="majorBidi" w:hAnsiTheme="majorBidi" w:cstheme="majorBidi"/>
          <w:sz w:val="24"/>
          <w:szCs w:val="24"/>
          <w:lang w:val="en-US"/>
        </w:rPr>
        <w:t>” initiative to ensure the roadmap is globally robust.</w:t>
      </w:r>
    </w:p>
    <w:p w14:paraId="5870EB5E" w14:textId="6C717736" w:rsidR="00B87AD9" w:rsidRPr="00C70A23" w:rsidRDefault="00B87AD9" w:rsidP="00C70A23">
      <w:pPr>
        <w:pStyle w:val="ListParagraph"/>
        <w:spacing w:after="160" w:line="360" w:lineRule="auto"/>
        <w:jc w:val="both"/>
        <w:rPr>
          <w:rFonts w:asciiTheme="majorBidi" w:hAnsiTheme="majorBidi" w:cstheme="majorBidi"/>
          <w:sz w:val="24"/>
          <w:szCs w:val="24"/>
        </w:rPr>
      </w:pPr>
    </w:p>
    <w:p w14:paraId="3ADEDE57" w14:textId="77777777" w:rsidR="00B87AD9" w:rsidRPr="009831A8" w:rsidRDefault="00B87AD9" w:rsidP="009831A8">
      <w:pPr>
        <w:pStyle w:val="ListParagraph"/>
        <w:spacing w:after="160" w:line="360" w:lineRule="auto"/>
        <w:rPr>
          <w:rFonts w:asciiTheme="majorBidi" w:hAnsiTheme="majorBidi" w:cstheme="majorBidi"/>
          <w:sz w:val="24"/>
          <w:szCs w:val="24"/>
        </w:rPr>
      </w:pPr>
    </w:p>
    <w:p w14:paraId="4E2A4C6F" w14:textId="1F9D6B74" w:rsidR="0030542D" w:rsidRPr="009831A8" w:rsidRDefault="00B458A4" w:rsidP="00B458A4">
      <w:pPr>
        <w:pStyle w:val="Heading1"/>
      </w:pPr>
      <w:bookmarkStart w:id="20" w:name="_Toc215590818"/>
      <w:r>
        <w:t>3.4</w:t>
      </w:r>
      <w:r>
        <w:tab/>
      </w:r>
      <w:r w:rsidR="0030542D" w:rsidRPr="009831A8">
        <w:t>Sample Characteristic and Sample Size Determination</w:t>
      </w:r>
      <w:bookmarkEnd w:id="20"/>
      <w:r w:rsidR="0030542D" w:rsidRPr="009831A8">
        <w:t xml:space="preserve"> </w:t>
      </w:r>
    </w:p>
    <w:p w14:paraId="6CC590DC" w14:textId="77777777" w:rsidR="00B87AD9" w:rsidRPr="009831A8" w:rsidRDefault="00B87AD9" w:rsidP="00F20F72">
      <w:pPr>
        <w:pStyle w:val="ListParagraph"/>
        <w:spacing w:after="160" w:line="360" w:lineRule="auto"/>
        <w:jc w:val="both"/>
        <w:rPr>
          <w:rFonts w:asciiTheme="majorBidi" w:hAnsiTheme="majorBidi" w:cstheme="majorBidi"/>
          <w:sz w:val="24"/>
          <w:szCs w:val="24"/>
        </w:rPr>
      </w:pPr>
      <w:r w:rsidRPr="009831A8">
        <w:rPr>
          <w:rFonts w:asciiTheme="majorBidi" w:hAnsiTheme="majorBidi" w:cstheme="majorBidi"/>
          <w:sz w:val="24"/>
          <w:szCs w:val="24"/>
        </w:rPr>
        <w:t>3.4.1 Sample Characteristics: Subject Matter Experts (SMEs)</w:t>
      </w:r>
    </w:p>
    <w:p w14:paraId="5089616C" w14:textId="55C34655" w:rsidR="00B87AD9" w:rsidRDefault="00907EA8" w:rsidP="00F20F72">
      <w:pPr>
        <w:pStyle w:val="ListParagraph"/>
        <w:spacing w:after="160" w:line="360" w:lineRule="auto"/>
        <w:jc w:val="both"/>
        <w:rPr>
          <w:rFonts w:asciiTheme="majorBidi" w:hAnsiTheme="majorBidi" w:cstheme="majorBidi"/>
          <w:sz w:val="24"/>
          <w:szCs w:val="24"/>
        </w:rPr>
      </w:pPr>
      <w:r w:rsidRPr="00907EA8">
        <w:rPr>
          <w:rFonts w:asciiTheme="majorBidi" w:hAnsiTheme="majorBidi" w:cstheme="majorBidi"/>
          <w:sz w:val="24"/>
          <w:szCs w:val="24"/>
        </w:rPr>
        <w:t>Given the specialised nature of the topic, purposive expert sampling (Palinkas et al., 2015) was employed. Participants were selected for their ability to speak authoritatively across the three subsystems of the Triple-Helix Model</w:t>
      </w:r>
      <w:r w:rsidR="00B87AD9" w:rsidRPr="009831A8">
        <w:rPr>
          <w:rFonts w:asciiTheme="majorBidi" w:hAnsiTheme="majorBidi" w:cstheme="majorBidi"/>
          <w:sz w:val="24"/>
          <w:szCs w:val="24"/>
        </w:rPr>
        <w:t>:</w:t>
      </w:r>
    </w:p>
    <w:p w14:paraId="04A05C47" w14:textId="77777777" w:rsidR="009831A8" w:rsidRPr="009831A8" w:rsidRDefault="009831A8" w:rsidP="009831A8">
      <w:pPr>
        <w:pStyle w:val="ListParagraph"/>
        <w:spacing w:after="160" w:line="360" w:lineRule="auto"/>
        <w:rPr>
          <w:rFonts w:asciiTheme="majorBidi" w:hAnsiTheme="majorBidi" w:cstheme="majorBidi"/>
          <w:sz w:val="24"/>
          <w:szCs w:val="24"/>
        </w:rPr>
      </w:pPr>
    </w:p>
    <w:tbl>
      <w:tblPr>
        <w:tblStyle w:val="TableGrid"/>
        <w:tblW w:w="9828" w:type="dxa"/>
        <w:tblInd w:w="-365" w:type="dxa"/>
        <w:tblLook w:val="04A0" w:firstRow="1" w:lastRow="0" w:firstColumn="1" w:lastColumn="0" w:noHBand="0" w:noVBand="1"/>
      </w:tblPr>
      <w:tblGrid>
        <w:gridCol w:w="2014"/>
        <w:gridCol w:w="2494"/>
        <w:gridCol w:w="1229"/>
        <w:gridCol w:w="4091"/>
      </w:tblGrid>
      <w:tr w:rsidR="00907EA8" w14:paraId="04970B4D" w14:textId="77777777" w:rsidTr="00907EA8">
        <w:trPr>
          <w:trHeight w:val="359"/>
        </w:trPr>
        <w:tc>
          <w:tcPr>
            <w:tcW w:w="2041" w:type="dxa"/>
            <w:shd w:val="clear" w:color="auto" w:fill="FFF2CC" w:themeFill="accent4" w:themeFillTint="33"/>
            <w:vAlign w:val="center"/>
          </w:tcPr>
          <w:p w14:paraId="16F185E2" w14:textId="31AC135D"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b/>
                <w:bCs/>
                <w:sz w:val="24"/>
                <w:szCs w:val="24"/>
              </w:rPr>
              <w:t>Domain</w:t>
            </w:r>
          </w:p>
        </w:tc>
        <w:tc>
          <w:tcPr>
            <w:tcW w:w="2565" w:type="dxa"/>
            <w:shd w:val="clear" w:color="auto" w:fill="FFF2CC" w:themeFill="accent4" w:themeFillTint="33"/>
            <w:vAlign w:val="center"/>
          </w:tcPr>
          <w:p w14:paraId="4AA9E401" w14:textId="242583D1"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b/>
                <w:bCs/>
                <w:sz w:val="24"/>
                <w:szCs w:val="24"/>
              </w:rPr>
              <w:t>Target Roles (examples)</w:t>
            </w:r>
          </w:p>
        </w:tc>
        <w:tc>
          <w:tcPr>
            <w:tcW w:w="926" w:type="dxa"/>
            <w:shd w:val="clear" w:color="auto" w:fill="FFF2CC" w:themeFill="accent4" w:themeFillTint="33"/>
            <w:vAlign w:val="center"/>
          </w:tcPr>
          <w:p w14:paraId="7C019E53" w14:textId="4E3EB547"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b/>
                <w:bCs/>
                <w:sz w:val="24"/>
                <w:szCs w:val="24"/>
              </w:rPr>
              <w:t>Number Recruited</w:t>
            </w:r>
          </w:p>
        </w:tc>
        <w:tc>
          <w:tcPr>
            <w:tcW w:w="4296" w:type="dxa"/>
            <w:shd w:val="clear" w:color="auto" w:fill="FFF2CC" w:themeFill="accent4" w:themeFillTint="33"/>
            <w:vAlign w:val="center"/>
          </w:tcPr>
          <w:p w14:paraId="729CCDFB" w14:textId="359FB872"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b/>
                <w:bCs/>
                <w:sz w:val="24"/>
                <w:szCs w:val="24"/>
              </w:rPr>
              <w:t>Rationale</w:t>
            </w:r>
          </w:p>
        </w:tc>
      </w:tr>
      <w:tr w:rsidR="00907EA8" w14:paraId="17788BE0" w14:textId="77777777" w:rsidTr="00907EA8">
        <w:trPr>
          <w:trHeight w:val="525"/>
        </w:trPr>
        <w:tc>
          <w:tcPr>
            <w:tcW w:w="2041" w:type="dxa"/>
            <w:shd w:val="clear" w:color="auto" w:fill="EDEDED" w:themeFill="accent3" w:themeFillTint="33"/>
            <w:vAlign w:val="center"/>
          </w:tcPr>
          <w:p w14:paraId="319938DA" w14:textId="3356BE4C"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sz w:val="24"/>
                <w:szCs w:val="24"/>
              </w:rPr>
              <w:t>Technical &amp; Data</w:t>
            </w:r>
          </w:p>
        </w:tc>
        <w:tc>
          <w:tcPr>
            <w:tcW w:w="2565" w:type="dxa"/>
            <w:vAlign w:val="center"/>
          </w:tcPr>
          <w:p w14:paraId="145F0F6B" w14:textId="23703196"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sz w:val="24"/>
                <w:szCs w:val="24"/>
              </w:rPr>
              <w:t>Chief Architects, IoT Leads, Digital Twin Programme Managers, Data Scientists</w:t>
            </w:r>
          </w:p>
        </w:tc>
        <w:tc>
          <w:tcPr>
            <w:tcW w:w="926" w:type="dxa"/>
            <w:vAlign w:val="center"/>
          </w:tcPr>
          <w:p w14:paraId="2A19FBDC" w14:textId="222B0D54" w:rsidR="00907EA8" w:rsidRPr="00F20F72" w:rsidRDefault="00907EA8" w:rsidP="00907EA8">
            <w:pPr>
              <w:pStyle w:val="ListParagraph"/>
              <w:ind w:left="0"/>
              <w:jc w:val="center"/>
              <w:rPr>
                <w:rFonts w:asciiTheme="majorBidi" w:eastAsiaTheme="minorEastAsia" w:hAnsiTheme="majorBidi" w:cstheme="majorBidi"/>
                <w:bCs/>
                <w:sz w:val="24"/>
                <w:szCs w:val="24"/>
                <w:lang w:val="en-US"/>
              </w:rPr>
            </w:pPr>
            <w:r w:rsidRPr="00F20F72">
              <w:rPr>
                <w:rFonts w:asciiTheme="majorBidi" w:hAnsiTheme="majorBidi" w:cstheme="majorBidi"/>
                <w:sz w:val="24"/>
                <w:szCs w:val="24"/>
              </w:rPr>
              <w:t>4</w:t>
            </w:r>
          </w:p>
        </w:tc>
        <w:tc>
          <w:tcPr>
            <w:tcW w:w="4296" w:type="dxa"/>
            <w:vAlign w:val="center"/>
          </w:tcPr>
          <w:p w14:paraId="1DDF381E" w14:textId="054808CF"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sz w:val="24"/>
                <w:szCs w:val="24"/>
              </w:rPr>
              <w:t>Direct experience building or operating Level 3–4 systems</w:t>
            </w:r>
          </w:p>
        </w:tc>
      </w:tr>
      <w:tr w:rsidR="00907EA8" w14:paraId="49FABA74" w14:textId="77777777" w:rsidTr="00907EA8">
        <w:trPr>
          <w:trHeight w:val="525"/>
        </w:trPr>
        <w:tc>
          <w:tcPr>
            <w:tcW w:w="2041" w:type="dxa"/>
            <w:shd w:val="clear" w:color="auto" w:fill="EDEDED" w:themeFill="accent3" w:themeFillTint="33"/>
            <w:vAlign w:val="center"/>
          </w:tcPr>
          <w:p w14:paraId="069AD3F7" w14:textId="43531892"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sz w:val="24"/>
                <w:szCs w:val="24"/>
              </w:rPr>
              <w:t>Organisational &amp; Change</w:t>
            </w:r>
          </w:p>
        </w:tc>
        <w:tc>
          <w:tcPr>
            <w:tcW w:w="2565" w:type="dxa"/>
            <w:vAlign w:val="center"/>
          </w:tcPr>
          <w:p w14:paraId="7CC2580F" w14:textId="3BA2F04F"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sz w:val="24"/>
                <w:szCs w:val="24"/>
              </w:rPr>
              <w:t>Heads of Maintenance, HR/Training Directors, Change Management Leads</w:t>
            </w:r>
          </w:p>
        </w:tc>
        <w:tc>
          <w:tcPr>
            <w:tcW w:w="926" w:type="dxa"/>
            <w:vAlign w:val="center"/>
          </w:tcPr>
          <w:p w14:paraId="47C0FF13" w14:textId="74E9C9E8" w:rsidR="00907EA8" w:rsidRPr="00F20F72" w:rsidRDefault="00907EA8" w:rsidP="00907EA8">
            <w:pPr>
              <w:pStyle w:val="ListParagraph"/>
              <w:ind w:left="0"/>
              <w:jc w:val="center"/>
              <w:rPr>
                <w:rFonts w:asciiTheme="majorBidi" w:eastAsiaTheme="minorEastAsia" w:hAnsiTheme="majorBidi" w:cstheme="majorBidi"/>
                <w:bCs/>
                <w:sz w:val="24"/>
                <w:szCs w:val="24"/>
              </w:rPr>
            </w:pPr>
            <w:r w:rsidRPr="00F20F72">
              <w:rPr>
                <w:rFonts w:asciiTheme="majorBidi" w:hAnsiTheme="majorBidi" w:cstheme="majorBidi"/>
                <w:sz w:val="24"/>
                <w:szCs w:val="24"/>
              </w:rPr>
              <w:t>3</w:t>
            </w:r>
          </w:p>
        </w:tc>
        <w:tc>
          <w:tcPr>
            <w:tcW w:w="4296" w:type="dxa"/>
            <w:vAlign w:val="center"/>
          </w:tcPr>
          <w:p w14:paraId="46B93388" w14:textId="6E20D03E"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sz w:val="24"/>
                <w:szCs w:val="24"/>
              </w:rPr>
              <w:t>Own the social subsystem and cultural resistance</w:t>
            </w:r>
          </w:p>
        </w:tc>
      </w:tr>
      <w:tr w:rsidR="00907EA8" w14:paraId="083CBEC2" w14:textId="77777777" w:rsidTr="00907EA8">
        <w:trPr>
          <w:trHeight w:val="525"/>
        </w:trPr>
        <w:tc>
          <w:tcPr>
            <w:tcW w:w="2041" w:type="dxa"/>
            <w:shd w:val="clear" w:color="auto" w:fill="EDEDED" w:themeFill="accent3" w:themeFillTint="33"/>
            <w:vAlign w:val="center"/>
          </w:tcPr>
          <w:p w14:paraId="32CFCA02" w14:textId="211E1414"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sz w:val="24"/>
                <w:szCs w:val="24"/>
              </w:rPr>
              <w:t>Financial &amp; Strategic</w:t>
            </w:r>
          </w:p>
        </w:tc>
        <w:tc>
          <w:tcPr>
            <w:tcW w:w="2565" w:type="dxa"/>
            <w:vAlign w:val="center"/>
          </w:tcPr>
          <w:p w14:paraId="68858EB5" w14:textId="66E11ABA"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sz w:val="24"/>
                <w:szCs w:val="24"/>
              </w:rPr>
              <w:t>CFO Office, Asset Management Directors, Procurement Heads</w:t>
            </w:r>
          </w:p>
        </w:tc>
        <w:tc>
          <w:tcPr>
            <w:tcW w:w="926" w:type="dxa"/>
            <w:vAlign w:val="center"/>
          </w:tcPr>
          <w:p w14:paraId="5878C72B" w14:textId="64CB3A3E" w:rsidR="00907EA8" w:rsidRPr="00F20F72" w:rsidRDefault="00907EA8" w:rsidP="00907EA8">
            <w:pPr>
              <w:pStyle w:val="ListParagraph"/>
              <w:ind w:left="0"/>
              <w:jc w:val="center"/>
              <w:rPr>
                <w:rFonts w:asciiTheme="majorBidi" w:eastAsiaTheme="minorEastAsia" w:hAnsiTheme="majorBidi" w:cstheme="majorBidi"/>
                <w:bCs/>
                <w:sz w:val="24"/>
                <w:szCs w:val="24"/>
              </w:rPr>
            </w:pPr>
            <w:r w:rsidRPr="00F20F72">
              <w:rPr>
                <w:rFonts w:asciiTheme="majorBidi" w:hAnsiTheme="majorBidi" w:cstheme="majorBidi"/>
                <w:sz w:val="24"/>
                <w:szCs w:val="24"/>
              </w:rPr>
              <w:t>3</w:t>
            </w:r>
          </w:p>
        </w:tc>
        <w:tc>
          <w:tcPr>
            <w:tcW w:w="4296" w:type="dxa"/>
            <w:vAlign w:val="center"/>
          </w:tcPr>
          <w:p w14:paraId="66C0A9BE" w14:textId="33330DAB" w:rsidR="00907EA8" w:rsidRPr="00F20F72" w:rsidRDefault="00907EA8" w:rsidP="00907EA8">
            <w:pPr>
              <w:pStyle w:val="ListParagraph"/>
              <w:ind w:left="0"/>
              <w:rPr>
                <w:rFonts w:asciiTheme="majorBidi" w:eastAsiaTheme="minorEastAsia" w:hAnsiTheme="majorBidi" w:cstheme="majorBidi"/>
                <w:bCs/>
                <w:sz w:val="24"/>
                <w:szCs w:val="24"/>
                <w:lang w:val="en-US"/>
              </w:rPr>
            </w:pPr>
            <w:r w:rsidRPr="00F20F72">
              <w:rPr>
                <w:rFonts w:asciiTheme="majorBidi" w:hAnsiTheme="majorBidi" w:cstheme="majorBidi"/>
                <w:sz w:val="24"/>
                <w:szCs w:val="24"/>
              </w:rPr>
              <w:t>Control capital allocation and ROI thresholds</w:t>
            </w:r>
          </w:p>
        </w:tc>
      </w:tr>
    </w:tbl>
    <w:p w14:paraId="021FBF10" w14:textId="17215546" w:rsidR="00B87AD9" w:rsidRPr="00F20F72" w:rsidRDefault="00F20F72" w:rsidP="00F20F72">
      <w:pPr>
        <w:pStyle w:val="ListParagraph"/>
        <w:jc w:val="center"/>
        <w:rPr>
          <w:rFonts w:asciiTheme="majorBidi" w:hAnsiTheme="majorBidi" w:cstheme="majorBidi"/>
          <w:sz w:val="16"/>
          <w:szCs w:val="16"/>
        </w:rPr>
      </w:pPr>
      <w:r w:rsidRPr="00F20F72">
        <w:rPr>
          <w:rFonts w:asciiTheme="majorBidi" w:hAnsiTheme="majorBidi" w:cstheme="majorBidi"/>
          <w:sz w:val="16"/>
          <w:szCs w:val="16"/>
        </w:rPr>
        <w:t xml:space="preserve">Table 3: </w:t>
      </w:r>
      <w:r>
        <w:rPr>
          <w:rFonts w:asciiTheme="majorBidi" w:hAnsiTheme="majorBidi" w:cstheme="majorBidi"/>
          <w:sz w:val="16"/>
          <w:szCs w:val="16"/>
        </w:rPr>
        <w:t>Triple-Helix Model</w:t>
      </w:r>
    </w:p>
    <w:p w14:paraId="250D24AB" w14:textId="77777777" w:rsidR="00F20F72" w:rsidRDefault="00F20F72" w:rsidP="00B87AD9">
      <w:pPr>
        <w:pStyle w:val="ListParagraph"/>
      </w:pPr>
    </w:p>
    <w:p w14:paraId="1714B689" w14:textId="77777777" w:rsidR="00907EA8" w:rsidRPr="00907EA8" w:rsidRDefault="00907EA8" w:rsidP="00F20F72">
      <w:pPr>
        <w:pStyle w:val="ListParagraph"/>
        <w:spacing w:afterLines="160" w:after="384" w:line="360" w:lineRule="auto"/>
        <w:jc w:val="both"/>
        <w:rPr>
          <w:rFonts w:asciiTheme="majorBidi" w:hAnsiTheme="majorBidi" w:cstheme="majorBidi"/>
          <w:sz w:val="24"/>
          <w:szCs w:val="24"/>
          <w:lang w:val="en-US"/>
        </w:rPr>
      </w:pPr>
      <w:r w:rsidRPr="00907EA8">
        <w:rPr>
          <w:rFonts w:asciiTheme="majorBidi" w:hAnsiTheme="majorBidi" w:cstheme="majorBidi"/>
          <w:sz w:val="24"/>
          <w:szCs w:val="24"/>
          <w:lang w:val="en-US"/>
        </w:rPr>
        <w:t>Final achieved sample: 10 senior SMEs (5 CAF, 4 SAR, 1 independent consultant previously with Deutsche Bahn).</w:t>
      </w:r>
    </w:p>
    <w:p w14:paraId="35321676" w14:textId="77777777" w:rsidR="00907EA8" w:rsidRPr="00F20F72" w:rsidRDefault="00907EA8" w:rsidP="00F20F72">
      <w:pPr>
        <w:pStyle w:val="ListParagraph"/>
        <w:spacing w:afterLines="160" w:after="384" w:line="360" w:lineRule="auto"/>
        <w:jc w:val="both"/>
        <w:rPr>
          <w:rFonts w:asciiTheme="majorBidi" w:hAnsiTheme="majorBidi" w:cstheme="majorBidi"/>
          <w:sz w:val="24"/>
          <w:szCs w:val="24"/>
        </w:rPr>
      </w:pPr>
    </w:p>
    <w:p w14:paraId="2476D125" w14:textId="77777777" w:rsidR="00907EA8" w:rsidRPr="00F20F72" w:rsidRDefault="00907EA8" w:rsidP="00F20F72">
      <w:pPr>
        <w:pStyle w:val="ListParagraph"/>
        <w:spacing w:afterLines="160" w:after="384" w:line="360" w:lineRule="auto"/>
        <w:jc w:val="both"/>
        <w:rPr>
          <w:rFonts w:asciiTheme="majorBidi" w:hAnsiTheme="majorBidi" w:cstheme="majorBidi"/>
          <w:sz w:val="24"/>
          <w:szCs w:val="24"/>
        </w:rPr>
      </w:pPr>
    </w:p>
    <w:p w14:paraId="6692375E" w14:textId="1252CCDA" w:rsidR="009831A8" w:rsidRPr="00F20F72" w:rsidRDefault="009831A8" w:rsidP="00F20F72">
      <w:pPr>
        <w:pStyle w:val="ListParagraph"/>
        <w:spacing w:afterLines="160" w:after="384" w:line="360" w:lineRule="auto"/>
        <w:jc w:val="both"/>
        <w:rPr>
          <w:rFonts w:asciiTheme="majorBidi" w:eastAsiaTheme="minorEastAsia" w:hAnsiTheme="majorBidi" w:cstheme="majorBidi"/>
          <w:bCs/>
          <w:sz w:val="24"/>
          <w:szCs w:val="24"/>
        </w:rPr>
      </w:pPr>
      <w:r w:rsidRPr="00F20F72">
        <w:rPr>
          <w:rFonts w:asciiTheme="majorBidi" w:eastAsiaTheme="minorEastAsia" w:hAnsiTheme="majorBidi" w:cstheme="majorBidi"/>
          <w:bCs/>
          <w:sz w:val="24"/>
          <w:szCs w:val="24"/>
        </w:rPr>
        <w:t xml:space="preserve">3.4.2 </w:t>
      </w:r>
      <w:r w:rsidR="00907EA8" w:rsidRPr="00F20F72">
        <w:rPr>
          <w:rFonts w:asciiTheme="majorBidi" w:eastAsiaTheme="minorEastAsia" w:hAnsiTheme="majorBidi" w:cstheme="majorBidi"/>
          <w:bCs/>
          <w:sz w:val="24"/>
          <w:szCs w:val="24"/>
        </w:rPr>
        <w:t>S</w:t>
      </w:r>
      <w:r w:rsidRPr="00F20F72">
        <w:rPr>
          <w:rFonts w:asciiTheme="majorBidi" w:eastAsiaTheme="minorEastAsia" w:hAnsiTheme="majorBidi" w:cstheme="majorBidi"/>
          <w:bCs/>
          <w:sz w:val="24"/>
          <w:szCs w:val="24"/>
        </w:rPr>
        <w:t>ample size determination (saturation)</w:t>
      </w:r>
    </w:p>
    <w:p w14:paraId="6019660B" w14:textId="77777777" w:rsidR="00520868" w:rsidRPr="00520868" w:rsidRDefault="00520868" w:rsidP="00F20F72">
      <w:pPr>
        <w:pStyle w:val="ListParagraph"/>
        <w:spacing w:afterLines="160" w:after="384" w:line="360" w:lineRule="auto"/>
        <w:jc w:val="both"/>
        <w:rPr>
          <w:rFonts w:asciiTheme="majorBidi" w:eastAsiaTheme="minorEastAsia" w:hAnsiTheme="majorBidi" w:cstheme="majorBidi"/>
          <w:bCs/>
          <w:sz w:val="24"/>
          <w:szCs w:val="24"/>
          <w:lang w:val="en-US"/>
        </w:rPr>
      </w:pPr>
      <w:r w:rsidRPr="00520868">
        <w:rPr>
          <w:rFonts w:asciiTheme="majorBidi" w:eastAsiaTheme="minorEastAsia" w:hAnsiTheme="majorBidi" w:cstheme="majorBidi"/>
          <w:bCs/>
          <w:sz w:val="24"/>
          <w:szCs w:val="24"/>
          <w:lang w:val="en-US"/>
        </w:rPr>
        <w:t>Thematic saturation (Guest et al., 2006; Saunders et al., 2018) was rigorously monitored. New interviews were scheduled until no novel themes emerged regarding data governance, trust deficits, or financial justification criteria. Saturation was reached at interview 9; the 10</w:t>
      </w:r>
      <w:r w:rsidRPr="00520868">
        <w:rPr>
          <w:rFonts w:asciiTheme="majorBidi" w:eastAsiaTheme="minorEastAsia" w:hAnsiTheme="majorBidi" w:cstheme="majorBidi"/>
          <w:bCs/>
          <w:sz w:val="24"/>
          <w:szCs w:val="24"/>
          <w:vertAlign w:val="superscript"/>
          <w:lang w:val="en-US"/>
        </w:rPr>
        <w:t>th</w:t>
      </w:r>
      <w:r w:rsidRPr="00520868">
        <w:rPr>
          <w:rFonts w:asciiTheme="majorBidi" w:eastAsiaTheme="minorEastAsia" w:hAnsiTheme="majorBidi" w:cstheme="majorBidi"/>
          <w:bCs/>
          <w:sz w:val="24"/>
          <w:szCs w:val="24"/>
          <w:lang w:val="en-US"/>
        </w:rPr>
        <w:t xml:space="preserve"> served as confirmation.</w:t>
      </w:r>
    </w:p>
    <w:p w14:paraId="468C5A31" w14:textId="2C65FFF7" w:rsidR="00B87AD9" w:rsidRPr="00F20F72" w:rsidRDefault="009831A8" w:rsidP="00F20F72">
      <w:pPr>
        <w:pStyle w:val="ListParagraph"/>
        <w:spacing w:afterLines="160" w:after="384" w:line="360" w:lineRule="auto"/>
        <w:jc w:val="both"/>
        <w:rPr>
          <w:rFonts w:asciiTheme="majorBidi" w:eastAsiaTheme="minorEastAsia" w:hAnsiTheme="majorBidi" w:cstheme="majorBidi"/>
          <w:bCs/>
          <w:sz w:val="24"/>
          <w:szCs w:val="24"/>
        </w:rPr>
      </w:pPr>
      <w:r w:rsidRPr="00F20F72">
        <w:rPr>
          <w:rFonts w:asciiTheme="majorBidi" w:eastAsiaTheme="minorEastAsia" w:hAnsiTheme="majorBidi" w:cstheme="majorBidi"/>
          <w:bCs/>
          <w:sz w:val="24"/>
          <w:szCs w:val="24"/>
        </w:rPr>
        <w:t>.</w:t>
      </w:r>
    </w:p>
    <w:p w14:paraId="33B173AE" w14:textId="77777777" w:rsidR="009831A8" w:rsidRPr="00F20F72" w:rsidRDefault="009831A8" w:rsidP="00F20F72">
      <w:pPr>
        <w:pStyle w:val="ListParagraph"/>
        <w:spacing w:afterLines="160" w:after="384" w:line="360" w:lineRule="auto"/>
        <w:jc w:val="both"/>
        <w:rPr>
          <w:rFonts w:asciiTheme="majorBidi" w:hAnsiTheme="majorBidi" w:cstheme="majorBidi"/>
          <w:sz w:val="24"/>
          <w:szCs w:val="24"/>
        </w:rPr>
      </w:pPr>
    </w:p>
    <w:p w14:paraId="2ADFD7C7" w14:textId="3D32EA30" w:rsidR="0030542D" w:rsidRPr="00F20F72" w:rsidRDefault="00B458A4" w:rsidP="00B458A4">
      <w:pPr>
        <w:pStyle w:val="Heading1"/>
      </w:pPr>
      <w:bookmarkStart w:id="21" w:name="_Toc215590819"/>
      <w:r>
        <w:t>3.5</w:t>
      </w:r>
      <w:r>
        <w:tab/>
      </w:r>
      <w:r w:rsidR="0030542D" w:rsidRPr="00F20F72">
        <w:t>Data Collection Procedure</w:t>
      </w:r>
      <w:bookmarkEnd w:id="21"/>
      <w:r w:rsidR="0030542D" w:rsidRPr="00F20F72">
        <w:t xml:space="preserve"> </w:t>
      </w:r>
    </w:p>
    <w:p w14:paraId="5CF3505A" w14:textId="7595A6AA" w:rsidR="00EE2882" w:rsidRPr="00F20F72" w:rsidRDefault="00EE2882" w:rsidP="00F20F72">
      <w:pPr>
        <w:pStyle w:val="ListParagraph"/>
        <w:spacing w:afterLines="160" w:after="384" w:line="360" w:lineRule="auto"/>
        <w:jc w:val="both"/>
        <w:rPr>
          <w:rFonts w:asciiTheme="majorBidi" w:hAnsiTheme="majorBidi" w:cstheme="majorBidi"/>
          <w:sz w:val="24"/>
          <w:szCs w:val="24"/>
        </w:rPr>
      </w:pPr>
      <w:r w:rsidRPr="00F20F72">
        <w:rPr>
          <w:rFonts w:asciiTheme="majorBidi" w:hAnsiTheme="majorBidi" w:cstheme="majorBidi"/>
          <w:sz w:val="24"/>
          <w:szCs w:val="24"/>
        </w:rPr>
        <w:t>Data collection relies on a two</w:t>
      </w:r>
      <w:r w:rsidR="00520868" w:rsidRPr="00F20F72">
        <w:rPr>
          <w:rFonts w:asciiTheme="majorBidi" w:hAnsiTheme="majorBidi" w:cstheme="majorBidi"/>
          <w:sz w:val="24"/>
          <w:szCs w:val="24"/>
        </w:rPr>
        <w:t xml:space="preserve"> main</w:t>
      </w:r>
      <w:r w:rsidRPr="00F20F72">
        <w:rPr>
          <w:rFonts w:asciiTheme="majorBidi" w:hAnsiTheme="majorBidi" w:cstheme="majorBidi"/>
          <w:sz w:val="24"/>
          <w:szCs w:val="24"/>
        </w:rPr>
        <w:t xml:space="preserve"> approach</w:t>
      </w:r>
      <w:r w:rsidR="00520868" w:rsidRPr="00F20F72">
        <w:rPr>
          <w:rFonts w:asciiTheme="majorBidi" w:hAnsiTheme="majorBidi" w:cstheme="majorBidi"/>
          <w:sz w:val="24"/>
          <w:szCs w:val="24"/>
        </w:rPr>
        <w:t>es</w:t>
      </w:r>
      <w:r w:rsidRPr="00F20F72">
        <w:rPr>
          <w:rFonts w:asciiTheme="majorBidi" w:hAnsiTheme="majorBidi" w:cstheme="majorBidi"/>
          <w:sz w:val="24"/>
          <w:szCs w:val="24"/>
        </w:rPr>
        <w:t xml:space="preserve">: </w:t>
      </w:r>
      <w:r w:rsidR="00520868" w:rsidRPr="00F20F72">
        <w:rPr>
          <w:rFonts w:asciiTheme="majorBidi" w:hAnsiTheme="majorBidi" w:cstheme="majorBidi"/>
          <w:sz w:val="24"/>
          <w:szCs w:val="24"/>
        </w:rPr>
        <w:t xml:space="preserve">first </w:t>
      </w:r>
      <w:r w:rsidRPr="00F20F72">
        <w:rPr>
          <w:rFonts w:asciiTheme="majorBidi" w:hAnsiTheme="majorBidi" w:cstheme="majorBidi"/>
          <w:sz w:val="24"/>
          <w:szCs w:val="24"/>
        </w:rPr>
        <w:t>primary data (interviews) to gather unique insights and secondary data (documentation) to establish context and quantitative baselines.</w:t>
      </w:r>
    </w:p>
    <w:p w14:paraId="7D5E7957" w14:textId="77777777" w:rsidR="00EE2882" w:rsidRPr="00F20F72" w:rsidRDefault="00EE2882" w:rsidP="00F20F72">
      <w:pPr>
        <w:pStyle w:val="ListParagraph"/>
        <w:spacing w:afterLines="160" w:after="384" w:line="360" w:lineRule="auto"/>
        <w:jc w:val="both"/>
        <w:rPr>
          <w:rFonts w:asciiTheme="majorBidi" w:hAnsiTheme="majorBidi" w:cstheme="majorBidi"/>
          <w:sz w:val="24"/>
          <w:szCs w:val="24"/>
        </w:rPr>
      </w:pPr>
    </w:p>
    <w:p w14:paraId="2C61E6FB" w14:textId="5F8C381C" w:rsidR="00EE2882" w:rsidRPr="00F20F72" w:rsidRDefault="00EE2882" w:rsidP="005C71B4">
      <w:pPr>
        <w:pStyle w:val="ListParagraph"/>
        <w:numPr>
          <w:ilvl w:val="2"/>
          <w:numId w:val="44"/>
        </w:numPr>
        <w:spacing w:afterLines="160" w:after="384" w:line="360" w:lineRule="auto"/>
        <w:jc w:val="both"/>
        <w:rPr>
          <w:rFonts w:asciiTheme="majorBidi" w:hAnsiTheme="majorBidi" w:cstheme="majorBidi"/>
          <w:sz w:val="24"/>
          <w:szCs w:val="24"/>
        </w:rPr>
      </w:pPr>
      <w:r w:rsidRPr="00F20F72">
        <w:rPr>
          <w:rFonts w:asciiTheme="majorBidi" w:hAnsiTheme="majorBidi" w:cstheme="majorBidi"/>
          <w:sz w:val="24"/>
          <w:szCs w:val="24"/>
        </w:rPr>
        <w:t>primary data: semi-structured interview protocol</w:t>
      </w:r>
    </w:p>
    <w:p w14:paraId="335225C6" w14:textId="77777777" w:rsidR="00520868" w:rsidRPr="00520868" w:rsidRDefault="00520868" w:rsidP="00F20F72">
      <w:pPr>
        <w:pStyle w:val="ListParagraph"/>
        <w:spacing w:afterLines="160" w:after="384" w:line="360" w:lineRule="auto"/>
        <w:jc w:val="both"/>
        <w:rPr>
          <w:rFonts w:asciiTheme="majorBidi" w:hAnsiTheme="majorBidi" w:cstheme="majorBidi"/>
          <w:sz w:val="24"/>
          <w:szCs w:val="24"/>
          <w:lang w:val="en-US"/>
        </w:rPr>
      </w:pPr>
      <w:r w:rsidRPr="00520868">
        <w:rPr>
          <w:rFonts w:asciiTheme="majorBidi" w:hAnsiTheme="majorBidi" w:cstheme="majorBidi"/>
          <w:sz w:val="24"/>
          <w:szCs w:val="24"/>
          <w:lang w:val="en-US"/>
        </w:rPr>
        <w:t>The interview protocol was deliberately designed as a strategic conversation rather than a questionnaire. Each session opened with a 3-minute “scene-setting” slide pack showing the latest global cognitive-maintenance benchmarks (DB’s 38 % reduction in corrective actions, JR East’s DRL pilot, etc.) in order to prime participants with a shared future vision and reduce defensiveness.</w:t>
      </w:r>
    </w:p>
    <w:p w14:paraId="717FE8D4" w14:textId="77777777" w:rsidR="00520868" w:rsidRPr="00520868" w:rsidRDefault="00520868" w:rsidP="00F20F72">
      <w:pPr>
        <w:pStyle w:val="ListParagraph"/>
        <w:spacing w:afterLines="160" w:after="384" w:line="360" w:lineRule="auto"/>
        <w:jc w:val="both"/>
        <w:rPr>
          <w:rFonts w:asciiTheme="majorBidi" w:hAnsiTheme="majorBidi" w:cstheme="majorBidi"/>
          <w:sz w:val="24"/>
          <w:szCs w:val="24"/>
          <w:lang w:val="en-US"/>
        </w:rPr>
      </w:pPr>
      <w:r w:rsidRPr="00520868">
        <w:rPr>
          <w:rFonts w:asciiTheme="majorBidi" w:hAnsiTheme="majorBidi" w:cstheme="majorBidi"/>
          <w:sz w:val="24"/>
          <w:szCs w:val="24"/>
          <w:lang w:val="en-US"/>
        </w:rPr>
        <w:t>The final protocol contained 28 core probes distributed across four thematic blocks, plus ample room for emergent follow-ups:</w:t>
      </w:r>
    </w:p>
    <w:p w14:paraId="0886D5FD" w14:textId="77777777" w:rsidR="00EE2882" w:rsidRDefault="00EE2882" w:rsidP="00512A59">
      <w:pPr>
        <w:pStyle w:val="ListParagraph"/>
        <w:spacing w:after="160" w:line="360" w:lineRule="auto"/>
        <w:rPr>
          <w:rFonts w:asciiTheme="majorBidi" w:hAnsiTheme="majorBidi" w:cstheme="majorBidi"/>
          <w:sz w:val="24"/>
          <w:szCs w:val="24"/>
        </w:rPr>
      </w:pPr>
    </w:p>
    <w:tbl>
      <w:tblPr>
        <w:tblStyle w:val="TableGrid"/>
        <w:tblW w:w="10260" w:type="dxa"/>
        <w:tblInd w:w="85" w:type="dxa"/>
        <w:tblLook w:val="04A0" w:firstRow="1" w:lastRow="0" w:firstColumn="1" w:lastColumn="0" w:noHBand="0" w:noVBand="1"/>
      </w:tblPr>
      <w:tblGrid>
        <w:gridCol w:w="1980"/>
        <w:gridCol w:w="2790"/>
        <w:gridCol w:w="5490"/>
      </w:tblGrid>
      <w:tr w:rsidR="00520868" w14:paraId="4D3C406E" w14:textId="77777777" w:rsidTr="00F20F72">
        <w:tc>
          <w:tcPr>
            <w:tcW w:w="1980" w:type="dxa"/>
            <w:shd w:val="clear" w:color="auto" w:fill="A3DBFF"/>
            <w:vAlign w:val="center"/>
          </w:tcPr>
          <w:p w14:paraId="59D1546C" w14:textId="353B2925"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b/>
                <w:bCs/>
                <w:sz w:val="24"/>
                <w:szCs w:val="24"/>
              </w:rPr>
              <w:t>Block</w:t>
            </w:r>
          </w:p>
        </w:tc>
        <w:tc>
          <w:tcPr>
            <w:tcW w:w="2790" w:type="dxa"/>
            <w:shd w:val="clear" w:color="auto" w:fill="A3DBFF"/>
            <w:vAlign w:val="center"/>
          </w:tcPr>
          <w:p w14:paraId="4EA0A80C" w14:textId="39A64E8D"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b/>
                <w:bCs/>
                <w:sz w:val="24"/>
                <w:szCs w:val="24"/>
              </w:rPr>
              <w:t>Purpose &amp; Link to RQs/Hypotheses</w:t>
            </w:r>
          </w:p>
        </w:tc>
        <w:tc>
          <w:tcPr>
            <w:tcW w:w="5490" w:type="dxa"/>
            <w:shd w:val="clear" w:color="auto" w:fill="A3DBFF"/>
            <w:vAlign w:val="center"/>
          </w:tcPr>
          <w:p w14:paraId="045BB505" w14:textId="3C205675"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b/>
                <w:bCs/>
                <w:sz w:val="24"/>
                <w:szCs w:val="24"/>
              </w:rPr>
              <w:t>Example Probes (selected)</w:t>
            </w:r>
          </w:p>
        </w:tc>
      </w:tr>
      <w:tr w:rsidR="00520868" w14:paraId="502D76B4" w14:textId="77777777" w:rsidTr="00F20F72">
        <w:tc>
          <w:tcPr>
            <w:tcW w:w="1980" w:type="dxa"/>
            <w:vAlign w:val="center"/>
          </w:tcPr>
          <w:p w14:paraId="1B809DF8" w14:textId="3FA19B2C"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t>A – Current Reality &amp; Maturity Assessment</w:t>
            </w:r>
          </w:p>
        </w:tc>
        <w:tc>
          <w:tcPr>
            <w:tcW w:w="2790" w:type="dxa"/>
            <w:vAlign w:val="center"/>
          </w:tcPr>
          <w:p w14:paraId="3038FD0D" w14:textId="35CACA91"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t>RQ1 + baseline for H1</w:t>
            </w:r>
          </w:p>
        </w:tc>
        <w:tc>
          <w:tcPr>
            <w:tcW w:w="5490" w:type="dxa"/>
            <w:vAlign w:val="center"/>
          </w:tcPr>
          <w:p w14:paraId="155099EB" w14:textId="3FC9DF83"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t>“Take a recent bogie or traction-motor overhaul. How much of the decision to pull the asset out of service was driven by the calendar versus actual condition data?”</w:t>
            </w:r>
          </w:p>
        </w:tc>
      </w:tr>
      <w:tr w:rsidR="00520868" w14:paraId="7AE63AC8" w14:textId="77777777" w:rsidTr="00F20F72">
        <w:tc>
          <w:tcPr>
            <w:tcW w:w="1980" w:type="dxa"/>
            <w:vAlign w:val="center"/>
          </w:tcPr>
          <w:p w14:paraId="7B2FC947" w14:textId="3E907F54"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lastRenderedPageBreak/>
              <w:t>B – Vision of Cognitive Operations</w:t>
            </w:r>
          </w:p>
        </w:tc>
        <w:tc>
          <w:tcPr>
            <w:tcW w:w="2790" w:type="dxa"/>
            <w:vAlign w:val="center"/>
          </w:tcPr>
          <w:p w14:paraId="7349AC97" w14:textId="48719215"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t>RQ2, RQ3</w:t>
            </w:r>
          </w:p>
        </w:tc>
        <w:tc>
          <w:tcPr>
            <w:tcW w:w="5490" w:type="dxa"/>
            <w:vAlign w:val="center"/>
          </w:tcPr>
          <w:p w14:paraId="6C6F0A2C" w14:textId="47FDFDEE"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t>“Imagine it is 2032 and a train reports an anomalous bearing temperature at 03:14 in the desert. Walk me through who (or what) decides the exact maintenance response and how the train diagram is adjusted automatically.”</w:t>
            </w:r>
          </w:p>
        </w:tc>
      </w:tr>
      <w:tr w:rsidR="00520868" w14:paraId="1C4F74CE" w14:textId="77777777" w:rsidTr="00F20F72">
        <w:tc>
          <w:tcPr>
            <w:tcW w:w="1980" w:type="dxa"/>
            <w:vAlign w:val="center"/>
          </w:tcPr>
          <w:p w14:paraId="6D6A1426" w14:textId="7603662E"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t>C – Financial Justification &amp; Value Capture</w:t>
            </w:r>
          </w:p>
        </w:tc>
        <w:tc>
          <w:tcPr>
            <w:tcW w:w="2790" w:type="dxa"/>
            <w:vAlign w:val="center"/>
          </w:tcPr>
          <w:p w14:paraId="1993DBA3" w14:textId="7B73E0ED"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t>RQ4, H2</w:t>
            </w:r>
          </w:p>
        </w:tc>
        <w:tc>
          <w:tcPr>
            <w:tcW w:w="5490" w:type="dxa"/>
            <w:vAlign w:val="center"/>
          </w:tcPr>
          <w:p w14:paraId="585DA9FF" w14:textId="2788EBCB"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t>“Your CFO has just asked for a 3–5-year payback guarantee on a €120 million digital programme. What evidence has worked — and what has failed — in the past?”</w:t>
            </w:r>
          </w:p>
        </w:tc>
      </w:tr>
      <w:tr w:rsidR="00520868" w14:paraId="560FBAFA" w14:textId="77777777" w:rsidTr="00F20F72">
        <w:tc>
          <w:tcPr>
            <w:tcW w:w="1980" w:type="dxa"/>
            <w:vAlign w:val="center"/>
          </w:tcPr>
          <w:p w14:paraId="2F40BC28" w14:textId="4ACAA2C9"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t>D – Risks, Resistance &amp; Change Levers</w:t>
            </w:r>
          </w:p>
        </w:tc>
        <w:tc>
          <w:tcPr>
            <w:tcW w:w="2790" w:type="dxa"/>
            <w:vAlign w:val="center"/>
          </w:tcPr>
          <w:p w14:paraId="617F22A5" w14:textId="5AD3E344"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t>RQ5, H3</w:t>
            </w:r>
          </w:p>
        </w:tc>
        <w:tc>
          <w:tcPr>
            <w:tcW w:w="5490" w:type="dxa"/>
            <w:vAlign w:val="center"/>
          </w:tcPr>
          <w:p w14:paraId="65610528" w14:textId="0DC29746" w:rsidR="00520868" w:rsidRPr="00F20F72" w:rsidRDefault="00520868" w:rsidP="00F20F72">
            <w:pPr>
              <w:pStyle w:val="ListParagraph"/>
              <w:spacing w:after="160" w:line="360" w:lineRule="auto"/>
              <w:ind w:left="0"/>
              <w:jc w:val="both"/>
              <w:rPr>
                <w:rFonts w:asciiTheme="majorBidi" w:hAnsiTheme="majorBidi" w:cstheme="majorBidi"/>
                <w:sz w:val="24"/>
                <w:szCs w:val="24"/>
              </w:rPr>
            </w:pPr>
            <w:r w:rsidRPr="00F20F72">
              <w:rPr>
                <w:rFonts w:asciiTheme="majorBidi" w:hAnsiTheme="majorBidi" w:cstheme="majorBidi"/>
                <w:sz w:val="24"/>
                <w:szCs w:val="24"/>
              </w:rPr>
              <w:t>“Tell me about the last predictive-maintenance pilot that was killed or never left the depot. What exactly went wrong, and who had the power to stop it?”</w:t>
            </w:r>
          </w:p>
        </w:tc>
      </w:tr>
    </w:tbl>
    <w:p w14:paraId="5EAEEA14" w14:textId="650CC4C1" w:rsidR="00520868" w:rsidRPr="00F20F72" w:rsidRDefault="00F20F72" w:rsidP="00F20F72">
      <w:pPr>
        <w:pStyle w:val="ListParagraph"/>
        <w:spacing w:after="160" w:line="360" w:lineRule="auto"/>
        <w:jc w:val="center"/>
        <w:rPr>
          <w:rFonts w:asciiTheme="majorBidi" w:hAnsiTheme="majorBidi" w:cstheme="majorBidi"/>
          <w:sz w:val="16"/>
          <w:szCs w:val="16"/>
        </w:rPr>
      </w:pPr>
      <w:r w:rsidRPr="00F20F72">
        <w:rPr>
          <w:rFonts w:asciiTheme="majorBidi" w:hAnsiTheme="majorBidi" w:cstheme="majorBidi"/>
          <w:sz w:val="16"/>
          <w:szCs w:val="16"/>
        </w:rPr>
        <w:t xml:space="preserve">Table 4: </w:t>
      </w:r>
      <w:r w:rsidRPr="00F20F72">
        <w:rPr>
          <w:rFonts w:asciiTheme="majorBidi" w:hAnsiTheme="majorBidi" w:cstheme="majorBidi"/>
          <w:sz w:val="16"/>
          <w:szCs w:val="16"/>
          <w:lang w:val="en-US"/>
        </w:rPr>
        <w:t>T</w:t>
      </w:r>
      <w:r w:rsidRPr="00520868">
        <w:rPr>
          <w:rFonts w:asciiTheme="majorBidi" w:hAnsiTheme="majorBidi" w:cstheme="majorBidi"/>
          <w:sz w:val="16"/>
          <w:szCs w:val="16"/>
          <w:lang w:val="en-US"/>
        </w:rPr>
        <w:t>hematic</w:t>
      </w:r>
      <w:r w:rsidRPr="00F20F72">
        <w:rPr>
          <w:rFonts w:asciiTheme="majorBidi" w:hAnsiTheme="majorBidi" w:cstheme="majorBidi"/>
          <w:sz w:val="16"/>
          <w:szCs w:val="16"/>
        </w:rPr>
        <w:t xml:space="preserve"> Block Distribution </w:t>
      </w:r>
    </w:p>
    <w:p w14:paraId="6D329B0E" w14:textId="77777777" w:rsidR="00F20F72" w:rsidRDefault="00F20F72" w:rsidP="00F20F72">
      <w:pPr>
        <w:pStyle w:val="ListParagraph"/>
        <w:spacing w:after="160" w:line="360" w:lineRule="auto"/>
        <w:jc w:val="center"/>
        <w:rPr>
          <w:rFonts w:asciiTheme="majorBidi" w:hAnsiTheme="majorBidi" w:cstheme="majorBidi"/>
          <w:sz w:val="24"/>
          <w:szCs w:val="24"/>
        </w:rPr>
      </w:pPr>
    </w:p>
    <w:p w14:paraId="280589BA" w14:textId="2EABBC6A" w:rsidR="0078006C" w:rsidRPr="0078006C" w:rsidRDefault="0078006C" w:rsidP="003B4135">
      <w:pPr>
        <w:pStyle w:val="ListParagraph"/>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 xml:space="preserve">Interviews were conducted between March and June 2025. Eight were face-to-face in Riyadh and Dammam (taking advantage of scheduled maintenance review meetings as cover to </w:t>
      </w:r>
      <w:r w:rsidR="00F20F72" w:rsidRPr="003B4135">
        <w:rPr>
          <w:rFonts w:asciiTheme="majorBidi" w:hAnsiTheme="majorBidi" w:cstheme="majorBidi"/>
          <w:sz w:val="24"/>
          <w:szCs w:val="24"/>
          <w:lang w:val="en-US"/>
        </w:rPr>
        <w:t>minimize</w:t>
      </w:r>
      <w:r w:rsidRPr="0078006C">
        <w:rPr>
          <w:rFonts w:asciiTheme="majorBidi" w:hAnsiTheme="majorBidi" w:cstheme="majorBidi"/>
          <w:sz w:val="24"/>
          <w:szCs w:val="24"/>
          <w:lang w:val="en-US"/>
        </w:rPr>
        <w:t xml:space="preserve"> travel burden), and two were via encrypted Microsoft Teams when participants were in Spain or Germany. Average duration: 74 minutes (range 58–98 minutes). All recordings were transcribed within 48 hours by a professional Arabic–English service and then verified line-by-line by the researcher for technical accuracy (railway jargon is notoriously difficult for general transcribers).</w:t>
      </w:r>
    </w:p>
    <w:p w14:paraId="6F7CD148" w14:textId="77777777" w:rsidR="0078006C" w:rsidRDefault="0078006C" w:rsidP="00512A59">
      <w:pPr>
        <w:pStyle w:val="ListParagraph"/>
        <w:spacing w:after="160" w:line="360" w:lineRule="auto"/>
        <w:rPr>
          <w:rFonts w:asciiTheme="majorBidi" w:hAnsiTheme="majorBidi" w:cstheme="majorBidi"/>
          <w:sz w:val="24"/>
          <w:szCs w:val="24"/>
        </w:rPr>
      </w:pPr>
    </w:p>
    <w:p w14:paraId="161F9798" w14:textId="77777777" w:rsidR="0078006C" w:rsidRPr="003B4135" w:rsidRDefault="0078006C" w:rsidP="003B4135">
      <w:pPr>
        <w:pStyle w:val="ListParagraph"/>
        <w:spacing w:after="160" w:line="360" w:lineRule="auto"/>
        <w:jc w:val="both"/>
        <w:rPr>
          <w:rFonts w:asciiTheme="majorBidi" w:hAnsiTheme="majorBidi" w:cstheme="majorBidi"/>
          <w:sz w:val="24"/>
          <w:szCs w:val="24"/>
        </w:rPr>
      </w:pPr>
    </w:p>
    <w:p w14:paraId="5C382C48" w14:textId="77777777" w:rsidR="0078006C" w:rsidRPr="003B4135" w:rsidRDefault="00EE2882" w:rsidP="003B4135">
      <w:pPr>
        <w:pStyle w:val="ListParagraph"/>
        <w:spacing w:after="160" w:line="360" w:lineRule="auto"/>
        <w:jc w:val="both"/>
        <w:rPr>
          <w:rFonts w:asciiTheme="majorBidi" w:hAnsiTheme="majorBidi" w:cstheme="majorBidi"/>
          <w:sz w:val="24"/>
          <w:szCs w:val="24"/>
          <w:lang w:val="en-US"/>
        </w:rPr>
      </w:pPr>
      <w:r w:rsidRPr="00FD3F37">
        <w:rPr>
          <w:rFonts w:asciiTheme="majorBidi" w:hAnsiTheme="majorBidi" w:cstheme="majorBidi"/>
          <w:sz w:val="24"/>
          <w:szCs w:val="24"/>
        </w:rPr>
        <w:t>3.5.2</w:t>
      </w:r>
      <w:r w:rsidRPr="003B4135">
        <w:rPr>
          <w:rFonts w:asciiTheme="majorBidi" w:hAnsiTheme="majorBidi" w:cstheme="majorBidi"/>
          <w:sz w:val="24"/>
          <w:szCs w:val="24"/>
        </w:rPr>
        <w:t xml:space="preserve"> </w:t>
      </w:r>
      <w:r w:rsidR="0078006C" w:rsidRPr="003B4135">
        <w:rPr>
          <w:rFonts w:asciiTheme="majorBidi" w:hAnsiTheme="majorBidi" w:cstheme="majorBidi"/>
          <w:sz w:val="24"/>
          <w:szCs w:val="24"/>
        </w:rPr>
        <w:t>S</w:t>
      </w:r>
      <w:r w:rsidRPr="003B4135">
        <w:rPr>
          <w:rFonts w:asciiTheme="majorBidi" w:hAnsiTheme="majorBidi" w:cstheme="majorBidi"/>
          <w:sz w:val="24"/>
          <w:szCs w:val="24"/>
        </w:rPr>
        <w:t xml:space="preserve">econdary </w:t>
      </w:r>
      <w:r w:rsidR="0078006C" w:rsidRPr="003B4135">
        <w:rPr>
          <w:rFonts w:asciiTheme="majorBidi" w:hAnsiTheme="majorBidi" w:cstheme="majorBidi"/>
          <w:sz w:val="24"/>
          <w:szCs w:val="24"/>
        </w:rPr>
        <w:t>D</w:t>
      </w:r>
      <w:r w:rsidRPr="003B4135">
        <w:rPr>
          <w:rFonts w:asciiTheme="majorBidi" w:hAnsiTheme="majorBidi" w:cstheme="majorBidi"/>
          <w:sz w:val="24"/>
          <w:szCs w:val="24"/>
        </w:rPr>
        <w:t>ata</w:t>
      </w:r>
      <w:r w:rsidR="0078006C" w:rsidRPr="003B4135">
        <w:rPr>
          <w:rFonts w:asciiTheme="majorBidi" w:hAnsiTheme="majorBidi" w:cstheme="majorBidi"/>
          <w:sz w:val="24"/>
          <w:szCs w:val="24"/>
        </w:rPr>
        <w:t xml:space="preserve"> Collection</w:t>
      </w:r>
      <w:r w:rsidRPr="003B4135">
        <w:rPr>
          <w:rFonts w:asciiTheme="majorBidi" w:hAnsiTheme="majorBidi" w:cstheme="majorBidi"/>
          <w:sz w:val="24"/>
          <w:szCs w:val="24"/>
        </w:rPr>
        <w:t xml:space="preserve">: </w:t>
      </w:r>
      <w:r w:rsidR="0078006C" w:rsidRPr="003B4135">
        <w:rPr>
          <w:rFonts w:asciiTheme="majorBidi" w:hAnsiTheme="majorBidi" w:cstheme="majorBidi"/>
          <w:sz w:val="24"/>
          <w:szCs w:val="24"/>
        </w:rPr>
        <w:t xml:space="preserve">A </w:t>
      </w:r>
      <w:r w:rsidR="0078006C" w:rsidRPr="003B4135">
        <w:rPr>
          <w:rFonts w:asciiTheme="majorBidi" w:hAnsiTheme="majorBidi" w:cstheme="majorBidi"/>
          <w:sz w:val="24"/>
          <w:szCs w:val="24"/>
          <w:lang w:val="en-US"/>
        </w:rPr>
        <w:t>Deliberate Multi-Layer Strategy</w:t>
      </w:r>
    </w:p>
    <w:p w14:paraId="37CC09DA" w14:textId="7207C049" w:rsidR="00EE2882" w:rsidRPr="003B4135" w:rsidRDefault="00EE2882" w:rsidP="003B4135">
      <w:pPr>
        <w:pStyle w:val="ListParagraph"/>
        <w:spacing w:after="160" w:line="360" w:lineRule="auto"/>
        <w:jc w:val="both"/>
        <w:rPr>
          <w:rFonts w:asciiTheme="majorBidi" w:hAnsiTheme="majorBidi" w:cstheme="majorBidi"/>
          <w:sz w:val="24"/>
          <w:szCs w:val="24"/>
        </w:rPr>
      </w:pPr>
    </w:p>
    <w:p w14:paraId="72EBA340" w14:textId="77777777" w:rsidR="0078006C" w:rsidRPr="0078006C" w:rsidRDefault="0078006C" w:rsidP="003B4135">
      <w:pPr>
        <w:pStyle w:val="ListParagraph"/>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Secondary data served three distinct functions:</w:t>
      </w:r>
    </w:p>
    <w:p w14:paraId="54E2D618" w14:textId="77777777" w:rsidR="0078006C" w:rsidRPr="0078006C" w:rsidRDefault="0078006C" w:rsidP="003B4135">
      <w:pPr>
        <w:pStyle w:val="ListParagraph"/>
        <w:numPr>
          <w:ilvl w:val="0"/>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b/>
          <w:bCs/>
          <w:sz w:val="24"/>
          <w:szCs w:val="24"/>
          <w:lang w:val="en-US"/>
        </w:rPr>
        <w:t>Contextual grounding &amp; triangulation</w:t>
      </w:r>
    </w:p>
    <w:p w14:paraId="1D3C3CB3" w14:textId="77777777" w:rsidR="0078006C" w:rsidRPr="0078006C" w:rsidRDefault="0078006C" w:rsidP="003B4135">
      <w:pPr>
        <w:pStyle w:val="ListParagraph"/>
        <w:numPr>
          <w:ilvl w:val="1"/>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SAR annual reports 2021–2024</w:t>
      </w:r>
    </w:p>
    <w:p w14:paraId="2AF15AAC" w14:textId="77777777" w:rsidR="0078006C" w:rsidRPr="0078006C" w:rsidRDefault="0078006C" w:rsidP="003B4135">
      <w:pPr>
        <w:pStyle w:val="ListParagraph"/>
        <w:numPr>
          <w:ilvl w:val="1"/>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CAF sustainability and digital reports 2023–2025</w:t>
      </w:r>
    </w:p>
    <w:p w14:paraId="08304271" w14:textId="77777777" w:rsidR="0078006C" w:rsidRPr="0078006C" w:rsidRDefault="0078006C" w:rsidP="003B4135">
      <w:pPr>
        <w:pStyle w:val="ListParagraph"/>
        <w:numPr>
          <w:ilvl w:val="1"/>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UIC International Railway Statistics 2024</w:t>
      </w:r>
    </w:p>
    <w:p w14:paraId="3E71A73E" w14:textId="77777777" w:rsidR="0078006C" w:rsidRPr="0078006C" w:rsidRDefault="0078006C" w:rsidP="003B4135">
      <w:pPr>
        <w:pStyle w:val="ListParagraph"/>
        <w:numPr>
          <w:ilvl w:val="1"/>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lastRenderedPageBreak/>
        <w:t>European Union Agency for Railways (ERA) Safety Performance 2024–2025</w:t>
      </w:r>
    </w:p>
    <w:p w14:paraId="2929C639" w14:textId="77777777" w:rsidR="0078006C" w:rsidRPr="0078006C" w:rsidRDefault="0078006C" w:rsidP="003B4135">
      <w:pPr>
        <w:pStyle w:val="ListParagraph"/>
        <w:numPr>
          <w:ilvl w:val="0"/>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b/>
          <w:bCs/>
          <w:sz w:val="24"/>
          <w:szCs w:val="24"/>
          <w:lang w:val="en-US"/>
        </w:rPr>
        <w:t>Benchmarking &amp; quantitative input parameters</w:t>
      </w:r>
    </w:p>
    <w:p w14:paraId="42A6443C" w14:textId="77777777" w:rsidR="0078006C" w:rsidRPr="0078006C" w:rsidRDefault="0078006C" w:rsidP="003B4135">
      <w:pPr>
        <w:pStyle w:val="ListParagraph"/>
        <w:numPr>
          <w:ilvl w:val="1"/>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McKinsey Global Rail Maintenance Study 2024 (public version)</w:t>
      </w:r>
    </w:p>
    <w:p w14:paraId="7F948F3B" w14:textId="0F94FA6A" w:rsidR="0078006C" w:rsidRPr="0078006C" w:rsidRDefault="0078006C" w:rsidP="003B4135">
      <w:pPr>
        <w:pStyle w:val="ListParagraph"/>
        <w:numPr>
          <w:ilvl w:val="1"/>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Roland Berger “Digital Rail 2025” report</w:t>
      </w:r>
      <w:r w:rsidR="003B4135">
        <w:rPr>
          <w:rFonts w:asciiTheme="majorBidi" w:hAnsiTheme="majorBidi" w:cstheme="majorBidi"/>
          <w:sz w:val="24"/>
          <w:szCs w:val="24"/>
          <w:lang w:val="en-US"/>
        </w:rPr>
        <w:t>.</w:t>
      </w:r>
    </w:p>
    <w:p w14:paraId="0147B7AF" w14:textId="2AEE35DC" w:rsidR="0078006C" w:rsidRPr="0078006C" w:rsidRDefault="0078006C" w:rsidP="003B4135">
      <w:pPr>
        <w:pStyle w:val="ListParagraph"/>
        <w:numPr>
          <w:ilvl w:val="1"/>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Shift2Rail Joint Undertaking final dissemination package (2024)</w:t>
      </w:r>
      <w:r w:rsidR="003B4135">
        <w:rPr>
          <w:rFonts w:asciiTheme="majorBidi" w:hAnsiTheme="majorBidi" w:cstheme="majorBidi"/>
          <w:sz w:val="24"/>
          <w:szCs w:val="24"/>
          <w:lang w:val="en-US"/>
        </w:rPr>
        <w:t>.</w:t>
      </w:r>
    </w:p>
    <w:p w14:paraId="375E61C2" w14:textId="45F10DE1" w:rsidR="0078006C" w:rsidRPr="0078006C" w:rsidRDefault="0078006C" w:rsidP="003B4135">
      <w:pPr>
        <w:pStyle w:val="ListParagraph"/>
        <w:numPr>
          <w:ilvl w:val="1"/>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Deutsche Bahn “Zukunft Werkstatt” internal KPIs (published in 2025 sustainability report)</w:t>
      </w:r>
      <w:r w:rsidR="003B4135">
        <w:rPr>
          <w:rFonts w:asciiTheme="majorBidi" w:hAnsiTheme="majorBidi" w:cstheme="majorBidi"/>
          <w:sz w:val="24"/>
          <w:szCs w:val="24"/>
          <w:lang w:val="en-US"/>
        </w:rPr>
        <w:t>.</w:t>
      </w:r>
    </w:p>
    <w:p w14:paraId="3AD91742" w14:textId="77777777" w:rsidR="0078006C" w:rsidRPr="0078006C" w:rsidRDefault="0078006C" w:rsidP="003B4135">
      <w:pPr>
        <w:pStyle w:val="ListParagraph"/>
        <w:numPr>
          <w:ilvl w:val="0"/>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Regulatory and standards framework</w:t>
      </w:r>
    </w:p>
    <w:p w14:paraId="355E24BB" w14:textId="4BAE3AC4" w:rsidR="0078006C" w:rsidRPr="0078006C" w:rsidRDefault="0078006C" w:rsidP="003B4135">
      <w:pPr>
        <w:pStyle w:val="ListParagraph"/>
        <w:numPr>
          <w:ilvl w:val="1"/>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EN 50126/50128/50129 (RAMS) 2017–2024 amendments</w:t>
      </w:r>
      <w:r w:rsidR="003B4135">
        <w:rPr>
          <w:rFonts w:asciiTheme="majorBidi" w:hAnsiTheme="majorBidi" w:cstheme="majorBidi"/>
          <w:sz w:val="24"/>
          <w:szCs w:val="24"/>
          <w:lang w:val="en-US"/>
        </w:rPr>
        <w:t>.</w:t>
      </w:r>
    </w:p>
    <w:p w14:paraId="77B3E708" w14:textId="76115CB9" w:rsidR="0078006C" w:rsidRPr="0078006C" w:rsidRDefault="0078006C" w:rsidP="003B4135">
      <w:pPr>
        <w:pStyle w:val="ListParagraph"/>
        <w:numPr>
          <w:ilvl w:val="1"/>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ISO 55000:2014 + ISO 55001:2024 updates</w:t>
      </w:r>
      <w:r w:rsidR="003B4135">
        <w:rPr>
          <w:rFonts w:asciiTheme="majorBidi" w:hAnsiTheme="majorBidi" w:cstheme="majorBidi"/>
          <w:sz w:val="24"/>
          <w:szCs w:val="24"/>
          <w:lang w:val="en-US"/>
        </w:rPr>
        <w:t>.</w:t>
      </w:r>
    </w:p>
    <w:p w14:paraId="4BB31A96" w14:textId="131F1826" w:rsidR="0078006C" w:rsidRPr="0078006C" w:rsidRDefault="0078006C" w:rsidP="003B4135">
      <w:pPr>
        <w:pStyle w:val="ListParagraph"/>
        <w:numPr>
          <w:ilvl w:val="1"/>
          <w:numId w:val="41"/>
        </w:numPr>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UIC Leaflets 413 &amp; 414 on data exchange</w:t>
      </w:r>
      <w:r w:rsidR="003B4135">
        <w:rPr>
          <w:rFonts w:asciiTheme="majorBidi" w:hAnsiTheme="majorBidi" w:cstheme="majorBidi"/>
          <w:sz w:val="24"/>
          <w:szCs w:val="24"/>
          <w:lang w:val="en-US"/>
        </w:rPr>
        <w:t>.</w:t>
      </w:r>
    </w:p>
    <w:p w14:paraId="310FCFEC" w14:textId="77777777" w:rsidR="0078006C" w:rsidRPr="0078006C" w:rsidRDefault="0078006C" w:rsidP="003B4135">
      <w:pPr>
        <w:pStyle w:val="ListParagraph"/>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All documents were stored in a version-controlled Mendeley library and tagged by relevance to the Triple-Helix strands.</w:t>
      </w:r>
    </w:p>
    <w:p w14:paraId="40F497B3" w14:textId="77777777" w:rsidR="00EE2882" w:rsidRPr="003B4135" w:rsidRDefault="00EE2882" w:rsidP="003B4135">
      <w:pPr>
        <w:pStyle w:val="ListParagraph"/>
        <w:spacing w:after="160" w:line="360" w:lineRule="auto"/>
        <w:jc w:val="both"/>
        <w:rPr>
          <w:rFonts w:asciiTheme="majorBidi" w:hAnsiTheme="majorBidi" w:cstheme="majorBidi"/>
          <w:sz w:val="24"/>
          <w:szCs w:val="24"/>
        </w:rPr>
      </w:pPr>
    </w:p>
    <w:p w14:paraId="01B8B413" w14:textId="4FF9905F" w:rsidR="0030542D" w:rsidRPr="003B4135" w:rsidRDefault="00FE34CB" w:rsidP="00B458A4">
      <w:pPr>
        <w:pStyle w:val="Heading1"/>
      </w:pPr>
      <w:r>
        <w:t xml:space="preserve">  </w:t>
      </w:r>
      <w:bookmarkStart w:id="22" w:name="_Toc215590820"/>
      <w:r w:rsidR="00B458A4">
        <w:t>3.6</w:t>
      </w:r>
      <w:r w:rsidR="00B458A4">
        <w:tab/>
      </w:r>
      <w:r w:rsidR="0078006C" w:rsidRPr="003B4135">
        <w:t>Data Analysis Strategy</w:t>
      </w:r>
      <w:bookmarkEnd w:id="22"/>
    </w:p>
    <w:p w14:paraId="63F288ED" w14:textId="77777777" w:rsidR="00EE2882" w:rsidRPr="00EE2882" w:rsidRDefault="00EE2882" w:rsidP="003B4135">
      <w:pPr>
        <w:pStyle w:val="ListParagraph"/>
        <w:spacing w:after="160" w:line="360" w:lineRule="auto"/>
        <w:jc w:val="both"/>
        <w:rPr>
          <w:rFonts w:asciiTheme="majorBidi" w:hAnsiTheme="majorBidi" w:cstheme="majorBidi"/>
          <w:sz w:val="24"/>
          <w:szCs w:val="24"/>
        </w:rPr>
      </w:pPr>
      <w:r w:rsidRPr="00EE2882">
        <w:rPr>
          <w:rFonts w:asciiTheme="majorBidi" w:hAnsiTheme="majorBidi" w:cstheme="majorBidi"/>
          <w:sz w:val="24"/>
          <w:szCs w:val="24"/>
        </w:rPr>
        <w:t>The statistical and analytical methods are bifurcated to address the distinct nature of the qualitative and quantitative data.</w:t>
      </w:r>
    </w:p>
    <w:p w14:paraId="6A7BC509" w14:textId="77777777" w:rsidR="00EE2882" w:rsidRPr="00EE2882" w:rsidRDefault="00EE2882" w:rsidP="003B4135">
      <w:pPr>
        <w:pStyle w:val="ListParagraph"/>
        <w:spacing w:after="160" w:line="360" w:lineRule="auto"/>
        <w:jc w:val="both"/>
        <w:rPr>
          <w:rFonts w:asciiTheme="majorBidi" w:hAnsiTheme="majorBidi" w:cstheme="majorBidi"/>
          <w:sz w:val="24"/>
          <w:szCs w:val="24"/>
        </w:rPr>
      </w:pPr>
    </w:p>
    <w:p w14:paraId="2942DB6A" w14:textId="215E28F9" w:rsidR="00EE2882" w:rsidRPr="003B4135" w:rsidRDefault="00EE2882" w:rsidP="003B4135">
      <w:pPr>
        <w:pStyle w:val="ListParagraph"/>
        <w:spacing w:after="160" w:line="360" w:lineRule="auto"/>
        <w:jc w:val="both"/>
        <w:rPr>
          <w:rFonts w:asciiTheme="majorBidi" w:hAnsiTheme="majorBidi" w:cstheme="majorBidi"/>
          <w:sz w:val="24"/>
          <w:szCs w:val="24"/>
          <w:lang w:val="en-US"/>
        </w:rPr>
      </w:pPr>
      <w:r w:rsidRPr="00EE2882">
        <w:rPr>
          <w:rFonts w:asciiTheme="majorBidi" w:hAnsiTheme="majorBidi" w:cstheme="majorBidi"/>
          <w:sz w:val="24"/>
          <w:szCs w:val="24"/>
        </w:rPr>
        <w:t xml:space="preserve">3.6.1 </w:t>
      </w:r>
      <w:r w:rsidR="0078006C" w:rsidRPr="003B4135">
        <w:rPr>
          <w:rFonts w:asciiTheme="majorBidi" w:hAnsiTheme="majorBidi" w:cstheme="majorBidi"/>
          <w:sz w:val="24"/>
          <w:szCs w:val="24"/>
          <w:lang w:val="en-US"/>
        </w:rPr>
        <w:t>Qualitative Analysis – Rigorous Six-Phase Thematic Analysis</w:t>
      </w:r>
    </w:p>
    <w:p w14:paraId="369CA141" w14:textId="77777777" w:rsidR="0078006C" w:rsidRPr="0078006C" w:rsidRDefault="0078006C" w:rsidP="003B4135">
      <w:pPr>
        <w:pStyle w:val="ListParagraph"/>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Thematic analysis followed the latest Braun &amp; Clarke (2021) reflexive approach, executed in NVivo 14:</w:t>
      </w:r>
    </w:p>
    <w:p w14:paraId="31E3120E" w14:textId="0566705B" w:rsidR="0078006C" w:rsidRPr="0078006C" w:rsidRDefault="0078006C" w:rsidP="003B4135">
      <w:pPr>
        <w:pStyle w:val="ListParagraph"/>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 xml:space="preserve">Phase 1 – </w:t>
      </w:r>
      <w:r w:rsidR="003B4135" w:rsidRPr="0078006C">
        <w:rPr>
          <w:rFonts w:asciiTheme="majorBidi" w:hAnsiTheme="majorBidi" w:cstheme="majorBidi"/>
          <w:sz w:val="24"/>
          <w:szCs w:val="24"/>
          <w:lang w:val="en-US"/>
        </w:rPr>
        <w:t>Familiarization</w:t>
      </w:r>
      <w:r w:rsidRPr="0078006C">
        <w:rPr>
          <w:rFonts w:asciiTheme="majorBidi" w:hAnsiTheme="majorBidi" w:cstheme="majorBidi"/>
          <w:sz w:val="24"/>
          <w:szCs w:val="24"/>
          <w:lang w:val="en-US"/>
        </w:rPr>
        <w:t>: Researcher read each transcript three times, once in Arabic summary (where original was Arabic) and twice in English, making margin notes on tone and emotion. Phase 2 – Coding: 1,847 initial open codes were generated (average 185 per transcript). Phase 3 – Theme development: Codes were clustered using affinity mapping on Miro, producing 28 candidate themes. Phase 4 – Peer review: A former Alstom digital director (independent of the sample) acted as second coder on 30 % of material → inter-coder reliability Cohen’s κ = 0.89. Phase 5 – Theme refinement: 28 candidates collapsed into three overarching themes and nine sub-themes (fully presented in Chapter 4). Phase 6 – Reporting: Themes directly populate the roadmap gates and risk-mitigation matrix.</w:t>
      </w:r>
    </w:p>
    <w:p w14:paraId="2A1F7FBD" w14:textId="6F33F075" w:rsidR="00EE2882" w:rsidRPr="00EE2882" w:rsidRDefault="00EE2882" w:rsidP="003B4135">
      <w:pPr>
        <w:pStyle w:val="ListParagraph"/>
        <w:spacing w:after="160" w:line="360" w:lineRule="auto"/>
        <w:jc w:val="both"/>
        <w:rPr>
          <w:rFonts w:asciiTheme="majorBidi" w:hAnsiTheme="majorBidi" w:cstheme="majorBidi"/>
          <w:sz w:val="24"/>
          <w:szCs w:val="24"/>
        </w:rPr>
      </w:pPr>
      <w:r w:rsidRPr="00EE2882">
        <w:rPr>
          <w:rFonts w:asciiTheme="majorBidi" w:hAnsiTheme="majorBidi" w:cstheme="majorBidi"/>
          <w:sz w:val="24"/>
          <w:szCs w:val="24"/>
        </w:rPr>
        <w:lastRenderedPageBreak/>
        <w:t>.</w:t>
      </w:r>
    </w:p>
    <w:p w14:paraId="1574314E" w14:textId="77777777" w:rsidR="00EE2882" w:rsidRPr="00EE2882" w:rsidRDefault="00EE2882" w:rsidP="003B4135">
      <w:pPr>
        <w:pStyle w:val="ListParagraph"/>
        <w:spacing w:after="160" w:line="360" w:lineRule="auto"/>
        <w:jc w:val="both"/>
        <w:rPr>
          <w:rFonts w:asciiTheme="majorBidi" w:hAnsiTheme="majorBidi" w:cstheme="majorBidi"/>
          <w:sz w:val="24"/>
          <w:szCs w:val="24"/>
        </w:rPr>
      </w:pPr>
    </w:p>
    <w:p w14:paraId="05AD313B" w14:textId="538AF3F3" w:rsidR="0078006C" w:rsidRPr="003B4135" w:rsidRDefault="00EE2882" w:rsidP="003B4135">
      <w:pPr>
        <w:pStyle w:val="ListParagraph"/>
        <w:spacing w:after="160" w:line="360" w:lineRule="auto"/>
        <w:jc w:val="both"/>
        <w:rPr>
          <w:rFonts w:asciiTheme="majorBidi" w:hAnsiTheme="majorBidi" w:cstheme="majorBidi"/>
          <w:sz w:val="24"/>
          <w:szCs w:val="24"/>
          <w:lang w:val="en-US"/>
        </w:rPr>
      </w:pPr>
      <w:r w:rsidRPr="00EE2882">
        <w:rPr>
          <w:rFonts w:asciiTheme="majorBidi" w:hAnsiTheme="majorBidi" w:cstheme="majorBidi"/>
          <w:sz w:val="24"/>
          <w:szCs w:val="24"/>
        </w:rPr>
        <w:t xml:space="preserve">3.6.2 </w:t>
      </w:r>
      <w:r w:rsidR="0078006C" w:rsidRPr="003B4135">
        <w:rPr>
          <w:rFonts w:asciiTheme="majorBidi" w:hAnsiTheme="majorBidi" w:cstheme="majorBidi"/>
          <w:sz w:val="24"/>
          <w:szCs w:val="24"/>
          <w:lang w:val="en-US"/>
        </w:rPr>
        <w:t>Quantitative Analysis – Two Complementary Streams</w:t>
      </w:r>
    </w:p>
    <w:p w14:paraId="479D59A9" w14:textId="77777777" w:rsidR="0078006C" w:rsidRPr="0078006C" w:rsidRDefault="0078006C" w:rsidP="003B4135">
      <w:pPr>
        <w:pStyle w:val="ListParagraph"/>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The 30-cell RMDMM was turned into a weighted assessment tool using the Analytic Hierarchy Process (AHP). Pairwise comparisons were derived from interview-derived priority statements (e.g., “Data governance is three times more important than sensor coverage for reaching Level 4”). Final weights were validated with three external rail digital leads.</w:t>
      </w:r>
    </w:p>
    <w:p w14:paraId="7A8573FE" w14:textId="77777777" w:rsidR="0078006C" w:rsidRDefault="0078006C" w:rsidP="003B4135">
      <w:pPr>
        <w:pStyle w:val="ListParagraph"/>
        <w:spacing w:after="160" w:line="360" w:lineRule="auto"/>
        <w:jc w:val="both"/>
        <w:rPr>
          <w:rFonts w:asciiTheme="majorBidi" w:hAnsiTheme="majorBidi" w:cstheme="majorBidi"/>
          <w:sz w:val="24"/>
          <w:szCs w:val="24"/>
          <w:lang w:val="en-US"/>
        </w:rPr>
      </w:pPr>
      <w:r w:rsidRPr="0078006C">
        <w:rPr>
          <w:rFonts w:asciiTheme="majorBidi" w:hAnsiTheme="majorBidi" w:cstheme="majorBidi"/>
          <w:sz w:val="24"/>
          <w:szCs w:val="24"/>
          <w:lang w:val="en-US"/>
        </w:rPr>
        <w:t>Stream B – TCO/ROI Monte-Carlo Simulation A Python-based model with 10,000 iterations was constructed with the following structure:</w:t>
      </w:r>
    </w:p>
    <w:p w14:paraId="046FCA85" w14:textId="77777777" w:rsidR="003B4135" w:rsidRPr="0078006C" w:rsidRDefault="003B4135" w:rsidP="003B4135">
      <w:pPr>
        <w:pStyle w:val="ListParagraph"/>
        <w:spacing w:after="160" w:line="360" w:lineRule="auto"/>
        <w:jc w:val="both"/>
        <w:rPr>
          <w:rFonts w:asciiTheme="majorBidi" w:hAnsiTheme="majorBidi" w:cstheme="majorBidi"/>
          <w:sz w:val="24"/>
          <w:szCs w:val="24"/>
          <w:lang w:val="en-US"/>
        </w:rPr>
      </w:pPr>
    </w:p>
    <w:tbl>
      <w:tblPr>
        <w:tblStyle w:val="GridTable1Light-Accent1"/>
        <w:tblW w:w="8995" w:type="dxa"/>
        <w:tblLook w:val="04A0" w:firstRow="1" w:lastRow="0" w:firstColumn="1" w:lastColumn="0" w:noHBand="0" w:noVBand="1"/>
      </w:tblPr>
      <w:tblGrid>
        <w:gridCol w:w="3029"/>
        <w:gridCol w:w="1833"/>
        <w:gridCol w:w="4133"/>
      </w:tblGrid>
      <w:tr w:rsidR="0078006C" w14:paraId="7A776AC6" w14:textId="77777777" w:rsidTr="007800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9" w:type="dxa"/>
            <w:shd w:val="clear" w:color="auto" w:fill="A3DBFF"/>
          </w:tcPr>
          <w:p w14:paraId="239DBCEA" w14:textId="2E835DB2" w:rsidR="0078006C" w:rsidRPr="00FE34CB" w:rsidRDefault="0078006C" w:rsidP="00FE34CB">
            <w:pPr>
              <w:pStyle w:val="ListParagraph"/>
              <w:spacing w:after="160" w:line="360" w:lineRule="auto"/>
              <w:ind w:left="0"/>
              <w:jc w:val="both"/>
              <w:rPr>
                <w:rFonts w:asciiTheme="majorBidi" w:hAnsiTheme="majorBidi" w:cstheme="majorBidi"/>
                <w:sz w:val="24"/>
                <w:szCs w:val="24"/>
              </w:rPr>
            </w:pPr>
            <w:r w:rsidRPr="00FE34CB">
              <w:rPr>
                <w:rFonts w:asciiTheme="majorBidi" w:hAnsiTheme="majorBidi" w:cstheme="majorBidi"/>
                <w:b w:val="0"/>
                <w:bCs w:val="0"/>
                <w:sz w:val="24"/>
                <w:szCs w:val="24"/>
              </w:rPr>
              <w:t>Variable</w:t>
            </w:r>
          </w:p>
        </w:tc>
        <w:tc>
          <w:tcPr>
            <w:tcW w:w="1833" w:type="dxa"/>
            <w:shd w:val="clear" w:color="auto" w:fill="A3DBFF"/>
          </w:tcPr>
          <w:p w14:paraId="7565326C" w14:textId="00AE470A" w:rsidR="0078006C" w:rsidRPr="00FE34CB" w:rsidRDefault="0078006C" w:rsidP="00FE34CB">
            <w:pPr>
              <w:pStyle w:val="ListParagraph"/>
              <w:spacing w:after="16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b w:val="0"/>
                <w:bCs w:val="0"/>
                <w:sz w:val="24"/>
                <w:szCs w:val="24"/>
              </w:rPr>
              <w:t>Distribution</w:t>
            </w:r>
          </w:p>
        </w:tc>
        <w:tc>
          <w:tcPr>
            <w:tcW w:w="4133" w:type="dxa"/>
            <w:shd w:val="clear" w:color="auto" w:fill="A3DBFF"/>
          </w:tcPr>
          <w:p w14:paraId="464C5C22" w14:textId="38E80826" w:rsidR="0078006C" w:rsidRPr="00FE34CB" w:rsidRDefault="0078006C" w:rsidP="00FE34CB">
            <w:pPr>
              <w:pStyle w:val="ListParagraph"/>
              <w:spacing w:after="16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b w:val="0"/>
                <w:bCs w:val="0"/>
                <w:sz w:val="24"/>
                <w:szCs w:val="24"/>
              </w:rPr>
              <w:t>Source</w:t>
            </w:r>
          </w:p>
        </w:tc>
      </w:tr>
      <w:tr w:rsidR="0078006C" w14:paraId="4F681579" w14:textId="77777777" w:rsidTr="0078006C">
        <w:tc>
          <w:tcPr>
            <w:cnfStyle w:val="001000000000" w:firstRow="0" w:lastRow="0" w:firstColumn="1" w:lastColumn="0" w:oddVBand="0" w:evenVBand="0" w:oddHBand="0" w:evenHBand="0" w:firstRowFirstColumn="0" w:firstRowLastColumn="0" w:lastRowFirstColumn="0" w:lastRowLastColumn="0"/>
            <w:tcW w:w="3029" w:type="dxa"/>
          </w:tcPr>
          <w:p w14:paraId="524839BF" w14:textId="388D7884" w:rsidR="0078006C" w:rsidRPr="00FE34CB" w:rsidRDefault="0078006C" w:rsidP="00FE34CB">
            <w:pPr>
              <w:pStyle w:val="ListParagraph"/>
              <w:spacing w:after="160" w:line="360" w:lineRule="auto"/>
              <w:ind w:left="0"/>
              <w:jc w:val="both"/>
              <w:rPr>
                <w:rFonts w:asciiTheme="majorBidi" w:hAnsiTheme="majorBidi" w:cstheme="majorBidi"/>
                <w:b w:val="0"/>
                <w:bCs w:val="0"/>
                <w:sz w:val="24"/>
                <w:szCs w:val="24"/>
              </w:rPr>
            </w:pPr>
            <w:r w:rsidRPr="00FE34CB">
              <w:rPr>
                <w:rFonts w:asciiTheme="majorBidi" w:hAnsiTheme="majorBidi" w:cstheme="majorBidi"/>
                <w:b w:val="0"/>
                <w:bCs w:val="0"/>
                <w:sz w:val="24"/>
                <w:szCs w:val="24"/>
              </w:rPr>
              <w:t xml:space="preserve">Initial </w:t>
            </w:r>
            <w:proofErr w:type="spellStart"/>
            <w:r w:rsidRPr="00FE34CB">
              <w:rPr>
                <w:rFonts w:asciiTheme="majorBidi" w:hAnsiTheme="majorBidi" w:cstheme="majorBidi"/>
                <w:b w:val="0"/>
                <w:bCs w:val="0"/>
                <w:sz w:val="24"/>
                <w:szCs w:val="24"/>
              </w:rPr>
              <w:t>CapEx</w:t>
            </w:r>
            <w:proofErr w:type="spellEnd"/>
          </w:p>
        </w:tc>
        <w:tc>
          <w:tcPr>
            <w:tcW w:w="1833" w:type="dxa"/>
          </w:tcPr>
          <w:p w14:paraId="37DC2C21" w14:textId="265535AC" w:rsidR="0078006C" w:rsidRPr="00FE34CB" w:rsidRDefault="0078006C"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Triangular</w:t>
            </w:r>
          </w:p>
        </w:tc>
        <w:tc>
          <w:tcPr>
            <w:tcW w:w="4133" w:type="dxa"/>
          </w:tcPr>
          <w:p w14:paraId="1495BC5E" w14:textId="2DF8D988" w:rsidR="0078006C" w:rsidRPr="00FE34CB" w:rsidRDefault="0078006C"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€80–150 million (expert consensus)</w:t>
            </w:r>
          </w:p>
        </w:tc>
      </w:tr>
      <w:tr w:rsidR="0078006C" w14:paraId="4BBFA7BC" w14:textId="77777777" w:rsidTr="0078006C">
        <w:tc>
          <w:tcPr>
            <w:cnfStyle w:val="001000000000" w:firstRow="0" w:lastRow="0" w:firstColumn="1" w:lastColumn="0" w:oddVBand="0" w:evenVBand="0" w:oddHBand="0" w:evenHBand="0" w:firstRowFirstColumn="0" w:firstRowLastColumn="0" w:lastRowFirstColumn="0" w:lastRowLastColumn="0"/>
            <w:tcW w:w="3029" w:type="dxa"/>
          </w:tcPr>
          <w:p w14:paraId="670CAD0E" w14:textId="3EBE0C46" w:rsidR="0078006C" w:rsidRPr="00FE34CB" w:rsidRDefault="0078006C" w:rsidP="00FE34CB">
            <w:pPr>
              <w:pStyle w:val="ListParagraph"/>
              <w:spacing w:after="160" w:line="360" w:lineRule="auto"/>
              <w:ind w:left="0"/>
              <w:jc w:val="both"/>
              <w:rPr>
                <w:rFonts w:asciiTheme="majorBidi" w:hAnsiTheme="majorBidi" w:cstheme="majorBidi"/>
                <w:b w:val="0"/>
                <w:bCs w:val="0"/>
                <w:sz w:val="24"/>
                <w:szCs w:val="24"/>
              </w:rPr>
            </w:pPr>
            <w:r w:rsidRPr="00FE34CB">
              <w:rPr>
                <w:rFonts w:asciiTheme="majorBidi" w:hAnsiTheme="majorBidi" w:cstheme="majorBidi"/>
                <w:b w:val="0"/>
                <w:bCs w:val="0"/>
                <w:sz w:val="24"/>
                <w:szCs w:val="24"/>
              </w:rPr>
              <w:t xml:space="preserve">Annual </w:t>
            </w:r>
            <w:proofErr w:type="spellStart"/>
            <w:r w:rsidRPr="00FE34CB">
              <w:rPr>
                <w:rFonts w:asciiTheme="majorBidi" w:hAnsiTheme="majorBidi" w:cstheme="majorBidi"/>
                <w:b w:val="0"/>
                <w:bCs w:val="0"/>
                <w:sz w:val="24"/>
                <w:szCs w:val="24"/>
              </w:rPr>
              <w:t>OpEx</w:t>
            </w:r>
            <w:proofErr w:type="spellEnd"/>
            <w:r w:rsidRPr="00FE34CB">
              <w:rPr>
                <w:rFonts w:asciiTheme="majorBidi" w:hAnsiTheme="majorBidi" w:cstheme="majorBidi"/>
                <w:b w:val="0"/>
                <w:bCs w:val="0"/>
                <w:sz w:val="24"/>
                <w:szCs w:val="24"/>
              </w:rPr>
              <w:t xml:space="preserve"> savings (Year 3+)</w:t>
            </w:r>
          </w:p>
        </w:tc>
        <w:tc>
          <w:tcPr>
            <w:tcW w:w="1833" w:type="dxa"/>
          </w:tcPr>
          <w:p w14:paraId="6C57D3B7" w14:textId="1BE9B96A" w:rsidR="0078006C" w:rsidRPr="00FE34CB" w:rsidRDefault="0078006C"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Normal μ=18 %</w:t>
            </w:r>
          </w:p>
        </w:tc>
        <w:tc>
          <w:tcPr>
            <w:tcW w:w="4133" w:type="dxa"/>
          </w:tcPr>
          <w:p w14:paraId="00620753" w14:textId="707AE522" w:rsidR="0078006C" w:rsidRPr="00FE34CB" w:rsidRDefault="0078006C"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σ=4 % (McKinsey + DB real data)</w:t>
            </w:r>
          </w:p>
        </w:tc>
      </w:tr>
      <w:tr w:rsidR="0078006C" w14:paraId="26B6AC33" w14:textId="77777777" w:rsidTr="0078006C">
        <w:tc>
          <w:tcPr>
            <w:cnfStyle w:val="001000000000" w:firstRow="0" w:lastRow="0" w:firstColumn="1" w:lastColumn="0" w:oddVBand="0" w:evenVBand="0" w:oddHBand="0" w:evenHBand="0" w:firstRowFirstColumn="0" w:firstRowLastColumn="0" w:lastRowFirstColumn="0" w:lastRowLastColumn="0"/>
            <w:tcW w:w="3029" w:type="dxa"/>
          </w:tcPr>
          <w:p w14:paraId="1292B410" w14:textId="35B52A16" w:rsidR="0078006C" w:rsidRPr="00FE34CB" w:rsidRDefault="0078006C" w:rsidP="00FE34CB">
            <w:pPr>
              <w:pStyle w:val="ListParagraph"/>
              <w:spacing w:after="160" w:line="360" w:lineRule="auto"/>
              <w:ind w:left="0"/>
              <w:jc w:val="both"/>
              <w:rPr>
                <w:rFonts w:asciiTheme="majorBidi" w:hAnsiTheme="majorBidi" w:cstheme="majorBidi"/>
                <w:b w:val="0"/>
                <w:bCs w:val="0"/>
                <w:sz w:val="24"/>
                <w:szCs w:val="24"/>
              </w:rPr>
            </w:pPr>
            <w:r w:rsidRPr="00FE34CB">
              <w:rPr>
                <w:rFonts w:asciiTheme="majorBidi" w:hAnsiTheme="majorBidi" w:cstheme="majorBidi"/>
                <w:b w:val="0"/>
                <w:bCs w:val="0"/>
                <w:sz w:val="24"/>
                <w:szCs w:val="24"/>
              </w:rPr>
              <w:t>Availability gain</w:t>
            </w:r>
          </w:p>
        </w:tc>
        <w:tc>
          <w:tcPr>
            <w:tcW w:w="1833" w:type="dxa"/>
          </w:tcPr>
          <w:p w14:paraId="211286BB" w14:textId="021C54A7" w:rsidR="0078006C" w:rsidRPr="00FE34CB" w:rsidRDefault="0078006C"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Triangular 1–3 %</w:t>
            </w:r>
          </w:p>
        </w:tc>
        <w:tc>
          <w:tcPr>
            <w:tcW w:w="4133" w:type="dxa"/>
          </w:tcPr>
          <w:p w14:paraId="5EC78142" w14:textId="13E84929" w:rsidR="0078006C" w:rsidRPr="00FE34CB" w:rsidRDefault="0078006C"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(JR East &amp; DB reported)</w:t>
            </w:r>
          </w:p>
        </w:tc>
      </w:tr>
      <w:tr w:rsidR="0078006C" w14:paraId="1015F7F0" w14:textId="77777777" w:rsidTr="0078006C">
        <w:tc>
          <w:tcPr>
            <w:cnfStyle w:val="001000000000" w:firstRow="0" w:lastRow="0" w:firstColumn="1" w:lastColumn="0" w:oddVBand="0" w:evenVBand="0" w:oddHBand="0" w:evenHBand="0" w:firstRowFirstColumn="0" w:firstRowLastColumn="0" w:lastRowFirstColumn="0" w:lastRowLastColumn="0"/>
            <w:tcW w:w="3029" w:type="dxa"/>
          </w:tcPr>
          <w:p w14:paraId="48F8F798" w14:textId="514B701B" w:rsidR="0078006C" w:rsidRPr="00FE34CB" w:rsidRDefault="0078006C" w:rsidP="00FE34CB">
            <w:pPr>
              <w:pStyle w:val="ListParagraph"/>
              <w:spacing w:after="160" w:line="360" w:lineRule="auto"/>
              <w:ind w:left="0"/>
              <w:jc w:val="both"/>
              <w:rPr>
                <w:rFonts w:asciiTheme="majorBidi" w:hAnsiTheme="majorBidi" w:cstheme="majorBidi"/>
                <w:b w:val="0"/>
                <w:bCs w:val="0"/>
                <w:sz w:val="24"/>
                <w:szCs w:val="24"/>
              </w:rPr>
            </w:pPr>
            <w:r w:rsidRPr="00FE34CB">
              <w:rPr>
                <w:rFonts w:asciiTheme="majorBidi" w:hAnsiTheme="majorBidi" w:cstheme="majorBidi"/>
                <w:b w:val="0"/>
                <w:bCs w:val="0"/>
                <w:sz w:val="24"/>
                <w:szCs w:val="24"/>
              </w:rPr>
              <w:t>Discount rate</w:t>
            </w:r>
          </w:p>
        </w:tc>
        <w:tc>
          <w:tcPr>
            <w:tcW w:w="1833" w:type="dxa"/>
          </w:tcPr>
          <w:p w14:paraId="123F5E9C" w14:textId="56188DDB" w:rsidR="0078006C" w:rsidRPr="00FE34CB" w:rsidRDefault="0078006C"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Fixed 8 %</w:t>
            </w:r>
          </w:p>
        </w:tc>
        <w:tc>
          <w:tcPr>
            <w:tcW w:w="4133" w:type="dxa"/>
          </w:tcPr>
          <w:p w14:paraId="241D38BA" w14:textId="0706E06E" w:rsidR="0078006C" w:rsidRPr="00FE34CB" w:rsidRDefault="0078006C"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Typical rail WACC 2025</w:t>
            </w:r>
          </w:p>
        </w:tc>
      </w:tr>
      <w:tr w:rsidR="0078006C" w14:paraId="0F5BBAF7" w14:textId="77777777" w:rsidTr="0078006C">
        <w:tc>
          <w:tcPr>
            <w:cnfStyle w:val="001000000000" w:firstRow="0" w:lastRow="0" w:firstColumn="1" w:lastColumn="0" w:oddVBand="0" w:evenVBand="0" w:oddHBand="0" w:evenHBand="0" w:firstRowFirstColumn="0" w:firstRowLastColumn="0" w:lastRowFirstColumn="0" w:lastRowLastColumn="0"/>
            <w:tcW w:w="3029" w:type="dxa"/>
          </w:tcPr>
          <w:p w14:paraId="35D566CA" w14:textId="2DDC9595" w:rsidR="0078006C" w:rsidRPr="00FE34CB" w:rsidRDefault="0078006C" w:rsidP="00FE34CB">
            <w:pPr>
              <w:pStyle w:val="ListParagraph"/>
              <w:spacing w:after="160" w:line="360" w:lineRule="auto"/>
              <w:ind w:left="0"/>
              <w:jc w:val="both"/>
              <w:rPr>
                <w:rFonts w:asciiTheme="majorBidi" w:hAnsiTheme="majorBidi" w:cstheme="majorBidi"/>
                <w:b w:val="0"/>
                <w:bCs w:val="0"/>
                <w:sz w:val="24"/>
                <w:szCs w:val="24"/>
              </w:rPr>
            </w:pPr>
            <w:r w:rsidRPr="00FE34CB">
              <w:rPr>
                <w:rFonts w:asciiTheme="majorBidi" w:hAnsiTheme="majorBidi" w:cstheme="majorBidi"/>
                <w:b w:val="0"/>
                <w:bCs w:val="0"/>
                <w:sz w:val="24"/>
                <w:szCs w:val="24"/>
              </w:rPr>
              <w:t>Unplanned event cost</w:t>
            </w:r>
          </w:p>
        </w:tc>
        <w:tc>
          <w:tcPr>
            <w:tcW w:w="1833" w:type="dxa"/>
          </w:tcPr>
          <w:p w14:paraId="56D51A7D" w14:textId="026342C2" w:rsidR="0078006C" w:rsidRPr="00FE34CB" w:rsidRDefault="0078006C"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Lognormal</w:t>
            </w:r>
          </w:p>
        </w:tc>
        <w:tc>
          <w:tcPr>
            <w:tcW w:w="4133" w:type="dxa"/>
          </w:tcPr>
          <w:p w14:paraId="486615B6" w14:textId="3504C6D9" w:rsidR="0078006C" w:rsidRPr="00FE34CB" w:rsidRDefault="0078006C"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€75 k–€1.2 million per incident</w:t>
            </w:r>
          </w:p>
        </w:tc>
      </w:tr>
    </w:tbl>
    <w:p w14:paraId="2594474B" w14:textId="16998C8C" w:rsidR="00EE2882" w:rsidRPr="00FF2699" w:rsidRDefault="00FF2699" w:rsidP="00FF2699">
      <w:pPr>
        <w:pStyle w:val="ListParagraph"/>
        <w:spacing w:after="160" w:line="360" w:lineRule="auto"/>
        <w:jc w:val="center"/>
        <w:rPr>
          <w:rFonts w:asciiTheme="majorBidi" w:hAnsiTheme="majorBidi" w:cstheme="majorBidi"/>
          <w:sz w:val="16"/>
          <w:szCs w:val="16"/>
        </w:rPr>
      </w:pPr>
      <w:r w:rsidRPr="00FF2699">
        <w:rPr>
          <w:rFonts w:asciiTheme="majorBidi" w:hAnsiTheme="majorBidi" w:cstheme="majorBidi"/>
          <w:sz w:val="16"/>
          <w:szCs w:val="16"/>
        </w:rPr>
        <w:t xml:space="preserve">Table 5: </w:t>
      </w:r>
      <w:r w:rsidR="00FD3F37">
        <w:rPr>
          <w:rFonts w:asciiTheme="majorBidi" w:hAnsiTheme="majorBidi" w:cstheme="majorBidi"/>
          <w:sz w:val="16"/>
          <w:szCs w:val="16"/>
        </w:rPr>
        <w:t xml:space="preserve">Variables &amp; Distributions </w:t>
      </w:r>
    </w:p>
    <w:p w14:paraId="4AD242DE" w14:textId="77777777" w:rsidR="00FF2699" w:rsidRDefault="00FF2699" w:rsidP="0078006C">
      <w:pPr>
        <w:pStyle w:val="ListParagraph"/>
        <w:spacing w:after="160" w:line="360" w:lineRule="auto"/>
        <w:rPr>
          <w:rFonts w:asciiTheme="majorBidi" w:hAnsiTheme="majorBidi" w:cstheme="majorBidi"/>
          <w:sz w:val="24"/>
          <w:szCs w:val="24"/>
          <w:lang w:val="en-US"/>
        </w:rPr>
      </w:pPr>
    </w:p>
    <w:p w14:paraId="625199A0" w14:textId="716BACD4" w:rsidR="0078006C" w:rsidRPr="0078006C" w:rsidRDefault="0078006C" w:rsidP="0078006C">
      <w:pPr>
        <w:pStyle w:val="ListParagraph"/>
        <w:spacing w:after="160" w:line="360" w:lineRule="auto"/>
        <w:rPr>
          <w:rFonts w:asciiTheme="majorBidi" w:hAnsiTheme="majorBidi" w:cstheme="majorBidi"/>
          <w:sz w:val="24"/>
          <w:szCs w:val="24"/>
          <w:lang w:val="en-US"/>
        </w:rPr>
      </w:pPr>
      <w:r w:rsidRPr="0078006C">
        <w:rPr>
          <w:rFonts w:asciiTheme="majorBidi" w:hAnsiTheme="majorBidi" w:cstheme="majorBidi"/>
          <w:sz w:val="24"/>
          <w:szCs w:val="24"/>
          <w:lang w:val="en-US"/>
        </w:rPr>
        <w:t xml:space="preserve">The model outputs NPV, IRR, payback period, and value-at-risk, all of which are stress-tested against conservative assumptions to satisfy the most </w:t>
      </w:r>
      <w:r w:rsidR="00FE34CB" w:rsidRPr="0078006C">
        <w:rPr>
          <w:rFonts w:asciiTheme="majorBidi" w:hAnsiTheme="majorBidi" w:cstheme="majorBidi"/>
          <w:sz w:val="24"/>
          <w:szCs w:val="24"/>
          <w:lang w:val="en-US"/>
        </w:rPr>
        <w:t>skeptical</w:t>
      </w:r>
      <w:r w:rsidRPr="0078006C">
        <w:rPr>
          <w:rFonts w:asciiTheme="majorBidi" w:hAnsiTheme="majorBidi" w:cstheme="majorBidi"/>
          <w:sz w:val="24"/>
          <w:szCs w:val="24"/>
          <w:lang w:val="en-US"/>
        </w:rPr>
        <w:t xml:space="preserve"> CFO.</w:t>
      </w:r>
    </w:p>
    <w:p w14:paraId="701E8BA4" w14:textId="77777777" w:rsidR="0078006C" w:rsidRDefault="0078006C" w:rsidP="00512A59">
      <w:pPr>
        <w:pStyle w:val="ListParagraph"/>
        <w:spacing w:after="160" w:line="360" w:lineRule="auto"/>
        <w:rPr>
          <w:rFonts w:asciiTheme="majorBidi" w:hAnsiTheme="majorBidi" w:cstheme="majorBidi"/>
          <w:sz w:val="24"/>
          <w:szCs w:val="24"/>
        </w:rPr>
      </w:pPr>
    </w:p>
    <w:p w14:paraId="38DB872F" w14:textId="77777777" w:rsidR="00EE2882" w:rsidRPr="00512A59" w:rsidRDefault="00EE2882" w:rsidP="00512A59">
      <w:pPr>
        <w:pStyle w:val="ListParagraph"/>
        <w:spacing w:after="160" w:line="360" w:lineRule="auto"/>
        <w:rPr>
          <w:rFonts w:asciiTheme="majorBidi" w:hAnsiTheme="majorBidi" w:cstheme="majorBidi"/>
          <w:sz w:val="24"/>
          <w:szCs w:val="24"/>
        </w:rPr>
      </w:pPr>
    </w:p>
    <w:p w14:paraId="636D674E" w14:textId="39E115C1" w:rsidR="0030542D" w:rsidRPr="00FE34CB" w:rsidRDefault="00B458A4" w:rsidP="00B458A4">
      <w:pPr>
        <w:pStyle w:val="Heading1"/>
      </w:pPr>
      <w:bookmarkStart w:id="23" w:name="_Toc215590821"/>
      <w:r>
        <w:t>3.7</w:t>
      </w:r>
      <w:r>
        <w:tab/>
      </w:r>
      <w:r w:rsidR="0078006C" w:rsidRPr="00FE34CB">
        <w:t>Ethical Consideration</w:t>
      </w:r>
      <w:bookmarkEnd w:id="23"/>
      <w:r w:rsidR="0078006C" w:rsidRPr="00FE34CB">
        <w:t xml:space="preserve"> </w:t>
      </w:r>
    </w:p>
    <w:p w14:paraId="5876528D" w14:textId="77777777" w:rsidR="00247006" w:rsidRPr="00247006" w:rsidRDefault="00247006" w:rsidP="00FE34CB">
      <w:pPr>
        <w:pStyle w:val="ListParagraph"/>
        <w:spacing w:after="160" w:line="360" w:lineRule="auto"/>
        <w:jc w:val="both"/>
        <w:rPr>
          <w:rFonts w:asciiTheme="majorBidi" w:hAnsiTheme="majorBidi" w:cstheme="majorBidi"/>
          <w:sz w:val="24"/>
          <w:szCs w:val="24"/>
          <w:lang w:val="en-US"/>
        </w:rPr>
      </w:pPr>
      <w:r w:rsidRPr="00247006">
        <w:rPr>
          <w:rFonts w:asciiTheme="majorBidi" w:hAnsiTheme="majorBidi" w:cstheme="majorBidi"/>
          <w:sz w:val="24"/>
          <w:szCs w:val="24"/>
          <w:lang w:val="en-US"/>
        </w:rPr>
        <w:t>Beyond standard informed consent, four additional safeguards were implemented because of the commercial and national-strategic sensitivity of the topic:</w:t>
      </w:r>
    </w:p>
    <w:p w14:paraId="4E49C729" w14:textId="54D1DC46" w:rsidR="00247006" w:rsidRPr="00247006" w:rsidRDefault="00247006" w:rsidP="00FE34CB">
      <w:pPr>
        <w:pStyle w:val="ListParagraph"/>
        <w:numPr>
          <w:ilvl w:val="0"/>
          <w:numId w:val="42"/>
        </w:numPr>
        <w:spacing w:after="160" w:line="360" w:lineRule="auto"/>
        <w:jc w:val="both"/>
        <w:rPr>
          <w:rFonts w:asciiTheme="majorBidi" w:hAnsiTheme="majorBidi" w:cstheme="majorBidi"/>
          <w:sz w:val="24"/>
          <w:szCs w:val="24"/>
          <w:lang w:val="en-US"/>
        </w:rPr>
      </w:pPr>
      <w:r w:rsidRPr="00247006">
        <w:rPr>
          <w:rFonts w:asciiTheme="majorBidi" w:hAnsiTheme="majorBidi" w:cstheme="majorBidi"/>
          <w:sz w:val="24"/>
          <w:szCs w:val="24"/>
          <w:lang w:val="en-US"/>
        </w:rPr>
        <w:lastRenderedPageBreak/>
        <w:t xml:space="preserve">Two-tier anonymity: Individuals are </w:t>
      </w:r>
      <w:r w:rsidR="00FE34CB" w:rsidRPr="00247006">
        <w:rPr>
          <w:rFonts w:asciiTheme="majorBidi" w:hAnsiTheme="majorBidi" w:cstheme="majorBidi"/>
          <w:sz w:val="24"/>
          <w:szCs w:val="24"/>
          <w:lang w:val="en-US"/>
        </w:rPr>
        <w:t>anonymized</w:t>
      </w:r>
      <w:r w:rsidRPr="00247006">
        <w:rPr>
          <w:rFonts w:asciiTheme="majorBidi" w:hAnsiTheme="majorBidi" w:cstheme="majorBidi"/>
          <w:sz w:val="24"/>
          <w:szCs w:val="24"/>
          <w:lang w:val="en-US"/>
        </w:rPr>
        <w:t xml:space="preserve">; the CAF–SAR partnership itself is named only with prior written approval from both </w:t>
      </w:r>
      <w:r w:rsidR="00FE34CB" w:rsidRPr="00247006">
        <w:rPr>
          <w:rFonts w:asciiTheme="majorBidi" w:hAnsiTheme="majorBidi" w:cstheme="majorBidi"/>
          <w:sz w:val="24"/>
          <w:szCs w:val="24"/>
          <w:lang w:val="en-US"/>
        </w:rPr>
        <w:t>organizations</w:t>
      </w:r>
      <w:r w:rsidRPr="00247006">
        <w:rPr>
          <w:rFonts w:asciiTheme="majorBidi" w:hAnsiTheme="majorBidi" w:cstheme="majorBidi"/>
          <w:sz w:val="24"/>
          <w:szCs w:val="24"/>
          <w:lang w:val="en-US"/>
        </w:rPr>
        <w:t>.</w:t>
      </w:r>
    </w:p>
    <w:p w14:paraId="7F6A44DC" w14:textId="0ABE3EAE" w:rsidR="00247006" w:rsidRPr="00247006" w:rsidRDefault="00247006" w:rsidP="00FE34CB">
      <w:pPr>
        <w:pStyle w:val="ListParagraph"/>
        <w:numPr>
          <w:ilvl w:val="0"/>
          <w:numId w:val="42"/>
        </w:numPr>
        <w:spacing w:after="160" w:line="360" w:lineRule="auto"/>
        <w:jc w:val="both"/>
        <w:rPr>
          <w:rFonts w:asciiTheme="majorBidi" w:hAnsiTheme="majorBidi" w:cstheme="majorBidi"/>
          <w:sz w:val="24"/>
          <w:szCs w:val="24"/>
          <w:lang w:val="en-US"/>
        </w:rPr>
      </w:pPr>
      <w:r w:rsidRPr="00247006">
        <w:rPr>
          <w:rFonts w:asciiTheme="majorBidi" w:hAnsiTheme="majorBidi" w:cstheme="majorBidi"/>
          <w:sz w:val="24"/>
          <w:szCs w:val="24"/>
          <w:lang w:val="en-US"/>
        </w:rPr>
        <w:t xml:space="preserve">Data escrow agreement: Raw transcripts and financial assumptions are held in an encrypted escrow that will be destroyed 12 months after thesis </w:t>
      </w:r>
      <w:r w:rsidR="00FE34CB" w:rsidRPr="00247006">
        <w:rPr>
          <w:rFonts w:asciiTheme="majorBidi" w:hAnsiTheme="majorBidi" w:cstheme="majorBidi"/>
          <w:sz w:val="24"/>
          <w:szCs w:val="24"/>
          <w:lang w:val="en-US"/>
        </w:rPr>
        <w:t>defense</w:t>
      </w:r>
      <w:r w:rsidRPr="00247006">
        <w:rPr>
          <w:rFonts w:asciiTheme="majorBidi" w:hAnsiTheme="majorBidi" w:cstheme="majorBidi"/>
          <w:sz w:val="24"/>
          <w:szCs w:val="24"/>
          <w:lang w:val="en-US"/>
        </w:rPr>
        <w:t>.</w:t>
      </w:r>
    </w:p>
    <w:p w14:paraId="2AE0AB60" w14:textId="77777777" w:rsidR="00247006" w:rsidRPr="00247006" w:rsidRDefault="00247006" w:rsidP="00FE34CB">
      <w:pPr>
        <w:pStyle w:val="ListParagraph"/>
        <w:numPr>
          <w:ilvl w:val="0"/>
          <w:numId w:val="42"/>
        </w:numPr>
        <w:spacing w:after="160" w:line="360" w:lineRule="auto"/>
        <w:jc w:val="both"/>
        <w:rPr>
          <w:rFonts w:asciiTheme="majorBidi" w:hAnsiTheme="majorBidi" w:cstheme="majorBidi"/>
          <w:sz w:val="24"/>
          <w:szCs w:val="24"/>
          <w:lang w:val="en-US"/>
        </w:rPr>
      </w:pPr>
      <w:r w:rsidRPr="00247006">
        <w:rPr>
          <w:rFonts w:asciiTheme="majorBidi" w:hAnsiTheme="majorBidi" w:cstheme="majorBidi"/>
          <w:sz w:val="24"/>
          <w:szCs w:val="24"/>
          <w:lang w:val="en-US"/>
        </w:rPr>
        <w:t>Right to review quotations: Every direct quotation used in the final thesis was sent back to the speaker for contextual approval (none requested changes).</w:t>
      </w:r>
    </w:p>
    <w:p w14:paraId="081B5AAB" w14:textId="77777777" w:rsidR="00247006" w:rsidRPr="00247006" w:rsidRDefault="00247006" w:rsidP="00FE34CB">
      <w:pPr>
        <w:pStyle w:val="ListParagraph"/>
        <w:numPr>
          <w:ilvl w:val="0"/>
          <w:numId w:val="42"/>
        </w:numPr>
        <w:spacing w:after="160" w:line="360" w:lineRule="auto"/>
        <w:jc w:val="both"/>
        <w:rPr>
          <w:rFonts w:asciiTheme="majorBidi" w:hAnsiTheme="majorBidi" w:cstheme="majorBidi"/>
          <w:sz w:val="24"/>
          <w:szCs w:val="24"/>
          <w:lang w:val="en-US"/>
        </w:rPr>
      </w:pPr>
      <w:r w:rsidRPr="00247006">
        <w:rPr>
          <w:rFonts w:asciiTheme="majorBidi" w:hAnsiTheme="majorBidi" w:cstheme="majorBidi"/>
          <w:sz w:val="24"/>
          <w:szCs w:val="24"/>
          <w:lang w:val="en-US"/>
        </w:rPr>
        <w:t>Dual-use technology statement: A specific ethics clause confirmed that no military applications of the research are foreseen.</w:t>
      </w:r>
    </w:p>
    <w:p w14:paraId="02DF336C" w14:textId="77777777" w:rsidR="0078006C" w:rsidRPr="00FE34CB" w:rsidRDefault="0078006C" w:rsidP="00FE34CB">
      <w:pPr>
        <w:pStyle w:val="ListParagraph"/>
        <w:spacing w:after="160" w:line="360" w:lineRule="auto"/>
        <w:jc w:val="both"/>
        <w:rPr>
          <w:rFonts w:asciiTheme="majorBidi" w:hAnsiTheme="majorBidi" w:cstheme="majorBidi"/>
          <w:sz w:val="24"/>
          <w:szCs w:val="24"/>
        </w:rPr>
      </w:pPr>
    </w:p>
    <w:p w14:paraId="73DB7507" w14:textId="77777777" w:rsidR="00247006" w:rsidRPr="00FE34CB" w:rsidRDefault="00247006" w:rsidP="00FE34CB">
      <w:pPr>
        <w:pStyle w:val="ListParagraph"/>
        <w:spacing w:after="160" w:line="360" w:lineRule="auto"/>
        <w:jc w:val="both"/>
        <w:rPr>
          <w:rFonts w:asciiTheme="majorBidi" w:hAnsiTheme="majorBidi" w:cstheme="majorBidi"/>
          <w:sz w:val="24"/>
          <w:szCs w:val="24"/>
        </w:rPr>
      </w:pPr>
    </w:p>
    <w:p w14:paraId="5DF5EAA5" w14:textId="5BD74739" w:rsidR="00247006" w:rsidRPr="00FE34CB" w:rsidRDefault="00B458A4" w:rsidP="00B458A4">
      <w:pPr>
        <w:pStyle w:val="Heading1"/>
      </w:pPr>
      <w:bookmarkStart w:id="24" w:name="_Toc215590822"/>
      <w:r>
        <w:t>3.8</w:t>
      </w:r>
      <w:r>
        <w:tab/>
      </w:r>
      <w:r w:rsidR="0078006C" w:rsidRPr="00FE34CB">
        <w:t>Scope Delimitations and Limitations</w:t>
      </w:r>
      <w:bookmarkEnd w:id="24"/>
      <w:r w:rsidR="0078006C" w:rsidRPr="00FE34CB">
        <w:t xml:space="preserve"> </w:t>
      </w:r>
    </w:p>
    <w:p w14:paraId="2CA11824" w14:textId="77777777" w:rsidR="00247006" w:rsidRPr="00FE34CB" w:rsidRDefault="00247006" w:rsidP="00FE34CB">
      <w:pPr>
        <w:pStyle w:val="ListParagraph"/>
        <w:spacing w:after="160" w:line="360" w:lineRule="auto"/>
        <w:jc w:val="both"/>
        <w:rPr>
          <w:rFonts w:asciiTheme="majorBidi" w:hAnsiTheme="majorBidi" w:cstheme="majorBidi"/>
          <w:sz w:val="24"/>
          <w:szCs w:val="24"/>
        </w:rPr>
      </w:pPr>
    </w:p>
    <w:tbl>
      <w:tblPr>
        <w:tblStyle w:val="GridTable1Light-Accent1"/>
        <w:tblW w:w="10092" w:type="dxa"/>
        <w:tblLook w:val="04A0" w:firstRow="1" w:lastRow="0" w:firstColumn="1" w:lastColumn="0" w:noHBand="0" w:noVBand="1"/>
      </w:tblPr>
      <w:tblGrid>
        <w:gridCol w:w="2443"/>
        <w:gridCol w:w="3791"/>
        <w:gridCol w:w="3858"/>
      </w:tblGrid>
      <w:tr w:rsidR="00247006" w:rsidRPr="00FE34CB" w14:paraId="0034AC3D" w14:textId="77777777" w:rsidTr="00247006">
        <w:trPr>
          <w:cnfStyle w:val="100000000000" w:firstRow="1" w:lastRow="0" w:firstColumn="0" w:lastColumn="0" w:oddVBand="0" w:evenVBand="0" w:oddHBand="0"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2443" w:type="dxa"/>
            <w:shd w:val="clear" w:color="auto" w:fill="A3DBFF"/>
          </w:tcPr>
          <w:p w14:paraId="4AB355A1" w14:textId="48CB6C9B" w:rsidR="00247006" w:rsidRPr="00FE34CB" w:rsidRDefault="00247006" w:rsidP="00FE34CB">
            <w:pPr>
              <w:pStyle w:val="ListParagraph"/>
              <w:spacing w:after="160" w:line="360" w:lineRule="auto"/>
              <w:ind w:left="0"/>
              <w:jc w:val="both"/>
              <w:rPr>
                <w:rFonts w:asciiTheme="majorBidi" w:hAnsiTheme="majorBidi" w:cstheme="majorBidi"/>
                <w:sz w:val="24"/>
                <w:szCs w:val="24"/>
              </w:rPr>
            </w:pPr>
            <w:r w:rsidRPr="00FE34CB">
              <w:rPr>
                <w:rFonts w:asciiTheme="majorBidi" w:hAnsiTheme="majorBidi" w:cstheme="majorBidi"/>
                <w:b w:val="0"/>
                <w:bCs w:val="0"/>
                <w:sz w:val="24"/>
                <w:szCs w:val="24"/>
              </w:rPr>
              <w:t>Limitation / Delimitation</w:t>
            </w:r>
          </w:p>
        </w:tc>
        <w:tc>
          <w:tcPr>
            <w:tcW w:w="3791" w:type="dxa"/>
            <w:shd w:val="clear" w:color="auto" w:fill="A3DBFF"/>
          </w:tcPr>
          <w:p w14:paraId="5CE8D9AD" w14:textId="3F124655" w:rsidR="00247006" w:rsidRPr="00FE34CB" w:rsidRDefault="00247006" w:rsidP="00FE34CB">
            <w:pPr>
              <w:pStyle w:val="ListParagraph"/>
              <w:spacing w:after="16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b w:val="0"/>
                <w:bCs w:val="0"/>
                <w:sz w:val="24"/>
                <w:szCs w:val="24"/>
              </w:rPr>
              <w:t>Description &amp; Impact</w:t>
            </w:r>
          </w:p>
        </w:tc>
        <w:tc>
          <w:tcPr>
            <w:tcW w:w="3858" w:type="dxa"/>
            <w:shd w:val="clear" w:color="auto" w:fill="A3DBFF"/>
          </w:tcPr>
          <w:p w14:paraId="6BF3BA08" w14:textId="3B21046B" w:rsidR="00247006" w:rsidRPr="00FE34CB" w:rsidRDefault="00247006" w:rsidP="00FE34CB">
            <w:pPr>
              <w:pStyle w:val="ListParagraph"/>
              <w:spacing w:after="16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b w:val="0"/>
                <w:bCs w:val="0"/>
                <w:sz w:val="24"/>
                <w:szCs w:val="24"/>
              </w:rPr>
              <w:t>Mitigation Applied</w:t>
            </w:r>
          </w:p>
        </w:tc>
      </w:tr>
      <w:tr w:rsidR="00247006" w:rsidRPr="00FE34CB" w14:paraId="4514676C" w14:textId="77777777" w:rsidTr="00247006">
        <w:trPr>
          <w:trHeight w:val="1380"/>
        </w:trPr>
        <w:tc>
          <w:tcPr>
            <w:cnfStyle w:val="001000000000" w:firstRow="0" w:lastRow="0" w:firstColumn="1" w:lastColumn="0" w:oddVBand="0" w:evenVBand="0" w:oddHBand="0" w:evenHBand="0" w:firstRowFirstColumn="0" w:firstRowLastColumn="0" w:lastRowFirstColumn="0" w:lastRowLastColumn="0"/>
            <w:tcW w:w="2443" w:type="dxa"/>
          </w:tcPr>
          <w:p w14:paraId="7FC03FDA" w14:textId="7CB35908" w:rsidR="00247006" w:rsidRPr="00FE34CB" w:rsidRDefault="00247006" w:rsidP="00FE34CB">
            <w:pPr>
              <w:pStyle w:val="ListParagraph"/>
              <w:spacing w:after="160" w:line="360" w:lineRule="auto"/>
              <w:ind w:left="0"/>
              <w:jc w:val="both"/>
              <w:rPr>
                <w:rFonts w:asciiTheme="majorBidi" w:hAnsiTheme="majorBidi" w:cstheme="majorBidi"/>
                <w:b w:val="0"/>
                <w:bCs w:val="0"/>
                <w:sz w:val="24"/>
                <w:szCs w:val="24"/>
              </w:rPr>
            </w:pPr>
            <w:r w:rsidRPr="00FE34CB">
              <w:rPr>
                <w:rFonts w:asciiTheme="majorBidi" w:hAnsiTheme="majorBidi" w:cstheme="majorBidi"/>
                <w:b w:val="0"/>
                <w:bCs w:val="0"/>
                <w:sz w:val="24"/>
                <w:szCs w:val="24"/>
              </w:rPr>
              <w:t>Proprietary data access</w:t>
            </w:r>
          </w:p>
        </w:tc>
        <w:tc>
          <w:tcPr>
            <w:tcW w:w="3791" w:type="dxa"/>
          </w:tcPr>
          <w:p w14:paraId="0D5E8809" w14:textId="076B71C9" w:rsidR="00247006" w:rsidRPr="00FE34CB" w:rsidRDefault="00247006"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Exact failure costs and warranty claim values remain commercially confidential</w:t>
            </w:r>
          </w:p>
        </w:tc>
        <w:tc>
          <w:tcPr>
            <w:tcW w:w="3858" w:type="dxa"/>
          </w:tcPr>
          <w:p w14:paraId="7E956A1A" w14:textId="3FF8D275" w:rsidR="00247006" w:rsidRPr="00FE34CB" w:rsidRDefault="00247006"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Used triangulated expert estimates + industry benchmarks (McKinsey, DB, JR East published figures)</w:t>
            </w:r>
          </w:p>
        </w:tc>
      </w:tr>
      <w:tr w:rsidR="00247006" w:rsidRPr="00FE34CB" w14:paraId="7F8E3130" w14:textId="77777777" w:rsidTr="00FE34CB">
        <w:trPr>
          <w:trHeight w:val="1214"/>
        </w:trPr>
        <w:tc>
          <w:tcPr>
            <w:cnfStyle w:val="001000000000" w:firstRow="0" w:lastRow="0" w:firstColumn="1" w:lastColumn="0" w:oddVBand="0" w:evenVBand="0" w:oddHBand="0" w:evenHBand="0" w:firstRowFirstColumn="0" w:firstRowLastColumn="0" w:lastRowFirstColumn="0" w:lastRowLastColumn="0"/>
            <w:tcW w:w="2443" w:type="dxa"/>
          </w:tcPr>
          <w:p w14:paraId="3AD07D5D" w14:textId="47AEB350" w:rsidR="00247006" w:rsidRPr="00FE34CB" w:rsidRDefault="00247006" w:rsidP="00FE34CB">
            <w:pPr>
              <w:pStyle w:val="ListParagraph"/>
              <w:spacing w:after="160" w:line="360" w:lineRule="auto"/>
              <w:ind w:left="0"/>
              <w:jc w:val="both"/>
              <w:rPr>
                <w:rFonts w:asciiTheme="majorBidi" w:hAnsiTheme="majorBidi" w:cstheme="majorBidi"/>
                <w:b w:val="0"/>
                <w:bCs w:val="0"/>
                <w:sz w:val="24"/>
                <w:szCs w:val="24"/>
              </w:rPr>
            </w:pPr>
            <w:r w:rsidRPr="00FE34CB">
              <w:rPr>
                <w:rFonts w:asciiTheme="majorBidi" w:hAnsiTheme="majorBidi" w:cstheme="majorBidi"/>
                <w:b w:val="0"/>
                <w:bCs w:val="0"/>
                <w:sz w:val="24"/>
                <w:szCs w:val="24"/>
              </w:rPr>
              <w:t>Sample concentration in one partnership</w:t>
            </w:r>
          </w:p>
        </w:tc>
        <w:tc>
          <w:tcPr>
            <w:tcW w:w="3791" w:type="dxa"/>
          </w:tcPr>
          <w:p w14:paraId="6B663E89" w14:textId="1421D19E" w:rsidR="00247006" w:rsidRPr="00FE34CB" w:rsidRDefault="00247006"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9 of 10 experts from CAF–SAR ecosystem</w:t>
            </w:r>
          </w:p>
        </w:tc>
        <w:tc>
          <w:tcPr>
            <w:tcW w:w="3858" w:type="dxa"/>
          </w:tcPr>
          <w:p w14:paraId="4C7A013C" w14:textId="70734DCC" w:rsidR="00247006" w:rsidRPr="00FE34CB" w:rsidRDefault="00247006"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Extensive secondary benchmarking against DB, SNCF, JR East, and Etihad Rail</w:t>
            </w:r>
          </w:p>
        </w:tc>
      </w:tr>
      <w:tr w:rsidR="00247006" w:rsidRPr="00FE34CB" w14:paraId="779429CC" w14:textId="77777777" w:rsidTr="00247006">
        <w:trPr>
          <w:trHeight w:val="1380"/>
        </w:trPr>
        <w:tc>
          <w:tcPr>
            <w:cnfStyle w:val="001000000000" w:firstRow="0" w:lastRow="0" w:firstColumn="1" w:lastColumn="0" w:oddVBand="0" w:evenVBand="0" w:oddHBand="0" w:evenHBand="0" w:firstRowFirstColumn="0" w:firstRowLastColumn="0" w:lastRowFirstColumn="0" w:lastRowLastColumn="0"/>
            <w:tcW w:w="2443" w:type="dxa"/>
          </w:tcPr>
          <w:p w14:paraId="0D01E8D7" w14:textId="127C7C2E" w:rsidR="00247006" w:rsidRPr="00FE34CB" w:rsidRDefault="00247006" w:rsidP="00FE34CB">
            <w:pPr>
              <w:pStyle w:val="ListParagraph"/>
              <w:spacing w:after="160" w:line="360" w:lineRule="auto"/>
              <w:ind w:left="0"/>
              <w:jc w:val="both"/>
              <w:rPr>
                <w:rFonts w:asciiTheme="majorBidi" w:hAnsiTheme="majorBidi" w:cstheme="majorBidi"/>
                <w:b w:val="0"/>
                <w:bCs w:val="0"/>
                <w:sz w:val="24"/>
                <w:szCs w:val="24"/>
              </w:rPr>
            </w:pPr>
            <w:r w:rsidRPr="00FE34CB">
              <w:rPr>
                <w:rFonts w:asciiTheme="majorBidi" w:hAnsiTheme="majorBidi" w:cstheme="majorBidi"/>
                <w:b w:val="0"/>
                <w:bCs w:val="0"/>
                <w:sz w:val="24"/>
                <w:szCs w:val="24"/>
              </w:rPr>
              <w:t>Focus on rolling stock only</w:t>
            </w:r>
          </w:p>
        </w:tc>
        <w:tc>
          <w:tcPr>
            <w:tcW w:w="3791" w:type="dxa"/>
          </w:tcPr>
          <w:p w14:paraId="1D4E30E3" w14:textId="4CB4A7EF" w:rsidR="00247006" w:rsidRPr="00FE34CB" w:rsidRDefault="00247006"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Track, signalling, and civil structures excluded</w:t>
            </w:r>
          </w:p>
        </w:tc>
        <w:tc>
          <w:tcPr>
            <w:tcW w:w="3858" w:type="dxa"/>
          </w:tcPr>
          <w:p w14:paraId="5BB63175" w14:textId="499B50A5" w:rsidR="00247006" w:rsidRPr="00FE34CB" w:rsidRDefault="00247006"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Explicitly stated delimitation; principles remain transferable with adaptation</w:t>
            </w:r>
          </w:p>
        </w:tc>
      </w:tr>
      <w:tr w:rsidR="00247006" w:rsidRPr="00FE34CB" w14:paraId="4BDD1C3C" w14:textId="77777777" w:rsidTr="00247006">
        <w:trPr>
          <w:trHeight w:val="974"/>
        </w:trPr>
        <w:tc>
          <w:tcPr>
            <w:cnfStyle w:val="001000000000" w:firstRow="0" w:lastRow="0" w:firstColumn="1" w:lastColumn="0" w:oddVBand="0" w:evenVBand="0" w:oddHBand="0" w:evenHBand="0" w:firstRowFirstColumn="0" w:firstRowLastColumn="0" w:lastRowFirstColumn="0" w:lastRowLastColumn="0"/>
            <w:tcW w:w="2443" w:type="dxa"/>
          </w:tcPr>
          <w:p w14:paraId="0A145E37" w14:textId="66719518" w:rsidR="00247006" w:rsidRPr="00FE34CB" w:rsidRDefault="00247006" w:rsidP="00FE34CB">
            <w:pPr>
              <w:pStyle w:val="ListParagraph"/>
              <w:spacing w:after="160" w:line="360" w:lineRule="auto"/>
              <w:ind w:left="0"/>
              <w:jc w:val="both"/>
              <w:rPr>
                <w:rFonts w:asciiTheme="majorBidi" w:hAnsiTheme="majorBidi" w:cstheme="majorBidi"/>
                <w:b w:val="0"/>
                <w:bCs w:val="0"/>
                <w:sz w:val="24"/>
                <w:szCs w:val="24"/>
              </w:rPr>
            </w:pPr>
            <w:r w:rsidRPr="00FE34CB">
              <w:rPr>
                <w:rFonts w:asciiTheme="majorBidi" w:hAnsiTheme="majorBidi" w:cstheme="majorBidi"/>
                <w:b w:val="0"/>
                <w:bCs w:val="0"/>
                <w:sz w:val="24"/>
                <w:szCs w:val="24"/>
              </w:rPr>
              <w:t>Rapid technology evolution</w:t>
            </w:r>
          </w:p>
        </w:tc>
        <w:tc>
          <w:tcPr>
            <w:tcW w:w="3791" w:type="dxa"/>
          </w:tcPr>
          <w:p w14:paraId="4A6F150F" w14:textId="2E719AAD" w:rsidR="00247006" w:rsidRPr="00FE34CB" w:rsidRDefault="00247006"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Specific algorithms cited may be superseded by 2027–2028</w:t>
            </w:r>
          </w:p>
        </w:tc>
        <w:tc>
          <w:tcPr>
            <w:tcW w:w="3858" w:type="dxa"/>
          </w:tcPr>
          <w:p w14:paraId="2287B951" w14:textId="5747BA56" w:rsidR="00247006" w:rsidRPr="00FE34CB" w:rsidRDefault="00247006"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Roadmap is built on strategic phases and capabilities, not product names</w:t>
            </w:r>
          </w:p>
        </w:tc>
      </w:tr>
      <w:tr w:rsidR="00247006" w:rsidRPr="00FE34CB" w14:paraId="3CEF3D9A" w14:textId="77777777" w:rsidTr="00247006">
        <w:trPr>
          <w:trHeight w:val="1785"/>
        </w:trPr>
        <w:tc>
          <w:tcPr>
            <w:cnfStyle w:val="001000000000" w:firstRow="0" w:lastRow="0" w:firstColumn="1" w:lastColumn="0" w:oddVBand="0" w:evenVBand="0" w:oddHBand="0" w:evenHBand="0" w:firstRowFirstColumn="0" w:firstRowLastColumn="0" w:lastRowFirstColumn="0" w:lastRowLastColumn="0"/>
            <w:tcW w:w="2443" w:type="dxa"/>
          </w:tcPr>
          <w:p w14:paraId="7C911265" w14:textId="75C446C3" w:rsidR="00247006" w:rsidRPr="00FE34CB" w:rsidRDefault="00247006" w:rsidP="00FE34CB">
            <w:pPr>
              <w:pStyle w:val="ListParagraph"/>
              <w:spacing w:after="160" w:line="360" w:lineRule="auto"/>
              <w:ind w:left="0"/>
              <w:jc w:val="both"/>
              <w:rPr>
                <w:rFonts w:asciiTheme="majorBidi" w:hAnsiTheme="majorBidi" w:cstheme="majorBidi"/>
                <w:b w:val="0"/>
                <w:bCs w:val="0"/>
                <w:sz w:val="24"/>
                <w:szCs w:val="24"/>
              </w:rPr>
            </w:pPr>
            <w:r w:rsidRPr="00FE34CB">
              <w:rPr>
                <w:rFonts w:asciiTheme="majorBidi" w:hAnsiTheme="majorBidi" w:cstheme="majorBidi"/>
                <w:b w:val="0"/>
                <w:bCs w:val="0"/>
                <w:sz w:val="24"/>
                <w:szCs w:val="24"/>
              </w:rPr>
              <w:lastRenderedPageBreak/>
              <w:t>Researcher positionality</w:t>
            </w:r>
          </w:p>
        </w:tc>
        <w:tc>
          <w:tcPr>
            <w:tcW w:w="3791" w:type="dxa"/>
          </w:tcPr>
          <w:p w14:paraId="647B9C68" w14:textId="05DB98A9" w:rsidR="00247006" w:rsidRPr="00FE34CB" w:rsidRDefault="00247006"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Author is known to several participants → potential bias toward positive narratives</w:t>
            </w:r>
          </w:p>
        </w:tc>
        <w:tc>
          <w:tcPr>
            <w:tcW w:w="3858" w:type="dxa"/>
          </w:tcPr>
          <w:p w14:paraId="752C3B63" w14:textId="547C3B93" w:rsidR="00247006" w:rsidRPr="00FE34CB" w:rsidRDefault="00247006" w:rsidP="00FE34CB">
            <w:pPr>
              <w:pStyle w:val="ListParagraph"/>
              <w:spacing w:after="16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Critical reflexivity journal maintained; negative and contradictory statements actively sought and reported</w:t>
            </w:r>
          </w:p>
        </w:tc>
      </w:tr>
    </w:tbl>
    <w:p w14:paraId="23141D5C" w14:textId="0FBD8C65" w:rsidR="00247006" w:rsidRPr="00FF2699" w:rsidRDefault="00FF2699" w:rsidP="00FF2699">
      <w:pPr>
        <w:spacing w:after="160" w:line="360" w:lineRule="auto"/>
        <w:jc w:val="center"/>
        <w:rPr>
          <w:rFonts w:asciiTheme="majorBidi" w:hAnsiTheme="majorBidi" w:cstheme="majorBidi"/>
          <w:sz w:val="16"/>
          <w:szCs w:val="16"/>
        </w:rPr>
      </w:pPr>
      <w:r w:rsidRPr="00FF2699">
        <w:rPr>
          <w:rFonts w:asciiTheme="majorBidi" w:hAnsiTheme="majorBidi" w:cstheme="majorBidi"/>
          <w:sz w:val="16"/>
          <w:szCs w:val="16"/>
        </w:rPr>
        <w:t>Table 6:  Scop limitations</w:t>
      </w:r>
    </w:p>
    <w:p w14:paraId="54907F66" w14:textId="77777777" w:rsidR="00FF2699" w:rsidRDefault="00FF2699" w:rsidP="00FE34CB">
      <w:pPr>
        <w:pStyle w:val="ListParagraph"/>
        <w:spacing w:after="160" w:line="360" w:lineRule="auto"/>
        <w:ind w:left="360"/>
        <w:jc w:val="both"/>
        <w:rPr>
          <w:rFonts w:asciiTheme="majorBidi" w:hAnsiTheme="majorBidi" w:cstheme="majorBidi"/>
          <w:sz w:val="24"/>
          <w:szCs w:val="24"/>
          <w:lang w:val="en-US"/>
        </w:rPr>
      </w:pPr>
    </w:p>
    <w:p w14:paraId="75D831CB" w14:textId="77777777" w:rsidR="00FF2699" w:rsidRDefault="00FF2699" w:rsidP="00FE34CB">
      <w:pPr>
        <w:pStyle w:val="ListParagraph"/>
        <w:spacing w:after="160" w:line="360" w:lineRule="auto"/>
        <w:ind w:left="360"/>
        <w:jc w:val="both"/>
        <w:rPr>
          <w:rFonts w:asciiTheme="majorBidi" w:hAnsiTheme="majorBidi" w:cstheme="majorBidi"/>
          <w:sz w:val="24"/>
          <w:szCs w:val="24"/>
          <w:lang w:val="en-US"/>
        </w:rPr>
      </w:pPr>
    </w:p>
    <w:p w14:paraId="0CE3572E" w14:textId="46744718" w:rsidR="00247006" w:rsidRPr="00FE34CB" w:rsidRDefault="00247006" w:rsidP="00FE34CB">
      <w:pPr>
        <w:pStyle w:val="ListParagraph"/>
        <w:spacing w:after="160" w:line="360" w:lineRule="auto"/>
        <w:ind w:left="360"/>
        <w:jc w:val="both"/>
        <w:rPr>
          <w:rFonts w:asciiTheme="majorBidi" w:hAnsiTheme="majorBidi" w:cstheme="majorBidi"/>
          <w:sz w:val="24"/>
          <w:szCs w:val="24"/>
          <w:lang w:val="en-US"/>
        </w:rPr>
      </w:pPr>
      <w:r w:rsidRPr="00247006">
        <w:rPr>
          <w:rFonts w:asciiTheme="majorBidi" w:hAnsiTheme="majorBidi" w:cstheme="majorBidi"/>
          <w:sz w:val="24"/>
          <w:szCs w:val="24"/>
          <w:lang w:val="en-US"/>
        </w:rPr>
        <w:t>Despite these acknowledged constraints, the combination of theoretical saturation, triangulation across multiple global operators, and Monte-Carlo financial validation produces findings that are significantly more robust and actionable than single-method studies dominating the current railway digital-transformation literature.</w:t>
      </w:r>
    </w:p>
    <w:p w14:paraId="1F9AB874" w14:textId="77777777" w:rsidR="00C31DED" w:rsidRPr="00FE34CB" w:rsidRDefault="00C31DED" w:rsidP="00FE34CB">
      <w:pPr>
        <w:pStyle w:val="ListParagraph"/>
        <w:spacing w:after="160" w:line="360" w:lineRule="auto"/>
        <w:ind w:left="360"/>
        <w:jc w:val="both"/>
        <w:rPr>
          <w:rFonts w:asciiTheme="majorBidi" w:hAnsiTheme="majorBidi" w:cstheme="majorBidi"/>
          <w:sz w:val="24"/>
          <w:szCs w:val="24"/>
          <w:lang w:val="en-US"/>
        </w:rPr>
      </w:pPr>
    </w:p>
    <w:p w14:paraId="3F3A8FCB" w14:textId="77777777" w:rsidR="00C31DED" w:rsidRDefault="00C31DED" w:rsidP="00247006">
      <w:pPr>
        <w:pStyle w:val="ListParagraph"/>
        <w:spacing w:after="160" w:line="360" w:lineRule="auto"/>
        <w:ind w:left="360"/>
        <w:rPr>
          <w:rFonts w:asciiTheme="majorBidi" w:hAnsiTheme="majorBidi" w:cstheme="majorBidi"/>
          <w:sz w:val="24"/>
          <w:szCs w:val="24"/>
          <w:lang w:val="en-US"/>
        </w:rPr>
      </w:pPr>
    </w:p>
    <w:p w14:paraId="784D5CA9" w14:textId="77777777" w:rsidR="00C31DED" w:rsidRPr="00247006" w:rsidRDefault="00C31DED" w:rsidP="00247006">
      <w:pPr>
        <w:pStyle w:val="ListParagraph"/>
        <w:spacing w:after="160" w:line="360" w:lineRule="auto"/>
        <w:ind w:left="360"/>
        <w:rPr>
          <w:rFonts w:asciiTheme="majorBidi" w:hAnsiTheme="majorBidi" w:cstheme="majorBidi"/>
          <w:sz w:val="24"/>
          <w:szCs w:val="24"/>
          <w:lang w:val="en-US"/>
        </w:rPr>
      </w:pPr>
    </w:p>
    <w:p w14:paraId="6B9AA101" w14:textId="68A4F3BD" w:rsidR="00FE34CB" w:rsidRDefault="00FE34CB">
      <w:pPr>
        <w:spacing w:after="160" w:line="259" w:lineRule="auto"/>
        <w:rPr>
          <w:rFonts w:asciiTheme="majorBidi" w:hAnsiTheme="majorBidi" w:cstheme="majorBidi"/>
          <w:sz w:val="24"/>
          <w:szCs w:val="24"/>
        </w:rPr>
      </w:pPr>
      <w:r>
        <w:rPr>
          <w:rFonts w:asciiTheme="majorBidi" w:hAnsiTheme="majorBidi" w:cstheme="majorBidi"/>
          <w:sz w:val="24"/>
          <w:szCs w:val="24"/>
        </w:rPr>
        <w:br w:type="page"/>
      </w:r>
    </w:p>
    <w:p w14:paraId="3C4178A6" w14:textId="4E944A58" w:rsidR="00194797" w:rsidRDefault="0030542D" w:rsidP="005C71B4">
      <w:pPr>
        <w:pStyle w:val="Heading1"/>
        <w:numPr>
          <w:ilvl w:val="0"/>
          <w:numId w:val="44"/>
        </w:numPr>
        <w:rPr>
          <w:rFonts w:asciiTheme="majorBidi" w:hAnsiTheme="majorBidi"/>
        </w:rPr>
      </w:pPr>
      <w:bookmarkStart w:id="25" w:name="_Hlk215501997"/>
      <w:bookmarkStart w:id="26" w:name="_Toc215590823"/>
      <w:r w:rsidRPr="0030542D">
        <w:rPr>
          <w:rFonts w:asciiTheme="majorBidi" w:hAnsiTheme="majorBidi"/>
        </w:rPr>
        <w:lastRenderedPageBreak/>
        <w:t>Chapter 4: Practical Stud</w:t>
      </w:r>
      <w:r w:rsidR="00194797">
        <w:rPr>
          <w:rFonts w:asciiTheme="majorBidi" w:hAnsiTheme="majorBidi"/>
        </w:rPr>
        <w:t>y</w:t>
      </w:r>
      <w:r w:rsidR="00002C23">
        <w:rPr>
          <w:rFonts w:asciiTheme="majorBidi" w:hAnsiTheme="majorBidi"/>
        </w:rPr>
        <w:t xml:space="preserve"> and Roadmap</w:t>
      </w:r>
      <w:bookmarkEnd w:id="26"/>
      <w:r w:rsidR="00002C23">
        <w:rPr>
          <w:rFonts w:asciiTheme="majorBidi" w:hAnsiTheme="majorBidi"/>
        </w:rPr>
        <w:t xml:space="preserve"> </w:t>
      </w:r>
    </w:p>
    <w:p w14:paraId="2C4E8C76" w14:textId="77777777" w:rsidR="00234B59" w:rsidRPr="00234B59" w:rsidRDefault="00234B59" w:rsidP="00234B59"/>
    <w:p w14:paraId="32E20310" w14:textId="3C2C11CB" w:rsidR="00002C23" w:rsidRPr="00FE34CB" w:rsidRDefault="00B458A4" w:rsidP="00B458A4">
      <w:pPr>
        <w:pStyle w:val="Heading1"/>
      </w:pPr>
      <w:bookmarkStart w:id="27" w:name="_Toc215590824"/>
      <w:r>
        <w:t>4.1</w:t>
      </w:r>
      <w:r>
        <w:tab/>
      </w:r>
      <w:r w:rsidR="00002C23" w:rsidRPr="00FE34CB">
        <w:t>Data analysis</w:t>
      </w:r>
      <w:bookmarkEnd w:id="27"/>
    </w:p>
    <w:p w14:paraId="2108345B" w14:textId="1C0CAF99" w:rsidR="00002C23" w:rsidRPr="00FE34CB" w:rsidRDefault="00002C23"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The</w:t>
      </w:r>
      <w:r w:rsidR="00234B59" w:rsidRPr="00FE34CB">
        <w:rPr>
          <w:rFonts w:asciiTheme="majorBidi" w:hAnsiTheme="majorBidi" w:cstheme="majorBidi"/>
          <w:sz w:val="24"/>
          <w:szCs w:val="24"/>
        </w:rPr>
        <w:t xml:space="preserve"> data</w:t>
      </w:r>
      <w:r w:rsidRPr="00FE34CB">
        <w:rPr>
          <w:rFonts w:asciiTheme="majorBidi" w:hAnsiTheme="majorBidi" w:cstheme="majorBidi"/>
          <w:sz w:val="24"/>
          <w:szCs w:val="24"/>
        </w:rPr>
        <w:t xml:space="preserve"> analysis phase integrates the qualitative insights gained from the Subject Matter Expert</w:t>
      </w:r>
      <w:r w:rsidR="00234B59" w:rsidRPr="00FE34CB">
        <w:rPr>
          <w:rFonts w:asciiTheme="majorBidi" w:hAnsiTheme="majorBidi" w:cstheme="majorBidi"/>
          <w:sz w:val="24"/>
          <w:szCs w:val="24"/>
        </w:rPr>
        <w:t>s</w:t>
      </w:r>
      <w:r w:rsidRPr="00FE34CB">
        <w:rPr>
          <w:rFonts w:asciiTheme="majorBidi" w:hAnsiTheme="majorBidi" w:cstheme="majorBidi"/>
          <w:sz w:val="24"/>
          <w:szCs w:val="24"/>
        </w:rPr>
        <w:t xml:space="preserve"> (SME</w:t>
      </w:r>
      <w:r w:rsidR="00234B59" w:rsidRPr="00FE34CB">
        <w:rPr>
          <w:rFonts w:asciiTheme="majorBidi" w:hAnsiTheme="majorBidi" w:cstheme="majorBidi"/>
          <w:sz w:val="24"/>
          <w:szCs w:val="24"/>
        </w:rPr>
        <w:t>s</w:t>
      </w:r>
      <w:r w:rsidRPr="00FE34CB">
        <w:rPr>
          <w:rFonts w:asciiTheme="majorBidi" w:hAnsiTheme="majorBidi" w:cstheme="majorBidi"/>
          <w:sz w:val="24"/>
          <w:szCs w:val="24"/>
        </w:rPr>
        <w:t>) interviews with the quantitative modeling of the financial variables, providing the empirical foundation for the proposed roadmap and the testing of the hypotheses.</w:t>
      </w:r>
    </w:p>
    <w:p w14:paraId="37AE0E7B" w14:textId="77777777" w:rsidR="00234B59" w:rsidRPr="00FE34CB" w:rsidRDefault="00234B59" w:rsidP="00FE34CB">
      <w:pPr>
        <w:pStyle w:val="ListParagraph"/>
        <w:spacing w:afterLines="160" w:after="384" w:line="360" w:lineRule="auto"/>
        <w:jc w:val="both"/>
        <w:rPr>
          <w:rFonts w:asciiTheme="majorBidi" w:hAnsiTheme="majorBidi" w:cstheme="majorBidi"/>
          <w:sz w:val="24"/>
          <w:szCs w:val="24"/>
        </w:rPr>
      </w:pPr>
    </w:p>
    <w:p w14:paraId="4B24556F" w14:textId="20FB8F05" w:rsidR="00234B59" w:rsidRPr="00B458A4" w:rsidRDefault="00002C23" w:rsidP="00B458A4">
      <w:pPr>
        <w:pStyle w:val="ListParagraph"/>
        <w:numPr>
          <w:ilvl w:val="2"/>
          <w:numId w:val="46"/>
        </w:numPr>
        <w:spacing w:afterLines="160" w:after="384" w:line="360" w:lineRule="auto"/>
        <w:jc w:val="both"/>
        <w:rPr>
          <w:rFonts w:asciiTheme="majorBidi" w:hAnsiTheme="majorBidi" w:cstheme="majorBidi"/>
          <w:sz w:val="24"/>
          <w:szCs w:val="24"/>
          <w:lang w:val="en-US"/>
        </w:rPr>
      </w:pPr>
      <w:r w:rsidRPr="00B458A4">
        <w:rPr>
          <w:rFonts w:asciiTheme="majorBidi" w:hAnsiTheme="majorBidi" w:cstheme="majorBidi"/>
          <w:sz w:val="24"/>
          <w:szCs w:val="24"/>
        </w:rPr>
        <w:t xml:space="preserve">Qualitative </w:t>
      </w:r>
      <w:r w:rsidR="00234B59" w:rsidRPr="00B458A4">
        <w:rPr>
          <w:rFonts w:asciiTheme="majorBidi" w:hAnsiTheme="majorBidi" w:cstheme="majorBidi"/>
          <w:sz w:val="24"/>
          <w:szCs w:val="24"/>
          <w:lang w:val="en-US"/>
        </w:rPr>
        <w:t>Qualitative Thematic Findings – Five-Layer Model</w:t>
      </w:r>
    </w:p>
    <w:p w14:paraId="27C73E16" w14:textId="77777777" w:rsidR="00D109DB" w:rsidRPr="00FE34CB" w:rsidRDefault="00D109DB" w:rsidP="00FE34CB">
      <w:pPr>
        <w:pStyle w:val="ListParagraph"/>
        <w:spacing w:afterLines="160" w:after="384" w:line="360" w:lineRule="auto"/>
        <w:jc w:val="both"/>
        <w:rPr>
          <w:rFonts w:asciiTheme="majorBidi" w:hAnsiTheme="majorBidi" w:cstheme="majorBidi"/>
          <w:sz w:val="24"/>
          <w:szCs w:val="24"/>
          <w:lang w:val="en-US"/>
        </w:rPr>
      </w:pPr>
    </w:p>
    <w:p w14:paraId="7F8A86D2" w14:textId="77777777" w:rsidR="00D109DB" w:rsidRPr="00D109DB" w:rsidRDefault="00D109DB" w:rsidP="00FE34CB">
      <w:pPr>
        <w:pStyle w:val="ListParagraph"/>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The original three themes remain the backbone, but deeper coding and a final cross-validation workshop with three interviewees in September 2025 revealed two additional emergent layers that the global rail community is only now beginning to articulate:</w:t>
      </w:r>
    </w:p>
    <w:p w14:paraId="006323F3" w14:textId="77777777" w:rsidR="00D109DB" w:rsidRPr="00D109DB" w:rsidRDefault="00D109DB" w:rsidP="00FE34CB">
      <w:pPr>
        <w:pStyle w:val="ListParagraph"/>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Theme 4 – Regulatory Forefront vs. Technological Reality</w:t>
      </w:r>
    </w:p>
    <w:p w14:paraId="7666C5EA" w14:textId="77777777" w:rsidR="00D109DB" w:rsidRPr="00D109DB" w:rsidRDefault="00D109DB" w:rsidP="00FE34CB">
      <w:pPr>
        <w:pStyle w:val="ListParagraph"/>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“CENELEC still thinks in terms of ‘human ultimately responsible’. We are building systems that are objectively safer than any human, yet the safety case is rejected because the standard was written in 1999.” (Technical SME 01, follow-up workshop, Sept 2025)</w:t>
      </w:r>
    </w:p>
    <w:p w14:paraId="5FC39B64" w14:textId="77777777" w:rsidR="00D109DB" w:rsidRPr="00D109DB" w:rsidRDefault="00D109DB" w:rsidP="00FE34CB">
      <w:pPr>
        <w:pStyle w:val="ListParagraph"/>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Theme 5 – Ecosystem Lock-in vs. Federated Future</w:t>
      </w:r>
    </w:p>
    <w:p w14:paraId="6E2D3D71" w14:textId="77777777" w:rsidR="00D109DB" w:rsidRPr="00D109DB" w:rsidRDefault="00D109DB" w:rsidP="00FE34CB">
      <w:pPr>
        <w:pStyle w:val="ListParagraph"/>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“Every OEM wants its own digital twin silo so they can sell you spare parts forever. The only way to reach true zero-downtime is a federated model where SAR owns the master twin and every supplier plugs in.” (Strategic SME 10)</w:t>
      </w:r>
    </w:p>
    <w:p w14:paraId="67400FC7" w14:textId="77777777" w:rsidR="00D109DB" w:rsidRPr="00FE34CB" w:rsidRDefault="00D109DB" w:rsidP="00FE34CB">
      <w:pPr>
        <w:pStyle w:val="ListParagraph"/>
        <w:spacing w:afterLines="160" w:after="384" w:line="360" w:lineRule="auto"/>
        <w:jc w:val="both"/>
        <w:rPr>
          <w:rFonts w:asciiTheme="majorBidi" w:hAnsiTheme="majorBidi" w:cstheme="majorBidi"/>
          <w:sz w:val="24"/>
          <w:szCs w:val="24"/>
          <w:lang w:val="en-US"/>
        </w:rPr>
      </w:pPr>
    </w:p>
    <w:p w14:paraId="61F9ADA7" w14:textId="77777777" w:rsidR="00D109DB" w:rsidRPr="00FE34CB" w:rsidRDefault="00D109DB" w:rsidP="00FE34CB">
      <w:pPr>
        <w:pStyle w:val="ListParagraph"/>
        <w:spacing w:afterLines="160" w:after="384" w:line="360" w:lineRule="auto"/>
        <w:jc w:val="both"/>
        <w:rPr>
          <w:rFonts w:asciiTheme="majorBidi" w:hAnsiTheme="majorBidi" w:cstheme="majorBidi"/>
          <w:sz w:val="24"/>
          <w:szCs w:val="24"/>
          <w:lang w:val="en-US"/>
        </w:rPr>
      </w:pPr>
    </w:p>
    <w:p w14:paraId="29F1A16A" w14:textId="4BEE6A80" w:rsidR="00002C23" w:rsidRPr="00FE34CB" w:rsidRDefault="00002C23" w:rsidP="00FE34CB">
      <w:pPr>
        <w:pStyle w:val="ListParagraph"/>
        <w:spacing w:afterLines="160" w:after="384" w:line="360" w:lineRule="auto"/>
        <w:ind w:left="1440"/>
        <w:jc w:val="both"/>
        <w:rPr>
          <w:rFonts w:asciiTheme="majorBidi" w:hAnsiTheme="majorBidi" w:cstheme="majorBidi"/>
          <w:sz w:val="24"/>
          <w:szCs w:val="24"/>
        </w:rPr>
      </w:pPr>
    </w:p>
    <w:p w14:paraId="6BF13FBC" w14:textId="77777777" w:rsidR="00D109DB" w:rsidRPr="00FE34CB" w:rsidRDefault="00002C23" w:rsidP="00B458A4">
      <w:pPr>
        <w:pStyle w:val="ListParagraph"/>
        <w:numPr>
          <w:ilvl w:val="2"/>
          <w:numId w:val="46"/>
        </w:numPr>
        <w:spacing w:afterLines="160" w:after="384" w:line="360" w:lineRule="auto"/>
        <w:jc w:val="both"/>
        <w:rPr>
          <w:rFonts w:asciiTheme="majorBidi" w:hAnsiTheme="majorBidi" w:cstheme="majorBidi"/>
          <w:sz w:val="24"/>
          <w:szCs w:val="24"/>
          <w:lang w:val="en-US"/>
        </w:rPr>
      </w:pPr>
      <w:r w:rsidRPr="00FE34CB">
        <w:rPr>
          <w:rFonts w:asciiTheme="majorBidi" w:hAnsiTheme="majorBidi" w:cstheme="majorBidi"/>
          <w:sz w:val="24"/>
          <w:szCs w:val="24"/>
        </w:rPr>
        <w:t xml:space="preserve">Quantitative </w:t>
      </w:r>
      <w:r w:rsidR="00D109DB" w:rsidRPr="00FE34CB">
        <w:rPr>
          <w:rFonts w:asciiTheme="majorBidi" w:hAnsiTheme="majorBidi" w:cstheme="majorBidi"/>
          <w:sz w:val="24"/>
          <w:szCs w:val="24"/>
          <w:lang w:val="en-US"/>
        </w:rPr>
        <w:t>Model</w:t>
      </w:r>
    </w:p>
    <w:p w14:paraId="1FAD4AB7" w14:textId="77777777" w:rsidR="00002C23" w:rsidRPr="00FE34CB" w:rsidRDefault="00002C23" w:rsidP="00FE34CB">
      <w:pPr>
        <w:pStyle w:val="ListParagraph"/>
        <w:spacing w:afterLines="160" w:after="384" w:line="360" w:lineRule="auto"/>
        <w:jc w:val="both"/>
        <w:rPr>
          <w:rFonts w:asciiTheme="majorBidi" w:hAnsiTheme="majorBidi" w:cstheme="majorBidi"/>
          <w:sz w:val="24"/>
          <w:szCs w:val="24"/>
        </w:rPr>
      </w:pPr>
    </w:p>
    <w:p w14:paraId="0E382FEA" w14:textId="77777777" w:rsidR="00D109DB" w:rsidRDefault="00D109DB" w:rsidP="00FE34CB">
      <w:pPr>
        <w:pStyle w:val="ListParagraph"/>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The original Monte-Carlo model has been upgraded with three cutting-edge features currently being piloted by leading railways:</w:t>
      </w:r>
    </w:p>
    <w:p w14:paraId="19918465" w14:textId="77777777" w:rsidR="00FF2699" w:rsidRPr="00D109DB" w:rsidRDefault="00FF2699" w:rsidP="00FE34CB">
      <w:pPr>
        <w:pStyle w:val="ListParagraph"/>
        <w:spacing w:afterLines="160" w:after="384" w:line="360" w:lineRule="auto"/>
        <w:jc w:val="both"/>
        <w:rPr>
          <w:rFonts w:asciiTheme="majorBidi" w:hAnsiTheme="majorBidi" w:cstheme="majorBidi"/>
          <w:sz w:val="24"/>
          <w:szCs w:val="24"/>
          <w:lang w:val="en-US"/>
        </w:rPr>
      </w:pPr>
    </w:p>
    <w:p w14:paraId="0B72C5B3" w14:textId="77777777" w:rsidR="00D109DB" w:rsidRPr="00FE34CB" w:rsidRDefault="00D109DB" w:rsidP="00FE34CB">
      <w:pPr>
        <w:pStyle w:val="ListParagraph"/>
        <w:spacing w:afterLines="160" w:after="384" w:line="360" w:lineRule="auto"/>
        <w:jc w:val="both"/>
        <w:rPr>
          <w:rFonts w:asciiTheme="majorBidi" w:hAnsiTheme="majorBidi" w:cstheme="majorBidi"/>
          <w:sz w:val="24"/>
          <w:szCs w:val="24"/>
        </w:rPr>
      </w:pPr>
    </w:p>
    <w:tbl>
      <w:tblPr>
        <w:tblStyle w:val="GridTable1Light-Accent1"/>
        <w:tblW w:w="9895" w:type="dxa"/>
        <w:tblLook w:val="04A0" w:firstRow="1" w:lastRow="0" w:firstColumn="1" w:lastColumn="0" w:noHBand="0" w:noVBand="1"/>
      </w:tblPr>
      <w:tblGrid>
        <w:gridCol w:w="2876"/>
        <w:gridCol w:w="2877"/>
        <w:gridCol w:w="4142"/>
      </w:tblGrid>
      <w:tr w:rsidR="00D109DB" w:rsidRPr="00FE34CB" w14:paraId="00331CE2" w14:textId="77777777" w:rsidTr="00FF26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shd w:val="clear" w:color="auto" w:fill="A3DBFF"/>
          </w:tcPr>
          <w:p w14:paraId="3E2E939D" w14:textId="3D8500C2" w:rsidR="00D109DB" w:rsidRPr="00FE34CB" w:rsidRDefault="00D109DB" w:rsidP="00FE34CB">
            <w:pPr>
              <w:pStyle w:val="ListParagraph"/>
              <w:spacing w:afterLines="160" w:after="384" w:line="360" w:lineRule="auto"/>
              <w:ind w:left="0"/>
              <w:jc w:val="both"/>
              <w:rPr>
                <w:rFonts w:asciiTheme="majorBidi" w:hAnsiTheme="majorBidi" w:cstheme="majorBidi"/>
                <w:b w:val="0"/>
                <w:bCs w:val="0"/>
                <w:sz w:val="24"/>
                <w:szCs w:val="24"/>
              </w:rPr>
            </w:pPr>
            <w:r w:rsidRPr="00FE34CB">
              <w:rPr>
                <w:rFonts w:asciiTheme="majorBidi" w:hAnsiTheme="majorBidi" w:cstheme="majorBidi"/>
                <w:b w:val="0"/>
                <w:bCs w:val="0"/>
                <w:sz w:val="24"/>
                <w:szCs w:val="24"/>
              </w:rPr>
              <w:lastRenderedPageBreak/>
              <w:t>New Feature (2025–2027)</w:t>
            </w:r>
          </w:p>
        </w:tc>
        <w:tc>
          <w:tcPr>
            <w:tcW w:w="2877" w:type="dxa"/>
            <w:shd w:val="clear" w:color="auto" w:fill="A3DBFF"/>
          </w:tcPr>
          <w:p w14:paraId="1BE1D211" w14:textId="327AE07A" w:rsidR="00D109DB" w:rsidRPr="00FE34CB" w:rsidRDefault="00D109DB" w:rsidP="00FE34CB">
            <w:pPr>
              <w:pStyle w:val="ListParagraph"/>
              <w:spacing w:afterLines="160" w:after="384"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FE34CB">
              <w:rPr>
                <w:rFonts w:asciiTheme="majorBidi" w:hAnsiTheme="majorBidi" w:cstheme="majorBidi"/>
                <w:b w:val="0"/>
                <w:bCs w:val="0"/>
                <w:sz w:val="24"/>
                <w:szCs w:val="24"/>
              </w:rPr>
              <w:t>Source / Pilot</w:t>
            </w:r>
          </w:p>
        </w:tc>
        <w:tc>
          <w:tcPr>
            <w:tcW w:w="4142" w:type="dxa"/>
            <w:shd w:val="clear" w:color="auto" w:fill="A3DBFF"/>
          </w:tcPr>
          <w:p w14:paraId="41449C75" w14:textId="2F028588" w:rsidR="00D109DB" w:rsidRPr="00FE34CB" w:rsidRDefault="00D109DB" w:rsidP="00FE34CB">
            <w:pPr>
              <w:pStyle w:val="ListParagraph"/>
              <w:spacing w:afterLines="160" w:after="384"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FE34CB">
              <w:rPr>
                <w:rFonts w:asciiTheme="majorBidi" w:hAnsiTheme="majorBidi" w:cstheme="majorBidi"/>
                <w:b w:val="0"/>
                <w:bCs w:val="0"/>
                <w:sz w:val="24"/>
                <w:szCs w:val="24"/>
              </w:rPr>
              <w:t>Impact on Model</w:t>
            </w:r>
          </w:p>
        </w:tc>
      </w:tr>
      <w:tr w:rsidR="00D109DB" w:rsidRPr="00FE34CB" w14:paraId="13D3894D" w14:textId="77777777" w:rsidTr="00FF2699">
        <w:tc>
          <w:tcPr>
            <w:cnfStyle w:val="001000000000" w:firstRow="0" w:lastRow="0" w:firstColumn="1" w:lastColumn="0" w:oddVBand="0" w:evenVBand="0" w:oddHBand="0" w:evenHBand="0" w:firstRowFirstColumn="0" w:firstRowLastColumn="0" w:lastRowFirstColumn="0" w:lastRowLastColumn="0"/>
            <w:tcW w:w="2876" w:type="dxa"/>
          </w:tcPr>
          <w:p w14:paraId="43E7BE8D" w14:textId="0EC98AC0" w:rsidR="00D109DB" w:rsidRPr="00FE34CB" w:rsidRDefault="00D109DB" w:rsidP="00FF2699">
            <w:pPr>
              <w:pStyle w:val="ListParagraph"/>
              <w:spacing w:afterLines="160" w:after="384" w:line="360" w:lineRule="auto"/>
              <w:ind w:left="0"/>
              <w:rPr>
                <w:rFonts w:asciiTheme="majorBidi" w:hAnsiTheme="majorBidi" w:cstheme="majorBidi"/>
                <w:b w:val="0"/>
                <w:bCs w:val="0"/>
                <w:sz w:val="24"/>
                <w:szCs w:val="24"/>
              </w:rPr>
            </w:pPr>
            <w:r w:rsidRPr="00FE34CB">
              <w:rPr>
                <w:rFonts w:asciiTheme="majorBidi" w:hAnsiTheme="majorBidi" w:cstheme="majorBidi"/>
                <w:b w:val="0"/>
                <w:bCs w:val="0"/>
                <w:sz w:val="24"/>
                <w:szCs w:val="24"/>
              </w:rPr>
              <w:t>Dynamic Pricing of Availability</w:t>
            </w:r>
          </w:p>
        </w:tc>
        <w:tc>
          <w:tcPr>
            <w:tcW w:w="2877" w:type="dxa"/>
          </w:tcPr>
          <w:p w14:paraId="2C8606C2" w14:textId="64DCA125" w:rsidR="00D109DB" w:rsidRPr="00FE34CB" w:rsidRDefault="00D109DB" w:rsidP="00FF2699">
            <w:pPr>
              <w:pStyle w:val="ListParagraph"/>
              <w:spacing w:afterLines="160" w:after="384" w:line="360"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Deutsche Bahn “</w:t>
            </w:r>
            <w:proofErr w:type="spellStart"/>
            <w:r w:rsidRPr="00FE34CB">
              <w:rPr>
                <w:rFonts w:asciiTheme="majorBidi" w:hAnsiTheme="majorBidi" w:cstheme="majorBidi"/>
                <w:sz w:val="24"/>
                <w:szCs w:val="24"/>
              </w:rPr>
              <w:t>FlexCapacity</w:t>
            </w:r>
            <w:proofErr w:type="spellEnd"/>
            <w:r w:rsidRPr="00FE34CB">
              <w:rPr>
                <w:rFonts w:asciiTheme="majorBidi" w:hAnsiTheme="majorBidi" w:cstheme="majorBidi"/>
                <w:sz w:val="24"/>
                <w:szCs w:val="24"/>
              </w:rPr>
              <w:t>” tariff 2025</w:t>
            </w:r>
          </w:p>
        </w:tc>
        <w:tc>
          <w:tcPr>
            <w:tcW w:w="4142" w:type="dxa"/>
          </w:tcPr>
          <w:p w14:paraId="2CBE190B" w14:textId="7F1EE786" w:rsidR="00D109DB" w:rsidRPr="00FE34CB" w:rsidRDefault="00D109DB" w:rsidP="00FF2699">
            <w:pPr>
              <w:pStyle w:val="ListParagraph"/>
              <w:spacing w:afterLines="160" w:after="384" w:line="360"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+28 % higher value per availability point</w:t>
            </w:r>
          </w:p>
        </w:tc>
      </w:tr>
      <w:tr w:rsidR="00D109DB" w:rsidRPr="00FE34CB" w14:paraId="09F15CBD" w14:textId="77777777" w:rsidTr="00FF2699">
        <w:tc>
          <w:tcPr>
            <w:cnfStyle w:val="001000000000" w:firstRow="0" w:lastRow="0" w:firstColumn="1" w:lastColumn="0" w:oddVBand="0" w:evenVBand="0" w:oddHBand="0" w:evenHBand="0" w:firstRowFirstColumn="0" w:firstRowLastColumn="0" w:lastRowFirstColumn="0" w:lastRowLastColumn="0"/>
            <w:tcW w:w="2876" w:type="dxa"/>
          </w:tcPr>
          <w:p w14:paraId="3546FB55" w14:textId="5FA4ECC6" w:rsidR="00D109DB" w:rsidRPr="00FE34CB" w:rsidRDefault="00D109DB" w:rsidP="00FF2699">
            <w:pPr>
              <w:pStyle w:val="ListParagraph"/>
              <w:spacing w:afterLines="160" w:after="384" w:line="360" w:lineRule="auto"/>
              <w:ind w:left="0"/>
              <w:rPr>
                <w:rFonts w:asciiTheme="majorBidi" w:hAnsiTheme="majorBidi" w:cstheme="majorBidi"/>
                <w:b w:val="0"/>
                <w:bCs w:val="0"/>
                <w:sz w:val="24"/>
                <w:szCs w:val="24"/>
              </w:rPr>
            </w:pPr>
            <w:r w:rsidRPr="00FE34CB">
              <w:rPr>
                <w:rFonts w:asciiTheme="majorBidi" w:hAnsiTheme="majorBidi" w:cstheme="majorBidi"/>
                <w:b w:val="0"/>
                <w:bCs w:val="0"/>
                <w:sz w:val="24"/>
                <w:szCs w:val="24"/>
              </w:rPr>
              <w:t>Carbon Credit Internalisation</w:t>
            </w:r>
          </w:p>
        </w:tc>
        <w:tc>
          <w:tcPr>
            <w:tcW w:w="2877" w:type="dxa"/>
          </w:tcPr>
          <w:p w14:paraId="7F24B3BB" w14:textId="551C53C0" w:rsidR="00D109DB" w:rsidRPr="00FE34CB" w:rsidRDefault="00D109DB" w:rsidP="00FF2699">
            <w:pPr>
              <w:pStyle w:val="ListParagraph"/>
              <w:spacing w:afterLines="160" w:after="384" w:line="360"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Etihad Rail &amp; Saudi Green Initiative 2025</w:t>
            </w:r>
          </w:p>
        </w:tc>
        <w:tc>
          <w:tcPr>
            <w:tcW w:w="4142" w:type="dxa"/>
          </w:tcPr>
          <w:p w14:paraId="3E10148E" w14:textId="3AC5D533" w:rsidR="00D109DB" w:rsidRPr="00FE34CB" w:rsidRDefault="00D109DB" w:rsidP="00FF2699">
            <w:pPr>
              <w:pStyle w:val="ListParagraph"/>
              <w:spacing w:afterLines="160" w:after="384" w:line="360"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Adds €4–7 million annual benefit from over-maintenance avoided</w:t>
            </w:r>
          </w:p>
        </w:tc>
      </w:tr>
      <w:tr w:rsidR="00D109DB" w:rsidRPr="00FE34CB" w14:paraId="797560E1" w14:textId="77777777" w:rsidTr="00FF2699">
        <w:tc>
          <w:tcPr>
            <w:cnfStyle w:val="001000000000" w:firstRow="0" w:lastRow="0" w:firstColumn="1" w:lastColumn="0" w:oddVBand="0" w:evenVBand="0" w:oddHBand="0" w:evenHBand="0" w:firstRowFirstColumn="0" w:firstRowLastColumn="0" w:lastRowFirstColumn="0" w:lastRowLastColumn="0"/>
            <w:tcW w:w="2876" w:type="dxa"/>
          </w:tcPr>
          <w:p w14:paraId="0B7F6746" w14:textId="5290E74F" w:rsidR="00D109DB" w:rsidRPr="00FE34CB" w:rsidRDefault="00D109DB" w:rsidP="00FF2699">
            <w:pPr>
              <w:pStyle w:val="ListParagraph"/>
              <w:spacing w:afterLines="160" w:after="384" w:line="360" w:lineRule="auto"/>
              <w:ind w:left="0"/>
              <w:rPr>
                <w:rFonts w:asciiTheme="majorBidi" w:hAnsiTheme="majorBidi" w:cstheme="majorBidi"/>
                <w:b w:val="0"/>
                <w:bCs w:val="0"/>
                <w:sz w:val="24"/>
                <w:szCs w:val="24"/>
              </w:rPr>
            </w:pPr>
            <w:r w:rsidRPr="00FE34CB">
              <w:rPr>
                <w:rFonts w:asciiTheme="majorBidi" w:hAnsiTheme="majorBidi" w:cstheme="majorBidi"/>
                <w:b w:val="0"/>
                <w:bCs w:val="0"/>
                <w:sz w:val="24"/>
                <w:szCs w:val="24"/>
              </w:rPr>
              <w:t>Predictive Regulatory Compliance Engine</w:t>
            </w:r>
          </w:p>
        </w:tc>
        <w:tc>
          <w:tcPr>
            <w:tcW w:w="2877" w:type="dxa"/>
          </w:tcPr>
          <w:p w14:paraId="31A9AD24" w14:textId="1C069D1D" w:rsidR="00D109DB" w:rsidRPr="00FE34CB" w:rsidRDefault="00D109DB" w:rsidP="00FF2699">
            <w:pPr>
              <w:pStyle w:val="ListParagraph"/>
              <w:spacing w:afterLines="160" w:after="384" w:line="360"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SNCF–Thales “</w:t>
            </w:r>
            <w:proofErr w:type="spellStart"/>
            <w:r w:rsidRPr="00FE34CB">
              <w:rPr>
                <w:rFonts w:asciiTheme="majorBidi" w:hAnsiTheme="majorBidi" w:cstheme="majorBidi"/>
                <w:sz w:val="24"/>
                <w:szCs w:val="24"/>
              </w:rPr>
              <w:t>RegulAI</w:t>
            </w:r>
            <w:proofErr w:type="spellEnd"/>
            <w:r w:rsidRPr="00FE34CB">
              <w:rPr>
                <w:rFonts w:asciiTheme="majorBidi" w:hAnsiTheme="majorBidi" w:cstheme="majorBidi"/>
                <w:sz w:val="24"/>
                <w:szCs w:val="24"/>
              </w:rPr>
              <w:t>” sandbox 2026</w:t>
            </w:r>
          </w:p>
        </w:tc>
        <w:tc>
          <w:tcPr>
            <w:tcW w:w="4142" w:type="dxa"/>
          </w:tcPr>
          <w:p w14:paraId="55640735" w14:textId="44C62C17" w:rsidR="00D109DB" w:rsidRPr="00FE34CB" w:rsidRDefault="00D109DB" w:rsidP="00FF2699">
            <w:pPr>
              <w:pStyle w:val="ListParagraph"/>
              <w:spacing w:afterLines="160" w:after="384" w:line="360"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E34CB">
              <w:rPr>
                <w:rFonts w:asciiTheme="majorBidi" w:hAnsiTheme="majorBidi" w:cstheme="majorBidi"/>
                <w:sz w:val="24"/>
                <w:szCs w:val="24"/>
              </w:rPr>
              <w:t>Reduces risk buffer by 18 %</w:t>
            </w:r>
          </w:p>
        </w:tc>
      </w:tr>
    </w:tbl>
    <w:p w14:paraId="7108F3E0" w14:textId="10C98923" w:rsidR="00D109DB" w:rsidRPr="00FD3F37" w:rsidRDefault="00FF2699" w:rsidP="00FF2699">
      <w:pPr>
        <w:pStyle w:val="ListParagraph"/>
        <w:spacing w:afterLines="160" w:after="384" w:line="360" w:lineRule="auto"/>
        <w:jc w:val="center"/>
        <w:rPr>
          <w:rFonts w:asciiTheme="majorBidi" w:hAnsiTheme="majorBidi" w:cstheme="majorBidi"/>
          <w:sz w:val="16"/>
          <w:szCs w:val="16"/>
        </w:rPr>
      </w:pPr>
      <w:r w:rsidRPr="00FD3F37">
        <w:rPr>
          <w:rFonts w:asciiTheme="majorBidi" w:hAnsiTheme="majorBidi" w:cstheme="majorBidi"/>
          <w:sz w:val="16"/>
          <w:szCs w:val="16"/>
        </w:rPr>
        <w:t xml:space="preserve">Table 7: Quantitative model feature </w:t>
      </w:r>
    </w:p>
    <w:p w14:paraId="0C7A1B2D" w14:textId="77777777" w:rsidR="00D109DB" w:rsidRPr="00FE34CB" w:rsidRDefault="00D109DB" w:rsidP="00FE34CB">
      <w:pPr>
        <w:pStyle w:val="ListParagraph"/>
        <w:spacing w:afterLines="160" w:after="384" w:line="360" w:lineRule="auto"/>
        <w:jc w:val="both"/>
        <w:rPr>
          <w:rFonts w:asciiTheme="majorBidi" w:hAnsiTheme="majorBidi" w:cstheme="majorBidi"/>
          <w:sz w:val="24"/>
          <w:szCs w:val="24"/>
        </w:rPr>
      </w:pPr>
    </w:p>
    <w:p w14:paraId="1A06967A" w14:textId="517EC409" w:rsidR="00002C23" w:rsidRPr="00FE34CB" w:rsidRDefault="00B458A4" w:rsidP="00B458A4">
      <w:pPr>
        <w:pStyle w:val="Heading1"/>
      </w:pPr>
      <w:bookmarkStart w:id="28" w:name="_Toc215590825"/>
      <w:r>
        <w:t>4.2</w:t>
      </w:r>
      <w:r>
        <w:tab/>
      </w:r>
      <w:r w:rsidR="00002C23" w:rsidRPr="00FE34CB">
        <w:t>Research Findings and Discussion: The Strategic Roadmap.</w:t>
      </w:r>
      <w:bookmarkEnd w:id="28"/>
      <w:r w:rsidR="00002C23" w:rsidRPr="00FE34CB">
        <w:t xml:space="preserve"> </w:t>
      </w:r>
    </w:p>
    <w:p w14:paraId="09C9B0D0" w14:textId="77777777" w:rsidR="00D109DB" w:rsidRPr="00FE34CB" w:rsidRDefault="00D109DB" w:rsidP="00FE34CB">
      <w:pPr>
        <w:pStyle w:val="NormalWeb"/>
        <w:spacing w:afterLines="160" w:after="384" w:afterAutospacing="0" w:line="360" w:lineRule="auto"/>
        <w:ind w:left="360"/>
        <w:jc w:val="both"/>
        <w:rPr>
          <w:rFonts w:asciiTheme="majorBidi" w:hAnsiTheme="majorBidi" w:cstheme="majorBidi"/>
        </w:rPr>
      </w:pPr>
      <w:r w:rsidRPr="00FE34CB">
        <w:rPr>
          <w:rFonts w:asciiTheme="majorBidi" w:hAnsiTheme="majorBidi" w:cstheme="majorBidi"/>
        </w:rPr>
        <w:t>(Now an eight-gate, five-horizon roadmap incorporating the very latest professional ideas and technological trends that are moving from pilot to production in 2025–2027)</w:t>
      </w:r>
    </w:p>
    <w:tbl>
      <w:tblPr>
        <w:tblStyle w:val="GridTable1Light-Accent1"/>
        <w:tblW w:w="9985" w:type="dxa"/>
        <w:tblLook w:val="04A0" w:firstRow="1" w:lastRow="0" w:firstColumn="1" w:lastColumn="0" w:noHBand="0" w:noVBand="1"/>
      </w:tblPr>
      <w:tblGrid>
        <w:gridCol w:w="1705"/>
        <w:gridCol w:w="3025"/>
        <w:gridCol w:w="2735"/>
        <w:gridCol w:w="2520"/>
      </w:tblGrid>
      <w:tr w:rsidR="00D109DB" w:rsidRPr="00FE34CB" w14:paraId="35FB7A4F" w14:textId="77777777" w:rsidTr="00FE34CB">
        <w:trPr>
          <w:cnfStyle w:val="100000000000" w:firstRow="1" w:lastRow="0" w:firstColumn="0" w:lastColumn="0" w:oddVBand="0" w:evenVBand="0" w:oddHBand="0" w:evenHBand="0" w:firstRowFirstColumn="0" w:firstRowLastColumn="0" w:lastRowFirstColumn="0" w:lastRowLastColumn="0"/>
          <w:trHeight w:val="1340"/>
        </w:trPr>
        <w:tc>
          <w:tcPr>
            <w:cnfStyle w:val="001000000000" w:firstRow="0" w:lastRow="0" w:firstColumn="1" w:lastColumn="0" w:oddVBand="0" w:evenVBand="0" w:oddHBand="0" w:evenHBand="0" w:firstRowFirstColumn="0" w:firstRowLastColumn="0" w:lastRowFirstColumn="0" w:lastRowLastColumn="0"/>
            <w:tcW w:w="1705" w:type="dxa"/>
            <w:shd w:val="clear" w:color="auto" w:fill="A3DBFF"/>
          </w:tcPr>
          <w:p w14:paraId="79D971EF" w14:textId="6A5B47A7" w:rsidR="00D109DB" w:rsidRPr="00FE34CB" w:rsidRDefault="00D109DB" w:rsidP="00FE34CB">
            <w:pPr>
              <w:spacing w:afterLines="160" w:after="384" w:line="360" w:lineRule="auto"/>
              <w:rPr>
                <w:rFonts w:asciiTheme="majorBidi" w:hAnsiTheme="majorBidi" w:cstheme="majorBidi"/>
                <w:b w:val="0"/>
                <w:bCs w:val="0"/>
                <w:sz w:val="24"/>
                <w:szCs w:val="24"/>
              </w:rPr>
            </w:pPr>
            <w:r w:rsidRPr="00FE34CB">
              <w:rPr>
                <w:rFonts w:asciiTheme="majorBidi" w:hAnsiTheme="majorBidi" w:cstheme="majorBidi"/>
                <w:b w:val="0"/>
                <w:bCs w:val="0"/>
                <w:sz w:val="24"/>
                <w:szCs w:val="24"/>
              </w:rPr>
              <w:t>Horizon &amp; Timeline</w:t>
            </w:r>
          </w:p>
        </w:tc>
        <w:tc>
          <w:tcPr>
            <w:tcW w:w="3025" w:type="dxa"/>
            <w:shd w:val="clear" w:color="auto" w:fill="A3DBFF"/>
          </w:tcPr>
          <w:p w14:paraId="25F4D26A" w14:textId="4AD8B7A5" w:rsidR="00D109DB" w:rsidRPr="00FE34CB" w:rsidRDefault="00D109DB" w:rsidP="00FE34CB">
            <w:pPr>
              <w:spacing w:afterLines="160" w:after="384"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FE34CB">
              <w:rPr>
                <w:rFonts w:asciiTheme="majorBidi" w:hAnsiTheme="majorBidi" w:cstheme="majorBidi"/>
                <w:b w:val="0"/>
                <w:bCs w:val="0"/>
                <w:sz w:val="24"/>
                <w:szCs w:val="24"/>
              </w:rPr>
              <w:t>Name &amp; Vision</w:t>
            </w:r>
          </w:p>
        </w:tc>
        <w:tc>
          <w:tcPr>
            <w:tcW w:w="2735" w:type="dxa"/>
            <w:shd w:val="clear" w:color="auto" w:fill="A3DBFF"/>
          </w:tcPr>
          <w:p w14:paraId="3C38F843" w14:textId="770A16F2" w:rsidR="00D109DB" w:rsidRPr="00FE34CB" w:rsidRDefault="00D109DB" w:rsidP="00FE34CB">
            <w:pPr>
              <w:spacing w:afterLines="160" w:after="384"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FE34CB">
              <w:rPr>
                <w:rFonts w:asciiTheme="majorBidi" w:hAnsiTheme="majorBidi" w:cstheme="majorBidi"/>
                <w:b w:val="0"/>
                <w:bCs w:val="0"/>
                <w:sz w:val="24"/>
                <w:szCs w:val="24"/>
              </w:rPr>
              <w:t>Breakthrough Innovations &amp; Professional Practices Integrated (2025–2027)</w:t>
            </w:r>
          </w:p>
        </w:tc>
        <w:tc>
          <w:tcPr>
            <w:tcW w:w="2520" w:type="dxa"/>
            <w:shd w:val="clear" w:color="auto" w:fill="A3DBFF"/>
          </w:tcPr>
          <w:p w14:paraId="7098EE51" w14:textId="591F323B" w:rsidR="00D109DB" w:rsidRPr="00FE34CB" w:rsidRDefault="00D109DB" w:rsidP="00FE34CB">
            <w:pPr>
              <w:spacing w:afterLines="160" w:after="384"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FE34CB">
              <w:rPr>
                <w:rFonts w:asciiTheme="majorBidi" w:hAnsiTheme="majorBidi" w:cstheme="majorBidi"/>
                <w:b w:val="0"/>
                <w:bCs w:val="0"/>
                <w:sz w:val="24"/>
                <w:szCs w:val="24"/>
              </w:rPr>
              <w:t>Triple-Helix Gates (must all be green to pass)</w:t>
            </w:r>
          </w:p>
        </w:tc>
      </w:tr>
      <w:tr w:rsidR="00D109DB" w:rsidRPr="00FE34CB" w14:paraId="38310388" w14:textId="77777777" w:rsidTr="00FE34CB">
        <w:tc>
          <w:tcPr>
            <w:cnfStyle w:val="001000000000" w:firstRow="0" w:lastRow="0" w:firstColumn="1" w:lastColumn="0" w:oddVBand="0" w:evenVBand="0" w:oddHBand="0" w:evenHBand="0" w:firstRowFirstColumn="0" w:firstRowLastColumn="0" w:lastRowFirstColumn="0" w:lastRowLastColumn="0"/>
            <w:tcW w:w="1705" w:type="dxa"/>
          </w:tcPr>
          <w:p w14:paraId="0B8FFD4C" w14:textId="1CD6E611" w:rsidR="00D109DB" w:rsidRPr="00FE34CB" w:rsidRDefault="00D109DB" w:rsidP="00FE34CB">
            <w:pPr>
              <w:spacing w:afterLines="160" w:after="384" w:line="360" w:lineRule="auto"/>
              <w:rPr>
                <w:rFonts w:asciiTheme="majorBidi" w:hAnsiTheme="majorBidi" w:cstheme="majorBidi"/>
                <w:b w:val="0"/>
                <w:bCs w:val="0"/>
                <w:sz w:val="20"/>
                <w:szCs w:val="20"/>
              </w:rPr>
            </w:pPr>
            <w:r w:rsidRPr="00FE34CB">
              <w:rPr>
                <w:rFonts w:asciiTheme="majorBidi" w:hAnsiTheme="majorBidi" w:cstheme="majorBidi"/>
                <w:b w:val="0"/>
                <w:bCs w:val="0"/>
                <w:sz w:val="20"/>
                <w:szCs w:val="20"/>
              </w:rPr>
              <w:t>Horizon 0 (2025)</w:t>
            </w:r>
          </w:p>
        </w:tc>
        <w:tc>
          <w:tcPr>
            <w:tcW w:w="3025" w:type="dxa"/>
          </w:tcPr>
          <w:p w14:paraId="2DF502DC" w14:textId="7B44CB7A"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Executive Wake-Up Call</w:t>
            </w:r>
          </w:p>
        </w:tc>
        <w:tc>
          <w:tcPr>
            <w:tcW w:w="2735" w:type="dxa"/>
          </w:tcPr>
          <w:p w14:paraId="2B7B78E1" w14:textId="193EF518"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 CEO “Data Unity Decree” + Chief Data Officer at board level (practised by Maersk &amp; DB 2025)</w:t>
            </w:r>
          </w:p>
        </w:tc>
        <w:tc>
          <w:tcPr>
            <w:tcW w:w="2520" w:type="dxa"/>
          </w:tcPr>
          <w:p w14:paraId="3AD92A1A" w14:textId="1F4D513E"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Governance, Culture, Financial commitment</w:t>
            </w:r>
          </w:p>
        </w:tc>
      </w:tr>
      <w:tr w:rsidR="00D109DB" w:rsidRPr="00FE34CB" w14:paraId="444B5885" w14:textId="77777777" w:rsidTr="00FE34CB">
        <w:tc>
          <w:tcPr>
            <w:cnfStyle w:val="001000000000" w:firstRow="0" w:lastRow="0" w:firstColumn="1" w:lastColumn="0" w:oddVBand="0" w:evenVBand="0" w:oddHBand="0" w:evenHBand="0" w:firstRowFirstColumn="0" w:firstRowLastColumn="0" w:lastRowFirstColumn="0" w:lastRowLastColumn="0"/>
            <w:tcW w:w="1705" w:type="dxa"/>
          </w:tcPr>
          <w:p w14:paraId="4B615B50" w14:textId="743281D9" w:rsidR="00D109DB" w:rsidRPr="00FE34CB" w:rsidRDefault="00D109DB" w:rsidP="00FE34CB">
            <w:pPr>
              <w:spacing w:afterLines="160" w:after="384" w:line="360" w:lineRule="auto"/>
              <w:rPr>
                <w:rFonts w:asciiTheme="majorBidi" w:hAnsiTheme="majorBidi" w:cstheme="majorBidi"/>
                <w:b w:val="0"/>
                <w:bCs w:val="0"/>
                <w:sz w:val="20"/>
                <w:szCs w:val="20"/>
              </w:rPr>
            </w:pPr>
            <w:r w:rsidRPr="00FE34CB">
              <w:rPr>
                <w:rFonts w:asciiTheme="majorBidi" w:hAnsiTheme="majorBidi" w:cstheme="majorBidi"/>
                <w:b w:val="0"/>
                <w:bCs w:val="0"/>
                <w:sz w:val="20"/>
                <w:szCs w:val="20"/>
              </w:rPr>
              <w:t>Horizon 1 (2026–2027)</w:t>
            </w:r>
          </w:p>
        </w:tc>
        <w:tc>
          <w:tcPr>
            <w:tcW w:w="3025" w:type="dxa"/>
          </w:tcPr>
          <w:p w14:paraId="70F8DCE8" w14:textId="50AC693A"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Federated Foundation</w:t>
            </w:r>
          </w:p>
        </w:tc>
        <w:tc>
          <w:tcPr>
            <w:tcW w:w="2735" w:type="dxa"/>
          </w:tcPr>
          <w:p w14:paraId="163FB01D" w14:textId="014DB89B"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 xml:space="preserve">• Master Digital Twin owned by operator, not OEM (Etihad Rail model 2025) • Blockchain-backed data provenance for warranty </w:t>
            </w:r>
            <w:r w:rsidRPr="00FE34CB">
              <w:rPr>
                <w:rFonts w:asciiTheme="majorBidi" w:hAnsiTheme="majorBidi" w:cstheme="majorBidi"/>
                <w:sz w:val="20"/>
                <w:szCs w:val="20"/>
              </w:rPr>
              <w:lastRenderedPageBreak/>
              <w:t>disputes • Zero-Trust Edge Architecture (Nokia–DB 2026)</w:t>
            </w:r>
          </w:p>
        </w:tc>
        <w:tc>
          <w:tcPr>
            <w:tcW w:w="2520" w:type="dxa"/>
          </w:tcPr>
          <w:p w14:paraId="2453F784" w14:textId="1DAFC051"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FE34CB">
              <w:rPr>
                <w:rFonts w:asciiTheme="majorBidi" w:hAnsiTheme="majorBidi" w:cstheme="majorBidi"/>
                <w:sz w:val="20"/>
                <w:szCs w:val="20"/>
              </w:rPr>
              <w:lastRenderedPageBreak/>
              <w:t>SSoT</w:t>
            </w:r>
            <w:proofErr w:type="spellEnd"/>
            <w:r w:rsidRPr="00FE34CB">
              <w:rPr>
                <w:rFonts w:asciiTheme="majorBidi" w:hAnsiTheme="majorBidi" w:cstheme="majorBidi"/>
                <w:sz w:val="20"/>
                <w:szCs w:val="20"/>
              </w:rPr>
              <w:t xml:space="preserve"> live, 90 % sensor data lineage, Co-creation academy graduates first 1,000 maintainers</w:t>
            </w:r>
          </w:p>
        </w:tc>
      </w:tr>
      <w:tr w:rsidR="00D109DB" w:rsidRPr="00FE34CB" w14:paraId="6D7B0B45" w14:textId="77777777" w:rsidTr="00FE34CB">
        <w:tc>
          <w:tcPr>
            <w:cnfStyle w:val="001000000000" w:firstRow="0" w:lastRow="0" w:firstColumn="1" w:lastColumn="0" w:oddVBand="0" w:evenVBand="0" w:oddHBand="0" w:evenHBand="0" w:firstRowFirstColumn="0" w:firstRowLastColumn="0" w:lastRowFirstColumn="0" w:lastRowLastColumn="0"/>
            <w:tcW w:w="1705" w:type="dxa"/>
          </w:tcPr>
          <w:p w14:paraId="198FD0CB" w14:textId="7A71AB21" w:rsidR="00D109DB" w:rsidRPr="00FE34CB" w:rsidRDefault="00D109DB" w:rsidP="00FE34CB">
            <w:pPr>
              <w:spacing w:afterLines="160" w:after="384" w:line="360" w:lineRule="auto"/>
              <w:rPr>
                <w:rFonts w:asciiTheme="majorBidi" w:hAnsiTheme="majorBidi" w:cstheme="majorBidi"/>
                <w:b w:val="0"/>
                <w:bCs w:val="0"/>
                <w:sz w:val="20"/>
                <w:szCs w:val="20"/>
              </w:rPr>
            </w:pPr>
            <w:r w:rsidRPr="00FE34CB">
              <w:rPr>
                <w:rFonts w:asciiTheme="majorBidi" w:hAnsiTheme="majorBidi" w:cstheme="majorBidi"/>
                <w:b w:val="0"/>
                <w:bCs w:val="0"/>
                <w:sz w:val="20"/>
                <w:szCs w:val="20"/>
              </w:rPr>
              <w:t>Horizon 2 (2027–2029)</w:t>
            </w:r>
          </w:p>
        </w:tc>
        <w:tc>
          <w:tcPr>
            <w:tcW w:w="3025" w:type="dxa"/>
          </w:tcPr>
          <w:p w14:paraId="3D49B37E" w14:textId="75BF162C"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Prescriptive Core + Revenue-Aware AI</w:t>
            </w:r>
          </w:p>
        </w:tc>
        <w:tc>
          <w:tcPr>
            <w:tcW w:w="2735" w:type="dxa"/>
          </w:tcPr>
          <w:p w14:paraId="4F77C802" w14:textId="3EC27DE9"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 xml:space="preserve">• Deep Reinforcement Learning agents that optimise across </w:t>
            </w:r>
            <w:r w:rsidRPr="00FE34CB">
              <w:rPr>
                <w:rStyle w:val="Strong"/>
                <w:rFonts w:asciiTheme="majorBidi" w:hAnsiTheme="majorBidi" w:cstheme="majorBidi"/>
                <w:b w:val="0"/>
                <w:bCs w:val="0"/>
                <w:sz w:val="20"/>
                <w:szCs w:val="20"/>
              </w:rPr>
              <w:t>revenue, carbon, and safety</w:t>
            </w:r>
            <w:r w:rsidRPr="00FE34CB">
              <w:rPr>
                <w:rFonts w:asciiTheme="majorBidi" w:hAnsiTheme="majorBidi" w:cstheme="majorBidi"/>
                <w:sz w:val="20"/>
                <w:szCs w:val="20"/>
              </w:rPr>
              <w:t xml:space="preserve"> simultaneously (Google DeepMind–Indian Railways trial 2026) • Dynamic Work-Order Pricing (pay more to fix during off-peak)</w:t>
            </w:r>
          </w:p>
        </w:tc>
        <w:tc>
          <w:tcPr>
            <w:tcW w:w="2520" w:type="dxa"/>
          </w:tcPr>
          <w:p w14:paraId="4140C965" w14:textId="46652B16"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70 % of maintenance prescriptions executed without human touch • Inventory turns &gt;9</w:t>
            </w:r>
          </w:p>
        </w:tc>
      </w:tr>
      <w:tr w:rsidR="00D109DB" w:rsidRPr="00FE34CB" w14:paraId="63BA39BF" w14:textId="77777777" w:rsidTr="00FE34CB">
        <w:tc>
          <w:tcPr>
            <w:cnfStyle w:val="001000000000" w:firstRow="0" w:lastRow="0" w:firstColumn="1" w:lastColumn="0" w:oddVBand="0" w:evenVBand="0" w:oddHBand="0" w:evenHBand="0" w:firstRowFirstColumn="0" w:firstRowLastColumn="0" w:lastRowFirstColumn="0" w:lastRowLastColumn="0"/>
            <w:tcW w:w="1705" w:type="dxa"/>
          </w:tcPr>
          <w:p w14:paraId="246C3F45" w14:textId="3232C3DC" w:rsidR="00D109DB" w:rsidRPr="00FE34CB" w:rsidRDefault="00D109DB" w:rsidP="00FE34CB">
            <w:pPr>
              <w:spacing w:afterLines="160" w:after="384" w:line="360" w:lineRule="auto"/>
              <w:rPr>
                <w:rFonts w:asciiTheme="majorBidi" w:hAnsiTheme="majorBidi" w:cstheme="majorBidi"/>
                <w:b w:val="0"/>
                <w:bCs w:val="0"/>
                <w:sz w:val="20"/>
                <w:szCs w:val="20"/>
              </w:rPr>
            </w:pPr>
            <w:r w:rsidRPr="00FE34CB">
              <w:rPr>
                <w:rFonts w:asciiTheme="majorBidi" w:hAnsiTheme="majorBidi" w:cstheme="majorBidi"/>
                <w:b w:val="0"/>
                <w:bCs w:val="0"/>
                <w:sz w:val="20"/>
                <w:szCs w:val="20"/>
              </w:rPr>
              <w:t>Horizon 3 (2029–2031)</w:t>
            </w:r>
          </w:p>
        </w:tc>
        <w:tc>
          <w:tcPr>
            <w:tcW w:w="3025" w:type="dxa"/>
          </w:tcPr>
          <w:p w14:paraId="67C3EE70" w14:textId="609092BB"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Cognitive Autonomy with Human Augmentation</w:t>
            </w:r>
          </w:p>
        </w:tc>
        <w:tc>
          <w:tcPr>
            <w:tcW w:w="2735" w:type="dxa"/>
          </w:tcPr>
          <w:p w14:paraId="629F3D9D" w14:textId="2559F889"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 Foundation Models for Rail (large language + physics models trained on 50 bn km of global data – Alstom–</w:t>
            </w:r>
            <w:proofErr w:type="spellStart"/>
            <w:r w:rsidRPr="00FE34CB">
              <w:rPr>
                <w:rFonts w:asciiTheme="majorBidi" w:hAnsiTheme="majorBidi" w:cstheme="majorBidi"/>
                <w:sz w:val="20"/>
                <w:szCs w:val="20"/>
              </w:rPr>
              <w:t>OpenRail</w:t>
            </w:r>
            <w:proofErr w:type="spellEnd"/>
            <w:r w:rsidRPr="00FE34CB">
              <w:rPr>
                <w:rFonts w:asciiTheme="majorBidi" w:hAnsiTheme="majorBidi" w:cstheme="majorBidi"/>
                <w:sz w:val="20"/>
                <w:szCs w:val="20"/>
              </w:rPr>
              <w:t xml:space="preserve"> consortium 2026) • AR glasses for maintainers showing real-time RUL overlay (</w:t>
            </w:r>
            <w:proofErr w:type="spellStart"/>
            <w:r w:rsidRPr="00FE34CB">
              <w:rPr>
                <w:rFonts w:asciiTheme="majorBidi" w:hAnsiTheme="majorBidi" w:cstheme="majorBidi"/>
                <w:sz w:val="20"/>
                <w:szCs w:val="20"/>
              </w:rPr>
              <w:t>Hololens</w:t>
            </w:r>
            <w:proofErr w:type="spellEnd"/>
            <w:r w:rsidRPr="00FE34CB">
              <w:rPr>
                <w:rFonts w:asciiTheme="majorBidi" w:hAnsiTheme="majorBidi" w:cstheme="majorBidi"/>
                <w:sz w:val="20"/>
                <w:szCs w:val="20"/>
              </w:rPr>
              <w:t xml:space="preserve"> 4 Rail Edition 2027) • Emotion-aware change management (wearable sentiment tracking during roll-out)</w:t>
            </w:r>
          </w:p>
        </w:tc>
        <w:tc>
          <w:tcPr>
            <w:tcW w:w="2520" w:type="dxa"/>
          </w:tcPr>
          <w:p w14:paraId="120BA4B4" w14:textId="07A06921"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&lt;3 % human veto rate • Explainability score &gt;0.95 (CENELEC-approved)</w:t>
            </w:r>
          </w:p>
        </w:tc>
      </w:tr>
      <w:tr w:rsidR="00D109DB" w:rsidRPr="00FE34CB" w14:paraId="6BEDEA24" w14:textId="77777777" w:rsidTr="00FE34CB">
        <w:tc>
          <w:tcPr>
            <w:cnfStyle w:val="001000000000" w:firstRow="0" w:lastRow="0" w:firstColumn="1" w:lastColumn="0" w:oddVBand="0" w:evenVBand="0" w:oddHBand="0" w:evenHBand="0" w:firstRowFirstColumn="0" w:firstRowLastColumn="0" w:lastRowFirstColumn="0" w:lastRowLastColumn="0"/>
            <w:tcW w:w="1705" w:type="dxa"/>
          </w:tcPr>
          <w:p w14:paraId="7A46429A" w14:textId="2FEDC3CC" w:rsidR="00D109DB" w:rsidRPr="00FE34CB" w:rsidRDefault="00D109DB" w:rsidP="00FE34CB">
            <w:pPr>
              <w:spacing w:afterLines="160" w:after="384" w:line="360" w:lineRule="auto"/>
              <w:rPr>
                <w:rFonts w:asciiTheme="majorBidi" w:hAnsiTheme="majorBidi" w:cstheme="majorBidi"/>
                <w:b w:val="0"/>
                <w:bCs w:val="0"/>
                <w:sz w:val="20"/>
                <w:szCs w:val="20"/>
              </w:rPr>
            </w:pPr>
            <w:r w:rsidRPr="00FE34CB">
              <w:rPr>
                <w:rFonts w:asciiTheme="majorBidi" w:hAnsiTheme="majorBidi" w:cstheme="majorBidi"/>
                <w:b w:val="0"/>
                <w:bCs w:val="0"/>
                <w:sz w:val="20"/>
                <w:szCs w:val="20"/>
              </w:rPr>
              <w:t>Horizon 4 (2031–2035)</w:t>
            </w:r>
          </w:p>
        </w:tc>
        <w:tc>
          <w:tcPr>
            <w:tcW w:w="3025" w:type="dxa"/>
          </w:tcPr>
          <w:p w14:paraId="74761590" w14:textId="4F7D3469"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Self-Healing Railway Ecosystem</w:t>
            </w:r>
          </w:p>
        </w:tc>
        <w:tc>
          <w:tcPr>
            <w:tcW w:w="2735" w:type="dxa"/>
          </w:tcPr>
          <w:p w14:paraId="71262CD2" w14:textId="11508F0B"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 Self-certifying AI safety cases (UK RSSB “Assurance 4.0” 2027) • Predictive fleet acquisition (the system tells you what to buy next) • Carbon-negative maintenance through predictive regeneration braking optimisation</w:t>
            </w:r>
          </w:p>
        </w:tc>
        <w:tc>
          <w:tcPr>
            <w:tcW w:w="2520" w:type="dxa"/>
          </w:tcPr>
          <w:p w14:paraId="609269B3" w14:textId="5A8C45E0" w:rsidR="00D109DB" w:rsidRPr="00FE34CB" w:rsidRDefault="00D109DB" w:rsidP="00FE34CB">
            <w:pPr>
              <w:spacing w:afterLines="160" w:after="384"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FE34CB">
              <w:rPr>
                <w:rFonts w:asciiTheme="majorBidi" w:hAnsiTheme="majorBidi" w:cstheme="majorBidi"/>
                <w:sz w:val="20"/>
                <w:szCs w:val="20"/>
              </w:rPr>
              <w:t>Zero unplanned passenger disruptions for 730 consecutive days • Industry benchmark leadership</w:t>
            </w:r>
          </w:p>
        </w:tc>
      </w:tr>
    </w:tbl>
    <w:p w14:paraId="10789BB3" w14:textId="1EE8AA92" w:rsidR="00D109DB" w:rsidRPr="00FF2699" w:rsidRDefault="00FF2699" w:rsidP="00FF2699">
      <w:pPr>
        <w:spacing w:afterLines="160" w:after="384" w:line="360" w:lineRule="auto"/>
        <w:jc w:val="center"/>
        <w:rPr>
          <w:rFonts w:asciiTheme="majorBidi" w:hAnsiTheme="majorBidi" w:cstheme="majorBidi"/>
          <w:sz w:val="16"/>
          <w:szCs w:val="16"/>
        </w:rPr>
      </w:pPr>
      <w:r w:rsidRPr="00FF2699">
        <w:rPr>
          <w:rFonts w:asciiTheme="majorBidi" w:hAnsiTheme="majorBidi" w:cstheme="majorBidi"/>
          <w:sz w:val="16"/>
          <w:szCs w:val="16"/>
        </w:rPr>
        <w:t>Table 8: Roadmap</w:t>
      </w:r>
    </w:p>
    <w:p w14:paraId="591A1990" w14:textId="77777777" w:rsidR="00D109DB" w:rsidRPr="00FE34CB" w:rsidRDefault="00D109DB" w:rsidP="00FE34CB">
      <w:pPr>
        <w:spacing w:afterLines="160" w:after="384" w:line="360" w:lineRule="auto"/>
        <w:jc w:val="both"/>
        <w:rPr>
          <w:rFonts w:asciiTheme="majorBidi" w:hAnsiTheme="majorBidi" w:cstheme="majorBidi"/>
          <w:sz w:val="24"/>
          <w:szCs w:val="24"/>
        </w:rPr>
      </w:pPr>
    </w:p>
    <w:p w14:paraId="74F33186" w14:textId="0743228F" w:rsidR="00F33AA9" w:rsidRPr="00FE34CB" w:rsidRDefault="00B458A4" w:rsidP="00B458A4">
      <w:pPr>
        <w:pStyle w:val="Heading1"/>
      </w:pPr>
      <w:bookmarkStart w:id="29" w:name="_Toc215590826"/>
      <w:r>
        <w:t>4.3</w:t>
      </w:r>
      <w:r>
        <w:tab/>
      </w:r>
      <w:r w:rsidR="00F33AA9" w:rsidRPr="00FE34CB">
        <w:t>Research Recommendations</w:t>
      </w:r>
      <w:bookmarkEnd w:id="29"/>
    </w:p>
    <w:p w14:paraId="44D0ED2E" w14:textId="77777777"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The findings necessitate specific, actionable recommendations for both the strategic leadership (managerial) and the technical teams (implementation).</w:t>
      </w:r>
    </w:p>
    <w:p w14:paraId="1E27D202" w14:textId="77777777" w:rsidR="009B06CB" w:rsidRPr="00FE34CB" w:rsidRDefault="009B06CB" w:rsidP="00FE34CB">
      <w:pPr>
        <w:pStyle w:val="ListParagraph"/>
        <w:spacing w:afterLines="160" w:after="384" w:line="360" w:lineRule="auto"/>
        <w:jc w:val="both"/>
        <w:rPr>
          <w:rFonts w:asciiTheme="majorBidi" w:hAnsiTheme="majorBidi" w:cstheme="majorBidi"/>
          <w:sz w:val="24"/>
          <w:szCs w:val="24"/>
        </w:rPr>
      </w:pPr>
    </w:p>
    <w:p w14:paraId="78B05776" w14:textId="77777777"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4.3.1 strategic and policy recommendations</w:t>
      </w:r>
    </w:p>
    <w:p w14:paraId="5E826A6C" w14:textId="6A3DDB4E"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Mandate cross-functional data governance: the CEO/executive leadership must issue a mandate making the single source of truth (</w:t>
      </w:r>
      <w:proofErr w:type="spellStart"/>
      <w:r w:rsidRPr="00FE34CB">
        <w:rPr>
          <w:rFonts w:asciiTheme="majorBidi" w:hAnsiTheme="majorBidi" w:cstheme="majorBidi"/>
          <w:sz w:val="24"/>
          <w:szCs w:val="24"/>
        </w:rPr>
        <w:t>SSoT</w:t>
      </w:r>
      <w:proofErr w:type="spellEnd"/>
      <w:r w:rsidRPr="00FE34CB">
        <w:rPr>
          <w:rFonts w:asciiTheme="majorBidi" w:hAnsiTheme="majorBidi" w:cstheme="majorBidi"/>
          <w:sz w:val="24"/>
          <w:szCs w:val="24"/>
        </w:rPr>
        <w:t>) for asset data a non-negotiable strategic priority, assigning ownership to a high-level chief data officer (CDO), transcending departmental silos (theme 1).</w:t>
      </w:r>
    </w:p>
    <w:p w14:paraId="5A17215A" w14:textId="7CD3FD73"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Shift financial justification to TCO/revenue protection: investment proposals must be framed using the TCO/ROI model developed in this thesis. The primary financial lever should be the avoided cost of opportunity (revenue protection), rather than direct labor savings, to meet the executive ROI threshold (theme 2).</w:t>
      </w:r>
    </w:p>
    <w:p w14:paraId="4E523A08" w14:textId="0EF67022"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Implement a phased co-creation model: adopt the four-phase roadmap (4.2.2). Crucially, dedicate significant budget in phase 1 to change management and upskilling (STS and theme 3). This investment must be viewed as essential infrastructure, not a soft cost.</w:t>
      </w:r>
    </w:p>
    <w:p w14:paraId="56BF30FF" w14:textId="77777777" w:rsidR="00CC266E" w:rsidRPr="00FE34CB" w:rsidRDefault="00CC266E" w:rsidP="00FE34CB">
      <w:pPr>
        <w:pStyle w:val="ListParagraph"/>
        <w:spacing w:afterLines="160" w:after="384" w:line="360" w:lineRule="auto"/>
        <w:jc w:val="both"/>
        <w:rPr>
          <w:rFonts w:asciiTheme="majorBidi" w:hAnsiTheme="majorBidi" w:cstheme="majorBidi"/>
          <w:sz w:val="24"/>
          <w:szCs w:val="24"/>
        </w:rPr>
      </w:pPr>
    </w:p>
    <w:p w14:paraId="438921F8" w14:textId="77777777"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4.3.2 implementation and technical recommendations</w:t>
      </w:r>
    </w:p>
    <w:p w14:paraId="49857D23" w14:textId="4E9BDF1F"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prioritize digital twin maturity: the focus should be on building the level 3 digital twin (analytical/optimization) before deploying the full cognitive layer. This ensures the system can perform the necessary prescriptive modeling (</w:t>
      </w:r>
      <w:proofErr w:type="spellStart"/>
      <w:r w:rsidRPr="00FE34CB">
        <w:rPr>
          <w:rFonts w:asciiTheme="majorBidi" w:hAnsiTheme="majorBidi" w:cstheme="majorBidi"/>
          <w:sz w:val="24"/>
          <w:szCs w:val="24"/>
        </w:rPr>
        <w:t>PsM</w:t>
      </w:r>
      <w:proofErr w:type="spellEnd"/>
      <w:r w:rsidRPr="00FE34CB">
        <w:rPr>
          <w:rFonts w:asciiTheme="majorBidi" w:hAnsiTheme="majorBidi" w:cstheme="majorBidi"/>
          <w:sz w:val="24"/>
          <w:szCs w:val="24"/>
        </w:rPr>
        <w:t>) rather than just prediction.</w:t>
      </w:r>
    </w:p>
    <w:p w14:paraId="2B096E80" w14:textId="1C03FFDF"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Leverage edge computing for reliability: invest in robust edge computing capabilities onboard rolling stock to ensure real-time fault detection and low-latency analysis, guaranteeing that the cognitive system can act reliably even in areas with poor network connectivity (addressing technical risk identified in chapter 3).</w:t>
      </w:r>
    </w:p>
    <w:p w14:paraId="23E0ECCF" w14:textId="4E377481"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Align with global rail standards (ISO/UIC): ensure that every stage of the roadmap and every KPI developed is auditable against ISO 55000 requirements. This provides a universal, strategically sound framework that prepares the organization for future regulatory and contractual mandates.</w:t>
      </w:r>
    </w:p>
    <w:p w14:paraId="06E97F8B" w14:textId="77777777" w:rsidR="009B06CB" w:rsidRPr="00FE34CB" w:rsidRDefault="009B06CB" w:rsidP="00FE34CB">
      <w:pPr>
        <w:pStyle w:val="ListParagraph"/>
        <w:spacing w:afterLines="160" w:after="384" w:line="360" w:lineRule="auto"/>
        <w:jc w:val="both"/>
        <w:rPr>
          <w:rFonts w:asciiTheme="majorBidi" w:hAnsiTheme="majorBidi" w:cstheme="majorBidi"/>
          <w:sz w:val="24"/>
          <w:szCs w:val="24"/>
        </w:rPr>
      </w:pPr>
    </w:p>
    <w:p w14:paraId="46CEAFC4" w14:textId="77777777"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4.3.3 recommendations for future research</w:t>
      </w:r>
    </w:p>
    <w:p w14:paraId="00B41862" w14:textId="722B70D1"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 xml:space="preserve">quantitative validation of </w:t>
      </w:r>
      <w:proofErr w:type="spellStart"/>
      <w:r w:rsidRPr="00FE34CB">
        <w:rPr>
          <w:rFonts w:asciiTheme="majorBidi" w:hAnsiTheme="majorBidi" w:cstheme="majorBidi"/>
          <w:sz w:val="24"/>
          <w:szCs w:val="24"/>
        </w:rPr>
        <w:t>PsM</w:t>
      </w:r>
      <w:proofErr w:type="spellEnd"/>
      <w:r w:rsidRPr="00FE34CB">
        <w:rPr>
          <w:rFonts w:asciiTheme="majorBidi" w:hAnsiTheme="majorBidi" w:cstheme="majorBidi"/>
          <w:sz w:val="24"/>
          <w:szCs w:val="24"/>
        </w:rPr>
        <w:t xml:space="preserve"> savings: future research should seek to quantitatively validate the savings predicted in the TCO/ROI model (4.1.2) using proprietary data once a rail operator reaches phase 3 of the roadmap.</w:t>
      </w:r>
    </w:p>
    <w:p w14:paraId="2346E6BB" w14:textId="18182772" w:rsidR="009B06CB" w:rsidRPr="00FE34CB" w:rsidRDefault="009B06CB" w:rsidP="00FE34CB">
      <w:pPr>
        <w:pStyle w:val="ListParagraph"/>
        <w:spacing w:afterLines="160" w:after="384" w:line="360" w:lineRule="auto"/>
        <w:jc w:val="both"/>
        <w:rPr>
          <w:rFonts w:asciiTheme="majorBidi" w:hAnsiTheme="majorBidi" w:cstheme="majorBidi"/>
          <w:sz w:val="24"/>
          <w:szCs w:val="24"/>
        </w:rPr>
      </w:pPr>
      <w:r w:rsidRPr="00FE34CB">
        <w:rPr>
          <w:rFonts w:asciiTheme="majorBidi" w:hAnsiTheme="majorBidi" w:cstheme="majorBidi"/>
          <w:sz w:val="24"/>
          <w:szCs w:val="24"/>
        </w:rPr>
        <w:t>Modeling the sociotechnical cost of change: develop a formal cost model for the social subsystem (e.g., Cost of upskilling vs. Cost of worker resistance) to better justify the financial allocation for change management (h3).</w:t>
      </w:r>
    </w:p>
    <w:p w14:paraId="47EFB03B" w14:textId="77777777" w:rsidR="00D109DB" w:rsidRPr="00A47917" w:rsidRDefault="00D109DB" w:rsidP="00A47917">
      <w:pPr>
        <w:spacing w:afterLines="160" w:after="384" w:line="360" w:lineRule="auto"/>
        <w:jc w:val="both"/>
        <w:rPr>
          <w:rFonts w:asciiTheme="majorBidi" w:hAnsiTheme="majorBidi" w:cstheme="majorBidi"/>
          <w:sz w:val="24"/>
          <w:szCs w:val="24"/>
        </w:rPr>
      </w:pPr>
    </w:p>
    <w:p w14:paraId="44CD3553" w14:textId="77777777" w:rsidR="00B458A4" w:rsidRDefault="00D109DB" w:rsidP="00B458A4">
      <w:pPr>
        <w:pStyle w:val="ListParagraph"/>
        <w:numPr>
          <w:ilvl w:val="1"/>
          <w:numId w:val="47"/>
        </w:numPr>
        <w:spacing w:afterLines="160" w:after="384" w:line="360" w:lineRule="auto"/>
        <w:jc w:val="both"/>
        <w:rPr>
          <w:rFonts w:asciiTheme="majorBidi" w:hAnsiTheme="majorBidi" w:cstheme="majorBidi"/>
          <w:sz w:val="24"/>
          <w:szCs w:val="24"/>
          <w:lang w:val="en-US"/>
        </w:rPr>
      </w:pPr>
      <w:bookmarkStart w:id="30" w:name="_Toc215590827"/>
      <w:r w:rsidRPr="00B458A4">
        <w:rPr>
          <w:rStyle w:val="Heading1Char"/>
          <w:lang w:val="en-US"/>
        </w:rPr>
        <w:t>Revised Research Findings</w:t>
      </w:r>
      <w:bookmarkEnd w:id="30"/>
      <w:r w:rsidRPr="00B458A4">
        <w:rPr>
          <w:rFonts w:asciiTheme="majorBidi" w:hAnsiTheme="majorBidi" w:cstheme="majorBidi"/>
          <w:sz w:val="24"/>
          <w:szCs w:val="24"/>
          <w:lang w:val="en-US"/>
        </w:rPr>
        <w:t xml:space="preserve"> – </w:t>
      </w:r>
    </w:p>
    <w:p w14:paraId="2BE945F4" w14:textId="03D95CE3" w:rsidR="00D109DB" w:rsidRPr="00B458A4" w:rsidRDefault="00D109DB" w:rsidP="00B458A4">
      <w:pPr>
        <w:pStyle w:val="ListParagraph"/>
        <w:spacing w:afterLines="160" w:after="384" w:line="360" w:lineRule="auto"/>
        <w:ind w:left="420"/>
        <w:jc w:val="both"/>
        <w:rPr>
          <w:rFonts w:asciiTheme="majorBidi" w:hAnsiTheme="majorBidi" w:cstheme="majorBidi"/>
          <w:sz w:val="24"/>
          <w:szCs w:val="24"/>
          <w:lang w:val="en-US"/>
        </w:rPr>
      </w:pPr>
      <w:r w:rsidRPr="00B458A4">
        <w:rPr>
          <w:rFonts w:asciiTheme="majorBidi" w:hAnsiTheme="majorBidi" w:cstheme="majorBidi"/>
          <w:sz w:val="24"/>
          <w:szCs w:val="24"/>
          <w:lang w:val="en-US"/>
        </w:rPr>
        <w:t>Answering the RQs with 2025–2027 Lens.</w:t>
      </w:r>
    </w:p>
    <w:p w14:paraId="1E4D7AA4" w14:textId="77777777" w:rsidR="00D109DB" w:rsidRPr="00FE34CB" w:rsidRDefault="00D109DB" w:rsidP="00FE34CB">
      <w:pPr>
        <w:pStyle w:val="NormalWeb"/>
        <w:spacing w:afterLines="160" w:after="384" w:afterAutospacing="0" w:line="360" w:lineRule="auto"/>
        <w:ind w:left="360"/>
        <w:jc w:val="both"/>
        <w:rPr>
          <w:rFonts w:asciiTheme="majorBidi" w:hAnsiTheme="majorBidi" w:cstheme="majorBidi"/>
        </w:rPr>
      </w:pPr>
      <w:r w:rsidRPr="00FE34CB">
        <w:rPr>
          <w:rFonts w:asciiTheme="majorBidi" w:hAnsiTheme="majorBidi" w:cstheme="majorBidi"/>
        </w:rPr>
        <w:t xml:space="preserve">RQ1 Current maturity → Confirmed **Level 2.7, but </w:t>
      </w:r>
      <w:r w:rsidRPr="00FE34CB">
        <w:rPr>
          <w:rStyle w:val="Strong"/>
          <w:rFonts w:asciiTheme="majorBidi" w:hAnsiTheme="majorBidi" w:cstheme="majorBidi"/>
          <w:b w:val="0"/>
          <w:bCs w:val="0"/>
        </w:rPr>
        <w:t>Level 3.2 in hardware-only</w:t>
      </w:r>
      <w:r w:rsidRPr="00FE34CB">
        <w:rPr>
          <w:rFonts w:asciiTheme="majorBidi" w:hAnsiTheme="majorBidi" w:cstheme="majorBidi"/>
        </w:rPr>
        <w:t xml:space="preserve"> — the gap is almost entirely sociotechnical. RQ2 Cognitive system of 2035 → No longer just “prescriptive + learning”. It is </w:t>
      </w:r>
      <w:r w:rsidRPr="00FE34CB">
        <w:rPr>
          <w:rStyle w:val="Strong"/>
          <w:rFonts w:asciiTheme="majorBidi" w:hAnsiTheme="majorBidi" w:cstheme="majorBidi"/>
          <w:b w:val="0"/>
          <w:bCs w:val="0"/>
        </w:rPr>
        <w:t>revenue-aware, carbon-aware, regulator-aware, and self-certifying</w:t>
      </w:r>
      <w:r w:rsidRPr="00FE34CB">
        <w:rPr>
          <w:rFonts w:asciiTheme="majorBidi" w:hAnsiTheme="majorBidi" w:cstheme="majorBidi"/>
        </w:rPr>
        <w:t xml:space="preserve">. RQ3 Essential new enablers (beyond the original list) → </w:t>
      </w:r>
      <w:r w:rsidRPr="00FE34CB">
        <w:rPr>
          <w:rFonts w:asciiTheme="majorBidi" w:hAnsiTheme="majorBidi" w:cstheme="majorBidi"/>
        </w:rPr>
        <w:t> </w:t>
      </w:r>
      <w:r w:rsidRPr="00FE34CB">
        <w:rPr>
          <w:rFonts w:asciiTheme="majorBidi" w:hAnsiTheme="majorBidi" w:cstheme="majorBidi"/>
        </w:rPr>
        <w:t> </w:t>
      </w:r>
      <w:r w:rsidRPr="00FE34CB">
        <w:rPr>
          <w:rFonts w:asciiTheme="majorBidi" w:hAnsiTheme="majorBidi" w:cstheme="majorBidi"/>
        </w:rPr>
        <w:t xml:space="preserve">• Operator-owned federated digital twin </w:t>
      </w:r>
      <w:r w:rsidRPr="00FE34CB">
        <w:rPr>
          <w:rFonts w:asciiTheme="majorBidi" w:hAnsiTheme="majorBidi" w:cstheme="majorBidi"/>
        </w:rPr>
        <w:t> </w:t>
      </w:r>
      <w:r w:rsidRPr="00FE34CB">
        <w:rPr>
          <w:rFonts w:asciiTheme="majorBidi" w:hAnsiTheme="majorBidi" w:cstheme="majorBidi"/>
        </w:rPr>
        <w:t> </w:t>
      </w:r>
      <w:r w:rsidRPr="00FE34CB">
        <w:rPr>
          <w:rFonts w:asciiTheme="majorBidi" w:hAnsiTheme="majorBidi" w:cstheme="majorBidi"/>
        </w:rPr>
        <w:t xml:space="preserve">• Foundation models for rail </w:t>
      </w:r>
      <w:r w:rsidRPr="00FE34CB">
        <w:rPr>
          <w:rFonts w:asciiTheme="majorBidi" w:hAnsiTheme="majorBidi" w:cstheme="majorBidi"/>
        </w:rPr>
        <w:t> </w:t>
      </w:r>
      <w:r w:rsidRPr="00FE34CB">
        <w:rPr>
          <w:rFonts w:asciiTheme="majorBidi" w:hAnsiTheme="majorBidi" w:cstheme="majorBidi"/>
        </w:rPr>
        <w:t> </w:t>
      </w:r>
      <w:r w:rsidRPr="00FE34CB">
        <w:rPr>
          <w:rFonts w:asciiTheme="majorBidi" w:hAnsiTheme="majorBidi" w:cstheme="majorBidi"/>
        </w:rPr>
        <w:t xml:space="preserve">• Quantum/quantum-inspired scheduling </w:t>
      </w:r>
      <w:r w:rsidRPr="00FE34CB">
        <w:rPr>
          <w:rFonts w:asciiTheme="majorBidi" w:hAnsiTheme="majorBidi" w:cstheme="majorBidi"/>
        </w:rPr>
        <w:t> </w:t>
      </w:r>
      <w:r w:rsidRPr="00FE34CB">
        <w:rPr>
          <w:rFonts w:asciiTheme="majorBidi" w:hAnsiTheme="majorBidi" w:cstheme="majorBidi"/>
        </w:rPr>
        <w:t> </w:t>
      </w:r>
      <w:r w:rsidRPr="00FE34CB">
        <w:rPr>
          <w:rFonts w:asciiTheme="majorBidi" w:hAnsiTheme="majorBidi" w:cstheme="majorBidi"/>
        </w:rPr>
        <w:t xml:space="preserve">• Emotion-aware change management RQ4 Financial implications → With carbon credits and dynamic availability pricing, payback drops to </w:t>
      </w:r>
      <w:r w:rsidRPr="00FE34CB">
        <w:rPr>
          <w:rStyle w:val="Strong"/>
          <w:rFonts w:asciiTheme="majorBidi" w:hAnsiTheme="majorBidi" w:cstheme="majorBidi"/>
          <w:b w:val="0"/>
          <w:bCs w:val="0"/>
        </w:rPr>
        <w:t>sub-3 years</w:t>
      </w:r>
      <w:r w:rsidRPr="00FE34CB">
        <w:rPr>
          <w:rFonts w:asciiTheme="majorBidi" w:hAnsiTheme="majorBidi" w:cstheme="majorBidi"/>
        </w:rPr>
        <w:t xml:space="preserve"> in high-density networks. RQ5 New risks emerging in 2025 → </w:t>
      </w:r>
      <w:r w:rsidRPr="00FE34CB">
        <w:rPr>
          <w:rFonts w:asciiTheme="majorBidi" w:hAnsiTheme="majorBidi" w:cstheme="majorBidi"/>
        </w:rPr>
        <w:t> </w:t>
      </w:r>
      <w:r w:rsidRPr="00FE34CB">
        <w:rPr>
          <w:rFonts w:asciiTheme="majorBidi" w:hAnsiTheme="majorBidi" w:cstheme="majorBidi"/>
        </w:rPr>
        <w:t> </w:t>
      </w:r>
      <w:r w:rsidRPr="00FE34CB">
        <w:rPr>
          <w:rFonts w:asciiTheme="majorBidi" w:hAnsiTheme="majorBidi" w:cstheme="majorBidi"/>
        </w:rPr>
        <w:t xml:space="preserve">• Regulatory lag (standards 15 years behind technology) </w:t>
      </w:r>
      <w:r w:rsidRPr="00FE34CB">
        <w:rPr>
          <w:rFonts w:asciiTheme="majorBidi" w:hAnsiTheme="majorBidi" w:cstheme="majorBidi"/>
        </w:rPr>
        <w:t> </w:t>
      </w:r>
      <w:r w:rsidRPr="00FE34CB">
        <w:rPr>
          <w:rFonts w:asciiTheme="majorBidi" w:hAnsiTheme="majorBidi" w:cstheme="majorBidi"/>
        </w:rPr>
        <w:t> </w:t>
      </w:r>
      <w:r w:rsidRPr="00FE34CB">
        <w:rPr>
          <w:rFonts w:asciiTheme="majorBidi" w:hAnsiTheme="majorBidi" w:cstheme="majorBidi"/>
        </w:rPr>
        <w:t xml:space="preserve">• OEM lock-in via proprietary twins </w:t>
      </w:r>
      <w:r w:rsidRPr="00FE34CB">
        <w:rPr>
          <w:rFonts w:asciiTheme="majorBidi" w:hAnsiTheme="majorBidi" w:cstheme="majorBidi"/>
        </w:rPr>
        <w:t> </w:t>
      </w:r>
      <w:r w:rsidRPr="00FE34CB">
        <w:rPr>
          <w:rFonts w:asciiTheme="majorBidi" w:hAnsiTheme="majorBidi" w:cstheme="majorBidi"/>
        </w:rPr>
        <w:t> </w:t>
      </w:r>
      <w:r w:rsidRPr="00FE34CB">
        <w:rPr>
          <w:rFonts w:asciiTheme="majorBidi" w:hAnsiTheme="majorBidi" w:cstheme="majorBidi"/>
        </w:rPr>
        <w:t>• AI skill flight to Big Tech</w:t>
      </w:r>
    </w:p>
    <w:p w14:paraId="1D66AC63" w14:textId="77777777" w:rsidR="00D109DB" w:rsidRPr="00FE34CB" w:rsidRDefault="00D109DB" w:rsidP="00FE34CB">
      <w:pPr>
        <w:pStyle w:val="NormalWeb"/>
        <w:spacing w:afterLines="160" w:after="384" w:afterAutospacing="0" w:line="360" w:lineRule="auto"/>
        <w:ind w:left="360"/>
        <w:jc w:val="both"/>
        <w:rPr>
          <w:rFonts w:asciiTheme="majorBidi" w:hAnsiTheme="majorBidi" w:cstheme="majorBidi"/>
        </w:rPr>
      </w:pPr>
      <w:r w:rsidRPr="00FE34CB">
        <w:rPr>
          <w:rFonts w:asciiTheme="majorBidi" w:hAnsiTheme="majorBidi" w:cstheme="majorBidi"/>
        </w:rPr>
        <w:t>All three original hypotheses remain strongly supported, and two new testable propositions emerge for future research.</w:t>
      </w:r>
    </w:p>
    <w:p w14:paraId="0C52BD47" w14:textId="77777777" w:rsidR="00D109DB" w:rsidRPr="00FE34CB" w:rsidRDefault="00D109DB" w:rsidP="00FE34CB">
      <w:pPr>
        <w:spacing w:afterLines="160" w:after="384" w:line="360" w:lineRule="auto"/>
        <w:jc w:val="both"/>
        <w:rPr>
          <w:rFonts w:asciiTheme="majorBidi" w:hAnsiTheme="majorBidi" w:cstheme="majorBidi"/>
          <w:sz w:val="24"/>
          <w:szCs w:val="24"/>
          <w:lang w:val="en-US"/>
        </w:rPr>
      </w:pPr>
    </w:p>
    <w:p w14:paraId="08B104D5" w14:textId="77777777" w:rsidR="00D109DB" w:rsidRPr="00FE34CB" w:rsidRDefault="00D109DB" w:rsidP="00FE34CB">
      <w:pPr>
        <w:spacing w:afterLines="160" w:after="384" w:line="360" w:lineRule="auto"/>
        <w:jc w:val="both"/>
        <w:rPr>
          <w:rFonts w:asciiTheme="majorBidi" w:hAnsiTheme="majorBidi" w:cstheme="majorBidi"/>
          <w:sz w:val="24"/>
          <w:szCs w:val="24"/>
          <w:lang w:val="en-US"/>
        </w:rPr>
      </w:pPr>
    </w:p>
    <w:p w14:paraId="19BE621C" w14:textId="77777777" w:rsidR="00D109DB" w:rsidRPr="00FE34CB" w:rsidRDefault="00D109DB" w:rsidP="00FE34CB">
      <w:pPr>
        <w:spacing w:afterLines="160" w:after="384" w:line="360" w:lineRule="auto"/>
        <w:jc w:val="both"/>
        <w:rPr>
          <w:rFonts w:asciiTheme="majorBidi" w:hAnsiTheme="majorBidi" w:cstheme="majorBidi"/>
          <w:sz w:val="24"/>
          <w:szCs w:val="24"/>
          <w:lang w:val="en-US"/>
        </w:rPr>
      </w:pPr>
    </w:p>
    <w:p w14:paraId="6493EE9C" w14:textId="77777777" w:rsidR="00D109DB" w:rsidRPr="00FE34CB" w:rsidRDefault="00D109DB" w:rsidP="00FE34CB">
      <w:pPr>
        <w:pStyle w:val="ListParagraph"/>
        <w:spacing w:afterLines="160" w:after="384" w:line="360" w:lineRule="auto"/>
        <w:jc w:val="both"/>
        <w:rPr>
          <w:rFonts w:asciiTheme="majorBidi" w:hAnsiTheme="majorBidi" w:cstheme="majorBidi"/>
          <w:sz w:val="24"/>
          <w:szCs w:val="24"/>
          <w:lang w:val="en-US"/>
        </w:rPr>
      </w:pPr>
    </w:p>
    <w:p w14:paraId="33F2E53F" w14:textId="77777777" w:rsidR="00A47917" w:rsidRDefault="00A47917" w:rsidP="00B458A4">
      <w:pPr>
        <w:pStyle w:val="ListParagraph"/>
        <w:numPr>
          <w:ilvl w:val="1"/>
          <w:numId w:val="47"/>
        </w:numPr>
        <w:spacing w:afterLines="160" w:after="384" w:line="360" w:lineRule="auto"/>
        <w:jc w:val="both"/>
        <w:rPr>
          <w:rFonts w:asciiTheme="majorBidi" w:hAnsiTheme="majorBidi" w:cstheme="majorBidi"/>
          <w:sz w:val="24"/>
          <w:szCs w:val="24"/>
          <w:lang w:val="en-US"/>
        </w:rPr>
      </w:pPr>
      <w:r>
        <w:rPr>
          <w:rFonts w:asciiTheme="majorBidi" w:hAnsiTheme="majorBidi" w:cstheme="majorBidi"/>
          <w:sz w:val="24"/>
          <w:szCs w:val="24"/>
        </w:rPr>
        <w:t xml:space="preserve">   </w:t>
      </w:r>
      <w:bookmarkStart w:id="31" w:name="_Toc215590828"/>
      <w:r w:rsidR="00D109DB" w:rsidRPr="00B458A4">
        <w:rPr>
          <w:rStyle w:val="Heading1Char"/>
          <w:lang w:val="en-US"/>
        </w:rPr>
        <w:t>Final Practical Recommendations</w:t>
      </w:r>
      <w:bookmarkEnd w:id="31"/>
      <w:r w:rsidR="00D109DB" w:rsidRPr="00FE34CB">
        <w:rPr>
          <w:rFonts w:asciiTheme="majorBidi" w:hAnsiTheme="majorBidi" w:cstheme="majorBidi"/>
          <w:sz w:val="24"/>
          <w:szCs w:val="24"/>
          <w:lang w:val="en-US"/>
        </w:rPr>
        <w:t xml:space="preserve"> – </w:t>
      </w:r>
    </w:p>
    <w:p w14:paraId="429409C3" w14:textId="73B9A4C4" w:rsidR="00D109DB" w:rsidRPr="00FE34CB" w:rsidRDefault="00D109DB" w:rsidP="00A47917">
      <w:pPr>
        <w:pStyle w:val="ListParagraph"/>
        <w:spacing w:afterLines="160" w:after="384" w:line="360" w:lineRule="auto"/>
        <w:jc w:val="both"/>
        <w:rPr>
          <w:rFonts w:asciiTheme="majorBidi" w:hAnsiTheme="majorBidi" w:cstheme="majorBidi"/>
          <w:sz w:val="24"/>
          <w:szCs w:val="24"/>
          <w:lang w:val="en-US"/>
        </w:rPr>
      </w:pPr>
      <w:r w:rsidRPr="00FE34CB">
        <w:rPr>
          <w:rFonts w:asciiTheme="majorBidi" w:hAnsiTheme="majorBidi" w:cstheme="majorBidi"/>
          <w:sz w:val="24"/>
          <w:szCs w:val="24"/>
          <w:lang w:val="en-US"/>
        </w:rPr>
        <w:t>The “No-Regret” Playbook for Any Railway CEO in 2025</w:t>
      </w:r>
    </w:p>
    <w:p w14:paraId="6CB7FF3A" w14:textId="77777777" w:rsidR="00D109DB" w:rsidRPr="00FE34CB" w:rsidRDefault="00D109DB" w:rsidP="00FE34CB">
      <w:pPr>
        <w:pStyle w:val="ListParagraph"/>
        <w:spacing w:afterLines="160" w:after="384" w:line="360" w:lineRule="auto"/>
        <w:jc w:val="both"/>
        <w:rPr>
          <w:rFonts w:asciiTheme="majorBidi" w:hAnsiTheme="majorBidi" w:cstheme="majorBidi"/>
          <w:sz w:val="24"/>
          <w:szCs w:val="24"/>
          <w:lang w:val="en-US"/>
        </w:rPr>
      </w:pPr>
    </w:p>
    <w:p w14:paraId="16F8DAE7" w14:textId="77777777" w:rsidR="00D109DB" w:rsidRPr="00D109DB" w:rsidRDefault="00D109DB" w:rsidP="00FE34CB">
      <w:pPr>
        <w:pStyle w:val="ListParagraph"/>
        <w:numPr>
          <w:ilvl w:val="0"/>
          <w:numId w:val="43"/>
        </w:numPr>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Week 1: Sign the Data Unity Decree and appoint a CDO at board level.</w:t>
      </w:r>
    </w:p>
    <w:p w14:paraId="63F29E37" w14:textId="77777777" w:rsidR="00D109DB" w:rsidRPr="00D109DB" w:rsidRDefault="00D109DB" w:rsidP="00FE34CB">
      <w:pPr>
        <w:pStyle w:val="ListParagraph"/>
        <w:numPr>
          <w:ilvl w:val="0"/>
          <w:numId w:val="43"/>
        </w:numPr>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 xml:space="preserve">Month 3: Launch the federated master Digital Twin </w:t>
      </w:r>
      <w:proofErr w:type="spellStart"/>
      <w:r w:rsidRPr="00D109DB">
        <w:rPr>
          <w:rFonts w:asciiTheme="majorBidi" w:hAnsiTheme="majorBidi" w:cstheme="majorBidi"/>
          <w:sz w:val="24"/>
          <w:szCs w:val="24"/>
          <w:lang w:val="en-US"/>
        </w:rPr>
        <w:t>programme</w:t>
      </w:r>
      <w:proofErr w:type="spellEnd"/>
      <w:r w:rsidRPr="00D109DB">
        <w:rPr>
          <w:rFonts w:asciiTheme="majorBidi" w:hAnsiTheme="majorBidi" w:cstheme="majorBidi"/>
          <w:sz w:val="24"/>
          <w:szCs w:val="24"/>
          <w:lang w:val="en-US"/>
        </w:rPr>
        <w:t xml:space="preserve"> — insist on owning the IP, not licensing it.</w:t>
      </w:r>
    </w:p>
    <w:p w14:paraId="6DAC9D10" w14:textId="77777777" w:rsidR="00D109DB" w:rsidRPr="00D109DB" w:rsidRDefault="00D109DB" w:rsidP="00FE34CB">
      <w:pPr>
        <w:pStyle w:val="ListParagraph"/>
        <w:numPr>
          <w:ilvl w:val="0"/>
          <w:numId w:val="43"/>
        </w:numPr>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 xml:space="preserve">Month 6: Replace every </w:t>
      </w:r>
      <w:proofErr w:type="spellStart"/>
      <w:r w:rsidRPr="00D109DB">
        <w:rPr>
          <w:rFonts w:asciiTheme="majorBidi" w:hAnsiTheme="majorBidi" w:cstheme="majorBidi"/>
          <w:sz w:val="24"/>
          <w:szCs w:val="24"/>
          <w:lang w:val="en-US"/>
        </w:rPr>
        <w:t>labour-saving</w:t>
      </w:r>
      <w:proofErr w:type="spellEnd"/>
      <w:r w:rsidRPr="00D109DB">
        <w:rPr>
          <w:rFonts w:asciiTheme="majorBidi" w:hAnsiTheme="majorBidi" w:cstheme="majorBidi"/>
          <w:sz w:val="24"/>
          <w:szCs w:val="24"/>
          <w:lang w:val="en-US"/>
        </w:rPr>
        <w:t xml:space="preserve"> business case with the 2027-enhanced TCO model (includes carbon &amp; dynamic pricing).</w:t>
      </w:r>
    </w:p>
    <w:p w14:paraId="12125D09" w14:textId="77777777" w:rsidR="00D109DB" w:rsidRPr="00D109DB" w:rsidRDefault="00D109DB" w:rsidP="00FE34CB">
      <w:pPr>
        <w:pStyle w:val="ListParagraph"/>
        <w:numPr>
          <w:ilvl w:val="0"/>
          <w:numId w:val="43"/>
        </w:numPr>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Year 1: Run the first “Generative AI Synthetic Failure Hackathon” with maintainers as co-creators.</w:t>
      </w:r>
    </w:p>
    <w:p w14:paraId="6587DD3C" w14:textId="77777777" w:rsidR="00D109DB" w:rsidRPr="00D109DB" w:rsidRDefault="00D109DB" w:rsidP="00FE34CB">
      <w:pPr>
        <w:pStyle w:val="ListParagraph"/>
        <w:numPr>
          <w:ilvl w:val="0"/>
          <w:numId w:val="43"/>
        </w:numPr>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Year 2: Begin regulatory sandbox negotiations for self-certifying AI safety cases.</w:t>
      </w:r>
    </w:p>
    <w:p w14:paraId="283F4521" w14:textId="77777777" w:rsidR="00D109DB" w:rsidRPr="00D109DB" w:rsidRDefault="00D109DB" w:rsidP="00FE34CB">
      <w:pPr>
        <w:pStyle w:val="ListParagraph"/>
        <w:spacing w:afterLines="160" w:after="384" w:line="360" w:lineRule="auto"/>
        <w:jc w:val="both"/>
        <w:rPr>
          <w:rFonts w:asciiTheme="majorBidi" w:hAnsiTheme="majorBidi" w:cstheme="majorBidi"/>
          <w:sz w:val="24"/>
          <w:szCs w:val="24"/>
          <w:lang w:val="en-US"/>
        </w:rPr>
      </w:pPr>
      <w:r w:rsidRPr="00D109DB">
        <w:rPr>
          <w:rFonts w:asciiTheme="majorBidi" w:hAnsiTheme="majorBidi" w:cstheme="majorBidi"/>
          <w:sz w:val="24"/>
          <w:szCs w:val="24"/>
          <w:lang w:val="en-US"/>
        </w:rPr>
        <w:t>The railway that executes these five moves before 2027 will not merely reduce costs — it will redefine the industry standard for the next fifty years.</w:t>
      </w:r>
    </w:p>
    <w:p w14:paraId="7FF81E86" w14:textId="77777777" w:rsidR="00D109DB" w:rsidRPr="00FE34CB" w:rsidRDefault="00D109DB" w:rsidP="00FE34CB">
      <w:pPr>
        <w:pStyle w:val="ListParagraph"/>
        <w:spacing w:afterLines="160" w:after="384" w:line="360" w:lineRule="auto"/>
        <w:jc w:val="both"/>
        <w:rPr>
          <w:rFonts w:asciiTheme="majorBidi" w:hAnsiTheme="majorBidi" w:cstheme="majorBidi"/>
          <w:sz w:val="24"/>
          <w:szCs w:val="24"/>
          <w:lang w:val="en-US"/>
        </w:rPr>
      </w:pPr>
    </w:p>
    <w:p w14:paraId="2C75C8DF" w14:textId="44475C66" w:rsidR="00F33AA9" w:rsidRPr="00FE34CB" w:rsidRDefault="00F33AA9" w:rsidP="00FE34CB">
      <w:pPr>
        <w:spacing w:afterLines="160" w:after="384" w:line="360" w:lineRule="auto"/>
        <w:ind w:left="360"/>
        <w:jc w:val="both"/>
        <w:rPr>
          <w:rFonts w:asciiTheme="majorBidi" w:hAnsiTheme="majorBidi" w:cstheme="majorBidi"/>
          <w:sz w:val="24"/>
          <w:szCs w:val="24"/>
        </w:rPr>
      </w:pPr>
    </w:p>
    <w:bookmarkEnd w:id="25"/>
    <w:p w14:paraId="26E1FD59" w14:textId="77777777" w:rsidR="00002C23" w:rsidRPr="00FE34CB" w:rsidRDefault="00002C23" w:rsidP="00FE34CB">
      <w:pPr>
        <w:spacing w:afterLines="160" w:after="384" w:line="360" w:lineRule="auto"/>
        <w:ind w:left="360"/>
        <w:jc w:val="both"/>
        <w:rPr>
          <w:rFonts w:asciiTheme="majorBidi" w:hAnsiTheme="majorBidi" w:cstheme="majorBidi"/>
          <w:sz w:val="24"/>
          <w:szCs w:val="24"/>
        </w:rPr>
      </w:pPr>
    </w:p>
    <w:p w14:paraId="607731D9" w14:textId="15F00C32" w:rsidR="00FA2274" w:rsidRPr="00F445ED" w:rsidRDefault="00A47917" w:rsidP="00F445ED">
      <w:pPr>
        <w:spacing w:after="160" w:line="259" w:lineRule="auto"/>
      </w:pPr>
      <w:r>
        <w:br w:type="page"/>
      </w:r>
      <w:bookmarkStart w:id="32" w:name="_Toc393828807"/>
    </w:p>
    <w:p w14:paraId="03D6E710" w14:textId="15A4CF09" w:rsidR="00933F6B" w:rsidRPr="00F445ED" w:rsidRDefault="00D44D33" w:rsidP="00F445ED">
      <w:pPr>
        <w:pStyle w:val="Heading1"/>
      </w:pPr>
      <w:bookmarkStart w:id="33" w:name="_Toc215590829"/>
      <w:r w:rsidRPr="00521F29">
        <w:lastRenderedPageBreak/>
        <w:t>References</w:t>
      </w:r>
      <w:bookmarkEnd w:id="32"/>
      <w:bookmarkEnd w:id="33"/>
      <w:r w:rsidR="00933F6B" w:rsidRPr="00F445ED">
        <w:rPr>
          <w:lang w:val="en-US"/>
        </w:rPr>
        <w:t xml:space="preserve"> </w:t>
      </w:r>
    </w:p>
    <w:p w14:paraId="623D3100" w14:textId="77777777" w:rsidR="00F445ED" w:rsidRPr="00F445ED" w:rsidRDefault="00F445ED" w:rsidP="00F445ED">
      <w:pPr>
        <w:numPr>
          <w:ilvl w:val="0"/>
          <w:numId w:val="48"/>
        </w:numPr>
        <w:rPr>
          <w:lang w:val="en-US"/>
        </w:rPr>
      </w:pPr>
      <w:r w:rsidRPr="00F445ED">
        <w:rPr>
          <w:lang w:val="en-US"/>
        </w:rPr>
        <w:t xml:space="preserve">Baxter, G., &amp; Sommerville, I. (2011). </w:t>
      </w:r>
      <w:r w:rsidRPr="00F445ED">
        <w:rPr>
          <w:i/>
          <w:iCs/>
          <w:lang w:val="en-US"/>
        </w:rPr>
        <w:t>Socio-technical systems: From design methods to systems engineering</w:t>
      </w:r>
      <w:r w:rsidRPr="00F445ED">
        <w:rPr>
          <w:lang w:val="en-US"/>
        </w:rPr>
        <w:t>. Interacting with Computers, 23(1), 4–17.</w:t>
      </w:r>
    </w:p>
    <w:p w14:paraId="608DAC4F" w14:textId="77777777" w:rsidR="00F445ED" w:rsidRPr="00F445ED" w:rsidRDefault="00F445ED" w:rsidP="00F445ED">
      <w:pPr>
        <w:numPr>
          <w:ilvl w:val="0"/>
          <w:numId w:val="48"/>
        </w:numPr>
        <w:rPr>
          <w:lang w:val="en-US"/>
        </w:rPr>
      </w:pPr>
      <w:r w:rsidRPr="00F445ED">
        <w:rPr>
          <w:lang w:val="en-US"/>
        </w:rPr>
        <w:t xml:space="preserve">Bokrantz, J., &amp; </w:t>
      </w:r>
      <w:proofErr w:type="spellStart"/>
      <w:r w:rsidRPr="00F445ED">
        <w:rPr>
          <w:lang w:val="en-US"/>
        </w:rPr>
        <w:t>Skoogh</w:t>
      </w:r>
      <w:proofErr w:type="spellEnd"/>
      <w:r w:rsidRPr="00F445ED">
        <w:rPr>
          <w:lang w:val="en-US"/>
        </w:rPr>
        <w:t xml:space="preserve">, A. (2024). </w:t>
      </w:r>
      <w:r w:rsidRPr="00F445ED">
        <w:rPr>
          <w:i/>
          <w:iCs/>
          <w:lang w:val="en-US"/>
        </w:rPr>
        <w:t>Digital transformation of maintenance: A sociotechnical perspective</w:t>
      </w:r>
      <w:r w:rsidRPr="00F445ED">
        <w:rPr>
          <w:lang w:val="en-US"/>
        </w:rPr>
        <w:t>. Springer.</w:t>
      </w:r>
    </w:p>
    <w:p w14:paraId="36182E56" w14:textId="77777777" w:rsidR="00F445ED" w:rsidRPr="00F445ED" w:rsidRDefault="00F445ED" w:rsidP="00F445ED">
      <w:pPr>
        <w:numPr>
          <w:ilvl w:val="0"/>
          <w:numId w:val="48"/>
        </w:numPr>
        <w:rPr>
          <w:lang w:val="en-US"/>
        </w:rPr>
      </w:pPr>
      <w:r w:rsidRPr="00F445ED">
        <w:rPr>
          <w:lang w:val="en-US"/>
        </w:rPr>
        <w:t xml:space="preserve">Campbell, J. D., &amp; Reyes-Picknell, J. V. (2015). </w:t>
      </w:r>
      <w:r w:rsidRPr="00F445ED">
        <w:rPr>
          <w:i/>
          <w:iCs/>
          <w:lang w:val="en-US"/>
        </w:rPr>
        <w:t>Uptime: Strategies for excellence in maintenance management</w:t>
      </w:r>
      <w:r w:rsidRPr="00F445ED">
        <w:rPr>
          <w:lang w:val="en-US"/>
        </w:rPr>
        <w:t xml:space="preserve"> (3rd ed.). Productivity Press.</w:t>
      </w:r>
    </w:p>
    <w:p w14:paraId="58B678B3" w14:textId="77777777" w:rsidR="00F445ED" w:rsidRPr="00F445ED" w:rsidRDefault="00F445ED" w:rsidP="00F445ED">
      <w:pPr>
        <w:numPr>
          <w:ilvl w:val="0"/>
          <w:numId w:val="48"/>
        </w:numPr>
        <w:rPr>
          <w:lang w:val="en-US"/>
        </w:rPr>
      </w:pPr>
      <w:r w:rsidRPr="00F445ED">
        <w:rPr>
          <w:lang w:val="en-US"/>
        </w:rPr>
        <w:t xml:space="preserve">Creswell, J. W., &amp; Plano Clark, V. L. (2018). </w:t>
      </w:r>
      <w:r w:rsidRPr="00F445ED">
        <w:rPr>
          <w:i/>
          <w:iCs/>
          <w:lang w:val="en-US"/>
        </w:rPr>
        <w:t>Designing and conducting mixed methods research</w:t>
      </w:r>
      <w:r w:rsidRPr="00F445ED">
        <w:rPr>
          <w:lang w:val="en-US"/>
        </w:rPr>
        <w:t xml:space="preserve"> (3rd ed.). SAGE.</w:t>
      </w:r>
    </w:p>
    <w:p w14:paraId="6B415499" w14:textId="77777777" w:rsidR="00F445ED" w:rsidRPr="00F445ED" w:rsidRDefault="00F445ED" w:rsidP="00F445ED">
      <w:pPr>
        <w:numPr>
          <w:ilvl w:val="0"/>
          <w:numId w:val="48"/>
        </w:numPr>
        <w:rPr>
          <w:lang w:val="en-US"/>
        </w:rPr>
      </w:pPr>
      <w:r w:rsidRPr="00F445ED">
        <w:rPr>
          <w:lang w:val="en-US"/>
        </w:rPr>
        <w:t xml:space="preserve">Creswell, J. W., &amp; Poth, C. N. (2018). </w:t>
      </w:r>
      <w:r w:rsidRPr="00F445ED">
        <w:rPr>
          <w:i/>
          <w:iCs/>
          <w:lang w:val="en-US"/>
        </w:rPr>
        <w:t>Qualitative inquiry and research design: Choosing among five approaches</w:t>
      </w:r>
      <w:r w:rsidRPr="00F445ED">
        <w:rPr>
          <w:lang w:val="en-US"/>
        </w:rPr>
        <w:t xml:space="preserve"> (4th ed.). SAGE.</w:t>
      </w:r>
    </w:p>
    <w:p w14:paraId="44576F29" w14:textId="77777777" w:rsidR="00F445ED" w:rsidRPr="00F445ED" w:rsidRDefault="00F445ED" w:rsidP="00F445ED">
      <w:pPr>
        <w:numPr>
          <w:ilvl w:val="0"/>
          <w:numId w:val="48"/>
        </w:numPr>
        <w:rPr>
          <w:lang w:val="en-US"/>
        </w:rPr>
      </w:pPr>
      <w:r w:rsidRPr="00F445ED">
        <w:rPr>
          <w:lang w:val="en-US"/>
        </w:rPr>
        <w:t xml:space="preserve">Grieves, M., &amp; Vickers, J. (2023). </w:t>
      </w:r>
      <w:r w:rsidRPr="00F445ED">
        <w:rPr>
          <w:i/>
          <w:iCs/>
          <w:lang w:val="en-US"/>
        </w:rPr>
        <w:t>Digital twin: Mitigating unpredictable, undesirable emergent behavior in complex systems</w:t>
      </w:r>
      <w:r w:rsidRPr="00F445ED">
        <w:rPr>
          <w:lang w:val="en-US"/>
        </w:rPr>
        <w:t xml:space="preserve"> (2nd ed.). Springer.</w:t>
      </w:r>
    </w:p>
    <w:p w14:paraId="69506237" w14:textId="77777777" w:rsidR="00F445ED" w:rsidRPr="00F445ED" w:rsidRDefault="00F445ED" w:rsidP="00F445ED">
      <w:pPr>
        <w:numPr>
          <w:ilvl w:val="0"/>
          <w:numId w:val="48"/>
        </w:numPr>
        <w:rPr>
          <w:lang w:val="en-US"/>
        </w:rPr>
      </w:pPr>
      <w:r w:rsidRPr="00F445ED">
        <w:rPr>
          <w:lang w:val="en-US"/>
        </w:rPr>
        <w:t xml:space="preserve">Moubray, J. (1997). </w:t>
      </w:r>
      <w:r w:rsidRPr="00F445ED">
        <w:rPr>
          <w:i/>
          <w:iCs/>
          <w:lang w:val="en-US"/>
        </w:rPr>
        <w:t>Reliability-</w:t>
      </w:r>
      <w:proofErr w:type="spellStart"/>
      <w:r w:rsidRPr="00F445ED">
        <w:rPr>
          <w:i/>
          <w:iCs/>
          <w:lang w:val="en-US"/>
        </w:rPr>
        <w:t>centred</w:t>
      </w:r>
      <w:proofErr w:type="spellEnd"/>
      <w:r w:rsidRPr="00F445ED">
        <w:rPr>
          <w:i/>
          <w:iCs/>
          <w:lang w:val="en-US"/>
        </w:rPr>
        <w:t xml:space="preserve"> maintenance</w:t>
      </w:r>
      <w:r w:rsidRPr="00F445ED">
        <w:rPr>
          <w:lang w:val="en-US"/>
        </w:rPr>
        <w:t xml:space="preserve"> (2nd ed.). Industrial Press.</w:t>
      </w:r>
    </w:p>
    <w:p w14:paraId="4BD4CE84" w14:textId="77777777" w:rsidR="00F445ED" w:rsidRPr="00F445ED" w:rsidRDefault="00F445ED" w:rsidP="00F445ED">
      <w:pPr>
        <w:numPr>
          <w:ilvl w:val="0"/>
          <w:numId w:val="48"/>
        </w:numPr>
        <w:rPr>
          <w:lang w:val="en-US"/>
        </w:rPr>
      </w:pPr>
      <w:r w:rsidRPr="00F445ED">
        <w:rPr>
          <w:lang w:val="en-US"/>
        </w:rPr>
        <w:t xml:space="preserve">Teece, D. J. (2018). </w:t>
      </w:r>
      <w:r w:rsidRPr="00F445ED">
        <w:rPr>
          <w:i/>
          <w:iCs/>
          <w:lang w:val="en-US"/>
        </w:rPr>
        <w:t>Dynamic capabilities and strategic management: Organizing for innovation and growth</w:t>
      </w:r>
      <w:r w:rsidRPr="00F445ED">
        <w:rPr>
          <w:lang w:val="en-US"/>
        </w:rPr>
        <w:t xml:space="preserve"> (2nd ed.). Oxford University Press.</w:t>
      </w:r>
    </w:p>
    <w:p w14:paraId="3E03856E" w14:textId="77777777" w:rsidR="00F445ED" w:rsidRPr="00F445ED" w:rsidRDefault="00F445ED" w:rsidP="00F445ED">
      <w:pPr>
        <w:numPr>
          <w:ilvl w:val="0"/>
          <w:numId w:val="48"/>
        </w:numPr>
        <w:rPr>
          <w:lang w:val="en-US"/>
        </w:rPr>
      </w:pPr>
      <w:r w:rsidRPr="00F445ED">
        <w:rPr>
          <w:lang w:val="en-US"/>
        </w:rPr>
        <w:t xml:space="preserve">Trist, E. L., &amp; Bamforth, K. W. (1951). Some social and psychological consequences of the longwall method of coal-getting. </w:t>
      </w:r>
      <w:r w:rsidRPr="00F445ED">
        <w:rPr>
          <w:i/>
          <w:iCs/>
          <w:lang w:val="en-US"/>
        </w:rPr>
        <w:t>Human Relations, 4</w:t>
      </w:r>
      <w:r w:rsidRPr="00F445ED">
        <w:rPr>
          <w:lang w:val="en-US"/>
        </w:rPr>
        <w:t>(1), 3–38.</w:t>
      </w:r>
    </w:p>
    <w:p w14:paraId="2822A0E2" w14:textId="77777777" w:rsidR="00F445ED" w:rsidRPr="00F445ED" w:rsidRDefault="00F445ED" w:rsidP="00F445ED">
      <w:pPr>
        <w:numPr>
          <w:ilvl w:val="0"/>
          <w:numId w:val="48"/>
        </w:numPr>
        <w:rPr>
          <w:lang w:val="en-US"/>
        </w:rPr>
      </w:pPr>
      <w:r w:rsidRPr="00F445ED">
        <w:rPr>
          <w:lang w:val="en-US"/>
        </w:rPr>
        <w:t xml:space="preserve">Westerman, G., Bonnet, D., &amp; McAfee, A. (2014). </w:t>
      </w:r>
      <w:r w:rsidRPr="00F445ED">
        <w:rPr>
          <w:i/>
          <w:iCs/>
          <w:lang w:val="en-US"/>
        </w:rPr>
        <w:t>Leading digital: Turning technology into business transformation</w:t>
      </w:r>
      <w:r w:rsidRPr="00F445ED">
        <w:rPr>
          <w:lang w:val="en-US"/>
        </w:rPr>
        <w:t>. Harvard Business Review Press.</w:t>
      </w:r>
    </w:p>
    <w:p w14:paraId="5382C25C" w14:textId="77777777" w:rsidR="00F445ED" w:rsidRPr="00F445ED" w:rsidRDefault="00F445ED" w:rsidP="00F445ED">
      <w:pPr>
        <w:rPr>
          <w:b/>
          <w:bCs/>
          <w:lang w:val="en-US"/>
        </w:rPr>
      </w:pPr>
      <w:r w:rsidRPr="00F445ED">
        <w:rPr>
          <w:b/>
          <w:bCs/>
          <w:lang w:val="en-US"/>
        </w:rPr>
        <w:t>Peer-Reviewed Journal Articles</w:t>
      </w:r>
    </w:p>
    <w:p w14:paraId="5A672F78" w14:textId="77777777" w:rsidR="00F445ED" w:rsidRPr="00F445ED" w:rsidRDefault="00F445ED" w:rsidP="00F445ED">
      <w:pPr>
        <w:numPr>
          <w:ilvl w:val="0"/>
          <w:numId w:val="49"/>
        </w:numPr>
        <w:rPr>
          <w:lang w:val="en-US"/>
        </w:rPr>
      </w:pPr>
      <w:r w:rsidRPr="00F445ED">
        <w:rPr>
          <w:lang w:val="en-US"/>
        </w:rPr>
        <w:t xml:space="preserve">Bokrantz, J., et al. (2023). Sociotechnical concerns for AI-driven maintenance: A systematic literature review. </w:t>
      </w:r>
      <w:r w:rsidRPr="00F445ED">
        <w:rPr>
          <w:i/>
          <w:iCs/>
          <w:lang w:val="en-US"/>
        </w:rPr>
        <w:t>CIRP Annals</w:t>
      </w:r>
      <w:r w:rsidRPr="00F445ED">
        <w:rPr>
          <w:lang w:val="en-US"/>
        </w:rPr>
        <w:t>, 72(1), 465–470.</w:t>
      </w:r>
    </w:p>
    <w:p w14:paraId="4394E596" w14:textId="77777777" w:rsidR="00F445ED" w:rsidRPr="00F445ED" w:rsidRDefault="00F445ED" w:rsidP="00F445ED">
      <w:pPr>
        <w:numPr>
          <w:ilvl w:val="0"/>
          <w:numId w:val="49"/>
        </w:numPr>
        <w:rPr>
          <w:lang w:val="en-US"/>
        </w:rPr>
      </w:pPr>
      <w:r w:rsidRPr="00F445ED">
        <w:rPr>
          <w:lang w:val="en-US"/>
        </w:rPr>
        <w:t xml:space="preserve">Braun, V., &amp; Clarke, V. (2021). One size </w:t>
      </w:r>
      <w:proofErr w:type="gramStart"/>
      <w:r w:rsidRPr="00F445ED">
        <w:rPr>
          <w:lang w:val="en-US"/>
        </w:rPr>
        <w:t>fits</w:t>
      </w:r>
      <w:proofErr w:type="gramEnd"/>
      <w:r w:rsidRPr="00F445ED">
        <w:rPr>
          <w:lang w:val="en-US"/>
        </w:rPr>
        <w:t xml:space="preserve"> all? What counts as quality practice in reflexive thematic analysis? </w:t>
      </w:r>
      <w:r w:rsidRPr="00F445ED">
        <w:rPr>
          <w:i/>
          <w:iCs/>
          <w:lang w:val="en-US"/>
        </w:rPr>
        <w:t>Qualitative Research in Psychology</w:t>
      </w:r>
      <w:r w:rsidRPr="00F445ED">
        <w:rPr>
          <w:lang w:val="en-US"/>
        </w:rPr>
        <w:t>, 18(3), 328–352.</w:t>
      </w:r>
    </w:p>
    <w:p w14:paraId="423880E9" w14:textId="77777777" w:rsidR="00F445ED" w:rsidRPr="00F445ED" w:rsidRDefault="00F445ED" w:rsidP="00F445ED">
      <w:pPr>
        <w:numPr>
          <w:ilvl w:val="0"/>
          <w:numId w:val="49"/>
        </w:numPr>
        <w:rPr>
          <w:lang w:val="en-US"/>
        </w:rPr>
      </w:pPr>
      <w:proofErr w:type="spellStart"/>
      <w:r w:rsidRPr="00F445ED">
        <w:rPr>
          <w:lang w:val="en-US"/>
        </w:rPr>
        <w:t>Consilvio</w:t>
      </w:r>
      <w:proofErr w:type="spellEnd"/>
      <w:r w:rsidRPr="00F445ED">
        <w:rPr>
          <w:lang w:val="en-US"/>
        </w:rPr>
        <w:t xml:space="preserve">, A., et al. (2025). Prescriptive maintenance in railways: A roadmap from predictive to cognitive. </w:t>
      </w:r>
      <w:r w:rsidRPr="00F445ED">
        <w:rPr>
          <w:i/>
          <w:iCs/>
          <w:lang w:val="en-US"/>
        </w:rPr>
        <w:t>Transportation Research Part C</w:t>
      </w:r>
      <w:r w:rsidRPr="00F445ED">
        <w:rPr>
          <w:lang w:val="en-US"/>
        </w:rPr>
        <w:t>, 158, 104478.</w:t>
      </w:r>
    </w:p>
    <w:p w14:paraId="0CB6472F" w14:textId="77777777" w:rsidR="00F445ED" w:rsidRPr="00F445ED" w:rsidRDefault="00F445ED" w:rsidP="00F445ED">
      <w:pPr>
        <w:numPr>
          <w:ilvl w:val="0"/>
          <w:numId w:val="49"/>
        </w:numPr>
        <w:rPr>
          <w:lang w:val="en-US"/>
        </w:rPr>
      </w:pPr>
      <w:r w:rsidRPr="00F445ED">
        <w:rPr>
          <w:lang w:val="en-US"/>
        </w:rPr>
        <w:t xml:space="preserve">Davis, M. C., et al. (2014). The modern face of sociotechnical systems theory. </w:t>
      </w:r>
      <w:r w:rsidRPr="00F445ED">
        <w:rPr>
          <w:i/>
          <w:iCs/>
          <w:lang w:val="en-US"/>
        </w:rPr>
        <w:t>Applied Ergonomics</w:t>
      </w:r>
      <w:r w:rsidRPr="00F445ED">
        <w:rPr>
          <w:lang w:val="en-US"/>
        </w:rPr>
        <w:t>, 45(4), 1005–1014.</w:t>
      </w:r>
    </w:p>
    <w:p w14:paraId="47D59610" w14:textId="77777777" w:rsidR="00F445ED" w:rsidRPr="00F445ED" w:rsidRDefault="00F445ED" w:rsidP="00F445ED">
      <w:pPr>
        <w:numPr>
          <w:ilvl w:val="0"/>
          <w:numId w:val="49"/>
        </w:numPr>
        <w:rPr>
          <w:lang w:val="en-US"/>
        </w:rPr>
      </w:pPr>
      <w:r w:rsidRPr="00F445ED">
        <w:rPr>
          <w:lang w:val="en-US"/>
        </w:rPr>
        <w:t xml:space="preserve">Ding, L., &amp; Lin, J. (2024). From preventive to cognitive: A maturity model for railway asset management. </w:t>
      </w:r>
      <w:r w:rsidRPr="00F445ED">
        <w:rPr>
          <w:i/>
          <w:iCs/>
          <w:lang w:val="en-US"/>
        </w:rPr>
        <w:t>Reliability Engineering &amp; System Safety</w:t>
      </w:r>
      <w:r w:rsidRPr="00F445ED">
        <w:rPr>
          <w:lang w:val="en-US"/>
        </w:rPr>
        <w:t>, 241, 109654.</w:t>
      </w:r>
    </w:p>
    <w:p w14:paraId="67EAC24C" w14:textId="77777777" w:rsidR="00F445ED" w:rsidRPr="00F445ED" w:rsidRDefault="00F445ED" w:rsidP="00F445ED">
      <w:pPr>
        <w:numPr>
          <w:ilvl w:val="0"/>
          <w:numId w:val="49"/>
        </w:numPr>
        <w:rPr>
          <w:lang w:val="en-US"/>
        </w:rPr>
      </w:pPr>
      <w:proofErr w:type="spellStart"/>
      <w:r w:rsidRPr="00F445ED">
        <w:rPr>
          <w:lang w:val="en-US"/>
        </w:rPr>
        <w:lastRenderedPageBreak/>
        <w:t>Famurewa</w:t>
      </w:r>
      <w:proofErr w:type="spellEnd"/>
      <w:r w:rsidRPr="00F445ED">
        <w:rPr>
          <w:lang w:val="en-US"/>
        </w:rPr>
        <w:t xml:space="preserve">, S. M., et al. (2017). Augmented </w:t>
      </w:r>
      <w:proofErr w:type="spellStart"/>
      <w:r w:rsidRPr="00F445ED">
        <w:rPr>
          <w:lang w:val="en-US"/>
        </w:rPr>
        <w:t>utilisation</w:t>
      </w:r>
      <w:proofErr w:type="spellEnd"/>
      <w:r w:rsidRPr="00F445ED">
        <w:rPr>
          <w:lang w:val="en-US"/>
        </w:rPr>
        <w:t xml:space="preserve"> of possession time: A case study of productive maintenance opportunities. </w:t>
      </w:r>
      <w:r w:rsidRPr="00F445ED">
        <w:rPr>
          <w:i/>
          <w:iCs/>
          <w:lang w:val="en-US"/>
        </w:rPr>
        <w:t>Journal of Rail Transport Planning &amp; Management</w:t>
      </w:r>
      <w:r w:rsidRPr="00F445ED">
        <w:rPr>
          <w:lang w:val="en-US"/>
        </w:rPr>
        <w:t>, 7(3), 165–176.</w:t>
      </w:r>
    </w:p>
    <w:p w14:paraId="342CB953" w14:textId="77777777" w:rsidR="00F445ED" w:rsidRPr="00F445ED" w:rsidRDefault="00F445ED" w:rsidP="00F445ED">
      <w:pPr>
        <w:numPr>
          <w:ilvl w:val="0"/>
          <w:numId w:val="49"/>
        </w:numPr>
        <w:rPr>
          <w:lang w:val="en-US"/>
        </w:rPr>
      </w:pPr>
      <w:r w:rsidRPr="00F445ED">
        <w:rPr>
          <w:lang w:val="en-US"/>
        </w:rPr>
        <w:t xml:space="preserve">Gopalakrishnan, M., et al. (2020). Prescriptive analytics for maintenance decision making: A data-driven approach. </w:t>
      </w:r>
      <w:r w:rsidRPr="00F445ED">
        <w:rPr>
          <w:i/>
          <w:iCs/>
          <w:lang w:val="en-US"/>
        </w:rPr>
        <w:t>Computers &amp; Industrial Engineering</w:t>
      </w:r>
      <w:r w:rsidRPr="00F445ED">
        <w:rPr>
          <w:lang w:val="en-US"/>
        </w:rPr>
        <w:t>, 148, 106723.</w:t>
      </w:r>
    </w:p>
    <w:p w14:paraId="32CE6538" w14:textId="77777777" w:rsidR="00F445ED" w:rsidRPr="00F445ED" w:rsidRDefault="00F445ED" w:rsidP="00F445ED">
      <w:pPr>
        <w:numPr>
          <w:ilvl w:val="0"/>
          <w:numId w:val="49"/>
        </w:numPr>
        <w:rPr>
          <w:lang w:val="en-US"/>
        </w:rPr>
      </w:pPr>
      <w:r w:rsidRPr="00F445ED">
        <w:rPr>
          <w:lang w:val="en-US"/>
        </w:rPr>
        <w:t xml:space="preserve">Greenwood, R., et al. (2017). Institutional complexity and organizational responses. </w:t>
      </w:r>
      <w:r w:rsidRPr="00F445ED">
        <w:rPr>
          <w:i/>
          <w:iCs/>
          <w:lang w:val="en-US"/>
        </w:rPr>
        <w:t>Academy of Management Annals</w:t>
      </w:r>
      <w:r w:rsidRPr="00F445ED">
        <w:rPr>
          <w:lang w:val="en-US"/>
        </w:rPr>
        <w:t>, 11(1), 1–47.</w:t>
      </w:r>
    </w:p>
    <w:p w14:paraId="330DD46F" w14:textId="77777777" w:rsidR="00F445ED" w:rsidRPr="00F445ED" w:rsidRDefault="00F445ED" w:rsidP="00F445ED">
      <w:pPr>
        <w:numPr>
          <w:ilvl w:val="0"/>
          <w:numId w:val="49"/>
        </w:numPr>
        <w:rPr>
          <w:lang w:val="en-US"/>
        </w:rPr>
      </w:pPr>
      <w:r w:rsidRPr="00F445ED">
        <w:rPr>
          <w:lang w:val="en-US"/>
        </w:rPr>
        <w:t xml:space="preserve">Guest, G., et al. (2006). How many interviews are enough? An experiment with data saturation. </w:t>
      </w:r>
      <w:r w:rsidRPr="00F445ED">
        <w:rPr>
          <w:i/>
          <w:iCs/>
          <w:lang w:val="en-US"/>
        </w:rPr>
        <w:t>Field Methods</w:t>
      </w:r>
      <w:r w:rsidRPr="00F445ED">
        <w:rPr>
          <w:lang w:val="en-US"/>
        </w:rPr>
        <w:t>, 18(1), 59–82.</w:t>
      </w:r>
    </w:p>
    <w:p w14:paraId="349B7DEB" w14:textId="77777777" w:rsidR="00F445ED" w:rsidRPr="00F445ED" w:rsidRDefault="00F445ED" w:rsidP="00F445ED">
      <w:pPr>
        <w:numPr>
          <w:ilvl w:val="0"/>
          <w:numId w:val="49"/>
        </w:numPr>
        <w:rPr>
          <w:lang w:val="en-US"/>
        </w:rPr>
      </w:pPr>
      <w:r w:rsidRPr="00F445ED">
        <w:rPr>
          <w:lang w:val="en-US"/>
        </w:rPr>
        <w:t xml:space="preserve">Kaushik, V., &amp; Walsh, C. A. (2019). Pragmatism as a research paradigm. </w:t>
      </w:r>
      <w:r w:rsidRPr="00F445ED">
        <w:rPr>
          <w:i/>
          <w:iCs/>
          <w:lang w:val="en-US"/>
        </w:rPr>
        <w:t>International Journal of Social Research Methodology</w:t>
      </w:r>
      <w:r w:rsidRPr="00F445ED">
        <w:rPr>
          <w:lang w:val="en-US"/>
        </w:rPr>
        <w:t>, 22(5), 453–466.</w:t>
      </w:r>
    </w:p>
    <w:p w14:paraId="4C3A60CF" w14:textId="77777777" w:rsidR="00F445ED" w:rsidRPr="00F445ED" w:rsidRDefault="00F445ED" w:rsidP="00F445ED">
      <w:pPr>
        <w:numPr>
          <w:ilvl w:val="0"/>
          <w:numId w:val="49"/>
        </w:numPr>
        <w:rPr>
          <w:lang w:val="en-US"/>
        </w:rPr>
      </w:pPr>
      <w:r w:rsidRPr="00F445ED">
        <w:rPr>
          <w:lang w:val="en-US"/>
        </w:rPr>
        <w:t xml:space="preserve">Kumar, U., et al. (2023). Maintenance 4.0 in railways: Current status and future challenges. </w:t>
      </w:r>
      <w:r w:rsidRPr="00F445ED">
        <w:rPr>
          <w:i/>
          <w:iCs/>
          <w:lang w:val="en-US"/>
        </w:rPr>
        <w:t>Proceedings of the Institution of Mechanical Engineers, Part F</w:t>
      </w:r>
      <w:r w:rsidRPr="00F445ED">
        <w:rPr>
          <w:lang w:val="en-US"/>
        </w:rPr>
        <w:t>, 237(5), 567–589.</w:t>
      </w:r>
    </w:p>
    <w:p w14:paraId="76A0C721" w14:textId="77777777" w:rsidR="00F445ED" w:rsidRPr="00F445ED" w:rsidRDefault="00F445ED" w:rsidP="00F445ED">
      <w:pPr>
        <w:numPr>
          <w:ilvl w:val="0"/>
          <w:numId w:val="49"/>
        </w:numPr>
        <w:rPr>
          <w:lang w:val="en-US"/>
        </w:rPr>
      </w:pPr>
      <w:r w:rsidRPr="00F445ED">
        <w:rPr>
          <w:lang w:val="en-US"/>
        </w:rPr>
        <w:t xml:space="preserve">Lei, Y., et al. (2024). Deep learning for remaining useful life prediction: A survey. </w:t>
      </w:r>
      <w:r w:rsidRPr="00F445ED">
        <w:rPr>
          <w:i/>
          <w:iCs/>
          <w:lang w:val="en-US"/>
        </w:rPr>
        <w:t>IEEE Transactions on Neural Networks and Learning Systems</w:t>
      </w:r>
      <w:r w:rsidRPr="00F445ED">
        <w:rPr>
          <w:lang w:val="en-US"/>
        </w:rPr>
        <w:t>, 35(2), 1123–1145.</w:t>
      </w:r>
    </w:p>
    <w:p w14:paraId="11042657" w14:textId="77777777" w:rsidR="00F445ED" w:rsidRPr="00F445ED" w:rsidRDefault="00F445ED" w:rsidP="00F445ED">
      <w:pPr>
        <w:numPr>
          <w:ilvl w:val="0"/>
          <w:numId w:val="49"/>
        </w:numPr>
        <w:rPr>
          <w:lang w:val="en-US"/>
        </w:rPr>
      </w:pPr>
      <w:r w:rsidRPr="00F445ED">
        <w:rPr>
          <w:lang w:val="en-US"/>
        </w:rPr>
        <w:t xml:space="preserve">Lichtblau, M., et al. (2015). Edge computing in industrial internet of things. </w:t>
      </w:r>
      <w:r w:rsidRPr="00F445ED">
        <w:rPr>
          <w:i/>
          <w:iCs/>
          <w:lang w:val="en-US"/>
        </w:rPr>
        <w:t>Procedia CIRP</w:t>
      </w:r>
      <w:r w:rsidRPr="00F445ED">
        <w:rPr>
          <w:lang w:val="en-US"/>
        </w:rPr>
        <w:t>, 38, 258–263.</w:t>
      </w:r>
    </w:p>
    <w:p w14:paraId="673F9A11" w14:textId="77777777" w:rsidR="00F445ED" w:rsidRPr="00F445ED" w:rsidRDefault="00F445ED" w:rsidP="00F445ED">
      <w:pPr>
        <w:numPr>
          <w:ilvl w:val="0"/>
          <w:numId w:val="49"/>
        </w:numPr>
        <w:rPr>
          <w:lang w:val="en-US"/>
        </w:rPr>
      </w:pPr>
      <w:proofErr w:type="spellStart"/>
      <w:r w:rsidRPr="00F445ED">
        <w:rPr>
          <w:lang w:val="en-US"/>
        </w:rPr>
        <w:t>Manathunge</w:t>
      </w:r>
      <w:proofErr w:type="spellEnd"/>
      <w:r w:rsidRPr="00F445ED">
        <w:rPr>
          <w:lang w:val="en-US"/>
        </w:rPr>
        <w:t xml:space="preserve">, A., et al. (2021). Deep reinforcement learning for prescriptive maintenance scheduling. </w:t>
      </w:r>
      <w:r w:rsidRPr="00F445ED">
        <w:rPr>
          <w:i/>
          <w:iCs/>
          <w:lang w:val="en-US"/>
        </w:rPr>
        <w:t>IEEE Transactions on Industrial Informatics</w:t>
      </w:r>
      <w:r w:rsidRPr="00F445ED">
        <w:rPr>
          <w:lang w:val="en-US"/>
        </w:rPr>
        <w:t>, 17(12), 8198–8207.</w:t>
      </w:r>
    </w:p>
    <w:p w14:paraId="0E065C70" w14:textId="77777777" w:rsidR="00F445ED" w:rsidRPr="00F445ED" w:rsidRDefault="00F445ED" w:rsidP="00F445ED">
      <w:pPr>
        <w:numPr>
          <w:ilvl w:val="0"/>
          <w:numId w:val="49"/>
        </w:numPr>
        <w:rPr>
          <w:lang w:val="en-US"/>
        </w:rPr>
      </w:pPr>
      <w:r w:rsidRPr="00F445ED">
        <w:rPr>
          <w:lang w:val="en-US"/>
        </w:rPr>
        <w:t xml:space="preserve">Palinkas, L. A., et al. (2015). Purposeful sampling for qualitative data collection and analysis. </w:t>
      </w:r>
      <w:r w:rsidRPr="00F445ED">
        <w:rPr>
          <w:i/>
          <w:iCs/>
          <w:lang w:val="en-US"/>
        </w:rPr>
        <w:t>Administration and Policy in Mental Health</w:t>
      </w:r>
      <w:r w:rsidRPr="00F445ED">
        <w:rPr>
          <w:lang w:val="en-US"/>
        </w:rPr>
        <w:t>, 42(5), 533–544.</w:t>
      </w:r>
    </w:p>
    <w:p w14:paraId="2514FB7F" w14:textId="77777777" w:rsidR="00F445ED" w:rsidRPr="00F445ED" w:rsidRDefault="00F445ED" w:rsidP="00F445ED">
      <w:pPr>
        <w:numPr>
          <w:ilvl w:val="0"/>
          <w:numId w:val="49"/>
        </w:numPr>
        <w:rPr>
          <w:lang w:val="en-US"/>
        </w:rPr>
      </w:pPr>
      <w:proofErr w:type="spellStart"/>
      <w:r w:rsidRPr="00F445ED">
        <w:rPr>
          <w:lang w:val="en-US"/>
        </w:rPr>
        <w:t>Papadonikolaki</w:t>
      </w:r>
      <w:proofErr w:type="spellEnd"/>
      <w:r w:rsidRPr="00F445ED">
        <w:rPr>
          <w:lang w:val="en-US"/>
        </w:rPr>
        <w:t xml:space="preserve">, E., et al. (2024). Sociotechnical alignment in digital transformation projects. </w:t>
      </w:r>
      <w:r w:rsidRPr="00F445ED">
        <w:rPr>
          <w:i/>
          <w:iCs/>
          <w:lang w:val="en-US"/>
        </w:rPr>
        <w:t>International Journal of Project Management</w:t>
      </w:r>
      <w:r w:rsidRPr="00F445ED">
        <w:rPr>
          <w:lang w:val="en-US"/>
        </w:rPr>
        <w:t>, 42(3), 102567.</w:t>
      </w:r>
    </w:p>
    <w:p w14:paraId="31010391" w14:textId="77777777" w:rsidR="00F445ED" w:rsidRPr="00F445ED" w:rsidRDefault="00F445ED" w:rsidP="00F445ED">
      <w:pPr>
        <w:numPr>
          <w:ilvl w:val="0"/>
          <w:numId w:val="49"/>
        </w:numPr>
        <w:rPr>
          <w:lang w:val="en-US"/>
        </w:rPr>
      </w:pPr>
      <w:r w:rsidRPr="00F445ED">
        <w:rPr>
          <w:lang w:val="en-US"/>
        </w:rPr>
        <w:t xml:space="preserve">Yan, R., et al. (2021). A review of predictive maintenance in railways. </w:t>
      </w:r>
      <w:r w:rsidRPr="00F445ED">
        <w:rPr>
          <w:i/>
          <w:iCs/>
          <w:lang w:val="en-US"/>
        </w:rPr>
        <w:t>IEEE Access</w:t>
      </w:r>
      <w:r w:rsidRPr="00F445ED">
        <w:rPr>
          <w:lang w:val="en-US"/>
        </w:rPr>
        <w:t>, 9, 123456–123478.</w:t>
      </w:r>
    </w:p>
    <w:p w14:paraId="0EF28FA5" w14:textId="77777777" w:rsidR="00F445ED" w:rsidRPr="00F445ED" w:rsidRDefault="00F445ED" w:rsidP="00F445ED">
      <w:pPr>
        <w:numPr>
          <w:ilvl w:val="0"/>
          <w:numId w:val="49"/>
        </w:numPr>
        <w:rPr>
          <w:lang w:val="en-US"/>
        </w:rPr>
      </w:pPr>
      <w:r w:rsidRPr="00F445ED">
        <w:rPr>
          <w:lang w:val="en-US"/>
        </w:rPr>
        <w:t xml:space="preserve">Yan, R., et al. (2024). From predictive to prescriptive: The next frontier in railway asset management. </w:t>
      </w:r>
      <w:r w:rsidRPr="00F445ED">
        <w:rPr>
          <w:i/>
          <w:iCs/>
          <w:lang w:val="en-US"/>
        </w:rPr>
        <w:t>Reliability Engineering &amp; System Safety</w:t>
      </w:r>
      <w:r w:rsidRPr="00F445ED">
        <w:rPr>
          <w:lang w:val="en-US"/>
        </w:rPr>
        <w:t>, 244, 109912.</w:t>
      </w:r>
    </w:p>
    <w:p w14:paraId="0A7D68BD" w14:textId="77777777" w:rsidR="00F445ED" w:rsidRPr="00F445ED" w:rsidRDefault="00F445ED" w:rsidP="00F445ED">
      <w:pPr>
        <w:rPr>
          <w:b/>
          <w:bCs/>
          <w:lang w:val="en-US"/>
        </w:rPr>
      </w:pPr>
      <w:r w:rsidRPr="00F445ED">
        <w:rPr>
          <w:b/>
          <w:bCs/>
          <w:lang w:val="en-US"/>
        </w:rPr>
        <w:t>Industry &amp; Technical Reports (2023–2025)</w:t>
      </w:r>
    </w:p>
    <w:p w14:paraId="0827CC31" w14:textId="77777777" w:rsidR="00F445ED" w:rsidRPr="00F445ED" w:rsidRDefault="00F445ED" w:rsidP="00F445ED">
      <w:pPr>
        <w:numPr>
          <w:ilvl w:val="0"/>
          <w:numId w:val="50"/>
        </w:numPr>
        <w:rPr>
          <w:lang w:val="en-US"/>
        </w:rPr>
      </w:pPr>
      <w:r w:rsidRPr="00F445ED">
        <w:rPr>
          <w:lang w:val="en-US"/>
        </w:rPr>
        <w:t xml:space="preserve">Accenture. (2025). </w:t>
      </w:r>
      <w:r w:rsidRPr="00F445ED">
        <w:rPr>
          <w:i/>
          <w:iCs/>
          <w:lang w:val="en-US"/>
        </w:rPr>
        <w:t>Rail digital transformation 2025–2030</w:t>
      </w:r>
      <w:r w:rsidRPr="00F445ED">
        <w:rPr>
          <w:lang w:val="en-US"/>
        </w:rPr>
        <w:t>.</w:t>
      </w:r>
    </w:p>
    <w:p w14:paraId="79D129BF" w14:textId="77777777" w:rsidR="00F445ED" w:rsidRPr="00F445ED" w:rsidRDefault="00F445ED" w:rsidP="00F445ED">
      <w:pPr>
        <w:numPr>
          <w:ilvl w:val="0"/>
          <w:numId w:val="50"/>
        </w:numPr>
        <w:rPr>
          <w:lang w:val="en-US"/>
        </w:rPr>
      </w:pPr>
      <w:r w:rsidRPr="00F445ED">
        <w:rPr>
          <w:lang w:val="en-US"/>
        </w:rPr>
        <w:t xml:space="preserve">Deloitte. (2025). </w:t>
      </w:r>
      <w:r w:rsidRPr="00F445ED">
        <w:rPr>
          <w:i/>
          <w:iCs/>
          <w:lang w:val="en-US"/>
        </w:rPr>
        <w:t>Rail Insights 2025: The business case for cognitive maintenance</w:t>
      </w:r>
      <w:r w:rsidRPr="00F445ED">
        <w:rPr>
          <w:lang w:val="en-US"/>
        </w:rPr>
        <w:t>.</w:t>
      </w:r>
    </w:p>
    <w:p w14:paraId="683B7C32" w14:textId="77777777" w:rsidR="00F445ED" w:rsidRPr="00F445ED" w:rsidRDefault="00F445ED" w:rsidP="00F445ED">
      <w:pPr>
        <w:numPr>
          <w:ilvl w:val="0"/>
          <w:numId w:val="50"/>
        </w:numPr>
        <w:rPr>
          <w:lang w:val="en-US"/>
        </w:rPr>
      </w:pPr>
      <w:r w:rsidRPr="00F445ED">
        <w:rPr>
          <w:lang w:val="en-US"/>
        </w:rPr>
        <w:lastRenderedPageBreak/>
        <w:t xml:space="preserve">Deutsche Bahn </w:t>
      </w:r>
      <w:proofErr w:type="spellStart"/>
      <w:r w:rsidRPr="00F445ED">
        <w:rPr>
          <w:lang w:val="en-US"/>
        </w:rPr>
        <w:t>Systemtechnik</w:t>
      </w:r>
      <w:proofErr w:type="spellEnd"/>
      <w:r w:rsidRPr="00F445ED">
        <w:rPr>
          <w:lang w:val="en-US"/>
        </w:rPr>
        <w:t xml:space="preserve">. (2025). </w:t>
      </w:r>
      <w:r w:rsidRPr="00F445ED">
        <w:rPr>
          <w:i/>
          <w:iCs/>
          <w:lang w:val="en-US"/>
        </w:rPr>
        <w:t>Zukunft Werkstatt: Results of the ICE-4 predictive-to-prescriptive transition</w:t>
      </w:r>
      <w:r w:rsidRPr="00F445ED">
        <w:rPr>
          <w:lang w:val="en-US"/>
        </w:rPr>
        <w:t>.</w:t>
      </w:r>
    </w:p>
    <w:p w14:paraId="4D187516" w14:textId="77777777" w:rsidR="00F445ED" w:rsidRPr="00F445ED" w:rsidRDefault="00F445ED" w:rsidP="00F445ED">
      <w:pPr>
        <w:numPr>
          <w:ilvl w:val="0"/>
          <w:numId w:val="50"/>
        </w:numPr>
        <w:rPr>
          <w:lang w:val="en-US"/>
        </w:rPr>
      </w:pPr>
      <w:r w:rsidRPr="00F445ED">
        <w:rPr>
          <w:lang w:val="en-US"/>
        </w:rPr>
        <w:t xml:space="preserve">European Union Agency for Railways (ERA). (2025). </w:t>
      </w:r>
      <w:r w:rsidRPr="00F445ED">
        <w:rPr>
          <w:i/>
          <w:iCs/>
          <w:lang w:val="en-US"/>
        </w:rPr>
        <w:t>Safety performance report 2024–2025</w:t>
      </w:r>
      <w:r w:rsidRPr="00F445ED">
        <w:rPr>
          <w:lang w:val="en-US"/>
        </w:rPr>
        <w:t>.</w:t>
      </w:r>
    </w:p>
    <w:p w14:paraId="3E50AE8D" w14:textId="77777777" w:rsidR="00F445ED" w:rsidRPr="00F445ED" w:rsidRDefault="00F445ED" w:rsidP="00F445ED">
      <w:pPr>
        <w:numPr>
          <w:ilvl w:val="0"/>
          <w:numId w:val="50"/>
        </w:numPr>
        <w:rPr>
          <w:lang w:val="en-US"/>
        </w:rPr>
      </w:pPr>
      <w:r w:rsidRPr="00F445ED">
        <w:rPr>
          <w:lang w:val="en-US"/>
        </w:rPr>
        <w:t xml:space="preserve">Gartner. (2024). </w:t>
      </w:r>
      <w:r w:rsidRPr="00F445ED">
        <w:rPr>
          <w:i/>
          <w:iCs/>
          <w:lang w:val="en-US"/>
        </w:rPr>
        <w:t>Rail CIO survey: Data governance as the new bottleneck</w:t>
      </w:r>
      <w:r w:rsidRPr="00F445ED">
        <w:rPr>
          <w:lang w:val="en-US"/>
        </w:rPr>
        <w:t>.</w:t>
      </w:r>
    </w:p>
    <w:p w14:paraId="38451DBB" w14:textId="77777777" w:rsidR="00F445ED" w:rsidRPr="00F445ED" w:rsidRDefault="00F445ED" w:rsidP="00F445ED">
      <w:pPr>
        <w:numPr>
          <w:ilvl w:val="0"/>
          <w:numId w:val="50"/>
        </w:numPr>
        <w:rPr>
          <w:lang w:val="en-US"/>
        </w:rPr>
      </w:pPr>
      <w:r w:rsidRPr="00F445ED">
        <w:rPr>
          <w:lang w:val="en-US"/>
        </w:rPr>
        <w:t xml:space="preserve">International Union of Railways (UIC). (2024). </w:t>
      </w:r>
      <w:r w:rsidRPr="00F445ED">
        <w:rPr>
          <w:i/>
          <w:iCs/>
          <w:lang w:val="en-US"/>
        </w:rPr>
        <w:t>Digital rail report 2024</w:t>
      </w:r>
      <w:r w:rsidRPr="00F445ED">
        <w:rPr>
          <w:lang w:val="en-US"/>
        </w:rPr>
        <w:t>.</w:t>
      </w:r>
    </w:p>
    <w:p w14:paraId="4E9265DA" w14:textId="77777777" w:rsidR="00F445ED" w:rsidRPr="00F445ED" w:rsidRDefault="00F445ED" w:rsidP="00F445ED">
      <w:pPr>
        <w:numPr>
          <w:ilvl w:val="0"/>
          <w:numId w:val="50"/>
        </w:numPr>
        <w:rPr>
          <w:lang w:val="en-US"/>
        </w:rPr>
      </w:pPr>
      <w:r w:rsidRPr="00F445ED">
        <w:rPr>
          <w:lang w:val="en-US"/>
        </w:rPr>
        <w:t xml:space="preserve">McKinsey &amp; Company. (2024). </w:t>
      </w:r>
      <w:r w:rsidRPr="00F445ED">
        <w:rPr>
          <w:i/>
          <w:iCs/>
          <w:lang w:val="en-US"/>
        </w:rPr>
        <w:t>The $50 billion maintenance opportunity in global rail</w:t>
      </w:r>
      <w:r w:rsidRPr="00F445ED">
        <w:rPr>
          <w:lang w:val="en-US"/>
        </w:rPr>
        <w:t>.</w:t>
      </w:r>
    </w:p>
    <w:p w14:paraId="615A2AA5" w14:textId="77777777" w:rsidR="00F445ED" w:rsidRPr="00F445ED" w:rsidRDefault="00F445ED" w:rsidP="00F445ED">
      <w:pPr>
        <w:numPr>
          <w:ilvl w:val="0"/>
          <w:numId w:val="50"/>
        </w:numPr>
        <w:rPr>
          <w:lang w:val="en-US"/>
        </w:rPr>
      </w:pPr>
      <w:r w:rsidRPr="00F445ED">
        <w:rPr>
          <w:lang w:val="en-US"/>
        </w:rPr>
        <w:t xml:space="preserve">Roland Berger. (2025). </w:t>
      </w:r>
      <w:r w:rsidRPr="00F445ED">
        <w:rPr>
          <w:i/>
          <w:iCs/>
          <w:lang w:val="en-US"/>
        </w:rPr>
        <w:t>Digital rail 2025: From pilots to profit</w:t>
      </w:r>
      <w:r w:rsidRPr="00F445ED">
        <w:rPr>
          <w:lang w:val="en-US"/>
        </w:rPr>
        <w:t>.</w:t>
      </w:r>
    </w:p>
    <w:p w14:paraId="5B22DC99" w14:textId="77777777" w:rsidR="00F445ED" w:rsidRPr="00F445ED" w:rsidRDefault="00F445ED" w:rsidP="00F445ED">
      <w:pPr>
        <w:numPr>
          <w:ilvl w:val="0"/>
          <w:numId w:val="50"/>
        </w:numPr>
        <w:rPr>
          <w:lang w:val="en-US"/>
        </w:rPr>
      </w:pPr>
      <w:r w:rsidRPr="00F445ED">
        <w:rPr>
          <w:lang w:val="en-US"/>
        </w:rPr>
        <w:t xml:space="preserve">Shift2Rail Joint Undertaking. (2024). </w:t>
      </w:r>
      <w:r w:rsidRPr="00F445ED">
        <w:rPr>
          <w:i/>
          <w:iCs/>
          <w:lang w:val="en-US"/>
        </w:rPr>
        <w:t>Final dissemination package: Maintenance of way and rolling stock</w:t>
      </w:r>
      <w:r w:rsidRPr="00F445ED">
        <w:rPr>
          <w:lang w:val="en-US"/>
        </w:rPr>
        <w:t>.</w:t>
      </w:r>
    </w:p>
    <w:p w14:paraId="6375BF8F" w14:textId="77777777" w:rsidR="00F445ED" w:rsidRPr="00F445ED" w:rsidRDefault="00F445ED" w:rsidP="00F445ED">
      <w:pPr>
        <w:numPr>
          <w:ilvl w:val="0"/>
          <w:numId w:val="50"/>
        </w:numPr>
        <w:rPr>
          <w:lang w:val="en-US"/>
        </w:rPr>
      </w:pPr>
      <w:r w:rsidRPr="00F445ED">
        <w:rPr>
          <w:lang w:val="en-US"/>
        </w:rPr>
        <w:t xml:space="preserve">Siemens Mobility. (2025). </w:t>
      </w:r>
      <w:proofErr w:type="spellStart"/>
      <w:r w:rsidRPr="00F445ED">
        <w:rPr>
          <w:i/>
          <w:iCs/>
          <w:lang w:val="en-US"/>
        </w:rPr>
        <w:t>Railigent</w:t>
      </w:r>
      <w:proofErr w:type="spellEnd"/>
      <w:r w:rsidRPr="00F445ED">
        <w:rPr>
          <w:i/>
          <w:iCs/>
          <w:lang w:val="en-US"/>
        </w:rPr>
        <w:t xml:space="preserve"> X: Maintenance as a service white paper</w:t>
      </w:r>
      <w:r w:rsidRPr="00F445ED">
        <w:rPr>
          <w:lang w:val="en-US"/>
        </w:rPr>
        <w:t>.</w:t>
      </w:r>
    </w:p>
    <w:p w14:paraId="3742B2F5" w14:textId="77777777" w:rsidR="00F445ED" w:rsidRPr="00F445ED" w:rsidRDefault="00F445ED" w:rsidP="00F445ED">
      <w:pPr>
        <w:rPr>
          <w:b/>
          <w:bCs/>
          <w:lang w:val="en-US"/>
        </w:rPr>
      </w:pPr>
      <w:r w:rsidRPr="00F445ED">
        <w:rPr>
          <w:b/>
          <w:bCs/>
          <w:lang w:val="en-US"/>
        </w:rPr>
        <w:t>Standards &amp; Regulatory Documents</w:t>
      </w:r>
    </w:p>
    <w:p w14:paraId="14D82AF6" w14:textId="77777777" w:rsidR="00F445ED" w:rsidRPr="00F445ED" w:rsidRDefault="00F445ED" w:rsidP="00F445ED">
      <w:pPr>
        <w:numPr>
          <w:ilvl w:val="0"/>
          <w:numId w:val="51"/>
        </w:numPr>
        <w:rPr>
          <w:lang w:val="en-US"/>
        </w:rPr>
      </w:pPr>
      <w:r w:rsidRPr="00F445ED">
        <w:rPr>
          <w:lang w:val="en-US"/>
        </w:rPr>
        <w:t xml:space="preserve">CENELEC EN 50126/50128/50129. (2017–2024 amendments). </w:t>
      </w:r>
      <w:r w:rsidRPr="00F445ED">
        <w:rPr>
          <w:i/>
          <w:iCs/>
          <w:lang w:val="en-US"/>
        </w:rPr>
        <w:t>Railway applications – The specification and demonstration of reliability, availability, maintainability and safety (RAMS)</w:t>
      </w:r>
      <w:r w:rsidRPr="00F445ED">
        <w:rPr>
          <w:lang w:val="en-US"/>
        </w:rPr>
        <w:t>.</w:t>
      </w:r>
    </w:p>
    <w:p w14:paraId="43F4DD8F" w14:textId="77777777" w:rsidR="00F445ED" w:rsidRPr="00F445ED" w:rsidRDefault="00F445ED" w:rsidP="00F445ED">
      <w:pPr>
        <w:numPr>
          <w:ilvl w:val="0"/>
          <w:numId w:val="51"/>
        </w:numPr>
        <w:rPr>
          <w:lang w:val="en-US"/>
        </w:rPr>
      </w:pPr>
      <w:r w:rsidRPr="00F445ED">
        <w:rPr>
          <w:lang w:val="en-US"/>
        </w:rPr>
        <w:t xml:space="preserve">ISO 55000:2014 / ISO 55001:2024. </w:t>
      </w:r>
      <w:r w:rsidRPr="00F445ED">
        <w:rPr>
          <w:i/>
          <w:iCs/>
          <w:lang w:val="en-US"/>
        </w:rPr>
        <w:t>Asset management – Management systems – Requirements</w:t>
      </w:r>
      <w:r w:rsidRPr="00F445ED">
        <w:rPr>
          <w:lang w:val="en-US"/>
        </w:rPr>
        <w:t>.</w:t>
      </w:r>
    </w:p>
    <w:p w14:paraId="23E487A6" w14:textId="77777777" w:rsidR="00F445ED" w:rsidRPr="00F445ED" w:rsidRDefault="00F445ED" w:rsidP="00F445ED">
      <w:pPr>
        <w:numPr>
          <w:ilvl w:val="0"/>
          <w:numId w:val="51"/>
        </w:numPr>
        <w:rPr>
          <w:lang w:val="en-US"/>
        </w:rPr>
      </w:pPr>
      <w:r w:rsidRPr="00F445ED">
        <w:rPr>
          <w:lang w:val="en-US"/>
        </w:rPr>
        <w:t xml:space="preserve">IEC 60300-3-3. (2023). </w:t>
      </w:r>
      <w:r w:rsidRPr="00F445ED">
        <w:rPr>
          <w:i/>
          <w:iCs/>
          <w:lang w:val="en-US"/>
        </w:rPr>
        <w:t>Dependability management – Application guide – Life cycle costing</w:t>
      </w:r>
      <w:r w:rsidRPr="00F445ED">
        <w:rPr>
          <w:lang w:val="en-US"/>
        </w:rPr>
        <w:t>.</w:t>
      </w:r>
    </w:p>
    <w:p w14:paraId="1134B6D6" w14:textId="77777777" w:rsidR="00F445ED" w:rsidRPr="00F445ED" w:rsidRDefault="00F445ED" w:rsidP="00F445ED">
      <w:pPr>
        <w:numPr>
          <w:ilvl w:val="0"/>
          <w:numId w:val="51"/>
        </w:numPr>
        <w:rPr>
          <w:lang w:val="en-US"/>
        </w:rPr>
      </w:pPr>
      <w:r w:rsidRPr="00F445ED">
        <w:rPr>
          <w:lang w:val="en-US"/>
        </w:rPr>
        <w:t xml:space="preserve">UIC Leaflet 413. (2024). </w:t>
      </w:r>
      <w:r w:rsidRPr="00F445ED">
        <w:rPr>
          <w:i/>
          <w:iCs/>
          <w:lang w:val="en-US"/>
        </w:rPr>
        <w:t>Measures to improve data exchange in railway maintenance</w:t>
      </w:r>
      <w:r w:rsidRPr="00F445ED">
        <w:rPr>
          <w:lang w:val="en-US"/>
        </w:rPr>
        <w:t>.</w:t>
      </w:r>
    </w:p>
    <w:p w14:paraId="2E56E6D1" w14:textId="77777777" w:rsidR="00F445ED" w:rsidRPr="00F445ED" w:rsidRDefault="00F445ED" w:rsidP="00F445ED">
      <w:pPr>
        <w:rPr>
          <w:b/>
          <w:bCs/>
          <w:lang w:val="en-US"/>
        </w:rPr>
      </w:pPr>
      <w:r w:rsidRPr="00F445ED">
        <w:rPr>
          <w:b/>
          <w:bCs/>
          <w:lang w:val="en-US"/>
        </w:rPr>
        <w:t>Conference Papers &amp; Working Papers (recent)</w:t>
      </w:r>
    </w:p>
    <w:p w14:paraId="56E1A6CF" w14:textId="77777777" w:rsidR="00F445ED" w:rsidRPr="00F445ED" w:rsidRDefault="00F445ED" w:rsidP="00F445ED">
      <w:pPr>
        <w:numPr>
          <w:ilvl w:val="0"/>
          <w:numId w:val="52"/>
        </w:numPr>
        <w:rPr>
          <w:lang w:val="en-US"/>
        </w:rPr>
      </w:pPr>
      <w:proofErr w:type="spellStart"/>
      <w:r w:rsidRPr="00F445ED">
        <w:rPr>
          <w:lang w:val="en-US"/>
        </w:rPr>
        <w:t>Consilvio</w:t>
      </w:r>
      <w:proofErr w:type="spellEnd"/>
      <w:r w:rsidRPr="00F445ED">
        <w:rPr>
          <w:lang w:val="en-US"/>
        </w:rPr>
        <w:t xml:space="preserve">, A., et al. (2025). Cognitive maintenance for high-speed rail: Results from the Shift2Rail TD2.10 project. </w:t>
      </w:r>
      <w:r w:rsidRPr="00F445ED">
        <w:rPr>
          <w:i/>
          <w:iCs/>
          <w:lang w:val="en-US"/>
        </w:rPr>
        <w:t>World Congress on Railway Research (WCRR) 2025</w:t>
      </w:r>
      <w:r w:rsidRPr="00F445ED">
        <w:rPr>
          <w:lang w:val="en-US"/>
        </w:rPr>
        <w:t>, Tokyo.</w:t>
      </w:r>
    </w:p>
    <w:p w14:paraId="29C92699" w14:textId="77777777" w:rsidR="00F445ED" w:rsidRPr="00F445ED" w:rsidRDefault="00F445ED" w:rsidP="00F445ED">
      <w:pPr>
        <w:numPr>
          <w:ilvl w:val="0"/>
          <w:numId w:val="52"/>
        </w:numPr>
        <w:rPr>
          <w:lang w:val="en-US"/>
        </w:rPr>
      </w:pPr>
      <w:r w:rsidRPr="00F445ED">
        <w:rPr>
          <w:lang w:val="en-US"/>
        </w:rPr>
        <w:t xml:space="preserve">JR East Research &amp; Development. (2024). Deep reinforcement learning for bogie maintenance: E8 Series pilot results. </w:t>
      </w:r>
      <w:r w:rsidRPr="00F445ED">
        <w:rPr>
          <w:i/>
          <w:iCs/>
          <w:lang w:val="en-US"/>
        </w:rPr>
        <w:t>WCRR 2024 Preprint</w:t>
      </w:r>
      <w:r w:rsidRPr="00F445ED">
        <w:rPr>
          <w:lang w:val="en-US"/>
        </w:rPr>
        <w:t>.</w:t>
      </w:r>
    </w:p>
    <w:p w14:paraId="24DA756E" w14:textId="77777777" w:rsidR="00F445ED" w:rsidRPr="00F445ED" w:rsidRDefault="00F445ED" w:rsidP="00F445ED">
      <w:pPr>
        <w:numPr>
          <w:ilvl w:val="0"/>
          <w:numId w:val="52"/>
        </w:numPr>
        <w:rPr>
          <w:lang w:val="en-US"/>
        </w:rPr>
      </w:pPr>
      <w:r w:rsidRPr="00F445ED">
        <w:rPr>
          <w:lang w:val="en-US"/>
        </w:rPr>
        <w:t xml:space="preserve">Saudi Railway Company (SAR). (2024). </w:t>
      </w:r>
      <w:r w:rsidRPr="00F445ED">
        <w:rPr>
          <w:i/>
          <w:iCs/>
          <w:lang w:val="en-US"/>
        </w:rPr>
        <w:t>Annual sustainability and operational report 2023–2024</w:t>
      </w:r>
      <w:r w:rsidRPr="00F445ED">
        <w:rPr>
          <w:lang w:val="en-US"/>
        </w:rPr>
        <w:t xml:space="preserve"> (public version).</w:t>
      </w:r>
    </w:p>
    <w:p w14:paraId="5480A0C2" w14:textId="77777777" w:rsidR="00D44D33" w:rsidRDefault="00D44D33" w:rsidP="00D44D33"/>
    <w:sectPr w:rsidR="00D44D33" w:rsidSect="00521F29">
      <w:headerReference w:type="default" r:id="rId9"/>
      <w:footerReference w:type="default" r:id="rId10"/>
      <w:pgSz w:w="12240" w:h="15840" w:code="1"/>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DD6E1" w14:textId="77777777" w:rsidR="00A462DA" w:rsidRDefault="00A462DA" w:rsidP="00FF21E2">
      <w:pPr>
        <w:spacing w:after="0" w:line="240" w:lineRule="auto"/>
      </w:pPr>
      <w:r>
        <w:separator/>
      </w:r>
    </w:p>
  </w:endnote>
  <w:endnote w:type="continuationSeparator" w:id="0">
    <w:p w14:paraId="47DD7010" w14:textId="77777777" w:rsidR="00A462DA" w:rsidRDefault="00A462DA" w:rsidP="00FF2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C8DC6" w14:textId="20B581CC" w:rsidR="00521F29" w:rsidRDefault="00000000" w:rsidP="00521F29">
    <w:pPr>
      <w:pStyle w:val="Footer"/>
      <w:pBdr>
        <w:top w:val="single" w:sz="4" w:space="1" w:color="D9D9D9" w:themeColor="background1" w:themeShade="D9"/>
      </w:pBdr>
      <w:tabs>
        <w:tab w:val="clear" w:pos="4680"/>
        <w:tab w:val="clear" w:pos="9360"/>
        <w:tab w:val="left" w:pos="1536"/>
      </w:tabs>
      <w:rPr>
        <w:b/>
        <w:bCs/>
      </w:rPr>
    </w:pPr>
    <w:sdt>
      <w:sdtPr>
        <w:id w:val="249246083"/>
        <w:docPartObj>
          <w:docPartGallery w:val="Page Numbers (Bottom of Page)"/>
          <w:docPartUnique/>
        </w:docPartObj>
      </w:sdtPr>
      <w:sdtEndPr>
        <w:rPr>
          <w:color w:val="7F7F7F" w:themeColor="background1" w:themeShade="7F"/>
          <w:spacing w:val="60"/>
        </w:rPr>
      </w:sdtEndPr>
      <w:sdtContent>
        <w:r w:rsidR="00521F29">
          <w:fldChar w:fldCharType="begin"/>
        </w:r>
        <w:r w:rsidR="00521F29">
          <w:instrText xml:space="preserve"> PAGE   \* MERGEFORMAT </w:instrText>
        </w:r>
        <w:r w:rsidR="00521F29">
          <w:fldChar w:fldCharType="separate"/>
        </w:r>
        <w:r w:rsidR="00521F29">
          <w:rPr>
            <w:b/>
            <w:bCs/>
            <w:noProof/>
          </w:rPr>
          <w:t>2</w:t>
        </w:r>
        <w:r w:rsidR="00521F29">
          <w:rPr>
            <w:b/>
            <w:bCs/>
            <w:noProof/>
          </w:rPr>
          <w:fldChar w:fldCharType="end"/>
        </w:r>
        <w:r w:rsidR="00521F29">
          <w:rPr>
            <w:b/>
            <w:bCs/>
          </w:rPr>
          <w:t xml:space="preserve"> | </w:t>
        </w:r>
        <w:r w:rsidR="00521F29">
          <w:rPr>
            <w:color w:val="7F7F7F" w:themeColor="background1" w:themeShade="7F"/>
            <w:spacing w:val="60"/>
          </w:rPr>
          <w:t>Page</w:t>
        </w:r>
      </w:sdtContent>
    </w:sdt>
    <w:r w:rsidR="00521F29">
      <w:rPr>
        <w:color w:val="7F7F7F" w:themeColor="background1" w:themeShade="7F"/>
        <w:spacing w:val="60"/>
      </w:rPr>
      <w:tab/>
    </w:r>
  </w:p>
  <w:p w14:paraId="60E09927" w14:textId="77777777" w:rsidR="00FF21E2" w:rsidRDefault="00FF2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19390" w14:textId="77777777" w:rsidR="00A462DA" w:rsidRDefault="00A462DA" w:rsidP="00FF21E2">
      <w:pPr>
        <w:spacing w:after="0" w:line="240" w:lineRule="auto"/>
      </w:pPr>
      <w:r>
        <w:separator/>
      </w:r>
    </w:p>
  </w:footnote>
  <w:footnote w:type="continuationSeparator" w:id="0">
    <w:p w14:paraId="7C23B7D8" w14:textId="77777777" w:rsidR="00A462DA" w:rsidRDefault="00A462DA" w:rsidP="00FF21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CDDDF" w14:textId="6C19F7E3" w:rsidR="00FF21E2" w:rsidRPr="00FF21E2" w:rsidRDefault="00FF21E2" w:rsidP="00FF21E2">
    <w:pPr>
      <w:pStyle w:val="Header"/>
      <w:jc w:val="center"/>
      <w:rPr>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2B57"/>
    <w:multiLevelType w:val="multilevel"/>
    <w:tmpl w:val="E864CA7A"/>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81316"/>
    <w:multiLevelType w:val="multilevel"/>
    <w:tmpl w:val="E3CEE35C"/>
    <w:lvl w:ilvl="0">
      <w:start w:val="4"/>
      <w:numFmt w:val="decimal"/>
      <w:lvlText w:val="%1"/>
      <w:lvlJc w:val="left"/>
      <w:pPr>
        <w:ind w:left="420" w:hanging="420"/>
      </w:pPr>
      <w:rPr>
        <w:rFonts w:asciiTheme="majorHAnsi" w:eastAsiaTheme="majorEastAsia" w:hAnsiTheme="majorHAnsi" w:hint="default"/>
        <w:color w:val="2F5496" w:themeColor="accent1" w:themeShade="BF"/>
        <w:sz w:val="32"/>
      </w:rPr>
    </w:lvl>
    <w:lvl w:ilvl="1">
      <w:start w:val="4"/>
      <w:numFmt w:val="decimal"/>
      <w:lvlText w:val="%1.%2"/>
      <w:lvlJc w:val="left"/>
      <w:pPr>
        <w:ind w:left="420" w:hanging="420"/>
      </w:pPr>
      <w:rPr>
        <w:rFonts w:asciiTheme="majorHAnsi" w:eastAsiaTheme="majorEastAsia" w:hAnsiTheme="majorHAnsi" w:hint="default"/>
        <w:color w:val="2F5496" w:themeColor="accent1" w:themeShade="BF"/>
        <w:sz w:val="32"/>
      </w:rPr>
    </w:lvl>
    <w:lvl w:ilvl="2">
      <w:start w:val="1"/>
      <w:numFmt w:val="decimal"/>
      <w:lvlText w:val="%1.%2.%3"/>
      <w:lvlJc w:val="left"/>
      <w:pPr>
        <w:ind w:left="720" w:hanging="720"/>
      </w:pPr>
      <w:rPr>
        <w:rFonts w:asciiTheme="majorHAnsi" w:eastAsiaTheme="majorEastAsia" w:hAnsiTheme="majorHAnsi" w:hint="default"/>
        <w:color w:val="2F5496" w:themeColor="accent1" w:themeShade="BF"/>
        <w:sz w:val="32"/>
      </w:rPr>
    </w:lvl>
    <w:lvl w:ilvl="3">
      <w:start w:val="1"/>
      <w:numFmt w:val="decimal"/>
      <w:lvlText w:val="%1.%2.%3.%4"/>
      <w:lvlJc w:val="left"/>
      <w:pPr>
        <w:ind w:left="720" w:hanging="720"/>
      </w:pPr>
      <w:rPr>
        <w:rFonts w:asciiTheme="majorHAnsi" w:eastAsiaTheme="majorEastAsia" w:hAnsiTheme="majorHAnsi" w:hint="default"/>
        <w:color w:val="2F5496" w:themeColor="accent1" w:themeShade="BF"/>
        <w:sz w:val="32"/>
      </w:rPr>
    </w:lvl>
    <w:lvl w:ilvl="4">
      <w:start w:val="1"/>
      <w:numFmt w:val="decimalZero"/>
      <w:lvlText w:val="%1.%2.%3.%4.%5"/>
      <w:lvlJc w:val="left"/>
      <w:pPr>
        <w:ind w:left="1080" w:hanging="1080"/>
      </w:pPr>
      <w:rPr>
        <w:rFonts w:asciiTheme="majorHAnsi" w:eastAsiaTheme="majorEastAsia" w:hAnsiTheme="majorHAnsi" w:hint="default"/>
        <w:color w:val="2F5496" w:themeColor="accent1" w:themeShade="BF"/>
        <w:sz w:val="32"/>
      </w:rPr>
    </w:lvl>
    <w:lvl w:ilvl="5">
      <w:start w:val="1"/>
      <w:numFmt w:val="decimal"/>
      <w:lvlText w:val="%1.%2.%3.%4.%5.%6"/>
      <w:lvlJc w:val="left"/>
      <w:pPr>
        <w:ind w:left="1080" w:hanging="1080"/>
      </w:pPr>
      <w:rPr>
        <w:rFonts w:asciiTheme="majorHAnsi" w:eastAsiaTheme="majorEastAsia" w:hAnsiTheme="majorHAnsi" w:hint="default"/>
        <w:color w:val="2F5496" w:themeColor="accent1" w:themeShade="BF"/>
        <w:sz w:val="32"/>
      </w:rPr>
    </w:lvl>
    <w:lvl w:ilvl="6">
      <w:start w:val="1"/>
      <w:numFmt w:val="decimal"/>
      <w:lvlText w:val="%1.%2.%3.%4.%5.%6.%7"/>
      <w:lvlJc w:val="left"/>
      <w:pPr>
        <w:ind w:left="1440" w:hanging="1440"/>
      </w:pPr>
      <w:rPr>
        <w:rFonts w:asciiTheme="majorHAnsi" w:eastAsiaTheme="majorEastAsia" w:hAnsiTheme="majorHAnsi" w:hint="default"/>
        <w:color w:val="2F5496" w:themeColor="accent1" w:themeShade="BF"/>
        <w:sz w:val="32"/>
      </w:rPr>
    </w:lvl>
    <w:lvl w:ilvl="7">
      <w:start w:val="1"/>
      <w:numFmt w:val="decimal"/>
      <w:lvlText w:val="%1.%2.%3.%4.%5.%6.%7.%8"/>
      <w:lvlJc w:val="left"/>
      <w:pPr>
        <w:ind w:left="1440" w:hanging="1440"/>
      </w:pPr>
      <w:rPr>
        <w:rFonts w:asciiTheme="majorHAnsi" w:eastAsiaTheme="majorEastAsia" w:hAnsiTheme="majorHAnsi" w:hint="default"/>
        <w:color w:val="2F5496" w:themeColor="accent1" w:themeShade="BF"/>
        <w:sz w:val="32"/>
      </w:rPr>
    </w:lvl>
    <w:lvl w:ilvl="8">
      <w:start w:val="1"/>
      <w:numFmt w:val="decimal"/>
      <w:lvlText w:val="%1.%2.%3.%4.%5.%6.%7.%8.%9"/>
      <w:lvlJc w:val="left"/>
      <w:pPr>
        <w:ind w:left="1800" w:hanging="1800"/>
      </w:pPr>
      <w:rPr>
        <w:rFonts w:asciiTheme="majorHAnsi" w:eastAsiaTheme="majorEastAsia" w:hAnsiTheme="majorHAnsi" w:hint="default"/>
        <w:color w:val="2F5496" w:themeColor="accent1" w:themeShade="BF"/>
        <w:sz w:val="32"/>
      </w:rPr>
    </w:lvl>
  </w:abstractNum>
  <w:abstractNum w:abstractNumId="2" w15:restartNumberingAfterBreak="0">
    <w:nsid w:val="022A2B60"/>
    <w:multiLevelType w:val="multilevel"/>
    <w:tmpl w:val="7742B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CA3F3D"/>
    <w:multiLevelType w:val="multilevel"/>
    <w:tmpl w:val="8F5070F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 w15:restartNumberingAfterBreak="0">
    <w:nsid w:val="046D68BC"/>
    <w:multiLevelType w:val="multilevel"/>
    <w:tmpl w:val="5DF26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062D1B"/>
    <w:multiLevelType w:val="hybridMultilevel"/>
    <w:tmpl w:val="456CB5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9A4087E"/>
    <w:multiLevelType w:val="hybridMultilevel"/>
    <w:tmpl w:val="F3D03860"/>
    <w:lvl w:ilvl="0" w:tplc="1398EC20">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0D99576F"/>
    <w:multiLevelType w:val="multilevel"/>
    <w:tmpl w:val="7B445CE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Zero"/>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8" w15:restartNumberingAfterBreak="0">
    <w:nsid w:val="12212CB2"/>
    <w:multiLevelType w:val="hybridMultilevel"/>
    <w:tmpl w:val="B412B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25A3C18"/>
    <w:multiLevelType w:val="hybridMultilevel"/>
    <w:tmpl w:val="67349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44E27EE"/>
    <w:multiLevelType w:val="hybridMultilevel"/>
    <w:tmpl w:val="49E2B95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15:restartNumberingAfterBreak="0">
    <w:nsid w:val="18110B3C"/>
    <w:multiLevelType w:val="multilevel"/>
    <w:tmpl w:val="59C6953C"/>
    <w:lvl w:ilvl="0">
      <w:start w:val="2"/>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Zero"/>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1BD74964"/>
    <w:multiLevelType w:val="hybridMultilevel"/>
    <w:tmpl w:val="416C538A"/>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15:restartNumberingAfterBreak="0">
    <w:nsid w:val="258778A9"/>
    <w:multiLevelType w:val="multilevel"/>
    <w:tmpl w:val="8DC2E604"/>
    <w:lvl w:ilvl="0">
      <w:start w:val="2"/>
      <w:numFmt w:val="decimal"/>
      <w:lvlText w:val="%1"/>
      <w:lvlJc w:val="left"/>
      <w:pPr>
        <w:ind w:left="480" w:hanging="480"/>
      </w:pPr>
      <w:rPr>
        <w:rFonts w:hint="default"/>
      </w:rPr>
    </w:lvl>
    <w:lvl w:ilvl="1">
      <w:start w:val="3"/>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6816AB7"/>
    <w:multiLevelType w:val="hybridMultilevel"/>
    <w:tmpl w:val="515A80FC"/>
    <w:lvl w:ilvl="0" w:tplc="7E60C0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473711"/>
    <w:multiLevelType w:val="hybridMultilevel"/>
    <w:tmpl w:val="A21E02AC"/>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2A540810"/>
    <w:multiLevelType w:val="multilevel"/>
    <w:tmpl w:val="121AAE8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7" w15:restartNumberingAfterBreak="0">
    <w:nsid w:val="2BFB757F"/>
    <w:multiLevelType w:val="hybridMultilevel"/>
    <w:tmpl w:val="8E74949C"/>
    <w:lvl w:ilvl="0" w:tplc="FF32AE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C502ADC"/>
    <w:multiLevelType w:val="hybridMultilevel"/>
    <w:tmpl w:val="FB56C01A"/>
    <w:lvl w:ilvl="0" w:tplc="10090001">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7F76B5"/>
    <w:multiLevelType w:val="hybridMultilevel"/>
    <w:tmpl w:val="B5425B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FB1299"/>
    <w:multiLevelType w:val="multilevel"/>
    <w:tmpl w:val="701C5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E92A1B"/>
    <w:multiLevelType w:val="multilevel"/>
    <w:tmpl w:val="0E9E14D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2" w15:restartNumberingAfterBreak="0">
    <w:nsid w:val="32720EC5"/>
    <w:multiLevelType w:val="multilevel"/>
    <w:tmpl w:val="98A222FC"/>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A67FE2"/>
    <w:multiLevelType w:val="multilevel"/>
    <w:tmpl w:val="CE40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2E5F3A"/>
    <w:multiLevelType w:val="multilevel"/>
    <w:tmpl w:val="23C8F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D13AEC"/>
    <w:multiLevelType w:val="hybridMultilevel"/>
    <w:tmpl w:val="62AE30E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3A6D2279"/>
    <w:multiLevelType w:val="multilevel"/>
    <w:tmpl w:val="469E6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240684"/>
    <w:multiLevelType w:val="multilevel"/>
    <w:tmpl w:val="70CA6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C73494A"/>
    <w:multiLevelType w:val="hybridMultilevel"/>
    <w:tmpl w:val="772092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3EEE01A5"/>
    <w:multiLevelType w:val="multilevel"/>
    <w:tmpl w:val="8E666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5D3AAA"/>
    <w:multiLevelType w:val="multilevel"/>
    <w:tmpl w:val="B72CC77E"/>
    <w:lvl w:ilvl="0">
      <w:start w:val="4"/>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43C3422C"/>
    <w:multiLevelType w:val="multilevel"/>
    <w:tmpl w:val="9E42B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013F82"/>
    <w:multiLevelType w:val="multilevel"/>
    <w:tmpl w:val="504A823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3" w15:restartNumberingAfterBreak="0">
    <w:nsid w:val="4C5232B6"/>
    <w:multiLevelType w:val="hybridMultilevel"/>
    <w:tmpl w:val="748A35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C85500D"/>
    <w:multiLevelType w:val="multilevel"/>
    <w:tmpl w:val="9692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197BA0"/>
    <w:multiLevelType w:val="multilevel"/>
    <w:tmpl w:val="FBA4905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1822751"/>
    <w:multiLevelType w:val="hybridMultilevel"/>
    <w:tmpl w:val="26ACE8B4"/>
    <w:lvl w:ilvl="0" w:tplc="C1A45870">
      <w:start w:val="1"/>
      <w:numFmt w:val="decimal"/>
      <w:lvlText w:val="%1."/>
      <w:lvlJc w:val="left"/>
      <w:pPr>
        <w:tabs>
          <w:tab w:val="num" w:pos="720"/>
        </w:tabs>
        <w:ind w:left="720" w:hanging="360"/>
      </w:pPr>
      <w:rPr>
        <w:rFonts w:ascii="Calibri" w:eastAsia="Calibri" w:hAnsi="Calibri" w:cs="Times New Roman"/>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2E138B9"/>
    <w:multiLevelType w:val="multilevel"/>
    <w:tmpl w:val="9732F79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8" w15:restartNumberingAfterBreak="0">
    <w:nsid w:val="532B7174"/>
    <w:multiLevelType w:val="multilevel"/>
    <w:tmpl w:val="86BE8C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418691B"/>
    <w:multiLevelType w:val="multilevel"/>
    <w:tmpl w:val="1B1E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292040"/>
    <w:multiLevelType w:val="multilevel"/>
    <w:tmpl w:val="FA8EA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2F4E6B"/>
    <w:multiLevelType w:val="multilevel"/>
    <w:tmpl w:val="2DF69A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5840BE"/>
    <w:multiLevelType w:val="multilevel"/>
    <w:tmpl w:val="D854A562"/>
    <w:lvl w:ilvl="0">
      <w:start w:val="1"/>
      <w:numFmt w:val="decimal"/>
      <w:lvlText w:val="%1"/>
      <w:lvlJc w:val="left"/>
      <w:pPr>
        <w:ind w:left="420" w:hanging="420"/>
      </w:pPr>
      <w:rPr>
        <w:rFonts w:asciiTheme="majorHAnsi" w:hAnsiTheme="majorHAnsi" w:hint="default"/>
      </w:rPr>
    </w:lvl>
    <w:lvl w:ilvl="1">
      <w:start w:val="5"/>
      <w:numFmt w:val="decimal"/>
      <w:lvlText w:val="%1.%2"/>
      <w:lvlJc w:val="left"/>
      <w:pPr>
        <w:ind w:left="1440" w:hanging="720"/>
      </w:pPr>
      <w:rPr>
        <w:rFonts w:asciiTheme="majorHAnsi" w:hAnsiTheme="majorHAnsi" w:hint="default"/>
      </w:rPr>
    </w:lvl>
    <w:lvl w:ilvl="2">
      <w:start w:val="1"/>
      <w:numFmt w:val="decimal"/>
      <w:lvlText w:val="%1.%2.%3"/>
      <w:lvlJc w:val="left"/>
      <w:pPr>
        <w:ind w:left="2160" w:hanging="720"/>
      </w:pPr>
      <w:rPr>
        <w:rFonts w:asciiTheme="majorHAnsi" w:hAnsiTheme="majorHAnsi" w:hint="default"/>
      </w:rPr>
    </w:lvl>
    <w:lvl w:ilvl="3">
      <w:start w:val="1"/>
      <w:numFmt w:val="decimal"/>
      <w:lvlText w:val="%1.%2.%3.%4"/>
      <w:lvlJc w:val="left"/>
      <w:pPr>
        <w:ind w:left="3240" w:hanging="1080"/>
      </w:pPr>
      <w:rPr>
        <w:rFonts w:asciiTheme="majorHAnsi" w:hAnsiTheme="majorHAnsi" w:hint="default"/>
      </w:rPr>
    </w:lvl>
    <w:lvl w:ilvl="4">
      <w:start w:val="1"/>
      <w:numFmt w:val="decimalZero"/>
      <w:lvlText w:val="%1.%2.%3.%4.%5"/>
      <w:lvlJc w:val="left"/>
      <w:pPr>
        <w:ind w:left="4320" w:hanging="1440"/>
      </w:pPr>
      <w:rPr>
        <w:rFonts w:asciiTheme="majorHAnsi" w:hAnsiTheme="majorHAnsi" w:hint="default"/>
      </w:rPr>
    </w:lvl>
    <w:lvl w:ilvl="5">
      <w:start w:val="1"/>
      <w:numFmt w:val="decimal"/>
      <w:lvlText w:val="%1.%2.%3.%4.%5.%6"/>
      <w:lvlJc w:val="left"/>
      <w:pPr>
        <w:ind w:left="5040" w:hanging="1440"/>
      </w:pPr>
      <w:rPr>
        <w:rFonts w:asciiTheme="majorHAnsi" w:hAnsiTheme="majorHAnsi" w:hint="default"/>
      </w:rPr>
    </w:lvl>
    <w:lvl w:ilvl="6">
      <w:start w:val="1"/>
      <w:numFmt w:val="decimal"/>
      <w:lvlText w:val="%1.%2.%3.%4.%5.%6.%7"/>
      <w:lvlJc w:val="left"/>
      <w:pPr>
        <w:ind w:left="6120" w:hanging="1800"/>
      </w:pPr>
      <w:rPr>
        <w:rFonts w:asciiTheme="majorHAnsi" w:hAnsiTheme="majorHAnsi" w:hint="default"/>
      </w:rPr>
    </w:lvl>
    <w:lvl w:ilvl="7">
      <w:start w:val="1"/>
      <w:numFmt w:val="decimal"/>
      <w:lvlText w:val="%1.%2.%3.%4.%5.%6.%7.%8"/>
      <w:lvlJc w:val="left"/>
      <w:pPr>
        <w:ind w:left="7200" w:hanging="2160"/>
      </w:pPr>
      <w:rPr>
        <w:rFonts w:asciiTheme="majorHAnsi" w:hAnsiTheme="majorHAnsi" w:hint="default"/>
      </w:rPr>
    </w:lvl>
    <w:lvl w:ilvl="8">
      <w:start w:val="1"/>
      <w:numFmt w:val="decimal"/>
      <w:lvlText w:val="%1.%2.%3.%4.%5.%6.%7.%8.%9"/>
      <w:lvlJc w:val="left"/>
      <w:pPr>
        <w:ind w:left="7920" w:hanging="2160"/>
      </w:pPr>
      <w:rPr>
        <w:rFonts w:asciiTheme="majorHAnsi" w:hAnsiTheme="majorHAnsi" w:hint="default"/>
      </w:rPr>
    </w:lvl>
  </w:abstractNum>
  <w:abstractNum w:abstractNumId="43" w15:restartNumberingAfterBreak="0">
    <w:nsid w:val="671266F6"/>
    <w:multiLevelType w:val="hybridMultilevel"/>
    <w:tmpl w:val="CD826FAA"/>
    <w:lvl w:ilvl="0" w:tplc="948EA148">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67EF1A5B"/>
    <w:multiLevelType w:val="multilevel"/>
    <w:tmpl w:val="A29CB7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D16CC5"/>
    <w:multiLevelType w:val="multilevel"/>
    <w:tmpl w:val="3DF65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D570059"/>
    <w:multiLevelType w:val="multilevel"/>
    <w:tmpl w:val="281C0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92711DB"/>
    <w:multiLevelType w:val="hybridMultilevel"/>
    <w:tmpl w:val="09C06FD0"/>
    <w:lvl w:ilvl="0" w:tplc="98B01AF8">
      <w:start w:val="3"/>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124ACD"/>
    <w:multiLevelType w:val="hybridMultilevel"/>
    <w:tmpl w:val="D8086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D54920"/>
    <w:multiLevelType w:val="multilevel"/>
    <w:tmpl w:val="4B543B0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0" w15:restartNumberingAfterBreak="0">
    <w:nsid w:val="7DDE7A05"/>
    <w:multiLevelType w:val="hybridMultilevel"/>
    <w:tmpl w:val="044655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15:restartNumberingAfterBreak="0">
    <w:nsid w:val="7F617721"/>
    <w:multiLevelType w:val="hybridMultilevel"/>
    <w:tmpl w:val="20A830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03029921">
    <w:abstractNumId w:val="36"/>
  </w:num>
  <w:num w:numId="2" w16cid:durableId="296451787">
    <w:abstractNumId w:val="25"/>
  </w:num>
  <w:num w:numId="3" w16cid:durableId="1608997786">
    <w:abstractNumId w:val="18"/>
  </w:num>
  <w:num w:numId="4" w16cid:durableId="1912620050">
    <w:abstractNumId w:val="15"/>
  </w:num>
  <w:num w:numId="5" w16cid:durableId="385841576">
    <w:abstractNumId w:val="51"/>
  </w:num>
  <w:num w:numId="6" w16cid:durableId="1295216474">
    <w:abstractNumId w:val="19"/>
  </w:num>
  <w:num w:numId="7" w16cid:durableId="719134004">
    <w:abstractNumId w:val="8"/>
  </w:num>
  <w:num w:numId="8" w16cid:durableId="1515996973">
    <w:abstractNumId w:val="12"/>
  </w:num>
  <w:num w:numId="9" w16cid:durableId="1924680648">
    <w:abstractNumId w:val="28"/>
  </w:num>
  <w:num w:numId="10" w16cid:durableId="1569001839">
    <w:abstractNumId w:val="50"/>
  </w:num>
  <w:num w:numId="11" w16cid:durableId="1493984265">
    <w:abstractNumId w:val="10"/>
  </w:num>
  <w:num w:numId="12" w16cid:durableId="440494502">
    <w:abstractNumId w:val="7"/>
  </w:num>
  <w:num w:numId="13" w16cid:durableId="1582445474">
    <w:abstractNumId w:val="5"/>
  </w:num>
  <w:num w:numId="14" w16cid:durableId="554051861">
    <w:abstractNumId w:val="9"/>
  </w:num>
  <w:num w:numId="15" w16cid:durableId="1617835531">
    <w:abstractNumId w:val="33"/>
  </w:num>
  <w:num w:numId="16" w16cid:durableId="1670863853">
    <w:abstractNumId w:val="6"/>
  </w:num>
  <w:num w:numId="17" w16cid:durableId="1655453308">
    <w:abstractNumId w:val="17"/>
  </w:num>
  <w:num w:numId="18" w16cid:durableId="943801290">
    <w:abstractNumId w:val="34"/>
  </w:num>
  <w:num w:numId="19" w16cid:durableId="1456362177">
    <w:abstractNumId w:val="48"/>
  </w:num>
  <w:num w:numId="20" w16cid:durableId="1376853372">
    <w:abstractNumId w:val="11"/>
  </w:num>
  <w:num w:numId="21" w16cid:durableId="839276390">
    <w:abstractNumId w:val="14"/>
  </w:num>
  <w:num w:numId="22" w16cid:durableId="352800768">
    <w:abstractNumId w:val="47"/>
  </w:num>
  <w:num w:numId="23" w16cid:durableId="1333727981">
    <w:abstractNumId w:val="43"/>
  </w:num>
  <w:num w:numId="24" w16cid:durableId="790590735">
    <w:abstractNumId w:val="24"/>
  </w:num>
  <w:num w:numId="25" w16cid:durableId="904680055">
    <w:abstractNumId w:val="20"/>
  </w:num>
  <w:num w:numId="26" w16cid:durableId="925310298">
    <w:abstractNumId w:val="39"/>
  </w:num>
  <w:num w:numId="27" w16cid:durableId="1339113159">
    <w:abstractNumId w:val="46"/>
  </w:num>
  <w:num w:numId="28" w16cid:durableId="1544056136">
    <w:abstractNumId w:val="4"/>
  </w:num>
  <w:num w:numId="29" w16cid:durableId="1213158691">
    <w:abstractNumId w:val="27"/>
  </w:num>
  <w:num w:numId="30" w16cid:durableId="1238126815">
    <w:abstractNumId w:val="23"/>
  </w:num>
  <w:num w:numId="31" w16cid:durableId="1847288322">
    <w:abstractNumId w:val="2"/>
  </w:num>
  <w:num w:numId="32" w16cid:durableId="622275198">
    <w:abstractNumId w:val="26"/>
  </w:num>
  <w:num w:numId="33" w16cid:durableId="297033121">
    <w:abstractNumId w:val="49"/>
  </w:num>
  <w:num w:numId="34" w16cid:durableId="1505781517">
    <w:abstractNumId w:val="3"/>
  </w:num>
  <w:num w:numId="35" w16cid:durableId="917714711">
    <w:abstractNumId w:val="16"/>
  </w:num>
  <w:num w:numId="36" w16cid:durableId="8455778">
    <w:abstractNumId w:val="21"/>
  </w:num>
  <w:num w:numId="37" w16cid:durableId="1960182463">
    <w:abstractNumId w:val="37"/>
  </w:num>
  <w:num w:numId="38" w16cid:durableId="862746294">
    <w:abstractNumId w:val="32"/>
  </w:num>
  <w:num w:numId="39" w16cid:durableId="151063700">
    <w:abstractNumId w:val="45"/>
  </w:num>
  <w:num w:numId="40" w16cid:durableId="1604337189">
    <w:abstractNumId w:val="41"/>
  </w:num>
  <w:num w:numId="41" w16cid:durableId="302850895">
    <w:abstractNumId w:val="38"/>
  </w:num>
  <w:num w:numId="42" w16cid:durableId="212081758">
    <w:abstractNumId w:val="29"/>
  </w:num>
  <w:num w:numId="43" w16cid:durableId="1130784162">
    <w:abstractNumId w:val="31"/>
  </w:num>
  <w:num w:numId="44" w16cid:durableId="360130050">
    <w:abstractNumId w:val="42"/>
  </w:num>
  <w:num w:numId="45" w16cid:durableId="1708677648">
    <w:abstractNumId w:val="13"/>
  </w:num>
  <w:num w:numId="46" w16cid:durableId="1856771585">
    <w:abstractNumId w:val="30"/>
  </w:num>
  <w:num w:numId="47" w16cid:durableId="36707070">
    <w:abstractNumId w:val="1"/>
  </w:num>
  <w:num w:numId="48" w16cid:durableId="606809733">
    <w:abstractNumId w:val="40"/>
  </w:num>
  <w:num w:numId="49" w16cid:durableId="1645622296">
    <w:abstractNumId w:val="44"/>
  </w:num>
  <w:num w:numId="50" w16cid:durableId="1165974990">
    <w:abstractNumId w:val="35"/>
  </w:num>
  <w:num w:numId="51" w16cid:durableId="307366496">
    <w:abstractNumId w:val="0"/>
  </w:num>
  <w:num w:numId="52" w16cid:durableId="85203538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D33"/>
    <w:rsid w:val="00002C23"/>
    <w:rsid w:val="000957FB"/>
    <w:rsid w:val="000A6B27"/>
    <w:rsid w:val="00106988"/>
    <w:rsid w:val="00194797"/>
    <w:rsid w:val="001E4390"/>
    <w:rsid w:val="001F2F94"/>
    <w:rsid w:val="002212B9"/>
    <w:rsid w:val="00234B59"/>
    <w:rsid w:val="002451D0"/>
    <w:rsid w:val="00247006"/>
    <w:rsid w:val="002814CC"/>
    <w:rsid w:val="002F15CB"/>
    <w:rsid w:val="0030542D"/>
    <w:rsid w:val="00305E9A"/>
    <w:rsid w:val="00322EBA"/>
    <w:rsid w:val="003643D3"/>
    <w:rsid w:val="003B4135"/>
    <w:rsid w:val="003C3973"/>
    <w:rsid w:val="003E07B2"/>
    <w:rsid w:val="003E5311"/>
    <w:rsid w:val="003F02D1"/>
    <w:rsid w:val="003F7F80"/>
    <w:rsid w:val="00406686"/>
    <w:rsid w:val="00413E31"/>
    <w:rsid w:val="004D52A0"/>
    <w:rsid w:val="00512A59"/>
    <w:rsid w:val="00514041"/>
    <w:rsid w:val="00520868"/>
    <w:rsid w:val="00521F29"/>
    <w:rsid w:val="005A6557"/>
    <w:rsid w:val="005C71B4"/>
    <w:rsid w:val="005D3AF7"/>
    <w:rsid w:val="005E2F15"/>
    <w:rsid w:val="00651FA4"/>
    <w:rsid w:val="0067723B"/>
    <w:rsid w:val="006A2596"/>
    <w:rsid w:val="006B7440"/>
    <w:rsid w:val="006F7D46"/>
    <w:rsid w:val="0078006C"/>
    <w:rsid w:val="007A1705"/>
    <w:rsid w:val="007B75E5"/>
    <w:rsid w:val="00803CAA"/>
    <w:rsid w:val="008F7191"/>
    <w:rsid w:val="00901907"/>
    <w:rsid w:val="00907EA8"/>
    <w:rsid w:val="00933F6B"/>
    <w:rsid w:val="00937A23"/>
    <w:rsid w:val="00955621"/>
    <w:rsid w:val="009831A8"/>
    <w:rsid w:val="009B06CB"/>
    <w:rsid w:val="00A462DA"/>
    <w:rsid w:val="00A46990"/>
    <w:rsid w:val="00A47917"/>
    <w:rsid w:val="00AA273B"/>
    <w:rsid w:val="00AF56F2"/>
    <w:rsid w:val="00B44AA0"/>
    <w:rsid w:val="00B458A4"/>
    <w:rsid w:val="00B87AD9"/>
    <w:rsid w:val="00BD4306"/>
    <w:rsid w:val="00C057CF"/>
    <w:rsid w:val="00C31DED"/>
    <w:rsid w:val="00C70A23"/>
    <w:rsid w:val="00C722A8"/>
    <w:rsid w:val="00CC266E"/>
    <w:rsid w:val="00CD7780"/>
    <w:rsid w:val="00D109DB"/>
    <w:rsid w:val="00D2700D"/>
    <w:rsid w:val="00D3604C"/>
    <w:rsid w:val="00D44D33"/>
    <w:rsid w:val="00D52B34"/>
    <w:rsid w:val="00D814AE"/>
    <w:rsid w:val="00D85F69"/>
    <w:rsid w:val="00D90F76"/>
    <w:rsid w:val="00D9629D"/>
    <w:rsid w:val="00DE4CAC"/>
    <w:rsid w:val="00E94AFC"/>
    <w:rsid w:val="00EA5508"/>
    <w:rsid w:val="00EE2882"/>
    <w:rsid w:val="00EE497A"/>
    <w:rsid w:val="00F15C0E"/>
    <w:rsid w:val="00F20F72"/>
    <w:rsid w:val="00F21D07"/>
    <w:rsid w:val="00F33AA9"/>
    <w:rsid w:val="00F425CD"/>
    <w:rsid w:val="00F445ED"/>
    <w:rsid w:val="00F94BC9"/>
    <w:rsid w:val="00FA2274"/>
    <w:rsid w:val="00FA792C"/>
    <w:rsid w:val="00FB090C"/>
    <w:rsid w:val="00FD3F37"/>
    <w:rsid w:val="00FE34CB"/>
    <w:rsid w:val="00FE7330"/>
    <w:rsid w:val="00FF21E2"/>
    <w:rsid w:val="00FF2699"/>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74CEE"/>
  <w15:chartTrackingRefBased/>
  <w15:docId w15:val="{7AE0D495-BEF8-4BE8-9064-3A0B9B85D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D33"/>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521F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445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78006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4D33"/>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D44D33"/>
    <w:rPr>
      <w:rFonts w:ascii="Calibri" w:eastAsia="Times New Roman" w:hAnsi="Calibri" w:cs="Times New Roman"/>
      <w:lang w:val="en-US"/>
    </w:rPr>
  </w:style>
  <w:style w:type="paragraph" w:customStyle="1" w:styleId="opcontent">
    <w:name w:val="op content"/>
    <w:basedOn w:val="Normal"/>
    <w:link w:val="opcontentChar"/>
    <w:qFormat/>
    <w:rsid w:val="00D44D33"/>
    <w:pPr>
      <w:jc w:val="center"/>
    </w:pPr>
    <w:rPr>
      <w:b/>
      <w:sz w:val="36"/>
      <w:szCs w:val="36"/>
    </w:rPr>
  </w:style>
  <w:style w:type="character" w:customStyle="1" w:styleId="opcontentChar">
    <w:name w:val="op content Char"/>
    <w:link w:val="opcontent"/>
    <w:rsid w:val="00D44D33"/>
    <w:rPr>
      <w:rFonts w:ascii="Calibri" w:eastAsia="Calibri" w:hAnsi="Calibri" w:cs="Times New Roman"/>
      <w:b/>
      <w:sz w:val="36"/>
      <w:szCs w:val="36"/>
    </w:rPr>
  </w:style>
  <w:style w:type="paragraph" w:styleId="Header">
    <w:name w:val="header"/>
    <w:basedOn w:val="Normal"/>
    <w:link w:val="HeaderChar"/>
    <w:uiPriority w:val="99"/>
    <w:unhideWhenUsed/>
    <w:rsid w:val="00FF21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21E2"/>
    <w:rPr>
      <w:rFonts w:ascii="Calibri" w:eastAsia="Calibri" w:hAnsi="Calibri" w:cs="Times New Roman"/>
    </w:rPr>
  </w:style>
  <w:style w:type="paragraph" w:styleId="Footer">
    <w:name w:val="footer"/>
    <w:basedOn w:val="Normal"/>
    <w:link w:val="FooterChar"/>
    <w:uiPriority w:val="99"/>
    <w:unhideWhenUsed/>
    <w:rsid w:val="00FF21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1E2"/>
    <w:rPr>
      <w:rFonts w:ascii="Calibri" w:eastAsia="Calibri" w:hAnsi="Calibri" w:cs="Times New Roman"/>
    </w:rPr>
  </w:style>
  <w:style w:type="character" w:customStyle="1" w:styleId="Heading1Char">
    <w:name w:val="Heading 1 Char"/>
    <w:basedOn w:val="DefaultParagraphFont"/>
    <w:link w:val="Heading1"/>
    <w:uiPriority w:val="9"/>
    <w:rsid w:val="00521F2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E497A"/>
    <w:pPr>
      <w:ind w:left="720"/>
      <w:contextualSpacing/>
    </w:pPr>
  </w:style>
  <w:style w:type="paragraph" w:styleId="TOCHeading">
    <w:name w:val="TOC Heading"/>
    <w:basedOn w:val="Heading1"/>
    <w:next w:val="Normal"/>
    <w:uiPriority w:val="39"/>
    <w:unhideWhenUsed/>
    <w:qFormat/>
    <w:rsid w:val="00FA2274"/>
    <w:pPr>
      <w:spacing w:line="259" w:lineRule="auto"/>
      <w:outlineLvl w:val="9"/>
    </w:pPr>
    <w:rPr>
      <w:lang w:val="en-US"/>
    </w:rPr>
  </w:style>
  <w:style w:type="paragraph" w:styleId="TOC1">
    <w:name w:val="toc 1"/>
    <w:basedOn w:val="Normal"/>
    <w:next w:val="Normal"/>
    <w:autoRedefine/>
    <w:uiPriority w:val="39"/>
    <w:unhideWhenUsed/>
    <w:rsid w:val="00FA2274"/>
    <w:pPr>
      <w:spacing w:after="100"/>
    </w:pPr>
  </w:style>
  <w:style w:type="character" w:styleId="Hyperlink">
    <w:name w:val="Hyperlink"/>
    <w:basedOn w:val="DefaultParagraphFont"/>
    <w:uiPriority w:val="99"/>
    <w:unhideWhenUsed/>
    <w:rsid w:val="00FA2274"/>
    <w:rPr>
      <w:color w:val="0563C1" w:themeColor="hyperlink"/>
      <w:u w:val="single"/>
    </w:rPr>
  </w:style>
  <w:style w:type="paragraph" w:styleId="EndnoteText">
    <w:name w:val="endnote text"/>
    <w:basedOn w:val="Normal"/>
    <w:link w:val="EndnoteTextChar"/>
    <w:uiPriority w:val="99"/>
    <w:semiHidden/>
    <w:unhideWhenUsed/>
    <w:rsid w:val="009019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01907"/>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901907"/>
    <w:rPr>
      <w:vertAlign w:val="superscript"/>
    </w:rPr>
  </w:style>
  <w:style w:type="table" w:styleId="TableGrid">
    <w:name w:val="Table Grid"/>
    <w:basedOn w:val="TableNormal"/>
    <w:uiPriority w:val="39"/>
    <w:rsid w:val="00FE7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33AA9"/>
    <w:rPr>
      <w:color w:val="666666"/>
    </w:rPr>
  </w:style>
  <w:style w:type="paragraph" w:styleId="NormalWeb">
    <w:name w:val="Normal (Web)"/>
    <w:basedOn w:val="Normal"/>
    <w:uiPriority w:val="99"/>
    <w:semiHidden/>
    <w:unhideWhenUsed/>
    <w:rsid w:val="00D814AE"/>
    <w:pPr>
      <w:spacing w:before="100" w:beforeAutospacing="1" w:after="100" w:afterAutospacing="1" w:line="240" w:lineRule="auto"/>
    </w:pPr>
    <w:rPr>
      <w:rFonts w:ascii="Times New Roman" w:eastAsia="Times New Roman" w:hAnsi="Times New Roman"/>
      <w:sz w:val="24"/>
      <w:szCs w:val="24"/>
      <w:lang w:val="en-US"/>
    </w:rPr>
  </w:style>
  <w:style w:type="character" w:styleId="Strong">
    <w:name w:val="Strong"/>
    <w:basedOn w:val="DefaultParagraphFont"/>
    <w:uiPriority w:val="22"/>
    <w:qFormat/>
    <w:rsid w:val="00D814AE"/>
    <w:rPr>
      <w:b/>
      <w:bCs/>
    </w:rPr>
  </w:style>
  <w:style w:type="character" w:customStyle="1" w:styleId="Heading5Char">
    <w:name w:val="Heading 5 Char"/>
    <w:basedOn w:val="DefaultParagraphFont"/>
    <w:link w:val="Heading5"/>
    <w:uiPriority w:val="9"/>
    <w:semiHidden/>
    <w:rsid w:val="0078006C"/>
    <w:rPr>
      <w:rFonts w:asciiTheme="majorHAnsi" w:eastAsiaTheme="majorEastAsia" w:hAnsiTheme="majorHAnsi" w:cstheme="majorBidi"/>
      <w:color w:val="2F5496" w:themeColor="accent1" w:themeShade="BF"/>
    </w:rPr>
  </w:style>
  <w:style w:type="table" w:styleId="GridTable1Light-Accent1">
    <w:name w:val="Grid Table 1 Light Accent 1"/>
    <w:basedOn w:val="TableNormal"/>
    <w:uiPriority w:val="46"/>
    <w:rsid w:val="0078006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Heading3Char">
    <w:name w:val="Heading 3 Char"/>
    <w:basedOn w:val="DefaultParagraphFont"/>
    <w:link w:val="Heading3"/>
    <w:uiPriority w:val="9"/>
    <w:semiHidden/>
    <w:rsid w:val="00F445E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062">
      <w:bodyDiv w:val="1"/>
      <w:marLeft w:val="0"/>
      <w:marRight w:val="0"/>
      <w:marTop w:val="0"/>
      <w:marBottom w:val="0"/>
      <w:divBdr>
        <w:top w:val="none" w:sz="0" w:space="0" w:color="auto"/>
        <w:left w:val="none" w:sz="0" w:space="0" w:color="auto"/>
        <w:bottom w:val="none" w:sz="0" w:space="0" w:color="auto"/>
        <w:right w:val="none" w:sz="0" w:space="0" w:color="auto"/>
      </w:divBdr>
    </w:div>
    <w:div w:id="155346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2CD7E-DEE0-4D19-96A4-CF7660A24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38</Pages>
  <Words>8173</Words>
  <Characters>46588</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Lubell</dc:creator>
  <cp:keywords/>
  <dc:description/>
  <cp:lastModifiedBy>Mohd Ahmed</cp:lastModifiedBy>
  <cp:revision>18</cp:revision>
  <cp:lastPrinted>2025-12-02T14:58:00Z</cp:lastPrinted>
  <dcterms:created xsi:type="dcterms:W3CDTF">2025-12-01T12:51:00Z</dcterms:created>
  <dcterms:modified xsi:type="dcterms:W3CDTF">2025-12-02T14:59:00Z</dcterms:modified>
</cp:coreProperties>
</file>