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949C3" w14:textId="77777777" w:rsidR="00EB7890" w:rsidRDefault="00EB7890" w:rsidP="00EB7890">
      <w:pPr>
        <w:rPr>
          <w:rFonts w:ascii="Sakkal Majalla" w:hAnsi="Sakkal Majalla" w:cs="Sakkal Majalla"/>
          <w:sz w:val="28"/>
          <w:szCs w:val="28"/>
          <w:rtl/>
          <w:lang w:bidi="ar-EG"/>
        </w:rPr>
      </w:pPr>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7D896D3A" wp14:editId="1C3036DE">
            <wp:simplePos x="0" y="0"/>
            <wp:positionH relativeFrom="margin">
              <wp:posOffset>-340995</wp:posOffset>
            </wp:positionH>
            <wp:positionV relativeFrom="margin">
              <wp:posOffset>-393065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A7632">
        <w:rPr>
          <w:rFonts w:ascii="Sakkal Majalla" w:hAnsi="Sakkal Majalla" w:cs="Sakkal Majalla"/>
          <w:b/>
          <w:bCs/>
          <w:sz w:val="28"/>
          <w:szCs w:val="28"/>
          <w:rtl/>
          <w:lang w:bidi="ar-EG"/>
        </w:rPr>
        <w:t xml:space="preserve">جامعة </w:t>
      </w:r>
      <w:proofErr w:type="spellStart"/>
      <w:r w:rsidRPr="00DA7632">
        <w:rPr>
          <w:rFonts w:ascii="Sakkal Majalla" w:hAnsi="Sakkal Majalla" w:cs="Sakkal Majalla"/>
          <w:b/>
          <w:bCs/>
          <w:sz w:val="28"/>
          <w:szCs w:val="28"/>
          <w:rtl/>
          <w:lang w:bidi="ar-EG"/>
        </w:rPr>
        <w:t>ميدأوشن</w:t>
      </w:r>
      <w:proofErr w:type="spellEnd"/>
      <w:r w:rsidRPr="00DA7632">
        <w:rPr>
          <w:rFonts w:ascii="Sakkal Majalla" w:hAnsi="Sakkal Majalla" w:cs="Sakkal Majalla"/>
          <w:b/>
          <w:bCs/>
          <w:sz w:val="28"/>
          <w:szCs w:val="28"/>
          <w:rtl/>
          <w:lang w:bidi="ar-EG"/>
        </w:rPr>
        <w:t xml:space="preserve"> </w:t>
      </w:r>
    </w:p>
    <w:p w14:paraId="2B0FA252" w14:textId="77777777" w:rsidR="00EB7890" w:rsidRPr="00DA7632" w:rsidRDefault="00EB7890" w:rsidP="00EB7890">
      <w:pPr>
        <w:rPr>
          <w:rFonts w:ascii="Sakkal Majalla" w:hAnsi="Sakkal Majalla" w:cs="Sakkal Majalla"/>
          <w:sz w:val="28"/>
          <w:szCs w:val="28"/>
          <w:rtl/>
          <w:lang w:bidi="ar-EG"/>
        </w:rPr>
      </w:pPr>
      <w:r w:rsidRPr="00DA7632">
        <w:rPr>
          <w:rFonts w:ascii="Sakkal Majalla" w:hAnsi="Sakkal Majalla" w:cs="Sakkal Majalla"/>
          <w:sz w:val="28"/>
          <w:szCs w:val="28"/>
          <w:lang w:bidi="ar-EG"/>
        </w:rPr>
        <w:t xml:space="preserve">  </w:t>
      </w:r>
      <w:r w:rsidRPr="00DA7632">
        <w:rPr>
          <w:rFonts w:ascii="Sakkal Majalla" w:hAnsi="Sakkal Majalla" w:cs="Sakkal Majalla"/>
          <w:sz w:val="28"/>
          <w:szCs w:val="28"/>
          <w:rtl/>
          <w:lang w:bidi="ar-EG"/>
        </w:rPr>
        <w:t xml:space="preserve">كلية الإدارة </w:t>
      </w:r>
    </w:p>
    <w:p w14:paraId="11D2ED86" w14:textId="77777777" w:rsidR="00EB7890" w:rsidRPr="00DA7632" w:rsidRDefault="00EB7890" w:rsidP="00EB7890">
      <w:pPr>
        <w:rPr>
          <w:rFonts w:ascii="Sakkal Majalla" w:hAnsi="Sakkal Majalla" w:cs="Sakkal Majalla"/>
          <w:sz w:val="28"/>
          <w:szCs w:val="28"/>
          <w:rtl/>
        </w:rPr>
      </w:pPr>
      <w:r w:rsidRPr="00DA7632">
        <w:rPr>
          <w:rFonts w:ascii="Sakkal Majalla" w:hAnsi="Sakkal Majalla" w:cs="Sakkal Majalla"/>
          <w:sz w:val="28"/>
          <w:szCs w:val="28"/>
          <w:rtl/>
          <w:lang w:bidi="ar-EG"/>
        </w:rPr>
        <w:t xml:space="preserve">قسم </w:t>
      </w:r>
      <w:r w:rsidRPr="00DA7632">
        <w:rPr>
          <w:rFonts w:ascii="Sakkal Majalla" w:hAnsi="Sakkal Majalla" w:cs="Sakkal Majalla" w:hint="cs"/>
          <w:sz w:val="28"/>
          <w:szCs w:val="28"/>
          <w:rtl/>
          <w:lang w:bidi="ar-EG"/>
        </w:rPr>
        <w:t xml:space="preserve">/ </w:t>
      </w:r>
      <w:r w:rsidRPr="00753A31">
        <w:rPr>
          <w:rFonts w:ascii="Sakkal Majalla" w:hAnsi="Sakkal Majalla" w:cs="Sakkal Majalla"/>
          <w:b/>
          <w:bCs/>
          <w:sz w:val="28"/>
          <w:szCs w:val="28"/>
          <w:rtl/>
          <w:lang w:bidi="ar-EG"/>
        </w:rPr>
        <w:t>تخصص إدارة</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مشاريع</w:t>
      </w:r>
    </w:p>
    <w:p w14:paraId="63EED6F7" w14:textId="77777777" w:rsidR="00EB7890" w:rsidRPr="00DA7632" w:rsidRDefault="00EB7890" w:rsidP="00EB7890">
      <w:pPr>
        <w:rPr>
          <w:rFonts w:ascii="Sakkal Majalla" w:hAnsi="Sakkal Majalla" w:cs="Sakkal Majalla"/>
          <w:sz w:val="28"/>
          <w:szCs w:val="28"/>
          <w:rtl/>
          <w:lang w:bidi="ar-EG"/>
        </w:rPr>
      </w:pPr>
    </w:p>
    <w:p w14:paraId="5CB99ECA" w14:textId="77777777" w:rsidR="00EB7890" w:rsidRDefault="00EB7890" w:rsidP="00EB7890">
      <w:pPr>
        <w:rPr>
          <w:rFonts w:ascii="Sakkal Majalla" w:hAnsi="Sakkal Majalla" w:cs="Sakkal Majalla"/>
          <w:sz w:val="28"/>
          <w:szCs w:val="28"/>
          <w:lang w:bidi="ar-EG"/>
        </w:rPr>
      </w:pPr>
    </w:p>
    <w:p w14:paraId="580D9C26" w14:textId="77777777" w:rsidR="00EB7890" w:rsidRPr="00DA7632" w:rsidRDefault="00EB7890" w:rsidP="00EB7890">
      <w:pPr>
        <w:rPr>
          <w:rFonts w:ascii="Sakkal Majalla" w:hAnsi="Sakkal Majalla" w:cs="Sakkal Majalla"/>
          <w:sz w:val="28"/>
          <w:szCs w:val="28"/>
          <w:rtl/>
          <w:lang w:bidi="ar-EG"/>
        </w:rPr>
      </w:pPr>
    </w:p>
    <w:p w14:paraId="1D2C45CF" w14:textId="77777777" w:rsidR="00EB7890" w:rsidRPr="00DA7632" w:rsidRDefault="00EB7890" w:rsidP="00EB7890">
      <w:pPr>
        <w:rPr>
          <w:rFonts w:ascii="Sakkal Majalla" w:hAnsi="Sakkal Majalla" w:cs="Sakkal Majalla"/>
          <w:sz w:val="28"/>
          <w:szCs w:val="28"/>
          <w:rtl/>
          <w:lang w:bidi="ar-EG"/>
        </w:rPr>
      </w:pPr>
    </w:p>
    <w:p w14:paraId="467ECE2C" w14:textId="77777777" w:rsidR="00EB7890" w:rsidRPr="00DA7632" w:rsidRDefault="00EB7890" w:rsidP="00EB78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عنوان البحث</w:t>
      </w:r>
    </w:p>
    <w:p w14:paraId="09B83BC3" w14:textId="77777777" w:rsidR="00EB7890" w:rsidRPr="001110D2" w:rsidRDefault="00EB7890" w:rsidP="00EB7890">
      <w:pPr>
        <w:jc w:val="center"/>
        <w:rPr>
          <w:rFonts w:ascii="Sakkal Majalla" w:hAnsi="Sakkal Majalla" w:cs="Sakkal Majalla"/>
          <w:b/>
          <w:bCs/>
          <w:sz w:val="28"/>
          <w:szCs w:val="28"/>
          <w:rtl/>
        </w:rPr>
      </w:pPr>
      <w:r w:rsidRPr="001110D2">
        <w:rPr>
          <w:rFonts w:ascii="Sakkal Majalla" w:hAnsi="Sakkal Majalla" w:cs="Sakkal Majalla"/>
          <w:b/>
          <w:bCs/>
          <w:sz w:val="28"/>
          <w:szCs w:val="28"/>
          <w:rtl/>
        </w:rPr>
        <w:t>دور التكنولوجيا في تطوير القطاع غير الربحي</w:t>
      </w:r>
      <w:r w:rsidRPr="001110D2">
        <w:rPr>
          <w:rFonts w:ascii="Sakkal Majalla" w:hAnsi="Sakkal Majalla" w:cs="Sakkal Majalla" w:hint="cs"/>
          <w:b/>
          <w:bCs/>
          <w:sz w:val="28"/>
          <w:szCs w:val="28"/>
          <w:rtl/>
        </w:rPr>
        <w:t>:</w:t>
      </w:r>
      <w:r w:rsidRPr="001110D2">
        <w:rPr>
          <w:rFonts w:ascii="Sakkal Majalla" w:hAnsi="Sakkal Majalla" w:cs="Sakkal Majalla"/>
          <w:b/>
          <w:bCs/>
          <w:sz w:val="28"/>
          <w:szCs w:val="28"/>
          <w:rtl/>
        </w:rPr>
        <w:t xml:space="preserve"> دراسة حالة على المنظمات غير الربحية في المملكة العربية السعودية</w:t>
      </w:r>
    </w:p>
    <w:p w14:paraId="7BD97024" w14:textId="77777777" w:rsidR="00EB7890" w:rsidRDefault="00EB7890" w:rsidP="00EB7890">
      <w:pPr>
        <w:jc w:val="center"/>
        <w:rPr>
          <w:rFonts w:ascii="Sakkal Majalla" w:hAnsi="Sakkal Majalla" w:cs="Sakkal Majalla"/>
          <w:sz w:val="28"/>
          <w:szCs w:val="28"/>
          <w:rtl/>
        </w:rPr>
      </w:pPr>
    </w:p>
    <w:p w14:paraId="5FB02025" w14:textId="77777777" w:rsidR="00EB7890" w:rsidRPr="00EE0191" w:rsidRDefault="00EB7890" w:rsidP="00EB7890">
      <w:pPr>
        <w:jc w:val="center"/>
        <w:rPr>
          <w:rFonts w:ascii="Sakkal Majalla" w:hAnsi="Sakkal Majalla" w:cs="Sakkal Majalla"/>
          <w:sz w:val="28"/>
          <w:szCs w:val="28"/>
          <w:rtl/>
        </w:rPr>
      </w:pPr>
    </w:p>
    <w:p w14:paraId="02CE0A14" w14:textId="77777777" w:rsidR="00EB7890" w:rsidRPr="00DA7632" w:rsidRDefault="00EB7890" w:rsidP="00EB78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إعداد الطالب</w:t>
      </w:r>
      <w:r>
        <w:rPr>
          <w:rFonts w:ascii="Sakkal Majalla" w:hAnsi="Sakkal Majalla" w:cs="Sakkal Majalla" w:hint="cs"/>
          <w:sz w:val="28"/>
          <w:szCs w:val="28"/>
          <w:rtl/>
          <w:lang w:bidi="ar-EG"/>
        </w:rPr>
        <w:t xml:space="preserve"> </w:t>
      </w:r>
      <w:r w:rsidRPr="00DA7632">
        <w:rPr>
          <w:rFonts w:ascii="Sakkal Majalla" w:hAnsi="Sakkal Majalla" w:cs="Sakkal Majalla"/>
          <w:sz w:val="28"/>
          <w:szCs w:val="28"/>
          <w:rtl/>
          <w:lang w:bidi="ar-EG"/>
        </w:rPr>
        <w:t xml:space="preserve">/ </w:t>
      </w:r>
    </w:p>
    <w:p w14:paraId="3565648D" w14:textId="77777777" w:rsidR="00EB7890" w:rsidRPr="00FC74C0" w:rsidRDefault="00EB7890" w:rsidP="00EB7890">
      <w:pPr>
        <w:jc w:val="center"/>
        <w:rPr>
          <w:rFonts w:ascii="Sakkal Majalla" w:hAnsi="Sakkal Majalla" w:cs="Sakkal Majalla"/>
          <w:sz w:val="28"/>
          <w:szCs w:val="28"/>
          <w:rtl/>
          <w:lang w:bidi="ar-EG"/>
        </w:rPr>
      </w:pPr>
      <w:r w:rsidRPr="00FC74C0">
        <w:rPr>
          <w:rFonts w:ascii="Sakkal Majalla" w:hAnsi="Sakkal Majalla" w:cs="Sakkal Majalla"/>
          <w:sz w:val="28"/>
          <w:szCs w:val="28"/>
          <w:rtl/>
          <w:lang w:bidi="ar-EG"/>
        </w:rPr>
        <w:t>سلمان محمد الأسمري</w:t>
      </w:r>
    </w:p>
    <w:p w14:paraId="0DCF536A" w14:textId="13554F27" w:rsidR="00EB7890" w:rsidRPr="00DA7632" w:rsidRDefault="00E17B93" w:rsidP="00E17B93">
      <w:pPr>
        <w:jc w:val="center"/>
        <w:rPr>
          <w:rFonts w:ascii="Sakkal Majalla" w:hAnsi="Sakkal Majalla" w:cs="Sakkal Majalla"/>
          <w:sz w:val="28"/>
          <w:szCs w:val="28"/>
          <w:rtl/>
          <w:lang w:bidi="ar-EG"/>
        </w:rPr>
      </w:pPr>
      <w:r w:rsidRPr="00E17B93">
        <w:rPr>
          <w:rFonts w:ascii="Sakkal Majalla" w:hAnsi="Sakkal Majalla" w:cs="Sakkal Majalla"/>
          <w:sz w:val="28"/>
          <w:szCs w:val="28"/>
          <w:rtl/>
          <w:lang w:bidi="ar-EG"/>
        </w:rPr>
        <w:t>241000301</w:t>
      </w:r>
    </w:p>
    <w:p w14:paraId="65BFB9FC" w14:textId="689572B4" w:rsidR="00EB7890" w:rsidRPr="00DA7632" w:rsidRDefault="00EB7890" w:rsidP="00EB78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إشراف</w:t>
      </w:r>
      <w:r>
        <w:rPr>
          <w:rFonts w:ascii="Sakkal Majalla" w:hAnsi="Sakkal Majalla" w:cs="Sakkal Majalla" w:hint="cs"/>
          <w:sz w:val="28"/>
          <w:szCs w:val="28"/>
          <w:rtl/>
          <w:lang w:bidi="ar-EG"/>
        </w:rPr>
        <w:t xml:space="preserve">  /</w:t>
      </w:r>
    </w:p>
    <w:p w14:paraId="074EE665" w14:textId="67DD72DD" w:rsidR="00EB7890" w:rsidRPr="00FC74C0" w:rsidRDefault="00E17B93" w:rsidP="00EB7890">
      <w:pPr>
        <w:jc w:val="center"/>
        <w:rPr>
          <w:rFonts w:ascii="Sakkal Majalla" w:hAnsi="Sakkal Majalla" w:cs="Sakkal Majalla"/>
          <w:sz w:val="28"/>
          <w:szCs w:val="28"/>
          <w:rtl/>
          <w:lang w:bidi="ar-EG"/>
        </w:rPr>
      </w:pPr>
      <w:r>
        <w:rPr>
          <w:rFonts w:ascii="Sakkal Majalla" w:hAnsi="Sakkal Majalla" w:cs="Sakkal Majalla"/>
          <w:sz w:val="28"/>
          <w:szCs w:val="28"/>
          <w:rtl/>
          <w:lang w:bidi="ar-EG"/>
        </w:rPr>
        <w:t>د.</w:t>
      </w:r>
      <w:r w:rsidR="00EB7890" w:rsidRPr="00FC74C0">
        <w:rPr>
          <w:rFonts w:ascii="Sakkal Majalla" w:hAnsi="Sakkal Majalla" w:cs="Sakkal Majalla" w:hint="cs"/>
          <w:sz w:val="28"/>
          <w:szCs w:val="28"/>
          <w:rtl/>
          <w:lang w:bidi="ar-EG"/>
        </w:rPr>
        <w:t xml:space="preserve"> </w:t>
      </w:r>
      <w:r w:rsidR="00EB7890" w:rsidRPr="00FC74C0">
        <w:rPr>
          <w:rFonts w:ascii="Sakkal Majalla" w:hAnsi="Sakkal Majalla" w:cs="Sakkal Majalla"/>
          <w:sz w:val="28"/>
          <w:szCs w:val="28"/>
          <w:rtl/>
          <w:lang w:bidi="ar-EG"/>
        </w:rPr>
        <w:t>أسماء أبو عنزة</w:t>
      </w:r>
    </w:p>
    <w:p w14:paraId="78E96F1B" w14:textId="37794A60" w:rsidR="00EB7890" w:rsidRPr="00DA7632" w:rsidRDefault="00E17B93" w:rsidP="00EB7890">
      <w:pPr>
        <w:jc w:val="center"/>
        <w:rPr>
          <w:rFonts w:ascii="Sakkal Majalla" w:hAnsi="Sakkal Majalla" w:cs="Sakkal Majalla"/>
          <w:sz w:val="28"/>
          <w:szCs w:val="28"/>
          <w:rtl/>
          <w:lang w:bidi="ar-EG"/>
        </w:rPr>
      </w:pPr>
      <w:r>
        <w:rPr>
          <w:rFonts w:ascii="Sakkal Majalla" w:hAnsi="Sakkal Majalla" w:cs="Sakkal Majalla"/>
          <w:sz w:val="28"/>
          <w:szCs w:val="28"/>
          <w:rtl/>
          <w:lang w:bidi="ar-EG"/>
        </w:rPr>
        <w:t>د.</w:t>
      </w:r>
      <w:r w:rsidR="00387D23">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احمد </w:t>
      </w:r>
      <w:r w:rsidR="00387D23">
        <w:rPr>
          <w:rFonts w:ascii="Sakkal Majalla" w:hAnsi="Sakkal Majalla" w:cs="Sakkal Majalla"/>
          <w:sz w:val="28"/>
          <w:szCs w:val="28"/>
          <w:rtl/>
          <w:lang w:bidi="ar-EG"/>
        </w:rPr>
        <w:t>رجح اسماعيل</w:t>
      </w:r>
    </w:p>
    <w:p w14:paraId="2E58446A" w14:textId="77777777" w:rsidR="00EB7890" w:rsidRPr="00DA7632" w:rsidRDefault="00EB7890" w:rsidP="00EB78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العام الدراسي:</w:t>
      </w:r>
    </w:p>
    <w:p w14:paraId="0B4555AD" w14:textId="77777777" w:rsidR="00EB7890" w:rsidRDefault="00EB7890" w:rsidP="00EB78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2024</w:t>
      </w:r>
    </w:p>
    <w:p w14:paraId="7DF4860A" w14:textId="77777777" w:rsidR="00EB7890" w:rsidRDefault="00EB7890" w:rsidP="00EB7890">
      <w:pPr>
        <w:jc w:val="center"/>
        <w:rPr>
          <w:rFonts w:ascii="Sakkal Majalla" w:hAnsi="Sakkal Majalla" w:cs="Sakkal Majalla"/>
          <w:sz w:val="28"/>
          <w:szCs w:val="28"/>
          <w:rtl/>
          <w:lang w:bidi="ar-EG"/>
        </w:rPr>
      </w:pPr>
    </w:p>
    <w:p w14:paraId="28C736AE" w14:textId="77777777" w:rsidR="00EB7890" w:rsidRDefault="00EB7890" w:rsidP="00EB7890">
      <w:pPr>
        <w:jc w:val="center"/>
        <w:rPr>
          <w:rFonts w:ascii="Sakkal Majalla" w:hAnsi="Sakkal Majalla" w:cs="Sakkal Majalla"/>
          <w:sz w:val="28"/>
          <w:szCs w:val="28"/>
          <w:rtl/>
          <w:lang w:bidi="ar-EG"/>
        </w:rPr>
      </w:pPr>
    </w:p>
    <w:p w14:paraId="22CC3AA4" w14:textId="77777777" w:rsidR="00D55C33" w:rsidRDefault="00D55C33">
      <w:pPr>
        <w:rPr>
          <w:rtl/>
        </w:rPr>
      </w:pPr>
    </w:p>
    <w:p w14:paraId="70723B40" w14:textId="77777777" w:rsidR="00EB7890" w:rsidRDefault="00EB7890">
      <w:pPr>
        <w:rPr>
          <w:rtl/>
        </w:rPr>
      </w:pPr>
    </w:p>
    <w:p w14:paraId="2D883717" w14:textId="77777777" w:rsidR="00EB7890" w:rsidRDefault="00EB7890" w:rsidP="00EB7890">
      <w:pPr>
        <w:spacing w:line="278" w:lineRule="auto"/>
        <w:rPr>
          <w:rFonts w:ascii="Sakkal Majalla" w:hAnsi="Sakkal Majalla" w:cs="Sakkal Majalla"/>
          <w:b/>
          <w:bCs/>
          <w:sz w:val="28"/>
          <w:szCs w:val="28"/>
          <w:lang w:bidi="ar-EG"/>
        </w:rPr>
      </w:pPr>
    </w:p>
    <w:p w14:paraId="4EC6A4AB" w14:textId="77777777" w:rsidR="00387D23" w:rsidRDefault="00387D23" w:rsidP="00EB7890">
      <w:pPr>
        <w:spacing w:line="278" w:lineRule="auto"/>
        <w:rPr>
          <w:rFonts w:ascii="Sakkal Majalla" w:hAnsi="Sakkal Majalla" w:cs="Sakkal Majalla"/>
          <w:b/>
          <w:bCs/>
          <w:sz w:val="28"/>
          <w:szCs w:val="28"/>
          <w:lang w:bidi="ar-EG"/>
        </w:rPr>
      </w:pPr>
    </w:p>
    <w:p w14:paraId="0D938C5E" w14:textId="77777777" w:rsidR="00387D23" w:rsidRDefault="00387D23" w:rsidP="00387D23">
      <w:pPr>
        <w:spacing w:line="278" w:lineRule="auto"/>
        <w:jc w:val="center"/>
        <w:rPr>
          <w:rFonts w:ascii="Sakkal Majalla" w:hAnsi="Sakkal Majalla" w:cs="Sakkal Majalla"/>
          <w:b/>
          <w:bCs/>
          <w:sz w:val="28"/>
          <w:szCs w:val="28"/>
          <w:lang w:bidi="ar-EG"/>
        </w:rPr>
      </w:pPr>
    </w:p>
    <w:p w14:paraId="0E49D3D5" w14:textId="48146A6C" w:rsidR="00387D23" w:rsidRPr="006E452D" w:rsidRDefault="00B17B86" w:rsidP="00B17B86">
      <w:pPr>
        <w:spacing w:line="278" w:lineRule="auto"/>
        <w:jc w:val="center"/>
        <w:rPr>
          <w:rFonts w:asciiTheme="majorBidi" w:hAnsiTheme="majorBidi" w:cstheme="majorBidi"/>
          <w:b/>
          <w:bCs/>
          <w:sz w:val="40"/>
          <w:szCs w:val="40"/>
          <w:lang w:bidi="ar-EG"/>
        </w:rPr>
      </w:pPr>
      <w:r w:rsidRPr="006E452D">
        <w:rPr>
          <w:rFonts w:ascii="Sakkal Majalla" w:hAnsi="Sakkal Majalla" w:cs="Sakkal Majalla"/>
          <w:b/>
          <w:bCs/>
          <w:sz w:val="40"/>
          <w:szCs w:val="40"/>
          <w:rtl/>
          <w:lang w:bidi="ar-EG"/>
        </w:rPr>
        <w:t>الإطار  النظري</w:t>
      </w:r>
    </w:p>
    <w:p w14:paraId="110AA31E" w14:textId="77777777" w:rsidR="00387D23" w:rsidRDefault="00387D23" w:rsidP="00EB7890">
      <w:pPr>
        <w:spacing w:line="278" w:lineRule="auto"/>
        <w:rPr>
          <w:rFonts w:ascii="Sakkal Majalla" w:hAnsi="Sakkal Majalla" w:cs="Sakkal Majalla"/>
          <w:b/>
          <w:bCs/>
          <w:sz w:val="28"/>
          <w:szCs w:val="28"/>
          <w:lang w:bidi="ar-EG"/>
        </w:rPr>
      </w:pPr>
    </w:p>
    <w:p w14:paraId="4A032596" w14:textId="77777777" w:rsidR="00387D23" w:rsidRDefault="00387D23" w:rsidP="00EB7890">
      <w:pPr>
        <w:spacing w:line="278" w:lineRule="auto"/>
        <w:rPr>
          <w:rFonts w:ascii="Sakkal Majalla" w:hAnsi="Sakkal Majalla" w:cs="Sakkal Majalla"/>
          <w:b/>
          <w:bCs/>
          <w:sz w:val="28"/>
          <w:szCs w:val="28"/>
          <w:lang w:bidi="ar-EG"/>
        </w:rPr>
      </w:pPr>
    </w:p>
    <w:p w14:paraId="379E9100" w14:textId="77777777" w:rsidR="00387D23" w:rsidRDefault="00387D23" w:rsidP="00EB7890">
      <w:pPr>
        <w:spacing w:line="278" w:lineRule="auto"/>
        <w:rPr>
          <w:rFonts w:ascii="Sakkal Majalla" w:hAnsi="Sakkal Majalla" w:cs="Sakkal Majalla"/>
          <w:b/>
          <w:bCs/>
          <w:sz w:val="28"/>
          <w:szCs w:val="28"/>
          <w:lang w:bidi="ar-EG"/>
        </w:rPr>
      </w:pPr>
    </w:p>
    <w:p w14:paraId="73E7587E" w14:textId="77777777" w:rsidR="00387D23" w:rsidRDefault="00387D23" w:rsidP="00EB7890">
      <w:pPr>
        <w:spacing w:line="278" w:lineRule="auto"/>
        <w:rPr>
          <w:rFonts w:ascii="Sakkal Majalla" w:hAnsi="Sakkal Majalla" w:cs="Sakkal Majalla"/>
          <w:b/>
          <w:bCs/>
          <w:sz w:val="28"/>
          <w:szCs w:val="28"/>
          <w:lang w:bidi="ar-EG"/>
        </w:rPr>
      </w:pPr>
    </w:p>
    <w:p w14:paraId="2951464D" w14:textId="77777777" w:rsidR="00387D23" w:rsidRDefault="00387D23" w:rsidP="00EB7890">
      <w:pPr>
        <w:spacing w:line="278" w:lineRule="auto"/>
        <w:rPr>
          <w:rFonts w:ascii="Sakkal Majalla" w:hAnsi="Sakkal Majalla" w:cs="Sakkal Majalla"/>
          <w:b/>
          <w:bCs/>
          <w:sz w:val="28"/>
          <w:szCs w:val="28"/>
          <w:rtl/>
          <w:lang w:bidi="ar-EG"/>
        </w:rPr>
      </w:pPr>
    </w:p>
    <w:p w14:paraId="5DB63150" w14:textId="77777777" w:rsidR="00EB7890" w:rsidRPr="00332D45" w:rsidRDefault="00EB7890" w:rsidP="00EB7890">
      <w:pPr>
        <w:pStyle w:val="1"/>
        <w:rPr>
          <w:rtl/>
        </w:rPr>
      </w:pPr>
      <w:bookmarkStart w:id="0" w:name="_Toc180619264"/>
      <w:r w:rsidRPr="00332D45">
        <w:rPr>
          <w:rtl/>
        </w:rPr>
        <w:t>الفصل الأول</w:t>
      </w:r>
      <w:bookmarkEnd w:id="0"/>
    </w:p>
    <w:p w14:paraId="318EC09A" w14:textId="77777777" w:rsidR="00EB7890" w:rsidRDefault="00EB7890" w:rsidP="00EB7890">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C7F950F" w14:textId="77777777" w:rsidR="00EB7890" w:rsidRDefault="00EB7890" w:rsidP="00EB7890">
      <w:pPr>
        <w:pStyle w:val="2"/>
        <w:rPr>
          <w:rtl/>
        </w:rPr>
      </w:pPr>
      <w:bookmarkStart w:id="1" w:name="_Toc180619265"/>
      <w:r>
        <w:rPr>
          <w:rFonts w:hint="cs"/>
          <w:rtl/>
        </w:rPr>
        <w:lastRenderedPageBreak/>
        <w:t>ال</w:t>
      </w:r>
      <w:r w:rsidRPr="00332D45">
        <w:rPr>
          <w:rFonts w:hint="cs"/>
          <w:rtl/>
        </w:rPr>
        <w:t>مقدمة:</w:t>
      </w:r>
      <w:bookmarkStart w:id="2" w:name="_Toc171379042"/>
      <w:bookmarkStart w:id="3" w:name="_Toc174371283"/>
      <w:bookmarkStart w:id="4" w:name="_Toc179282771"/>
      <w:bookmarkStart w:id="5" w:name="_Toc180619266"/>
      <w:bookmarkEnd w:id="1"/>
    </w:p>
    <w:p w14:paraId="5586345E" w14:textId="77777777" w:rsidR="00EB7890" w:rsidRPr="002E63B3" w:rsidRDefault="00EB7890" w:rsidP="00EB7890">
      <w:pPr>
        <w:pStyle w:val="ab"/>
        <w:rPr>
          <w:rtl/>
        </w:rPr>
      </w:pPr>
      <w:r w:rsidRPr="002E63B3">
        <w:rPr>
          <w:rtl/>
        </w:rPr>
        <w:t>مع التطور السريع للتكنولوجيا في مختلف المجالات، أصبحت المنظمات غير الربحية بحاجة إلى مواكبة هذا التحول الرقمي لتحقيق أهدافها بشكل أكثر فعالية، حيث لم يعد استخدام التكنولوجيا يقتصر على القطاع الربحي فقط، بل يمتد تأثيرها إلى المجالات الخدمية والخيرية التي تهدف إلى تنمية المجتمع وتحقيق أثر إيجابي. وفي المملكة العربية السعودية، يشهد القطاع غير الربحي اهتمامًا كبيرًا نظرًا لأهمية دوره في دعم المجتمع وتقديم الخدمات الاجتماعية. تسعى هذه الدراسة إلى استكشاف كيفية تأثير التكنولوجيا على تعزيز كفاءة وأداء هذه المنظمات، حيث تلعب التكنولوجيا دورًا مهمًا في تحسين العمليات الداخلية والخدمات المقدمة، مما يساهم في رفع مستوى الشفافية وزيادة التواصل بين المنظمات والمستفيدين والمجتمع بشكل عام</w:t>
      </w:r>
      <w:sdt>
        <w:sdtPr>
          <w:rPr>
            <w:rtl/>
          </w:rPr>
          <w:id w:val="1138531473"/>
          <w:citation/>
        </w:sdtPr>
        <w:sdtEndPr/>
        <w:sdtContent>
          <w:r>
            <w:rPr>
              <w:rtl/>
            </w:rPr>
            <w:fldChar w:fldCharType="begin"/>
          </w:r>
          <w:r>
            <w:instrText xml:space="preserve">CITATION Ahm241 \l 3073 </w:instrText>
          </w:r>
          <w:r>
            <w:rPr>
              <w:rtl/>
            </w:rPr>
            <w:fldChar w:fldCharType="separate"/>
          </w:r>
          <w:r>
            <w:rPr>
              <w:noProof/>
              <w:rtl/>
            </w:rPr>
            <w:t xml:space="preserve"> </w:t>
          </w:r>
          <w:r>
            <w:rPr>
              <w:rFonts w:hint="cs"/>
              <w:noProof/>
              <w:rtl/>
            </w:rPr>
            <w:t>(</w:t>
          </w:r>
          <w:r>
            <w:rPr>
              <w:rFonts w:hint="cs"/>
              <w:noProof/>
            </w:rPr>
            <w:t>Ahmed</w:t>
          </w:r>
          <w:r>
            <w:rPr>
              <w:rFonts w:hint="cs"/>
              <w:noProof/>
              <w:rtl/>
            </w:rPr>
            <w:t>، 2024)</w:t>
          </w:r>
          <w:r>
            <w:rPr>
              <w:rtl/>
            </w:rPr>
            <w:fldChar w:fldCharType="end"/>
          </w:r>
        </w:sdtContent>
      </w:sdt>
      <w:r w:rsidRPr="002E63B3">
        <w:rPr>
          <w:rtl/>
        </w:rPr>
        <w:t>.</w:t>
      </w:r>
    </w:p>
    <w:p w14:paraId="1893E4C6" w14:textId="77777777" w:rsidR="00EB7890" w:rsidRPr="002E63B3" w:rsidRDefault="00EB7890" w:rsidP="00EB7890">
      <w:pPr>
        <w:pStyle w:val="ab"/>
        <w:rPr>
          <w:rtl/>
        </w:rPr>
      </w:pPr>
      <w:r w:rsidRPr="002E63B3">
        <w:rPr>
          <w:rtl/>
        </w:rPr>
        <w:t>يحاول هذا البحث فهم الدور الذي تلعبه التكنولوجيا في تمكين المنظمات غير الربحية السعودية من تعزيز أدائها وزيادة اتساع خدماتها وفقًا لأهداف رؤية 2030. يحاول البحث التحقيق في الخصائص التي تساعد على زيادة كفاءة الأنشطة التشغيلية، مثل جمع التبرعات وإدارة الموارد والتواصل الفعال مع المساهمين والمستفيدين. وتكمن قيمة البحث أيضًا في تزويد صناع القرار في القطاع غير الربحي بالمعلومات والخبرات الأساسية حول أفضل الأساليب التكنولوجية التي يمكن توظيفها للتغلب على العقبات وخلق تأثير مستدام. كما يساعد هذا البحث في تقديم رؤى متعمقة تساعد الشركات على تعديل استراتيجيتها بطريقة تعزز النمو الاجتماعي المستدام وتعزز دورها الفعال في المجتمع السعودي.</w:t>
      </w:r>
    </w:p>
    <w:p w14:paraId="7CBC459C" w14:textId="77777777" w:rsidR="00EB7890" w:rsidRDefault="00EB7890" w:rsidP="00EB7890">
      <w:pPr>
        <w:pStyle w:val="ab"/>
        <w:rPr>
          <w:rtl/>
        </w:rPr>
      </w:pPr>
      <w:r w:rsidRPr="002E63B3">
        <w:rPr>
          <w:rtl/>
        </w:rPr>
        <w:t>تشير الدراسات السابقة إلى أن التكنولوجيا ساهمت في تحسين فعالية العمليات الإدارية والخدمية في القطاع غير الربحي حول العالم، حيث أظهرت العديد من الدراسات كيف ساهم التحول الرقمي في جمع وتحليل البيانات بطرق تساهم في اتخاذ قرارات أكثر دقة. كما يكشف البحث عن تأثير التكنولوجيا في تعزيز الانفتاح وسهولة الوصول إلى المعلومات، مما يعزز الثقة بين المنظمات والمتلقين. وعلى الرغم من وجود دراسات مختلفة تبحث في تأثير التكنولوجيا على المنظمات غير الربحية على المستوى الدولي، إلا أن القليل منها يستهدف تطبيقات التكنولوجيا في السياق السعودي، وخاصة في ضوء رؤية 2030 التي تدفع بالتحول الرقمي. ومن ثم يسعى هذا البحث إلى ملء هذا الفراغ من خلال تقديم تحليل علمي لدور التكنولوجيا في توسيع هذه الصناعة في المملكة العربية السعودية، ودراسة المعوقات والإمكانات المحلية</w:t>
      </w:r>
      <w:sdt>
        <w:sdtPr>
          <w:rPr>
            <w:rtl/>
          </w:rPr>
          <w:id w:val="190009441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Kra22 \l 3073</w:instrText>
          </w:r>
          <w:r>
            <w:rPr>
              <w:rtl/>
            </w:rPr>
            <w:instrText xml:space="preserve"> </w:instrText>
          </w:r>
          <w:r>
            <w:rPr>
              <w:rtl/>
            </w:rPr>
            <w:fldChar w:fldCharType="separate"/>
          </w:r>
          <w:r>
            <w:rPr>
              <w:noProof/>
              <w:rtl/>
            </w:rPr>
            <w:t xml:space="preserve"> </w:t>
          </w:r>
          <w:r>
            <w:rPr>
              <w:rFonts w:hint="cs"/>
              <w:noProof/>
              <w:rtl/>
            </w:rPr>
            <w:t>(</w:t>
          </w:r>
          <w:r>
            <w:rPr>
              <w:rFonts w:hint="cs"/>
              <w:noProof/>
            </w:rPr>
            <w:t>Kraus</w:t>
          </w:r>
          <w:r>
            <w:rPr>
              <w:rFonts w:hint="cs"/>
              <w:noProof/>
              <w:rtl/>
            </w:rPr>
            <w:t>، 2022)</w:t>
          </w:r>
          <w:r>
            <w:rPr>
              <w:rtl/>
            </w:rPr>
            <w:fldChar w:fldCharType="end"/>
          </w:r>
        </w:sdtContent>
      </w:sdt>
      <w:r w:rsidRPr="002E63B3">
        <w:rPr>
          <w:rtl/>
        </w:rPr>
        <w:t>.</w:t>
      </w:r>
    </w:p>
    <w:p w14:paraId="5DC76F07" w14:textId="77777777" w:rsidR="00EB7890" w:rsidRDefault="00EB7890" w:rsidP="00EB7890">
      <w:pPr>
        <w:pStyle w:val="ab"/>
        <w:rPr>
          <w:rtl/>
        </w:rPr>
      </w:pPr>
      <w:r>
        <w:rPr>
          <w:rtl/>
        </w:rPr>
        <w:lastRenderedPageBreak/>
        <w:t xml:space="preserve">يعتمد البحث على المنهج الكمي كأسلوب علمي لجمع وتقييم البيانات بشكل دقيق وقابل للتعميم، وقد تم اعتماد هذا الأسلوب لتوفير الحياد والدقة المطلوبين. وقد تم تصميم </w:t>
      </w:r>
      <w:r>
        <w:rPr>
          <w:rFonts w:hint="cs"/>
          <w:rtl/>
        </w:rPr>
        <w:t>استبانة</w:t>
      </w:r>
      <w:r>
        <w:rPr>
          <w:rtl/>
        </w:rPr>
        <w:t xml:space="preserve"> يحتوي على ستة أبعاد رئيسية تهدف إلى تحليل حجم استخدام التكنولوجيا في المنظمات غير الربحية وتأثيرها على الأداء التنظيمي والكفاءة التشغيلية. وقد تم إرسال الاستبيان إلى العاملين في هذه الشركات لجمع بيانات كاملة توضح حجم التكامل الرقمي والعقبات التي </w:t>
      </w:r>
      <w:proofErr w:type="spellStart"/>
      <w:r>
        <w:rPr>
          <w:rFonts w:hint="cs"/>
          <w:rtl/>
        </w:rPr>
        <w:t>يواجهونها</w:t>
      </w:r>
      <w:proofErr w:type="spellEnd"/>
      <w:r>
        <w:rPr>
          <w:rtl/>
        </w:rPr>
        <w:t>. كما ساعدت هذه التقنية في تفسير الارتباطات بين العديد من العوامل، مثل حجم المنظمة ونوع التكنولوجيا المستخدمة، مما يساعد في فهم طبيعة التأثيرات بشكل أفضل وتسليط الضوء على المجالات التي تتطلب النمو.</w:t>
      </w:r>
    </w:p>
    <w:p w14:paraId="46FB3509" w14:textId="77777777" w:rsidR="00EB7890" w:rsidRDefault="00EB7890" w:rsidP="00EB7890">
      <w:pPr>
        <w:pStyle w:val="ab"/>
        <w:rPr>
          <w:rtl/>
        </w:rPr>
      </w:pPr>
      <w:r>
        <w:rPr>
          <w:rtl/>
        </w:rPr>
        <w:t>وقد كشفت نتائج البحث أن المنظمات غير الربحية التي استخدمت التكنولوجيا تمكنت من تحقيق كفاءة متزايدة في جمع التبرعات وإدارة البيانات وتعزيز التواصل مع المانحين والمستفيدين. كما كشفت النتائج عن وجود رغبة متزايدة بين هذه الشركات في استخدام أدوات تقنية جديدة لتعزيز أدائها، إلا أنها تواجه عقبات مرتبطة بالنفقات والتدريب على الأنظمة الحالية. وخلص البحث إلى ضرورة توفير قاعدة تقنية داعمة لهذه الأعمال وضرورة تعزيز الكفاءات البشرية لتحقيق القيمة المثلى من التقنيات الرقمية. وتبين النتائج أن التكنولوجيا قد تساعد بنجاح في تحقيق التنمية الاجتماعية، خاصة عندما يتم تقديم الدعم المالي والفني للمساعدة في التغلب على العقبات.</w:t>
      </w:r>
    </w:p>
    <w:p w14:paraId="2E2E7DC7" w14:textId="77777777" w:rsidR="00EB7890" w:rsidRDefault="00EB7890" w:rsidP="00EB7890">
      <w:pPr>
        <w:pStyle w:val="ab"/>
        <w:rPr>
          <w:rtl/>
        </w:rPr>
      </w:pPr>
      <w:r>
        <w:rPr>
          <w:rtl/>
        </w:rPr>
        <w:t>وأشار البحث إلى أن التكنولوجيا تشكل ركيزة حيوية في تعزيز كفاءة القطاع غير الربحي في المملكة العربية السعودية، ودعا إلى ضرورة تقديم المساعدة الحكومية والفنية لهذه المنظمات لضمان تحقيق التأثير المقصود من التحول الرقمي. وتتضمن التوصيات أهمية تطوير برامج تدريبية لبناء القدرات الرقمية للعاملين في هذا القطاع، بالإضافة إلى تشجيع الابتكار في تبني الحلول التكنولوجية مثل أنظمة الحوسبة السحابية والذكاء الاصطناعي لتعزيز الخدمات المقدمة للمستفيدين. كما تشير الاستنتاجات إلى أن القطاع غير الربحي في المملكة العربية السعودية لديه فرص واعدة للتطور في ظل الاتجاهات الرقمية الحالية، مما يساهم في تحقيق الأهداف الاجتماعية والتنموية لرؤية المملكة 2030، ويعزز دور المنظمات غير الربحية كشريك فعال في تحقيق التنمية المستدامة.</w:t>
      </w:r>
    </w:p>
    <w:p w14:paraId="489BF729" w14:textId="77777777" w:rsidR="00EB7890" w:rsidRDefault="00EB7890" w:rsidP="00EB7890">
      <w:pPr>
        <w:pStyle w:val="ab"/>
        <w:rPr>
          <w:rtl/>
        </w:rPr>
      </w:pPr>
    </w:p>
    <w:p w14:paraId="2265BEC2" w14:textId="77777777" w:rsidR="00EB7890" w:rsidRPr="00F06FB5" w:rsidRDefault="00EB7890" w:rsidP="00EB7890">
      <w:pPr>
        <w:pStyle w:val="ab"/>
        <w:rPr>
          <w:rtl/>
        </w:rPr>
      </w:pPr>
    </w:p>
    <w:p w14:paraId="3453CA4E" w14:textId="77777777" w:rsidR="00EB7890" w:rsidRPr="00A2723F" w:rsidRDefault="00EB7890" w:rsidP="00EB7890">
      <w:pPr>
        <w:pStyle w:val="2"/>
        <w:rPr>
          <w:rtl/>
        </w:rPr>
      </w:pPr>
      <w:r>
        <w:rPr>
          <w:rtl/>
        </w:rPr>
        <w:lastRenderedPageBreak/>
        <w:t>مشكلة الدراسة:</w:t>
      </w:r>
      <w:bookmarkEnd w:id="2"/>
      <w:bookmarkEnd w:id="3"/>
      <w:bookmarkEnd w:id="4"/>
      <w:bookmarkEnd w:id="5"/>
    </w:p>
    <w:p w14:paraId="0D84E429" w14:textId="77777777" w:rsidR="00EB7890" w:rsidRDefault="00EB7890" w:rsidP="00EB7890">
      <w:pPr>
        <w:pStyle w:val="ab"/>
        <w:rPr>
          <w:rtl/>
        </w:rPr>
      </w:pPr>
      <w:r>
        <w:rPr>
          <w:rtl/>
        </w:rPr>
        <w:t>تواجه المنظمات غير الربحية تحديات كبيرة من حيث الموارد والإدارة والتنظيم مقارنة بنظيراتها في القطاع الربحي، حيث تعتمد هذه المنظمات غالبًا على التبرعات والمنح، مما يجعل استدامة مواردها المالية وقدرتها على تحقيق أهدافها بشكل فعال قضية محورية. ومع نمو التكنولوجيا والاعتماد المتزايد عليها لتحسين العمليات والخدمات، أصبح التحول الرقمي فرصة استراتيجية كبرى للقطاع غير الربحي لزيادة كفاءته وتعزيز تأثيره الاجتماعي. وفي الوقت نفسه، تواجه هذه الشركات عقبات كبيرة في استخدام التكنولوجيا بنجاح بسبب القيود الميزانية، ونقص الموارد البشرية الكفؤة، ونقص المعرفة بأهمية التكنولوجيا. تهدف هذه الدراسة إلى التحقيق في مشكلة أساسية تتعلق بمدى تأثير التكنولوجيا على أداء القطاع غير الربحي في المملكة العربية السعودية، ومدى استعداد المنظمات في هذا القطاع لتبني التحول الرقمي ضمن أهدافها واستراتيجياتها التشغيلية</w:t>
      </w:r>
      <w:sdt>
        <w:sdtPr>
          <w:rPr>
            <w:rtl/>
          </w:rPr>
          <w:id w:val="-132535848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Omu14 \l 3073</w:instrText>
          </w:r>
          <w:r>
            <w:rPr>
              <w:rtl/>
            </w:rPr>
            <w:instrText xml:space="preserve"> </w:instrText>
          </w:r>
          <w:r>
            <w:rPr>
              <w:rtl/>
            </w:rPr>
            <w:fldChar w:fldCharType="separate"/>
          </w:r>
          <w:r>
            <w:rPr>
              <w:noProof/>
              <w:rtl/>
            </w:rPr>
            <w:t xml:space="preserve"> </w:t>
          </w:r>
          <w:r>
            <w:rPr>
              <w:rFonts w:hint="cs"/>
              <w:noProof/>
              <w:rtl/>
            </w:rPr>
            <w:t>(</w:t>
          </w:r>
          <w:r>
            <w:rPr>
              <w:rFonts w:hint="cs"/>
              <w:noProof/>
            </w:rPr>
            <w:t>Omura</w:t>
          </w:r>
          <w:r>
            <w:rPr>
              <w:rFonts w:hint="cs"/>
              <w:noProof/>
              <w:rtl/>
            </w:rPr>
            <w:t>، 2014)</w:t>
          </w:r>
          <w:r>
            <w:rPr>
              <w:rtl/>
            </w:rPr>
            <w:fldChar w:fldCharType="end"/>
          </w:r>
        </w:sdtContent>
      </w:sdt>
      <w:r>
        <w:rPr>
          <w:rtl/>
        </w:rPr>
        <w:t>.</w:t>
      </w:r>
    </w:p>
    <w:p w14:paraId="3E31B9DC" w14:textId="77777777" w:rsidR="00EB7890" w:rsidRDefault="00EB7890" w:rsidP="00EB7890">
      <w:pPr>
        <w:pStyle w:val="ab"/>
        <w:rPr>
          <w:rtl/>
        </w:rPr>
      </w:pPr>
      <w:r>
        <w:rPr>
          <w:rtl/>
        </w:rPr>
        <w:t>تتمثل صعوبة الدراسة في وجود فجوة بين قدرات التكنولوجيا وقدرة المنظمات غير الربحية على توظيفها بشكل فعال لتحقيق أهدافها الاجتماعية. وتتزايد هذه الفجوة في السياق السعودي، حيث تعتبر المنظمات غير الربحية عنصراً حاسماً في أهداف التنمية الوطنية، ولا سيما في ظل رؤية المملكة 2030، التي تطمح إلى تعزيز مساهمة القطاع غير الربحي في الاقتصاد الوطني وتنمية المجتمع. وبالتالي فإن عدم الاستفادة الكاملة من إمكانات التكنولوجيا قد يساهم في عدم كفاءة هذه الشركات وتقييد قدرتها على تقديم الخدمات بكفاءة.</w:t>
      </w:r>
    </w:p>
    <w:p w14:paraId="14B3F2E8" w14:textId="77777777" w:rsidR="00EB7890" w:rsidRDefault="00EB7890" w:rsidP="00EB7890">
      <w:pPr>
        <w:pStyle w:val="ab"/>
        <w:rPr>
          <w:rtl/>
        </w:rPr>
      </w:pPr>
      <w:r>
        <w:rPr>
          <w:rtl/>
        </w:rPr>
        <w:t xml:space="preserve">ورغم الفهم المتزايد لقيمة التكنولوجيا، تواجه العديد من المنظمات غير الربحية في المملكة العربية السعودية مشاكل </w:t>
      </w:r>
      <w:proofErr w:type="spellStart"/>
      <w:r>
        <w:rPr>
          <w:rtl/>
        </w:rPr>
        <w:t>تعيقها</w:t>
      </w:r>
      <w:proofErr w:type="spellEnd"/>
      <w:r>
        <w:rPr>
          <w:rtl/>
        </w:rPr>
        <w:t xml:space="preserve"> عن استخدام التكنولوجيا بشكل صحيح في عملياتها اليومية. وأبرز هذه التحديات هو نقص التمويل الذي </w:t>
      </w:r>
      <w:r>
        <w:rPr>
          <w:rFonts w:hint="cs"/>
          <w:rtl/>
        </w:rPr>
        <w:t>يعوق</w:t>
      </w:r>
      <w:r>
        <w:rPr>
          <w:rtl/>
        </w:rPr>
        <w:t xml:space="preserve"> شراء الأنظمة والأدوات التكنولوجية وتوفير الدعم اللازم لصيانتها وتطويرها، بالإضافة إلى نقص التدريب وغياب البنية التحتية المناسبة في بعض المنظمات. وهناك عقبات إضافية مرتبطة بالتكيف الثقافي وقبول التغيير، حيث قد يواجه بعض العاملين والمتطوعين في هذه المنظمات صعوبة في التكيف مع التحول الرقمي. وتزداد هذه القضايا تعقيداً بسبب عدم وجود أساليب محددة لدمج التكنولوجيا بطريقة مستدامة متوافقة مع رؤية وأهداف المنظمات غير الربحية</w:t>
      </w:r>
      <w:sdt>
        <w:sdtPr>
          <w:rPr>
            <w:rtl/>
          </w:rPr>
          <w:id w:val="181328402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AlK221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Al-Kahtani</w:t>
          </w:r>
          <w:r>
            <w:rPr>
              <w:rFonts w:hint="cs"/>
              <w:noProof/>
              <w:rtl/>
            </w:rPr>
            <w:t>، 2022)</w:t>
          </w:r>
          <w:r>
            <w:rPr>
              <w:rtl/>
            </w:rPr>
            <w:fldChar w:fldCharType="end"/>
          </w:r>
        </w:sdtContent>
      </w:sdt>
      <w:r>
        <w:rPr>
          <w:rtl/>
        </w:rPr>
        <w:t>.</w:t>
      </w:r>
    </w:p>
    <w:p w14:paraId="567A7AC8" w14:textId="77777777" w:rsidR="00EB7890" w:rsidRDefault="00EB7890" w:rsidP="00EB7890">
      <w:pPr>
        <w:pStyle w:val="ab"/>
        <w:rPr>
          <w:rtl/>
        </w:rPr>
      </w:pPr>
      <w:r>
        <w:rPr>
          <w:rtl/>
        </w:rPr>
        <w:lastRenderedPageBreak/>
        <w:t>يؤثر الافتقار إلى التكنولوجيا الفعالة على العديد من عناصر العمل في المنظمات غير الربحية، مثل جمع التبرعات وإدارة الموارد المالية والبشرية وتحليل البيانات وتقييم الأداء. ففي مجال جمع التبرعات، على سبيل المثال، قد تساعد التكنولوجيا في تحسين الاتصال بالمانحين وزيادة عدد الهدايا عبر المنصات الرقمية، على الرغم من أن هذه الصناعة تواجه عقبات بسبب الافتقار إلى استخدام التقنيات الحديثة التي تساعد في هذا الصدد. وفي مجال إدارة الموارد، يؤدي الافتقار إلى أنظمة التكنولوجيا إلى خفض القدرة على تنظيم البيانات والتعامل معها بكفاءة، مما يؤثر سلبًا على اتخاذ القرارات الاستراتيجية للمنظمة. وفي موضوع تقييم الأداء، تعد القدرة على تقييم البيانات ومراقبة التأثير الاجتماعي للمبادرات ضرورية للمنظمات غير الربحية لتحديد نجاحها والتخطيط لجهودها المستقبلية، والتكنولوجيا هي أداة حاسمة لتحقيق هذا الهدف</w:t>
      </w:r>
      <w:sdt>
        <w:sdtPr>
          <w:rPr>
            <w:rtl/>
          </w:rPr>
          <w:id w:val="-92070635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McN18 \l 3073</w:instrText>
          </w:r>
          <w:r>
            <w:rPr>
              <w:rtl/>
            </w:rPr>
            <w:instrText xml:space="preserve"> </w:instrText>
          </w:r>
          <w:r>
            <w:rPr>
              <w:rtl/>
            </w:rPr>
            <w:fldChar w:fldCharType="separate"/>
          </w:r>
          <w:r>
            <w:rPr>
              <w:noProof/>
              <w:rtl/>
            </w:rPr>
            <w:t xml:space="preserve"> </w:t>
          </w:r>
          <w:r>
            <w:rPr>
              <w:rFonts w:hint="cs"/>
              <w:noProof/>
              <w:rtl/>
            </w:rPr>
            <w:t>(</w:t>
          </w:r>
          <w:r>
            <w:rPr>
              <w:rFonts w:hint="cs"/>
              <w:noProof/>
            </w:rPr>
            <w:t>McNutt</w:t>
          </w:r>
          <w:r>
            <w:rPr>
              <w:rFonts w:hint="cs"/>
              <w:noProof/>
              <w:rtl/>
            </w:rPr>
            <w:t>، 2018)</w:t>
          </w:r>
          <w:r>
            <w:rPr>
              <w:rtl/>
            </w:rPr>
            <w:fldChar w:fldCharType="end"/>
          </w:r>
        </w:sdtContent>
      </w:sdt>
      <w:r>
        <w:rPr>
          <w:rtl/>
        </w:rPr>
        <w:t>.</w:t>
      </w:r>
    </w:p>
    <w:p w14:paraId="33C535F4" w14:textId="77777777" w:rsidR="00EB7890" w:rsidRDefault="00EB7890" w:rsidP="00EB7890">
      <w:pPr>
        <w:pStyle w:val="ab"/>
        <w:rPr>
          <w:rtl/>
        </w:rPr>
      </w:pPr>
      <w:r>
        <w:rPr>
          <w:rtl/>
        </w:rPr>
        <w:t>إن هذا التحدي أصبح أكثر إلحاحاً بالنظر إلى الدور الذي يجب أن تلعبه المنظمات غير الربحية في المملكة العربية السعودية في تحقيق التنمية المستدامة والمساهمة في تحسين نوعية الحياة. إن قدرة هذه المنظمات على القيام بذلك مرتبطة ارتباطًا وثيقًا بقدرتها على تسخير التكنولوجيا كأداة لتعزيز خدماتها وزيادة تأثيرها. ومع ذلك، فإن الافتقار إلى التخطيط السليم للتحول الرقمي قد يضعف الجهود المبذولة لتحقيق أهدافها ويحد من فاعليتها. بالإضافة إلى ذلك، فإن الافتقار إلى الدراسات المحلية التي تبحث في تأثير التكنولوجيا في سياق المنظمات غير الربحية السعودية يزيد من صعوبة اتخاذ قرارات مستنيرة بناءً على الأدلة العلمية في هذا المجال، مما يزيد من صعوبة فهم التحديات والفرص بشكل دقيق.</w:t>
      </w:r>
    </w:p>
    <w:p w14:paraId="2FB3AFAD" w14:textId="77777777" w:rsidR="00EB7890" w:rsidRDefault="00EB7890" w:rsidP="00EB7890">
      <w:pPr>
        <w:pStyle w:val="ab"/>
        <w:rPr>
          <w:rtl/>
        </w:rPr>
      </w:pPr>
      <w:r>
        <w:rPr>
          <w:rtl/>
        </w:rPr>
        <w:t>يحاول هذا البحث تقييم حجم المشكلة بدقة من خلال التحقيق في مدى تأثير التكنولوجيا على أداء المنظمات غير الربحية في المملكة العربية السعودية، وتحليل الأسباب التي تحد من نجاح تنفيذها. بالإضافة إلى ذلك، يهدف البحث إلى تسليط الضوء على الفجوة بين إمكانات التكنولوجيا وقدرة هذه الشركات على الاستفادة منها، وإعطاء حلول عملية تساعد في التغلب على العقبات وتعظيم مزايا التكنولوجيا في هذا المجال. لذلك فإن معالجة قضية البحث تتطلب الإلمام الكامل بجميع العناصر المرتبطة بتأثير التكنولوجيا، بدءاً من جاهزية المنظمات غير الربحية في المملكة العربية السعودية لاستخدام التكنولوجيا، وصولاً إلى قياس تأثيرها على الأداء والكفاءة التشغيلية</w:t>
      </w:r>
      <w:sdt>
        <w:sdtPr>
          <w:rPr>
            <w:rtl/>
          </w:rPr>
          <w:id w:val="155118812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Alo231 \l 3073</w:instrText>
          </w:r>
          <w:r>
            <w:rPr>
              <w:rtl/>
            </w:rPr>
            <w:instrText xml:space="preserve"> </w:instrText>
          </w:r>
          <w:r>
            <w:rPr>
              <w:rtl/>
            </w:rPr>
            <w:fldChar w:fldCharType="separate"/>
          </w:r>
          <w:r>
            <w:rPr>
              <w:noProof/>
              <w:rtl/>
            </w:rPr>
            <w:t xml:space="preserve"> </w:t>
          </w:r>
          <w:r>
            <w:rPr>
              <w:rFonts w:hint="cs"/>
              <w:noProof/>
              <w:rtl/>
            </w:rPr>
            <w:t>(</w:t>
          </w:r>
          <w:r>
            <w:rPr>
              <w:rFonts w:hint="cs"/>
              <w:noProof/>
            </w:rPr>
            <w:t>Alojail</w:t>
          </w:r>
          <w:r>
            <w:rPr>
              <w:rFonts w:hint="cs"/>
              <w:noProof/>
              <w:rtl/>
            </w:rPr>
            <w:t>، 2023)</w:t>
          </w:r>
          <w:r>
            <w:rPr>
              <w:rtl/>
            </w:rPr>
            <w:fldChar w:fldCharType="end"/>
          </w:r>
        </w:sdtContent>
      </w:sdt>
      <w:r>
        <w:rPr>
          <w:rtl/>
        </w:rPr>
        <w:t>.</w:t>
      </w:r>
    </w:p>
    <w:p w14:paraId="1B67581E" w14:textId="77777777" w:rsidR="00EB7890" w:rsidRDefault="00EB7890" w:rsidP="00EB7890">
      <w:pPr>
        <w:pStyle w:val="ab"/>
        <w:ind w:left="720" w:hanging="360"/>
        <w:rPr>
          <w:b/>
          <w:bCs/>
        </w:rPr>
      </w:pPr>
      <w:r>
        <w:rPr>
          <w:rFonts w:hint="cs"/>
          <w:b/>
          <w:bCs/>
          <w:rtl/>
        </w:rPr>
        <w:t>ما توصل إليه الباحثون السابقون</w:t>
      </w:r>
    </w:p>
    <w:p w14:paraId="66AC2953" w14:textId="77777777" w:rsidR="00EB7890" w:rsidRPr="00A26EF6" w:rsidRDefault="00EB7890" w:rsidP="00EB7890">
      <w:pPr>
        <w:pStyle w:val="ab"/>
        <w:rPr>
          <w:rtl/>
        </w:rPr>
      </w:pPr>
      <w:r w:rsidRPr="00A26EF6">
        <w:rPr>
          <w:rtl/>
        </w:rPr>
        <w:lastRenderedPageBreak/>
        <w:t>وتشير الدراسات السابقة إلى أن التكنولوجيا قد تلعب دوراً حيوياً في تعزيز كفاءة المنظمات غير الربحية على مستوى العالم، حيث أثبتت الأبحاث أن نشر التكنولوجيا يساعد في تعزيز إدارة الموارد، وتعزيز الشفافية، وتوسيع نطاق الوصول إلى المستفيدين. على سبيل المثال، أثبتت العديد من الدراسات أن استخدام المنصات الرقمية يضيف إلى تسهيل عملية جمع التبرعات، ويعزز قدرة المنظمات على التواصل بانتظام مع المساهمين وإنشاء علاقات طويلة الأمد معهم. بالإضافة إلى ذلك، يتم التأكيد على أهمية الأنظمة التقنية في تقييم البيانات وقياس التأثير الاجتماعي للمبادرات، مما يسمح للشركات باتخاذ خيارات أكثر دقة ومستندة إلى الأدلة.</w:t>
      </w:r>
    </w:p>
    <w:p w14:paraId="75BA385B" w14:textId="77777777" w:rsidR="00EB7890" w:rsidRPr="00A26EF6" w:rsidRDefault="00EB7890" w:rsidP="00EB7890">
      <w:pPr>
        <w:pStyle w:val="ab"/>
        <w:rPr>
          <w:rtl/>
        </w:rPr>
      </w:pPr>
      <w:r w:rsidRPr="00A26EF6">
        <w:rPr>
          <w:rtl/>
        </w:rPr>
        <w:t>وعلى الرغم من هذه المزايا الواضحة، تكشف الأبحاث أيضًا أن نشر التكنولوجيا في القطاع غير الربحي يواجه عادةً العديد من الصعوبات التي تتراوح بين نقص الموارد، وغياب الكفاءات المتخصصة للتعامل مع التكنولوجيا، والافتقار إلى الاتجاه الاستراتيجي. يجيب هذا البحث على هذه المشاكل من خلال إلقاء الضوء على هذه القيود في السياق السعودي، حيث يسعى إلى زيادة المعرفة حول كيفية نشر التكنولوجيا بشكل أكثر فعالية لتحقيق أهداف التنمية ودعم رؤية المملكة 2030.</w:t>
      </w:r>
    </w:p>
    <w:p w14:paraId="0410E7C9" w14:textId="77777777" w:rsidR="00EB7890" w:rsidRDefault="00EB7890" w:rsidP="00EB7890">
      <w:pPr>
        <w:pStyle w:val="ab"/>
        <w:rPr>
          <w:rtl/>
        </w:rPr>
      </w:pPr>
      <w:r>
        <w:rPr>
          <w:rtl/>
        </w:rPr>
        <w:t>وفي الختام، فإن قضية الدراسة تمثل تحدياً خطيراً للقطاع غير الربحي في المملكة العربية السعودية في ظل الثورة الرقمية والتقدم التقني الذي يشهده العالم. وتجد المنظمات غير الربحية نفسها أمام معادلة صعبة تتطلب الموازنة بين توظيف التكنولوجيا لتعزيز الكفاءة وتحقيق الأهداف، ومعالجة المشاكل التي تعوق ذلك، مثل نقص التمويل والموارد البشرية الماهرة والقدرة على التعامل مع البيانات بشكل فعال. وتساهم هذه الدراسة من خلال تحليلها لهذه المشكلة في تقديم رؤى وتوجيهات عملية لصناع القرار وأصحاب المصلحة في القطاع غير الربحي، وتمكينهم من فهم أهمية التكنولوجيا كعنصر أساسي في تحسين أداء المنظمات وتمكينها من تحقيق تأثير أعمق على المجتمع.</w:t>
      </w:r>
    </w:p>
    <w:p w14:paraId="1798ACB7" w14:textId="77777777" w:rsidR="00EB7890" w:rsidRPr="00A73E2D" w:rsidRDefault="00EB7890" w:rsidP="00EB7890">
      <w:pPr>
        <w:spacing w:line="360" w:lineRule="auto"/>
        <w:jc w:val="both"/>
        <w:rPr>
          <w:rFonts w:ascii="Sakkal Majalla" w:hAnsi="Sakkal Majalla" w:cs="Sakkal Majalla"/>
          <w:sz w:val="28"/>
          <w:szCs w:val="28"/>
          <w:rtl/>
          <w:lang w:bidi="ar-EG"/>
        </w:rPr>
      </w:pPr>
    </w:p>
    <w:p w14:paraId="57269FC7" w14:textId="77777777" w:rsidR="00EB7890" w:rsidRDefault="00EB7890" w:rsidP="00EB7890">
      <w:pPr>
        <w:spacing w:line="360" w:lineRule="auto"/>
        <w:jc w:val="both"/>
        <w:rPr>
          <w:rFonts w:ascii="Sakkal Majalla" w:hAnsi="Sakkal Majalla" w:cs="Sakkal Majalla"/>
          <w:sz w:val="28"/>
          <w:szCs w:val="28"/>
          <w:rtl/>
          <w:lang w:bidi="ar-EG"/>
        </w:rPr>
      </w:pPr>
    </w:p>
    <w:p w14:paraId="7FCC7114" w14:textId="77777777" w:rsidR="00EB7890" w:rsidRDefault="00EB7890" w:rsidP="00EB7890">
      <w:pPr>
        <w:spacing w:line="360" w:lineRule="auto"/>
        <w:jc w:val="both"/>
        <w:rPr>
          <w:rFonts w:ascii="Sakkal Majalla" w:hAnsi="Sakkal Majalla" w:cs="Sakkal Majalla"/>
          <w:sz w:val="28"/>
          <w:szCs w:val="28"/>
          <w:rtl/>
          <w:lang w:bidi="ar-EG"/>
        </w:rPr>
      </w:pPr>
    </w:p>
    <w:p w14:paraId="611AF9A9" w14:textId="77777777" w:rsidR="00EB7890" w:rsidRDefault="00EB7890" w:rsidP="00EB7890">
      <w:pPr>
        <w:spacing w:line="360" w:lineRule="auto"/>
        <w:jc w:val="both"/>
        <w:rPr>
          <w:rFonts w:ascii="Sakkal Majalla" w:hAnsi="Sakkal Majalla" w:cs="Sakkal Majalla"/>
          <w:sz w:val="28"/>
          <w:szCs w:val="28"/>
          <w:rtl/>
          <w:lang w:bidi="ar-EG"/>
        </w:rPr>
      </w:pPr>
    </w:p>
    <w:p w14:paraId="62E8A9B9" w14:textId="77777777" w:rsidR="00EB7890" w:rsidRPr="00E347E5" w:rsidRDefault="00EB7890" w:rsidP="00EB7890">
      <w:pPr>
        <w:pStyle w:val="2"/>
        <w:rPr>
          <w:rtl/>
        </w:rPr>
      </w:pPr>
      <w:bookmarkStart w:id="6" w:name="_Toc171379044"/>
      <w:bookmarkStart w:id="7" w:name="_Toc174371285"/>
      <w:bookmarkStart w:id="8" w:name="_Toc179282773"/>
      <w:bookmarkStart w:id="9" w:name="_Toc180619267"/>
      <w:r>
        <w:rPr>
          <w:rtl/>
        </w:rPr>
        <w:lastRenderedPageBreak/>
        <w:t>أهداف الدراسة:</w:t>
      </w:r>
      <w:bookmarkStart w:id="10" w:name="_Toc171379043"/>
      <w:bookmarkStart w:id="11" w:name="_Toc174371284"/>
      <w:bookmarkStart w:id="12" w:name="_Toc179282772"/>
      <w:bookmarkEnd w:id="6"/>
      <w:bookmarkEnd w:id="7"/>
      <w:bookmarkEnd w:id="8"/>
      <w:bookmarkEnd w:id="9"/>
    </w:p>
    <w:p w14:paraId="12C41C8A" w14:textId="77777777" w:rsidR="00EB7890" w:rsidRPr="00EE7DC2" w:rsidRDefault="00EB7890" w:rsidP="00EB7890">
      <w:pPr>
        <w:pStyle w:val="a"/>
        <w:rPr>
          <w:rtl/>
        </w:rPr>
      </w:pPr>
      <w:r w:rsidRPr="00EE7DC2">
        <w:rPr>
          <w:rtl/>
        </w:rPr>
        <w:t>الهدف الرئيسي للدراسة:</w:t>
      </w:r>
    </w:p>
    <w:p w14:paraId="0887970E" w14:textId="77777777" w:rsidR="00EB7890" w:rsidRPr="00EE7DC2" w:rsidRDefault="00EB7890" w:rsidP="00EB7890">
      <w:pPr>
        <w:pStyle w:val="ab"/>
        <w:rPr>
          <w:rtl/>
        </w:rPr>
      </w:pPr>
      <w:r w:rsidRPr="00EE7DC2">
        <w:rPr>
          <w:rtl/>
        </w:rPr>
        <w:t>تهدف هذه الدراسة إلى تحليل دور التكنولوجيا في تحسين كفاءة وأداء المنظمات غير الربحية في المملكة العربية السعودية، من خلال فهم كيفية تأثير التحول الرقمي على عملياتها الداخلية والخارجية، ومدى مساهمته في تعزيز قدرتها على تحقيق أهدافها الاجتماعية والاقتصادية في ضوء رؤية المملكة 2030. ويتضمن الهدف الرئيسي دراسة الطرق التي يمكن أن تساعد بها التكنولوجيا في تحسين إدارة الموارد، وتعزيز فعالية إجراءات الاتصال مع المانحين والمستفيدين، ورفع درجة الشفافية في أداء المنظمات. كما يحاول البحث تحديد القضايا التي تواجه المنظمات غير الربحية عند تبني التكنولوجيا وإعطاء طرق عملية للتغلب على هذه العقبات. يساهم تحقيق هذا الهدف في تطوير فهم أعمق للعلاقة بين التكنولوجيا وفعالية القطاع غير الربحي، وتمكين المنظمات غير الربحية من توظيف الابتكارات التكنولوجية لتعزيز التأثير الاجتماعي ودعم التنمية المستدامة في المملكة. الغرض الرئيسي من هذا البحث هو تقديم الحقائق والرؤى التي تسمح لصناع القرار وأصحاب المصلحة باتخاذ تدابير متعمدة لتحقيق التحول الرقمي في القطاع غير الربحي من أجل تحقيق الأداء المستدام وفعالية الخدمة.</w:t>
      </w:r>
    </w:p>
    <w:p w14:paraId="54BA9B0C" w14:textId="77777777" w:rsidR="00EB7890" w:rsidRPr="00EE7DC2" w:rsidRDefault="00EB7890" w:rsidP="00EB7890">
      <w:pPr>
        <w:pStyle w:val="a"/>
        <w:rPr>
          <w:rtl/>
        </w:rPr>
      </w:pPr>
      <w:r w:rsidRPr="00EE7DC2">
        <w:rPr>
          <w:rtl/>
        </w:rPr>
        <w:t>الأهداف الفرعية للدراسة:</w:t>
      </w:r>
    </w:p>
    <w:p w14:paraId="15DB0696" w14:textId="77777777" w:rsidR="00EB7890" w:rsidRPr="00EE7DC2" w:rsidRDefault="00EB7890" w:rsidP="00EB7890">
      <w:pPr>
        <w:pStyle w:val="ab"/>
        <w:numPr>
          <w:ilvl w:val="0"/>
          <w:numId w:val="2"/>
        </w:numPr>
        <w:rPr>
          <w:b/>
          <w:bCs/>
          <w:rtl/>
        </w:rPr>
      </w:pPr>
      <w:r w:rsidRPr="00EE7DC2">
        <w:rPr>
          <w:b/>
          <w:bCs/>
          <w:rtl/>
        </w:rPr>
        <w:t>تحليل تأثير التكنولوجيا على كفاءة إدارة الموارد في المنظمات غير الربحية:</w:t>
      </w:r>
    </w:p>
    <w:p w14:paraId="0E985933" w14:textId="77777777" w:rsidR="00EB7890" w:rsidRPr="00EE7DC2" w:rsidRDefault="00EB7890" w:rsidP="00EB7890">
      <w:pPr>
        <w:pStyle w:val="ab"/>
        <w:rPr>
          <w:rtl/>
        </w:rPr>
      </w:pPr>
      <w:r w:rsidRPr="00EE7DC2">
        <w:rPr>
          <w:rtl/>
        </w:rPr>
        <w:t>يهدف هذا الهدف الفرعي إلى دراسة كيفية تأثير تبني التكنولوجيا على تطوير إدارة الموارد البشرية والمالية في المنظمات غير الربحية. سيساعد هذا الهدف في فهم كيفية استخدام التكنولوجيا لتسهيل إجراءات إدارة البيانات المالية وتنظيم الموارد البشرية بشكل فعال، مما يسمح للشركات بتحسين مهاراتها الحالية ودفعها نحو تحقيق الأهداف الاستراتيجية. يتضمن هذا التحقيق فهم التقنيات الرقمية التي تساعد في تنظيم بيانات الموظفين والمتطوعين، وتطوير استراتيجيات جمع التبرعات، وتطبيق الأموال بشكل مستدام. يساعد هذا الغرض في إنشاء إطار للمنظمات غير الربحية لاستخدام التكنولوجيا لتحسين إدارة الموارد وبناء العمليات الداخلية بكفاءة أكبر.</w:t>
      </w:r>
    </w:p>
    <w:p w14:paraId="05A2AF8E" w14:textId="77777777" w:rsidR="00EB7890" w:rsidRPr="00EE7DC2" w:rsidRDefault="00EB7890" w:rsidP="00EB7890">
      <w:pPr>
        <w:pStyle w:val="ab"/>
        <w:numPr>
          <w:ilvl w:val="0"/>
          <w:numId w:val="2"/>
        </w:numPr>
        <w:rPr>
          <w:b/>
          <w:bCs/>
          <w:rtl/>
        </w:rPr>
      </w:pPr>
      <w:r w:rsidRPr="00EE7DC2">
        <w:rPr>
          <w:b/>
          <w:bCs/>
          <w:rtl/>
        </w:rPr>
        <w:t>استكشاف دور التكنولوجيا في زيادة تفاعل المنظمات مع الجهات المانحة والمستفيدة:</w:t>
      </w:r>
    </w:p>
    <w:p w14:paraId="4D358CA3" w14:textId="77777777" w:rsidR="00EB7890" w:rsidRPr="00EE7DC2" w:rsidRDefault="00EB7890" w:rsidP="00EB7890">
      <w:pPr>
        <w:pStyle w:val="ab"/>
        <w:rPr>
          <w:rtl/>
        </w:rPr>
      </w:pPr>
      <w:r w:rsidRPr="00EE7DC2">
        <w:rPr>
          <w:rtl/>
        </w:rPr>
        <w:t>يركز هذا الهدف الفرعي على تقييم كيفية استخدام التكنولوجيا لتوسيع قنوات الاتصال وتعزيز المشاركة بين المنظمات غير الربحية والجهات الممولة والمستفيدين من خدماتها. يناقش هذا البحث كيف تستفيد المنظمات من منصات الوسائط الاجتماعية والأنظمة الرقمية والتطبيقات لتقديم معلومات محدثة حول عملياتها ومبادراتها. تساعد التكنولوجيا أيضًا المنظمات على التواصل بشكل مباشر ومنتظم مع الجهات الممولة لتعزيز شفافية العمليات وتطوير شراكات دائمة معهم. يضيف تحقيق هذا الهدف إلى تقديم المشورة للمنظمات حول أفضل الممارسات التكنولوجية لتعزيز ثقة الجهات المانحة وبناء دعم المجتمع وتحسين تجربة المستفيدين من خدماتها.</w:t>
      </w:r>
    </w:p>
    <w:p w14:paraId="1A612FF2" w14:textId="77777777" w:rsidR="00EB7890" w:rsidRPr="00EE7DC2" w:rsidRDefault="00EB7890" w:rsidP="00EB7890">
      <w:pPr>
        <w:pStyle w:val="ab"/>
        <w:numPr>
          <w:ilvl w:val="0"/>
          <w:numId w:val="2"/>
        </w:numPr>
        <w:rPr>
          <w:b/>
          <w:bCs/>
          <w:rtl/>
        </w:rPr>
      </w:pPr>
      <w:r w:rsidRPr="00EE7DC2">
        <w:rPr>
          <w:b/>
          <w:bCs/>
          <w:rtl/>
        </w:rPr>
        <w:t>تحديد المشاكل التي تواجه المنظمات غير الربحية عند تنفيذ التكنولوجيا:</w:t>
      </w:r>
    </w:p>
    <w:p w14:paraId="1D790B84" w14:textId="77777777" w:rsidR="00EB7890" w:rsidRPr="00EE7DC2" w:rsidRDefault="00EB7890" w:rsidP="00EB7890">
      <w:pPr>
        <w:pStyle w:val="ab"/>
        <w:rPr>
          <w:rtl/>
        </w:rPr>
      </w:pPr>
      <w:r w:rsidRPr="00EE7DC2">
        <w:rPr>
          <w:rtl/>
        </w:rPr>
        <w:t>يحاول هذا الهدف الفرعي تحديد التحديات التي تواجه المنظمات غير الربحية في تبني التكنولوجيا، مع التركيز على القضايا المتعلقة بالتمويل، ونقص الكفاءات البشرية المحددة، وصعوبة الحصول على المساعدة الفنية. من خلال دراسة هذه القضايا، يمكن معرفة الأسباب التي تعيق التحول الرقمي الناجح داخل هذه الشركات، مما يساعد على فهم العقبات التي تمنعها من تبني التكنولوجيا بشكل كامل. يساعد هذا الهدف في تقديم المشورة حول كيفية معالجة هذه القضايا من خلال التكتيكات العملية، مما يساعد الشركات على التغلب على العوائق وتحقيق التحول الرقمي المستدام.</w:t>
      </w:r>
    </w:p>
    <w:p w14:paraId="47BB8E0F" w14:textId="77777777" w:rsidR="00EB7890" w:rsidRPr="00EE7DC2" w:rsidRDefault="00EB7890" w:rsidP="00EB7890">
      <w:pPr>
        <w:pStyle w:val="ab"/>
        <w:numPr>
          <w:ilvl w:val="0"/>
          <w:numId w:val="2"/>
        </w:numPr>
        <w:rPr>
          <w:b/>
          <w:bCs/>
          <w:rtl/>
        </w:rPr>
      </w:pPr>
      <w:r w:rsidRPr="00EE7DC2">
        <w:rPr>
          <w:b/>
          <w:bCs/>
          <w:rtl/>
        </w:rPr>
        <w:t>تقديم اقتراحات لزيادة استخدام التكنولوجيا في القطاع غير الربحي:</w:t>
      </w:r>
    </w:p>
    <w:p w14:paraId="0145BDC1" w14:textId="77777777" w:rsidR="00EB7890" w:rsidRDefault="00EB7890" w:rsidP="00EB7890">
      <w:pPr>
        <w:pStyle w:val="ab"/>
        <w:rPr>
          <w:rtl/>
        </w:rPr>
      </w:pPr>
      <w:r w:rsidRPr="00EE7DC2">
        <w:rPr>
          <w:rtl/>
        </w:rPr>
        <w:t>يهدف هذا الهدف الفرعي إلى تقديم نصائح عملية موجهة إلى المنظمات غير الربحية في المملكة العربية السعودية حول كيفية تحسين استخدام التكنولوجيا لتحسين كفاءتها وزيادة تأثيرها. تتضمن هذه المقترحات استراتيجيات لتعزيز إجراءات جمع البيانات وتحليلها، ونشر حلول رقمية جديدة تساهم في تعزيز الأداء، وتقديم برامج تدريبية للموظفين لتعزيز مهاراتهم الفنية. تتضمن الاقتراحات أيضًا تدابير لتعزيز التعاون بين الوكالات الحكومية والمجموعات غير الربحية لتعزيز التحول الرقمي. تساعد هذه المبادئ التوجيهية في توجيه الشركات نحو تبني أفضل ممارسات تكنولوجيا المعلومات، مما يعزز كفاءتها وقدرتها على تحقيق أهدافها بنجاح أكبر.</w:t>
      </w:r>
    </w:p>
    <w:p w14:paraId="6B8D4298" w14:textId="77777777" w:rsidR="00EB7890" w:rsidRPr="00E347E5" w:rsidRDefault="00EB7890" w:rsidP="00EB7890">
      <w:pPr>
        <w:pStyle w:val="ab"/>
        <w:rPr>
          <w:rtl/>
        </w:rPr>
      </w:pPr>
    </w:p>
    <w:p w14:paraId="2540A4E0" w14:textId="77777777" w:rsidR="00EB7890" w:rsidRDefault="00EB7890" w:rsidP="00EB7890">
      <w:pPr>
        <w:pStyle w:val="2"/>
      </w:pPr>
      <w:bookmarkStart w:id="13" w:name="_Toc180619268"/>
      <w:r>
        <w:rPr>
          <w:rtl/>
        </w:rPr>
        <w:t>أهمية الدراسة:</w:t>
      </w:r>
      <w:bookmarkEnd w:id="10"/>
      <w:bookmarkEnd w:id="11"/>
      <w:bookmarkEnd w:id="12"/>
      <w:bookmarkEnd w:id="13"/>
    </w:p>
    <w:p w14:paraId="3C01FAB8" w14:textId="77777777" w:rsidR="00EB7890" w:rsidRDefault="00EB7890" w:rsidP="00EB7890">
      <w:pPr>
        <w:pStyle w:val="a"/>
        <w:rPr>
          <w:rtl/>
        </w:rPr>
      </w:pPr>
      <w:r>
        <w:rPr>
          <w:rtl/>
        </w:rPr>
        <w:t xml:space="preserve">الأهمية </w:t>
      </w:r>
      <w:r w:rsidRPr="00710380">
        <w:rPr>
          <w:rtl/>
        </w:rPr>
        <w:t>العلمية</w:t>
      </w:r>
      <w:r>
        <w:rPr>
          <w:rtl/>
        </w:rPr>
        <w:t xml:space="preserve"> للدراسة:</w:t>
      </w:r>
    </w:p>
    <w:p w14:paraId="32FC3A6A" w14:textId="77777777" w:rsidR="00EB7890" w:rsidRPr="00326616" w:rsidRDefault="00EB7890" w:rsidP="00EB7890">
      <w:pPr>
        <w:pStyle w:val="ab"/>
        <w:numPr>
          <w:ilvl w:val="0"/>
          <w:numId w:val="3"/>
        </w:numPr>
        <w:rPr>
          <w:b/>
          <w:bCs/>
          <w:rtl/>
        </w:rPr>
      </w:pPr>
      <w:r w:rsidRPr="00326616">
        <w:rPr>
          <w:b/>
          <w:bCs/>
          <w:rtl/>
        </w:rPr>
        <w:t>إضافة إلى الأدبيات العلمية في موضوع التحول الرقمي للقطاع غير الربحي:</w:t>
      </w:r>
    </w:p>
    <w:p w14:paraId="1159B89F" w14:textId="77777777" w:rsidR="00EB7890" w:rsidRDefault="00EB7890" w:rsidP="00EB7890">
      <w:pPr>
        <w:pStyle w:val="ab"/>
        <w:rPr>
          <w:rtl/>
        </w:rPr>
      </w:pPr>
      <w:r>
        <w:rPr>
          <w:rtl/>
        </w:rPr>
        <w:t>يضيف البحث إلى توسيع الفهم الأكاديمي المرتبط بتأثير التكنولوجيا على القطاع غير الربحي، وهو ما يشكل مساهمة كبيرة في الأدبيات العلمية الحالية. كما يساعد في تفسير تأثير التكنولوجيا على كفاءة المنظمات وتوسيع وظيفتها التنموية، مما يعزز وعي الباحثين بأفضل الممارسات الفنية التي يمكن توظيفها في هذا القطاع، وخاصة في سياق التنمية المستدامة</w:t>
      </w:r>
      <w:sdt>
        <w:sdtPr>
          <w:rPr>
            <w:rtl/>
          </w:rPr>
          <w:id w:val="-176035980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Hal22 \l 3073</w:instrText>
          </w:r>
          <w:r>
            <w:rPr>
              <w:rtl/>
            </w:rPr>
            <w:instrText xml:space="preserve"> </w:instrText>
          </w:r>
          <w:r>
            <w:rPr>
              <w:rtl/>
            </w:rPr>
            <w:fldChar w:fldCharType="separate"/>
          </w:r>
          <w:r>
            <w:rPr>
              <w:noProof/>
              <w:rtl/>
            </w:rPr>
            <w:t xml:space="preserve"> </w:t>
          </w:r>
          <w:r>
            <w:rPr>
              <w:rFonts w:hint="cs"/>
              <w:noProof/>
              <w:rtl/>
            </w:rPr>
            <w:t>(</w:t>
          </w:r>
          <w:r>
            <w:rPr>
              <w:rFonts w:hint="cs"/>
              <w:noProof/>
            </w:rPr>
            <w:t>Haleem</w:t>
          </w:r>
          <w:r>
            <w:rPr>
              <w:rFonts w:hint="cs"/>
              <w:noProof/>
              <w:rtl/>
            </w:rPr>
            <w:t>، 2022)</w:t>
          </w:r>
          <w:r>
            <w:rPr>
              <w:rtl/>
            </w:rPr>
            <w:fldChar w:fldCharType="end"/>
          </w:r>
        </w:sdtContent>
      </w:sdt>
      <w:r>
        <w:rPr>
          <w:rtl/>
        </w:rPr>
        <w:t>.</w:t>
      </w:r>
    </w:p>
    <w:p w14:paraId="3A0C6382" w14:textId="77777777" w:rsidR="00EB7890" w:rsidRPr="00326616" w:rsidRDefault="00EB7890" w:rsidP="00EB7890">
      <w:pPr>
        <w:pStyle w:val="ab"/>
        <w:numPr>
          <w:ilvl w:val="0"/>
          <w:numId w:val="3"/>
        </w:numPr>
        <w:rPr>
          <w:b/>
          <w:bCs/>
          <w:rtl/>
        </w:rPr>
      </w:pPr>
      <w:r w:rsidRPr="00326616">
        <w:rPr>
          <w:b/>
          <w:bCs/>
          <w:rtl/>
        </w:rPr>
        <w:t>تحليل العلاقة بين التكنولوجيا والأداء التنظيمي:</w:t>
      </w:r>
    </w:p>
    <w:p w14:paraId="08525177" w14:textId="77777777" w:rsidR="00EB7890" w:rsidRDefault="00EB7890" w:rsidP="00EB7890">
      <w:pPr>
        <w:pStyle w:val="ab"/>
        <w:rPr>
          <w:rtl/>
        </w:rPr>
      </w:pPr>
      <w:r>
        <w:rPr>
          <w:rtl/>
        </w:rPr>
        <w:t>يوفر البحث تحقيقًا للعلاقة بين تبني التكنولوجيا ودرجة كفاءة وأداء المنظمات غير الربحية، مما يعزز المعرفة العلمية بكيفية تحقيق التكنولوجيا للتنمية المستدامة في هذا القطاع. يساعد هذا البحث العلمي في الكشف عن عوامل جديدة تؤثر على أداء المنظمات ويشكل خطوة حاسمة في تطوير الأسس العلمية التي يمكن الاعتماد عليها في البحوث المستقبلية</w:t>
      </w:r>
      <w:sdt>
        <w:sdtPr>
          <w:rPr>
            <w:rtl/>
          </w:rPr>
          <w:id w:val="-30176716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Mar23 \l 3073</w:instrText>
          </w:r>
          <w:r>
            <w:rPr>
              <w:rtl/>
            </w:rPr>
            <w:instrText xml:space="preserve"> </w:instrText>
          </w:r>
          <w:r>
            <w:rPr>
              <w:rtl/>
            </w:rPr>
            <w:fldChar w:fldCharType="separate"/>
          </w:r>
          <w:r>
            <w:rPr>
              <w:noProof/>
              <w:rtl/>
            </w:rPr>
            <w:t xml:space="preserve"> </w:t>
          </w:r>
          <w:r>
            <w:rPr>
              <w:rFonts w:hint="cs"/>
              <w:noProof/>
              <w:rtl/>
            </w:rPr>
            <w:t>(</w:t>
          </w:r>
          <w:r>
            <w:rPr>
              <w:rFonts w:hint="cs"/>
              <w:noProof/>
            </w:rPr>
            <w:t>Martínez-Peláez</w:t>
          </w:r>
          <w:r>
            <w:rPr>
              <w:rFonts w:hint="cs"/>
              <w:noProof/>
              <w:rtl/>
            </w:rPr>
            <w:t>، 2023)</w:t>
          </w:r>
          <w:r>
            <w:rPr>
              <w:rtl/>
            </w:rPr>
            <w:fldChar w:fldCharType="end"/>
          </w:r>
        </w:sdtContent>
      </w:sdt>
      <w:r>
        <w:rPr>
          <w:rtl/>
        </w:rPr>
        <w:t>.</w:t>
      </w:r>
    </w:p>
    <w:p w14:paraId="590BF089" w14:textId="77777777" w:rsidR="00EB7890" w:rsidRPr="00326616" w:rsidRDefault="00EB7890" w:rsidP="00EB7890">
      <w:pPr>
        <w:pStyle w:val="ab"/>
        <w:numPr>
          <w:ilvl w:val="0"/>
          <w:numId w:val="3"/>
        </w:numPr>
        <w:rPr>
          <w:b/>
          <w:bCs/>
          <w:rtl/>
        </w:rPr>
      </w:pPr>
      <w:r w:rsidRPr="00326616">
        <w:rPr>
          <w:b/>
          <w:bCs/>
          <w:rtl/>
        </w:rPr>
        <w:t>إثراء البحث في السياق السعودي:</w:t>
      </w:r>
    </w:p>
    <w:p w14:paraId="3A179B5A" w14:textId="77777777" w:rsidR="00EB7890" w:rsidRDefault="00EB7890" w:rsidP="00EB7890">
      <w:pPr>
        <w:pStyle w:val="ab"/>
        <w:rPr>
          <w:rtl/>
        </w:rPr>
      </w:pPr>
      <w:r>
        <w:rPr>
          <w:rtl/>
        </w:rPr>
        <w:t>يقدم البحث بيانات جديدة عن المنظمات غير الربحية في المملكة العربية السعودية، وهي المنطقة التي لم تحظ بالكثير من الدراسات. ومن خلال دراسة حالة متعمقة، تعمل هذه الدراسة على إثراء المعرفة بالعقبات والإمكانيات المرتبطة باستخدام التكنولوجيا في هذا السياق، مما يسمح للباحثين بمقارنة نتائجها بالدراسات العالمية وكشف الخصوصيات والخصائص المحلية</w:t>
      </w:r>
      <w:sdt>
        <w:sdtPr>
          <w:rPr>
            <w:rtl/>
          </w:rPr>
          <w:id w:val="-126468546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Sal221 \l 3073</w:instrText>
          </w:r>
          <w:r>
            <w:rPr>
              <w:rtl/>
            </w:rPr>
            <w:instrText xml:space="preserve"> </w:instrText>
          </w:r>
          <w:r>
            <w:rPr>
              <w:rtl/>
            </w:rPr>
            <w:fldChar w:fldCharType="separate"/>
          </w:r>
          <w:r>
            <w:rPr>
              <w:noProof/>
              <w:rtl/>
            </w:rPr>
            <w:t xml:space="preserve"> </w:t>
          </w:r>
          <w:r>
            <w:rPr>
              <w:rFonts w:hint="cs"/>
              <w:noProof/>
              <w:rtl/>
            </w:rPr>
            <w:t>(</w:t>
          </w:r>
          <w:r>
            <w:rPr>
              <w:rFonts w:hint="cs"/>
              <w:noProof/>
            </w:rPr>
            <w:t>Salih</w:t>
          </w:r>
          <w:r>
            <w:rPr>
              <w:rFonts w:hint="cs"/>
              <w:noProof/>
              <w:rtl/>
            </w:rPr>
            <w:t>، 2022)</w:t>
          </w:r>
          <w:r>
            <w:rPr>
              <w:rtl/>
            </w:rPr>
            <w:fldChar w:fldCharType="end"/>
          </w:r>
        </w:sdtContent>
      </w:sdt>
      <w:r>
        <w:rPr>
          <w:rtl/>
        </w:rPr>
        <w:t>.</w:t>
      </w:r>
    </w:p>
    <w:p w14:paraId="36AF8E88" w14:textId="77777777" w:rsidR="00EB7890" w:rsidRPr="00326616" w:rsidRDefault="00EB7890" w:rsidP="00EB7890">
      <w:pPr>
        <w:pStyle w:val="ab"/>
        <w:numPr>
          <w:ilvl w:val="0"/>
          <w:numId w:val="3"/>
        </w:numPr>
        <w:rPr>
          <w:b/>
          <w:bCs/>
          <w:rtl/>
        </w:rPr>
      </w:pPr>
      <w:r w:rsidRPr="00326616">
        <w:rPr>
          <w:b/>
          <w:bCs/>
          <w:rtl/>
        </w:rPr>
        <w:t>تطوير إطار نظري لتبني التكنولوجيا في القطاع غير الربحي:</w:t>
      </w:r>
    </w:p>
    <w:p w14:paraId="07FBD226" w14:textId="77777777" w:rsidR="00EB7890" w:rsidRDefault="00EB7890" w:rsidP="00EB7890">
      <w:pPr>
        <w:pStyle w:val="ab"/>
        <w:rPr>
          <w:rtl/>
        </w:rPr>
      </w:pPr>
      <w:r>
        <w:rPr>
          <w:rtl/>
        </w:rPr>
        <w:t>يقدم البحث إطارًا نظريًا يساعد في تفسير تأثير التكنولوجيا على العديد من العمليات داخل المنظمات غير الربحية. قد يكون هذا الإطار النظري مرجعًا للباحثين الذين يستكشفون التحول الرقمي ويبحثون عن نماذج يمكن تقييمها وتنفيذها على المنظمات غير الربحية، مما يحسن الأساس العلمي في هذا القطاع.</w:t>
      </w:r>
    </w:p>
    <w:p w14:paraId="62B9AE01" w14:textId="77777777" w:rsidR="00EB7890" w:rsidRPr="00326616" w:rsidRDefault="00EB7890" w:rsidP="00EB7890">
      <w:pPr>
        <w:pStyle w:val="ab"/>
        <w:numPr>
          <w:ilvl w:val="0"/>
          <w:numId w:val="3"/>
        </w:numPr>
        <w:rPr>
          <w:b/>
          <w:bCs/>
          <w:rtl/>
        </w:rPr>
      </w:pPr>
      <w:r w:rsidRPr="00326616">
        <w:rPr>
          <w:b/>
          <w:bCs/>
          <w:rtl/>
        </w:rPr>
        <w:t>تسليط الضوء على القضايا العلمية في التحول الرقمي:</w:t>
      </w:r>
    </w:p>
    <w:p w14:paraId="08555108" w14:textId="77777777" w:rsidR="00EB7890" w:rsidRDefault="00EB7890" w:rsidP="00EB7890">
      <w:pPr>
        <w:pStyle w:val="ab"/>
        <w:rPr>
          <w:rtl/>
        </w:rPr>
      </w:pPr>
      <w:r>
        <w:rPr>
          <w:rtl/>
        </w:rPr>
        <w:t>يتناول التقرير المشاكل التي تواجه القطاع غير الربحي في تنفيذ التكنولوجيا، مثل نقص الموارد البشرية والتدريب. ويحدد هذا الكتاب الأسس العلمية الأساسية للتغلب على هذه المشاكل، مما يسمح للباحثين بتحديد الأدوات والعمليات التي يمكن إنشاؤها لتمكين التحول الرقمي في ظروف مماثلة، وبالتالي تمهيد الطريق للبحوث المستقبلية التي تركز على تعزيز هذه الأسس</w:t>
      </w:r>
      <w:sdt>
        <w:sdtPr>
          <w:rPr>
            <w:rtl/>
          </w:rPr>
          <w:id w:val="106753385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Vog21 \l 3073</w:instrText>
          </w:r>
          <w:r>
            <w:rPr>
              <w:rtl/>
            </w:rPr>
            <w:instrText xml:space="preserve"> </w:instrText>
          </w:r>
          <w:r>
            <w:rPr>
              <w:rtl/>
            </w:rPr>
            <w:fldChar w:fldCharType="separate"/>
          </w:r>
          <w:r>
            <w:rPr>
              <w:noProof/>
              <w:rtl/>
            </w:rPr>
            <w:t xml:space="preserve"> </w:t>
          </w:r>
          <w:r>
            <w:rPr>
              <w:rFonts w:hint="cs"/>
              <w:noProof/>
              <w:rtl/>
            </w:rPr>
            <w:t>(</w:t>
          </w:r>
          <w:r>
            <w:rPr>
              <w:rFonts w:hint="cs"/>
              <w:noProof/>
            </w:rPr>
            <w:t>Vogelsang</w:t>
          </w:r>
          <w:r>
            <w:rPr>
              <w:rFonts w:hint="cs"/>
              <w:noProof/>
              <w:rtl/>
            </w:rPr>
            <w:t>، 2021)</w:t>
          </w:r>
          <w:r>
            <w:rPr>
              <w:rtl/>
            </w:rPr>
            <w:fldChar w:fldCharType="end"/>
          </w:r>
        </w:sdtContent>
      </w:sdt>
      <w:r>
        <w:rPr>
          <w:rtl/>
        </w:rPr>
        <w:t>.</w:t>
      </w:r>
    </w:p>
    <w:p w14:paraId="4C124C43" w14:textId="77777777" w:rsidR="00EB7890" w:rsidRDefault="00EB7890" w:rsidP="00EB7890">
      <w:pPr>
        <w:pStyle w:val="a"/>
        <w:rPr>
          <w:rtl/>
        </w:rPr>
      </w:pPr>
      <w:r>
        <w:rPr>
          <w:rtl/>
        </w:rPr>
        <w:t>الأهمية العملية للدراسة:</w:t>
      </w:r>
    </w:p>
    <w:p w14:paraId="7504948E" w14:textId="77777777" w:rsidR="00EB7890" w:rsidRPr="00326616" w:rsidRDefault="00EB7890" w:rsidP="00EB7890">
      <w:pPr>
        <w:pStyle w:val="ab"/>
        <w:numPr>
          <w:ilvl w:val="0"/>
          <w:numId w:val="4"/>
        </w:numPr>
        <w:rPr>
          <w:b/>
          <w:bCs/>
          <w:rtl/>
        </w:rPr>
      </w:pPr>
      <w:r w:rsidRPr="00326616">
        <w:rPr>
          <w:b/>
          <w:bCs/>
          <w:rtl/>
        </w:rPr>
        <w:t>تقديم أفكار عملية لتحسين الأداء في المنظمات غير الربحية:</w:t>
      </w:r>
    </w:p>
    <w:p w14:paraId="4BC41335" w14:textId="77777777" w:rsidR="00EB7890" w:rsidRDefault="00EB7890" w:rsidP="00EB7890">
      <w:pPr>
        <w:pStyle w:val="ab"/>
        <w:rPr>
          <w:rtl/>
        </w:rPr>
      </w:pPr>
      <w:r>
        <w:rPr>
          <w:rtl/>
        </w:rPr>
        <w:t>تساعد نتائج البحث في تقديم نصائح عملية لصناع القرار في المنظمات غير الربحية لنشر التكنولوجيا بكفاءة. وتغطي هذه الأفكار كيفية تعزيز إدارة الموارد والتفاعل مع الجهات المانحة وتقديم الخدمات للمستفيدين. وقد تعمل هذه المبادئ العملية على تعزيز أداء المنظمات غير الربحية ومساعدتها على تحقيق أهدافها بكفاءة واستدامة أكبر.</w:t>
      </w:r>
    </w:p>
    <w:p w14:paraId="3C21A967" w14:textId="77777777" w:rsidR="00EB7890" w:rsidRPr="00326616" w:rsidRDefault="00EB7890" w:rsidP="00EB7890">
      <w:pPr>
        <w:pStyle w:val="ab"/>
        <w:numPr>
          <w:ilvl w:val="0"/>
          <w:numId w:val="4"/>
        </w:numPr>
        <w:rPr>
          <w:b/>
          <w:bCs/>
          <w:rtl/>
        </w:rPr>
      </w:pPr>
      <w:r w:rsidRPr="00326616">
        <w:rPr>
          <w:b/>
          <w:bCs/>
          <w:rtl/>
        </w:rPr>
        <w:t>تحقيق التكامل التكنولوجي مع أهداف رؤية 2030:</w:t>
      </w:r>
    </w:p>
    <w:p w14:paraId="726CA364" w14:textId="77777777" w:rsidR="00EB7890" w:rsidRDefault="00EB7890" w:rsidP="00EB7890">
      <w:pPr>
        <w:pStyle w:val="ab"/>
        <w:rPr>
          <w:rtl/>
        </w:rPr>
      </w:pPr>
      <w:r>
        <w:rPr>
          <w:rtl/>
        </w:rPr>
        <w:t>يساعد البحث في ربط خطط المنظمات غير الربحية بأهداف رؤية المملكة 2030 التي تعزز التحول الرقمي في العديد من القطاعات. ويساعد البحث المنظمات على الاستفادة من الخيارات التكنولوجية المتاحة، مما يساهم في تعزيز مكانتها كشريك فعال في تحقيق أهداف التنمية الاجتماعية، ويؤكد على أهمية التكنولوجيا كركيزة لبناء رؤية مستدامة ومؤثرة.</w:t>
      </w:r>
    </w:p>
    <w:p w14:paraId="4CC51E66" w14:textId="77777777" w:rsidR="00EB7890" w:rsidRPr="00326616" w:rsidRDefault="00EB7890" w:rsidP="00EB7890">
      <w:pPr>
        <w:pStyle w:val="ab"/>
        <w:numPr>
          <w:ilvl w:val="0"/>
          <w:numId w:val="4"/>
        </w:numPr>
        <w:rPr>
          <w:b/>
          <w:bCs/>
          <w:rtl/>
        </w:rPr>
      </w:pPr>
      <w:r w:rsidRPr="00326616">
        <w:rPr>
          <w:b/>
          <w:bCs/>
          <w:rtl/>
        </w:rPr>
        <w:t>دعم عملية اتخاذ القرار لأصحاب المصلحة:</w:t>
      </w:r>
    </w:p>
    <w:p w14:paraId="412C1EA0" w14:textId="77777777" w:rsidR="00EB7890" w:rsidRDefault="00EB7890" w:rsidP="00EB7890">
      <w:pPr>
        <w:pStyle w:val="ab"/>
        <w:rPr>
          <w:rtl/>
        </w:rPr>
      </w:pPr>
      <w:r>
        <w:rPr>
          <w:rtl/>
        </w:rPr>
        <w:t>يقدم التقرير حقائق وإحصائيات مفيدة لصناع القرار والممولين في القطاع غير الربحي، لمساعدتهم على اتخاذ خيارات مدروسة حول كيفية تبني التكنولوجيا والاستفادة منها بشكل فعال. تساعد هذه البيانات في دفع استثمارات القطاع وتسهيل التعاون بين الممولين والمنظمات لتحسين الأداء ورفع التأثير الاجتماعي للبرامج والمبادرات.</w:t>
      </w:r>
    </w:p>
    <w:p w14:paraId="549FA55C" w14:textId="77777777" w:rsidR="00EB7890" w:rsidRPr="00326616" w:rsidRDefault="00EB7890" w:rsidP="00EB7890">
      <w:pPr>
        <w:pStyle w:val="ab"/>
        <w:numPr>
          <w:ilvl w:val="0"/>
          <w:numId w:val="4"/>
        </w:numPr>
        <w:rPr>
          <w:b/>
          <w:bCs/>
          <w:rtl/>
        </w:rPr>
      </w:pPr>
      <w:r w:rsidRPr="00326616">
        <w:rPr>
          <w:b/>
          <w:bCs/>
          <w:rtl/>
        </w:rPr>
        <w:t>زيادة الوعي بالصعوبات والحلول التكنولوجية للمنظمات الخيرية:</w:t>
      </w:r>
    </w:p>
    <w:p w14:paraId="0B978DF8" w14:textId="77777777" w:rsidR="00EB7890" w:rsidRDefault="00EB7890" w:rsidP="00EB7890">
      <w:pPr>
        <w:pStyle w:val="ab"/>
        <w:rPr>
          <w:rtl/>
        </w:rPr>
      </w:pPr>
      <w:r>
        <w:rPr>
          <w:rtl/>
        </w:rPr>
        <w:t>يساعد التقرير على زيادة الوعي بأهمية التكنولوجيا في القطاع غير الربحي، ويكشف عن العقبات العملية التي تواجه هذه المجموعات، مثل نقص الموارد وصعوبات التدريب. كما يقدم إجابات عملية تتضمن كيفية التغلب على هذه المشاكل، مما يساعد المنظمات الخيرية على وضع خطط مستدامة تحقق أفضل استخدام للتكنولوجي</w:t>
      </w:r>
      <w:sdt>
        <w:sdtPr>
          <w:rPr>
            <w:rtl/>
          </w:rPr>
          <w:id w:val="-4251682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Jav22 \l 3073</w:instrText>
          </w:r>
          <w:r>
            <w:rPr>
              <w:rtl/>
            </w:rPr>
            <w:instrText xml:space="preserve"> </w:instrText>
          </w:r>
          <w:r>
            <w:rPr>
              <w:rtl/>
            </w:rPr>
            <w:fldChar w:fldCharType="separate"/>
          </w:r>
          <w:r>
            <w:rPr>
              <w:noProof/>
              <w:rtl/>
            </w:rPr>
            <w:t xml:space="preserve"> </w:t>
          </w:r>
          <w:r>
            <w:rPr>
              <w:rFonts w:hint="cs"/>
              <w:noProof/>
              <w:rtl/>
            </w:rPr>
            <w:t>(</w:t>
          </w:r>
          <w:r>
            <w:rPr>
              <w:rFonts w:hint="cs"/>
              <w:noProof/>
            </w:rPr>
            <w:t>Javaid</w:t>
          </w:r>
          <w:r>
            <w:rPr>
              <w:rFonts w:hint="cs"/>
              <w:noProof/>
              <w:rtl/>
            </w:rPr>
            <w:t>، 2022)</w:t>
          </w:r>
          <w:r>
            <w:rPr>
              <w:rtl/>
            </w:rPr>
            <w:fldChar w:fldCharType="end"/>
          </w:r>
        </w:sdtContent>
      </w:sdt>
      <w:r>
        <w:rPr>
          <w:rtl/>
        </w:rPr>
        <w:t>ا.</w:t>
      </w:r>
    </w:p>
    <w:p w14:paraId="502E2AE0" w14:textId="77777777" w:rsidR="00EB7890" w:rsidRPr="00326616" w:rsidRDefault="00EB7890" w:rsidP="00EB7890">
      <w:pPr>
        <w:pStyle w:val="ab"/>
        <w:numPr>
          <w:ilvl w:val="0"/>
          <w:numId w:val="4"/>
        </w:numPr>
        <w:rPr>
          <w:b/>
          <w:bCs/>
          <w:rtl/>
        </w:rPr>
      </w:pPr>
      <w:r w:rsidRPr="00326616">
        <w:rPr>
          <w:b/>
          <w:bCs/>
          <w:rtl/>
        </w:rPr>
        <w:t>تمكين الشركات من توسيع خدماتها وتعزيز جودة الأداء:</w:t>
      </w:r>
    </w:p>
    <w:p w14:paraId="162FADAB" w14:textId="77777777" w:rsidR="00EB7890" w:rsidRDefault="00EB7890" w:rsidP="00EB7890">
      <w:pPr>
        <w:pStyle w:val="ab"/>
        <w:rPr>
          <w:rtl/>
        </w:rPr>
      </w:pPr>
      <w:r>
        <w:rPr>
          <w:rtl/>
        </w:rPr>
        <w:t>يساعد البحث المنظمات غير الربحية على معرفة كيفية تنمية خدماتها باستخدام التكنولوجيا، مما يمكنها من الوصول إلى نسبة أكبر من المستفيدين وتقديم خدمات ذات جودة أعلى. وهذا ينطوي على تعزيز الاتصال وتحسين إدارة المشاريع وتقديم تقارير أداء دقيقة وصادقة. وتساعد هذه المزايا على تعزيز الثقة مع المساهمين والمجتمع، وتحقيق الأهداف الاجتماعية بشكل أكثر فعالية.</w:t>
      </w:r>
    </w:p>
    <w:p w14:paraId="3E2627E0" w14:textId="77777777" w:rsidR="00EB7890" w:rsidRPr="00DA7632" w:rsidRDefault="00EB7890" w:rsidP="00EB7890">
      <w:pPr>
        <w:pStyle w:val="ab"/>
      </w:pPr>
    </w:p>
    <w:p w14:paraId="58D4A366" w14:textId="77777777" w:rsidR="00EB7890" w:rsidRPr="00B94A64" w:rsidRDefault="00EB7890" w:rsidP="00EB7890">
      <w:pPr>
        <w:pStyle w:val="2"/>
        <w:rPr>
          <w:rtl/>
        </w:rPr>
      </w:pPr>
      <w:bookmarkStart w:id="14" w:name="_Toc171379045"/>
      <w:bookmarkStart w:id="15" w:name="_Toc174371286"/>
      <w:bookmarkStart w:id="16" w:name="_Toc179282774"/>
      <w:bookmarkStart w:id="17" w:name="_Toc180619269"/>
      <w:r>
        <w:rPr>
          <w:rtl/>
        </w:rPr>
        <w:t>تساؤلات الدراسة</w:t>
      </w:r>
      <w:r>
        <w:rPr>
          <w:rFonts w:hint="cs"/>
          <w:rtl/>
        </w:rPr>
        <w:t>:</w:t>
      </w:r>
      <w:bookmarkEnd w:id="14"/>
      <w:bookmarkEnd w:id="15"/>
      <w:bookmarkEnd w:id="16"/>
      <w:bookmarkEnd w:id="17"/>
    </w:p>
    <w:p w14:paraId="708D76E3" w14:textId="77777777" w:rsidR="00EB7890" w:rsidRPr="00800A8F" w:rsidRDefault="00EB7890" w:rsidP="00EB7890">
      <w:pPr>
        <w:pStyle w:val="a"/>
        <w:rPr>
          <w:rtl/>
        </w:rPr>
      </w:pPr>
      <w:r w:rsidRPr="00800A8F">
        <w:rPr>
          <w:rtl/>
        </w:rPr>
        <w:t>السؤال الرئيسي للدراسة:</w:t>
      </w:r>
    </w:p>
    <w:p w14:paraId="7E16E5D0" w14:textId="77777777" w:rsidR="00EB7890" w:rsidRPr="00800A8F" w:rsidRDefault="00EB7890" w:rsidP="00EB7890">
      <w:pPr>
        <w:pStyle w:val="ab"/>
        <w:numPr>
          <w:ilvl w:val="0"/>
          <w:numId w:val="5"/>
        </w:numPr>
        <w:rPr>
          <w:rtl/>
        </w:rPr>
      </w:pPr>
      <w:r w:rsidRPr="00800A8F">
        <w:rPr>
          <w:rtl/>
        </w:rPr>
        <w:t>كيف يؤثر استخدام التكنولوجيا على كفاءة وفعالية المنظمات غير الربحية في المملكة العربية السعودية، وما هي المشاكل التي تواجهها في تنفيذ التحول الرقمي للوصول إلى أهدافها؟</w:t>
      </w:r>
    </w:p>
    <w:p w14:paraId="4F7B4670" w14:textId="77777777" w:rsidR="00EB7890" w:rsidRPr="00800A8F" w:rsidRDefault="00EB7890" w:rsidP="00EB7890">
      <w:pPr>
        <w:pStyle w:val="a"/>
        <w:rPr>
          <w:rtl/>
        </w:rPr>
      </w:pPr>
      <w:r w:rsidRPr="00800A8F">
        <w:rPr>
          <w:rtl/>
        </w:rPr>
        <w:t>الأسئلة الفرعية:</w:t>
      </w:r>
    </w:p>
    <w:p w14:paraId="474A037D" w14:textId="77777777" w:rsidR="00EB7890" w:rsidRPr="00800A8F" w:rsidRDefault="00EB7890" w:rsidP="00EB7890">
      <w:pPr>
        <w:pStyle w:val="ab"/>
        <w:numPr>
          <w:ilvl w:val="0"/>
          <w:numId w:val="6"/>
        </w:numPr>
        <w:rPr>
          <w:rtl/>
        </w:rPr>
      </w:pPr>
      <w:r w:rsidRPr="00800A8F">
        <w:rPr>
          <w:rtl/>
        </w:rPr>
        <w:t>إلى أي مدى تؤثر التكنولوجيا في تعزيز كفاءة إدارة الموارد البشرية والمالية في المنظمات غير الربحية؟</w:t>
      </w:r>
    </w:p>
    <w:p w14:paraId="7D74B337" w14:textId="77777777" w:rsidR="00EB7890" w:rsidRPr="00800A8F" w:rsidRDefault="00EB7890" w:rsidP="00EB7890">
      <w:pPr>
        <w:pStyle w:val="ab"/>
        <w:numPr>
          <w:ilvl w:val="0"/>
          <w:numId w:val="6"/>
        </w:numPr>
        <w:rPr>
          <w:rtl/>
        </w:rPr>
      </w:pPr>
      <w:r w:rsidRPr="00800A8F">
        <w:rPr>
          <w:rtl/>
        </w:rPr>
        <w:t>كيف يمكن أن تساعد التكنولوجيا في تعزيز الشفافية وتعزيز ثقة المانحين في المنظمات غير الربحية؟</w:t>
      </w:r>
    </w:p>
    <w:p w14:paraId="010C38E6" w14:textId="77777777" w:rsidR="00EB7890" w:rsidRPr="00800A8F" w:rsidRDefault="00EB7890" w:rsidP="00EB7890">
      <w:pPr>
        <w:pStyle w:val="ab"/>
        <w:numPr>
          <w:ilvl w:val="0"/>
          <w:numId w:val="6"/>
        </w:numPr>
        <w:rPr>
          <w:rtl/>
        </w:rPr>
      </w:pPr>
      <w:r w:rsidRPr="00800A8F">
        <w:rPr>
          <w:rtl/>
        </w:rPr>
        <w:t xml:space="preserve">ما هي الأدوات التقنية الأكثر استخدامًا في إجراءات الاتصال والتواصل بين المنظمات غير الربحية </w:t>
      </w:r>
      <w:proofErr w:type="spellStart"/>
      <w:r w:rsidRPr="00800A8F">
        <w:rPr>
          <w:rtl/>
        </w:rPr>
        <w:t>ومستفيديها</w:t>
      </w:r>
      <w:proofErr w:type="spellEnd"/>
      <w:r w:rsidRPr="00800A8F">
        <w:rPr>
          <w:rtl/>
        </w:rPr>
        <w:t>؟</w:t>
      </w:r>
    </w:p>
    <w:p w14:paraId="4CEF8308" w14:textId="77777777" w:rsidR="00EB7890" w:rsidRPr="00800A8F" w:rsidRDefault="00EB7890" w:rsidP="00EB7890">
      <w:pPr>
        <w:pStyle w:val="ab"/>
        <w:numPr>
          <w:ilvl w:val="0"/>
          <w:numId w:val="6"/>
        </w:numPr>
        <w:rPr>
          <w:rtl/>
        </w:rPr>
      </w:pPr>
      <w:r w:rsidRPr="00800A8F">
        <w:rPr>
          <w:rtl/>
        </w:rPr>
        <w:t>ما هي العقبات المالية التي تواجه المنظمات غير الربحية في دمج أنظمة التكنولوجيا الحديثة؟</w:t>
      </w:r>
    </w:p>
    <w:p w14:paraId="1B829B95" w14:textId="77777777" w:rsidR="00EB7890" w:rsidRPr="00800A8F" w:rsidRDefault="00EB7890" w:rsidP="00EB7890">
      <w:pPr>
        <w:pStyle w:val="ab"/>
        <w:numPr>
          <w:ilvl w:val="0"/>
          <w:numId w:val="6"/>
        </w:numPr>
        <w:rPr>
          <w:rtl/>
        </w:rPr>
      </w:pPr>
      <w:r w:rsidRPr="00800A8F">
        <w:rPr>
          <w:rtl/>
        </w:rPr>
        <w:t>كيف يؤثر غياب الكفاءات البشرية الكفؤة على قدرة المنظمات غير الربحية على تنفيذ التكنولوجيا بشكل فعال؟</w:t>
      </w:r>
    </w:p>
    <w:p w14:paraId="7C97619E" w14:textId="77777777" w:rsidR="00EB7890" w:rsidRPr="00800A8F" w:rsidRDefault="00EB7890" w:rsidP="00EB7890">
      <w:pPr>
        <w:pStyle w:val="ab"/>
        <w:numPr>
          <w:ilvl w:val="0"/>
          <w:numId w:val="6"/>
        </w:numPr>
        <w:rPr>
          <w:rtl/>
        </w:rPr>
      </w:pPr>
      <w:r w:rsidRPr="00800A8F">
        <w:rPr>
          <w:rtl/>
        </w:rPr>
        <w:t>إلى أي مدى يدرك العاملون في القطاع غير الربحي أهمية التكنولوجيا ودورها في تحقيق التحول الرقمي؟</w:t>
      </w:r>
    </w:p>
    <w:p w14:paraId="5688D6F8" w14:textId="77777777" w:rsidR="00EB7890" w:rsidRPr="00F06FB5" w:rsidRDefault="00EB7890" w:rsidP="00EB7890">
      <w:pPr>
        <w:pStyle w:val="ab"/>
        <w:numPr>
          <w:ilvl w:val="0"/>
          <w:numId w:val="6"/>
        </w:numPr>
        <w:rPr>
          <w:rtl/>
        </w:rPr>
      </w:pPr>
      <w:r w:rsidRPr="00800A8F">
        <w:rPr>
          <w:rtl/>
        </w:rPr>
        <w:t>كيف</w:t>
      </w:r>
      <w:r>
        <w:rPr>
          <w:rFonts w:hint="cs"/>
          <w:rtl/>
        </w:rPr>
        <w:t xml:space="preserve"> </w:t>
      </w:r>
      <w:r w:rsidRPr="00800A8F">
        <w:rPr>
          <w:rtl/>
        </w:rPr>
        <w:t>يمكن أن تساعد التكنولوجيا في تبسيط عملية جمع التبرعات وتعزيز قاعدة المانحين للمنظمات غير الربحية؟</w:t>
      </w:r>
    </w:p>
    <w:p w14:paraId="5AABC993" w14:textId="77777777" w:rsidR="00EB7890" w:rsidRPr="00EF65B1" w:rsidRDefault="00EB7890" w:rsidP="00EB7890">
      <w:pPr>
        <w:spacing w:line="360" w:lineRule="auto"/>
        <w:jc w:val="both"/>
        <w:rPr>
          <w:rFonts w:ascii="Sakkal Majalla" w:hAnsi="Sakkal Majalla" w:cs="Sakkal Majalla"/>
          <w:sz w:val="28"/>
          <w:szCs w:val="28"/>
          <w:rtl/>
          <w:lang w:bidi="ar-EG"/>
        </w:rPr>
      </w:pPr>
    </w:p>
    <w:p w14:paraId="0B60F24F" w14:textId="77777777" w:rsidR="00EB7890" w:rsidRDefault="00EB7890" w:rsidP="00EB7890">
      <w:pPr>
        <w:pStyle w:val="2"/>
      </w:pPr>
      <w:bookmarkStart w:id="18" w:name="_Toc171379046"/>
      <w:bookmarkStart w:id="19" w:name="_Toc174371287"/>
      <w:bookmarkStart w:id="20" w:name="_Toc179282775"/>
      <w:bookmarkStart w:id="21" w:name="_Toc180619270"/>
      <w:r>
        <w:rPr>
          <w:rtl/>
        </w:rPr>
        <w:t>فر</w:t>
      </w:r>
      <w:r>
        <w:rPr>
          <w:rFonts w:hint="cs"/>
          <w:rtl/>
        </w:rPr>
        <w:t>ضيات</w:t>
      </w:r>
      <w:r>
        <w:rPr>
          <w:rtl/>
        </w:rPr>
        <w:t xml:space="preserve"> الدراسة:</w:t>
      </w:r>
      <w:bookmarkEnd w:id="18"/>
      <w:bookmarkEnd w:id="19"/>
      <w:bookmarkEnd w:id="20"/>
      <w:bookmarkEnd w:id="21"/>
    </w:p>
    <w:p w14:paraId="213C7560" w14:textId="77777777" w:rsidR="00EB7890" w:rsidRPr="00800A8F" w:rsidRDefault="00EB7890" w:rsidP="00EB7890">
      <w:pPr>
        <w:pStyle w:val="a"/>
        <w:rPr>
          <w:rtl/>
        </w:rPr>
      </w:pPr>
      <w:r w:rsidRPr="00800A8F">
        <w:rPr>
          <w:rtl/>
        </w:rPr>
        <w:t>الفرضية الرئيسية للدراسة:</w:t>
      </w:r>
    </w:p>
    <w:p w14:paraId="276FB1F4" w14:textId="77777777" w:rsidR="00EB7890" w:rsidRPr="00800A8F" w:rsidRDefault="00EB7890" w:rsidP="00EB7890">
      <w:pPr>
        <w:pStyle w:val="ab"/>
        <w:numPr>
          <w:ilvl w:val="0"/>
          <w:numId w:val="7"/>
        </w:numPr>
        <w:rPr>
          <w:rtl/>
        </w:rPr>
      </w:pPr>
      <w:r w:rsidRPr="00800A8F">
        <w:rPr>
          <w:rtl/>
        </w:rPr>
        <w:t>إن التكنولوجيا تعمل على تحسين كفاءة وفعالية المنظمات غير الربحية في المملكة العربية السعودية بشكل إيجابي، مما يساعد على تعزيز استدامتها وتوسيع تأثيرها الاجتماعي.</w:t>
      </w:r>
    </w:p>
    <w:p w14:paraId="030A9B76" w14:textId="77777777" w:rsidR="00EB7890" w:rsidRPr="00800A8F" w:rsidRDefault="00EB7890" w:rsidP="00EB7890">
      <w:pPr>
        <w:pStyle w:val="a"/>
        <w:rPr>
          <w:rtl/>
        </w:rPr>
      </w:pPr>
      <w:r w:rsidRPr="00800A8F">
        <w:rPr>
          <w:rtl/>
        </w:rPr>
        <w:t>الفرضيات الفرعية:</w:t>
      </w:r>
    </w:p>
    <w:p w14:paraId="48FAABB9" w14:textId="77777777" w:rsidR="00EB7890" w:rsidRPr="00800A8F" w:rsidRDefault="00EB7890" w:rsidP="00EB7890">
      <w:pPr>
        <w:pStyle w:val="ab"/>
        <w:numPr>
          <w:ilvl w:val="0"/>
          <w:numId w:val="8"/>
        </w:numPr>
        <w:rPr>
          <w:rtl/>
        </w:rPr>
      </w:pPr>
      <w:r w:rsidRPr="00800A8F">
        <w:rPr>
          <w:rtl/>
        </w:rPr>
        <w:t>إن الأنظمة التكنولوجية تساعد على زيادة فعالية إدارة الموارد البشرية والمالية في المنظمات غير الربحية.</w:t>
      </w:r>
    </w:p>
    <w:p w14:paraId="539AB857" w14:textId="77777777" w:rsidR="00EB7890" w:rsidRPr="00800A8F" w:rsidRDefault="00EB7890" w:rsidP="00EB7890">
      <w:pPr>
        <w:pStyle w:val="ab"/>
        <w:numPr>
          <w:ilvl w:val="0"/>
          <w:numId w:val="8"/>
        </w:numPr>
        <w:rPr>
          <w:rtl/>
        </w:rPr>
      </w:pPr>
      <w:r w:rsidRPr="00800A8F">
        <w:rPr>
          <w:rtl/>
        </w:rPr>
        <w:t>إن استخدام التكنولوجيا يزيد من مقدار الشفافية والثقة بين المساهمين والمنظمات غير الربحية.</w:t>
      </w:r>
    </w:p>
    <w:p w14:paraId="719ED42B" w14:textId="77777777" w:rsidR="00EB7890" w:rsidRPr="00800A8F" w:rsidRDefault="00EB7890" w:rsidP="00EB7890">
      <w:pPr>
        <w:pStyle w:val="ab"/>
        <w:numPr>
          <w:ilvl w:val="0"/>
          <w:numId w:val="8"/>
        </w:numPr>
        <w:rPr>
          <w:rtl/>
        </w:rPr>
      </w:pPr>
      <w:r w:rsidRPr="00800A8F">
        <w:rPr>
          <w:rtl/>
        </w:rPr>
        <w:t xml:space="preserve">إن التقنيات التكنولوجية تساعد في تعزيز قنوات الاتصال والمشاركة بين المنظمات غير الربحية </w:t>
      </w:r>
      <w:proofErr w:type="spellStart"/>
      <w:r w:rsidRPr="00800A8F">
        <w:rPr>
          <w:rtl/>
        </w:rPr>
        <w:t>ومستفيديها</w:t>
      </w:r>
      <w:proofErr w:type="spellEnd"/>
      <w:r w:rsidRPr="00800A8F">
        <w:rPr>
          <w:rtl/>
        </w:rPr>
        <w:t>.</w:t>
      </w:r>
    </w:p>
    <w:p w14:paraId="753E6B68" w14:textId="77777777" w:rsidR="00EB7890" w:rsidRPr="00800A8F" w:rsidRDefault="00EB7890" w:rsidP="00EB7890">
      <w:pPr>
        <w:pStyle w:val="ab"/>
        <w:numPr>
          <w:ilvl w:val="0"/>
          <w:numId w:val="8"/>
        </w:numPr>
        <w:rPr>
          <w:rtl/>
        </w:rPr>
      </w:pPr>
      <w:r w:rsidRPr="00800A8F">
        <w:rPr>
          <w:rtl/>
        </w:rPr>
        <w:t>إن القضايا المالية تشكل عقبة أمام قدرة المنظمات غير الربحية على تبني الحلول التقنية المبتكرة.</w:t>
      </w:r>
    </w:p>
    <w:p w14:paraId="76AB634C" w14:textId="77777777" w:rsidR="00EB7890" w:rsidRPr="00800A8F" w:rsidRDefault="00EB7890" w:rsidP="00EB7890">
      <w:pPr>
        <w:pStyle w:val="ab"/>
        <w:numPr>
          <w:ilvl w:val="0"/>
          <w:numId w:val="8"/>
        </w:numPr>
        <w:rPr>
          <w:rtl/>
        </w:rPr>
      </w:pPr>
      <w:r w:rsidRPr="00800A8F">
        <w:rPr>
          <w:rtl/>
        </w:rPr>
        <w:t>إن غياب الكفاءات البشرية الماهرة يزيد من الاستخدام المحدود للتكنولوجيا داخل المنظمات غير الربحية.</w:t>
      </w:r>
    </w:p>
    <w:p w14:paraId="280D57D1" w14:textId="77777777" w:rsidR="00EB7890" w:rsidRPr="00800A8F" w:rsidRDefault="00EB7890" w:rsidP="00EB7890">
      <w:pPr>
        <w:pStyle w:val="ab"/>
        <w:numPr>
          <w:ilvl w:val="0"/>
          <w:numId w:val="8"/>
        </w:numPr>
        <w:rPr>
          <w:rtl/>
        </w:rPr>
      </w:pPr>
      <w:r w:rsidRPr="00800A8F">
        <w:rPr>
          <w:rtl/>
        </w:rPr>
        <w:t>إن زيادة الوعي بقيمة التكنولوجيا يساعد على التحول الرقمي في المنظمات غير الربحية.</w:t>
      </w:r>
    </w:p>
    <w:p w14:paraId="22EEB47C" w14:textId="77777777" w:rsidR="00EB7890" w:rsidRPr="00800A8F" w:rsidRDefault="00EB7890" w:rsidP="00EB7890">
      <w:pPr>
        <w:pStyle w:val="ab"/>
        <w:numPr>
          <w:ilvl w:val="0"/>
          <w:numId w:val="8"/>
        </w:numPr>
        <w:rPr>
          <w:rtl/>
        </w:rPr>
      </w:pPr>
      <w:r w:rsidRPr="00800A8F">
        <w:rPr>
          <w:rtl/>
        </w:rPr>
        <w:t>إن التكنولوجيا تساعد في تسريع عملية جمع التبرعات وتعزيز قاعدة المانحين للمنظمات غير الربحية.</w:t>
      </w:r>
    </w:p>
    <w:p w14:paraId="3A8EBE6E" w14:textId="77777777" w:rsidR="00EB7890" w:rsidRPr="003C2C57" w:rsidRDefault="00EB7890" w:rsidP="00EB7890">
      <w:pPr>
        <w:pStyle w:val="ab"/>
        <w:rPr>
          <w:rtl/>
        </w:rPr>
      </w:pPr>
    </w:p>
    <w:p w14:paraId="112C6372" w14:textId="77777777" w:rsidR="00EB7890" w:rsidRPr="00332D45" w:rsidRDefault="00EB7890" w:rsidP="00EB7890">
      <w:pPr>
        <w:pStyle w:val="2"/>
        <w:rPr>
          <w:rtl/>
        </w:rPr>
      </w:pPr>
      <w:bookmarkStart w:id="22" w:name="_Toc180418603"/>
      <w:bookmarkStart w:id="23" w:name="_Toc180619271"/>
      <w:r w:rsidRPr="00332D45">
        <w:rPr>
          <w:rtl/>
        </w:rPr>
        <w:t>النظرية العلمية المتبعة لإعداد البحث</w:t>
      </w:r>
      <w:bookmarkEnd w:id="22"/>
      <w:bookmarkEnd w:id="23"/>
    </w:p>
    <w:p w14:paraId="6EEFCBF3" w14:textId="77777777" w:rsidR="00EB7890" w:rsidRPr="00BC5530" w:rsidRDefault="00EB7890" w:rsidP="00EB7890">
      <w:pPr>
        <w:pStyle w:val="ab"/>
        <w:numPr>
          <w:ilvl w:val="0"/>
          <w:numId w:val="9"/>
        </w:numPr>
        <w:rPr>
          <w:b/>
          <w:bCs/>
          <w:rtl/>
        </w:rPr>
      </w:pPr>
      <w:r w:rsidRPr="00BC5530">
        <w:rPr>
          <w:b/>
          <w:bCs/>
          <w:rtl/>
        </w:rPr>
        <w:t>نظرية إدارة المعرفة</w:t>
      </w:r>
    </w:p>
    <w:p w14:paraId="00702AAF" w14:textId="77777777" w:rsidR="00EB7890" w:rsidRDefault="00EB7890" w:rsidP="00EB7890">
      <w:pPr>
        <w:pStyle w:val="ab"/>
        <w:rPr>
          <w:rtl/>
        </w:rPr>
      </w:pPr>
      <w:r>
        <w:rPr>
          <w:rtl/>
        </w:rPr>
        <w:t>تركز نظرية إدارة المعرفة على كيفية اكتساب المعرفة ونشرها واستخدامها داخل الشركات. هذه الفكرة بالغة الأهمية لفهم كيفية توظيف المنظمات غير الربحية للتكنولوجيا لتحسين عملياتها الداخلية وتعزيز فعاليتها. من خلال استخدام مفاهيم إدارة المعرفة، قد تعزز الشركات تبادل المعلومات بين العمال والمتطوعين، مما يزيد من الأداء العام. يغطي هذا النهج أيضًا ضرورة تسجيل المعلومات والسماح بالوصول إليها، مما يعزز القدرة على اتخاذ خيارات قائمة على الأدلة ويساعد في تحقيق الأهداف الاستراتيجية</w:t>
      </w:r>
      <w:sdt>
        <w:sdtPr>
          <w:rPr>
            <w:rtl/>
          </w:rPr>
          <w:id w:val="123266722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Let04 \l 3073</w:instrText>
          </w:r>
          <w:r>
            <w:rPr>
              <w:rtl/>
            </w:rPr>
            <w:instrText xml:space="preserve"> </w:instrText>
          </w:r>
          <w:r>
            <w:rPr>
              <w:rtl/>
            </w:rPr>
            <w:fldChar w:fldCharType="separate"/>
          </w:r>
          <w:r>
            <w:rPr>
              <w:noProof/>
              <w:rtl/>
            </w:rPr>
            <w:t xml:space="preserve"> </w:t>
          </w:r>
          <w:r>
            <w:rPr>
              <w:rFonts w:hint="cs"/>
              <w:noProof/>
              <w:rtl/>
            </w:rPr>
            <w:t>(</w:t>
          </w:r>
          <w:r>
            <w:rPr>
              <w:rFonts w:hint="cs"/>
              <w:noProof/>
            </w:rPr>
            <w:t>Lettieri</w:t>
          </w:r>
          <w:r>
            <w:rPr>
              <w:rFonts w:hint="cs"/>
              <w:noProof/>
              <w:rtl/>
            </w:rPr>
            <w:t>، 2004)</w:t>
          </w:r>
          <w:r>
            <w:rPr>
              <w:rtl/>
            </w:rPr>
            <w:fldChar w:fldCharType="end"/>
          </w:r>
        </w:sdtContent>
      </w:sdt>
      <w:r>
        <w:rPr>
          <w:rtl/>
        </w:rPr>
        <w:t>.</w:t>
      </w:r>
    </w:p>
    <w:p w14:paraId="6A22235C" w14:textId="77777777" w:rsidR="00EB7890" w:rsidRPr="00BC5530" w:rsidRDefault="00EB7890" w:rsidP="00EB7890">
      <w:pPr>
        <w:pStyle w:val="ab"/>
        <w:numPr>
          <w:ilvl w:val="0"/>
          <w:numId w:val="9"/>
        </w:numPr>
        <w:rPr>
          <w:b/>
          <w:bCs/>
          <w:rtl/>
        </w:rPr>
      </w:pPr>
      <w:r w:rsidRPr="00BC5530">
        <w:rPr>
          <w:b/>
          <w:bCs/>
          <w:rtl/>
        </w:rPr>
        <w:t>نظرية الابتكار</w:t>
      </w:r>
    </w:p>
    <w:p w14:paraId="3AB36B92" w14:textId="77777777" w:rsidR="00EB7890" w:rsidRDefault="00EB7890" w:rsidP="00EB7890">
      <w:pPr>
        <w:pStyle w:val="ab"/>
        <w:rPr>
          <w:rtl/>
        </w:rPr>
      </w:pPr>
      <w:r>
        <w:rPr>
          <w:rtl/>
        </w:rPr>
        <w:t>تغطي نظرية الابتكار كيفية تبني الأفكار الجديدة ونشرها في جميع أنحاء الشركات. تلعب التكنولوجيا دورًا حاسمًا في تشجيع الابتكار، حيث قد تساعد المنظمات الخيرية في ابتكار حلول جديدة للمخاوف المجتمعية. تشير هذه الفرضية إلى أن الجو الداعم وتقنيات الإدارة الكفؤة تساهم في تعزيز الإبداع. من خلال التحقيق في هذه الفكرة، من الممكن فهم كيف يمكن للمنظمات غير الربحية استخدام التكنولوجيا لتحفيز الابتكار الاجتماعي وتقديم خدمات جديدة تناسب احتياجات المجتمع بشكل أفضل</w:t>
      </w:r>
      <w:sdt>
        <w:sdtPr>
          <w:rPr>
            <w:rtl/>
          </w:rPr>
          <w:id w:val="72526401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Ram23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Ramani</w:t>
          </w:r>
          <w:r>
            <w:rPr>
              <w:rFonts w:hint="cs"/>
              <w:noProof/>
              <w:rtl/>
            </w:rPr>
            <w:t>، 2023)</w:t>
          </w:r>
          <w:r>
            <w:rPr>
              <w:rtl/>
            </w:rPr>
            <w:fldChar w:fldCharType="end"/>
          </w:r>
        </w:sdtContent>
      </w:sdt>
      <w:r>
        <w:rPr>
          <w:rtl/>
        </w:rPr>
        <w:t>.</w:t>
      </w:r>
    </w:p>
    <w:p w14:paraId="10329B9B" w14:textId="77777777" w:rsidR="00EB7890" w:rsidRPr="00BC5530" w:rsidRDefault="00EB7890" w:rsidP="00EB7890">
      <w:pPr>
        <w:pStyle w:val="ab"/>
        <w:numPr>
          <w:ilvl w:val="0"/>
          <w:numId w:val="9"/>
        </w:numPr>
        <w:rPr>
          <w:b/>
          <w:bCs/>
          <w:rtl/>
        </w:rPr>
      </w:pPr>
      <w:r w:rsidRPr="00BC5530">
        <w:rPr>
          <w:b/>
          <w:bCs/>
          <w:rtl/>
        </w:rPr>
        <w:t>نظرية قبول التكنولوجيا</w:t>
      </w:r>
    </w:p>
    <w:p w14:paraId="00883B71" w14:textId="77777777" w:rsidR="00EB7890" w:rsidRDefault="00EB7890" w:rsidP="00EB7890">
      <w:pPr>
        <w:pStyle w:val="ab"/>
        <w:rPr>
          <w:rtl/>
        </w:rPr>
      </w:pPr>
      <w:r>
        <w:rPr>
          <w:rtl/>
        </w:rPr>
        <w:t>تبحث هذه النظرية في العناصر التي تؤثر على تبني الأفراد للتكنولوجيات الجديدة. وتزعم أن سهولة الاستخدام والمزايا الملموسة للتكنولوجيا تؤثر على اختيار الأفراد والمنظمات لاحتضانها. وهذه الفكرة بالغة الأهمية لفهم كيفية تبني المنظمات غير الربحية للتكنولوجيا الجديدة، لأنها تساعد في تحديد العناصر التي قد تعيق أو تزيد من تبني التكنولوجيا. ومن خلال تحليل هذه الفرضية، يمكن ابتكار مبادرات لتعزيز تبني التكنولوجيا بين العمال والمتطوعين في هذه الشركات</w:t>
      </w:r>
      <w:sdt>
        <w:sdtPr>
          <w:rPr>
            <w:rtl/>
          </w:rPr>
          <w:id w:val="43802843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Mug17 \l 3073</w:instrText>
          </w:r>
          <w:r>
            <w:rPr>
              <w:rtl/>
            </w:rPr>
            <w:instrText xml:space="preserve"> </w:instrText>
          </w:r>
          <w:r>
            <w:rPr>
              <w:rtl/>
            </w:rPr>
            <w:fldChar w:fldCharType="separate"/>
          </w:r>
          <w:r>
            <w:rPr>
              <w:noProof/>
              <w:rtl/>
            </w:rPr>
            <w:t xml:space="preserve"> </w:t>
          </w:r>
          <w:r>
            <w:rPr>
              <w:rFonts w:hint="cs"/>
              <w:noProof/>
              <w:rtl/>
            </w:rPr>
            <w:t>(</w:t>
          </w:r>
          <w:r>
            <w:rPr>
              <w:rFonts w:hint="cs"/>
              <w:noProof/>
            </w:rPr>
            <w:t>Mugo</w:t>
          </w:r>
          <w:r>
            <w:rPr>
              <w:rFonts w:hint="cs"/>
              <w:noProof/>
              <w:rtl/>
            </w:rPr>
            <w:t>، 2017)</w:t>
          </w:r>
          <w:r>
            <w:rPr>
              <w:rtl/>
            </w:rPr>
            <w:fldChar w:fldCharType="end"/>
          </w:r>
        </w:sdtContent>
      </w:sdt>
      <w:r>
        <w:rPr>
          <w:rtl/>
        </w:rPr>
        <w:t>.</w:t>
      </w:r>
    </w:p>
    <w:p w14:paraId="055CFF06" w14:textId="77777777" w:rsidR="00EB7890" w:rsidRPr="00BC5530" w:rsidRDefault="00EB7890" w:rsidP="00EB7890">
      <w:pPr>
        <w:pStyle w:val="ab"/>
        <w:numPr>
          <w:ilvl w:val="0"/>
          <w:numId w:val="9"/>
        </w:numPr>
        <w:rPr>
          <w:b/>
          <w:bCs/>
          <w:rtl/>
        </w:rPr>
      </w:pPr>
      <w:r w:rsidRPr="00BC5530">
        <w:rPr>
          <w:b/>
          <w:bCs/>
          <w:rtl/>
        </w:rPr>
        <w:t>نظرية النظم الاجتماعية</w:t>
      </w:r>
    </w:p>
    <w:p w14:paraId="5BB039A8" w14:textId="77777777" w:rsidR="00EB7890" w:rsidRDefault="00EB7890" w:rsidP="00EB7890">
      <w:pPr>
        <w:pStyle w:val="ab"/>
        <w:rPr>
          <w:rtl/>
        </w:rPr>
      </w:pPr>
      <w:r>
        <w:rPr>
          <w:rtl/>
        </w:rPr>
        <w:t>تؤكد هذه الفكرة على تفاعل الأشخاص داخل الشركات وكيف يؤثر الهيكل الاجتماعي على الأداء التنظيمي. وتؤكد على أهمية التفاعلات الاجتماعية والاتصال الفعّال في تسهيل التعاون والتنسيق داخل الشركات. وبالنسبة للمنظمات غير الربحية، يمكن استخدام هذه الفكرة لتحليل كيفية تأثير الثقافة التنظيمية والشبكات الاجتماعية على استخدام التكنولوجيا. وهذا يساعد في تحديد طرق تحسين العمليات الداخلية وتعزيز فعالية البرامج والمبادرات باستخدام تكنولوجيا المعلومات</w:t>
      </w:r>
      <w:sdt>
        <w:sdtPr>
          <w:rPr>
            <w:rtl/>
          </w:rPr>
          <w:id w:val="125007522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Cas20 \l 3073</w:instrText>
          </w:r>
          <w:r>
            <w:rPr>
              <w:rtl/>
            </w:rPr>
            <w:instrText xml:space="preserve"> </w:instrText>
          </w:r>
          <w:r>
            <w:rPr>
              <w:rtl/>
            </w:rPr>
            <w:fldChar w:fldCharType="separate"/>
          </w:r>
          <w:r>
            <w:rPr>
              <w:noProof/>
              <w:rtl/>
            </w:rPr>
            <w:t xml:space="preserve"> </w:t>
          </w:r>
          <w:r>
            <w:rPr>
              <w:rFonts w:hint="cs"/>
              <w:noProof/>
              <w:rtl/>
            </w:rPr>
            <w:t>(</w:t>
          </w:r>
          <w:r>
            <w:rPr>
              <w:rFonts w:hint="cs"/>
              <w:noProof/>
            </w:rPr>
            <w:t>Castañe</w:t>
          </w:r>
          <w:r>
            <w:rPr>
              <w:rFonts w:hint="cs"/>
              <w:noProof/>
              <w:rtl/>
            </w:rPr>
            <w:t>، 2020)</w:t>
          </w:r>
          <w:r>
            <w:rPr>
              <w:rtl/>
            </w:rPr>
            <w:fldChar w:fldCharType="end"/>
          </w:r>
        </w:sdtContent>
      </w:sdt>
      <w:r>
        <w:rPr>
          <w:rtl/>
        </w:rPr>
        <w:t>.</w:t>
      </w:r>
    </w:p>
    <w:p w14:paraId="12A0DB60" w14:textId="77777777" w:rsidR="00EB7890" w:rsidRPr="00BC5530" w:rsidRDefault="00EB7890" w:rsidP="00EB7890">
      <w:pPr>
        <w:pStyle w:val="ab"/>
        <w:numPr>
          <w:ilvl w:val="0"/>
          <w:numId w:val="9"/>
        </w:numPr>
        <w:rPr>
          <w:b/>
          <w:bCs/>
          <w:rtl/>
        </w:rPr>
      </w:pPr>
      <w:r w:rsidRPr="00BC5530">
        <w:rPr>
          <w:b/>
          <w:bCs/>
          <w:rtl/>
        </w:rPr>
        <w:t>نظرية الاقتصاد الاجتماعي</w:t>
      </w:r>
    </w:p>
    <w:p w14:paraId="400CB755" w14:textId="77777777" w:rsidR="00EB7890" w:rsidRDefault="00EB7890" w:rsidP="00EB7890">
      <w:pPr>
        <w:pStyle w:val="ab"/>
        <w:rPr>
          <w:rtl/>
        </w:rPr>
      </w:pPr>
      <w:r>
        <w:rPr>
          <w:rtl/>
        </w:rPr>
        <w:t>تركز هذه النظرية على دور القطاع غير الربحي في الاقتصاد الأكبر وتأثيره على النمو الاجتماعي والاقتصادي. إن هذه الفكرة حيوية لفهم كيفية مساعدة المنظمات غير الربحية في تحقيق أهداف التنمية المستدامة. ومن خلال دراسة هذه النظرية، يصبح من الممكن دراسة كيفية مساعدة التكنولوجيا في تعزيز الكفاءة والشفافية في العمليات الاقتصادية للمنظمات غير الربحية. وتساعد هذه المعلومات في صياغة استراتيجيات تستهدف تحسين الأداء وتعزيز التأثير الاجتماعي للمنظمات في المجتمع</w:t>
      </w:r>
      <w:sdt>
        <w:sdtPr>
          <w:rPr>
            <w:rtl/>
          </w:rPr>
          <w:id w:val="-35882128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Dul19 \l 3073</w:instrText>
          </w:r>
          <w:r>
            <w:rPr>
              <w:rtl/>
            </w:rPr>
            <w:instrText xml:space="preserve"> </w:instrText>
          </w:r>
          <w:r>
            <w:rPr>
              <w:rtl/>
            </w:rPr>
            <w:fldChar w:fldCharType="separate"/>
          </w:r>
          <w:r>
            <w:rPr>
              <w:noProof/>
              <w:rtl/>
            </w:rPr>
            <w:t xml:space="preserve"> </w:t>
          </w:r>
          <w:r>
            <w:rPr>
              <w:rFonts w:hint="cs"/>
              <w:noProof/>
              <w:rtl/>
            </w:rPr>
            <w:t>(</w:t>
          </w:r>
          <w:r>
            <w:rPr>
              <w:rFonts w:hint="cs"/>
              <w:noProof/>
            </w:rPr>
            <w:t>Dulkadiroglu</w:t>
          </w:r>
          <w:r>
            <w:rPr>
              <w:rFonts w:hint="cs"/>
              <w:noProof/>
              <w:rtl/>
            </w:rPr>
            <w:t>، 2019)</w:t>
          </w:r>
          <w:r>
            <w:rPr>
              <w:rtl/>
            </w:rPr>
            <w:fldChar w:fldCharType="end"/>
          </w:r>
        </w:sdtContent>
      </w:sdt>
      <w:r>
        <w:rPr>
          <w:rtl/>
        </w:rPr>
        <w:t>.</w:t>
      </w:r>
    </w:p>
    <w:p w14:paraId="42E22054" w14:textId="77777777" w:rsidR="00EB7890" w:rsidRDefault="00EB7890" w:rsidP="00EB7890">
      <w:pPr>
        <w:pStyle w:val="ab"/>
        <w:rPr>
          <w:rtl/>
        </w:rPr>
      </w:pPr>
    </w:p>
    <w:p w14:paraId="77FF184B" w14:textId="77777777" w:rsidR="00EB7890" w:rsidRDefault="00EB7890" w:rsidP="00EB7890">
      <w:pPr>
        <w:pStyle w:val="ab"/>
        <w:rPr>
          <w:rtl/>
        </w:rPr>
      </w:pPr>
    </w:p>
    <w:p w14:paraId="1053F706" w14:textId="77777777" w:rsidR="00EB7890" w:rsidRDefault="00EB7890" w:rsidP="00EB7890">
      <w:pPr>
        <w:pStyle w:val="ab"/>
        <w:rPr>
          <w:rtl/>
        </w:rPr>
      </w:pPr>
    </w:p>
    <w:p w14:paraId="00386BBD" w14:textId="77777777" w:rsidR="00EB7890" w:rsidRDefault="00EB7890" w:rsidP="00EB7890">
      <w:pPr>
        <w:pStyle w:val="ab"/>
        <w:rPr>
          <w:rtl/>
        </w:rPr>
      </w:pPr>
    </w:p>
    <w:p w14:paraId="0F89DAE0" w14:textId="77777777" w:rsidR="00EB7890" w:rsidRDefault="00EB7890" w:rsidP="00EB7890">
      <w:pPr>
        <w:pStyle w:val="ab"/>
        <w:rPr>
          <w:rtl/>
        </w:rPr>
      </w:pPr>
    </w:p>
    <w:p w14:paraId="369E731B" w14:textId="77777777" w:rsidR="00EB7890" w:rsidRDefault="00EB7890" w:rsidP="00EB7890">
      <w:pPr>
        <w:pStyle w:val="ab"/>
        <w:rPr>
          <w:rtl/>
        </w:rPr>
      </w:pPr>
    </w:p>
    <w:p w14:paraId="77B2AFB3" w14:textId="77777777" w:rsidR="00EB7890" w:rsidRDefault="00EB7890" w:rsidP="00EB7890">
      <w:pPr>
        <w:rPr>
          <w:rFonts w:ascii="Sakkal Majalla" w:hAnsi="Sakkal Majalla" w:cs="Sakkal Majalla"/>
          <w:sz w:val="28"/>
          <w:szCs w:val="28"/>
          <w:rtl/>
        </w:rPr>
      </w:pPr>
    </w:p>
    <w:p w14:paraId="1D0B50BA" w14:textId="77777777" w:rsidR="00EB7890" w:rsidRDefault="00EB7890" w:rsidP="00EB7890">
      <w:pPr>
        <w:rPr>
          <w:rtl/>
          <w:lang w:bidi="ar-EG"/>
        </w:rPr>
      </w:pPr>
    </w:p>
    <w:p w14:paraId="5624BC39" w14:textId="77777777" w:rsidR="00EB7890" w:rsidRDefault="00EB7890" w:rsidP="00EB7890">
      <w:pPr>
        <w:rPr>
          <w:rtl/>
          <w:lang w:bidi="ar-EG"/>
        </w:rPr>
      </w:pPr>
    </w:p>
    <w:p w14:paraId="5A55A994" w14:textId="77777777" w:rsidR="00EB7890" w:rsidRDefault="00EB7890" w:rsidP="00EB7890">
      <w:pPr>
        <w:rPr>
          <w:rtl/>
          <w:lang w:bidi="ar-EG"/>
        </w:rPr>
      </w:pPr>
    </w:p>
    <w:p w14:paraId="23576890" w14:textId="77777777" w:rsidR="00EB7890" w:rsidRDefault="00EB7890" w:rsidP="00EB7890">
      <w:pPr>
        <w:rPr>
          <w:rtl/>
          <w:lang w:bidi="ar-EG"/>
        </w:rPr>
      </w:pPr>
    </w:p>
    <w:p w14:paraId="6B530EF6" w14:textId="77777777" w:rsidR="00EB7890" w:rsidRDefault="00EB7890" w:rsidP="00EB7890">
      <w:pPr>
        <w:rPr>
          <w:rtl/>
          <w:lang w:bidi="ar-EG"/>
        </w:rPr>
      </w:pPr>
    </w:p>
    <w:p w14:paraId="6C71EB7A" w14:textId="77777777" w:rsidR="00EB7890" w:rsidRDefault="00EB7890" w:rsidP="00EB7890">
      <w:pPr>
        <w:rPr>
          <w:rtl/>
          <w:lang w:bidi="ar-EG"/>
        </w:rPr>
      </w:pPr>
    </w:p>
    <w:p w14:paraId="696387C0" w14:textId="77777777" w:rsidR="00EB7890" w:rsidRDefault="00EB7890" w:rsidP="00EB7890">
      <w:pPr>
        <w:rPr>
          <w:rtl/>
          <w:lang w:bidi="ar-EG"/>
        </w:rPr>
      </w:pPr>
    </w:p>
    <w:p w14:paraId="2A5BC843" w14:textId="77777777" w:rsidR="00EB7890" w:rsidRDefault="00EB7890" w:rsidP="00EB7890">
      <w:pPr>
        <w:rPr>
          <w:rtl/>
          <w:lang w:bidi="ar-EG"/>
        </w:rPr>
      </w:pPr>
    </w:p>
    <w:p w14:paraId="1E1E8151" w14:textId="77777777" w:rsidR="00EB7890" w:rsidRDefault="00EB7890" w:rsidP="00EB7890">
      <w:pPr>
        <w:rPr>
          <w:rtl/>
          <w:lang w:bidi="ar-EG"/>
        </w:rPr>
      </w:pPr>
    </w:p>
    <w:p w14:paraId="1353C523" w14:textId="77777777" w:rsidR="00EB7890" w:rsidRDefault="00EB7890" w:rsidP="00EB7890">
      <w:pPr>
        <w:rPr>
          <w:rtl/>
          <w:lang w:bidi="ar-EG"/>
        </w:rPr>
      </w:pPr>
    </w:p>
    <w:p w14:paraId="0FBE98D9" w14:textId="77777777" w:rsidR="00EB7890" w:rsidRDefault="00EB7890" w:rsidP="00EB7890">
      <w:pPr>
        <w:rPr>
          <w:rtl/>
          <w:lang w:bidi="ar-EG"/>
        </w:rPr>
      </w:pPr>
    </w:p>
    <w:p w14:paraId="1DFA7B1A" w14:textId="77777777" w:rsidR="00EB7890" w:rsidRDefault="00EB7890" w:rsidP="00EB7890">
      <w:pPr>
        <w:rPr>
          <w:rtl/>
          <w:lang w:bidi="ar-EG"/>
        </w:rPr>
      </w:pPr>
    </w:p>
    <w:p w14:paraId="2D5145C0" w14:textId="77777777" w:rsidR="00EB7890" w:rsidRDefault="00EB7890" w:rsidP="00EB7890">
      <w:pPr>
        <w:rPr>
          <w:rtl/>
          <w:lang w:bidi="ar-EG"/>
        </w:rPr>
      </w:pPr>
    </w:p>
    <w:p w14:paraId="21ED9E29" w14:textId="77777777" w:rsidR="00EB7890" w:rsidRPr="00F93624" w:rsidRDefault="00EB7890" w:rsidP="00EB7890">
      <w:pPr>
        <w:pStyle w:val="1"/>
        <w:rPr>
          <w:rtl/>
        </w:rPr>
      </w:pPr>
      <w:bookmarkStart w:id="24" w:name="_Toc180619272"/>
      <w:r>
        <w:rPr>
          <w:rFonts w:hint="cs"/>
          <w:rtl/>
        </w:rPr>
        <w:t>الفصل الثاني: دراسات السابقة</w:t>
      </w:r>
      <w:bookmarkEnd w:id="24"/>
      <w:r>
        <w:rPr>
          <w:sz w:val="28"/>
          <w:rtl/>
        </w:rPr>
        <w:br w:type="page"/>
      </w:r>
    </w:p>
    <w:p w14:paraId="33D94258" w14:textId="77777777" w:rsidR="00EB7890" w:rsidRDefault="00EB7890" w:rsidP="00EB7890">
      <w:pPr>
        <w:pStyle w:val="2"/>
        <w:rPr>
          <w:rtl/>
        </w:rPr>
      </w:pPr>
      <w:bookmarkStart w:id="25" w:name="_Toc180619273"/>
      <w:r>
        <w:rPr>
          <w:rFonts w:hint="cs"/>
          <w:rtl/>
        </w:rPr>
        <w:t>المقدمة</w:t>
      </w:r>
      <w:bookmarkEnd w:id="25"/>
    </w:p>
    <w:p w14:paraId="30D2ED55" w14:textId="77777777" w:rsidR="00EB7890" w:rsidRDefault="00EB7890" w:rsidP="00EB7890">
      <w:pPr>
        <w:pStyle w:val="ab"/>
        <w:rPr>
          <w:rtl/>
        </w:rPr>
      </w:pPr>
      <w:r>
        <w:rPr>
          <w:rtl/>
        </w:rPr>
        <w:t>الفصل الثاني من هذه الدراسة هو محور مهم لفهم ديناميكيات البحث من خلال فحص المتغيرات المستقلة والتابعة، بالإضافة إلى مراجعة الدراسات السابقة وتوفير الإطار النظري. في هذا الفصل، سيتم التركيز على العوامل الثلاثة المستقلة، وهي إدارة الموارد، وخفض التكاليف، والشفافية الأكبر، والتي تلعب دورًا حيويًا في تحديد وظيفة التكنولوجيا في المنظمات غير الربحية. تساهم هذه الجوانب في التأثير على كيفية توظيف التكنولوجيا وتأثيرها على الأداء العام للشركات.</w:t>
      </w:r>
    </w:p>
    <w:p w14:paraId="26E794AC" w14:textId="77777777" w:rsidR="00EB7890" w:rsidRDefault="00EB7890" w:rsidP="00EB7890">
      <w:pPr>
        <w:pStyle w:val="ab"/>
        <w:rPr>
          <w:rtl/>
        </w:rPr>
      </w:pPr>
      <w:r>
        <w:rPr>
          <w:rtl/>
        </w:rPr>
        <w:t>تشير إدارة الموارد إلى كيفية استخدام الشركات لمواردها الحالية بشكل صحيح، مما يعزز قدرتها على تنفيذ البرامج والمشاريع بنجاح. فيما يتعلق بخفض التكاليف، قد يساعد استخدام التكنولوجيا بشكل كبير في خفض النفقات التشغيلية، مما يتيح تخصيص المزيد من الموارد نحو الأهداف الأساسية للمنظمة. أخيرًا، يعد تعزيز الشفافية عاملاً رئيسيًا في تطوير الثقة مع المجتمع والمساهمين، مما يعزز شرعية المنظمات.</w:t>
      </w:r>
    </w:p>
    <w:p w14:paraId="1D3F4634" w14:textId="77777777" w:rsidR="00EB7890" w:rsidRDefault="00EB7890" w:rsidP="00EB7890">
      <w:pPr>
        <w:pStyle w:val="ab"/>
        <w:rPr>
          <w:rtl/>
        </w:rPr>
      </w:pPr>
      <w:r>
        <w:rPr>
          <w:rtl/>
        </w:rPr>
        <w:t xml:space="preserve">سيتم أيضًا تقييم الدراسات السابقة التي تناولت هذه العوامل، مما يساعد في تفسير فجوات البحث والاتجاهات الحالية في هذا المجال. بالإضافة إلى ذلك، سيتم توفير الإطار النظري الذي تستند إليه الدراسة، مما يوفر الأساس </w:t>
      </w:r>
      <w:proofErr w:type="spellStart"/>
      <w:r>
        <w:rPr>
          <w:rtl/>
        </w:rPr>
        <w:t>المفاهيمي</w:t>
      </w:r>
      <w:proofErr w:type="spellEnd"/>
      <w:r>
        <w:rPr>
          <w:rtl/>
        </w:rPr>
        <w:t xml:space="preserve"> لفهم كيفية تأثير التكنولوجيا على المتغيرات المستقلة والتابعة.</w:t>
      </w:r>
    </w:p>
    <w:p w14:paraId="1F7509D1" w14:textId="77777777" w:rsidR="00EB7890" w:rsidRDefault="00EB7890" w:rsidP="00EB7890">
      <w:pPr>
        <w:pStyle w:val="ab"/>
        <w:rPr>
          <w:rtl/>
        </w:rPr>
      </w:pPr>
      <w:r>
        <w:rPr>
          <w:rtl/>
        </w:rPr>
        <w:t>يساعد هذا الفصل في إرساء فهم كامل للعلاقة بين المتغيرات ويقدم مقدمة للنتائج التي سيتم تقديمها في الفصول التالية. كما يساعد في تحديد المسار الذي ستتبعه الدراسة ويعزز دقة وموضوعية البيانات المنتجة.</w:t>
      </w:r>
    </w:p>
    <w:p w14:paraId="680650FE" w14:textId="77777777" w:rsidR="00EB7890" w:rsidRDefault="00EB7890" w:rsidP="00EB7890">
      <w:pPr>
        <w:pStyle w:val="ab"/>
        <w:rPr>
          <w:rtl/>
        </w:rPr>
      </w:pPr>
    </w:p>
    <w:p w14:paraId="555E17B5" w14:textId="77777777" w:rsidR="00EB7890" w:rsidRDefault="00EB7890" w:rsidP="00EB7890">
      <w:pPr>
        <w:pStyle w:val="ab"/>
        <w:rPr>
          <w:rtl/>
        </w:rPr>
      </w:pPr>
    </w:p>
    <w:p w14:paraId="15C06920" w14:textId="77777777" w:rsidR="00EB7890" w:rsidRDefault="00EB7890" w:rsidP="00EB7890">
      <w:pPr>
        <w:pStyle w:val="ab"/>
        <w:rPr>
          <w:rtl/>
        </w:rPr>
      </w:pPr>
    </w:p>
    <w:p w14:paraId="118DB975" w14:textId="77777777" w:rsidR="00EB7890" w:rsidRDefault="00EB7890" w:rsidP="00EB7890">
      <w:pPr>
        <w:pStyle w:val="ab"/>
        <w:rPr>
          <w:rtl/>
        </w:rPr>
      </w:pPr>
    </w:p>
    <w:p w14:paraId="05108643" w14:textId="77777777" w:rsidR="00EB7890" w:rsidRPr="00FE1535" w:rsidRDefault="00EB7890" w:rsidP="00EB7890">
      <w:pPr>
        <w:pStyle w:val="ab"/>
        <w:rPr>
          <w:rtl/>
        </w:rPr>
      </w:pPr>
    </w:p>
    <w:p w14:paraId="65FB7A20" w14:textId="77777777" w:rsidR="00EB7890" w:rsidRDefault="00EB7890" w:rsidP="00EB7890">
      <w:pPr>
        <w:pStyle w:val="2"/>
        <w:rPr>
          <w:rtl/>
        </w:rPr>
      </w:pPr>
      <w:bookmarkStart w:id="26" w:name="_Toc180619274"/>
      <w:r>
        <w:rPr>
          <w:rFonts w:hint="cs"/>
          <w:rtl/>
        </w:rPr>
        <w:t>متغيرات الدراسة</w:t>
      </w:r>
      <w:bookmarkEnd w:id="26"/>
    </w:p>
    <w:p w14:paraId="7B8909E5" w14:textId="77777777" w:rsidR="00EB7890" w:rsidRDefault="00EB7890" w:rsidP="00EB7890">
      <w:pPr>
        <w:pStyle w:val="a"/>
        <w:rPr>
          <w:rtl/>
        </w:rPr>
      </w:pPr>
      <w:r>
        <w:rPr>
          <w:rtl/>
        </w:rPr>
        <w:t>المتغيرات المستقلة</w:t>
      </w:r>
    </w:p>
    <w:p w14:paraId="534D8216" w14:textId="77777777" w:rsidR="00EB7890" w:rsidRPr="00020074" w:rsidRDefault="00EB7890" w:rsidP="00EB7890">
      <w:pPr>
        <w:pStyle w:val="ab"/>
        <w:numPr>
          <w:ilvl w:val="0"/>
          <w:numId w:val="10"/>
        </w:numPr>
        <w:rPr>
          <w:b/>
          <w:bCs/>
          <w:rtl/>
        </w:rPr>
      </w:pPr>
      <w:r w:rsidRPr="00020074">
        <w:rPr>
          <w:b/>
          <w:bCs/>
          <w:rtl/>
        </w:rPr>
        <w:t>إدارة الموارد</w:t>
      </w:r>
    </w:p>
    <w:p w14:paraId="5F847569" w14:textId="77777777" w:rsidR="00EB7890" w:rsidRDefault="00EB7890" w:rsidP="00EB7890">
      <w:pPr>
        <w:pStyle w:val="ab"/>
        <w:rPr>
          <w:rtl/>
        </w:rPr>
      </w:pPr>
      <w:r>
        <w:rPr>
          <w:rtl/>
        </w:rPr>
        <w:t xml:space="preserve">إدارة الموارد هي متغير مستقل بالغ الأهمية يؤثر بقوة على فعالية المنظمات غير الربحية. تمثل إدارة الموارد كيفية توظيف الشركات للموارد البشرية والمالية والمادية لتحقيق أهدافها. في بيئة تقنية، يمكن للحلول التكنولوجية زيادة كفاءة إدارة الموارد من خلال </w:t>
      </w:r>
      <w:proofErr w:type="spellStart"/>
      <w:r>
        <w:rPr>
          <w:rtl/>
        </w:rPr>
        <w:t>أتمتة</w:t>
      </w:r>
      <w:proofErr w:type="spellEnd"/>
      <w:r>
        <w:rPr>
          <w:rtl/>
        </w:rPr>
        <w:t xml:space="preserve"> العمليات الإدارية والمالية، مما يقلل من الأخطاء البشرية ويوفر الوقت والجهد. تشمل أساليب إدارة الموارد برامج تخطيط موارد المؤسسة (</w:t>
      </w:r>
      <w:r>
        <w:t>ERP</w:t>
      </w:r>
      <w:r>
        <w:rPr>
          <w:rtl/>
        </w:rPr>
        <w:t>) وأدوات إدارة المشاريع التي تساعد في تنظيم وتوزيع الوظائف بكفاءة. من خلال تقييم البيانات واستخدام التقارير الموثوقة، قد تتخذ الشركات خيارات مدروسة فيما يتعلق بتخصيص الموارد. وبالتالي، فإن تطبيق التكنولوجيا في إدارة الموارد يعزز قدرة المنظمات على تحقيق أهدافها وزيادة تأثيرها على المجتمع</w:t>
      </w:r>
      <w:sdt>
        <w:sdtPr>
          <w:rPr>
            <w:rtl/>
          </w:rPr>
          <w:id w:val="1468243544"/>
          <w:citation/>
        </w:sdtPr>
        <w:sdtEndPr/>
        <w:sdtContent>
          <w:r>
            <w:rPr>
              <w:rtl/>
            </w:rPr>
            <w:fldChar w:fldCharType="begin"/>
          </w:r>
          <w:r>
            <w:instrText xml:space="preserve">CITATION Rat17 \l 1033 </w:instrText>
          </w:r>
          <w:r>
            <w:rPr>
              <w:rtl/>
            </w:rPr>
            <w:fldChar w:fldCharType="separate"/>
          </w:r>
          <w:r>
            <w:rPr>
              <w:noProof/>
              <w:rtl/>
            </w:rPr>
            <w:t xml:space="preserve"> </w:t>
          </w:r>
          <w:r>
            <w:rPr>
              <w:rFonts w:hint="cs"/>
              <w:noProof/>
              <w:rtl/>
            </w:rPr>
            <w:t>(</w:t>
          </w:r>
          <w:r>
            <w:rPr>
              <w:rFonts w:hint="cs"/>
              <w:noProof/>
            </w:rPr>
            <w:t>Rathi</w:t>
          </w:r>
          <w:r>
            <w:rPr>
              <w:rFonts w:hint="cs"/>
              <w:noProof/>
              <w:rtl/>
            </w:rPr>
            <w:t>، 2017)</w:t>
          </w:r>
          <w:r>
            <w:rPr>
              <w:rtl/>
            </w:rPr>
            <w:fldChar w:fldCharType="end"/>
          </w:r>
        </w:sdtContent>
      </w:sdt>
      <w:r>
        <w:rPr>
          <w:rtl/>
        </w:rPr>
        <w:t>.</w:t>
      </w:r>
    </w:p>
    <w:p w14:paraId="77991ACD" w14:textId="77777777" w:rsidR="00EB7890" w:rsidRPr="00020074" w:rsidRDefault="00EB7890" w:rsidP="00EB7890">
      <w:pPr>
        <w:pStyle w:val="ab"/>
        <w:numPr>
          <w:ilvl w:val="0"/>
          <w:numId w:val="10"/>
        </w:numPr>
        <w:rPr>
          <w:b/>
          <w:bCs/>
          <w:rtl/>
        </w:rPr>
      </w:pPr>
      <w:r w:rsidRPr="00020074">
        <w:rPr>
          <w:b/>
          <w:bCs/>
          <w:rtl/>
        </w:rPr>
        <w:t>خفض التكاليف</w:t>
      </w:r>
    </w:p>
    <w:p w14:paraId="47A62C9F" w14:textId="77777777" w:rsidR="00EB7890" w:rsidRDefault="00EB7890" w:rsidP="00EB7890">
      <w:pPr>
        <w:pStyle w:val="ab"/>
        <w:rPr>
          <w:rtl/>
        </w:rPr>
      </w:pPr>
      <w:r>
        <w:rPr>
          <w:rtl/>
        </w:rPr>
        <w:t xml:space="preserve">يعد خفض التكاليف متغيرًا مستقلًا بالغ الأهمية يؤثر على جدوى المنظمات الخيرية. تساعد التكنولوجيا في تعزيز الكفاءة التشغيلية وتوفير النفقات من خلال </w:t>
      </w:r>
      <w:proofErr w:type="spellStart"/>
      <w:r>
        <w:rPr>
          <w:rtl/>
        </w:rPr>
        <w:t>أتمتة</w:t>
      </w:r>
      <w:proofErr w:type="spellEnd"/>
      <w:r>
        <w:rPr>
          <w:rtl/>
        </w:rPr>
        <w:t xml:space="preserve"> الإجراءات العادية وتحسين إدارة التبرعات. من خلال تنفيذ حلول التكنولوجيا الحديثة، قد تحقق الشركات وفورات في النفقات مثل تكاليف التشغيل والإعلان والموارد البشرية. إن استخدام منصات التواصل الاجتماعي والتسويق الرقمي يساعد أيضًا في خفض النفقات المرتبطة بالبرامج والفعاليات الإعلانية. فكلما قلّت النفقات، زادت قدرة المنظمة على إنفاق مواردها في تقديم خدماتها الأساسية وتحقيق أهدافها الاجتماعية. لذلك، يعد خفض النفقات أمرًا بالغ الأهمية في تعزيز فعالية المنظمات غير الربحية والحفاظ على بقائها</w:t>
      </w:r>
      <w:sdt>
        <w:sdtPr>
          <w:rPr>
            <w:rtl/>
          </w:rPr>
          <w:id w:val="1701591883"/>
          <w:citation/>
        </w:sdtPr>
        <w:sdtEndPr/>
        <w:sdtContent>
          <w:r>
            <w:rPr>
              <w:rtl/>
            </w:rPr>
            <w:fldChar w:fldCharType="begin"/>
          </w:r>
          <w:r>
            <w:instrText xml:space="preserve">CITATION Set24 \l 1033 </w:instrText>
          </w:r>
          <w:r>
            <w:rPr>
              <w:rtl/>
            </w:rPr>
            <w:fldChar w:fldCharType="separate"/>
          </w:r>
          <w:r>
            <w:rPr>
              <w:noProof/>
              <w:rtl/>
            </w:rPr>
            <w:t xml:space="preserve"> </w:t>
          </w:r>
          <w:r>
            <w:rPr>
              <w:rFonts w:hint="cs"/>
              <w:noProof/>
              <w:rtl/>
            </w:rPr>
            <w:t>(</w:t>
          </w:r>
          <w:r>
            <w:rPr>
              <w:rFonts w:hint="cs"/>
              <w:noProof/>
            </w:rPr>
            <w:t>Relate</w:t>
          </w:r>
          <w:r>
            <w:rPr>
              <w:rFonts w:hint="cs"/>
              <w:noProof/>
              <w:rtl/>
            </w:rPr>
            <w:t>، 2024)</w:t>
          </w:r>
          <w:r>
            <w:rPr>
              <w:rtl/>
            </w:rPr>
            <w:fldChar w:fldCharType="end"/>
          </w:r>
        </w:sdtContent>
      </w:sdt>
      <w:r>
        <w:rPr>
          <w:rtl/>
        </w:rPr>
        <w:t>.</w:t>
      </w:r>
    </w:p>
    <w:p w14:paraId="4D0ABD3B" w14:textId="77777777" w:rsidR="00EB7890" w:rsidRPr="00020074" w:rsidRDefault="00EB7890" w:rsidP="00EB7890">
      <w:pPr>
        <w:pStyle w:val="ab"/>
        <w:numPr>
          <w:ilvl w:val="0"/>
          <w:numId w:val="10"/>
        </w:numPr>
        <w:rPr>
          <w:b/>
          <w:bCs/>
          <w:rtl/>
        </w:rPr>
      </w:pPr>
      <w:r w:rsidRPr="00020074">
        <w:rPr>
          <w:b/>
          <w:bCs/>
          <w:rtl/>
        </w:rPr>
        <w:t>تحسين الشفافية</w:t>
      </w:r>
    </w:p>
    <w:p w14:paraId="300A68BC" w14:textId="77777777" w:rsidR="00EB7890" w:rsidRDefault="00EB7890" w:rsidP="00EB7890">
      <w:pPr>
        <w:pStyle w:val="ab"/>
        <w:rPr>
          <w:rtl/>
        </w:rPr>
      </w:pPr>
      <w:r>
        <w:rPr>
          <w:rtl/>
        </w:rPr>
        <w:t>يعد تحسين الشفافية متغيرًا مستقلًا آخر يؤثر على أداء المنظمات الخيرية. تشير الشفافية إلى وضوح وتوافر المعلومات المرتبطة بأنشطة المنظمة والعمليات المالية. تعتمد المنظمات غير الربحية على بناء الثقة مع المجتمع والممولين، وتلعب التكنولوجيا دورًا حاسمًا في تحقيق ذلك. من خلال تبني أنظمة المحاسبة الحديثة وأدوات تحليل البيانات، قد تقدم المنظمات تقارير مالية دقيقة وواضحة، مما يجعل من الأسهل على الجمهور فهم كيفية استخدام المساهمات. تسمح منصات التواصل الاجتماعي أيضًا بالتوزيع السريع للمعلومات، مما يعزز إمكانية الوصول إلى المعلومات. تعزز الشفافية قدرة المنظمات على حشد الدعم والثقة، وبالتالي تعزيز فعالية جهودها. إن تعزيز الشفافية يساهم أيضًا في تعزيز المساءلة وتعزيز الفعالية الإجمالية للمنظمات الخيرية</w:t>
      </w:r>
      <w:sdt>
        <w:sdtPr>
          <w:rPr>
            <w:rtl/>
          </w:rPr>
          <w:id w:val="2095041052"/>
          <w:citation/>
        </w:sdtPr>
        <w:sdtEndPr/>
        <w:sdtContent>
          <w:r>
            <w:rPr>
              <w:rtl/>
            </w:rPr>
            <w:fldChar w:fldCharType="begin"/>
          </w:r>
          <w:r>
            <w:instrText xml:space="preserve">CITATION Madty \l 1033 </w:instrText>
          </w:r>
          <w:r>
            <w:rPr>
              <w:rtl/>
            </w:rPr>
            <w:fldChar w:fldCharType="separate"/>
          </w:r>
          <w:r>
            <w:rPr>
              <w:noProof/>
              <w:rtl/>
            </w:rPr>
            <w:t xml:space="preserve"> </w:t>
          </w:r>
          <w:r>
            <w:rPr>
              <w:rFonts w:hint="cs"/>
              <w:noProof/>
              <w:rtl/>
            </w:rPr>
            <w:t>(</w:t>
          </w:r>
          <w:r>
            <w:rPr>
              <w:rFonts w:hint="cs"/>
              <w:noProof/>
            </w:rPr>
            <w:t>Madkhali</w:t>
          </w:r>
          <w:r>
            <w:rPr>
              <w:rFonts w:hint="cs"/>
              <w:noProof/>
              <w:rtl/>
            </w:rPr>
            <w:t>، 2023)</w:t>
          </w:r>
          <w:r>
            <w:rPr>
              <w:rtl/>
            </w:rPr>
            <w:fldChar w:fldCharType="end"/>
          </w:r>
        </w:sdtContent>
      </w:sdt>
      <w:r>
        <w:rPr>
          <w:rtl/>
        </w:rPr>
        <w:t>.</w:t>
      </w:r>
    </w:p>
    <w:p w14:paraId="1A60C825" w14:textId="77777777" w:rsidR="00EB7890" w:rsidRDefault="00EB7890" w:rsidP="00EB7890">
      <w:pPr>
        <w:pStyle w:val="a"/>
        <w:rPr>
          <w:rtl/>
        </w:rPr>
      </w:pPr>
      <w:r>
        <w:rPr>
          <w:rtl/>
        </w:rPr>
        <w:t>المتغير التابع</w:t>
      </w:r>
    </w:p>
    <w:p w14:paraId="0DEAF0BC" w14:textId="77777777" w:rsidR="00EB7890" w:rsidRPr="00020074" w:rsidRDefault="00EB7890" w:rsidP="00EB7890">
      <w:pPr>
        <w:pStyle w:val="ab"/>
        <w:numPr>
          <w:ilvl w:val="0"/>
          <w:numId w:val="11"/>
        </w:numPr>
        <w:rPr>
          <w:b/>
          <w:bCs/>
          <w:rtl/>
        </w:rPr>
      </w:pPr>
      <w:r w:rsidRPr="00020074">
        <w:rPr>
          <w:b/>
          <w:bCs/>
          <w:rtl/>
        </w:rPr>
        <w:t>دور التكنولوجيا في المنظمات غير الربحية</w:t>
      </w:r>
    </w:p>
    <w:p w14:paraId="0922261B" w14:textId="77777777" w:rsidR="00EB7890" w:rsidRDefault="00EB7890" w:rsidP="00EB7890">
      <w:pPr>
        <w:pStyle w:val="ab"/>
        <w:rPr>
          <w:rtl/>
        </w:rPr>
      </w:pPr>
      <w:r>
        <w:rPr>
          <w:rtl/>
        </w:rPr>
        <w:t>إن استخدام التكنولوجيا في المنظمات غير الربحية يعكس المتغير التابع الذي يتأثر بشكل مباشر بالمتغيرات المستقلة الثلاثة: إدارة الموارد، وخفض التكاليف، وزيادة الشفافية. تلعب التكنولوجيا دورًا حيويًا في زيادة الأداء الإجمالي لهذه الشركات، حيث تساعدها على تبني استراتيجيات جديدة وتحقيق كفاءة أعلى في أداء مهامها.</w:t>
      </w:r>
      <w:r>
        <w:rPr>
          <w:rFonts w:hint="cs"/>
          <w:rtl/>
        </w:rPr>
        <w:t xml:space="preserve"> </w:t>
      </w:r>
      <w:r>
        <w:rPr>
          <w:rtl/>
        </w:rPr>
        <w:t>عندما يتم تعزيز إدارة الموارد من خلال استخدام الحلول التكنولوجية، ترتفع القدرة على توزيع الموارد بكفاءة أكبر. تساعد البرامج المتخصصة في مراقبة الموارد البشرية والمالية بشكل صحيح، مما يساعد الشركات على اتخاذ خيارات أكثر استنارة ونجاحًا. وبالتالي، قد يؤدي هذا إلى تحسين الأداء وزيادة التأثير الاجتماعي للشركات.</w:t>
      </w:r>
      <w:r>
        <w:rPr>
          <w:rFonts w:hint="cs"/>
          <w:rtl/>
        </w:rPr>
        <w:t xml:space="preserve"> </w:t>
      </w:r>
      <w:r>
        <w:rPr>
          <w:rtl/>
        </w:rPr>
        <w:t xml:space="preserve">تساعد التكنولوجيا أيضًا في خفض النفقات، مما يمكن الشركات من تخصيص المزيد من الموارد للمبادرات والخدمات الرئيسية المقدمة. من خلال </w:t>
      </w:r>
      <w:proofErr w:type="spellStart"/>
      <w:r>
        <w:rPr>
          <w:rtl/>
        </w:rPr>
        <w:t>الأتمتة</w:t>
      </w:r>
      <w:proofErr w:type="spellEnd"/>
      <w:r>
        <w:rPr>
          <w:rtl/>
        </w:rPr>
        <w:t xml:space="preserve"> والتكنولوجيا الرقمية، قد تحقق المنظمات الخيرية تخفيضات كبيرة في النفقات، مما يعزز قدرتها على البقاء مستدامة.</w:t>
      </w:r>
      <w:r>
        <w:rPr>
          <w:rFonts w:hint="cs"/>
          <w:rtl/>
        </w:rPr>
        <w:t xml:space="preserve"> </w:t>
      </w:r>
      <w:r>
        <w:rPr>
          <w:rtl/>
        </w:rPr>
        <w:t>علاوة على ذلك، تعزز التكنولوجيا الشفافية، مما يبني الثقة بين الشركات والمجتمع. ومن خلال تبادل المعلومات المالية والإدارية بحرية، قد تتمكن المنظمات من إنشاء علاقات وثيقة مع المساهمين والمانحين، الأمر الذي يعزز دعم المجتمع.</w:t>
      </w:r>
      <w:r>
        <w:rPr>
          <w:rFonts w:hint="cs"/>
          <w:rtl/>
        </w:rPr>
        <w:t xml:space="preserve"> </w:t>
      </w:r>
      <w:r>
        <w:rPr>
          <w:rtl/>
        </w:rPr>
        <w:t>وعليه، فإن أهمية التكنولوجيا في المنظمات غير الربحية لا تقتصر على تعزيز الكفاءة فحسب، بل تمتد أيضًا إلى تعزيز الثقة والشفافية، مما يساهم في تحقيق أهداف التنمية المستدامة. وهذه الوظيفة المهمة للتكنولوجيا في مساعدة المنظمات غير الربحية تشكل أهمية حاسمة في معالجة الصعوبات الحديثة وتوسيع تأثيرها في المجتمع.</w:t>
      </w:r>
    </w:p>
    <w:p w14:paraId="7E1C8A0F" w14:textId="77777777" w:rsidR="00EB7890" w:rsidRDefault="00EB7890" w:rsidP="00EB7890">
      <w:pPr>
        <w:pStyle w:val="ab"/>
      </w:pPr>
    </w:p>
    <w:p w14:paraId="27E960C1" w14:textId="77777777" w:rsidR="00EB7890" w:rsidRDefault="00EB7890" w:rsidP="00EB7890">
      <w:pPr>
        <w:pStyle w:val="2"/>
        <w:rPr>
          <w:rtl/>
        </w:rPr>
      </w:pPr>
      <w:bookmarkStart w:id="27" w:name="_Toc180619275"/>
      <w:r>
        <w:rPr>
          <w:rFonts w:hint="cs"/>
          <w:rtl/>
        </w:rPr>
        <w:t>الدراسات السابقة</w:t>
      </w:r>
      <w:bookmarkEnd w:id="27"/>
    </w:p>
    <w:p w14:paraId="3F3196F8" w14:textId="77777777" w:rsidR="00EB7890" w:rsidRDefault="00EB7890" w:rsidP="00EB7890">
      <w:pPr>
        <w:pStyle w:val="ab"/>
        <w:rPr>
          <w:rtl/>
        </w:rPr>
      </w:pPr>
      <w:r w:rsidRPr="00064906">
        <w:rPr>
          <w:rtl/>
        </w:rPr>
        <w:t>تتضمن المقالة نتائج بحث حول خصائص نمو القطاع غير الربحي في المنطقة، فضلاً عن استعداد المنظمات غير الربحية للمشاركة في تقديم الخدمات الاجتماعية وحل القضايا الاجتماعية. تم إجراء دراسة للقضايا المعاصرة في عمليات المنظمات غير الربحية في منطقة فلاديمير. بناءً على تقييم مجموعة البيانات التي تم جمعها أثناء الدراسة وتحليل نتائج مسح قادة المنظمات، تم تحديد الاتجاهات الرئيسية لتحسين آليات دعم وتطوير أنواع مختلفة من المنظمات غير الربحية كأحد القطاعات الواعدة للتفاعل بين الاقتصاد والإدارة العامة على المستوى الإقليمي. يمكن للسلطات الإقليمية والمحلية الاستفادة من نتائج التحليل لإنشاء وتنفيذ خطة لتطوير المجال الاجتماعي في المنطقة</w:t>
      </w:r>
      <w:r>
        <w:rPr>
          <w:rFonts w:hint="cs"/>
          <w:rtl/>
        </w:rPr>
        <w:t>.</w:t>
      </w:r>
    </w:p>
    <w:p w14:paraId="6C796D2D" w14:textId="77777777" w:rsidR="00EB7890" w:rsidRDefault="00EB7890" w:rsidP="00EB7890">
      <w:pPr>
        <w:pStyle w:val="ab"/>
        <w:rPr>
          <w:rtl/>
        </w:rPr>
      </w:pPr>
      <w:r w:rsidRPr="00064906">
        <w:rPr>
          <w:rtl/>
        </w:rPr>
        <w:t xml:space="preserve">يقدم كتاب </w:t>
      </w:r>
      <w:proofErr w:type="spellStart"/>
      <w:r w:rsidRPr="00064906">
        <w:rPr>
          <w:rtl/>
        </w:rPr>
        <w:t>حوكمة</w:t>
      </w:r>
      <w:proofErr w:type="spellEnd"/>
      <w:r w:rsidRPr="00064906">
        <w:rPr>
          <w:rtl/>
        </w:rPr>
        <w:t xml:space="preserve"> المنظمات غير الربحية اثني عشر وجهة نظر وإطارًا تحليليًا لمساعدة المنظمات غير الربحية على بناء </w:t>
      </w:r>
      <w:proofErr w:type="spellStart"/>
      <w:r w:rsidRPr="00064906">
        <w:rPr>
          <w:rtl/>
        </w:rPr>
        <w:t>حوكمة</w:t>
      </w:r>
      <w:proofErr w:type="spellEnd"/>
      <w:r w:rsidRPr="00064906">
        <w:rPr>
          <w:rtl/>
        </w:rPr>
        <w:t xml:space="preserve"> فعالة. تعد </w:t>
      </w:r>
      <w:proofErr w:type="spellStart"/>
      <w:r w:rsidRPr="00064906">
        <w:rPr>
          <w:rtl/>
        </w:rPr>
        <w:t>الحوكمة</w:t>
      </w:r>
      <w:proofErr w:type="spellEnd"/>
      <w:r w:rsidRPr="00064906">
        <w:rPr>
          <w:rtl/>
        </w:rPr>
        <w:t xml:space="preserve"> أمرًا بالغ الأهمية في هذه الصناعة لأنها تطوعية عادةً. وبالتالي يجب دعم المنظمات في إدارتها ومساءلتها واستراتيجيتها. تضع المعايير الدولية (خاصة </w:t>
      </w:r>
      <w:r w:rsidRPr="00064906">
        <w:t>ISO 37000:2021</w:t>
      </w:r>
      <w:r w:rsidRPr="00064906">
        <w:rPr>
          <w:rtl/>
        </w:rPr>
        <w:t xml:space="preserve">، المخصصة </w:t>
      </w:r>
      <w:proofErr w:type="spellStart"/>
      <w:r w:rsidRPr="00064906">
        <w:rPr>
          <w:rtl/>
        </w:rPr>
        <w:t>للحوكمة</w:t>
      </w:r>
      <w:proofErr w:type="spellEnd"/>
      <w:r w:rsidRPr="00064906">
        <w:rPr>
          <w:rtl/>
        </w:rPr>
        <w:t xml:space="preserve"> التنظيمية) مفاهيم أساسية لضمان خلق القيمة في مجالات إشراك أصحاب المصلحة والقيادة </w:t>
      </w:r>
      <w:proofErr w:type="spellStart"/>
      <w:r w:rsidRPr="00064906">
        <w:rPr>
          <w:rtl/>
        </w:rPr>
        <w:t>وحوكمة</w:t>
      </w:r>
      <w:proofErr w:type="spellEnd"/>
      <w:r w:rsidRPr="00064906">
        <w:rPr>
          <w:rtl/>
        </w:rPr>
        <w:t xml:space="preserve"> المخاطر والمسؤولية الاجتماعية والاستدامة التنظيمية. يوصي هذا الكتاب باستكشاف هذه المفاهيم وتطبيقها على القطاع غير الربحي. للقيام بذلك، يركز الكتاب على أربعة جوانب </w:t>
      </w:r>
      <w:proofErr w:type="spellStart"/>
      <w:r w:rsidRPr="00064906">
        <w:rPr>
          <w:rtl/>
        </w:rPr>
        <w:t>للحوكمة</w:t>
      </w:r>
      <w:proofErr w:type="spellEnd"/>
      <w:r w:rsidRPr="00064906">
        <w:rPr>
          <w:rtl/>
        </w:rPr>
        <w:t xml:space="preserve">: الضوابط التي تنفذها، وأصحاب المصلحة الذين يجب أن تستمع إليهم وتديرهم، والأداء الذي يجب أن تتبعه، وفي النهاية، الأشخاص الذين يجب أن تقودهم وتحشدهم. يؤكد الكتاب أيضًا على أهمية أساليب وإجراءات </w:t>
      </w:r>
      <w:proofErr w:type="spellStart"/>
      <w:r w:rsidRPr="00064906">
        <w:rPr>
          <w:rtl/>
        </w:rPr>
        <w:t>الحوكمة</w:t>
      </w:r>
      <w:proofErr w:type="spellEnd"/>
      <w:r w:rsidRPr="00064906">
        <w:rPr>
          <w:rtl/>
        </w:rPr>
        <w:t xml:space="preserve"> في تحسين الأداء والأخلاقيات في المنظمات غير الربحية والإدارة المسؤولة. ونتيجة لذلك، يطبق كل فصل مبدأ أو أكثر من مبادئ </w:t>
      </w:r>
      <w:r w:rsidRPr="00064906">
        <w:t>ISO 37000</w:t>
      </w:r>
      <w:r w:rsidRPr="00064906">
        <w:rPr>
          <w:rtl/>
        </w:rPr>
        <w:t xml:space="preserve"> على القطاع غير الربحي ويخلق إطارًا تحليليًا حولها. وبناءً على ذلك، يمكن للشركات الاستفادة من هذه الأطر الاثني عشر لتحسين عمليات </w:t>
      </w:r>
      <w:proofErr w:type="spellStart"/>
      <w:r w:rsidRPr="00064906">
        <w:rPr>
          <w:rtl/>
        </w:rPr>
        <w:t>الحوكمة</w:t>
      </w:r>
      <w:proofErr w:type="spellEnd"/>
      <w:r w:rsidRPr="00064906">
        <w:rPr>
          <w:rtl/>
        </w:rPr>
        <w:t xml:space="preserve"> الخاصة بها، وكذلك من قبل الأكاديميين الذين يبحثون عن تقنيات جديدة لدمجها في دراساتهم</w:t>
      </w:r>
      <w:sdt>
        <w:sdtPr>
          <w:rPr>
            <w:rtl/>
          </w:rPr>
          <w:id w:val="212109991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Pla24 \l 3073</w:instrText>
          </w:r>
          <w:r>
            <w:rPr>
              <w:rtl/>
            </w:rPr>
            <w:instrText xml:space="preserve"> </w:instrText>
          </w:r>
          <w:r>
            <w:rPr>
              <w:rtl/>
            </w:rPr>
            <w:fldChar w:fldCharType="separate"/>
          </w:r>
          <w:r>
            <w:rPr>
              <w:noProof/>
              <w:rtl/>
            </w:rPr>
            <w:t xml:space="preserve"> </w:t>
          </w:r>
          <w:r>
            <w:rPr>
              <w:rFonts w:hint="cs"/>
              <w:noProof/>
              <w:rtl/>
            </w:rPr>
            <w:t>(</w:t>
          </w:r>
          <w:r>
            <w:rPr>
              <w:rFonts w:hint="cs"/>
              <w:noProof/>
            </w:rPr>
            <w:t>Plaisance</w:t>
          </w:r>
          <w:r>
            <w:rPr>
              <w:rFonts w:hint="cs"/>
              <w:noProof/>
              <w:rtl/>
            </w:rPr>
            <w:t>، 2024)</w:t>
          </w:r>
          <w:r>
            <w:rPr>
              <w:rtl/>
            </w:rPr>
            <w:fldChar w:fldCharType="end"/>
          </w:r>
        </w:sdtContent>
      </w:sdt>
      <w:r w:rsidRPr="00064906">
        <w:rPr>
          <w:rtl/>
        </w:rPr>
        <w:t>.</w:t>
      </w:r>
    </w:p>
    <w:p w14:paraId="095E4353" w14:textId="77777777" w:rsidR="00EB7890" w:rsidRDefault="00EB7890" w:rsidP="00EB7890">
      <w:pPr>
        <w:pStyle w:val="ab"/>
        <w:rPr>
          <w:rtl/>
        </w:rPr>
      </w:pPr>
      <w:r w:rsidRPr="00064906">
        <w:rPr>
          <w:rtl/>
        </w:rPr>
        <w:t xml:space="preserve">لقد نمت المنظمات غير الربحية بشكل بارز على مدى العقود العديدة الماضية، كما يتضح من النمو في عددها، والتغيرات في تقديم الخدمات العامة، والفوائد المجتمعية. تتطور المنظمات غير الربحية نتيجة لقيود النظام الاقتصادي، وإخفاقات النظام السياسي، ونظرية جانب العرض أو الأعمال، وفي السنوات الأخيرة، ظهر مزيج من الأفكار التي تشرح نشأة المنظمات غير الربحية بناءً على دوافع اجتماعية مختلفة. تستكشف الدراسة تطبيق النظريات على بدايات المنظمات غير الربحية باستخدام سلوفاكيا كمثال، حيث تطور الشكل الديمقراطي للحكم على مدار الثلاثين عامًا الماضية، وتجد اتجاهات التنمية الحالية. يسلط اختبار نظريات التكوين الضوء على الأهمية الاجتماعية والاقتصادية والثقافية للمنظمات غير الربحية في المجتمع. يعتمد البحث على عرض نتائج مسح لـ 773 منظمة غير ربحية سلوفاكية أجريت بين عامي 2019 </w:t>
      </w:r>
      <w:r w:rsidRPr="00064906">
        <w:rPr>
          <w:rFonts w:hint="cs"/>
          <w:rtl/>
        </w:rPr>
        <w:t>و2022</w:t>
      </w:r>
      <w:r w:rsidRPr="00064906">
        <w:rPr>
          <w:rtl/>
        </w:rPr>
        <w:t xml:space="preserve"> بهدف رسم خريطة شاملة للقطاع غير الربحي في سلوفاكيا</w:t>
      </w:r>
      <w:sdt>
        <w:sdtPr>
          <w:rPr>
            <w:rtl/>
          </w:rPr>
          <w:id w:val="-174911421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Vit \l 3073</w:instrText>
          </w:r>
          <w:r>
            <w:rPr>
              <w:rtl/>
            </w:rPr>
            <w:instrText xml:space="preserve"> </w:instrText>
          </w:r>
          <w:r>
            <w:rPr>
              <w:rtl/>
            </w:rPr>
            <w:fldChar w:fldCharType="separate"/>
          </w:r>
          <w:r>
            <w:rPr>
              <w:noProof/>
              <w:rtl/>
            </w:rPr>
            <w:t xml:space="preserve"> </w:t>
          </w:r>
          <w:r>
            <w:rPr>
              <w:rFonts w:hint="cs"/>
              <w:noProof/>
              <w:rtl/>
            </w:rPr>
            <w:t>(</w:t>
          </w:r>
          <w:r>
            <w:rPr>
              <w:rFonts w:hint="cs"/>
              <w:noProof/>
            </w:rPr>
            <w:t>Vitálišová</w:t>
          </w:r>
          <w:r>
            <w:rPr>
              <w:rFonts w:hint="cs"/>
              <w:noProof/>
              <w:rtl/>
            </w:rPr>
            <w:t>)</w:t>
          </w:r>
          <w:r>
            <w:rPr>
              <w:rtl/>
            </w:rPr>
            <w:fldChar w:fldCharType="end"/>
          </w:r>
        </w:sdtContent>
      </w:sdt>
      <w:r w:rsidRPr="00064906">
        <w:rPr>
          <w:rtl/>
        </w:rPr>
        <w:t>.</w:t>
      </w:r>
    </w:p>
    <w:p w14:paraId="004970E4" w14:textId="77777777" w:rsidR="00EB7890" w:rsidRDefault="00EB7890" w:rsidP="00EB7890">
      <w:pPr>
        <w:pStyle w:val="ab"/>
        <w:rPr>
          <w:rtl/>
        </w:rPr>
      </w:pPr>
      <w:r w:rsidRPr="00064906">
        <w:rPr>
          <w:rtl/>
        </w:rPr>
        <w:t>إن البحث العلمي، وخاصة في العلوم الاجتماعية، هو نتاج المعرفة والكفاءة التي تم جمعها من التحقيقات السابقة. ويهدف هذا البحث إلى دراسة تطور المحاسبة الأكاديمية والمهنية في القطاع غير الربحي من منظور دولي من خلال مراجعة الأدبيات السابقة المرتبطة بوظيفة المحاسبة الشاملة في القطاع غير الربحي، بدءًا من الإطار المحاسبي الحالي وصولاً إلى دور نظرية أصحاب المصلحة، من خلال تلخيص وتحليل نتائج البحوث الأكاديمية المحاسبية في هذا المجال لتحديد نقاط القوة والضعف الرئيسية. وهذا من شأنه أن يساعد في بناء وظيفة محاسبية كاملة في القطاع غير الربحي. وعلاوة على ذلك، على الصعيد التشريعي والتنظيمي، هناك مخاوف متزايدة حول ما إذا كانت فلسفة المحاسبة قادرة على تعزيز الرقابة المالية في المنظمات غير الربحية بهذه الطريقة. وكان السبب الرئيسي وراء قيام الباحثين بإجراء هذه الدراسة هو نتائج العديد من الدراسات الأكاديمية التي كشفت عن عدم قدرة الإطار المحاسبي الحالي والتنظيم (التقليدي) على تلبية احتياجات وظيفة المحاسبة في المنظمات غير الربحية من وجهة نظر أصحاب المصلحة. ومن خلال متابعة تطور فلسفة المحاسبة طوال عملية وضع معايير المحاسبة المالية، اكتشف الباحثون أنها تقع في مكان ما بين نهجين رئيسيين. النهج الأول قام بتقييم إنشاء المعايير المحاسبية لتوفير المزيد من المعلومات لاتخاذ القرار، وخاصة مع تزايد التجمعات وتوقعات أصحاب المصلحة، في حين اعتبر المنظور الثاني أن تطور المعايير المحاسبية كان نتيجة طبيعية لتطور بيئة الشركات والحاجة إلى تقنيات وأدوات جديدة من قبل وظيفة المحاسبة لتوفير المصداقية والشرعية لعمليات الشركات</w:t>
      </w:r>
      <w:sdt>
        <w:sdtPr>
          <w:rPr>
            <w:rtl/>
          </w:rPr>
          <w:id w:val="160607527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Alb22 \l 3073</w:instrText>
          </w:r>
          <w:r>
            <w:rPr>
              <w:rtl/>
            </w:rPr>
            <w:instrText xml:space="preserve"> </w:instrText>
          </w:r>
          <w:r>
            <w:rPr>
              <w:rtl/>
            </w:rPr>
            <w:fldChar w:fldCharType="separate"/>
          </w:r>
          <w:r>
            <w:rPr>
              <w:noProof/>
              <w:rtl/>
            </w:rPr>
            <w:t xml:space="preserve"> </w:t>
          </w:r>
          <w:r>
            <w:rPr>
              <w:rFonts w:hint="cs"/>
              <w:noProof/>
              <w:rtl/>
            </w:rPr>
            <w:t>(</w:t>
          </w:r>
          <w:r>
            <w:rPr>
              <w:rFonts w:hint="cs"/>
              <w:noProof/>
            </w:rPr>
            <w:t>Albaz</w:t>
          </w:r>
          <w:r>
            <w:rPr>
              <w:rFonts w:hint="cs"/>
              <w:noProof/>
              <w:rtl/>
            </w:rPr>
            <w:t>، 2022)</w:t>
          </w:r>
          <w:r>
            <w:rPr>
              <w:rtl/>
            </w:rPr>
            <w:fldChar w:fldCharType="end"/>
          </w:r>
        </w:sdtContent>
      </w:sdt>
      <w:r w:rsidRPr="00064906">
        <w:rPr>
          <w:rtl/>
        </w:rPr>
        <w:t>.</w:t>
      </w:r>
    </w:p>
    <w:p w14:paraId="1C7C94FA" w14:textId="77777777" w:rsidR="00EB7890" w:rsidRDefault="00EB7890" w:rsidP="00EB7890">
      <w:pPr>
        <w:pStyle w:val="ab"/>
        <w:rPr>
          <w:rtl/>
        </w:rPr>
      </w:pPr>
      <w:r w:rsidRPr="00064906">
        <w:rPr>
          <w:rtl/>
        </w:rPr>
        <w:t>تلعب المنظمات غير الربحية دورًا مهمًا في معالجة الصعوبات الاجتماعية والاقتصادية والبيئية التي تواجهها المجتمعات في جميع أنحاء العالم، لكنها تواجه قيودًا تتعلق بالتمويل والموارد والقدرات. لتمكين هذه المجموعات، هناك حاجة إلى التخطيط الاستراتيجي وتنمية القدرات والخطط طويلة الأجل. قد تساعد التقنيات المبتكرة التي تعطي الأولوية للتعاون والانفتاح والمرونة المنظمات غير الربحية على التغلب على العقبات والبقاء ذات صلة في صناعة سريعة التغير. ينظر هذا الفصل في العديد من التقنيات لتمكين المنظمات غير الربحية، مثل زيادة القدرة، وإنشاء البرامج والخدمات، والاستفادة من التكنولوجيا والبيانات، وإشراك أصحاب المصلحة. كما يتم تسليط الضوء على العقبات وإمكانيات تطبيق هذه التكتيكات. باستخدام تقنية تحليلية وصفية، فحص البحث 43 مصدرًا ثانويًا حول استراتيجيات تطوير شراكات فعالة وخيارات تمويل طويلة الأجل للمنظمات غير الربحية. تظهر النتائج أن تسليح المنظمات غير الربحية بهذه التكتيكات قد يؤدي إلى مستقبل أكثر استدامة وعدالة. يسلط الفصل الضوء أيضًا على ضرورة توليد رؤية وهدف مشتركين بين أصحاب المصلحة، وتعزيز ثقافة التعاون، وإنشاء قنوات اتصال مفتوحة لضمان تنفيذ هذه الأساليب بشكل فعال. وعلاوة على ذلك، يؤكد الفصل على أهمية تقييم تأثير برامج وخدمات المنظمات غير الربحية واستخدام البيانات للتأثير على عملية صنع القرار. وينتهي الفصل بتسليط الضوء على الدور الحيوي للمنظمات غير الربحية في خلق مستقبل مستدام وعادل، فضلاً عن الحاجة إلى التعلم المستمر والتكيف والابتكار لتلبية الاحتياجات المتغيرة للمجتمعات. وأخيرًا، يدعو الفصل إلى عمل أصحاب المصلحة والتعاون لتعزيز المنظمات غير الربحية وخلق التأثير الاجتماعي. إن المنظمات غير الربحية والوكالات الحكومية والشركات وأصحاب المصلحة الآخرين يعملون معًا لحل التحديات الاجتماعية والبيئية والاقتصادية. من خلال العمل معًا، قد يجمع أصحاب المصلحة هؤلاء مواردهم وخبراتهم لخلق حلول أكثر فعالية وطويلة الأجل للمشاكل المعقدة. على سبيل المثال، قد تزود الشركات المنظمات غير الربحية بالدعم المالي والعيني، في حين يمكن للمنظمات الحكومية تقديم المساعدة السياسية والتنظيمية. وعلاوة على ذلك، قد يساهم العمل الجماعي والتعاون في خلق جو أكثر دعمًا للمنظمات غير الربحية، مما يسمح لها بتنفيذ أهدافها بنجاح أكبر. وقد يتطلب هذا الأمر الدعوة إلى وضع لوائح تنظيمية تفيد المنظمات غير الربحية، فضلاً عن رفع مستوى الوعي العام بالعمل الأساسي الذي تقوم به المنظمات غير الربحية في مجتمعاتها. وأخيراً، فإن تعزيز التأثير الاجتماعي وخلق مستقبل مستدام وعادل يتطلب المشاركة والتعاون النشطين بين جميع أصحاب المصلحة. ومن خلال العمل معاً، يمكننا بناء مجتمع أكثر عدالة وإنصافاً للجميع</w:t>
      </w:r>
      <w:sdt>
        <w:sdtPr>
          <w:rPr>
            <w:rtl/>
          </w:rPr>
          <w:id w:val="-205345446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Eft23 \l 3073</w:instrText>
          </w:r>
          <w:r>
            <w:rPr>
              <w:rtl/>
            </w:rPr>
            <w:instrText xml:space="preserve"> </w:instrText>
          </w:r>
          <w:r>
            <w:rPr>
              <w:rtl/>
            </w:rPr>
            <w:fldChar w:fldCharType="separate"/>
          </w:r>
          <w:r>
            <w:rPr>
              <w:noProof/>
              <w:rtl/>
            </w:rPr>
            <w:t xml:space="preserve"> </w:t>
          </w:r>
          <w:r>
            <w:rPr>
              <w:rFonts w:hint="cs"/>
              <w:noProof/>
              <w:rtl/>
            </w:rPr>
            <w:t>(</w:t>
          </w:r>
          <w:r>
            <w:rPr>
              <w:rFonts w:hint="cs"/>
              <w:noProof/>
            </w:rPr>
            <w:t>Efthymiou</w:t>
          </w:r>
          <w:r>
            <w:rPr>
              <w:rFonts w:hint="cs"/>
              <w:noProof/>
              <w:rtl/>
            </w:rPr>
            <w:t>، 2023)</w:t>
          </w:r>
          <w:r>
            <w:rPr>
              <w:rtl/>
            </w:rPr>
            <w:fldChar w:fldCharType="end"/>
          </w:r>
        </w:sdtContent>
      </w:sdt>
      <w:r w:rsidRPr="00064906">
        <w:rPr>
          <w:rtl/>
        </w:rPr>
        <w:t>.</w:t>
      </w:r>
    </w:p>
    <w:p w14:paraId="726BEC7F" w14:textId="77777777" w:rsidR="00EB7890" w:rsidRDefault="00EB7890" w:rsidP="00EB7890">
      <w:pPr>
        <w:pStyle w:val="ab"/>
        <w:rPr>
          <w:rtl/>
        </w:rPr>
      </w:pPr>
      <w:r w:rsidRPr="00064906">
        <w:rPr>
          <w:rtl/>
        </w:rPr>
        <w:t xml:space="preserve">إن التحول الرقمي ينمو كتحول اجتماعي تقني أكبر من شأنه أن يؤثر على جميع أنواع المنظمات. وقد استلزم تطور النموذج في التكنولوجيا الرقمية اتباع نهج جديدة للإدارة والقيادة والقدرة التنافسية الريادية في المنظمات. ويُعترف برأس المال البشري القادر على توصيل المعرفة والخطط الرقمية كمورد مهم للتحولات الرقمية في المؤسسات. والواقع أن تطوير المهارات التقنية والرقمية الضرورية يُعترف به باعتباره الحاجز الأكثر أهمية أمام التحولات الرقمية في المنظمات غير الربحية. ومع ذلك، فإن غياب التكامل الرسمي للمهارات التقنية والرقمية أعاق تطوير الأدبيات في هذا المجال. والغرض الرئيسي من الدراسة الحالية هو التحقيق في احتياجات المنظمات غير الربحية من الكفاءة الرقمية. ولتلخيص المسودة الأولى للمهارات التقنية والرقمية، تم استخدام منهجية مراجعة الأدبيات المنهجية وفقًا لتوصيات </w:t>
      </w:r>
      <w:r w:rsidRPr="00064906">
        <w:t>PRISMA</w:t>
      </w:r>
      <w:r w:rsidRPr="00064906">
        <w:rPr>
          <w:rtl/>
        </w:rPr>
        <w:t>. وبعد ذلك، تم إجراء استبيان دلفي معدّل من جولتين على لجنة من 25 خبيرًا لتسجيل الكفاءات كميًا. لتقييم صحة وموثوقية النتائج، تم إجراء التحليل باستخدام مبادئ دلفي. ونتيجة لذلك، تم إنشاء مجموعة كاملة من ثماني عشرة مهارة وتقسيمها إلى ثلاث فئات ("القيادة الرقمية"، و"الأشخاص والمنظمة"، و"القدرات الفنية"). وفي حين تعالج نتائج الدراسة فجوة كبيرة في الأدبيات، فإنها تضع الإطار لأجندة التعليم والتعلم والتطوير للتحول الرقمي في المنظمات غير الربحية</w:t>
      </w:r>
      <w:sdt>
        <w:sdtPr>
          <w:rPr>
            <w:rtl/>
          </w:rPr>
          <w:id w:val="-115082725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Sat24 \l 3073</w:instrText>
          </w:r>
          <w:r>
            <w:rPr>
              <w:rtl/>
            </w:rPr>
            <w:instrText xml:space="preserve"> </w:instrText>
          </w:r>
          <w:r>
            <w:rPr>
              <w:rtl/>
            </w:rPr>
            <w:fldChar w:fldCharType="separate"/>
          </w:r>
          <w:r>
            <w:rPr>
              <w:noProof/>
              <w:rtl/>
            </w:rPr>
            <w:t xml:space="preserve"> </w:t>
          </w:r>
          <w:r>
            <w:rPr>
              <w:rFonts w:hint="cs"/>
              <w:noProof/>
              <w:rtl/>
            </w:rPr>
            <w:t>(</w:t>
          </w:r>
          <w:r>
            <w:rPr>
              <w:rFonts w:hint="cs"/>
              <w:noProof/>
            </w:rPr>
            <w:t>Satar</w:t>
          </w:r>
          <w:r>
            <w:rPr>
              <w:rFonts w:hint="cs"/>
              <w:noProof/>
              <w:rtl/>
            </w:rPr>
            <w:t>، 2024)</w:t>
          </w:r>
          <w:r>
            <w:rPr>
              <w:rtl/>
            </w:rPr>
            <w:fldChar w:fldCharType="end"/>
          </w:r>
        </w:sdtContent>
      </w:sdt>
      <w:r w:rsidRPr="00064906">
        <w:rPr>
          <w:rtl/>
        </w:rPr>
        <w:t>.</w:t>
      </w:r>
    </w:p>
    <w:p w14:paraId="315CBCC6" w14:textId="77777777" w:rsidR="00EB7890" w:rsidRDefault="00EB7890" w:rsidP="00EB7890">
      <w:pPr>
        <w:pStyle w:val="ab"/>
        <w:rPr>
          <w:rtl/>
        </w:rPr>
      </w:pPr>
      <w:r w:rsidRPr="00C549DB">
        <w:rPr>
          <w:rtl/>
        </w:rPr>
        <w:t xml:space="preserve">تهدف هذه المقالة إلى تقديم بيانات من بحث تم إجراؤه مع منظمات غير ربحية في كندا وأستراليا، مع التركيز على استخدام الأدوات والتكنولوجيا لإدارة المعرفة. غطى البحث منظمات غير ربحية من جميع الأحجام وتعمل في قطاعات متنوعة، وتم إجراؤه من خلال مسحين وطنيين واسعي النطاق. الدراسة مهمة لكل من الممارسين في المنظمات غير الربحية، الذين يريدون فهم استخدام الأدوات لعمليات إدارة المعرفة، والباحثين الذين يهدفون إلى توسيع نطاق إدارة المعرفة في المنظمات غير الربحية. يتضمن المفهوم والمنهجية مسحين على مستوى البلاد يستهدفان منظمات غير ربحية كندية وأسترالية بأحجام مختلفة، تتراوح من المنظمات الصغيرة جدًا إلى المنظمات الكبرى، وتغطي مجالات مثل رعاية الحيوان </w:t>
      </w:r>
      <w:r w:rsidRPr="00C549DB">
        <w:rPr>
          <w:rFonts w:hint="cs"/>
          <w:rtl/>
        </w:rPr>
        <w:t>والتعليم</w:t>
      </w:r>
      <w:r w:rsidRPr="00C549DB">
        <w:rPr>
          <w:rFonts w:hint="eastAsia"/>
          <w:rtl/>
        </w:rPr>
        <w:t>،</w:t>
      </w:r>
      <w:r w:rsidRPr="00C549DB">
        <w:rPr>
          <w:rtl/>
        </w:rPr>
        <w:t xml:space="preserve"> </w:t>
      </w:r>
      <w:r w:rsidRPr="00C549DB">
        <w:rPr>
          <w:rFonts w:hint="cs"/>
          <w:rtl/>
        </w:rPr>
        <w:t>والبحث</w:t>
      </w:r>
      <w:r w:rsidRPr="00C549DB">
        <w:rPr>
          <w:rFonts w:hint="eastAsia"/>
          <w:rtl/>
        </w:rPr>
        <w:t>،</w:t>
      </w:r>
      <w:r w:rsidRPr="00C549DB">
        <w:rPr>
          <w:rtl/>
        </w:rPr>
        <w:t xml:space="preserve"> والثقافة والفنون. استكشف تحليل الاستجابات استخدام الأدوات والتكنولوجيات من قبل تلك المنظمات، حيث حدد المشاركون الأدوات والتكنولوجيات التي استخدموها من </w:t>
      </w:r>
      <w:r w:rsidRPr="00C549DB">
        <w:rPr>
          <w:rFonts w:hint="cs"/>
          <w:rtl/>
        </w:rPr>
        <w:t>تسع</w:t>
      </w:r>
      <w:r w:rsidRPr="00C549DB">
        <w:rPr>
          <w:rtl/>
        </w:rPr>
        <w:t xml:space="preserve"> موضوعات محددة مسبقًا، والتي شكلت المعلومات الكمية، جنبًا إلى جنب مع فئة إضافية لـ "أدوات أخرى" سمحت باستجابات نصية مجانية، مما ساهم في البيانات النوعية. تم تقييم البيانات الكمية باستخدام كل من الأساليب الإحصائية الوصفية والاستدلالية، في حين تم تقديم البيانات النوعية لتحليل الموضوع. كشفت نتائج تحليل البيانات الكمية عن العديد من الأفكار الهامة، بما في ذلك انتشار الأوراق المطبوعة المادية عبر جميع أحجام وصناعات المنظمات غير الربحية. أظهر الاختبار الإحصائي أنه لا يوجد فرق كبير في تبني الأدوات والتكنولوجيا لأنشطة إدارة المعرفة بين المنظمات غير الربحية من نفس الحجم في كندا وأستراليا. ومع ذلك، تم تحديد الاختلافات في استخدام الأدوات والتكنولوجيا بين أحجام مختلفة من المنظمات غير الربحية. كشف البحث النوعي عن مجموعة متنوعة من الأدوات والتكنولوجيات الأخرى، مما أعطى رؤى سياقية فيما يتعلق باستخدامها. يقدم التقرير أمثلة ملموسة لأنواع الأدوات والتكنولوجيا التي تستخدمها المنظمات غير الربحية. تكمن حداثة وأهمية هذه الدراسة في مساهماتها العملية والفكرية، بما في ذلك أفكار البحوث المستقبلية. إن النتائج المتعلقة باستخدام أدوات وتقنيات إدارة المعرفة من قبل المنظمات غير الربحية تضيف إلى مجموعة متزايدة من الأدبيات في مجال إدارة المعرفة، كما تعمل على تحسين قاعدة المعرفة لقطاع إدارة المعرفة والمنظمات غير الربحية غير المدروسة. بالإضافة إلى ذلك، ستجد المنظمات غير الربحية أن هذه الورقة البحثية مفيدة لفهم أفضل لنشر الأدوات والتكنولوجيا لعمليات إدارة المعرفة. إن البحث غير عادي ليس فقط في التركيز على إدارة المعرفة للمنظمات غير الربحية ولكن أيضًا بسبب الفحص المقارن للعمليات عبر دولتين مختلفتين</w:t>
      </w:r>
      <w:sdt>
        <w:sdtPr>
          <w:rPr>
            <w:rtl/>
          </w:rPr>
          <w:id w:val="783541563"/>
          <w:citation/>
        </w:sdtPr>
        <w:sdtEndPr/>
        <w:sdtContent>
          <w:r>
            <w:rPr>
              <w:rtl/>
            </w:rPr>
            <w:fldChar w:fldCharType="begin"/>
          </w:r>
          <w:r>
            <w:instrText xml:space="preserve">CITATION Rat17 \l 3073 </w:instrText>
          </w:r>
          <w:r>
            <w:rPr>
              <w:rtl/>
            </w:rPr>
            <w:fldChar w:fldCharType="separate"/>
          </w:r>
          <w:r>
            <w:rPr>
              <w:noProof/>
              <w:rtl/>
            </w:rPr>
            <w:t xml:space="preserve"> </w:t>
          </w:r>
          <w:r>
            <w:rPr>
              <w:rFonts w:hint="cs"/>
              <w:noProof/>
              <w:rtl/>
            </w:rPr>
            <w:t>(</w:t>
          </w:r>
          <w:r>
            <w:rPr>
              <w:rFonts w:hint="cs"/>
              <w:noProof/>
            </w:rPr>
            <w:t>Rathi</w:t>
          </w:r>
          <w:r>
            <w:rPr>
              <w:rFonts w:hint="cs"/>
              <w:noProof/>
              <w:rtl/>
            </w:rPr>
            <w:t>، 2017)</w:t>
          </w:r>
          <w:r>
            <w:rPr>
              <w:rtl/>
            </w:rPr>
            <w:fldChar w:fldCharType="end"/>
          </w:r>
        </w:sdtContent>
      </w:sdt>
      <w:r w:rsidRPr="00C549DB">
        <w:rPr>
          <w:rtl/>
        </w:rPr>
        <w:t>.</w:t>
      </w:r>
    </w:p>
    <w:p w14:paraId="4DC2BC7D" w14:textId="77777777" w:rsidR="00EB7890" w:rsidRDefault="00EB7890" w:rsidP="00EB7890">
      <w:pPr>
        <w:pStyle w:val="ab"/>
        <w:rPr>
          <w:rtl/>
        </w:rPr>
      </w:pPr>
      <w:r w:rsidRPr="00C549DB">
        <w:rPr>
          <w:rtl/>
        </w:rPr>
        <w:t xml:space="preserve">إن المنظمات غير الربحية تشكل أهمية حيوية لجودة الحياة في العديد من المجتمعات ليس فقط بسبب الخدمات المهمة والتأثير الاجتماعي الذي تنتجه، ولكن أيضًا بسبب التأثير الاقتصادي المفيد داخل المجتمعات المحلية. ومع ذلك، تحتاج المنظمات غير الربحية، تمامًا مثل المنظمات الهادفة للربح، إلى التكيف استجابةً لتوقعات العملاء وأنماط الحياة المتغيرة والاستفادة من الإمكانيات التي توفرها التكنولوجيا والأسواق والهياكل والديناميكيات المتغيرة. تعد </w:t>
      </w:r>
      <w:proofErr w:type="spellStart"/>
      <w:r w:rsidRPr="00C549DB">
        <w:rPr>
          <w:rtl/>
        </w:rPr>
        <w:t>الرقمنة</w:t>
      </w:r>
      <w:proofErr w:type="spellEnd"/>
      <w:r w:rsidRPr="00C549DB">
        <w:rPr>
          <w:rtl/>
        </w:rPr>
        <w:t xml:space="preserve"> أمرًا حيويًا لدفع ابتكار المنظمات غير الربحية من أجل أن تكون مميزة في الصناعة شديدة التنافسية. في هذه المقالة، نقوم أولاً بإنشاء دراسة لتحديد مشاكل التحول الرقمي ثم نقوم بتقييم بعض التحديات التي </w:t>
      </w:r>
      <w:proofErr w:type="spellStart"/>
      <w:r w:rsidRPr="00C549DB">
        <w:rPr>
          <w:rtl/>
        </w:rPr>
        <w:t>يواجهها</w:t>
      </w:r>
      <w:proofErr w:type="spellEnd"/>
      <w:r w:rsidRPr="00C549DB">
        <w:rPr>
          <w:rtl/>
        </w:rPr>
        <w:t xml:space="preserve"> القطاع غير الربحي في تنفيذ جهود التحول الرقمي</w:t>
      </w:r>
      <w:sdt>
        <w:sdtPr>
          <w:rPr>
            <w:rtl/>
          </w:rPr>
          <w:id w:val="-186003171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Nah18 \l 3073</w:instrText>
          </w:r>
          <w:r>
            <w:rPr>
              <w:rtl/>
            </w:rPr>
            <w:instrText xml:space="preserve"> </w:instrText>
          </w:r>
          <w:r>
            <w:rPr>
              <w:rtl/>
            </w:rPr>
            <w:fldChar w:fldCharType="separate"/>
          </w:r>
          <w:r>
            <w:rPr>
              <w:noProof/>
              <w:rtl/>
            </w:rPr>
            <w:t xml:space="preserve"> </w:t>
          </w:r>
          <w:r>
            <w:rPr>
              <w:rFonts w:hint="cs"/>
              <w:noProof/>
              <w:rtl/>
            </w:rPr>
            <w:t>(</w:t>
          </w:r>
          <w:r>
            <w:rPr>
              <w:rFonts w:hint="cs"/>
              <w:noProof/>
            </w:rPr>
            <w:t>Nahrkhalaji</w:t>
          </w:r>
          <w:r>
            <w:rPr>
              <w:rFonts w:hint="cs"/>
              <w:noProof/>
              <w:rtl/>
            </w:rPr>
            <w:t>، 2018)</w:t>
          </w:r>
          <w:r>
            <w:rPr>
              <w:rtl/>
            </w:rPr>
            <w:fldChar w:fldCharType="end"/>
          </w:r>
        </w:sdtContent>
      </w:sdt>
      <w:r w:rsidRPr="00C549DB">
        <w:rPr>
          <w:rtl/>
        </w:rPr>
        <w:t>.</w:t>
      </w:r>
    </w:p>
    <w:p w14:paraId="42C5E8F8" w14:textId="77777777" w:rsidR="00EB7890" w:rsidRDefault="00EB7890" w:rsidP="00EB7890">
      <w:pPr>
        <w:pStyle w:val="ab"/>
        <w:rPr>
          <w:rtl/>
        </w:rPr>
      </w:pPr>
      <w:r w:rsidRPr="00C549DB">
        <w:rPr>
          <w:rtl/>
        </w:rPr>
        <w:t xml:space="preserve">لقد دفع التوسع في استخدام وسائل التواصل الاجتماعي على مستوى العالم الخبراء إلى استكشاف كيفية وأسباب قبولها. ومع ذلك، ركز الجزء الأكبر من الأبحاث على الشخص بدلاً من المستوى التنظيمي. هناك أيضًا ندرة نسبية في الدراسات حول خصائص المستوى التنظيمي التي تؤثر على استخدام تطبيقات وسائل التواصل الاجتماعي من قبل المنظمات غير الربحية. وبالتالي، تهدف هذه الدراسة إلى التغلب على هذه الفجوة في البحث من خلال دراسة العناصر التي تؤثر على استخدام وسائل التواصل الاجتماعي، مما يؤدي إلى تعزيز فعالية (أي الوعي، والمشاركة المجتمعية، وجمع التبرعات) للمنظمات غير الربحية. تم الحصول على البيانات من خلال الاستبيانات التي تم إصدارها لممارسي العلاقات العامة في 325 منظمة غير ربحية في الأردن وتم تحليلها باستخدام </w:t>
      </w:r>
      <w:proofErr w:type="spellStart"/>
      <w:r w:rsidRPr="00C549DB">
        <w:rPr>
          <w:rtl/>
        </w:rPr>
        <w:t>نمذجة</w:t>
      </w:r>
      <w:proofErr w:type="spellEnd"/>
      <w:r w:rsidRPr="00C549DB">
        <w:rPr>
          <w:rtl/>
        </w:rPr>
        <w:t xml:space="preserve"> المعادلات الهيكلية (</w:t>
      </w:r>
      <w:r w:rsidRPr="00C549DB">
        <w:t>SEM</w:t>
      </w:r>
      <w:r w:rsidRPr="00C549DB">
        <w:rPr>
          <w:rtl/>
        </w:rPr>
        <w:t>). أشارت النتائج إلى التأثير الأساسي لتوقعات الأداء، وتوقعات الجهد، والظروف المواتية، والتأثير الاجتماعي، والالتزام الإداري على الاستخدام الفعلي لوسائل التواصل الاجتماعي. كما أظهرت النتائج أن استخدام وسائل التواصل الاجتماعي له تأثير إيجابي كبير على الوعي والمشاركة المجتمعية، في حين لم يتم تسجيل أي تأثير كبير فيما يتعلق بالتبرعات. من الناحية النظرية، يعمل هذا البحث على توسيع نطاق النظرية الموحدة لقبول واستخدام التكنولوجيا (</w:t>
      </w:r>
      <w:r w:rsidRPr="00C549DB">
        <w:t>UTAUT</w:t>
      </w:r>
      <w:r w:rsidRPr="00C549DB">
        <w:rPr>
          <w:rtl/>
        </w:rPr>
        <w:t>) من خلال تضمين مكونات إضافية، وخاصة الالتزام الإداري، والوعي، والمشاركة المجتمعية، وجمع التبرعات، واقتراح روابط جديدة في النموذج. من الناحية العملية، لهذه الدراسة عواقب على أصحاب المصلحة في المنظمات غير الربحية، بما في ذلك المشرعون وممارسو العلاقات العامة</w:t>
      </w:r>
      <w:sdt>
        <w:sdtPr>
          <w:rPr>
            <w:rtl/>
          </w:rPr>
          <w:id w:val="16991529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Albanna</w:t>
          </w:r>
          <w:r>
            <w:rPr>
              <w:rFonts w:hint="cs"/>
              <w:noProof/>
              <w:rtl/>
            </w:rPr>
            <w:t>، 2022)</w:t>
          </w:r>
          <w:r>
            <w:rPr>
              <w:rtl/>
            </w:rPr>
            <w:fldChar w:fldCharType="end"/>
          </w:r>
        </w:sdtContent>
      </w:sdt>
      <w:r w:rsidRPr="00C549DB">
        <w:rPr>
          <w:rtl/>
        </w:rPr>
        <w:t>.</w:t>
      </w:r>
    </w:p>
    <w:p w14:paraId="3D87389A" w14:textId="77777777" w:rsidR="00EB7890" w:rsidRDefault="00EB7890" w:rsidP="00EB7890">
      <w:pPr>
        <w:pStyle w:val="ab"/>
        <w:rPr>
          <w:rtl/>
        </w:rPr>
      </w:pPr>
      <w:r w:rsidRPr="00C549DB">
        <w:rPr>
          <w:rtl/>
        </w:rPr>
        <w:t>كان الغرض من هذا البحث هو تحديد خصائص عملية التبني في ضوء نشر ابتكارات وتقنيات تخطيط موارد المؤسسة لنظام الإدارة في منظمة غير ربحية، مع الأخذ في الاعتبار المتغيرات المعوقة والميسرة وكذلك الابتكارات أو المزايا الناشئة. تم استخدام دراسة حالة لاستخدام تقنية نوعية وصفية. تم إجراء تحليل محتوى البيانات التجريبية المكتسبة من 17 مقابلة منظمة باستخدام مثلث الباحث. كشف البحث أن الجوانب الممكنة تفوق الجوانب المعوقة لتبني النظام. فيما يتعلق بالابتكارات الناتجة عن تبني هذه التكنولوجيا، تم اكتشاف وجود ابتكارات في العمليات والإدارية من خلال تنفيذ عمليات وممارسات وتنظيم هيكلي جديد، مما أدى إلى الوصول الفعال لهدف المنظمة، فيما يتعلق بالامتثال لعملاء الأعمال الذين كان لديهم هدف تعديل أنفسهم لمعايير الحصص الدنيا لتوظيف المتدربين الشباب</w:t>
      </w:r>
      <w:sdt>
        <w:sdtPr>
          <w:rPr>
            <w:rtl/>
          </w:rPr>
          <w:id w:val="40179555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Mir16 \l 3073</w:instrText>
          </w:r>
          <w:r>
            <w:rPr>
              <w:rtl/>
            </w:rPr>
            <w:instrText xml:space="preserve"> </w:instrText>
          </w:r>
          <w:r>
            <w:rPr>
              <w:rtl/>
            </w:rPr>
            <w:fldChar w:fldCharType="separate"/>
          </w:r>
          <w:r>
            <w:rPr>
              <w:noProof/>
              <w:rtl/>
            </w:rPr>
            <w:t xml:space="preserve"> </w:t>
          </w:r>
          <w:r>
            <w:rPr>
              <w:rFonts w:hint="cs"/>
              <w:noProof/>
              <w:rtl/>
            </w:rPr>
            <w:t>(</w:t>
          </w:r>
          <w:r>
            <w:rPr>
              <w:rFonts w:hint="cs"/>
              <w:noProof/>
            </w:rPr>
            <w:t>Miranda</w:t>
          </w:r>
          <w:r>
            <w:rPr>
              <w:rFonts w:hint="cs"/>
              <w:noProof/>
              <w:rtl/>
            </w:rPr>
            <w:t>، 2016)</w:t>
          </w:r>
          <w:r>
            <w:rPr>
              <w:rtl/>
            </w:rPr>
            <w:fldChar w:fldCharType="end"/>
          </w:r>
        </w:sdtContent>
      </w:sdt>
      <w:r w:rsidRPr="00C549DB">
        <w:rPr>
          <w:rtl/>
        </w:rPr>
        <w:t>.</w:t>
      </w:r>
    </w:p>
    <w:p w14:paraId="079342DE" w14:textId="77777777" w:rsidR="00EB7890" w:rsidRDefault="00EB7890" w:rsidP="00EB7890">
      <w:pPr>
        <w:pStyle w:val="ab"/>
        <w:rPr>
          <w:rtl/>
        </w:rPr>
      </w:pPr>
      <w:r w:rsidRPr="00C549DB">
        <w:rPr>
          <w:rtl/>
        </w:rPr>
        <w:t xml:space="preserve">يتوسع البحث في مجال التحول الرقمي ليشمل مجالات جديدة من الدراسة، حيث يدرس العلاقة بين المحفزات والعواقب متعددة المقاييس ومتعددة المستويات. وتضيف هذه المقالة إلى هذا المجال من خلال التحقيق في كيفية تأثير حدوث التحول الرقمي على العديد من النظم البيئية المترابطة مثل </w:t>
      </w:r>
      <w:r w:rsidRPr="00C549DB">
        <w:rPr>
          <w:rFonts w:hint="cs"/>
          <w:rtl/>
        </w:rPr>
        <w:t>الصناعات</w:t>
      </w:r>
      <w:r w:rsidRPr="00C549DB">
        <w:rPr>
          <w:rFonts w:hint="eastAsia"/>
          <w:rtl/>
        </w:rPr>
        <w:t>،</w:t>
      </w:r>
      <w:r w:rsidRPr="00C549DB">
        <w:rPr>
          <w:rtl/>
        </w:rPr>
        <w:t xml:space="preserve"> والحكومات والاقتصادات والمجتمعات. يتطلب تحديد نتائج التحول الرقمي في بيئة معينة مراعاة النمو غير المتكافئ للمنظمة والحضور الرقمي. تعد المنظمات غير الربحية أمثلة على هيكل تنظيمي مميز قائم على القيود غير التوزيعية والتركيز على الأهداف غير المالية. وبافتراض أن التحول الرقمي هو عملية قد تعزز أو تغير أو تعدل ممتلكات الكيان، فإن هذه الدراسة تحقق فيما إذا كانت عوامل معينة ترتبط بنتائج التحول الرقمي في سياق المنظمات غير الربحية، مع التركيز على الشروط المسبقة وأطر خلق القيمة والتطوير الاستراتيجي. يقوم البحث بإجراء تحليل تلوي من خلال إنشاء تصنيف لـ 124 ورقة بحثية تتناول على وجه التحديد التحول الرقمي في المنظمات غير الربحية لتحديد الأشياء والصفات التي تصف المناقشة. ثم يتعلق الأمر بفائدة استخدام الدروس المستفادة من أشكال تنظيمية مختلفة للتحقيق في وتصميم استراتيجيات التطوير التكنولوجي للمنظمات غير الربحية من خلال مقارنة إطارين. وتضيف هذه الدراسة إلى مجموعة المعرفة الحالية من خلال اقتراح عدسة تحليل مفيدة في تحليل هياكل خلق القيمة للمنظمات غير الربحية، وأجندة بحثية تحدد المسارات المستقبلية، واقتراحات لمساعدة صناع السياسات والإدارة في المنظمات غير الربحية في تنفيذ مبادرات التطوير التكنولوجي</w:t>
      </w:r>
      <w:sdt>
        <w:sdtPr>
          <w:rPr>
            <w:rtl/>
          </w:rPr>
          <w:id w:val="-195431479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Cip23 \l 3073</w:instrText>
          </w:r>
          <w:r>
            <w:rPr>
              <w:rtl/>
            </w:rPr>
            <w:instrText xml:space="preserve"> </w:instrText>
          </w:r>
          <w:r>
            <w:rPr>
              <w:rtl/>
            </w:rPr>
            <w:fldChar w:fldCharType="separate"/>
          </w:r>
          <w:r>
            <w:rPr>
              <w:noProof/>
              <w:rtl/>
            </w:rPr>
            <w:t xml:space="preserve"> </w:t>
          </w:r>
          <w:r>
            <w:rPr>
              <w:rFonts w:hint="cs"/>
              <w:noProof/>
              <w:rtl/>
            </w:rPr>
            <w:t>(</w:t>
          </w:r>
          <w:r>
            <w:rPr>
              <w:rFonts w:hint="cs"/>
              <w:noProof/>
            </w:rPr>
            <w:t>Cipriano</w:t>
          </w:r>
          <w:r>
            <w:rPr>
              <w:rFonts w:hint="cs"/>
              <w:noProof/>
              <w:rtl/>
            </w:rPr>
            <w:t>، 2023)</w:t>
          </w:r>
          <w:r>
            <w:rPr>
              <w:rtl/>
            </w:rPr>
            <w:fldChar w:fldCharType="end"/>
          </w:r>
        </w:sdtContent>
      </w:sdt>
      <w:r w:rsidRPr="00C549DB">
        <w:rPr>
          <w:rtl/>
        </w:rPr>
        <w:t>.</w:t>
      </w:r>
    </w:p>
    <w:p w14:paraId="3778E6BC" w14:textId="77777777" w:rsidR="00EB7890" w:rsidRDefault="00EB7890" w:rsidP="00EB7890">
      <w:pPr>
        <w:pStyle w:val="ab"/>
        <w:rPr>
          <w:rtl/>
        </w:rPr>
      </w:pPr>
      <w:r w:rsidRPr="00C549DB">
        <w:rPr>
          <w:rtl/>
        </w:rPr>
        <w:t>وتقدم الدراسة نموذجاً نظرياً يوضح كيف أن توافر المنتجات والخدمات يتراجع مع انتقال المرء من الأماكن المركزية إلى الأماكن الطرفية في ظل إطار إقليمي يتسم بالتفاوتات الجغرافية. وقد توفر الشركات الخاصة والإدارات الحكومية، على وجه الخصوص، منتجات وخدمات غير كافية في أماكن بعيدة اجتماعياً و/أو جغرافياً بسبب قيود حجم السوق وتكاليف المسافة الأكبر. وكثيراً ما يستلزم التهميش الاقتصادي والاستبعاد السياسي. وفي هذا السياق، تستطيع المنظمات غير الربحية تعزيز التنمية المحلية من خلال إعادة التوازن، أو على الأقل تضييق الفوارق الاقتصادية والاجتماعية؛ ومع ذلك، قد تنشأ ثنائية إقليمية بين النواة المرتبطة بأنماط التنمية العالمية والأطراف المهمشة التي تُرِكَت لأشكال الاكتفاء الذاتي من الكفاف. ولتجنب الاستقطاب الإقليمي وإحياء التنمية العادلة والمستدامة، من الأهمية بمكان تمكين المؤسسات التعاونية والاجتماعية، لأن الأخيرة تؤدي وظيفة إنتاجية وتوزيعية في حين تعمل أيضاً على تحسين قابلية توظيف العمال، وتسهيل الوصول إلى السوق للمبادرات المحلية، وزيادة إنتاجية عوامل النشاط السوقي</w:t>
      </w:r>
      <w:sdt>
        <w:sdtPr>
          <w:rPr>
            <w:rtl/>
          </w:rPr>
          <w:id w:val="-1492434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Sal17 \l 3073</w:instrText>
          </w:r>
          <w:r>
            <w:rPr>
              <w:rtl/>
            </w:rPr>
            <w:instrText xml:space="preserve"> </w:instrText>
          </w:r>
          <w:r>
            <w:rPr>
              <w:rtl/>
            </w:rPr>
            <w:fldChar w:fldCharType="separate"/>
          </w:r>
          <w:r>
            <w:rPr>
              <w:noProof/>
              <w:rtl/>
            </w:rPr>
            <w:t xml:space="preserve"> </w:t>
          </w:r>
          <w:r>
            <w:rPr>
              <w:rFonts w:hint="cs"/>
              <w:noProof/>
              <w:rtl/>
            </w:rPr>
            <w:t>(</w:t>
          </w:r>
          <w:r>
            <w:rPr>
              <w:rFonts w:hint="cs"/>
              <w:noProof/>
            </w:rPr>
            <w:t>Salustri</w:t>
          </w:r>
          <w:r>
            <w:rPr>
              <w:rFonts w:hint="cs"/>
              <w:noProof/>
              <w:rtl/>
            </w:rPr>
            <w:t>، 2017)</w:t>
          </w:r>
          <w:r>
            <w:rPr>
              <w:rtl/>
            </w:rPr>
            <w:fldChar w:fldCharType="end"/>
          </w:r>
        </w:sdtContent>
      </w:sdt>
      <w:r w:rsidRPr="00C549DB">
        <w:rPr>
          <w:rtl/>
        </w:rPr>
        <w:t>.</w:t>
      </w:r>
    </w:p>
    <w:p w14:paraId="34389AF5" w14:textId="77777777" w:rsidR="00EB7890" w:rsidRDefault="00EB7890" w:rsidP="00EB7890">
      <w:pPr>
        <w:pStyle w:val="ab"/>
        <w:rPr>
          <w:rtl/>
        </w:rPr>
      </w:pPr>
      <w:r w:rsidRPr="00BC5530">
        <w:rPr>
          <w:rtl/>
        </w:rPr>
        <w:t xml:space="preserve">مساعدة الأشخاص الذين يساعدون الآخرين من خلال دعم التحول الرقمي والافتراضي في المجموعات غير الربحية من خلال التعاون بين الجامعات والصناعة. الملخص: تبحث هذه الدراسة في دور الجامعات في تسهيل تبني تقنيات التحول الرقمي والافتراضي في المنظمات غير الربحية من خلال تكوين شراكات استراتيجية. وعلى الرغم من الاهتمام المتزايد بنقل التكنولوجيا وتبنيها عبر القطاعات، إلا أنه لا يوجد حاليًا سوى القليل نسبيًا من الدراسات حول الإمكانات والمشكلات التي قد توفرها التقنيات الرقمية للمنظمات التي تعزز التغيير الاجتماعي. باستخدام عدسة منطق الخدمة المهيمنة (منطق </w:t>
      </w:r>
      <w:r w:rsidRPr="00BC5530">
        <w:t>S-D</w:t>
      </w:r>
      <w:r w:rsidRPr="00BC5530">
        <w:rPr>
          <w:rtl/>
        </w:rPr>
        <w:t>)، نحقق في نقل التكنولوجيا كتفاعل بين المنظمات، ونجري مقابلات متعمقة مع 13 منظمة غير ربحية مقرها المملكة المتحدة لفهم مستواها الحالي من تبني التكنولوجيا والتحديات التي تواجهها أثناء عملية التبني بشكل أفضل. نحقق بعد ذلك في كيفية عمل الجامعات، كشركاء استراتيجيين، كوسطاء، مما يسهل تبني التكنولوجيا بشكل أكثر جدوى من قبل المنظمات غير الربحية وأصحاب المصلحة فيها. نستنتج أن الجامعات يجب أن تحول تركيزها بعيدًا عن العلاقات الثنائية مع الصناعة نحو ميسري التفاعلات وخلق القيمة المشتركة داخل نظام نقل التكنولوجيا الأوسع، كما يجب عليها أن تأخذ في الاعتبار مجموعة واسعة من أصحاب المصلحة إذا كانت تريد دعم التحول الرقمي والافتراضي للمنظمات غير الربحية</w:t>
      </w:r>
      <w:sdt>
        <w:sdtPr>
          <w:rPr>
            <w:rtl/>
          </w:rPr>
          <w:id w:val="167761009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Jab24 \l 3073</w:instrText>
          </w:r>
          <w:r>
            <w:rPr>
              <w:rtl/>
            </w:rPr>
            <w:instrText xml:space="preserve"> </w:instrText>
          </w:r>
          <w:r>
            <w:rPr>
              <w:rtl/>
            </w:rPr>
            <w:fldChar w:fldCharType="separate"/>
          </w:r>
          <w:r>
            <w:rPr>
              <w:noProof/>
              <w:rtl/>
            </w:rPr>
            <w:t xml:space="preserve"> </w:t>
          </w:r>
          <w:r>
            <w:rPr>
              <w:rFonts w:hint="cs"/>
              <w:noProof/>
              <w:rtl/>
            </w:rPr>
            <w:t>(</w:t>
          </w:r>
          <w:r>
            <w:rPr>
              <w:rFonts w:hint="cs"/>
              <w:noProof/>
            </w:rPr>
            <w:t>Jabbar</w:t>
          </w:r>
          <w:r>
            <w:rPr>
              <w:rFonts w:hint="cs"/>
              <w:noProof/>
              <w:rtl/>
            </w:rPr>
            <w:t>، 2024)</w:t>
          </w:r>
          <w:r>
            <w:rPr>
              <w:rtl/>
            </w:rPr>
            <w:fldChar w:fldCharType="end"/>
          </w:r>
        </w:sdtContent>
      </w:sdt>
      <w:r w:rsidRPr="00BC5530">
        <w:rPr>
          <w:rtl/>
        </w:rPr>
        <w:t>.</w:t>
      </w:r>
    </w:p>
    <w:p w14:paraId="7A9D689D" w14:textId="77777777" w:rsidR="00EB7890" w:rsidRDefault="00EB7890" w:rsidP="00EB7890">
      <w:pPr>
        <w:pStyle w:val="a"/>
      </w:pPr>
      <w:r>
        <w:rPr>
          <w:rFonts w:hint="cs"/>
          <w:rtl/>
        </w:rPr>
        <w:t>تعليق على الدراسات السابقة</w:t>
      </w:r>
    </w:p>
    <w:p w14:paraId="03C35769" w14:textId="77777777" w:rsidR="00EB7890" w:rsidRDefault="00EB7890" w:rsidP="00EB7890">
      <w:pPr>
        <w:pStyle w:val="ab"/>
        <w:rPr>
          <w:rtl/>
        </w:rPr>
      </w:pPr>
      <w:r>
        <w:rPr>
          <w:rtl/>
        </w:rPr>
        <w:t xml:space="preserve">تؤكد الأبحاث السابقة حول استخدام التكنولوجيا في المنظمات غير الربحية على عدة عناصر حول كيفية تعزيز التكنولوجيات الرقمية لفعالية وكفاءة هذه الهيئات. على سبيل المثال، يؤكد البحث بعنوان "مساعدة أولئك الذين يساعدون الآخرين" على الدور الحيوي الذي تلعبه الجامعات في دعم التحول الرقمي والافتراضي داخل المنظمات غير الربحية، ويقترح أن المؤسسات الأكاديمية قد تقدم دعمًا أساسيًا في التغلب على العقبات الفنية. وبالمثل، يستكشف "القطاع غير الربحي كأساس للتفاعل بين الاقتصاد الاجتماعي والقطاع العام والسوق" الترابطات بين مختلف القطاعات، ويؤكد على كيفية تمكن المنظمات غير الربحية من الاستفادة من التكنولوجيا لتعزيز التعاون وتحسين تقديم الخدمات عبر القطاعات المختلفة. </w:t>
      </w:r>
      <w:r>
        <w:rPr>
          <w:rFonts w:hint="cs"/>
          <w:rtl/>
        </w:rPr>
        <w:t>ي</w:t>
      </w:r>
      <w:r>
        <w:rPr>
          <w:rtl/>
        </w:rPr>
        <w:t xml:space="preserve">سلط </w:t>
      </w:r>
      <w:r>
        <w:rPr>
          <w:rFonts w:hint="cs"/>
          <w:rtl/>
        </w:rPr>
        <w:t>جدول أع</w:t>
      </w:r>
      <w:r>
        <w:rPr>
          <w:rFonts w:hint="eastAsia"/>
          <w:rtl/>
        </w:rPr>
        <w:t>مال</w:t>
      </w:r>
      <w:r>
        <w:rPr>
          <w:rtl/>
        </w:rPr>
        <w:t xml:space="preserve"> المقدمة في "المنظمات غير الربحية في العصر الرقمي" الضوء على ضرورة وجود خطة تحول رقمية كاملة، مما يدل على اعتراف متزايد بالدور الحيوي للتكنولوجيا في تحديث عمليات المنظمات غير الربحية.</w:t>
      </w:r>
    </w:p>
    <w:p w14:paraId="77FCFABB" w14:textId="77777777" w:rsidR="00EB7890" w:rsidRDefault="00EB7890" w:rsidP="00EB7890">
      <w:pPr>
        <w:pStyle w:val="ab"/>
        <w:rPr>
          <w:rtl/>
        </w:rPr>
      </w:pPr>
      <w:r>
        <w:rPr>
          <w:rtl/>
        </w:rPr>
        <w:t>بالإضافة إلى ذلك، يستكشف البحث "تبني التكنولوجيا في منظور نشر الابتكارات" كيف يساعد إدخال نظام تخطيط موارد المؤسسات في تبسيط العمليات في المنظمات غير الربحية، مع التأكيد على دور الابتكار في زيادة الأداء التنظيمي. وعلاوة على ذلك، تقدم الدراسة حول "نموذج متكامل لاستخدام تطبيقات الوسائط الاجتماعية في المنظمات غير الربحية" إطارًا لإشراك أصحاب المصلحة بنجاح عبر وسائل التواصل الاجتماعي، مع تسليط الضوء على إمكانات هذه المنصات لزيادة أنشطة الاتصال والتواصل. وأخيرًا، يقدم البحث المقارن حول "استخدام المنظمات غير الربحية للأدوات والتقنيات لإدارة المعرفة" أدلة تجريبية على استخدام الأدوات عبر مختلف المنظمات غير الربحية، مما يضيف إلى فهم أكبر لكيفية تعزيز التكنولوجيا لعمليات إدارة المعرفة. تكشف هذه الدراسات مجتمعة عن بانوراما واسعة من الأبحاث التي تركز على دمج التكنولوجيا في المنظمات غير الربحية، وتحديد المسار للتحقيق المستقبلي والتطبيق في هذا المجال.</w:t>
      </w:r>
    </w:p>
    <w:p w14:paraId="3F2BE2DA" w14:textId="77777777" w:rsidR="00EB7890" w:rsidRDefault="00EB7890" w:rsidP="00EB7890">
      <w:pPr>
        <w:pStyle w:val="2"/>
        <w:rPr>
          <w:rtl/>
        </w:rPr>
      </w:pPr>
      <w:bookmarkStart w:id="28" w:name="_Toc180619276"/>
      <w:r>
        <w:rPr>
          <w:rFonts w:hint="cs"/>
          <w:rtl/>
        </w:rPr>
        <w:t>الإطار النظري</w:t>
      </w:r>
      <w:bookmarkEnd w:id="28"/>
    </w:p>
    <w:p w14:paraId="11AA960C" w14:textId="77777777" w:rsidR="00EB7890" w:rsidRDefault="00EB7890" w:rsidP="00EB7890">
      <w:pPr>
        <w:pStyle w:val="ab"/>
        <w:rPr>
          <w:rtl/>
        </w:rPr>
      </w:pPr>
      <w:r>
        <w:rPr>
          <w:rtl/>
        </w:rPr>
        <w:t>يعتبر الإطار النظري أحد الجوانب الأساسية في أي مشروع بحثي، حيث يقدم الأسس الفكرية التي تدعم الفرضيات وتساعد في فهم الارتباطات بين المتغيرات. ويستند الإطار النظري إلى سلسلة من الفرضيات التي تصف كيف تؤثر التكنولوجيا على المنظمات غير الربحية، مما يساهم في نمو هذه المنظمات ويعزز كفاءتها. وسيتم استكشاف خمس نظريات أساسية في هذا الإطار، بما في ذلك نظرية الاقتصاد الاجتماعي، ونظرية الابتكار، ونظرية القبول التكنولوجي، ونظرية النظم الاجتماعية، ونظرية الاقتصاد الاجتماعي. وتقدم كل نظرية وجهة نظر مميزة حول كيفية تأثير التكنولوجيا على الأداء الاجتماعي والاقتصادي للمنظمات غير الربحية.</w:t>
      </w:r>
    </w:p>
    <w:p w14:paraId="584AFD76" w14:textId="77777777" w:rsidR="00EB7890" w:rsidRDefault="00EB7890" w:rsidP="00EB7890">
      <w:pPr>
        <w:pStyle w:val="ab"/>
        <w:rPr>
          <w:rtl/>
        </w:rPr>
      </w:pPr>
    </w:p>
    <w:p w14:paraId="4FEA6D0F" w14:textId="77777777" w:rsidR="00EB7890" w:rsidRDefault="006259B9" w:rsidP="00EB7890">
      <w:pPr>
        <w:pStyle w:val="ab"/>
        <w:rPr>
          <w:rtl/>
        </w:rPr>
      </w:pPr>
      <w:r>
        <w:rPr>
          <w:noProof/>
        </w:rPr>
      </w:r>
      <w:r w:rsidR="006259B9">
        <w:rPr>
          <w:noProof/>
        </w:rPr>
        <w:object w:dxaOrig="8805" w:dyaOrig="2505" w14:anchorId="7B8161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4pt;height:122.8pt" o:ole="">
            <v:imagedata r:id="rId7" o:title=""/>
          </v:shape>
          <o:OLEObject Type="Embed" ProgID="Visio.Drawing.15" ShapeID="_x0000_i1025" DrawAspect="Content" ObjectID="_1791554257" r:id="rId8"/>
        </w:object>
      </w:r>
    </w:p>
    <w:p w14:paraId="6F66C671" w14:textId="77777777" w:rsidR="00EB7890" w:rsidRDefault="00EB7890" w:rsidP="00EB7890">
      <w:pPr>
        <w:pStyle w:val="ac"/>
        <w:rPr>
          <w:rtl/>
          <w:lang w:bidi="ar-EG"/>
        </w:rPr>
      </w:pPr>
      <w:bookmarkStart w:id="29" w:name="_Toc173779549"/>
      <w:bookmarkStart w:id="30" w:name="_Toc180346300"/>
      <w:bookmarkStart w:id="31" w:name="_Toc180351549"/>
      <w:bookmarkStart w:id="32" w:name="_Toc180488986"/>
      <w:bookmarkStart w:id="33" w:name="_Toc180576412"/>
      <w:bookmarkStart w:id="34" w:name="_Toc180590208"/>
      <w:bookmarkStart w:id="35" w:name="_Toc180619207"/>
      <w:bookmarkStart w:id="36" w:name="_Toc18093196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w:t>
      </w:r>
      <w:bookmarkEnd w:id="29"/>
      <w:bookmarkEnd w:id="30"/>
      <w:bookmarkEnd w:id="31"/>
      <w:bookmarkEnd w:id="32"/>
      <w:bookmarkEnd w:id="33"/>
      <w:r>
        <w:rPr>
          <w:rFonts w:hint="cs"/>
          <w:rtl/>
          <w:lang w:bidi="ar-EG"/>
        </w:rPr>
        <w:t>ة</w:t>
      </w:r>
      <w:bookmarkEnd w:id="34"/>
      <w:bookmarkEnd w:id="35"/>
      <w:bookmarkEnd w:id="36"/>
    </w:p>
    <w:p w14:paraId="54D7CFC4" w14:textId="77777777" w:rsidR="00EB7890" w:rsidRPr="002407A9" w:rsidRDefault="00EB7890" w:rsidP="00EB7890">
      <w:pPr>
        <w:rPr>
          <w:rtl/>
          <w:lang w:bidi="ar-EG"/>
        </w:rPr>
      </w:pPr>
    </w:p>
    <w:p w14:paraId="764A6FA3" w14:textId="77777777" w:rsidR="00EB7890" w:rsidRDefault="00EB7890" w:rsidP="00EB7890">
      <w:pPr>
        <w:pStyle w:val="a"/>
        <w:rPr>
          <w:rtl/>
        </w:rPr>
      </w:pPr>
      <w:r>
        <w:rPr>
          <w:rtl/>
        </w:rPr>
        <w:t>نظرية إدارة المعرفة</w:t>
      </w:r>
    </w:p>
    <w:p w14:paraId="20A9AD76" w14:textId="77777777" w:rsidR="00EB7890" w:rsidRDefault="00EB7890" w:rsidP="00EB7890">
      <w:pPr>
        <w:pStyle w:val="ab"/>
        <w:rPr>
          <w:rtl/>
        </w:rPr>
      </w:pPr>
      <w:r>
        <w:rPr>
          <w:rtl/>
        </w:rPr>
        <w:t>نظرية إدارة المعرفة هي واحدة من الأفكار الأساسية التي تركز على كيفية جمع المعرفة وهيكلتها ونشرها واستخدامها داخل الشركات. وفي سياق المنظمات غير الربحية، تلعب هذه النظرية دورًا مهمًا في تعزيز الكفاءة والفعالية من خلال تحسين تقنيات صنع القرار. يشير المفهوم إلى ضرورة توفير الوصول إلى المعلومات والخبرة بين الأشخاص والفرق، مما يعزز القدرة على الابتكار والتكيف بسرعة مع القضايا.</w:t>
      </w:r>
      <w:r>
        <w:rPr>
          <w:rFonts w:hint="cs"/>
          <w:rtl/>
        </w:rPr>
        <w:t xml:space="preserve"> </w:t>
      </w:r>
      <w:r>
        <w:rPr>
          <w:rtl/>
        </w:rPr>
        <w:t>تساعد إدارة المعلومات في إرساء ثقافة التعلم المستمر، حيث تعمل الشركات على تعزيز تبادل المعلومات والخبرات بين العمال. من خلال تبني التكنولوجيا المعاصرة مثل قواعد البيانات وأنظمة إدارة المعرفة، قد تنظم المنظمات غير الربحية المعلومات وتعزز العمليات الداخلية. وهذا يؤدي إلى تحسين جودة الخدمات المقدمة وتعزيز القدرة على تحقيق الأهداف المجتمعية.</w:t>
      </w:r>
      <w:r>
        <w:rPr>
          <w:rFonts w:hint="cs"/>
          <w:rtl/>
        </w:rPr>
        <w:t xml:space="preserve"> </w:t>
      </w:r>
      <w:r>
        <w:rPr>
          <w:rtl/>
        </w:rPr>
        <w:t>هذه الفكرة حاسمة لفهم كيفية تحسين التعاون والشراكات بين الشركات والمجتمعات، مما يعزز تأثيرها الاجتماعي. لذلك، تسلط نظرية إدارة المعرفة الضوء على كيفية استفادة المنظمات غير الربحية من المعرفة كأساس لتحقيق الاستدامة والتقدم في بيئات العمل المتنوعة الخاصة بها</w:t>
      </w:r>
      <w:sdt>
        <w:sdtPr>
          <w:rPr>
            <w:rtl/>
          </w:rPr>
          <w:id w:val="-11399165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Let04 \l 3073</w:instrText>
          </w:r>
          <w:r>
            <w:rPr>
              <w:rtl/>
            </w:rPr>
            <w:instrText xml:space="preserve"> </w:instrText>
          </w:r>
          <w:r>
            <w:rPr>
              <w:rtl/>
            </w:rPr>
            <w:fldChar w:fldCharType="separate"/>
          </w:r>
          <w:r>
            <w:rPr>
              <w:noProof/>
              <w:rtl/>
            </w:rPr>
            <w:t xml:space="preserve"> </w:t>
          </w:r>
          <w:r>
            <w:rPr>
              <w:rFonts w:hint="cs"/>
              <w:noProof/>
              <w:rtl/>
            </w:rPr>
            <w:t>(</w:t>
          </w:r>
          <w:r>
            <w:rPr>
              <w:rFonts w:hint="cs"/>
              <w:noProof/>
            </w:rPr>
            <w:t>Lettieri</w:t>
          </w:r>
          <w:r>
            <w:rPr>
              <w:rFonts w:hint="cs"/>
              <w:noProof/>
              <w:rtl/>
            </w:rPr>
            <w:t>، 2004)</w:t>
          </w:r>
          <w:r>
            <w:rPr>
              <w:rtl/>
            </w:rPr>
            <w:fldChar w:fldCharType="end"/>
          </w:r>
        </w:sdtContent>
      </w:sdt>
      <w:r>
        <w:rPr>
          <w:rFonts w:hint="cs"/>
          <w:rtl/>
        </w:rPr>
        <w:t>.</w:t>
      </w:r>
    </w:p>
    <w:p w14:paraId="28705B6A" w14:textId="77777777" w:rsidR="00EB7890" w:rsidRPr="002407A9" w:rsidRDefault="00EB7890" w:rsidP="00EB7890">
      <w:pPr>
        <w:pStyle w:val="ab"/>
        <w:numPr>
          <w:ilvl w:val="0"/>
          <w:numId w:val="11"/>
        </w:numPr>
        <w:rPr>
          <w:b/>
          <w:bCs/>
          <w:rtl/>
        </w:rPr>
      </w:pPr>
      <w:r w:rsidRPr="002407A9">
        <w:rPr>
          <w:b/>
          <w:bCs/>
          <w:rtl/>
        </w:rPr>
        <w:t>نظرية الابتكار</w:t>
      </w:r>
    </w:p>
    <w:p w14:paraId="796FB949" w14:textId="77777777" w:rsidR="00EB7890" w:rsidRDefault="00EB7890" w:rsidP="00EB7890">
      <w:pPr>
        <w:pStyle w:val="ab"/>
        <w:rPr>
          <w:rtl/>
        </w:rPr>
      </w:pPr>
      <w:r>
        <w:rPr>
          <w:rtl/>
        </w:rPr>
        <w:t>تركز نظرية الابتكار على كيفية تقديم الأفكار والتكنولوجيا الجديدة والاستفادة منها في الشركات. تلعب هذه الفكرة دورًا حيويًا في فهم كيف يمكن للتكنولوجيا أن تحول أساليب العمل داخل المنظمات غير الربحية. ويحث هذا النهج على استثمار الموارد في الابتكار التكنولوجي لتعزيز الكفاءة وزيادة الفعالية. من خلال تنفيذ الابتكارات، قد تتمكن المنظمات من تحسين الخدمات المقدمة وتوسيع قدرتها على التكيف مع القضايا المجتمعية، مما يعزز تأثيرها على المجتمع</w:t>
      </w:r>
      <w:sdt>
        <w:sdtPr>
          <w:rPr>
            <w:rtl/>
          </w:rPr>
          <w:id w:val="-117918739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Ram23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Ramani</w:t>
          </w:r>
          <w:r>
            <w:rPr>
              <w:rFonts w:hint="cs"/>
              <w:noProof/>
              <w:rtl/>
            </w:rPr>
            <w:t>، 2023)</w:t>
          </w:r>
          <w:r>
            <w:rPr>
              <w:rtl/>
            </w:rPr>
            <w:fldChar w:fldCharType="end"/>
          </w:r>
        </w:sdtContent>
      </w:sdt>
      <w:r>
        <w:rPr>
          <w:rtl/>
        </w:rPr>
        <w:t>.</w:t>
      </w:r>
    </w:p>
    <w:p w14:paraId="4E24262C" w14:textId="77777777" w:rsidR="00EB7890" w:rsidRPr="002407A9" w:rsidRDefault="00EB7890" w:rsidP="00EB7890">
      <w:pPr>
        <w:pStyle w:val="ab"/>
        <w:numPr>
          <w:ilvl w:val="0"/>
          <w:numId w:val="11"/>
        </w:numPr>
        <w:rPr>
          <w:b/>
          <w:bCs/>
          <w:rtl/>
        </w:rPr>
      </w:pPr>
      <w:r w:rsidRPr="002407A9">
        <w:rPr>
          <w:b/>
          <w:bCs/>
          <w:rtl/>
        </w:rPr>
        <w:t>نظرية قبول التكنولوجيا</w:t>
      </w:r>
    </w:p>
    <w:p w14:paraId="5BD93B2D" w14:textId="77777777" w:rsidR="00EB7890" w:rsidRDefault="00EB7890" w:rsidP="00EB7890">
      <w:pPr>
        <w:pStyle w:val="ab"/>
        <w:rPr>
          <w:rtl/>
        </w:rPr>
      </w:pPr>
      <w:r>
        <w:rPr>
          <w:rtl/>
        </w:rPr>
        <w:t>تستكشف نظرية قبول التكنولوجيا كيف ينظر البشر إلى التقدم التكنولوجي وأحكامهم فيما يتعلق باستخدامها. تساعد هذه النظرية في شرح العناصر التي تدفع تبني التكنولوجيا في المنظمات غير الربحية، مثل المزايا المتوقعة، والتعقيد، وبساطة الاستخدام. تساعد هذه الفكرة الشركات على تحديد الصعوبات التي قد تواجهها أثناء دمج التكنولوجيا، مما يسمح لها ببناء أساليب فعالة للتغلب على هذه الحواجز وتعزيز تبني التكنولوجيا بين العمال</w:t>
      </w:r>
      <w:sdt>
        <w:sdtPr>
          <w:rPr>
            <w:rtl/>
          </w:rPr>
          <w:id w:val="110029884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Mug17 \l 3073</w:instrText>
          </w:r>
          <w:r>
            <w:rPr>
              <w:rtl/>
            </w:rPr>
            <w:instrText xml:space="preserve"> </w:instrText>
          </w:r>
          <w:r>
            <w:rPr>
              <w:rtl/>
            </w:rPr>
            <w:fldChar w:fldCharType="separate"/>
          </w:r>
          <w:r>
            <w:rPr>
              <w:noProof/>
              <w:rtl/>
            </w:rPr>
            <w:t xml:space="preserve"> </w:t>
          </w:r>
          <w:r>
            <w:rPr>
              <w:rFonts w:hint="cs"/>
              <w:noProof/>
              <w:rtl/>
            </w:rPr>
            <w:t>(</w:t>
          </w:r>
          <w:r>
            <w:rPr>
              <w:rFonts w:hint="cs"/>
              <w:noProof/>
            </w:rPr>
            <w:t>Mugo</w:t>
          </w:r>
          <w:r>
            <w:rPr>
              <w:rFonts w:hint="cs"/>
              <w:noProof/>
              <w:rtl/>
            </w:rPr>
            <w:t>، 2017)</w:t>
          </w:r>
          <w:r>
            <w:rPr>
              <w:rtl/>
            </w:rPr>
            <w:fldChar w:fldCharType="end"/>
          </w:r>
        </w:sdtContent>
      </w:sdt>
      <w:r>
        <w:rPr>
          <w:rtl/>
        </w:rPr>
        <w:t>.</w:t>
      </w:r>
    </w:p>
    <w:p w14:paraId="37C01B58" w14:textId="77777777" w:rsidR="00EB7890" w:rsidRPr="002407A9" w:rsidRDefault="00EB7890" w:rsidP="00EB7890">
      <w:pPr>
        <w:pStyle w:val="ab"/>
        <w:numPr>
          <w:ilvl w:val="0"/>
          <w:numId w:val="11"/>
        </w:numPr>
        <w:rPr>
          <w:b/>
          <w:bCs/>
          <w:rtl/>
        </w:rPr>
      </w:pPr>
      <w:r w:rsidRPr="002407A9">
        <w:rPr>
          <w:b/>
          <w:bCs/>
          <w:rtl/>
        </w:rPr>
        <w:t>نظرية النظم الاجتماعية</w:t>
      </w:r>
    </w:p>
    <w:p w14:paraId="5FE5CB52" w14:textId="77777777" w:rsidR="00EB7890" w:rsidRDefault="00EB7890" w:rsidP="00EB7890">
      <w:pPr>
        <w:pStyle w:val="ab"/>
        <w:rPr>
          <w:rtl/>
        </w:rPr>
      </w:pPr>
      <w:r>
        <w:rPr>
          <w:rtl/>
        </w:rPr>
        <w:t>تركز نظرية النظم الاجتماعية على كيفية تفاعل الأشخاص والمجموعات داخل الأنظمة الاجتماعية المختلفة. هذه النظرية ضرورية لفهم البيئة الاجتماعية التي تعمل فيها المنظمات غير الربحية وكيف تغير التكنولوجيا هذه الديناميكيات. من خلال البحث في التفاعلات بين الأشخاص والمنظمات، من الممكن فهم كيف تساعد التكنولوجيا في تعزيز التعاون والشراكات بين الأطراف المتنوعة. تساعد هذه الفكرة في شرح كيف تزيد التكنولوجيا من التواصل وتعزز الشبكات الاجتماعية</w:t>
      </w:r>
      <w:sdt>
        <w:sdtPr>
          <w:rPr>
            <w:rtl/>
          </w:rPr>
          <w:id w:val="181043051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Cas20 \l 3073</w:instrText>
          </w:r>
          <w:r>
            <w:rPr>
              <w:rtl/>
            </w:rPr>
            <w:instrText xml:space="preserve"> </w:instrText>
          </w:r>
          <w:r>
            <w:rPr>
              <w:rtl/>
            </w:rPr>
            <w:fldChar w:fldCharType="separate"/>
          </w:r>
          <w:r>
            <w:rPr>
              <w:noProof/>
              <w:rtl/>
            </w:rPr>
            <w:t xml:space="preserve"> </w:t>
          </w:r>
          <w:r>
            <w:rPr>
              <w:rFonts w:hint="cs"/>
              <w:noProof/>
              <w:rtl/>
            </w:rPr>
            <w:t>(</w:t>
          </w:r>
          <w:r>
            <w:rPr>
              <w:rFonts w:hint="cs"/>
              <w:noProof/>
            </w:rPr>
            <w:t>Castañe</w:t>
          </w:r>
          <w:r>
            <w:rPr>
              <w:rFonts w:hint="cs"/>
              <w:noProof/>
              <w:rtl/>
            </w:rPr>
            <w:t>، 2020)</w:t>
          </w:r>
          <w:r>
            <w:rPr>
              <w:rtl/>
            </w:rPr>
            <w:fldChar w:fldCharType="end"/>
          </w:r>
        </w:sdtContent>
      </w:sdt>
      <w:r>
        <w:rPr>
          <w:rtl/>
        </w:rPr>
        <w:t>.</w:t>
      </w:r>
    </w:p>
    <w:p w14:paraId="0DB5E627" w14:textId="77777777" w:rsidR="00EB7890" w:rsidRPr="002407A9" w:rsidRDefault="00EB7890" w:rsidP="00EB7890">
      <w:pPr>
        <w:pStyle w:val="ab"/>
        <w:numPr>
          <w:ilvl w:val="0"/>
          <w:numId w:val="11"/>
        </w:numPr>
        <w:rPr>
          <w:b/>
          <w:bCs/>
          <w:rtl/>
        </w:rPr>
      </w:pPr>
      <w:r w:rsidRPr="002407A9">
        <w:rPr>
          <w:b/>
          <w:bCs/>
          <w:rtl/>
        </w:rPr>
        <w:t>النظرية الاقتصادية الاجتماعية</w:t>
      </w:r>
    </w:p>
    <w:p w14:paraId="164B2616" w14:textId="77777777" w:rsidR="00EB7890" w:rsidRDefault="00EB7890" w:rsidP="00EB7890">
      <w:pPr>
        <w:pStyle w:val="ab"/>
        <w:rPr>
          <w:rtl/>
        </w:rPr>
      </w:pPr>
      <w:r>
        <w:rPr>
          <w:rtl/>
        </w:rPr>
        <w:t>تركز النظرية الاقتصادية الاجتماعية على كيفية تأثير العناصر الاجتماعية على السلوك الاقتصادي. وهذه الفكرة مهمة للمنظمات غير الربحية، لأنها تساعد على فهم كيفية استخدام الموارد بكفاءة لتحقيق الأهداف الاجتماعية. ومن خلال الجمع بين العناصر الاجتماعية والاقتصاد، تعمل هذه النظرية على تحقيق التوازن بين المزايا الاقتصادية والعواقب الاجتماعية. كما تعمل على تعزيز إنشاء المبادرات التي تزيد من مشاركة المجتمع وتدعم التنمية المستدامة، مما يؤدي إلى تأثير اجتماعي جيد</w:t>
      </w:r>
      <w:sdt>
        <w:sdtPr>
          <w:rPr>
            <w:rtl/>
          </w:rPr>
          <w:id w:val="-62978069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Dul19 \l 3073</w:instrText>
          </w:r>
          <w:r>
            <w:rPr>
              <w:rtl/>
            </w:rPr>
            <w:instrText xml:space="preserve"> </w:instrText>
          </w:r>
          <w:r>
            <w:rPr>
              <w:rtl/>
            </w:rPr>
            <w:fldChar w:fldCharType="separate"/>
          </w:r>
          <w:r>
            <w:rPr>
              <w:noProof/>
              <w:rtl/>
            </w:rPr>
            <w:t xml:space="preserve"> </w:t>
          </w:r>
          <w:r>
            <w:rPr>
              <w:rFonts w:hint="cs"/>
              <w:noProof/>
              <w:rtl/>
            </w:rPr>
            <w:t>(</w:t>
          </w:r>
          <w:r>
            <w:rPr>
              <w:rFonts w:hint="cs"/>
              <w:noProof/>
            </w:rPr>
            <w:t>Dulkadiroglu</w:t>
          </w:r>
          <w:r>
            <w:rPr>
              <w:rFonts w:hint="cs"/>
              <w:noProof/>
              <w:rtl/>
            </w:rPr>
            <w:t>، 2019)</w:t>
          </w:r>
          <w:r>
            <w:rPr>
              <w:rtl/>
            </w:rPr>
            <w:fldChar w:fldCharType="end"/>
          </w:r>
        </w:sdtContent>
      </w:sdt>
      <w:r>
        <w:rPr>
          <w:rtl/>
        </w:rPr>
        <w:t>.</w:t>
      </w:r>
    </w:p>
    <w:p w14:paraId="5C00CB25" w14:textId="77777777" w:rsidR="00EB7890" w:rsidRDefault="00EB7890" w:rsidP="00EB7890">
      <w:pPr>
        <w:spacing w:after="0" w:line="360" w:lineRule="auto"/>
        <w:jc w:val="center"/>
        <w:rPr>
          <w:rFonts w:ascii="Sakkal Majalla" w:hAnsi="Sakkal Majalla" w:cs="Sakkal Majalla"/>
          <w:sz w:val="28"/>
          <w:szCs w:val="28"/>
          <w:rtl/>
        </w:rPr>
      </w:pPr>
    </w:p>
    <w:p w14:paraId="257E2A47" w14:textId="77777777" w:rsidR="00EB7890" w:rsidRDefault="00EB7890" w:rsidP="00EB7890">
      <w:pPr>
        <w:spacing w:after="0" w:line="360" w:lineRule="auto"/>
        <w:jc w:val="center"/>
        <w:rPr>
          <w:rFonts w:ascii="Sakkal Majalla" w:hAnsi="Sakkal Majalla" w:cs="Sakkal Majalla"/>
          <w:sz w:val="28"/>
          <w:szCs w:val="28"/>
          <w:rtl/>
        </w:rPr>
      </w:pPr>
    </w:p>
    <w:p w14:paraId="7428A57B" w14:textId="77777777" w:rsidR="00EB7890" w:rsidRDefault="00EB7890" w:rsidP="00EB7890">
      <w:pPr>
        <w:spacing w:after="0" w:line="360" w:lineRule="auto"/>
        <w:jc w:val="center"/>
        <w:rPr>
          <w:rFonts w:ascii="Sakkal Majalla" w:hAnsi="Sakkal Majalla" w:cs="Sakkal Majalla"/>
          <w:sz w:val="28"/>
          <w:szCs w:val="28"/>
          <w:rtl/>
        </w:rPr>
      </w:pPr>
    </w:p>
    <w:p w14:paraId="566148A8" w14:textId="77777777" w:rsidR="00EB7890" w:rsidRDefault="00EB7890" w:rsidP="00EB7890">
      <w:pPr>
        <w:spacing w:after="0" w:line="360" w:lineRule="auto"/>
        <w:jc w:val="center"/>
        <w:rPr>
          <w:rFonts w:ascii="Sakkal Majalla" w:hAnsi="Sakkal Majalla" w:cs="Sakkal Majalla"/>
          <w:sz w:val="28"/>
          <w:szCs w:val="28"/>
          <w:rtl/>
        </w:rPr>
      </w:pPr>
    </w:p>
    <w:p w14:paraId="6D2D414D" w14:textId="77777777" w:rsidR="00EB7890" w:rsidRDefault="00EB7890" w:rsidP="00EB7890">
      <w:pPr>
        <w:spacing w:after="0" w:line="360" w:lineRule="auto"/>
        <w:jc w:val="center"/>
        <w:rPr>
          <w:rFonts w:ascii="Sakkal Majalla" w:hAnsi="Sakkal Majalla" w:cs="Sakkal Majalla"/>
          <w:sz w:val="28"/>
          <w:szCs w:val="28"/>
          <w:rtl/>
        </w:rPr>
      </w:pPr>
    </w:p>
    <w:p w14:paraId="7191DB29" w14:textId="77777777" w:rsidR="00EB7890" w:rsidRDefault="00EB7890"/>
    <w:sectPr w:rsidR="00EB78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75884"/>
    <w:multiLevelType w:val="hybridMultilevel"/>
    <w:tmpl w:val="2A02104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D72570F"/>
    <w:multiLevelType w:val="hybridMultilevel"/>
    <w:tmpl w:val="20387B10"/>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62887"/>
    <w:multiLevelType w:val="hybridMultilevel"/>
    <w:tmpl w:val="4502EA0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C729D1"/>
    <w:multiLevelType w:val="hybridMultilevel"/>
    <w:tmpl w:val="14BE42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216B91"/>
    <w:multiLevelType w:val="hybridMultilevel"/>
    <w:tmpl w:val="5664A77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C94006"/>
    <w:multiLevelType w:val="hybridMultilevel"/>
    <w:tmpl w:val="24726D7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6E862BA"/>
    <w:multiLevelType w:val="hybridMultilevel"/>
    <w:tmpl w:val="6F6269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880701"/>
    <w:multiLevelType w:val="hybridMultilevel"/>
    <w:tmpl w:val="E284923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5BCE3DDE"/>
    <w:multiLevelType w:val="hybridMultilevel"/>
    <w:tmpl w:val="3CB44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521"/>
    <w:multiLevelType w:val="hybridMultilevel"/>
    <w:tmpl w:val="430A5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A820AB"/>
    <w:multiLevelType w:val="hybridMultilevel"/>
    <w:tmpl w:val="CBCA95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15968251">
    <w:abstractNumId w:val="1"/>
  </w:num>
  <w:num w:numId="2" w16cid:durableId="366372458">
    <w:abstractNumId w:val="2"/>
  </w:num>
  <w:num w:numId="3" w16cid:durableId="1181746648">
    <w:abstractNumId w:val="4"/>
  </w:num>
  <w:num w:numId="4" w16cid:durableId="1393430006">
    <w:abstractNumId w:val="3"/>
  </w:num>
  <w:num w:numId="5" w16cid:durableId="58720304">
    <w:abstractNumId w:val="0"/>
  </w:num>
  <w:num w:numId="6" w16cid:durableId="1581449749">
    <w:abstractNumId w:val="8"/>
  </w:num>
  <w:num w:numId="7" w16cid:durableId="1893302083">
    <w:abstractNumId w:val="10"/>
  </w:num>
  <w:num w:numId="8" w16cid:durableId="1785415272">
    <w:abstractNumId w:val="6"/>
  </w:num>
  <w:num w:numId="9" w16cid:durableId="2123988142">
    <w:abstractNumId w:val="9"/>
  </w:num>
  <w:num w:numId="10" w16cid:durableId="1614240532">
    <w:abstractNumId w:val="5"/>
  </w:num>
  <w:num w:numId="11" w16cid:durableId="14608007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32B"/>
    <w:rsid w:val="00387D23"/>
    <w:rsid w:val="003E0C9A"/>
    <w:rsid w:val="005425AA"/>
    <w:rsid w:val="006259B9"/>
    <w:rsid w:val="006E452D"/>
    <w:rsid w:val="00A168D3"/>
    <w:rsid w:val="00A212AE"/>
    <w:rsid w:val="00A439BB"/>
    <w:rsid w:val="00A560DD"/>
    <w:rsid w:val="00AC26C9"/>
    <w:rsid w:val="00B17B86"/>
    <w:rsid w:val="00B95C89"/>
    <w:rsid w:val="00D55C33"/>
    <w:rsid w:val="00D60BE4"/>
    <w:rsid w:val="00E17B93"/>
    <w:rsid w:val="00E46ADC"/>
    <w:rsid w:val="00EB7890"/>
    <w:rsid w:val="00ED1791"/>
    <w:rsid w:val="00F2632B"/>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A23A74"/>
  <w15:chartTrackingRefBased/>
  <w15:docId w15:val="{7A3824FA-8CCB-4503-99CE-43810A05F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890"/>
    <w:pPr>
      <w:bidi/>
    </w:pPr>
    <w:rPr>
      <w:rFonts w:ascii="Calibri" w:eastAsia="Calibri" w:hAnsi="Calibri" w:cs="Arial"/>
    </w:rPr>
  </w:style>
  <w:style w:type="paragraph" w:styleId="1">
    <w:name w:val="heading 1"/>
    <w:basedOn w:val="a0"/>
    <w:next w:val="a0"/>
    <w:link w:val="1Char"/>
    <w:uiPriority w:val="9"/>
    <w:qFormat/>
    <w:rsid w:val="00F26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F26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F2632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F2632B"/>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F2632B"/>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F2632B"/>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F2632B"/>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F2632B"/>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F2632B"/>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F2632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F2632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F2632B"/>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F2632B"/>
    <w:rPr>
      <w:rFonts w:eastAsiaTheme="majorEastAsia" w:cstheme="majorBidi"/>
      <w:i/>
      <w:iCs/>
      <w:color w:val="0F4761" w:themeColor="accent1" w:themeShade="BF"/>
    </w:rPr>
  </w:style>
  <w:style w:type="character" w:customStyle="1" w:styleId="5Char">
    <w:name w:val="عنوان 5 Char"/>
    <w:basedOn w:val="a1"/>
    <w:link w:val="5"/>
    <w:uiPriority w:val="9"/>
    <w:semiHidden/>
    <w:rsid w:val="00F2632B"/>
    <w:rPr>
      <w:rFonts w:eastAsiaTheme="majorEastAsia" w:cstheme="majorBidi"/>
      <w:color w:val="0F4761" w:themeColor="accent1" w:themeShade="BF"/>
    </w:rPr>
  </w:style>
  <w:style w:type="character" w:customStyle="1" w:styleId="6Char">
    <w:name w:val="عنوان 6 Char"/>
    <w:basedOn w:val="a1"/>
    <w:link w:val="6"/>
    <w:uiPriority w:val="9"/>
    <w:semiHidden/>
    <w:rsid w:val="00F2632B"/>
    <w:rPr>
      <w:rFonts w:eastAsiaTheme="majorEastAsia" w:cstheme="majorBidi"/>
      <w:i/>
      <w:iCs/>
      <w:color w:val="595959" w:themeColor="text1" w:themeTint="A6"/>
    </w:rPr>
  </w:style>
  <w:style w:type="character" w:customStyle="1" w:styleId="7Char">
    <w:name w:val="عنوان 7 Char"/>
    <w:basedOn w:val="a1"/>
    <w:link w:val="7"/>
    <w:uiPriority w:val="9"/>
    <w:semiHidden/>
    <w:rsid w:val="00F2632B"/>
    <w:rPr>
      <w:rFonts w:eastAsiaTheme="majorEastAsia" w:cstheme="majorBidi"/>
      <w:color w:val="595959" w:themeColor="text1" w:themeTint="A6"/>
    </w:rPr>
  </w:style>
  <w:style w:type="character" w:customStyle="1" w:styleId="8Char">
    <w:name w:val="عنوان 8 Char"/>
    <w:basedOn w:val="a1"/>
    <w:link w:val="8"/>
    <w:uiPriority w:val="9"/>
    <w:semiHidden/>
    <w:rsid w:val="00F2632B"/>
    <w:rPr>
      <w:rFonts w:eastAsiaTheme="majorEastAsia" w:cstheme="majorBidi"/>
      <w:i/>
      <w:iCs/>
      <w:color w:val="272727" w:themeColor="text1" w:themeTint="D8"/>
    </w:rPr>
  </w:style>
  <w:style w:type="character" w:customStyle="1" w:styleId="9Char">
    <w:name w:val="عنوان 9 Char"/>
    <w:basedOn w:val="a1"/>
    <w:link w:val="9"/>
    <w:uiPriority w:val="9"/>
    <w:semiHidden/>
    <w:rsid w:val="00F2632B"/>
    <w:rPr>
      <w:rFonts w:eastAsiaTheme="majorEastAsia" w:cstheme="majorBidi"/>
      <w:color w:val="272727" w:themeColor="text1" w:themeTint="D8"/>
    </w:rPr>
  </w:style>
  <w:style w:type="paragraph" w:styleId="a4">
    <w:name w:val="Title"/>
    <w:basedOn w:val="a0"/>
    <w:next w:val="a0"/>
    <w:link w:val="Char"/>
    <w:uiPriority w:val="10"/>
    <w:qFormat/>
    <w:rsid w:val="00F26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F2632B"/>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F2632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F2632B"/>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F2632B"/>
    <w:pPr>
      <w:spacing w:before="160"/>
      <w:jc w:val="center"/>
    </w:pPr>
    <w:rPr>
      <w:i/>
      <w:iCs/>
      <w:color w:val="404040" w:themeColor="text1" w:themeTint="BF"/>
    </w:rPr>
  </w:style>
  <w:style w:type="character" w:customStyle="1" w:styleId="Char1">
    <w:name w:val="اقتباس Char"/>
    <w:basedOn w:val="a1"/>
    <w:link w:val="a6"/>
    <w:uiPriority w:val="29"/>
    <w:rsid w:val="00F2632B"/>
    <w:rPr>
      <w:i/>
      <w:iCs/>
      <w:color w:val="404040" w:themeColor="text1" w:themeTint="BF"/>
    </w:rPr>
  </w:style>
  <w:style w:type="paragraph" w:styleId="a7">
    <w:name w:val="List Paragraph"/>
    <w:basedOn w:val="a0"/>
    <w:uiPriority w:val="34"/>
    <w:qFormat/>
    <w:rsid w:val="00F2632B"/>
    <w:pPr>
      <w:ind w:left="720"/>
      <w:contextualSpacing/>
    </w:pPr>
  </w:style>
  <w:style w:type="character" w:styleId="a8">
    <w:name w:val="Intense Emphasis"/>
    <w:basedOn w:val="a1"/>
    <w:uiPriority w:val="21"/>
    <w:qFormat/>
    <w:rsid w:val="00F2632B"/>
    <w:rPr>
      <w:i/>
      <w:iCs/>
      <w:color w:val="0F4761" w:themeColor="accent1" w:themeShade="BF"/>
    </w:rPr>
  </w:style>
  <w:style w:type="paragraph" w:styleId="a9">
    <w:name w:val="Intense Quote"/>
    <w:basedOn w:val="a0"/>
    <w:next w:val="a0"/>
    <w:link w:val="Char2"/>
    <w:uiPriority w:val="30"/>
    <w:qFormat/>
    <w:rsid w:val="00F26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F2632B"/>
    <w:rPr>
      <w:i/>
      <w:iCs/>
      <w:color w:val="0F4761" w:themeColor="accent1" w:themeShade="BF"/>
    </w:rPr>
  </w:style>
  <w:style w:type="character" w:styleId="aa">
    <w:name w:val="Intense Reference"/>
    <w:basedOn w:val="a1"/>
    <w:uiPriority w:val="32"/>
    <w:qFormat/>
    <w:rsid w:val="00F2632B"/>
    <w:rPr>
      <w:b/>
      <w:bCs/>
      <w:smallCaps/>
      <w:color w:val="0F4761" w:themeColor="accent1" w:themeShade="BF"/>
      <w:spacing w:val="5"/>
    </w:rPr>
  </w:style>
  <w:style w:type="paragraph" w:customStyle="1" w:styleId="ab">
    <w:name w:val="كلام"/>
    <w:basedOn w:val="a0"/>
    <w:link w:val="Char3"/>
    <w:qFormat/>
    <w:rsid w:val="00EB7890"/>
    <w:pPr>
      <w:spacing w:line="360" w:lineRule="auto"/>
      <w:jc w:val="both"/>
    </w:pPr>
    <w:rPr>
      <w:rFonts w:ascii="Sakkal Majalla" w:hAnsi="Sakkal Majalla" w:cs="Sakkal Majalla"/>
      <w:sz w:val="28"/>
      <w:szCs w:val="28"/>
      <w:lang w:bidi="ar-EG"/>
    </w:rPr>
  </w:style>
  <w:style w:type="character" w:customStyle="1" w:styleId="Char3">
    <w:name w:val="كلام Char"/>
    <w:basedOn w:val="a1"/>
    <w:link w:val="ab"/>
    <w:rsid w:val="00EB7890"/>
    <w:rPr>
      <w:rFonts w:ascii="Sakkal Majalla" w:eastAsia="Calibri" w:hAnsi="Sakkal Majalla" w:cs="Sakkal Majalla"/>
      <w:sz w:val="28"/>
      <w:szCs w:val="28"/>
      <w:lang w:bidi="ar-EG"/>
    </w:rPr>
  </w:style>
  <w:style w:type="paragraph" w:styleId="ac">
    <w:name w:val="caption"/>
    <w:basedOn w:val="a0"/>
    <w:next w:val="a0"/>
    <w:uiPriority w:val="35"/>
    <w:unhideWhenUsed/>
    <w:qFormat/>
    <w:rsid w:val="00EB7890"/>
    <w:pPr>
      <w:spacing w:after="200" w:line="240" w:lineRule="auto"/>
      <w:jc w:val="center"/>
    </w:pPr>
    <w:rPr>
      <w:rFonts w:ascii="Sakkal Majalla" w:eastAsiaTheme="minorHAnsi" w:hAnsi="Sakkal Majalla" w:cs="Sakkal Majalla"/>
      <w:i/>
      <w:iCs/>
      <w:color w:val="0E2841" w:themeColor="text2"/>
      <w:sz w:val="20"/>
      <w:szCs w:val="20"/>
    </w:rPr>
  </w:style>
  <w:style w:type="paragraph" w:customStyle="1" w:styleId="a">
    <w:name w:val="عنوان"/>
    <w:basedOn w:val="ab"/>
    <w:link w:val="Char4"/>
    <w:qFormat/>
    <w:rsid w:val="00EB7890"/>
    <w:pPr>
      <w:numPr>
        <w:numId w:val="1"/>
      </w:numPr>
    </w:pPr>
    <w:rPr>
      <w:b/>
      <w:bCs/>
    </w:rPr>
  </w:style>
  <w:style w:type="character" w:customStyle="1" w:styleId="Char4">
    <w:name w:val="عنوان Char"/>
    <w:basedOn w:val="Char3"/>
    <w:link w:val="a"/>
    <w:rsid w:val="00EB7890"/>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 /><Relationship Id="rId3" Type="http://schemas.openxmlformats.org/officeDocument/2006/relationships/styles" Target="styles.xml" /><Relationship Id="rId7" Type="http://schemas.openxmlformats.org/officeDocument/2006/relationships/image" Target="media/image2.emf"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Ahm241</b:Tag>
    <b:SourceType>JournalArticle</b:SourceType>
    <b:Guid>{FF34BAA9-F971-4636-A7E1-6EC73B3B26C6}</b:Guid>
    <b:Author>
      <b:Author>
        <b:NameList>
          <b:Person>
            <b:Last>Ahmed</b:Last>
            <b:First>Nabila</b:First>
          </b:Person>
        </b:NameList>
      </b:Author>
    </b:Author>
    <b:Title>Digital Transformation in Non-Profit Organizations: Strategies, Challenges, and Successes</b:Title>
    <b:Year>2024</b:Year>
    <b:Volume>2</b:Volume>
    <b:Issue>5</b:Issue>
    <b:URL>https://www.researchgate.net/publication/384667845_Digital_Transformation_in_Non-Profit_Organizations_Strategies_Challenges_and_Successes</b:URL>
    <b:JournalName>Advanced International Journal of Multidisciplinary Research</b:JournalName>
    <b:RefOrder>1</b:RefOrder>
  </b:Source>
  <b:Source>
    <b:Tag>Kra22</b:Tag>
    <b:SourceType>JournalArticle</b:SourceType>
    <b:Guid>{1260DB63-591D-4D0E-9D66-A18D85C80B1A}</b:Guid>
    <b:Author>
      <b:Author>
        <b:NameList>
          <b:Person>
            <b:Last>Kraus</b:Last>
            <b:First>Sascha</b:First>
          </b:Person>
        </b:NameList>
      </b:Author>
    </b:Author>
    <b:Title>Digital transformation in business and management research: An overview of the current status quo</b:Title>
    <b:JournalName>International Journal of Information Management</b:JournalName>
    <b:Year>2022</b:Year>
    <b:Volume>63</b:Volume>
    <b:URL>https://www.sciencedirect.com/science/article/pii/S0268401221001596</b:URL>
    <b:RefOrder>2</b:RefOrder>
  </b:Source>
  <b:Source>
    <b:Tag>Omu14</b:Tag>
    <b:SourceType>JournalArticle</b:SourceType>
    <b:Guid>{E63CC365-104B-4374-8B9A-03E49C4FFD38}</b:Guid>
    <b:Author>
      <b:Author>
        <b:NameList>
          <b:Person>
            <b:Last>Omura</b:Last>
            <b:First>Teruyo</b:First>
          </b:Person>
        </b:NameList>
      </b:Author>
    </b:Author>
    <b:Title>Competition for donations and the sustainability of not-for-profit organisations</b:Title>
    <b:JournalName>Humanomics</b:JournalName>
    <b:Year>2014</b:Year>
    <b:Volume>30</b:Volume>
    <b:Issue>3</b:Issue>
    <b:URL>https://www.researchgate.net/publication/265857063_Competition_for_donations_and_the_sustainability_of_not-for-profit_organisations</b:URL>
    <b:RefOrder>3</b:RefOrder>
  </b:Source>
  <b:Source>
    <b:Tag>AlK221</b:Tag>
    <b:SourceType>JournalArticle</b:SourceType>
    <b:Guid>{67D27E46-7A5D-463F-9885-CC86A71C1EE7}</b:Guid>
    <b:Author>
      <b:Author>
        <b:NameList>
          <b:Person>
            <b:Last>Al-Kahtani</b:Last>
            <b:First>Nouf</b:First>
          </b:Person>
        </b:NameList>
      </b:Author>
    </b:Author>
    <b:Title>Digital health transformation in Saudi Arabia: A cross-sectional analysis using Healthcare Information and Management Systems Society’ digital health indicators</b:Title>
    <b:JournalName>Digit Health</b:JournalName>
    <b:Year>2022</b:Year>
    <b:URL>https://www.researchgate.net/publication/265857063_Competition_for_donations_and_the_sustainability_of_not-for-profit_organisationshttps://www.researchgate.net/publication/265857063_Competition_for_donations_and_the_sustainability_of_not-for-profit_organi</b:URL>
    <b:RefOrder>4</b:RefOrder>
  </b:Source>
  <b:Source>
    <b:Tag>McN18</b:Tag>
    <b:SourceType>JournalArticle</b:SourceType>
    <b:Guid>{6F256894-AB99-4E09-B1B8-105DFC3F137B}</b:Guid>
    <b:Author>
      <b:Author>
        <b:NameList>
          <b:Person>
            <b:Last>McNutt</b:Last>
            <b:First>John</b:First>
            <b:Middle>G.</b:Middle>
          </b:Person>
        </b:NameList>
      </b:Author>
    </b:Author>
    <b:Title>Technology in Nonprofit Organizations and Voluntary Action</b:Title>
    <b:Year>2018</b:Year>
    <b:URL>https://www.researchgate.net/publication/325585674_Technology_in_Nonprofit_Organizations_and_Voluntary_Action</b:URL>
    <b:RefOrder>5</b:RefOrder>
  </b:Source>
  <b:Source>
    <b:Tag>Alo231</b:Tag>
    <b:SourceType>JournalArticle</b:SourceType>
    <b:Guid>{6A029780-2447-41C2-AC9E-2C04300FDDCD}</b:Guid>
    <b:Author>
      <b:Author>
        <b:NameList>
          <b:Person>
            <b:Last>Alojail</b:Last>
            <b:First>Mohammed</b:First>
          </b:Person>
        </b:NameList>
      </b:Author>
    </b:Author>
    <b:Title>Impact of Digital Transformation toward Sustainable Development</b:Title>
    <b:JournalName>Sustainability</b:JournalName>
    <b:Year>2023</b:Year>
    <b:Volume>15</b:Volume>
    <b:Issue>20</b:Issue>
    <b:URL>https://www.mdpi.com/2071-1050/15/20/14697</b:URL>
    <b:RefOrder>6</b:RefOrder>
  </b:Source>
  <b:Source>
    <b:Tag>Hal22</b:Tag>
    <b:SourceType>JournalArticle</b:SourceType>
    <b:Guid>{17EB7238-4589-4108-B19E-63CA96A321C1}</b:Guid>
    <b:Author>
      <b:Author>
        <b:NameList>
          <b:Person>
            <b:Last>Haleem</b:Last>
            <b:First>Abid</b:First>
          </b:Person>
        </b:NameList>
      </b:Author>
    </b:Author>
    <b:Title>Understanding the role of digital technologies in education: A review</b:Title>
    <b:JournalName>Sustainable Operations and Computers</b:JournalName>
    <b:Year>2022</b:Year>
    <b:Pages>275-285</b:Pages>
    <b:Volume>3</b:Volume>
    <b:URL>https://www.sciencedirect.com/science/article/pii/S2666412722000137</b:URL>
    <b:RefOrder>7</b:RefOrder>
  </b:Source>
  <b:Source>
    <b:Tag>Mar23</b:Tag>
    <b:SourceType>JournalArticle</b:SourceType>
    <b:Guid>{72BC450C-999E-468A-9569-08CDDD45A5D5}</b:Guid>
    <b:Author>
      <b:Author>
        <b:NameList>
          <b:Person>
            <b:Last>Martínez-Peláez</b:Last>
            <b:First>Rafael</b:First>
          </b:Person>
        </b:NameList>
      </b:Author>
    </b:Author>
    <b:Title>Role of Digital Transformation for Achieving Sustainability: Mediated Role of Stakeholders, Key Capabilities, and Technology</b:Title>
    <b:JournalName>Sustainability</b:JournalName>
    <b:Year>2023</b:Year>
    <b:Volume>15</b:Volume>
    <b:Issue>14</b:Issue>
    <b:URL>https://www.mdpi.com/2071-1050/15/14/11221</b:URL>
    <b:RefOrder>8</b:RefOrder>
  </b:Source>
  <b:Source>
    <b:Tag>Sal221</b:Tag>
    <b:SourceType>JournalArticle</b:SourceType>
    <b:Guid>{777C6283-4C48-4481-93BD-65887B72013C}</b:Guid>
    <b:Author>
      <b:Author>
        <b:NameList>
          <b:Person>
            <b:Last>Salih</b:Last>
            <b:First>Osama</b:First>
          </b:Person>
        </b:NameList>
      </b:Author>
    </b:Author>
    <b:Title>Implementing business excellence models in Saudi nonprofit organizations and the impact of human resources availability</b:Title>
    <b:JournalName>Measuring Business Excellence</b:JournalName>
    <b:Year>2022</b:Year>
    <b:Volume>27</b:Volume>
    <b:Issue>3</b:Issue>
    <b:URL>https://www.researchgate.net/publication/364606988_Implementing_business_excellence_models_in_Saudi_nonprofit_organizations_and_the_impact_of_human_resources_availability</b:URL>
    <b:RefOrder>9</b:RefOrder>
  </b:Source>
  <b:Source>
    <b:Tag>Vog21</b:Tag>
    <b:SourceType>JournalArticle</b:SourceType>
    <b:Guid>{0DA3EAF2-DD5E-487C-AD12-788CAE743121}</b:Guid>
    <b:Author>
      <b:Author>
        <b:NameList>
          <b:Person>
            <b:Last>Vogelsang</b:Last>
            <b:First>Kristin</b:First>
          </b:Person>
        </b:NameList>
      </b:Author>
    </b:Author>
    <b:Title>Challenges of the Digital Transformation – Comparing Nonprofit and Industry Organizations</b:Title>
    <b:Year>2021</b:Year>
    <b:URL>https://www.researchgate.net/publication/355347602_Challenges_of_the_Digital_Transformation_-_Comparing_Nonprofit_and_Industry_Organizations</b:URL>
    <b:RefOrder>10</b:RefOrder>
  </b:Source>
  <b:Source>
    <b:Tag>Jav22</b:Tag>
    <b:SourceType>JournalArticle</b:SourceType>
    <b:Guid>{0A7AD758-8FBB-42D8-A843-57235ACA5557}</b:Guid>
    <b:Author>
      <b:Author>
        <b:NameList>
          <b:Person>
            <b:Last>Javaid</b:Last>
            <b:First>Mohd</b:First>
          </b:Person>
        </b:NameList>
      </b:Author>
    </b:Author>
    <b:Title>Understanding the adoption of Industry 4.0 technologies in improving environmental sustainability</b:Title>
    <b:JournalName>Sustainable Operations and Computers</b:JournalName>
    <b:Year>2022</b:Year>
    <b:Volume>3</b:Volume>
    <b:URL>https://www.sciencedirect.com/science/article/pii/S2666412722000071</b:URL>
    <b:RefOrder>11</b:RefOrder>
  </b:Source>
  <b:Source>
    <b:Tag>Let04</b:Tag>
    <b:SourceType>JournalArticle</b:SourceType>
    <b:Guid>{5DFB6E2C-6849-4FA9-9C0D-4A4AC230DFDD}</b:Guid>
    <b:Author>
      <b:Author>
        <b:NameList>
          <b:Person>
            <b:Last>Lettieri</b:Last>
            <b:First>Emanuele</b:First>
          </b:Person>
        </b:NameList>
      </b:Author>
    </b:Author>
    <b:Title>Knowledge Management in Non-Profit Organizations</b:Title>
    <b:JournalName>Journal of Knowledge Management</b:JournalName>
    <b:Year>2004</b:Year>
    <b:Pages>16-30</b:Pages>
    <b:Volume>8</b:Volume>
    <b:Issue>6</b:Issue>
    <b:URL>https://www.researchgate.net/publication/220363151_Knowledge_Management_in_Non-Profit_Organizations</b:URL>
    <b:RefOrder>12</b:RefOrder>
  </b:Source>
  <b:Source>
    <b:Tag>Ram23</b:Tag>
    <b:SourceType>JournalArticle</b:SourceType>
    <b:Guid>{A77CFAEE-CAEB-4BB7-9FCB-D05C2232823A}</b:Guid>
    <b:Author>
      <b:Author>
        <b:NameList>
          <b:Person>
            <b:Last>Ramani</b:Last>
            <b:First>Shyama</b:First>
            <b:Middle>V.</b:Middle>
          </b:Person>
        </b:NameList>
      </b:Author>
    </b:Author>
    <b:Title>Inclusive innovation for the BoP: It's a matter of survival!</b:Title>
    <b:JournalName>Technological Forecasting and Social Change</b:JournalName>
    <b:Year>2023</b:Year>
    <b:Volume>194</b:Volume>
    <b:URL>https://www.sciencedirect.com/science/article/pii/S0040162523003517</b:URL>
    <b:RefOrder>13</b:RefOrder>
  </b:Source>
  <b:Source>
    <b:Tag>Mug17</b:Tag>
    <b:SourceType>JournalArticle</b:SourceType>
    <b:Guid>{8AB337A2-7337-432C-9471-54985B1C6948}</b:Guid>
    <b:Author>
      <b:Author>
        <b:NameList>
          <b:Person>
            <b:Last>Mugo</b:Last>
            <b:First>David</b:First>
            <b:Middle>Gitumu</b:Middle>
          </b:Person>
        </b:NameList>
      </b:Author>
    </b:Author>
    <b:Title>The Technology Acceptance Model (TAM) and its Application to the Utilization of Mobile Learning Technologies</b:Title>
    <b:JournalName>British Journal of Mathematics &amp; Computer Science</b:JournalName>
    <b:Year>2017</b:Year>
    <b:Pages>1-8</b:Pages>
    <b:Volume>20</b:Volume>
    <b:Issue>4</b:Issue>
    <b:URL>https://www.researchgate.net/publication/313624522_The_Technology_Acceptance_Model_TAM_and_its_Application_to_the_Utilization_of_Mobile_Learning_Technologies</b:URL>
    <b:RefOrder>14</b:RefOrder>
  </b:Source>
  <b:Source>
    <b:Tag>Cas20</b:Tag>
    <b:SourceType>JournalArticle</b:SourceType>
    <b:Guid>{AE1646DA-0C0F-471D-B241-9AC60CECB940}</b:Guid>
    <b:Author>
      <b:Author>
        <b:NameList>
          <b:Person>
            <b:Last>Castañe</b:Last>
            <b:First>Xavier</b:First>
          </b:Person>
        </b:NameList>
      </b:Author>
    </b:Author>
    <b:Title>Collaboration, Coordination, and Cooperation Among Organizations: Establishing the Distinctive Meanings of These Terms Through a Systematic Literature Review</b:Title>
    <b:JournalName>Journal of Management</b:JournalName>
    <b:Year>2020</b:Year>
    <b:Volume>46</b:Volume>
    <b:Issue>4</b:Issue>
    <b:URL>https://journals.sagepub.com/doi/10.1177/0149206320901565</b:URL>
    <b:RefOrder>15</b:RefOrder>
  </b:Source>
  <b:Source>
    <b:Tag>Dul19</b:Tag>
    <b:SourceType>JournalArticle</b:SourceType>
    <b:Guid>{D93A971F-22A1-49F1-80FC-0CF6EAD66098}</b:Guid>
    <b:Author>
      <b:Author>
        <b:NameList>
          <b:Person>
            <b:Last>Dulkadiroglu</b:Last>
            <b:First>Hakan</b:First>
          </b:Person>
        </b:NameList>
      </b:Author>
    </b:Author>
    <b:Title>The Role of Nonprofit Organisations for 2030 Sustainable Development Goals</b:Title>
    <b:Year>2019</b:Year>
    <b:URL>https://www.researchgate.net/publication/335222694_The_Role_of_Nonprofit_Organisations_for_2030_Sustainable_Development_Goals</b:URL>
    <b:RefOrder>16</b:RefOrder>
  </b:Source>
  <b:Source>
    <b:Tag>Rat17</b:Tag>
    <b:SourceType>JournalArticle</b:SourceType>
    <b:Guid>{C0C1052E-8E40-47D5-8E0E-9C45B4727516}</b:Guid>
    <b:Author>
      <b:Author>
        <b:NameList>
          <b:Person>
            <b:Last>Rathi</b:Last>
            <b:First>Dinesh</b:First>
          </b:Person>
        </b:NameList>
      </b:Author>
    </b:Author>
    <b:Title>Non-profit organizations’ use of tools and technologies for knowledge management: a comparative study</b:Title>
    <b:JournalName>Journal of Knowledge Management</b:JournalName>
    <b:Year>2017</b:Year>
    <b:Volume>21</b:Volume>
    <b:Issue>4</b:Issue>
    <b:URL>https://www.emerald.com/insight/content/doi/10.1108/JKM-06-2016-0229/full/html</b:URL>
    <b:LCID>ar-EG</b:LCID>
    <b:RefOrder>17</b:RefOrder>
  </b:Source>
  <b:Source>
    <b:Tag>Set24</b:Tag>
    <b:SourceType>InternetSite</b:SourceType>
    <b:Guid>{1C120320-10CC-48F3-84A3-7E3FF623BABD}</b:Guid>
    <b:Author>
      <b:Author>
        <b:NameList>
          <b:Person>
            <b:Last>Relate</b:Last>
            <b:First>Seth</b:First>
            <b:Middle>Hopkins</b:Middle>
          </b:Person>
        </b:NameList>
      </b:Author>
    </b:Author>
    <b:Year>2024</b:Year>
    <b:InternetSiteTitle>forvismazars</b:InternetSiteTitle>
    <b:URL>https://www.forvismazars.us/forsights/2024/05/how-investments-in-technology-can-reduce-overall-costs-for-nonprofits</b:URL>
    <b:LCID>ar-EG</b:LCID>
    <b:RefOrder>18</b:RefOrder>
  </b:Source>
  <b:Source>
    <b:Tag>Madty</b:Tag>
    <b:SourceType>JournalArticle</b:SourceType>
    <b:Guid>{4540A2C2-9983-4F0F-B5CB-B6F4FC9642CF}</b:Guid>
    <b:Title>Exploring the Role of Information Technology in Supporting Sustainability Efforts in Saudi Arabia</b:Title>
    <b:Year>2023</b:Year>
    <b:URL>https://www.researchgate.net/publication/373147192_Exploring_the_Role_of_Information_Technology_in_Supporting_Sustainability_Efforts_in_Saudi_Arabia</b:URL>
    <b:Author>
      <b:Author>
        <b:NameList>
          <b:Person>
            <b:Last>Madkhali</b:Last>
            <b:First>Ash</b:First>
          </b:Person>
        </b:NameList>
      </b:Author>
    </b:Author>
    <b:JournalName>Sustainability</b:JournalName>
    <b:Volume>15</b:Volume>
    <b:Issue>16</b:Issue>
    <b:LCID>ar-EG</b:LCID>
    <b:RefOrder>19</b:RefOrder>
  </b:Source>
  <b:Source>
    <b:Tag>Pla24</b:Tag>
    <b:SourceType>JournalArticle</b:SourceType>
    <b:Guid>{56E132B0-858A-4333-B017-24D8AA3FAD45}</b:Guid>
    <b:Author>
      <b:Author>
        <b:NameList>
          <b:Person>
            <b:Last>Plaisance</b:Last>
            <b:First>Guillaume</b:First>
          </b:Person>
        </b:NameList>
      </b:Author>
    </b:Author>
    <b:Title>Non-profit Governance - Twelve Frameworks for Organisations and Research</b:Title>
    <b:Year>2024</b:Year>
    <b:URL>https://www.researchgate.net/publication/381635597_Non-profit_Governance_-_Twelve_Frameworks_for_Organisations_and_Research</b:URL>
    <b:RefOrder>21</b:RefOrder>
  </b:Source>
  <b:Source>
    <b:Tag>Vit</b:Tag>
    <b:SourceType>BookSection</b:SourceType>
    <b:Guid>{4C4E9560-93CF-4342-A24E-6DDA62C42BE7}</b:Guid>
    <b:Title>Theories on the Origins of Non-Profit Organisations</b:Title>
    <b:Pages>69-92</b:Pages>
    <b:Author>
      <b:Author>
        <b:NameList>
          <b:Person>
            <b:Last>Vitálišová</b:Last>
            <b:First>Katarína</b:First>
          </b:Person>
        </b:NameList>
      </b:Author>
    </b:Author>
    <b:BookTitle>Non-Profit Organisations</b:BookTitle>
    <b:Volume>1</b:Volume>
    <b:URL>https://www.researchgate.net/publication/382864519_Theories_on_the_Origins_of_Non-Profit_Organisations</b:URL>
    <b:RefOrder>22</b:RefOrder>
  </b:Source>
  <b:Source>
    <b:Tag>Alb22</b:Tag>
    <b:SourceType>JournalArticle</b:SourceType>
    <b:Guid>{3CB3FBC4-D822-4142-A81F-A86BC74E6F69}</b:Guid>
    <b:Title>Accounting Disclosure in the Non-profit Sector: The Role of Stakeholders' Theory</b:Title>
    <b:Year>2022</b:Year>
    <b:Author>
      <b:Author>
        <b:NameList>
          <b:Person>
            <b:Last>Albaz</b:Last>
            <b:First>Maged</b:First>
          </b:Person>
        </b:NameList>
      </b:Author>
    </b:Author>
    <b:Volume>1</b:Volume>
    <b:Issue>1</b:Issue>
    <b:URL>https://www.researchgate.net/publication/362245880_Accounting_Disclosure_in_the_Non-profit_Sector_The_Role_of_Stakeholders%27_Theory</b:URL>
    <b:RefOrder>23</b:RefOrder>
  </b:Source>
  <b:Source>
    <b:Tag>Eft23</b:Tag>
    <b:SourceType>BookSection</b:SourceType>
    <b:Guid>{0D6E5FA4-EE26-4D1E-AA54-FA6CD691972D}</b:Guid>
    <b:Title>Building a Sustainable Future: Strategies for Empowering Non-Profit Organizations</b:Title>
    <b:Year>2023</b:Year>
    <b:Author>
      <b:Author>
        <b:NameList>
          <b:Person>
            <b:Last>Efthymiou</b:Last>
            <b:First>Iris-Panagiota</b:First>
          </b:Person>
        </b:NameList>
      </b:Author>
    </b:Author>
    <b:BookTitle>Advances in Sociology Research</b:BookTitle>
    <b:Volume>41</b:Volume>
    <b:URL>https://www.researchgate.net/publication/373091109_Building_a_Sustainable_Future_Strategies_for_Empowering_Non-Profit_Organizations</b:URL>
    <b:RefOrder>24</b:RefOrder>
  </b:Source>
  <b:Source>
    <b:Tag>Sat24</b:Tag>
    <b:SourceType>JournalArticle</b:SourceType>
    <b:Guid>{16B3B3F7-2EC5-4EF5-8BE3-D8B3A5D4EEE1}</b:Guid>
    <b:Title>Digitalization and non-profits: Competency requirements in non-profit sector of Saudi Arabia</b:Title>
    <b:Year>2024</b:Year>
    <b:Author>
      <b:Author>
        <b:NameList>
          <b:Person>
            <b:Last>Satar</b:Last>
            <b:First>Dr.</b:First>
            <b:Middle>Mir Shahid</b:Middle>
          </b:Person>
        </b:NameList>
      </b:Author>
    </b:Author>
    <b:JournalName>Sustainable Technology and Entrepreneurship</b:JournalName>
    <b:Volume>4</b:Volume>
    <b:Issue>1</b:Issue>
    <b:URL>https://www.sciencedirect.com/science/article/pii/S2773032824000130</b:URL>
    <b:RefOrder>25</b:RefOrder>
  </b:Source>
  <b:Source>
    <b:Tag>Nah18</b:Tag>
    <b:SourceType>ConferenceProceedings</b:SourceType>
    <b:Guid>{EE1D0A78-87B0-4990-9F71-BB2855355CF4}</b:Guid>
    <b:Title>Challenges of Digital Transformation: The Case of the Non-profit Sector</b:Title>
    <b:Year>2018</b:Year>
    <b:Author>
      <b:Author>
        <b:NameList>
          <b:Person>
            <b:Last>Nahrkhalaji</b:Last>
            <b:First>S.</b:First>
            <b:Middle>Shafiee</b:Middle>
          </b:Person>
        </b:NameList>
      </b:Author>
    </b:Author>
    <b:ConferenceName>2018 IEEE International Conference on Industrial Engineering and Engineering Management (IEEM)</b:ConferenceName>
    <b:URL>https://ieeexplore.ieee.org/abstract/document/8607762</b:URL>
    <b:RefOrder>26</b:RefOrder>
  </b:Source>
  <b:Source>
    <b:Tag>Alb221</b:Tag>
    <b:SourceType>JournalArticle</b:SourceType>
    <b:Guid>{41135AE8-9CEB-43D3-8454-70A0B4079F4E}</b:Guid>
    <b:Title>An integrated model for using social media applications in non-profit organizations</b:Title>
    <b:Year>2022</b:Year>
    <b:Author>
      <b:Author>
        <b:NameList>
          <b:Person>
            <b:Last>Albanna</b:Last>
            <b:First>Hanaa</b:First>
          </b:Person>
        </b:NameList>
      </b:Author>
    </b:Author>
    <b:JournalName>International Journal of Information Management</b:JournalName>
    <b:Volume>63</b:Volume>
    <b:URL>https://www.sciencedirect.com/science/article/abs/pii/S0268401221001456</b:URL>
    <b:RefOrder>27</b:RefOrder>
  </b:Source>
  <b:Source>
    <b:Tag>Mir16</b:Tag>
    <b:SourceType>JournalArticle</b:SourceType>
    <b:Guid>{EE1AE6B5-7DEF-4110-BB31-3AF3EE3FA953}</b:Guid>
    <b:Author>
      <b:Author>
        <b:NameList>
          <b:Person>
            <b:Last>Miranda</b:Last>
            <b:First>Marília</b:First>
            <b:Middle>Queiroz</b:Middle>
          </b:Person>
        </b:NameList>
      </b:Author>
    </b:Author>
    <b:Title>Technology adoption in diffusion of innovations perspective: introduction of an ERP system in a non-profit organization</b:Title>
    <b:JournalName>RAI Revista de Administração e Inovação</b:JournalName>
    <b:Year>2016</b:Year>
    <b:Pages>48-57</b:Pages>
    <b:Volume>13</b:Volume>
    <b:Issue>1</b:Issue>
    <b:URL>https://www.sciencedirect.com/science/article/pii/S1809203916300067</b:URL>
    <b:RefOrder>28</b:RefOrder>
  </b:Source>
  <b:Source>
    <b:Tag>Cip23</b:Tag>
    <b:SourceType>JournalArticle</b:SourceType>
    <b:Guid>{A6A27FBE-21A8-4DD9-85F7-544CEF97099E}</b:Guid>
    <b:Author>
      <b:Author>
        <b:NameList>
          <b:Person>
            <b:Last>Cipriano</b:Last>
            <b:First>Michele</b:First>
          </b:Person>
        </b:NameList>
      </b:Author>
    </b:Author>
    <b:Title>Non-profit organisations in the digital age: A research agenda for supporting the development of a digital transformation strategy</b:Title>
    <b:JournalName>Journal of Information Technology</b:JournalName>
    <b:Year>2023</b:Year>
    <b:URL>https://journals.sagepub.com/doi/abs/10.1177/02683962231219515</b:URL>
    <b:RefOrder>29</b:RefOrder>
  </b:Source>
  <b:Source>
    <b:Tag>Sal17</b:Tag>
    <b:SourceType>JournalArticle</b:SourceType>
    <b:Guid>{ADA65C17-CA46-4829-9538-C2803F2438CB}</b:Guid>
    <b:Author>
      <b:Author>
        <b:NameList>
          <b:Person>
            <b:Last>Salustri</b:Last>
          </b:Person>
        </b:NameList>
      </b:Author>
    </b:Author>
    <b:Title>The non-profit sector as a foundation for the interaction among the social economy, the public sector and the market</b:Title>
    <b:Year>2017</b:Year>
    <b:URL>https://mpra.ub.uni-muenchen.de/78113/</b:URL>
    <b:RefOrder>30</b:RefOrder>
  </b:Source>
  <b:Source>
    <b:Tag>Jab24</b:Tag>
    <b:SourceType>JournalArticle</b:SourceType>
    <b:Guid>{220B1B72-377F-4A5C-85F6-0098B98FE658}</b:Guid>
    <b:Author>
      <b:Author>
        <b:NameList>
          <b:Person>
            <b:Last>Jabbar</b:Last>
            <b:First>Abdul</b:First>
          </b:Person>
        </b:NameList>
      </b:Author>
    </b:Author>
    <b:Title>Help those helping others - the role of universities in facilitating digitalisation and virtualisation in non-profit organisations</b:Title>
    <b:JournalName>The Journal of Technology Transfer</b:JournalName>
    <b:Year>2024</b:Year>
    <b:URL>https://durham-repository.worktribe.com/output/2472745</b:URL>
    <b:RefOrder>31</b:RefOrder>
  </b:Source>
</b:Sources>
</file>

<file path=customXml/itemProps1.xml><?xml version="1.0" encoding="utf-8"?>
<ds:datastoreItem xmlns:ds="http://schemas.openxmlformats.org/officeDocument/2006/customXml" ds:itemID="{02A1A5BD-0CF6-4994-AE4A-BC9C8130B1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7393</Words>
  <Characters>42145</Characters>
  <Application>Microsoft Office Word</Application>
  <DocSecurity>0</DocSecurity>
  <Lines>351</Lines>
  <Paragraphs>98</Paragraphs>
  <ScaleCrop>false</ScaleCrop>
  <Company/>
  <LinksUpToDate>false</LinksUpToDate>
  <CharactersWithSpaces>49440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azzarobs@outlook.sa</cp:lastModifiedBy>
  <cp:revision>2</cp:revision>
  <dcterms:created xsi:type="dcterms:W3CDTF">2024-10-27T14:11:00Z</dcterms:created>
  <dcterms:modified xsi:type="dcterms:W3CDTF">2024-10-27T14:11:00Z</dcterms:modified>
</cp:coreProperties>
</file>