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2F6F4" w14:textId="77777777" w:rsidR="005B5CFE" w:rsidRDefault="00BE74ED">
      <w:pPr>
        <w:suppressAutoHyphens w:val="0"/>
        <w:bidi/>
        <w:spacing w:after="80" w:line="360" w:lineRule="auto"/>
        <w:jc w:val="center"/>
      </w:pPr>
      <w:r>
        <w:rPr>
          <w:rFonts w:ascii="Simplified Arabic" w:eastAsia="Simplified Arabic" w:hAnsi="Simplified Arabic"/>
          <w:bCs/>
          <w:sz w:val="36"/>
          <w:szCs w:val="36"/>
          <w:rtl/>
        </w:rPr>
        <w:t>جامعة ميدأوشن</w:t>
      </w:r>
    </w:p>
    <w:p w14:paraId="13C2F6F5" w14:textId="77777777" w:rsidR="005B5CFE" w:rsidRDefault="00BE74ED">
      <w:pPr>
        <w:suppressAutoHyphens w:val="0"/>
        <w:bidi/>
        <w:spacing w:after="80" w:line="360" w:lineRule="auto"/>
        <w:jc w:val="center"/>
      </w:pPr>
      <w:r>
        <w:rPr>
          <w:rFonts w:ascii="Simplified Arabic" w:eastAsia="Simplified Arabic" w:hAnsi="Simplified Arabic"/>
          <w:bCs/>
          <w:sz w:val="32"/>
          <w:szCs w:val="32"/>
          <w:rtl/>
        </w:rPr>
        <w:t>كلية الإدارة</w:t>
      </w:r>
    </w:p>
    <w:p w14:paraId="13C2F6F6" w14:textId="77777777" w:rsidR="005B5CFE" w:rsidRDefault="00BE74ED">
      <w:pPr>
        <w:suppressAutoHyphens w:val="0"/>
        <w:bidi/>
        <w:spacing w:after="360" w:line="360" w:lineRule="auto"/>
        <w:jc w:val="center"/>
      </w:pPr>
      <w:r>
        <w:rPr>
          <w:rFonts w:ascii="Simplified Arabic" w:eastAsia="Simplified Arabic" w:hAnsi="Simplified Arabic"/>
          <w:bCs/>
          <w:sz w:val="32"/>
          <w:szCs w:val="32"/>
          <w:rtl/>
        </w:rPr>
        <w:t>قسم إدارة الأعمال</w:t>
      </w:r>
    </w:p>
    <w:p w14:paraId="13C2F6F7" w14:textId="77777777" w:rsidR="005B5CFE" w:rsidRDefault="00BE74ED">
      <w:pPr>
        <w:suppressAutoHyphens w:val="0"/>
        <w:bidi/>
        <w:spacing w:after="160" w:line="360" w:lineRule="auto"/>
        <w:jc w:val="center"/>
      </w:pPr>
      <w:r>
        <w:rPr>
          <w:rFonts w:ascii="Simplified Arabic" w:eastAsia="Simplified Arabic" w:hAnsi="Simplified Arabic"/>
          <w:bCs/>
          <w:sz w:val="36"/>
          <w:szCs w:val="36"/>
          <w:rtl/>
        </w:rPr>
        <w:t>المشروع النهائي</w:t>
      </w:r>
    </w:p>
    <w:p w14:paraId="13C2F6F8" w14:textId="77777777" w:rsidR="005B5CFE" w:rsidRDefault="00BE74ED">
      <w:pPr>
        <w:suppressAutoHyphens w:val="0"/>
        <w:bidi/>
        <w:spacing w:after="360" w:line="360" w:lineRule="auto"/>
        <w:jc w:val="center"/>
      </w:pPr>
      <w:r>
        <w:rPr>
          <w:rFonts w:ascii="Simplified Arabic" w:eastAsia="Simplified Arabic" w:hAnsi="Simplified Arabic"/>
          <w:b/>
          <w:sz w:val="32"/>
          <w:szCs w:val="32"/>
          <w:rtl/>
        </w:rPr>
        <w:t>دور الذكاء الاصطناعي في تحسين جودة اتخاذ القرار الإداري في شركات الاتصالات السعودية</w:t>
      </w:r>
    </w:p>
    <w:p w14:paraId="13C2F6F9" w14:textId="77777777" w:rsidR="005B5CFE" w:rsidRDefault="00BE74ED">
      <w:pPr>
        <w:suppressAutoHyphens w:val="0"/>
        <w:bidi/>
        <w:spacing w:after="120" w:line="360" w:lineRule="auto"/>
        <w:jc w:val="center"/>
      </w:pPr>
      <w:r>
        <w:rPr>
          <w:rFonts w:ascii="Simplified Arabic" w:eastAsia="Simplified Arabic" w:hAnsi="Simplified Arabic"/>
          <w:b/>
          <w:bCs/>
          <w:sz w:val="32"/>
          <w:szCs w:val="32"/>
          <w:rtl/>
        </w:rPr>
        <w:t>إعداد الطالب</w:t>
      </w:r>
      <w:r>
        <w:rPr>
          <w:rFonts w:ascii="Simplified Arabic" w:eastAsia="Simplified Arabic" w:hAnsi="Simplified Arabic"/>
          <w:sz w:val="32"/>
          <w:szCs w:val="32"/>
          <w:rtl/>
        </w:rPr>
        <w:t>:</w:t>
      </w:r>
      <w:r>
        <w:rPr>
          <w:rFonts w:ascii="Simplified Arabic" w:eastAsia="Simplified Arabic" w:hAnsi="Simplified Arabic"/>
          <w:sz w:val="30"/>
          <w:rtl/>
        </w:rPr>
        <w:t xml:space="preserve"> عمار يوسف الأحمدي</w:t>
      </w:r>
    </w:p>
    <w:p w14:paraId="13C2F6FA" w14:textId="77777777" w:rsidR="005B5CFE" w:rsidRDefault="00BE74ED">
      <w:pPr>
        <w:suppressAutoHyphens w:val="0"/>
        <w:bidi/>
        <w:spacing w:after="120" w:line="360" w:lineRule="auto"/>
        <w:jc w:val="center"/>
      </w:pPr>
      <w:r>
        <w:rPr>
          <w:rFonts w:ascii="Simplified Arabic" w:eastAsia="Simplified Arabic" w:hAnsi="Simplified Arabic"/>
          <w:b/>
          <w:bCs/>
          <w:sz w:val="32"/>
          <w:szCs w:val="32"/>
          <w:rtl/>
        </w:rPr>
        <w:t>إشراف:</w:t>
      </w:r>
      <w:r>
        <w:rPr>
          <w:rFonts w:ascii="Simplified Arabic" w:eastAsia="Simplified Arabic" w:hAnsi="Simplified Arabic"/>
          <w:sz w:val="30"/>
          <w:rtl/>
        </w:rPr>
        <w:t xml:space="preserve"> </w:t>
      </w:r>
      <w:r>
        <w:rPr>
          <w:sz w:val="30"/>
          <w:szCs w:val="30"/>
          <w:rtl/>
        </w:rPr>
        <w:t>د. الفيصل عبد الحميد، د. فايز جراد</w:t>
      </w:r>
    </w:p>
    <w:p w14:paraId="13C2F6FB" w14:textId="77777777" w:rsidR="005B5CFE" w:rsidRDefault="00BE74ED">
      <w:pPr>
        <w:suppressAutoHyphens w:val="0"/>
        <w:bidi/>
        <w:spacing w:after="2400" w:line="360" w:lineRule="auto"/>
        <w:jc w:val="center"/>
      </w:pPr>
      <w:r>
        <w:rPr>
          <w:rFonts w:ascii="Simplified Arabic" w:eastAsia="Simplified Arabic" w:hAnsi="Simplified Arabic"/>
          <w:sz w:val="28"/>
          <w:rtl/>
        </w:rPr>
        <w:t>الفصل الدراسي الثاني 2026م</w:t>
      </w:r>
    </w:p>
    <w:p w14:paraId="13C2F6FC" w14:textId="77777777" w:rsidR="005B5CFE" w:rsidRDefault="005B5CFE">
      <w:pPr>
        <w:pageBreakBefore/>
        <w:suppressAutoHyphens w:val="0"/>
        <w:rPr>
          <w:rFonts w:ascii="Cambria" w:eastAsia="MS Mincho" w:hAnsi="Cambria"/>
        </w:rPr>
      </w:pPr>
    </w:p>
    <w:p w14:paraId="13C2F6FD" w14:textId="77777777" w:rsidR="005B5CFE" w:rsidRDefault="00BE74ED">
      <w:pPr>
        <w:suppressAutoHyphens w:val="0"/>
        <w:bidi/>
        <w:spacing w:line="360" w:lineRule="auto"/>
      </w:pPr>
      <w:r>
        <w:rPr>
          <w:rFonts w:ascii="Simplified Arabic" w:eastAsia="Simplified Arabic" w:hAnsi="Simplified Arabic"/>
          <w:bCs/>
          <w:sz w:val="40"/>
          <w:szCs w:val="40"/>
          <w:rtl/>
        </w:rPr>
        <w:t>الملخص</w:t>
      </w:r>
    </w:p>
    <w:p w14:paraId="13C2F6FE"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تتناول هذه الدراسة دور الذكاء الاصطناعي في تحسين جودة اتخاذ القرار الإداري في شركات الاتصالات السعودية، انطلاقاً من التحول الرقمي المتسارع الذي يشهده القطاع، واتساع الاعتماد على البيانات الضخمة والتحليلات الذكية في مجالات التشغيل، وخدمة العملاء، وإدارة </w:t>
      </w:r>
      <w:r>
        <w:rPr>
          <w:rFonts w:ascii="Simplified Arabic" w:eastAsia="Simplified Arabic" w:hAnsi="Simplified Arabic"/>
          <w:sz w:val="28"/>
          <w:szCs w:val="28"/>
          <w:rtl/>
        </w:rPr>
        <w:t>الشبكات، والتخطيط التسويقي، وصناعة القرار. وتنبع أهمية الموضوع من كون قطاع الاتصالات السعودي من أكثر القطاعات كثافة في البيانات وأكثرها تعرضاً للتغيرات التقنية والسوقية، الأمر الذي يجعل جودة القرار الإداري عاملاً حاسماً في الحفاظ على التنافسية وتحسين الأداء المؤسسي.</w:t>
      </w:r>
    </w:p>
    <w:p w14:paraId="13C2F6FF"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هدفت الدراسة إلى بناء معالجة أكاديمية متماسكة للعلاقة بين استخدام الذكاء الاصطناعي وجودة القرار الإداري، مع التركيز على ثلاثة أبعاد رئيسة هي سرعة القرار، ودقته، وموثوقيته. واعتمدت الدراسة في مرحلتها الحالية على المنهج الوصفي التحليلي ذي الطابع </w:t>
      </w:r>
      <w:r>
        <w:rPr>
          <w:rFonts w:ascii="Simplified Arabic" w:eastAsia="Simplified Arabic" w:hAnsi="Simplified Arabic"/>
          <w:sz w:val="28"/>
          <w:szCs w:val="28"/>
          <w:rtl/>
        </w:rPr>
        <w:t>النظري التطبيقي، مع اقتراح تصميم ميداني لاحق يقوم على استبانة موجَّهة للعاملين والإداريين في شركات الاتصالات السعودية، بما يسمح باختبار الفرضيات إحصائياً عند توافر البيانات.</w:t>
      </w:r>
    </w:p>
    <w:p w14:paraId="13C2F700"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أظهرت مراجعة الأدبيات والتقارير الرسمية أن الذكاء الاصطناعي يمثل مورداً تنظيمياً ذا أثر محتمل في تحسين القرار إذا توافرت له بيئة داعمة تشمل جودة البيانات، وتكامل الأنظمة، وكفاية المهارات، ووضوح الحوكمة. كما دعمت المصادر الحديثة هذا التوجه؛ إذ أشارت </w:t>
      </w:r>
      <w:r>
        <w:rPr>
          <w:rFonts w:ascii="Simplified Arabic" w:eastAsia="Simplified Arabic" w:hAnsi="Simplified Arabic"/>
          <w:sz w:val="28"/>
          <w:szCs w:val="28"/>
        </w:rPr>
        <w:t>OECD</w:t>
      </w:r>
      <w:r>
        <w:rPr>
          <w:rFonts w:ascii="Simplified Arabic" w:eastAsia="Simplified Arabic" w:hAnsi="Simplified Arabic"/>
          <w:sz w:val="28"/>
          <w:szCs w:val="28"/>
          <w:rtl/>
        </w:rPr>
        <w:t xml:space="preserve"> إلى أن أربعة من كل خمسة عاملين أفادوا بأن الذكاء الاصطناعي حسن أداءهم في العمل، </w:t>
      </w:r>
      <w:r>
        <w:rPr>
          <w:rFonts w:ascii="Simplified Arabic" w:eastAsia="Simplified Arabic" w:hAnsi="Simplified Arabic"/>
          <w:sz w:val="28"/>
          <w:szCs w:val="28"/>
          <w:rtl/>
        </w:rPr>
        <w:t xml:space="preserve">بينما أوضحت </w:t>
      </w:r>
      <w:r>
        <w:rPr>
          <w:rFonts w:ascii="Simplified Arabic" w:eastAsia="Simplified Arabic" w:hAnsi="Simplified Arabic"/>
          <w:sz w:val="28"/>
          <w:szCs w:val="28"/>
        </w:rPr>
        <w:t>McKinsey</w:t>
      </w:r>
      <w:r>
        <w:rPr>
          <w:rFonts w:ascii="Simplified Arabic" w:eastAsia="Simplified Arabic" w:hAnsi="Simplified Arabic"/>
          <w:sz w:val="28"/>
          <w:szCs w:val="28"/>
          <w:rtl/>
        </w:rPr>
        <w:t xml:space="preserve"> أن 92% من الشركات تعتزم زيادة استثماراتها في الذكاء الاصطناعي خلال السنوات الثلاث المقبلة، مع بقاء فجوة واضحة بين الاستثمار والنضج المؤسسي. وفي السياق السعودي، كشفت هيئة الاتصالات والفضاء والتقنية أن حجم سوق الاتصالات والتقنية في المملكة بلغ 180 مليار ريال خلال 2024، كما بلغت نسبة انتشار الإنترنت 99%، واستخدم 21.5% من المستخدمين أدوات ذكاء اصطناعي متنوعة، وهي مؤشرات تعكس بيئة رقمية خصبة للدراسة.</w:t>
      </w:r>
    </w:p>
    <w:p w14:paraId="13C2F701" w14:textId="77777777" w:rsidR="005B5CFE" w:rsidRDefault="00BE74ED">
      <w:pPr>
        <w:suppressAutoHyphens w:val="0"/>
        <w:bidi/>
        <w:spacing w:after="120" w:line="360" w:lineRule="auto"/>
      </w:pPr>
      <w:r>
        <w:rPr>
          <w:rFonts w:ascii="Simplified Arabic" w:eastAsia="Simplified Arabic" w:hAnsi="Simplified Arabic"/>
          <w:sz w:val="28"/>
          <w:szCs w:val="28"/>
          <w:rtl/>
        </w:rPr>
        <w:lastRenderedPageBreak/>
        <w:t xml:space="preserve">وخلصت الدراسة إلى أن الذكاء الاصطناعي مرشح للإسهام إيجابياً في تحسين جودة القرار الإداري </w:t>
      </w:r>
      <w:r>
        <w:rPr>
          <w:rFonts w:ascii="Simplified Arabic" w:eastAsia="Simplified Arabic" w:hAnsi="Simplified Arabic"/>
          <w:sz w:val="28"/>
          <w:szCs w:val="28"/>
          <w:rtl/>
        </w:rPr>
        <w:t>داخل شركات الاتصالات السعودية، ولا سيما في بعدي السرعة والدقة، في حين يظل بعد الموثوقية أكثر ارتباطاً بقضايا التفسير والشفافية والمساءلة. وتوصي الدراسة بتعزيز البنية التحليلية، وتطوير القدرات البشرية، وتبني نماذج حوكمة واضحة للقرارات المدعومة بالذكاء الاصطناعي، مع استكمال هذه المعالجة النظرية بدراسة ميدانية لاحقة.</w:t>
      </w:r>
    </w:p>
    <w:p w14:paraId="13C2F702" w14:textId="77777777" w:rsidR="005B5CFE" w:rsidRDefault="00BE74ED">
      <w:pPr>
        <w:suppressAutoHyphens w:val="0"/>
        <w:bidi/>
        <w:spacing w:after="120" w:line="360" w:lineRule="auto"/>
      </w:pPr>
      <w:r>
        <w:rPr>
          <w:rFonts w:ascii="Simplified Arabic" w:eastAsia="Simplified Arabic" w:hAnsi="Simplified Arabic"/>
          <w:b/>
          <w:sz w:val="28"/>
          <w:szCs w:val="28"/>
          <w:rtl/>
        </w:rPr>
        <w:t>الكلمات المفتاحية: الذكاء الاصطناعي، اتخاذ القرار الإداري، جودة القرار، شركات الاتصالات السعودية، التحول الرقمي، التحليلات الذكية.</w:t>
      </w:r>
    </w:p>
    <w:p w14:paraId="13C2F703" w14:textId="77777777" w:rsidR="005B5CFE" w:rsidRDefault="005B5CFE">
      <w:pPr>
        <w:pageBreakBefore/>
        <w:suppressAutoHyphens w:val="0"/>
        <w:jc w:val="right"/>
        <w:rPr>
          <w:rFonts w:ascii="Cambria" w:eastAsia="MS Mincho" w:hAnsi="Cambria"/>
        </w:rPr>
      </w:pPr>
    </w:p>
    <w:p w14:paraId="13C2F704" w14:textId="77777777" w:rsidR="005B5CFE" w:rsidRDefault="00BE74ED">
      <w:pPr>
        <w:suppressAutoHyphens w:val="0"/>
        <w:jc w:val="center"/>
      </w:pPr>
      <w:r>
        <w:rPr>
          <w:rFonts w:ascii="Times New Roman" w:hAnsi="Times New Roman"/>
          <w:b/>
          <w:sz w:val="32"/>
        </w:rPr>
        <w:t>Abstract</w:t>
      </w:r>
    </w:p>
    <w:p w14:paraId="13C2F705" w14:textId="77777777" w:rsidR="005B5CFE" w:rsidRDefault="00BE74ED">
      <w:pPr>
        <w:suppressAutoHyphens w:val="0"/>
        <w:spacing w:after="80"/>
      </w:pPr>
      <w:r>
        <w:rPr>
          <w:rFonts w:ascii="Times New Roman" w:hAnsi="Times New Roman"/>
          <w:sz w:val="24"/>
        </w:rPr>
        <w:t>This study examines the role of artificial intelligence</w:t>
      </w:r>
      <w:r>
        <w:rPr>
          <w:rFonts w:ascii="Times New Roman" w:hAnsi="Times New Roman"/>
          <w:sz w:val="24"/>
        </w:rPr>
        <w:t xml:space="preserve"> in improving the quality of managerial decision-making in Saudi telecommunications companies. The topic is increasingly important because the telecom sector is highly data-intensive, technologically dynamic, and operationally dependent on rapid, evidence-based decisions.</w:t>
      </w:r>
    </w:p>
    <w:p w14:paraId="13C2F706" w14:textId="77777777" w:rsidR="005B5CFE" w:rsidRDefault="00BE74ED">
      <w:pPr>
        <w:suppressAutoHyphens w:val="0"/>
        <w:spacing w:after="80"/>
      </w:pPr>
      <w:r>
        <w:rPr>
          <w:rFonts w:ascii="Times New Roman" w:hAnsi="Times New Roman"/>
          <w:sz w:val="24"/>
        </w:rPr>
        <w:t xml:space="preserve">The study aims to develop a coherent academic framework linking AI use to managerial decision quality through three dimensions: speed, accuracy, and reliability. At its current stage, the study adopts a descriptive-analytical and </w:t>
      </w:r>
      <w:r>
        <w:rPr>
          <w:rFonts w:ascii="Times New Roman" w:hAnsi="Times New Roman"/>
          <w:sz w:val="24"/>
        </w:rPr>
        <w:t>theoretically grounded approach, while proposing a later field stage based on a structured questionnaire administered to employees and managers in Saudi telecom companies.</w:t>
      </w:r>
    </w:p>
    <w:p w14:paraId="13C2F707" w14:textId="77777777" w:rsidR="005B5CFE" w:rsidRDefault="00BE74ED">
      <w:pPr>
        <w:suppressAutoHyphens w:val="0"/>
        <w:spacing w:after="80"/>
      </w:pPr>
      <w:r>
        <w:rPr>
          <w:rFonts w:ascii="Times New Roman" w:hAnsi="Times New Roman"/>
          <w:sz w:val="24"/>
        </w:rPr>
        <w:t xml:space="preserve">The reviewed literature and official reports suggest that AI can improve decision quality when supported by sound data governance, integrated systems, human capabilities, and clear governance mechanisms. OECD reported that four in five workers said AI improved their work performance. McKinsey found that 92% of companies plan to increase </w:t>
      </w:r>
      <w:r>
        <w:rPr>
          <w:rFonts w:ascii="Times New Roman" w:hAnsi="Times New Roman"/>
          <w:sz w:val="24"/>
        </w:rPr>
        <w:t>AI investments over the next three years, despite a substantial maturity gap. In Saudi Arabia, CST reported that the communications and technology market reached SAR 180 billion in 2024, internet penetration reached 99%, and 21.5% of users employed AI tools, indicating a fertile digital environment for the study.</w:t>
      </w:r>
    </w:p>
    <w:p w14:paraId="13C2F708" w14:textId="77777777" w:rsidR="005B5CFE" w:rsidRDefault="00BE74ED">
      <w:pPr>
        <w:suppressAutoHyphens w:val="0"/>
        <w:spacing w:after="80"/>
      </w:pPr>
      <w:r>
        <w:rPr>
          <w:rFonts w:ascii="Times New Roman" w:hAnsi="Times New Roman"/>
          <w:sz w:val="24"/>
        </w:rPr>
        <w:t xml:space="preserve">The study concludes that AI is likely to contribute positively to managerial decision quality in Saudi telecom firms, especially in terms of speed and accuracy, while reliability remains closely </w:t>
      </w:r>
      <w:r>
        <w:rPr>
          <w:rFonts w:ascii="Times New Roman" w:hAnsi="Times New Roman"/>
          <w:sz w:val="24"/>
        </w:rPr>
        <w:t>linked to explainability, trust, and accountability. The study recommends strengthening analytical infrastructure, upgrading human capabilities, and adopting explicit governance models for AI-supported decisions.</w:t>
      </w:r>
    </w:p>
    <w:p w14:paraId="13C2F709" w14:textId="77777777" w:rsidR="005B5CFE" w:rsidRDefault="00BE74ED">
      <w:pPr>
        <w:suppressAutoHyphens w:val="0"/>
        <w:spacing w:after="80"/>
      </w:pPr>
      <w:r>
        <w:rPr>
          <w:rFonts w:ascii="Times New Roman" w:hAnsi="Times New Roman"/>
          <w:b/>
          <w:sz w:val="24"/>
        </w:rPr>
        <w:t>Keywords: artificial intelligence, managerial decision-making, decision quality, Saudi telecommunications companies, digital transformation, intelligent analytics.</w:t>
      </w:r>
    </w:p>
    <w:p w14:paraId="13C2F70A" w14:textId="77777777" w:rsidR="005B5CFE" w:rsidRDefault="005B5CFE">
      <w:pPr>
        <w:pageBreakBefore/>
        <w:suppressAutoHyphens w:val="0"/>
        <w:rPr>
          <w:rFonts w:ascii="Cambria" w:eastAsia="MS Mincho" w:hAnsi="Cambria"/>
        </w:rPr>
      </w:pPr>
    </w:p>
    <w:p w14:paraId="13C2F70B" w14:textId="77777777" w:rsidR="005B5CFE" w:rsidRDefault="00BE74ED">
      <w:pPr>
        <w:suppressAutoHyphens w:val="0"/>
        <w:bidi/>
        <w:spacing w:line="360" w:lineRule="auto"/>
      </w:pPr>
      <w:r>
        <w:rPr>
          <w:rFonts w:ascii="Simplified Arabic" w:eastAsia="Simplified Arabic" w:hAnsi="Simplified Arabic"/>
          <w:bCs/>
          <w:sz w:val="40"/>
          <w:szCs w:val="40"/>
          <w:rtl/>
        </w:rPr>
        <w:t>فهرس المحتويات</w:t>
      </w:r>
    </w:p>
    <w:p w14:paraId="13C2F70C" w14:textId="77777777" w:rsidR="005B5CFE" w:rsidRDefault="005B5CFE">
      <w:pPr>
        <w:suppressAutoHyphens w:val="0"/>
        <w:bidi/>
        <w:spacing w:line="360" w:lineRule="auto"/>
        <w:rPr>
          <w:bCs/>
          <w:sz w:val="40"/>
          <w:szCs w:val="40"/>
        </w:rPr>
      </w:pPr>
    </w:p>
    <w:p w14:paraId="13C2F70D"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الملخص</w:t>
      </w:r>
    </w:p>
    <w:p w14:paraId="13C2F70E"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Pr>
        <w:t>Abstract</w:t>
      </w:r>
    </w:p>
    <w:p w14:paraId="13C2F70F"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الفصل الأول: الإطار العام للدراسة</w:t>
      </w:r>
    </w:p>
    <w:p w14:paraId="13C2F710"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الفصل الثاني: الإطار النظري والدراسات السابقة</w:t>
      </w:r>
    </w:p>
    <w:p w14:paraId="13C2F711"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الفصل الثالث: المنهجية</w:t>
      </w:r>
      <w:r>
        <w:rPr>
          <w:rFonts w:ascii="Simplified Arabic" w:eastAsia="Simplified Arabic" w:hAnsi="Simplified Arabic"/>
          <w:sz w:val="28"/>
          <w:szCs w:val="28"/>
          <w:rtl/>
        </w:rPr>
        <w:t xml:space="preserve"> المقترحة</w:t>
      </w:r>
    </w:p>
    <w:p w14:paraId="13C2F712"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الفصل الرابع: مناقشة تحليلية استشرافية</w:t>
      </w:r>
    </w:p>
    <w:p w14:paraId="13C2F713"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الفصل الخامس: النتائج المتوقعة والتوصيات</w:t>
      </w:r>
    </w:p>
    <w:p w14:paraId="13C2F714"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المراجع</w:t>
      </w:r>
    </w:p>
    <w:p w14:paraId="13C2F715" w14:textId="77777777" w:rsidR="005B5CFE" w:rsidRDefault="00BE74ED">
      <w:pPr>
        <w:pStyle w:val="ListParagraph"/>
        <w:numPr>
          <w:ilvl w:val="0"/>
          <w:numId w:val="2"/>
        </w:numPr>
        <w:tabs>
          <w:tab w:val="left" w:pos="360"/>
        </w:tabs>
        <w:suppressAutoHyphens w:val="0"/>
        <w:bidi/>
        <w:spacing w:after="60" w:line="480" w:lineRule="auto"/>
      </w:pPr>
      <w:r>
        <w:rPr>
          <w:rFonts w:ascii="Simplified Arabic" w:eastAsia="Simplified Arabic" w:hAnsi="Simplified Arabic"/>
          <w:sz w:val="28"/>
          <w:szCs w:val="28"/>
          <w:rtl/>
        </w:rPr>
        <w:t>الملحقات</w:t>
      </w:r>
    </w:p>
    <w:p w14:paraId="13C2F716" w14:textId="77777777" w:rsidR="005B5CFE" w:rsidRDefault="005B5CFE">
      <w:pPr>
        <w:pageBreakBefore/>
        <w:suppressAutoHyphens w:val="0"/>
        <w:rPr>
          <w:rFonts w:ascii="Cambria" w:eastAsia="MS Mincho" w:hAnsi="Cambria"/>
        </w:rPr>
      </w:pPr>
    </w:p>
    <w:p w14:paraId="13C2F717" w14:textId="77777777" w:rsidR="005B5CFE" w:rsidRDefault="00BE74ED">
      <w:pPr>
        <w:suppressAutoHyphens w:val="0"/>
        <w:bidi/>
        <w:spacing w:line="360" w:lineRule="auto"/>
        <w:jc w:val="center"/>
      </w:pPr>
      <w:r>
        <w:rPr>
          <w:rFonts w:ascii="Simplified Arabic" w:eastAsia="Simplified Arabic" w:hAnsi="Simplified Arabic"/>
          <w:bCs/>
          <w:sz w:val="40"/>
          <w:szCs w:val="40"/>
          <w:rtl/>
        </w:rPr>
        <w:t>الفصل الأول: الإطار العام للدراسة</w:t>
      </w:r>
    </w:p>
    <w:p w14:paraId="13C2F718" w14:textId="77777777" w:rsidR="005B5CFE" w:rsidRDefault="00BE74ED">
      <w:pPr>
        <w:suppressAutoHyphens w:val="0"/>
        <w:bidi/>
        <w:spacing w:after="160" w:line="360" w:lineRule="auto"/>
      </w:pPr>
      <w:r>
        <w:rPr>
          <w:rFonts w:ascii="Simplified Arabic" w:eastAsia="Simplified Arabic" w:hAnsi="Simplified Arabic"/>
          <w:b/>
          <w:sz w:val="32"/>
        </w:rPr>
        <w:t>1.1</w:t>
      </w:r>
      <w:r>
        <w:rPr>
          <w:rFonts w:ascii="Simplified Arabic" w:eastAsia="Simplified Arabic" w:hAnsi="Simplified Arabic"/>
          <w:b/>
          <w:sz w:val="32"/>
          <w:rtl/>
        </w:rPr>
        <w:t xml:space="preserve"> </w:t>
      </w:r>
      <w:r>
        <w:rPr>
          <w:rFonts w:ascii="Simplified Arabic" w:eastAsia="Simplified Arabic" w:hAnsi="Simplified Arabic"/>
          <w:bCs/>
          <w:sz w:val="32"/>
          <w:szCs w:val="32"/>
          <w:rtl/>
        </w:rPr>
        <w:t>مقدمة الفصل</w:t>
      </w:r>
    </w:p>
    <w:p w14:paraId="13C2F719"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لم يعد الذكاء الاصطناعي في بيئة الأعمال المعاصرة مجرد اتجاه تقني ناشئ، بل تحول إلى أحد المحركات الرئيسة لإعادة تشكيل العمليات التنظيمية وأساليب الإدارة واتخاذ القرار. ويعود ذلك إلى قدرته على جمع البيانات الضخمة وتحليلها في مدد زمنية قصيرة، واكتشاف الأنماط والعلاقات المعقدة، وتقديم تنبؤات وتوصيات تدعم القرارات التشغيلية والتكتيكية والاستراتيجية. ومع </w:t>
      </w:r>
      <w:r>
        <w:rPr>
          <w:rFonts w:ascii="Simplified Arabic" w:eastAsia="Simplified Arabic" w:hAnsi="Simplified Arabic"/>
          <w:sz w:val="28"/>
          <w:szCs w:val="28"/>
          <w:rtl/>
        </w:rPr>
        <w:t>تنامي الاعتماد المؤسسي على البيانات، أصبح السؤال العلمي الأهم لا يتعلق بإمكانية استخدام الذكاء الاصطناعي فحسب، بل بطبيعة القيمة التي يضيفها إلى القرار الإداري وكيفية تحققها في السياقات التنظيمية المختلفة.</w:t>
      </w:r>
    </w:p>
    <w:p w14:paraId="13C2F71A"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ويكتسب هذا السؤال أهمية إضافية في قطاع الاتصالات السعودي الذي يجمع بين الكثافة المعلوماتية، وارتفاع الاستثمارات التقنية، وتسارع التغيرات السوقية، وتشابك القرارات المتعلقة بالشبكات والخدمات والعملاء والتسعير والموارد. فكل قرار إداري داخل هذا القطاع بات يتأثر - بصورة مباشرة أو غير مباشرة - بجودة البيانات، </w:t>
      </w:r>
      <w:r>
        <w:rPr>
          <w:rFonts w:ascii="Simplified Arabic" w:eastAsia="Simplified Arabic" w:hAnsi="Simplified Arabic"/>
          <w:sz w:val="28"/>
          <w:szCs w:val="28"/>
          <w:rtl/>
        </w:rPr>
        <w:t>وكفاءة التحليلات، وسرعة الاستجابة للمؤشرات التشغيلية والتنافسية. ومن ثم تبدو دراسة أثر الذكاء الاصطناعي في جودة اتخاذ القرار الإداري مدخلاً مناسباً لفهم التحول الإداري الذي يواكب التحول الرقمي في الشركات السعودية.</w:t>
      </w:r>
    </w:p>
    <w:p w14:paraId="13C2F71B" w14:textId="77777777" w:rsidR="005B5CFE" w:rsidRDefault="00BE74ED">
      <w:pPr>
        <w:suppressAutoHyphens w:val="0"/>
        <w:bidi/>
        <w:spacing w:after="160" w:line="360" w:lineRule="auto"/>
      </w:pPr>
      <w:r>
        <w:rPr>
          <w:rFonts w:ascii="Simplified Arabic" w:eastAsia="Simplified Arabic" w:hAnsi="Simplified Arabic"/>
          <w:b/>
          <w:sz w:val="32"/>
        </w:rPr>
        <w:t>1.2</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خلفية الدراسة</w:t>
      </w:r>
    </w:p>
    <w:p w14:paraId="13C2F71C"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تؤكد الأدبيات الإدارية الحديثة أن القرارات الرشيدة لا تُبنى على توافر البيانات فقط، بل على القدرة على تحويلها إلى معرفة عملية قابلة للتفسير والتطبيق. ومن هنا جاء اهتمام المنظمات بتطبيقات الذكاء الاصطناعي التي تتجاوز الأرشفة والتقارير الوصفية إلى التحليل التنبئي، ونظم التوصية، </w:t>
      </w:r>
      <w:r>
        <w:rPr>
          <w:rFonts w:ascii="Simplified Arabic" w:eastAsia="Simplified Arabic" w:hAnsi="Simplified Arabic"/>
          <w:sz w:val="28"/>
          <w:szCs w:val="28"/>
          <w:rtl/>
        </w:rPr>
        <w:t>والمساعدات الذكية، والتحليلات الفورية، والرؤية الحاسوبية، ومعالجة اللغة الطبيعية. وهذه التطبيقات لا تحسن التشغيل فحسب، بل تعيد توزيع الأدوار بين الإنسان والنظام داخل العملية القرارية.</w:t>
      </w:r>
    </w:p>
    <w:p w14:paraId="13C2F71D"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وفي المملكة العربية السعودية، يتعزز هذا الاتجاه مع الزخم المرتبط برؤية السعودية 2030 وتوسع الاقتصاد الرقمي. فقد أعلنت هيئة الاتصالات والفضاء والتقنية أن حجم سوق الاتصالات والتقنية في </w:t>
      </w:r>
      <w:r>
        <w:rPr>
          <w:rFonts w:ascii="Simplified Arabic" w:eastAsia="Simplified Arabic" w:hAnsi="Simplified Arabic"/>
          <w:sz w:val="28"/>
          <w:szCs w:val="28"/>
          <w:rtl/>
        </w:rPr>
        <w:lastRenderedPageBreak/>
        <w:t xml:space="preserve">المملكة بلغ 180 مليار ريال في عام 2024، مع معدل نمو سنوي مركب بلغ 7.5% خلال السنوات الخمس الماضية، وبلغ عدد اشتراكات الاتصالات المتنقلة 68.2 </w:t>
      </w:r>
      <w:r>
        <w:rPr>
          <w:rFonts w:ascii="Simplified Arabic" w:eastAsia="Simplified Arabic" w:hAnsi="Simplified Arabic"/>
          <w:sz w:val="28"/>
          <w:szCs w:val="28"/>
          <w:rtl/>
        </w:rPr>
        <w:t>مليون اشتراك (هيئة الاتصالات والفضاء والتقنية، 2025أ). كما أظهر تقرير الإنترنت السعودي 2024 أن نسبة انتشار الإنترنت وصلت إلى 99%، وأن 21.5% من مستخدمي الإنترنت في المملكة يستخدمون أدوات ذكاء اصطناعي متنوعة، مع متوسط استهلاك بيانات متنقلة يبلغ 48 جيجابايت شهرياً (هيئة الاتصالات والفضاء والتقنية، 2025ب). وتعكس هذه المؤشرات سياقاً رقمياً متقدماً يبرر اختيار قطاع الاتصالات السعودي ميداناً مفاهيمياً للدراسة.</w:t>
      </w:r>
    </w:p>
    <w:p w14:paraId="13C2F71E"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وعلى المستوى المؤسسي، يقدم التقرير السنوي لمجموعة </w:t>
      </w:r>
      <w:proofErr w:type="spellStart"/>
      <w:r>
        <w:rPr>
          <w:rFonts w:ascii="Simplified Arabic" w:eastAsia="Simplified Arabic" w:hAnsi="Simplified Arabic"/>
          <w:sz w:val="28"/>
          <w:szCs w:val="28"/>
        </w:rPr>
        <w:t>stc</w:t>
      </w:r>
      <w:proofErr w:type="spellEnd"/>
      <w:r>
        <w:rPr>
          <w:rFonts w:ascii="Simplified Arabic" w:eastAsia="Simplified Arabic" w:hAnsi="Simplified Arabic"/>
          <w:sz w:val="28"/>
          <w:szCs w:val="28"/>
          <w:rtl/>
        </w:rPr>
        <w:t xml:space="preserve"> لعام 2024 أدلة عملية على انتشار تطبيقات الذكاء </w:t>
      </w:r>
      <w:r>
        <w:rPr>
          <w:rFonts w:ascii="Simplified Arabic" w:eastAsia="Simplified Arabic" w:hAnsi="Simplified Arabic"/>
          <w:sz w:val="28"/>
          <w:szCs w:val="28"/>
          <w:rtl/>
        </w:rPr>
        <w:t xml:space="preserve">الاصطناعي في القطاع؛ إذ أشار إلى خفض استهلاك الطاقة بنسبة 13% عبر الأتمتة الشبكية الذكية، وتحقيق وفورات بلغت 36 مليون كيلوواط/ساعة، ورفع الإنتاجية بما يصل إلى 70% في بعض التطبيقات الداخلية، إضافة إلى تحسين كفاءة التشغيل خلال موسم الحج بنسبة 20% وتحسين معدل </w:t>
      </w:r>
      <w:r>
        <w:rPr>
          <w:rFonts w:ascii="Simplified Arabic" w:eastAsia="Simplified Arabic" w:hAnsi="Simplified Arabic"/>
          <w:sz w:val="28"/>
          <w:szCs w:val="28"/>
        </w:rPr>
        <w:t>throughput</w:t>
      </w:r>
      <w:r>
        <w:rPr>
          <w:rFonts w:ascii="Simplified Arabic" w:eastAsia="Simplified Arabic" w:hAnsi="Simplified Arabic"/>
          <w:sz w:val="28"/>
          <w:szCs w:val="28"/>
          <w:rtl/>
        </w:rPr>
        <w:t xml:space="preserve"> بنسبة 13% بفضل حلول </w:t>
      </w:r>
      <w:r>
        <w:rPr>
          <w:rFonts w:ascii="Simplified Arabic" w:eastAsia="Simplified Arabic" w:hAnsi="Simplified Arabic"/>
          <w:sz w:val="28"/>
          <w:szCs w:val="28"/>
        </w:rPr>
        <w:t>Cognitive SON (</w:t>
      </w:r>
      <w:proofErr w:type="spellStart"/>
      <w:r>
        <w:rPr>
          <w:rFonts w:ascii="Simplified Arabic" w:eastAsia="Simplified Arabic" w:hAnsi="Simplified Arabic"/>
          <w:sz w:val="28"/>
          <w:szCs w:val="28"/>
        </w:rPr>
        <w:t>stc</w:t>
      </w:r>
      <w:proofErr w:type="spellEnd"/>
      <w:r>
        <w:rPr>
          <w:rFonts w:ascii="Simplified Arabic" w:eastAsia="Simplified Arabic" w:hAnsi="Simplified Arabic"/>
          <w:sz w:val="28"/>
          <w:szCs w:val="28"/>
        </w:rPr>
        <w:t xml:space="preserve"> group</w:t>
      </w:r>
      <w:r>
        <w:rPr>
          <w:rFonts w:ascii="Simplified Arabic" w:eastAsia="Simplified Arabic" w:hAnsi="Simplified Arabic"/>
          <w:sz w:val="28"/>
          <w:szCs w:val="28"/>
          <w:rtl/>
        </w:rPr>
        <w:t>، 2024</w:t>
      </w:r>
      <w:r>
        <w:rPr>
          <w:rFonts w:ascii="Simplified Arabic" w:eastAsia="Simplified Arabic" w:hAnsi="Simplified Arabic"/>
          <w:sz w:val="28"/>
          <w:szCs w:val="28"/>
        </w:rPr>
        <w:t>)</w:t>
      </w:r>
      <w:r>
        <w:rPr>
          <w:rFonts w:ascii="Simplified Arabic" w:eastAsia="Simplified Arabic" w:hAnsi="Simplified Arabic"/>
          <w:sz w:val="28"/>
          <w:szCs w:val="28"/>
          <w:rtl/>
        </w:rPr>
        <w:t>. وهذه المؤشرات تكشف أن الذكاء الاصطناعي لم يعد نشاطاً هامشياً، بل أصبح جزءاً من بنية القرار والعمليات داخل شركات الاتصالات.</w:t>
      </w:r>
    </w:p>
    <w:p w14:paraId="13C2F71F" w14:textId="77777777" w:rsidR="005B5CFE" w:rsidRDefault="005B5CFE">
      <w:pPr>
        <w:suppressAutoHyphens w:val="0"/>
        <w:bidi/>
        <w:spacing w:after="120" w:line="360" w:lineRule="auto"/>
        <w:rPr>
          <w:sz w:val="28"/>
          <w:szCs w:val="28"/>
        </w:rPr>
      </w:pPr>
    </w:p>
    <w:p w14:paraId="13C2F720" w14:textId="77777777" w:rsidR="005B5CFE" w:rsidRDefault="00BE74ED">
      <w:pPr>
        <w:suppressAutoHyphens w:val="0"/>
        <w:bidi/>
        <w:spacing w:after="160" w:line="360" w:lineRule="auto"/>
      </w:pPr>
      <w:r>
        <w:rPr>
          <w:rFonts w:ascii="Simplified Arabic" w:eastAsia="Simplified Arabic" w:hAnsi="Simplified Arabic"/>
          <w:b/>
          <w:sz w:val="32"/>
        </w:rPr>
        <w:t>1.3</w:t>
      </w:r>
      <w:r>
        <w:rPr>
          <w:rFonts w:ascii="Simplified Arabic" w:eastAsia="Simplified Arabic" w:hAnsi="Simplified Arabic"/>
          <w:b/>
          <w:sz w:val="32"/>
          <w:rtl/>
        </w:rPr>
        <w:t xml:space="preserve"> </w:t>
      </w:r>
      <w:r>
        <w:rPr>
          <w:rFonts w:ascii="Simplified Arabic" w:eastAsia="Simplified Arabic" w:hAnsi="Simplified Arabic"/>
          <w:bCs/>
          <w:sz w:val="32"/>
          <w:szCs w:val="32"/>
          <w:rtl/>
        </w:rPr>
        <w:t>مشكلة الدراسة</w:t>
      </w:r>
    </w:p>
    <w:p w14:paraId="13C2F721"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على الرغم من التوسع الملحوظ في تطبيقات الذكاء </w:t>
      </w:r>
      <w:r>
        <w:rPr>
          <w:rFonts w:ascii="Simplified Arabic" w:eastAsia="Simplified Arabic" w:hAnsi="Simplified Arabic"/>
          <w:sz w:val="28"/>
          <w:szCs w:val="28"/>
          <w:rtl/>
        </w:rPr>
        <w:t>الاصطناعي داخل المؤسسات الحديثة، فإن الأدبيات لا تزال تكشف تفاوتاً في النتائج المتعلقة بمدى انعكاس هذا التوسع على جودة القرار الإداري بصورة مباشرة. فبعض الدراسات تشير إلى أن الذكاء الاصطناعي يحسن سرعة معالجة المعلومات ويرفع دقة التحليلات ويحد من التحيزات البشرية، في حين تذهب دراسات أخرى إلى أن أثره الإيجابي يظل مشروطاً بعوامل مثل جودة البيانات، ومهارات المستخدمين، وقابلية تفسير المخرجات، وطبيعة القرار نفسه.</w:t>
      </w:r>
    </w:p>
    <w:p w14:paraId="13C2F722" w14:textId="77777777" w:rsidR="005B5CFE" w:rsidRDefault="00BE74ED">
      <w:pPr>
        <w:suppressAutoHyphens w:val="0"/>
        <w:bidi/>
        <w:spacing w:after="120" w:line="360" w:lineRule="auto"/>
      </w:pPr>
      <w:r>
        <w:rPr>
          <w:rFonts w:ascii="Simplified Arabic" w:eastAsia="Simplified Arabic" w:hAnsi="Simplified Arabic"/>
          <w:sz w:val="28"/>
          <w:szCs w:val="28"/>
          <w:rtl/>
        </w:rPr>
        <w:lastRenderedPageBreak/>
        <w:t xml:space="preserve">وفي قطاع الاتصالات السعودي، تتضح هذه الإشكالية بشكل أكبر بسبب تعقيد البيئة التشغيلية وتعدد مصادر </w:t>
      </w:r>
      <w:r>
        <w:rPr>
          <w:rFonts w:ascii="Simplified Arabic" w:eastAsia="Simplified Arabic" w:hAnsi="Simplified Arabic"/>
          <w:sz w:val="28"/>
          <w:szCs w:val="28"/>
          <w:rtl/>
        </w:rPr>
        <w:t>البيانات وتسارع المتغيرات التنافسية والتنظيمية. ورغم وفرة المؤشرات التي تؤكد التوسع في التحول الرقمي، ما تزال الحاجة قائمة إلى تفسير أدق للعلاقة بين استخدام الذكاء الاصطناعي وجودة القرار الإداري، وبخاصة من خلال أبعاد قابلة للقياس والتمييز هي سرعة القرار، ودقته، وموثوقيته. كما أن عدداً من الدراسات السابقة ركز على الأداء المؤسسي العام، أو التحول الرقمي، أو التحليلات التسويقية، دون أن يجعل القرار الإداري ذاته محوراً مركزياً للقياس والتحليل.</w:t>
      </w:r>
    </w:p>
    <w:p w14:paraId="13C2F723" w14:textId="77777777" w:rsidR="005B5CFE" w:rsidRDefault="00BE74ED">
      <w:pPr>
        <w:suppressAutoHyphens w:val="0"/>
        <w:bidi/>
        <w:spacing w:after="120" w:line="360" w:lineRule="auto"/>
      </w:pPr>
      <w:r>
        <w:rPr>
          <w:rFonts w:ascii="Simplified Arabic" w:eastAsia="Simplified Arabic" w:hAnsi="Simplified Arabic"/>
          <w:sz w:val="28"/>
          <w:szCs w:val="28"/>
          <w:rtl/>
        </w:rPr>
        <w:t>وعليه، تتحدد مشكلة الدراسة في السعي إلى بناء تصور علمي أكثر دقة لطبيعة</w:t>
      </w:r>
      <w:r>
        <w:rPr>
          <w:rFonts w:ascii="Simplified Arabic" w:eastAsia="Simplified Arabic" w:hAnsi="Simplified Arabic"/>
          <w:sz w:val="28"/>
          <w:szCs w:val="28"/>
          <w:rtl/>
        </w:rPr>
        <w:t xml:space="preserve"> الدور الذي يؤديه الذكاء الاصطناعي في تحسين جودة اتخاذ القرار الإداري في شركات الاتصالات السعودية. ويمكن صياغة السؤال الرئيس على النحو الآتي: ما دور الذكاء الاصطناعي في تحسين جودة اتخاذ القرار الإداري في شركات الاتصالات السعودية؟</w:t>
      </w:r>
    </w:p>
    <w:p w14:paraId="13C2F724" w14:textId="77777777" w:rsidR="005B5CFE" w:rsidRDefault="005B5CFE">
      <w:pPr>
        <w:suppressAutoHyphens w:val="0"/>
        <w:bidi/>
        <w:spacing w:after="120" w:line="360" w:lineRule="auto"/>
        <w:rPr>
          <w:sz w:val="28"/>
          <w:szCs w:val="28"/>
        </w:rPr>
      </w:pPr>
    </w:p>
    <w:p w14:paraId="13C2F725" w14:textId="77777777" w:rsidR="005B5CFE" w:rsidRDefault="00BE74ED">
      <w:pPr>
        <w:suppressAutoHyphens w:val="0"/>
        <w:bidi/>
        <w:spacing w:after="160" w:line="360" w:lineRule="auto"/>
      </w:pPr>
      <w:r>
        <w:rPr>
          <w:rFonts w:ascii="Simplified Arabic" w:eastAsia="Simplified Arabic" w:hAnsi="Simplified Arabic"/>
          <w:b/>
          <w:sz w:val="32"/>
        </w:rPr>
        <w:t>1.4</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أسئلة الدراسة</w:t>
      </w:r>
    </w:p>
    <w:p w14:paraId="13C2F726"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ما مستوى حضور تطبيقات الذكاء الاصطناعي في البيئة الإدارية لشركات الاتصالات السعودية؟</w:t>
      </w:r>
    </w:p>
    <w:p w14:paraId="13C2F727"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إلى أي مدى تسهم تطبيقات الذكاء الاصطناعي في تسريع اتخاذ القرار الإداري داخل شركات الاتصالات السعودية؟</w:t>
      </w:r>
    </w:p>
    <w:p w14:paraId="13C2F728"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 xml:space="preserve">إلى أي مدى تسهم تطبيقات الذكاء الاصطناعي في رفع دقة القرار الإداري داخل </w:t>
      </w:r>
      <w:r>
        <w:rPr>
          <w:rFonts w:ascii="Simplified Arabic" w:eastAsia="Simplified Arabic" w:hAnsi="Simplified Arabic"/>
          <w:sz w:val="28"/>
          <w:szCs w:val="28"/>
          <w:rtl/>
        </w:rPr>
        <w:t>شركات الاتصالات السعودية؟</w:t>
      </w:r>
    </w:p>
    <w:p w14:paraId="13C2F729"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إلى أي مدى تسهم تطبيقات الذكاء الاصطناعي في تعزيز موثوقية القرار الإداري داخل شركات الاتصالات السعودية؟</w:t>
      </w:r>
    </w:p>
    <w:p w14:paraId="13C2F72A"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ما أبرز العوامل التنظيمية والبشرية والتقنية التي قد تدعم أو تحد من أثر الذكاء الاصطناعي في جودة القرار الإداري؟</w:t>
      </w:r>
    </w:p>
    <w:p w14:paraId="13C2F72B" w14:textId="77777777" w:rsidR="005B5CFE" w:rsidRDefault="005B5CFE">
      <w:pPr>
        <w:tabs>
          <w:tab w:val="left" w:pos="360"/>
        </w:tabs>
        <w:suppressAutoHyphens w:val="0"/>
        <w:bidi/>
        <w:spacing w:after="60" w:line="360" w:lineRule="auto"/>
        <w:ind w:left="360" w:hanging="360"/>
        <w:contextualSpacing/>
      </w:pPr>
    </w:p>
    <w:p w14:paraId="13C2F72C" w14:textId="77777777" w:rsidR="005B5CFE" w:rsidRDefault="00BE74ED">
      <w:pPr>
        <w:suppressAutoHyphens w:val="0"/>
        <w:bidi/>
        <w:spacing w:after="160" w:line="360" w:lineRule="auto"/>
      </w:pPr>
      <w:r>
        <w:rPr>
          <w:rFonts w:ascii="Simplified Arabic" w:eastAsia="Simplified Arabic" w:hAnsi="Simplified Arabic"/>
          <w:b/>
          <w:sz w:val="32"/>
        </w:rPr>
        <w:t>1.5</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أهداف الدراسة</w:t>
      </w:r>
    </w:p>
    <w:p w14:paraId="13C2F72D"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تأصيل العلاقة المفاهيمية بين الذكاء الاصطناعي وجودة اتخاذ القرار الإداري.</w:t>
      </w:r>
    </w:p>
    <w:p w14:paraId="13C2F72E"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lastRenderedPageBreak/>
        <w:t>تحليل واقع التبني النظري والتطبيقي للذكاء الاصطناعي في شركات الاتصالات السعودية.</w:t>
      </w:r>
    </w:p>
    <w:p w14:paraId="13C2F72F"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تحديد أثر الذكاء الاصطناعي في سرعة اتخاذ القرار الإداري.</w:t>
      </w:r>
    </w:p>
    <w:p w14:paraId="13C2F730"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تحديد أثر الذكاء الاصطناعي في دقة اتخاذ</w:t>
      </w:r>
      <w:r>
        <w:rPr>
          <w:rFonts w:ascii="Simplified Arabic" w:eastAsia="Simplified Arabic" w:hAnsi="Simplified Arabic"/>
          <w:sz w:val="28"/>
          <w:szCs w:val="28"/>
          <w:rtl/>
        </w:rPr>
        <w:t xml:space="preserve"> القرار الإداري.</w:t>
      </w:r>
    </w:p>
    <w:p w14:paraId="13C2F731"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تحديد أثر الذكاء الاصطناعي في موثوقية اتخاذ القرار الإداري.</w:t>
      </w:r>
    </w:p>
    <w:p w14:paraId="13C2F732"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تقديم توصيات أكاديمية وعملية تعزز الاستفادة من الذكاء الاصطناعي في البيئة الإدارية لشركات الاتصالات السعودية.</w:t>
      </w:r>
    </w:p>
    <w:p w14:paraId="13C2F733" w14:textId="77777777" w:rsidR="005B5CFE" w:rsidRDefault="005B5CFE">
      <w:pPr>
        <w:tabs>
          <w:tab w:val="left" w:pos="360"/>
        </w:tabs>
        <w:suppressAutoHyphens w:val="0"/>
        <w:bidi/>
        <w:spacing w:after="60" w:line="360" w:lineRule="auto"/>
        <w:ind w:left="360" w:hanging="360"/>
        <w:contextualSpacing/>
      </w:pPr>
    </w:p>
    <w:p w14:paraId="13C2F734" w14:textId="77777777" w:rsidR="005B5CFE" w:rsidRDefault="00BE74ED">
      <w:pPr>
        <w:suppressAutoHyphens w:val="0"/>
        <w:bidi/>
        <w:spacing w:after="160" w:line="360" w:lineRule="auto"/>
      </w:pPr>
      <w:r>
        <w:rPr>
          <w:rFonts w:ascii="Simplified Arabic" w:eastAsia="Simplified Arabic" w:hAnsi="Simplified Arabic"/>
          <w:b/>
          <w:sz w:val="32"/>
        </w:rPr>
        <w:t>1.6</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أهمية الدراسة</w:t>
      </w:r>
    </w:p>
    <w:p w14:paraId="13C2F735"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تتمثل الأهمية العلمية للدراسة في أنها تعالج موضوعاً حديثاً يقع عند تقاطع الإدارة ونظم المعلومات والتحول الرقمي، كما أنها تركز على متغير تابع محدد هو جودة القرار الإداري بدلاً من الاكتفاء بالمؤشرات العامة للأداء. وتكمن مساهمتها كذلك في توجيه الاهتمام إلى السياق السعودي وإلى قطاع الاتصالات على وجه الخصوص، </w:t>
      </w:r>
      <w:r>
        <w:rPr>
          <w:rFonts w:ascii="Simplified Arabic" w:eastAsia="Simplified Arabic" w:hAnsi="Simplified Arabic"/>
          <w:sz w:val="28"/>
          <w:szCs w:val="28"/>
          <w:rtl/>
        </w:rPr>
        <w:t>وهو قطاع لم يحظ - في حدود ما أمكن الاطلاع عليه - بقدر كافٍ من الدراسات العربية المتخصصة في هذا المتغير تحديداً.</w:t>
      </w:r>
    </w:p>
    <w:p w14:paraId="13C2F736" w14:textId="77777777" w:rsidR="005B5CFE" w:rsidRDefault="00BE74ED">
      <w:pPr>
        <w:suppressAutoHyphens w:val="0"/>
        <w:bidi/>
        <w:spacing w:after="120" w:line="360" w:lineRule="auto"/>
      </w:pPr>
      <w:r>
        <w:rPr>
          <w:rFonts w:ascii="Simplified Arabic" w:eastAsia="Simplified Arabic" w:hAnsi="Simplified Arabic"/>
          <w:sz w:val="28"/>
          <w:szCs w:val="28"/>
          <w:rtl/>
        </w:rPr>
        <w:t>أما الأهمية التطبيقية فتنبع من حاجة شركات الاتصالات إلى أدوات أكثر فاعلية في تفسير البيانات الضخمة وتحويلها إلى قرارات دقيقة وسريعة وموثوقة. وتستطيع نتائج الدراسة، عند استكمالها ميدانياً، أن تساعد الإدارات العليا والوسطى على تحديد المجالات التي يحقق فيها الذكاء الاصطناعي قيمة حقيقية، وكذلك المتطلبات التنظيمية اللازمة للاستفادة منه بصورة مسؤولة.</w:t>
      </w:r>
    </w:p>
    <w:p w14:paraId="13C2F737" w14:textId="77777777" w:rsidR="005B5CFE" w:rsidRDefault="00BE74ED">
      <w:pPr>
        <w:suppressAutoHyphens w:val="0"/>
        <w:bidi/>
        <w:spacing w:after="160" w:line="360" w:lineRule="auto"/>
      </w:pPr>
      <w:r>
        <w:rPr>
          <w:rFonts w:ascii="Simplified Arabic" w:eastAsia="Simplified Arabic" w:hAnsi="Simplified Arabic"/>
          <w:b/>
          <w:sz w:val="32"/>
        </w:rPr>
        <w:t>1.7</w:t>
      </w:r>
      <w:r>
        <w:rPr>
          <w:rFonts w:ascii="Simplified Arabic" w:eastAsia="Simplified Arabic" w:hAnsi="Simplified Arabic"/>
          <w:b/>
          <w:sz w:val="32"/>
          <w:rtl/>
        </w:rPr>
        <w:t xml:space="preserve"> </w:t>
      </w:r>
      <w:r>
        <w:rPr>
          <w:rFonts w:ascii="Simplified Arabic" w:eastAsia="Simplified Arabic" w:hAnsi="Simplified Arabic"/>
          <w:bCs/>
          <w:sz w:val="28"/>
          <w:szCs w:val="28"/>
          <w:rtl/>
        </w:rPr>
        <w:t>فرضيات الدراسة</w:t>
      </w:r>
    </w:p>
    <w:p w14:paraId="13C2F738"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 xml:space="preserve">توجد علاقة ذات دلالة إحصائية بين </w:t>
      </w:r>
      <w:r>
        <w:rPr>
          <w:rFonts w:ascii="Simplified Arabic" w:eastAsia="Simplified Arabic" w:hAnsi="Simplified Arabic"/>
          <w:sz w:val="28"/>
          <w:szCs w:val="28"/>
          <w:rtl/>
        </w:rPr>
        <w:t>استخدام الذكاء الاصطناعي وتحسن جودة اتخاذ القرار الإداري في شركات الاتصالات السعودية.</w:t>
      </w:r>
    </w:p>
    <w:p w14:paraId="13C2F739"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توجد علاقة ذات دلالة إحصائية بين استخدام الذكاء الاصطناعي وسرعة اتخاذ القرار الإداري.</w:t>
      </w:r>
    </w:p>
    <w:p w14:paraId="13C2F73A"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توجد علاقة ذات دلالة إحصائية بين استخدام الذكاء الاصطناعي ودقة اتخاذ القرار الإداري.</w:t>
      </w:r>
    </w:p>
    <w:p w14:paraId="13C2F73B"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توجد علاقة ذات دلالة إحصائية بين استخدام الذكاء الاصطناعي وموثوقية اتخاذ القرار الإداري.</w:t>
      </w:r>
    </w:p>
    <w:p w14:paraId="13C2F73C" w14:textId="77777777" w:rsidR="005B5CFE" w:rsidRDefault="005B5CFE">
      <w:pPr>
        <w:tabs>
          <w:tab w:val="left" w:pos="360"/>
        </w:tabs>
        <w:suppressAutoHyphens w:val="0"/>
        <w:bidi/>
        <w:spacing w:after="60" w:line="360" w:lineRule="auto"/>
        <w:ind w:left="360" w:hanging="360"/>
        <w:contextualSpacing/>
        <w:rPr>
          <w:sz w:val="28"/>
          <w:szCs w:val="28"/>
        </w:rPr>
      </w:pPr>
    </w:p>
    <w:p w14:paraId="13C2F73D" w14:textId="77777777" w:rsidR="005B5CFE" w:rsidRDefault="00BE74ED">
      <w:pPr>
        <w:suppressAutoHyphens w:val="0"/>
        <w:bidi/>
        <w:spacing w:after="160" w:line="360" w:lineRule="auto"/>
      </w:pPr>
      <w:r>
        <w:rPr>
          <w:rFonts w:ascii="Simplified Arabic" w:eastAsia="Simplified Arabic" w:hAnsi="Simplified Arabic"/>
          <w:b/>
          <w:sz w:val="32"/>
        </w:rPr>
        <w:lastRenderedPageBreak/>
        <w:t>1.8</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حدود الدراسة</w:t>
      </w:r>
    </w:p>
    <w:p w14:paraId="13C2F73E"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الحدود الموضوعية: تركز الدراسة على أثر الذكاء الاصطناعي في جودة اتخاذ القرار الإداري، ممثلة في السرعة والدقة والموثوقية.</w:t>
      </w:r>
    </w:p>
    <w:p w14:paraId="13C2F73F"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 xml:space="preserve">الحدود المكانية: شركات </w:t>
      </w:r>
      <w:r>
        <w:rPr>
          <w:rFonts w:ascii="Simplified Arabic" w:eastAsia="Simplified Arabic" w:hAnsi="Simplified Arabic"/>
          <w:sz w:val="28"/>
          <w:szCs w:val="28"/>
          <w:rtl/>
        </w:rPr>
        <w:t>الاتصالات السعودية بوجه عام.</w:t>
      </w:r>
    </w:p>
    <w:p w14:paraId="13C2F740"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الحدود الزمنية: اعتمدت الدراسة على مصادر محدثة حتى عام 2026.</w:t>
      </w:r>
    </w:p>
    <w:p w14:paraId="13C2F741"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الحدود المنهجية: تمثل هذه النسخة معالجة نظرية تطبيقية قابلة للتطوير إلى دراسة ميدانية عند توافر البيانات.</w:t>
      </w:r>
    </w:p>
    <w:p w14:paraId="13C2F742" w14:textId="77777777" w:rsidR="005B5CFE" w:rsidRDefault="005B5CFE">
      <w:pPr>
        <w:tabs>
          <w:tab w:val="left" w:pos="360"/>
        </w:tabs>
        <w:suppressAutoHyphens w:val="0"/>
        <w:bidi/>
        <w:spacing w:after="60" w:line="360" w:lineRule="auto"/>
        <w:ind w:left="360" w:hanging="360"/>
        <w:contextualSpacing/>
        <w:rPr>
          <w:sz w:val="28"/>
          <w:szCs w:val="28"/>
        </w:rPr>
      </w:pPr>
    </w:p>
    <w:p w14:paraId="13C2F743" w14:textId="77777777" w:rsidR="005B5CFE" w:rsidRDefault="00BE74ED">
      <w:pPr>
        <w:suppressAutoHyphens w:val="0"/>
        <w:bidi/>
        <w:spacing w:after="160" w:line="360" w:lineRule="auto"/>
      </w:pPr>
      <w:r>
        <w:rPr>
          <w:rFonts w:ascii="Simplified Arabic" w:eastAsia="Simplified Arabic" w:hAnsi="Simplified Arabic"/>
          <w:b/>
          <w:sz w:val="32"/>
        </w:rPr>
        <w:t>1.9</w:t>
      </w:r>
      <w:r>
        <w:rPr>
          <w:rFonts w:ascii="Simplified Arabic" w:eastAsia="Simplified Arabic" w:hAnsi="Simplified Arabic"/>
          <w:b/>
          <w:sz w:val="32"/>
          <w:rtl/>
        </w:rPr>
        <w:t xml:space="preserve"> </w:t>
      </w:r>
      <w:r>
        <w:rPr>
          <w:rFonts w:ascii="Simplified Arabic" w:eastAsia="Simplified Arabic" w:hAnsi="Simplified Arabic"/>
          <w:bCs/>
          <w:sz w:val="32"/>
          <w:szCs w:val="32"/>
          <w:rtl/>
        </w:rPr>
        <w:t>مصطلحات الدراسة</w:t>
      </w:r>
    </w:p>
    <w:p w14:paraId="13C2F744"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الذكاء الاصطناعي: مجموعة من النظم والتقنيات القادرة على محاكاة بعض وظائف الإدراك البشري، مثل التعلم والتحليل والتنبؤ وتوليد التوصيات.</w:t>
      </w:r>
    </w:p>
    <w:p w14:paraId="13C2F745"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اتخاذ القرار الإداري: عملية اختيار البديل الأنسب لمعالجة مشكلة أو استثمار فرصة في ضوء معلومات ومعايير محددة.</w:t>
      </w:r>
    </w:p>
    <w:p w14:paraId="13C2F746"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 xml:space="preserve">جودة القرار الإداري: مستوى كفاءة القرار من حيث </w:t>
      </w:r>
      <w:r>
        <w:rPr>
          <w:rFonts w:ascii="Simplified Arabic" w:eastAsia="Simplified Arabic" w:hAnsi="Simplified Arabic"/>
          <w:sz w:val="28"/>
          <w:szCs w:val="28"/>
          <w:rtl/>
        </w:rPr>
        <w:t>السرعة والدقة والموثوقية وقابلية الاعتماد عليه.</w:t>
      </w:r>
    </w:p>
    <w:p w14:paraId="13C2F747" w14:textId="77777777" w:rsidR="005B5CFE" w:rsidRDefault="00BE74ED">
      <w:pPr>
        <w:tabs>
          <w:tab w:val="left" w:pos="360"/>
        </w:tabs>
        <w:suppressAutoHyphens w:val="0"/>
        <w:bidi/>
        <w:spacing w:after="60" w:line="360" w:lineRule="auto"/>
        <w:ind w:left="360" w:hanging="360"/>
        <w:contextualSpacing/>
      </w:pPr>
      <w:r>
        <w:rPr>
          <w:rFonts w:ascii="Simplified Arabic" w:eastAsia="Simplified Arabic" w:hAnsi="Simplified Arabic"/>
          <w:sz w:val="28"/>
          <w:szCs w:val="28"/>
          <w:rtl/>
        </w:rPr>
        <w:t>شركات الاتصالات السعودية: الشركات العاملة في خدمات الاتصالات والبيانات والحلول الرقمية في المملكة العربية السعودية.</w:t>
      </w:r>
    </w:p>
    <w:p w14:paraId="13C2F748" w14:textId="77777777" w:rsidR="005B5CFE" w:rsidRDefault="005B5CFE">
      <w:pPr>
        <w:pageBreakBefore/>
        <w:suppressAutoHyphens w:val="0"/>
        <w:rPr>
          <w:rFonts w:ascii="Cambria" w:eastAsia="MS Mincho" w:hAnsi="Cambria"/>
        </w:rPr>
      </w:pPr>
    </w:p>
    <w:p w14:paraId="13C2F749" w14:textId="77777777" w:rsidR="005B5CFE" w:rsidRDefault="00BE74ED">
      <w:pPr>
        <w:suppressAutoHyphens w:val="0"/>
        <w:bidi/>
        <w:spacing w:line="360" w:lineRule="auto"/>
        <w:jc w:val="center"/>
      </w:pPr>
      <w:r>
        <w:rPr>
          <w:rFonts w:ascii="Simplified Arabic" w:eastAsia="Simplified Arabic" w:hAnsi="Simplified Arabic"/>
          <w:bCs/>
          <w:sz w:val="40"/>
          <w:szCs w:val="40"/>
          <w:rtl/>
        </w:rPr>
        <w:t>الفصل الثاني: الإطار النظري والدراسات السابقة</w:t>
      </w:r>
    </w:p>
    <w:p w14:paraId="13C2F74A" w14:textId="77777777" w:rsidR="005B5CFE" w:rsidRDefault="00BE74ED">
      <w:pPr>
        <w:suppressAutoHyphens w:val="0"/>
        <w:bidi/>
        <w:spacing w:after="160" w:line="360" w:lineRule="auto"/>
      </w:pPr>
      <w:r>
        <w:rPr>
          <w:rFonts w:ascii="Simplified Arabic" w:eastAsia="Simplified Arabic" w:hAnsi="Simplified Arabic"/>
          <w:b/>
          <w:sz w:val="32"/>
        </w:rPr>
        <w:t>2.1</w:t>
      </w:r>
      <w:r>
        <w:rPr>
          <w:rFonts w:ascii="Simplified Arabic" w:eastAsia="Simplified Arabic" w:hAnsi="Simplified Arabic"/>
          <w:b/>
          <w:sz w:val="32"/>
          <w:rtl/>
        </w:rPr>
        <w:t xml:space="preserve"> </w:t>
      </w:r>
      <w:r>
        <w:rPr>
          <w:rFonts w:ascii="Simplified Arabic" w:eastAsia="Simplified Arabic" w:hAnsi="Simplified Arabic"/>
          <w:bCs/>
          <w:sz w:val="32"/>
          <w:szCs w:val="32"/>
          <w:rtl/>
        </w:rPr>
        <w:t>مقدمة الفصل</w:t>
      </w:r>
    </w:p>
    <w:p w14:paraId="13C2F74B"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يركز هذا الفصل على تأصيل العلاقة بين الذكاء الاصطناعي وجودة القرار الإداري من خلال عرض المفاهيم الرئيسة، ثم مناقشة الأطر النظرية الملائمة، فاستعراض الدراسات السابقة بصورة تحليلية موسعة، لا على نحو تجميعي مختصر. وقد روعي في هذا الفصل إبراز مناهج الدراسات ونتائجها وحدودها وأوجه الاتفاق </w:t>
      </w:r>
      <w:r>
        <w:rPr>
          <w:rFonts w:ascii="Simplified Arabic" w:eastAsia="Simplified Arabic" w:hAnsi="Simplified Arabic"/>
          <w:sz w:val="28"/>
          <w:szCs w:val="28"/>
          <w:rtl/>
        </w:rPr>
        <w:t>والاختلاف بينها، بما يسمح بتحديد الفجوة التي تنطلق منها الدراسة الحالية.</w:t>
      </w:r>
    </w:p>
    <w:p w14:paraId="13C2F74C" w14:textId="77777777" w:rsidR="005B5CFE" w:rsidRDefault="005B5CFE">
      <w:pPr>
        <w:suppressAutoHyphens w:val="0"/>
        <w:bidi/>
        <w:spacing w:after="120" w:line="360" w:lineRule="auto"/>
        <w:rPr>
          <w:sz w:val="28"/>
          <w:szCs w:val="28"/>
        </w:rPr>
      </w:pPr>
    </w:p>
    <w:p w14:paraId="13C2F74D" w14:textId="77777777" w:rsidR="005B5CFE" w:rsidRDefault="00BE74ED">
      <w:pPr>
        <w:suppressAutoHyphens w:val="0"/>
        <w:bidi/>
        <w:spacing w:after="160" w:line="360" w:lineRule="auto"/>
      </w:pPr>
      <w:r>
        <w:rPr>
          <w:rFonts w:ascii="Simplified Arabic" w:eastAsia="Simplified Arabic" w:hAnsi="Simplified Arabic"/>
          <w:b/>
          <w:sz w:val="32"/>
        </w:rPr>
        <w:t>2.2</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الذكاء الاصطناعي في البيئة الإدارية</w:t>
      </w:r>
    </w:p>
    <w:p w14:paraId="13C2F74E" w14:textId="77777777" w:rsidR="005B5CFE" w:rsidRDefault="00BE74ED">
      <w:pPr>
        <w:suppressAutoHyphens w:val="0"/>
        <w:bidi/>
        <w:spacing w:after="120" w:line="360" w:lineRule="auto"/>
      </w:pPr>
      <w:r>
        <w:rPr>
          <w:rFonts w:ascii="Simplified Arabic" w:eastAsia="Simplified Arabic" w:hAnsi="Simplified Arabic"/>
          <w:sz w:val="28"/>
          <w:szCs w:val="28"/>
          <w:rtl/>
        </w:rPr>
        <w:t>تتمثل القيمة الإدارية للذكاء الاصطناعي في قدرته على تخفيف أعباء المعالجة الذهنية والوقتية عن متخذ القرار، عبر فرز البيانات، واكتشاف الأنماط، وتوليد الإنذارات المبكرة، وتقديم البدائل المحتملة. غير أن هذه القيمة لا تتجسد تلقائياً؛ فالذكاء الاصطناعي لا يعمل في فراغ، بل داخل بنية تنظيمية تحدد مصادر البيانات، ومعايير الثقة، ومسؤوليات المراجعة، وحدود التفويض بين الإنسان والنظام.</w:t>
      </w:r>
    </w:p>
    <w:p w14:paraId="13C2F74F"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وتؤكد الأدبيات أن </w:t>
      </w:r>
      <w:r>
        <w:rPr>
          <w:rFonts w:ascii="Simplified Arabic" w:eastAsia="Simplified Arabic" w:hAnsi="Simplified Arabic"/>
          <w:sz w:val="28"/>
          <w:szCs w:val="28"/>
          <w:rtl/>
        </w:rPr>
        <w:t xml:space="preserve">النضج الحقيقي في استخدام الذكاء الاصطناعي لا يقاس بعدد الأدوات أو المشاريع التجريبية، وإنما بدرجة دمجه في سير العمل وارتباطه بنتائج الأعمال. فبحسب </w:t>
      </w:r>
      <w:r>
        <w:rPr>
          <w:rFonts w:ascii="Simplified Arabic" w:eastAsia="Simplified Arabic" w:hAnsi="Simplified Arabic"/>
          <w:sz w:val="28"/>
          <w:szCs w:val="28"/>
        </w:rPr>
        <w:t>McKinsey</w:t>
      </w:r>
      <w:r>
        <w:rPr>
          <w:rFonts w:ascii="Simplified Arabic" w:eastAsia="Simplified Arabic" w:hAnsi="Simplified Arabic"/>
          <w:sz w:val="28"/>
          <w:szCs w:val="28"/>
          <w:rtl/>
        </w:rPr>
        <w:t>، تخطط 92% من الشركات لزيادة استثماراتها في الذكاء الاصطناعي خلال السنوات الثلاث المقبلة، لكن 1% فقط من القادة يعتبرون منظماتهم ناضجة بالكامل في هذا المجال (</w:t>
      </w:r>
      <w:r>
        <w:rPr>
          <w:rFonts w:ascii="Simplified Arabic" w:eastAsia="Simplified Arabic" w:hAnsi="Simplified Arabic"/>
          <w:sz w:val="28"/>
          <w:szCs w:val="28"/>
        </w:rPr>
        <w:t>McKinsey &amp; Company</w:t>
      </w:r>
      <w:r>
        <w:rPr>
          <w:rFonts w:ascii="Simplified Arabic" w:eastAsia="Simplified Arabic" w:hAnsi="Simplified Arabic"/>
          <w:sz w:val="28"/>
          <w:szCs w:val="28"/>
          <w:rtl/>
        </w:rPr>
        <w:t xml:space="preserve">، 2025). كما تشير </w:t>
      </w:r>
      <w:r>
        <w:rPr>
          <w:rFonts w:ascii="Simplified Arabic" w:eastAsia="Simplified Arabic" w:hAnsi="Simplified Arabic"/>
          <w:sz w:val="28"/>
          <w:szCs w:val="28"/>
        </w:rPr>
        <w:t>IBM</w:t>
      </w:r>
      <w:r>
        <w:rPr>
          <w:rFonts w:ascii="Simplified Arabic" w:eastAsia="Simplified Arabic" w:hAnsi="Simplified Arabic"/>
          <w:sz w:val="28"/>
          <w:szCs w:val="28"/>
          <w:rtl/>
        </w:rPr>
        <w:t xml:space="preserve"> إلى أن 42% من المؤسسات نشرت الذكاء الاصطناعي فعلياً، و40% لا تزال في مرحلة التجريب، بينما سرّعت 59% من المؤسسات النشطة أو المستكشفة استثماراتها وعمليات النشر </w:t>
      </w:r>
      <w:r>
        <w:rPr>
          <w:rFonts w:ascii="Simplified Arabic" w:eastAsia="Simplified Arabic" w:hAnsi="Simplified Arabic"/>
          <w:sz w:val="28"/>
          <w:szCs w:val="28"/>
          <w:rtl/>
        </w:rPr>
        <w:t>خلال العامين السابقين (</w:t>
      </w:r>
      <w:r>
        <w:rPr>
          <w:rFonts w:ascii="Simplified Arabic" w:eastAsia="Simplified Arabic" w:hAnsi="Simplified Arabic"/>
          <w:sz w:val="28"/>
          <w:szCs w:val="28"/>
        </w:rPr>
        <w:t>IBM</w:t>
      </w:r>
      <w:r>
        <w:rPr>
          <w:rFonts w:ascii="Simplified Arabic" w:eastAsia="Simplified Arabic" w:hAnsi="Simplified Arabic"/>
          <w:sz w:val="28"/>
          <w:szCs w:val="28"/>
          <w:rtl/>
        </w:rPr>
        <w:t>، دون تاريخ).</w:t>
      </w:r>
    </w:p>
    <w:p w14:paraId="13C2F750" w14:textId="77777777" w:rsidR="005B5CFE" w:rsidRDefault="00BE74ED">
      <w:pPr>
        <w:suppressAutoHyphens w:val="0"/>
        <w:bidi/>
        <w:spacing w:after="160" w:line="360" w:lineRule="auto"/>
      </w:pPr>
      <w:r>
        <w:rPr>
          <w:rFonts w:ascii="Simplified Arabic" w:eastAsia="Simplified Arabic" w:hAnsi="Simplified Arabic"/>
          <w:b/>
          <w:sz w:val="32"/>
        </w:rPr>
        <w:lastRenderedPageBreak/>
        <w:t>2.3</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جودة اتخاذ القرار الإداري</w:t>
      </w:r>
    </w:p>
    <w:p w14:paraId="13C2F751"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لا يكفي وصف القرار الإداري بأنه جيد لأن نتائجه بدت إيجابية بعد التطبيق؛ فالجودة مفهوم أعمق يتعلق بسلامة العملية نفسها وبقدرتها على الوصول إلى قرار مناسب في الوقت المناسب وبالاستناد إلى معلومات موثوقة. ولهذا اعتمدت الدراسة الحالية ثلاثة أبعاد عملية: السرعة، والدقة، والموثوقية. السرعة تعني قدرة الإدارة على الاستجابة قبل فوات الفرصة أو تفاقم المشكلة. والدقة تشير إلى مدى اتساق القرار مع الواقع ومصادر المعلومات والبدائل المتاحة. أما الموثوقية </w:t>
      </w:r>
      <w:r>
        <w:rPr>
          <w:rFonts w:ascii="Simplified Arabic" w:eastAsia="Simplified Arabic" w:hAnsi="Simplified Arabic"/>
          <w:sz w:val="28"/>
          <w:szCs w:val="28"/>
          <w:rtl/>
        </w:rPr>
        <w:t>فتتعلق بدرجة الثقة في القرار وقابليته للتفسير والدفاع عنه تنظيمياً وإدارياً.</w:t>
      </w:r>
    </w:p>
    <w:p w14:paraId="13C2F752" w14:textId="77777777" w:rsidR="005B5CFE" w:rsidRDefault="00BE74ED">
      <w:pPr>
        <w:suppressAutoHyphens w:val="0"/>
        <w:bidi/>
        <w:spacing w:after="120" w:line="360" w:lineRule="auto"/>
      </w:pPr>
      <w:r>
        <w:rPr>
          <w:rFonts w:ascii="Simplified Arabic" w:eastAsia="Simplified Arabic" w:hAnsi="Simplified Arabic"/>
          <w:sz w:val="28"/>
          <w:szCs w:val="28"/>
          <w:rtl/>
        </w:rPr>
        <w:t>وتعد هذه الأبعاد ملائمة لتحليل دور الذكاء الاصطناعي؛ إذ يعد الذكاء الاصطناعي بتحسين سرعة الوصول إلى المعلومات، ورفع جودة التحليل، وتوسيع أفق المقارنة بين البدائل. لكن هذه المكاسب قد تتراجع إذا ضعفت جودة البيانات أو غابت قابلية التفسير أو حدثت قطيعة بين التوصية الخوارزمية والحكم الإداري البشري.</w:t>
      </w:r>
    </w:p>
    <w:p w14:paraId="13C2F753" w14:textId="77777777" w:rsidR="005B5CFE" w:rsidRDefault="005B5CFE">
      <w:pPr>
        <w:suppressAutoHyphens w:val="0"/>
        <w:bidi/>
        <w:spacing w:after="120" w:line="360" w:lineRule="auto"/>
        <w:rPr>
          <w:sz w:val="28"/>
          <w:szCs w:val="28"/>
        </w:rPr>
      </w:pPr>
    </w:p>
    <w:p w14:paraId="13C2F754" w14:textId="77777777" w:rsidR="005B5CFE" w:rsidRDefault="00BE74ED">
      <w:pPr>
        <w:suppressAutoHyphens w:val="0"/>
        <w:bidi/>
        <w:spacing w:after="160" w:line="360" w:lineRule="auto"/>
      </w:pPr>
      <w:r>
        <w:rPr>
          <w:rFonts w:ascii="Simplified Arabic" w:eastAsia="Simplified Arabic" w:hAnsi="Simplified Arabic"/>
          <w:b/>
          <w:sz w:val="32"/>
        </w:rPr>
        <w:t>2.4</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الذكاء الاصطناعي في قطاع الاتصالات السعودي</w:t>
      </w:r>
    </w:p>
    <w:p w14:paraId="13C2F755"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يتمتع قطاع الاتصالات بخصائص تجعل تطبيقات الذكاء الاصطناعي فيه ذات جدوى مرتفعة، لأنه يعتمد </w:t>
      </w:r>
      <w:r>
        <w:rPr>
          <w:rFonts w:ascii="Simplified Arabic" w:eastAsia="Simplified Arabic" w:hAnsi="Simplified Arabic"/>
          <w:sz w:val="28"/>
          <w:szCs w:val="28"/>
          <w:rtl/>
        </w:rPr>
        <w:t>على تدفقات بيانات ضخمة ومستمرة، ويحتاج إلى قرارات متكررة تتعلق بإدارة الشبكات، وتحسين تجربة العميل، والتنبؤ بالأعطال، واكتشاف الاحتيال، وتخصيص الموارد، وتحليل الطلب. لذلك يظهر الذكاء الاصطناعي في القطاع ليس فقط كأداة تقنية، بل كجزء من البنية الإدارية لاتخاذ القرار.</w:t>
      </w:r>
    </w:p>
    <w:p w14:paraId="13C2F756" w14:textId="77777777" w:rsidR="005B5CFE" w:rsidRDefault="00BE74ED">
      <w:pPr>
        <w:suppressAutoHyphens w:val="0"/>
        <w:bidi/>
        <w:spacing w:after="120" w:line="360" w:lineRule="auto"/>
      </w:pPr>
      <w:r>
        <w:rPr>
          <w:rFonts w:ascii="Simplified Arabic" w:eastAsia="Simplified Arabic" w:hAnsi="Simplified Arabic"/>
          <w:sz w:val="28"/>
          <w:szCs w:val="28"/>
          <w:rtl/>
        </w:rPr>
        <w:t>وفي الحالة السعودية، يتعاظم هذا الدور مع تقدم البنية الرقمية. فمتوسط سرعة الإنترنت المتنقل بلغ 129 ميغابت/ثانية في 2024، واحتلت المملكة المرتبة الرابعة بين دول مجموعة العشرين، بينما بلغ عدد اشتراكات الاتصالات المتنقلة 68.2 مليوناً (هيئة الاتصالات</w:t>
      </w:r>
      <w:r>
        <w:rPr>
          <w:rFonts w:ascii="Simplified Arabic" w:eastAsia="Simplified Arabic" w:hAnsi="Simplified Arabic"/>
          <w:sz w:val="28"/>
          <w:szCs w:val="28"/>
          <w:rtl/>
        </w:rPr>
        <w:t xml:space="preserve"> والفضاء والتقنية، 2025أ). كما أبرزت ممارسات </w:t>
      </w:r>
      <w:proofErr w:type="spellStart"/>
      <w:r>
        <w:rPr>
          <w:rFonts w:ascii="Simplified Arabic" w:eastAsia="Simplified Arabic" w:hAnsi="Simplified Arabic"/>
          <w:sz w:val="28"/>
          <w:szCs w:val="28"/>
        </w:rPr>
        <w:t>stc</w:t>
      </w:r>
      <w:proofErr w:type="spellEnd"/>
      <w:r>
        <w:rPr>
          <w:rFonts w:ascii="Simplified Arabic" w:eastAsia="Simplified Arabic" w:hAnsi="Simplified Arabic"/>
          <w:sz w:val="28"/>
          <w:szCs w:val="28"/>
          <w:rtl/>
        </w:rPr>
        <w:t xml:space="preserve"> في تقريرها السنوي 2024 أمثلة عملية لاستخدام الذكاء الاصطناعي في تخفيض الطاقة، </w:t>
      </w:r>
      <w:r>
        <w:rPr>
          <w:rFonts w:ascii="Simplified Arabic" w:eastAsia="Simplified Arabic" w:hAnsi="Simplified Arabic"/>
          <w:sz w:val="28"/>
          <w:szCs w:val="28"/>
          <w:rtl/>
        </w:rPr>
        <w:lastRenderedPageBreak/>
        <w:t>ورفع الإنتاجية، وتوجيه فرق المبيعات، وتحليل آلاف المكالمات ورصد التسرب والرضا والاحتيال، وهي كلها حالات ترتبط - بصورة مباشرة أو غير مباشرة - بجودة القرار الإداري (</w:t>
      </w:r>
      <w:proofErr w:type="spellStart"/>
      <w:r>
        <w:rPr>
          <w:rFonts w:ascii="Simplified Arabic" w:eastAsia="Simplified Arabic" w:hAnsi="Simplified Arabic"/>
          <w:sz w:val="28"/>
          <w:szCs w:val="28"/>
        </w:rPr>
        <w:t>stc</w:t>
      </w:r>
      <w:proofErr w:type="spellEnd"/>
      <w:r>
        <w:rPr>
          <w:rFonts w:ascii="Simplified Arabic" w:eastAsia="Simplified Arabic" w:hAnsi="Simplified Arabic"/>
          <w:sz w:val="28"/>
          <w:szCs w:val="28"/>
        </w:rPr>
        <w:t xml:space="preserve"> group</w:t>
      </w:r>
      <w:r>
        <w:rPr>
          <w:rFonts w:ascii="Simplified Arabic" w:eastAsia="Simplified Arabic" w:hAnsi="Simplified Arabic"/>
          <w:sz w:val="28"/>
          <w:szCs w:val="28"/>
          <w:rtl/>
        </w:rPr>
        <w:t>، 2024).</w:t>
      </w:r>
    </w:p>
    <w:p w14:paraId="13C2F757" w14:textId="77777777" w:rsidR="005B5CFE" w:rsidRDefault="005B5CFE">
      <w:pPr>
        <w:suppressAutoHyphens w:val="0"/>
        <w:bidi/>
        <w:spacing w:after="120" w:line="360" w:lineRule="auto"/>
        <w:rPr>
          <w:sz w:val="28"/>
          <w:szCs w:val="28"/>
        </w:rPr>
      </w:pPr>
    </w:p>
    <w:p w14:paraId="13C2F758" w14:textId="77777777" w:rsidR="005B5CFE" w:rsidRDefault="00BE74ED">
      <w:pPr>
        <w:suppressAutoHyphens w:val="0"/>
        <w:bidi/>
        <w:spacing w:after="160" w:line="360" w:lineRule="auto"/>
      </w:pPr>
      <w:r>
        <w:rPr>
          <w:rFonts w:ascii="Simplified Arabic" w:eastAsia="Simplified Arabic" w:hAnsi="Simplified Arabic"/>
          <w:b/>
          <w:sz w:val="32"/>
          <w:szCs w:val="32"/>
        </w:rPr>
        <w:t>2.5</w:t>
      </w:r>
      <w:r>
        <w:rPr>
          <w:rFonts w:ascii="Simplified Arabic" w:eastAsia="Simplified Arabic" w:hAnsi="Simplified Arabic"/>
          <w:b/>
          <w:sz w:val="32"/>
          <w:szCs w:val="32"/>
          <w:rtl/>
        </w:rPr>
        <w:t xml:space="preserve"> </w:t>
      </w:r>
      <w:r>
        <w:rPr>
          <w:rFonts w:ascii="Simplified Arabic" w:eastAsia="Simplified Arabic" w:hAnsi="Simplified Arabic"/>
          <w:bCs/>
          <w:sz w:val="32"/>
          <w:szCs w:val="32"/>
          <w:rtl/>
        </w:rPr>
        <w:t>الأطر النظرية المفسرة للدراسة</w:t>
      </w:r>
    </w:p>
    <w:p w14:paraId="13C2F759" w14:textId="77777777" w:rsidR="005B5CFE" w:rsidRDefault="00BE74ED">
      <w:pPr>
        <w:suppressAutoHyphens w:val="0"/>
        <w:bidi/>
        <w:spacing w:after="120" w:line="360" w:lineRule="auto"/>
      </w:pPr>
      <w:r>
        <w:rPr>
          <w:rFonts w:ascii="Simplified Arabic" w:eastAsia="Simplified Arabic" w:hAnsi="Simplified Arabic"/>
          <w:b/>
          <w:sz w:val="28"/>
        </w:rPr>
        <w:t>2.5.1</w:t>
      </w:r>
      <w:r>
        <w:rPr>
          <w:rFonts w:ascii="Simplified Arabic" w:eastAsia="Simplified Arabic" w:hAnsi="Simplified Arabic"/>
          <w:b/>
          <w:sz w:val="28"/>
          <w:rtl/>
        </w:rPr>
        <w:t xml:space="preserve"> </w:t>
      </w:r>
      <w:r>
        <w:rPr>
          <w:rFonts w:ascii="Simplified Arabic" w:eastAsia="Simplified Arabic" w:hAnsi="Simplified Arabic"/>
          <w:bCs/>
          <w:sz w:val="32"/>
          <w:szCs w:val="32"/>
          <w:rtl/>
        </w:rPr>
        <w:t>نظرية العقلانية المحدودة</w:t>
      </w:r>
    </w:p>
    <w:p w14:paraId="13C2F75A" w14:textId="77777777" w:rsidR="005B5CFE" w:rsidRDefault="00BE74ED">
      <w:pPr>
        <w:suppressAutoHyphens w:val="0"/>
        <w:bidi/>
        <w:spacing w:after="120" w:line="360" w:lineRule="auto"/>
      </w:pPr>
      <w:r>
        <w:rPr>
          <w:rFonts w:ascii="Simplified Arabic" w:eastAsia="Simplified Arabic" w:hAnsi="Simplified Arabic"/>
          <w:sz w:val="28"/>
          <w:szCs w:val="28"/>
          <w:rtl/>
        </w:rPr>
        <w:t>يفسر هربرت سايمون القرار الإداري بوصفه عملية تُتخذ في ظل حدود معرفية وزمنية ومعلوماتية، إذ لا يستطيع الفرد الإحاطة بجميع البدائل أو معالجة</w:t>
      </w:r>
      <w:r>
        <w:rPr>
          <w:rFonts w:ascii="Simplified Arabic" w:eastAsia="Simplified Arabic" w:hAnsi="Simplified Arabic"/>
          <w:sz w:val="28"/>
          <w:szCs w:val="28"/>
          <w:rtl/>
        </w:rPr>
        <w:t xml:space="preserve"> كل المعلومات الممكنة. ومن هذا المنظور، يمكن فهم الذكاء الاصطناعي بوصفه أداة تخفف بعض قيود العقلانية المحدودة من خلال توسيع القدرة على جمع المعلومات ومعالجتها بسرعة، لكنه لا يرفع الحاجة إلى التقدير البشري في القضايا التي تتطلب حكماً سياقياً أو أخلاقياً.</w:t>
      </w:r>
    </w:p>
    <w:p w14:paraId="13C2F75B" w14:textId="77777777" w:rsidR="005B5CFE" w:rsidRDefault="00BE74ED">
      <w:pPr>
        <w:suppressAutoHyphens w:val="0"/>
        <w:bidi/>
        <w:spacing w:after="120" w:line="360" w:lineRule="auto"/>
      </w:pPr>
      <w:r>
        <w:rPr>
          <w:rFonts w:ascii="Simplified Arabic" w:eastAsia="Simplified Arabic" w:hAnsi="Simplified Arabic"/>
          <w:b/>
          <w:sz w:val="28"/>
        </w:rPr>
        <w:t>2.5.2</w:t>
      </w:r>
      <w:r>
        <w:rPr>
          <w:rFonts w:ascii="Simplified Arabic" w:eastAsia="Simplified Arabic" w:hAnsi="Simplified Arabic"/>
          <w:b/>
          <w:sz w:val="28"/>
          <w:rtl/>
        </w:rPr>
        <w:t xml:space="preserve"> </w:t>
      </w:r>
      <w:r>
        <w:rPr>
          <w:rFonts w:ascii="Simplified Arabic" w:eastAsia="Simplified Arabic" w:hAnsi="Simplified Arabic"/>
          <w:bCs/>
          <w:sz w:val="32"/>
          <w:szCs w:val="32"/>
          <w:rtl/>
        </w:rPr>
        <w:t>نظرية القدرات الديناميكية</w:t>
      </w:r>
    </w:p>
    <w:p w14:paraId="13C2F75C"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تنطلق هذه النظرية من أن الميزة التنافسية في البيئات المتغيرة لا تتحقق فقط بامتلاك الموارد، بل بقدرة المؤسسة على استشعار الفرص والتهديدات واغتنامها وإعادة تشكيل مواردها. وفي هذا الإطار، يمكن النظر إلى الذكاء الاصطناعي كقدرة </w:t>
      </w:r>
      <w:r>
        <w:rPr>
          <w:rFonts w:ascii="Simplified Arabic" w:eastAsia="Simplified Arabic" w:hAnsi="Simplified Arabic"/>
          <w:sz w:val="28"/>
          <w:szCs w:val="28"/>
          <w:rtl/>
        </w:rPr>
        <w:t>تنظيمية تمكّن شركات الاتصالات من استشعار الإشارات المبكرة وتحسين التنبؤ ودعم القرارات بصورة أكثر مرونة.</w:t>
      </w:r>
    </w:p>
    <w:p w14:paraId="13C2F75D" w14:textId="77777777" w:rsidR="005B5CFE" w:rsidRDefault="00BE74ED">
      <w:pPr>
        <w:suppressAutoHyphens w:val="0"/>
        <w:bidi/>
        <w:spacing w:after="120" w:line="360" w:lineRule="auto"/>
      </w:pPr>
      <w:r>
        <w:rPr>
          <w:rFonts w:ascii="Simplified Arabic" w:eastAsia="Simplified Arabic" w:hAnsi="Simplified Arabic"/>
          <w:b/>
          <w:sz w:val="28"/>
        </w:rPr>
        <w:t>2.5.3</w:t>
      </w:r>
      <w:r>
        <w:rPr>
          <w:rFonts w:ascii="Simplified Arabic" w:eastAsia="Simplified Arabic" w:hAnsi="Simplified Arabic"/>
          <w:b/>
          <w:sz w:val="28"/>
          <w:rtl/>
        </w:rPr>
        <w:t xml:space="preserve"> </w:t>
      </w:r>
      <w:r>
        <w:rPr>
          <w:rFonts w:ascii="Simplified Arabic" w:eastAsia="Simplified Arabic" w:hAnsi="Simplified Arabic"/>
          <w:bCs/>
          <w:sz w:val="32"/>
          <w:szCs w:val="32"/>
          <w:rtl/>
        </w:rPr>
        <w:t>المنظور الاجتماعي التقني</w:t>
      </w:r>
    </w:p>
    <w:p w14:paraId="13C2F75E" w14:textId="77777777" w:rsidR="005B5CFE" w:rsidRDefault="00BE74ED">
      <w:pPr>
        <w:suppressAutoHyphens w:val="0"/>
        <w:bidi/>
        <w:spacing w:after="120" w:line="360" w:lineRule="auto"/>
      </w:pPr>
      <w:r>
        <w:rPr>
          <w:rFonts w:ascii="Simplified Arabic" w:eastAsia="Simplified Arabic" w:hAnsi="Simplified Arabic"/>
          <w:sz w:val="28"/>
          <w:szCs w:val="28"/>
          <w:rtl/>
        </w:rPr>
        <w:t>يؤكد هذا المنظور أن نجاح التقنية لا تحكمه خصائصها الفنية فقط، بل يحدده أيضاً مدى توافقها مع الثقافة التنظيمية وبنية السلطة ومهارات المستخدمين وأساليب العمل. ولذلك فإن الدراسة الحالية لا تفترض أثراً آلياً للذكاء الاصطناعي على جودة القرار، بل تفهم هذا الأثر باعتباره نتاجاً لتفاعل التقنية مع العنصر البشري والحوكمة المؤسسية.</w:t>
      </w:r>
    </w:p>
    <w:p w14:paraId="13C2F75F" w14:textId="77777777" w:rsidR="005B5CFE" w:rsidRDefault="005B5CFE">
      <w:pPr>
        <w:suppressAutoHyphens w:val="0"/>
        <w:bidi/>
        <w:spacing w:after="120" w:line="360" w:lineRule="auto"/>
        <w:rPr>
          <w:rFonts w:ascii="Simplified Arabic" w:eastAsia="Simplified Arabic" w:hAnsi="Simplified Arabic"/>
          <w:sz w:val="28"/>
          <w:szCs w:val="28"/>
        </w:rPr>
      </w:pPr>
    </w:p>
    <w:p w14:paraId="13C2F760" w14:textId="77777777" w:rsidR="005B5CFE" w:rsidRDefault="005B5CFE">
      <w:pPr>
        <w:suppressAutoHyphens w:val="0"/>
        <w:bidi/>
        <w:spacing w:after="120" w:line="360" w:lineRule="auto"/>
        <w:rPr>
          <w:sz w:val="28"/>
          <w:szCs w:val="28"/>
        </w:rPr>
      </w:pPr>
    </w:p>
    <w:p w14:paraId="13C2F761" w14:textId="77777777" w:rsidR="005B5CFE" w:rsidRDefault="00BE74ED">
      <w:pPr>
        <w:suppressAutoHyphens w:val="0"/>
        <w:bidi/>
        <w:spacing w:after="120" w:line="360" w:lineRule="auto"/>
      </w:pPr>
      <w:r>
        <w:rPr>
          <w:rFonts w:ascii="Simplified Arabic" w:eastAsia="Simplified Arabic" w:hAnsi="Simplified Arabic"/>
          <w:b/>
          <w:sz w:val="28"/>
        </w:rPr>
        <w:lastRenderedPageBreak/>
        <w:t>2.5.4</w:t>
      </w:r>
      <w:r>
        <w:rPr>
          <w:rFonts w:ascii="Simplified Arabic" w:eastAsia="Simplified Arabic" w:hAnsi="Simplified Arabic"/>
          <w:b/>
          <w:sz w:val="28"/>
          <w:rtl/>
        </w:rPr>
        <w:t xml:space="preserve"> </w:t>
      </w:r>
      <w:r>
        <w:rPr>
          <w:rFonts w:ascii="Simplified Arabic" w:eastAsia="Simplified Arabic" w:hAnsi="Simplified Arabic"/>
          <w:bCs/>
          <w:sz w:val="32"/>
          <w:szCs w:val="32"/>
          <w:rtl/>
        </w:rPr>
        <w:t>نموذج دمج الإنسان والذكاء الاصطناعي في القرار</w:t>
      </w:r>
    </w:p>
    <w:p w14:paraId="13C2F762"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قدمت دراسة </w:t>
      </w:r>
      <w:r>
        <w:rPr>
          <w:rFonts w:ascii="Simplified Arabic" w:eastAsia="Simplified Arabic" w:hAnsi="Simplified Arabic"/>
          <w:sz w:val="28"/>
          <w:szCs w:val="28"/>
        </w:rPr>
        <w:t>Shrestha</w:t>
      </w:r>
      <w:r>
        <w:rPr>
          <w:rFonts w:ascii="Simplified Arabic" w:eastAsia="Simplified Arabic" w:hAnsi="Simplified Arabic"/>
          <w:sz w:val="28"/>
          <w:szCs w:val="28"/>
          <w:rtl/>
        </w:rPr>
        <w:t xml:space="preserve"> و</w:t>
      </w:r>
      <w:r>
        <w:rPr>
          <w:rFonts w:ascii="Simplified Arabic" w:eastAsia="Simplified Arabic" w:hAnsi="Simplified Arabic"/>
          <w:sz w:val="28"/>
          <w:szCs w:val="28"/>
        </w:rPr>
        <w:t>Ben-Menahem</w:t>
      </w:r>
      <w:r>
        <w:rPr>
          <w:rFonts w:ascii="Simplified Arabic" w:eastAsia="Simplified Arabic" w:hAnsi="Simplified Arabic"/>
          <w:sz w:val="28"/>
          <w:szCs w:val="28"/>
          <w:rtl/>
        </w:rPr>
        <w:t xml:space="preserve"> و</w:t>
      </w:r>
      <w:r>
        <w:rPr>
          <w:rFonts w:ascii="Simplified Arabic" w:eastAsia="Simplified Arabic" w:hAnsi="Simplified Arabic"/>
          <w:sz w:val="28"/>
          <w:szCs w:val="28"/>
        </w:rPr>
        <w:t>von Krogh</w:t>
      </w:r>
      <w:r>
        <w:rPr>
          <w:rFonts w:ascii="Simplified Arabic" w:eastAsia="Simplified Arabic" w:hAnsi="Simplified Arabic"/>
          <w:sz w:val="28"/>
          <w:szCs w:val="28"/>
          <w:rtl/>
        </w:rPr>
        <w:t xml:space="preserve"> تصوراً مهماً لبنى القرار في عصر الذكاء الاصطناعي، وميّزت بين التفويض الكامل، والتسلسل الهجين، والتجميع بين القرار البشري والخوارزمي. وتنبع أهمية هذا النموذج من أنه يوضح أن نوع القرار، ودرجة قابليته للتفسير، وحجم البدائل، وسرعة الاستجابة المطلوبة، كلها عوامل تحدد الشكل الأنسب لدمج الذكاء الاصطناعي في القرار، وهو ما ينسجم مباشرة مع موضوع الدراسة الحالية (</w:t>
      </w:r>
      <w:r>
        <w:rPr>
          <w:rFonts w:ascii="Simplified Arabic" w:eastAsia="Simplified Arabic" w:hAnsi="Simplified Arabic"/>
          <w:sz w:val="28"/>
          <w:szCs w:val="28"/>
        </w:rPr>
        <w:t>Shrestha et al., 2019</w:t>
      </w:r>
      <w:r>
        <w:rPr>
          <w:rFonts w:ascii="Simplified Arabic" w:eastAsia="Simplified Arabic" w:hAnsi="Simplified Arabic"/>
          <w:sz w:val="28"/>
          <w:szCs w:val="28"/>
          <w:rtl/>
        </w:rPr>
        <w:t>).</w:t>
      </w:r>
    </w:p>
    <w:p w14:paraId="13C2F763" w14:textId="77777777" w:rsidR="005B5CFE" w:rsidRDefault="00BE74ED">
      <w:pPr>
        <w:suppressAutoHyphens w:val="0"/>
        <w:bidi/>
        <w:spacing w:after="160" w:line="360" w:lineRule="auto"/>
      </w:pPr>
      <w:r>
        <w:rPr>
          <w:rFonts w:ascii="Simplified Arabic" w:eastAsia="Simplified Arabic" w:hAnsi="Simplified Arabic"/>
          <w:b/>
          <w:sz w:val="32"/>
        </w:rPr>
        <w:t>2.6</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الدراسات السابقة: عرض تحليلي موسع</w:t>
      </w:r>
    </w:p>
    <w:p w14:paraId="13C2F764"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رُتبت الدراسات السابقة هنا من الأوسع مفهوماً إلى </w:t>
      </w:r>
      <w:r>
        <w:rPr>
          <w:rFonts w:ascii="Simplified Arabic" w:eastAsia="Simplified Arabic" w:hAnsi="Simplified Arabic"/>
          <w:sz w:val="28"/>
          <w:szCs w:val="28"/>
          <w:rtl/>
        </w:rPr>
        <w:t>الأقرب تطبيقاً لموضوع الدراسة، مع بيان هدف كل دراسة ومنهجها ونتائجها وحدودها ودلالتها بالنسبة للبحث الحالي.</w:t>
      </w:r>
    </w:p>
    <w:p w14:paraId="13C2F765" w14:textId="77777777" w:rsidR="005B5CFE" w:rsidRDefault="00BE74ED">
      <w:pPr>
        <w:suppressAutoHyphens w:val="0"/>
        <w:bidi/>
        <w:spacing w:after="120" w:line="360" w:lineRule="auto"/>
      </w:pPr>
      <w:r>
        <w:rPr>
          <w:rFonts w:ascii="Simplified Arabic" w:eastAsia="Simplified Arabic" w:hAnsi="Simplified Arabic"/>
          <w:bCs/>
          <w:sz w:val="32"/>
          <w:szCs w:val="32"/>
          <w:rtl/>
        </w:rPr>
        <w:t>الدراسة الأولى:</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Shrestha, Ben-Menahem, and von Krogh</w:t>
      </w:r>
      <w:r>
        <w:rPr>
          <w:rFonts w:ascii="Simplified Arabic" w:eastAsia="Simplified Arabic" w:hAnsi="Simplified Arabic"/>
          <w:b/>
          <w:sz w:val="32"/>
          <w:szCs w:val="32"/>
          <w:rtl/>
        </w:rPr>
        <w:t xml:space="preserve"> (2019)</w:t>
      </w:r>
    </w:p>
    <w:p w14:paraId="13C2F766"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هدفت هذه الدراسة إلى تفسير الكيفية التي يعاد بها تشكيل هياكل اتخاذ القرار التنظيمي في عصر الذكاء الاصطناعي. نُشرت الدراسة في </w:t>
      </w:r>
      <w:r>
        <w:rPr>
          <w:rFonts w:ascii="Simplified Arabic" w:eastAsia="Simplified Arabic" w:hAnsi="Simplified Arabic"/>
          <w:sz w:val="28"/>
          <w:szCs w:val="28"/>
        </w:rPr>
        <w:t>California Management Review</w:t>
      </w:r>
      <w:r>
        <w:rPr>
          <w:rFonts w:ascii="Simplified Arabic" w:eastAsia="Simplified Arabic" w:hAnsi="Simplified Arabic"/>
          <w:sz w:val="28"/>
          <w:szCs w:val="28"/>
          <w:rtl/>
        </w:rPr>
        <w:t>، وجاءت في إطار نظري تحليلي قدم نموذجاً لبنى القرار التي يمكن أن تضم الإنسان والذكاء الاصطناعي في مستويات مختلفة من التفويض والتكامل.</w:t>
      </w:r>
    </w:p>
    <w:p w14:paraId="13C2F767" w14:textId="77777777" w:rsidR="005B5CFE" w:rsidRDefault="00BE74ED">
      <w:pPr>
        <w:suppressAutoHyphens w:val="0"/>
        <w:bidi/>
        <w:spacing w:after="120" w:line="360" w:lineRule="auto"/>
      </w:pPr>
      <w:r>
        <w:rPr>
          <w:rFonts w:ascii="Simplified Arabic" w:eastAsia="Simplified Arabic" w:hAnsi="Simplified Arabic"/>
          <w:sz w:val="28"/>
          <w:szCs w:val="28"/>
          <w:rtl/>
        </w:rPr>
        <w:t>توصلت الدراسة إلى أن الذكاء الاصطناعي لا يلغي دور المدير،</w:t>
      </w:r>
      <w:r>
        <w:rPr>
          <w:rFonts w:ascii="Simplified Arabic" w:eastAsia="Simplified Arabic" w:hAnsi="Simplified Arabic"/>
          <w:sz w:val="28"/>
          <w:szCs w:val="28"/>
          <w:rtl/>
        </w:rPr>
        <w:t xml:space="preserve"> بل ينقله من دور المنفذ الأوحد إلى دور المراجع والمفسر والمشرف على مخرجات الأنظمة. كما أوضحت أن الملاءمة بين طبيعة القرار ودرجة تفسيره وسرعته وقابليته للتكرار هي التي تحدد مستوى إشراك الذكاء الاصطناعي.</w:t>
      </w:r>
    </w:p>
    <w:p w14:paraId="13C2F768" w14:textId="77777777" w:rsidR="005B5CFE" w:rsidRDefault="00BE74ED">
      <w:pPr>
        <w:suppressAutoHyphens w:val="0"/>
        <w:bidi/>
        <w:spacing w:after="120" w:line="360" w:lineRule="auto"/>
      </w:pPr>
      <w:r>
        <w:rPr>
          <w:rFonts w:ascii="Simplified Arabic" w:eastAsia="Simplified Arabic" w:hAnsi="Simplified Arabic"/>
          <w:sz w:val="28"/>
          <w:szCs w:val="28"/>
          <w:rtl/>
        </w:rPr>
        <w:t>تكمن أهمية الدراسة الحالية في الإفادة من هذا الإطار لتفسير سبب تباين أثر الذكاء الاصطناعي على جودة القرار بين نوع وآخر من القرارات، بينما يؤخذ على الدراسة أنها نظرية ولم تختبر النموذج ميدانياً في سياق قطاعي محدد.</w:t>
      </w:r>
    </w:p>
    <w:p w14:paraId="13C2F769" w14:textId="77777777" w:rsidR="005B5CFE" w:rsidRDefault="005B5CFE">
      <w:pPr>
        <w:suppressAutoHyphens w:val="0"/>
        <w:bidi/>
        <w:spacing w:after="120" w:line="360" w:lineRule="auto"/>
        <w:rPr>
          <w:sz w:val="28"/>
          <w:szCs w:val="28"/>
        </w:rPr>
      </w:pPr>
    </w:p>
    <w:p w14:paraId="13C2F76A" w14:textId="77777777" w:rsidR="005B5CFE" w:rsidRDefault="00BE74ED">
      <w:pPr>
        <w:suppressAutoHyphens w:val="0"/>
        <w:bidi/>
        <w:spacing w:after="120" w:line="360" w:lineRule="auto"/>
      </w:pPr>
      <w:r>
        <w:rPr>
          <w:rFonts w:ascii="Simplified Arabic" w:eastAsia="Simplified Arabic" w:hAnsi="Simplified Arabic"/>
          <w:bCs/>
          <w:sz w:val="32"/>
          <w:szCs w:val="32"/>
          <w:rtl/>
        </w:rPr>
        <w:lastRenderedPageBreak/>
        <w:t>الدراسة الثانية:</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Trunk, Birkel, and Hartmann</w:t>
      </w:r>
      <w:r>
        <w:rPr>
          <w:rFonts w:ascii="Simplified Arabic" w:eastAsia="Simplified Arabic" w:hAnsi="Simplified Arabic"/>
          <w:b/>
          <w:sz w:val="32"/>
          <w:szCs w:val="32"/>
          <w:rtl/>
        </w:rPr>
        <w:t xml:space="preserve"> (2020)</w:t>
      </w:r>
    </w:p>
    <w:p w14:paraId="13C2F76B"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اعتمدت هذه الدراسة على مراجعة منهجية وتحليل </w:t>
      </w:r>
      <w:r>
        <w:rPr>
          <w:rFonts w:ascii="Simplified Arabic" w:eastAsia="Simplified Arabic" w:hAnsi="Simplified Arabic"/>
          <w:sz w:val="28"/>
          <w:szCs w:val="28"/>
          <w:rtl/>
        </w:rPr>
        <w:t>محتوى لفهم الحالة البحثية المتعلقة بدمج الإنسان والذكاء الاصطناعي في القرارات التنظيمية الاستراتيجية تحت ظروف عدم اليقين. وأكدت أن الذكاء الاصطناعي يقدم قيمة قوية في مراحل جمع المعلومات وفرز البدائل واكتشاف الأنماط، لكنه لا يغني عن البشر في القرارات ذات الأبعاد القيمية أو الأخلاقية أو السياسية.</w:t>
      </w:r>
    </w:p>
    <w:p w14:paraId="13C2F76C"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خلص الباحثون إلى أن بناء الثقة والشفافية والوعي بحدود النماذج يمثل شرطاً أساسياً لاستفادة المؤسسة من الذكاء الاصطناعي. كما دعوا إلى مزيد من الدراسات التطبيقية التي تختبر كيفية توزع المسؤولية بين الإنسان والنظام داخل </w:t>
      </w:r>
      <w:r>
        <w:rPr>
          <w:rFonts w:ascii="Simplified Arabic" w:eastAsia="Simplified Arabic" w:hAnsi="Simplified Arabic"/>
          <w:sz w:val="28"/>
          <w:szCs w:val="28"/>
          <w:rtl/>
        </w:rPr>
        <w:t>القرارات الاستراتيجية (</w:t>
      </w:r>
      <w:r>
        <w:rPr>
          <w:rFonts w:ascii="Simplified Arabic" w:eastAsia="Simplified Arabic" w:hAnsi="Simplified Arabic"/>
          <w:sz w:val="28"/>
          <w:szCs w:val="28"/>
        </w:rPr>
        <w:t>Trunk et al., 2020</w:t>
      </w:r>
      <w:r>
        <w:rPr>
          <w:rFonts w:ascii="Simplified Arabic" w:eastAsia="Simplified Arabic" w:hAnsi="Simplified Arabic"/>
          <w:sz w:val="28"/>
          <w:szCs w:val="28"/>
          <w:rtl/>
        </w:rPr>
        <w:t>).</w:t>
      </w:r>
    </w:p>
    <w:p w14:paraId="13C2F76D" w14:textId="77777777" w:rsidR="005B5CFE" w:rsidRDefault="00BE74ED">
      <w:pPr>
        <w:suppressAutoHyphens w:val="0"/>
        <w:bidi/>
        <w:spacing w:after="120" w:line="360" w:lineRule="auto"/>
      </w:pPr>
      <w:r>
        <w:rPr>
          <w:rFonts w:ascii="Simplified Arabic" w:eastAsia="Simplified Arabic" w:hAnsi="Simplified Arabic"/>
          <w:sz w:val="28"/>
          <w:szCs w:val="28"/>
          <w:rtl/>
        </w:rPr>
        <w:t>يفيد هذا الاستنتاج الدراسة الحالية في تفسير بعد الموثوقية تحديداً، لأنه يبرز أن الموثوقية لا تنشأ من التحليل الآلي وحده، بل من القابلية للتفسير والحوكمة.</w:t>
      </w:r>
    </w:p>
    <w:p w14:paraId="13C2F76E" w14:textId="77777777" w:rsidR="005B5CFE" w:rsidRDefault="005B5CFE">
      <w:pPr>
        <w:suppressAutoHyphens w:val="0"/>
        <w:bidi/>
        <w:spacing w:after="120" w:line="360" w:lineRule="auto"/>
        <w:rPr>
          <w:sz w:val="28"/>
          <w:szCs w:val="28"/>
        </w:rPr>
      </w:pPr>
    </w:p>
    <w:p w14:paraId="13C2F76F" w14:textId="77777777" w:rsidR="005B5CFE" w:rsidRDefault="00BE74ED">
      <w:pPr>
        <w:suppressAutoHyphens w:val="0"/>
        <w:bidi/>
        <w:spacing w:after="120" w:line="360" w:lineRule="auto"/>
      </w:pPr>
      <w:r>
        <w:rPr>
          <w:rFonts w:ascii="Simplified Arabic" w:eastAsia="Simplified Arabic" w:hAnsi="Simplified Arabic"/>
          <w:bCs/>
          <w:sz w:val="32"/>
          <w:szCs w:val="32"/>
          <w:rtl/>
        </w:rPr>
        <w:t>الدراسة الثالثة:</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OECD</w:t>
      </w:r>
      <w:r>
        <w:rPr>
          <w:rFonts w:ascii="Simplified Arabic" w:eastAsia="Simplified Arabic" w:hAnsi="Simplified Arabic"/>
          <w:b/>
          <w:sz w:val="32"/>
          <w:szCs w:val="32"/>
          <w:rtl/>
        </w:rPr>
        <w:t xml:space="preserve"> (2024)</w:t>
      </w:r>
    </w:p>
    <w:p w14:paraId="13C2F770"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على الرغم من أن هذه الورقة ليست دراسة قطاعية بالمعنى التقليدي، فإنها تقدم مؤشرات كمية مهمة عن أثر الذكاء الاصطناعي في بيئة العمل. فقد أوضحت نتائج </w:t>
      </w:r>
      <w:r>
        <w:rPr>
          <w:rFonts w:ascii="Simplified Arabic" w:eastAsia="Simplified Arabic" w:hAnsi="Simplified Arabic"/>
          <w:sz w:val="28"/>
          <w:szCs w:val="28"/>
        </w:rPr>
        <w:t>OECD</w:t>
      </w:r>
      <w:r>
        <w:rPr>
          <w:rFonts w:ascii="Simplified Arabic" w:eastAsia="Simplified Arabic" w:hAnsi="Simplified Arabic"/>
          <w:sz w:val="28"/>
          <w:szCs w:val="28"/>
          <w:rtl/>
        </w:rPr>
        <w:t xml:space="preserve"> أن أربعة من كل خمسة عاملين أفادوا بأن الذكاء الاصطناعي حسن أداءهم في العمل، كما أشار ثلاثة من كل خمسة إلى أنه زاد متعة العمل (</w:t>
      </w:r>
      <w:r>
        <w:rPr>
          <w:rFonts w:ascii="Simplified Arabic" w:eastAsia="Simplified Arabic" w:hAnsi="Simplified Arabic"/>
          <w:sz w:val="28"/>
          <w:szCs w:val="28"/>
        </w:rPr>
        <w:t>OECD</w:t>
      </w:r>
      <w:r>
        <w:rPr>
          <w:rFonts w:ascii="Simplified Arabic" w:eastAsia="Simplified Arabic" w:hAnsi="Simplified Arabic"/>
          <w:sz w:val="28"/>
          <w:szCs w:val="28"/>
          <w:rtl/>
        </w:rPr>
        <w:t xml:space="preserve">، </w:t>
      </w:r>
      <w:r>
        <w:rPr>
          <w:rFonts w:ascii="Simplified Arabic" w:eastAsia="Simplified Arabic" w:hAnsi="Simplified Arabic"/>
          <w:sz w:val="28"/>
          <w:szCs w:val="28"/>
          <w:rtl/>
        </w:rPr>
        <w:t>2024).</w:t>
      </w:r>
    </w:p>
    <w:p w14:paraId="13C2F771"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في المقابل، بينت الورقة أن 27% من الوظائف في دول </w:t>
      </w:r>
      <w:r>
        <w:rPr>
          <w:rFonts w:ascii="Simplified Arabic" w:eastAsia="Simplified Arabic" w:hAnsi="Simplified Arabic"/>
          <w:sz w:val="28"/>
          <w:szCs w:val="28"/>
        </w:rPr>
        <w:t>OECD</w:t>
      </w:r>
      <w:r>
        <w:rPr>
          <w:rFonts w:ascii="Simplified Arabic" w:eastAsia="Simplified Arabic" w:hAnsi="Simplified Arabic"/>
          <w:sz w:val="28"/>
          <w:szCs w:val="28"/>
          <w:rtl/>
        </w:rPr>
        <w:t xml:space="preserve"> تقع ضمن الفئات الأعلى عرضة للتأثر بالأتمتة، وأن المخاوف تتركز حول شدة العمل، واستخدام البيانات، واتساع عدم المساواة. وتضيف هذه الورقة بعداً مهماً للدراسة الحالية لأنها تؤكد أن تحسين الأداء لا ينفصل عن إدارة المخاطر المصاحبة لاستخدام الذكاء الاصطناعي.</w:t>
      </w:r>
    </w:p>
    <w:p w14:paraId="13C2F772" w14:textId="77777777" w:rsidR="005B5CFE" w:rsidRDefault="005B5CFE">
      <w:pPr>
        <w:suppressAutoHyphens w:val="0"/>
        <w:bidi/>
        <w:spacing w:after="120" w:line="360" w:lineRule="auto"/>
        <w:rPr>
          <w:rFonts w:ascii="Simplified Arabic" w:eastAsia="Simplified Arabic" w:hAnsi="Simplified Arabic"/>
          <w:sz w:val="28"/>
          <w:szCs w:val="28"/>
        </w:rPr>
      </w:pPr>
    </w:p>
    <w:p w14:paraId="13C2F773" w14:textId="77777777" w:rsidR="005B5CFE" w:rsidRDefault="005B5CFE">
      <w:pPr>
        <w:suppressAutoHyphens w:val="0"/>
        <w:bidi/>
        <w:spacing w:after="120" w:line="360" w:lineRule="auto"/>
        <w:rPr>
          <w:sz w:val="28"/>
          <w:szCs w:val="28"/>
        </w:rPr>
      </w:pPr>
    </w:p>
    <w:p w14:paraId="13C2F774" w14:textId="77777777" w:rsidR="005B5CFE" w:rsidRDefault="00BE74ED">
      <w:pPr>
        <w:suppressAutoHyphens w:val="0"/>
        <w:bidi/>
        <w:spacing w:after="120" w:line="360" w:lineRule="auto"/>
      </w:pPr>
      <w:r>
        <w:rPr>
          <w:rFonts w:ascii="Simplified Arabic" w:eastAsia="Simplified Arabic" w:hAnsi="Simplified Arabic"/>
          <w:bCs/>
          <w:sz w:val="32"/>
          <w:szCs w:val="32"/>
          <w:rtl/>
        </w:rPr>
        <w:t>الدراسة الرابعة:</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Yamani, Yusuf, and Al-</w:t>
      </w:r>
      <w:proofErr w:type="spellStart"/>
      <w:r>
        <w:rPr>
          <w:rFonts w:ascii="Simplified Arabic" w:eastAsia="Simplified Arabic" w:hAnsi="Simplified Arabic"/>
          <w:b/>
          <w:sz w:val="32"/>
          <w:szCs w:val="32"/>
        </w:rPr>
        <w:t>Shabrawi</w:t>
      </w:r>
      <w:proofErr w:type="spellEnd"/>
      <w:r>
        <w:rPr>
          <w:rFonts w:ascii="Simplified Arabic" w:eastAsia="Simplified Arabic" w:hAnsi="Simplified Arabic"/>
          <w:b/>
          <w:sz w:val="32"/>
          <w:szCs w:val="32"/>
          <w:rtl/>
        </w:rPr>
        <w:t xml:space="preserve"> (2025)</w:t>
      </w:r>
    </w:p>
    <w:p w14:paraId="13C2F775"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بحثت هذه الدراسة في أثر الذكاء الاصطناعي على اتخاذ القرار الإداري من خلال التركيز على مهارات التحليل البياني والتوجه الريادي. واعتمدت منهجاً </w:t>
      </w:r>
      <w:r>
        <w:rPr>
          <w:rFonts w:ascii="Simplified Arabic" w:eastAsia="Simplified Arabic" w:hAnsi="Simplified Arabic"/>
          <w:sz w:val="28"/>
          <w:szCs w:val="28"/>
          <w:rtl/>
        </w:rPr>
        <w:t>مختلطاً جمع بين الاستبانة ودراسات الحالة، وخلصت إلى أن المؤسسات التي تمتلك مهارات تحليلية أعلى وتوجهاً ريادياً أوضح تكون أكثر قدرة على توظيف الذكاء الاصطناعي في القرارات الاستراتيجية (</w:t>
      </w:r>
      <w:r>
        <w:rPr>
          <w:rFonts w:ascii="Simplified Arabic" w:eastAsia="Simplified Arabic" w:hAnsi="Simplified Arabic"/>
          <w:sz w:val="28"/>
          <w:szCs w:val="28"/>
        </w:rPr>
        <w:t>Yamani et al., 2025</w:t>
      </w:r>
      <w:r>
        <w:rPr>
          <w:rFonts w:ascii="Simplified Arabic" w:eastAsia="Simplified Arabic" w:hAnsi="Simplified Arabic"/>
          <w:sz w:val="28"/>
          <w:szCs w:val="28"/>
          <w:rtl/>
        </w:rPr>
        <w:t>).</w:t>
      </w:r>
    </w:p>
    <w:p w14:paraId="13C2F776" w14:textId="77777777" w:rsidR="005B5CFE" w:rsidRDefault="00BE74ED">
      <w:pPr>
        <w:suppressAutoHyphens w:val="0"/>
        <w:bidi/>
        <w:spacing w:after="120" w:line="360" w:lineRule="auto"/>
      </w:pPr>
      <w:r>
        <w:rPr>
          <w:rFonts w:ascii="Simplified Arabic" w:eastAsia="Simplified Arabic" w:hAnsi="Simplified Arabic"/>
          <w:sz w:val="28"/>
          <w:szCs w:val="28"/>
          <w:rtl/>
        </w:rPr>
        <w:t>تكمن أهمية الدراسة في أنها لا تفسر أثر الذكاء الاصطناعي على القرار من زاوية تقنية صرفة، بل تربطه بالعامل البشري وبالاستعداد المعرفي والمؤسسي. ومن ثم فهي تدعم الطرح الذي تتبناه الدراسة الحالية بشأن أن أثر الذكاء الاصطناعي يتوقف على مدى جاهزية البيئة التنظيمية لاستثماره بوعي.</w:t>
      </w:r>
    </w:p>
    <w:p w14:paraId="13C2F777" w14:textId="77777777" w:rsidR="005B5CFE" w:rsidRDefault="00BE74ED">
      <w:pPr>
        <w:suppressAutoHyphens w:val="0"/>
        <w:bidi/>
        <w:spacing w:after="120" w:line="360" w:lineRule="auto"/>
      </w:pPr>
      <w:r>
        <w:rPr>
          <w:rFonts w:ascii="Simplified Arabic" w:eastAsia="Simplified Arabic" w:hAnsi="Simplified Arabic"/>
          <w:bCs/>
          <w:sz w:val="32"/>
          <w:szCs w:val="32"/>
          <w:rtl/>
        </w:rPr>
        <w:t>الدراسة الخامسة:</w:t>
      </w:r>
      <w:r>
        <w:rPr>
          <w:rFonts w:ascii="Simplified Arabic" w:eastAsia="Simplified Arabic" w:hAnsi="Simplified Arabic"/>
          <w:b/>
          <w:sz w:val="32"/>
          <w:szCs w:val="32"/>
          <w:rtl/>
        </w:rPr>
        <w:t xml:space="preserve"> </w:t>
      </w:r>
      <w:proofErr w:type="spellStart"/>
      <w:r>
        <w:rPr>
          <w:rFonts w:ascii="Simplified Arabic" w:eastAsia="Simplified Arabic" w:hAnsi="Simplified Arabic"/>
          <w:b/>
          <w:sz w:val="32"/>
          <w:szCs w:val="32"/>
        </w:rPr>
        <w:t>Neiroukh</w:t>
      </w:r>
      <w:proofErr w:type="spellEnd"/>
      <w:r>
        <w:rPr>
          <w:rFonts w:ascii="Simplified Arabic" w:eastAsia="Simplified Arabic" w:hAnsi="Simplified Arabic"/>
          <w:b/>
          <w:sz w:val="32"/>
          <w:szCs w:val="32"/>
        </w:rPr>
        <w:t xml:space="preserve">, </w:t>
      </w:r>
      <w:r>
        <w:rPr>
          <w:rFonts w:ascii="Simplified Arabic" w:eastAsia="Simplified Arabic" w:hAnsi="Simplified Arabic"/>
          <w:b/>
          <w:sz w:val="32"/>
          <w:szCs w:val="32"/>
        </w:rPr>
        <w:t xml:space="preserve">Emeagwali, and </w:t>
      </w:r>
      <w:proofErr w:type="spellStart"/>
      <w:r>
        <w:rPr>
          <w:rFonts w:ascii="Simplified Arabic" w:eastAsia="Simplified Arabic" w:hAnsi="Simplified Arabic"/>
          <w:b/>
          <w:sz w:val="32"/>
          <w:szCs w:val="32"/>
        </w:rPr>
        <w:t>Aljuhmani</w:t>
      </w:r>
      <w:proofErr w:type="spellEnd"/>
      <w:r>
        <w:rPr>
          <w:rFonts w:ascii="Simplified Arabic" w:eastAsia="Simplified Arabic" w:hAnsi="Simplified Arabic"/>
          <w:b/>
          <w:sz w:val="32"/>
          <w:szCs w:val="32"/>
          <w:rtl/>
        </w:rPr>
        <w:t xml:space="preserve"> (2025)</w:t>
      </w:r>
    </w:p>
    <w:p w14:paraId="13C2F778"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درست هذه الورقة العلاقة بين قدرات الذكاء الاصطناعي والأداء التنظيمي مع إيضاح الآليات الوسيطة الخاصة بعمليات اتخاذ القرار. وتشير بيانات النشر إلى أنها منشورة في </w:t>
      </w:r>
      <w:r>
        <w:rPr>
          <w:rFonts w:ascii="Simplified Arabic" w:eastAsia="Simplified Arabic" w:hAnsi="Simplified Arabic"/>
          <w:sz w:val="28"/>
          <w:szCs w:val="28"/>
        </w:rPr>
        <w:t>Management Decision</w:t>
      </w:r>
      <w:r>
        <w:rPr>
          <w:rFonts w:ascii="Simplified Arabic" w:eastAsia="Simplified Arabic" w:hAnsi="Simplified Arabic"/>
          <w:sz w:val="28"/>
          <w:szCs w:val="28"/>
          <w:rtl/>
        </w:rPr>
        <w:t>، المجلد 63، العدد 10، الصفحات 3501–3532. وخلصت إلى أن قدرات الذكاء الاصطناعي تؤثر في الأداء التنظيمي من خلال تحسين سرعة القرار وجودته، أي إن القرار يعمل هنا كقناة تفسيرية بين القدرة التقنية والنتائج المؤسسية.</w:t>
      </w:r>
    </w:p>
    <w:p w14:paraId="13C2F779"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تقدم هذه الدراسة دعماً مباشراً لبنية البحث الحالي لأنها تؤكد أن جودة القرار ليست نتيجة </w:t>
      </w:r>
      <w:r>
        <w:rPr>
          <w:rFonts w:ascii="Simplified Arabic" w:eastAsia="Simplified Arabic" w:hAnsi="Simplified Arabic"/>
          <w:sz w:val="28"/>
          <w:szCs w:val="28"/>
          <w:rtl/>
        </w:rPr>
        <w:t>هامشية لاستخدام الذكاء الاصطناعي، بل تمثل آلية محورية لانتقال الأثر إلى مستوى الأداء. غير أن الدراسة لم تتناول قطاع الاتصالات السعودي تحديداً، وهو ما يفتح مجالاً لتطبيق هذا المنظور في سياق محلي أكثر تخصصاً.</w:t>
      </w:r>
    </w:p>
    <w:p w14:paraId="13C2F77A" w14:textId="77777777" w:rsidR="005B5CFE" w:rsidRDefault="005B5CFE">
      <w:pPr>
        <w:suppressAutoHyphens w:val="0"/>
        <w:bidi/>
        <w:spacing w:after="120" w:line="360" w:lineRule="auto"/>
        <w:rPr>
          <w:rFonts w:ascii="Simplified Arabic" w:eastAsia="Simplified Arabic" w:hAnsi="Simplified Arabic"/>
          <w:sz w:val="28"/>
          <w:szCs w:val="28"/>
        </w:rPr>
      </w:pPr>
    </w:p>
    <w:p w14:paraId="13C2F77B" w14:textId="77777777" w:rsidR="005B5CFE" w:rsidRDefault="005B5CFE">
      <w:pPr>
        <w:suppressAutoHyphens w:val="0"/>
        <w:bidi/>
        <w:spacing w:after="120" w:line="360" w:lineRule="auto"/>
        <w:rPr>
          <w:rFonts w:ascii="Simplified Arabic" w:eastAsia="Simplified Arabic" w:hAnsi="Simplified Arabic"/>
          <w:sz w:val="28"/>
          <w:szCs w:val="28"/>
        </w:rPr>
      </w:pPr>
    </w:p>
    <w:p w14:paraId="13C2F77C" w14:textId="77777777" w:rsidR="005B5CFE" w:rsidRDefault="005B5CFE">
      <w:pPr>
        <w:suppressAutoHyphens w:val="0"/>
        <w:bidi/>
        <w:spacing w:after="120" w:line="360" w:lineRule="auto"/>
        <w:rPr>
          <w:sz w:val="28"/>
          <w:szCs w:val="28"/>
        </w:rPr>
      </w:pPr>
    </w:p>
    <w:p w14:paraId="13C2F77D" w14:textId="77777777" w:rsidR="005B5CFE" w:rsidRDefault="00BE74ED">
      <w:pPr>
        <w:suppressAutoHyphens w:val="0"/>
        <w:bidi/>
        <w:spacing w:after="120" w:line="360" w:lineRule="auto"/>
      </w:pPr>
      <w:r>
        <w:rPr>
          <w:rFonts w:ascii="Simplified Arabic" w:eastAsia="Simplified Arabic" w:hAnsi="Simplified Arabic"/>
          <w:bCs/>
          <w:sz w:val="32"/>
          <w:szCs w:val="32"/>
          <w:rtl/>
        </w:rPr>
        <w:lastRenderedPageBreak/>
        <w:t>الدراسة السادسة:</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Alhamdi and Al-</w:t>
      </w:r>
      <w:proofErr w:type="spellStart"/>
      <w:r>
        <w:rPr>
          <w:rFonts w:ascii="Simplified Arabic" w:eastAsia="Simplified Arabic" w:hAnsi="Simplified Arabic"/>
          <w:b/>
          <w:sz w:val="32"/>
          <w:szCs w:val="32"/>
        </w:rPr>
        <w:t>Kahtani</w:t>
      </w:r>
      <w:proofErr w:type="spellEnd"/>
      <w:r>
        <w:rPr>
          <w:rFonts w:ascii="Simplified Arabic" w:eastAsia="Simplified Arabic" w:hAnsi="Simplified Arabic"/>
          <w:b/>
          <w:sz w:val="32"/>
          <w:szCs w:val="32"/>
          <w:rtl/>
        </w:rPr>
        <w:t xml:space="preserve"> (2025)</w:t>
      </w:r>
    </w:p>
    <w:p w14:paraId="13C2F77E"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تناولت هذه الدراسة أثر نظم المعلومات التسويقية ومكونات التسويق الرقمي، بما في ذلك التحولات التسويقية القائمة على الذكاء الاصطناعي، على اتخاذ القرار التسويقي في الشركة السعودية للاتصالات </w:t>
      </w:r>
      <w:r>
        <w:rPr>
          <w:rFonts w:ascii="Simplified Arabic" w:eastAsia="Simplified Arabic" w:hAnsi="Simplified Arabic"/>
          <w:sz w:val="28"/>
          <w:szCs w:val="28"/>
        </w:rPr>
        <w:t>STC</w:t>
      </w:r>
      <w:r>
        <w:rPr>
          <w:rFonts w:ascii="Simplified Arabic" w:eastAsia="Simplified Arabic" w:hAnsi="Simplified Arabic"/>
          <w:sz w:val="28"/>
          <w:szCs w:val="28"/>
          <w:rtl/>
        </w:rPr>
        <w:t xml:space="preserve">. واعتمدت الدراسة على استبانة طبقت على 351 موظفاً بدوام كامل، مع </w:t>
      </w:r>
      <w:r>
        <w:rPr>
          <w:rFonts w:ascii="Simplified Arabic" w:eastAsia="Simplified Arabic" w:hAnsi="Simplified Arabic"/>
          <w:sz w:val="28"/>
          <w:szCs w:val="28"/>
          <w:rtl/>
        </w:rPr>
        <w:t xml:space="preserve">تحليل البيانات باستخدام </w:t>
      </w:r>
      <w:r>
        <w:rPr>
          <w:rFonts w:ascii="Simplified Arabic" w:eastAsia="Simplified Arabic" w:hAnsi="Simplified Arabic"/>
          <w:sz w:val="28"/>
          <w:szCs w:val="28"/>
        </w:rPr>
        <w:t>PLS-SEM (Alhamdi &amp; Al-</w:t>
      </w:r>
      <w:proofErr w:type="spellStart"/>
      <w:r>
        <w:rPr>
          <w:rFonts w:ascii="Simplified Arabic" w:eastAsia="Simplified Arabic" w:hAnsi="Simplified Arabic"/>
          <w:sz w:val="28"/>
          <w:szCs w:val="28"/>
        </w:rPr>
        <w:t>Kahtani</w:t>
      </w:r>
      <w:proofErr w:type="spellEnd"/>
      <w:r>
        <w:rPr>
          <w:rFonts w:ascii="Simplified Arabic" w:eastAsia="Simplified Arabic" w:hAnsi="Simplified Arabic"/>
          <w:sz w:val="28"/>
          <w:szCs w:val="28"/>
        </w:rPr>
        <w:t>, 2025)</w:t>
      </w:r>
      <w:r>
        <w:rPr>
          <w:rFonts w:ascii="Simplified Arabic" w:eastAsia="Simplified Arabic" w:hAnsi="Simplified Arabic"/>
          <w:sz w:val="28"/>
          <w:szCs w:val="28"/>
          <w:rtl/>
        </w:rPr>
        <w:t>.</w:t>
      </w:r>
    </w:p>
    <w:p w14:paraId="13C2F77F"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أظهرت النتائج أن نظم المعلومات التسويقية، والتحولات التسويقية القائمة على الذكاء الاصطناعي، والتسويق بالمحتوى، كان لها أثر إيجابي ذي دلالة على اتخاذ القرار التسويقي، بينما لم يظهر التسويق عبر البريد الإلكتروني أثراً معنوياً. وتعد هذه الدراسة مهمة لأنها تقدم دليلاً قطاعياً مباشراً من داخل </w:t>
      </w:r>
      <w:r>
        <w:rPr>
          <w:rFonts w:ascii="Simplified Arabic" w:eastAsia="Simplified Arabic" w:hAnsi="Simplified Arabic"/>
          <w:sz w:val="28"/>
          <w:szCs w:val="28"/>
        </w:rPr>
        <w:t>STC</w:t>
      </w:r>
      <w:r>
        <w:rPr>
          <w:rFonts w:ascii="Simplified Arabic" w:eastAsia="Simplified Arabic" w:hAnsi="Simplified Arabic"/>
          <w:sz w:val="28"/>
          <w:szCs w:val="28"/>
          <w:rtl/>
        </w:rPr>
        <w:t xml:space="preserve"> على أن بعض تطبيقات الذكاء الاصطناعي ترتبط بتحسين القرار في المجال التسويقي، إلا أنها تظل محددة بقرار تسويقي فرعي ولا تمتد إلى مفهوم أوسع لجودة القرار </w:t>
      </w:r>
      <w:r>
        <w:rPr>
          <w:rFonts w:ascii="Simplified Arabic" w:eastAsia="Simplified Arabic" w:hAnsi="Simplified Arabic"/>
          <w:sz w:val="28"/>
          <w:szCs w:val="28"/>
          <w:rtl/>
        </w:rPr>
        <w:t>الإداري.</w:t>
      </w:r>
    </w:p>
    <w:p w14:paraId="13C2F780" w14:textId="77777777" w:rsidR="005B5CFE" w:rsidRDefault="005B5CFE">
      <w:pPr>
        <w:suppressAutoHyphens w:val="0"/>
        <w:bidi/>
        <w:spacing w:after="120" w:line="360" w:lineRule="auto"/>
        <w:rPr>
          <w:sz w:val="28"/>
          <w:szCs w:val="28"/>
        </w:rPr>
      </w:pPr>
    </w:p>
    <w:p w14:paraId="13C2F781" w14:textId="77777777" w:rsidR="005B5CFE" w:rsidRDefault="00BE74ED">
      <w:pPr>
        <w:suppressAutoHyphens w:val="0"/>
        <w:bidi/>
        <w:spacing w:after="120" w:line="360" w:lineRule="auto"/>
      </w:pPr>
      <w:r>
        <w:rPr>
          <w:rFonts w:ascii="Simplified Arabic" w:eastAsia="Simplified Arabic" w:hAnsi="Simplified Arabic"/>
          <w:b/>
          <w:sz w:val="28"/>
          <w:rtl/>
        </w:rPr>
        <w:t xml:space="preserve">الدراسة السابعة: </w:t>
      </w:r>
      <w:r>
        <w:rPr>
          <w:rFonts w:ascii="Simplified Arabic" w:eastAsia="Simplified Arabic" w:hAnsi="Simplified Arabic"/>
          <w:b/>
          <w:sz w:val="28"/>
        </w:rPr>
        <w:t>Rashid, Hussain, and Nawaz</w:t>
      </w:r>
      <w:r>
        <w:rPr>
          <w:rFonts w:ascii="Simplified Arabic" w:eastAsia="Simplified Arabic" w:hAnsi="Simplified Arabic"/>
          <w:b/>
          <w:sz w:val="28"/>
          <w:rtl/>
        </w:rPr>
        <w:t xml:space="preserve"> (2025)</w:t>
      </w:r>
    </w:p>
    <w:p w14:paraId="13C2F782"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فحصت هذه الدراسة أثر حوكمة البيانات، وبنية التكامل، والتحليلات الممكنة بالذكاء الاصطناعي في فاعلية اتخاذ القرار داخل قطاع الاتصالات السعودي. واستندت إلى بيانات 370 متخصصاً من المعماريين والمهندسين والمحللين في </w:t>
      </w:r>
      <w:r>
        <w:rPr>
          <w:rFonts w:ascii="Simplified Arabic" w:eastAsia="Simplified Arabic" w:hAnsi="Simplified Arabic"/>
          <w:sz w:val="28"/>
          <w:szCs w:val="28"/>
        </w:rPr>
        <w:t>STC</w:t>
      </w:r>
      <w:r>
        <w:rPr>
          <w:rFonts w:ascii="Simplified Arabic" w:eastAsia="Simplified Arabic" w:hAnsi="Simplified Arabic"/>
          <w:sz w:val="28"/>
          <w:szCs w:val="28"/>
          <w:rtl/>
        </w:rPr>
        <w:t xml:space="preserve"> وشركائها، واستخدمت نمذجة المعادلات الهيكلية.</w:t>
      </w:r>
    </w:p>
    <w:p w14:paraId="13C2F783" w14:textId="77777777" w:rsidR="005B5CFE" w:rsidRDefault="00BE74ED">
      <w:pPr>
        <w:suppressAutoHyphens w:val="0"/>
        <w:bidi/>
        <w:spacing w:after="120" w:line="360" w:lineRule="auto"/>
      </w:pPr>
      <w:r>
        <w:rPr>
          <w:rFonts w:ascii="Simplified Arabic" w:eastAsia="Simplified Arabic" w:hAnsi="Simplified Arabic"/>
          <w:sz w:val="28"/>
          <w:szCs w:val="28"/>
          <w:rtl/>
        </w:rPr>
        <w:t>أظهرت النتائج أن التحليلات المدعومة بالذكاء الاصطناعي كانت المتغير الأقوى أثراً في فاعلية القرار (</w:t>
      </w:r>
      <w:r>
        <w:rPr>
          <w:rFonts w:ascii="Cambria" w:eastAsia="Simplified Arabic" w:hAnsi="Cambria" w:cs="Cambria"/>
          <w:sz w:val="28"/>
          <w:szCs w:val="28"/>
        </w:rPr>
        <w:t>β</w:t>
      </w:r>
      <w:r>
        <w:rPr>
          <w:rFonts w:ascii="Simplified Arabic" w:eastAsia="Simplified Arabic" w:hAnsi="Simplified Arabic"/>
          <w:sz w:val="28"/>
          <w:szCs w:val="28"/>
        </w:rPr>
        <w:t xml:space="preserve"> = 0.39</w:t>
      </w:r>
      <w:r>
        <w:rPr>
          <w:rFonts w:ascii="Simplified Arabic" w:eastAsia="Simplified Arabic" w:hAnsi="Simplified Arabic"/>
          <w:sz w:val="28"/>
          <w:szCs w:val="28"/>
          <w:rtl/>
        </w:rPr>
        <w:t>)، تلتها حوكمة البيانات (</w:t>
      </w:r>
      <w:r>
        <w:rPr>
          <w:rFonts w:ascii="Cambria" w:eastAsia="Simplified Arabic" w:hAnsi="Cambria" w:cs="Cambria"/>
          <w:sz w:val="28"/>
          <w:szCs w:val="28"/>
        </w:rPr>
        <w:t>β</w:t>
      </w:r>
      <w:r>
        <w:rPr>
          <w:rFonts w:ascii="Simplified Arabic" w:eastAsia="Simplified Arabic" w:hAnsi="Simplified Arabic"/>
          <w:sz w:val="28"/>
          <w:szCs w:val="28"/>
        </w:rPr>
        <w:t xml:space="preserve"> = 0.31</w:t>
      </w:r>
      <w:r>
        <w:rPr>
          <w:rFonts w:ascii="Simplified Arabic" w:eastAsia="Simplified Arabic" w:hAnsi="Simplified Arabic"/>
          <w:sz w:val="28"/>
          <w:szCs w:val="28"/>
          <w:rtl/>
        </w:rPr>
        <w:t>) وبنية التكامل (</w:t>
      </w:r>
      <w:r>
        <w:rPr>
          <w:rFonts w:ascii="Cambria" w:eastAsia="Simplified Arabic" w:hAnsi="Cambria" w:cs="Cambria"/>
          <w:sz w:val="28"/>
          <w:szCs w:val="28"/>
        </w:rPr>
        <w:t>β</w:t>
      </w:r>
      <w:r>
        <w:rPr>
          <w:rFonts w:ascii="Simplified Arabic" w:eastAsia="Simplified Arabic" w:hAnsi="Simplified Arabic"/>
          <w:sz w:val="28"/>
          <w:szCs w:val="28"/>
        </w:rPr>
        <w:t xml:space="preserve"> = 0.27</w:t>
      </w:r>
      <w:r>
        <w:rPr>
          <w:rFonts w:ascii="Simplified Arabic" w:eastAsia="Simplified Arabic" w:hAnsi="Simplified Arabic"/>
          <w:sz w:val="28"/>
          <w:szCs w:val="28"/>
          <w:rtl/>
        </w:rPr>
        <w:t xml:space="preserve">)، مما يعني أن قيمة الذكاء </w:t>
      </w:r>
      <w:r>
        <w:rPr>
          <w:rFonts w:ascii="Simplified Arabic" w:eastAsia="Simplified Arabic" w:hAnsi="Simplified Arabic"/>
          <w:sz w:val="28"/>
          <w:szCs w:val="28"/>
          <w:rtl/>
        </w:rPr>
        <w:t>الاصطناعي لا تنفصل عن جودة البيانات وتكاملها (</w:t>
      </w:r>
      <w:r>
        <w:rPr>
          <w:rFonts w:ascii="Simplified Arabic" w:eastAsia="Simplified Arabic" w:hAnsi="Simplified Arabic"/>
          <w:sz w:val="28"/>
          <w:szCs w:val="28"/>
        </w:rPr>
        <w:t>Rashid et al., 2025</w:t>
      </w:r>
      <w:r>
        <w:rPr>
          <w:rFonts w:ascii="Simplified Arabic" w:eastAsia="Simplified Arabic" w:hAnsi="Simplified Arabic"/>
          <w:sz w:val="28"/>
          <w:szCs w:val="28"/>
          <w:rtl/>
        </w:rPr>
        <w:t>).</w:t>
      </w:r>
    </w:p>
    <w:p w14:paraId="13C2F784" w14:textId="77777777" w:rsidR="005B5CFE" w:rsidRDefault="00BE74ED">
      <w:pPr>
        <w:suppressAutoHyphens w:val="0"/>
        <w:bidi/>
        <w:spacing w:after="120" w:line="360" w:lineRule="auto"/>
      </w:pPr>
      <w:r>
        <w:rPr>
          <w:rFonts w:ascii="Simplified Arabic" w:eastAsia="Simplified Arabic" w:hAnsi="Simplified Arabic"/>
          <w:sz w:val="28"/>
          <w:szCs w:val="28"/>
          <w:rtl/>
        </w:rPr>
        <w:t>وتقترب هذه الدراسة كثيراً من موضوع البحث الحالي، غير أنها تركز على فاعلية القرار بصورة عامة أكثر من تركيزها على أبعاد السرعة والدقة والموثوقية بشكل منفصل.</w:t>
      </w:r>
    </w:p>
    <w:p w14:paraId="13C2F785" w14:textId="77777777" w:rsidR="005B5CFE" w:rsidRDefault="00BE74ED">
      <w:pPr>
        <w:suppressAutoHyphens w:val="0"/>
        <w:bidi/>
        <w:spacing w:after="120" w:line="360" w:lineRule="auto"/>
      </w:pPr>
      <w:r>
        <w:rPr>
          <w:rFonts w:ascii="Simplified Arabic" w:eastAsia="Simplified Arabic" w:hAnsi="Simplified Arabic"/>
          <w:bCs/>
          <w:sz w:val="32"/>
          <w:szCs w:val="32"/>
          <w:rtl/>
        </w:rPr>
        <w:lastRenderedPageBreak/>
        <w:t>الدراسة الثامنة:</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Ullah, Awan, Ali, and Ahmed</w:t>
      </w:r>
      <w:r>
        <w:rPr>
          <w:rFonts w:ascii="Simplified Arabic" w:eastAsia="Simplified Arabic" w:hAnsi="Simplified Arabic"/>
          <w:b/>
          <w:sz w:val="32"/>
          <w:szCs w:val="32"/>
          <w:rtl/>
        </w:rPr>
        <w:t xml:space="preserve"> (2026)</w:t>
      </w:r>
    </w:p>
    <w:p w14:paraId="13C2F786"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هدفت هذه الدراسة إلى قياس أثر التحول الرقمي وتحليلات البيانات الضخمة في الأداء التنظيمي في قطاع الاتصالات السعودي، من خلال 124 استجابة من موظفين في وظائف رقمية وتحليلية وتشغيلية في الرياض وجدة والدمام. واعتمدت أدوات </w:t>
      </w:r>
      <w:r>
        <w:rPr>
          <w:rFonts w:ascii="Simplified Arabic" w:eastAsia="Simplified Arabic" w:hAnsi="Simplified Arabic"/>
          <w:sz w:val="28"/>
          <w:szCs w:val="28"/>
        </w:rPr>
        <w:t>SPSS</w:t>
      </w:r>
      <w:r>
        <w:rPr>
          <w:rFonts w:ascii="Simplified Arabic" w:eastAsia="Simplified Arabic" w:hAnsi="Simplified Arabic"/>
          <w:sz w:val="28"/>
          <w:szCs w:val="28"/>
          <w:rtl/>
        </w:rPr>
        <w:t xml:space="preserve"> في التحليل.</w:t>
      </w:r>
    </w:p>
    <w:p w14:paraId="13C2F787" w14:textId="77777777" w:rsidR="005B5CFE" w:rsidRDefault="00BE74ED">
      <w:pPr>
        <w:suppressAutoHyphens w:val="0"/>
        <w:bidi/>
        <w:spacing w:after="120" w:line="360" w:lineRule="auto"/>
      </w:pPr>
      <w:r>
        <w:rPr>
          <w:rFonts w:ascii="Simplified Arabic" w:eastAsia="Simplified Arabic" w:hAnsi="Simplified Arabic"/>
          <w:sz w:val="28"/>
          <w:szCs w:val="28"/>
          <w:rtl/>
        </w:rPr>
        <w:t>توصلت الدراسة إلى أن تحليلات البيانات الضخمة كانت أقوى تنبؤاً بالأداء من التحول الرقمي العام، وأن النموذج فسر 44% من التباين في الأداء. وتفيد هذه النتيجة البحث الحالي من زاوية غير مباشرة؛ فهي تدعم الافتراض القائل إن جودة القرار في قطاع الاتصالات ترتبط بمدى تطور القدرات التحليلية لا بمجرد وجود التحول الرقمي كشعار أو توجه عام (</w:t>
      </w:r>
      <w:r>
        <w:rPr>
          <w:rFonts w:ascii="Simplified Arabic" w:eastAsia="Simplified Arabic" w:hAnsi="Simplified Arabic"/>
          <w:sz w:val="28"/>
          <w:szCs w:val="28"/>
        </w:rPr>
        <w:t>Ullah et al., 2026</w:t>
      </w:r>
      <w:r>
        <w:rPr>
          <w:rFonts w:ascii="Simplified Arabic" w:eastAsia="Simplified Arabic" w:hAnsi="Simplified Arabic"/>
          <w:sz w:val="28"/>
          <w:szCs w:val="28"/>
          <w:rtl/>
        </w:rPr>
        <w:t>).</w:t>
      </w:r>
    </w:p>
    <w:p w14:paraId="13C2F788" w14:textId="77777777" w:rsidR="005B5CFE" w:rsidRDefault="005B5CFE">
      <w:pPr>
        <w:suppressAutoHyphens w:val="0"/>
        <w:bidi/>
        <w:spacing w:after="120" w:line="360" w:lineRule="auto"/>
        <w:rPr>
          <w:sz w:val="28"/>
          <w:szCs w:val="28"/>
        </w:rPr>
      </w:pPr>
    </w:p>
    <w:p w14:paraId="13C2F789" w14:textId="77777777" w:rsidR="005B5CFE" w:rsidRDefault="00BE74ED">
      <w:pPr>
        <w:suppressAutoHyphens w:val="0"/>
        <w:bidi/>
        <w:spacing w:after="120" w:line="360" w:lineRule="auto"/>
      </w:pPr>
      <w:r>
        <w:rPr>
          <w:rFonts w:ascii="Simplified Arabic" w:eastAsia="Simplified Arabic" w:hAnsi="Simplified Arabic"/>
          <w:bCs/>
          <w:sz w:val="32"/>
          <w:szCs w:val="32"/>
          <w:rtl/>
        </w:rPr>
        <w:t>الدراسة التاسعة: التقارير المؤسسية الحديثة</w:t>
      </w:r>
      <w:r>
        <w:rPr>
          <w:rFonts w:ascii="Simplified Arabic" w:eastAsia="Simplified Arabic" w:hAnsi="Simplified Arabic"/>
          <w:b/>
          <w:sz w:val="32"/>
          <w:szCs w:val="32"/>
          <w:rtl/>
        </w:rPr>
        <w:t xml:space="preserve"> (</w:t>
      </w:r>
      <w:r>
        <w:rPr>
          <w:rFonts w:ascii="Simplified Arabic" w:eastAsia="Simplified Arabic" w:hAnsi="Simplified Arabic"/>
          <w:b/>
          <w:sz w:val="32"/>
          <w:szCs w:val="32"/>
        </w:rPr>
        <w:t xml:space="preserve">McKinsey, IBM, </w:t>
      </w:r>
      <w:proofErr w:type="spellStart"/>
      <w:r>
        <w:rPr>
          <w:rFonts w:ascii="Simplified Arabic" w:eastAsia="Simplified Arabic" w:hAnsi="Simplified Arabic"/>
          <w:b/>
          <w:sz w:val="32"/>
          <w:szCs w:val="32"/>
        </w:rPr>
        <w:t>stc</w:t>
      </w:r>
      <w:proofErr w:type="spellEnd"/>
      <w:r>
        <w:rPr>
          <w:rFonts w:ascii="Simplified Arabic" w:eastAsia="Simplified Arabic" w:hAnsi="Simplified Arabic"/>
          <w:b/>
          <w:sz w:val="32"/>
          <w:szCs w:val="32"/>
          <w:rtl/>
        </w:rPr>
        <w:t>)</w:t>
      </w:r>
    </w:p>
    <w:p w14:paraId="13C2F78A"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على الرغم من اختلاف طبيعتها عن الدراسات المحكمة، فإن هذه التقارير تضيف بعداً تفسيرياً مهماً. </w:t>
      </w:r>
      <w:r>
        <w:rPr>
          <w:rFonts w:ascii="Simplified Arabic" w:eastAsia="Simplified Arabic" w:hAnsi="Simplified Arabic"/>
          <w:sz w:val="28"/>
          <w:szCs w:val="28"/>
        </w:rPr>
        <w:t>McKinsey</w:t>
      </w:r>
      <w:r>
        <w:rPr>
          <w:rFonts w:ascii="Simplified Arabic" w:eastAsia="Simplified Arabic" w:hAnsi="Simplified Arabic"/>
          <w:sz w:val="28"/>
          <w:szCs w:val="28"/>
          <w:rtl/>
        </w:rPr>
        <w:t xml:space="preserve"> قدرت الفرصة الإنتاجية طويلة الأجل للذكاء الاصطناعي بنحو 4.4 تريليون دولار، وأشارت إلى أن 87% من التنفيذيين يتوقعون نمواً في الإيرادات من الذكاء الاصطناعي التوليدي خلال السنوات الثلاث القادمة (</w:t>
      </w:r>
      <w:r>
        <w:rPr>
          <w:rFonts w:ascii="Simplified Arabic" w:eastAsia="Simplified Arabic" w:hAnsi="Simplified Arabic"/>
          <w:sz w:val="28"/>
          <w:szCs w:val="28"/>
        </w:rPr>
        <w:t>McKinsey &amp; Company</w:t>
      </w:r>
      <w:r>
        <w:rPr>
          <w:rFonts w:ascii="Simplified Arabic" w:eastAsia="Simplified Arabic" w:hAnsi="Simplified Arabic"/>
          <w:sz w:val="28"/>
          <w:szCs w:val="28"/>
          <w:rtl/>
        </w:rPr>
        <w:t>، 2025).</w:t>
      </w:r>
    </w:p>
    <w:p w14:paraId="13C2F78B"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أما </w:t>
      </w:r>
      <w:r>
        <w:rPr>
          <w:rFonts w:ascii="Simplified Arabic" w:eastAsia="Simplified Arabic" w:hAnsi="Simplified Arabic"/>
          <w:sz w:val="28"/>
          <w:szCs w:val="28"/>
        </w:rPr>
        <w:t>IBM</w:t>
      </w:r>
      <w:r>
        <w:rPr>
          <w:rFonts w:ascii="Simplified Arabic" w:eastAsia="Simplified Arabic" w:hAnsi="Simplified Arabic"/>
          <w:sz w:val="28"/>
          <w:szCs w:val="28"/>
          <w:rtl/>
        </w:rPr>
        <w:t xml:space="preserve"> فركزت على المساءلة والثقة، موضحة أن المنظمات تحتاج إلى إبقاء الإنسان ضمن الحلقة في القرارات مرتفعة المخاطر، حتى مع استفادتها من القدرات التحليلية العالية للذكاء الاصطناعي (</w:t>
      </w:r>
      <w:r>
        <w:rPr>
          <w:rFonts w:ascii="Simplified Arabic" w:eastAsia="Simplified Arabic" w:hAnsi="Simplified Arabic"/>
          <w:sz w:val="28"/>
          <w:szCs w:val="28"/>
        </w:rPr>
        <w:t>IBM</w:t>
      </w:r>
      <w:r>
        <w:rPr>
          <w:rFonts w:ascii="Simplified Arabic" w:eastAsia="Simplified Arabic" w:hAnsi="Simplified Arabic"/>
          <w:sz w:val="28"/>
          <w:szCs w:val="28"/>
          <w:rtl/>
        </w:rPr>
        <w:t xml:space="preserve">، دون تاريخ). ويضيف تقرير </w:t>
      </w:r>
      <w:proofErr w:type="spellStart"/>
      <w:r>
        <w:rPr>
          <w:rFonts w:ascii="Simplified Arabic" w:eastAsia="Simplified Arabic" w:hAnsi="Simplified Arabic"/>
          <w:sz w:val="28"/>
          <w:szCs w:val="28"/>
        </w:rPr>
        <w:t>stc</w:t>
      </w:r>
      <w:proofErr w:type="spellEnd"/>
      <w:r>
        <w:rPr>
          <w:rFonts w:ascii="Simplified Arabic" w:eastAsia="Simplified Arabic" w:hAnsi="Simplified Arabic"/>
          <w:sz w:val="28"/>
          <w:szCs w:val="28"/>
          <w:rtl/>
        </w:rPr>
        <w:t xml:space="preserve"> السنوي بعداً تطبيقياً محلياً عبر أمثلة تشغيلية ملموسة على قيمة الذكاء </w:t>
      </w:r>
      <w:r>
        <w:rPr>
          <w:rFonts w:ascii="Simplified Arabic" w:eastAsia="Simplified Arabic" w:hAnsi="Simplified Arabic"/>
          <w:sz w:val="28"/>
          <w:szCs w:val="28"/>
          <w:rtl/>
        </w:rPr>
        <w:t>الاصطناعي داخل الشركة.</w:t>
      </w:r>
    </w:p>
    <w:p w14:paraId="13C2F78C" w14:textId="77777777" w:rsidR="005B5CFE" w:rsidRDefault="005B5CFE">
      <w:pPr>
        <w:suppressAutoHyphens w:val="0"/>
        <w:bidi/>
        <w:spacing w:after="120" w:line="360" w:lineRule="auto"/>
        <w:rPr>
          <w:sz w:val="28"/>
          <w:szCs w:val="28"/>
        </w:rPr>
      </w:pPr>
    </w:p>
    <w:p w14:paraId="13C2F78D" w14:textId="77777777" w:rsidR="005B5CFE" w:rsidRDefault="00BE74ED">
      <w:pPr>
        <w:suppressAutoHyphens w:val="0"/>
        <w:bidi/>
        <w:spacing w:after="160" w:line="360" w:lineRule="auto"/>
      </w:pPr>
      <w:r>
        <w:rPr>
          <w:rFonts w:ascii="Simplified Arabic" w:eastAsia="Simplified Arabic" w:hAnsi="Simplified Arabic"/>
          <w:b/>
          <w:sz w:val="32"/>
        </w:rPr>
        <w:lastRenderedPageBreak/>
        <w:t>2.7</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تحليل مقارن للدراسات السابقة</w:t>
      </w:r>
    </w:p>
    <w:p w14:paraId="13C2F78E" w14:textId="77777777" w:rsidR="005B5CFE" w:rsidRDefault="00BE74ED">
      <w:pPr>
        <w:suppressAutoHyphens w:val="0"/>
        <w:bidi/>
        <w:spacing w:after="120" w:line="360" w:lineRule="auto"/>
      </w:pPr>
      <w:r>
        <w:rPr>
          <w:rFonts w:ascii="Simplified Arabic" w:eastAsia="Simplified Arabic" w:hAnsi="Simplified Arabic"/>
          <w:sz w:val="28"/>
          <w:szCs w:val="28"/>
          <w:rtl/>
        </w:rPr>
        <w:t>يتضح من العرض السابق أن الدراسات تتفق على أن الذكاء الاصطناعي يملك قدرة معتبرة على تحسين القرار عبر تسريع الوصول إلى المعلومات ورفع جودة التحليل وتوسيع مجال التنبؤ. إلا أن هذا الاتفاق لا يلغي وجود اختلافات واضحة في زوايا المعالجة؛ فبعض الدراسات ذات طابع مفاهيمي يركز على بنية القرار وتقاسم الأدوار بين الإنسان والآلة، في حين تتجه أخرى إلى القياس الكمي للعلاقات بين المتغيرات أو إلى رصد أثر تطبيقات قطاعية محددة.</w:t>
      </w:r>
    </w:p>
    <w:p w14:paraId="13C2F78F"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كما يظهر تباين مهم في مستوى التركيز؛ فبعض </w:t>
      </w:r>
      <w:r>
        <w:rPr>
          <w:rFonts w:ascii="Simplified Arabic" w:eastAsia="Simplified Arabic" w:hAnsi="Simplified Arabic"/>
          <w:sz w:val="28"/>
          <w:szCs w:val="28"/>
          <w:rtl/>
        </w:rPr>
        <w:t>البحوث درست الأداء المؤسسي أو الفاعلية العامة أو القرارات التسويقية، بينما لم تمنح كثير من الدراسات مفهوم "جودة القرار الإداري" بأبعاده الفرعية وزناً مستقلاً. كذلك تتفاوت الدراسات في نطاقها الجغرافي؛ إذ يندر نسبياً وجود دراسات عربية وسعودية تجمع بين الذكاء الاصطناعي وقطاع الاتصالات والقرار الإداري في إطار واحد متكامل.</w:t>
      </w:r>
    </w:p>
    <w:p w14:paraId="13C2F790" w14:textId="77777777" w:rsidR="005B5CFE" w:rsidRDefault="00BE74ED">
      <w:pPr>
        <w:suppressAutoHyphens w:val="0"/>
        <w:bidi/>
        <w:spacing w:after="120" w:line="360" w:lineRule="auto"/>
      </w:pPr>
      <w:r>
        <w:rPr>
          <w:rFonts w:ascii="Simplified Arabic" w:eastAsia="Simplified Arabic" w:hAnsi="Simplified Arabic"/>
          <w:sz w:val="28"/>
          <w:szCs w:val="28"/>
          <w:rtl/>
        </w:rPr>
        <w:t>ومن ناحية أخرى، تكشف الأدبيات أن أثر الذكاء الاصطناعي ليس خطياً أو مطلقاً، بل يعتمد على شروط وسيطة مثل جودة البيانات، والتكامل النظامي، ومهارات العاملين، والحوكمة، وقابلية التفسير. ومن ثم، فإن</w:t>
      </w:r>
      <w:r>
        <w:rPr>
          <w:rFonts w:ascii="Simplified Arabic" w:eastAsia="Simplified Arabic" w:hAnsi="Simplified Arabic"/>
          <w:sz w:val="28"/>
          <w:szCs w:val="28"/>
          <w:rtl/>
        </w:rPr>
        <w:t xml:space="preserve"> الفجوة ليست في إثبات وجود علاقة عامة بين الذكاء الاصطناعي والتحسن المؤسسي فحسب، بل في تفسير كيفية ترجمة هذا الأثر إلى قرار إداري أسرع وأدق وأكثر موثوقية داخل سياق سعودي محدد.</w:t>
      </w:r>
    </w:p>
    <w:p w14:paraId="13C2F791" w14:textId="77777777" w:rsidR="005B5CFE" w:rsidRDefault="00BE74ED">
      <w:pPr>
        <w:suppressAutoHyphens w:val="0"/>
        <w:bidi/>
        <w:spacing w:after="160" w:line="360" w:lineRule="auto"/>
      </w:pPr>
      <w:r>
        <w:rPr>
          <w:rFonts w:ascii="Simplified Arabic" w:eastAsia="Simplified Arabic" w:hAnsi="Simplified Arabic"/>
          <w:b/>
          <w:sz w:val="32"/>
        </w:rPr>
        <w:t>2.8</w:t>
      </w:r>
      <w:r>
        <w:rPr>
          <w:rFonts w:ascii="Simplified Arabic" w:eastAsia="Simplified Arabic" w:hAnsi="Simplified Arabic"/>
          <w:b/>
          <w:sz w:val="32"/>
          <w:rtl/>
        </w:rPr>
        <w:t xml:space="preserve"> </w:t>
      </w:r>
      <w:r>
        <w:rPr>
          <w:rFonts w:ascii="Simplified Arabic" w:eastAsia="Simplified Arabic" w:hAnsi="Simplified Arabic"/>
          <w:bCs/>
          <w:sz w:val="32"/>
          <w:szCs w:val="32"/>
          <w:rtl/>
        </w:rPr>
        <w:t>الفجوة البحثية وتميز الدراسة الحالية</w:t>
      </w:r>
    </w:p>
    <w:p w14:paraId="13C2F792" w14:textId="77777777" w:rsidR="005B5CFE" w:rsidRDefault="00BE74ED">
      <w:pPr>
        <w:suppressAutoHyphens w:val="0"/>
        <w:bidi/>
        <w:spacing w:after="120" w:line="360" w:lineRule="auto"/>
      </w:pPr>
      <w:r>
        <w:rPr>
          <w:rFonts w:ascii="Simplified Arabic" w:eastAsia="Simplified Arabic" w:hAnsi="Simplified Arabic"/>
          <w:sz w:val="28"/>
          <w:szCs w:val="28"/>
          <w:rtl/>
        </w:rPr>
        <w:t xml:space="preserve">تكمن الفجوة البحثية في أن جانباً كبيراً من الأدبيات تناول الذكاء الاصطناعي إما كأداة عامة لتحسين الأداء، أو كجزء من التحول الرقمي، أو من منظور تسويقي أو تقني جزئي. أما الدراسة الحالية فتسعى إلى جعله متغيراً مستقلاً موجهاً نحو متغير تابع أكثر تحديداً هو جودة اتخاذ القرار الإداري، مع تفكيك هذا </w:t>
      </w:r>
      <w:r>
        <w:rPr>
          <w:rFonts w:ascii="Simplified Arabic" w:eastAsia="Simplified Arabic" w:hAnsi="Simplified Arabic"/>
          <w:sz w:val="28"/>
          <w:szCs w:val="28"/>
          <w:rtl/>
        </w:rPr>
        <w:t>المتغير إلى ثلاثة أبعاد عملية: السرعة، والدقة، والموثوقية.</w:t>
      </w:r>
    </w:p>
    <w:p w14:paraId="13C2F793" w14:textId="77777777" w:rsidR="005B5CFE" w:rsidRDefault="00BE74ED">
      <w:pPr>
        <w:suppressAutoHyphens w:val="0"/>
        <w:bidi/>
        <w:spacing w:after="120" w:line="360" w:lineRule="auto"/>
      </w:pPr>
      <w:r>
        <w:rPr>
          <w:rFonts w:ascii="Simplified Arabic" w:eastAsia="Simplified Arabic" w:hAnsi="Simplified Arabic"/>
          <w:sz w:val="28"/>
          <w:szCs w:val="28"/>
          <w:rtl/>
        </w:rPr>
        <w:t>كما تتميز الدراسة باختيار شركات الاتصالات السعودية إطاراً تطبيقياً عاماً، وهو اختيار يجمع بين الثراء المعلوماتي والراهنية الاقتصادية والتقنية. وتستند الدراسة إلى مزيج من الأدبيات المحكمة والتقارير الرسمية والبيانات القطاعية، بما يمنحها سنداً نظرياً وسياقياً في الوقت نفسه.</w:t>
      </w:r>
    </w:p>
    <w:sectPr w:rsidR="005B5CF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20FA9" w14:textId="77777777" w:rsidR="00BE74ED" w:rsidRDefault="00BE74ED">
      <w:pPr>
        <w:spacing w:after="0" w:line="240" w:lineRule="auto"/>
      </w:pPr>
      <w:r>
        <w:separator/>
      </w:r>
    </w:p>
  </w:endnote>
  <w:endnote w:type="continuationSeparator" w:id="0">
    <w:p w14:paraId="2AAC30D2" w14:textId="77777777" w:rsidR="00BE74ED" w:rsidRDefault="00BE7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D9012" w14:textId="77777777" w:rsidR="00BE74ED" w:rsidRDefault="00BE74ED">
      <w:pPr>
        <w:spacing w:after="0" w:line="240" w:lineRule="auto"/>
      </w:pPr>
      <w:r>
        <w:rPr>
          <w:color w:val="000000"/>
        </w:rPr>
        <w:separator/>
      </w:r>
    </w:p>
  </w:footnote>
  <w:footnote w:type="continuationSeparator" w:id="0">
    <w:p w14:paraId="529EBA0D" w14:textId="77777777" w:rsidR="00BE74ED" w:rsidRDefault="00BE7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8495D"/>
    <w:multiLevelType w:val="multilevel"/>
    <w:tmpl w:val="8DA6962C"/>
    <w:styleLink w:val="LFO1"/>
    <w:lvl w:ilvl="0">
      <w:numFmt w:val="bullet"/>
      <w:pStyle w:val="List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5A5D70F7"/>
    <w:multiLevelType w:val="multilevel"/>
    <w:tmpl w:val="18200C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00711350">
    <w:abstractNumId w:val="0"/>
  </w:num>
  <w:num w:numId="2" w16cid:durableId="2141682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B5CFE"/>
    <w:rsid w:val="005B5CFE"/>
    <w:rsid w:val="00B068E3"/>
    <w:rsid w:val="00BE74ED"/>
    <w:rsid w:val="00EC77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2F6F4"/>
  <w15:docId w15:val="{47555AFA-C629-4DFC-A1CD-A6A0F079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pPr>
    <w:rPr>
      <w:rFonts w:eastAsia="Times New Roman"/>
      <w:kern w:val="0"/>
      <w:sz w:val="22"/>
      <w:szCs w:val="22"/>
    </w:rPr>
  </w:style>
  <w:style w:type="paragraph" w:styleId="Heading1">
    <w:name w:val="heading 1"/>
    <w:basedOn w:val="Normal"/>
    <w:next w:val="Normal"/>
    <w:uiPriority w:val="9"/>
    <w:qFormat/>
    <w:pPr>
      <w:keepNext/>
      <w:keepLines/>
      <w:spacing w:before="360" w:after="80"/>
      <w:outlineLvl w:val="0"/>
    </w:pPr>
    <w:rPr>
      <w:rFonts w:ascii="Aptos Display"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cs="Times New Roman"/>
      <w:i/>
      <w:iCs/>
      <w:color w:val="595959"/>
    </w:rPr>
  </w:style>
  <w:style w:type="paragraph" w:styleId="Heading7">
    <w:name w:val="heading 7"/>
    <w:basedOn w:val="Normal"/>
    <w:next w:val="Normal"/>
    <w:pPr>
      <w:keepNext/>
      <w:keepLines/>
      <w:spacing w:before="40" w:after="0"/>
      <w:outlineLvl w:val="6"/>
    </w:pPr>
    <w:rPr>
      <w:rFonts w:cs="Times New Roman"/>
      <w:color w:val="595959"/>
    </w:rPr>
  </w:style>
  <w:style w:type="paragraph" w:styleId="Heading8">
    <w:name w:val="heading 8"/>
    <w:basedOn w:val="Normal"/>
    <w:next w:val="Normal"/>
    <w:pPr>
      <w:keepNext/>
      <w:keepLines/>
      <w:spacing w:after="0"/>
      <w:outlineLvl w:val="7"/>
    </w:pPr>
    <w:rPr>
      <w:rFonts w:cs="Times New Roman"/>
      <w:i/>
      <w:iCs/>
      <w:color w:val="272727"/>
    </w:rPr>
  </w:style>
  <w:style w:type="paragraph" w:styleId="Heading9">
    <w:name w:val="heading 9"/>
    <w:basedOn w:val="Normal"/>
    <w:next w:val="Normal"/>
    <w:pPr>
      <w:keepNext/>
      <w:keepLines/>
      <w:spacing w:after="0"/>
      <w:outlineLvl w:val="8"/>
    </w:pPr>
    <w:rPr>
      <w:rFonts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hAnsi="Aptos Display" w:cs="Times New Roman"/>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ListBullet">
    <w:name w:val="List Bullet"/>
    <w:basedOn w:val="Normal"/>
    <w:pPr>
      <w:numPr>
        <w:numId w:val="1"/>
      </w:numPr>
      <w:contextualSpacing/>
    </w:p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3777</Words>
  <Characters>21533</Characters>
  <Application>Microsoft Office Word</Application>
  <DocSecurity>0</DocSecurity>
  <Lines>179</Lines>
  <Paragraphs>50</Paragraphs>
  <ScaleCrop>false</ScaleCrop>
  <Company/>
  <LinksUpToDate>false</LinksUpToDate>
  <CharactersWithSpaces>25260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Alahmadi</dc:creator>
  <dc:description/>
  <cp:lastModifiedBy>Ammar Alahmadi</cp:lastModifiedBy>
  <cp:revision>2</cp:revision>
  <dcterms:created xsi:type="dcterms:W3CDTF">2026-07-17T11:07:00Z</dcterms:created>
  <dcterms:modified xsi:type="dcterms:W3CDTF">2026-07-17T11:07:00Z</dcterms:modified>
</cp:coreProperties>
</file>