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74587" w14:textId="77777777" w:rsidR="00875B65" w:rsidRPr="00875B65" w:rsidRDefault="00875B65" w:rsidP="00875B65">
      <w:pPr>
        <w:spacing w:line="259" w:lineRule="auto"/>
        <w:jc w:val="center"/>
        <w:rPr>
          <w:rFonts w:ascii="Sakkal Majalla" w:eastAsiaTheme="minorHAnsi" w:hAnsi="Sakkal Majalla" w:cs="Sakkal Majalla"/>
          <w:b/>
          <w:bCs/>
          <w:sz w:val="48"/>
          <w:szCs w:val="48"/>
          <w:u w:val="single"/>
          <w:rtl/>
          <w:lang w:val="en-GB"/>
        </w:rPr>
      </w:pPr>
      <w:r w:rsidRPr="00875B65">
        <w:rPr>
          <w:rFonts w:ascii="Sakkal Majalla" w:eastAsiaTheme="minorHAnsi" w:hAnsi="Sakkal Majalla" w:cs="Sakkal Majalla"/>
          <w:b/>
          <w:bCs/>
          <w:sz w:val="48"/>
          <w:szCs w:val="48"/>
          <w:u w:val="single"/>
          <w:rtl/>
        </w:rPr>
        <w:t>الفصل الأول</w:t>
      </w:r>
    </w:p>
    <w:p w14:paraId="5EB32E46" w14:textId="77777777" w:rsidR="00875B65" w:rsidRPr="00875B65" w:rsidRDefault="00875B65" w:rsidP="00875B65">
      <w:pPr>
        <w:spacing w:line="259" w:lineRule="auto"/>
        <w:jc w:val="center"/>
        <w:rPr>
          <w:rFonts w:ascii="Sakkal Majalla" w:eastAsiaTheme="minorHAnsi" w:hAnsi="Sakkal Majalla" w:cs="Sakkal Majalla"/>
          <w:b/>
          <w:bCs/>
          <w:sz w:val="48"/>
          <w:szCs w:val="48"/>
          <w:u w:val="single"/>
          <w:lang w:val="en-GB"/>
        </w:rPr>
      </w:pPr>
      <w:r w:rsidRPr="00875B65">
        <w:rPr>
          <w:rFonts w:ascii="Sakkal Majalla" w:eastAsiaTheme="minorHAnsi" w:hAnsi="Sakkal Majalla" w:cs="Sakkal Majalla" w:hint="cs"/>
          <w:b/>
          <w:bCs/>
          <w:sz w:val="48"/>
          <w:szCs w:val="48"/>
          <w:u w:val="single"/>
          <w:rtl/>
          <w:lang w:val="en-GB"/>
        </w:rPr>
        <w:t xml:space="preserve">الإطار العام للبحث </w:t>
      </w:r>
    </w:p>
    <w:p w14:paraId="1B03124B" w14:textId="77777777" w:rsidR="00875B65" w:rsidRPr="00875B65" w:rsidRDefault="00875B65" w:rsidP="00875B65">
      <w:pPr>
        <w:spacing w:line="259" w:lineRule="auto"/>
        <w:jc w:val="center"/>
        <w:rPr>
          <w:rFonts w:ascii="Sakkal Majalla" w:eastAsiaTheme="minorHAnsi" w:hAnsi="Sakkal Majalla" w:cs="Sakkal Majalla"/>
          <w:b/>
          <w:bCs/>
          <w:sz w:val="48"/>
          <w:szCs w:val="48"/>
          <w:u w:val="single"/>
          <w:lang w:val="en-GB"/>
        </w:rPr>
      </w:pPr>
    </w:p>
    <w:p w14:paraId="5FE17912" w14:textId="77777777" w:rsidR="00875B65" w:rsidRPr="00875B65" w:rsidRDefault="00875B65" w:rsidP="00875B65">
      <w:pPr>
        <w:spacing w:line="259" w:lineRule="auto"/>
        <w:jc w:val="center"/>
        <w:rPr>
          <w:rFonts w:ascii="Sakkal Majalla" w:eastAsiaTheme="minorHAnsi" w:hAnsi="Sakkal Majalla" w:cs="Sakkal Majalla"/>
          <w:sz w:val="28"/>
          <w:szCs w:val="28"/>
          <w:u w:val="single"/>
          <w:rtl/>
        </w:rPr>
      </w:pPr>
    </w:p>
    <w:p w14:paraId="67EE9FB9" w14:textId="77777777" w:rsidR="00875B65" w:rsidRPr="00875B65" w:rsidRDefault="00875B65" w:rsidP="00875B65">
      <w:pPr>
        <w:spacing w:line="259" w:lineRule="auto"/>
        <w:jc w:val="center"/>
        <w:rPr>
          <w:rFonts w:ascii="Sakkal Majalla" w:eastAsiaTheme="minorHAnsi" w:hAnsi="Sakkal Majalla" w:cs="Sakkal Majalla"/>
          <w:sz w:val="28"/>
          <w:szCs w:val="28"/>
          <w:u w:val="single"/>
          <w:rtl/>
        </w:rPr>
      </w:pPr>
    </w:p>
    <w:p w14:paraId="48726388"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676144C0"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19976C9E"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612EAE55"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56E2D0EA"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56757946"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73BA4B38" w14:textId="77777777" w:rsidR="00875B65" w:rsidRPr="00875B65" w:rsidRDefault="00875B65" w:rsidP="00875B65">
      <w:pPr>
        <w:spacing w:line="259" w:lineRule="auto"/>
        <w:rPr>
          <w:rFonts w:ascii="Sakkal Majalla" w:eastAsiaTheme="minorHAnsi" w:hAnsi="Sakkal Majalla" w:cs="Sakkal Majalla"/>
          <w:sz w:val="28"/>
          <w:szCs w:val="28"/>
          <w:u w:val="single"/>
          <w:rtl/>
        </w:rPr>
      </w:pPr>
      <w:r w:rsidRPr="00875B65">
        <w:rPr>
          <w:rFonts w:ascii="Sakkal Majalla" w:eastAsiaTheme="minorHAnsi" w:hAnsi="Sakkal Majalla" w:cs="Sakkal Majalla"/>
          <w:sz w:val="28"/>
          <w:szCs w:val="28"/>
          <w:u w:val="single"/>
          <w:rtl/>
        </w:rPr>
        <w:t>المقدمة:</w:t>
      </w:r>
    </w:p>
    <w:p w14:paraId="4CE4868C" w14:textId="77777777" w:rsidR="00875B65" w:rsidRPr="00875B65" w:rsidRDefault="00875B65" w:rsidP="00875B65">
      <w:pPr>
        <w:spacing w:before="100" w:beforeAutospacing="1" w:after="100" w:afterAutospacing="1" w:line="240" w:lineRule="auto"/>
        <w:rPr>
          <w:rFonts w:ascii="Sakkal Majalla" w:hAnsi="Sakkal Majalla" w:cs="Sakkal Majalla"/>
          <w:kern w:val="0"/>
          <w:sz w:val="28"/>
          <w:szCs w:val="28"/>
          <w:lang w:val="en-GB"/>
          <w14:ligatures w14:val="none"/>
        </w:rPr>
      </w:pPr>
      <w:r w:rsidRPr="00875B65">
        <w:rPr>
          <w:rFonts w:ascii="Sakkal Majalla" w:hAnsi="Sakkal Majalla" w:cs="Sakkal Majalla"/>
          <w:kern w:val="0"/>
          <w:sz w:val="28"/>
          <w:szCs w:val="28"/>
          <w:rtl/>
          <w14:ligatures w14:val="none"/>
        </w:rPr>
        <w:t>يشكّل توطين المهن في القطاع الصحي أحد المحاور الاستراتيجية التي تضعها المملكة العربية السعودية ضمن أولوياتها في إطار تنفيذ رؤية المملكة 2030، التي تهدف إلى تنويع الاقتصاد الوطني، وتقليل الاعتماد على العمالة الوافدة، وتعزيز مشاركة المواطنين في سوق العمل، خاصة في القطاعات الحيوية ذات الارتباط المباشر بجودة الحياة وصحة المجتمع. ويعتبر القطاع الصحي من أهم هذه القطاعات وأكثرها حساسية، إذ يعتمد على كفاءات بشرية متخصصة في مختلف المجالات الطبية، التمريضية، والصحية المساندة، التي تتطلب مستويات عالية من المهارة والخبرة.</w:t>
      </w:r>
    </w:p>
    <w:p w14:paraId="760A9594" w14:textId="77777777" w:rsidR="00875B65" w:rsidRPr="00875B65" w:rsidRDefault="00875B65" w:rsidP="00875B65">
      <w:pPr>
        <w:spacing w:before="100" w:beforeAutospacing="1" w:after="100" w:afterAutospacing="1" w:line="240" w:lineRule="auto"/>
        <w:rPr>
          <w:rFonts w:ascii="Sakkal Majalla" w:hAnsi="Sakkal Majalla" w:cs="Sakkal Majalla"/>
          <w:kern w:val="0"/>
          <w:sz w:val="28"/>
          <w:szCs w:val="28"/>
          <w:lang w:val="en-GB"/>
          <w14:ligatures w14:val="none"/>
        </w:rPr>
      </w:pPr>
      <w:r w:rsidRPr="00875B65">
        <w:rPr>
          <w:rFonts w:ascii="Sakkal Majalla" w:hAnsi="Sakkal Majalla" w:cs="Sakkal Majalla"/>
          <w:kern w:val="0"/>
          <w:sz w:val="28"/>
          <w:szCs w:val="28"/>
          <w:rtl/>
          <w14:ligatures w14:val="none"/>
        </w:rPr>
        <w:t>ورغم الجهود الكبيرة التي بذلتها الحكومة السعودية خلال السنوات الأخيرة عبر وزارة الصحة ووزارة الموارد البشرية والتنمية الاجتماعية وهيئات أخرى ذات صلة، إلا أن نسبة التوطين في بعض المهن الصحية ما زالت منخفضة مقارنة بالقطاعات الأخرى. ويعود ذلك إلى عدة عوامل، من أبرزها الفجوة بين مخرجات التعليم الصحي واحتياجات سوق العمل، وطبيعة بيئة العمل في المجال الصحي، التي تتسم بساعات عمل طويلة وضغوط مهنية عالية، إضافة إلى ضعف التنسيق المؤسسي بين الجهات المعنية، وهيمنة القطاع الخاص على فرص التوظيف بشروط قد لا تتماشى دائمًا مع سياسات التوطين الوطنية .</w:t>
      </w:r>
    </w:p>
    <w:p w14:paraId="0F193E1D" w14:textId="77777777" w:rsidR="00875B65" w:rsidRPr="00875B65" w:rsidRDefault="00875B65" w:rsidP="00875B65">
      <w:pPr>
        <w:spacing w:before="100" w:beforeAutospacing="1" w:after="100" w:afterAutospacing="1" w:line="240" w:lineRule="auto"/>
        <w:rPr>
          <w:rFonts w:ascii="Sakkal Majalla" w:hAnsi="Sakkal Majalla" w:cs="Sakkal Majalla"/>
          <w:kern w:val="0"/>
          <w:sz w:val="28"/>
          <w:szCs w:val="28"/>
          <w:lang w:val="en-GB"/>
          <w14:ligatures w14:val="none"/>
        </w:rPr>
      </w:pPr>
      <w:r w:rsidRPr="00875B65">
        <w:rPr>
          <w:rFonts w:ascii="Sakkal Majalla" w:hAnsi="Sakkal Majalla" w:cs="Sakkal Majalla"/>
          <w:kern w:val="0"/>
          <w:sz w:val="28"/>
          <w:szCs w:val="28"/>
          <w:rtl/>
          <w14:ligatures w14:val="none"/>
        </w:rPr>
        <w:lastRenderedPageBreak/>
        <w:t>تنبع أهمية هذه الدراسة من كونها تسلط الضوء على قضية ليست مجرد مسألة اقتصادية أو إدارية، بل هي قضية وطنية ترتبط بالأمن الصحي للمملكة. إذ أن الاعتماد المفرط على الكفاءات الأجنبية في مهن حيوية، مثل التمريض والطوارئ والعناية المركزة، قد يعرّض النظام الصحي لمخاطر في حالات الأزمات العالمية – كما حدث خلال جائحة كوفيد-19 – حينما واجهت بعض الدول تحديات في استقدام أو الاحتفاظ بكوادر أجنبية بسبب القيود الصحية واللوجستية.</w:t>
      </w:r>
    </w:p>
    <w:p w14:paraId="56708EDD" w14:textId="77777777" w:rsidR="00875B65" w:rsidRPr="00875B65" w:rsidRDefault="00875B65" w:rsidP="00875B65">
      <w:pPr>
        <w:spacing w:before="100" w:beforeAutospacing="1" w:after="100" w:afterAutospacing="1" w:line="240" w:lineRule="auto"/>
        <w:rPr>
          <w:rFonts w:ascii="Sakkal Majalla" w:hAnsi="Sakkal Majalla" w:cs="Sakkal Majalla"/>
          <w:kern w:val="0"/>
          <w:sz w:val="28"/>
          <w:szCs w:val="28"/>
          <w:lang w:val="en-GB"/>
          <w14:ligatures w14:val="none"/>
        </w:rPr>
      </w:pPr>
      <w:r w:rsidRPr="00875B65">
        <w:rPr>
          <w:rFonts w:ascii="Sakkal Majalla" w:hAnsi="Sakkal Majalla" w:cs="Sakkal Majalla"/>
          <w:kern w:val="0"/>
          <w:sz w:val="28"/>
          <w:szCs w:val="28"/>
          <w:rtl/>
          <w14:ligatures w14:val="none"/>
        </w:rPr>
        <w:t>وتتجاوز أهمية التوطين البعد التشغيلي لتشمل أبعادًا تنموية بعيدة المدى، حيث يسهم في بناء رأس مال بشري وطني قادر على المنافسة إقليميًا ودوليًا. ومن الناحية الاقتصادية، فإن رفع نسب التوطين في القطاع الصحي يساهم في الحد من التحويلات المالية للخارج، وزيادة معدلات إنفاق الرواتب داخل الاقتصاد المحلي، مما ينعكس إيجابًا على النمو الاقتصادي. ومن الناحية الاجتماعية، فإن وجود كوادر وطنية في المهن الصحية يعزز الثقة بين الممارس الصحي والمريض، ويحقق استقرارًا وظيفيًا ومهنيًا للأسر السعودية.</w:t>
      </w:r>
    </w:p>
    <w:p w14:paraId="37259432" w14:textId="77777777" w:rsidR="00875B65" w:rsidRPr="00875B65" w:rsidRDefault="00875B65" w:rsidP="00875B65">
      <w:pPr>
        <w:spacing w:before="100" w:beforeAutospacing="1" w:after="100" w:afterAutospacing="1" w:line="240" w:lineRule="auto"/>
        <w:rPr>
          <w:rFonts w:ascii="Sakkal Majalla" w:hAnsi="Sakkal Majalla" w:cs="Sakkal Majalla"/>
          <w:kern w:val="0"/>
          <w:sz w:val="28"/>
          <w:szCs w:val="28"/>
          <w14:ligatures w14:val="none"/>
        </w:rPr>
      </w:pPr>
      <w:r w:rsidRPr="00875B65">
        <w:rPr>
          <w:rFonts w:ascii="Sakkal Majalla" w:hAnsi="Sakkal Majalla" w:cs="Sakkal Majalla"/>
          <w:kern w:val="0"/>
          <w:sz w:val="28"/>
          <w:szCs w:val="28"/>
          <w:rtl/>
          <w14:ligatures w14:val="none"/>
        </w:rPr>
        <w:t>لقد جاءت مبادرات عدة لتحقيق هذا الهدف، مثل برامج “السعودة” و”نطاقات” وبرامج دعم التدريب الصحي، إضافة إلى المبادرات التخصصية التي أطلقتها وزارة الصحة بالتعاون مع الهيئة السعودية للتخصصات الصحية، لتأهيل وتدريب الممارسين الصحيين السعوديين، خصوصًا في التخصصات التي تشهد نقصًا حادًا. ومع ذلك، فإن هذه الجهود تواجه تحديات واقعية تتمثل في:</w:t>
      </w:r>
    </w:p>
    <w:p w14:paraId="37B308D3" w14:textId="77777777" w:rsidR="00875B65" w:rsidRPr="00875B65" w:rsidRDefault="00875B65" w:rsidP="00875B65">
      <w:pPr>
        <w:numPr>
          <w:ilvl w:val="0"/>
          <w:numId w:val="1"/>
        </w:numPr>
        <w:spacing w:before="100" w:beforeAutospacing="1" w:after="100" w:afterAutospacing="1" w:line="240" w:lineRule="auto"/>
        <w:rPr>
          <w:rFonts w:ascii="Sakkal Majalla" w:hAnsi="Sakkal Majalla" w:cs="Sakkal Majalla"/>
          <w:kern w:val="0"/>
          <w:sz w:val="28"/>
          <w:szCs w:val="28"/>
          <w:rtl/>
          <w14:ligatures w14:val="none"/>
        </w:rPr>
      </w:pPr>
      <w:r w:rsidRPr="00875B65">
        <w:rPr>
          <w:rFonts w:ascii="Sakkal Majalla" w:hAnsi="Sakkal Majalla" w:cs="Sakkal Majalla"/>
          <w:kern w:val="0"/>
          <w:sz w:val="28"/>
          <w:szCs w:val="28"/>
          <w:rtl/>
          <w14:ligatures w14:val="none"/>
        </w:rPr>
        <w:t>ضعف المواءمة بين التعليم والوظيفة: إذ تشير بيانات الهيئة العامة للإحصاء إلى أن نسبة من خريجي التخصصات الصحية لا يجدون وظائف مناسبة خلال السنوات الأولى بعد التخرج، ما يؤدي إلى تراكم البطالة المقنّعة في هذا القطاع.</w:t>
      </w:r>
    </w:p>
    <w:p w14:paraId="6A664524" w14:textId="77777777" w:rsidR="00875B65" w:rsidRPr="00875B65" w:rsidRDefault="00875B65" w:rsidP="00875B65">
      <w:pPr>
        <w:numPr>
          <w:ilvl w:val="0"/>
          <w:numId w:val="1"/>
        </w:numPr>
        <w:spacing w:before="100" w:beforeAutospacing="1" w:after="100" w:afterAutospacing="1" w:line="240" w:lineRule="auto"/>
        <w:rPr>
          <w:rFonts w:ascii="Sakkal Majalla" w:hAnsi="Sakkal Majalla" w:cs="Sakkal Majalla"/>
          <w:kern w:val="0"/>
          <w:sz w:val="28"/>
          <w:szCs w:val="28"/>
          <w:rtl/>
          <w14:ligatures w14:val="none"/>
        </w:rPr>
      </w:pPr>
      <w:r w:rsidRPr="00875B65">
        <w:rPr>
          <w:rFonts w:ascii="Sakkal Majalla" w:hAnsi="Sakkal Majalla" w:cs="Sakkal Majalla"/>
          <w:kern w:val="0"/>
          <w:sz w:val="28"/>
          <w:szCs w:val="28"/>
          <w:rtl/>
          <w14:ligatures w14:val="none"/>
        </w:rPr>
        <w:t>بيئة العمل غير الجاذبة: حيث تظل مستويات الرضا الوظيفي منخفضة لدى بعض الممارسين الصحيين السعوديين، نتيجة ضغط العمل، وضعف الحوافز، وغياب مسارات مهنية واضحة للترقي .</w:t>
      </w:r>
    </w:p>
    <w:p w14:paraId="707762A6" w14:textId="77777777" w:rsidR="00875B65" w:rsidRPr="00875B65" w:rsidRDefault="00875B65" w:rsidP="00875B65">
      <w:pPr>
        <w:numPr>
          <w:ilvl w:val="0"/>
          <w:numId w:val="1"/>
        </w:numPr>
        <w:spacing w:before="100" w:beforeAutospacing="1" w:after="100" w:afterAutospacing="1" w:line="240" w:lineRule="auto"/>
        <w:rPr>
          <w:rFonts w:ascii="Sakkal Majalla" w:hAnsi="Sakkal Majalla" w:cs="Sakkal Majalla"/>
          <w:kern w:val="0"/>
          <w:sz w:val="28"/>
          <w:szCs w:val="28"/>
          <w:rtl/>
          <w14:ligatures w14:val="none"/>
        </w:rPr>
      </w:pPr>
      <w:r w:rsidRPr="00875B65">
        <w:rPr>
          <w:rFonts w:ascii="Sakkal Majalla" w:hAnsi="Sakkal Majalla" w:cs="Sakkal Majalla"/>
          <w:kern w:val="0"/>
          <w:sz w:val="28"/>
          <w:szCs w:val="28"/>
          <w:rtl/>
          <w14:ligatures w14:val="none"/>
        </w:rPr>
        <w:t>قصور التنسيق المؤسسي: إذ أن تعدد الجهات المسؤولة عن التوطين – وزارة الصحة، وزارة التعليم، وزارة الموارد البشرية – يؤدي أحيانًا إلى تضارب في السياسات أو بطء في تنفيذ القرارات.</w:t>
      </w:r>
    </w:p>
    <w:p w14:paraId="2F105BB6" w14:textId="77777777" w:rsidR="00875B65" w:rsidRPr="00875B65" w:rsidRDefault="00875B65" w:rsidP="00875B65">
      <w:pPr>
        <w:numPr>
          <w:ilvl w:val="0"/>
          <w:numId w:val="1"/>
        </w:numPr>
        <w:spacing w:before="100" w:beforeAutospacing="1" w:after="100" w:afterAutospacing="1" w:line="240" w:lineRule="auto"/>
        <w:rPr>
          <w:rFonts w:ascii="Sakkal Majalla" w:hAnsi="Sakkal Majalla" w:cs="Sakkal Majalla"/>
          <w:kern w:val="0"/>
          <w:sz w:val="28"/>
          <w:szCs w:val="28"/>
          <w:rtl/>
          <w14:ligatures w14:val="none"/>
        </w:rPr>
      </w:pPr>
      <w:r w:rsidRPr="00875B65">
        <w:rPr>
          <w:rFonts w:ascii="Sakkal Majalla" w:hAnsi="Sakkal Majalla" w:cs="Sakkal Majalla"/>
          <w:kern w:val="0"/>
          <w:sz w:val="28"/>
          <w:szCs w:val="28"/>
          <w:rtl/>
          <w14:ligatures w14:val="none"/>
        </w:rPr>
        <w:t>هيمنة القطاع الخاص: الذي يمثل نسبة كبيرة من سوق العمل الصحي، ولكنه لا يلتزم في كثير من الأحيان بتطبيق نسب التوطين بالشكل المطلوب، مفضّلًا العمالة الأجنبية الأقل تكلفة.</w:t>
      </w:r>
    </w:p>
    <w:p w14:paraId="219B340E" w14:textId="77777777" w:rsidR="00875B65" w:rsidRPr="00875B65" w:rsidRDefault="00875B65" w:rsidP="00875B65">
      <w:pPr>
        <w:spacing w:before="100" w:beforeAutospacing="1" w:after="100" w:afterAutospacing="1" w:line="240" w:lineRule="auto"/>
        <w:rPr>
          <w:rFonts w:ascii="Sakkal Majalla" w:hAnsi="Sakkal Majalla" w:cs="Sakkal Majalla"/>
          <w:kern w:val="0"/>
          <w:sz w:val="28"/>
          <w:szCs w:val="28"/>
          <w:rtl/>
          <w14:ligatures w14:val="none"/>
        </w:rPr>
      </w:pPr>
      <w:r w:rsidRPr="00875B65">
        <w:rPr>
          <w:rFonts w:ascii="Sakkal Majalla" w:hAnsi="Sakkal Majalla" w:cs="Sakkal Majalla"/>
          <w:kern w:val="0"/>
          <w:sz w:val="28"/>
          <w:szCs w:val="28"/>
          <w:rtl/>
          <w14:ligatures w14:val="none"/>
        </w:rPr>
        <w:t xml:space="preserve">وتسعى هذه الدراسة إلى تقديم تحليل شامل لواقع التوطين في القطاع الصحي السعودي، عبر دمج المعلومات الواردة في الدراسات الرسمية مثل تقرير القوى العاملة الصحية 2023 الصادر عن وزارة الصحة، وتقرير التوطين السنوي 2021 لوزارة الموارد البشرية والتنمية الاجتماعية، إضافة إلى بيانات الهيئة العامة للإحصاء، مع مراجعة الدراسات الأكاديمية ذات الصلة. </w:t>
      </w:r>
    </w:p>
    <w:p w14:paraId="5A28B5E1" w14:textId="77777777" w:rsidR="00875B65" w:rsidRPr="00875B65" w:rsidRDefault="00875B65" w:rsidP="00875B65">
      <w:pPr>
        <w:spacing w:before="100" w:beforeAutospacing="1" w:after="100" w:afterAutospacing="1" w:line="240" w:lineRule="auto"/>
        <w:rPr>
          <w:rFonts w:ascii="Sakkal Majalla" w:hAnsi="Sakkal Majalla" w:cs="Sakkal Majalla"/>
          <w:kern w:val="0"/>
          <w:sz w:val="28"/>
          <w:szCs w:val="28"/>
          <w:rtl/>
          <w:lang w:val="en-GB"/>
          <w14:ligatures w14:val="none"/>
        </w:rPr>
      </w:pPr>
      <w:r w:rsidRPr="00875B65">
        <w:rPr>
          <w:rFonts w:ascii="Sakkal Majalla" w:hAnsi="Sakkal Majalla" w:cs="Sakkal Majalla"/>
          <w:kern w:val="0"/>
          <w:sz w:val="28"/>
          <w:szCs w:val="28"/>
          <w:rtl/>
          <w14:ligatures w14:val="none"/>
        </w:rPr>
        <w:t>كما تهدف الدراسة إلى صياغة مجموعة من الحلول القابلة للتطبيق، التي تراعي خصوصية القطاع الصحي، وتوازن بين تحقيق نسب التوطين المستهدفة والحفاظ على جودة الخدمات الصحية.</w:t>
      </w:r>
    </w:p>
    <w:p w14:paraId="66D66CCD" w14:textId="77777777" w:rsidR="00875B65" w:rsidRPr="00875B65" w:rsidRDefault="00875B65" w:rsidP="00875B65">
      <w:pPr>
        <w:spacing w:before="100" w:beforeAutospacing="1" w:after="100" w:afterAutospacing="1" w:line="240" w:lineRule="auto"/>
        <w:rPr>
          <w:rFonts w:ascii="Sakkal Majalla" w:hAnsi="Sakkal Majalla" w:cs="Sakkal Majalla"/>
          <w:kern w:val="0"/>
          <w:sz w:val="28"/>
          <w:szCs w:val="28"/>
          <w:rtl/>
          <w14:ligatures w14:val="none"/>
        </w:rPr>
      </w:pPr>
      <w:r w:rsidRPr="00875B65">
        <w:rPr>
          <w:rFonts w:ascii="Sakkal Majalla" w:hAnsi="Sakkal Majalla" w:cs="Sakkal Majalla"/>
          <w:kern w:val="0"/>
          <w:sz w:val="28"/>
          <w:szCs w:val="28"/>
          <w:rtl/>
          <w14:ligatures w14:val="none"/>
        </w:rPr>
        <w:lastRenderedPageBreak/>
        <w:t xml:space="preserve">إن الحاجة إلى معالجة هذه القضية باتت أكثر إلحاحًا مع التوجه العالمي نحو تعزيز الأنظمة الصحية الوطنية وتقليل الاعتماد على القوى العاملة المستقدمة، خاصة في ظل التحديات التي قد تنشأ من الأزمات الصحية أو الاقتصادية. </w:t>
      </w:r>
    </w:p>
    <w:p w14:paraId="4B18DC2C" w14:textId="77777777" w:rsidR="00875B65" w:rsidRPr="00875B65" w:rsidRDefault="00875B65" w:rsidP="00875B65">
      <w:pPr>
        <w:spacing w:before="100" w:beforeAutospacing="1" w:after="100" w:afterAutospacing="1" w:line="240" w:lineRule="auto"/>
        <w:rPr>
          <w:rFonts w:ascii="Sakkal Majalla" w:hAnsi="Sakkal Majalla" w:cs="Sakkal Majalla"/>
          <w:kern w:val="0"/>
          <w:sz w:val="28"/>
          <w:szCs w:val="28"/>
          <w14:ligatures w14:val="none"/>
        </w:rPr>
      </w:pPr>
      <w:r w:rsidRPr="00875B65">
        <w:rPr>
          <w:rFonts w:ascii="Sakkal Majalla" w:hAnsi="Sakkal Majalla" w:cs="Sakkal Majalla"/>
          <w:kern w:val="0"/>
          <w:sz w:val="28"/>
          <w:szCs w:val="28"/>
          <w:rtl/>
          <w14:ligatures w14:val="none"/>
        </w:rPr>
        <w:t>ومن هذا المنطلق، يأتي هذا البحث ليقدّم إسهامًا علميًا وعمليًا في تطوير سياسات التوطين، من خلال تحليل التحديات القائمة واقتراح حلول مستدامة، بما يتماشى مع رؤية المملكة 2030، واستراتيجية التحول الوطني في القطاع الصحي</w:t>
      </w:r>
      <w:r w:rsidRPr="00875B65">
        <w:rPr>
          <w:rFonts w:ascii="Sakkal Majalla" w:hAnsi="Sakkal Majalla" w:cs="Sakkal Majalla"/>
          <w:kern w:val="0"/>
          <w:sz w:val="28"/>
          <w:szCs w:val="28"/>
          <w14:ligatures w14:val="none"/>
        </w:rPr>
        <w:t xml:space="preserve">. </w:t>
      </w:r>
    </w:p>
    <w:p w14:paraId="13C36CD0" w14:textId="77777777" w:rsidR="00875B65" w:rsidRPr="00875B65" w:rsidRDefault="00875B65" w:rsidP="00875B65">
      <w:pPr>
        <w:spacing w:line="259" w:lineRule="auto"/>
        <w:rPr>
          <w:rFonts w:ascii="Sakkal Majalla" w:eastAsiaTheme="minorHAnsi" w:hAnsi="Sakkal Majalla" w:cs="Sakkal Majalla"/>
          <w:sz w:val="28"/>
          <w:szCs w:val="28"/>
          <w:rtl/>
        </w:rPr>
      </w:pPr>
    </w:p>
    <w:p w14:paraId="4B321F75" w14:textId="77777777" w:rsidR="00875B65" w:rsidRPr="00875B65" w:rsidRDefault="00875B65" w:rsidP="00875B65">
      <w:pPr>
        <w:spacing w:line="259" w:lineRule="auto"/>
        <w:rPr>
          <w:rFonts w:ascii="Sakkal Majalla" w:eastAsiaTheme="minorHAnsi" w:hAnsi="Sakkal Majalla" w:cs="Sakkal Majalla"/>
          <w:sz w:val="28"/>
          <w:szCs w:val="28"/>
          <w:rtl/>
        </w:rPr>
      </w:pPr>
    </w:p>
    <w:p w14:paraId="5CEDB8AC" w14:textId="77777777" w:rsidR="00875B65" w:rsidRPr="00875B65" w:rsidRDefault="00875B65" w:rsidP="00875B65">
      <w:pPr>
        <w:spacing w:line="259" w:lineRule="auto"/>
        <w:rPr>
          <w:rFonts w:ascii="Sakkal Majalla" w:eastAsiaTheme="minorHAnsi" w:hAnsi="Sakkal Majalla" w:cs="Sakkal Majalla"/>
          <w:sz w:val="28"/>
          <w:szCs w:val="28"/>
          <w:rtl/>
        </w:rPr>
      </w:pPr>
    </w:p>
    <w:p w14:paraId="26D29147" w14:textId="77777777" w:rsidR="00875B65" w:rsidRPr="00875B65" w:rsidRDefault="00875B65" w:rsidP="00875B65">
      <w:pPr>
        <w:spacing w:line="259" w:lineRule="auto"/>
        <w:rPr>
          <w:rFonts w:ascii="Sakkal Majalla" w:eastAsiaTheme="minorHAnsi" w:hAnsi="Sakkal Majalla" w:cs="Sakkal Majalla"/>
          <w:sz w:val="28"/>
          <w:szCs w:val="28"/>
          <w:rtl/>
        </w:rPr>
      </w:pPr>
    </w:p>
    <w:p w14:paraId="771C0EC1" w14:textId="77777777" w:rsidR="00875B65" w:rsidRPr="00875B65" w:rsidRDefault="00875B65" w:rsidP="00875B65">
      <w:pPr>
        <w:spacing w:line="259" w:lineRule="auto"/>
        <w:rPr>
          <w:rFonts w:ascii="Sakkal Majalla" w:eastAsiaTheme="minorHAnsi" w:hAnsi="Sakkal Majalla" w:cs="Sakkal Majalla"/>
          <w:sz w:val="28"/>
          <w:szCs w:val="28"/>
          <w:rtl/>
        </w:rPr>
      </w:pPr>
    </w:p>
    <w:p w14:paraId="0A6F0AA3" w14:textId="77777777" w:rsidR="00875B65" w:rsidRPr="00875B65" w:rsidRDefault="00875B65" w:rsidP="00875B65">
      <w:pPr>
        <w:spacing w:line="259" w:lineRule="auto"/>
        <w:rPr>
          <w:rFonts w:ascii="Sakkal Majalla" w:eastAsiaTheme="minorHAnsi" w:hAnsi="Sakkal Majalla" w:cs="Sakkal Majalla"/>
          <w:sz w:val="28"/>
          <w:szCs w:val="28"/>
          <w:rtl/>
        </w:rPr>
      </w:pPr>
    </w:p>
    <w:p w14:paraId="60F7C0BE" w14:textId="77777777" w:rsidR="00875B65" w:rsidRPr="00875B65" w:rsidRDefault="00875B65" w:rsidP="00875B65">
      <w:pPr>
        <w:spacing w:line="259" w:lineRule="auto"/>
        <w:rPr>
          <w:rFonts w:ascii="Sakkal Majalla" w:eastAsiaTheme="minorHAnsi" w:hAnsi="Sakkal Majalla" w:cs="Sakkal Majalla"/>
          <w:sz w:val="28"/>
          <w:szCs w:val="28"/>
          <w:rtl/>
        </w:rPr>
      </w:pPr>
    </w:p>
    <w:p w14:paraId="1BAA1556" w14:textId="77777777" w:rsidR="00875B65" w:rsidRPr="00875B65" w:rsidRDefault="00875B65" w:rsidP="00875B65">
      <w:pPr>
        <w:spacing w:line="259" w:lineRule="auto"/>
        <w:rPr>
          <w:rFonts w:ascii="Sakkal Majalla" w:eastAsiaTheme="minorHAnsi" w:hAnsi="Sakkal Majalla" w:cs="Sakkal Majalla"/>
          <w:sz w:val="28"/>
          <w:szCs w:val="28"/>
          <w:rtl/>
        </w:rPr>
      </w:pPr>
    </w:p>
    <w:p w14:paraId="670155B0" w14:textId="77777777" w:rsidR="00875B65" w:rsidRPr="00875B65" w:rsidRDefault="00875B65" w:rsidP="00875B65">
      <w:pPr>
        <w:spacing w:line="259" w:lineRule="auto"/>
        <w:rPr>
          <w:rFonts w:ascii="Sakkal Majalla" w:eastAsiaTheme="minorHAnsi" w:hAnsi="Sakkal Majalla" w:cs="Sakkal Majalla"/>
          <w:sz w:val="28"/>
          <w:szCs w:val="28"/>
          <w:rtl/>
        </w:rPr>
      </w:pPr>
    </w:p>
    <w:p w14:paraId="39412BC9" w14:textId="77777777" w:rsidR="00875B65" w:rsidRPr="00875B65" w:rsidRDefault="00875B65" w:rsidP="00875B65">
      <w:pPr>
        <w:spacing w:line="259" w:lineRule="auto"/>
        <w:rPr>
          <w:rFonts w:ascii="Sakkal Majalla" w:eastAsiaTheme="minorHAnsi" w:hAnsi="Sakkal Majalla" w:cs="Sakkal Majalla"/>
          <w:sz w:val="28"/>
          <w:szCs w:val="28"/>
          <w:rtl/>
        </w:rPr>
      </w:pPr>
    </w:p>
    <w:p w14:paraId="1439989C" w14:textId="77777777" w:rsidR="00875B65" w:rsidRPr="00875B65" w:rsidRDefault="00875B65" w:rsidP="00875B65">
      <w:pPr>
        <w:spacing w:line="259" w:lineRule="auto"/>
        <w:rPr>
          <w:rFonts w:ascii="Sakkal Majalla" w:eastAsiaTheme="minorHAnsi" w:hAnsi="Sakkal Majalla" w:cs="Sakkal Majalla"/>
          <w:sz w:val="28"/>
          <w:szCs w:val="28"/>
          <w:rtl/>
        </w:rPr>
      </w:pPr>
    </w:p>
    <w:p w14:paraId="00A0634E" w14:textId="77777777" w:rsidR="00875B65" w:rsidRPr="00875B65" w:rsidRDefault="00875B65" w:rsidP="00875B65">
      <w:pPr>
        <w:spacing w:line="259" w:lineRule="auto"/>
        <w:rPr>
          <w:rFonts w:ascii="Sakkal Majalla" w:eastAsiaTheme="minorHAnsi" w:hAnsi="Sakkal Majalla" w:cs="Sakkal Majalla"/>
          <w:sz w:val="28"/>
          <w:szCs w:val="28"/>
          <w:u w:val="single"/>
          <w:rtl/>
        </w:rPr>
      </w:pPr>
      <w:r w:rsidRPr="00875B65">
        <w:rPr>
          <w:rFonts w:ascii="Sakkal Majalla" w:eastAsiaTheme="minorHAnsi" w:hAnsi="Sakkal Majalla" w:cs="Sakkal Majalla"/>
          <w:sz w:val="28"/>
          <w:szCs w:val="28"/>
          <w:u w:val="single"/>
          <w:rtl/>
        </w:rPr>
        <w:t xml:space="preserve">-مشكلة الدراسة. </w:t>
      </w:r>
    </w:p>
    <w:p w14:paraId="240E5784"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رغم التوجهات الحكومية الواضحة لتوطين المهن الصحية في المملكة العربية السعودية، والجهود المبذولة على صعيد السياسات والبرامج التدريبية، إلا أن الواقع العملي يشير إلى أن نسب التوطين في بعض التخصصات لا تزال دون المستوى المستهدف. ويظهر ذلك بوضوح في المهن الفنية والتمريضية، وفي بعض التخصصات الطبية الدقيقة مثل العناية المركزة والطوارئ والتخدير، التي تتطلب سنوات طويلة من التدريب والخبرة العملية.</w:t>
      </w:r>
    </w:p>
    <w:p w14:paraId="554034ED"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تكمن الإشكالية الأساسية في أن عملية إحلال الكوادر الوطنية محل الكوادر الأجنبية ليست مجرد عملية توظيف مباشرة، بل هي عملية معقدة تتطلب بنية تحتية تعليمية قوية، وبرامج تدريب متطورة، وبيئة عمل جاذبة، ونظام حوافز متكامل. وبدون تحقيق هذه العناصر، فإن عملية التوطين قد تواجه عقبات جوهرية، قد تؤدي إلى تأثير سلبي على جودة الخدمات الصحية المقدمة للمجتمع.</w:t>
      </w:r>
    </w:p>
    <w:p w14:paraId="1B3B4280"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 xml:space="preserve">إضافة إلى ذلك، فإن هناك فجوة واضحة بين مخرجات التعليم الصحي واحتياجات سوق العمل. فكثير من الخريجين يجدون أنفسهم أمام عقبات في الحصول على فرص عمل مناسبة، إما بسبب عدم توافر وظائف شاغرة تتناسب مع تخصصاتهم، أو </w:t>
      </w:r>
      <w:r w:rsidRPr="00875B65">
        <w:rPr>
          <w:rFonts w:ascii="Sakkal Majalla" w:hAnsi="Sakkal Majalla" w:cs="Sakkal Majalla"/>
          <w:kern w:val="0"/>
          <w:rtl/>
          <w14:ligatures w14:val="none"/>
        </w:rPr>
        <w:lastRenderedPageBreak/>
        <w:t>بسبب عدم امتلاكهم للمهارات العملية التي يتطلبها العمل في المؤسسات الصحية. وفي المقابل، تظل بعض المراكز والمستشفيات تعاني من نقص الكوادر في تخصصات معينة، ما يدفعها للاستمرار في استقدام العمالة الأجنبية لسد هذا العجز.</w:t>
      </w:r>
    </w:p>
    <w:p w14:paraId="4B72F4ED"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كما أن القطاع الخاص، الذي يمثل نسبة كبيرة من سوق العمل الصحي، لا يلتزم في أحيان كثيرة بتطبيق نسب التوطين بالشكل المطلوب، مفضّلًا توظيف عمالة أجنبية منخفضة التكلفة، وهو ما يعكس ضعف آليات الرقابة والجزاءات الرادعة. أضف إلى ذلك أن طبيعة بيئة العمل في المهن الصحية – من حيث ساعات العمل الطويلة، وضغط الحالات، والمسؤولية الكبيرة – تجعل من استبقاء الكوادر الوطنية تحديًا إضافيًا، خاصة في ظل وجود فرص عمل بديلة في قطاعات أخرى قد تكون أقل ضغطًا وأكثر جاذبية.</w:t>
      </w:r>
    </w:p>
    <w:p w14:paraId="142B0C6E"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انطلاقًا من ذلك، يمكن صياغة السؤال الرئيس للدراسة على النحو الآتي:</w:t>
      </w:r>
    </w:p>
    <w:p w14:paraId="528893C1"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ما أبرز التحديات التي تواجه توطين المهن في القطاع الصحي السعودي، وما الحلول المقترحة للتغلب عليها بما يضمن تحقيق أهداف رؤية المملكة 2030؟</w:t>
      </w:r>
    </w:p>
    <w:p w14:paraId="5C992B01"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ويتفرع من هذا السؤال الرئيس عدد من الأسئلة الفرعية، مثل:</w:t>
      </w:r>
    </w:p>
    <w:p w14:paraId="7B13A1AC" w14:textId="77777777" w:rsidR="00875B65" w:rsidRPr="00875B65" w:rsidRDefault="00875B65" w:rsidP="00875B65">
      <w:pPr>
        <w:numPr>
          <w:ilvl w:val="0"/>
          <w:numId w:val="2"/>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ما هو واقع التوطين في القطاع الصحي السعودي؟</w:t>
      </w:r>
    </w:p>
    <w:p w14:paraId="3B2E3B4C" w14:textId="77777777" w:rsidR="00875B65" w:rsidRPr="00875B65" w:rsidRDefault="00875B65" w:rsidP="00875B65">
      <w:pPr>
        <w:numPr>
          <w:ilvl w:val="0"/>
          <w:numId w:val="2"/>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ما العوامل التي تعيق إحلال الكفاءات الوطنية محل الكفاءات الأجنبية في المهن الصحية؟</w:t>
      </w:r>
    </w:p>
    <w:p w14:paraId="77A5972A" w14:textId="77777777" w:rsidR="00875B65" w:rsidRPr="00875B65" w:rsidRDefault="00875B65" w:rsidP="00875B65">
      <w:pPr>
        <w:numPr>
          <w:ilvl w:val="0"/>
          <w:numId w:val="2"/>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كيف تؤثر مخرجات التعليم والتدريب الصحي على فرص نجاح التوطين؟</w:t>
      </w:r>
    </w:p>
    <w:p w14:paraId="26A52E2E" w14:textId="77777777" w:rsidR="00875B65" w:rsidRPr="00875B65" w:rsidRDefault="00875B65" w:rsidP="00875B65">
      <w:pPr>
        <w:numPr>
          <w:ilvl w:val="0"/>
          <w:numId w:val="2"/>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ما مدى فعالية السياسات الحالية في تحقيق مستهدفات التوطين؟</w:t>
      </w:r>
    </w:p>
    <w:p w14:paraId="29E96138" w14:textId="77777777" w:rsidR="00875B65" w:rsidRPr="00875B65" w:rsidRDefault="00875B65" w:rsidP="00875B65">
      <w:pPr>
        <w:numPr>
          <w:ilvl w:val="0"/>
          <w:numId w:val="2"/>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ما المقترحات القابلة للتطبيق لتعزيز التوطين في هذا القطاع الحيوي؟</w:t>
      </w:r>
    </w:p>
    <w:p w14:paraId="79437842"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p>
    <w:p w14:paraId="2C6970CB"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p>
    <w:p w14:paraId="6418D61D"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p>
    <w:p w14:paraId="27DB037C"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p>
    <w:p w14:paraId="18216392"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p>
    <w:p w14:paraId="53F5A25E" w14:textId="77777777" w:rsidR="00875B65" w:rsidRPr="00875B65" w:rsidRDefault="00875B65" w:rsidP="00875B65">
      <w:pPr>
        <w:spacing w:line="259" w:lineRule="auto"/>
        <w:rPr>
          <w:rFonts w:ascii="Sakkal Majalla" w:eastAsiaTheme="minorHAnsi" w:hAnsi="Sakkal Majalla" w:cs="Sakkal Majalla"/>
          <w:sz w:val="28"/>
          <w:szCs w:val="28"/>
          <w:u w:val="single"/>
          <w:rtl/>
        </w:rPr>
      </w:pPr>
      <w:r w:rsidRPr="00875B65">
        <w:rPr>
          <w:rFonts w:ascii="Sakkal Majalla" w:eastAsiaTheme="minorHAnsi" w:hAnsi="Sakkal Majalla" w:cs="Sakkal Majalla"/>
          <w:sz w:val="28"/>
          <w:szCs w:val="28"/>
          <w:u w:val="single"/>
          <w:rtl/>
        </w:rPr>
        <w:t xml:space="preserve">-أهمية الدراسة. </w:t>
      </w:r>
    </w:p>
    <w:p w14:paraId="1162D12F"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أهمية هذا البحث تتوزع على عدة مستويات، وكل مستوى يتضمن أبعادًا عملية وتنموية واضحة:</w:t>
      </w:r>
    </w:p>
    <w:p w14:paraId="16FFB42B" w14:textId="77777777" w:rsidR="00875B65" w:rsidRPr="00875B65" w:rsidRDefault="00875B65" w:rsidP="00875B65">
      <w:pPr>
        <w:numPr>
          <w:ilvl w:val="0"/>
          <w:numId w:val="3"/>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الأهمية الوطنية</w:t>
      </w:r>
    </w:p>
    <w:p w14:paraId="6AAFA305" w14:textId="77777777" w:rsidR="00875B65" w:rsidRPr="00875B65" w:rsidRDefault="00875B65" w:rsidP="00875B65">
      <w:pPr>
        <w:numPr>
          <w:ilvl w:val="1"/>
          <w:numId w:val="3"/>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يسهم البحث في تحقيق أهداف رؤية 2030 المتعلقة برفع نسبة السعودة في القطاعات الحيوية، مما يعزز الاستقلالية الاقتصادية ويقلل الاعتماد على العمالة الأجنبية.</w:t>
      </w:r>
    </w:p>
    <w:p w14:paraId="6F0DE901" w14:textId="77777777" w:rsidR="00875B65" w:rsidRPr="00875B65" w:rsidRDefault="00875B65" w:rsidP="00875B65">
      <w:pPr>
        <w:numPr>
          <w:ilvl w:val="1"/>
          <w:numId w:val="3"/>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على سبيل المثال، الاعتماد الكبير على العمالة الوافدة في تخصصات حساسة مثل العناية المركزة يمكن أن يشكل خطرًا في حالات الأزمات العالمية، وبالتالي فإن التوطين يعزز من الأمن الصحي الوطني.</w:t>
      </w:r>
    </w:p>
    <w:p w14:paraId="03B0C4AD" w14:textId="77777777" w:rsidR="00875B65" w:rsidRPr="00875B65" w:rsidRDefault="00875B65" w:rsidP="00875B65">
      <w:pPr>
        <w:numPr>
          <w:ilvl w:val="0"/>
          <w:numId w:val="3"/>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الأهمية العملية</w:t>
      </w:r>
    </w:p>
    <w:p w14:paraId="2F75D752" w14:textId="77777777" w:rsidR="00875B65" w:rsidRPr="00875B65" w:rsidRDefault="00875B65" w:rsidP="00875B65">
      <w:pPr>
        <w:numPr>
          <w:ilvl w:val="1"/>
          <w:numId w:val="3"/>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lastRenderedPageBreak/>
        <w:t>يقدم البحث حلولًا مباشرة للتحديات الميدانية، مثل تحسين بيئة العمل في المستشفيات وتقليل معدل تسرب الكوادر الوطنية.</w:t>
      </w:r>
    </w:p>
    <w:p w14:paraId="56D240A6" w14:textId="77777777" w:rsidR="00875B65" w:rsidRPr="00875B65" w:rsidRDefault="00875B65" w:rsidP="00875B65">
      <w:pPr>
        <w:numPr>
          <w:ilvl w:val="1"/>
          <w:numId w:val="3"/>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مثال: إذا كانت ساعات العمل الطويلة سببًا في ترك الوظيفة، يمكن وضع نظام بدوام مرن أو ورديات مخففة.</w:t>
      </w:r>
    </w:p>
    <w:p w14:paraId="5B0714AB" w14:textId="77777777" w:rsidR="00875B65" w:rsidRPr="00875B65" w:rsidRDefault="00875B65" w:rsidP="00875B65">
      <w:pPr>
        <w:numPr>
          <w:ilvl w:val="1"/>
          <w:numId w:val="3"/>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كذلك يقترح البحث وضع برامج “تدريب منتهي بالتوظيف”، بحيث يحصل الخريج على ضمان وظيفي قبل بدء التدريب.</w:t>
      </w:r>
    </w:p>
    <w:p w14:paraId="39B0C155" w14:textId="77777777" w:rsidR="00875B65" w:rsidRPr="00875B65" w:rsidRDefault="00875B65" w:rsidP="00875B65">
      <w:pPr>
        <w:numPr>
          <w:ilvl w:val="0"/>
          <w:numId w:val="3"/>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الأهمية التنموية</w:t>
      </w:r>
    </w:p>
    <w:p w14:paraId="4CF5B238" w14:textId="77777777" w:rsidR="00875B65" w:rsidRPr="00875B65" w:rsidRDefault="00875B65" w:rsidP="00875B65">
      <w:pPr>
        <w:numPr>
          <w:ilvl w:val="1"/>
          <w:numId w:val="3"/>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التوطين يساهم في رفع كفاءة الخدمات الصحية من خلال بناء رأس مال بشري محلي يمتلك المعرفة بالسياق الثقافي والاجتماعي للمريض السعودي.</w:t>
      </w:r>
    </w:p>
    <w:p w14:paraId="08C2EE1B" w14:textId="77777777" w:rsidR="00875B65" w:rsidRPr="00875B65" w:rsidRDefault="00875B65" w:rsidP="00875B65">
      <w:pPr>
        <w:numPr>
          <w:ilvl w:val="1"/>
          <w:numId w:val="3"/>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على المدى الطويل، يقلل التوطين من فاتورة استقدام العمالة، ويعيد ضخ الرواتب في الاقتصاد المحلي بدل تحويلها للخارج.</w:t>
      </w:r>
    </w:p>
    <w:p w14:paraId="39353A88" w14:textId="77777777" w:rsidR="00875B65" w:rsidRPr="00875B65" w:rsidRDefault="00875B65" w:rsidP="00875B65">
      <w:pPr>
        <w:numPr>
          <w:ilvl w:val="0"/>
          <w:numId w:val="3"/>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الأهمية العلمية</w:t>
      </w:r>
    </w:p>
    <w:p w14:paraId="4A133A23" w14:textId="77777777" w:rsidR="00875B65" w:rsidRPr="00875B65" w:rsidRDefault="00875B65" w:rsidP="00875B65">
      <w:pPr>
        <w:numPr>
          <w:ilvl w:val="1"/>
          <w:numId w:val="3"/>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يسد البحث فجوة معرفية في الدراسات المتعلقة بتوطين المهن الصحية، خاصة أنه يجمع بين التحليل الأكاديمي والبيانات الواقعية المستندة إلى مصادر سعودية موثوقة بنسبة 90% أو أكثر.</w:t>
      </w:r>
    </w:p>
    <w:p w14:paraId="5EAA3C89" w14:textId="77777777" w:rsidR="00875B65" w:rsidRPr="00875B65" w:rsidRDefault="00875B65" w:rsidP="00875B65">
      <w:pPr>
        <w:numPr>
          <w:ilvl w:val="1"/>
          <w:numId w:val="3"/>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كما يمكن أن يشكل هذا البحث مرجعًا للباحثين وصناع القرار في تطوير سياسات التوطين الصحي مستقبلًا</w:t>
      </w:r>
    </w:p>
    <w:p w14:paraId="43E13C38"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14:ligatures w14:val="none"/>
        </w:rPr>
      </w:pPr>
      <w:bookmarkStart w:id="0" w:name="_Toc214212831"/>
      <w:r w:rsidRPr="00875B65">
        <w:rPr>
          <w:rFonts w:ascii="Sakkal Majalla" w:eastAsia="Times New Roman" w:hAnsi="Sakkal Majalla" w:cs="Sakkal Majalla"/>
          <w:b/>
          <w:bCs/>
          <w:kern w:val="0"/>
          <w:rtl/>
          <w14:ligatures w14:val="none"/>
        </w:rPr>
        <w:t>التحديات مع الحلول المقترحة</w:t>
      </w:r>
      <w:bookmarkEnd w:id="0"/>
      <w:r w:rsidRPr="00875B65">
        <w:rPr>
          <w:rFonts w:ascii="Sakkal Majalla" w:eastAsia="Times New Roman" w:hAnsi="Sakkal Majalla" w:cs="Sakkal Majalla"/>
          <w:b/>
          <w:bCs/>
          <w:kern w:val="0"/>
          <w:rtl/>
          <w14:ligatures w14:val="none"/>
        </w:rPr>
        <w:t xml:space="preserve"> </w:t>
      </w:r>
    </w:p>
    <w:p w14:paraId="32D01220"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1- فجوة التعليم وسوق العمل</w:t>
      </w:r>
    </w:p>
    <w:p w14:paraId="73543109"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تتمثل هذه الفجوة في أن مخرجات التعليم الصحي لا تتطابق بشكل كافٍ مع احتياجات سوق العمل الفعلية. على سبيل المثال، تشير بيانات جامعة الملك سعود إلى أن نسبة تصل إلى 38% من الخريجين الصحيين لا يتمكنون من الحصول على وظيفة خلال السنوات الثلاث الأولى بعد التخرج، والسبب في ذلك ليس فقط قلة الفرص، بل أيضًا ضعف المهارات العملية لدى الخريجين. كثير من البرامج الأكاديمية تركز على الجانب النظري، بينما الجانب التطبيقي – خاصة التدريب الإكلينيكي – محدود من حيث المدة أو الجودة .</w:t>
      </w:r>
    </w:p>
    <w:p w14:paraId="7FEA172F"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الحل المقترح:</w:t>
      </w:r>
    </w:p>
    <w:p w14:paraId="52885C16" w14:textId="77777777" w:rsidR="00875B65" w:rsidRPr="00875B65" w:rsidRDefault="00875B65" w:rsidP="00875B65">
      <w:pPr>
        <w:numPr>
          <w:ilvl w:val="0"/>
          <w:numId w:val="4"/>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تطوير المناهج لتتضمن مهارات عملية أساسية مثل إدارة الحالات الطارئة، استخدام الأجهزة الطبية الحديثة، والتعامل مع أنظمة السجلات الإلكترونية.</w:t>
      </w:r>
    </w:p>
    <w:p w14:paraId="54419521" w14:textId="77777777" w:rsidR="00875B65" w:rsidRPr="00875B65" w:rsidRDefault="00875B65" w:rsidP="00875B65">
      <w:pPr>
        <w:numPr>
          <w:ilvl w:val="0"/>
          <w:numId w:val="4"/>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فرض شراكات إلزامية بين الجامعات والمستشفيات والمراكز الصحية، بحيث يكون التدريب الميداني جزءًا أساسيًا من التخرج.</w:t>
      </w:r>
    </w:p>
    <w:p w14:paraId="7302E45C" w14:textId="77777777" w:rsidR="00875B65" w:rsidRPr="00875B65" w:rsidRDefault="00875B65" w:rsidP="00875B65">
      <w:pPr>
        <w:numPr>
          <w:ilvl w:val="0"/>
          <w:numId w:val="4"/>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إدخال برامج تدريب قصيرة المدى (دبلومات مهنية) لتأهيل الفنيين في التخصصات التي تعاني من نقص حاد، مثل الأشعة والعلاج التنفسي.</w:t>
      </w:r>
    </w:p>
    <w:p w14:paraId="50FF814D" w14:textId="77777777" w:rsidR="00875B65" w:rsidRPr="00875B65" w:rsidRDefault="00875B65" w:rsidP="00875B65">
      <w:pPr>
        <w:numPr>
          <w:ilvl w:val="0"/>
          <w:numId w:val="4"/>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تقييم دوري للمناهج كل 3–5 سنوات لضمان مواكبتها للتطورات في القطاع الصحي.</w:t>
      </w:r>
    </w:p>
    <w:p w14:paraId="751045C1"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2- بيئة العمل غير الجاذبة</w:t>
      </w:r>
    </w:p>
    <w:p w14:paraId="0C50F4B4"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تعتبر بيئة العمل أحد أهم العوامل التي تؤثر على استبقاء الكوادر الوطنية. وفق بعض الدراسات، تصل نسبة تسرب السعوديين من وظائف التمريض بعد السنة الأولى إلى 30% بسبب طول ساعات العمل، وضغط الحالات، وضعف الرواتب مقارنة بالقطاعات الأخرى . كما أن غياب مسارات مهنية واضحة يضعف الحافز للاستمرار في المهنة.</w:t>
      </w:r>
    </w:p>
    <w:p w14:paraId="18C84CF9"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lastRenderedPageBreak/>
        <w:t>الحل المقترح:</w:t>
      </w:r>
    </w:p>
    <w:p w14:paraId="573DAD0B" w14:textId="77777777" w:rsidR="00875B65" w:rsidRPr="00875B65" w:rsidRDefault="00875B65" w:rsidP="00875B65">
      <w:pPr>
        <w:numPr>
          <w:ilvl w:val="0"/>
          <w:numId w:val="5"/>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تحسين الحوافز المالية من خلال زيادات سنوية مرتبطة بالأداء، ومنح بدلات إضافية للتخصصات النادرة.</w:t>
      </w:r>
    </w:p>
    <w:p w14:paraId="74246EDC" w14:textId="77777777" w:rsidR="00875B65" w:rsidRPr="00875B65" w:rsidRDefault="00875B65" w:rsidP="00875B65">
      <w:pPr>
        <w:numPr>
          <w:ilvl w:val="0"/>
          <w:numId w:val="5"/>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توفير التأمين الصحي الشامل ومزايا اجتماعية مثل دعم السكن والمواصلات.</w:t>
      </w:r>
    </w:p>
    <w:p w14:paraId="34BDF565" w14:textId="77777777" w:rsidR="00875B65" w:rsidRPr="00875B65" w:rsidRDefault="00875B65" w:rsidP="00875B65">
      <w:pPr>
        <w:numPr>
          <w:ilvl w:val="0"/>
          <w:numId w:val="5"/>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إعادة توزيع عبء العمل من خلال زيادة عدد الموظفين في الأقسام التي تعاني من ضغط، وتطبيق نظام الورديات المرن لتقليل الإرهاق.</w:t>
      </w:r>
    </w:p>
    <w:p w14:paraId="767BE6C0" w14:textId="77777777" w:rsidR="00875B65" w:rsidRPr="00875B65" w:rsidRDefault="00875B65" w:rsidP="00875B65">
      <w:pPr>
        <w:numPr>
          <w:ilvl w:val="0"/>
          <w:numId w:val="5"/>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إيجاد مسارات مهنية واضحة تبدأ من الممارس المبتدئ وصولًا إلى المناصب الإدارية أو الاستشارية، مع برامج تدريب للترقي.</w:t>
      </w:r>
    </w:p>
    <w:p w14:paraId="0A504366"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3- ضعف التنسيق المؤسسي</w:t>
      </w:r>
    </w:p>
    <w:p w14:paraId="443645E5"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يعمل على ملف التوطين الصحي عدة جهات، مثل وزارة الصحة، وزارة الموارد البشرية، وزارة التعليم، والهيئة السعودية للتخصصات الصحية. هذا التعدد في الجهات قد يؤدي إلى تضارب السياسات أو بطء في التنفيذ، ويخلق فجوة بين التخطيط والتطبيق.</w:t>
      </w:r>
    </w:p>
    <w:p w14:paraId="7124319D"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الحل المقترح:</w:t>
      </w:r>
    </w:p>
    <w:p w14:paraId="1490428F" w14:textId="77777777" w:rsidR="00875B65" w:rsidRPr="00875B65" w:rsidRDefault="00875B65" w:rsidP="00875B65">
      <w:pPr>
        <w:numPr>
          <w:ilvl w:val="0"/>
          <w:numId w:val="6"/>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إنشاء هيئة وطنية موحدة لتوطين المهن الصحية تكون مسؤولة عن وضع السياسات، تنسيق الجهود، ومتابعة التنفيذ.</w:t>
      </w:r>
    </w:p>
    <w:p w14:paraId="7D56186D" w14:textId="77777777" w:rsidR="00875B65" w:rsidRPr="00875B65" w:rsidRDefault="00875B65" w:rsidP="00875B65">
      <w:pPr>
        <w:numPr>
          <w:ilvl w:val="0"/>
          <w:numId w:val="6"/>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 xml:space="preserve">وضع مؤشرات أداء </w:t>
      </w:r>
      <w:r w:rsidRPr="00875B65">
        <w:rPr>
          <w:rFonts w:ascii="Sakkal Majalla" w:hAnsi="Sakkal Majalla" w:cs="Sakkal Majalla"/>
          <w:kern w:val="0"/>
          <w14:ligatures w14:val="none"/>
        </w:rPr>
        <w:t>KPI</w:t>
      </w:r>
      <w:r w:rsidRPr="00875B65">
        <w:rPr>
          <w:rFonts w:ascii="Sakkal Majalla" w:hAnsi="Sakkal Majalla" w:cs="Sakkal Majalla"/>
          <w:kern w:val="0"/>
          <w:rtl/>
          <w14:ligatures w14:val="none"/>
        </w:rPr>
        <w:t xml:space="preserve"> واضحة لكل جهة مشاركة، مع آليات متابعة وتقييم ربع سنوي.</w:t>
      </w:r>
    </w:p>
    <w:p w14:paraId="6AF3FB71" w14:textId="77777777" w:rsidR="00875B65" w:rsidRPr="00875B65" w:rsidRDefault="00875B65" w:rsidP="00875B65">
      <w:pPr>
        <w:numPr>
          <w:ilvl w:val="0"/>
          <w:numId w:val="6"/>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توحيد قاعدة البيانات الوطنية بحيث يتم ربط جميع الخريجين الصحيين بالفرص المتاحة، وتحديثها باستمرار لتفادي التكرار أو الهدر في الموارد.</w:t>
      </w:r>
    </w:p>
    <w:p w14:paraId="2D0202D5"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4- هيمنة القطاع الخاص على التوظيف</w:t>
      </w:r>
    </w:p>
    <w:p w14:paraId="413364B2"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يمثل القطاع الخاص نسبة كبيرة من سوق العمل الصحي، لكنه لا يلتزم دائمًا بتطبيق نسب التوطين. غالبًا ما يفضل توظيف عمالة أجنبية بسبب انخفاض التكلفة، أو تصور أن الكادر الوطني أقل خبرة أو يحتاج إلى تدريب أطول.</w:t>
      </w:r>
    </w:p>
    <w:p w14:paraId="6BAAC6CB"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الحل المقترح:</w:t>
      </w:r>
    </w:p>
    <w:p w14:paraId="11995A8D" w14:textId="77777777" w:rsidR="00875B65" w:rsidRPr="00875B65" w:rsidRDefault="00875B65" w:rsidP="00875B65">
      <w:pPr>
        <w:numPr>
          <w:ilvl w:val="0"/>
          <w:numId w:val="7"/>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فرض نسب توطين تدريجية ملزمة، مع ربط الحصول على التراخيص أو تجديدها بالالتزام بهذه النسب.</w:t>
      </w:r>
    </w:p>
    <w:p w14:paraId="43338FFD" w14:textId="77777777" w:rsidR="00875B65" w:rsidRPr="00875B65" w:rsidRDefault="00875B65" w:rsidP="00875B65">
      <w:pPr>
        <w:numPr>
          <w:ilvl w:val="0"/>
          <w:numId w:val="7"/>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تقديم حوافز مالية وضريبية للمنشآت التي تتجاوز نسب التوطين المحددة، مثل دعم الأجور أو تخفيض الرسوم الحكومية.</w:t>
      </w:r>
    </w:p>
    <w:p w14:paraId="2C27C2AA" w14:textId="77777777" w:rsidR="00875B65" w:rsidRPr="00875B65" w:rsidRDefault="00875B65" w:rsidP="00875B65">
      <w:pPr>
        <w:numPr>
          <w:ilvl w:val="0"/>
          <w:numId w:val="7"/>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إطلاق حملات توعية لرجال الأعمال والمستثمرين لعرض قصص نجاح الكوادر الوطنية، وكسر الصور النمطية السلبية.</w:t>
      </w:r>
    </w:p>
    <w:p w14:paraId="0C63C0DD" w14:textId="77777777" w:rsidR="00875B65" w:rsidRPr="00875B65" w:rsidRDefault="00875B65" w:rsidP="00875B65">
      <w:pPr>
        <w:numPr>
          <w:ilvl w:val="0"/>
          <w:numId w:val="7"/>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 xml:space="preserve">تطبيق غرامات وعقوبات تصاعدية على المنشآت المخالفة، لضمان الالتزام الفعلي وليس الشكلي. </w:t>
      </w:r>
    </w:p>
    <w:p w14:paraId="69EA8E3D"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p>
    <w:p w14:paraId="665F9D97"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p>
    <w:p w14:paraId="7D2D851D"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p>
    <w:p w14:paraId="5658B2E1" w14:textId="77777777" w:rsidR="00875B65" w:rsidRPr="00875B65" w:rsidRDefault="00875B65" w:rsidP="00875B65">
      <w:pPr>
        <w:spacing w:line="259" w:lineRule="auto"/>
        <w:rPr>
          <w:rFonts w:ascii="Sakkal Majalla" w:eastAsiaTheme="minorHAnsi" w:hAnsi="Sakkal Majalla" w:cs="Sakkal Majalla"/>
          <w:sz w:val="28"/>
          <w:szCs w:val="28"/>
          <w:u w:val="single"/>
          <w:rtl/>
        </w:rPr>
      </w:pPr>
      <w:r w:rsidRPr="00875B65">
        <w:rPr>
          <w:rFonts w:ascii="Sakkal Majalla" w:eastAsiaTheme="minorHAnsi" w:hAnsi="Sakkal Majalla" w:cs="Sakkal Majalla"/>
          <w:sz w:val="28"/>
          <w:szCs w:val="28"/>
          <w:u w:val="single"/>
          <w:rtl/>
        </w:rPr>
        <w:lastRenderedPageBreak/>
        <w:t xml:space="preserve">-أهداف الدراسة. </w:t>
      </w:r>
    </w:p>
    <w:p w14:paraId="23D339A2"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يهدف هذا البحث إلى معالجة قضية توطين المهن في القطاع الصحي السعودي من منظور شامل، يجمع بين التحليل الأكاديمي والجانب العملي، عبر تحقيق الأهداف التالية:</w:t>
      </w:r>
    </w:p>
    <w:p w14:paraId="7956B1CC" w14:textId="77777777" w:rsidR="00875B65" w:rsidRPr="00875B65" w:rsidRDefault="00875B65" w:rsidP="00875B65">
      <w:pPr>
        <w:numPr>
          <w:ilvl w:val="0"/>
          <w:numId w:val="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تحليل واقع التوطين في المهن الصحية</w:t>
      </w:r>
    </w:p>
    <w:p w14:paraId="0DEFD6EC" w14:textId="77777777" w:rsidR="00875B65" w:rsidRPr="00875B65" w:rsidRDefault="00875B65" w:rsidP="00875B65">
      <w:pPr>
        <w:numPr>
          <w:ilvl w:val="1"/>
          <w:numId w:val="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من خلال دراسة نسب التوطين الحالية في التخصصات الطبية، التمريضية، والفنية المساندة، استنادًا إلى بيانات وتقارير رسمية سعودية.</w:t>
      </w:r>
    </w:p>
    <w:p w14:paraId="4514E04B" w14:textId="77777777" w:rsidR="00875B65" w:rsidRPr="00875B65" w:rsidRDefault="00875B65" w:rsidP="00875B65">
      <w:pPr>
        <w:numPr>
          <w:ilvl w:val="1"/>
          <w:numId w:val="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يهدف التحليل إلى كشف الفجوات بين الوضع القائم والمستهدفات المحددة في رؤية 2030.</w:t>
      </w:r>
    </w:p>
    <w:p w14:paraId="4CED7ECD" w14:textId="77777777" w:rsidR="00875B65" w:rsidRPr="00875B65" w:rsidRDefault="00875B65" w:rsidP="00875B65">
      <w:pPr>
        <w:numPr>
          <w:ilvl w:val="0"/>
          <w:numId w:val="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تحديد وتحليل التحديات التي تواجه الكوادر الوطنية</w:t>
      </w:r>
    </w:p>
    <w:p w14:paraId="4E266B58" w14:textId="77777777" w:rsidR="00875B65" w:rsidRPr="00875B65" w:rsidRDefault="00875B65" w:rsidP="00875B65">
      <w:pPr>
        <w:numPr>
          <w:ilvl w:val="1"/>
          <w:numId w:val="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دراسة العوائق الجذرية التي تمنع دخول السعوديين أو استمرارهم في المهن الصحية، مثل فجوة التعليم وسوق العمل، وبيئة العمل غير الجاذبة، وضعف التنسيق المؤسسي، وهيمنة القطاع الخاص.</w:t>
      </w:r>
    </w:p>
    <w:p w14:paraId="32F0E5E3" w14:textId="77777777" w:rsidR="00875B65" w:rsidRPr="00875B65" w:rsidRDefault="00875B65" w:rsidP="00875B65">
      <w:pPr>
        <w:numPr>
          <w:ilvl w:val="0"/>
          <w:numId w:val="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تقييم السياسات والبرامج الحكومية الحالية</w:t>
      </w:r>
    </w:p>
    <w:p w14:paraId="5EB003EA" w14:textId="77777777" w:rsidR="00875B65" w:rsidRPr="00875B65" w:rsidRDefault="00875B65" w:rsidP="00875B65">
      <w:pPr>
        <w:numPr>
          <w:ilvl w:val="1"/>
          <w:numId w:val="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مراجعة مبادرات مثل “السعودة” و”نطاقات” وبرامج الدعم الخاصة بالقطاع الصحي، وتحديد جوانب النجاح والقصور فيها.</w:t>
      </w:r>
    </w:p>
    <w:p w14:paraId="219308AB" w14:textId="77777777" w:rsidR="00875B65" w:rsidRPr="00875B65" w:rsidRDefault="00875B65" w:rsidP="00875B65">
      <w:pPr>
        <w:numPr>
          <w:ilvl w:val="0"/>
          <w:numId w:val="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اقتراح حلول عملية ومستدامة</w:t>
      </w:r>
    </w:p>
    <w:p w14:paraId="20C047BD" w14:textId="77777777" w:rsidR="00875B65" w:rsidRPr="00875B65" w:rsidRDefault="00875B65" w:rsidP="00875B65">
      <w:pPr>
        <w:numPr>
          <w:ilvl w:val="1"/>
          <w:numId w:val="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وضع خريطة طريق متكاملة تشمل حلولًا قصيرة المدى (مثل زيادة الحوافز وتحسين بيئة العمل) وأخرى طويلة المدى (مثل إصلاح المناهج وبناء أنظمة تدريب متكاملة).</w:t>
      </w:r>
    </w:p>
    <w:p w14:paraId="0B8CD94E" w14:textId="77777777" w:rsidR="00875B65" w:rsidRPr="00875B65" w:rsidRDefault="00875B65" w:rsidP="00875B65">
      <w:pPr>
        <w:numPr>
          <w:ilvl w:val="0"/>
          <w:numId w:val="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مواءمة التعليم والتدريب مع متطلبات السوق</w:t>
      </w:r>
    </w:p>
    <w:p w14:paraId="35794F4B" w14:textId="77777777" w:rsidR="00875B65" w:rsidRPr="00875B65" w:rsidRDefault="00875B65" w:rsidP="00875B65">
      <w:pPr>
        <w:numPr>
          <w:ilvl w:val="1"/>
          <w:numId w:val="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تطوير برامج أكاديمية ومهنية تتماشى مع احتياجات المستشفيات والمراكز الصحية، مع تعزيز التدريب العملي الميداني كجزء أساسي من التأهيل.</w:t>
      </w:r>
    </w:p>
    <w:p w14:paraId="09E3AE71" w14:textId="77777777" w:rsidR="00875B65" w:rsidRPr="00875B65" w:rsidRDefault="00875B65" w:rsidP="00875B65">
      <w:pPr>
        <w:bidi w:val="0"/>
        <w:spacing w:after="0" w:line="240" w:lineRule="auto"/>
        <w:rPr>
          <w:rFonts w:ascii="Sakkal Majalla" w:eastAsia="Times New Roman" w:hAnsi="Sakkal Majalla" w:cs="Sakkal Majalla"/>
          <w:kern w:val="0"/>
          <w:rtl/>
          <w14:ligatures w14:val="none"/>
        </w:rPr>
      </w:pPr>
    </w:p>
    <w:p w14:paraId="7EA7CF62"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06CBD47F"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54A3C335"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2984B580"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6333C2E5"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53C8AB66"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54644A96"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268E30DD"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37F555FE"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59F0C498"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04B2D476"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5B8D7328" w14:textId="77777777" w:rsidR="00875B65" w:rsidRPr="00875B65" w:rsidRDefault="00875B65" w:rsidP="00875B65">
      <w:pPr>
        <w:spacing w:line="259" w:lineRule="auto"/>
        <w:rPr>
          <w:rFonts w:ascii="Sakkal Majalla" w:eastAsiaTheme="minorHAnsi" w:hAnsi="Sakkal Majalla" w:cs="Sakkal Majalla"/>
          <w:sz w:val="28"/>
          <w:szCs w:val="28"/>
          <w:u w:val="single"/>
          <w:rtl/>
        </w:rPr>
      </w:pPr>
      <w:r w:rsidRPr="00875B65">
        <w:rPr>
          <w:rFonts w:ascii="Sakkal Majalla" w:eastAsiaTheme="minorHAnsi" w:hAnsi="Sakkal Majalla" w:cs="Sakkal Majalla"/>
          <w:sz w:val="28"/>
          <w:szCs w:val="28"/>
          <w:u w:val="single"/>
          <w:rtl/>
        </w:rPr>
        <w:lastRenderedPageBreak/>
        <w:t xml:space="preserve">-تساؤلات الدراسة </w:t>
      </w:r>
    </w:p>
    <w:p w14:paraId="5C879986"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14:ligatures w14:val="none"/>
        </w:rPr>
      </w:pPr>
      <w:bookmarkStart w:id="1" w:name="_Toc214212832"/>
      <w:r w:rsidRPr="00875B65">
        <w:rPr>
          <w:rFonts w:ascii="Sakkal Majalla" w:eastAsia="Times New Roman" w:hAnsi="Sakkal Majalla" w:cs="Sakkal Majalla"/>
          <w:b/>
          <w:bCs/>
          <w:kern w:val="0"/>
          <w:rtl/>
          <w14:ligatures w14:val="none"/>
        </w:rPr>
        <w:t>التساؤل الرئيسي</w:t>
      </w:r>
      <w:bookmarkEnd w:id="1"/>
    </w:p>
    <w:p w14:paraId="59199B45"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تنطلق هذه الدراسة من تساؤل محوري كبير:</w:t>
      </w:r>
    </w:p>
    <w:p w14:paraId="46668DFE"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ما أبرز التحديات التي تواجه توطين المهن في القطاع الصحي السعودي، وما الحلول المقترحة للتغلب عليها بما يضمن تحقيق مستهدفات رؤية المملكة 2030 مع المحافظة على جودة الخدمات الصحية وكفاءتها؟</w:t>
      </w:r>
    </w:p>
    <w:p w14:paraId="676220A3"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هذا التساؤل الرئيس هو البوصلة التي توجه الدراسة بكاملها، لأنه يجمع بين البُعد التحليلي (فهم التحديات) والبُعد التطبيقي (اقتراح الحلول). ومن خلاله تسعى الدراسة إلى رسم صورة واضحة للواقع، ثم تقديم بدائل عملية تراعي خصوصية القطاع الصحي السعودي.</w:t>
      </w:r>
    </w:p>
    <w:p w14:paraId="3A8B057A" w14:textId="77777777" w:rsidR="00875B65" w:rsidRPr="00875B65" w:rsidRDefault="00875B65" w:rsidP="00875B65">
      <w:pPr>
        <w:bidi w:val="0"/>
        <w:spacing w:before="100" w:beforeAutospacing="1" w:after="100" w:afterAutospacing="1" w:line="240" w:lineRule="auto"/>
        <w:jc w:val="right"/>
        <w:outlineLvl w:val="2"/>
        <w:rPr>
          <w:rFonts w:ascii="Sakkal Majalla" w:hAnsi="Sakkal Majalla" w:cs="Sakkal Majalla"/>
          <w:b/>
          <w:bCs/>
          <w:kern w:val="0"/>
          <w14:ligatures w14:val="none"/>
        </w:rPr>
      </w:pPr>
      <w:bookmarkStart w:id="2" w:name="_Toc214212833"/>
      <w:r w:rsidRPr="00875B65">
        <w:rPr>
          <w:rFonts w:ascii="Sakkal Majalla" w:eastAsia="Times New Roman" w:hAnsi="Sakkal Majalla" w:cs="Sakkal Majalla"/>
          <w:b/>
          <w:bCs/>
          <w:kern w:val="0"/>
          <w:rtl/>
          <w14:ligatures w14:val="none"/>
        </w:rPr>
        <w:t>التساؤلات الفرعية</w:t>
      </w:r>
      <w:bookmarkEnd w:id="2"/>
    </w:p>
    <w:p w14:paraId="025DE141" w14:textId="77777777" w:rsidR="00875B65" w:rsidRPr="00875B65" w:rsidRDefault="00875B65" w:rsidP="00875B65">
      <w:pPr>
        <w:numPr>
          <w:ilvl w:val="0"/>
          <w:numId w:val="9"/>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ما هو واقع التوطين الحالي في القطاع الصحي السعودي؟</w:t>
      </w:r>
    </w:p>
    <w:p w14:paraId="66973C79" w14:textId="77777777" w:rsidR="00875B65" w:rsidRPr="00875B65" w:rsidRDefault="00875B65" w:rsidP="00875B65">
      <w:pPr>
        <w:numPr>
          <w:ilvl w:val="1"/>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هذا السؤال يهدف إلى معرفة أين نقف اليوم: ما هي نسب التوطين الفعلية في التخصصات الصحية المختلفة؟ كيف توزعت الكوادر الوطنية بين القطاعين العام والخاص؟ وما الفروق بينهما؟</w:t>
      </w:r>
    </w:p>
    <w:p w14:paraId="52F7E133" w14:textId="77777777" w:rsidR="00875B65" w:rsidRPr="00875B65" w:rsidRDefault="00875B65" w:rsidP="00875B65">
      <w:pPr>
        <w:numPr>
          <w:ilvl w:val="1"/>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الإجابة عنه مهمة لأنها تشكل خط الأساس لأي إصلاح أو خطة مستقبلية، فإذا لم نعرف حجم المشكلة بدقة، فلن نستطيع معالجتها بفاعلية.</w:t>
      </w:r>
    </w:p>
    <w:p w14:paraId="0A8739F2" w14:textId="77777777" w:rsidR="00875B65" w:rsidRPr="00875B65" w:rsidRDefault="00875B65" w:rsidP="00875B65">
      <w:pPr>
        <w:numPr>
          <w:ilvl w:val="0"/>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ما أبرز العوامل التي تعيق دخول الكوادر الوطنية إلى المهن الصحية؟</w:t>
      </w:r>
    </w:p>
    <w:p w14:paraId="00C6B948" w14:textId="77777777" w:rsidR="00875B65" w:rsidRPr="00875B65" w:rsidRDefault="00875B65" w:rsidP="00875B65">
      <w:pPr>
        <w:numPr>
          <w:ilvl w:val="1"/>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هنا لا نتحدث عن معوقات سطحية، بل عن أسباب عميقة: هل المشكلة في المناهج التعليمية التي لا تزوّد الطلاب بالمهارات الكافية؟ أم في بيئة العمل التي تفتقر إلى الحوافز؟ أم في ضعف التنسيق بين وزارات التعليم والصحة والموارد البشرية؟</w:t>
      </w:r>
    </w:p>
    <w:p w14:paraId="62BEB3C1" w14:textId="77777777" w:rsidR="00875B65" w:rsidRPr="00875B65" w:rsidRDefault="00875B65" w:rsidP="00875B65">
      <w:pPr>
        <w:numPr>
          <w:ilvl w:val="1"/>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فهم هذه العوامل يساعد على توجيه الحلول نحو جذور المشكلة بدل معالجة الأعراض فقط.</w:t>
      </w:r>
    </w:p>
    <w:p w14:paraId="4902E096" w14:textId="77777777" w:rsidR="00875B65" w:rsidRPr="00875B65" w:rsidRDefault="00875B65" w:rsidP="00875B65">
      <w:pPr>
        <w:numPr>
          <w:ilvl w:val="0"/>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كيف تؤثر مخرجات التعليم والتدريب الصحي على فرص نجاح التوطين؟</w:t>
      </w:r>
    </w:p>
    <w:p w14:paraId="0E6EA7E5" w14:textId="77777777" w:rsidR="00875B65" w:rsidRPr="00875B65" w:rsidRDefault="00875B65" w:rsidP="00875B65">
      <w:pPr>
        <w:numPr>
          <w:ilvl w:val="1"/>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هذا السؤال يختبر العلاقة بين التعليم وسوق العمل: هل مخرجات كليات الطب والتمريض متوافقة مع احتياجات المستشفيات والمراكز الصحية؟ أم أن هناك فجوة تجعل الخريجين غير مؤهلين للاندماج المباشر؟</w:t>
      </w:r>
    </w:p>
    <w:p w14:paraId="462BC805" w14:textId="77777777" w:rsidR="00875B65" w:rsidRPr="00875B65" w:rsidRDefault="00875B65" w:rsidP="00875B65">
      <w:pPr>
        <w:numPr>
          <w:ilvl w:val="1"/>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الإجابة عن هذا التساؤل ستحدد الحاجة إلى تطوير المناهج، وزيادة التدريب الإكلينيكي، وإطلاق برامج تدريب منتهية بالتوظيف.</w:t>
      </w:r>
    </w:p>
    <w:p w14:paraId="18A53AC4" w14:textId="77777777" w:rsidR="00875B65" w:rsidRPr="00875B65" w:rsidRDefault="00875B65" w:rsidP="00875B65">
      <w:pPr>
        <w:numPr>
          <w:ilvl w:val="0"/>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ما مدى فعالية السياسات الحكومية الحالية في تحقيق مستهدفات التوطين؟</w:t>
      </w:r>
    </w:p>
    <w:p w14:paraId="15CC279B" w14:textId="77777777" w:rsidR="00875B65" w:rsidRPr="00875B65" w:rsidRDefault="00875B65" w:rsidP="00875B65">
      <w:pPr>
        <w:numPr>
          <w:ilvl w:val="1"/>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المملكة أطلقت برامج مثل “نطاقات” و”السعودة”، وأصدرت تقارير سنوية عن نسب التوطين. لكن هل هذه البرامج فعّالة في القطاع الصحي تحديدًا؟ أم أن طبيعة هذا القطاع تجعله مختلفًا عن غيره؟</w:t>
      </w:r>
    </w:p>
    <w:p w14:paraId="541813D7" w14:textId="77777777" w:rsidR="00875B65" w:rsidRPr="00875B65" w:rsidRDefault="00875B65" w:rsidP="00875B65">
      <w:pPr>
        <w:numPr>
          <w:ilvl w:val="1"/>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هذا التساؤل يسعى لقياس قوة التشريعات الحالية، ودرجة التزام المستشفيات بتطبيقها، ومدى جدوى الدعم الحكومي في تحفيز التوطين.</w:t>
      </w:r>
    </w:p>
    <w:p w14:paraId="3ABDF13A" w14:textId="77777777" w:rsidR="00875B65" w:rsidRPr="00875B65" w:rsidRDefault="00875B65" w:rsidP="00875B65">
      <w:pPr>
        <w:numPr>
          <w:ilvl w:val="0"/>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ما الدور الذي يلعبه القطاع الخاص في إنجاح أو إعاقة عملية التوطين؟</w:t>
      </w:r>
    </w:p>
    <w:p w14:paraId="23DC1AE9" w14:textId="77777777" w:rsidR="00875B65" w:rsidRPr="00875B65" w:rsidRDefault="00875B65" w:rsidP="00875B65">
      <w:pPr>
        <w:numPr>
          <w:ilvl w:val="1"/>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بما أن القطاع الخاص يمثل شريحة واسعة من السوق الصحي، فإن التوطين لن ينجح بدون مشاركته الفاعلة. لكن هل يلتزم هذا القطاع فعلاً بنسب السعودة؟ أم أنه يلجأ للعمالة الأجنبية الأرخص تكلفة والأكثر مرونة؟</w:t>
      </w:r>
    </w:p>
    <w:p w14:paraId="4E011225" w14:textId="77777777" w:rsidR="00875B65" w:rsidRPr="00875B65" w:rsidRDefault="00875B65" w:rsidP="00875B65">
      <w:pPr>
        <w:numPr>
          <w:ilvl w:val="1"/>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هذا التساؤل يفتح الباب لمناقشة الحوافز التي يمكن أن تُمنح للقطاع الخاص الملتزم، والعقوبات التي يجب فرضها على غير الملتزمين.</w:t>
      </w:r>
    </w:p>
    <w:p w14:paraId="1A21E372" w14:textId="77777777" w:rsidR="00875B65" w:rsidRPr="00875B65" w:rsidRDefault="00875B65" w:rsidP="00875B65">
      <w:pPr>
        <w:numPr>
          <w:ilvl w:val="0"/>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lastRenderedPageBreak/>
        <w:t>ما الحلول العملية والمستدامة التي يمكن أن تساهم في تعزيز توطين المهن الصحية؟</w:t>
      </w:r>
    </w:p>
    <w:p w14:paraId="211F4344" w14:textId="77777777" w:rsidR="00875B65" w:rsidRPr="00875B65" w:rsidRDefault="00875B65" w:rsidP="00875B65">
      <w:pPr>
        <w:numPr>
          <w:ilvl w:val="1"/>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هذا السؤال يركز على الجانب العملي: ما نوع الحلول التي تحقق التوطين دون التضحية بجودة الخدمات الصحية؟</w:t>
      </w:r>
    </w:p>
    <w:p w14:paraId="476439AE" w14:textId="77777777" w:rsidR="00875B65" w:rsidRPr="00875B65" w:rsidRDefault="00875B65" w:rsidP="00875B65">
      <w:pPr>
        <w:numPr>
          <w:ilvl w:val="1"/>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الإجابة المتوقعة تتضمن حلولًا قصيرة المدى مثل تحسين الرواتب والحوافز، وحلولًا طويلة المدى مثل إعادة هيكلة التعليم الصحي وإنشاء هيئة وطنية موحدة للتوطين.</w:t>
      </w:r>
    </w:p>
    <w:p w14:paraId="6B05A7F8" w14:textId="77777777" w:rsidR="00875B65" w:rsidRPr="00875B65" w:rsidRDefault="00875B65" w:rsidP="00875B65">
      <w:pPr>
        <w:numPr>
          <w:ilvl w:val="0"/>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كيف يمكن تحقيق التوازن بين التوطين وجودة الرعاية الصحية؟</w:t>
      </w:r>
    </w:p>
    <w:p w14:paraId="5309B42D" w14:textId="77777777" w:rsidR="00875B65" w:rsidRPr="00875B65" w:rsidRDefault="00875B65" w:rsidP="00875B65">
      <w:pPr>
        <w:numPr>
          <w:ilvl w:val="1"/>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هذا التساؤل مكمّل للتساؤل الرئيسي: لأن التوطين إذا لم يكن مدروسًا فقد يؤدي إلى نقص في الكفاءات أو انخفاض في مستوى الخدمة.</w:t>
      </w:r>
    </w:p>
    <w:p w14:paraId="36520F85" w14:textId="77777777" w:rsidR="00875B65" w:rsidRPr="00875B65" w:rsidRDefault="00875B65" w:rsidP="00875B65">
      <w:pPr>
        <w:numPr>
          <w:ilvl w:val="1"/>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لذلك تطرح الدراسة هذا السؤال للتأكيد على أن الهدف ليس “إحلال الكوادر الوطنية فقط”، بل “إحلال مؤهل ومدروس يضمن استمرارية جودة الخدمات”.</w:t>
      </w:r>
    </w:p>
    <w:p w14:paraId="052A2DBF" w14:textId="77777777" w:rsidR="00875B65" w:rsidRPr="00875B65" w:rsidRDefault="00875B65" w:rsidP="00875B65">
      <w:pPr>
        <w:numPr>
          <w:ilvl w:val="0"/>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ما أثر التوطين على الاقتصاد الوطني والأمن الصحي؟</w:t>
      </w:r>
    </w:p>
    <w:p w14:paraId="3E29B65A" w14:textId="77777777" w:rsidR="00875B65" w:rsidRPr="00875B65" w:rsidRDefault="00875B65" w:rsidP="00875B65">
      <w:pPr>
        <w:numPr>
          <w:ilvl w:val="1"/>
          <w:numId w:val="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هنا يتجاوز البحث نطاق القطاع الصحي الضيق، ليدرس انعكاسات التوطين على الاقتصاد الكلي (تقليل التحويلات المالية للخارج، رفع معدلات التوظيف الوطني)، وعلى الأمن الصحي (الاعتماد على كوادر وطنية قادرة على مواجهة الأزمات مثل الجوائح).</w:t>
      </w:r>
    </w:p>
    <w:p w14:paraId="61457CDA" w14:textId="77777777" w:rsidR="00875B65" w:rsidRPr="00875B65" w:rsidRDefault="00875B65" w:rsidP="00875B65">
      <w:pPr>
        <w:bidi w:val="0"/>
        <w:spacing w:before="100" w:beforeAutospacing="1" w:after="100" w:afterAutospacing="1" w:line="240" w:lineRule="auto"/>
        <w:jc w:val="right"/>
        <w:outlineLvl w:val="2"/>
        <w:rPr>
          <w:rFonts w:ascii="Sakkal Majalla" w:hAnsi="Sakkal Majalla" w:cs="Sakkal Majalla"/>
          <w:b/>
          <w:bCs/>
          <w:kern w:val="0"/>
          <w:sz w:val="22"/>
          <w:szCs w:val="22"/>
          <w14:ligatures w14:val="none"/>
        </w:rPr>
      </w:pPr>
      <w:bookmarkStart w:id="3" w:name="_Toc214212834"/>
      <w:r w:rsidRPr="00875B65">
        <w:rPr>
          <w:rFonts w:ascii="Sakkal Majalla" w:eastAsia="Times New Roman" w:hAnsi="Sakkal Majalla" w:cs="Sakkal Majalla"/>
          <w:b/>
          <w:bCs/>
          <w:kern w:val="0"/>
          <w:sz w:val="22"/>
          <w:szCs w:val="22"/>
          <w:rtl/>
          <w14:ligatures w14:val="none"/>
        </w:rPr>
        <w:t>أهمية صياغة هذه التساؤلات</w:t>
      </w:r>
      <w:bookmarkEnd w:id="3"/>
    </w:p>
    <w:p w14:paraId="41D38F16"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هذه التساؤلات ليست مجرد صياغة شكلية، بل هي أداة منهجية لتفكيك المشكلة إلى مكونات صغيرة قابلة للتحليل. وكل سؤال منها يقود إلى محور من محاور البحث:</w:t>
      </w:r>
    </w:p>
    <w:p w14:paraId="6C251B4D" w14:textId="77777777" w:rsidR="00875B65" w:rsidRPr="00875B65" w:rsidRDefault="00875B65" w:rsidP="00875B65">
      <w:pPr>
        <w:numPr>
          <w:ilvl w:val="0"/>
          <w:numId w:val="10"/>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السؤال الأول والثاني = الإطار العام للمشكلة.</w:t>
      </w:r>
    </w:p>
    <w:p w14:paraId="669550C8" w14:textId="77777777" w:rsidR="00875B65" w:rsidRPr="00875B65" w:rsidRDefault="00875B65" w:rsidP="00875B65">
      <w:pPr>
        <w:numPr>
          <w:ilvl w:val="0"/>
          <w:numId w:val="10"/>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السؤال الثالث والرابع = تحليل التعليم والسياسات الحكومية.</w:t>
      </w:r>
    </w:p>
    <w:p w14:paraId="0948F395" w14:textId="77777777" w:rsidR="00875B65" w:rsidRPr="00875B65" w:rsidRDefault="00875B65" w:rsidP="00875B65">
      <w:pPr>
        <w:numPr>
          <w:ilvl w:val="0"/>
          <w:numId w:val="10"/>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السؤال الخامس والسادس = دور القطاع الخاص والحلول العملية.</w:t>
      </w:r>
    </w:p>
    <w:p w14:paraId="4EB55652" w14:textId="77777777" w:rsidR="00875B65" w:rsidRPr="00875B65" w:rsidRDefault="00875B65" w:rsidP="00875B65">
      <w:pPr>
        <w:numPr>
          <w:ilvl w:val="0"/>
          <w:numId w:val="10"/>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السؤال السابع والثامن = النتائج المتوقعة والأبعاد الوطنية.</w:t>
      </w:r>
    </w:p>
    <w:p w14:paraId="1DBD74AA"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بهذا الشكل، تصبح الدراسة مبنية على سلسلة من الأسئلة المترابطة، تضمن أن النتائج والتوصيات النهائية لن تكون عشوائية، بل منبثقة من تحليل منهجي متكامل</w:t>
      </w:r>
    </w:p>
    <w:p w14:paraId="08314E51" w14:textId="77777777" w:rsidR="00875B65" w:rsidRPr="00875B65" w:rsidRDefault="00875B65" w:rsidP="00875B65">
      <w:pPr>
        <w:spacing w:line="259" w:lineRule="auto"/>
        <w:jc w:val="center"/>
        <w:rPr>
          <w:rFonts w:ascii="Sakkal Majalla" w:eastAsiaTheme="minorHAnsi" w:hAnsi="Sakkal Majalla" w:cs="Sakkal Majalla"/>
          <w:sz w:val="28"/>
          <w:szCs w:val="28"/>
          <w:rtl/>
        </w:rPr>
      </w:pPr>
      <w:r w:rsidRPr="00875B65">
        <w:rPr>
          <w:rFonts w:ascii="Sakkal Majalla" w:eastAsiaTheme="minorHAnsi" w:hAnsi="Sakkal Majalla" w:cs="Sakkal Majalla"/>
          <w:noProof/>
          <w:sz w:val="28"/>
          <w:szCs w:val="28"/>
          <w:rtl/>
          <w:lang w:val="ar-SA"/>
        </w:rPr>
        <w:lastRenderedPageBreak/>
        <w:drawing>
          <wp:anchor distT="0" distB="0" distL="114300" distR="114300" simplePos="0" relativeHeight="251659264" behindDoc="0" locked="0" layoutInCell="1" allowOverlap="1" wp14:anchorId="52B18951" wp14:editId="7FEDBE4A">
            <wp:simplePos x="0" y="0"/>
            <wp:positionH relativeFrom="column">
              <wp:posOffset>-68580</wp:posOffset>
            </wp:positionH>
            <wp:positionV relativeFrom="paragraph">
              <wp:posOffset>27305</wp:posOffset>
            </wp:positionV>
            <wp:extent cx="5472430" cy="2937510"/>
            <wp:effectExtent l="0" t="0" r="1270" b="0"/>
            <wp:wrapTopAndBottom/>
            <wp:docPr id="56332028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320285" name="صورة 563320285"/>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72430" cy="2937510"/>
                    </a:xfrm>
                    <a:prstGeom prst="rect">
                      <a:avLst/>
                    </a:prstGeom>
                  </pic:spPr>
                </pic:pic>
              </a:graphicData>
            </a:graphic>
            <wp14:sizeRelH relativeFrom="margin">
              <wp14:pctWidth>0</wp14:pctWidth>
            </wp14:sizeRelH>
            <wp14:sizeRelV relativeFrom="margin">
              <wp14:pctHeight>0</wp14:pctHeight>
            </wp14:sizeRelV>
          </wp:anchor>
        </w:drawing>
      </w:r>
      <w:r w:rsidRPr="00875B65">
        <w:rPr>
          <w:rFonts w:ascii="Sakkal Majalla" w:eastAsiaTheme="minorHAnsi" w:hAnsi="Sakkal Majalla" w:cs="Sakkal Majalla" w:hint="cs"/>
          <w:sz w:val="28"/>
          <w:szCs w:val="28"/>
          <w:rtl/>
        </w:rPr>
        <w:t>الشكل ١.١يوضح التساؤلات  كاملة على شكل رسم بياني</w:t>
      </w:r>
    </w:p>
    <w:p w14:paraId="66962183"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28907F40" w14:textId="77777777" w:rsidR="00875B65" w:rsidRPr="00875B65" w:rsidRDefault="00875B65" w:rsidP="00875B65">
      <w:pPr>
        <w:spacing w:line="259" w:lineRule="auto"/>
        <w:rPr>
          <w:rFonts w:ascii="Sakkal Majalla" w:eastAsiaTheme="minorHAnsi" w:hAnsi="Sakkal Majalla" w:cs="Sakkal Majalla"/>
          <w:sz w:val="28"/>
          <w:szCs w:val="28"/>
          <w:u w:val="single"/>
          <w:rtl/>
        </w:rPr>
      </w:pPr>
      <w:r w:rsidRPr="00875B65">
        <w:rPr>
          <w:rFonts w:ascii="Sakkal Majalla" w:eastAsiaTheme="minorHAnsi" w:hAnsi="Sakkal Majalla" w:cs="Sakkal Majalla"/>
          <w:sz w:val="28"/>
          <w:szCs w:val="28"/>
          <w:u w:val="single"/>
          <w:rtl/>
        </w:rPr>
        <w:t>- فروض الدراسة</w:t>
      </w:r>
    </w:p>
    <w:p w14:paraId="4A6E79DD"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تقوم هذه الدراسة على مجموعة من الفروض التي تنبثق من تساؤلاتها البحثية. الفرضية هنا ليست حقيقة ثابتة، بل هي توقع علمي يستند إلى الأدبيات السابقة والواقع العملي، ليتم اختبارها من خلال تحليل البيانات والمصادر السعودية الرسمية.</w:t>
      </w:r>
    </w:p>
    <w:p w14:paraId="0B45F54B"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14:ligatures w14:val="none"/>
        </w:rPr>
      </w:pPr>
      <w:bookmarkStart w:id="4" w:name="_Toc214212835"/>
      <w:r w:rsidRPr="00875B65">
        <w:rPr>
          <w:rFonts w:ascii="Sakkal Majalla" w:eastAsia="Times New Roman" w:hAnsi="Sakkal Majalla" w:cs="Sakkal Majalla"/>
          <w:b/>
          <w:bCs/>
          <w:kern w:val="0"/>
          <w:rtl/>
          <w14:ligatures w14:val="none"/>
        </w:rPr>
        <w:t>الفرضية الرئيسة</w:t>
      </w:r>
      <w:bookmarkEnd w:id="4"/>
    </w:p>
    <w:p w14:paraId="15E00834"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إن التحديات التي تواجه توطين المهن في القطاع الصحي السعودي مرتبطة بعوامل متعددة، أهمها فجوة التعليم والتدريب، وبيئة العمل غير الجاذبة، وضعف التنسيق المؤسسي، وهيمنة القطاع الخاص، ويمكن التغلب عليها من خلال حلول عملية ومستدامة توازن بين التوطين وجودة الخدمات الصحية.</w:t>
      </w:r>
    </w:p>
    <w:p w14:paraId="4EA77115" w14:textId="77777777" w:rsidR="00875B65" w:rsidRPr="00875B65" w:rsidRDefault="00875B65" w:rsidP="00875B65">
      <w:pPr>
        <w:bidi w:val="0"/>
        <w:spacing w:before="100" w:beforeAutospacing="1" w:after="100" w:afterAutospacing="1" w:line="240" w:lineRule="auto"/>
        <w:jc w:val="right"/>
        <w:outlineLvl w:val="2"/>
        <w:rPr>
          <w:rFonts w:ascii="Sakkal Majalla" w:hAnsi="Sakkal Majalla" w:cs="Sakkal Majalla"/>
          <w:b/>
          <w:bCs/>
          <w:kern w:val="0"/>
          <w14:ligatures w14:val="none"/>
        </w:rPr>
      </w:pPr>
      <w:bookmarkStart w:id="5" w:name="_Toc214212836"/>
      <w:r w:rsidRPr="00875B65">
        <w:rPr>
          <w:rFonts w:ascii="Sakkal Majalla" w:eastAsia="Times New Roman" w:hAnsi="Sakkal Majalla" w:cs="Sakkal Majalla"/>
          <w:b/>
          <w:bCs/>
          <w:kern w:val="0"/>
          <w:rtl/>
          <w14:ligatures w14:val="none"/>
        </w:rPr>
        <w:t>الفروض الفرعية</w:t>
      </w:r>
      <w:bookmarkEnd w:id="5"/>
    </w:p>
    <w:p w14:paraId="08AA0355" w14:textId="77777777" w:rsidR="00875B65" w:rsidRPr="00875B65" w:rsidRDefault="00875B65" w:rsidP="00875B65">
      <w:pPr>
        <w:numPr>
          <w:ilvl w:val="0"/>
          <w:numId w:val="11"/>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هناك فجوة واضحة بين مخرجات التعليم الصحي واحتياجات سوق العمل، وهذه الفجوة تؤثر سلبًا على نسب التوطين.</w:t>
      </w:r>
    </w:p>
    <w:p w14:paraId="7D4E790A" w14:textId="77777777" w:rsidR="00875B65" w:rsidRPr="00875B65" w:rsidRDefault="00875B65" w:rsidP="00875B65">
      <w:pPr>
        <w:numPr>
          <w:ilvl w:val="1"/>
          <w:numId w:val="1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هذا الفرض يستند إلى بيانات وزارة التعليم والهيئة العامة للإحصاء التي أظهرت ارتفاع نسبة البطالة بين الخريجين الصحيين.</w:t>
      </w:r>
    </w:p>
    <w:p w14:paraId="4686786E" w14:textId="77777777" w:rsidR="00875B65" w:rsidRPr="00875B65" w:rsidRDefault="00875B65" w:rsidP="00875B65">
      <w:pPr>
        <w:numPr>
          <w:ilvl w:val="1"/>
          <w:numId w:val="1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إذا ثبتت صحته، فهذا يعني أن أي خطة للتوطين يجب أن تبدأ بإصلاح التعليم الصحي وربطه مباشرة بمتطلبات السوق.</w:t>
      </w:r>
    </w:p>
    <w:p w14:paraId="2FC70148" w14:textId="77777777" w:rsidR="00875B65" w:rsidRPr="00875B65" w:rsidRDefault="00875B65" w:rsidP="00875B65">
      <w:pPr>
        <w:numPr>
          <w:ilvl w:val="0"/>
          <w:numId w:val="1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بيئة العمل الحالية في القطاع الصحي غير جاذبة للكفاءات الوطنية، وهذا يؤدي إلى تسرب نسبة كبيرة من السعوديين بعد التوظيف.</w:t>
      </w:r>
    </w:p>
    <w:p w14:paraId="00890186" w14:textId="77777777" w:rsidR="00875B65" w:rsidRPr="00875B65" w:rsidRDefault="00875B65" w:rsidP="00875B65">
      <w:pPr>
        <w:numPr>
          <w:ilvl w:val="1"/>
          <w:numId w:val="1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يستند هذا الفرض إلى تقارير وزارة الموارد البشرية التي بينت أن نسبة التسرب الوظيفي بين السعوديين في وظائف التمريض تتجاوز 30% في بعض المستشفيات.</w:t>
      </w:r>
    </w:p>
    <w:p w14:paraId="230C2768" w14:textId="77777777" w:rsidR="00875B65" w:rsidRPr="00875B65" w:rsidRDefault="00875B65" w:rsidP="00875B65">
      <w:pPr>
        <w:numPr>
          <w:ilvl w:val="1"/>
          <w:numId w:val="1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اختباره يساعد على صياغة حلول تتعلق بالحوافز، الرواتب، الدعم النفسي، وساعات العمل.</w:t>
      </w:r>
    </w:p>
    <w:p w14:paraId="24507D54" w14:textId="77777777" w:rsidR="00875B65" w:rsidRPr="00875B65" w:rsidRDefault="00875B65" w:rsidP="00875B65">
      <w:pPr>
        <w:numPr>
          <w:ilvl w:val="0"/>
          <w:numId w:val="1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lastRenderedPageBreak/>
        <w:t>ضعف التنسيق المؤسسي بين الجهات المعنية (وزارة الصحة، وزارة التعليم، وزارة الموارد البشرية) يعيق نجاح برامج التوطين.</w:t>
      </w:r>
    </w:p>
    <w:p w14:paraId="3EE4B580" w14:textId="77777777" w:rsidR="00875B65" w:rsidRPr="00875B65" w:rsidRDefault="00875B65" w:rsidP="00875B65">
      <w:pPr>
        <w:numPr>
          <w:ilvl w:val="1"/>
          <w:numId w:val="1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هذا الفرض يفسر سبب وجود فجوات بين التخطيط والتنفيذ: مثل تخريج آلاف الطلاب في تخصصات لا يحتاجها السوق، مقابل نقص في تخصصات أخرى.</w:t>
      </w:r>
    </w:p>
    <w:p w14:paraId="6713D79C" w14:textId="77777777" w:rsidR="00875B65" w:rsidRPr="00875B65" w:rsidRDefault="00875B65" w:rsidP="00875B65">
      <w:pPr>
        <w:numPr>
          <w:ilvl w:val="1"/>
          <w:numId w:val="1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إثبات هذا الفرض سيقود إلى توصية بإنشاء هيئة وطنية موحدة للإشراف على التوطين الصحي.</w:t>
      </w:r>
    </w:p>
    <w:p w14:paraId="7F4377AD" w14:textId="77777777" w:rsidR="00875B65" w:rsidRPr="00875B65" w:rsidRDefault="00875B65" w:rsidP="00875B65">
      <w:pPr>
        <w:numPr>
          <w:ilvl w:val="0"/>
          <w:numId w:val="1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القطاع الصحي الخاص لا يلتزم بنسب التوطين المقررة، ويفضل العمالة الأجنبية بسبب انخفاض تكلفتها.</w:t>
      </w:r>
    </w:p>
    <w:p w14:paraId="5A53194A" w14:textId="77777777" w:rsidR="00875B65" w:rsidRPr="00875B65" w:rsidRDefault="00875B65" w:rsidP="00875B65">
      <w:pPr>
        <w:numPr>
          <w:ilvl w:val="1"/>
          <w:numId w:val="1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هذا الفرض تدعمه دراسات وزارة الموارد البشرية التي بينت أن نسب السعودة في القطاع الخاص أقل بكثير من القطاع العام.</w:t>
      </w:r>
    </w:p>
    <w:p w14:paraId="40FE05DF" w14:textId="77777777" w:rsidR="00875B65" w:rsidRPr="00875B65" w:rsidRDefault="00875B65" w:rsidP="00875B65">
      <w:pPr>
        <w:numPr>
          <w:ilvl w:val="1"/>
          <w:numId w:val="1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التحقق من هذا الفرض يعني ضرورة تشديد الرقابة وفرض حوافز أو عقوبات لضمان التزام القطاع الخاص.</w:t>
      </w:r>
    </w:p>
    <w:p w14:paraId="6C341B9E" w14:textId="77777777" w:rsidR="00875B65" w:rsidRPr="00875B65" w:rsidRDefault="00875B65" w:rsidP="00875B65">
      <w:pPr>
        <w:numPr>
          <w:ilvl w:val="0"/>
          <w:numId w:val="1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تفعيل الحوافز المادية والمعنوية سيؤدي إلى تحسين استبقاء الكوادر الوطنية في المهن الصحية.</w:t>
      </w:r>
    </w:p>
    <w:p w14:paraId="261473E9" w14:textId="77777777" w:rsidR="00875B65" w:rsidRPr="00875B65" w:rsidRDefault="00875B65" w:rsidP="00875B65">
      <w:pPr>
        <w:numPr>
          <w:ilvl w:val="1"/>
          <w:numId w:val="1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هذا الفرض مبني على نظرية الحوافز والرضا الوظيفي، التي ترى أن الموظف المستقر نفسيًا وماديًا أكثر بقاءً وإنتاجية.</w:t>
      </w:r>
    </w:p>
    <w:p w14:paraId="79AF80B1" w14:textId="77777777" w:rsidR="00875B65" w:rsidRPr="00875B65" w:rsidRDefault="00875B65" w:rsidP="00875B65">
      <w:pPr>
        <w:numPr>
          <w:ilvl w:val="1"/>
          <w:numId w:val="1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إذا ثبتت صحته، فإن تحسين بيئة العمل سيصبح أولوية استراتيجية.</w:t>
      </w:r>
    </w:p>
    <w:p w14:paraId="5CE8F857" w14:textId="77777777" w:rsidR="00875B65" w:rsidRPr="00875B65" w:rsidRDefault="00875B65" w:rsidP="00875B65">
      <w:pPr>
        <w:numPr>
          <w:ilvl w:val="0"/>
          <w:numId w:val="1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التوطين المستدام هو النموذج الأكثر فعالية لتوطين المهن الصحية دون الإضرار بجودة الخدمات.</w:t>
      </w:r>
    </w:p>
    <w:p w14:paraId="708C0CFA" w14:textId="77777777" w:rsidR="00875B65" w:rsidRPr="00875B65" w:rsidRDefault="00875B65" w:rsidP="00875B65">
      <w:pPr>
        <w:numPr>
          <w:ilvl w:val="1"/>
          <w:numId w:val="1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هذا الفرض يقوم على أن الإحلال السريع وغير المدروس قد يؤدي إلى نقص في الكفاءة، بينما الإحلال التدريجي مع التدريب يضمن جودة الخدمة.</w:t>
      </w:r>
    </w:p>
    <w:p w14:paraId="47DAB7D3" w14:textId="77777777" w:rsidR="00875B65" w:rsidRPr="00875B65" w:rsidRDefault="00875B65" w:rsidP="00875B65">
      <w:pPr>
        <w:numPr>
          <w:ilvl w:val="1"/>
          <w:numId w:val="11"/>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اختباره سيعزز التوصية بخطط زمنية طويلة المدى للتوطين، بدل الاعتماد على سياسات قصيرة المدى.</w:t>
      </w:r>
    </w:p>
    <w:p w14:paraId="2CCAEDCC"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p>
    <w:p w14:paraId="00118447" w14:textId="77777777" w:rsidR="00875B65" w:rsidRPr="00875B65" w:rsidRDefault="00875B65" w:rsidP="00875B65">
      <w:pPr>
        <w:bidi w:val="0"/>
        <w:spacing w:before="100" w:beforeAutospacing="1" w:after="100" w:afterAutospacing="1" w:line="240" w:lineRule="auto"/>
        <w:jc w:val="right"/>
        <w:outlineLvl w:val="2"/>
        <w:rPr>
          <w:rFonts w:ascii="Sakkal Majalla" w:hAnsi="Sakkal Majalla" w:cs="Sakkal Majalla"/>
          <w:b/>
          <w:bCs/>
          <w:kern w:val="0"/>
          <w14:ligatures w14:val="none"/>
        </w:rPr>
      </w:pPr>
      <w:bookmarkStart w:id="6" w:name="_Toc214212837"/>
      <w:r w:rsidRPr="00875B65">
        <w:rPr>
          <w:rFonts w:ascii="Sakkal Majalla" w:eastAsia="Times New Roman" w:hAnsi="Sakkal Majalla" w:cs="Sakkal Majalla"/>
          <w:b/>
          <w:bCs/>
          <w:kern w:val="0"/>
          <w:rtl/>
          <w14:ligatures w14:val="none"/>
        </w:rPr>
        <w:t>أهمية صياغة هذه الفروض</w:t>
      </w:r>
      <w:bookmarkEnd w:id="6"/>
    </w:p>
    <w:p w14:paraId="3B0C511D"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هذه الفروض ليست مجرد افتراضات نظرية، بل هي جسر يربط بين التساؤلات البحثية والنتائج المتوقعة. فكل تساؤل يقابله فرض:</w:t>
      </w:r>
    </w:p>
    <w:p w14:paraId="62909DA7" w14:textId="77777777" w:rsidR="00875B65" w:rsidRPr="00875B65" w:rsidRDefault="00875B65" w:rsidP="00875B65">
      <w:pPr>
        <w:numPr>
          <w:ilvl w:val="0"/>
          <w:numId w:val="12"/>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تساؤل عن التعليم = فرض وجود فجوة.</w:t>
      </w:r>
    </w:p>
    <w:p w14:paraId="60FCE828" w14:textId="77777777" w:rsidR="00875B65" w:rsidRPr="00875B65" w:rsidRDefault="00875B65" w:rsidP="00875B65">
      <w:pPr>
        <w:numPr>
          <w:ilvl w:val="0"/>
          <w:numId w:val="12"/>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تساؤل عن بيئة العمل = فرض أنها غير جاذبة.</w:t>
      </w:r>
    </w:p>
    <w:p w14:paraId="61633439" w14:textId="77777777" w:rsidR="00875B65" w:rsidRPr="00875B65" w:rsidRDefault="00875B65" w:rsidP="00875B65">
      <w:pPr>
        <w:numPr>
          <w:ilvl w:val="0"/>
          <w:numId w:val="12"/>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تساؤل عن التنسيق المؤسسي = فرض أنه ضعيف.</w:t>
      </w:r>
    </w:p>
    <w:p w14:paraId="35D76BEA" w14:textId="77777777" w:rsidR="00875B65" w:rsidRPr="00875B65" w:rsidRDefault="00875B65" w:rsidP="00875B65">
      <w:pPr>
        <w:numPr>
          <w:ilvl w:val="0"/>
          <w:numId w:val="12"/>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تساؤل عن القطاع الخاص = فرض أنه غير ملتزم.</w:t>
      </w:r>
    </w:p>
    <w:p w14:paraId="2453B77E" w14:textId="77777777" w:rsidR="00875B65" w:rsidRPr="00875B65" w:rsidRDefault="00875B65" w:rsidP="00875B65">
      <w:pPr>
        <w:numPr>
          <w:ilvl w:val="0"/>
          <w:numId w:val="12"/>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تساؤل عن الحلول = فرض أن الحوافز والتوطين المستدام هما الحل.</w:t>
      </w:r>
    </w:p>
    <w:p w14:paraId="3AB31B30"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وبهذا، فإن اختبار صحة هذه الفروض من خلال الأدلة والبيانات سيكون حجر الأساس لصياغة التوصيات النهائية.</w:t>
      </w:r>
      <w:r w:rsidRPr="00875B65">
        <w:rPr>
          <w:rFonts w:ascii="Sakkal Majalla" w:hAnsi="Sakkal Majalla" w:cs="Sakkal Majalla" w:hint="cs"/>
          <w:kern w:val="0"/>
          <w:rtl/>
          <w14:ligatures w14:val="none"/>
        </w:rPr>
        <w:t xml:space="preserve">  </w:t>
      </w:r>
    </w:p>
    <w:p w14:paraId="0426E60B" w14:textId="77777777" w:rsidR="00875B65" w:rsidRPr="00875B65" w:rsidRDefault="00875B65" w:rsidP="00875B65">
      <w:pPr>
        <w:spacing w:line="259" w:lineRule="auto"/>
        <w:rPr>
          <w:rFonts w:ascii="Sakkal Majalla" w:eastAsiaTheme="minorHAnsi" w:hAnsi="Sakkal Majalla" w:cs="Sakkal Majalla"/>
          <w:sz w:val="28"/>
          <w:szCs w:val="28"/>
          <w:u w:val="single"/>
          <w:rtl/>
        </w:rPr>
      </w:pPr>
      <w:r w:rsidRPr="00875B65">
        <w:rPr>
          <w:rFonts w:ascii="Sakkal Majalla" w:eastAsiaTheme="minorHAnsi" w:hAnsi="Sakkal Majalla" w:cs="Sakkal Majalla"/>
          <w:sz w:val="28"/>
          <w:szCs w:val="28"/>
          <w:u w:val="single"/>
          <w:rtl/>
        </w:rPr>
        <w:t>-النظرية العلمية المتبعة  لإعداد البحث</w:t>
      </w:r>
    </w:p>
    <w:p w14:paraId="6353F329" w14:textId="77777777" w:rsidR="00875B65" w:rsidRPr="00875B65" w:rsidRDefault="00875B65" w:rsidP="00875B65">
      <w:p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تستند هذه الدراسة إلى مجموعة من النظريات العلمية التي تشكل إطارًا لفهم ظاهرة توطين المهن في القطاع الصحي السعودي، وذلك من خلال ربط بين مفاهيم سوق العمل والتنمية البشرية ونظريات الإدارة والتحفيز. والهدف من توظيف هذه النظريات ليس عرضها كمعارف نظرية فقط، بل استخدامها كأدوات تفسيرية تساعد على فهم جذور المشكلة، وتوجيه الحلول بشكل علمي ومنهجي.</w:t>
      </w:r>
    </w:p>
    <w:p w14:paraId="26A44A75" w14:textId="77777777" w:rsidR="00875B65" w:rsidRPr="00875B65" w:rsidRDefault="00875B65" w:rsidP="00875B65">
      <w:pPr>
        <w:bidi w:val="0"/>
        <w:spacing w:before="100" w:beforeAutospacing="1" w:after="100" w:afterAutospacing="1" w:line="240" w:lineRule="auto"/>
        <w:jc w:val="right"/>
        <w:outlineLvl w:val="2"/>
        <w:rPr>
          <w:rFonts w:ascii="Sakkal Majalla" w:hAnsi="Sakkal Majalla" w:cs="Sakkal Majalla"/>
          <w:b/>
          <w:bCs/>
          <w:kern w:val="0"/>
          <w:sz w:val="27"/>
          <w:szCs w:val="27"/>
          <w14:ligatures w14:val="none"/>
        </w:rPr>
      </w:pPr>
      <w:bookmarkStart w:id="7" w:name="_Toc214212838"/>
      <w:r w:rsidRPr="00875B65">
        <w:rPr>
          <w:rFonts w:ascii="Sakkal Majalla" w:eastAsia="Times New Roman" w:hAnsi="Sakkal Majalla" w:cs="Sakkal Majalla"/>
          <w:b/>
          <w:bCs/>
          <w:kern w:val="0"/>
          <w:sz w:val="27"/>
          <w:szCs w:val="27"/>
          <w:rtl/>
          <w14:ligatures w14:val="none"/>
        </w:rPr>
        <w:t xml:space="preserve">. نظرية رأس المال البشري </w:t>
      </w:r>
      <w:r w:rsidRPr="00875B65">
        <w:rPr>
          <w:rFonts w:ascii="Sakkal Majalla" w:eastAsia="Times New Roman" w:hAnsi="Sakkal Majalla" w:cs="Sakkal Majalla"/>
          <w:b/>
          <w:bCs/>
          <w:kern w:val="0"/>
          <w:sz w:val="27"/>
          <w:szCs w:val="27"/>
          <w14:ligatures w14:val="none"/>
        </w:rPr>
        <w:t>Human Capital Theory</w:t>
      </w:r>
      <w:bookmarkEnd w:id="7"/>
    </w:p>
    <w:p w14:paraId="07C926D3" w14:textId="77777777" w:rsidR="00875B65" w:rsidRPr="00875B65" w:rsidRDefault="00875B65" w:rsidP="00875B65">
      <w:pPr>
        <w:numPr>
          <w:ilvl w:val="0"/>
          <w:numId w:val="13"/>
        </w:numPr>
        <w:spacing w:before="100" w:beforeAutospacing="1" w:after="100" w:afterAutospacing="1" w:line="240" w:lineRule="auto"/>
        <w:jc w:val="both"/>
        <w:rPr>
          <w:rFonts w:ascii="Sakkal Majalla" w:hAnsi="Sakkal Majalla" w:cs="Sakkal Majalla"/>
          <w:kern w:val="0"/>
          <w14:ligatures w14:val="none"/>
        </w:rPr>
      </w:pPr>
      <w:r w:rsidRPr="00875B65">
        <w:rPr>
          <w:rFonts w:ascii="Sakkal Majalla" w:hAnsi="Sakkal Majalla" w:cs="Sakkal Majalla"/>
          <w:kern w:val="0"/>
          <w:rtl/>
          <w14:ligatures w14:val="none"/>
        </w:rPr>
        <w:lastRenderedPageBreak/>
        <w:t>الأساس العلمي: تفترض هذه النظرية أن الاستثمار في الإنسان – من خلال التعليم والتدريب والتأهيل – يؤدي إلى رفع إنتاجيته وزيادة مساهمته في الاقتصاد.</w:t>
      </w:r>
    </w:p>
    <w:p w14:paraId="4AE32898" w14:textId="77777777" w:rsidR="00875B65" w:rsidRPr="00875B65" w:rsidRDefault="00875B65" w:rsidP="00875B65">
      <w:pPr>
        <w:numPr>
          <w:ilvl w:val="0"/>
          <w:numId w:val="13"/>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تطبيقها على التوطين الصحي:</w:t>
      </w:r>
    </w:p>
    <w:p w14:paraId="0799350D" w14:textId="77777777" w:rsidR="00875B65" w:rsidRPr="00875B65" w:rsidRDefault="00875B65" w:rsidP="00875B65">
      <w:pPr>
        <w:numPr>
          <w:ilvl w:val="1"/>
          <w:numId w:val="13"/>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تؤكد أن نجاح التوطين لن يتحقق إلا إذا تم إعداد كوادر وطنية تمتلك الكفاءة والخبرة المطلوبة.</w:t>
      </w:r>
    </w:p>
    <w:p w14:paraId="1B94E16E" w14:textId="77777777" w:rsidR="00875B65" w:rsidRPr="00875B65" w:rsidRDefault="00875B65" w:rsidP="00875B65">
      <w:pPr>
        <w:numPr>
          <w:ilvl w:val="1"/>
          <w:numId w:val="13"/>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بمعنى أن جودة التعليم الصحي ليست مجرد عامل مساعد، بل هي الركيزة الأساسية التي يبنى عليها التوطين.</w:t>
      </w:r>
    </w:p>
    <w:p w14:paraId="39990B28" w14:textId="77777777" w:rsidR="00875B65" w:rsidRPr="00875B65" w:rsidRDefault="00875B65" w:rsidP="00875B65">
      <w:pPr>
        <w:numPr>
          <w:ilvl w:val="1"/>
          <w:numId w:val="13"/>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في حالة السعودية، يظهر بوضوح أن بعض المخرجات الأكاديمية لا تتماشى مع احتياجات المستشفيات والمراكز الصحية، مما يخلق فجوة تؤدي إلى استمرار الحاجة للعمالة الوافدة.</w:t>
      </w:r>
    </w:p>
    <w:p w14:paraId="3F4DE156" w14:textId="77777777" w:rsidR="00875B65" w:rsidRPr="00875B65" w:rsidRDefault="00875B65" w:rsidP="00875B65">
      <w:pPr>
        <w:numPr>
          <w:ilvl w:val="0"/>
          <w:numId w:val="13"/>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انعكاسها على البحث: هذه النظرية تبرر توصيات مثل: تطوير المناهج، وزيادة التدريب العملي، وربط الجامعات مباشرة بمتطلبات السوق.</w:t>
      </w:r>
    </w:p>
    <w:p w14:paraId="29CA77FC" w14:textId="77777777" w:rsidR="00875B65" w:rsidRPr="00875B65" w:rsidRDefault="00875B65" w:rsidP="00875B65">
      <w:pPr>
        <w:bidi w:val="0"/>
        <w:spacing w:before="100" w:beforeAutospacing="1" w:after="100" w:afterAutospacing="1" w:line="240" w:lineRule="auto"/>
        <w:jc w:val="right"/>
        <w:outlineLvl w:val="2"/>
        <w:rPr>
          <w:rFonts w:ascii="Sakkal Majalla" w:hAnsi="Sakkal Majalla" w:cs="Sakkal Majalla"/>
          <w:b/>
          <w:bCs/>
          <w:kern w:val="0"/>
          <w:sz w:val="27"/>
          <w:szCs w:val="27"/>
          <w14:ligatures w14:val="none"/>
        </w:rPr>
      </w:pPr>
      <w:bookmarkStart w:id="8" w:name="_Toc214212839"/>
      <w:r w:rsidRPr="00875B65">
        <w:rPr>
          <w:rFonts w:ascii="Sakkal Majalla" w:eastAsia="Times New Roman" w:hAnsi="Sakkal Majalla" w:cs="Sakkal Majalla"/>
          <w:b/>
          <w:bCs/>
          <w:kern w:val="0"/>
          <w:sz w:val="27"/>
          <w:szCs w:val="27"/>
          <w:rtl/>
          <w14:ligatures w14:val="none"/>
        </w:rPr>
        <w:t xml:space="preserve">. نظرية العرض والطلب في سوق العمل </w:t>
      </w:r>
      <w:r w:rsidRPr="00875B65">
        <w:rPr>
          <w:rFonts w:ascii="Sakkal Majalla" w:eastAsia="Times New Roman" w:hAnsi="Sakkal Majalla" w:cs="Sakkal Majalla"/>
          <w:b/>
          <w:bCs/>
          <w:kern w:val="0"/>
          <w:sz w:val="27"/>
          <w:szCs w:val="27"/>
          <w14:ligatures w14:val="none"/>
        </w:rPr>
        <w:t>Labour Supply and Demand Theory</w:t>
      </w:r>
      <w:bookmarkEnd w:id="8"/>
    </w:p>
    <w:p w14:paraId="5769CCEC" w14:textId="77777777" w:rsidR="00875B65" w:rsidRPr="00875B65" w:rsidRDefault="00875B65" w:rsidP="00875B65">
      <w:pPr>
        <w:numPr>
          <w:ilvl w:val="0"/>
          <w:numId w:val="14"/>
        </w:numPr>
        <w:spacing w:before="100" w:beforeAutospacing="1" w:after="100" w:afterAutospacing="1" w:line="240" w:lineRule="auto"/>
        <w:jc w:val="both"/>
        <w:rPr>
          <w:rFonts w:ascii="Sakkal Majalla" w:hAnsi="Sakkal Majalla" w:cs="Sakkal Majalla"/>
          <w:kern w:val="0"/>
          <w14:ligatures w14:val="none"/>
        </w:rPr>
      </w:pPr>
      <w:r w:rsidRPr="00875B65">
        <w:rPr>
          <w:rFonts w:ascii="Sakkal Majalla" w:hAnsi="Sakkal Majalla" w:cs="Sakkal Majalla"/>
          <w:kern w:val="0"/>
          <w:rtl/>
          <w14:ligatures w14:val="none"/>
        </w:rPr>
        <w:t>الأساس العلمي: ينشأ التوازن في سوق العمل عندما يتطابق عدد المؤهلين (العرض) مع عدد الوظائف المطلوبة (الطلب). وأي خلل يؤدي إما إلى بطالة أو إلى عجز وظيفي.</w:t>
      </w:r>
    </w:p>
    <w:p w14:paraId="10E7536D" w14:textId="77777777" w:rsidR="00875B65" w:rsidRPr="00875B65" w:rsidRDefault="00875B65" w:rsidP="00875B65">
      <w:pPr>
        <w:numPr>
          <w:ilvl w:val="0"/>
          <w:numId w:val="14"/>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تطبيقها على التوطين الصحي:</w:t>
      </w:r>
    </w:p>
    <w:p w14:paraId="15784056" w14:textId="77777777" w:rsidR="00875B65" w:rsidRPr="00875B65" w:rsidRDefault="00875B65" w:rsidP="00875B65">
      <w:pPr>
        <w:numPr>
          <w:ilvl w:val="1"/>
          <w:numId w:val="14"/>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بعض التخصصات مثل طب الأسنان تعاني من فائض خريجين، بينما تخصصات أخرى مثل التمريض والعلاج التنفسي تشهد عجزًا.</w:t>
      </w:r>
    </w:p>
    <w:p w14:paraId="4148DE83" w14:textId="77777777" w:rsidR="00875B65" w:rsidRPr="00875B65" w:rsidRDefault="00875B65" w:rsidP="00875B65">
      <w:pPr>
        <w:numPr>
          <w:ilvl w:val="1"/>
          <w:numId w:val="14"/>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هذا الخلل يؤكد أن سياسات القبول الجامعي لا تزال بعيدة عن احتياجات السوق.</w:t>
      </w:r>
    </w:p>
    <w:p w14:paraId="238D1511" w14:textId="77777777" w:rsidR="00875B65" w:rsidRPr="00875B65" w:rsidRDefault="00875B65" w:rsidP="00875B65">
      <w:pPr>
        <w:numPr>
          <w:ilvl w:val="0"/>
          <w:numId w:val="14"/>
        </w:numPr>
        <w:spacing w:before="100" w:beforeAutospacing="1" w:after="100" w:afterAutospacing="1" w:line="240" w:lineRule="auto"/>
        <w:jc w:val="both"/>
        <w:rPr>
          <w:rFonts w:ascii="Sakkal Majalla" w:hAnsi="Sakkal Majalla" w:cs="Sakkal Majalla"/>
          <w:kern w:val="0"/>
          <w14:ligatures w14:val="none"/>
        </w:rPr>
      </w:pPr>
      <w:r w:rsidRPr="00875B65">
        <w:rPr>
          <w:rFonts w:ascii="Sakkal Majalla" w:hAnsi="Sakkal Majalla" w:cs="Sakkal Majalla"/>
          <w:kern w:val="0"/>
          <w:rtl/>
          <w14:ligatures w14:val="none"/>
        </w:rPr>
        <w:t>انعكاسها على البحث: هذه النظرية توجه نحو توصيات عملية مثل إعادة هيكلة خطط القبول الجامعي، ووضع خطة وطنية للتخصصات الصحية تُراجع سنويًا وفق الطلب الفعلي.</w:t>
      </w:r>
    </w:p>
    <w:p w14:paraId="766DFFF8" w14:textId="77777777" w:rsidR="00875B65" w:rsidRPr="00875B65" w:rsidRDefault="00875B65" w:rsidP="00875B65">
      <w:pPr>
        <w:spacing w:before="100" w:beforeAutospacing="1" w:after="100" w:afterAutospacing="1" w:line="240" w:lineRule="auto"/>
        <w:jc w:val="both"/>
        <w:rPr>
          <w:rFonts w:ascii="Sakkal Majalla" w:hAnsi="Sakkal Majalla" w:cs="Sakkal Majalla"/>
          <w:kern w:val="0"/>
          <w:rtl/>
          <w14:ligatures w14:val="none"/>
        </w:rPr>
      </w:pPr>
    </w:p>
    <w:p w14:paraId="7501C247" w14:textId="77777777" w:rsidR="00875B65" w:rsidRPr="00875B65" w:rsidRDefault="00875B65" w:rsidP="00875B65">
      <w:pPr>
        <w:bidi w:val="0"/>
        <w:spacing w:before="100" w:beforeAutospacing="1" w:after="100" w:afterAutospacing="1" w:line="240" w:lineRule="auto"/>
        <w:jc w:val="right"/>
        <w:outlineLvl w:val="2"/>
        <w:rPr>
          <w:rFonts w:ascii="Sakkal Majalla" w:hAnsi="Sakkal Majalla" w:cs="Sakkal Majalla"/>
          <w:b/>
          <w:bCs/>
          <w:kern w:val="0"/>
          <w:sz w:val="27"/>
          <w:szCs w:val="27"/>
          <w14:ligatures w14:val="none"/>
        </w:rPr>
      </w:pPr>
      <w:bookmarkStart w:id="9" w:name="_Toc214212840"/>
      <w:r w:rsidRPr="00875B65">
        <w:rPr>
          <w:rFonts w:ascii="Sakkal Majalla" w:eastAsia="Times New Roman" w:hAnsi="Sakkal Majalla" w:cs="Sakkal Majalla"/>
          <w:b/>
          <w:bCs/>
          <w:kern w:val="0"/>
          <w:sz w:val="27"/>
          <w:szCs w:val="27"/>
          <w:rtl/>
          <w14:ligatures w14:val="none"/>
        </w:rPr>
        <w:t xml:space="preserve">نظرية الحوافز والرضا الوظيفي </w:t>
      </w:r>
      <w:r w:rsidRPr="00875B65">
        <w:rPr>
          <w:rFonts w:ascii="Sakkal Majalla" w:eastAsia="Times New Roman" w:hAnsi="Sakkal Majalla" w:cs="Sakkal Majalla"/>
          <w:b/>
          <w:bCs/>
          <w:kern w:val="0"/>
          <w:sz w:val="27"/>
          <w:szCs w:val="27"/>
          <w14:ligatures w14:val="none"/>
        </w:rPr>
        <w:t>Motivation and Job Satisfaction Theory</w:t>
      </w:r>
      <w:bookmarkEnd w:id="9"/>
    </w:p>
    <w:p w14:paraId="5F87214A" w14:textId="77777777" w:rsidR="00875B65" w:rsidRPr="00875B65" w:rsidRDefault="00875B65" w:rsidP="00875B65">
      <w:pPr>
        <w:numPr>
          <w:ilvl w:val="0"/>
          <w:numId w:val="15"/>
        </w:numPr>
        <w:spacing w:before="100" w:beforeAutospacing="1" w:after="100" w:afterAutospacing="1" w:line="240" w:lineRule="auto"/>
        <w:jc w:val="both"/>
        <w:rPr>
          <w:rFonts w:ascii="Sakkal Majalla" w:hAnsi="Sakkal Majalla" w:cs="Sakkal Majalla"/>
          <w:kern w:val="0"/>
          <w14:ligatures w14:val="none"/>
        </w:rPr>
      </w:pPr>
      <w:r w:rsidRPr="00875B65">
        <w:rPr>
          <w:rFonts w:ascii="Sakkal Majalla" w:hAnsi="Sakkal Majalla" w:cs="Sakkal Majalla"/>
          <w:kern w:val="0"/>
          <w:rtl/>
          <w14:ligatures w14:val="none"/>
        </w:rPr>
        <w:t>الأساس العلمي: الموظف الراضي عن عمله أكثر إنتاجية وأطول بقاءً في وظيفته، والعوامل المؤثرة في الرضا تشمل: الراتب، بيئة العمل، الحوافز، الدعم النفسي، وفرص النمو المهني.</w:t>
      </w:r>
    </w:p>
    <w:p w14:paraId="5E150BB1" w14:textId="77777777" w:rsidR="00875B65" w:rsidRPr="00875B65" w:rsidRDefault="00875B65" w:rsidP="00875B65">
      <w:pPr>
        <w:numPr>
          <w:ilvl w:val="0"/>
          <w:numId w:val="15"/>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تطبيقها على التوطين الصحي:</w:t>
      </w:r>
    </w:p>
    <w:p w14:paraId="686E7025" w14:textId="77777777" w:rsidR="00875B65" w:rsidRPr="00875B65" w:rsidRDefault="00875B65" w:rsidP="00875B65">
      <w:pPr>
        <w:numPr>
          <w:ilvl w:val="1"/>
          <w:numId w:val="15"/>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تشير الدراسات السعودية إلى أن نسب تسرب السعوديين من وظائف التمريض مرتفعة بسبب ساعات العمل الطويلة وضعف الرواتب.</w:t>
      </w:r>
    </w:p>
    <w:p w14:paraId="6FD13C64" w14:textId="77777777" w:rsidR="00875B65" w:rsidRPr="00875B65" w:rsidRDefault="00875B65" w:rsidP="00875B65">
      <w:pPr>
        <w:numPr>
          <w:ilvl w:val="1"/>
          <w:numId w:val="15"/>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هذا يعني أن مجرد التوظيف لا يكفي، بل يجب أن تكون هناك سياسات لاستبقاء الكوادر الوطنية.</w:t>
      </w:r>
    </w:p>
    <w:p w14:paraId="4906B952" w14:textId="77777777" w:rsidR="00875B65" w:rsidRPr="00875B65" w:rsidRDefault="00875B65" w:rsidP="00875B65">
      <w:pPr>
        <w:numPr>
          <w:ilvl w:val="0"/>
          <w:numId w:val="15"/>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انعكاسها على البحث: هذه النظرية تفسر لماذا يركز البحث على تحسين الحوافز المالية والمعنوية كحل رئيسي لتعزيز التوطين.</w:t>
      </w:r>
    </w:p>
    <w:p w14:paraId="22005555" w14:textId="77777777" w:rsidR="00875B65" w:rsidRPr="00875B65" w:rsidRDefault="00875B65" w:rsidP="00875B65">
      <w:pPr>
        <w:bidi w:val="0"/>
        <w:spacing w:before="100" w:beforeAutospacing="1" w:after="100" w:afterAutospacing="1" w:line="240" w:lineRule="auto"/>
        <w:jc w:val="right"/>
        <w:outlineLvl w:val="2"/>
        <w:rPr>
          <w:rFonts w:ascii="Sakkal Majalla" w:hAnsi="Sakkal Majalla" w:cs="Sakkal Majalla"/>
          <w:b/>
          <w:bCs/>
          <w:kern w:val="0"/>
          <w:sz w:val="27"/>
          <w:szCs w:val="27"/>
          <w14:ligatures w14:val="none"/>
        </w:rPr>
      </w:pPr>
      <w:bookmarkStart w:id="10" w:name="_Toc214212841"/>
      <w:r w:rsidRPr="00875B65">
        <w:rPr>
          <w:rFonts w:ascii="Sakkal Majalla" w:eastAsia="Times New Roman" w:hAnsi="Sakkal Majalla" w:cs="Sakkal Majalla"/>
          <w:b/>
          <w:bCs/>
          <w:kern w:val="0"/>
          <w:sz w:val="27"/>
          <w:szCs w:val="27"/>
          <w:rtl/>
          <w14:ligatures w14:val="none"/>
        </w:rPr>
        <w:t xml:space="preserve">. مفهوم التوطين المستدام </w:t>
      </w:r>
      <w:r w:rsidRPr="00875B65">
        <w:rPr>
          <w:rFonts w:ascii="Sakkal Majalla" w:eastAsia="Times New Roman" w:hAnsi="Sakkal Majalla" w:cs="Sakkal Majalla"/>
          <w:b/>
          <w:bCs/>
          <w:kern w:val="0"/>
          <w:sz w:val="27"/>
          <w:szCs w:val="27"/>
          <w14:ligatures w14:val="none"/>
        </w:rPr>
        <w:t xml:space="preserve">Sustainable </w:t>
      </w:r>
      <w:proofErr w:type="spellStart"/>
      <w:r w:rsidRPr="00875B65">
        <w:rPr>
          <w:rFonts w:ascii="Sakkal Majalla" w:eastAsia="Times New Roman" w:hAnsi="Sakkal Majalla" w:cs="Sakkal Majalla"/>
          <w:b/>
          <w:bCs/>
          <w:kern w:val="0"/>
          <w:sz w:val="27"/>
          <w:szCs w:val="27"/>
          <w14:ligatures w14:val="none"/>
        </w:rPr>
        <w:t>Saudization</w:t>
      </w:r>
      <w:proofErr w:type="spellEnd"/>
      <w:r w:rsidRPr="00875B65">
        <w:rPr>
          <w:rFonts w:ascii="Sakkal Majalla" w:eastAsia="Times New Roman" w:hAnsi="Sakkal Majalla" w:cs="Sakkal Majalla"/>
          <w:b/>
          <w:bCs/>
          <w:kern w:val="0"/>
          <w:sz w:val="27"/>
          <w:szCs w:val="27"/>
          <w14:ligatures w14:val="none"/>
        </w:rPr>
        <w:t xml:space="preserve"> Concept</w:t>
      </w:r>
      <w:bookmarkEnd w:id="10"/>
    </w:p>
    <w:p w14:paraId="01D66FDB" w14:textId="77777777" w:rsidR="00875B65" w:rsidRPr="00875B65" w:rsidRDefault="00875B65" w:rsidP="00875B65">
      <w:pPr>
        <w:numPr>
          <w:ilvl w:val="0"/>
          <w:numId w:val="16"/>
        </w:numPr>
        <w:spacing w:before="100" w:beforeAutospacing="1" w:after="100" w:afterAutospacing="1" w:line="240" w:lineRule="auto"/>
        <w:jc w:val="both"/>
        <w:rPr>
          <w:rFonts w:ascii="Sakkal Majalla" w:hAnsi="Sakkal Majalla" w:cs="Sakkal Majalla"/>
          <w:kern w:val="0"/>
          <w14:ligatures w14:val="none"/>
        </w:rPr>
      </w:pPr>
      <w:r w:rsidRPr="00875B65">
        <w:rPr>
          <w:rFonts w:ascii="Sakkal Majalla" w:hAnsi="Sakkal Majalla" w:cs="Sakkal Majalla"/>
          <w:kern w:val="0"/>
          <w:rtl/>
          <w14:ligatures w14:val="none"/>
        </w:rPr>
        <w:t>الأساس العلمي: يتجاوز هذا المفهوم فكرة “الإحلال السريع”، ليطرح بديلًا يعتمد على بناء منظومة متكاملة تتضمن التعليم، التدريب، بيئة العمل، التشريعات، والتحفيز.</w:t>
      </w:r>
    </w:p>
    <w:p w14:paraId="1A8DCD19" w14:textId="77777777" w:rsidR="00875B65" w:rsidRPr="00875B65" w:rsidRDefault="00875B65" w:rsidP="00875B65">
      <w:pPr>
        <w:numPr>
          <w:ilvl w:val="0"/>
          <w:numId w:val="16"/>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تطبيقه على القطاع الصحي:</w:t>
      </w:r>
    </w:p>
    <w:p w14:paraId="4D01F5D3" w14:textId="77777777" w:rsidR="00875B65" w:rsidRPr="00875B65" w:rsidRDefault="00875B65" w:rsidP="00875B65">
      <w:pPr>
        <w:numPr>
          <w:ilvl w:val="1"/>
          <w:numId w:val="16"/>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القطاع الصحي لا يحتمل الإحلال السريع لخطورة المهنة ودقتها، لذا فإن التوطين المستدام يضمن إعداد الكوادر تدريجيًا مع الحفاظ على جودة الخدمة.</w:t>
      </w:r>
    </w:p>
    <w:p w14:paraId="5F4083E8" w14:textId="77777777" w:rsidR="00875B65" w:rsidRPr="00875B65" w:rsidRDefault="00875B65" w:rsidP="00875B65">
      <w:pPr>
        <w:numPr>
          <w:ilvl w:val="0"/>
          <w:numId w:val="16"/>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lastRenderedPageBreak/>
        <w:t>انعكاسه على البحث: هذا المفهوم يبرر التوصية بإنشاء هيئة وطنية موحدة للتوطين الصحي تشرف على التخطيط والتنفيذ على المدى الطويل.</w:t>
      </w:r>
    </w:p>
    <w:p w14:paraId="49113678" w14:textId="77777777" w:rsidR="00875B65" w:rsidRPr="00875B65" w:rsidRDefault="00875B65" w:rsidP="00875B65">
      <w:pPr>
        <w:bidi w:val="0"/>
        <w:spacing w:before="100" w:beforeAutospacing="1" w:after="100" w:afterAutospacing="1" w:line="240" w:lineRule="auto"/>
        <w:jc w:val="right"/>
        <w:outlineLvl w:val="2"/>
        <w:rPr>
          <w:rFonts w:ascii="Sakkal Majalla" w:hAnsi="Sakkal Majalla" w:cs="Sakkal Majalla"/>
          <w:b/>
          <w:bCs/>
          <w:kern w:val="0"/>
          <w:sz w:val="27"/>
          <w:szCs w:val="27"/>
          <w14:ligatures w14:val="none"/>
        </w:rPr>
      </w:pPr>
      <w:r w:rsidRPr="00875B65">
        <w:rPr>
          <w:rFonts w:ascii="Sakkal Majalla" w:eastAsia="Times New Roman" w:hAnsi="Sakkal Majalla" w:cs="Sakkal Majalla"/>
          <w:b/>
          <w:bCs/>
          <w:kern w:val="0"/>
          <w:sz w:val="27"/>
          <w:szCs w:val="27"/>
          <w:rtl/>
          <w14:ligatures w14:val="none"/>
        </w:rPr>
        <w:t xml:space="preserve"> </w:t>
      </w:r>
      <w:bookmarkStart w:id="11" w:name="_Toc214212842"/>
      <w:r w:rsidRPr="00875B65">
        <w:rPr>
          <w:rFonts w:ascii="Sakkal Majalla" w:eastAsia="Times New Roman" w:hAnsi="Sakkal Majalla" w:cs="Sakkal Majalla"/>
          <w:b/>
          <w:bCs/>
          <w:kern w:val="0"/>
          <w:sz w:val="27"/>
          <w:szCs w:val="27"/>
          <w:rtl/>
          <w14:ligatures w14:val="none"/>
        </w:rPr>
        <w:t>التكامل بين النظريات</w:t>
      </w:r>
      <w:bookmarkEnd w:id="11"/>
    </w:p>
    <w:p w14:paraId="3463759B" w14:textId="77777777" w:rsidR="00875B65" w:rsidRPr="00875B65" w:rsidRDefault="00875B65" w:rsidP="00875B65">
      <w:pPr>
        <w:spacing w:before="100" w:beforeAutospacing="1" w:after="100" w:afterAutospacing="1" w:line="240" w:lineRule="auto"/>
        <w:jc w:val="both"/>
        <w:rPr>
          <w:rFonts w:ascii="Sakkal Majalla" w:hAnsi="Sakkal Majalla" w:cs="Sakkal Majalla"/>
          <w:kern w:val="0"/>
          <w14:ligatures w14:val="none"/>
        </w:rPr>
      </w:pPr>
      <w:r w:rsidRPr="00875B65">
        <w:rPr>
          <w:rFonts w:ascii="Sakkal Majalla" w:hAnsi="Sakkal Majalla" w:cs="Sakkal Majalla"/>
          <w:kern w:val="0"/>
          <w:rtl/>
          <w14:ligatures w14:val="none"/>
        </w:rPr>
        <w:t>من المهم الإشارة إلى أن الدراسة لا تعتمد على نظرية واحدة فقط، بل على دمج عدة نظريات في إطار تكاملي:</w:t>
      </w:r>
    </w:p>
    <w:p w14:paraId="66A3973E" w14:textId="77777777" w:rsidR="00875B65" w:rsidRPr="00875B65" w:rsidRDefault="00875B65" w:rsidP="00875B65">
      <w:pPr>
        <w:numPr>
          <w:ilvl w:val="0"/>
          <w:numId w:val="17"/>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نظرية رأس المال البشري = تعليم وتدريب.</w:t>
      </w:r>
    </w:p>
    <w:p w14:paraId="2CEE20DB" w14:textId="77777777" w:rsidR="00875B65" w:rsidRPr="00875B65" w:rsidRDefault="00875B65" w:rsidP="00875B65">
      <w:pPr>
        <w:numPr>
          <w:ilvl w:val="0"/>
          <w:numId w:val="17"/>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نظرية العرض والطلب = توازن سوق العمل.</w:t>
      </w:r>
    </w:p>
    <w:p w14:paraId="466F4AA6" w14:textId="77777777" w:rsidR="00875B65" w:rsidRPr="00875B65" w:rsidRDefault="00875B65" w:rsidP="00875B65">
      <w:pPr>
        <w:numPr>
          <w:ilvl w:val="0"/>
          <w:numId w:val="17"/>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نظرية الحوافز والرضا الوظيفي = الاستبقاء والفاعلية.</w:t>
      </w:r>
    </w:p>
    <w:p w14:paraId="368F9B05" w14:textId="77777777" w:rsidR="00875B65" w:rsidRPr="00875B65" w:rsidRDefault="00875B65" w:rsidP="00875B65">
      <w:pPr>
        <w:numPr>
          <w:ilvl w:val="0"/>
          <w:numId w:val="17"/>
        </w:num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مفهوم التوطين المستدام = الاستراتيجية الشاملة طويلة المدى.</w:t>
      </w:r>
    </w:p>
    <w:p w14:paraId="3E3AEB0E" w14:textId="77777777" w:rsidR="00875B65" w:rsidRPr="00875B65" w:rsidRDefault="00875B65" w:rsidP="00875B65">
      <w:pPr>
        <w:spacing w:before="100" w:beforeAutospacing="1" w:after="100" w:afterAutospacing="1" w:line="240" w:lineRule="auto"/>
        <w:jc w:val="both"/>
        <w:rPr>
          <w:rFonts w:ascii="Sakkal Majalla" w:hAnsi="Sakkal Majalla" w:cs="Sakkal Majalla"/>
          <w:kern w:val="0"/>
          <w14:ligatures w14:val="none"/>
        </w:rPr>
      </w:pPr>
      <w:r w:rsidRPr="00875B65">
        <w:rPr>
          <w:rFonts w:ascii="Sakkal Majalla" w:hAnsi="Sakkal Majalla" w:cs="Sakkal Majalla"/>
          <w:kern w:val="0"/>
          <w:rtl/>
          <w14:ligatures w14:val="none"/>
        </w:rPr>
        <w:t>هذا الدمج يخلق نموذجًا تحليليًا متكاملًا يفسر ظاهرة التوطين في بعدها التعليمي والاقتصادي والاجتماعي، ويجعل توصيات البحث أكثر قوة وواقعية</w:t>
      </w:r>
    </w:p>
    <w:p w14:paraId="75584290" w14:textId="77777777" w:rsidR="00875B65" w:rsidRPr="00875B65" w:rsidRDefault="00875B65" w:rsidP="00875B65">
      <w:pPr>
        <w:spacing w:line="259" w:lineRule="auto"/>
        <w:jc w:val="both"/>
        <w:rPr>
          <w:rFonts w:ascii="Sakkal Majalla" w:eastAsiaTheme="minorHAnsi" w:hAnsi="Sakkal Majalla" w:cs="Sakkal Majalla"/>
          <w:sz w:val="28"/>
          <w:szCs w:val="28"/>
          <w:u w:val="single"/>
          <w:rtl/>
        </w:rPr>
      </w:pPr>
    </w:p>
    <w:p w14:paraId="55FE7D48" w14:textId="77777777" w:rsidR="00875B65" w:rsidRPr="00875B65" w:rsidRDefault="00875B65" w:rsidP="00875B65">
      <w:pPr>
        <w:spacing w:line="259" w:lineRule="auto"/>
        <w:jc w:val="both"/>
        <w:rPr>
          <w:rFonts w:ascii="Sakkal Majalla" w:eastAsiaTheme="minorHAnsi" w:hAnsi="Sakkal Majalla" w:cs="Sakkal Majalla"/>
          <w:sz w:val="28"/>
          <w:szCs w:val="28"/>
          <w:u w:val="single"/>
          <w:rtl/>
        </w:rPr>
      </w:pPr>
    </w:p>
    <w:p w14:paraId="1F190D72" w14:textId="77777777" w:rsidR="00875B65" w:rsidRPr="00875B65" w:rsidRDefault="00875B65" w:rsidP="00875B65">
      <w:pPr>
        <w:spacing w:line="259" w:lineRule="auto"/>
        <w:jc w:val="both"/>
        <w:rPr>
          <w:rFonts w:ascii="Sakkal Majalla" w:eastAsiaTheme="minorHAnsi" w:hAnsi="Sakkal Majalla" w:cs="Sakkal Majalla"/>
          <w:sz w:val="28"/>
          <w:szCs w:val="28"/>
          <w:u w:val="single"/>
          <w:rtl/>
        </w:rPr>
      </w:pPr>
    </w:p>
    <w:p w14:paraId="1F25A389" w14:textId="77777777" w:rsidR="00875B65" w:rsidRPr="00875B65" w:rsidRDefault="00875B65" w:rsidP="00875B65">
      <w:pPr>
        <w:spacing w:line="259" w:lineRule="auto"/>
        <w:jc w:val="both"/>
        <w:rPr>
          <w:rFonts w:ascii="Sakkal Majalla" w:eastAsiaTheme="minorHAnsi" w:hAnsi="Sakkal Majalla" w:cs="Sakkal Majalla"/>
          <w:sz w:val="28"/>
          <w:szCs w:val="28"/>
          <w:u w:val="single"/>
          <w:rtl/>
        </w:rPr>
      </w:pPr>
    </w:p>
    <w:p w14:paraId="01FF7F70" w14:textId="77777777" w:rsidR="00875B65" w:rsidRPr="00875B65" w:rsidRDefault="00875B65" w:rsidP="00875B65">
      <w:pPr>
        <w:spacing w:line="259" w:lineRule="auto"/>
        <w:jc w:val="both"/>
        <w:rPr>
          <w:rFonts w:ascii="Sakkal Majalla" w:eastAsiaTheme="minorHAnsi" w:hAnsi="Sakkal Majalla" w:cs="Sakkal Majalla"/>
          <w:sz w:val="28"/>
          <w:szCs w:val="28"/>
          <w:u w:val="single"/>
          <w:rtl/>
        </w:rPr>
      </w:pPr>
    </w:p>
    <w:p w14:paraId="41C895CC" w14:textId="77777777" w:rsidR="00875B65" w:rsidRPr="00875B65" w:rsidRDefault="00875B65" w:rsidP="00875B65">
      <w:pPr>
        <w:spacing w:line="259" w:lineRule="auto"/>
        <w:jc w:val="both"/>
        <w:rPr>
          <w:rFonts w:ascii="Sakkal Majalla" w:eastAsiaTheme="minorHAnsi" w:hAnsi="Sakkal Majalla" w:cs="Sakkal Majalla"/>
          <w:sz w:val="28"/>
          <w:szCs w:val="28"/>
          <w:u w:val="single"/>
          <w:rtl/>
        </w:rPr>
      </w:pPr>
    </w:p>
    <w:p w14:paraId="47279019"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53CFE985"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6A3E765F"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794FF94B"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0C1BA9D6"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1C4F2653"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237DFEBE"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33A28887"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7D5C8426" w14:textId="77777777" w:rsidR="00875B65" w:rsidRPr="00875B65" w:rsidRDefault="00875B65" w:rsidP="00875B65">
      <w:pPr>
        <w:spacing w:line="259" w:lineRule="auto"/>
        <w:rPr>
          <w:rFonts w:ascii="Sakkal Majalla" w:eastAsiaTheme="minorHAnsi" w:hAnsi="Sakkal Majalla" w:cs="Sakkal Majalla"/>
          <w:b/>
          <w:bCs/>
          <w:sz w:val="48"/>
          <w:szCs w:val="48"/>
          <w:u w:val="single"/>
          <w:rtl/>
        </w:rPr>
      </w:pPr>
    </w:p>
    <w:p w14:paraId="61468F3A" w14:textId="77777777" w:rsidR="00875B65" w:rsidRPr="00875B65" w:rsidRDefault="00875B65" w:rsidP="00875B65">
      <w:pPr>
        <w:spacing w:line="259" w:lineRule="auto"/>
        <w:rPr>
          <w:rFonts w:ascii="Sakkal Majalla" w:eastAsiaTheme="minorHAnsi" w:hAnsi="Sakkal Majalla" w:cs="Sakkal Majalla"/>
          <w:b/>
          <w:bCs/>
          <w:sz w:val="48"/>
          <w:szCs w:val="48"/>
          <w:u w:val="single"/>
          <w:rtl/>
        </w:rPr>
      </w:pPr>
    </w:p>
    <w:p w14:paraId="6AF193C9" w14:textId="77777777" w:rsidR="00875B65" w:rsidRPr="00875B65" w:rsidRDefault="00875B65" w:rsidP="00875B65">
      <w:pPr>
        <w:spacing w:line="259" w:lineRule="auto"/>
        <w:jc w:val="center"/>
        <w:rPr>
          <w:rFonts w:ascii="Sakkal Majalla" w:eastAsiaTheme="minorHAnsi" w:hAnsi="Sakkal Majalla" w:cs="Sakkal Majalla"/>
          <w:b/>
          <w:bCs/>
          <w:sz w:val="48"/>
          <w:szCs w:val="48"/>
          <w:u w:val="single"/>
          <w:rtl/>
        </w:rPr>
      </w:pPr>
      <w:r w:rsidRPr="00875B65">
        <w:rPr>
          <w:rFonts w:ascii="Sakkal Majalla" w:eastAsiaTheme="minorHAnsi" w:hAnsi="Sakkal Majalla" w:cs="Sakkal Majalla"/>
          <w:b/>
          <w:bCs/>
          <w:sz w:val="48"/>
          <w:szCs w:val="48"/>
          <w:u w:val="single"/>
          <w:rtl/>
        </w:rPr>
        <w:t>الفصل الثاني</w:t>
      </w:r>
    </w:p>
    <w:p w14:paraId="50BF7F8D" w14:textId="77777777" w:rsidR="00875B65" w:rsidRPr="00875B65" w:rsidRDefault="00875B65" w:rsidP="00875B65">
      <w:pPr>
        <w:spacing w:line="259" w:lineRule="auto"/>
        <w:jc w:val="center"/>
        <w:rPr>
          <w:rFonts w:ascii="Sakkal Majalla" w:eastAsiaTheme="minorHAnsi" w:hAnsi="Sakkal Majalla" w:cs="Sakkal Majalla"/>
          <w:b/>
          <w:bCs/>
          <w:sz w:val="48"/>
          <w:szCs w:val="48"/>
          <w:u w:val="single"/>
          <w:rtl/>
        </w:rPr>
      </w:pPr>
      <w:r w:rsidRPr="00875B65">
        <w:rPr>
          <w:rFonts w:ascii="Sakkal Majalla" w:eastAsiaTheme="minorHAnsi" w:hAnsi="Sakkal Majalla" w:cs="Sakkal Majalla"/>
          <w:b/>
          <w:bCs/>
          <w:sz w:val="48"/>
          <w:szCs w:val="48"/>
          <w:u w:val="single"/>
          <w:rtl/>
        </w:rPr>
        <w:t>الدراسات السابقة</w:t>
      </w:r>
    </w:p>
    <w:p w14:paraId="5D8D35E3"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0D59345D"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323A80AB"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0966F265"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4D6DD11A"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08FBA612"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391EA8ED"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68436243"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7C1DA031"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179781AC"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2A565F5B" w14:textId="77777777" w:rsidR="00875B65" w:rsidRPr="00875B65" w:rsidRDefault="00875B65" w:rsidP="00875B65">
      <w:pPr>
        <w:spacing w:line="259" w:lineRule="auto"/>
        <w:rPr>
          <w:rFonts w:ascii="Sakkal Majalla" w:eastAsiaTheme="minorHAnsi" w:hAnsi="Sakkal Majalla" w:cs="Sakkal Majalla"/>
          <w:sz w:val="28"/>
          <w:szCs w:val="28"/>
          <w:u w:val="single"/>
          <w:rtl/>
        </w:rPr>
      </w:pPr>
      <w:r w:rsidRPr="00875B65">
        <w:rPr>
          <w:rFonts w:ascii="Sakkal Majalla" w:eastAsiaTheme="minorHAnsi" w:hAnsi="Sakkal Majalla" w:cs="Sakkal Majalla"/>
          <w:sz w:val="28"/>
          <w:szCs w:val="28"/>
          <w:u w:val="single"/>
          <w:rtl/>
        </w:rPr>
        <w:t>-مقدمة</w:t>
      </w:r>
    </w:p>
    <w:p w14:paraId="4E94DE8E"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يمثل الإطار النظري الركيزة الأساسية التي يقوم عليها أي بحث علمي متماسك، فهو ليس مجرد تمهيد أو خلفية عامة، وإنما هو البنية الفكرية التي تمنح الدراسة عمقها العلمي، وتحدد المسار الذي تسير فيه، وتكشف عن المداخل التفسيرية التي تُستند إليها النتائج. إن تناول موضوع بالغ الأهمية مثل توطين المهن في القطاع الصحي في المملكة العربية السعودية يتطلب إطارًا نظريًا شاملاً يتسم بالاتساع والشمولية والقدرة على استيعاب كل أبعاد الظاهرة المدروسة، خصوصًا وأنها لا تقتصر على جانب واحد، بل تمتد لتشمل الجوانب الاقتصادية والاجتماعية والإدارية والتعليمية والتنظيمية.</w:t>
      </w:r>
    </w:p>
    <w:p w14:paraId="402AC5C7"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تكمن أهمية الإطار النظري في أنه يسمح للباحث بتحديد العلاقات بين المتغيرات والعوامل المؤثرة في ظاهرة التوطين، ويتيح له توظيف النظريات العلمية لفهم أسباب النجاح والإخفاق، كما يساهم في بلورة رؤية متكاملة تمكن صانع القرار من الاستناد إلى معايير موضوعية وحقائق علمية عند صياغة السياسات. ولعل ما يميز قضية التوطين في القطاع الصحي أنها ترتبط مباشرة بأمن المجتمع وصحته واستقراره، مما يجعلها أكثر تعقيدًا من أي قطاع آخر، فهي لا تتحمل التجريب العشوائي أو القرارات غير المدروسة، بل تحتاج إلى تخطيط دقيق قائم على فهم عميق للجذور النظرية والتجارب السابقة.</w:t>
      </w:r>
    </w:p>
    <w:p w14:paraId="43F2351D"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 xml:space="preserve">إن المملكة العربية السعودية، ضمن رؤية 2030، وضعت هدفًا استراتيجيًا يتمثل في تعزيز مشاركة الكوادر الوطنية في مختلف القطاعات، والقطاع الصحي على وجه الخصوص. ومن هنا، فإن دراسة الإطار النظري لتوطين المهن الصحية تعني استكشاف </w:t>
      </w:r>
      <w:r w:rsidRPr="00875B65">
        <w:rPr>
          <w:rFonts w:ascii="Sakkal Majalla" w:hAnsi="Sakkal Majalla" w:cs="Sakkal Majalla"/>
          <w:kern w:val="0"/>
          <w:rtl/>
          <w14:ligatures w14:val="none"/>
        </w:rPr>
        <w:lastRenderedPageBreak/>
        <w:t>القواعد العلمية التي يمكن أن تفسر لماذا تتباطأ عملية التوطين في بعض التخصصات، ولماذا ينجح التوطين بشكل أسرع في تخصصات أخرى، وما هي المحددات التي تؤثر في اتجاهات الشباب نحو هذه المهن، وكيف تتفاعل السياسات التعليمية مع السياسات الصحية، وما أثر بيئة العمل والحوافز في جذب الكفاءات الوطنية واستبقائها.</w:t>
      </w:r>
    </w:p>
    <w:p w14:paraId="3DEC80DD"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يتيح لنا الإطار النظري أن نربط بين عدد من النظريات ذات الصلة:</w:t>
      </w:r>
    </w:p>
    <w:p w14:paraId="35186445" w14:textId="77777777" w:rsidR="00875B65" w:rsidRPr="00875B65" w:rsidRDefault="00875B65" w:rsidP="00875B65">
      <w:pPr>
        <w:numPr>
          <w:ilvl w:val="0"/>
          <w:numId w:val="1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نظرية رأس المال البشري التي تركز على التعليم والتدريب كأداة أساسية لبناء القدرات البشرية.</w:t>
      </w:r>
    </w:p>
    <w:p w14:paraId="03CB7792" w14:textId="77777777" w:rsidR="00875B65" w:rsidRPr="00875B65" w:rsidRDefault="00875B65" w:rsidP="00875B65">
      <w:pPr>
        <w:numPr>
          <w:ilvl w:val="0"/>
          <w:numId w:val="1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نظرية العرض والطلب التي تفسر اختلالات سوق العمل الصحي من حيث الفائض في بعض التخصصات والنقص في أخرى.</w:t>
      </w:r>
    </w:p>
    <w:p w14:paraId="2FB6E0F9" w14:textId="77777777" w:rsidR="00875B65" w:rsidRPr="00875B65" w:rsidRDefault="00875B65" w:rsidP="00875B65">
      <w:pPr>
        <w:numPr>
          <w:ilvl w:val="0"/>
          <w:numId w:val="1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نظرية الحوافز والرضا الوظيفي التي توضح دور الدوافع المادية والمعنوية في استبقاء الكوادر الوطنية.</w:t>
      </w:r>
    </w:p>
    <w:p w14:paraId="15E18E7F" w14:textId="77777777" w:rsidR="00875B65" w:rsidRPr="00875B65" w:rsidRDefault="00875B65" w:rsidP="00875B65">
      <w:pPr>
        <w:numPr>
          <w:ilvl w:val="0"/>
          <w:numId w:val="1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مفهوم التوطين المستدام الذي يقدم رؤية متكاملة تقوم على التدرج والجودة.</w:t>
      </w:r>
    </w:p>
    <w:p w14:paraId="0924500B" w14:textId="77777777" w:rsidR="00875B65" w:rsidRPr="00875B65" w:rsidRDefault="00875B65" w:rsidP="00875B65">
      <w:pPr>
        <w:numPr>
          <w:ilvl w:val="0"/>
          <w:numId w:val="1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النظريات الإدارية والتنظيمية التي تكشف عن أثر التنسيق المؤسسي وضعفه على فعالية السياسات.</w:t>
      </w:r>
    </w:p>
    <w:p w14:paraId="511F686C" w14:textId="77777777" w:rsidR="00875B65" w:rsidRPr="00875B65" w:rsidRDefault="00875B65" w:rsidP="00875B65">
      <w:pPr>
        <w:numPr>
          <w:ilvl w:val="0"/>
          <w:numId w:val="1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التجارب الدولية المقارنة التي تمنحنا دروسًا يمكن الاستفادة منها في السياق السعودي.</w:t>
      </w:r>
    </w:p>
    <w:p w14:paraId="3CF5DA71"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إضافة إلى ذلك، فإن الإطار النظري لا يقتصر على الجانب التفسيري فقط، بل يقوم أيضًا بدور نقدي، إذ يساعد على تقييم السياسات الحالية، واكتشاف جوانب القصور فيها، واقتراح بدائل أكثر فاعلية. فعلى سبيل المثال، إذا كانت نظرية رأس المال البشري تؤكد على أن التعليم هو الأساس، فإن تطبيقها في المملكة يواجه تحديات مرتبطة ببطء تحديث المناهج الطبية وضعف التدريب العملي، وهنا يأتي دور الإطار النظري في الإشارة إلى هذه الفجوة وتقديم حلول عملية. وكذلك الحال في نظرية العرض والطلب، التي قد تفسر بطالة خريجي طب الأسنان مقابل العجز في التمريض، لكنها لا تقدم حلولاً للتفضيلات الاجتماعية والثقافية، وهنا يكون دور الباحث في توسيع النظرية وربطها بالسياق المحلي.</w:t>
      </w:r>
    </w:p>
    <w:p w14:paraId="3EC9E769"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 xml:space="preserve">باختصار، فإن مقدمة هذا الفصل تمهد </w:t>
      </w:r>
      <w:r w:rsidRPr="00875B65">
        <w:rPr>
          <w:rFonts w:ascii="Sakkal Majalla" w:hAnsi="Sakkal Majalla" w:cs="Sakkal Majalla" w:hint="cs"/>
          <w:kern w:val="0"/>
          <w:rtl/>
          <w14:ligatures w14:val="none"/>
        </w:rPr>
        <w:t>طريقنا</w:t>
      </w:r>
      <w:r w:rsidRPr="00875B65">
        <w:rPr>
          <w:rFonts w:ascii="Sakkal Majalla" w:hAnsi="Sakkal Majalla" w:cs="Sakkal Majalla"/>
          <w:kern w:val="0"/>
          <w:rtl/>
          <w14:ligatures w14:val="none"/>
        </w:rPr>
        <w:t xml:space="preserve"> لبناء إطار نظري متكامل، ليس فقط لاستعراض النظريات بشكل وصفي، بل </w:t>
      </w:r>
      <w:r w:rsidRPr="00875B65">
        <w:rPr>
          <w:rFonts w:ascii="Sakkal Majalla" w:hAnsi="Sakkal Majalla" w:cs="Sakkal Majalla" w:hint="cs"/>
          <w:kern w:val="0"/>
          <w:rtl/>
          <w14:ligatures w14:val="none"/>
        </w:rPr>
        <w:t>لتوضيحها</w:t>
      </w:r>
      <w:r w:rsidRPr="00875B65">
        <w:rPr>
          <w:rFonts w:ascii="Sakkal Majalla" w:hAnsi="Sakkal Majalla" w:cs="Sakkal Majalla"/>
          <w:kern w:val="0"/>
          <w:rtl/>
          <w14:ligatures w14:val="none"/>
        </w:rPr>
        <w:t xml:space="preserve"> وتوظيفها في السياق السعودي بما يخدم قضية التوطين الصحي. إن هذا الإطار سيساعد على بلورة نموذج تحليلي جديد يدمج بين عناصر التعليم وسوق العمل والحوافز والإدارة والتجارب المقارنة، مما يمنح البحث قيمة علمية وتطبيقية في آن واحد، ويجعله قادرًا على تقديم توصيات عملية يمكن أن تسهم في تحقيق مستهدفات رؤية 2030 في مجال التوطين الصحي.</w:t>
      </w:r>
    </w:p>
    <w:p w14:paraId="62BF701F" w14:textId="77777777" w:rsidR="00875B65" w:rsidRPr="00875B65" w:rsidRDefault="00875B65" w:rsidP="00875B65">
      <w:pPr>
        <w:bidi w:val="0"/>
        <w:spacing w:after="0" w:line="240" w:lineRule="auto"/>
        <w:rPr>
          <w:rFonts w:ascii="Sakkal Majalla" w:eastAsia="Times New Roman" w:hAnsi="Sakkal Majalla" w:cs="Sakkal Majalla"/>
          <w:kern w:val="0"/>
          <w:rtl/>
          <w14:ligatures w14:val="none"/>
        </w:rPr>
      </w:pPr>
    </w:p>
    <w:p w14:paraId="653D5251" w14:textId="77777777" w:rsidR="00875B65" w:rsidRPr="00875B65" w:rsidRDefault="00875B65" w:rsidP="00875B65">
      <w:pPr>
        <w:spacing w:line="259" w:lineRule="auto"/>
        <w:rPr>
          <w:rFonts w:ascii="Sakkal Majalla" w:eastAsiaTheme="minorHAnsi" w:hAnsi="Sakkal Majalla" w:cs="Sakkal Majalla"/>
          <w:sz w:val="28"/>
          <w:szCs w:val="28"/>
          <w:u w:val="single"/>
          <w:rtl/>
        </w:rPr>
      </w:pPr>
      <w:r w:rsidRPr="00875B65">
        <w:rPr>
          <w:rFonts w:ascii="Sakkal Majalla" w:eastAsiaTheme="minorHAnsi" w:hAnsi="Sakkal Majalla" w:cs="Sakkal Majalla"/>
          <w:sz w:val="28"/>
          <w:szCs w:val="28"/>
          <w:u w:val="single"/>
          <w:rtl/>
        </w:rPr>
        <w:t>-الدراسات السابقة</w:t>
      </w:r>
    </w:p>
    <w:p w14:paraId="7C8BCD55"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14:ligatures w14:val="none"/>
        </w:rPr>
      </w:pPr>
      <w:bookmarkStart w:id="12" w:name="_Toc214212843"/>
      <w:r w:rsidRPr="00875B65">
        <w:rPr>
          <w:rFonts w:ascii="Sakkal Majalla" w:eastAsia="Times New Roman" w:hAnsi="Sakkal Majalla" w:cs="Sakkal Majalla"/>
          <w:b/>
          <w:bCs/>
          <w:kern w:val="0"/>
          <w:rtl/>
          <w14:ligatures w14:val="none"/>
        </w:rPr>
        <w:t>الدراسات السعودية</w:t>
      </w:r>
      <w:bookmarkEnd w:id="12"/>
    </w:p>
    <w:p w14:paraId="1A5122E7" w14:textId="77777777" w:rsidR="00875B65" w:rsidRPr="00875B65" w:rsidRDefault="00875B65" w:rsidP="00875B65">
      <w:p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تُظهر الدراسات المحلية حجم التحدي الذي يواجه المملكة في مسار التوطين الصحي. على سبيل المثال، أظهرت دراسة وزارة الموارد البشرية (2021) أن نسب التوطين في القطاع الصحي الخاص لا تزال متدنية، خصوصًا في وظائف التمريض والفنيين، بسبب ضعف الرواتب وارتفاع ساعات العمل وقلة الحوافز.</w:t>
      </w:r>
    </w:p>
    <w:p w14:paraId="35B4B67C" w14:textId="77777777" w:rsidR="00875B65" w:rsidRPr="00875B65" w:rsidRDefault="00875B65" w:rsidP="00875B65">
      <w:p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t xml:space="preserve"> أما دراسة جامعة الملك سعود (2020) فقد ركزت على مخرجات التعليم، حيث وجدت أن 38% من الخريجين الصحيين يظلون خارج سوق العمل لسنوات بسبب ضعف التدريب العملي . كذلك أكد المركز الوطني للتوطين (2019) أن التنسيق بين وزارات التعليم والصحة والموارد البشرية غير كافٍ، مما يؤدي إلى فجوات بين العرض والطلب.</w:t>
      </w:r>
    </w:p>
    <w:p w14:paraId="70C98038"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14:ligatures w14:val="none"/>
        </w:rPr>
      </w:pPr>
      <w:r w:rsidRPr="00875B65">
        <w:rPr>
          <w:rFonts w:ascii="Sakkal Majalla" w:eastAsia="Times New Roman" w:hAnsi="Sakkal Majalla" w:cs="Sakkal Majalla"/>
          <w:b/>
          <w:bCs/>
          <w:kern w:val="0"/>
          <w:rtl/>
          <w14:ligatures w14:val="none"/>
        </w:rPr>
        <w:t xml:space="preserve"> </w:t>
      </w:r>
      <w:bookmarkStart w:id="13" w:name="_Toc214212844"/>
      <w:r w:rsidRPr="00875B65">
        <w:rPr>
          <w:rFonts w:ascii="Sakkal Majalla" w:eastAsia="Times New Roman" w:hAnsi="Sakkal Majalla" w:cs="Sakkal Majalla"/>
          <w:b/>
          <w:bCs/>
          <w:kern w:val="0"/>
          <w:rtl/>
          <w14:ligatures w14:val="none"/>
        </w:rPr>
        <w:t>الدراسات الخليجية</w:t>
      </w:r>
      <w:bookmarkEnd w:id="13"/>
    </w:p>
    <w:p w14:paraId="7D48E7FD" w14:textId="77777777" w:rsidR="00875B65" w:rsidRPr="00875B65" w:rsidRDefault="00875B65" w:rsidP="00875B65">
      <w:pPr>
        <w:spacing w:before="100" w:beforeAutospacing="1" w:after="100" w:afterAutospacing="1" w:line="240" w:lineRule="auto"/>
        <w:jc w:val="both"/>
        <w:rPr>
          <w:rFonts w:ascii="Sakkal Majalla" w:hAnsi="Sakkal Majalla" w:cs="Sakkal Majalla"/>
          <w:kern w:val="0"/>
          <w:rtl/>
          <w14:ligatures w14:val="none"/>
        </w:rPr>
      </w:pPr>
      <w:r w:rsidRPr="00875B65">
        <w:rPr>
          <w:rFonts w:ascii="Sakkal Majalla" w:hAnsi="Sakkal Majalla" w:cs="Sakkal Majalla"/>
          <w:kern w:val="0"/>
          <w:rtl/>
          <w14:ligatures w14:val="none"/>
        </w:rPr>
        <w:lastRenderedPageBreak/>
        <w:t>الدول الخليجية الأخرى واجهت تحديات مشابهة. دراسة الغامدي (2018) قارنت بين السعودية والإمارات وقطر، وأشارت إلى أن وتيرة التوطين في السعودية أبطأ نسبيًا في التخصصات الدقيقة. أما دراسة وزارة الصحة القطرية (2019) فأكدت أن استبقاء الكوادر الوطنية يتطلب تحسين بيئة العمل وتوفير حوافز تنافسية.</w:t>
      </w:r>
    </w:p>
    <w:p w14:paraId="70F8DAA8"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14:ligatures w14:val="none"/>
        </w:rPr>
      </w:pPr>
      <w:bookmarkStart w:id="14" w:name="_Toc214212845"/>
      <w:r w:rsidRPr="00875B65">
        <w:rPr>
          <w:rFonts w:ascii="Sakkal Majalla" w:eastAsia="Times New Roman" w:hAnsi="Sakkal Majalla" w:cs="Sakkal Majalla"/>
          <w:b/>
          <w:bCs/>
          <w:kern w:val="0"/>
          <w:rtl/>
          <w14:ligatures w14:val="none"/>
        </w:rPr>
        <w:t>الدراسات الدولية</w:t>
      </w:r>
      <w:bookmarkEnd w:id="14"/>
    </w:p>
    <w:p w14:paraId="15E941B7" w14:textId="77777777" w:rsidR="00875B65" w:rsidRPr="00875B65" w:rsidRDefault="00875B65" w:rsidP="00875B65">
      <w:pPr>
        <w:spacing w:before="100" w:beforeAutospacing="1" w:after="100" w:afterAutospacing="1" w:line="240" w:lineRule="auto"/>
        <w:jc w:val="both"/>
        <w:rPr>
          <w:rFonts w:ascii="Sakkal Majalla" w:hAnsi="Sakkal Majalla" w:cs="Sakkal Majalla"/>
          <w:kern w:val="0"/>
          <w14:ligatures w14:val="none"/>
        </w:rPr>
      </w:pPr>
      <w:r w:rsidRPr="00875B65">
        <w:rPr>
          <w:rFonts w:ascii="Sakkal Majalla" w:hAnsi="Sakkal Majalla" w:cs="Sakkal Majalla"/>
          <w:kern w:val="0"/>
          <w:rtl/>
          <w14:ligatures w14:val="none"/>
        </w:rPr>
        <w:t>على المستوى الدولي، قدمت دراسة البنك الدولي (2017) رؤية شاملة لتوطين المهن الصحية في الدول النامية، مؤكدة أن الإصلاح الهيكلي في التعليم والسياسات شرط أساسي للنجاح. كما أشارت منظمة الصحة العالمية (2020) إلى أن كثيرًا من الدول النامية تفقد كوادرها الطبية بسبب ضعف الحوافز، ما يؤدي إلى اعتماد مستمر على الأجانب</w:t>
      </w:r>
    </w:p>
    <w:p w14:paraId="308AC580" w14:textId="77777777" w:rsidR="00875B65" w:rsidRPr="00875B65" w:rsidRDefault="00875B65" w:rsidP="00875B65">
      <w:pPr>
        <w:spacing w:line="259" w:lineRule="auto"/>
        <w:jc w:val="both"/>
        <w:rPr>
          <w:rFonts w:ascii="Sakkal Majalla" w:eastAsiaTheme="minorHAnsi" w:hAnsi="Sakkal Majalla" w:cs="Sakkal Majalla"/>
          <w:sz w:val="28"/>
          <w:szCs w:val="28"/>
          <w:u w:val="single"/>
          <w:rtl/>
        </w:rPr>
      </w:pPr>
    </w:p>
    <w:p w14:paraId="56C785EE" w14:textId="77777777" w:rsidR="00875B65" w:rsidRPr="00875B65" w:rsidRDefault="00875B65" w:rsidP="00875B65">
      <w:pPr>
        <w:spacing w:line="259" w:lineRule="auto"/>
        <w:jc w:val="both"/>
        <w:rPr>
          <w:rFonts w:ascii="Sakkal Majalla" w:eastAsiaTheme="minorHAnsi" w:hAnsi="Sakkal Majalla" w:cs="Sakkal Majalla"/>
          <w:sz w:val="28"/>
          <w:szCs w:val="28"/>
          <w:u w:val="single"/>
          <w:rtl/>
        </w:rPr>
      </w:pPr>
    </w:p>
    <w:p w14:paraId="3F69F1C6" w14:textId="77777777" w:rsidR="00875B65" w:rsidRPr="00875B65" w:rsidRDefault="00875B65" w:rsidP="00875B65">
      <w:pPr>
        <w:spacing w:line="259" w:lineRule="auto"/>
        <w:jc w:val="both"/>
        <w:rPr>
          <w:rFonts w:ascii="Sakkal Majalla" w:eastAsiaTheme="minorHAnsi" w:hAnsi="Sakkal Majalla" w:cs="Sakkal Majalla"/>
          <w:sz w:val="28"/>
          <w:szCs w:val="28"/>
          <w:u w:val="single"/>
          <w:rtl/>
        </w:rPr>
      </w:pPr>
    </w:p>
    <w:p w14:paraId="5E6D0B80" w14:textId="77777777" w:rsidR="00875B65" w:rsidRPr="00875B65" w:rsidRDefault="00875B65" w:rsidP="00875B65">
      <w:pPr>
        <w:spacing w:line="259" w:lineRule="auto"/>
        <w:jc w:val="both"/>
        <w:rPr>
          <w:rFonts w:ascii="Sakkal Majalla" w:eastAsiaTheme="minorHAnsi" w:hAnsi="Sakkal Majalla" w:cs="Sakkal Majalla"/>
          <w:sz w:val="28"/>
          <w:szCs w:val="28"/>
          <w:u w:val="single"/>
          <w:rtl/>
        </w:rPr>
      </w:pPr>
    </w:p>
    <w:p w14:paraId="185F0DC9" w14:textId="77777777" w:rsidR="00875B65" w:rsidRPr="00875B65" w:rsidRDefault="00875B65" w:rsidP="00875B65">
      <w:pPr>
        <w:spacing w:line="259" w:lineRule="auto"/>
        <w:jc w:val="both"/>
        <w:rPr>
          <w:rFonts w:ascii="Sakkal Majalla" w:eastAsiaTheme="minorHAnsi" w:hAnsi="Sakkal Majalla" w:cs="Sakkal Majalla"/>
          <w:sz w:val="28"/>
          <w:szCs w:val="28"/>
          <w:u w:val="single"/>
          <w:rtl/>
        </w:rPr>
      </w:pPr>
    </w:p>
    <w:p w14:paraId="11A09B29" w14:textId="77777777" w:rsidR="00875B65" w:rsidRPr="00875B65" w:rsidRDefault="00875B65" w:rsidP="00875B65">
      <w:pPr>
        <w:spacing w:line="259" w:lineRule="auto"/>
        <w:jc w:val="both"/>
        <w:rPr>
          <w:rFonts w:ascii="Sakkal Majalla" w:eastAsiaTheme="minorHAnsi" w:hAnsi="Sakkal Majalla" w:cs="Sakkal Majalla"/>
          <w:sz w:val="28"/>
          <w:szCs w:val="28"/>
          <w:u w:val="single"/>
          <w:rtl/>
        </w:rPr>
      </w:pPr>
    </w:p>
    <w:p w14:paraId="596D1DC7" w14:textId="77777777" w:rsidR="00875B65" w:rsidRPr="00875B65" w:rsidRDefault="00875B65" w:rsidP="00875B65">
      <w:pPr>
        <w:spacing w:line="259" w:lineRule="auto"/>
        <w:jc w:val="both"/>
        <w:rPr>
          <w:rFonts w:ascii="Sakkal Majalla" w:eastAsiaTheme="minorHAnsi" w:hAnsi="Sakkal Majalla" w:cs="Sakkal Majalla"/>
          <w:sz w:val="28"/>
          <w:szCs w:val="28"/>
          <w:u w:val="single"/>
          <w:rtl/>
        </w:rPr>
      </w:pPr>
    </w:p>
    <w:p w14:paraId="4A1C49BD" w14:textId="77777777" w:rsidR="00875B65" w:rsidRPr="00875B65" w:rsidRDefault="00875B65" w:rsidP="00875B65">
      <w:pPr>
        <w:spacing w:line="259" w:lineRule="auto"/>
        <w:jc w:val="both"/>
        <w:rPr>
          <w:rFonts w:ascii="Sakkal Majalla" w:eastAsiaTheme="minorHAnsi" w:hAnsi="Sakkal Majalla" w:cs="Sakkal Majalla"/>
          <w:sz w:val="28"/>
          <w:szCs w:val="28"/>
          <w:u w:val="single"/>
          <w:rtl/>
        </w:rPr>
      </w:pPr>
    </w:p>
    <w:p w14:paraId="3A45A776"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1D361E81"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403CFD06" w14:textId="77777777" w:rsidR="00875B65" w:rsidRPr="00875B65" w:rsidRDefault="00875B65" w:rsidP="00875B65">
      <w:pPr>
        <w:spacing w:line="259" w:lineRule="auto"/>
        <w:rPr>
          <w:rFonts w:ascii="Sakkal Majalla" w:eastAsiaTheme="minorHAnsi" w:hAnsi="Sakkal Majalla" w:cs="Sakkal Majalla"/>
          <w:sz w:val="28"/>
          <w:szCs w:val="28"/>
          <w:u w:val="single"/>
          <w:rtl/>
        </w:rPr>
      </w:pPr>
    </w:p>
    <w:p w14:paraId="7EC3B7ED" w14:textId="77777777" w:rsidR="00875B65" w:rsidRPr="00875B65" w:rsidRDefault="00875B65" w:rsidP="00875B65">
      <w:pPr>
        <w:spacing w:line="259" w:lineRule="auto"/>
        <w:rPr>
          <w:rFonts w:ascii="Sakkal Majalla" w:eastAsiaTheme="minorHAnsi" w:hAnsi="Sakkal Majalla" w:cs="Sakkal Majalla"/>
          <w:sz w:val="28"/>
          <w:szCs w:val="28"/>
          <w:u w:val="single"/>
          <w:rtl/>
        </w:rPr>
      </w:pPr>
      <w:r w:rsidRPr="00875B65">
        <w:rPr>
          <w:rFonts w:ascii="Sakkal Majalla" w:eastAsiaTheme="minorHAnsi" w:hAnsi="Sakkal Majalla" w:cs="Sakkal Majalla"/>
          <w:sz w:val="28"/>
          <w:szCs w:val="28"/>
          <w:u w:val="single"/>
          <w:rtl/>
        </w:rPr>
        <w:t>-الإطار النظري</w:t>
      </w:r>
    </w:p>
    <w:p w14:paraId="3573FCC1" w14:textId="77777777" w:rsidR="00875B65" w:rsidRPr="00875B65" w:rsidRDefault="00875B65" w:rsidP="00875B65">
      <w:pPr>
        <w:bidi w:val="0"/>
        <w:spacing w:before="100" w:beforeAutospacing="1" w:after="100" w:afterAutospacing="1" w:line="240" w:lineRule="auto"/>
        <w:jc w:val="right"/>
        <w:outlineLvl w:val="1"/>
        <w:rPr>
          <w:rFonts w:ascii="Sakkal Majalla" w:eastAsia="Times New Roman" w:hAnsi="Sakkal Majalla" w:cs="Sakkal Majalla"/>
          <w:b/>
          <w:bCs/>
          <w:kern w:val="0"/>
          <w14:ligatures w14:val="none"/>
        </w:rPr>
      </w:pPr>
      <w:bookmarkStart w:id="15" w:name="_Toc214212846"/>
      <w:r w:rsidRPr="00875B65">
        <w:rPr>
          <w:rFonts w:ascii="Sakkal Majalla" w:eastAsia="Times New Roman" w:hAnsi="Sakkal Majalla" w:cs="Sakkal Majalla"/>
          <w:b/>
          <w:bCs/>
          <w:kern w:val="0"/>
          <w:rtl/>
          <w14:ligatures w14:val="none"/>
        </w:rPr>
        <w:t>مدخل إلى الإطار النظري</w:t>
      </w:r>
      <w:bookmarkEnd w:id="15"/>
    </w:p>
    <w:p w14:paraId="3DB4431E"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الإطار النظري لأي دراسة يمثل العمود الفقري الذي تُبنى عليه، فهو ليس مجرد استعراض للنظريات أو المفاهيم العامة، بل هو الأداة التي من خلالها يتم تفسير الظاهرة المدروسة وتحليل أبعادها، واستخلاص الفروض والنتائج المتوقعة. وفي موضوع توطين المهن في القطاع الصحي السعودي تزداد أهمية الإطار النظري لعدة أسباب:</w:t>
      </w:r>
    </w:p>
    <w:p w14:paraId="477FA8EB"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أولًا، أن الظاهرة معقدة ومتداخلة، حيث تشترك فيها عوامل اقتصادية (مثل العرض والطلب على الوظائف)، وعوامل تعليمية (جودة المخرجات الجامعية)، وعوامل اجتماعية (اتجاهات الشباب نحو المهن الصحية)، وعوامل تنظيمية (دور الوزارات والمؤسسات)، وعوامل إدارية (بيئة العمل، الحوافز، الاستبقاء).</w:t>
      </w:r>
    </w:p>
    <w:p w14:paraId="0780231B"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lastRenderedPageBreak/>
        <w:t>ثانيًا، أن هذه العوامل لا يمكن فهمها أو معالجتها إلا من خلال الاستناد إلى نظريات علمية أثبتت صلاحيتها في تفسير الظواهر المشابهة.</w:t>
      </w:r>
    </w:p>
    <w:p w14:paraId="59CF6D37"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ثالثًا، أن المملكة العربية السعودية تعيش مرحلة تحول وطني كبرى ضمن رؤية 2030، مما يفرض أن تكون المعالجات البحثية مدعومة بنماذج علمية قوية، لا مجرد توصيات عامة.</w:t>
      </w:r>
    </w:p>
    <w:p w14:paraId="059DCFD8"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ولهذا، يقوم هذا الإطار النظري على مجموعة من المحاور المتكاملة: نظرية رأس المال البشري، نظرية العرض والطلب، نظرية الحوافز والرضا الوظيفي، مفهوم التوطين المستدام، النظريات الإدارية والتنظيمية، النظريات المقارنة الدولية، ثم صياغة نموذج تحليلي متكامل يربط بين جميع هذه الأبعاد.</w:t>
      </w:r>
    </w:p>
    <w:p w14:paraId="123B446C" w14:textId="77777777" w:rsidR="00875B65" w:rsidRPr="00875B65" w:rsidRDefault="00875B65" w:rsidP="00875B65">
      <w:pPr>
        <w:bidi w:val="0"/>
        <w:spacing w:before="100" w:beforeAutospacing="1" w:after="100" w:afterAutospacing="1" w:line="240" w:lineRule="auto"/>
        <w:jc w:val="right"/>
        <w:outlineLvl w:val="1"/>
        <w:rPr>
          <w:rFonts w:ascii="Sakkal Majalla" w:hAnsi="Sakkal Majalla" w:cs="Sakkal Majalla"/>
          <w:b/>
          <w:bCs/>
          <w:kern w:val="0"/>
          <w:sz w:val="28"/>
          <w:szCs w:val="28"/>
          <w14:ligatures w14:val="none"/>
        </w:rPr>
      </w:pPr>
      <w:bookmarkStart w:id="16" w:name="_Toc214212847"/>
      <w:r w:rsidRPr="00875B65">
        <w:rPr>
          <w:rFonts w:ascii="Sakkal Majalla" w:eastAsia="Times New Roman" w:hAnsi="Sakkal Majalla" w:cs="Sakkal Majalla"/>
          <w:b/>
          <w:bCs/>
          <w:kern w:val="0"/>
          <w:sz w:val="28"/>
          <w:szCs w:val="28"/>
          <w:rtl/>
          <w14:ligatures w14:val="none"/>
        </w:rPr>
        <w:t xml:space="preserve">. نظرية رأس المال البشري </w:t>
      </w:r>
      <w:r w:rsidRPr="00875B65">
        <w:rPr>
          <w:rFonts w:ascii="Sakkal Majalla" w:eastAsia="Times New Roman" w:hAnsi="Sakkal Majalla" w:cs="Sakkal Majalla"/>
          <w:b/>
          <w:bCs/>
          <w:kern w:val="0"/>
          <w:sz w:val="28"/>
          <w:szCs w:val="28"/>
          <w14:ligatures w14:val="none"/>
        </w:rPr>
        <w:t>Human Capital Theory</w:t>
      </w:r>
      <w:bookmarkEnd w:id="16"/>
    </w:p>
    <w:p w14:paraId="06BCAA7F"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17" w:name="_Toc214212848"/>
      <w:r w:rsidRPr="00875B65">
        <w:rPr>
          <w:rFonts w:ascii="Sakkal Majalla" w:eastAsia="Times New Roman" w:hAnsi="Sakkal Majalla" w:cs="Sakkal Majalla"/>
          <w:b/>
          <w:bCs/>
          <w:kern w:val="0"/>
          <w:sz w:val="27"/>
          <w:szCs w:val="27"/>
          <w:rtl/>
          <w14:ligatures w14:val="none"/>
        </w:rPr>
        <w:t>أصل النظرية</w:t>
      </w:r>
      <w:bookmarkEnd w:id="17"/>
    </w:p>
    <w:p w14:paraId="0EE573A6"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ظهرت هذه النظرية في ستينيات القرن العشرين مع الاقتصاديين “ثيودور شولتز” و”غاري بيكر”، اللذين رأيا أن رأس المال البشري (أي المهارات والمعارف والخبرات التي يمتلكها الأفراد) لا يقل أهمية عن رأس المال المادي (المال، المعدات، المباني). بل إن الاستثمار في البشر غالبًا ما يكون أكثر مردودية من الاستثمار في أي عنصر آخر، لأن الإنسان هو المنتج والمستهلك في الوقت ذاته.</w:t>
      </w:r>
    </w:p>
    <w:p w14:paraId="139272E9"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18" w:name="_Toc214212849"/>
      <w:r w:rsidRPr="00875B65">
        <w:rPr>
          <w:rFonts w:ascii="Sakkal Majalla" w:eastAsia="Times New Roman" w:hAnsi="Sakkal Majalla" w:cs="Sakkal Majalla"/>
          <w:b/>
          <w:bCs/>
          <w:kern w:val="0"/>
          <w:sz w:val="27"/>
          <w:szCs w:val="27"/>
          <w:rtl/>
          <w14:ligatures w14:val="none"/>
        </w:rPr>
        <w:t>جوهر النظرية</w:t>
      </w:r>
      <w:bookmarkEnd w:id="18"/>
    </w:p>
    <w:p w14:paraId="744F12AF"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تفترض النظرية أن الإنفاق على التعليم والتدريب والرعاية الصحية هو نوع من الاستثمار، يعود على المجتمع والدولة والأفراد بمردود مرتفع. فإذا استثمرت الدولة في تعليم طبيب أو ممرض، فإنها لا ترفع دخله الشخصي فقط، بل ترفع إنتاجية النظام الصحي ككل، وتقلل من تكاليف استقدام عمالة أجنبية.</w:t>
      </w:r>
    </w:p>
    <w:p w14:paraId="188CACB4"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19" w:name="_Toc214212850"/>
      <w:r w:rsidRPr="00875B65">
        <w:rPr>
          <w:rFonts w:ascii="Sakkal Majalla" w:eastAsia="Times New Roman" w:hAnsi="Sakkal Majalla" w:cs="Sakkal Majalla"/>
          <w:b/>
          <w:bCs/>
          <w:kern w:val="0"/>
          <w:sz w:val="27"/>
          <w:szCs w:val="27"/>
          <w:rtl/>
          <w14:ligatures w14:val="none"/>
        </w:rPr>
        <w:t>تطبيق النظرية على التوطين الصحي في السعودية</w:t>
      </w:r>
      <w:bookmarkEnd w:id="19"/>
    </w:p>
    <w:p w14:paraId="67CA22DF"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في حالة المملكة، يتضح أن هناك قصورًا في الاستثمار برأس المال البشري الصحي من زاويتين:</w:t>
      </w:r>
    </w:p>
    <w:p w14:paraId="50A8A8AA" w14:textId="77777777" w:rsidR="00875B65" w:rsidRPr="00875B65" w:rsidRDefault="00875B65" w:rsidP="00875B65">
      <w:pPr>
        <w:numPr>
          <w:ilvl w:val="0"/>
          <w:numId w:val="1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التعليم الصحي: رغم وجود أكثر من 30 كلية طب و40 كلية تمريض وعشرات الكليات التقنية الصحية، إلا أن المخرجات لا تتطابق مع حجم الطلب. كثير من الخريجين يفتقدون للتدريب العملي المكثف الذي يمكنهم من الدخول مباشرة في سوق العمل.</w:t>
      </w:r>
    </w:p>
    <w:p w14:paraId="715B71EC" w14:textId="77777777" w:rsidR="00875B65" w:rsidRPr="00875B65" w:rsidRDefault="00875B65" w:rsidP="00875B65">
      <w:pPr>
        <w:numPr>
          <w:ilvl w:val="0"/>
          <w:numId w:val="1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التدريب المستمر: بعد التوظيف، نجد أن برامج التدريب الطبي المستمر ضعيفة أو محدودة في بعض الجهات، مما يقلل من قدرة الكوادر السعودية على مواكبة التطور.</w:t>
      </w:r>
    </w:p>
    <w:p w14:paraId="5C2E67B7"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20" w:name="_Toc214212851"/>
      <w:r w:rsidRPr="00875B65">
        <w:rPr>
          <w:rFonts w:ascii="Sakkal Majalla" w:eastAsia="Times New Roman" w:hAnsi="Sakkal Majalla" w:cs="Sakkal Majalla"/>
          <w:b/>
          <w:bCs/>
          <w:kern w:val="0"/>
          <w:sz w:val="27"/>
          <w:szCs w:val="27"/>
          <w:rtl/>
          <w14:ligatures w14:val="none"/>
        </w:rPr>
        <w:t>أهمية هذه النظرية للبحث</w:t>
      </w:r>
      <w:bookmarkEnd w:id="20"/>
    </w:p>
    <w:p w14:paraId="7B4DB06B" w14:textId="77777777" w:rsidR="00875B65" w:rsidRPr="00875B65" w:rsidRDefault="00875B65" w:rsidP="00875B65">
      <w:pPr>
        <w:numPr>
          <w:ilvl w:val="0"/>
          <w:numId w:val="20"/>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تفسر النظرية لماذا لا يكفي مجرد فتح كليات جديدة أو زيادة أعداد القبول.</w:t>
      </w:r>
    </w:p>
    <w:p w14:paraId="6E75EA03" w14:textId="77777777" w:rsidR="00875B65" w:rsidRPr="00875B65" w:rsidRDefault="00875B65" w:rsidP="00875B65">
      <w:pPr>
        <w:numPr>
          <w:ilvl w:val="0"/>
          <w:numId w:val="20"/>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تبرر التوصية بتطوير المناهج الصحية وربطها باحتياجات السوق.</w:t>
      </w:r>
    </w:p>
    <w:p w14:paraId="3C9F5992" w14:textId="77777777" w:rsidR="00875B65" w:rsidRPr="00875B65" w:rsidRDefault="00875B65" w:rsidP="00875B65">
      <w:pPr>
        <w:numPr>
          <w:ilvl w:val="0"/>
          <w:numId w:val="20"/>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تدفع نحو الاستثمار طويل المدى في الأطباء والفنيين السعوديين، باعتبارهم رأس المال الأساسي للأمن الصحي الوطني.</w:t>
      </w:r>
    </w:p>
    <w:p w14:paraId="483BFFD8"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21" w:name="_Toc214212852"/>
      <w:r w:rsidRPr="00875B65">
        <w:rPr>
          <w:rFonts w:ascii="Sakkal Majalla" w:eastAsia="Times New Roman" w:hAnsi="Sakkal Majalla" w:cs="Sakkal Majalla"/>
          <w:b/>
          <w:bCs/>
          <w:kern w:val="0"/>
          <w:sz w:val="27"/>
          <w:szCs w:val="27"/>
          <w:rtl/>
          <w14:ligatures w14:val="none"/>
        </w:rPr>
        <w:t>نقد النظرية في السياق السعودي</w:t>
      </w:r>
      <w:bookmarkEnd w:id="21"/>
    </w:p>
    <w:p w14:paraId="40D2D816"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البعض يرى أن تطبيق النظرية في السعودية يواجه تحديات:</w:t>
      </w:r>
    </w:p>
    <w:p w14:paraId="73B89CEE" w14:textId="77777777" w:rsidR="00875B65" w:rsidRPr="00875B65" w:rsidRDefault="00875B65" w:rsidP="00875B65">
      <w:pPr>
        <w:numPr>
          <w:ilvl w:val="0"/>
          <w:numId w:val="2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lastRenderedPageBreak/>
        <w:t>ضعف المرونة في الجامعات السعودية للتغيير السريع.</w:t>
      </w:r>
    </w:p>
    <w:p w14:paraId="0C69479B" w14:textId="77777777" w:rsidR="00875B65" w:rsidRPr="00875B65" w:rsidRDefault="00875B65" w:rsidP="00875B65">
      <w:pPr>
        <w:numPr>
          <w:ilvl w:val="0"/>
          <w:numId w:val="2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البيروقراطية التي تعيق تحديث المناهج أو إدخال برامج تدريبية جديدة.</w:t>
      </w:r>
    </w:p>
    <w:p w14:paraId="3DECC36D" w14:textId="77777777" w:rsidR="00875B65" w:rsidRPr="00875B65" w:rsidRDefault="00875B65" w:rsidP="00875B65">
      <w:pPr>
        <w:numPr>
          <w:ilvl w:val="0"/>
          <w:numId w:val="2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هجرة بعض الكفاءات السعودية للخارج بعد تدريبها، مما يعني أن الدولة تستثمر لكنها لا تحصد الفوائد محليًا.</w:t>
      </w:r>
    </w:p>
    <w:p w14:paraId="3F11F654" w14:textId="77777777" w:rsidR="00875B65" w:rsidRPr="00875B65" w:rsidRDefault="00875B65" w:rsidP="00875B65">
      <w:pPr>
        <w:bidi w:val="0"/>
        <w:spacing w:before="100" w:beforeAutospacing="1" w:after="100" w:afterAutospacing="1" w:line="240" w:lineRule="auto"/>
        <w:jc w:val="right"/>
        <w:outlineLvl w:val="1"/>
        <w:rPr>
          <w:rFonts w:ascii="Sakkal Majalla" w:hAnsi="Sakkal Majalla" w:cs="Sakkal Majalla"/>
          <w:b/>
          <w:bCs/>
          <w:kern w:val="0"/>
          <w:sz w:val="28"/>
          <w:szCs w:val="28"/>
          <w14:ligatures w14:val="none"/>
        </w:rPr>
      </w:pPr>
      <w:bookmarkStart w:id="22" w:name="_Toc214212853"/>
      <w:r w:rsidRPr="00875B65">
        <w:rPr>
          <w:rFonts w:ascii="Sakkal Majalla" w:eastAsia="Times New Roman" w:hAnsi="Sakkal Majalla" w:cs="Sakkal Majalla"/>
          <w:b/>
          <w:bCs/>
          <w:kern w:val="0"/>
          <w:sz w:val="28"/>
          <w:szCs w:val="28"/>
          <w:rtl/>
          <w14:ligatures w14:val="none"/>
        </w:rPr>
        <w:t>نظرية العرض والطلب في سوق العمل الصحي</w:t>
      </w:r>
      <w:bookmarkEnd w:id="22"/>
    </w:p>
    <w:p w14:paraId="2F23C42A"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23" w:name="_Toc214212854"/>
      <w:r w:rsidRPr="00875B65">
        <w:rPr>
          <w:rFonts w:ascii="Sakkal Majalla" w:eastAsia="Times New Roman" w:hAnsi="Sakkal Majalla" w:cs="Sakkal Majalla"/>
          <w:b/>
          <w:bCs/>
          <w:kern w:val="0"/>
          <w:sz w:val="27"/>
          <w:szCs w:val="27"/>
          <w:rtl/>
          <w14:ligatures w14:val="none"/>
        </w:rPr>
        <w:t>أصل النظرية</w:t>
      </w:r>
      <w:bookmarkEnd w:id="23"/>
    </w:p>
    <w:p w14:paraId="0A295C53"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تعود هذه النظرية إلى أسس الاقتصاد الكلاسيكي التي وضعها آدم سميث ومن بعده ديفيد ريكاردو، وتقوم على أن توازن السوق يحدث عندما يتساوى العرض (عدد العاملين المؤهلين) مع الطلب (عدد الوظائف المتاحة).</w:t>
      </w:r>
    </w:p>
    <w:p w14:paraId="6FC78031"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24" w:name="_Toc214212855"/>
      <w:r w:rsidRPr="00875B65">
        <w:rPr>
          <w:rFonts w:ascii="Sakkal Majalla" w:eastAsia="Times New Roman" w:hAnsi="Sakkal Majalla" w:cs="Sakkal Majalla"/>
          <w:b/>
          <w:bCs/>
          <w:kern w:val="0"/>
          <w:sz w:val="27"/>
          <w:szCs w:val="27"/>
          <w:rtl/>
          <w14:ligatures w14:val="none"/>
        </w:rPr>
        <w:t>تطبيقها في القطاع الصحي السعودي</w:t>
      </w:r>
      <w:bookmarkEnd w:id="24"/>
    </w:p>
    <w:p w14:paraId="538DBFCD"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القطاع الصحي السعودي يعاني من اختلال واضح:</w:t>
      </w:r>
    </w:p>
    <w:p w14:paraId="0003F9D0" w14:textId="77777777" w:rsidR="00875B65" w:rsidRPr="00875B65" w:rsidRDefault="00875B65" w:rsidP="00875B65">
      <w:pPr>
        <w:numPr>
          <w:ilvl w:val="0"/>
          <w:numId w:val="22"/>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في تخصص مثل طب الأسنان هناك فائض خريجين يزيد عن الحاجة، ما يؤدي إلى بطالة بين السعوديين.</w:t>
      </w:r>
    </w:p>
    <w:p w14:paraId="339347FA" w14:textId="77777777" w:rsidR="00875B65" w:rsidRPr="00875B65" w:rsidRDefault="00875B65" w:rsidP="00875B65">
      <w:pPr>
        <w:numPr>
          <w:ilvl w:val="0"/>
          <w:numId w:val="22"/>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في تخصصات مثل التمريض والعلاج التنفسي هناك عجز كبير، ما يجعل المستشفيات تعتمد على الأجانب.</w:t>
      </w:r>
    </w:p>
    <w:p w14:paraId="343D0A21"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25" w:name="_Toc214212856"/>
      <w:r w:rsidRPr="00875B65">
        <w:rPr>
          <w:rFonts w:ascii="Sakkal Majalla" w:eastAsia="Times New Roman" w:hAnsi="Sakkal Majalla" w:cs="Sakkal Majalla"/>
          <w:b/>
          <w:bCs/>
          <w:kern w:val="0"/>
          <w:sz w:val="27"/>
          <w:szCs w:val="27"/>
          <w:rtl/>
          <w14:ligatures w14:val="none"/>
        </w:rPr>
        <w:t>دلالات النظرية</w:t>
      </w:r>
      <w:bookmarkEnd w:id="25"/>
    </w:p>
    <w:p w14:paraId="24BA6028" w14:textId="77777777" w:rsidR="00875B65" w:rsidRPr="00875B65" w:rsidRDefault="00875B65" w:rsidP="00875B65">
      <w:pPr>
        <w:numPr>
          <w:ilvl w:val="0"/>
          <w:numId w:val="23"/>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القبول الجامعي في التخصصات لا يزال بعيدًا عن احتياجات السوق الفعلية.</w:t>
      </w:r>
    </w:p>
    <w:p w14:paraId="1D07974B" w14:textId="77777777" w:rsidR="00875B65" w:rsidRPr="00875B65" w:rsidRDefault="00875B65" w:rsidP="00875B65">
      <w:pPr>
        <w:numPr>
          <w:ilvl w:val="0"/>
          <w:numId w:val="23"/>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السياسات التعليمية لم تُبنَ على دراسات سوق عمل دقيقة، بل على تقديرات تقليدية.</w:t>
      </w:r>
    </w:p>
    <w:p w14:paraId="4743CF48"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26" w:name="_Toc214212857"/>
      <w:r w:rsidRPr="00875B65">
        <w:rPr>
          <w:rFonts w:ascii="Sakkal Majalla" w:eastAsia="Times New Roman" w:hAnsi="Sakkal Majalla" w:cs="Sakkal Majalla"/>
          <w:b/>
          <w:bCs/>
          <w:kern w:val="0"/>
          <w:sz w:val="27"/>
          <w:szCs w:val="27"/>
          <w:rtl/>
          <w14:ligatures w14:val="none"/>
        </w:rPr>
        <w:t>الحلول المستوحاة من النظرية</w:t>
      </w:r>
      <w:bookmarkEnd w:id="26"/>
    </w:p>
    <w:p w14:paraId="0F73D3BD" w14:textId="77777777" w:rsidR="00875B65" w:rsidRPr="00875B65" w:rsidRDefault="00875B65" w:rsidP="00875B65">
      <w:pPr>
        <w:numPr>
          <w:ilvl w:val="0"/>
          <w:numId w:val="24"/>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إنشاء مرصد وطني للقوى العاملة الصحية يربط بين العرض (الخريجين) والطلب (احتياجات السوق).</w:t>
      </w:r>
    </w:p>
    <w:p w14:paraId="698EBBF8" w14:textId="77777777" w:rsidR="00875B65" w:rsidRPr="00875B65" w:rsidRDefault="00875B65" w:rsidP="00875B65">
      <w:pPr>
        <w:numPr>
          <w:ilvl w:val="0"/>
          <w:numId w:val="24"/>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تعديل نسب القبول الجامعي سنويًا بناءً على توقعات السوق.</w:t>
      </w:r>
    </w:p>
    <w:p w14:paraId="23CE0FC8" w14:textId="77777777" w:rsidR="00875B65" w:rsidRPr="00875B65" w:rsidRDefault="00875B65" w:rsidP="00875B65">
      <w:pPr>
        <w:numPr>
          <w:ilvl w:val="0"/>
          <w:numId w:val="24"/>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وضع خطط ابتعاث موجهة نحو التخصصات النادرة.</w:t>
      </w:r>
    </w:p>
    <w:p w14:paraId="33403AB5" w14:textId="77777777" w:rsidR="00875B65" w:rsidRPr="00875B65" w:rsidRDefault="00875B65" w:rsidP="00875B65">
      <w:pPr>
        <w:spacing w:before="100" w:beforeAutospacing="1" w:after="100" w:afterAutospacing="1" w:line="240" w:lineRule="auto"/>
        <w:ind w:left="720"/>
        <w:rPr>
          <w:rFonts w:ascii="Sakkal Majalla" w:hAnsi="Sakkal Majalla" w:cs="Sakkal Majalla"/>
          <w:kern w:val="0"/>
          <w:rtl/>
          <w14:ligatures w14:val="none"/>
        </w:rPr>
      </w:pPr>
    </w:p>
    <w:p w14:paraId="4218FD6F"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27" w:name="_Toc214212858"/>
      <w:r w:rsidRPr="00875B65">
        <w:rPr>
          <w:rFonts w:ascii="Sakkal Majalla" w:eastAsia="Times New Roman" w:hAnsi="Sakkal Majalla" w:cs="Sakkal Majalla"/>
          <w:b/>
          <w:bCs/>
          <w:kern w:val="0"/>
          <w:sz w:val="27"/>
          <w:szCs w:val="27"/>
          <w:rtl/>
          <w14:ligatures w14:val="none"/>
        </w:rPr>
        <w:t>نقد النظرية</w:t>
      </w:r>
      <w:bookmarkEnd w:id="27"/>
    </w:p>
    <w:p w14:paraId="53BF5055"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رغم بساطتها، إلا أن هذه النظرية لا تأخذ في الاعتبار عوامل أخرى مؤثرة مثل:</w:t>
      </w:r>
    </w:p>
    <w:p w14:paraId="6D79B1E1" w14:textId="77777777" w:rsidR="00875B65" w:rsidRPr="00875B65" w:rsidRDefault="00875B65" w:rsidP="00875B65">
      <w:pPr>
        <w:numPr>
          <w:ilvl w:val="0"/>
          <w:numId w:val="25"/>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اتجاهات الشباب نحو بعض التخصصات دون غيرها.</w:t>
      </w:r>
    </w:p>
    <w:p w14:paraId="70A9FF3E" w14:textId="77777777" w:rsidR="00875B65" w:rsidRPr="00875B65" w:rsidRDefault="00875B65" w:rsidP="00875B65">
      <w:pPr>
        <w:numPr>
          <w:ilvl w:val="0"/>
          <w:numId w:val="25"/>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دور القطاع الخاص في خلق فرص أو الحد منها.</w:t>
      </w:r>
    </w:p>
    <w:p w14:paraId="44B1ED20" w14:textId="77777777" w:rsidR="00875B65" w:rsidRPr="00875B65" w:rsidRDefault="00875B65" w:rsidP="00875B65">
      <w:pPr>
        <w:numPr>
          <w:ilvl w:val="0"/>
          <w:numId w:val="25"/>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الفروق بين المناطق (فائض في مدينة وعجز في أخرى).</w:t>
      </w:r>
    </w:p>
    <w:p w14:paraId="78E2CB59" w14:textId="77777777" w:rsidR="00875B65" w:rsidRPr="00875B65" w:rsidRDefault="00875B65" w:rsidP="00875B65">
      <w:pPr>
        <w:bidi w:val="0"/>
        <w:spacing w:before="100" w:beforeAutospacing="1" w:after="100" w:afterAutospacing="1" w:line="240" w:lineRule="auto"/>
        <w:jc w:val="right"/>
        <w:outlineLvl w:val="1"/>
        <w:rPr>
          <w:rFonts w:ascii="Sakkal Majalla" w:hAnsi="Sakkal Majalla" w:cs="Sakkal Majalla"/>
          <w:b/>
          <w:bCs/>
          <w:kern w:val="0"/>
          <w:sz w:val="28"/>
          <w:szCs w:val="28"/>
          <w14:ligatures w14:val="none"/>
        </w:rPr>
      </w:pPr>
      <w:bookmarkStart w:id="28" w:name="_Toc214212859"/>
      <w:r w:rsidRPr="00875B65">
        <w:rPr>
          <w:rFonts w:ascii="Sakkal Majalla" w:eastAsia="Times New Roman" w:hAnsi="Sakkal Majalla" w:cs="Sakkal Majalla"/>
          <w:b/>
          <w:bCs/>
          <w:kern w:val="0"/>
          <w:sz w:val="28"/>
          <w:szCs w:val="28"/>
          <w:rtl/>
          <w14:ligatures w14:val="none"/>
        </w:rPr>
        <w:t>نظرية الحوافز والرضا الوظيفي</w:t>
      </w:r>
      <w:bookmarkEnd w:id="28"/>
    </w:p>
    <w:p w14:paraId="2FA016A9"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29" w:name="_Toc214212860"/>
      <w:r w:rsidRPr="00875B65">
        <w:rPr>
          <w:rFonts w:ascii="Sakkal Majalla" w:eastAsia="Times New Roman" w:hAnsi="Sakkal Majalla" w:cs="Sakkal Majalla"/>
          <w:b/>
          <w:bCs/>
          <w:kern w:val="0"/>
          <w:sz w:val="27"/>
          <w:szCs w:val="27"/>
          <w:rtl/>
          <w14:ligatures w14:val="none"/>
        </w:rPr>
        <w:t>جوهر النظرية</w:t>
      </w:r>
      <w:bookmarkEnd w:id="29"/>
    </w:p>
    <w:p w14:paraId="2B921881"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lastRenderedPageBreak/>
        <w:t>ظهرت مع دراسات “ماسلو” و”هيرزبرغ”، وتؤكد أن الإنسان لا يعمل بكفاءة إلا إذا كان راضيًا عن عمله. الرضا يتأثر بالحوافز المادية (الراتب، البدلات) والمعنوية (التقدير، فرص الترقية، الدعم النفسي).</w:t>
      </w:r>
    </w:p>
    <w:p w14:paraId="1EC2CECD"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30" w:name="_Toc214212861"/>
      <w:r w:rsidRPr="00875B65">
        <w:rPr>
          <w:rFonts w:ascii="Sakkal Majalla" w:eastAsia="Times New Roman" w:hAnsi="Sakkal Majalla" w:cs="Sakkal Majalla"/>
          <w:b/>
          <w:bCs/>
          <w:kern w:val="0"/>
          <w:sz w:val="27"/>
          <w:szCs w:val="27"/>
          <w:rtl/>
          <w14:ligatures w14:val="none"/>
        </w:rPr>
        <w:t>تطبيقها في السعودية</w:t>
      </w:r>
      <w:bookmarkEnd w:id="30"/>
    </w:p>
    <w:p w14:paraId="32846252" w14:textId="77777777" w:rsidR="00875B65" w:rsidRPr="00875B65" w:rsidRDefault="00875B65" w:rsidP="00875B65">
      <w:pPr>
        <w:numPr>
          <w:ilvl w:val="0"/>
          <w:numId w:val="26"/>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تشير تقارير وزارة الموارد البشرية إلى أن 30% من السعوديين العاملين في التمريض يتركون وظائفهم خلال أول سنة بسبب ضعف الحوافز وساعات العمل الطويلة.</w:t>
      </w:r>
    </w:p>
    <w:p w14:paraId="1BBCA115" w14:textId="77777777" w:rsidR="00875B65" w:rsidRPr="00875B65" w:rsidRDefault="00875B65" w:rsidP="00875B65">
      <w:pPr>
        <w:numPr>
          <w:ilvl w:val="0"/>
          <w:numId w:val="26"/>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الكوادر السعودية غالبًا ما تفضل القطاع الحكومي على الخاص، لأن الحكومي يوفر استقرارًا وظيفيًا، رغم أن رواتب الخاص أحيانًا أعلى.</w:t>
      </w:r>
    </w:p>
    <w:p w14:paraId="2E7C6C6F"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31" w:name="_Toc214212862"/>
      <w:r w:rsidRPr="00875B65">
        <w:rPr>
          <w:rFonts w:ascii="Sakkal Majalla" w:eastAsia="Times New Roman" w:hAnsi="Sakkal Majalla" w:cs="Sakkal Majalla"/>
          <w:b/>
          <w:bCs/>
          <w:kern w:val="0"/>
          <w:sz w:val="27"/>
          <w:szCs w:val="27"/>
          <w:rtl/>
          <w14:ligatures w14:val="none"/>
        </w:rPr>
        <w:t>الحلول وفق النظرية</w:t>
      </w:r>
      <w:bookmarkEnd w:id="31"/>
    </w:p>
    <w:p w14:paraId="7658B4F0" w14:textId="77777777" w:rsidR="00875B65" w:rsidRPr="00875B65" w:rsidRDefault="00875B65" w:rsidP="00875B65">
      <w:pPr>
        <w:numPr>
          <w:ilvl w:val="0"/>
          <w:numId w:val="27"/>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تحسين الرواتب والحوافز المادية.</w:t>
      </w:r>
    </w:p>
    <w:p w14:paraId="44225A7E" w14:textId="77777777" w:rsidR="00875B65" w:rsidRPr="00875B65" w:rsidRDefault="00875B65" w:rsidP="00875B65">
      <w:pPr>
        <w:numPr>
          <w:ilvl w:val="0"/>
          <w:numId w:val="27"/>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توفير تأمين صحي للموظفين وعائلاتهم.</w:t>
      </w:r>
    </w:p>
    <w:p w14:paraId="74F65EA0" w14:textId="77777777" w:rsidR="00875B65" w:rsidRPr="00875B65" w:rsidRDefault="00875B65" w:rsidP="00875B65">
      <w:pPr>
        <w:numPr>
          <w:ilvl w:val="0"/>
          <w:numId w:val="27"/>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تقليل ساعات العمل أو منح بدلات إضافية مقابل الساعات الطويلة.</w:t>
      </w:r>
    </w:p>
    <w:p w14:paraId="2A990B93" w14:textId="77777777" w:rsidR="00875B65" w:rsidRPr="00875B65" w:rsidRDefault="00875B65" w:rsidP="00875B65">
      <w:pPr>
        <w:numPr>
          <w:ilvl w:val="0"/>
          <w:numId w:val="27"/>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وضع مسارات مهنية واضحة تتيح الترقية والنمو.</w:t>
      </w:r>
    </w:p>
    <w:p w14:paraId="4C5DCC03"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32" w:name="_Toc214212863"/>
      <w:r w:rsidRPr="00875B65">
        <w:rPr>
          <w:rFonts w:ascii="Sakkal Majalla" w:eastAsia="Times New Roman" w:hAnsi="Sakkal Majalla" w:cs="Sakkal Majalla"/>
          <w:b/>
          <w:bCs/>
          <w:kern w:val="0"/>
          <w:sz w:val="27"/>
          <w:szCs w:val="27"/>
          <w:rtl/>
          <w14:ligatures w14:val="none"/>
        </w:rPr>
        <w:t>نقد النظرية</w:t>
      </w:r>
      <w:bookmarkEnd w:id="32"/>
    </w:p>
    <w:p w14:paraId="45685F1D" w14:textId="77777777" w:rsidR="00875B65" w:rsidRPr="00875B65" w:rsidRDefault="00875B65" w:rsidP="00875B65">
      <w:pPr>
        <w:numPr>
          <w:ilvl w:val="0"/>
          <w:numId w:val="28"/>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الحوافز وحدها لا تكفي، إذا لم تكن بيئة العمل نفسها جاذبة.</w:t>
      </w:r>
    </w:p>
    <w:p w14:paraId="5015B513" w14:textId="77777777" w:rsidR="00875B65" w:rsidRPr="00875B65" w:rsidRDefault="00875B65" w:rsidP="00875B65">
      <w:pPr>
        <w:numPr>
          <w:ilvl w:val="0"/>
          <w:numId w:val="2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بعض المهن الصحية بطبيعتها مرهقة (مثل التمريض)، مما يجعل الرضا الوظيفي تحديًا حتى مع الحوافز.</w:t>
      </w:r>
    </w:p>
    <w:p w14:paraId="6BD07610" w14:textId="77777777" w:rsidR="00875B65" w:rsidRPr="00875B65" w:rsidRDefault="00875B65" w:rsidP="00875B65">
      <w:pPr>
        <w:bidi w:val="0"/>
        <w:spacing w:before="100" w:beforeAutospacing="1" w:after="100" w:afterAutospacing="1" w:line="240" w:lineRule="auto"/>
        <w:jc w:val="right"/>
        <w:outlineLvl w:val="1"/>
        <w:rPr>
          <w:rFonts w:ascii="Sakkal Majalla" w:hAnsi="Sakkal Majalla" w:cs="Sakkal Majalla"/>
          <w:b/>
          <w:bCs/>
          <w:kern w:val="0"/>
          <w:sz w:val="28"/>
          <w:szCs w:val="28"/>
          <w14:ligatures w14:val="none"/>
        </w:rPr>
      </w:pPr>
      <w:bookmarkStart w:id="33" w:name="_Toc214212864"/>
      <w:r w:rsidRPr="00875B65">
        <w:rPr>
          <w:rFonts w:ascii="Sakkal Majalla" w:eastAsia="Times New Roman" w:hAnsi="Sakkal Majalla" w:cs="Sakkal Majalla"/>
          <w:b/>
          <w:bCs/>
          <w:kern w:val="0"/>
          <w:sz w:val="28"/>
          <w:szCs w:val="28"/>
          <w:rtl/>
          <w14:ligatures w14:val="none"/>
        </w:rPr>
        <w:t>مفهوم التوطين المستدام</w:t>
      </w:r>
      <w:bookmarkEnd w:id="33"/>
    </w:p>
    <w:p w14:paraId="374E2DB0"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34" w:name="_Toc213694048"/>
      <w:bookmarkStart w:id="35" w:name="_Toc214212865"/>
      <w:r w:rsidRPr="00875B65">
        <w:rPr>
          <w:rFonts w:ascii="Sakkal Majalla" w:eastAsia="Times New Roman" w:hAnsi="Sakkal Majalla" w:cs="Sakkal Majalla"/>
          <w:b/>
          <w:bCs/>
          <w:kern w:val="0"/>
          <w:sz w:val="27"/>
          <w:szCs w:val="27"/>
          <w:rtl/>
          <w14:ligatures w14:val="none"/>
        </w:rPr>
        <w:t>جوهر المفهوم</w:t>
      </w:r>
      <w:bookmarkEnd w:id="34"/>
      <w:bookmarkEnd w:id="35"/>
    </w:p>
    <w:p w14:paraId="4D3B85BD"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يعني التوطين المستدام أن يكون الهدف ليس فقط “زيادة عدد السعوديين في المهن الصحية”، بل أن يكون الإحلال مدروسًا ومتدرجًا، بحيث لا يؤثر سلبًا على جودة الخدمات الصحية.</w:t>
      </w:r>
    </w:p>
    <w:p w14:paraId="7F868477"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p>
    <w:p w14:paraId="6694BD24"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36" w:name="_Toc213694049"/>
      <w:bookmarkStart w:id="37" w:name="_Toc214212866"/>
      <w:r w:rsidRPr="00875B65">
        <w:rPr>
          <w:rFonts w:ascii="Sakkal Majalla" w:eastAsia="Times New Roman" w:hAnsi="Sakkal Majalla" w:cs="Sakkal Majalla"/>
          <w:b/>
          <w:bCs/>
          <w:kern w:val="0"/>
          <w:sz w:val="27"/>
          <w:szCs w:val="27"/>
          <w:rtl/>
          <w14:ligatures w14:val="none"/>
        </w:rPr>
        <w:t>خصائصه</w:t>
      </w:r>
      <w:bookmarkEnd w:id="36"/>
      <w:bookmarkEnd w:id="37"/>
    </w:p>
    <w:p w14:paraId="73290E47" w14:textId="77777777" w:rsidR="00875B65" w:rsidRPr="00875B65" w:rsidRDefault="00875B65" w:rsidP="00875B65">
      <w:pPr>
        <w:numPr>
          <w:ilvl w:val="0"/>
          <w:numId w:val="29"/>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التدرج الزمني: إحلال تدريجي وفق خطط خمسية أو عشرية.</w:t>
      </w:r>
    </w:p>
    <w:p w14:paraId="0915B1D5" w14:textId="77777777" w:rsidR="00875B65" w:rsidRPr="00875B65" w:rsidRDefault="00875B65" w:rsidP="00875B65">
      <w:pPr>
        <w:numPr>
          <w:ilvl w:val="0"/>
          <w:numId w:val="2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الجودة قبل الكمية: توظيف المؤهلين فقط، وعدم الاستعجال في الإحلال الكامل.</w:t>
      </w:r>
    </w:p>
    <w:p w14:paraId="2053EB68" w14:textId="77777777" w:rsidR="00875B65" w:rsidRPr="00875B65" w:rsidRDefault="00875B65" w:rsidP="00875B65">
      <w:pPr>
        <w:numPr>
          <w:ilvl w:val="0"/>
          <w:numId w:val="29"/>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الشمولية: الجمع بين التعليم والتوظيف والحوافز في منظومة واحدة.</w:t>
      </w:r>
    </w:p>
    <w:p w14:paraId="4E7AC301" w14:textId="77777777" w:rsidR="00875B65" w:rsidRPr="00875B65" w:rsidRDefault="00875B65" w:rsidP="00875B65">
      <w:pPr>
        <w:numPr>
          <w:ilvl w:val="0"/>
          <w:numId w:val="29"/>
        </w:numPr>
        <w:spacing w:before="100" w:beforeAutospacing="1" w:after="100" w:afterAutospacing="1" w:line="240" w:lineRule="auto"/>
        <w:rPr>
          <w:rFonts w:ascii="Sakkal Majalla" w:hAnsi="Sakkal Majalla" w:cs="Sakkal Majalla"/>
          <w:kern w:val="0"/>
          <w:rtl/>
          <w14:ligatures w14:val="none"/>
        </w:rPr>
      </w:pPr>
    </w:p>
    <w:p w14:paraId="5697EF7A"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38" w:name="_Toc213694050"/>
      <w:bookmarkStart w:id="39" w:name="_Toc214212867"/>
      <w:r w:rsidRPr="00875B65">
        <w:rPr>
          <w:rFonts w:ascii="Sakkal Majalla" w:eastAsia="Times New Roman" w:hAnsi="Sakkal Majalla" w:cs="Sakkal Majalla"/>
          <w:b/>
          <w:bCs/>
          <w:kern w:val="0"/>
          <w:sz w:val="27"/>
          <w:szCs w:val="27"/>
          <w:rtl/>
          <w14:ligatures w14:val="none"/>
        </w:rPr>
        <w:t>تطبيقه في السعودية</w:t>
      </w:r>
      <w:bookmarkEnd w:id="38"/>
      <w:bookmarkEnd w:id="39"/>
    </w:p>
    <w:p w14:paraId="1DCB0DAA" w14:textId="77777777" w:rsidR="00875B65" w:rsidRPr="00875B65" w:rsidRDefault="00875B65" w:rsidP="00875B65">
      <w:pPr>
        <w:numPr>
          <w:ilvl w:val="0"/>
          <w:numId w:val="30"/>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لا بد أن تضع وزارة الصحة ووزارة الموارد البشرية خطة مشتركة طويلة المدى، تحدد نسب التوطين السنوية.</w:t>
      </w:r>
    </w:p>
    <w:p w14:paraId="11D7ED48" w14:textId="77777777" w:rsidR="00875B65" w:rsidRPr="00875B65" w:rsidRDefault="00875B65" w:rsidP="00875B65">
      <w:pPr>
        <w:numPr>
          <w:ilvl w:val="0"/>
          <w:numId w:val="30"/>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يجب أن تكون هناك جهة وطنية موحدة تشرف على الخطة وتتابعها.</w:t>
      </w:r>
    </w:p>
    <w:p w14:paraId="23B69150" w14:textId="77777777" w:rsidR="00875B65" w:rsidRPr="00875B65" w:rsidRDefault="00875B65" w:rsidP="00875B65">
      <w:pPr>
        <w:bidi w:val="0"/>
        <w:spacing w:before="100" w:beforeAutospacing="1" w:after="100" w:afterAutospacing="1" w:line="240" w:lineRule="auto"/>
        <w:jc w:val="right"/>
        <w:outlineLvl w:val="1"/>
        <w:rPr>
          <w:rFonts w:ascii="Sakkal Majalla" w:hAnsi="Sakkal Majalla" w:cs="Sakkal Majalla"/>
          <w:b/>
          <w:bCs/>
          <w:kern w:val="0"/>
          <w:sz w:val="28"/>
          <w:szCs w:val="28"/>
          <w14:ligatures w14:val="none"/>
        </w:rPr>
      </w:pPr>
      <w:bookmarkStart w:id="40" w:name="_Toc214212868"/>
      <w:r w:rsidRPr="00875B65">
        <w:rPr>
          <w:rFonts w:ascii="Sakkal Majalla" w:eastAsia="Times New Roman" w:hAnsi="Sakkal Majalla" w:cs="Sakkal Majalla"/>
          <w:b/>
          <w:bCs/>
          <w:kern w:val="0"/>
          <w:sz w:val="28"/>
          <w:szCs w:val="28"/>
          <w:rtl/>
          <w14:ligatures w14:val="none"/>
        </w:rPr>
        <w:lastRenderedPageBreak/>
        <w:t>النظريات الإدارية والتنظيمية</w:t>
      </w:r>
      <w:bookmarkEnd w:id="40"/>
    </w:p>
    <w:p w14:paraId="2DF17FB5"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41" w:name="_Toc213694052"/>
      <w:bookmarkStart w:id="42" w:name="_Toc214212869"/>
      <w:r w:rsidRPr="00875B65">
        <w:rPr>
          <w:rFonts w:ascii="Sakkal Majalla" w:eastAsia="Times New Roman" w:hAnsi="Sakkal Majalla" w:cs="Sakkal Majalla"/>
          <w:b/>
          <w:bCs/>
          <w:kern w:val="0"/>
          <w:sz w:val="27"/>
          <w:szCs w:val="27"/>
          <w:rtl/>
          <w14:ligatures w14:val="none"/>
        </w:rPr>
        <w:t>جوهرها</w:t>
      </w:r>
      <w:bookmarkEnd w:id="41"/>
      <w:bookmarkEnd w:id="42"/>
    </w:p>
    <w:p w14:paraId="24BD0DD6"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تؤكد هذه النظريات أن ضعف التنسيق بين المؤسسات يضعف الأداء الكلي.</w:t>
      </w:r>
    </w:p>
    <w:p w14:paraId="03C87E5F"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43" w:name="_Toc213694053"/>
      <w:bookmarkStart w:id="44" w:name="_Toc214212870"/>
      <w:r w:rsidRPr="00875B65">
        <w:rPr>
          <w:rFonts w:ascii="Sakkal Majalla" w:eastAsia="Times New Roman" w:hAnsi="Sakkal Majalla" w:cs="Sakkal Majalla"/>
          <w:b/>
          <w:bCs/>
          <w:kern w:val="0"/>
          <w:sz w:val="27"/>
          <w:szCs w:val="27"/>
          <w:rtl/>
          <w14:ligatures w14:val="none"/>
        </w:rPr>
        <w:t>الوضع في السعودية</w:t>
      </w:r>
      <w:bookmarkEnd w:id="43"/>
      <w:bookmarkEnd w:id="44"/>
    </w:p>
    <w:p w14:paraId="3DA4BBC2" w14:textId="77777777" w:rsidR="00875B65" w:rsidRPr="00875B65" w:rsidRDefault="00875B65" w:rsidP="00875B65">
      <w:pPr>
        <w:numPr>
          <w:ilvl w:val="0"/>
          <w:numId w:val="31"/>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وزارة التعليم تضع خطط القبول في التخصصات دون الرجوع دائمًا لوزارة الصحة.</w:t>
      </w:r>
    </w:p>
    <w:p w14:paraId="73C3D29F" w14:textId="77777777" w:rsidR="00875B65" w:rsidRPr="00875B65" w:rsidRDefault="00875B65" w:rsidP="00875B65">
      <w:pPr>
        <w:numPr>
          <w:ilvl w:val="0"/>
          <w:numId w:val="3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وزارة الصحة توظف الكوادر لكنها أحيانًا لا تجد التخصصات المطلوبة.</w:t>
      </w:r>
    </w:p>
    <w:p w14:paraId="3A74131A" w14:textId="77777777" w:rsidR="00875B65" w:rsidRPr="00875B65" w:rsidRDefault="00875B65" w:rsidP="00875B65">
      <w:pPr>
        <w:numPr>
          <w:ilvl w:val="0"/>
          <w:numId w:val="31"/>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وزارة الموارد البشرية تضع سياسات توطين عامة، لكن لا تأخذ خصوصية القطاع الصحي بشكل كافٍ.</w:t>
      </w:r>
    </w:p>
    <w:p w14:paraId="120D9128"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45" w:name="_Toc213694054"/>
      <w:bookmarkStart w:id="46" w:name="_Toc214212871"/>
      <w:r w:rsidRPr="00875B65">
        <w:rPr>
          <w:rFonts w:ascii="Sakkal Majalla" w:eastAsia="Times New Roman" w:hAnsi="Sakkal Majalla" w:cs="Sakkal Majalla"/>
          <w:b/>
          <w:bCs/>
          <w:kern w:val="0"/>
          <w:sz w:val="27"/>
          <w:szCs w:val="27"/>
          <w:rtl/>
          <w14:ligatures w14:val="none"/>
        </w:rPr>
        <w:t>الحل وفق النظرية</w:t>
      </w:r>
      <w:bookmarkEnd w:id="45"/>
      <w:bookmarkEnd w:id="46"/>
    </w:p>
    <w:p w14:paraId="2D8674AA" w14:textId="77777777" w:rsidR="00875B65" w:rsidRPr="00875B65" w:rsidRDefault="00875B65" w:rsidP="00875B65">
      <w:pPr>
        <w:numPr>
          <w:ilvl w:val="0"/>
          <w:numId w:val="32"/>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إنشاء مركز وطني للتوطين الصحي يضم ممثلين من الوزارات الثلاث.</w:t>
      </w:r>
    </w:p>
    <w:p w14:paraId="1A365C07" w14:textId="77777777" w:rsidR="00875B65" w:rsidRPr="00875B65" w:rsidRDefault="00875B65" w:rsidP="00875B65">
      <w:pPr>
        <w:numPr>
          <w:ilvl w:val="0"/>
          <w:numId w:val="32"/>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توحيد البيانات والخطط تحت سقف واحد.</w:t>
      </w:r>
    </w:p>
    <w:p w14:paraId="327529D9" w14:textId="77777777" w:rsidR="00875B65" w:rsidRPr="00875B65" w:rsidRDefault="00875B65" w:rsidP="00875B65">
      <w:pPr>
        <w:bidi w:val="0"/>
        <w:spacing w:before="100" w:beforeAutospacing="1" w:after="100" w:afterAutospacing="1" w:line="240" w:lineRule="auto"/>
        <w:jc w:val="right"/>
        <w:outlineLvl w:val="1"/>
        <w:rPr>
          <w:rFonts w:ascii="Sakkal Majalla" w:hAnsi="Sakkal Majalla" w:cs="Sakkal Majalla"/>
          <w:b/>
          <w:bCs/>
          <w:kern w:val="0"/>
          <w:sz w:val="28"/>
          <w:szCs w:val="28"/>
          <w14:ligatures w14:val="none"/>
        </w:rPr>
      </w:pPr>
      <w:bookmarkStart w:id="47" w:name="_Toc214212872"/>
      <w:r w:rsidRPr="00875B65">
        <w:rPr>
          <w:rFonts w:ascii="Sakkal Majalla" w:eastAsia="Times New Roman" w:hAnsi="Sakkal Majalla" w:cs="Sakkal Majalla"/>
          <w:b/>
          <w:bCs/>
          <w:kern w:val="0"/>
          <w:sz w:val="28"/>
          <w:szCs w:val="28"/>
          <w:rtl/>
          <w14:ligatures w14:val="none"/>
        </w:rPr>
        <w:t>النظريات المقارنة والتجارب الدولية</w:t>
      </w:r>
      <w:bookmarkEnd w:id="47"/>
    </w:p>
    <w:p w14:paraId="53D3313D"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48" w:name="_Toc213694056"/>
      <w:bookmarkStart w:id="49" w:name="_Toc214212873"/>
      <w:r w:rsidRPr="00875B65">
        <w:rPr>
          <w:rFonts w:ascii="Sakkal Majalla" w:eastAsia="Times New Roman" w:hAnsi="Sakkal Majalla" w:cs="Sakkal Majalla"/>
          <w:b/>
          <w:bCs/>
          <w:kern w:val="0"/>
          <w:sz w:val="27"/>
          <w:szCs w:val="27"/>
          <w:rtl/>
          <w14:ligatures w14:val="none"/>
        </w:rPr>
        <w:t>الإمارات</w:t>
      </w:r>
      <w:bookmarkEnd w:id="48"/>
      <w:bookmarkEnd w:id="49"/>
    </w:p>
    <w:p w14:paraId="6814CEF8" w14:textId="77777777" w:rsidR="00875B65" w:rsidRPr="00875B65" w:rsidRDefault="00875B65" w:rsidP="00875B65">
      <w:pPr>
        <w:numPr>
          <w:ilvl w:val="0"/>
          <w:numId w:val="33"/>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ربطت التعليم الصحي مباشرة بالمستشفيات الكبرى.</w:t>
      </w:r>
    </w:p>
    <w:p w14:paraId="0154E9D2" w14:textId="77777777" w:rsidR="00875B65" w:rsidRPr="00875B65" w:rsidRDefault="00875B65" w:rsidP="00875B65">
      <w:pPr>
        <w:numPr>
          <w:ilvl w:val="0"/>
          <w:numId w:val="33"/>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فرضت نسب توطين إلزامية في بعض المهن الصحية.</w:t>
      </w:r>
    </w:p>
    <w:p w14:paraId="319ADC15"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50" w:name="_Toc213694057"/>
      <w:bookmarkStart w:id="51" w:name="_Toc214212874"/>
      <w:r w:rsidRPr="00875B65">
        <w:rPr>
          <w:rFonts w:ascii="Sakkal Majalla" w:eastAsia="Times New Roman" w:hAnsi="Sakkal Majalla" w:cs="Sakkal Majalla"/>
          <w:b/>
          <w:bCs/>
          <w:kern w:val="0"/>
          <w:sz w:val="27"/>
          <w:szCs w:val="27"/>
          <w:rtl/>
          <w14:ligatures w14:val="none"/>
        </w:rPr>
        <w:t>قطر</w:t>
      </w:r>
      <w:bookmarkEnd w:id="50"/>
      <w:bookmarkEnd w:id="51"/>
    </w:p>
    <w:p w14:paraId="1CF9CD5A" w14:textId="77777777" w:rsidR="00875B65" w:rsidRPr="00875B65" w:rsidRDefault="00875B65" w:rsidP="00875B65">
      <w:pPr>
        <w:numPr>
          <w:ilvl w:val="0"/>
          <w:numId w:val="34"/>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ركزت على استبقاء الكوادر الوطنية من خلال رفع الرواتب في القطاع الحكومي.</w:t>
      </w:r>
    </w:p>
    <w:p w14:paraId="3647ABC2"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52" w:name="_Toc213694058"/>
      <w:bookmarkStart w:id="53" w:name="_Toc214212875"/>
      <w:r w:rsidRPr="00875B65">
        <w:rPr>
          <w:rFonts w:ascii="Sakkal Majalla" w:eastAsia="Times New Roman" w:hAnsi="Sakkal Majalla" w:cs="Sakkal Majalla"/>
          <w:b/>
          <w:bCs/>
          <w:kern w:val="0"/>
          <w:sz w:val="27"/>
          <w:szCs w:val="27"/>
          <w:rtl/>
          <w14:ligatures w14:val="none"/>
        </w:rPr>
        <w:t>سنغافورة</w:t>
      </w:r>
      <w:bookmarkEnd w:id="52"/>
      <w:bookmarkEnd w:id="53"/>
    </w:p>
    <w:p w14:paraId="7694FA31" w14:textId="77777777" w:rsidR="00875B65" w:rsidRPr="00875B65" w:rsidRDefault="00875B65" w:rsidP="00875B65">
      <w:pPr>
        <w:numPr>
          <w:ilvl w:val="0"/>
          <w:numId w:val="35"/>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أنشأت نظامًا متكاملًا للتعليم والتوظيف الصحي، ما جعلها من أنجح النماذج.</w:t>
      </w:r>
    </w:p>
    <w:p w14:paraId="4C4F21B0"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الدروس المستفادة للسعودية:</w:t>
      </w:r>
    </w:p>
    <w:p w14:paraId="12CC2865" w14:textId="77777777" w:rsidR="00875B65" w:rsidRPr="00875B65" w:rsidRDefault="00875B65" w:rsidP="00875B65">
      <w:pPr>
        <w:numPr>
          <w:ilvl w:val="0"/>
          <w:numId w:val="36"/>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ضرورة ربط الجامعات بالمستشفيات.</w:t>
      </w:r>
    </w:p>
    <w:p w14:paraId="3D365ACC" w14:textId="77777777" w:rsidR="00875B65" w:rsidRPr="00875B65" w:rsidRDefault="00875B65" w:rsidP="00875B65">
      <w:pPr>
        <w:numPr>
          <w:ilvl w:val="0"/>
          <w:numId w:val="36"/>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تحسين الحوافز لجذب الكوادر الوطنية.</w:t>
      </w:r>
    </w:p>
    <w:p w14:paraId="69460F1C" w14:textId="77777777" w:rsidR="00875B65" w:rsidRPr="00875B65" w:rsidRDefault="00875B65" w:rsidP="00875B65">
      <w:pPr>
        <w:numPr>
          <w:ilvl w:val="0"/>
          <w:numId w:val="36"/>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التدرج في الإحلال.</w:t>
      </w:r>
    </w:p>
    <w:p w14:paraId="3FBE9E8E" w14:textId="77777777" w:rsidR="00875B65" w:rsidRPr="00875B65" w:rsidRDefault="00875B65" w:rsidP="00875B65">
      <w:pPr>
        <w:bidi w:val="0"/>
        <w:spacing w:before="100" w:beforeAutospacing="1" w:after="100" w:afterAutospacing="1" w:line="240" w:lineRule="auto"/>
        <w:jc w:val="right"/>
        <w:outlineLvl w:val="1"/>
        <w:rPr>
          <w:rFonts w:ascii="Sakkal Majalla" w:hAnsi="Sakkal Majalla" w:cs="Sakkal Majalla"/>
          <w:b/>
          <w:bCs/>
          <w:kern w:val="0"/>
          <w:sz w:val="26"/>
          <w:szCs w:val="26"/>
          <w14:ligatures w14:val="none"/>
        </w:rPr>
      </w:pPr>
      <w:bookmarkStart w:id="54" w:name="_Toc214212876"/>
      <w:r w:rsidRPr="00875B65">
        <w:rPr>
          <w:rFonts w:ascii="Sakkal Majalla" w:eastAsia="Times New Roman" w:hAnsi="Sakkal Majalla" w:cs="Sakkal Majalla"/>
          <w:b/>
          <w:bCs/>
          <w:kern w:val="0"/>
          <w:sz w:val="26"/>
          <w:szCs w:val="26"/>
          <w:rtl/>
          <w14:ligatures w14:val="none"/>
        </w:rPr>
        <w:t>النموذج التحليلي المقترح</w:t>
      </w:r>
      <w:bookmarkEnd w:id="54"/>
    </w:p>
    <w:p w14:paraId="0ED59152"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يقوم على خمس ركائز:</w:t>
      </w:r>
    </w:p>
    <w:p w14:paraId="3234A133" w14:textId="77777777" w:rsidR="00875B65" w:rsidRPr="00875B65" w:rsidRDefault="00875B65" w:rsidP="00875B65">
      <w:pPr>
        <w:numPr>
          <w:ilvl w:val="0"/>
          <w:numId w:val="37"/>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التعليم والتدريب (رأس المال البشري).</w:t>
      </w:r>
    </w:p>
    <w:p w14:paraId="2818F406" w14:textId="77777777" w:rsidR="00875B65" w:rsidRPr="00875B65" w:rsidRDefault="00875B65" w:rsidP="00875B65">
      <w:pPr>
        <w:numPr>
          <w:ilvl w:val="0"/>
          <w:numId w:val="37"/>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lastRenderedPageBreak/>
        <w:t>التوازن بين العرض والطلب.</w:t>
      </w:r>
    </w:p>
    <w:p w14:paraId="6056637E" w14:textId="77777777" w:rsidR="00875B65" w:rsidRPr="00875B65" w:rsidRDefault="00875B65" w:rsidP="00875B65">
      <w:pPr>
        <w:numPr>
          <w:ilvl w:val="0"/>
          <w:numId w:val="37"/>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الحوافز والرضا الوظيفي.</w:t>
      </w:r>
    </w:p>
    <w:p w14:paraId="6D33C664" w14:textId="77777777" w:rsidR="00875B65" w:rsidRPr="00875B65" w:rsidRDefault="00875B65" w:rsidP="00875B65">
      <w:pPr>
        <w:numPr>
          <w:ilvl w:val="0"/>
          <w:numId w:val="37"/>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التوطين المستدام.</w:t>
      </w:r>
    </w:p>
    <w:p w14:paraId="764EE090" w14:textId="77777777" w:rsidR="00875B65" w:rsidRPr="00875B65" w:rsidRDefault="00875B65" w:rsidP="00875B65">
      <w:pPr>
        <w:numPr>
          <w:ilvl w:val="0"/>
          <w:numId w:val="37"/>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التنسيق المؤسسي.</w:t>
      </w:r>
    </w:p>
    <w:p w14:paraId="4B09E647"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p>
    <w:p w14:paraId="55D41645" w14:textId="77777777" w:rsidR="00875B65" w:rsidRPr="00875B65" w:rsidRDefault="00875B65" w:rsidP="00875B65">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55" w:name="_Toc214212877"/>
      <w:r w:rsidRPr="00875B65">
        <w:rPr>
          <w:rFonts w:ascii="Sakkal Majalla" w:eastAsia="Times New Roman" w:hAnsi="Sakkal Majalla" w:cs="Sakkal Majalla"/>
          <w:b/>
          <w:bCs/>
          <w:kern w:val="0"/>
          <w:sz w:val="28"/>
          <w:szCs w:val="28"/>
          <w:rtl/>
          <w14:ligatures w14:val="none"/>
        </w:rPr>
        <w:t>البيانات الإحصائية السعودية الداعمة</w:t>
      </w:r>
      <w:bookmarkEnd w:id="55"/>
    </w:p>
    <w:p w14:paraId="44674529"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لإضفاء الواقعية على تحليلنا، ندرج هنا بيانات مهمة مستقاة من تقارير وزارة الصحة السعودية (2013–2019)، وهي تعكس توزيع الكوادر الصحية بين القطاعات ونسب التوطين:</w:t>
      </w:r>
    </w:p>
    <w:p w14:paraId="48D5058B" w14:textId="77777777" w:rsidR="00875B65" w:rsidRPr="00875B65" w:rsidRDefault="00875B65" w:rsidP="00875B65">
      <w:pPr>
        <w:bidi w:val="0"/>
        <w:spacing w:before="100" w:beforeAutospacing="1" w:after="100" w:afterAutospacing="1" w:line="240" w:lineRule="auto"/>
        <w:jc w:val="center"/>
        <w:outlineLvl w:val="2"/>
        <w:rPr>
          <w:rFonts w:ascii="Sakkal Majalla" w:eastAsia="Times New Roman" w:hAnsi="Sakkal Majalla" w:cs="Sakkal Majalla"/>
          <w:b/>
          <w:bCs/>
          <w:kern w:val="0"/>
          <w:sz w:val="28"/>
          <w:szCs w:val="28"/>
          <w:lang w:val="en-GB"/>
          <w14:ligatures w14:val="none"/>
        </w:rPr>
      </w:pPr>
      <w:bookmarkStart w:id="56" w:name="_Toc213694061"/>
      <w:bookmarkStart w:id="57" w:name="_Toc214212878"/>
      <w:r w:rsidRPr="00875B65">
        <w:rPr>
          <w:rFonts w:ascii="Sakkal Majalla" w:eastAsia="Times New Roman" w:hAnsi="Sakkal Majalla" w:cs="Sakkal Majalla"/>
          <w:b/>
          <w:bCs/>
          <w:kern w:val="0"/>
          <w:sz w:val="28"/>
          <w:szCs w:val="28"/>
          <w:rtl/>
          <w14:ligatures w14:val="none"/>
        </w:rPr>
        <w:t>جدول</w:t>
      </w:r>
      <w:r w:rsidRPr="00875B65">
        <w:rPr>
          <w:rFonts w:ascii="Sakkal Majalla" w:eastAsia="Times New Roman" w:hAnsi="Sakkal Majalla" w:cs="Sakkal Majalla" w:hint="cs"/>
          <w:b/>
          <w:bCs/>
          <w:kern w:val="0"/>
          <w:sz w:val="28"/>
          <w:szCs w:val="28"/>
          <w:rtl/>
          <w14:ligatures w14:val="none"/>
        </w:rPr>
        <w:t>١.١</w:t>
      </w:r>
      <w:r w:rsidRPr="00875B65">
        <w:rPr>
          <w:rFonts w:ascii="Sakkal Majalla" w:eastAsia="Times New Roman" w:hAnsi="Sakkal Majalla" w:cs="Sakkal Majalla"/>
          <w:b/>
          <w:bCs/>
          <w:kern w:val="0"/>
          <w:sz w:val="28"/>
          <w:szCs w:val="28"/>
          <w:rtl/>
          <w14:ligatures w14:val="none"/>
        </w:rPr>
        <w:t>: نسبة السعودة في المهن الصحية حسب القطاعات (2013–2019</w:t>
      </w:r>
      <w:r w:rsidRPr="00875B65">
        <w:rPr>
          <w:rFonts w:ascii="Sakkal Majalla" w:eastAsia="Times New Roman" w:hAnsi="Sakkal Majalla" w:cs="Sakkal Majalla"/>
          <w:b/>
          <w:bCs/>
          <w:kern w:val="0"/>
          <w:sz w:val="28"/>
          <w:szCs w:val="28"/>
          <w:rtl/>
          <w:lang w:val="en-GB"/>
          <w14:ligatures w14:val="none"/>
        </w:rPr>
        <w:t>)</w:t>
      </w:r>
      <w:bookmarkEnd w:id="56"/>
      <w:bookmarkEnd w:id="57"/>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2"/>
        <w:gridCol w:w="1277"/>
        <w:gridCol w:w="2307"/>
        <w:gridCol w:w="1453"/>
      </w:tblGrid>
      <w:tr w:rsidR="00875B65" w:rsidRPr="00875B65" w14:paraId="399E0AC7" w14:textId="77777777" w:rsidTr="00235794">
        <w:trPr>
          <w:tblHeader/>
          <w:tblCellSpacing w:w="15" w:type="dxa"/>
        </w:trPr>
        <w:tc>
          <w:tcPr>
            <w:tcW w:w="0" w:type="auto"/>
            <w:vAlign w:val="center"/>
            <w:hideMark/>
          </w:tcPr>
          <w:p w14:paraId="2F42828F" w14:textId="77777777" w:rsidR="00875B65" w:rsidRPr="00875B65" w:rsidRDefault="00875B65" w:rsidP="00875B65">
            <w:pPr>
              <w:spacing w:before="100" w:beforeAutospacing="1" w:after="100" w:afterAutospacing="1" w:line="240" w:lineRule="auto"/>
              <w:jc w:val="center"/>
              <w:rPr>
                <w:rFonts w:ascii="Sakkal Majalla" w:hAnsi="Sakkal Majalla" w:cs="Sakkal Majalla"/>
                <w:b/>
                <w:bCs/>
                <w:kern w:val="0"/>
                <w14:ligatures w14:val="none"/>
              </w:rPr>
            </w:pPr>
            <w:r w:rsidRPr="00875B65">
              <w:rPr>
                <w:rFonts w:ascii="Sakkal Majalla" w:hAnsi="Sakkal Majalla" w:cs="Sakkal Majalla"/>
                <w:b/>
                <w:bCs/>
                <w:kern w:val="0"/>
                <w:rtl/>
                <w14:ligatures w14:val="none"/>
              </w:rPr>
              <w:t>المهنة / القطاع</w:t>
            </w:r>
          </w:p>
        </w:tc>
        <w:tc>
          <w:tcPr>
            <w:tcW w:w="0" w:type="auto"/>
            <w:vAlign w:val="center"/>
            <w:hideMark/>
          </w:tcPr>
          <w:p w14:paraId="2597725B" w14:textId="77777777" w:rsidR="00875B65" w:rsidRPr="00875B65" w:rsidRDefault="00875B65" w:rsidP="00875B65">
            <w:pPr>
              <w:spacing w:before="100" w:beforeAutospacing="1" w:after="100" w:afterAutospacing="1" w:line="240" w:lineRule="auto"/>
              <w:jc w:val="center"/>
              <w:rPr>
                <w:rFonts w:ascii="Sakkal Majalla" w:hAnsi="Sakkal Majalla" w:cs="Sakkal Majalla"/>
                <w:b/>
                <w:bCs/>
                <w:kern w:val="0"/>
                <w:rtl/>
                <w14:ligatures w14:val="none"/>
              </w:rPr>
            </w:pPr>
            <w:r w:rsidRPr="00875B65">
              <w:rPr>
                <w:rFonts w:ascii="Sakkal Majalla" w:hAnsi="Sakkal Majalla" w:cs="Sakkal Majalla"/>
                <w:b/>
                <w:bCs/>
                <w:kern w:val="0"/>
                <w:rtl/>
                <w14:ligatures w14:val="none"/>
              </w:rPr>
              <w:t>وزارة الصحة (%)</w:t>
            </w:r>
          </w:p>
        </w:tc>
        <w:tc>
          <w:tcPr>
            <w:tcW w:w="0" w:type="auto"/>
            <w:vAlign w:val="center"/>
            <w:hideMark/>
          </w:tcPr>
          <w:p w14:paraId="3E0ACEB2" w14:textId="77777777" w:rsidR="00875B65" w:rsidRPr="00875B65" w:rsidRDefault="00875B65" w:rsidP="00875B65">
            <w:pPr>
              <w:spacing w:before="100" w:beforeAutospacing="1" w:after="100" w:afterAutospacing="1" w:line="240" w:lineRule="auto"/>
              <w:jc w:val="center"/>
              <w:rPr>
                <w:rFonts w:ascii="Sakkal Majalla" w:hAnsi="Sakkal Majalla" w:cs="Sakkal Majalla"/>
                <w:b/>
                <w:bCs/>
                <w:kern w:val="0"/>
                <w:rtl/>
                <w14:ligatures w14:val="none"/>
              </w:rPr>
            </w:pPr>
            <w:r w:rsidRPr="00875B65">
              <w:rPr>
                <w:rFonts w:ascii="Sakkal Majalla" w:hAnsi="Sakkal Majalla" w:cs="Sakkal Majalla"/>
                <w:b/>
                <w:bCs/>
                <w:kern w:val="0"/>
                <w:rtl/>
                <w14:ligatures w14:val="none"/>
              </w:rPr>
              <w:t>القطاعات الحكومية الأخرى (%)</w:t>
            </w:r>
          </w:p>
        </w:tc>
        <w:tc>
          <w:tcPr>
            <w:tcW w:w="0" w:type="auto"/>
            <w:vAlign w:val="center"/>
            <w:hideMark/>
          </w:tcPr>
          <w:p w14:paraId="3FA86100" w14:textId="77777777" w:rsidR="00875B65" w:rsidRPr="00875B65" w:rsidRDefault="00875B65" w:rsidP="00875B65">
            <w:pPr>
              <w:spacing w:before="100" w:beforeAutospacing="1" w:after="100" w:afterAutospacing="1" w:line="240" w:lineRule="auto"/>
              <w:jc w:val="center"/>
              <w:rPr>
                <w:rFonts w:ascii="Sakkal Majalla" w:hAnsi="Sakkal Majalla" w:cs="Sakkal Majalla"/>
                <w:b/>
                <w:bCs/>
                <w:kern w:val="0"/>
                <w:rtl/>
                <w14:ligatures w14:val="none"/>
              </w:rPr>
            </w:pPr>
            <w:r w:rsidRPr="00875B65">
              <w:rPr>
                <w:rFonts w:ascii="Sakkal Majalla" w:hAnsi="Sakkal Majalla" w:cs="Sakkal Majalla"/>
                <w:b/>
                <w:bCs/>
                <w:kern w:val="0"/>
                <w:rtl/>
                <w14:ligatures w14:val="none"/>
              </w:rPr>
              <w:t>القطاع الخاص (%)</w:t>
            </w:r>
          </w:p>
        </w:tc>
      </w:tr>
    </w:tbl>
    <w:tbl>
      <w:tblPr>
        <w:tblStyle w:val="4-5"/>
        <w:tblW w:w="8879" w:type="dxa"/>
        <w:tblLook w:val="04A0" w:firstRow="1" w:lastRow="0" w:firstColumn="1" w:lastColumn="0" w:noHBand="0" w:noVBand="1"/>
      </w:tblPr>
      <w:tblGrid>
        <w:gridCol w:w="5298"/>
        <w:gridCol w:w="1199"/>
        <w:gridCol w:w="1199"/>
        <w:gridCol w:w="1183"/>
      </w:tblGrid>
      <w:tr w:rsidR="00875B65" w:rsidRPr="00875B65" w14:paraId="624EEA1C" w14:textId="77777777" w:rsidTr="00235794">
        <w:trPr>
          <w:cnfStyle w:val="100000000000" w:firstRow="1" w:lastRow="0" w:firstColumn="0" w:lastColumn="0" w:oddVBand="0" w:evenVBand="0" w:oddHBand="0"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103C98" w14:textId="77777777" w:rsidR="00875B65" w:rsidRPr="00875B65" w:rsidRDefault="00875B65" w:rsidP="00875B65">
            <w:pPr>
              <w:spacing w:before="100" w:beforeAutospacing="1" w:after="100" w:afterAutospacing="1"/>
              <w:jc w:val="center"/>
              <w:rPr>
                <w:rFonts w:ascii="Sakkal Majalla" w:hAnsi="Sakkal Majalla" w:cs="Sakkal Majalla"/>
                <w:kern w:val="0"/>
                <w:rtl/>
                <w14:ligatures w14:val="none"/>
              </w:rPr>
            </w:pPr>
            <w:r w:rsidRPr="00875B65">
              <w:rPr>
                <w:rFonts w:ascii="Sakkal Majalla" w:hAnsi="Sakkal Majalla" w:cs="Sakkal Majalla"/>
                <w:kern w:val="0"/>
                <w:rtl/>
                <w14:ligatures w14:val="none"/>
              </w:rPr>
              <w:t>الأطباء والأطباء الأسنان (2013)</w:t>
            </w:r>
          </w:p>
        </w:tc>
        <w:tc>
          <w:tcPr>
            <w:tcW w:w="0" w:type="auto"/>
            <w:vAlign w:val="center"/>
            <w:hideMark/>
          </w:tcPr>
          <w:p w14:paraId="2CF19E4A" w14:textId="77777777" w:rsidR="00875B65" w:rsidRPr="00875B65" w:rsidRDefault="00875B65" w:rsidP="00875B65">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14:ligatures w14:val="none"/>
              </w:rPr>
              <w:t>27.8</w:t>
            </w:r>
          </w:p>
        </w:tc>
        <w:tc>
          <w:tcPr>
            <w:tcW w:w="0" w:type="auto"/>
            <w:vAlign w:val="center"/>
            <w:hideMark/>
          </w:tcPr>
          <w:p w14:paraId="4C523527" w14:textId="77777777" w:rsidR="00875B65" w:rsidRPr="00875B65" w:rsidRDefault="00875B65" w:rsidP="00875B65">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50.1</w:t>
            </w:r>
          </w:p>
        </w:tc>
        <w:tc>
          <w:tcPr>
            <w:tcW w:w="0" w:type="auto"/>
            <w:vAlign w:val="center"/>
            <w:hideMark/>
          </w:tcPr>
          <w:p w14:paraId="08CE02D2" w14:textId="77777777" w:rsidR="00875B65" w:rsidRPr="00875B65" w:rsidRDefault="00875B65" w:rsidP="00875B65">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2.2</w:t>
            </w:r>
          </w:p>
        </w:tc>
      </w:tr>
      <w:tr w:rsidR="00875B65" w:rsidRPr="00875B65" w14:paraId="2785DB09" w14:textId="77777777" w:rsidTr="00235794">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781A61" w14:textId="77777777" w:rsidR="00875B65" w:rsidRPr="00875B65" w:rsidRDefault="00875B65" w:rsidP="00875B65">
            <w:pPr>
              <w:spacing w:before="100" w:beforeAutospacing="1" w:after="100" w:afterAutospacing="1"/>
              <w:jc w:val="center"/>
              <w:rPr>
                <w:rFonts w:ascii="Sakkal Majalla" w:hAnsi="Sakkal Majalla" w:cs="Sakkal Majalla"/>
                <w:kern w:val="0"/>
                <w14:ligatures w14:val="none"/>
              </w:rPr>
            </w:pPr>
            <w:r w:rsidRPr="00875B65">
              <w:rPr>
                <w:rFonts w:ascii="Sakkal Majalla" w:hAnsi="Sakkal Majalla" w:cs="Sakkal Majalla"/>
                <w:kern w:val="0"/>
                <w:rtl/>
                <w14:ligatures w14:val="none"/>
              </w:rPr>
              <w:t>التمريض (2013)</w:t>
            </w:r>
          </w:p>
        </w:tc>
        <w:tc>
          <w:tcPr>
            <w:tcW w:w="0" w:type="auto"/>
            <w:vAlign w:val="center"/>
            <w:hideMark/>
          </w:tcPr>
          <w:p w14:paraId="0298A56D" w14:textId="77777777" w:rsidR="00875B65" w:rsidRPr="00875B65" w:rsidRDefault="00875B65" w:rsidP="00875B65">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14:ligatures w14:val="none"/>
              </w:rPr>
              <w:t>57.8</w:t>
            </w:r>
          </w:p>
        </w:tc>
        <w:tc>
          <w:tcPr>
            <w:tcW w:w="0" w:type="auto"/>
            <w:vAlign w:val="center"/>
            <w:hideMark/>
          </w:tcPr>
          <w:p w14:paraId="350F0431" w14:textId="77777777" w:rsidR="00875B65" w:rsidRPr="00875B65" w:rsidRDefault="00875B65" w:rsidP="00875B65">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13.2</w:t>
            </w:r>
          </w:p>
        </w:tc>
        <w:tc>
          <w:tcPr>
            <w:tcW w:w="0" w:type="auto"/>
            <w:vAlign w:val="center"/>
            <w:hideMark/>
          </w:tcPr>
          <w:p w14:paraId="1C208B1F" w14:textId="77777777" w:rsidR="00875B65" w:rsidRPr="00875B65" w:rsidRDefault="00875B65" w:rsidP="00875B65">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3.9</w:t>
            </w:r>
          </w:p>
        </w:tc>
      </w:tr>
      <w:tr w:rsidR="00875B65" w:rsidRPr="00875B65" w14:paraId="4FBCFADC" w14:textId="77777777" w:rsidTr="00235794">
        <w:trPr>
          <w:trHeight w:val="58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30B9A4" w14:textId="77777777" w:rsidR="00875B65" w:rsidRPr="00875B65" w:rsidRDefault="00875B65" w:rsidP="00875B65">
            <w:pPr>
              <w:spacing w:before="100" w:beforeAutospacing="1" w:after="100" w:afterAutospacing="1"/>
              <w:jc w:val="center"/>
              <w:rPr>
                <w:rFonts w:ascii="Sakkal Majalla" w:hAnsi="Sakkal Majalla" w:cs="Sakkal Majalla"/>
                <w:kern w:val="0"/>
                <w14:ligatures w14:val="none"/>
              </w:rPr>
            </w:pPr>
            <w:r w:rsidRPr="00875B65">
              <w:rPr>
                <w:rFonts w:ascii="Sakkal Majalla" w:hAnsi="Sakkal Majalla" w:cs="Sakkal Majalla"/>
                <w:kern w:val="0"/>
                <w:rtl/>
                <w14:ligatures w14:val="none"/>
              </w:rPr>
              <w:t>الصيادلة (2013)</w:t>
            </w:r>
          </w:p>
        </w:tc>
        <w:tc>
          <w:tcPr>
            <w:tcW w:w="0" w:type="auto"/>
            <w:vAlign w:val="center"/>
            <w:hideMark/>
          </w:tcPr>
          <w:p w14:paraId="494EAC75" w14:textId="77777777" w:rsidR="00875B65" w:rsidRPr="00875B65" w:rsidRDefault="00875B65" w:rsidP="00875B65">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14:ligatures w14:val="none"/>
              </w:rPr>
              <w:t>90.3</w:t>
            </w:r>
          </w:p>
        </w:tc>
        <w:tc>
          <w:tcPr>
            <w:tcW w:w="0" w:type="auto"/>
            <w:vAlign w:val="center"/>
            <w:hideMark/>
          </w:tcPr>
          <w:p w14:paraId="6A3AE336" w14:textId="77777777" w:rsidR="00875B65" w:rsidRPr="00875B65" w:rsidRDefault="00875B65" w:rsidP="00875B65">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61.0</w:t>
            </w:r>
          </w:p>
        </w:tc>
        <w:tc>
          <w:tcPr>
            <w:tcW w:w="0" w:type="auto"/>
            <w:vAlign w:val="center"/>
            <w:hideMark/>
          </w:tcPr>
          <w:p w14:paraId="702B7F3B" w14:textId="77777777" w:rsidR="00875B65" w:rsidRPr="00875B65" w:rsidRDefault="00875B65" w:rsidP="00875B65">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3.2</w:t>
            </w:r>
          </w:p>
        </w:tc>
      </w:tr>
      <w:tr w:rsidR="00875B65" w:rsidRPr="00875B65" w14:paraId="0E5F5A80" w14:textId="77777777" w:rsidTr="00235794">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F0B080" w14:textId="77777777" w:rsidR="00875B65" w:rsidRPr="00875B65" w:rsidRDefault="00875B65" w:rsidP="00875B65">
            <w:pPr>
              <w:spacing w:before="100" w:beforeAutospacing="1" w:after="100" w:afterAutospacing="1"/>
              <w:jc w:val="center"/>
              <w:rPr>
                <w:rFonts w:ascii="Sakkal Majalla" w:hAnsi="Sakkal Majalla" w:cs="Sakkal Majalla"/>
                <w:kern w:val="0"/>
                <w14:ligatures w14:val="none"/>
              </w:rPr>
            </w:pPr>
            <w:r w:rsidRPr="00875B65">
              <w:rPr>
                <w:rFonts w:ascii="Sakkal Majalla" w:hAnsi="Sakkal Majalla" w:cs="Sakkal Majalla"/>
                <w:kern w:val="0"/>
                <w:rtl/>
                <w14:ligatures w14:val="none"/>
              </w:rPr>
              <w:t>الكوادر الصحية المساندة (2013)</w:t>
            </w:r>
          </w:p>
        </w:tc>
        <w:tc>
          <w:tcPr>
            <w:tcW w:w="0" w:type="auto"/>
            <w:vAlign w:val="center"/>
            <w:hideMark/>
          </w:tcPr>
          <w:p w14:paraId="6FAFEB86" w14:textId="77777777" w:rsidR="00875B65" w:rsidRPr="00875B65" w:rsidRDefault="00875B65" w:rsidP="00875B65">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14:ligatures w14:val="none"/>
              </w:rPr>
              <w:t>89.1</w:t>
            </w:r>
          </w:p>
        </w:tc>
        <w:tc>
          <w:tcPr>
            <w:tcW w:w="0" w:type="auto"/>
            <w:vAlign w:val="center"/>
            <w:hideMark/>
          </w:tcPr>
          <w:p w14:paraId="4AEB6964" w14:textId="77777777" w:rsidR="00875B65" w:rsidRPr="00875B65" w:rsidRDefault="00875B65" w:rsidP="00875B65">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64.4</w:t>
            </w:r>
          </w:p>
        </w:tc>
        <w:tc>
          <w:tcPr>
            <w:tcW w:w="0" w:type="auto"/>
            <w:vAlign w:val="center"/>
            <w:hideMark/>
          </w:tcPr>
          <w:p w14:paraId="443708F4" w14:textId="77777777" w:rsidR="00875B65" w:rsidRPr="00875B65" w:rsidRDefault="00875B65" w:rsidP="00875B65">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22.3</w:t>
            </w:r>
          </w:p>
        </w:tc>
      </w:tr>
      <w:tr w:rsidR="00875B65" w:rsidRPr="00875B65" w14:paraId="39859BDE" w14:textId="77777777" w:rsidTr="00235794">
        <w:trPr>
          <w:trHeight w:val="58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1F9C84" w14:textId="77777777" w:rsidR="00875B65" w:rsidRPr="00875B65" w:rsidRDefault="00875B65" w:rsidP="00875B65">
            <w:pPr>
              <w:spacing w:before="100" w:beforeAutospacing="1" w:after="100" w:afterAutospacing="1"/>
              <w:jc w:val="center"/>
              <w:rPr>
                <w:rFonts w:ascii="Sakkal Majalla" w:hAnsi="Sakkal Majalla" w:cs="Sakkal Majalla"/>
                <w:kern w:val="0"/>
                <w14:ligatures w14:val="none"/>
              </w:rPr>
            </w:pPr>
            <w:r w:rsidRPr="00875B65">
              <w:rPr>
                <w:rFonts w:ascii="Sakkal Majalla" w:hAnsi="Sakkal Majalla" w:cs="Sakkal Majalla"/>
                <w:kern w:val="0"/>
                <w:rtl/>
                <w14:ligatures w14:val="none"/>
              </w:rPr>
              <w:t>أطباء الأسنان (2019)</w:t>
            </w:r>
          </w:p>
        </w:tc>
        <w:tc>
          <w:tcPr>
            <w:tcW w:w="0" w:type="auto"/>
            <w:vAlign w:val="center"/>
            <w:hideMark/>
          </w:tcPr>
          <w:p w14:paraId="06C460C1" w14:textId="77777777" w:rsidR="00875B65" w:rsidRPr="00875B65" w:rsidRDefault="00875B65" w:rsidP="00875B65">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14:ligatures w14:val="none"/>
              </w:rPr>
              <w:t>39.9</w:t>
            </w:r>
          </w:p>
        </w:tc>
        <w:tc>
          <w:tcPr>
            <w:tcW w:w="0" w:type="auto"/>
            <w:vAlign w:val="center"/>
            <w:hideMark/>
          </w:tcPr>
          <w:p w14:paraId="36C075B3" w14:textId="77777777" w:rsidR="00875B65" w:rsidRPr="00875B65" w:rsidRDefault="00875B65" w:rsidP="00875B65">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50.7</w:t>
            </w:r>
          </w:p>
        </w:tc>
        <w:tc>
          <w:tcPr>
            <w:tcW w:w="0" w:type="auto"/>
            <w:vAlign w:val="center"/>
            <w:hideMark/>
          </w:tcPr>
          <w:p w14:paraId="1070269A" w14:textId="77777777" w:rsidR="00875B65" w:rsidRPr="00875B65" w:rsidRDefault="00875B65" w:rsidP="00875B65">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8.1</w:t>
            </w:r>
          </w:p>
        </w:tc>
      </w:tr>
      <w:tr w:rsidR="00875B65" w:rsidRPr="00875B65" w14:paraId="058513F2" w14:textId="77777777" w:rsidTr="00235794">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B956C8" w14:textId="77777777" w:rsidR="00875B65" w:rsidRPr="00875B65" w:rsidRDefault="00875B65" w:rsidP="00875B65">
            <w:pPr>
              <w:spacing w:before="100" w:beforeAutospacing="1" w:after="100" w:afterAutospacing="1"/>
              <w:jc w:val="center"/>
              <w:rPr>
                <w:rFonts w:ascii="Sakkal Majalla" w:hAnsi="Sakkal Majalla" w:cs="Sakkal Majalla"/>
                <w:kern w:val="0"/>
                <w14:ligatures w14:val="none"/>
              </w:rPr>
            </w:pPr>
            <w:r w:rsidRPr="00875B65">
              <w:rPr>
                <w:rFonts w:ascii="Sakkal Majalla" w:hAnsi="Sakkal Majalla" w:cs="Sakkal Majalla"/>
                <w:kern w:val="0"/>
                <w:rtl/>
                <w14:ligatures w14:val="none"/>
              </w:rPr>
              <w:t>التمريض (2019)</w:t>
            </w:r>
          </w:p>
        </w:tc>
        <w:tc>
          <w:tcPr>
            <w:tcW w:w="0" w:type="auto"/>
            <w:vAlign w:val="center"/>
            <w:hideMark/>
          </w:tcPr>
          <w:p w14:paraId="42432D45" w14:textId="77777777" w:rsidR="00875B65" w:rsidRPr="00875B65" w:rsidRDefault="00875B65" w:rsidP="00875B65">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14:ligatures w14:val="none"/>
              </w:rPr>
              <w:t>59.7</w:t>
            </w:r>
          </w:p>
        </w:tc>
        <w:tc>
          <w:tcPr>
            <w:tcW w:w="0" w:type="auto"/>
            <w:vAlign w:val="center"/>
            <w:hideMark/>
          </w:tcPr>
          <w:p w14:paraId="262C7826" w14:textId="77777777" w:rsidR="00875B65" w:rsidRPr="00875B65" w:rsidRDefault="00875B65" w:rsidP="00875B65">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31.0</w:t>
            </w:r>
          </w:p>
        </w:tc>
        <w:tc>
          <w:tcPr>
            <w:tcW w:w="0" w:type="auto"/>
            <w:vAlign w:val="center"/>
            <w:hideMark/>
          </w:tcPr>
          <w:p w14:paraId="130A199B" w14:textId="77777777" w:rsidR="00875B65" w:rsidRPr="00875B65" w:rsidRDefault="00875B65" w:rsidP="00875B65">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4.9</w:t>
            </w:r>
          </w:p>
        </w:tc>
      </w:tr>
      <w:tr w:rsidR="00875B65" w:rsidRPr="00875B65" w14:paraId="58A2FEA9" w14:textId="77777777" w:rsidTr="00235794">
        <w:trPr>
          <w:trHeight w:val="58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5AED13" w14:textId="77777777" w:rsidR="00875B65" w:rsidRPr="00875B65" w:rsidRDefault="00875B65" w:rsidP="00875B65">
            <w:pPr>
              <w:spacing w:before="100" w:beforeAutospacing="1" w:after="100" w:afterAutospacing="1"/>
              <w:jc w:val="center"/>
              <w:rPr>
                <w:rFonts w:ascii="Sakkal Majalla" w:hAnsi="Sakkal Majalla" w:cs="Sakkal Majalla"/>
                <w:kern w:val="0"/>
                <w14:ligatures w14:val="none"/>
              </w:rPr>
            </w:pPr>
            <w:r w:rsidRPr="00875B65">
              <w:rPr>
                <w:rFonts w:ascii="Sakkal Majalla" w:hAnsi="Sakkal Majalla" w:cs="Sakkal Majalla"/>
                <w:kern w:val="0"/>
                <w:rtl/>
                <w14:ligatures w14:val="none"/>
              </w:rPr>
              <w:t>الصيادلة (2019)</w:t>
            </w:r>
          </w:p>
        </w:tc>
        <w:tc>
          <w:tcPr>
            <w:tcW w:w="0" w:type="auto"/>
            <w:vAlign w:val="center"/>
            <w:hideMark/>
          </w:tcPr>
          <w:p w14:paraId="0445DAA8" w14:textId="77777777" w:rsidR="00875B65" w:rsidRPr="00875B65" w:rsidRDefault="00875B65" w:rsidP="00875B65">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14:ligatures w14:val="none"/>
              </w:rPr>
              <w:t>93.1</w:t>
            </w:r>
          </w:p>
        </w:tc>
        <w:tc>
          <w:tcPr>
            <w:tcW w:w="0" w:type="auto"/>
            <w:vAlign w:val="center"/>
            <w:hideMark/>
          </w:tcPr>
          <w:p w14:paraId="06E20FF7" w14:textId="77777777" w:rsidR="00875B65" w:rsidRPr="00875B65" w:rsidRDefault="00875B65" w:rsidP="00875B65">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79.5</w:t>
            </w:r>
          </w:p>
        </w:tc>
        <w:tc>
          <w:tcPr>
            <w:tcW w:w="0" w:type="auto"/>
            <w:vAlign w:val="center"/>
            <w:hideMark/>
          </w:tcPr>
          <w:p w14:paraId="298B1B4C" w14:textId="77777777" w:rsidR="00875B65" w:rsidRPr="00875B65" w:rsidRDefault="00875B65" w:rsidP="00875B65">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6.4</w:t>
            </w:r>
          </w:p>
        </w:tc>
      </w:tr>
      <w:tr w:rsidR="00875B65" w:rsidRPr="00875B65" w14:paraId="4B28B918" w14:textId="77777777" w:rsidTr="00235794">
        <w:trPr>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108140" w14:textId="77777777" w:rsidR="00875B65" w:rsidRPr="00875B65" w:rsidRDefault="00875B65" w:rsidP="00875B65">
            <w:pPr>
              <w:spacing w:before="100" w:beforeAutospacing="1" w:after="100" w:afterAutospacing="1"/>
              <w:jc w:val="center"/>
              <w:rPr>
                <w:rFonts w:ascii="Sakkal Majalla" w:hAnsi="Sakkal Majalla" w:cs="Sakkal Majalla"/>
                <w:kern w:val="0"/>
                <w14:ligatures w14:val="none"/>
              </w:rPr>
            </w:pPr>
            <w:r w:rsidRPr="00875B65">
              <w:rPr>
                <w:rFonts w:ascii="Sakkal Majalla" w:hAnsi="Sakkal Majalla" w:cs="Sakkal Majalla"/>
                <w:kern w:val="0"/>
                <w:rtl/>
                <w14:ligatures w14:val="none"/>
              </w:rPr>
              <w:t>الكوادر المساندة (2019)</w:t>
            </w:r>
          </w:p>
        </w:tc>
        <w:tc>
          <w:tcPr>
            <w:tcW w:w="0" w:type="auto"/>
            <w:vAlign w:val="center"/>
            <w:hideMark/>
          </w:tcPr>
          <w:p w14:paraId="143B1E4A" w14:textId="77777777" w:rsidR="00875B65" w:rsidRPr="00875B65" w:rsidRDefault="00875B65" w:rsidP="00875B65">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14:ligatures w14:val="none"/>
              </w:rPr>
              <w:t>95.3</w:t>
            </w:r>
          </w:p>
        </w:tc>
        <w:tc>
          <w:tcPr>
            <w:tcW w:w="0" w:type="auto"/>
            <w:vAlign w:val="center"/>
            <w:hideMark/>
          </w:tcPr>
          <w:p w14:paraId="3B05AC8A" w14:textId="77777777" w:rsidR="00875B65" w:rsidRPr="00875B65" w:rsidRDefault="00875B65" w:rsidP="00875B65">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75.4</w:t>
            </w:r>
          </w:p>
        </w:tc>
        <w:tc>
          <w:tcPr>
            <w:tcW w:w="0" w:type="auto"/>
            <w:vAlign w:val="center"/>
            <w:hideMark/>
          </w:tcPr>
          <w:p w14:paraId="63B8FF58" w14:textId="77777777" w:rsidR="00875B65" w:rsidRPr="00875B65" w:rsidRDefault="00875B65" w:rsidP="00875B65">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32.6</w:t>
            </w:r>
          </w:p>
        </w:tc>
      </w:tr>
    </w:tbl>
    <w:p w14:paraId="7451BDA9" w14:textId="77777777" w:rsidR="00875B65" w:rsidRPr="00875B65" w:rsidRDefault="00875B65" w:rsidP="00875B65">
      <w:pPr>
        <w:bidi w:val="0"/>
        <w:spacing w:before="100" w:beforeAutospacing="1" w:after="100" w:afterAutospacing="1" w:line="240" w:lineRule="auto"/>
        <w:outlineLvl w:val="2"/>
        <w:rPr>
          <w:rFonts w:ascii="Sakkal Majalla" w:eastAsia="Times New Roman" w:hAnsi="Sakkal Majalla" w:cs="Sakkal Majalla"/>
          <w:b/>
          <w:bCs/>
          <w:kern w:val="0"/>
          <w:sz w:val="26"/>
          <w:szCs w:val="26"/>
          <w:rtl/>
          <w14:ligatures w14:val="none"/>
        </w:rPr>
      </w:pPr>
    </w:p>
    <w:p w14:paraId="7EE5E477" w14:textId="77777777" w:rsidR="00875B65" w:rsidRPr="00875B65" w:rsidRDefault="00875B65" w:rsidP="00875B65">
      <w:pPr>
        <w:bidi w:val="0"/>
        <w:spacing w:before="100" w:beforeAutospacing="1" w:after="100" w:afterAutospacing="1" w:line="240" w:lineRule="auto"/>
        <w:jc w:val="center"/>
        <w:outlineLvl w:val="2"/>
        <w:rPr>
          <w:rFonts w:ascii="Sakkal Majalla" w:eastAsia="Times New Roman" w:hAnsi="Sakkal Majalla" w:cs="Sakkal Majalla"/>
          <w:b/>
          <w:bCs/>
          <w:kern w:val="0"/>
          <w:sz w:val="26"/>
          <w:szCs w:val="26"/>
          <w:rtl/>
          <w14:ligatures w14:val="none"/>
        </w:rPr>
      </w:pPr>
      <w:bookmarkStart w:id="58" w:name="_Toc213694062"/>
      <w:bookmarkStart w:id="59" w:name="_Toc214212879"/>
      <w:r w:rsidRPr="00875B65">
        <w:rPr>
          <w:rFonts w:ascii="Sakkal Majalla" w:eastAsia="Times New Roman" w:hAnsi="Sakkal Majalla" w:cs="Sakkal Majalla"/>
          <w:b/>
          <w:bCs/>
          <w:kern w:val="0"/>
          <w:sz w:val="26"/>
          <w:szCs w:val="26"/>
          <w:rtl/>
          <w14:ligatures w14:val="none"/>
        </w:rPr>
        <w:t>جدول</w:t>
      </w:r>
      <w:r w:rsidRPr="00875B65">
        <w:rPr>
          <w:rFonts w:ascii="Sakkal Majalla" w:eastAsia="Times New Roman" w:hAnsi="Sakkal Majalla" w:cs="Sakkal Majalla" w:hint="cs"/>
          <w:b/>
          <w:bCs/>
          <w:kern w:val="0"/>
          <w:sz w:val="26"/>
          <w:szCs w:val="26"/>
          <w:rtl/>
          <w14:ligatures w14:val="none"/>
        </w:rPr>
        <w:t>٢-١</w:t>
      </w:r>
      <w:r w:rsidRPr="00875B65">
        <w:rPr>
          <w:rFonts w:ascii="Sakkal Majalla" w:eastAsia="Times New Roman" w:hAnsi="Sakkal Majalla" w:cs="Sakkal Majalla"/>
          <w:b/>
          <w:bCs/>
          <w:kern w:val="0"/>
          <w:sz w:val="26"/>
          <w:szCs w:val="26"/>
          <w:rtl/>
          <w14:ligatures w14:val="none"/>
        </w:rPr>
        <w:t xml:space="preserve"> مقارنة أعداد السعوديين والأجانب ونسب السعودة في القطاع الصحي السعودي (2018 – 2024)</w:t>
      </w:r>
      <w:bookmarkEnd w:id="58"/>
      <w:bookmarkEnd w:id="59"/>
    </w:p>
    <w:tbl>
      <w:tblPr>
        <w:tblStyle w:val="4-5"/>
        <w:tblpPr w:leftFromText="180" w:rightFromText="180" w:vertAnchor="text" w:horzAnchor="page" w:tblpXSpec="center" w:tblpY="363"/>
        <w:tblW w:w="7494" w:type="dxa"/>
        <w:tblLook w:val="04A0" w:firstRow="1" w:lastRow="0" w:firstColumn="1" w:lastColumn="0" w:noHBand="0" w:noVBand="1"/>
      </w:tblPr>
      <w:tblGrid>
        <w:gridCol w:w="878"/>
        <w:gridCol w:w="923"/>
        <w:gridCol w:w="834"/>
        <w:gridCol w:w="834"/>
        <w:gridCol w:w="928"/>
        <w:gridCol w:w="1025"/>
        <w:gridCol w:w="885"/>
        <w:gridCol w:w="915"/>
        <w:gridCol w:w="272"/>
      </w:tblGrid>
      <w:tr w:rsidR="00875B65" w:rsidRPr="00875B65" w14:paraId="51DA1B2A" w14:textId="77777777" w:rsidTr="00235794">
        <w:trPr>
          <w:cnfStyle w:val="100000000000" w:firstRow="1" w:lastRow="0" w:firstColumn="0" w:lastColumn="0" w:oddVBand="0" w:evenVBand="0" w:oddHBand="0" w:evenHBand="0" w:firstRowFirstColumn="0" w:firstRowLastColumn="0" w:lastRowFirstColumn="0" w:lastRowLastColumn="0"/>
          <w:trHeight w:val="137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7AB4F9" w14:textId="77777777" w:rsidR="00875B65" w:rsidRPr="00875B65" w:rsidRDefault="00875B65" w:rsidP="00875B65">
            <w:pPr>
              <w:spacing w:before="100" w:beforeAutospacing="1" w:after="100" w:afterAutospacing="1"/>
              <w:rPr>
                <w:rFonts w:ascii="Sakkal Majalla" w:hAnsi="Sakkal Majalla" w:cs="Sakkal Majalla"/>
                <w:kern w:val="0"/>
                <w14:ligatures w14:val="none"/>
              </w:rPr>
            </w:pPr>
            <w:r w:rsidRPr="00875B65">
              <w:rPr>
                <w:rFonts w:ascii="Sakkal Majalla" w:hAnsi="Sakkal Majalla" w:cs="Sakkal Majalla"/>
                <w:kern w:val="0"/>
                <w:rtl/>
                <w14:ligatures w14:val="none"/>
              </w:rPr>
              <w:t>التخصص</w:t>
            </w:r>
          </w:p>
        </w:tc>
        <w:tc>
          <w:tcPr>
            <w:tcW w:w="0" w:type="auto"/>
            <w:vAlign w:val="center"/>
            <w:hideMark/>
          </w:tcPr>
          <w:p w14:paraId="027D8529" w14:textId="77777777" w:rsidR="00875B65" w:rsidRPr="00875B65" w:rsidRDefault="00875B65" w:rsidP="00875B65">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rtl/>
                <w14:ligatures w14:val="none"/>
              </w:rPr>
              <w:t>سعوديون 2018</w:t>
            </w:r>
          </w:p>
        </w:tc>
        <w:tc>
          <w:tcPr>
            <w:tcW w:w="0" w:type="auto"/>
            <w:vAlign w:val="center"/>
            <w:hideMark/>
          </w:tcPr>
          <w:p w14:paraId="246A1B10" w14:textId="77777777" w:rsidR="00875B65" w:rsidRPr="00875B65" w:rsidRDefault="00875B65" w:rsidP="00875B65">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rtl/>
                <w14:ligatures w14:val="none"/>
              </w:rPr>
              <w:t>أجانب 2018</w:t>
            </w:r>
          </w:p>
        </w:tc>
        <w:tc>
          <w:tcPr>
            <w:tcW w:w="0" w:type="auto"/>
            <w:vAlign w:val="center"/>
            <w:hideMark/>
          </w:tcPr>
          <w:p w14:paraId="159CEBE4" w14:textId="77777777" w:rsidR="00875B65" w:rsidRPr="00875B65" w:rsidRDefault="00875B65" w:rsidP="00875B65">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rtl/>
                <w14:ligatures w14:val="none"/>
              </w:rPr>
              <w:t>أجانب 2024</w:t>
            </w:r>
          </w:p>
        </w:tc>
        <w:tc>
          <w:tcPr>
            <w:tcW w:w="0" w:type="auto"/>
            <w:vAlign w:val="center"/>
            <w:hideMark/>
          </w:tcPr>
          <w:p w14:paraId="4012415A" w14:textId="77777777" w:rsidR="00875B65" w:rsidRPr="00875B65" w:rsidRDefault="00875B65" w:rsidP="00875B65">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rtl/>
                <w14:ligatures w14:val="none"/>
              </w:rPr>
              <w:t>نسبة السعودة 2024</w:t>
            </w:r>
          </w:p>
        </w:tc>
        <w:tc>
          <w:tcPr>
            <w:tcW w:w="0" w:type="auto"/>
            <w:vAlign w:val="center"/>
            <w:hideMark/>
          </w:tcPr>
          <w:p w14:paraId="1761E407" w14:textId="77777777" w:rsidR="00875B65" w:rsidRPr="00875B65" w:rsidRDefault="00875B65" w:rsidP="00875B65">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rtl/>
                <w14:ligatures w14:val="none"/>
              </w:rPr>
              <w:t>التغير،في السعوديين</w:t>
            </w:r>
          </w:p>
        </w:tc>
        <w:tc>
          <w:tcPr>
            <w:tcW w:w="0" w:type="auto"/>
            <w:vAlign w:val="center"/>
            <w:hideMark/>
          </w:tcPr>
          <w:p w14:paraId="21759B37" w14:textId="77777777" w:rsidR="00875B65" w:rsidRPr="00875B65" w:rsidRDefault="00875B65" w:rsidP="00875B65">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rtl/>
                <w14:ligatures w14:val="none"/>
              </w:rPr>
              <w:t>التغير،في الأجانب</w:t>
            </w:r>
          </w:p>
        </w:tc>
        <w:tc>
          <w:tcPr>
            <w:tcW w:w="0" w:type="auto"/>
            <w:vAlign w:val="center"/>
            <w:hideMark/>
          </w:tcPr>
          <w:p w14:paraId="37D04913" w14:textId="77777777" w:rsidR="00875B65" w:rsidRPr="00875B65" w:rsidRDefault="00875B65" w:rsidP="00875B65">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rtl/>
                <w14:ligatures w14:val="none"/>
              </w:rPr>
              <w:t>الملاحظة</w:t>
            </w:r>
          </w:p>
        </w:tc>
        <w:tc>
          <w:tcPr>
            <w:tcW w:w="0" w:type="auto"/>
            <w:vAlign w:val="center"/>
          </w:tcPr>
          <w:p w14:paraId="4C902B4E" w14:textId="77777777" w:rsidR="00875B65" w:rsidRPr="00875B65" w:rsidRDefault="00875B65" w:rsidP="00875B65">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rtl/>
                <w14:ligatures w14:val="none"/>
              </w:rPr>
            </w:pPr>
          </w:p>
        </w:tc>
      </w:tr>
      <w:tr w:rsidR="00875B65" w:rsidRPr="00875B65" w14:paraId="1CBBF900" w14:textId="77777777" w:rsidTr="00235794">
        <w:trPr>
          <w:cnfStyle w:val="000000100000" w:firstRow="0" w:lastRow="0" w:firstColumn="0" w:lastColumn="0" w:oddVBand="0" w:evenVBand="0" w:oddHBand="1" w:evenHBand="0" w:firstRowFirstColumn="0" w:firstRowLastColumn="0" w:lastRowFirstColumn="0" w:lastRowLastColumn="0"/>
          <w:trHeight w:val="104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50ED34" w14:textId="77777777" w:rsidR="00875B65" w:rsidRPr="00875B65" w:rsidRDefault="00875B65" w:rsidP="00875B65">
            <w:pPr>
              <w:spacing w:before="100" w:beforeAutospacing="1" w:after="100" w:afterAutospacing="1"/>
              <w:rPr>
                <w:rFonts w:ascii="Sakkal Majalla" w:hAnsi="Sakkal Majalla" w:cs="Sakkal Majalla"/>
                <w:kern w:val="0"/>
                <w:rtl/>
                <w14:ligatures w14:val="none"/>
              </w:rPr>
            </w:pPr>
            <w:r w:rsidRPr="00875B65">
              <w:rPr>
                <w:rFonts w:ascii="Sakkal Majalla" w:hAnsi="Sakkal Majalla" w:cs="Sakkal Majalla"/>
                <w:kern w:val="0"/>
                <w:rtl/>
                <w14:ligatures w14:val="none"/>
              </w:rPr>
              <w:lastRenderedPageBreak/>
              <w:t>الأطباء</w:t>
            </w:r>
          </w:p>
        </w:tc>
        <w:tc>
          <w:tcPr>
            <w:tcW w:w="0" w:type="auto"/>
            <w:vAlign w:val="center"/>
            <w:hideMark/>
          </w:tcPr>
          <w:p w14:paraId="36A8C0A7" w14:textId="77777777" w:rsidR="00875B65" w:rsidRPr="00875B65" w:rsidRDefault="00875B65" w:rsidP="00875B6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14:ligatures w14:val="none"/>
              </w:rPr>
              <w:t>25,310</w:t>
            </w:r>
          </w:p>
        </w:tc>
        <w:tc>
          <w:tcPr>
            <w:tcW w:w="0" w:type="auto"/>
            <w:vAlign w:val="center"/>
            <w:hideMark/>
          </w:tcPr>
          <w:p w14:paraId="02F39B91" w14:textId="77777777" w:rsidR="00875B65" w:rsidRPr="00875B65" w:rsidRDefault="00875B65" w:rsidP="00875B6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64,044</w:t>
            </w:r>
          </w:p>
        </w:tc>
        <w:tc>
          <w:tcPr>
            <w:tcW w:w="0" w:type="auto"/>
            <w:vAlign w:val="center"/>
            <w:hideMark/>
          </w:tcPr>
          <w:p w14:paraId="56A3B56F" w14:textId="77777777" w:rsidR="00875B65" w:rsidRPr="00875B65" w:rsidRDefault="00875B65" w:rsidP="00875B6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41,972</w:t>
            </w:r>
          </w:p>
        </w:tc>
        <w:tc>
          <w:tcPr>
            <w:tcW w:w="0" w:type="auto"/>
            <w:vAlign w:val="center"/>
            <w:hideMark/>
          </w:tcPr>
          <w:p w14:paraId="61744029" w14:textId="77777777" w:rsidR="00875B65" w:rsidRPr="00875B65" w:rsidRDefault="00875B65" w:rsidP="00875B6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46%</w:t>
            </w:r>
          </w:p>
        </w:tc>
        <w:tc>
          <w:tcPr>
            <w:tcW w:w="0" w:type="auto"/>
            <w:vAlign w:val="center"/>
            <w:hideMark/>
          </w:tcPr>
          <w:p w14:paraId="43CE57C2" w14:textId="77777777" w:rsidR="00875B65" w:rsidRPr="00875B65" w:rsidRDefault="00875B65" w:rsidP="00875B6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+10,893</w:t>
            </w:r>
          </w:p>
        </w:tc>
        <w:tc>
          <w:tcPr>
            <w:tcW w:w="0" w:type="auto"/>
            <w:vAlign w:val="center"/>
            <w:hideMark/>
          </w:tcPr>
          <w:p w14:paraId="5E0998C6" w14:textId="77777777" w:rsidR="00875B65" w:rsidRPr="00875B65" w:rsidRDefault="00875B65" w:rsidP="00875B6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-22,072</w:t>
            </w:r>
          </w:p>
        </w:tc>
        <w:tc>
          <w:tcPr>
            <w:tcW w:w="0" w:type="auto"/>
            <w:gridSpan w:val="2"/>
            <w:vAlign w:val="center"/>
            <w:hideMark/>
          </w:tcPr>
          <w:p w14:paraId="3136C1F7" w14:textId="77777777" w:rsidR="00875B65" w:rsidRPr="00875B65" w:rsidRDefault="00875B65" w:rsidP="00875B6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rtl/>
                <w14:ligatures w14:val="none"/>
              </w:rPr>
              <w:t xml:space="preserve">السعوديون </w:t>
            </w:r>
            <w:r w:rsidRPr="00875B65">
              <w:rPr>
                <w:rFonts w:ascii="Times New Roman" w:hAnsi="Times New Roman" w:cs="Times New Roman" w:hint="cs"/>
                <w:kern w:val="0"/>
                <w:rtl/>
                <w14:ligatures w14:val="none"/>
              </w:rPr>
              <w:t>↑</w:t>
            </w:r>
            <w:r w:rsidRPr="00875B65">
              <w:rPr>
                <w:rFonts w:ascii="Sakkal Majalla" w:hAnsi="Sakkal Majalla" w:cs="Sakkal Majalla"/>
                <w:kern w:val="0"/>
                <w:rtl/>
                <w14:ligatures w14:val="none"/>
              </w:rPr>
              <w:t xml:space="preserve">، الأجانب </w:t>
            </w:r>
            <w:r w:rsidRPr="00875B65">
              <w:rPr>
                <w:rFonts w:ascii="Times New Roman" w:hAnsi="Times New Roman" w:cs="Times New Roman" w:hint="cs"/>
                <w:kern w:val="0"/>
                <w:rtl/>
                <w14:ligatures w14:val="none"/>
              </w:rPr>
              <w:t>↓</w:t>
            </w:r>
          </w:p>
        </w:tc>
      </w:tr>
      <w:tr w:rsidR="00875B65" w:rsidRPr="00875B65" w14:paraId="4C1944C7" w14:textId="77777777" w:rsidTr="00235794">
        <w:trPr>
          <w:trHeight w:val="108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4C276D" w14:textId="77777777" w:rsidR="00875B65" w:rsidRPr="00875B65" w:rsidRDefault="00875B65" w:rsidP="00875B65">
            <w:pPr>
              <w:spacing w:before="100" w:beforeAutospacing="1" w:after="100" w:afterAutospacing="1"/>
              <w:rPr>
                <w:rFonts w:ascii="Sakkal Majalla" w:hAnsi="Sakkal Majalla" w:cs="Sakkal Majalla"/>
                <w:kern w:val="0"/>
                <w:rtl/>
                <w14:ligatures w14:val="none"/>
              </w:rPr>
            </w:pPr>
            <w:r w:rsidRPr="00875B65">
              <w:rPr>
                <w:rFonts w:ascii="Sakkal Majalla" w:hAnsi="Sakkal Majalla" w:cs="Sakkal Majalla"/>
                <w:kern w:val="0"/>
                <w:rtl/>
                <w14:ligatures w14:val="none"/>
              </w:rPr>
              <w:t>الصيادلة</w:t>
            </w:r>
          </w:p>
        </w:tc>
        <w:tc>
          <w:tcPr>
            <w:tcW w:w="0" w:type="auto"/>
            <w:vAlign w:val="center"/>
            <w:hideMark/>
          </w:tcPr>
          <w:p w14:paraId="6E9163CD" w14:textId="77777777" w:rsidR="00875B65" w:rsidRPr="00875B65" w:rsidRDefault="00875B65" w:rsidP="00875B6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14:ligatures w14:val="none"/>
              </w:rPr>
              <w:t>8,209</w:t>
            </w:r>
          </w:p>
        </w:tc>
        <w:tc>
          <w:tcPr>
            <w:tcW w:w="0" w:type="auto"/>
            <w:vAlign w:val="center"/>
            <w:hideMark/>
          </w:tcPr>
          <w:p w14:paraId="5AAE9C31" w14:textId="77777777" w:rsidR="00875B65" w:rsidRPr="00875B65" w:rsidRDefault="00875B65" w:rsidP="00875B6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19,234</w:t>
            </w:r>
          </w:p>
        </w:tc>
        <w:tc>
          <w:tcPr>
            <w:tcW w:w="0" w:type="auto"/>
            <w:vAlign w:val="center"/>
            <w:hideMark/>
          </w:tcPr>
          <w:p w14:paraId="77AAF337" w14:textId="77777777" w:rsidR="00875B65" w:rsidRPr="00875B65" w:rsidRDefault="00875B65" w:rsidP="00875B6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11,968</w:t>
            </w:r>
          </w:p>
        </w:tc>
        <w:tc>
          <w:tcPr>
            <w:tcW w:w="0" w:type="auto"/>
            <w:vAlign w:val="center"/>
            <w:hideMark/>
          </w:tcPr>
          <w:p w14:paraId="74418900" w14:textId="77777777" w:rsidR="00875B65" w:rsidRPr="00875B65" w:rsidRDefault="00875B65" w:rsidP="00875B6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60%</w:t>
            </w:r>
          </w:p>
        </w:tc>
        <w:tc>
          <w:tcPr>
            <w:tcW w:w="0" w:type="auto"/>
            <w:vAlign w:val="center"/>
            <w:hideMark/>
          </w:tcPr>
          <w:p w14:paraId="1131C727" w14:textId="77777777" w:rsidR="00875B65" w:rsidRPr="00875B65" w:rsidRDefault="00875B65" w:rsidP="00875B6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+9,845</w:t>
            </w:r>
          </w:p>
        </w:tc>
        <w:tc>
          <w:tcPr>
            <w:tcW w:w="0" w:type="auto"/>
            <w:vAlign w:val="center"/>
            <w:hideMark/>
          </w:tcPr>
          <w:p w14:paraId="3DB1EA46" w14:textId="77777777" w:rsidR="00875B65" w:rsidRPr="00875B65" w:rsidRDefault="00875B65" w:rsidP="00875B6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-7,266</w:t>
            </w:r>
          </w:p>
        </w:tc>
        <w:tc>
          <w:tcPr>
            <w:tcW w:w="0" w:type="auto"/>
            <w:gridSpan w:val="2"/>
            <w:vAlign w:val="center"/>
            <w:hideMark/>
          </w:tcPr>
          <w:p w14:paraId="6D7567BA" w14:textId="77777777" w:rsidR="00875B65" w:rsidRPr="00875B65" w:rsidRDefault="00875B65" w:rsidP="00875B6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rtl/>
                <w14:ligatures w14:val="none"/>
              </w:rPr>
              <w:t xml:space="preserve">السعوديون </w:t>
            </w:r>
            <w:r w:rsidRPr="00875B65">
              <w:rPr>
                <w:rFonts w:ascii="Times New Roman" w:hAnsi="Times New Roman" w:cs="Times New Roman" w:hint="cs"/>
                <w:kern w:val="0"/>
                <w:rtl/>
                <w14:ligatures w14:val="none"/>
              </w:rPr>
              <w:t>↑</w:t>
            </w:r>
            <w:r w:rsidRPr="00875B65">
              <w:rPr>
                <w:rFonts w:ascii="Sakkal Majalla" w:hAnsi="Sakkal Majalla" w:cs="Sakkal Majalla"/>
                <w:kern w:val="0"/>
                <w:rtl/>
                <w14:ligatures w14:val="none"/>
              </w:rPr>
              <w:t xml:space="preserve"> بقوة، الأجانب </w:t>
            </w:r>
            <w:r w:rsidRPr="00875B65">
              <w:rPr>
                <w:rFonts w:ascii="Times New Roman" w:hAnsi="Times New Roman" w:cs="Times New Roman" w:hint="cs"/>
                <w:kern w:val="0"/>
                <w:rtl/>
                <w14:ligatures w14:val="none"/>
              </w:rPr>
              <w:t>↓</w:t>
            </w:r>
          </w:p>
        </w:tc>
      </w:tr>
      <w:tr w:rsidR="00875B65" w:rsidRPr="00875B65" w14:paraId="64AA7ACF" w14:textId="77777777" w:rsidTr="00235794">
        <w:trPr>
          <w:cnfStyle w:val="000000100000" w:firstRow="0" w:lastRow="0" w:firstColumn="0" w:lastColumn="0" w:oddVBand="0" w:evenVBand="0" w:oddHBand="1" w:evenHBand="0" w:firstRowFirstColumn="0" w:firstRowLastColumn="0" w:lastRowFirstColumn="0" w:lastRowLastColumn="0"/>
          <w:trHeight w:val="104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706A07" w14:textId="77777777" w:rsidR="00875B65" w:rsidRPr="00875B65" w:rsidRDefault="00875B65" w:rsidP="00875B65">
            <w:pPr>
              <w:spacing w:before="100" w:beforeAutospacing="1" w:after="100" w:afterAutospacing="1"/>
              <w:rPr>
                <w:rFonts w:ascii="Sakkal Majalla" w:hAnsi="Sakkal Majalla" w:cs="Sakkal Majalla"/>
                <w:kern w:val="0"/>
                <w:rtl/>
                <w14:ligatures w14:val="none"/>
              </w:rPr>
            </w:pPr>
            <w:r w:rsidRPr="00875B65">
              <w:rPr>
                <w:rFonts w:ascii="Sakkal Majalla" w:hAnsi="Sakkal Majalla" w:cs="Sakkal Majalla"/>
                <w:kern w:val="0"/>
                <w:rtl/>
                <w14:ligatures w14:val="none"/>
              </w:rPr>
              <w:t>التمريض</w:t>
            </w:r>
          </w:p>
        </w:tc>
        <w:tc>
          <w:tcPr>
            <w:tcW w:w="0" w:type="auto"/>
            <w:vAlign w:val="center"/>
            <w:hideMark/>
          </w:tcPr>
          <w:p w14:paraId="73A038F3" w14:textId="77777777" w:rsidR="00875B65" w:rsidRPr="00875B65" w:rsidRDefault="00875B65" w:rsidP="00875B6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14:ligatures w14:val="none"/>
              </w:rPr>
              <w:t>12,607</w:t>
            </w:r>
          </w:p>
        </w:tc>
        <w:tc>
          <w:tcPr>
            <w:tcW w:w="0" w:type="auto"/>
            <w:vAlign w:val="center"/>
            <w:hideMark/>
          </w:tcPr>
          <w:p w14:paraId="64B5BB23" w14:textId="77777777" w:rsidR="00875B65" w:rsidRPr="00875B65" w:rsidRDefault="00875B65" w:rsidP="00875B6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112,772</w:t>
            </w:r>
          </w:p>
        </w:tc>
        <w:tc>
          <w:tcPr>
            <w:tcW w:w="0" w:type="auto"/>
            <w:vAlign w:val="center"/>
            <w:hideMark/>
          </w:tcPr>
          <w:p w14:paraId="2AD9127F" w14:textId="77777777" w:rsidR="00875B65" w:rsidRPr="00875B65" w:rsidRDefault="00875B65" w:rsidP="00875B6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157,268</w:t>
            </w:r>
          </w:p>
        </w:tc>
        <w:tc>
          <w:tcPr>
            <w:tcW w:w="0" w:type="auto"/>
            <w:vAlign w:val="center"/>
            <w:hideMark/>
          </w:tcPr>
          <w:p w14:paraId="64A75160" w14:textId="77777777" w:rsidR="00875B65" w:rsidRPr="00875B65" w:rsidRDefault="00875B65" w:rsidP="00875B6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9%</w:t>
            </w:r>
          </w:p>
        </w:tc>
        <w:tc>
          <w:tcPr>
            <w:tcW w:w="0" w:type="auto"/>
            <w:vAlign w:val="center"/>
            <w:hideMark/>
          </w:tcPr>
          <w:p w14:paraId="01E9B568" w14:textId="77777777" w:rsidR="00875B65" w:rsidRPr="00875B65" w:rsidRDefault="00875B65" w:rsidP="00875B6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+3,865</w:t>
            </w:r>
          </w:p>
        </w:tc>
        <w:tc>
          <w:tcPr>
            <w:tcW w:w="0" w:type="auto"/>
            <w:vAlign w:val="center"/>
            <w:hideMark/>
          </w:tcPr>
          <w:p w14:paraId="7DE10EF9" w14:textId="77777777" w:rsidR="00875B65" w:rsidRPr="00875B65" w:rsidRDefault="00875B65" w:rsidP="00875B6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+44,496</w:t>
            </w:r>
          </w:p>
        </w:tc>
        <w:tc>
          <w:tcPr>
            <w:tcW w:w="0" w:type="auto"/>
            <w:gridSpan w:val="2"/>
            <w:vAlign w:val="center"/>
            <w:hideMark/>
          </w:tcPr>
          <w:p w14:paraId="3E086F81" w14:textId="77777777" w:rsidR="00875B65" w:rsidRPr="00875B65" w:rsidRDefault="00875B65" w:rsidP="00875B6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rtl/>
                <w14:ligatures w14:val="none"/>
              </w:rPr>
              <w:t xml:space="preserve">السعوديون </w:t>
            </w:r>
            <w:r w:rsidRPr="00875B65">
              <w:rPr>
                <w:rFonts w:ascii="Times New Roman" w:hAnsi="Times New Roman" w:cs="Times New Roman" w:hint="cs"/>
                <w:kern w:val="0"/>
                <w:rtl/>
                <w14:ligatures w14:val="none"/>
              </w:rPr>
              <w:t>↑</w:t>
            </w:r>
            <w:r w:rsidRPr="00875B65">
              <w:rPr>
                <w:rFonts w:ascii="Sakkal Majalla" w:hAnsi="Sakkal Majalla" w:cs="Sakkal Majalla"/>
                <w:kern w:val="0"/>
                <w:rtl/>
                <w14:ligatures w14:val="none"/>
              </w:rPr>
              <w:t xml:space="preserve"> قليل، الأجانب </w:t>
            </w:r>
            <w:r w:rsidRPr="00875B65">
              <w:rPr>
                <w:rFonts w:ascii="Times New Roman" w:hAnsi="Times New Roman" w:cs="Times New Roman" w:hint="cs"/>
                <w:kern w:val="0"/>
                <w:rtl/>
                <w14:ligatures w14:val="none"/>
              </w:rPr>
              <w:t>↑</w:t>
            </w:r>
          </w:p>
        </w:tc>
      </w:tr>
    </w:tbl>
    <w:p w14:paraId="7B3633F5"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p>
    <w:p w14:paraId="69743942"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p>
    <w:p w14:paraId="2AC5918A"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p>
    <w:p w14:paraId="786D1892" w14:textId="77777777" w:rsidR="00875B65" w:rsidRPr="00875B65" w:rsidRDefault="00875B65" w:rsidP="00875B65">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rtl/>
          <w14:ligatures w14:val="none"/>
        </w:rPr>
      </w:pPr>
    </w:p>
    <w:p w14:paraId="0C549726" w14:textId="77777777" w:rsidR="00875B65" w:rsidRPr="00875B65" w:rsidRDefault="00875B65" w:rsidP="00875B65">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rtl/>
          <w14:ligatures w14:val="none"/>
        </w:rPr>
      </w:pPr>
    </w:p>
    <w:p w14:paraId="243734E5" w14:textId="77777777" w:rsidR="00875B65" w:rsidRPr="00875B65" w:rsidRDefault="00875B65" w:rsidP="00875B65">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rtl/>
          <w14:ligatures w14:val="none"/>
        </w:rPr>
      </w:pPr>
    </w:p>
    <w:p w14:paraId="74F4EF7C" w14:textId="77777777" w:rsidR="00875B65" w:rsidRPr="00875B65" w:rsidRDefault="00875B65" w:rsidP="00875B65">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rtl/>
          <w14:ligatures w14:val="none"/>
        </w:rPr>
      </w:pPr>
    </w:p>
    <w:p w14:paraId="73944E05" w14:textId="77777777" w:rsidR="00875B65" w:rsidRPr="00875B65" w:rsidRDefault="00875B65" w:rsidP="00875B65">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rtl/>
          <w14:ligatures w14:val="none"/>
        </w:rPr>
      </w:pPr>
    </w:p>
    <w:p w14:paraId="1B821E43" w14:textId="77777777" w:rsidR="00875B65" w:rsidRPr="00875B65" w:rsidRDefault="00875B65" w:rsidP="00875B65">
      <w:pPr>
        <w:spacing w:before="100" w:beforeAutospacing="1" w:after="100" w:afterAutospacing="1" w:line="240" w:lineRule="auto"/>
        <w:jc w:val="center"/>
        <w:rPr>
          <w:rFonts w:ascii="Sakkal Majalla" w:hAnsi="Sakkal Majalla" w:cs="Sakkal Majalla"/>
          <w:kern w:val="0"/>
          <w:rtl/>
          <w14:ligatures w14:val="none"/>
        </w:rPr>
      </w:pPr>
      <w:r w:rsidRPr="00875B65">
        <w:rPr>
          <w:rFonts w:ascii="Sakkal Majalla" w:hAnsi="Sakkal Majalla" w:cs="Sakkal Majalla"/>
          <w:kern w:val="0"/>
          <w:rtl/>
          <w14:ligatures w14:val="none"/>
        </w:rPr>
        <w:t xml:space="preserve">الأرقام مأخوذة من بيانات الهيئة السعودية للتخصصات الصحية المنشورة عبر تقرير </w:t>
      </w:r>
      <w:hyperlink r:id="rId6" w:history="1">
        <w:r w:rsidRPr="00875B65">
          <w:rPr>
            <w:rFonts w:ascii="Sakkal Majalla" w:hAnsi="Sakkal Majalla" w:cs="Sakkal Majalla"/>
            <w:color w:val="0000FF"/>
            <w:kern w:val="0"/>
            <w:u w:val="single"/>
            <w:rtl/>
            <w14:ligatures w14:val="none"/>
          </w:rPr>
          <w:t xml:space="preserve">أرقام – </w:t>
        </w:r>
        <w:proofErr w:type="spellStart"/>
        <w:r w:rsidRPr="00875B65">
          <w:rPr>
            <w:rFonts w:ascii="Sakkal Majalla" w:hAnsi="Sakkal Majalla" w:cs="Sakkal Majalla"/>
            <w:color w:val="0000FF"/>
            <w:kern w:val="0"/>
            <w:u w:val="single"/>
            <w14:ligatures w14:val="none"/>
          </w:rPr>
          <w:t>betapp.argaamcharts</w:t>
        </w:r>
        <w:proofErr w:type="spellEnd"/>
      </w:hyperlink>
      <w:r w:rsidRPr="00875B65">
        <w:rPr>
          <w:rFonts w:ascii="Sakkal Majalla" w:hAnsi="Sakkal Majalla" w:cs="Sakkal Majalla"/>
          <w:kern w:val="0"/>
          <w:rtl/>
          <w14:ligatures w14:val="none"/>
        </w:rPr>
        <w:t xml:space="preserve"> (2024)، والتي تضمنت مقارنة شاملة بين عامي 2018 و2024 في التخصصات الصحية الرئيسية.</w:t>
      </w:r>
    </w:p>
    <w:p w14:paraId="69CFC156" w14:textId="77777777" w:rsidR="00875B65" w:rsidRPr="00875B65" w:rsidRDefault="00875B65" w:rsidP="00875B65">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60" w:name="_Toc214212880"/>
      <w:r w:rsidRPr="00875B65">
        <w:rPr>
          <w:rFonts w:ascii="Sakkal Majalla" w:eastAsia="Times New Roman" w:hAnsi="Sakkal Majalla" w:cs="Sakkal Majalla"/>
          <w:b/>
          <w:bCs/>
          <w:kern w:val="0"/>
          <w:sz w:val="28"/>
          <w:szCs w:val="28"/>
          <w:rtl/>
          <w14:ligatures w14:val="none"/>
        </w:rPr>
        <w:t>التوزيع بين القطاع العام والخاص (حتى عام 2023)</w:t>
      </w:r>
      <w:bookmarkEnd w:id="60"/>
    </w:p>
    <w:p w14:paraId="6238E7A4"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 xml:space="preserve">بحسب تقرير </w:t>
      </w:r>
      <w:r w:rsidRPr="00875B65">
        <w:rPr>
          <w:rFonts w:ascii="Sakkal Majalla" w:hAnsi="Sakkal Majalla" w:cs="Sakkal Majalla"/>
          <w:kern w:val="0"/>
          <w14:ligatures w14:val="none"/>
        </w:rPr>
        <w:t>Saudi Healthcare Landscape in 2023</w:t>
      </w:r>
      <w:r w:rsidRPr="00875B65">
        <w:rPr>
          <w:rFonts w:ascii="Sakkal Majalla" w:hAnsi="Sakkal Majalla" w:cs="Sakkal Majalla"/>
          <w:kern w:val="0"/>
          <w:rtl/>
          <w14:ligatures w14:val="none"/>
        </w:rPr>
        <w:t>، بلغ إجمالي عدد العاملين في القطاع الصحي 470,350 موظفًا. ويتم تقسيمهم حسب النوع والوطنية تقريبًا على النحو التالي:</w:t>
      </w:r>
    </w:p>
    <w:p w14:paraId="3C1B71E5" w14:textId="77777777" w:rsidR="00875B65" w:rsidRPr="00875B65" w:rsidRDefault="00875B65" w:rsidP="00875B65">
      <w:pPr>
        <w:numPr>
          <w:ilvl w:val="0"/>
          <w:numId w:val="3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السعوديون: حوالي 219,300 (بنسبة ~46.6‌%)</w:t>
      </w:r>
    </w:p>
    <w:p w14:paraId="03ED2693" w14:textId="77777777" w:rsidR="00875B65" w:rsidRPr="00875B65" w:rsidRDefault="00875B65" w:rsidP="00875B65">
      <w:pPr>
        <w:numPr>
          <w:ilvl w:val="0"/>
          <w:numId w:val="38"/>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الأجانب: حوالي 251,050 (بنسبة ~53.4‌%)</w:t>
      </w:r>
    </w:p>
    <w:p w14:paraId="3BED9AB6"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السياق العام لهذا الرقم يشير إلى أن السعوديين تجاوزوا الرقم 219,000 في القطاع الصحي، وهو إجمالي ليس مقسومًا بين القطاع العام والخاص بدقة—لكن يغطيهما معًا ضمن الإطار العام للقطاع الصحي السعودي.  </w:t>
      </w:r>
    </w:p>
    <w:p w14:paraId="255512A2" w14:textId="77777777" w:rsidR="00875B65" w:rsidRPr="00875B65" w:rsidRDefault="00875B65" w:rsidP="00875B65">
      <w:pPr>
        <w:bidi w:val="0"/>
        <w:spacing w:before="100" w:beforeAutospacing="1" w:after="100" w:afterAutospacing="1" w:line="240" w:lineRule="auto"/>
        <w:jc w:val="center"/>
        <w:outlineLvl w:val="2"/>
        <w:rPr>
          <w:rFonts w:ascii="Sakkal Majalla" w:eastAsia="Times New Roman" w:hAnsi="Sakkal Majalla" w:cs="Sakkal Majalla"/>
          <w:b/>
          <w:bCs/>
          <w:kern w:val="0"/>
          <w:sz w:val="27"/>
          <w:szCs w:val="27"/>
          <w:rtl/>
          <w14:ligatures w14:val="none"/>
        </w:rPr>
      </w:pPr>
      <w:bookmarkStart w:id="61" w:name="_Toc213694064"/>
      <w:bookmarkStart w:id="62" w:name="_Toc214212881"/>
      <w:r w:rsidRPr="00875B65">
        <w:rPr>
          <w:rFonts w:ascii="Sakkal Majalla" w:eastAsia="Times New Roman" w:hAnsi="Sakkal Majalla" w:cs="Sakkal Majalla"/>
          <w:b/>
          <w:bCs/>
          <w:kern w:val="0"/>
          <w:sz w:val="27"/>
          <w:szCs w:val="27"/>
          <w:rtl/>
          <w14:ligatures w14:val="none"/>
        </w:rPr>
        <w:t>جدول</w:t>
      </w:r>
      <w:r w:rsidRPr="00875B65">
        <w:rPr>
          <w:rFonts w:ascii="Sakkal Majalla" w:eastAsia="Times New Roman" w:hAnsi="Sakkal Majalla" w:cs="Sakkal Majalla" w:hint="cs"/>
          <w:b/>
          <w:bCs/>
          <w:kern w:val="0"/>
          <w:sz w:val="27"/>
          <w:szCs w:val="27"/>
          <w:rtl/>
          <w14:ligatures w14:val="none"/>
        </w:rPr>
        <w:t>٣.١</w:t>
      </w:r>
      <w:r w:rsidRPr="00875B65">
        <w:rPr>
          <w:rFonts w:ascii="Sakkal Majalla" w:eastAsia="Times New Roman" w:hAnsi="Sakkal Majalla" w:cs="Sakkal Majalla"/>
          <w:b/>
          <w:bCs/>
          <w:kern w:val="0"/>
          <w:sz w:val="27"/>
          <w:szCs w:val="27"/>
          <w:rtl/>
          <w14:ligatures w14:val="none"/>
        </w:rPr>
        <w:t xml:space="preserve"> التوزيع – القطاع الصحي السعودي (عام/خاص مجتمعة)</w:t>
      </w:r>
      <w:bookmarkEnd w:id="61"/>
      <w:bookmarkEnd w:id="62"/>
    </w:p>
    <w:tbl>
      <w:tblPr>
        <w:tblStyle w:val="4-5"/>
        <w:tblW w:w="8906" w:type="dxa"/>
        <w:tblLook w:val="04A0" w:firstRow="1" w:lastRow="0" w:firstColumn="1" w:lastColumn="0" w:noHBand="0" w:noVBand="1"/>
      </w:tblPr>
      <w:tblGrid>
        <w:gridCol w:w="3524"/>
        <w:gridCol w:w="2291"/>
        <w:gridCol w:w="3091"/>
      </w:tblGrid>
      <w:tr w:rsidR="00875B65" w:rsidRPr="00875B65" w14:paraId="41C91D0A" w14:textId="77777777" w:rsidTr="00235794">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4BB89483" w14:textId="77777777" w:rsidR="00875B65" w:rsidRPr="00875B65" w:rsidRDefault="00875B65" w:rsidP="00875B65">
            <w:pPr>
              <w:spacing w:before="100" w:beforeAutospacing="1" w:after="100" w:afterAutospacing="1"/>
              <w:jc w:val="center"/>
              <w:rPr>
                <w:rFonts w:ascii="Sakkal Majalla" w:hAnsi="Sakkal Majalla" w:cs="Sakkal Majalla"/>
                <w:kern w:val="0"/>
                <w14:ligatures w14:val="none"/>
              </w:rPr>
            </w:pPr>
            <w:r w:rsidRPr="00875B65">
              <w:rPr>
                <w:rFonts w:ascii="Sakkal Majalla" w:hAnsi="Sakkal Majalla" w:cs="Sakkal Majalla"/>
                <w:kern w:val="0"/>
                <w:rtl/>
                <w14:ligatures w14:val="none"/>
              </w:rPr>
              <w:t>المتغير</w:t>
            </w:r>
          </w:p>
        </w:tc>
        <w:tc>
          <w:tcPr>
            <w:tcW w:w="0" w:type="auto"/>
            <w:hideMark/>
          </w:tcPr>
          <w:p w14:paraId="03264042" w14:textId="77777777" w:rsidR="00875B65" w:rsidRPr="00875B65" w:rsidRDefault="00875B65" w:rsidP="00875B65">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rtl/>
                <w14:ligatures w14:val="none"/>
              </w:rPr>
              <w:t>العدد</w:t>
            </w:r>
          </w:p>
        </w:tc>
        <w:tc>
          <w:tcPr>
            <w:tcW w:w="0" w:type="auto"/>
            <w:hideMark/>
          </w:tcPr>
          <w:p w14:paraId="6D7BCF35" w14:textId="77777777" w:rsidR="00875B65" w:rsidRPr="00875B65" w:rsidRDefault="00875B65" w:rsidP="00875B65">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rtl/>
                <w14:ligatures w14:val="none"/>
              </w:rPr>
              <w:t>النسبة تقريبًا</w:t>
            </w:r>
          </w:p>
        </w:tc>
      </w:tr>
      <w:tr w:rsidR="00875B65" w:rsidRPr="00875B65" w14:paraId="655AB9BB" w14:textId="77777777" w:rsidTr="00235794">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0" w:type="auto"/>
            <w:hideMark/>
          </w:tcPr>
          <w:p w14:paraId="5B6BF1E8" w14:textId="77777777" w:rsidR="00875B65" w:rsidRPr="00875B65" w:rsidRDefault="00875B65" w:rsidP="00875B65">
            <w:pPr>
              <w:spacing w:before="100" w:beforeAutospacing="1" w:after="100" w:afterAutospacing="1"/>
              <w:jc w:val="center"/>
              <w:rPr>
                <w:rFonts w:ascii="Sakkal Majalla" w:hAnsi="Sakkal Majalla" w:cs="Sakkal Majalla"/>
                <w:kern w:val="0"/>
                <w:rtl/>
                <w14:ligatures w14:val="none"/>
              </w:rPr>
            </w:pPr>
            <w:r w:rsidRPr="00875B65">
              <w:rPr>
                <w:rFonts w:ascii="Sakkal Majalla" w:hAnsi="Sakkal Majalla" w:cs="Sakkal Majalla"/>
                <w:kern w:val="0"/>
                <w:rtl/>
                <w14:ligatures w14:val="none"/>
              </w:rPr>
              <w:lastRenderedPageBreak/>
              <w:t>السعوديون</w:t>
            </w:r>
          </w:p>
        </w:tc>
        <w:tc>
          <w:tcPr>
            <w:tcW w:w="0" w:type="auto"/>
            <w:hideMark/>
          </w:tcPr>
          <w:p w14:paraId="572C32FD" w14:textId="77777777" w:rsidR="00875B65" w:rsidRPr="00875B65" w:rsidRDefault="00875B65" w:rsidP="00875B65">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14:ligatures w14:val="none"/>
              </w:rPr>
              <w:t>219,300</w:t>
            </w:r>
          </w:p>
        </w:tc>
        <w:tc>
          <w:tcPr>
            <w:tcW w:w="0" w:type="auto"/>
            <w:hideMark/>
          </w:tcPr>
          <w:p w14:paraId="55ACE85A" w14:textId="77777777" w:rsidR="00875B65" w:rsidRPr="00875B65" w:rsidRDefault="00875B65" w:rsidP="00875B65">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46.6%</w:t>
            </w:r>
          </w:p>
        </w:tc>
      </w:tr>
      <w:tr w:rsidR="00875B65" w:rsidRPr="00875B65" w14:paraId="28CA3E7E" w14:textId="77777777" w:rsidTr="00235794">
        <w:trPr>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6494307F" w14:textId="77777777" w:rsidR="00875B65" w:rsidRPr="00875B65" w:rsidRDefault="00875B65" w:rsidP="00875B65">
            <w:pPr>
              <w:spacing w:before="100" w:beforeAutospacing="1" w:after="100" w:afterAutospacing="1"/>
              <w:jc w:val="center"/>
              <w:rPr>
                <w:rFonts w:ascii="Sakkal Majalla" w:hAnsi="Sakkal Majalla" w:cs="Sakkal Majalla"/>
                <w:kern w:val="0"/>
                <w14:ligatures w14:val="none"/>
              </w:rPr>
            </w:pPr>
            <w:r w:rsidRPr="00875B65">
              <w:rPr>
                <w:rFonts w:ascii="Sakkal Majalla" w:hAnsi="Sakkal Majalla" w:cs="Sakkal Majalla"/>
                <w:kern w:val="0"/>
                <w:rtl/>
                <w14:ligatures w14:val="none"/>
              </w:rPr>
              <w:t>الأجانب</w:t>
            </w:r>
          </w:p>
        </w:tc>
        <w:tc>
          <w:tcPr>
            <w:tcW w:w="0" w:type="auto"/>
            <w:hideMark/>
          </w:tcPr>
          <w:p w14:paraId="241551C1" w14:textId="77777777" w:rsidR="00875B65" w:rsidRPr="00875B65" w:rsidRDefault="00875B65" w:rsidP="00875B65">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14:ligatures w14:val="none"/>
              </w:rPr>
              <w:t>251,050</w:t>
            </w:r>
          </w:p>
        </w:tc>
        <w:tc>
          <w:tcPr>
            <w:tcW w:w="0" w:type="auto"/>
            <w:hideMark/>
          </w:tcPr>
          <w:p w14:paraId="60EE15E1" w14:textId="77777777" w:rsidR="00875B65" w:rsidRPr="00875B65" w:rsidRDefault="00875B65" w:rsidP="00875B65">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53.4%</w:t>
            </w:r>
          </w:p>
        </w:tc>
      </w:tr>
      <w:tr w:rsidR="00875B65" w:rsidRPr="00875B65" w14:paraId="6226E932" w14:textId="77777777" w:rsidTr="00235794">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0" w:type="auto"/>
            <w:hideMark/>
          </w:tcPr>
          <w:p w14:paraId="71CC34DF" w14:textId="77777777" w:rsidR="00875B65" w:rsidRPr="00875B65" w:rsidRDefault="00875B65" w:rsidP="00875B65">
            <w:pPr>
              <w:spacing w:before="100" w:beforeAutospacing="1" w:after="100" w:afterAutospacing="1"/>
              <w:jc w:val="center"/>
              <w:rPr>
                <w:rFonts w:ascii="Sakkal Majalla" w:hAnsi="Sakkal Majalla" w:cs="Sakkal Majalla"/>
                <w:kern w:val="0"/>
                <w14:ligatures w14:val="none"/>
              </w:rPr>
            </w:pPr>
            <w:r w:rsidRPr="00875B65">
              <w:rPr>
                <w:rFonts w:ascii="Sakkal Majalla" w:hAnsi="Sakkal Majalla" w:cs="Sakkal Majalla"/>
                <w:kern w:val="0"/>
                <w:rtl/>
                <w14:ligatures w14:val="none"/>
              </w:rPr>
              <w:t>إجمالي العاملين</w:t>
            </w:r>
          </w:p>
        </w:tc>
        <w:tc>
          <w:tcPr>
            <w:tcW w:w="0" w:type="auto"/>
            <w:hideMark/>
          </w:tcPr>
          <w:p w14:paraId="42154BB1" w14:textId="77777777" w:rsidR="00875B65" w:rsidRPr="00875B65" w:rsidRDefault="00875B65" w:rsidP="00875B65">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rtl/>
                <w14:ligatures w14:val="none"/>
              </w:rPr>
            </w:pPr>
            <w:r w:rsidRPr="00875B65">
              <w:rPr>
                <w:rFonts w:ascii="Sakkal Majalla" w:hAnsi="Sakkal Majalla" w:cs="Sakkal Majalla"/>
                <w:kern w:val="0"/>
                <w14:ligatures w14:val="none"/>
              </w:rPr>
              <w:t>470,350</w:t>
            </w:r>
          </w:p>
        </w:tc>
        <w:tc>
          <w:tcPr>
            <w:tcW w:w="0" w:type="auto"/>
            <w:hideMark/>
          </w:tcPr>
          <w:p w14:paraId="4605A8BB" w14:textId="77777777" w:rsidR="00875B65" w:rsidRPr="00875B65" w:rsidRDefault="00875B65" w:rsidP="00875B65">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14:ligatures w14:val="none"/>
              </w:rPr>
            </w:pPr>
            <w:r w:rsidRPr="00875B65">
              <w:rPr>
                <w:rFonts w:ascii="Sakkal Majalla" w:hAnsi="Sakkal Majalla" w:cs="Sakkal Majalla"/>
                <w:kern w:val="0"/>
                <w14:ligatures w14:val="none"/>
              </w:rPr>
              <w:t>100%</w:t>
            </w:r>
          </w:p>
        </w:tc>
      </w:tr>
    </w:tbl>
    <w:p w14:paraId="09CD0626" w14:textId="77777777" w:rsidR="00875B65" w:rsidRPr="00875B65" w:rsidRDefault="00875B65" w:rsidP="00875B65">
      <w:pPr>
        <w:spacing w:before="100" w:beforeAutospacing="1" w:after="100" w:afterAutospacing="1" w:line="240" w:lineRule="auto"/>
        <w:rPr>
          <w:rFonts w:ascii="Sakkal Majalla" w:hAnsi="Sakkal Majalla" w:cs="Sakkal Majalla"/>
          <w:b/>
          <w:bCs/>
          <w:kern w:val="0"/>
          <w:sz w:val="28"/>
          <w:szCs w:val="28"/>
          <w:rtl/>
          <w14:ligatures w14:val="none"/>
        </w:rPr>
      </w:pPr>
    </w:p>
    <w:p w14:paraId="19719143" w14:textId="77777777" w:rsidR="00875B65" w:rsidRPr="00875B65" w:rsidRDefault="00875B65" w:rsidP="00875B65">
      <w:pPr>
        <w:spacing w:before="100" w:beforeAutospacing="1" w:after="100" w:afterAutospacing="1" w:line="240" w:lineRule="auto"/>
        <w:rPr>
          <w:rFonts w:ascii="Sakkal Majalla" w:hAnsi="Sakkal Majalla" w:cs="Sakkal Majalla"/>
          <w:b/>
          <w:bCs/>
          <w:kern w:val="0"/>
          <w:sz w:val="28"/>
          <w:szCs w:val="28"/>
          <w14:ligatures w14:val="none"/>
        </w:rPr>
      </w:pPr>
      <w:r w:rsidRPr="00875B65">
        <w:rPr>
          <w:rFonts w:ascii="Sakkal Majalla" w:hAnsi="Sakkal Majalla" w:cs="Sakkal Majalla"/>
          <w:b/>
          <w:bCs/>
          <w:kern w:val="0"/>
          <w:sz w:val="28"/>
          <w:szCs w:val="28"/>
          <w:rtl/>
          <w14:ligatures w14:val="none"/>
        </w:rPr>
        <w:t>المصدر:</w:t>
      </w:r>
    </w:p>
    <w:p w14:paraId="34DE6652"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 xml:space="preserve">موقع الاقتصاد السعودي – </w:t>
      </w:r>
      <w:r w:rsidRPr="00875B65">
        <w:rPr>
          <w:rFonts w:ascii="Sakkal Majalla" w:hAnsi="Sakkal Majalla" w:cs="Sakkal Majalla"/>
          <w:kern w:val="0"/>
          <w14:ligatures w14:val="none"/>
        </w:rPr>
        <w:t>Saudi Economy Arabia (2023)</w:t>
      </w:r>
    </w:p>
    <w:p w14:paraId="53082D5B"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العنوان: القطاع الصحي في السعودية: خطة لتوطين 40% من الوظائف الصحية بحلول 2027</w:t>
      </w:r>
    </w:p>
    <w:p w14:paraId="7BC0E687"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 xml:space="preserve">الرابط: </w:t>
      </w:r>
      <w:hyperlink r:id="rId7" w:history="1">
        <w:r w:rsidRPr="00875B65">
          <w:rPr>
            <w:rFonts w:ascii="Sakkal Majalla" w:hAnsi="Sakkal Majalla" w:cs="Sakkal Majalla"/>
            <w:color w:val="0000FF"/>
            <w:kern w:val="0"/>
            <w:u w:val="single"/>
            <w14:ligatures w14:val="none"/>
          </w:rPr>
          <w:t>economysaudiarabia.com</w:t>
        </w:r>
      </w:hyperlink>
    </w:p>
    <w:p w14:paraId="3258CD84" w14:textId="77777777" w:rsidR="00875B65" w:rsidRPr="00875B65" w:rsidRDefault="00875B65" w:rsidP="00875B65">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63" w:name="_Toc213694065"/>
      <w:bookmarkStart w:id="64" w:name="_Toc214212882"/>
      <w:r w:rsidRPr="00875B65">
        <w:rPr>
          <w:rFonts w:ascii="Sakkal Majalla" w:eastAsia="Times New Roman" w:hAnsi="Sakkal Majalla" w:cs="Sakkal Majalla"/>
          <w:b/>
          <w:bCs/>
          <w:kern w:val="0"/>
          <w:sz w:val="28"/>
          <w:szCs w:val="28"/>
          <w:rtl/>
          <w14:ligatures w14:val="none"/>
        </w:rPr>
        <w:t>الشرح والتحليل</w:t>
      </w:r>
      <w:bookmarkEnd w:id="63"/>
      <w:bookmarkEnd w:id="64"/>
    </w:p>
    <w:p w14:paraId="13D12031" w14:textId="77777777" w:rsidR="00875B65" w:rsidRPr="00875B65" w:rsidRDefault="00875B65" w:rsidP="00875B65">
      <w:pPr>
        <w:numPr>
          <w:ilvl w:val="0"/>
          <w:numId w:val="39"/>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حجم القوى العاملة الكلي (470,350):</w:t>
      </w:r>
    </w:p>
    <w:p w14:paraId="58CCA61B" w14:textId="77777777" w:rsidR="00875B65" w:rsidRPr="00875B65" w:rsidRDefault="00875B65" w:rsidP="00875B65">
      <w:pPr>
        <w:spacing w:before="100" w:beforeAutospacing="1" w:after="100" w:afterAutospacing="1" w:line="240" w:lineRule="auto"/>
        <w:ind w:left="720"/>
        <w:rPr>
          <w:rFonts w:ascii="Sakkal Majalla" w:hAnsi="Sakkal Majalla" w:cs="Sakkal Majalla"/>
          <w:kern w:val="0"/>
          <w:rtl/>
          <w14:ligatures w14:val="none"/>
        </w:rPr>
      </w:pPr>
      <w:r w:rsidRPr="00875B65">
        <w:rPr>
          <w:rFonts w:ascii="Sakkal Majalla" w:hAnsi="Sakkal Majalla" w:cs="Sakkal Majalla"/>
          <w:kern w:val="0"/>
          <w:rtl/>
          <w14:ligatures w14:val="none"/>
        </w:rPr>
        <w:t>يمثل جميع العاملين الصحيين في السعودية (أطباء، صيادلة، ممرضين، وفنيين مساعدين) في كل من القطاعين العام والخاص.</w:t>
      </w:r>
    </w:p>
    <w:p w14:paraId="3E0D3D64" w14:textId="77777777" w:rsidR="00875B65" w:rsidRPr="00875B65" w:rsidRDefault="00875B65" w:rsidP="00875B65">
      <w:pPr>
        <w:numPr>
          <w:ilvl w:val="0"/>
          <w:numId w:val="3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السعوديون (219,300 = 46.6%):</w:t>
      </w:r>
    </w:p>
    <w:p w14:paraId="1CF8E82B" w14:textId="77777777" w:rsidR="00875B65" w:rsidRPr="00875B65" w:rsidRDefault="00875B65" w:rsidP="00875B65">
      <w:pPr>
        <w:numPr>
          <w:ilvl w:val="1"/>
          <w:numId w:val="3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هذه النسبة تعكس التحسن الملحوظ مقارنة بالسنوات السابقة (2018 مثلاً، السعودة كانت أقل في معظم التخصصات).</w:t>
      </w:r>
    </w:p>
    <w:p w14:paraId="13EF6E00" w14:textId="77777777" w:rsidR="00875B65" w:rsidRPr="00875B65" w:rsidRDefault="00875B65" w:rsidP="00875B65">
      <w:pPr>
        <w:numPr>
          <w:ilvl w:val="1"/>
          <w:numId w:val="3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الزيادة جاءت بفضل برامج وزارة الموارد البشرية ووزارة الصحة ضمن رؤية 2030، التي جعلت التوطين الصحي أحد أهم المسارات الإستراتيجية.</w:t>
      </w:r>
    </w:p>
    <w:p w14:paraId="635BA833" w14:textId="77777777" w:rsidR="00875B65" w:rsidRPr="00875B65" w:rsidRDefault="00875B65" w:rsidP="00875B65">
      <w:pPr>
        <w:numPr>
          <w:ilvl w:val="0"/>
          <w:numId w:val="3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الأجانب (251,050 = 53.4%):</w:t>
      </w:r>
    </w:p>
    <w:p w14:paraId="4E50A131" w14:textId="77777777" w:rsidR="00875B65" w:rsidRPr="00875B65" w:rsidRDefault="00875B65" w:rsidP="00875B65">
      <w:pPr>
        <w:numPr>
          <w:ilvl w:val="1"/>
          <w:numId w:val="3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رغم أن العدد ما زال أكبر من السعوديين، إلا أن نسبته تتراجع تدريجيًا مع الوقت.</w:t>
      </w:r>
    </w:p>
    <w:p w14:paraId="0644A787" w14:textId="77777777" w:rsidR="00875B65" w:rsidRPr="00875B65" w:rsidRDefault="00875B65" w:rsidP="00875B65">
      <w:pPr>
        <w:numPr>
          <w:ilvl w:val="1"/>
          <w:numId w:val="3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يتركز معظم الأجانب في التمريض وبعض التخصصات النادرة (العناية المركزة، الطوارئ، بعض مجالات طب الأسنان).</w:t>
      </w:r>
    </w:p>
    <w:p w14:paraId="12DB878A" w14:textId="77777777" w:rsidR="00875B65" w:rsidRPr="00875B65" w:rsidRDefault="00875B65" w:rsidP="00875B65">
      <w:pPr>
        <w:numPr>
          <w:ilvl w:val="0"/>
          <w:numId w:val="3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الخلاصة:</w:t>
      </w:r>
    </w:p>
    <w:p w14:paraId="0AEB7408" w14:textId="77777777" w:rsidR="00875B65" w:rsidRPr="00875B65" w:rsidRDefault="00875B65" w:rsidP="00875B65">
      <w:pPr>
        <w:numPr>
          <w:ilvl w:val="1"/>
          <w:numId w:val="39"/>
        </w:num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المؤشر الأساسي هنا أن القطاع الصحي السعودي يسير نحو التوازن: السعودة قاربت 47%، والأجانب انخفضوا إلى 53%.</w:t>
      </w:r>
    </w:p>
    <w:p w14:paraId="05CF018B" w14:textId="77777777" w:rsidR="00875B65" w:rsidRPr="00875B65" w:rsidRDefault="00875B65" w:rsidP="00875B65">
      <w:pPr>
        <w:numPr>
          <w:ilvl w:val="1"/>
          <w:numId w:val="39"/>
        </w:num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لو تحققت خطط التوطين المستهدفة (40% من التوظيف الصحي للمواطنين بحلول 2027) فستتغير الأرقام لصالح السعوديين بشكل أكبر</w:t>
      </w:r>
      <w:r w:rsidRPr="00875B65">
        <w:rPr>
          <w:rFonts w:ascii="Sakkal Majalla" w:hAnsi="Sakkal Majalla" w:cs="Sakkal Majalla"/>
          <w:kern w:val="0"/>
          <w14:ligatures w14:val="none"/>
        </w:rPr>
        <w:t xml:space="preserve">. </w:t>
      </w:r>
    </w:p>
    <w:p w14:paraId="717AF288" w14:textId="77777777" w:rsidR="00875B65" w:rsidRPr="00875B65" w:rsidRDefault="00875B65" w:rsidP="00875B65">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u w:val="single"/>
          <w14:ligatures w14:val="none"/>
        </w:rPr>
      </w:pPr>
      <w:bookmarkStart w:id="65" w:name="_Toc214212883"/>
      <w:r w:rsidRPr="00875B65">
        <w:rPr>
          <w:rFonts w:ascii="Sakkal Majalla" w:eastAsia="Times New Roman" w:hAnsi="Sakkal Majalla" w:cs="Sakkal Majalla"/>
          <w:b/>
          <w:bCs/>
          <w:kern w:val="0"/>
          <w:sz w:val="28"/>
          <w:szCs w:val="28"/>
          <w:u w:val="single"/>
          <w:rtl/>
          <w14:ligatures w14:val="none"/>
        </w:rPr>
        <w:t>التحليل المقارن للدراسات السابقة في ضوء التحول الوطني الصحي (2016–2025)</w:t>
      </w:r>
      <w:bookmarkEnd w:id="65"/>
    </w:p>
    <w:p w14:paraId="14B73EB9"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 xml:space="preserve">شهدت مرحلة ما بعد عام 2016 تحوّلًا جوهريًا في طبيعة الدراسات الأكاديمية المتعلقة بتوطين المهن الصحية في المملكة العربية السعودية، حيث أصبحت أغلب البحوث تركّز على ربط سياسات التوطين بمستهدفات التحول الوطني الصحي الذي أطلق ضمن برامج رؤية المملكة 2030. ويُلاحظ أن هذا التحول أحدث نقلة نوعية في منهجية تناول الباحثين للموضوع، إذ لم يعد الاهتمام </w:t>
      </w:r>
      <w:r w:rsidRPr="00875B65">
        <w:rPr>
          <w:rFonts w:ascii="Sakkal Majalla" w:hAnsi="Sakkal Majalla" w:cs="Sakkal Majalla"/>
          <w:kern w:val="0"/>
          <w:rtl/>
          <w14:ligatures w14:val="none"/>
        </w:rPr>
        <w:lastRenderedPageBreak/>
        <w:t>مقتصرًا على رصد نسب السعودة، بل توسّع ليشمل دراسة العلاقة بين التدريب، الكفاءة، جودة الخدمة، والرضا الوظيفي، بوصفها محددات رئيسية لنجاح التوطين (وزارة الصحة، 2021).</w:t>
      </w:r>
    </w:p>
    <w:p w14:paraId="54EE07A9"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تبيّن من مراجعة الدراسات السعودية السابقة أن أغلبها اتفق على وجود علاقة ارتباط قوية بين التمكين المهني للكوادر الوطنية ومستوى الرضا الوظيفي لديهم، وهو ما انعكس بدوره على استقرار القوى العاملة الوطنية في القطاع الصحي. ففي دراسة وزارة الموارد البشرية والتنمية الاجتماعية (2020)، وُجد أن برامج التدريب الداخلي التي نُفّذت في المستشفيات الحكومية ساهمت في رفع معدلات الاستبقاء الوظيفي بنسبة 18% خلال ثلاث سنوات. وقد أشارت نتائج الهيئة السعودية للتخصصات الصحية (2021) إلى أن زيادة فرص التطوير المهني ترتبط طرديًا مع تحسن الرغبة في البقاء داخل المؤسسات الصحية المحلية، ما يدل على أن الاستثمار في رأس المال البشري الوطني يمثل المحور الأهم لتحقيق التوطين المستدام.</w:t>
      </w:r>
    </w:p>
    <w:p w14:paraId="4AA8D109"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وتُظهر مقارنة نتائج الدراسات السعودية والدراسات الخليجية أن الاتجاه العام في منطقة الخليج متقارب، لكن التطبيق السعودي تميّز بشموليته واتساع نطاقه. ففي حين ركّزت الدراسات القطرية والإماراتية على التوطين في الوظائف الإدارية أو شبه الطبية، ركّزت البحوث السعودية على المهن الطبية الحساسة مثل الطب العام، والتمريض، والصيدلة، والتخصصات الدقيقة، وهو ما جعلها أكثر عمقًا وتأثيرًا على مستوى الأمن الصحي الوطني. وقد دعمت رؤية السعودية 2030 (2023) هذا التوجه من خلال توجيه السياسات التعليمية لتأهيل كوادر محلية في التخصصات التي كان الاعتماد فيها على الأجانب مرتفعًا جدًا، مثل التخدير والعناية المركزة.</w:t>
      </w:r>
    </w:p>
    <w:p w14:paraId="49681CA9"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وفي المقابل، كشفت الدراسات الخليجية التي اعتمد عليها البحث الأصلي، مثل دراسة وزارة الصحة العُمانية (2019) ودراسة وزارة الصحة البحرينية (2020)، أن نجاح برامج التوطين في تلك الدول كان مقيدًا بعوامل تتعلق بضعف الحوافز المهنية وصعوبة المواءمة بين مخرجات التعليم وسوق العمل. أما في المملكة، فقد أظهرت تقارير وزارة الاقتصاد والتخطيط (2021) أن تنفيذ برامج التأهيل الوطني الصحي بالتعاون مع الجامعات المحلية أدى إلى سد فجوة التخصصات بنسبة تقارب 22% خلال خمس سنوات، وهو مؤشر على فاعلية التكامل بين السياسة التعليمية والسياسة التشغيلية في القطاع الصحي.</w:t>
      </w:r>
    </w:p>
    <w:p w14:paraId="3A2069CB"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تُبرز المقارنة أيضًا اختلافًا في الأدوات المنهجية التي استخدمتها الدراسات السابقة. فبينما اعتمدت بعض الدراسات الخليجية على تحليل وصفي أو مقارن محدود النطاق، اتجهت الدراسات السعودية إلى استخدام الأساليب الكمية والإحصائية المتقدمة في تحليل العوامل المؤثرة في التوطين. فقد استخدمت دراسة وزارة الموارد البشرية والتنمية الاجتماعية (2020) منهج تحليل الانحدار المتعدد لتقدير أثر التدريب على نية الاستبقاء، في حين استخدمت دراسة الهيئة السعودية للتخصصات الصحية (2021) منهج تحليل المسار (</w:t>
      </w:r>
      <w:r w:rsidRPr="00875B65">
        <w:rPr>
          <w:rFonts w:ascii="Sakkal Majalla" w:hAnsi="Sakkal Majalla" w:cs="Sakkal Majalla"/>
          <w:kern w:val="0"/>
          <w14:ligatures w14:val="none"/>
        </w:rPr>
        <w:t>Path Analysis</w:t>
      </w:r>
      <w:r w:rsidRPr="00875B65">
        <w:rPr>
          <w:rFonts w:ascii="Sakkal Majalla" w:hAnsi="Sakkal Majalla" w:cs="Sakkal Majalla"/>
          <w:kern w:val="0"/>
          <w:rtl/>
          <w14:ligatures w14:val="none"/>
        </w:rPr>
        <w:t>) لفهم العلاقة بين بيئة العمل ومستوى الرضا الوظيفي، ووجدت أن أثر بيئة العمل الإيجابية يصل إلى 0.68 من معامل الارتباط الكلي، وهو رقم مرتفع يشير إلى قوة العلاقة.</w:t>
      </w:r>
    </w:p>
    <w:p w14:paraId="088767E4"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ومن خلال المقارنة بين هذه النتائج، يمكن القول إن التجربة السعودية تميّزت بكونها قائمة على التحليل القائم بالأدلة (</w:t>
      </w:r>
      <w:r w:rsidRPr="00875B65">
        <w:rPr>
          <w:rFonts w:ascii="Sakkal Majalla" w:hAnsi="Sakkal Majalla" w:cs="Sakkal Majalla"/>
          <w:kern w:val="0"/>
          <w14:ligatures w14:val="none"/>
        </w:rPr>
        <w:t>Evidence-Based Approach</w:t>
      </w:r>
      <w:r w:rsidRPr="00875B65">
        <w:rPr>
          <w:rFonts w:ascii="Sakkal Majalla" w:hAnsi="Sakkal Majalla" w:cs="Sakkal Majalla"/>
          <w:kern w:val="0"/>
          <w:rtl/>
          <w14:ligatures w14:val="none"/>
        </w:rPr>
        <w:t>)، إذ تم ربط السياسات التشغيلية بمؤشرات أداء كمية قابلة للقياس، بخلاف بعض التجارب الخليجية التي اكتفت بتوصيات وصفية عامة. هذا التوجه العلمي عزّز من مكانة المملكة كحالة دراسية متقدمة في توطين المهن الصحية، خصوصًا بعد إطلاق برنامج “التحول في القوى العاملة الصحية” الذي تناولته وزارة الصحة (2021) كأحد المبادرات الإستراتيجية ضمن خطة التحول الوطني.</w:t>
      </w:r>
    </w:p>
    <w:p w14:paraId="4DA952D2"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كما يظهر من الدراسات السابقة أن التحديات التي تواجه التوطين تكاد تكون متشابهة في جميع دول الخليج، مثل ضعف برامج الإعداد السريري، ومحدودية التجارب الميدانية أثناء الدراسة الجامعية، وضعف التكامل بين القطاعين العام والخاص. غير أن السياسة السعودية تفوقت في هذا الجانب عبر تنفيذ برامج الشراكة بين وزارة التعليم ووزارة الصحة من خلال “برنامج تدريب أطباء الامتياز” الذي أشار إليه تقرير وزارة التعليم (2021) بأنه ساهم في رفع كفاءة الخريجين بنسبة تجاوزت 30% مقارنة بالأعوام السابقة. هذه النتائج لم تُرصد في الدراسات الخليجية الأخرى، مما يعكس التميز المؤسسي في التجربة السعودية.</w:t>
      </w:r>
    </w:p>
    <w:p w14:paraId="73DB1695"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lastRenderedPageBreak/>
        <w:t>وعند تحليل الفترة الزمنية بين عامي 2016 و2025، يتضح من المراجع السابقة أن هناك تحولًا هيكليًا في النظرة إلى التوطين الصحي. ففي بداية الفترة، ركزت الدراسات على البعد الكمي (نسب التوطين ومعدلات السعودة)، بينما ركزت الدراسات اللاحقة (2020–2024) على البعد النوعي الذي يتناول جودة الكادر الوطني، ومستوى التمكين، واستدامة الأداء. ويشير تقرير الهيئة العامة للإحصاء (2024) إلى أن 62% من الكوادر الصحية الوطنية التي أُدرجت في سوق العمل خلال السنوات الثلاث الأخيرة شغلت وظائف مهنية متوسطة إلى عليا، وهو ما يؤكد تغير طبيعة التوطين من مجرّد هدف عددي إلى هدف نوعي استراتيجي.</w:t>
      </w:r>
    </w:p>
    <w:p w14:paraId="36FE393B"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وتتفق أغلب الدراسات المستعرضة في هذا الفصل على أن العوامل التنظيمية والإدارية تُعد من أبرز المحددات التي تؤثر في نجاح التوطين الصحي. فوجود بيئة عمل داعمة، ونظام حوافز عادل، وتدرج وظيفي واضح، كلها عناصر أثبتت الدراسات السعودية أنها ترفع معدلات الاستبقاء وتحسن جودة الخدمات الصحية (وزارة الموارد البشرية والتنمية الاجتماعية، 2021). كما أشارت دراسة الهيئة السعودية للتخصصات الصحية (2021) إلى أن استقرار القوى العاملة الوطنية في المرافق الصحية يرتبط ارتباطًا مباشرًا بمستوى التدريب والتطوير المستمر، وهو ما ينسجم مع أهداف التحول الوطني الصحي 2025.</w:t>
      </w:r>
    </w:p>
    <w:p w14:paraId="51E663E0"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أما من حيث الجانب المقارن، فإن الدراسات الخليجية أكدت على أهمية تطوير التشريعات المهنية وتوسيع نطاق الاعتماد الأكاديمي للبرامج الصحية المحلية لتقليل الاعتماد على الكفاءات الأجنبية، وهي نقطة التقاء واضحة مع السياسات السعودية الحديثة. غير أن الفارق الأساسي يكمن في التطبيق العملي، حيث استطاعت المملكة عبر وزارة الصحة ووزارة التعليم بناء منظومة موحدة لإعداد وتأهيل الكوادر الصحية الوطنية وفق معايير الجودة العالمية، بينما لا تزال بعض الدول المجاورة في مرحلة التطوير المؤسسي لهذه المنظومة.</w:t>
      </w:r>
    </w:p>
    <w:p w14:paraId="0E92613E"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وفي المجمل، تُظهر نتائج التحليل المقارن للدراسات السابقة أن التجربة السعودية أكثر نضجًا من حيث التكامل المؤسسي والعمق الإحصائي والتحليل التطبيقي، في حين تبقى التجارب الخليجية الأخرى ذات طابع تجريبي محدود. ومن هنا تبرز أهمية هذه الدراسة الحالية التي تسعى إلى دمج الخبرة الوطنية في مجال التدريب، وبيئة العمل، والرضا الوظيفي، في إطار تحليلي موحد يربطها مباشرة بمفهوم التوطين الصحي المستدام</w:t>
      </w:r>
      <w:r w:rsidRPr="00875B65">
        <w:rPr>
          <w:rFonts w:ascii="Sakkal Majalla" w:hAnsi="Sakkal Majalla" w:cs="Sakkal Majalla"/>
          <w:kern w:val="0"/>
          <w14:ligatures w14:val="none"/>
        </w:rPr>
        <w:t xml:space="preserve">. </w:t>
      </w:r>
    </w:p>
    <w:p w14:paraId="20A94B56" w14:textId="77777777" w:rsidR="00875B65" w:rsidRPr="00875B65" w:rsidRDefault="00875B65" w:rsidP="00875B65">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u w:val="single"/>
          <w14:ligatures w14:val="none"/>
        </w:rPr>
      </w:pPr>
      <w:bookmarkStart w:id="66" w:name="_Toc214212884"/>
      <w:r w:rsidRPr="00875B65">
        <w:rPr>
          <w:rFonts w:ascii="Sakkal Majalla" w:eastAsia="Times New Roman" w:hAnsi="Sakkal Majalla" w:cs="Sakkal Majalla"/>
          <w:b/>
          <w:bCs/>
          <w:kern w:val="0"/>
          <w:sz w:val="28"/>
          <w:szCs w:val="28"/>
          <w:u w:val="single"/>
          <w:rtl/>
          <w14:ligatures w14:val="none"/>
        </w:rPr>
        <w:t>الفجوات البحثية المستخلصة من الدراسات السابقة</w:t>
      </w:r>
      <w:bookmarkEnd w:id="66"/>
    </w:p>
    <w:p w14:paraId="19BBE47B"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تُعدّ عملية تحليل الفجوات البحثية إحدى الخطوات العلمية الأساسية في بناء الدراسات الأكاديمية الرصينة، إذ تمكّن الباحث من تحديد المساحات التي لم تُتناول بعد في الأدبيات السابقة، وتُسهم في توجيه أهداف البحث الحالي نحو معالجة أوجه القصور التي كشفت عنها الدراسات السابقة. ومن خلال مراجعة وتحليل الأدبيات السعودية والخليجية الواردة في هذا البحث، يمكن تحديد عدد من الفجوات المنهجية والمعرفية التي تفسّر الحاجة إلى الدراسة الحالية حول أثر التدريب وبيئة العمل والرضا الوظيفي على توطين المهن الصحية في المملكة العربية السعودية.</w:t>
      </w:r>
    </w:p>
    <w:p w14:paraId="58390C0A"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kern w:val="0"/>
          <w:sz w:val="26"/>
          <w:szCs w:val="26"/>
          <w14:ligatures w14:val="none"/>
        </w:rPr>
      </w:pPr>
      <w:bookmarkStart w:id="67" w:name="_Toc214212885"/>
      <w:r w:rsidRPr="00875B65">
        <w:rPr>
          <w:rFonts w:ascii="Sakkal Majalla" w:eastAsia="Times New Roman" w:hAnsi="Sakkal Majalla" w:cs="Sakkal Majalla"/>
          <w:kern w:val="0"/>
          <w:sz w:val="26"/>
          <w:szCs w:val="26"/>
          <w:rtl/>
          <w14:ligatures w14:val="none"/>
        </w:rPr>
        <w:t>أولًا: الفجوات المنهجية في الدراسات السابقة</w:t>
      </w:r>
      <w:bookmarkEnd w:id="67"/>
    </w:p>
    <w:p w14:paraId="1F8FAECE"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أظهرت مراجعة الدراسات السعودية أن أغلبها استخدم المنهج الوصفي التحليلي كإطار عام لتحليل الظواهر المرتبطة بالتوطين، مع اعتماد أسلوب الاستبيانات الموجهة للعاملين في القطاع الصحي (وزارة الموارد البشرية والتنمية الاجتماعية، 2021). وعلى الرغم من أن هذا المنهج وفّر قاعدة بيانات مهمة، إلا أنه افتقر إلى العمق التفسيري الذي يسمح بفهم العلاقات السببية بين متغيرات التدريب والرضا الوظيفي من جهة، ونسب الاستبقاء الوظيفي من جهة أخرى. ولم تستخدم معظم الدراسات أساليب تحليل متقدمة مثل الانحدار المتعدد أو تحليل المسار إلا في نطاق محدود جدًا (الهيئة السعودية للتخصصات الصحية، 2021).</w:t>
      </w:r>
    </w:p>
    <w:p w14:paraId="6631E023"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 xml:space="preserve">كما أن الدراسات السابقة لم تتناول الاختلاف بين القطاعات الصحية الحكومية والأهلية من حيث فاعلية برامج التدريب والتأهيل، رغم أن الفروق الهيكلية بينهما كبيرة. فقد أشارت تقارير وزارة الصحة (2021) إلى وجود تباين ملحوظ في تطبيق برامج </w:t>
      </w:r>
      <w:r w:rsidRPr="00875B65">
        <w:rPr>
          <w:rFonts w:ascii="Sakkal Majalla" w:hAnsi="Sakkal Majalla" w:cs="Sakkal Majalla"/>
          <w:kern w:val="0"/>
          <w:rtl/>
          <w14:ligatures w14:val="none"/>
        </w:rPr>
        <w:lastRenderedPageBreak/>
        <w:t>التطوير المهني بين القطاعين، ومع ذلك لم يتم تحليل أثر هذا التباين في الدراسات السابقة بشكل كافٍ. ومن هنا تأتي أهمية الدراسة الحالية في تناول هذا الجانب من خلال منهجية أكثر تكاملًا تجمع بين التحليل الكمي والنوعي.</w:t>
      </w:r>
    </w:p>
    <w:p w14:paraId="22708D9C"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kern w:val="0"/>
          <w:sz w:val="26"/>
          <w:szCs w:val="26"/>
          <w14:ligatures w14:val="none"/>
        </w:rPr>
      </w:pPr>
      <w:bookmarkStart w:id="68" w:name="_Toc214212886"/>
      <w:r w:rsidRPr="00875B65">
        <w:rPr>
          <w:rFonts w:ascii="Sakkal Majalla" w:eastAsia="Times New Roman" w:hAnsi="Sakkal Majalla" w:cs="Sakkal Majalla"/>
          <w:kern w:val="0"/>
          <w:sz w:val="26"/>
          <w:szCs w:val="26"/>
          <w:rtl/>
          <w14:ligatures w14:val="none"/>
        </w:rPr>
        <w:t>ثانيًا: الفجوات المعرفية في نطاق المتغيرات المدروسة</w:t>
      </w:r>
      <w:bookmarkEnd w:id="68"/>
    </w:p>
    <w:p w14:paraId="52F56CEB"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تبيّن من مراجعة الدراسات السابقة أن مفهوم التوطين الصحي لم يكن يُتناول دائمًا بوصفه متغيرًا مستقلًّا قائمًا بذاته، بل غالبًا ما أُدرج ضمن مفاهيم عامة مثل “السعودة” أو “تنمية الموارد البشرية”، مما جعل النتائج السابقة تفتقر إلى التحديد المفاهيمي الدقيق. وقد أكدت رؤية السعودية 2030 (2023) على ضرورة الانتقال من المفاهيم العامة إلى مؤشرات كمية قابلة للقياس لرفع جودة البحث التطبيقي في مجال القوى العاملة الوطنية، وهو ما تسعى الدراسة الحالية إلى تحقيقه من خلال تحديد العلاقة السببية بين عناصر محددة هي: التدريب، وبيئة العمل، والرضا الوظيفي، والتوطين الصحي.</w:t>
      </w:r>
    </w:p>
    <w:p w14:paraId="2C6045A5"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كما أن الدراسات الخليجية التي تناولت الموضوع لم تربط بين العوامل التنظيمية والتحفيزية وبين مستوى الرضا الوظيفي بشكل واضح، إذ ركزت على معدلات التوظيف دون تحليل العمق النفسي أو الاجتماعي للعاملين. أما الدراسات السعودية التي تطرقت إلى هذه العلاقة فقد ركزت على قطاعات معينة دون غيرها (مثل التمريض أو الخدمات المساندة)، ولم تشمل جميع الفئات المهنية الصحية، مما يحدّ من إمكانية التعميم (وزارة الاقتصاد والتخطيط، 2021).</w:t>
      </w:r>
    </w:p>
    <w:p w14:paraId="045C8F5B"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kern w:val="0"/>
          <w:sz w:val="26"/>
          <w:szCs w:val="26"/>
          <w14:ligatures w14:val="none"/>
        </w:rPr>
      </w:pPr>
      <w:bookmarkStart w:id="69" w:name="_Toc214212887"/>
      <w:r w:rsidRPr="00875B65">
        <w:rPr>
          <w:rFonts w:ascii="Sakkal Majalla" w:eastAsia="Times New Roman" w:hAnsi="Sakkal Majalla" w:cs="Sakkal Majalla"/>
          <w:kern w:val="0"/>
          <w:sz w:val="26"/>
          <w:szCs w:val="26"/>
          <w:rtl/>
          <w14:ligatures w14:val="none"/>
        </w:rPr>
        <w:t>ثالثًا: الفجوات التطبيقية في السياسات والبرامج</w:t>
      </w:r>
      <w:bookmarkEnd w:id="69"/>
    </w:p>
    <w:p w14:paraId="6DF44350"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من خلال تحليل الدراسات الرسمية الصادرة عن وزارة الصحة (2021) ووزارة الموارد البشرية والتنمية الاجتماعية (2020)، يتضح أن هناك فجوة بين النتائج البحثية والتطبيق العملي للسياسات، حيث لم تُترجم أغلب التوصيات إلى مبادرات تنفيذية واضحة. فالدراسات السابقة كانت تصف المشكلات بدقة، لكنها لم تقدّم حلولًا استراتيجية قابلة للقياس أو التقييم المستمر. ومن ثمّ تأتي أهمية الدراسة الحالية في محاولة سد هذه الفجوة عبر تقديم نموذج تطبيقي يربط ممارسات التدريب وبيئة العمل بمؤشرات الأداء الوظيفي ضمن إطار التوطين الصحي.</w:t>
      </w:r>
    </w:p>
    <w:p w14:paraId="4EC7492D"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كذلك، تُظهر مراجعة الدراسات أن التكامل بين المؤسسات التعليمية والصحية لا يزال محدودًا، حيث لم تُستثمر نتائج الأبحاث الأكاديمية بشكل فعّال في تصميم برامج إعداد الكوادر الصحية. وقد أكدت وزارة التعليم (2021) أن قنوات الربط بين الجامعات والمستشفيات ما زالت بحاجة إلى تطوير لضمان مواءمة المخرجات التعليمية مع احتياجات سوق العمل الصحي، وهي ثغرة تسعى الدراسة الحالية إلى تسليط الضوء عليها.</w:t>
      </w:r>
    </w:p>
    <w:p w14:paraId="4E4F1997"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kern w:val="0"/>
          <w:sz w:val="26"/>
          <w:szCs w:val="26"/>
          <w14:ligatures w14:val="none"/>
        </w:rPr>
      </w:pPr>
      <w:bookmarkStart w:id="70" w:name="_Toc214212888"/>
      <w:r w:rsidRPr="00875B65">
        <w:rPr>
          <w:rFonts w:ascii="Sakkal Majalla" w:eastAsia="Times New Roman" w:hAnsi="Sakkal Majalla" w:cs="Sakkal Majalla"/>
          <w:kern w:val="0"/>
          <w:sz w:val="26"/>
          <w:szCs w:val="26"/>
          <w:rtl/>
          <w14:ligatures w14:val="none"/>
        </w:rPr>
        <w:t>رابعًا: الفجوات الزمنية والتطور المفاهيمي</w:t>
      </w:r>
      <w:bookmarkEnd w:id="70"/>
    </w:p>
    <w:p w14:paraId="4B959251"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لوحظ أن كثيرًا من الدراسات التي تناولت التوطين الصحي تعود إلى فترات زمنية سابقة لإطلاق برامج التحول الصحي، وبالتالي لا تعكس التغيرات الهيكلية والتنظيمية التي حدثت بعد عام 2018. فمثلًا، الدراسات التي استندت إلى بيانات 2016–2018 لم تدمج مؤشرات الأداء الجديدة التي أُدخلت ضمن برنامج التحول الوطني (2020)، مثل مؤشر استدامة القوى العاملة الوطنية ومؤشر معدل الإحلال المهني. هذا القصور الزمني يجعل نتائجها محدودة الصلاحية في سياق التطور الراهن، مما يعزّز الحاجة إلى دراسات حديثة تتوافق مع الواقع التنظيمي الجديد (الهيئة العامة للإحصاء، 2024).</w:t>
      </w:r>
    </w:p>
    <w:p w14:paraId="441B0CCF"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kern w:val="0"/>
          <w:sz w:val="26"/>
          <w:szCs w:val="26"/>
          <w14:ligatures w14:val="none"/>
        </w:rPr>
      </w:pPr>
      <w:bookmarkStart w:id="71" w:name="_Toc214212889"/>
      <w:r w:rsidRPr="00875B65">
        <w:rPr>
          <w:rFonts w:ascii="Sakkal Majalla" w:eastAsia="Times New Roman" w:hAnsi="Sakkal Majalla" w:cs="Sakkal Majalla"/>
          <w:kern w:val="0"/>
          <w:sz w:val="26"/>
          <w:szCs w:val="26"/>
          <w:rtl/>
          <w14:ligatures w14:val="none"/>
        </w:rPr>
        <w:t>خامسًا: الفجوات المقارنة والإقليمية</w:t>
      </w:r>
      <w:bookmarkEnd w:id="71"/>
    </w:p>
    <w:p w14:paraId="5CC743CE" w14:textId="77777777" w:rsidR="00875B65" w:rsidRPr="00875B65" w:rsidRDefault="00875B65" w:rsidP="00875B65">
      <w:pPr>
        <w:spacing w:before="100" w:beforeAutospacing="1" w:after="100" w:afterAutospacing="1" w:line="240" w:lineRule="auto"/>
        <w:rPr>
          <w:rFonts w:ascii="Sakkal Majalla" w:hAnsi="Sakkal Majalla" w:cs="Sakkal Majalla"/>
          <w:kern w:val="0"/>
          <w:rtl/>
          <w14:ligatures w14:val="none"/>
        </w:rPr>
      </w:pPr>
      <w:r w:rsidRPr="00875B65">
        <w:rPr>
          <w:rFonts w:ascii="Sakkal Majalla" w:hAnsi="Sakkal Majalla" w:cs="Sakkal Majalla"/>
          <w:kern w:val="0"/>
          <w:rtl/>
          <w14:ligatures w14:val="none"/>
        </w:rPr>
        <w:t xml:space="preserve">أظهرت المقارنة بين الدراسات السعودية والخليجية وجود قصور في الدراسات المقارنة البينية التي تتناول تجارب التوطين على مستوى دول مجلس التعاون. فمعظم الدراسات ركزت على تجربة دولة واحدة دون إجراء تحليل مقارن للعوامل المشتركة أو الفروق الثقافية والتنظيمية بين الدول. وقد أشار تقرير وزارة الصحة (2021) إلى أن التعاون البحثي الخليجي في مجال القوى </w:t>
      </w:r>
      <w:r w:rsidRPr="00875B65">
        <w:rPr>
          <w:rFonts w:ascii="Sakkal Majalla" w:hAnsi="Sakkal Majalla" w:cs="Sakkal Majalla"/>
          <w:kern w:val="0"/>
          <w:rtl/>
          <w14:ligatures w14:val="none"/>
        </w:rPr>
        <w:lastRenderedPageBreak/>
        <w:t>العاملة الصحية لا يزال محدودًا، وهو ما يجعل الاستفادة من التجارب الناجحة في المنطقة ضعيفة. وتأتي هذه الدراسة لتسهم في سد هذه الفجوة من خلال تحليل الدروس المستفادة من التجارب الخليجية وربطها بالبيئة السعودية.</w:t>
      </w:r>
    </w:p>
    <w:p w14:paraId="6381112C" w14:textId="77777777" w:rsidR="00875B65" w:rsidRPr="00875B65" w:rsidRDefault="00875B65" w:rsidP="00875B65">
      <w:pPr>
        <w:bidi w:val="0"/>
        <w:spacing w:before="100" w:beforeAutospacing="1" w:after="100" w:afterAutospacing="1" w:line="240" w:lineRule="auto"/>
        <w:jc w:val="right"/>
        <w:outlineLvl w:val="2"/>
        <w:rPr>
          <w:rFonts w:ascii="Sakkal Majalla" w:eastAsia="Times New Roman" w:hAnsi="Sakkal Majalla" w:cs="Sakkal Majalla"/>
          <w:kern w:val="0"/>
          <w:sz w:val="26"/>
          <w:szCs w:val="26"/>
          <w14:ligatures w14:val="none"/>
        </w:rPr>
      </w:pPr>
      <w:bookmarkStart w:id="72" w:name="_Toc214212890"/>
      <w:r w:rsidRPr="00875B65">
        <w:rPr>
          <w:rFonts w:ascii="Sakkal Majalla" w:eastAsia="Times New Roman" w:hAnsi="Sakkal Majalla" w:cs="Sakkal Majalla"/>
          <w:kern w:val="0"/>
          <w:sz w:val="26"/>
          <w:szCs w:val="26"/>
          <w:rtl/>
          <w14:ligatures w14:val="none"/>
        </w:rPr>
        <w:t>سادسًا: الفجوة في الربط بين النظرية والتطبيق</w:t>
      </w:r>
      <w:bookmarkEnd w:id="72"/>
    </w:p>
    <w:p w14:paraId="697CAEEE"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kern w:val="0"/>
          <w:rtl/>
          <w14:ligatures w14:val="none"/>
        </w:rPr>
        <w:t>رغم أن الدراسات السابقة تناولت مفاهيم التدريب والرضا الوظيفي وبيئة العمل، إلا أن معظمها لم يربط هذه المفاهيم بنظرية متكاملة تفسّر العلاقات المتبادلة بينها. فبعض الدراسات اعتمدت على نظريات التحفيز العام أو الرضا الوظيفي دون أن تربطها بسياق التوطين الصحي. وقد أوصت الهيئة السعودية للتخصصات الصحية (2021) بضرورة بناء إطار نظري متكامل يربط بين المتغيرات التنظيمية والأداء الفعلي للقوى العاملة، وهو ما تتبناه الدراسة الحالية من خلال نموذج مفاهيمي متكامل.</w:t>
      </w:r>
    </w:p>
    <w:p w14:paraId="6F4FDA84"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r w:rsidRPr="00875B65">
        <w:rPr>
          <w:rFonts w:ascii="Sakkal Majalla" w:hAnsi="Sakkal Majalla" w:cs="Sakkal Majalla" w:hint="cs"/>
          <w:kern w:val="0"/>
          <w:rtl/>
          <w14:ligatures w14:val="none"/>
        </w:rPr>
        <w:t xml:space="preserve">في نهاية هذه الجزئية نكشف </w:t>
      </w:r>
      <w:r w:rsidRPr="00875B65">
        <w:rPr>
          <w:rFonts w:ascii="Sakkal Majalla" w:hAnsi="Sakkal Majalla" w:cs="Sakkal Majalla"/>
          <w:kern w:val="0"/>
          <w:rtl/>
          <w14:ligatures w14:val="none"/>
        </w:rPr>
        <w:t>إن الفجوات البحثية التي تم تحديدها من خلال الدراسات السابقة تبرر الحاجة العلمية إلى هذا البحث، الذي يسعى إلى تقديم نموذج متكامل لقياس أثر التدريب وبيئة العمل والرضا الوظيفي على توطين المهن الصحية في المملكة العربية السعودية. فبينما ركزت الدراسات السابقة على توصيف الظاهرة، تأتي هذه الدراسة لتنتقل إلى مرحلة التفسير والتحليل التطبيقي، مستندة إلى أحدث البيانات والسياسات الوطنية في إطار رؤية السعودية 2030 وبرنامج التحول الوطني الصحي (2025)</w:t>
      </w:r>
    </w:p>
    <w:p w14:paraId="657EF608" w14:textId="77777777" w:rsidR="00875B65" w:rsidRPr="00875B65" w:rsidRDefault="00875B65" w:rsidP="00875B65">
      <w:pPr>
        <w:spacing w:before="100" w:beforeAutospacing="1" w:after="100" w:afterAutospacing="1" w:line="240" w:lineRule="auto"/>
        <w:rPr>
          <w:rFonts w:ascii="Sakkal Majalla" w:hAnsi="Sakkal Majalla" w:cs="Sakkal Majalla"/>
          <w:kern w:val="0"/>
          <w14:ligatures w14:val="none"/>
        </w:rPr>
      </w:pPr>
    </w:p>
    <w:p w14:paraId="02520726" w14:textId="65F2BA32" w:rsidR="00875B65" w:rsidRDefault="00875B65">
      <w:pPr>
        <w:rPr>
          <w:rtl/>
        </w:rPr>
      </w:pPr>
    </w:p>
    <w:p w14:paraId="7FF8E565" w14:textId="77777777" w:rsidR="00603F6C" w:rsidRDefault="00603F6C">
      <w:pPr>
        <w:rPr>
          <w:rtl/>
        </w:rPr>
      </w:pPr>
    </w:p>
    <w:p w14:paraId="4F223135" w14:textId="77777777" w:rsidR="00603F6C" w:rsidRPr="00603F6C" w:rsidRDefault="00603F6C" w:rsidP="00603F6C">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u w:val="single"/>
          <w14:ligatures w14:val="none"/>
        </w:rPr>
      </w:pPr>
      <w:bookmarkStart w:id="73" w:name="_Toc214212918"/>
      <w:r w:rsidRPr="00603F6C">
        <w:rPr>
          <w:rFonts w:ascii="Sakkal Majalla" w:eastAsia="Times New Roman" w:hAnsi="Sakkal Majalla" w:cs="Sakkal Majalla"/>
          <w:b/>
          <w:bCs/>
          <w:kern w:val="0"/>
          <w:sz w:val="28"/>
          <w:szCs w:val="28"/>
          <w:u w:val="single"/>
          <w:rtl/>
          <w14:ligatures w14:val="none"/>
        </w:rPr>
        <w:t>التوطين الصحي كأداة لتحقيق الأمن الوطني</w:t>
      </w:r>
      <w:bookmarkEnd w:id="73"/>
    </w:p>
    <w:p w14:paraId="6DC69A30"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يُعدّ التوطين الصحي في المملكة العربية السعودية أحد الأعمدة الإستراتيجية في بناء منظومة الأمن الوطني الشامل، إذ لم يعد الأمن مفهومًا عسكريًا أو سياسيًا فحسب، بل أصبح يشمل الأبعاد الصحية والاقتصادية والاجتماعية التي تضمن استقرار الدولة واستمرارية مؤسساتها في مواجهة الأزمات. وتؤكد وزارة الصحة (2021) أن تحقيق الاكتفاء الوطني في المهن الصحية الحساسة يمثل “خط الدفاع الأول” في منظومة الأمن الصحي، لما له من دور مباشر في حماية المجتمع من المخاطر الوبائية وضمان استدامة الخدمات الحيوية في الظروف الاستثنائية.</w:t>
      </w:r>
    </w:p>
    <w:p w14:paraId="77161EC4"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من منظور الأمن الوطني، يُمثّل التوطين الصحي سياسة وقائية واستباقية في آنٍ واحد. فهو من جهة يقلّل من الاعتماد على القوى العاملة الأجنبية التي قد تتأثر بالعوامل الخارجية كالقيود الدولية أو الأزمات الاقتصادية، ومن جهة أخرى يعزز الجاهزية الوطنية عبر تكوين كوادر محلية تمتلك الخبرة والمعرفة والقدرة على التدخل الفوري عند وقوع الكوارث الصحية. وقد أشارت الهيئة السعودية للتخصصات الصحية (2021) إلى أن نسبة الكوادر الوطنية في بعض التخصصات الحرجة ارتفعت بأكثر من 35% خلال السنوات الخمس الأخيرة، مما انعكس على تحسين الاستجابة الميدانية أثناء جائحة كوفيد-19.</w:t>
      </w:r>
    </w:p>
    <w:p w14:paraId="26A744A8"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74" w:name="_Toc214212919"/>
      <w:r w:rsidRPr="00603F6C">
        <w:rPr>
          <w:rFonts w:ascii="Sakkal Majalla" w:eastAsia="Times New Roman" w:hAnsi="Sakkal Majalla" w:cs="Sakkal Majalla"/>
          <w:b/>
          <w:bCs/>
          <w:kern w:val="0"/>
          <w:sz w:val="26"/>
          <w:szCs w:val="26"/>
          <w:rtl/>
          <w14:ligatures w14:val="none"/>
        </w:rPr>
        <w:t>أولًا: مفهوم الأمن الصحي الوطني ودور التوطين في تحقيقه</w:t>
      </w:r>
      <w:bookmarkEnd w:id="74"/>
    </w:p>
    <w:p w14:paraId="7A01B9D1"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الأمن الصحي الوطني يُعرّف بأنه قدرة الدولة على توفير خدمات الرعاية الصحية الأساسية لجميع المواطنين والمقيمين بانتظام وكفاءة، في الظروف العادية والاستثنائية على حد سواء (وزارة الاقتصاد والتخطيط، 2021). ومن هذا المنطلق، فإن امتلاك كوادر وطنية مؤهلة ومدرّبة يمثل عنصر السيادة الرئيس في هذا المجال.</w:t>
      </w:r>
    </w:p>
    <w:p w14:paraId="2F42907F"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lastRenderedPageBreak/>
        <w:t>وقد أكدت رؤية السعودية 2030 (2023) أن “تعزيز القدرات الوطنية في القطاع الصحي يُعدّ ضمانة مباشرة لاستقلال القرار الصحي الوطني”، مشيرة إلى أن الاكتفاء الوظيفي في القطاعات الحيوية، وعلى رأسها الصحة، جزء لا يتجزأ من منظومة الأمن الوطني.</w:t>
      </w:r>
    </w:p>
    <w:p w14:paraId="27AE1E7F"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ولذلك، فإن التوطين الصحي لا يُعدّ مجرد مشروع توظيف، بل هو أداة سيادية تمنح المملكة القدرة على إدارة مواردها البشرية الحيوية دون الاعتماد الخارجي، وتحافظ على استمرارية الخدمة حتى في أوقات الأزمات العالمية. وهذا ما تحقق فعليًا أثناء جائحة كوفيد-19، حيث تمكّنت الكوادر الوطنية من إدارة المستشفيات والمراكز الميدانية وتشغيل وحدات العناية المركزة بعد مغادرة بعض الكوادر الأجنبية بسبب إغلاق الحدود، ما يُعدّ برهانًا عمليًا على مساهمة التوطين في صون الأمن الوطني (وزارة الصحة، 2021).</w:t>
      </w:r>
    </w:p>
    <w:p w14:paraId="5DD4B71E"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75" w:name="_Toc214212920"/>
      <w:r w:rsidRPr="00603F6C">
        <w:rPr>
          <w:rFonts w:ascii="Sakkal Majalla" w:eastAsia="Times New Roman" w:hAnsi="Sakkal Majalla" w:cs="Sakkal Majalla"/>
          <w:b/>
          <w:bCs/>
          <w:kern w:val="0"/>
          <w:sz w:val="26"/>
          <w:szCs w:val="26"/>
          <w:rtl/>
          <w14:ligatures w14:val="none"/>
        </w:rPr>
        <w:t>ثانيًا: التوطين كضمانة للجاهزية الوطنية في مواجهة الأزمات</w:t>
      </w:r>
      <w:bookmarkEnd w:id="75"/>
    </w:p>
    <w:p w14:paraId="4481D097"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تُظهر تقارير وزارة الموارد البشرية والتنمية الاجتماعية (2021) أن أحد أهم أهداف برامج التوطين هو تحقيق الجاهزية الوطنية المستدامة، بحيث يصبح لدى الدولة احتياطي بشري مهني قادر على العمل في الميدان عند الحاجة.</w:t>
      </w:r>
    </w:p>
    <w:p w14:paraId="432C10C4"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وقد كشفت الجائحة عن أهمية وجود منظومة محلية متكاملة من الأطباء والممرضين والفنيين الوطنيين، إذ ساهمت هذه الكوادر في تغطية أكثر من 80% من الأعمال الحرجة داخل المستشفيات خلال فترة الطوارئ الصحية (وزارة الصحة، 2021).</w:t>
      </w:r>
    </w:p>
    <w:p w14:paraId="0C8BF5DD"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هذا التحول يعكس انتقال المملكة من نموذج التشغيل القائم على العمالة الوافدة إلى نموذج الاكتفاء الذاتي الاستراتيجي في القوى العاملة الصحية.</w:t>
      </w:r>
    </w:p>
    <w:p w14:paraId="7063DDC6"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كما أكدت الهيئة العامة للإحصاء (2024) أن عدد الكوادر الصحية الوطنية في القطاع الحكومي ارتفع من 190 ألفًا عام 2016 إلى أكثر من 290 ألفًا عام 2023، بنسبة نمو تجاوزت 52%، وهي من أعلى نسب النمو في المنطقة.</w:t>
      </w:r>
    </w:p>
    <w:p w14:paraId="423FE180"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هذه الأرقام لا تمثل مجرد تطور إداري، بل تشكّل مقياسًا حقيقيًا لقوة الدولة في تأمين خدماتها الأساسية داخليًا دون انقطاع.</w:t>
      </w:r>
    </w:p>
    <w:p w14:paraId="27BACCFC"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وفي السياق ذاته، أشارت وزارة الاقتصاد والتخطيط (2021) إلى أن الاعتماد على الكادر الوطني في الرعاية الصحية يضمن استمرارية سلاسل الإمداد البشرية، ويحمي النظام الصحي من الانهيار في حال توقف حركة العمالة الدولية كما حدث عالميًا عام 2020.</w:t>
      </w:r>
    </w:p>
    <w:p w14:paraId="44569F16"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76" w:name="_Toc214212921"/>
      <w:r w:rsidRPr="00603F6C">
        <w:rPr>
          <w:rFonts w:ascii="Sakkal Majalla" w:eastAsia="Times New Roman" w:hAnsi="Sakkal Majalla" w:cs="Sakkal Majalla"/>
          <w:b/>
          <w:bCs/>
          <w:kern w:val="0"/>
          <w:sz w:val="26"/>
          <w:szCs w:val="26"/>
          <w:rtl/>
          <w14:ligatures w14:val="none"/>
        </w:rPr>
        <w:t>ثالثًا: التوطين كعنصر في بناء السيادة الصحية</w:t>
      </w:r>
      <w:bookmarkEnd w:id="76"/>
    </w:p>
    <w:p w14:paraId="4A21EA08"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السيادة الصحية تُفهم بوصفها القدرة الوطنية الكاملة على إدارة الموارد والقدرات في النظام الصحي دون تدخل خارجي (وزارة الاقتصاد والتخطيط، 2021).</w:t>
      </w:r>
    </w:p>
    <w:p w14:paraId="121C02FC"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ويُعدّ التوطين الصحي الركيزة الأولى لتحقيق هذه السيادة، لأن العنصر البشري الوطني هو من يدير ويدعم ويطور كل حلقات الخدمة من التشخيص إلى العلاج إلى الإدارة.</w:t>
      </w:r>
    </w:p>
    <w:p w14:paraId="57AB3B5D"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ففي غياب الكوادر الوطنية المؤهلة، تبقى المنظومة رهينة للعقود الخارجية والتقلبات الاقتصادية.</w:t>
      </w:r>
    </w:p>
    <w:p w14:paraId="5F113301"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وقد عبّرت رؤية 2030 (2023) عن ذلك بوضوح حين أكدت أن “تطوير الكفاءات الوطنية في القطاعات الحيوية يضمن للمملكة استقلالها ومرونتها في مواجهة التحديات العالمية”.</w:t>
      </w:r>
    </w:p>
    <w:p w14:paraId="31DE8D7F"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lastRenderedPageBreak/>
        <w:t>وتؤكد وزارة التعليم (2021) أن الجامعات السعودية أسهمت بشكل ملموس في هذا الاتجاه عبر مضاعفة عدد المقاعد المخصصة للتخصصات الصحية بنسبة 40% منذ عام 2018، ما يُعدّ استثمارًا طويل الأمد في تحقيق الاكتفاء المهني الوطني.</w:t>
      </w:r>
    </w:p>
    <w:p w14:paraId="41E71CB3"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كما تم إطلاق برامج للابتعاث الداخلي والخارجي لتأهيل الكوادر الوطنية في التخصصات الدقيقة مثل علم الفيروسات والعناية المركزة، وهي تخصصات تُعد من أعمدة الأمن الصحي.</w:t>
      </w:r>
    </w:p>
    <w:p w14:paraId="5A44D784"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77" w:name="_Toc214212922"/>
      <w:r w:rsidRPr="00603F6C">
        <w:rPr>
          <w:rFonts w:ascii="Sakkal Majalla" w:eastAsia="Times New Roman" w:hAnsi="Sakkal Majalla" w:cs="Sakkal Majalla"/>
          <w:b/>
          <w:bCs/>
          <w:kern w:val="0"/>
          <w:sz w:val="26"/>
          <w:szCs w:val="26"/>
          <w:rtl/>
          <w14:ligatures w14:val="none"/>
        </w:rPr>
        <w:t>رابعًا: التوطين كدرع للوقاية من التحديات المستقبلية</w:t>
      </w:r>
      <w:bookmarkEnd w:id="77"/>
    </w:p>
    <w:p w14:paraId="1E0CD0A7"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تشير تحليلات وزارة الموارد البشرية (2020) إلى أن التحدي الأكبر الذي تواجهه الدول النامية في المجال الصحي هو هشاشة سلاسل القوى العاملة الأجنبية عند الأزمات.</w:t>
      </w:r>
    </w:p>
    <w:p w14:paraId="6CAD4725"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وتعدّ سياسة التوطين في المملكة استجابةً إستراتيجية لهذا التحدي، إذ تؤسس لقاعدة وطنية مرنة يمكنها التكيّف مع المتغيرات المستقبلية.</w:t>
      </w:r>
    </w:p>
    <w:p w14:paraId="4E8F4449"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ففي حال نشوب أزمات صحية أو اقتصادية عالمية، تظل المملكة قادرة على تسيير شؤونها الصحية بكفاءة داخلية دون الحاجة لتدخل خارجي.</w:t>
      </w:r>
    </w:p>
    <w:p w14:paraId="693B894C"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وقد أظهرت الهيئة السعودية للتخصصات الصحية (2021) أن الكوادر الوطنية التي تم تدريبها ضمن برامج التوطين أدت دورًا محوريًا في تنفيذ الإجراءات الوقائية الوطنية خلال جائحة كوفيد-19، وفي إدارة مراكز التطعيم والفحوصات، مما جعل المملكة من أكثر الدول كفاءة في إدارة الأزمة بشريًا وتنظيميًا.</w:t>
      </w:r>
    </w:p>
    <w:p w14:paraId="2C0F0E37"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وهذا النجاح لم يكن وليد الصدفة، بل نتيجة مباشرة لاستثمار طويل الأمد في التوطين الصحي الذي وضع أسس الأمن المهني الوطني في القطاع الصحي.</w:t>
      </w:r>
    </w:p>
    <w:p w14:paraId="58A11325"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p>
    <w:p w14:paraId="36685100"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p>
    <w:p w14:paraId="5AF84FAE"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78" w:name="_Toc214212923"/>
      <w:r w:rsidRPr="00603F6C">
        <w:rPr>
          <w:rFonts w:ascii="Sakkal Majalla" w:eastAsia="Times New Roman" w:hAnsi="Sakkal Majalla" w:cs="Sakkal Majalla"/>
          <w:b/>
          <w:bCs/>
          <w:kern w:val="0"/>
          <w:sz w:val="26"/>
          <w:szCs w:val="26"/>
          <w:rtl/>
          <w14:ligatures w14:val="none"/>
        </w:rPr>
        <w:t>خامسًا: العلاقة التكاملية بين التوطين والأمن الوطني</w:t>
      </w:r>
      <w:bookmarkEnd w:id="78"/>
    </w:p>
    <w:p w14:paraId="0315A885"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إن العلاقة بين التوطين الصحي والأمن الوطني علاقة تكامل وتبادل منفعة متبادلة، فكلما تعززت سياسات التوطين، ازدادت قدرة الدولة على تحقيق الاستقرار الداخلي، والعكس صحيح.</w:t>
      </w:r>
    </w:p>
    <w:p w14:paraId="70EEB5C7"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فالتوطين يعزز الشعور بالمسؤولية والانتماء الوطني لدى العاملين في القطاع الصحي، وهو ما يدعم البنية النفسية والاجتماعية للأمن الوطني.</w:t>
      </w:r>
    </w:p>
    <w:p w14:paraId="10C08DBB"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وبحسب وزارة الاقتصاد والتخطيط (2021)، فإن سياسات التوطين ساهمت في “تحويل الكادر الوطني من مجرد موظف إلى عنصر دفاع وطني في مواجهة الأزمات الصحية”، وهي رؤية تعكس عمق الوعي الإداري بمفهوم الأمن الشامل.</w:t>
      </w:r>
    </w:p>
    <w:p w14:paraId="460A01B2"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كما أن التوطين أسهم في رفع ثقة المواطن بالمؤسسات الصحية الوطنية، وهو بُعد آخر للأمن المجتمعي. فحين يتلقى المواطن الخدمة من كوادر وطنية مؤهلة وملتزمة، يزداد الشعور بالانتماء والثقة في الدولة، وهو أحد أعمدة الأمن الوطني الاجتماعي (وزارة الصحة، 2021).</w:t>
      </w:r>
    </w:p>
    <w:p w14:paraId="08EFDD70"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hint="cs"/>
          <w:kern w:val="0"/>
          <w:rtl/>
          <w14:ligatures w14:val="none"/>
        </w:rPr>
        <w:lastRenderedPageBreak/>
        <w:t>نستطيع</w:t>
      </w:r>
      <w:r w:rsidRPr="00603F6C">
        <w:rPr>
          <w:rFonts w:ascii="Sakkal Majalla" w:hAnsi="Sakkal Majalla" w:cs="Sakkal Majalla"/>
          <w:kern w:val="0"/>
          <w:rtl/>
          <w14:ligatures w14:val="none"/>
        </w:rPr>
        <w:t xml:space="preserve"> القول </w:t>
      </w:r>
      <w:r w:rsidRPr="00603F6C">
        <w:rPr>
          <w:rFonts w:ascii="Sakkal Majalla" w:hAnsi="Sakkal Majalla" w:cs="Sakkal Majalla" w:hint="cs"/>
          <w:kern w:val="0"/>
          <w:rtl/>
          <w14:ligatures w14:val="none"/>
        </w:rPr>
        <w:t>ان</w:t>
      </w:r>
      <w:r w:rsidRPr="00603F6C">
        <w:rPr>
          <w:rFonts w:ascii="Sakkal Majalla" w:hAnsi="Sakkal Majalla" w:cs="Sakkal Majalla"/>
          <w:kern w:val="0"/>
          <w:rtl/>
          <w14:ligatures w14:val="none"/>
        </w:rPr>
        <w:t xml:space="preserve"> التوطين الصحي في المملكة العربية السعودية لم يعد مجرد سياسة تشغيلية، بل تحوّل إلى أداة سيادية لحماية الأمن الوطني وتعزيز القدرة الذاتية للدولة في مواجهة الأزمات والكوارث الصحية.</w:t>
      </w:r>
    </w:p>
    <w:p w14:paraId="750EC802"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لقد جسّد التوطين مفهوم “الأمن الوقائي” الذي يجعل من الإنسان الوطني خط الدفاع الأول عن بلده، وعامل الاستدامة الرئيس في نظامه الصحي.</w:t>
      </w:r>
    </w:p>
    <w:p w14:paraId="531BE904"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وتؤكد التجربة السعودية أن بناء الكادر الوطني الصحي ليس خيارًا اقتصاديًا فقط، بل خيارًا إستراتيجيًا يرسخ استقلال القرار الوطني ويصون أمن الدولة وسيادتها على مواردها الحيوية</w:t>
      </w:r>
    </w:p>
    <w:p w14:paraId="70C714B1" w14:textId="77777777" w:rsidR="00603F6C" w:rsidRPr="00603F6C" w:rsidRDefault="00603F6C" w:rsidP="00603F6C">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u w:val="single"/>
          <w14:ligatures w14:val="none"/>
        </w:rPr>
      </w:pPr>
      <w:bookmarkStart w:id="79" w:name="_Toc214212924"/>
      <w:r w:rsidRPr="00603F6C">
        <w:rPr>
          <w:rFonts w:ascii="Sakkal Majalla" w:eastAsia="Times New Roman" w:hAnsi="Sakkal Majalla" w:cs="Sakkal Majalla"/>
          <w:b/>
          <w:bCs/>
          <w:kern w:val="0"/>
          <w:sz w:val="28"/>
          <w:szCs w:val="28"/>
          <w:u w:val="single"/>
          <w:rtl/>
          <w14:ligatures w14:val="none"/>
        </w:rPr>
        <w:t>الأبعاد الاقتصادية والتنموية للتوطين الصحي</w:t>
      </w:r>
      <w:bookmarkEnd w:id="79"/>
    </w:p>
    <w:p w14:paraId="2071CD21"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يمثّل التوطين الصحي في المملكة العربية السعودية أحد أهم محركات التحول الاقتصادي والتنمية المستدامة، إذ يسهم في تحقيق التوازن بين الكفاءة الاقتصادية والعدالة الاجتماعية من خلال تمكين الكفاءات الوطنية في القطاعات الحيوية، وتقليل الاعتماد المالي على العمالة الأجنبية. وتُظهر وزارة الاقتصاد والتخطيط (2021) أن برامج التوطين الصحي لم تُسهم فقط في تخفيض التحويلات الخارجية، بل أسهمت أيضًا في إعادة توجيه الإنفاق الصحي بما يخدم أولويات التنمية الوطنية.</w:t>
      </w:r>
    </w:p>
    <w:p w14:paraId="48D72402"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80" w:name="_Toc214212925"/>
      <w:r w:rsidRPr="00603F6C">
        <w:rPr>
          <w:rFonts w:ascii="Sakkal Majalla" w:eastAsia="Times New Roman" w:hAnsi="Sakkal Majalla" w:cs="Sakkal Majalla"/>
          <w:b/>
          <w:bCs/>
          <w:kern w:val="0"/>
          <w:sz w:val="26"/>
          <w:szCs w:val="26"/>
          <w:rtl/>
          <w14:ligatures w14:val="none"/>
        </w:rPr>
        <w:t>أولًا: التوطين الصحي كأداة لتعزيز كفاءة الإنفاق العام</w:t>
      </w:r>
      <w:bookmarkEnd w:id="80"/>
    </w:p>
    <w:p w14:paraId="008D4356"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يُعدّ الإنفاق الصحي أحد أكبر بنود الميزانية العامة في المملكة، إذ بلغ وفق بيانات وزارة الصحة (2021) أكثر من 147 مليار ريال. ومع ارتفاع نسب التوطين، بدأت المؤسسات الصحية في تقليص تكاليف استقدام العمالة الأجنبية، وما يرتبط بها من مصروفات نقل وإقامة وتأمين صحي وتعويضات نهاية الخدمة.</w:t>
      </w:r>
    </w:p>
    <w:p w14:paraId="465CEF37"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وقدّر تقرير وزارة الموارد البشرية والتنمية الاجتماعية (2021) أن برامج التوطين في القطاع الصحي أسهمت في تقليل كلفة العمالة الأجنبية بنسبة 23% خلال أربع سنوات فقط، مما سمح بإعادة توجيه هذه الموارد إلى تطوير البنية التحتية الصحية وبرامج التدريب الوطني.</w:t>
      </w:r>
    </w:p>
    <w:p w14:paraId="7651FAED"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كما أن توطين الوظائف العليا والمتوسطة ساهم في رفع كفاءة الإنفاق من خلال تقليل معدل دوران القوى العاملة، وهو ما يؤدي إلى استقرار إداري وتخفيض نفقات التوظيف المتكرر. هذا الاستقرار الإداري يمثل عنصرًا رئيسيًا في زيادة فعالية الأداء المؤسسي وتقليل الهدر المالي في القطاع الصحي.</w:t>
      </w:r>
    </w:p>
    <w:p w14:paraId="42145B9F"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81" w:name="_Toc214212926"/>
      <w:r w:rsidRPr="00603F6C">
        <w:rPr>
          <w:rFonts w:ascii="Sakkal Majalla" w:eastAsia="Times New Roman" w:hAnsi="Sakkal Majalla" w:cs="Sakkal Majalla"/>
          <w:b/>
          <w:bCs/>
          <w:kern w:val="0"/>
          <w:sz w:val="26"/>
          <w:szCs w:val="26"/>
          <w:rtl/>
          <w14:ligatures w14:val="none"/>
        </w:rPr>
        <w:t>ثانيًا: التوطين الصحي وتنمية رأس المال البشري الوطني</w:t>
      </w:r>
      <w:bookmarkEnd w:id="81"/>
    </w:p>
    <w:p w14:paraId="220BB077"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يُعد رأس المال البشري أحد أهم أصول التنمية الحديثة، وقد أكدت رؤية السعودية 2030 (2023) أن الاستثمار في الإنسان السعودي هو أساس بناء اقتصاد معرفي متنوع ومستدام. وفي هذا السياق، يشكّل التوطين الصحي نموذجًا تطبيقيًا لاستثمار الدولة في الإنسان، إذ يرتكز على تأهيل الكفاءات المحلية من خلال برامج تدريبية ومهنية متخصصة.</w:t>
      </w:r>
    </w:p>
    <w:p w14:paraId="357D8692"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وتشير بيانات الهيئة السعودية للتخصصات الصحية (2021) إلى أن أكثر من 120 ألف ممارس صحي وطني التحقوا ببرامج التطوير المهني منذ عام 2018، ضمن مبادرات “برنامج الكفاءات السعودية” الذي يهدف إلى رفع مستوى المهارات التخصصية والإدارية للكوادر الوطنية.</w:t>
      </w:r>
    </w:p>
    <w:p w14:paraId="2BA05181"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 xml:space="preserve">هذا الاستثمار في الإنسان الوطني انعكس على زيادة إنتاجية العمل. فقد أظهرت الهيئة العامة للإحصاء (2024) أن معدل الإنتاجية للفرد الوطني في القطاع الصحي ارتفع بنسبة 18% خلال الفترة 2020–2023، ما يعني أن كل موظف وطني أصبح يقدم </w:t>
      </w:r>
      <w:r w:rsidRPr="00603F6C">
        <w:rPr>
          <w:rFonts w:ascii="Sakkal Majalla" w:hAnsi="Sakkal Majalla" w:cs="Sakkal Majalla"/>
          <w:kern w:val="0"/>
          <w:rtl/>
          <w14:ligatures w14:val="none"/>
        </w:rPr>
        <w:lastRenderedPageBreak/>
        <w:t>خدمة ذات جودة أعلى مقارنة بالمعدل السابق. وتُعزى هذه الزيادة إلى الجمع بين التدريب المستمر والدافع الوطني للمساهمة في تحقيق الأهداف التنموية.</w:t>
      </w:r>
    </w:p>
    <w:p w14:paraId="406379C3"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82" w:name="_Toc214212927"/>
      <w:r w:rsidRPr="00603F6C">
        <w:rPr>
          <w:rFonts w:ascii="Sakkal Majalla" w:eastAsia="Times New Roman" w:hAnsi="Sakkal Majalla" w:cs="Sakkal Majalla"/>
          <w:b/>
          <w:bCs/>
          <w:kern w:val="0"/>
          <w:sz w:val="26"/>
          <w:szCs w:val="26"/>
          <w:rtl/>
          <w14:ligatures w14:val="none"/>
        </w:rPr>
        <w:t>ثالثًا: الأثر الاقتصادي للتوطين على سوق العمل الصحي</w:t>
      </w:r>
      <w:bookmarkEnd w:id="82"/>
    </w:p>
    <w:p w14:paraId="4342F4A6"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يسهم التوطين في خلق بيئة اقتصادية مستقرة قائمة على التوازن بين العرض والطلب في سوق العمل. فمع توسع التخصصات الصحية في الجامعات المحلية، أصبحت المملكة قادرة على تغذية سوق العمل بخريجين وطنيين مؤهلين، مما يقلل الحاجة إلى العمالة المستوردة.</w:t>
      </w:r>
    </w:p>
    <w:p w14:paraId="7AB050BA"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ووفقًا لتقرير وزارة الموارد البشرية (2021)، تم إحلال أكثر من 38 ألف وظيفة صحية بممارسين وطنيين خلال ثلاث سنوات، وهو ما قلل من الاعتماد الخارجي بنسبة 28%. هذا الإحلال لم يكن فقط رقميًا، بل نوعيًا، حيث رُكّز على التخصصات الحساسة مثل التمريض والطوارئ والتخدير.</w:t>
      </w:r>
    </w:p>
    <w:p w14:paraId="5915FA43"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كما أن برامج التوطين ساهمت في زيادة مشاركة المرأة السعودية في القوى العاملة الصحية، إذ ارتفعت نسبة الطبيبات والممرضات السعوديات إلى أكثر من 42% من إجمالي الكوادر الوطنية في القطاع بحلول عام 2023 (الهيئة العامة للإحصاء، 2024). هذا التطور يعزز التوازن الاجتماعي ويرفع كفاءة رأس المال البشري الوطني.</w:t>
      </w:r>
    </w:p>
    <w:p w14:paraId="3B2EBE92"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83" w:name="_Toc214212928"/>
      <w:r w:rsidRPr="00603F6C">
        <w:rPr>
          <w:rFonts w:ascii="Sakkal Majalla" w:eastAsia="Times New Roman" w:hAnsi="Sakkal Majalla" w:cs="Sakkal Majalla"/>
          <w:b/>
          <w:bCs/>
          <w:kern w:val="0"/>
          <w:sz w:val="26"/>
          <w:szCs w:val="26"/>
          <w:rtl/>
          <w14:ligatures w14:val="none"/>
        </w:rPr>
        <w:t>رابعًا: التوطين كرافعة للاقتصاد المعرفي في القطاع الصحي</w:t>
      </w:r>
      <w:bookmarkEnd w:id="83"/>
    </w:p>
    <w:p w14:paraId="0B51C5E7"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يمثل التوطين الصحي خطوة أساسية في بناء اقتصاد المعرفة في المملكة، حيث يتيح للكوادر الوطنية المشاركة في البحث والتطوير والابتكار في مجالات الطب والصيدلة والتقنية الحيوية.</w:t>
      </w:r>
    </w:p>
    <w:p w14:paraId="5B21E0BE"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وقد أطلقت وزارة التعليم (2021) مبادرات للتكامل بين الجامعات والمستشفيات الجامعية تهدف إلى تحويل الكوادر الصحية الوطنية إلى منتجي معرفة لا مجرد مستخدمين لها. وتعد هذه الخطوة تحولًا نوعيًا يربط بين التوطين والتنمية العلمية.</w:t>
      </w:r>
    </w:p>
    <w:p w14:paraId="3DB7D135"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كما بينت وزارة الاقتصاد والتخطيط (2021) أن رفع نسبة الباحثين السعوديين في المجالات الطبية بنسبة 45% خلال السنوات الأخيرة يعزز القدرة الوطنية على الاكتفاء البحثي، ويجعل من التوطين محركًا أساسيًا للتقدم العلمي والتقني. وبهذا المعنى، يُعد التوطين الصحي أحد ركائز “رؤية 2030” في الانتقال من اقتصاد يعتمد على الموارد إلى اقتصاد قائم على المعرفة والابتكار.</w:t>
      </w:r>
    </w:p>
    <w:p w14:paraId="4FE1C594" w14:textId="77777777" w:rsidR="00603F6C" w:rsidRPr="00603F6C" w:rsidRDefault="00603F6C" w:rsidP="00603F6C">
      <w:pPr>
        <w:spacing w:before="100" w:beforeAutospacing="1" w:after="100" w:afterAutospacing="1" w:line="240" w:lineRule="auto"/>
        <w:outlineLvl w:val="2"/>
        <w:rPr>
          <w:rFonts w:ascii="Sakkal Majalla" w:eastAsia="Times New Roman" w:hAnsi="Sakkal Majalla" w:cs="Sakkal Majalla"/>
          <w:b/>
          <w:bCs/>
          <w:kern w:val="0"/>
          <w:sz w:val="26"/>
          <w:szCs w:val="26"/>
          <w14:ligatures w14:val="none"/>
        </w:rPr>
      </w:pPr>
      <w:bookmarkStart w:id="84" w:name="_Toc214212929"/>
      <w:r w:rsidRPr="00603F6C">
        <w:rPr>
          <w:rFonts w:ascii="Sakkal Majalla" w:eastAsia="Times New Roman" w:hAnsi="Sakkal Majalla" w:cs="Sakkal Majalla"/>
          <w:b/>
          <w:bCs/>
          <w:kern w:val="0"/>
          <w:sz w:val="26"/>
          <w:szCs w:val="26"/>
          <w:rtl/>
          <w14:ligatures w14:val="none"/>
        </w:rPr>
        <w:t>خامسًا: التوطين والتنمية الإقليمية المتوازنة</w:t>
      </w:r>
      <w:bookmarkEnd w:id="84"/>
    </w:p>
    <w:p w14:paraId="2365AB1D"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يسهم التوطين الصحي في دعم التنمية المتوازنة بين المناطق، من خلال توزيع الكوادر الوطنية المؤهلة في مختلف المناطق الإدارية. فقد أوضحت وزارة الصحة (2021) أن مبادرة “التوظيف الصحي الإقليمي” ساهمت في تقليص الفجوة في توزيع الخدمات الصحية بين المناطق بنسبة 36%.</w:t>
      </w:r>
    </w:p>
    <w:p w14:paraId="0E62440A"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هذا التوزيع المتوازن يعزز التنمية المحلية، ويرفع من مستوى الخدمات في المناطق الطرفية، مما يحقق العدالة الاجتماعية والمكانية، ويعزز التماسك الوطني كأحد أهداف الأمن والتنمية معًا.</w:t>
      </w:r>
    </w:p>
    <w:p w14:paraId="6AD8F891"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إن الأبعاد الاقتصادية والتنموية للتوطين الصحي تتجاوز مجرد خفض التكلفة التشغيلية، لتصل إلى بناء اقتصاد وطني قائم على الكفاءة والإنتاجية والاستدامة. فقد أثبتت التجربة السعودية أن توطين الكوادر الصحية يمثل استثمارًا طويل الأمد في الإنسان والاقتصاد معًا، حيث يسهم في تحقيق الكفاءة المالية، وتنمية رأس المال البشري، وتعزيز الاقتصاد المعرفي، وكلها أهداف مركزية في رؤية المملكة 2030.</w:t>
      </w:r>
    </w:p>
    <w:p w14:paraId="20C4B0B7" w14:textId="77777777" w:rsidR="00603F6C" w:rsidRPr="00603F6C" w:rsidRDefault="00603F6C" w:rsidP="00603F6C">
      <w:pPr>
        <w:bidi w:val="0"/>
        <w:spacing w:before="100" w:beforeAutospacing="1" w:after="100" w:afterAutospacing="1" w:line="240" w:lineRule="auto"/>
        <w:jc w:val="right"/>
        <w:outlineLvl w:val="1"/>
        <w:rPr>
          <w:rFonts w:ascii="Sakkal Majalla" w:hAnsi="Sakkal Majalla" w:cs="Sakkal Majalla"/>
          <w:b/>
          <w:bCs/>
          <w:kern w:val="0"/>
          <w:sz w:val="28"/>
          <w:szCs w:val="28"/>
          <w:u w:val="single"/>
          <w14:ligatures w14:val="none"/>
        </w:rPr>
      </w:pPr>
      <w:bookmarkStart w:id="85" w:name="_Toc214212930"/>
      <w:r w:rsidRPr="00603F6C">
        <w:rPr>
          <w:rFonts w:ascii="Sakkal Majalla" w:eastAsia="Times New Roman" w:hAnsi="Sakkal Majalla" w:cs="Sakkal Majalla"/>
          <w:b/>
          <w:bCs/>
          <w:kern w:val="0"/>
          <w:sz w:val="28"/>
          <w:szCs w:val="28"/>
          <w:u w:val="single"/>
          <w:rtl/>
          <w14:ligatures w14:val="none"/>
        </w:rPr>
        <w:lastRenderedPageBreak/>
        <w:t>التوطين كضمانة للسيادة الصحية وإدارة الأزمات</w:t>
      </w:r>
      <w:bookmarkEnd w:id="85"/>
    </w:p>
    <w:p w14:paraId="34BC0E75"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يمثل التوطين الصحي في المملكة ركيزة أساسية لتحقيق السيادة الصحية الوطنية، التي تُعد بدورها أحد أركان الأمن الوطني في القرن الحادي والعشرين.</w:t>
      </w:r>
    </w:p>
    <w:p w14:paraId="2D837E44"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وتشير وزارة الصحة (2021) إلى أن التجارب العالمية أثبتت أن الدول التي تمتلك كوادر وطنية مؤهلة هي الأكثر قدرة على إدارة الأزمات الصحية بفاعلية، والأسرع في التعافي بعد الأزمات.</w:t>
      </w:r>
    </w:p>
    <w:p w14:paraId="288FAF6D"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ففي أوقات الكوارث الصحية، لا تكفي الإمكانات المادية وحدها، بل تتطلب إدارة بشرية وطنية متمرسة قادرة على اتخاذ القرار وتنفيذه بسرعة وكفاءة.</w:t>
      </w:r>
    </w:p>
    <w:p w14:paraId="2B49AF55"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86" w:name="_Toc214212931"/>
      <w:r w:rsidRPr="00603F6C">
        <w:rPr>
          <w:rFonts w:ascii="Sakkal Majalla" w:eastAsia="Times New Roman" w:hAnsi="Sakkal Majalla" w:cs="Sakkal Majalla"/>
          <w:b/>
          <w:bCs/>
          <w:kern w:val="0"/>
          <w:sz w:val="26"/>
          <w:szCs w:val="26"/>
          <w:rtl/>
          <w14:ligatures w14:val="none"/>
        </w:rPr>
        <w:t>أولًا: مفهوم السيادة الصحية وأهميتها في الأمن الوطني</w:t>
      </w:r>
      <w:bookmarkEnd w:id="86"/>
    </w:p>
    <w:p w14:paraId="44D81556"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السيادة الصحية تُعرّف بأنها قدرة الدولة على إدارة منظومتها الصحية وتقديم الخدمات الأساسية للمواطنين دون اعتماد خارجي في الموارد البشرية أو التقنية (وزارة الاقتصاد والتخطيط، 2021).</w:t>
      </w:r>
    </w:p>
    <w:p w14:paraId="30B76CB2"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وفي هذا السياق، يمثل التوطين الصحي “الضمانة البشرية” لهذه السيادة، إذ إن الكادر الوطني المؤهل يضمن استمرارية تقديم الخدمات الحيوية حتى في ظل إغلاق الحدود أو الأزمات الدولية.</w:t>
      </w:r>
    </w:p>
    <w:p w14:paraId="07D1A416"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وقد أشار تقرير رؤية السعودية 2030 (2023) إلى أن “بناء كوادر وطنية مستقلة في القطاعات الحيوية يضمن للمملكة الاستقلال والسيادة في قراراتها الاستراتيجية”.</w:t>
      </w:r>
    </w:p>
    <w:p w14:paraId="1090950B"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87" w:name="_Toc214212932"/>
      <w:r w:rsidRPr="00603F6C">
        <w:rPr>
          <w:rFonts w:ascii="Sakkal Majalla" w:eastAsia="Times New Roman" w:hAnsi="Sakkal Majalla" w:cs="Sakkal Majalla"/>
          <w:b/>
          <w:bCs/>
          <w:kern w:val="0"/>
          <w:sz w:val="26"/>
          <w:szCs w:val="26"/>
          <w:rtl/>
          <w14:ligatures w14:val="none"/>
        </w:rPr>
        <w:t>ثانيًا: الدروس المستفادة من جائحة كوفيد-19</w:t>
      </w:r>
      <w:bookmarkEnd w:id="87"/>
    </w:p>
    <w:p w14:paraId="15B2918D"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تُعد جائحة كوفيد-19 تجربة واقعية جسّدت قيمة التوطين الصحي كأداة سيادية.</w:t>
      </w:r>
    </w:p>
    <w:p w14:paraId="7E869DCB"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فبينما عانت العديد من الدول من نقص حاد في الكوادر الطبية الأجنبية، تمكنت المملكة من الحفاظ على استقرار نظامها الصحي بفضل الاعتماد المتزايد على الكفاءات الوطنية.</w:t>
      </w:r>
    </w:p>
    <w:p w14:paraId="0D607135"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وتشير الهيئة السعودية للتخصصات الصحية (2021) إلى أن الكوادر السعودية شكّلت 71% من إجمالي العاملين في المستشفيات الحكومية خلال الجائحة، وتولت مهام القيادة الميدانية والإشراف على عمليات الفرز والعلاج والرعاية الحرجة.</w:t>
      </w:r>
    </w:p>
    <w:p w14:paraId="47E3A67E"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كما أظهرت تقارير وزارة الصحة (2021) أن الكوادر الوطنية كانت العمود الفقري في تشغيل مراكز الفحص والتطعيم الميدانية، ما جعل المملكة من أوائل الدول التي حققت السيطرة على معدلات العدوى واستقرار النظام الصحي. هذه النتائج تؤكد أن التوطين الصحي لم يكن خيارًا إداريًا، بل استراتيجية أمنية متقدمة لحماية المجتمع.</w:t>
      </w:r>
    </w:p>
    <w:p w14:paraId="0376F802"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88" w:name="_Toc214212933"/>
      <w:r w:rsidRPr="00603F6C">
        <w:rPr>
          <w:rFonts w:ascii="Sakkal Majalla" w:eastAsia="Times New Roman" w:hAnsi="Sakkal Majalla" w:cs="Sakkal Majalla"/>
          <w:b/>
          <w:bCs/>
          <w:kern w:val="0"/>
          <w:sz w:val="26"/>
          <w:szCs w:val="26"/>
          <w:rtl/>
          <w14:ligatures w14:val="none"/>
        </w:rPr>
        <w:t>ثالثًا: إدارة الأزمات الصحية في ضوء القدرات الوطنية</w:t>
      </w:r>
      <w:bookmarkEnd w:id="88"/>
    </w:p>
    <w:p w14:paraId="06151C1A"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يمكّن التوطين الصحي الدولة من بناء نظام إدارة أزمات ذاتي ومستدام يعتمد على المعرفة المحلية والجاهزية البشرية.</w:t>
      </w:r>
    </w:p>
    <w:p w14:paraId="72E3CDD6"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فمن خلال برامج التدريب المتقدمة التي أطلقتها وزارة الموارد البشرية والتنمية الاجتماعية (2021) بالتعاون مع وزارة الصحة (2021)، تم إعداد كوادر وطنية مؤهلة للتعامل مع الحالات الطارئة، وتشغيل وحدات الطوارئ والعناية المركزة، والاستجابة الميدانية السريعة.</w:t>
      </w:r>
    </w:p>
    <w:p w14:paraId="285C7405"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lastRenderedPageBreak/>
        <w:t>هذا التكامل بين التدريب الوطني والسياسات المؤسسية مكّن المملكة من التعامل بكفاءة مع الجائحة، وتحويل الأزمة إلى تجربة نجاح مؤسسي ووطني.</w:t>
      </w:r>
    </w:p>
    <w:p w14:paraId="7DDB9F3B"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كما أكدت الهيئة العامة للإحصاء (2024) أن معدل الجاهزية التشغيلية في المستشفيات السعودية خلال الأزمات ارتفع بنسبة 29% بفضل ارتفاع نسب التوطين، ما يعكس العلاقة الوثيقة بين التوطين والقدرة الوطنية على إدارة المخاطر.</w:t>
      </w:r>
    </w:p>
    <w:p w14:paraId="6D789C35"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89" w:name="_Toc214212934"/>
      <w:r w:rsidRPr="00603F6C">
        <w:rPr>
          <w:rFonts w:ascii="Sakkal Majalla" w:eastAsia="Times New Roman" w:hAnsi="Sakkal Majalla" w:cs="Sakkal Majalla"/>
          <w:b/>
          <w:bCs/>
          <w:kern w:val="0"/>
          <w:sz w:val="26"/>
          <w:szCs w:val="26"/>
          <w:rtl/>
          <w14:ligatures w14:val="none"/>
        </w:rPr>
        <w:t>رابعًا: التوطين الصحي كجزء من الأمن الاستراتيجي المستدام</w:t>
      </w:r>
      <w:bookmarkEnd w:id="89"/>
    </w:p>
    <w:p w14:paraId="470D8E2C"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يُعد التوطين أحد عناصر الأمن الاستراتيجي الذي يضمن استدامة مؤسسات الدولة. فالتوطين الصحي لا يقتصر على سد احتياج لحظي، بل يبني منظومة قادرة على مواجهة المستقبل بثقة.</w:t>
      </w:r>
    </w:p>
    <w:p w14:paraId="6E13FDA1"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وقد أوضحت وزارة الاقتصاد والتخطيط (2021) أن التوطين في القطاعات الحيوية، وعلى رأسها الصحة، يخلق قدرة وطنية متراكمة في إدارة الموارد البشرية الحيوية، ويحول الاعتماد من الخارج إلى الداخل.</w:t>
      </w:r>
    </w:p>
    <w:p w14:paraId="0FF60CEA"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كما أن التوطين يتيح تطوير منظومات محلية للتعليم والتدريب الصحي، مما يُغني الدولة عن الاعتماد على برامج أجنبية مكلفة، ويضمن استدامة التأهيل المهني الداخلي.</w:t>
      </w:r>
    </w:p>
    <w:p w14:paraId="6D5A3769"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90" w:name="_Toc214212935"/>
      <w:r w:rsidRPr="00603F6C">
        <w:rPr>
          <w:rFonts w:ascii="Sakkal Majalla" w:eastAsia="Times New Roman" w:hAnsi="Sakkal Majalla" w:cs="Sakkal Majalla"/>
          <w:b/>
          <w:bCs/>
          <w:kern w:val="0"/>
          <w:sz w:val="26"/>
          <w:szCs w:val="26"/>
          <w:rtl/>
          <w14:ligatures w14:val="none"/>
        </w:rPr>
        <w:t>خامسًا: أثر التوطين في تعزيز المرونة المؤسسية</w:t>
      </w:r>
      <w:bookmarkEnd w:id="90"/>
    </w:p>
    <w:p w14:paraId="390C9F25"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المرونة المؤسسية تعني قدرة المؤسسات على التكيف السريع مع الأزمات دون فقدان كفاءتها التشغيلية.</w:t>
      </w:r>
    </w:p>
    <w:p w14:paraId="34422CC7"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وقد أظهرت التجربة السعودية أن ارتفاع نسب التوطين أدى إلى رفع مستوى المرونة المؤسسية في القطاع الصحي بنسبة 32% خلال خمس سنوات (وزارة الصحة، 2021).</w:t>
      </w:r>
    </w:p>
    <w:p w14:paraId="69BC9C11"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إذ مكّن وجود كوادر وطنية من اتخاذ قرارات فورية دون الحاجة إلى انتظار توجيهات خارجية أو إجراءات معقدة، ما ساعد في استدامة الخدمات خلال الأزمات.</w:t>
      </w:r>
    </w:p>
    <w:p w14:paraId="03BC26D9"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تؤكد التجربة السعودية أن التوطين الصحي هو الركيزة الرئيسة لتحقيق السيادة الصحية الوطنية، إذ يضمن للمملكة الاكتفاء الذاتي والجاهزية الدائمة لمواجهة الأزمات.</w:t>
      </w:r>
    </w:p>
    <w:p w14:paraId="642B112C"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فمن خلال بناء الكادر الوطني المؤهل، أصبحت المملكة أكثر قدرة على إدارة مواردها الصحية باحترافية واستقلالية، مما عزز مكانتها بين الدول الرائدة في الأمن الصحي العالمي.</w:t>
      </w:r>
    </w:p>
    <w:p w14:paraId="633EA39E"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وبذلك، يُعد التوطين الصحي ليس فقط سياسة للتوظيف، بل درعًا واقعيًا لحماية الوطن وضمان استدامة مؤسساته الحيوية</w:t>
      </w:r>
    </w:p>
    <w:p w14:paraId="7517CE0B"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p>
    <w:p w14:paraId="2D48808C" w14:textId="77777777" w:rsidR="00603F6C" w:rsidRPr="00603F6C" w:rsidRDefault="00603F6C" w:rsidP="00603F6C">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u w:val="single"/>
          <w14:ligatures w14:val="none"/>
        </w:rPr>
      </w:pPr>
      <w:bookmarkStart w:id="91" w:name="_Toc214212936"/>
      <w:r w:rsidRPr="00603F6C">
        <w:rPr>
          <w:rFonts w:ascii="Sakkal Majalla" w:eastAsia="Times New Roman" w:hAnsi="Sakkal Majalla" w:cs="Sakkal Majalla"/>
          <w:b/>
          <w:bCs/>
          <w:kern w:val="0"/>
          <w:sz w:val="28"/>
          <w:szCs w:val="28"/>
          <w:u w:val="single"/>
          <w:rtl/>
          <w14:ligatures w14:val="none"/>
        </w:rPr>
        <w:t xml:space="preserve"> التكامل بين التوطين والحوكمة الصحية</w:t>
      </w:r>
      <w:bookmarkEnd w:id="91"/>
    </w:p>
    <w:p w14:paraId="51783AC6"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يُعدّ التكامل بين التوطين والحوكمة الصحية أحد أهم محاور الإصلاح الإداري في النظام الصحي السعودي الحديث، إذ يسهم هذا التكامل في بناء منظومة أكثر كفاءة وشفافية واستدامة. فالتحول نحو كوادر وطنية مدرّبة ومؤهلة لا يمكن أن يحقق أثرًا مستدامًا دون بنية حوكمة قوية تنظم الأداء وتضمن المساءلة وتحفّز الجودة.</w:t>
      </w:r>
    </w:p>
    <w:p w14:paraId="0C739573"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lastRenderedPageBreak/>
        <w:t>وتشير وزارة الصحة (2021) إلى أن برامج الحوكمة الصحية والتوطين ليست مشاريع منفصلة، بل مكونات مترابطة ضمن رؤية 2030 تهدف إلى “رفع كفاءة النظام الصحي وتمكين الكفاءات الوطنية في مواقعه الحيوية”.</w:t>
      </w:r>
    </w:p>
    <w:p w14:paraId="4939163F"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92" w:name="_Toc214212937"/>
      <w:r w:rsidRPr="00603F6C">
        <w:rPr>
          <w:rFonts w:ascii="Sakkal Majalla" w:eastAsia="Times New Roman" w:hAnsi="Sakkal Majalla" w:cs="Sakkal Majalla"/>
          <w:b/>
          <w:bCs/>
          <w:kern w:val="0"/>
          <w:sz w:val="26"/>
          <w:szCs w:val="26"/>
          <w:rtl/>
          <w14:ligatures w14:val="none"/>
        </w:rPr>
        <w:t>أولًا: مفهوم الحوكمة الصحية وأبعادها التنظيمية</w:t>
      </w:r>
      <w:bookmarkEnd w:id="92"/>
    </w:p>
    <w:p w14:paraId="2E1754F1"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تعرف وزارة الاقتصاد والتخطيط (2021) الحوكمة الصحية بأنها “مجموعة من السياسات والضوابط التي تنظم العلاقة بين صانع القرار والعاملين والمستفيدين لضمان الشفافية والمساءلة وتحقيق العدالة في تقديم الخدمة الصحية”.</w:t>
      </w:r>
    </w:p>
    <w:p w14:paraId="50226429"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ويعتمد نجاح الحوكمة على وجود كوادر وطنية تمتلك مهارات الإدارة والمساءلة، إذ يصعب تطبيق معايير الحوكمة الحديثة على منظومة يغلب عليها الطابع المؤقت أو العمالة الأجنبية غير المستقرة.</w:t>
      </w:r>
    </w:p>
    <w:p w14:paraId="52696517"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فالحوكمة ليست مجرد أنظمة رقابية، بل ثقافة مؤسسية تقوم على الالتزام والولاء والانتماء الوطني، وهي صفات تتجسد بوضوح في العامل السعودي حين يكون مؤهلًا ومدعومًا بسياسات وطنية عادلة. ولهذا تؤكد وزارة الموارد البشرية (2021) أن رفع نسب التوطين في الوظائف الإدارية والصحية العليا يعد شرطًا مسبقًا لتطبيق مبادئ الحوكمة بفعالية، لأن الكوادر الوطنية أكثر فهمًا للسياق المؤسسي والثقافي المحلي.</w:t>
      </w:r>
    </w:p>
    <w:p w14:paraId="30580849"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93" w:name="_Toc214212938"/>
      <w:r w:rsidRPr="00603F6C">
        <w:rPr>
          <w:rFonts w:ascii="Sakkal Majalla" w:eastAsia="Times New Roman" w:hAnsi="Sakkal Majalla" w:cs="Sakkal Majalla"/>
          <w:b/>
          <w:bCs/>
          <w:kern w:val="0"/>
          <w:sz w:val="26"/>
          <w:szCs w:val="26"/>
          <w:rtl/>
          <w14:ligatures w14:val="none"/>
        </w:rPr>
        <w:t>ثانيًا: العلاقة التكاملية بين التوطين والحوكمة</w:t>
      </w:r>
      <w:bookmarkEnd w:id="93"/>
    </w:p>
    <w:p w14:paraId="3C42A5B2"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تتمثل العلاقة التكاملية بين التوطين والحوكمة في أن كلًّا منهما يدعم الآخر:</w:t>
      </w:r>
    </w:p>
    <w:p w14:paraId="63DB7AF3"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فالتوطين يمدّ منظومة الحوكمة بالكفاءات الوطنية التي تضمن التطبيق الفعلي للأنظمة،</w:t>
      </w:r>
    </w:p>
    <w:p w14:paraId="76089B95"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بينما تتيح الحوكمة بيئة تنظيمية عادلة ومحفّزة ترفع من أداء الكادر الوطني وتزيد استقراره.</w:t>
      </w:r>
    </w:p>
    <w:p w14:paraId="4345A521"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وقد أظهرت الهيئة العامة للإحصاء (2024) أن المستشفيات ذات نسب التوطين الأعلى هي نفسها التي تحقق مستويات أعلى في مؤشرات الحوكمة المؤسسية بنسبة تجاوزت 30%، ما يثبت أن التوطين يعزز ثقافة المساءلة المؤسسية.</w:t>
      </w:r>
    </w:p>
    <w:p w14:paraId="61DCC285"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كما أن تطبيق معايير الحوكمة مثل الشفافية والإفصاح والرقابة الداخلية أسهم في خلق بيئة مهنية عادلة تشجع الكوادر الوطنية على الاستمرار والعطاء.</w:t>
      </w:r>
    </w:p>
    <w:p w14:paraId="6D1F58DB"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ففي المستشفيات التي تبنّت أنظمة حوكمة صارمة، انخفض معدل تسرب العاملين الوطنيين بنسبة 27% خلال ثلاث سنوات (وزارة الصحة، 2021)، وهو ما يعكس تأثير الحوكمة في استدامة التوطين.</w:t>
      </w:r>
    </w:p>
    <w:p w14:paraId="66A0C304"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94" w:name="_Toc214212939"/>
      <w:r w:rsidRPr="00603F6C">
        <w:rPr>
          <w:rFonts w:ascii="Sakkal Majalla" w:eastAsia="Times New Roman" w:hAnsi="Sakkal Majalla" w:cs="Sakkal Majalla"/>
          <w:b/>
          <w:bCs/>
          <w:kern w:val="0"/>
          <w:sz w:val="26"/>
          <w:szCs w:val="26"/>
          <w:rtl/>
          <w14:ligatures w14:val="none"/>
        </w:rPr>
        <w:t>ثالثًا: التوطين كأداة لتعزيز المساءلة المؤسسية</w:t>
      </w:r>
      <w:bookmarkEnd w:id="94"/>
    </w:p>
    <w:p w14:paraId="40665B3A"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تشير وزارة الاقتصاد والتخطيط (2021) إلى أن أحد التحديات الكبرى التي كانت تواجه القطاع الصحي سابقًا هو ضعف المساءلة الفردية بسبب الاعتماد على عقود مؤقتة مع كوادر أجنبية لا تخضع لنفس معايير التقييم الوطنية.</w:t>
      </w:r>
    </w:p>
    <w:p w14:paraId="31C693B1"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لكن مع توسع التوطين، أصبح من الممكن تطبيق أنظمة التقييم والمساءلة على أساس مهني موحّد يخضع له جميع العاملين.</w:t>
      </w:r>
    </w:p>
    <w:p w14:paraId="2A1CBC0D"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فالعامل الوطني لا يمثل فقط عنصرًا إنتاجيًا، بل شريكًا في المسؤولية المؤسسية، ما يعزز من فاعلية الرقابة الداخلية وجودة القرارات الإدارية.</w:t>
      </w:r>
    </w:p>
    <w:p w14:paraId="2B6714E4"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كما أن الكوادر الوطنية أكثر استقرارًا في مواقعها الإدارية، مما يسمح بتراكم الخبرة المؤسسية واستدامة آليات الحوكمة.</w:t>
      </w:r>
    </w:p>
    <w:p w14:paraId="2C994453"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lastRenderedPageBreak/>
        <w:t>ووفقًا لتقرير وزارة الموارد البشرية (2021)، فإن 63% من الكوادر الوطنية في القطاع الصحي ظلوا في وظائفهم لأكثر من خمس سنوات، وهو مؤشر حاسم على ترسخ ثقافة الانضباط والمساءلة الإدارية.</w:t>
      </w:r>
    </w:p>
    <w:p w14:paraId="0EDEE14C"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95" w:name="_Toc214212940"/>
      <w:r w:rsidRPr="00603F6C">
        <w:rPr>
          <w:rFonts w:ascii="Sakkal Majalla" w:eastAsia="Times New Roman" w:hAnsi="Sakkal Majalla" w:cs="Sakkal Majalla"/>
          <w:b/>
          <w:bCs/>
          <w:kern w:val="0"/>
          <w:sz w:val="26"/>
          <w:szCs w:val="26"/>
          <w:rtl/>
          <w14:ligatures w14:val="none"/>
        </w:rPr>
        <w:t>رابعًا: دور الحوكمة في دعم استدامة التوطين</w:t>
      </w:r>
      <w:bookmarkEnd w:id="95"/>
    </w:p>
    <w:p w14:paraId="1775DC7B"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إن نجاح أي سياسة توطين لا يمكن أن يتحقق بمعزل عن الحوكمة، لأن غياب الرقابة والعدالة المؤسسية يؤدي إلى التوظيف الشكلي لا النوعي.</w:t>
      </w:r>
    </w:p>
    <w:p w14:paraId="1F98132F"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ولهذا، أنشأت وزارة الصحة (2021) إدارات خاصة للحوكمة ترتبط مباشرة بوكيل الوزارة، تتابع أداء المؤسسات الصحية وتضمن توافقها مع معايير التوطين والشفافية.</w:t>
      </w:r>
    </w:p>
    <w:p w14:paraId="2824A3E7"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كما أن نظام المؤشرات الوطنية الذي أطلقته الهيئة العامة للإحصاء (2024) ساعد على ربط الحوافز المؤسسية بمستوى الالتزام بالتوطين وجودة الأداء.</w:t>
      </w:r>
    </w:p>
    <w:p w14:paraId="20B0A6BE"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ويشير تقرير رؤية 2030 (2023) إلى أن التكامل بين الحوكمة والتوطين “ينقل القطاع الصحي من التوظيف إلى التمكين”، أي من مجرد ملء الشواغر إلى بناء قيادات وطنية قادرة على اتخاذ القرار وإدارة المؤسسة بكفاءة ومسؤولية.</w:t>
      </w:r>
    </w:p>
    <w:p w14:paraId="33F987FD"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96" w:name="_Toc214212941"/>
      <w:r w:rsidRPr="00603F6C">
        <w:rPr>
          <w:rFonts w:ascii="Sakkal Majalla" w:eastAsia="Times New Roman" w:hAnsi="Sakkal Majalla" w:cs="Sakkal Majalla"/>
          <w:b/>
          <w:bCs/>
          <w:kern w:val="0"/>
          <w:sz w:val="26"/>
          <w:szCs w:val="26"/>
          <w:rtl/>
          <w14:ligatures w14:val="none"/>
        </w:rPr>
        <w:t>خامسًا: التكامل المؤسسي في تحقيق الاستدامة الصحية</w:t>
      </w:r>
      <w:bookmarkEnd w:id="96"/>
    </w:p>
    <w:p w14:paraId="06E2BAE6"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يُعدّ التكامل بين التوطين والحوكمة نموذجًا متقدمًا للحوكمة التمكينية (</w:t>
      </w:r>
      <w:r w:rsidRPr="00603F6C">
        <w:rPr>
          <w:rFonts w:ascii="Sakkal Majalla" w:hAnsi="Sakkal Majalla" w:cs="Sakkal Majalla"/>
          <w:kern w:val="0"/>
          <w14:ligatures w14:val="none"/>
        </w:rPr>
        <w:t>Empowerment Governance</w:t>
      </w:r>
      <w:r w:rsidRPr="00603F6C">
        <w:rPr>
          <w:rFonts w:ascii="Sakkal Majalla" w:hAnsi="Sakkal Majalla" w:cs="Sakkal Majalla"/>
          <w:kern w:val="0"/>
          <w:rtl/>
          <w14:ligatures w14:val="none"/>
        </w:rPr>
        <w:t>)، التي تهدف إلى تمكين الكفاءات الوطنية مع ضمان المساءلة المستمرة.</w:t>
      </w:r>
    </w:p>
    <w:p w14:paraId="4328AFB1"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فكلما زادت نسب التوطين المدروس، ارتفع مستوى الشفافية والرقابة، وتحققت العدالة التنظيمية التي تمثل أساس التنمية الإدارية المستدامة.</w:t>
      </w:r>
    </w:p>
    <w:p w14:paraId="0AE9049A"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وقد أوضحت وزارة الاقتصاد والتخطيط (2021) أن مؤسسات القطاع الصحي التي دمجت سياسات الحوكمة مع برامج التوطين شهدت تحسنًا في جودة الأداء بنسبة 35% وانخفاضًا في تكاليف التشغيل بنسبة 18% خلال ثلاث سنوات فقط.</w:t>
      </w:r>
    </w:p>
    <w:p w14:paraId="28623F9E"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تبيّن من خلال التحليل أن الحوكمة والتوطين يشكلان منظومة متكاملة متبادلة التأثير، حيث يدعم كل منهما الآخر في بناء قطاع صحي وطني فعّال.</w:t>
      </w:r>
    </w:p>
    <w:p w14:paraId="5C2F68AA"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فالتوطين يوفّر العنصر البشري القادر على تطبيق الحوكمة، بينما تضمن الحوكمة بيئة عادلة ومحفزة لاستدامة التوطين.</w:t>
      </w:r>
    </w:p>
    <w:p w14:paraId="21CF1A8D"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وبذلك، فإن التكامل بينهما هو الضامن الحقيقي لتحقيق الكفاءة والشفافية في النظام الصحي السعودي.</w:t>
      </w:r>
    </w:p>
    <w:p w14:paraId="213A5011"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p>
    <w:p w14:paraId="551E6288" w14:textId="77777777" w:rsidR="00603F6C" w:rsidRPr="00603F6C" w:rsidRDefault="00603F6C" w:rsidP="00603F6C">
      <w:pPr>
        <w:bidi w:val="0"/>
        <w:spacing w:before="100" w:beforeAutospacing="1" w:after="100" w:afterAutospacing="1" w:line="240" w:lineRule="auto"/>
        <w:jc w:val="right"/>
        <w:outlineLvl w:val="1"/>
        <w:rPr>
          <w:rFonts w:ascii="Sakkal Majalla" w:hAnsi="Sakkal Majalla" w:cs="Sakkal Majalla"/>
          <w:b/>
          <w:bCs/>
          <w:kern w:val="0"/>
          <w:sz w:val="28"/>
          <w:szCs w:val="28"/>
          <w:u w:val="single"/>
          <w14:ligatures w14:val="none"/>
        </w:rPr>
      </w:pPr>
      <w:bookmarkStart w:id="97" w:name="_Toc214212942"/>
      <w:r w:rsidRPr="00603F6C">
        <w:rPr>
          <w:rFonts w:ascii="Sakkal Majalla" w:eastAsia="Times New Roman" w:hAnsi="Sakkal Majalla" w:cs="Sakkal Majalla"/>
          <w:b/>
          <w:bCs/>
          <w:kern w:val="0"/>
          <w:sz w:val="28"/>
          <w:szCs w:val="28"/>
          <w:u w:val="single"/>
          <w:rtl/>
          <w14:ligatures w14:val="none"/>
        </w:rPr>
        <w:t>التوطين الصحي وجودة الخدمات الصحية</w:t>
      </w:r>
      <w:bookmarkEnd w:id="97"/>
    </w:p>
    <w:p w14:paraId="09B6EAC1"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يشكل التوطين الصحي عنصرًا أساسيًا في تحسين جودة الخدمات الصحية ورفع مستوى الكفاءة التشغيلية في القطاع.</w:t>
      </w:r>
    </w:p>
    <w:p w14:paraId="49589E71"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فالجودة الصحية لا تنفصل عن كفاءة العنصر البشري الذي يقدم الخدمة، وقد أثبتت التجربة السعودية أن رفع نسب التوطين يرتبط ارتباطًا مباشرًا بتحسن مؤشرات الجودة ورضا المستفيدين (وزارة الصحة، 2021).</w:t>
      </w:r>
    </w:p>
    <w:p w14:paraId="67C334F5"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98" w:name="_Toc214212943"/>
      <w:r w:rsidRPr="00603F6C">
        <w:rPr>
          <w:rFonts w:ascii="Sakkal Majalla" w:eastAsia="Times New Roman" w:hAnsi="Sakkal Majalla" w:cs="Sakkal Majalla"/>
          <w:b/>
          <w:bCs/>
          <w:kern w:val="0"/>
          <w:sz w:val="26"/>
          <w:szCs w:val="26"/>
          <w:rtl/>
          <w14:ligatures w14:val="none"/>
        </w:rPr>
        <w:lastRenderedPageBreak/>
        <w:t>أولًا: العلاقة بين الكفاءة البشرية وجودة الخدمة</w:t>
      </w:r>
      <w:bookmarkEnd w:id="98"/>
    </w:p>
    <w:p w14:paraId="46D38806"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تؤكد الهيئة السعودية للتخصصات الصحية (2021) أن الكادر الوطني يمتاز بفهم أعمق لاحتياجات المجتمع المحلي وثقافته، مما ينعكس إيجابًا على طريقة تقديم الرعاية وجودة التواصل مع المرضى.</w:t>
      </w:r>
    </w:p>
    <w:p w14:paraId="3C163309"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كما أن العامل الوطني أكثر التزامًا بمعايير الأداء الوطني ومؤشرات الجودة، لارتباط ذلك بمسؤوليته الاجتماعية ووظيفته الدائمة.</w:t>
      </w:r>
    </w:p>
    <w:p w14:paraId="3AB0A67A"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وقد سجلت وزارة الصحة (2021) تحسنًا بنسبة 22% في مؤشرات رضا المرضى في المنشآت ذات نسب توطين مرتفعة مقارنة بتلك التي تعتمد على كوادر أجنبية.</w:t>
      </w:r>
    </w:p>
    <w:p w14:paraId="25EF77BB"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99" w:name="_Toc214212944"/>
      <w:r w:rsidRPr="00603F6C">
        <w:rPr>
          <w:rFonts w:ascii="Sakkal Majalla" w:eastAsia="Times New Roman" w:hAnsi="Sakkal Majalla" w:cs="Sakkal Majalla"/>
          <w:b/>
          <w:bCs/>
          <w:kern w:val="0"/>
          <w:sz w:val="26"/>
          <w:szCs w:val="26"/>
          <w:rtl/>
          <w14:ligatures w14:val="none"/>
        </w:rPr>
        <w:t>ثانيًا: التوطين كعامل لتحسين الاستقرار التشغيلي</w:t>
      </w:r>
      <w:bookmarkEnd w:id="99"/>
    </w:p>
    <w:p w14:paraId="6ED0F980"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يسهم التوطين في استقرار القوى العاملة وتقليل معدلات التسرب المهني، وهو ما ينعكس مباشرة على استمرارية تقديم الخدمة بجودة عالية.</w:t>
      </w:r>
    </w:p>
    <w:p w14:paraId="6200A905"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فالكادر الوطني الذي يعمل بعقد دائم وتحت نظام إداري وطني يطوّر مهاراته بشكل مستمر، في حين أن العامل الأجنبي المؤقت يكون تركيزه على الأجر لا على التطوير المهني.</w:t>
      </w:r>
    </w:p>
    <w:p w14:paraId="4E6118E1"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وقد أوضحت وزارة الموارد البشرية (2021) أن معدل الاستقرار المهني بين العاملين السعوديين في القطاع الصحي تجاوز 70%، مقارنة بـ45% للكوادر الأجنبية، ما ساهم في خفض معدلات الأخطاء المهنية بنسبة 18%.</w:t>
      </w:r>
    </w:p>
    <w:p w14:paraId="7E045770"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100" w:name="_Toc214212945"/>
      <w:r w:rsidRPr="00603F6C">
        <w:rPr>
          <w:rFonts w:ascii="Sakkal Majalla" w:eastAsia="Times New Roman" w:hAnsi="Sakkal Majalla" w:cs="Sakkal Majalla"/>
          <w:b/>
          <w:bCs/>
          <w:kern w:val="0"/>
          <w:sz w:val="26"/>
          <w:szCs w:val="26"/>
          <w:rtl/>
          <w14:ligatures w14:val="none"/>
        </w:rPr>
        <w:t>ثالثًا: التوطين كوسيلة لرفع الاعتماد على معايير الجودة الوطنية</w:t>
      </w:r>
      <w:bookmarkEnd w:id="100"/>
    </w:p>
    <w:p w14:paraId="079B4C84"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ساهم التوطين الصحي في تمكين تطبيق المعايير الوطنية للجودة وسلامة المرضى (</w:t>
      </w:r>
      <w:r w:rsidRPr="00603F6C">
        <w:rPr>
          <w:rFonts w:ascii="Sakkal Majalla" w:hAnsi="Sakkal Majalla" w:cs="Sakkal Majalla"/>
          <w:kern w:val="0"/>
          <w14:ligatures w14:val="none"/>
        </w:rPr>
        <w:t>NCMS</w:t>
      </w:r>
      <w:r w:rsidRPr="00603F6C">
        <w:rPr>
          <w:rFonts w:ascii="Sakkal Majalla" w:hAnsi="Sakkal Majalla" w:cs="Sakkal Majalla"/>
          <w:kern w:val="0"/>
          <w:rtl/>
          <w14:ligatures w14:val="none"/>
        </w:rPr>
        <w:t>) التي تشرف عليها الهيئة السعودية للتخصصات الصحية (2021)، حيث أصبحت الكوادر الوطنية أكثر التزامًا بهذه المعايير نظرًا لارتباطها بترقياتهم وتقييمهم السنوي.</w:t>
      </w:r>
    </w:p>
    <w:p w14:paraId="6BD31BEC"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وقد ساعد هذا التحول في رفع عدد المنشآت المعتمدة وطنيًا بنسبة 41% خلال خمس سنوات، ما يعكس دور التوطين في نشر ثقافة الجودة داخل النظام الصحي.</w:t>
      </w:r>
    </w:p>
    <w:p w14:paraId="1CE320E0"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101" w:name="_Toc214212946"/>
      <w:r w:rsidRPr="00603F6C">
        <w:rPr>
          <w:rFonts w:ascii="Sakkal Majalla" w:eastAsia="Times New Roman" w:hAnsi="Sakkal Majalla" w:cs="Sakkal Majalla"/>
          <w:b/>
          <w:bCs/>
          <w:kern w:val="0"/>
          <w:sz w:val="26"/>
          <w:szCs w:val="26"/>
          <w:rtl/>
          <w14:ligatures w14:val="none"/>
        </w:rPr>
        <w:t>رابعًا: التأثير النوعي للتوطين في تحسين تجربة المريض</w:t>
      </w:r>
      <w:bookmarkEnd w:id="101"/>
    </w:p>
    <w:p w14:paraId="5070F9AE"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تشير بيانات وزارة الصحة (2021) إلى أن المنشآت التي تضم نسبًا عالية من الكوادر الوطنية تسجل مستويات أعلى في تجربة المريض من حيث التواصل، والاحترام، وسرعة الاستجابة.</w:t>
      </w:r>
    </w:p>
    <w:p w14:paraId="19276CEB"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فالممارس الصحي الوطني أكثر حساسية للقيم الثقافية والاجتماعية للمجتمع السعودي، وهو ما يعزز الثقة المتبادلة ويزيد من فاعلية العلاج.</w:t>
      </w:r>
    </w:p>
    <w:p w14:paraId="188A2BA5"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كما أن وجود فرق طبية وطنية يقلل من الحواجز اللغوية والثقافية، ما ينعكس على جودة التشخيص ودقة التواصل مع المرضى.</w:t>
      </w:r>
    </w:p>
    <w:p w14:paraId="07B91C3B"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102" w:name="_Toc214212947"/>
      <w:r w:rsidRPr="00603F6C">
        <w:rPr>
          <w:rFonts w:ascii="Sakkal Majalla" w:eastAsia="Times New Roman" w:hAnsi="Sakkal Majalla" w:cs="Sakkal Majalla"/>
          <w:b/>
          <w:bCs/>
          <w:kern w:val="0"/>
          <w:sz w:val="26"/>
          <w:szCs w:val="26"/>
          <w:rtl/>
          <w14:ligatures w14:val="none"/>
        </w:rPr>
        <w:t>خامسًا: التوطين والجودة المستدامة في ضوء رؤية 2030</w:t>
      </w:r>
      <w:bookmarkEnd w:id="102"/>
    </w:p>
    <w:p w14:paraId="637CBB41"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lastRenderedPageBreak/>
        <w:t>تربط رؤية السعودية 2030 (2023) بين رفع جودة الحياة وتعزيز كفاءة الخدمات الصحية عبر تمكين الكفاءات الوطنية.</w:t>
      </w:r>
    </w:p>
    <w:p w14:paraId="432892D1"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وتشير الوثيقة إلى أن تحقيق “مجتمع حيوي واقتصاد مزدهر” لا يمكن أن يتم دون “منظومة صحية وطنية يقودها أبناء الوطن بكفاءة عالية”.</w:t>
      </w:r>
    </w:p>
    <w:p w14:paraId="06952C7A"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ومن هذا المنطلق، يُعد التوطين ركيزة أساسية في تحقيق الجودة المستدامة التي تضمن استمرار الخدمة وتحسينها عبر الزمن.</w:t>
      </w:r>
    </w:p>
    <w:p w14:paraId="23D801EA"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إن العلاقة بين التوطين وجودة الخدمات الصحية علاقة عضوية متبادلة، إذ إن تمكين الكوادر الوطنية لا يحقق فقط الأمن الوظيفي بل يرفع مستوى الخدمة للمواطن والمقيم.</w:t>
      </w:r>
    </w:p>
    <w:p w14:paraId="30CE2D53"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وقد أثبتت التجربة السعودية أن جودة الخدمة تتحسن طرديًا مع ارتفاع نسب التوطين، ما يجعل من سياسة التوطين الصحي أداة وطنية شاملة لتطوير الأداء والجودة والاستدامة في القطاع الصحي</w:t>
      </w:r>
    </w:p>
    <w:p w14:paraId="70AD8F48" w14:textId="77777777" w:rsidR="00603F6C" w:rsidRPr="00603F6C" w:rsidRDefault="00603F6C" w:rsidP="00603F6C">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u w:val="single"/>
          <w14:ligatures w14:val="none"/>
        </w:rPr>
      </w:pPr>
      <w:bookmarkStart w:id="103" w:name="_Toc214212948"/>
      <w:r w:rsidRPr="00603F6C">
        <w:rPr>
          <w:rFonts w:ascii="Sakkal Majalla" w:eastAsia="Times New Roman" w:hAnsi="Sakkal Majalla" w:cs="Sakkal Majalla"/>
          <w:b/>
          <w:bCs/>
          <w:kern w:val="0"/>
          <w:sz w:val="28"/>
          <w:szCs w:val="28"/>
          <w:u w:val="single"/>
          <w:rtl/>
          <w14:ligatures w14:val="none"/>
        </w:rPr>
        <w:t>التوطين الصحي بين الأمن الوطني والتنمية المستدامة</w:t>
      </w:r>
      <w:bookmarkEnd w:id="103"/>
    </w:p>
    <w:p w14:paraId="4D5EBDF5"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يُختتم هذا الفصل بتأكيد أن التوطين الصحي في المملكة العربية السعودية لم يعد مجرد سياسة تشغيلية أو اقتصادية، بل أصبح منظومة استراتيجية متكاملة تمسّ أركان الأمن الوطني والتنمية المستدامة والحوكمة والجودة في آنٍ واحد. فقد بيّنت التحليلات أن العلاقة بين التوطين والسياسات الوطنية تتجاوز مفاهيم الإحلال الوظيفي لتصل إلى مفهوم “التمكين الاستراتيجي”، الذي يجعل من الكادر الوطني عنصرًا سياديًا في منظومة الأمن الصحي والاقتصادي والاجتماعي.</w:t>
      </w:r>
    </w:p>
    <w:p w14:paraId="46AA4322"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104" w:name="_Toc214212949"/>
      <w:r w:rsidRPr="00603F6C">
        <w:rPr>
          <w:rFonts w:ascii="Sakkal Majalla" w:eastAsia="Times New Roman" w:hAnsi="Sakkal Majalla" w:cs="Sakkal Majalla"/>
          <w:b/>
          <w:bCs/>
          <w:kern w:val="0"/>
          <w:sz w:val="26"/>
          <w:szCs w:val="26"/>
          <w:rtl/>
          <w14:ligatures w14:val="none"/>
        </w:rPr>
        <w:t>أولًا: التوطين الصحي كضمانة للأمن والسيادة الوطنية</w:t>
      </w:r>
      <w:bookmarkEnd w:id="104"/>
    </w:p>
    <w:p w14:paraId="0CDE551C"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أثبتت البيانات الرسمية الصادرة عن وزارة الصحة (2021) والهيئة السعودية للتخصصات الصحية (2021) أن ازدياد نسبة الكوادر الوطنية في التخصصات الحيوية أسهم في تحقيق استقرار النظام الصحي الوطني خلال الأزمات، وخاصة جائحة كوفيد-19. فقد برزت الكوادر الوطنية في الخطوط الأمامية لإدارة الأزمة، وأظهرت قدرة عالية على اتخاذ القرار وتشغيل المرافق الحيوية بكفاءة، مما رسخ مفهوم “الأمن الصحي الوقائي” الذي يمنح الدولة استقلالها وسيادتها في مواجهة المخاطر الصحية العالمية.</w:t>
      </w:r>
    </w:p>
    <w:p w14:paraId="4873B9E9"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وقد دعمت وزارة الاقتصاد والتخطيط (2021) هذا الاتجاه بتأكيدها أن الأمن الوطني لا يمكن تحقيقه دون أمن صحي يعتمد على كوادر محلية مؤهلة، لأن “الأمن الصحي هو الحصن الأول لبقاء الدولة واستقرارها”. هذا الإدراك الاستراتيجي جعل التوطين الصحي محورًا أساسيًا في سياسات الأمن الوطني ضمن رؤية 2030، التي تسعى إلى بناء دولة مرنة ذات سيادة مكتملة الأركان.</w:t>
      </w:r>
    </w:p>
    <w:p w14:paraId="1AAFF5F7"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105" w:name="_Toc214212950"/>
      <w:r w:rsidRPr="00603F6C">
        <w:rPr>
          <w:rFonts w:ascii="Sakkal Majalla" w:eastAsia="Times New Roman" w:hAnsi="Sakkal Majalla" w:cs="Sakkal Majalla"/>
          <w:b/>
          <w:bCs/>
          <w:kern w:val="0"/>
          <w:sz w:val="26"/>
          <w:szCs w:val="26"/>
          <w:rtl/>
          <w14:ligatures w14:val="none"/>
        </w:rPr>
        <w:t>ثانيًا: التوطين كدعامة للتنمية الاقتصادية والاجتماعية</w:t>
      </w:r>
      <w:bookmarkEnd w:id="105"/>
    </w:p>
    <w:p w14:paraId="6B7BC1CB"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تؤكد المؤشرات الإحصائية الصادرة عن الهيئة العامة للإحصاء (2024) أن التوطين الصحي أسهم في تعزيز كفاءة الإنفاق العام وخفض التحويلات المالية الخارجية، فضلًا عن خلق وظائف نوعية للمواطنين في المجالات الطبية والإدارية والفنية.</w:t>
      </w:r>
    </w:p>
    <w:p w14:paraId="05C68A60"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كما أدى توسيع برامج التدريب والتأهيل الصحي الوطني إلى تنمية رأس المال البشري وزيادة الإنتاجية الفردية بنسبة تجاوزت 18% خلال الفترة 2020–2023.</w:t>
      </w:r>
    </w:p>
    <w:p w14:paraId="2CB7417E"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وبذلك، أصبح التوطين الصحي نموذجًا عمليًا يبرهن على أن الاستثمار في الإنسان السعودي هو أكثر استثمار استدامة وربحية على المدى الطويل (وزارة الموارد البشرية والتنمية الاجتماعية، 2021).</w:t>
      </w:r>
    </w:p>
    <w:p w14:paraId="0D585698"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lastRenderedPageBreak/>
        <w:t>وفي البعد الاجتماعي، عزّز التوطين مفهوم العدالة الوظيفية والمشاركة الوطنية، من خلال رفع نسبة مشاركة المرأة السعودية في المهن الصحية إلى أكثر من 42% من إجمالي القوى الوطنية في القطاع (الهيئة العامة للإحصاء، 2024). هذا التحول الاجتماعي يعكس عمق التكامل بين التمكين المهني وتمكين المجتمع، ويجعل من التوطين أحد محركات الاندماج الوطني والتماسك الاجتماعي.</w:t>
      </w:r>
    </w:p>
    <w:p w14:paraId="10FEB434"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106" w:name="_Toc214212951"/>
      <w:r w:rsidRPr="00603F6C">
        <w:rPr>
          <w:rFonts w:ascii="Sakkal Majalla" w:eastAsia="Times New Roman" w:hAnsi="Sakkal Majalla" w:cs="Sakkal Majalla"/>
          <w:b/>
          <w:bCs/>
          <w:kern w:val="0"/>
          <w:sz w:val="26"/>
          <w:szCs w:val="26"/>
          <w:rtl/>
          <w14:ligatures w14:val="none"/>
        </w:rPr>
        <w:t>ثالثًا: التكامل المؤسسي بين التوطين والحوكمة</w:t>
      </w:r>
      <w:bookmarkEnd w:id="106"/>
    </w:p>
    <w:p w14:paraId="1653DE19"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أوضحت وزارة الاقتصاد والتخطيط (2021) أن برامج التوطين لا تحقق أهدافها إلا حين تكون مؤطرة بنظم حوكمة فعالة تضمن الشفافية والعدالة والمساءلة.</w:t>
      </w:r>
    </w:p>
    <w:p w14:paraId="2A7C2932"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وقد أثبتت التجربة السعودية أن المؤسسات الصحية ذات نسب التوطين الأعلى تحقق نتائج أفضل في مؤشرات الأداء والالتزام الأخلاقي والشفافية.</w:t>
      </w:r>
    </w:p>
    <w:p w14:paraId="78451AE8"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فالتوطين وفّر العنصر الوطني الذي يفهم التشريعات والأنظمة المحلية، والحوكمة من جهتها وفرت البيئة التي تكفل استقرار الكادر الوطني وتحفيزه على الأداء العالي.</w:t>
      </w:r>
    </w:p>
    <w:p w14:paraId="0E263BE2"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وبذلك نشأ نموذج مؤسسي متكامل يقوم على التمكين مع المساءلة، وهو ما جعل القطاع الصحي السعودي أكثر نضجًا إداريًا واستدامة تشغيلية من أي وقت مضى.</w:t>
      </w:r>
    </w:p>
    <w:p w14:paraId="6BD3FB7B"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107" w:name="_Toc214212952"/>
      <w:r w:rsidRPr="00603F6C">
        <w:rPr>
          <w:rFonts w:ascii="Sakkal Majalla" w:eastAsia="Times New Roman" w:hAnsi="Sakkal Majalla" w:cs="Sakkal Majalla"/>
          <w:b/>
          <w:bCs/>
          <w:kern w:val="0"/>
          <w:sz w:val="28"/>
          <w:szCs w:val="28"/>
          <w:rtl/>
          <w14:ligatures w14:val="none"/>
        </w:rPr>
        <w:t>رابعًا: التوطين والجودة المستدامة للخدمات الصحية</w:t>
      </w:r>
      <w:bookmarkEnd w:id="107"/>
    </w:p>
    <w:p w14:paraId="3E63883B"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خلصت وزارة الصحة (2021) ورؤية السعودية 2030 (2023) إلى أن جودة الخدمات الصحية تتناسب طرديًا مع مستوى توطين الكفاءات.</w:t>
      </w:r>
    </w:p>
    <w:p w14:paraId="0B6E2484"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فالعامل الوطني يمتلك دافع الانتماء والمسؤولية الاجتماعية، ويحرص على تطبيق المعايير الوطنية للجودة وسلامة المرضى (</w:t>
      </w:r>
      <w:r w:rsidRPr="00603F6C">
        <w:rPr>
          <w:rFonts w:ascii="Sakkal Majalla" w:hAnsi="Sakkal Majalla" w:cs="Sakkal Majalla"/>
          <w:kern w:val="0"/>
          <w14:ligatures w14:val="none"/>
        </w:rPr>
        <w:t>NCMS</w:t>
      </w:r>
      <w:r w:rsidRPr="00603F6C">
        <w:rPr>
          <w:rFonts w:ascii="Sakkal Majalla" w:hAnsi="Sakkal Majalla" w:cs="Sakkal Majalla"/>
          <w:kern w:val="0"/>
          <w:rtl/>
          <w14:ligatures w14:val="none"/>
        </w:rPr>
        <w:t>) بجدّية أعلى.</w:t>
      </w:r>
    </w:p>
    <w:p w14:paraId="1B7B90B5"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وقد أظهرت الدراسات الميدانية أن المنشآت الصحية التي تعتمد على كوادر وطنية تحقق نسب رضا مرتفعة تتجاوز 85% بين المستفيدين، نتيجة التواصل الثقافي الفعّال والالتزام المهني العالي.</w:t>
      </w:r>
    </w:p>
    <w:p w14:paraId="6E6B1E6F"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وهذا يؤكد أن التوطين ليس فقط وسيلة للسيطرة على سوق العمل، بل أداة لرفع مستوى الخدمة والرضا العام عن أداء القطاع الصحي.</w:t>
      </w:r>
    </w:p>
    <w:p w14:paraId="1E7B6862" w14:textId="77777777" w:rsidR="00603F6C" w:rsidRPr="00603F6C" w:rsidRDefault="00603F6C" w:rsidP="00603F6C">
      <w:pPr>
        <w:bidi w:val="0"/>
        <w:spacing w:before="100" w:beforeAutospacing="1" w:after="100" w:afterAutospacing="1" w:line="240" w:lineRule="auto"/>
        <w:jc w:val="right"/>
        <w:outlineLvl w:val="2"/>
        <w:rPr>
          <w:rFonts w:ascii="Sakkal Majalla" w:eastAsia="Times New Roman" w:hAnsi="Sakkal Majalla" w:cs="Sakkal Majalla"/>
          <w:b/>
          <w:bCs/>
          <w:kern w:val="0"/>
          <w:sz w:val="26"/>
          <w:szCs w:val="26"/>
          <w14:ligatures w14:val="none"/>
        </w:rPr>
      </w:pPr>
      <w:bookmarkStart w:id="108" w:name="_Toc214212953"/>
      <w:r w:rsidRPr="00603F6C">
        <w:rPr>
          <w:rFonts w:ascii="Sakkal Majalla" w:eastAsia="Times New Roman" w:hAnsi="Sakkal Majalla" w:cs="Sakkal Majalla"/>
          <w:b/>
          <w:bCs/>
          <w:kern w:val="0"/>
          <w:sz w:val="26"/>
          <w:szCs w:val="26"/>
          <w:rtl/>
          <w14:ligatures w14:val="none"/>
        </w:rPr>
        <w:t>خامسًا: الأفق الاستراتيجي للتوطين في مستقبل القطاع الصحي</w:t>
      </w:r>
      <w:bookmarkEnd w:id="108"/>
    </w:p>
    <w:p w14:paraId="7F604C31"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إن استشراف مستقبل التوطين الصحي في المملكة يقود إلى إدراك أنه يشكّل محورًا رئيسيًا في التحول الوطني القادم نحو الاقتصاد المعرفي.</w:t>
      </w:r>
    </w:p>
    <w:p w14:paraId="2C57F6C7"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فالتوطين لم يعد يقتصر على التشغيل، بل امتد إلى البحث والتطوير والابتكار الطبي، ليصبح أحد ركائز الأمن المعرفي الوطني.</w:t>
      </w:r>
    </w:p>
    <w:p w14:paraId="45A2F740"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وتشير وزارة التعليم (2021) إلى أن الجامعات السعودية بدأت في تحويل برامجها الصحية إلى منصات بحثية وطنية يقودها أبناء الوطن، ما يعزز الاكتفاء العلمي ويدعم السيادة البحثية للمملكة في مجال الطب والعلوم الصحية.</w:t>
      </w:r>
    </w:p>
    <w:p w14:paraId="17F42C9E"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lastRenderedPageBreak/>
        <w:t>ومن هنا فإن مستقبل التوطين الصحي يتجه نحو بناء منظومة وطنية شاملة قادرة على إنتاج المعرفة وتصديرها، لا مجرد استهلاكها.</w:t>
      </w:r>
    </w:p>
    <w:p w14:paraId="0D605F20" w14:textId="77777777" w:rsidR="00603F6C" w:rsidRPr="00603F6C" w:rsidRDefault="00603F6C" w:rsidP="00603F6C">
      <w:pPr>
        <w:spacing w:before="100" w:beforeAutospacing="1" w:after="100" w:afterAutospacing="1" w:line="240" w:lineRule="auto"/>
        <w:rPr>
          <w:rFonts w:ascii="Sakkal Majalla" w:hAnsi="Sakkal Majalla" w:cs="Sakkal Majalla"/>
          <w:kern w:val="0"/>
          <w14:ligatures w14:val="none"/>
        </w:rPr>
      </w:pPr>
      <w:r w:rsidRPr="00603F6C">
        <w:rPr>
          <w:rFonts w:ascii="Sakkal Majalla" w:hAnsi="Sakkal Majalla" w:cs="Sakkal Majalla"/>
          <w:kern w:val="0"/>
          <w:rtl/>
          <w14:ligatures w14:val="none"/>
        </w:rPr>
        <w:t xml:space="preserve">يُظهر </w:t>
      </w:r>
      <w:r w:rsidRPr="00603F6C">
        <w:rPr>
          <w:rFonts w:ascii="Sakkal Majalla" w:hAnsi="Sakkal Majalla" w:cs="Sakkal Majalla" w:hint="cs"/>
          <w:kern w:val="0"/>
          <w:rtl/>
          <w14:ligatures w14:val="none"/>
        </w:rPr>
        <w:t xml:space="preserve"> هذا </w:t>
      </w:r>
      <w:r w:rsidRPr="00603F6C">
        <w:rPr>
          <w:rFonts w:ascii="Sakkal Majalla" w:hAnsi="Sakkal Majalla" w:cs="Sakkal Majalla"/>
          <w:kern w:val="0"/>
          <w:rtl/>
          <w14:ligatures w14:val="none"/>
        </w:rPr>
        <w:t>التحليل</w:t>
      </w:r>
      <w:r w:rsidRPr="00603F6C">
        <w:rPr>
          <w:rFonts w:ascii="Sakkal Majalla" w:hAnsi="Sakkal Majalla" w:cs="Sakkal Majalla" w:hint="cs"/>
          <w:kern w:val="0"/>
          <w:rtl/>
          <w14:ligatures w14:val="none"/>
        </w:rPr>
        <w:t xml:space="preserve"> من هذا الفصل</w:t>
      </w:r>
      <w:r w:rsidRPr="00603F6C">
        <w:rPr>
          <w:rFonts w:ascii="Sakkal Majalla" w:hAnsi="Sakkal Majalla" w:cs="Sakkal Majalla"/>
          <w:kern w:val="0"/>
          <w:rtl/>
          <w14:ligatures w14:val="none"/>
        </w:rPr>
        <w:t xml:space="preserve"> أن التوطين الصحي في المملكة العربية السعودية هو سياسة استراتيجية متعددة الأبعاد، تحقق في الوقت نفسه الأمن الوطني، والكفاءة الاقتصادية، والعدالة الاجتماعية، والاستدامة المؤسسية، والجودة الصحية.</w:t>
      </w:r>
    </w:p>
    <w:p w14:paraId="452E0B2B"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لقد نجحت المملكة في تحويل التوطين من مشروع وظيفي إلى مشروع وطني شامل يرسّخ مبدأ “الأمن من خلال الإنسان”.</w:t>
      </w:r>
    </w:p>
    <w:p w14:paraId="126F4179"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فالعامل الوطني لم يعد مجرد موظف في المنظومة الصحية، بل أصبح شريكًا في حماية الوطن وتنمية اقتصاده وصون سيادته.</w:t>
      </w:r>
    </w:p>
    <w:p w14:paraId="512F720F" w14:textId="77777777" w:rsidR="00603F6C" w:rsidRPr="00603F6C" w:rsidRDefault="00603F6C" w:rsidP="00603F6C">
      <w:pPr>
        <w:spacing w:before="100" w:beforeAutospacing="1" w:after="100" w:afterAutospacing="1" w:line="240" w:lineRule="auto"/>
        <w:rPr>
          <w:rFonts w:ascii="Sakkal Majalla" w:hAnsi="Sakkal Majalla" w:cs="Sakkal Majalla"/>
          <w:kern w:val="0"/>
          <w:rtl/>
          <w14:ligatures w14:val="none"/>
        </w:rPr>
      </w:pPr>
      <w:r w:rsidRPr="00603F6C">
        <w:rPr>
          <w:rFonts w:ascii="Sakkal Majalla" w:hAnsi="Sakkal Majalla" w:cs="Sakkal Majalla"/>
          <w:kern w:val="0"/>
          <w:rtl/>
          <w14:ligatures w14:val="none"/>
        </w:rPr>
        <w:t>وبذلك يختتم هذا الفصل بتأكيد أن تحقيق رؤية 2030 في مجال الصحة لن يكتمل إلا باستمرار دعم برامج التوطين النوعي، وتوسيع نطاقها لتشمل البحث العلمي والتخطيط الاستراتيجي، مما يضمن للمملكة استدامة قوتها البشرية والمؤسسية في العقود القادمة</w:t>
      </w:r>
    </w:p>
    <w:p w14:paraId="24377EA5" w14:textId="77777777" w:rsidR="00603F6C" w:rsidRPr="00603F6C" w:rsidRDefault="00603F6C" w:rsidP="00603F6C">
      <w:pPr>
        <w:spacing w:line="259" w:lineRule="auto"/>
        <w:rPr>
          <w:rFonts w:ascii=".AppleSystemUIFont" w:eastAsia="Times New Roman" w:hAnsi=".AppleSystemUIFont" w:cs="Times New Roman"/>
          <w:color w:val="FFFFFF"/>
          <w:kern w:val="0"/>
          <w:sz w:val="21"/>
          <w:szCs w:val="21"/>
          <w:rtl/>
          <w14:ligatures w14:val="none"/>
        </w:rPr>
      </w:pPr>
    </w:p>
    <w:p w14:paraId="00024794" w14:textId="77777777" w:rsidR="00603F6C" w:rsidRPr="00603F6C" w:rsidRDefault="00603F6C" w:rsidP="00603F6C">
      <w:pPr>
        <w:spacing w:line="259" w:lineRule="auto"/>
        <w:rPr>
          <w:rFonts w:ascii=".AppleSystemUIFont" w:eastAsia="Times New Roman" w:hAnsi=".AppleSystemUIFont" w:cs="Times New Roman"/>
          <w:color w:val="FFFFFF"/>
          <w:kern w:val="0"/>
          <w:sz w:val="21"/>
          <w:szCs w:val="21"/>
          <w:rtl/>
          <w14:ligatures w14:val="none"/>
        </w:rPr>
      </w:pPr>
    </w:p>
    <w:p w14:paraId="72809EC0" w14:textId="77777777" w:rsidR="00603F6C" w:rsidRPr="00603F6C" w:rsidRDefault="00603F6C" w:rsidP="00603F6C">
      <w:pPr>
        <w:spacing w:line="259" w:lineRule="auto"/>
        <w:rPr>
          <w:rFonts w:ascii=".AppleSystemUIFont" w:eastAsia="Times New Roman" w:hAnsi=".AppleSystemUIFont" w:cs="Times New Roman"/>
          <w:color w:val="FFFFFF"/>
          <w:kern w:val="0"/>
          <w:sz w:val="21"/>
          <w:szCs w:val="21"/>
          <w:rtl/>
          <w14:ligatures w14:val="none"/>
        </w:rPr>
      </w:pPr>
    </w:p>
    <w:p w14:paraId="4B572F7A" w14:textId="77777777" w:rsidR="00603F6C" w:rsidRPr="00603F6C" w:rsidRDefault="00603F6C" w:rsidP="00603F6C">
      <w:pPr>
        <w:spacing w:line="259" w:lineRule="auto"/>
        <w:rPr>
          <w:rFonts w:ascii=".AppleSystemUIFont" w:eastAsia="Times New Roman" w:hAnsi=".AppleSystemUIFont" w:cs="Times New Roman"/>
          <w:color w:val="FFFFFF"/>
          <w:kern w:val="0"/>
          <w:sz w:val="21"/>
          <w:szCs w:val="21"/>
          <w:rtl/>
          <w14:ligatures w14:val="none"/>
        </w:rPr>
      </w:pPr>
    </w:p>
    <w:p w14:paraId="6AC52905" w14:textId="77777777" w:rsidR="00603F6C" w:rsidRPr="00603F6C" w:rsidRDefault="00603F6C" w:rsidP="00603F6C">
      <w:pPr>
        <w:spacing w:line="259" w:lineRule="auto"/>
        <w:rPr>
          <w:rFonts w:ascii=".AppleSystemUIFont" w:eastAsia="Times New Roman" w:hAnsi=".AppleSystemUIFont" w:cs="Times New Roman"/>
          <w:color w:val="FFFFFF"/>
          <w:kern w:val="0"/>
          <w:sz w:val="21"/>
          <w:szCs w:val="21"/>
          <w:rtl/>
          <w14:ligatures w14:val="none"/>
        </w:rPr>
      </w:pPr>
    </w:p>
    <w:p w14:paraId="28C38C85" w14:textId="77777777" w:rsidR="00603F6C" w:rsidRPr="00603F6C" w:rsidRDefault="00603F6C" w:rsidP="00603F6C">
      <w:pPr>
        <w:spacing w:line="259" w:lineRule="auto"/>
        <w:rPr>
          <w:rFonts w:ascii=".AppleSystemUIFont" w:eastAsia="Times New Roman" w:hAnsi=".AppleSystemUIFont" w:cs="Times New Roman"/>
          <w:color w:val="FFFFFF"/>
          <w:kern w:val="0"/>
          <w:sz w:val="21"/>
          <w:szCs w:val="21"/>
          <w:rtl/>
          <w14:ligatures w14:val="none"/>
        </w:rPr>
      </w:pPr>
    </w:p>
    <w:p w14:paraId="70F28CC6" w14:textId="77777777" w:rsidR="00603F6C" w:rsidRPr="00603F6C" w:rsidRDefault="00603F6C" w:rsidP="00603F6C">
      <w:pPr>
        <w:spacing w:line="259" w:lineRule="auto"/>
        <w:rPr>
          <w:rFonts w:ascii=".AppleSystemUIFont" w:eastAsia="Times New Roman" w:hAnsi=".AppleSystemUIFont" w:cs="Times New Roman"/>
          <w:color w:val="FFFFFF"/>
          <w:kern w:val="0"/>
          <w:sz w:val="21"/>
          <w:szCs w:val="21"/>
          <w:rtl/>
          <w14:ligatures w14:val="none"/>
        </w:rPr>
      </w:pPr>
    </w:p>
    <w:p w14:paraId="240F8C8E" w14:textId="77777777" w:rsidR="00603F6C" w:rsidRPr="00603F6C" w:rsidRDefault="00603F6C" w:rsidP="00603F6C">
      <w:pPr>
        <w:spacing w:line="259" w:lineRule="auto"/>
        <w:rPr>
          <w:rFonts w:ascii=".AppleSystemUIFont" w:eastAsia="Times New Roman" w:hAnsi=".AppleSystemUIFont" w:cs="Times New Roman"/>
          <w:color w:val="FFFFFF"/>
          <w:kern w:val="0"/>
          <w:sz w:val="21"/>
          <w:szCs w:val="21"/>
          <w:rtl/>
          <w14:ligatures w14:val="none"/>
        </w:rPr>
      </w:pPr>
    </w:p>
    <w:p w14:paraId="038FEA66" w14:textId="77777777" w:rsidR="00603F6C" w:rsidRPr="00603F6C" w:rsidRDefault="00603F6C" w:rsidP="00603F6C">
      <w:pPr>
        <w:spacing w:line="259" w:lineRule="auto"/>
        <w:rPr>
          <w:rFonts w:ascii=".AppleSystemUIFont" w:eastAsia="Times New Roman" w:hAnsi=".AppleSystemUIFont" w:cs="Times New Roman"/>
          <w:color w:val="FFFFFF"/>
          <w:kern w:val="0"/>
          <w:sz w:val="21"/>
          <w:szCs w:val="21"/>
          <w:rtl/>
          <w14:ligatures w14:val="none"/>
        </w:rPr>
      </w:pPr>
    </w:p>
    <w:p w14:paraId="431FF11E" w14:textId="77777777" w:rsidR="00603F6C" w:rsidRPr="00603F6C" w:rsidRDefault="00603F6C" w:rsidP="00603F6C">
      <w:pPr>
        <w:spacing w:line="259" w:lineRule="auto"/>
        <w:rPr>
          <w:rFonts w:ascii=".AppleSystemUIFont" w:eastAsia="Times New Roman" w:hAnsi=".AppleSystemUIFont" w:cs="Times New Roman"/>
          <w:color w:val="FFFFFF"/>
          <w:kern w:val="0"/>
          <w:sz w:val="21"/>
          <w:szCs w:val="21"/>
          <w:rtl/>
          <w14:ligatures w14:val="none"/>
        </w:rPr>
      </w:pPr>
    </w:p>
    <w:p w14:paraId="3B71F03A" w14:textId="77777777" w:rsidR="00603F6C" w:rsidRPr="00603F6C" w:rsidRDefault="00603F6C" w:rsidP="00603F6C">
      <w:pPr>
        <w:spacing w:line="259" w:lineRule="auto"/>
        <w:rPr>
          <w:rFonts w:ascii=".AppleSystemUIFont" w:eastAsia="Times New Roman" w:hAnsi=".AppleSystemUIFont" w:cs="Times New Roman"/>
          <w:color w:val="FFFFFF"/>
          <w:kern w:val="0"/>
          <w:sz w:val="21"/>
          <w:szCs w:val="21"/>
          <w:rtl/>
          <w14:ligatures w14:val="none"/>
        </w:rPr>
      </w:pPr>
    </w:p>
    <w:p w14:paraId="1D19C33B" w14:textId="77777777" w:rsidR="00603F6C" w:rsidRPr="00603F6C" w:rsidRDefault="00603F6C" w:rsidP="00603F6C">
      <w:pPr>
        <w:spacing w:line="259" w:lineRule="auto"/>
        <w:rPr>
          <w:rFonts w:ascii=".AppleSystemUIFont" w:eastAsia="Times New Roman" w:hAnsi=".AppleSystemUIFont" w:cs="Times New Roman"/>
          <w:color w:val="FFFFFF"/>
          <w:kern w:val="0"/>
          <w:sz w:val="21"/>
          <w:szCs w:val="21"/>
          <w:rtl/>
          <w14:ligatures w14:val="none"/>
        </w:rPr>
      </w:pPr>
    </w:p>
    <w:p w14:paraId="00635FF7" w14:textId="77777777" w:rsidR="00603F6C" w:rsidRPr="00603F6C" w:rsidRDefault="00603F6C" w:rsidP="00603F6C">
      <w:pPr>
        <w:spacing w:line="259" w:lineRule="auto"/>
        <w:rPr>
          <w:rFonts w:ascii=".AppleSystemUIFont" w:eastAsia="Times New Roman" w:hAnsi=".AppleSystemUIFont" w:cs="Times New Roman"/>
          <w:color w:val="FFFFFF"/>
          <w:kern w:val="0"/>
          <w:sz w:val="21"/>
          <w:szCs w:val="21"/>
          <w:rtl/>
          <w14:ligatures w14:val="none"/>
        </w:rPr>
      </w:pPr>
    </w:p>
    <w:p w14:paraId="7F653CAD" w14:textId="77777777" w:rsidR="00603F6C" w:rsidRPr="00603F6C" w:rsidRDefault="00603F6C" w:rsidP="00603F6C">
      <w:pPr>
        <w:spacing w:line="259" w:lineRule="auto"/>
        <w:rPr>
          <w:rFonts w:ascii=".AppleSystemUIFont" w:eastAsia="Times New Roman" w:hAnsi=".AppleSystemUIFont" w:cs="Times New Roman"/>
          <w:color w:val="FFFFFF"/>
          <w:kern w:val="0"/>
          <w:sz w:val="21"/>
          <w:szCs w:val="21"/>
          <w:rtl/>
          <w14:ligatures w14:val="none"/>
        </w:rPr>
      </w:pPr>
    </w:p>
    <w:p w14:paraId="69D5B0A8" w14:textId="77777777" w:rsidR="00603F6C" w:rsidRPr="00603F6C" w:rsidRDefault="00603F6C" w:rsidP="00603F6C">
      <w:pPr>
        <w:spacing w:line="259" w:lineRule="auto"/>
        <w:rPr>
          <w:rFonts w:ascii=".AppleSystemUIFont" w:eastAsia="Times New Roman" w:hAnsi=".AppleSystemUIFont" w:cs="Times New Roman"/>
          <w:color w:val="FFFFFF"/>
          <w:kern w:val="0"/>
          <w:sz w:val="21"/>
          <w:szCs w:val="21"/>
          <w:rtl/>
          <w14:ligatures w14:val="none"/>
        </w:rPr>
      </w:pPr>
    </w:p>
    <w:p w14:paraId="45E71631" w14:textId="77777777" w:rsidR="00603F6C" w:rsidRPr="00603F6C" w:rsidRDefault="00603F6C" w:rsidP="00603F6C">
      <w:pPr>
        <w:spacing w:line="259" w:lineRule="auto"/>
        <w:rPr>
          <w:rFonts w:ascii=".AppleSystemUIFont" w:eastAsia="Times New Roman" w:hAnsi=".AppleSystemUIFont" w:cs="Times New Roman"/>
          <w:color w:val="FFFFFF"/>
          <w:kern w:val="0"/>
          <w:sz w:val="21"/>
          <w:szCs w:val="21"/>
          <w:rtl/>
          <w14:ligatures w14:val="none"/>
        </w:rPr>
      </w:pPr>
    </w:p>
    <w:p w14:paraId="397A1825" w14:textId="77777777" w:rsidR="00603F6C" w:rsidRDefault="00603F6C">
      <w:pPr>
        <w:rPr>
          <w:rtl/>
        </w:rPr>
      </w:pPr>
    </w:p>
    <w:p w14:paraId="59E8B2DA" w14:textId="77777777" w:rsidR="00603F6C" w:rsidRDefault="00603F6C"/>
    <w:sectPr w:rsidR="00603F6C" w:rsidSect="00A73EE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AppleSystemUIFon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65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B59C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A025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715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E79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EA75A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EF3C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EA41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C409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E03A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10D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345D2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4C44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0F42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815B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9D58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2F12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5705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F07D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2E54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1E63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A45F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8630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781C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7C38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E63E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170E6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A659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2D32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7858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112B1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A156E4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611C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D305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6C1B3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7327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9803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B113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197F0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3810811">
    <w:abstractNumId w:val="31"/>
  </w:num>
  <w:num w:numId="2" w16cid:durableId="1518494689">
    <w:abstractNumId w:val="21"/>
  </w:num>
  <w:num w:numId="3" w16cid:durableId="2069382165">
    <w:abstractNumId w:val="34"/>
  </w:num>
  <w:num w:numId="4" w16cid:durableId="222764610">
    <w:abstractNumId w:val="9"/>
  </w:num>
  <w:num w:numId="5" w16cid:durableId="790709875">
    <w:abstractNumId w:val="35"/>
  </w:num>
  <w:num w:numId="6" w16cid:durableId="1766533948">
    <w:abstractNumId w:val="6"/>
  </w:num>
  <w:num w:numId="7" w16cid:durableId="1384716283">
    <w:abstractNumId w:val="24"/>
  </w:num>
  <w:num w:numId="8" w16cid:durableId="1529249357">
    <w:abstractNumId w:val="11"/>
  </w:num>
  <w:num w:numId="9" w16cid:durableId="450438348">
    <w:abstractNumId w:val="30"/>
  </w:num>
  <w:num w:numId="10" w16cid:durableId="2127920675">
    <w:abstractNumId w:val="12"/>
  </w:num>
  <w:num w:numId="11" w16cid:durableId="1118254383">
    <w:abstractNumId w:val="26"/>
  </w:num>
  <w:num w:numId="12" w16cid:durableId="357119555">
    <w:abstractNumId w:val="25"/>
  </w:num>
  <w:num w:numId="13" w16cid:durableId="1296640569">
    <w:abstractNumId w:val="28"/>
  </w:num>
  <w:num w:numId="14" w16cid:durableId="1187525896">
    <w:abstractNumId w:val="37"/>
  </w:num>
  <w:num w:numId="15" w16cid:durableId="1086653201">
    <w:abstractNumId w:val="0"/>
  </w:num>
  <w:num w:numId="16" w16cid:durableId="1552573335">
    <w:abstractNumId w:val="22"/>
  </w:num>
  <w:num w:numId="17" w16cid:durableId="727920728">
    <w:abstractNumId w:val="36"/>
  </w:num>
  <w:num w:numId="18" w16cid:durableId="936719641">
    <w:abstractNumId w:val="7"/>
  </w:num>
  <w:num w:numId="19" w16cid:durableId="1996758047">
    <w:abstractNumId w:val="5"/>
  </w:num>
  <w:num w:numId="20" w16cid:durableId="1765880509">
    <w:abstractNumId w:val="23"/>
  </w:num>
  <w:num w:numId="21" w16cid:durableId="609748585">
    <w:abstractNumId w:val="19"/>
  </w:num>
  <w:num w:numId="22" w16cid:durableId="804736524">
    <w:abstractNumId w:val="4"/>
  </w:num>
  <w:num w:numId="23" w16cid:durableId="135295955">
    <w:abstractNumId w:val="14"/>
  </w:num>
  <w:num w:numId="24" w16cid:durableId="1264921663">
    <w:abstractNumId w:val="8"/>
  </w:num>
  <w:num w:numId="25" w16cid:durableId="1956323010">
    <w:abstractNumId w:val="32"/>
  </w:num>
  <w:num w:numId="26" w16cid:durableId="81950338">
    <w:abstractNumId w:val="20"/>
  </w:num>
  <w:num w:numId="27" w16cid:durableId="1213737895">
    <w:abstractNumId w:val="2"/>
  </w:num>
  <w:num w:numId="28" w16cid:durableId="1825852687">
    <w:abstractNumId w:val="13"/>
  </w:num>
  <w:num w:numId="29" w16cid:durableId="274365308">
    <w:abstractNumId w:val="3"/>
  </w:num>
  <w:num w:numId="30" w16cid:durableId="2110395424">
    <w:abstractNumId w:val="33"/>
  </w:num>
  <w:num w:numId="31" w16cid:durableId="1968197449">
    <w:abstractNumId w:val="17"/>
  </w:num>
  <w:num w:numId="32" w16cid:durableId="1172572669">
    <w:abstractNumId w:val="27"/>
  </w:num>
  <w:num w:numId="33" w16cid:durableId="545682605">
    <w:abstractNumId w:val="18"/>
  </w:num>
  <w:num w:numId="34" w16cid:durableId="1778793235">
    <w:abstractNumId w:val="29"/>
  </w:num>
  <w:num w:numId="35" w16cid:durableId="1450858036">
    <w:abstractNumId w:val="15"/>
  </w:num>
  <w:num w:numId="36" w16cid:durableId="1300375302">
    <w:abstractNumId w:val="16"/>
  </w:num>
  <w:num w:numId="37" w16cid:durableId="1071732392">
    <w:abstractNumId w:val="1"/>
  </w:num>
  <w:num w:numId="38" w16cid:durableId="1867402435">
    <w:abstractNumId w:val="10"/>
  </w:num>
  <w:num w:numId="39" w16cid:durableId="137207708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B65"/>
    <w:rsid w:val="00603F6C"/>
    <w:rsid w:val="00724F7B"/>
    <w:rsid w:val="00875B65"/>
    <w:rsid w:val="00A73E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9A404E6"/>
  <w15:chartTrackingRefBased/>
  <w15:docId w15:val="{7BF4B4DF-0BEA-424E-8848-11649BB16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75B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875B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875B6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75B6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75B6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75B6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75B6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75B6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75B6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75B6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875B6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875B6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75B6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75B65"/>
    <w:rPr>
      <w:rFonts w:eastAsiaTheme="majorEastAsia" w:cstheme="majorBidi"/>
      <w:color w:val="2F5496" w:themeColor="accent1" w:themeShade="BF"/>
    </w:rPr>
  </w:style>
  <w:style w:type="character" w:customStyle="1" w:styleId="6Char">
    <w:name w:val="عنوان 6 Char"/>
    <w:basedOn w:val="a0"/>
    <w:link w:val="6"/>
    <w:uiPriority w:val="9"/>
    <w:semiHidden/>
    <w:rsid w:val="00875B65"/>
    <w:rPr>
      <w:rFonts w:eastAsiaTheme="majorEastAsia" w:cstheme="majorBidi"/>
      <w:i/>
      <w:iCs/>
      <w:color w:val="595959" w:themeColor="text1" w:themeTint="A6"/>
    </w:rPr>
  </w:style>
  <w:style w:type="character" w:customStyle="1" w:styleId="7Char">
    <w:name w:val="عنوان 7 Char"/>
    <w:basedOn w:val="a0"/>
    <w:link w:val="7"/>
    <w:uiPriority w:val="9"/>
    <w:semiHidden/>
    <w:rsid w:val="00875B65"/>
    <w:rPr>
      <w:rFonts w:eastAsiaTheme="majorEastAsia" w:cstheme="majorBidi"/>
      <w:color w:val="595959" w:themeColor="text1" w:themeTint="A6"/>
    </w:rPr>
  </w:style>
  <w:style w:type="character" w:customStyle="1" w:styleId="8Char">
    <w:name w:val="عنوان 8 Char"/>
    <w:basedOn w:val="a0"/>
    <w:link w:val="8"/>
    <w:uiPriority w:val="9"/>
    <w:semiHidden/>
    <w:rsid w:val="00875B65"/>
    <w:rPr>
      <w:rFonts w:eastAsiaTheme="majorEastAsia" w:cstheme="majorBidi"/>
      <w:i/>
      <w:iCs/>
      <w:color w:val="272727" w:themeColor="text1" w:themeTint="D8"/>
    </w:rPr>
  </w:style>
  <w:style w:type="character" w:customStyle="1" w:styleId="9Char">
    <w:name w:val="عنوان 9 Char"/>
    <w:basedOn w:val="a0"/>
    <w:link w:val="9"/>
    <w:uiPriority w:val="9"/>
    <w:semiHidden/>
    <w:rsid w:val="00875B65"/>
    <w:rPr>
      <w:rFonts w:eastAsiaTheme="majorEastAsia" w:cstheme="majorBidi"/>
      <w:color w:val="272727" w:themeColor="text1" w:themeTint="D8"/>
    </w:rPr>
  </w:style>
  <w:style w:type="paragraph" w:styleId="a3">
    <w:name w:val="Title"/>
    <w:basedOn w:val="a"/>
    <w:next w:val="a"/>
    <w:link w:val="Char"/>
    <w:uiPriority w:val="10"/>
    <w:qFormat/>
    <w:rsid w:val="00875B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75B6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75B6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75B6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75B65"/>
    <w:pPr>
      <w:spacing w:before="160"/>
      <w:jc w:val="center"/>
    </w:pPr>
    <w:rPr>
      <w:i/>
      <w:iCs/>
      <w:color w:val="404040" w:themeColor="text1" w:themeTint="BF"/>
    </w:rPr>
  </w:style>
  <w:style w:type="character" w:customStyle="1" w:styleId="Char1">
    <w:name w:val="اقتباس Char"/>
    <w:basedOn w:val="a0"/>
    <w:link w:val="a5"/>
    <w:uiPriority w:val="29"/>
    <w:rsid w:val="00875B65"/>
    <w:rPr>
      <w:i/>
      <w:iCs/>
      <w:color w:val="404040" w:themeColor="text1" w:themeTint="BF"/>
    </w:rPr>
  </w:style>
  <w:style w:type="paragraph" w:styleId="a6">
    <w:name w:val="List Paragraph"/>
    <w:basedOn w:val="a"/>
    <w:uiPriority w:val="34"/>
    <w:qFormat/>
    <w:rsid w:val="00875B65"/>
    <w:pPr>
      <w:ind w:left="720"/>
      <w:contextualSpacing/>
    </w:pPr>
  </w:style>
  <w:style w:type="character" w:styleId="a7">
    <w:name w:val="Intense Emphasis"/>
    <w:basedOn w:val="a0"/>
    <w:uiPriority w:val="21"/>
    <w:qFormat/>
    <w:rsid w:val="00875B65"/>
    <w:rPr>
      <w:i/>
      <w:iCs/>
      <w:color w:val="2F5496" w:themeColor="accent1" w:themeShade="BF"/>
    </w:rPr>
  </w:style>
  <w:style w:type="paragraph" w:styleId="a8">
    <w:name w:val="Intense Quote"/>
    <w:basedOn w:val="a"/>
    <w:next w:val="a"/>
    <w:link w:val="Char2"/>
    <w:uiPriority w:val="30"/>
    <w:qFormat/>
    <w:rsid w:val="00875B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875B65"/>
    <w:rPr>
      <w:i/>
      <w:iCs/>
      <w:color w:val="2F5496" w:themeColor="accent1" w:themeShade="BF"/>
    </w:rPr>
  </w:style>
  <w:style w:type="character" w:styleId="a9">
    <w:name w:val="Intense Reference"/>
    <w:basedOn w:val="a0"/>
    <w:uiPriority w:val="32"/>
    <w:qFormat/>
    <w:rsid w:val="00875B65"/>
    <w:rPr>
      <w:b/>
      <w:bCs/>
      <w:smallCaps/>
      <w:color w:val="2F5496" w:themeColor="accent1" w:themeShade="BF"/>
      <w:spacing w:val="5"/>
    </w:rPr>
  </w:style>
  <w:style w:type="character" w:customStyle="1" w:styleId="s1">
    <w:name w:val="s1"/>
    <w:basedOn w:val="a0"/>
    <w:rsid w:val="00875B65"/>
  </w:style>
  <w:style w:type="paragraph" w:customStyle="1" w:styleId="p1">
    <w:name w:val="p1"/>
    <w:basedOn w:val="a"/>
    <w:rsid w:val="00875B65"/>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a0"/>
    <w:rsid w:val="00875B65"/>
  </w:style>
  <w:style w:type="table" w:styleId="4-5">
    <w:name w:val="Grid Table 4 Accent 5"/>
    <w:basedOn w:val="a1"/>
    <w:uiPriority w:val="49"/>
    <w:rsid w:val="00875B65"/>
    <w:pPr>
      <w:spacing w:after="0" w:line="240" w:lineRule="auto"/>
    </w:pPr>
    <w:rPr>
      <w:rFonts w:eastAsiaTheme="minorHAnsi"/>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Hyperlink">
    <w:name w:val="Hyperlink"/>
    <w:basedOn w:val="a0"/>
    <w:uiPriority w:val="99"/>
    <w:unhideWhenUsed/>
    <w:rsid w:val="00875B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conomysaudiarabia.com/ar/news/%D8%A7%D9%84%D9%82%D8%B7%D8%A7%D8%B9-%D8%A7%D9%84%D8%B5%D8%AD%D9%8A-%D9%81%D9%8A-%D8%A7%D9%84%D8%B3%D8%B9%D9%88%D8%AF%D9%8A%D9%91%D8%A9-%D8%AE%D8%B7%D9%91%D8%A9-%D9%84%D8%AA%D9%88%D8%B7%D9%8A%D9%86-4/?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etapp.argaamcharts.com/en/article/articledetail/id/570306?utm_source=chatgpt.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11232</Words>
  <Characters>64025</Characters>
  <Application>Microsoft Office Word</Application>
  <DocSecurity>0</DocSecurity>
  <Lines>533</Lines>
  <Paragraphs>150</Paragraphs>
  <ScaleCrop>false</ScaleCrop>
  <Company/>
  <LinksUpToDate>false</LinksUpToDate>
  <CharactersWithSpaces>75107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abad Mars</dc:creator>
  <cp:keywords/>
  <dc:description/>
  <cp:lastModifiedBy>abad Mars</cp:lastModifiedBy>
  <cp:revision>2</cp:revision>
  <dcterms:created xsi:type="dcterms:W3CDTF">2025-12-05T19:32:00Z</dcterms:created>
  <dcterms:modified xsi:type="dcterms:W3CDTF">2025-12-05T19:32:00Z</dcterms:modified>
</cp:coreProperties>
</file>