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9C2A9" w14:textId="77777777" w:rsidR="00303990" w:rsidRPr="00303990" w:rsidRDefault="00303990" w:rsidP="00303990">
      <w:pPr>
        <w:bidi/>
        <w:spacing w:after="160" w:line="360" w:lineRule="auto"/>
        <w:jc w:val="both"/>
        <w:rPr>
          <w:rFonts w:ascii="Calibri" w:eastAsia="Calibri" w:hAnsi="Calibri" w:cs="Calibri"/>
          <w:b/>
          <w:bCs/>
          <w:lang w:val="en"/>
        </w:rPr>
      </w:pPr>
      <w:r w:rsidRPr="00303990">
        <w:rPr>
          <w:rFonts w:ascii="Calibri" w:eastAsia="Calibri" w:hAnsi="Calibri" w:cs="Calibri"/>
          <w:b/>
          <w:bCs/>
          <w:rtl/>
          <w:lang w:val="en"/>
        </w:rPr>
        <w:t xml:space="preserve">جامعة ميدأوشن </w:t>
      </w:r>
    </w:p>
    <w:p w14:paraId="4C8DBCAA" w14:textId="77777777" w:rsidR="00303990" w:rsidRPr="00303990" w:rsidRDefault="00303990" w:rsidP="00303990">
      <w:pPr>
        <w:bidi/>
        <w:spacing w:after="160" w:line="360" w:lineRule="auto"/>
        <w:jc w:val="both"/>
        <w:rPr>
          <w:rFonts w:ascii="Calibri" w:eastAsia="Calibri" w:hAnsi="Calibri" w:cs="Calibri"/>
          <w:b/>
          <w:bCs/>
          <w:lang w:val="en"/>
        </w:rPr>
      </w:pPr>
      <w:r w:rsidRPr="00303990">
        <w:rPr>
          <w:rFonts w:ascii="Calibri" w:eastAsia="Calibri" w:hAnsi="Calibri" w:cs="Calibri"/>
          <w:b/>
          <w:bCs/>
          <w:rtl/>
          <w:lang w:val="en"/>
        </w:rPr>
        <w:t xml:space="preserve">  كلية الإدارة </w:t>
      </w:r>
      <w:r w:rsidRPr="00303990">
        <w:rPr>
          <w:rFonts w:ascii="Calibri" w:eastAsia="Calibri" w:hAnsi="Calibri" w:cs="Calibri"/>
          <w:b/>
          <w:bCs/>
          <w:noProof/>
          <w:rtl/>
          <w:lang w:val="en"/>
        </w:rPr>
        <w:drawing>
          <wp:anchor distT="0" distB="0" distL="114300" distR="114300" simplePos="0" relativeHeight="251659264" behindDoc="0" locked="0" layoutInCell="1" allowOverlap="1" wp14:anchorId="29F273B7" wp14:editId="554DF9D6">
            <wp:simplePos x="4285615" y="1510665"/>
            <wp:positionH relativeFrom="margin">
              <wp:align>left</wp:align>
            </wp:positionH>
            <wp:positionV relativeFrom="margin">
              <wp:align>top</wp:align>
            </wp:positionV>
            <wp:extent cx="2036445" cy="908685"/>
            <wp:effectExtent l="0" t="0" r="0" b="0"/>
            <wp:wrapSquare wrapText="bothSides"/>
            <wp:docPr id="1249739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6445" cy="908685"/>
                    </a:xfrm>
                    <a:prstGeom prst="rect">
                      <a:avLst/>
                    </a:prstGeom>
                    <a:noFill/>
                  </pic:spPr>
                </pic:pic>
              </a:graphicData>
            </a:graphic>
          </wp:anchor>
        </w:drawing>
      </w:r>
    </w:p>
    <w:p w14:paraId="748B957B" w14:textId="77777777" w:rsidR="00303990" w:rsidRPr="00303990" w:rsidRDefault="00303990" w:rsidP="00303990">
      <w:pPr>
        <w:bidi/>
        <w:spacing w:after="160" w:line="360" w:lineRule="auto"/>
        <w:jc w:val="both"/>
        <w:rPr>
          <w:rFonts w:ascii="Calibri" w:eastAsia="Calibri" w:hAnsi="Calibri" w:cs="Calibri"/>
          <w:b/>
          <w:bCs/>
          <w:lang w:val="en"/>
        </w:rPr>
      </w:pPr>
      <w:r w:rsidRPr="00303990">
        <w:rPr>
          <w:rFonts w:ascii="Calibri" w:eastAsia="Calibri" w:hAnsi="Calibri" w:cs="Calibri"/>
          <w:b/>
          <w:bCs/>
          <w:rtl/>
          <w:lang w:val="en"/>
        </w:rPr>
        <w:t>قسم / إدارة الأعمال</w:t>
      </w:r>
    </w:p>
    <w:p w14:paraId="3756335C" w14:textId="4F3E43B2" w:rsidR="007709ED" w:rsidRPr="00303990" w:rsidRDefault="007709ED" w:rsidP="00303990">
      <w:pPr>
        <w:bidi/>
        <w:spacing w:after="60"/>
        <w:rPr>
          <w:lang w:val="en"/>
        </w:rPr>
      </w:pPr>
    </w:p>
    <w:p w14:paraId="00FD1775" w14:textId="77777777" w:rsidR="007709ED" w:rsidRDefault="00000000">
      <w:pPr>
        <w:bidi/>
        <w:spacing w:after="60"/>
        <w:jc w:val="center"/>
      </w:pPr>
      <w:r>
        <w:rPr>
          <w:color w:val="000000"/>
          <w:rtl/>
        </w:rPr>
        <w:t xml:space="preserve"> </w:t>
      </w:r>
    </w:p>
    <w:p w14:paraId="08799E7A" w14:textId="77777777" w:rsidR="007709ED" w:rsidRDefault="00000000">
      <w:pPr>
        <w:bidi/>
        <w:spacing w:after="60"/>
        <w:jc w:val="center"/>
      </w:pPr>
      <w:r>
        <w:rPr>
          <w:b/>
          <w:bCs/>
          <w:color w:val="2E74B5"/>
          <w:sz w:val="36"/>
          <w:szCs w:val="36"/>
          <w:rtl/>
        </w:rPr>
        <w:t>فاعلية أدوات التمويل البديل في معالجة فجوة التمويل</w:t>
      </w:r>
    </w:p>
    <w:p w14:paraId="3CC15FED" w14:textId="77777777" w:rsidR="007709ED" w:rsidRDefault="00000000">
      <w:pPr>
        <w:bidi/>
        <w:spacing w:after="60"/>
        <w:jc w:val="center"/>
      </w:pPr>
      <w:r>
        <w:rPr>
          <w:b/>
          <w:bCs/>
          <w:color w:val="2E74B5"/>
          <w:sz w:val="36"/>
          <w:szCs w:val="36"/>
          <w:rtl/>
        </w:rPr>
        <w:t>لدى المشروعات الصغيرة والمتوسطة</w:t>
      </w:r>
    </w:p>
    <w:p w14:paraId="6189CF84" w14:textId="77777777" w:rsidR="007709ED" w:rsidRDefault="00000000">
      <w:pPr>
        <w:bidi/>
        <w:spacing w:after="60"/>
        <w:jc w:val="center"/>
      </w:pPr>
      <w:r>
        <w:rPr>
          <w:b/>
          <w:bCs/>
          <w:color w:val="2E74B5"/>
          <w:sz w:val="30"/>
          <w:szCs w:val="30"/>
          <w:rtl/>
        </w:rPr>
        <w:t>دراسة تطبيقية في المملكة العربية السعودية</w:t>
      </w:r>
    </w:p>
    <w:p w14:paraId="7EEAD6F6" w14:textId="77777777" w:rsidR="007709ED" w:rsidRDefault="00000000">
      <w:pPr>
        <w:bidi/>
        <w:spacing w:after="60"/>
        <w:jc w:val="center"/>
      </w:pPr>
      <w:r>
        <w:rPr>
          <w:color w:val="000000"/>
          <w:rtl/>
        </w:rPr>
        <w:t xml:space="preserve"> </w:t>
      </w:r>
    </w:p>
    <w:p w14:paraId="12459DAC" w14:textId="77777777" w:rsidR="007709ED" w:rsidRDefault="00000000">
      <w:pPr>
        <w:bidi/>
        <w:spacing w:after="60"/>
        <w:jc w:val="center"/>
      </w:pPr>
      <w:r>
        <w:rPr>
          <w:color w:val="000000"/>
          <w:rtl/>
        </w:rPr>
        <w:t xml:space="preserve"> </w:t>
      </w:r>
    </w:p>
    <w:p w14:paraId="13BE7E2B" w14:textId="11B7A0F1" w:rsidR="007709ED" w:rsidRDefault="007709ED">
      <w:pPr>
        <w:bidi/>
        <w:spacing w:after="60"/>
        <w:jc w:val="center"/>
      </w:pPr>
    </w:p>
    <w:p w14:paraId="0DFAF152" w14:textId="77777777" w:rsidR="007709ED" w:rsidRDefault="00000000">
      <w:pPr>
        <w:bidi/>
        <w:spacing w:after="60"/>
        <w:jc w:val="center"/>
      </w:pPr>
      <w:r>
        <w:rPr>
          <w:color w:val="000000"/>
          <w:rtl/>
        </w:rPr>
        <w:t xml:space="preserve"> </w:t>
      </w:r>
    </w:p>
    <w:p w14:paraId="6F088504" w14:textId="77777777" w:rsidR="007709ED" w:rsidRDefault="00000000">
      <w:pPr>
        <w:bidi/>
        <w:spacing w:after="60"/>
        <w:jc w:val="center"/>
      </w:pPr>
      <w:r>
        <w:rPr>
          <w:color w:val="000000"/>
          <w:rtl/>
        </w:rPr>
        <w:t xml:space="preserve"> </w:t>
      </w:r>
    </w:p>
    <w:p w14:paraId="34E3ED6E" w14:textId="77777777" w:rsidR="007709ED" w:rsidRDefault="00000000">
      <w:pPr>
        <w:bidi/>
        <w:spacing w:after="60"/>
        <w:jc w:val="center"/>
      </w:pPr>
      <w:r>
        <w:rPr>
          <w:b/>
          <w:bCs/>
          <w:color w:val="000000"/>
          <w:sz w:val="24"/>
          <w:szCs w:val="24"/>
          <w:rtl/>
        </w:rPr>
        <w:t>إعداد الطالب</w:t>
      </w:r>
    </w:p>
    <w:p w14:paraId="27185BEB" w14:textId="77777777" w:rsidR="007709ED" w:rsidRDefault="00000000">
      <w:pPr>
        <w:bidi/>
        <w:spacing w:after="60"/>
        <w:jc w:val="center"/>
      </w:pPr>
      <w:r>
        <w:rPr>
          <w:b/>
          <w:bCs/>
          <w:color w:val="000000"/>
          <w:sz w:val="26"/>
          <w:szCs w:val="26"/>
          <w:rtl/>
        </w:rPr>
        <w:t>حاتم بن محمد عمر بخاري</w:t>
      </w:r>
    </w:p>
    <w:p w14:paraId="6C8B20BB" w14:textId="77777777" w:rsidR="007709ED" w:rsidRDefault="00000000">
      <w:pPr>
        <w:bidi/>
        <w:spacing w:after="60"/>
        <w:jc w:val="center"/>
      </w:pPr>
      <w:r>
        <w:rPr>
          <w:color w:val="000000"/>
          <w:rtl/>
        </w:rPr>
        <w:t xml:space="preserve"> </w:t>
      </w:r>
    </w:p>
    <w:p w14:paraId="3073A863" w14:textId="77777777" w:rsidR="007709ED" w:rsidRDefault="00000000">
      <w:pPr>
        <w:bidi/>
        <w:spacing w:after="60"/>
        <w:jc w:val="center"/>
      </w:pPr>
      <w:r>
        <w:rPr>
          <w:b/>
          <w:bCs/>
          <w:color w:val="000000"/>
          <w:sz w:val="24"/>
          <w:szCs w:val="24"/>
          <w:rtl/>
        </w:rPr>
        <w:t>إشراف</w:t>
      </w:r>
    </w:p>
    <w:p w14:paraId="600F9A95" w14:textId="77777777" w:rsidR="007709ED" w:rsidRDefault="00000000">
      <w:pPr>
        <w:bidi/>
        <w:spacing w:after="60"/>
        <w:jc w:val="center"/>
      </w:pPr>
      <w:r>
        <w:rPr>
          <w:b/>
          <w:bCs/>
          <w:color w:val="000000"/>
          <w:sz w:val="26"/>
          <w:szCs w:val="26"/>
          <w:rtl/>
        </w:rPr>
        <w:t>أ.د. فايز علي جراد</w:t>
      </w:r>
    </w:p>
    <w:p w14:paraId="51AA1DF2" w14:textId="77777777" w:rsidR="007709ED" w:rsidRDefault="00000000">
      <w:pPr>
        <w:bidi/>
        <w:spacing w:after="60"/>
        <w:jc w:val="center"/>
      </w:pPr>
      <w:r>
        <w:rPr>
          <w:color w:val="000000"/>
          <w:rtl/>
        </w:rPr>
        <w:t xml:space="preserve"> </w:t>
      </w:r>
    </w:p>
    <w:p w14:paraId="064BA243" w14:textId="77777777" w:rsidR="007709ED" w:rsidRDefault="00000000">
      <w:pPr>
        <w:bidi/>
        <w:spacing w:after="60"/>
        <w:jc w:val="center"/>
      </w:pPr>
      <w:r>
        <w:rPr>
          <w:color w:val="000000"/>
          <w:rtl/>
        </w:rPr>
        <w:t xml:space="preserve"> </w:t>
      </w:r>
    </w:p>
    <w:p w14:paraId="1E9C938C" w14:textId="77777777" w:rsidR="007709ED" w:rsidRDefault="00000000">
      <w:pPr>
        <w:bidi/>
        <w:spacing w:after="60"/>
        <w:jc w:val="center"/>
      </w:pPr>
      <w:r>
        <w:rPr>
          <w:b/>
          <w:bCs/>
          <w:color w:val="000000"/>
          <w:sz w:val="24"/>
          <w:szCs w:val="24"/>
          <w:rtl/>
        </w:rPr>
        <w:t>العام الدراسي 2026م</w:t>
      </w:r>
    </w:p>
    <w:p w14:paraId="1C45DEAA" w14:textId="7EF276CC" w:rsidR="007F0C25" w:rsidRPr="002D500B" w:rsidRDefault="00000000" w:rsidP="002D500B">
      <w:pPr>
        <w:rPr>
          <w:rtl/>
        </w:rPr>
      </w:pPr>
      <w:r>
        <w:br w:type="page"/>
      </w:r>
    </w:p>
    <w:p w14:paraId="561B17FA" w14:textId="07EB2796" w:rsidR="007709ED" w:rsidRDefault="00000000" w:rsidP="00F45A8E">
      <w:pPr>
        <w:bidi/>
        <w:spacing w:before="320" w:after="120"/>
        <w:jc w:val="center"/>
      </w:pPr>
      <w:r>
        <w:rPr>
          <w:b/>
          <w:bCs/>
          <w:color w:val="1F3864"/>
          <w:sz w:val="36"/>
          <w:szCs w:val="36"/>
          <w:rtl/>
        </w:rPr>
        <w:lastRenderedPageBreak/>
        <w:t>الملخص</w:t>
      </w:r>
    </w:p>
    <w:p w14:paraId="6873A297" w14:textId="77777777" w:rsidR="007709ED" w:rsidRDefault="00000000" w:rsidP="007F0C25">
      <w:pPr>
        <w:bidi/>
        <w:spacing w:after="120" w:line="276" w:lineRule="auto"/>
        <w:ind w:firstLine="284"/>
        <w:jc w:val="both"/>
      </w:pPr>
      <w:r>
        <w:rPr>
          <w:color w:val="000000"/>
          <w:rtl/>
        </w:rPr>
        <w:t>هدفت هذه الدراسة إلى قياس وتحليل فاعلية أدوات التمويل البديل في معالجة فجوة التمويل لدى المشروعات الصغيرة والمتوسطة في المملكة العربية السعودية، وذلك من خلال أربعة أبعاد للتمويل البديل هي سهولة الوصول ومرونة الشروط وسرعة الإجراءات وتنوع الأدوات، بوصفها متغيرات مستقلة، وفجوة التمويل بوصفها متغيراً تابعاً. واعتمدت الدراسة المنهج الوصفي التحليلي ذا الطابع الكمي الاستكشافي، وطُبّقت أداة الاستبانة إلكترونياً على مُلّاك ومديري ومسؤولي المشروعات الصغيرة والمتوسطة خلال الفترة من التاسع من يونيو إلى السابع عشر من يوليو 2026م. وبعد استبعاد غير المؤهلين عبر أسئلة الفرز، بلغت العينة النهائية الصالحة للتحليل أربعاً وعشرين استجابة.</w:t>
      </w:r>
    </w:p>
    <w:p w14:paraId="373173B7" w14:textId="77777777" w:rsidR="007709ED" w:rsidRDefault="00000000" w:rsidP="007F0C25">
      <w:pPr>
        <w:bidi/>
        <w:spacing w:after="120" w:line="276" w:lineRule="auto"/>
        <w:ind w:firstLine="284"/>
        <w:jc w:val="both"/>
      </w:pPr>
      <w:r>
        <w:rPr>
          <w:color w:val="000000"/>
          <w:rtl/>
        </w:rPr>
        <w:t>وأظهرت النتائج تمتّع أداة الدراسة بثبات مرتفع، ووجود علاقات ارتباط موجبة ودالة إحصائياً بين جميع أبعاد التمويل البديل وبين خفض فجوة التمويل، بما يدعم الفرضية الرئيسة والفرضيات الفرعية الأربع. كما كشفت الدراسة عن انخفاض واضح في مستوى الوعي بأدوات التمويل البديل وضعف الاستخدام الفعلي لها لدى عينة الدراسة، وعن وجود فروق دالة في تقدير الفاعلية تبعاً لحجم المنشأة. وخلصت الدراسة إلى مجموعة من التوصيات أبرزها رفع الوعي بأدوات التمويل البديل وتطوير البيئة التنظيمية والتقنية الداعمة لها. ونظراً لصغر حجم العينة والطابع الإدراكي للاستجابات، تُقدَّم النتائج بوصفها مؤشرات استكشافية تمهّد لدراسات أوسع.</w:t>
      </w:r>
    </w:p>
    <w:p w14:paraId="7F310CCB" w14:textId="77777777" w:rsidR="007709ED" w:rsidRDefault="00000000" w:rsidP="007F0C25">
      <w:pPr>
        <w:bidi/>
        <w:spacing w:after="120" w:line="276" w:lineRule="auto"/>
        <w:ind w:firstLine="284"/>
        <w:jc w:val="both"/>
      </w:pPr>
      <w:r>
        <w:rPr>
          <w:color w:val="000000"/>
          <w:rtl/>
        </w:rPr>
        <w:t>الكلمات المفتاحية: التمويل البديل، فجوة التمويل، المشروعات الصغيرة والمتوسطة، الشمول المالي، التقنية المالية، المملكة العربية السعودية.</w:t>
      </w:r>
    </w:p>
    <w:p w14:paraId="17C4B55E" w14:textId="77777777" w:rsidR="007709ED" w:rsidRDefault="00000000">
      <w:r>
        <w:br w:type="page"/>
      </w:r>
    </w:p>
    <w:p w14:paraId="706EA718" w14:textId="77777777" w:rsidR="007709ED" w:rsidRDefault="00000000">
      <w:pPr>
        <w:bidi/>
        <w:spacing w:before="320" w:after="120"/>
        <w:jc w:val="right"/>
      </w:pPr>
      <w:r>
        <w:rPr>
          <w:b/>
          <w:bCs/>
          <w:color w:val="1F3864"/>
          <w:sz w:val="36"/>
          <w:szCs w:val="36"/>
          <w:rtl/>
        </w:rPr>
        <w:lastRenderedPageBreak/>
        <w:t>Abstract</w:t>
      </w:r>
    </w:p>
    <w:p w14:paraId="600D3CA7" w14:textId="77777777" w:rsidR="007709ED" w:rsidRDefault="00000000">
      <w:pPr>
        <w:spacing w:after="120"/>
        <w:jc w:val="both"/>
      </w:pPr>
      <w:r>
        <w:t>This study aimed to measure and analyze the effectiveness of alternative finance tools in addressing the financing gap of small and medium enterprises (SMEs) in the Kingdom of Saudi Arabia, through four dimensions of alternative finance (ease of access, flexibility of terms, speed of procedures, and diversity of tools) as independent variables, and the financing gap as the dependent variable. The study adopted a descriptive-analytical quantitative exploratory approach. A questionnaire was distributed electronically to owners and managers of SMEs between 9 June and 17 July 2026. After excluding ineligible respondents through screening questions, the final valid sample was 24 responses.</w:t>
      </w:r>
    </w:p>
    <w:p w14:paraId="76DCB319" w14:textId="77777777" w:rsidR="007709ED" w:rsidRDefault="00000000">
      <w:pPr>
        <w:spacing w:after="120"/>
        <w:jc w:val="both"/>
      </w:pPr>
      <w:r>
        <w:t>The results showed high reliability of the instrument and statistically significant positive correlations between all dimensions of alternative finance and the reduction of the financing gap, supporting the main and the four sub-hypotheses. The study also revealed a clearly low level of awareness of alternative finance tools and weak actual usage among the sample, and significant differences in perceived effectiveness according to firm size. The study concluded with recommendations, most notably raising awareness of alternative finance tools and developing the supporting regulatory and technical environment. Given the small sample size and the perceptual nature of the responses, the findings are presented as exploratory indicators that pave the way for broader studies.</w:t>
      </w:r>
    </w:p>
    <w:p w14:paraId="0BCFBD85" w14:textId="77777777" w:rsidR="007709ED" w:rsidRDefault="00000000">
      <w:pPr>
        <w:spacing w:after="120"/>
        <w:jc w:val="both"/>
      </w:pPr>
      <w:r>
        <w:t>Keywords: Alternative finance, Financing gap, SMEs, Financial inclusion, FinTech, Saudi Arabia.</w:t>
      </w:r>
    </w:p>
    <w:p w14:paraId="3BA65F79" w14:textId="77777777" w:rsidR="007709ED" w:rsidRDefault="00000000">
      <w:r>
        <w:br w:type="page"/>
      </w:r>
    </w:p>
    <w:p w14:paraId="019E54A9" w14:textId="77777777" w:rsidR="007709ED" w:rsidRDefault="00000000">
      <w:pPr>
        <w:bidi/>
        <w:spacing w:before="240" w:after="60"/>
        <w:jc w:val="center"/>
      </w:pPr>
      <w:r>
        <w:rPr>
          <w:b/>
          <w:bCs/>
          <w:color w:val="1F3864"/>
          <w:sz w:val="40"/>
          <w:szCs w:val="40"/>
          <w:rtl/>
        </w:rPr>
        <w:lastRenderedPageBreak/>
        <w:t>الفصل الأول</w:t>
      </w:r>
    </w:p>
    <w:p w14:paraId="32227CEF" w14:textId="77777777" w:rsidR="007709ED" w:rsidRDefault="00000000">
      <w:pPr>
        <w:pBdr>
          <w:bottom w:val="single" w:sz="12" w:space="6" w:color="2E74B5"/>
        </w:pBdr>
        <w:bidi/>
        <w:spacing w:after="300"/>
        <w:jc w:val="center"/>
      </w:pPr>
      <w:r>
        <w:rPr>
          <w:b/>
          <w:bCs/>
          <w:color w:val="1F3864"/>
          <w:sz w:val="40"/>
          <w:szCs w:val="40"/>
          <w:rtl/>
        </w:rPr>
        <w:t>الإطار العام للبحث</w:t>
      </w:r>
    </w:p>
    <w:p w14:paraId="701FB6BD" w14:textId="77777777" w:rsidR="007709ED" w:rsidRDefault="00000000" w:rsidP="00F45A8E">
      <w:pPr>
        <w:bidi/>
        <w:spacing w:before="320" w:after="120"/>
      </w:pPr>
      <w:r>
        <w:rPr>
          <w:b/>
          <w:bCs/>
          <w:color w:val="1F3864"/>
          <w:sz w:val="36"/>
          <w:szCs w:val="36"/>
          <w:rtl/>
        </w:rPr>
        <w:t>تمهيد</w:t>
      </w:r>
    </w:p>
    <w:p w14:paraId="0BB254CE" w14:textId="77777777" w:rsidR="007709ED" w:rsidRDefault="00000000">
      <w:pPr>
        <w:bidi/>
        <w:spacing w:after="120"/>
        <w:ind w:firstLine="284"/>
        <w:jc w:val="both"/>
      </w:pPr>
      <w:r>
        <w:rPr>
          <w:color w:val="000000"/>
          <w:rtl/>
        </w:rPr>
        <w:t>تحتل المشروعات الصغيرة والمتوسطة موقعاً محورياً في بنية الاقتصادات المعاصرة، إذ تمثل الغالبية العظمى من المنشآت العاملة، وتسهم إسهاماً بارزاً في توليد فرص العمل وتنويع القاعدة الإنتاجية وتنشيط الابتكار ودعم سلاسل الإمداد المحلية. غير أن هذا الدور المحوري كثيراً ما يقابله ضعف نسبي في قدرة هذه المشروعات على الوصول إلى التمويل المناسب في التوقيت المناسب وبالشروط الملائمة، وهو ما يفرز ظاهرة يشيع تسميتها بفجوة التمويل، تتمثل في الفارق بين الاحتياجات التمويلية الفعلية للمشروع وبين ما يستطيع الحصول عليه فعلاً من مصادر التمويل المتاحة.</w:t>
      </w:r>
    </w:p>
    <w:p w14:paraId="536C2080" w14:textId="77777777" w:rsidR="007709ED" w:rsidRDefault="00000000">
      <w:pPr>
        <w:bidi/>
        <w:spacing w:after="120"/>
        <w:ind w:firstLine="284"/>
        <w:jc w:val="both"/>
      </w:pPr>
      <w:r>
        <w:rPr>
          <w:color w:val="000000"/>
          <w:rtl/>
        </w:rPr>
        <w:t>وتشير الأدبيات الاقتصادية إلى أن جذور هذه الفجوة ليست مجرد نقص في الأموال، بل ترتبط بعوامل هيكلية أعمق، من أبرزها عدم تماثل المعلومات بين طالب التمويل والجهة الممولة، وارتفاع تكاليف التقييم والمتابعة لدى المؤسسات المالية التقليدية، ومحدودية الضمانات المتاحة لدى المنشآت الأصغر حجماً، وحداثة كثير من هذه المشروعات وضعف سجلها الائتماني (Berger and Udell, 2006; Beck, Demirgüç-Kunt, and Maksimovic, 2008). وتؤدي هذه العوامل مجتمعة إلى ترشيد ائتماني يجعل جزءاً من المنشآت ذات الجدارة محروماً من التمويل أو خاضعاً لشروط غير ملائمة.</w:t>
      </w:r>
    </w:p>
    <w:p w14:paraId="7627BB25" w14:textId="77777777" w:rsidR="007709ED" w:rsidRDefault="00000000">
      <w:pPr>
        <w:bidi/>
        <w:spacing w:after="120"/>
        <w:ind w:firstLine="284"/>
        <w:jc w:val="both"/>
      </w:pPr>
      <w:r>
        <w:rPr>
          <w:color w:val="000000"/>
          <w:rtl/>
        </w:rPr>
        <w:t>وقد شهد العقد الأخير تحولاً رقمياً متسارعاً في القطاع المالي أفضى إلى بروز طيف من أدوات التمويل البديل التي تتجاوز القنوات المصرفية التقليدية، مثل التمويل الجماعي والتمويل التشاركي وتمويل الفواتير وسلاسل الإمداد والتمويل القائم على الإيراد ورأس المال الجريء والمستثمرين الملائكيين والتأجير التمويلي. وتتميز هذه الأدوات في كثير من الحالات بمرونة أعلى وسرعة أكبر في اتخاذ القرار واعتماد أوسع على البيانات البديلة والمنصات الرقمية، بما قد يرفع احتمالية وصول شرائح كانت مستبعدة أو محدودة الخدمة في القنوات التقليدية (OECD, 2015; World Bank, 2024).</w:t>
      </w:r>
    </w:p>
    <w:p w14:paraId="6D4362D0" w14:textId="77777777" w:rsidR="007709ED" w:rsidRDefault="00000000">
      <w:pPr>
        <w:bidi/>
        <w:spacing w:after="120"/>
        <w:ind w:firstLine="284"/>
        <w:jc w:val="both"/>
      </w:pPr>
      <w:r>
        <w:rPr>
          <w:color w:val="000000"/>
          <w:rtl/>
        </w:rPr>
        <w:t xml:space="preserve">وفي المملكة العربية السعودية يكتسب هذا الموضوع أهمية خاصة، إذ لا تمثل المملكة سوقاً نامية لهذه المشروعات فحسب، بل تشهد أيضاً تحولاً مؤسسياً وتنظيمياً متسارعاً في إطار رؤية المملكة 2030 التي أكدت على دعم ريادة الأعمال وتحسين بيئة الأعمال وتيسير الوصول إلى التمويل بوصفها عناصر أساسية في بناء اقتصاد أكثر تنوعاً (Kingdom of Saudi Arabia, 2016). وقد واكب ذلك تطور </w:t>
      </w:r>
      <w:r>
        <w:rPr>
          <w:color w:val="000000"/>
          <w:rtl/>
        </w:rPr>
        <w:lastRenderedPageBreak/>
        <w:t>في الأطر التنظيمية للتقنية المالية والتمويل الجماعي والاستثمار الجريء صادر عن الجهات المنظمة (Saudi Central Bank, 2024; Capital Market Authority, 2024). ومع ذلك، فإن اتساع الخيارات المتاحة لا يعني بالضرورة تحقق الأثر المنشود، إذ تُقاس فاعلية الأداة التمويلية بقدرتها على معالجة المشكلة فعلياً لا بمجرد وجودها التشريعي أو المؤسسي. ومن هنا تنطلق هذه الدراسة لتبحث مدى فاعلية أدوات التمويل البديل في تضييق فجوة التمويل لدى المشروعات الصغيرة والمتوسطة في السوق السعودية.</w:t>
      </w:r>
    </w:p>
    <w:p w14:paraId="4D32C6D0" w14:textId="77777777" w:rsidR="007709ED" w:rsidRDefault="00000000" w:rsidP="00F45A8E">
      <w:pPr>
        <w:bidi/>
        <w:spacing w:before="320" w:after="120"/>
      </w:pPr>
      <w:r>
        <w:rPr>
          <w:b/>
          <w:bCs/>
          <w:color w:val="1F3864"/>
          <w:sz w:val="36"/>
          <w:szCs w:val="36"/>
          <w:rtl/>
        </w:rPr>
        <w:t>مشكلة البحث وأسئلته</w:t>
      </w:r>
    </w:p>
    <w:p w14:paraId="30020024" w14:textId="77777777" w:rsidR="007709ED" w:rsidRDefault="00000000">
      <w:pPr>
        <w:bidi/>
        <w:spacing w:after="120"/>
        <w:ind w:firstLine="284"/>
        <w:jc w:val="both"/>
      </w:pPr>
      <w:r>
        <w:rPr>
          <w:color w:val="000000"/>
          <w:rtl/>
        </w:rPr>
        <w:t>تكمن مشكلة البحث في وجود فجوة مستمرة بين الاحتياجات التمويلية للمشروعات الصغيرة والمتوسطة وبين ما توفره قنوات التمويل التقليدية من حلول ملائمة في التوقيت المناسب؛ فهذه المشروعات، رغم دورها الاقتصادي المحوري، كثيراً ما تواجه عراقيل عند طلب التمويل، مثل اشتراط الضمانات العالية وطول مدة الإجراءات وارتفاع تكلفة التمويل وضعف فهم الجهات الممولة لطبيعة تدفقاتها النقدية. ونتيجة لذلك قد تضطر بعض المشروعات إلى تقليص خططها التشغيلية أو تأجيل توسعها أو الاعتماد على تمويل ذاتي محدود أو غير منظم.</w:t>
      </w:r>
    </w:p>
    <w:p w14:paraId="57CC321A" w14:textId="77777777" w:rsidR="007709ED" w:rsidRDefault="00000000">
      <w:pPr>
        <w:bidi/>
        <w:spacing w:after="120"/>
        <w:ind w:firstLine="284"/>
        <w:jc w:val="both"/>
      </w:pPr>
      <w:r>
        <w:rPr>
          <w:color w:val="000000"/>
          <w:rtl/>
        </w:rPr>
        <w:t>ومع تطور أدوات التمويل البديل واتساع بنيتها التنظيمية والتقنية، برزت فرضية مؤداها أن جزءاً معتبراً من هذه الفجوة يمكن معالجته من خلال أدوات أكثر مرونة واعتماداً على التقنيات الحديثة والبيانات البديلة. غير أن الأدلة التطبيقية المحلية التي تقيس حجم هذا الأثر واتجاهه في البيئة السعودية لا تزال محدودة نسبياً، ومن هنا تظهر الحاجة إلى بحث تطبيقي يختبر مدى فاعلية تلك الأدوات في تضييق الفجوة التمويلية، ويفحص ما إذا كانت تمثل حلاً تكميلياً محدود النطاق أم خياراً تمويلياً ذا أثر جوهري. وبناءً على ما تقدم يمكن صياغة سؤال البحث الرئيس وأسئلته الفرعية على النحو الآتي.</w:t>
      </w:r>
    </w:p>
    <w:p w14:paraId="4FAB0528" w14:textId="77777777" w:rsidR="007709ED" w:rsidRPr="00F45A8E" w:rsidRDefault="00000000" w:rsidP="00F45A8E">
      <w:pPr>
        <w:bidi/>
        <w:spacing w:before="140" w:after="80"/>
        <w:rPr>
          <w:color w:val="0070C0"/>
        </w:rPr>
      </w:pPr>
      <w:r w:rsidRPr="00F45A8E">
        <w:rPr>
          <w:b/>
          <w:bCs/>
          <w:color w:val="0070C0"/>
          <w:rtl/>
        </w:rPr>
        <w:t>السؤال الرئيس</w:t>
      </w:r>
    </w:p>
    <w:p w14:paraId="6EF1B714" w14:textId="77777777" w:rsidR="007709ED" w:rsidRDefault="00000000">
      <w:pPr>
        <w:bidi/>
        <w:spacing w:after="120"/>
        <w:ind w:firstLine="284"/>
        <w:jc w:val="both"/>
      </w:pPr>
      <w:r>
        <w:rPr>
          <w:color w:val="000000"/>
          <w:rtl/>
        </w:rPr>
        <w:t>ما مدى فاعلية أدوات التمويل البديل في معالجة فجوة التمويل لدى المشروعات الصغيرة والمتوسطة في المملكة العربية السعودية؟</w:t>
      </w:r>
    </w:p>
    <w:p w14:paraId="4A097B84" w14:textId="77777777" w:rsidR="007709ED" w:rsidRPr="00F45A8E" w:rsidRDefault="00000000" w:rsidP="00F45A8E">
      <w:pPr>
        <w:bidi/>
        <w:spacing w:before="140" w:after="80"/>
        <w:rPr>
          <w:color w:val="0070C0"/>
        </w:rPr>
      </w:pPr>
      <w:r w:rsidRPr="00F45A8E">
        <w:rPr>
          <w:b/>
          <w:bCs/>
          <w:color w:val="0070C0"/>
          <w:rtl/>
        </w:rPr>
        <w:t>الأسئلة الفرعية</w:t>
      </w:r>
    </w:p>
    <w:p w14:paraId="68D45D87" w14:textId="77777777" w:rsidR="007709ED" w:rsidRDefault="00000000">
      <w:pPr>
        <w:bidi/>
        <w:spacing w:after="80"/>
        <w:ind w:left="340"/>
        <w:jc w:val="both"/>
      </w:pPr>
      <w:r>
        <w:rPr>
          <w:color w:val="000000"/>
          <w:rtl/>
        </w:rPr>
        <w:t>1. ما أبرز أدوات التمويل البديل ذات الصلة بتمويل المشروعات الصغيرة والمتوسطة في المملكة العربية السعودية؟</w:t>
      </w:r>
    </w:p>
    <w:p w14:paraId="3614F76F" w14:textId="77777777" w:rsidR="007709ED" w:rsidRDefault="00000000">
      <w:pPr>
        <w:bidi/>
        <w:spacing w:after="80"/>
        <w:ind w:left="340"/>
        <w:jc w:val="both"/>
      </w:pPr>
      <w:r>
        <w:rPr>
          <w:color w:val="000000"/>
          <w:rtl/>
        </w:rPr>
        <w:t>2. ما العوامل التي تسهم في استمرار فجوة التمويل لدى المشروعات الصغيرة والمتوسطة رغم تعدد المبادرات والبرامج التمويلية؟</w:t>
      </w:r>
    </w:p>
    <w:p w14:paraId="5D652CAC" w14:textId="77777777" w:rsidR="007709ED" w:rsidRDefault="00000000">
      <w:pPr>
        <w:bidi/>
        <w:spacing w:after="80"/>
        <w:ind w:left="340"/>
        <w:jc w:val="both"/>
      </w:pPr>
      <w:r>
        <w:rPr>
          <w:color w:val="000000"/>
          <w:rtl/>
        </w:rPr>
        <w:lastRenderedPageBreak/>
        <w:t>3. إلى أي مدى تسهم أدوات التمويل البديل في تحسين الوصول إلى التمويل من حيث السرعة والمرونة والملاءمة والتكلفة؟</w:t>
      </w:r>
    </w:p>
    <w:p w14:paraId="0D6FAA0A" w14:textId="77777777" w:rsidR="007709ED" w:rsidRDefault="00000000">
      <w:pPr>
        <w:bidi/>
        <w:spacing w:after="80"/>
        <w:ind w:left="340"/>
        <w:jc w:val="both"/>
      </w:pPr>
      <w:r>
        <w:rPr>
          <w:color w:val="000000"/>
          <w:rtl/>
        </w:rPr>
        <w:t>4. هل تختلف فاعلية أدوات التمويل البديل باختلاف حجم المشروع وعمره وقطاعه ومرحلته التمويلية؟</w:t>
      </w:r>
    </w:p>
    <w:p w14:paraId="0FDAF629" w14:textId="77777777" w:rsidR="007709ED" w:rsidRDefault="00000000">
      <w:pPr>
        <w:bidi/>
        <w:spacing w:after="80"/>
        <w:ind w:left="340"/>
        <w:jc w:val="both"/>
      </w:pPr>
      <w:r>
        <w:rPr>
          <w:color w:val="000000"/>
          <w:rtl/>
        </w:rPr>
        <w:t>5. ما المعوقات التنظيمية أو التقنية أو المعرفية أو السلوكية التي تحد من استفادة المشروعات الصغيرة والمتوسطة من هذه الأدوات؟</w:t>
      </w:r>
    </w:p>
    <w:p w14:paraId="5E224308" w14:textId="77777777" w:rsidR="007709ED" w:rsidRDefault="00000000">
      <w:pPr>
        <w:bidi/>
        <w:spacing w:after="80"/>
        <w:ind w:left="340"/>
        <w:jc w:val="both"/>
      </w:pPr>
      <w:r>
        <w:rPr>
          <w:color w:val="000000"/>
          <w:rtl/>
        </w:rPr>
        <w:t>6. ما الإطار التطبيقي المقترح لتعظيم دور التمويل البديل في تضييق فجوة التمويل في السوق السعودية؟</w:t>
      </w:r>
    </w:p>
    <w:p w14:paraId="63727653" w14:textId="77777777" w:rsidR="007709ED" w:rsidRDefault="00000000" w:rsidP="00F45A8E">
      <w:pPr>
        <w:bidi/>
        <w:spacing w:before="320" w:after="120"/>
      </w:pPr>
      <w:r>
        <w:rPr>
          <w:b/>
          <w:bCs/>
          <w:color w:val="1F3864"/>
          <w:sz w:val="36"/>
          <w:szCs w:val="36"/>
          <w:rtl/>
        </w:rPr>
        <w:t>أهمية البحث</w:t>
      </w:r>
    </w:p>
    <w:p w14:paraId="393247FD" w14:textId="77777777" w:rsidR="007709ED" w:rsidRPr="00F45A8E" w:rsidRDefault="00000000" w:rsidP="00F45A8E">
      <w:pPr>
        <w:bidi/>
        <w:spacing w:before="140" w:after="80"/>
        <w:rPr>
          <w:color w:val="0070C0"/>
        </w:rPr>
      </w:pPr>
      <w:r w:rsidRPr="00F45A8E">
        <w:rPr>
          <w:b/>
          <w:bCs/>
          <w:color w:val="0070C0"/>
          <w:rtl/>
        </w:rPr>
        <w:t>الأهمية العلمية</w:t>
      </w:r>
    </w:p>
    <w:p w14:paraId="590075B9" w14:textId="77777777" w:rsidR="007709ED" w:rsidRDefault="00000000">
      <w:pPr>
        <w:bidi/>
        <w:spacing w:after="120"/>
        <w:ind w:firstLine="284"/>
        <w:jc w:val="both"/>
      </w:pPr>
      <w:r>
        <w:rPr>
          <w:color w:val="000000"/>
          <w:rtl/>
        </w:rPr>
        <w:t>تنبع الأهمية العلمية للدراسة من أنها تتناول موضوعاً حديثاً نسبياً في الأدبيات العربية، وتربط بين متغيرين رئيسين لهما أثر واضح في أداء المنشآت الصغيرة والمتوسطة، هما أدوات التمويل البديل وفجوة التمويل، في سياق سعودي يمر بتحول مؤسسي وتنظيمي مهم في مجالات التقنية المالية والتمويل والاستثمار وريادة الأعمال. كما تضيف الدراسة قيمة معرفية من خلال بناء إطار نظري يربط بين عدم تماثل المعلومات والشمول المالي والابتكار المالي، ثم اختبار العلاقة بين هذه الأبعاد في حالة تطبيقية، ومعالجة التمويل البديل بوصفه مظلة متعددة الأدوات لا أداة منفردة، وهو ما يوسّع قاعدة المعرفة المتاحة في هذا الحقل.</w:t>
      </w:r>
    </w:p>
    <w:p w14:paraId="01B1189F" w14:textId="77777777" w:rsidR="007709ED" w:rsidRPr="00F45A8E" w:rsidRDefault="00000000" w:rsidP="00F45A8E">
      <w:pPr>
        <w:bidi/>
        <w:spacing w:before="140" w:after="80"/>
        <w:rPr>
          <w:color w:val="0070C0"/>
        </w:rPr>
      </w:pPr>
      <w:r w:rsidRPr="00F45A8E">
        <w:rPr>
          <w:b/>
          <w:bCs/>
          <w:color w:val="0070C0"/>
          <w:rtl/>
        </w:rPr>
        <w:t>الأهمية التطبيقية</w:t>
      </w:r>
    </w:p>
    <w:p w14:paraId="020A3A25" w14:textId="77777777" w:rsidR="007709ED" w:rsidRDefault="00000000">
      <w:pPr>
        <w:bidi/>
        <w:spacing w:after="120"/>
        <w:ind w:firstLine="284"/>
        <w:jc w:val="both"/>
        <w:rPr>
          <w:color w:val="000000"/>
          <w:rtl/>
        </w:rPr>
      </w:pPr>
      <w:r>
        <w:rPr>
          <w:color w:val="000000"/>
          <w:rtl/>
        </w:rPr>
        <w:t>من الناحية التطبيقية يمكن أن توفر نتائج الدراسة مؤشرات عملية لصنّاع السياسات والجهات التنظيمية بشأن الأدوات الأكثر قدرة على خدمة احتياجات المشروعات الصغيرة والمتوسطة والعوائق التي تحد من الاستفادة منها، كما يمكن أن تساعد المؤسسات التمويلية ومنصات التقنية المالية في تطوير منتجات أكثر توافقاً مع دورة حياة المشروع وخصائصه التشغيلية. وتسهم الدراسة كذلك في رفع وعي أصحاب المشروعات بخيارات التمويل المتاحة خارج الإطار المصرفي التقليدي، وفي بناء إطار إرشادي يساعد المشاريع على اختيار البديل التمويلي الأنسب.</w:t>
      </w:r>
    </w:p>
    <w:p w14:paraId="685D48C4" w14:textId="77777777" w:rsidR="00F45A8E" w:rsidRDefault="00F45A8E" w:rsidP="00F45A8E">
      <w:pPr>
        <w:bidi/>
        <w:spacing w:after="120"/>
        <w:ind w:firstLine="284"/>
        <w:jc w:val="both"/>
        <w:rPr>
          <w:color w:val="000000"/>
          <w:rtl/>
        </w:rPr>
      </w:pPr>
    </w:p>
    <w:p w14:paraId="481DB3B1" w14:textId="77777777" w:rsidR="00F45A8E" w:rsidRDefault="00F45A8E" w:rsidP="00F45A8E">
      <w:pPr>
        <w:bidi/>
        <w:spacing w:after="120"/>
        <w:ind w:firstLine="284"/>
        <w:jc w:val="both"/>
      </w:pPr>
    </w:p>
    <w:p w14:paraId="5D6561A1" w14:textId="77777777" w:rsidR="007709ED" w:rsidRDefault="00000000" w:rsidP="00F45A8E">
      <w:pPr>
        <w:bidi/>
        <w:spacing w:before="320" w:after="120"/>
      </w:pPr>
      <w:r>
        <w:rPr>
          <w:b/>
          <w:bCs/>
          <w:color w:val="1F3864"/>
          <w:sz w:val="36"/>
          <w:szCs w:val="36"/>
          <w:rtl/>
        </w:rPr>
        <w:lastRenderedPageBreak/>
        <w:t>أهداف البحث</w:t>
      </w:r>
    </w:p>
    <w:p w14:paraId="155F3334" w14:textId="77777777" w:rsidR="007709ED" w:rsidRPr="00F45A8E" w:rsidRDefault="00000000" w:rsidP="00F45A8E">
      <w:pPr>
        <w:bidi/>
        <w:spacing w:before="140" w:after="80"/>
        <w:rPr>
          <w:color w:val="0070C0"/>
        </w:rPr>
      </w:pPr>
      <w:r w:rsidRPr="00F45A8E">
        <w:rPr>
          <w:b/>
          <w:bCs/>
          <w:color w:val="0070C0"/>
          <w:rtl/>
        </w:rPr>
        <w:t>الهدف العام</w:t>
      </w:r>
    </w:p>
    <w:p w14:paraId="003C1C4C" w14:textId="77777777" w:rsidR="007709ED" w:rsidRDefault="00000000">
      <w:pPr>
        <w:bidi/>
        <w:spacing w:after="120"/>
        <w:ind w:firstLine="284"/>
        <w:jc w:val="both"/>
      </w:pPr>
      <w:r>
        <w:rPr>
          <w:color w:val="000000"/>
          <w:rtl/>
        </w:rPr>
        <w:t>يهدف البحث بصفة عامة إلى قياس وتحليل فاعلية أدوات التمويل البديل في معالجة فجوة التمويل لدى المشروعات الصغيرة والمتوسطة في المملكة العربية السعودية.</w:t>
      </w:r>
    </w:p>
    <w:p w14:paraId="1D165140" w14:textId="77777777" w:rsidR="007709ED" w:rsidRPr="00F45A8E" w:rsidRDefault="00000000" w:rsidP="00F45A8E">
      <w:pPr>
        <w:bidi/>
        <w:spacing w:before="140" w:after="80"/>
        <w:rPr>
          <w:color w:val="0070C0"/>
        </w:rPr>
      </w:pPr>
      <w:r w:rsidRPr="00F45A8E">
        <w:rPr>
          <w:b/>
          <w:bCs/>
          <w:color w:val="0070C0"/>
          <w:rtl/>
        </w:rPr>
        <w:t>الأهداف التفصيلية</w:t>
      </w:r>
    </w:p>
    <w:p w14:paraId="7C37BC38" w14:textId="77777777" w:rsidR="007709ED" w:rsidRDefault="00000000">
      <w:pPr>
        <w:bidi/>
        <w:spacing w:after="80"/>
        <w:ind w:left="340"/>
        <w:jc w:val="both"/>
      </w:pPr>
      <w:r>
        <w:rPr>
          <w:color w:val="000000"/>
          <w:rtl/>
        </w:rPr>
        <w:t>1. تحديد مفهوم فجوة التمويل لدى المشروعات الصغيرة والمتوسطة وأسبابها الرئيسة.</w:t>
      </w:r>
    </w:p>
    <w:p w14:paraId="013CB2DF" w14:textId="77777777" w:rsidR="007709ED" w:rsidRDefault="00000000">
      <w:pPr>
        <w:bidi/>
        <w:spacing w:after="80"/>
        <w:ind w:left="340"/>
        <w:jc w:val="both"/>
      </w:pPr>
      <w:r>
        <w:rPr>
          <w:color w:val="000000"/>
          <w:rtl/>
        </w:rPr>
        <w:t>2. تحليل أهم أدوات التمويل البديل المناسبة للمشروعات الصغيرة والمتوسطة في السياق السعودي.</w:t>
      </w:r>
    </w:p>
    <w:p w14:paraId="10A6D8AD" w14:textId="77777777" w:rsidR="007709ED" w:rsidRDefault="00000000">
      <w:pPr>
        <w:bidi/>
        <w:spacing w:after="80"/>
        <w:ind w:left="340"/>
        <w:jc w:val="both"/>
      </w:pPr>
      <w:r>
        <w:rPr>
          <w:color w:val="000000"/>
          <w:rtl/>
        </w:rPr>
        <w:t>3. قياس أثر أدوات التمويل البديل على سهولة الوصول إلى التمويل وسرعة الحصول عليه ومرونة شروطه.</w:t>
      </w:r>
    </w:p>
    <w:p w14:paraId="6BD31925" w14:textId="77777777" w:rsidR="007709ED" w:rsidRDefault="00000000">
      <w:pPr>
        <w:bidi/>
        <w:spacing w:after="80"/>
        <w:ind w:left="340"/>
        <w:jc w:val="both"/>
      </w:pPr>
      <w:r>
        <w:rPr>
          <w:color w:val="000000"/>
          <w:rtl/>
        </w:rPr>
        <w:t>4. اختبار العلاقة بين استخدام أدوات التمويل البديل وبين خفض مؤشرات فجوة التمويل لدى المشروعات الصغيرة والمتوسطة.</w:t>
      </w:r>
    </w:p>
    <w:p w14:paraId="1C78A3E8" w14:textId="77777777" w:rsidR="007709ED" w:rsidRDefault="00000000">
      <w:pPr>
        <w:bidi/>
        <w:spacing w:after="80"/>
        <w:ind w:left="340"/>
        <w:jc w:val="both"/>
      </w:pPr>
      <w:r>
        <w:rPr>
          <w:color w:val="000000"/>
          <w:rtl/>
        </w:rPr>
        <w:t>5. تحليل الفروق في إدراك الفاعلية وفقاً لخصائص المشروع مثل الحجم والعمر والقطاع والمرحلة التمويلية.</w:t>
      </w:r>
    </w:p>
    <w:p w14:paraId="5B34B619" w14:textId="77777777" w:rsidR="007709ED" w:rsidRDefault="00000000">
      <w:pPr>
        <w:bidi/>
        <w:spacing w:after="80"/>
        <w:ind w:left="340"/>
        <w:jc w:val="both"/>
      </w:pPr>
      <w:r>
        <w:rPr>
          <w:color w:val="000000"/>
          <w:rtl/>
        </w:rPr>
        <w:t>6. استكشاف التحديات التي تحد من التوسع في استخدام أدوات التمويل البديل أو من فاعليتها العملية.</w:t>
      </w:r>
    </w:p>
    <w:p w14:paraId="103ACD7A" w14:textId="77777777" w:rsidR="007709ED" w:rsidRDefault="00000000">
      <w:pPr>
        <w:bidi/>
        <w:spacing w:after="80"/>
        <w:ind w:left="340"/>
        <w:jc w:val="both"/>
      </w:pPr>
      <w:r>
        <w:rPr>
          <w:color w:val="000000"/>
          <w:rtl/>
        </w:rPr>
        <w:t>7. تقديم إطار مقترح لتعزيز مساهمة التمويل البديل في تضييق الفجوة التمويلية في المملكة العربية السعودية.</w:t>
      </w:r>
    </w:p>
    <w:p w14:paraId="3AE9867B" w14:textId="77777777" w:rsidR="007709ED" w:rsidRDefault="00000000" w:rsidP="00F45A8E">
      <w:pPr>
        <w:bidi/>
        <w:spacing w:before="320" w:after="120"/>
      </w:pPr>
      <w:r>
        <w:rPr>
          <w:b/>
          <w:bCs/>
          <w:color w:val="1F3864"/>
          <w:sz w:val="36"/>
          <w:szCs w:val="36"/>
          <w:rtl/>
        </w:rPr>
        <w:t>فروض البحث</w:t>
      </w:r>
    </w:p>
    <w:p w14:paraId="2BD8E943" w14:textId="77777777" w:rsidR="007709ED" w:rsidRDefault="00000000">
      <w:pPr>
        <w:bidi/>
        <w:spacing w:after="120"/>
        <w:ind w:firstLine="284"/>
        <w:jc w:val="both"/>
      </w:pPr>
      <w:r>
        <w:rPr>
          <w:color w:val="000000"/>
          <w:rtl/>
        </w:rPr>
        <w:t>اعتماداً على طبيعة المشكلة البحثية وعلى المنهج الكمي المتبع، تُصاغ الفرضيات في صورة قابلة للاختبار الإحصائي تربط بين أبعاد أدوات التمويل البديل بوصفها متغيرات مستقلة وبين فجوة التمويل بوصفها متغيراً تابعاً، على النحو الآتي.</w:t>
      </w:r>
    </w:p>
    <w:p w14:paraId="3B797B3E" w14:textId="77777777" w:rsidR="007709ED" w:rsidRDefault="00000000" w:rsidP="00F45A8E">
      <w:pPr>
        <w:bidi/>
        <w:spacing w:before="140" w:after="80"/>
      </w:pPr>
      <w:r>
        <w:rPr>
          <w:b/>
          <w:bCs/>
          <w:color w:val="333333"/>
          <w:rtl/>
        </w:rPr>
        <w:t>الفرضية الرئيسة</w:t>
      </w:r>
    </w:p>
    <w:p w14:paraId="3E79D370" w14:textId="77777777" w:rsidR="007709ED" w:rsidRDefault="00000000">
      <w:pPr>
        <w:bidi/>
        <w:spacing w:after="120"/>
        <w:ind w:firstLine="284"/>
        <w:jc w:val="both"/>
      </w:pPr>
      <w:r>
        <w:rPr>
          <w:color w:val="000000"/>
          <w:rtl/>
        </w:rPr>
        <w:t>توجد علاقة ذات دلالة إحصائية عند مستوى (0.05) بين استخدام أدوات التمويل البديل وبين خفض فجوة التمويل لدى المشروعات الصغيرة والمتوسطة في المملكة العربية السعودية.</w:t>
      </w:r>
    </w:p>
    <w:p w14:paraId="67C59C85" w14:textId="77777777" w:rsidR="00F45A8E" w:rsidRDefault="00F45A8E" w:rsidP="00F45A8E">
      <w:pPr>
        <w:bidi/>
        <w:spacing w:before="140" w:after="80"/>
        <w:rPr>
          <w:b/>
          <w:bCs/>
          <w:color w:val="333333"/>
          <w:rtl/>
        </w:rPr>
      </w:pPr>
    </w:p>
    <w:p w14:paraId="62B14853" w14:textId="368357A1" w:rsidR="007709ED" w:rsidRDefault="00000000" w:rsidP="00F45A8E">
      <w:pPr>
        <w:bidi/>
        <w:spacing w:before="140" w:after="80"/>
      </w:pPr>
      <w:r>
        <w:rPr>
          <w:b/>
          <w:bCs/>
          <w:color w:val="333333"/>
          <w:rtl/>
        </w:rPr>
        <w:lastRenderedPageBreak/>
        <w:t>الفرضيات الفرعية</w:t>
      </w:r>
    </w:p>
    <w:p w14:paraId="463093C9" w14:textId="77777777" w:rsidR="007709ED" w:rsidRDefault="00000000">
      <w:pPr>
        <w:bidi/>
        <w:spacing w:after="80"/>
        <w:ind w:left="340"/>
        <w:jc w:val="both"/>
      </w:pPr>
      <w:r>
        <w:rPr>
          <w:color w:val="000000"/>
          <w:rtl/>
        </w:rPr>
        <w:t>1. توجد علاقة ذات دلالة إحصائية بين سهولة الوصول إلى أدوات التمويل البديل وبين تحسّن فرص حصول المشروعات الصغيرة والمتوسطة على التمويل.</w:t>
      </w:r>
    </w:p>
    <w:p w14:paraId="50A2549E" w14:textId="77777777" w:rsidR="007709ED" w:rsidRDefault="00000000">
      <w:pPr>
        <w:bidi/>
        <w:spacing w:after="80"/>
        <w:ind w:left="340"/>
        <w:jc w:val="both"/>
      </w:pPr>
      <w:r>
        <w:rPr>
          <w:color w:val="000000"/>
          <w:rtl/>
        </w:rPr>
        <w:t>2. توجد علاقة ذات دلالة إحصائية بين مرونة شروط التمويل البديل وبين خفض العوائق التمويلية للمشروعات الصغيرة والمتوسطة.</w:t>
      </w:r>
    </w:p>
    <w:p w14:paraId="7E951FFD" w14:textId="77777777" w:rsidR="007709ED" w:rsidRDefault="00000000">
      <w:pPr>
        <w:bidi/>
        <w:spacing w:after="80"/>
        <w:ind w:left="340"/>
        <w:jc w:val="both"/>
      </w:pPr>
      <w:r>
        <w:rPr>
          <w:color w:val="000000"/>
          <w:rtl/>
        </w:rPr>
        <w:t>3. توجد علاقة ذات دلالة إحصائية بين سرعة إجراءات التمويل البديل وبين تقليص فجوة التمويل التشغيلية لدى المشروعات الصغيرة والمتوسطة.</w:t>
      </w:r>
    </w:p>
    <w:p w14:paraId="39F93102" w14:textId="77777777" w:rsidR="007709ED" w:rsidRDefault="00000000">
      <w:pPr>
        <w:bidi/>
        <w:spacing w:after="80"/>
        <w:ind w:left="340"/>
        <w:jc w:val="both"/>
      </w:pPr>
      <w:r>
        <w:rPr>
          <w:color w:val="000000"/>
          <w:rtl/>
        </w:rPr>
        <w:t>4. توجد علاقة ذات دلالة إحصائية بين تنوّع أدوات التمويل البديل المتاحة وبين ارتفاع قدرة المشروعات الصغيرة والمتوسطة على اختيار مصدر التمويل المناسب.</w:t>
      </w:r>
    </w:p>
    <w:p w14:paraId="27D9FC8F" w14:textId="77777777" w:rsidR="007709ED" w:rsidRDefault="00000000">
      <w:pPr>
        <w:bidi/>
        <w:spacing w:after="80"/>
        <w:ind w:left="340"/>
        <w:jc w:val="both"/>
      </w:pPr>
      <w:r>
        <w:rPr>
          <w:color w:val="000000"/>
          <w:rtl/>
        </w:rPr>
        <w:t>5. توجد فروق ذات دلالة إحصائية في تقدير فاعلية أدوات التمويل البديل تُعزى إلى خصائص المشروع مثل العمر والحجم والقطاع والمرحلة التمويلية.</w:t>
      </w:r>
    </w:p>
    <w:p w14:paraId="70BAC3D3" w14:textId="77777777" w:rsidR="007709ED" w:rsidRDefault="00000000" w:rsidP="00F45A8E">
      <w:pPr>
        <w:bidi/>
        <w:spacing w:before="320" w:after="120"/>
      </w:pPr>
      <w:r>
        <w:rPr>
          <w:b/>
          <w:bCs/>
          <w:color w:val="1F3864"/>
          <w:sz w:val="36"/>
          <w:szCs w:val="36"/>
          <w:rtl/>
        </w:rPr>
        <w:t>حدود البحث</w:t>
      </w:r>
    </w:p>
    <w:p w14:paraId="47F7799A" w14:textId="77777777" w:rsidR="007709ED" w:rsidRPr="00F45A8E" w:rsidRDefault="00000000" w:rsidP="00F45A8E">
      <w:pPr>
        <w:bidi/>
        <w:spacing w:before="140" w:after="80"/>
        <w:rPr>
          <w:color w:val="0070C0"/>
        </w:rPr>
      </w:pPr>
      <w:r w:rsidRPr="00F45A8E">
        <w:rPr>
          <w:b/>
          <w:bCs/>
          <w:color w:val="0070C0"/>
          <w:rtl/>
        </w:rPr>
        <w:t>الحدود الموضوعية</w:t>
      </w:r>
    </w:p>
    <w:p w14:paraId="7C00DDD6" w14:textId="77777777" w:rsidR="007709ED" w:rsidRDefault="00000000">
      <w:pPr>
        <w:bidi/>
        <w:spacing w:after="120"/>
        <w:ind w:firstLine="284"/>
        <w:jc w:val="both"/>
      </w:pPr>
      <w:r>
        <w:rPr>
          <w:color w:val="000000"/>
          <w:rtl/>
        </w:rPr>
        <w:t>تقتصر الدراسة على بحث فاعلية أدوات التمويل البديل في معالجة فجوة التمويل لدى المشروعات الصغيرة والمتوسطة، دون التوسع في بقية تحديات هذا القطاع إلا بقدر اتصالها بالتمويل.</w:t>
      </w:r>
    </w:p>
    <w:p w14:paraId="484B533A" w14:textId="77777777" w:rsidR="007709ED" w:rsidRPr="00F45A8E" w:rsidRDefault="00000000" w:rsidP="00F45A8E">
      <w:pPr>
        <w:bidi/>
        <w:spacing w:before="140" w:after="80"/>
        <w:rPr>
          <w:color w:val="0070C0"/>
        </w:rPr>
      </w:pPr>
      <w:r w:rsidRPr="00F45A8E">
        <w:rPr>
          <w:b/>
          <w:bCs/>
          <w:color w:val="0070C0"/>
          <w:rtl/>
        </w:rPr>
        <w:t>الحدود المكانية</w:t>
      </w:r>
    </w:p>
    <w:p w14:paraId="0CC4B4E9" w14:textId="77777777" w:rsidR="007709ED" w:rsidRDefault="00000000">
      <w:pPr>
        <w:bidi/>
        <w:spacing w:after="120"/>
        <w:ind w:firstLine="284"/>
        <w:jc w:val="both"/>
      </w:pPr>
      <w:r>
        <w:rPr>
          <w:color w:val="000000"/>
          <w:rtl/>
        </w:rPr>
        <w:t>تقتصر الدراسة على المشروعات الصغيرة والمتوسطة العاملة داخل المملكة العربية السعودية.</w:t>
      </w:r>
    </w:p>
    <w:p w14:paraId="715D0424" w14:textId="77777777" w:rsidR="007709ED" w:rsidRPr="00F45A8E" w:rsidRDefault="00000000" w:rsidP="00F45A8E">
      <w:pPr>
        <w:bidi/>
        <w:spacing w:before="140" w:after="80"/>
        <w:rPr>
          <w:color w:val="0070C0"/>
        </w:rPr>
      </w:pPr>
      <w:r w:rsidRPr="00F45A8E">
        <w:rPr>
          <w:b/>
          <w:bCs/>
          <w:color w:val="0070C0"/>
          <w:rtl/>
        </w:rPr>
        <w:t>الحدود الزمنية</w:t>
      </w:r>
    </w:p>
    <w:p w14:paraId="1874CD72" w14:textId="77777777" w:rsidR="007709ED" w:rsidRDefault="00000000">
      <w:pPr>
        <w:bidi/>
        <w:spacing w:after="120"/>
        <w:ind w:firstLine="284"/>
        <w:jc w:val="both"/>
      </w:pPr>
      <w:r>
        <w:rPr>
          <w:color w:val="000000"/>
          <w:rtl/>
        </w:rPr>
        <w:t>طُبّقت الدراسة الميدانية وجُمعت بياناتها الأولية خلال الفترة من التاسع من يونيو إلى السابع عشر من يوليو 2026م.</w:t>
      </w:r>
    </w:p>
    <w:p w14:paraId="53FA4556" w14:textId="77777777" w:rsidR="007709ED" w:rsidRPr="00F45A8E" w:rsidRDefault="00000000" w:rsidP="00F45A8E">
      <w:pPr>
        <w:bidi/>
        <w:spacing w:before="140" w:after="80"/>
        <w:rPr>
          <w:color w:val="0070C0"/>
        </w:rPr>
      </w:pPr>
      <w:r w:rsidRPr="00F45A8E">
        <w:rPr>
          <w:b/>
          <w:bCs/>
          <w:color w:val="0070C0"/>
          <w:rtl/>
        </w:rPr>
        <w:t>الحدود البشرية</w:t>
      </w:r>
    </w:p>
    <w:p w14:paraId="4342D38D" w14:textId="77777777" w:rsidR="007709ED" w:rsidRDefault="00000000">
      <w:pPr>
        <w:bidi/>
        <w:spacing w:after="120"/>
        <w:ind w:firstLine="284"/>
        <w:jc w:val="both"/>
      </w:pPr>
      <w:r>
        <w:rPr>
          <w:color w:val="000000"/>
          <w:rtl/>
        </w:rPr>
        <w:t>تقتصر الدراسة على مُلّاك المشروعات الصغيرة والمتوسطة ومديريها ومسؤوليها الماليين والتشغيليين ممن لديهم معرفة مباشرة بواقع التمويل في منشآتهم، مع إمكانية الاستعانة بعدد محدود من الخبراء في حال إجراء مقابلات مساندة.</w:t>
      </w:r>
    </w:p>
    <w:p w14:paraId="3B2D29C1" w14:textId="77777777" w:rsidR="00F45A8E" w:rsidRDefault="00F45A8E" w:rsidP="00F45A8E">
      <w:pPr>
        <w:bidi/>
        <w:spacing w:before="140" w:after="80"/>
        <w:rPr>
          <w:b/>
          <w:bCs/>
          <w:color w:val="0070C0"/>
          <w:rtl/>
        </w:rPr>
      </w:pPr>
    </w:p>
    <w:p w14:paraId="75BAA3DB" w14:textId="38E16D5C" w:rsidR="007709ED" w:rsidRPr="00F45A8E" w:rsidRDefault="00000000" w:rsidP="00F45A8E">
      <w:pPr>
        <w:bidi/>
        <w:spacing w:before="140" w:after="80"/>
        <w:rPr>
          <w:color w:val="0070C0"/>
        </w:rPr>
      </w:pPr>
      <w:r w:rsidRPr="00F45A8E">
        <w:rPr>
          <w:b/>
          <w:bCs/>
          <w:color w:val="0070C0"/>
          <w:rtl/>
        </w:rPr>
        <w:lastRenderedPageBreak/>
        <w:t>الحدود المنهجية</w:t>
      </w:r>
    </w:p>
    <w:p w14:paraId="142D0E62" w14:textId="77777777" w:rsidR="007709ED" w:rsidRDefault="00000000">
      <w:pPr>
        <w:bidi/>
        <w:spacing w:after="120"/>
        <w:ind w:firstLine="284"/>
        <w:jc w:val="both"/>
      </w:pPr>
      <w:r>
        <w:rPr>
          <w:color w:val="000000"/>
          <w:rtl/>
        </w:rPr>
        <w:t>قد تتأثر النتائج بدقة الاستجابات وطريقة اختيار العينة ودرجة فهم المشاركين لمفهوم التمويل البديل وأدواته، وهو ما يُراعى عند تفسير النتائج وتعميمها.</w:t>
      </w:r>
    </w:p>
    <w:p w14:paraId="1F8D88F7" w14:textId="77777777" w:rsidR="007709ED" w:rsidRDefault="00000000" w:rsidP="00F45A8E">
      <w:pPr>
        <w:bidi/>
        <w:spacing w:before="320" w:after="120"/>
      </w:pPr>
      <w:r>
        <w:rPr>
          <w:b/>
          <w:bCs/>
          <w:color w:val="1F3864"/>
          <w:sz w:val="36"/>
          <w:szCs w:val="36"/>
          <w:rtl/>
        </w:rPr>
        <w:t>مصطلحات البحث</w:t>
      </w:r>
    </w:p>
    <w:p w14:paraId="13CC2A86" w14:textId="77777777" w:rsidR="007709ED" w:rsidRDefault="00000000">
      <w:pPr>
        <w:bidi/>
        <w:spacing w:after="120"/>
        <w:ind w:firstLine="284"/>
        <w:jc w:val="both"/>
      </w:pPr>
      <w:r>
        <w:rPr>
          <w:color w:val="000000"/>
          <w:rtl/>
        </w:rPr>
        <w:t>المشروعات الصغيرة والمتوسطة: المنشآت التي تقع ضمن التعريف المعتمد وطنياً من حيث عدد العاملين بدوام كامل أو حجم الإيرادات السنوية، ويُؤخذ في تصنيفها بالقيمة الأكبر بين المعيارين وفق تصنيف الهيئة العامة للمنشآت الصغيرة والمتوسطة (منشآت).</w:t>
      </w:r>
    </w:p>
    <w:p w14:paraId="1A881266" w14:textId="77777777" w:rsidR="007709ED" w:rsidRDefault="00000000">
      <w:pPr>
        <w:bidi/>
        <w:spacing w:after="120"/>
        <w:ind w:firstLine="284"/>
        <w:jc w:val="both"/>
      </w:pPr>
      <w:r>
        <w:rPr>
          <w:color w:val="000000"/>
          <w:rtl/>
        </w:rPr>
        <w:t>فجوة التمويل: الفارق بين الاحتياجات التمويلية الفعلية للمشروع وبين ما يستطيع الحصول عليه فعلاً من تمويل مناسب من حيث المقدار والشروط والتوقيت والتكلفة.</w:t>
      </w:r>
    </w:p>
    <w:p w14:paraId="7136A3F9" w14:textId="77777777" w:rsidR="007709ED" w:rsidRDefault="00000000">
      <w:pPr>
        <w:bidi/>
        <w:spacing w:after="120"/>
        <w:ind w:firstLine="284"/>
        <w:jc w:val="both"/>
      </w:pPr>
      <w:r>
        <w:rPr>
          <w:color w:val="000000"/>
          <w:rtl/>
        </w:rPr>
        <w:t>التمويل البديل: مجموعة الأدوات والقنوات التمويلية غير المصرفية التقليدية التي تعتمد غالباً على المنصات الرقمية والبيانات البديلة، وتشمل في هذه الدراسة التمويل الجماعي والتمويل التشاركي وتمويل الفواتير وسلاسل الإمداد والتمويل القائم على الإيراد ورأس المال الجريء والمستثمرين الملائكيين والتأجير التمويلي.</w:t>
      </w:r>
    </w:p>
    <w:p w14:paraId="583D8E40" w14:textId="77777777" w:rsidR="007709ED" w:rsidRDefault="00000000">
      <w:pPr>
        <w:bidi/>
        <w:spacing w:after="120"/>
        <w:ind w:firstLine="284"/>
        <w:jc w:val="both"/>
      </w:pPr>
      <w:r>
        <w:rPr>
          <w:color w:val="000000"/>
          <w:rtl/>
        </w:rPr>
        <w:t>الشمول المالي: اتساع نطاق وصول الأفراد والمنشآت إلى الخدمات المالية الملائمة واستخدامها بجودة وسعر وتوقيت مناسبة.</w:t>
      </w:r>
    </w:p>
    <w:p w14:paraId="4C8724C3" w14:textId="77777777" w:rsidR="007709ED" w:rsidRDefault="00000000">
      <w:pPr>
        <w:bidi/>
        <w:spacing w:after="120"/>
        <w:ind w:firstLine="284"/>
        <w:jc w:val="both"/>
      </w:pPr>
      <w:r>
        <w:rPr>
          <w:color w:val="000000"/>
          <w:rtl/>
        </w:rPr>
        <w:t>التقنية المالية (FinTech): توظيف التقنيات الرقمية والبيانات والمنصات في تقديم خدمات مالية أكثر كفاءة وسرعة ومرونة.</w:t>
      </w:r>
    </w:p>
    <w:p w14:paraId="779A1BD0" w14:textId="77777777" w:rsidR="007709ED" w:rsidRDefault="00000000" w:rsidP="00F45A8E">
      <w:pPr>
        <w:bidi/>
        <w:spacing w:before="320" w:after="120"/>
      </w:pPr>
      <w:r>
        <w:rPr>
          <w:b/>
          <w:bCs/>
          <w:color w:val="1F3864"/>
          <w:sz w:val="36"/>
          <w:szCs w:val="36"/>
          <w:rtl/>
        </w:rPr>
        <w:t>الدراسات السابقة</w:t>
      </w:r>
    </w:p>
    <w:p w14:paraId="6E29E5A2" w14:textId="77777777" w:rsidR="007709ED" w:rsidRDefault="00000000">
      <w:pPr>
        <w:bidi/>
        <w:spacing w:after="120"/>
        <w:ind w:firstLine="284"/>
        <w:jc w:val="both"/>
      </w:pPr>
      <w:r>
        <w:rPr>
          <w:color w:val="000000"/>
          <w:rtl/>
        </w:rPr>
        <w:t>اعتُمد في مراجعة الدراسات السابقة الترتيب الموضوعي لا الترتيب الزمني أو المنهجي، لأنه الأكثر ملاءمة لطبيعة البحث الحالي؛ إذ يسمح ببناء تسلسل منطقي يبدأ بمشكلة فجوة التمويل لدى المشروعات الصغيرة والمتوسطة بوصفها المتغير التابع، ثم ينتقل إلى أدوات التمويل البديل بوصفها المتغير المستقل، ثم يناقش الدراسات التي تناولت العلاقة بينهما قبل الوصول إلى السياق السعودي بوصفه الإطار التطبيقي للدراسة. ولا يقتصر هذا القسم على العرض السردي، بل يتعامل مع الدراسات بوصفها مادة تحليلية تُبرز هدف كل دراسة ومنهجيتها ونتائجها وحدودها ومدى إسهامها في بناء مشكلة البحث الحالي وصولاً إلى تحديد فجوة البحث التي تسعى الدراسة الحالية إلى معالجتها.</w:t>
      </w:r>
    </w:p>
    <w:p w14:paraId="585B676B" w14:textId="77777777" w:rsidR="007709ED" w:rsidRDefault="00000000" w:rsidP="00F45A8E">
      <w:pPr>
        <w:bidi/>
        <w:spacing w:before="180" w:after="100"/>
      </w:pPr>
      <w:r>
        <w:rPr>
          <w:b/>
          <w:bCs/>
          <w:color w:val="2E74B5"/>
          <w:sz w:val="32"/>
          <w:szCs w:val="32"/>
          <w:rtl/>
        </w:rPr>
        <w:lastRenderedPageBreak/>
        <w:t>أولاً: الدراسات المتعلقة بفجوة تمويل المشروعات الصغيرة والمتوسطة</w:t>
      </w:r>
    </w:p>
    <w:p w14:paraId="459B5F8B" w14:textId="77777777" w:rsidR="007709ED" w:rsidRDefault="00000000">
      <w:pPr>
        <w:bidi/>
        <w:spacing w:after="120"/>
        <w:ind w:firstLine="284"/>
        <w:jc w:val="both"/>
      </w:pPr>
      <w:r>
        <w:rPr>
          <w:color w:val="000000"/>
          <w:rtl/>
        </w:rPr>
        <w:t>تُجمع الدراسات الاقتصادية والمالية على أن المشروعات الصغيرة والمتوسطة تؤدي دوراً محورياً في دعم النمو الاقتصادي وتوليد فرص العمل، إلا أن هذا الدور كثيراً ما يقابله ضعف نسبي في القدرة على الوصول إلى التمويل المناسب، وتفسّر هذه الدراسات هذا الضعف من خلال مشكلات عدم تماثل المعلومات وارتفاع تكاليف التقييم وضعف الضمانات وقصور السجل الائتماني وتفاوت قدرة المؤسسات المالية التقليدية على تصميم منتجات مناسبة لاحتياجات هذه الفئة.</w:t>
      </w:r>
    </w:p>
    <w:p w14:paraId="74AD3202" w14:textId="77777777" w:rsidR="007709ED" w:rsidRDefault="00000000">
      <w:pPr>
        <w:bidi/>
        <w:spacing w:after="120"/>
        <w:ind w:firstLine="284"/>
        <w:jc w:val="both"/>
      </w:pPr>
      <w:r>
        <w:rPr>
          <w:color w:val="000000"/>
          <w:rtl/>
        </w:rPr>
        <w:t>ففي دراسة تأسيسية في هذا المجال، هدف بيرغر وأوديل (Berger and Udell, 2006) إلى تطوير إطار مفاهيمي أكثر شمولاً لفهم تمويل المشروعات الصغيرة والمتوسطة، بالتركيز على كيفية تأثير البنية المالية والسياسات والمؤسسات في توافر الائتمان لهذه المشروعات، واعتمدت الدراسة منهجاً نظرياً تحليلياً قائماً على بناء إطار تفسيري يربط بين البيئة المؤسسية وتقنيات الإقراض ومدى قدرة البنوك على خدمة المنشآت الصغيرة. وانتهت إلى أن الوصول إلى التمويل لا يتحدد فقط بوجود الطلب على الائتمان، بل أيضاً بمدى ملاءمة تقنيات الإقراض المستخدمة لطبيعة المشروع وحجمه ومرحلة نموه. وتكمن أهمية هذه الدراسة للبحث الحالي في أنها تفسّر جذور فجوة التمويل من منظور بنيوي، وتوضّح أن المشكلة ليست مجرد نقص في الأموال بل عدم توافق بين خصائص المشروع وآليات التمويل التقليدية، غير أن الدراسة كُتبت قبل التوسع الكبير في حلول التقنية المالية والمنصات الرقمية، ولذلك فهي تشرح جذور المشكلة دون أن تعالج مباشرة مسألة التمويل البديل الرقمي.</w:t>
      </w:r>
    </w:p>
    <w:p w14:paraId="336460C0" w14:textId="77777777" w:rsidR="007709ED" w:rsidRDefault="00000000">
      <w:pPr>
        <w:bidi/>
        <w:spacing w:after="120"/>
        <w:ind w:firstLine="284"/>
        <w:jc w:val="both"/>
      </w:pPr>
      <w:r>
        <w:rPr>
          <w:color w:val="000000"/>
          <w:rtl/>
        </w:rPr>
        <w:t>وفي السياق نفسه، تناول بيك وديميرغوتش-كونت وماكسيموفيتش (Beck, Demirgüç-Kunt, and Maksimovic, 2008) أنماط التمويل لدى الشركات حول العالم مع التركيز على الفروق بين الشركات الصغيرة والكبيرة، واستندت الدراسة إلى بيانات مسحية على مستوى الشركات في عدد كبير من الدول، وخلصت إلى أن حجم الشركة والتطور المالي وحماية حقوق الملكية عوامل مؤثرة في تفسير الاختلافات في أنماط التمويل، وأن الشركات الصغيرة تواجه قيوداً تمويلية أكثر حدة من الشركات الأكبر. وتفيد هذه الدراسة البحث الحالي من جهتين: أنها تدعم افتراض وجود فجوة تمويل هيكلية لدى المشروعات الصغيرة والمتوسطة، وأنها تُبرز أن هذه الفجوة ليست متجانسة بين البيئات المختلفة بل تتأثر بالسياق المؤسسي والتنظيمي، وهو ما يعزز الحاجة إلى دراسة تطبيقية في البيئة السعودية تحديداً.</w:t>
      </w:r>
    </w:p>
    <w:p w14:paraId="2CE0807D" w14:textId="77777777" w:rsidR="007709ED" w:rsidRDefault="00000000">
      <w:pPr>
        <w:bidi/>
        <w:spacing w:after="120"/>
        <w:ind w:firstLine="284"/>
        <w:jc w:val="both"/>
      </w:pPr>
      <w:r>
        <w:rPr>
          <w:color w:val="000000"/>
          <w:rtl/>
        </w:rPr>
        <w:t xml:space="preserve">كما أكد بيك وديميرغوتش-كونت (Beck &amp; Demirgüç-Kunt, 2006) أن صعوبة الوصول إلى التمويل تمثل قيداً مباشراً على نمو المشروعات الصغيرة والمتوسطة، وأن المؤسسات المالية والقانونية تلعب دوراً حاسماً في تخفيف هذا القيد. والدراسة ذات طبيعة مراجعة تحليلية للبيانات التجريبية المتاحة، وقد فتحت الباب منطقياً للبحث فيما إذا كانت أدوات التمويل البديل تمثل بالفعل آلية فعالة لمعالجة فجوة التمويل، إلا أنها ظلت على مستوى التفسير العام والسياسات ولم تختبر ميدانياً أثر أدوات محددة مثل </w:t>
      </w:r>
      <w:r>
        <w:rPr>
          <w:color w:val="000000"/>
          <w:rtl/>
        </w:rPr>
        <w:lastRenderedPageBreak/>
        <w:t>التمويل الجماعي أو التمويل التشاركي في بيئة عربية أو سعودية. ويتضح من هذه الدراسات أن الأدبيات متفقة إلى حد كبير على وجود المشكلة وأسبابها البنيوية، لكنها أقل اتفاقاً بشأن أفضل أدوات المعالجة، ولا سيما في البيئات الناشئة التي تشهد انتقالاً متسارعاً نحو الخدمات المالية الرقمية.</w:t>
      </w:r>
    </w:p>
    <w:p w14:paraId="3BAE13FA" w14:textId="77777777" w:rsidR="007709ED" w:rsidRDefault="00000000" w:rsidP="00F45A8E">
      <w:pPr>
        <w:bidi/>
        <w:spacing w:before="180" w:after="100"/>
      </w:pPr>
      <w:r>
        <w:rPr>
          <w:b/>
          <w:bCs/>
          <w:color w:val="2E74B5"/>
          <w:sz w:val="32"/>
          <w:szCs w:val="32"/>
          <w:rtl/>
        </w:rPr>
        <w:t>ثانياً: الدراسات المتعلقة بأدوات التمويل البديل</w:t>
      </w:r>
    </w:p>
    <w:p w14:paraId="20412C1F" w14:textId="77777777" w:rsidR="007709ED" w:rsidRDefault="00000000">
      <w:pPr>
        <w:bidi/>
        <w:spacing w:after="120"/>
        <w:ind w:firstLine="284"/>
        <w:jc w:val="both"/>
      </w:pPr>
      <w:r>
        <w:rPr>
          <w:color w:val="000000"/>
          <w:rtl/>
        </w:rPr>
        <w:t>شهدت الدراسات الحديثة تحولاً واضحاً من التركيز الحصري على التمويل المصرفي التقليدي إلى الاهتمام بما يُعرف بالتمويل البديل، وتفسّر هذه الدراسات صعود التمويل البديل بقدرته على خفض كلفة الوساطة وتسريع التقييم والاستفادة من البيانات البديلة وتقديم منتجات أكثر مرونة للمشروعات التي لا تلبّي شروط الائتمان المصرفي المعتادة.</w:t>
      </w:r>
    </w:p>
    <w:p w14:paraId="7F4673FB" w14:textId="77777777" w:rsidR="007709ED" w:rsidRDefault="00000000">
      <w:pPr>
        <w:bidi/>
        <w:spacing w:after="120"/>
        <w:ind w:firstLine="284"/>
        <w:jc w:val="both"/>
      </w:pPr>
      <w:r>
        <w:rPr>
          <w:color w:val="000000"/>
          <w:rtl/>
        </w:rPr>
        <w:t>وفي هذا الإطار، هدفت منظمة التعاون الاقتصادي والتنمية (OECD, 2015) إلى توسيع فهم السياسات والأدوات التي تدعم تنويع مصادر تمويل المشروعات الصغيرة والمتوسطة بعيداً عن الاعتماد المفرط على القروض البنكية، وهي دراسة تنظيمية تحليلية ذات طابع مقارن اعتمدت على مراجعة واسعة للأدوات التمويلية والتجارب الدولية والعوائق التي تحد من استخدامها. وأبرزت أن الأدوات البديلة لا ينبغي النظر إليها بوصفها بديلاً كاملاً عن التمويل المصرفي بل مكمّلاً له، خاصة عندما تختلف احتياجات المشروع بحسب مرحلة نموه وطبيعة أصوله وهيكل تدفقاته النقدية. وتفيد هذه الدراسة البحث الحالي لأنها تقدم إطاراً مفاهيمياً واضحاً لتصنيف أدوات التمويل البديل وتفسير شروط نجاحها، غير أن طبيعتها التنظيمية العامة تجعلها أقل قدرة على قياس الأثر الفعلي لكل أداة على مستوى الشركات في بيئة محددة.</w:t>
      </w:r>
    </w:p>
    <w:p w14:paraId="4CDC5267" w14:textId="77777777" w:rsidR="007709ED" w:rsidRDefault="00000000">
      <w:pPr>
        <w:bidi/>
        <w:spacing w:after="120"/>
        <w:ind w:firstLine="284"/>
        <w:jc w:val="both"/>
      </w:pPr>
      <w:r>
        <w:rPr>
          <w:color w:val="000000"/>
          <w:rtl/>
        </w:rPr>
        <w:t>ومن الدراسات الحديثة أيضاً، هدف كاميليري (Camilleri, 2022) إلى مراجعة الدراسات المتعلقة باستخدام التمويل الجماعي من قِبل الشركات الصغيرة والناشئة، والكشف عن الأسس النظرية المستخدمة في تفسير هذا النوع من التمويل، واعتمد أسلوب المراجعة المنهجية للدراسات. وأظهر أن التمويل الجماعي لا يقتصر على كونه مصدراً للأموال، بل قد يؤدي وظائف أخرى مثل اختبار الطلب السوقي وبناء مجتمع داعم للمشروع وتوسيع الظهور التجاري، وترتبط هذه النتيجة ببحثنا لأنها تشير إلى أن فاعلية التمويل البديل قد تكون أوسع من مجرد سد فجوة السيولة. إلا أن الدراسة ركّزت على التمويل الجماعي تحديداً، وبالتالي لا تغطي كامل طيف أدوات التمويل البديل التي يتناولها البحث الحالي.</w:t>
      </w:r>
    </w:p>
    <w:p w14:paraId="3B521AC0" w14:textId="77777777" w:rsidR="007709ED" w:rsidRDefault="00000000">
      <w:pPr>
        <w:bidi/>
        <w:spacing w:after="120"/>
        <w:ind w:firstLine="284"/>
        <w:jc w:val="both"/>
      </w:pPr>
      <w:r>
        <w:rPr>
          <w:color w:val="000000"/>
          <w:rtl/>
        </w:rPr>
        <w:t xml:space="preserve">وفي اتجاه أحدث، هدفت مراجعة البنك الدولي (World Bank, 2024) إلى تحليل كيفية إسهام التقنية المالية والخدمات الرقمية في توسيع الوصول المسؤول إلى التمويل للمشروعات الصغيرة والمتوسطة، وهي مذكرة فنية وتحليل قانوني يركز على العوائق التي تواجه هذه المشروعات وعلى الدور الذي يمكن أن تؤديه البيانات الرقمية والمنصات والضوابط التنظيمية في تحسين الوصول إلى التمويل. </w:t>
      </w:r>
      <w:r>
        <w:rPr>
          <w:color w:val="000000"/>
          <w:rtl/>
        </w:rPr>
        <w:lastRenderedPageBreak/>
        <w:t>وتشير نتائجها إلى أن الأدوات الرقمية قد تخفف مشكلات نقص البيانات وتسرّع قرارات المنح، لكنها في الوقت نفسه قد تولّد مخاطر تتعلق بحماية المستهلك والشفافية وجودة التقييم، وهو ما يجعلها مهمة للبحث الحالي لأنها تقدم منظوراً نقدياً يوازن بين التمكين والمخاطر، وهو منظور ضروري عند تقييم الفاعلية في السياق السعودي.</w:t>
      </w:r>
    </w:p>
    <w:p w14:paraId="57D90FB7" w14:textId="77777777" w:rsidR="007709ED" w:rsidRDefault="00000000">
      <w:pPr>
        <w:bidi/>
        <w:spacing w:after="120"/>
        <w:ind w:firstLine="284"/>
        <w:jc w:val="both"/>
      </w:pPr>
      <w:r>
        <w:rPr>
          <w:color w:val="000000"/>
          <w:rtl/>
        </w:rPr>
        <w:t>كما تقدم تقارير مركز كامبريدج للتمويل البديل (Ziegler et al., 2021) صورة مقارنة عن تطور أسواق التمويل البديل عالمياً، وتعتمد على بيانات سوقية دولية لقياس أحجام المعاملات وأنماطها وتوزعاتها الجغرافية، وتُظهر أن قنوات التمويل البديل الموجهة للأعمال والمشروعات الصغيرة أصبحت جزءاً متزايد الأهمية من المشهد التمويلي العالمي مع اختلاف واضح بين الدول من حيث الحجم والتنظيم ونضج السوق. وتفيد هذه التقارير البحث الحالي في تأطير الظاهرة كمياً على المستوى العالمي، غير أنها ذات طبيعة وصفية سوقية لا تكفي وحدها لتفسير أثر هذه الأدوات على فجوة التمويل في حالة وطنية محددة مثل المملكة العربية السعودية.</w:t>
      </w:r>
    </w:p>
    <w:p w14:paraId="3D3CC2C3" w14:textId="77777777" w:rsidR="007709ED" w:rsidRDefault="00000000" w:rsidP="00F45A8E">
      <w:pPr>
        <w:bidi/>
        <w:spacing w:before="180" w:after="100"/>
      </w:pPr>
      <w:r>
        <w:rPr>
          <w:b/>
          <w:bCs/>
          <w:color w:val="2E74B5"/>
          <w:sz w:val="32"/>
          <w:szCs w:val="32"/>
          <w:rtl/>
        </w:rPr>
        <w:t>ثالثاً: الدراسات التي تناولت العلاقة بين التمويل البديل وتقليص فجوة التمويل</w:t>
      </w:r>
    </w:p>
    <w:p w14:paraId="5F08802A" w14:textId="77777777" w:rsidR="007709ED" w:rsidRDefault="00000000">
      <w:pPr>
        <w:bidi/>
        <w:spacing w:after="120"/>
        <w:ind w:firstLine="284"/>
        <w:jc w:val="both"/>
      </w:pPr>
      <w:r>
        <w:rPr>
          <w:color w:val="000000"/>
          <w:rtl/>
        </w:rPr>
        <w:t>عند الانتقال من الدراسات التي تصف المشكلة أو الأدوات إلى الدراسات التي تبحث في العلاقة بينهما، يتبيّن أن الاتجاه العام يدعم فكرة أن التمويل البديل يمكن أن يسهم في تضييق فجوة التمويل لدى المشروعات الصغيرة والمتوسطة، لكن هذه النتيجة ليست مطلقة بل مشروطة بعدة عوامل أهمها البيئة التنظيمية ومستوى النضج الرقمي وشفافية المنصات وخصائص المشروع نفسه. فمن خلال الدراسات المقارنة والتقارير الدولية يظهر أن أدوات التمويل البديل تكون أكثر فاعلية عندما تتوافر ثلاثة شروط: وجود فجوة حقيقية في العرض المصرفي التقليدي، وتوافر بنية رقمية ومعلوماتية تسمح بتقليل عدم تماثل المعلومات، ووجود تنظيم واضح يوازن بين التوسع في الوصول إلى التمويل والحد من المخاطر (OECD, 2015; World Bank, 2024).</w:t>
      </w:r>
    </w:p>
    <w:p w14:paraId="6429B67A" w14:textId="77777777" w:rsidR="007709ED" w:rsidRDefault="00000000">
      <w:pPr>
        <w:bidi/>
        <w:spacing w:after="120"/>
        <w:ind w:firstLine="284"/>
        <w:jc w:val="both"/>
      </w:pPr>
      <w:r>
        <w:rPr>
          <w:color w:val="000000"/>
          <w:rtl/>
        </w:rPr>
        <w:t>وتشير هذه الأدبيات إلى أن تنويع قنوات التمويل يرفع مرونة النظام التمويلي ككل، لكنه لا يؤدي بالضرورة إلى خفض فجوة التمويل ما لم يكن مصحوباً بملاءمة في الشروط والتكلفة وسرعة الوصول. كما تلمّح مراجعة كاميليري (Camilleri, 2022) إلى أن التمويل الجماعي قد يكون فعالاً مع بعض فئات المشروعات، خاصة الناشئة أو ذات الطابع الابتكاري، دون أن يكون أداة متجانسة التأثير، إذ تختلف نتائجه باختلاف النموذج المستخدم وطبيعة الجمهور والقطاع ومدى جاهزية المشروع للعرض عبر المنصة. وهذا يعني أن العلاقة بين التمويل البديل وفجوة التمويل ليست علاقة ميكانيكية بسيطة، فليست كل أداة بديلة مناسبة لكل مشروع، وليست كل فجوة تمويل قابلة للعلاج بالأداة نفسها.</w:t>
      </w:r>
    </w:p>
    <w:p w14:paraId="71CA4DFA" w14:textId="77777777" w:rsidR="00F422DC" w:rsidRDefault="00F422DC" w:rsidP="00F45A8E">
      <w:pPr>
        <w:bidi/>
        <w:spacing w:before="180" w:after="100"/>
        <w:rPr>
          <w:b/>
          <w:bCs/>
          <w:color w:val="2E74B5"/>
          <w:sz w:val="32"/>
          <w:szCs w:val="32"/>
          <w:rtl/>
        </w:rPr>
      </w:pPr>
    </w:p>
    <w:p w14:paraId="2F4A63C0" w14:textId="04314901" w:rsidR="007709ED" w:rsidRDefault="00000000" w:rsidP="00F422DC">
      <w:pPr>
        <w:bidi/>
        <w:spacing w:before="180" w:after="100"/>
      </w:pPr>
      <w:r>
        <w:rPr>
          <w:b/>
          <w:bCs/>
          <w:color w:val="2E74B5"/>
          <w:sz w:val="32"/>
          <w:szCs w:val="32"/>
          <w:rtl/>
        </w:rPr>
        <w:lastRenderedPageBreak/>
        <w:t>رابعاً: البيئة التنظيمية والمؤسسية ذات الصلة في المملكة العربية السعودية</w:t>
      </w:r>
    </w:p>
    <w:p w14:paraId="53E19923" w14:textId="77777777" w:rsidR="007709ED" w:rsidRDefault="00000000">
      <w:pPr>
        <w:bidi/>
        <w:spacing w:after="120"/>
        <w:ind w:firstLine="284"/>
        <w:jc w:val="both"/>
      </w:pPr>
      <w:r>
        <w:rPr>
          <w:color w:val="000000"/>
          <w:rtl/>
        </w:rPr>
        <w:t>يتميز السوق السعودي بأهمية خاصة في هذا الموضوع، لأن المملكة لا تمثل سوقاً نامية للمشروعات الصغيرة والمتوسطة فحسب، بل تشهد أيضاً تحولاً مؤسسياً وتنظيمياً متسارعاً في إطار رؤية المملكة 2030 التي أكدت دعم ريادة الأعمال وتحسين بيئة الأعمال وتيسير الوصول إلى التمويل بوصفها عناصر أساسية في بناء اقتصاد أكثر تنوعاً (Kingdom of Saudi Arabia, 2016). وفي هذا الإطار تمثل تقارير الهيئة العامة للمنشآت الصغيرة والمتوسطة، ومنها تقرير مرصد المنشآت، مصدراً مهماً لفهم تطور القطاع واحتياجاته واتجاهاته، بما في ذلك مؤشرات التسجيل والنمو وبعض الجوانب المرتبطة بالتمويل والوعي به (Monsha'at, 2025).</w:t>
      </w:r>
    </w:p>
    <w:p w14:paraId="10BCAC22" w14:textId="77777777" w:rsidR="007709ED" w:rsidRDefault="00000000">
      <w:pPr>
        <w:bidi/>
        <w:spacing w:after="120"/>
        <w:ind w:firstLine="284"/>
        <w:jc w:val="both"/>
      </w:pPr>
      <w:r>
        <w:rPr>
          <w:color w:val="000000"/>
          <w:rtl/>
        </w:rPr>
        <w:t>ومن جهة التنظيم المالي، أصدرت الجهات المنظمة في السنوات الأخيرة قواعد لتنظيم نشاط التمويل الجماعي بالدين والاستثمار في الأوراق المالية، بما يعكس اعترافاً تنظيمياً رسمياً بأحد أهم قنوات التمويل البديل ويؤسس لبيئة أكثر وضوحاً للممارسين والمستفيدين (Saudi Central Bank, 2024; Capital Market Authority, 2024). غير أن وجود البيئة التنظيمية وحده لا يكفي للاستنتاج بأن أدوات التمويل البديل فعالة فعلياً في معالجة فجوة التمويل، فالدراسات المحلية المنشورة أكاديمياً ما تزال محدودة نسبياً في هذا المجال، خاصة فيما يتعلق بالدراسات الميدانية الكمية التي تختبر العلاقة بين أبعاد التمويل البديل ومؤشرات فجوة التمويل على مستوى أصحاب المشروعات أنفسهم.</w:t>
      </w:r>
    </w:p>
    <w:p w14:paraId="312454B7" w14:textId="77777777" w:rsidR="007709ED" w:rsidRDefault="00000000" w:rsidP="00F45A8E">
      <w:pPr>
        <w:bidi/>
        <w:spacing w:before="180" w:after="100"/>
      </w:pPr>
      <w:r>
        <w:rPr>
          <w:b/>
          <w:bCs/>
          <w:color w:val="2E74B5"/>
          <w:sz w:val="32"/>
          <w:szCs w:val="32"/>
          <w:rtl/>
        </w:rPr>
        <w:t>خامساً: التحليل النقدي للدراسات السابقة</w:t>
      </w:r>
    </w:p>
    <w:p w14:paraId="59D2CB71" w14:textId="77777777" w:rsidR="007709ED" w:rsidRDefault="00000000">
      <w:pPr>
        <w:bidi/>
        <w:spacing w:after="120"/>
        <w:ind w:firstLine="284"/>
        <w:jc w:val="both"/>
      </w:pPr>
      <w:r>
        <w:rPr>
          <w:color w:val="000000"/>
          <w:rtl/>
        </w:rPr>
        <w:t>تكشف مراجعة الأدبيات عن عدة ملاحظات نقدية مهمة. أولاً، إن جانباً معتبراً من الأدبيات التأسيسية في تمويل المشروعات الصغيرة والمتوسطة ركّز على تشخيص فجوة التمويل وأسبابها، لكنه لم يكن قادراً بحكم زمنه على استيعاب التحول الواسع نحو أدوات التمويل الرقمي والبديل، وبالتالي فهو يفسّر المشكلة بدقة لكنه لا يكفي وحده لتفسير الحلول المستجدة. ثانياً، إن جزءاً مهماً من الأدبيات الحديثة حول التمويل البديل جاء في صورة تقارير تنظيمية أو مراجعات منهجية أو بيانات سوقية مجمّعة، وهي مفيدة في بناء الإطار النظري وتصنيف الأدوات وتحديد الاتجاهات العامة، لكنها أقل قدرة على تقديم اختبارات ميدانية مباشرة للعلاقة بين التمويل البديل وفجوة التمويل في بيئات محلية محددة.</w:t>
      </w:r>
    </w:p>
    <w:p w14:paraId="06D39B86" w14:textId="77777777" w:rsidR="007709ED" w:rsidRDefault="00000000">
      <w:pPr>
        <w:bidi/>
        <w:spacing w:after="120"/>
        <w:ind w:firstLine="284"/>
        <w:jc w:val="both"/>
      </w:pPr>
      <w:r>
        <w:rPr>
          <w:color w:val="000000"/>
          <w:rtl/>
        </w:rPr>
        <w:t xml:space="preserve">ثالثاً، ركّزت بعض الأدبيات الحديثة على أداة واحدة مثل التمويل الجماعي، بينما يتناول البحث الحالي التمويل البديل بوصفه فئة أوسع تشمل أبعاداً متداخلة مثل سهولة الوصول وسرعة الإجراءات ومرونة الشروط وتنوع البدائل، وعليه فإن الاقتصار على أداة واحدة لا يكفي لتفسير التجربة التمويلية الفعلية للمشروعات الصغيرة والمتوسطة. رابعاً، تُظهر الدراسات الدولية أن أثر التمويل البديل مشروط بالسياق، ولا سيما من حيث النضج الرقمي والتنظيمي والثقة السوقية، وهذا يفرض حذراً منهجياً عند </w:t>
      </w:r>
      <w:r>
        <w:rPr>
          <w:color w:val="000000"/>
          <w:rtl/>
        </w:rPr>
        <w:lastRenderedPageBreak/>
        <w:t>استحضار نتائج الدراسات الدولية في البيئة السعودية، إذ لا يكفي ثبوت نجاح أداة معينة في سوق متقدم أو مختلف مؤسسياً للقول بنجاحها تلقائياً في المملكة. خامساً، وعلى الرغم من تطور البيئة السعودية تنظيمياً ومؤسسياً في السنوات الأخيرة، فإن معظم المصادر المحلية المتاحة ذات طبيعة رسمية وتنظيمية أكثر من كونها دراسات أكاديمية اختبارية، وهذا يعني أن المشكلة في السياق السعودي ليست في نقص المعلومات العامة عن الدعم والتمكين فقط، بل في نقص الأدلة التطبيقية التي تقيس من منظور أصحاب المشروعات أنفسهم مدى إسهام أدوات التمويل البديل فعلاً في تقليص فجوة التمويل وأي الأبعاد أكثر تأثيراً.</w:t>
      </w:r>
    </w:p>
    <w:p w14:paraId="7F02259D" w14:textId="77777777" w:rsidR="007709ED" w:rsidRDefault="00000000" w:rsidP="00F45A8E">
      <w:pPr>
        <w:bidi/>
        <w:spacing w:before="180" w:after="100"/>
      </w:pPr>
      <w:r>
        <w:rPr>
          <w:b/>
          <w:bCs/>
          <w:color w:val="2E74B5"/>
          <w:sz w:val="32"/>
          <w:szCs w:val="32"/>
          <w:rtl/>
        </w:rPr>
        <w:t>سادساً: خلاصة مراجعة الدراسات</w:t>
      </w:r>
    </w:p>
    <w:p w14:paraId="1069F23F" w14:textId="77777777" w:rsidR="007709ED" w:rsidRDefault="00000000">
      <w:pPr>
        <w:bidi/>
        <w:spacing w:after="120"/>
        <w:ind w:firstLine="284"/>
        <w:jc w:val="both"/>
      </w:pPr>
      <w:r>
        <w:rPr>
          <w:color w:val="000000"/>
          <w:rtl/>
        </w:rPr>
        <w:t>تؤكد الدراسات السابقة أن فجوة تمويل المشروعات الصغيرة والمتوسطة مشكلة حقيقية ومتكررة ترتبط جذورها بعوامل هيكلية ومؤسسية ومعلوماتية، كما توضح الدراسات الحديثة أن أدوات التمويل البديل تمثل مساراً واعداً لتخفيف هذه الفجوة، خاصة في البيئات التي تشهد تحولاً رقمياً وتنظيمياً، غير أن الأدلة المتاحة لا تسمح بالجزم بمدى فاعلية هذه الأدوات في الحالة السعودية على نحو مباشر، بسبب محدودية الدراسات التطبيقية المحلية التي تختبر هذه العلاقة إحصائياً. ولذلك تأتي الدراسة الحالية لتقديم مساهمة علمية وعملية عبر قياس هذه الفاعلية في بيئة سعودية تشهد توسعاً في الاهتمام بالمشروعات الصغيرة والمتوسطة وبالتمويل البديل في آن واحد.</w:t>
      </w:r>
    </w:p>
    <w:p w14:paraId="4B7F1841" w14:textId="77777777" w:rsidR="007709ED" w:rsidRDefault="00000000" w:rsidP="00F45A8E">
      <w:pPr>
        <w:bidi/>
        <w:spacing w:before="320" w:after="120"/>
      </w:pPr>
      <w:r>
        <w:rPr>
          <w:b/>
          <w:bCs/>
          <w:color w:val="1F3864"/>
          <w:sz w:val="36"/>
          <w:szCs w:val="36"/>
          <w:rtl/>
        </w:rPr>
        <w:t>فجوة البحث</w:t>
      </w:r>
    </w:p>
    <w:p w14:paraId="4EE31676" w14:textId="1F43AD5C" w:rsidR="007709ED" w:rsidRDefault="00000000" w:rsidP="00F422DC">
      <w:pPr>
        <w:bidi/>
        <w:spacing w:after="120"/>
        <w:ind w:firstLine="284"/>
        <w:jc w:val="both"/>
      </w:pPr>
      <w:r>
        <w:rPr>
          <w:color w:val="000000"/>
          <w:rtl/>
        </w:rPr>
        <w:t>استناداً إلى ما سبق، يمكن تحديد فجوة البحث الحالية في ثلاث نقاط مترابطة. أولاً، توجد وفرة نسبية في الدراسات التي تشرح فجوة التمويل لدى المشروعات الصغيرة والمتوسطة، ووفرة متزايدة في الدراسات التي تشرح أدوات التمويل البديل، لكن هناك ندرة كبيرة في الدراسات التي تختبر العلاقة التطبيقية المباشرة بينهما في البيئة السعودية. ثانياً، تفتقر الدراسات المحلية إلى دراسات ميدانية كمية تقيس أثر أبعاد محددة للتمويل البديل، مثل سهولة الوصول ومرونة الشروط وسرعة الإجراءات وتنوع الأدوات، على أبعاد فجوة التمويل لدى المشروعات الصغيرة والمتوسطة. ثالثاً، لم يتضح في الدراسات المحلية المتاحة ما إذا كانت تقديرات فاعلية التمويل البديل تختلف باختلاف خصائص المشروع مثل الحجم والعمر والقطاع والمرحلة التمويلية، وهي مسألة مهمة لأن ملاءمة الأداة التمويلية قد تختلف من مشروع إلى آخر. ومن ثم تسعى الدراسة الحالية إلى سد هذه الفجوة من خلال اختبار ميداني لتصورات أصحاب ومديري المشروعات الصغيرة والمتوسطة في المملكة حول فاعلية أدوات التمويل البديل في معالجة فجوة التمويل، مع تحليل الفروق المرتبطة بخصائص المشروع.</w:t>
      </w:r>
    </w:p>
    <w:p w14:paraId="78E1862E" w14:textId="77777777" w:rsidR="007709ED" w:rsidRDefault="00000000">
      <w:pPr>
        <w:bidi/>
        <w:spacing w:before="240" w:after="60"/>
        <w:jc w:val="center"/>
      </w:pPr>
      <w:r>
        <w:rPr>
          <w:b/>
          <w:bCs/>
          <w:color w:val="1F3864"/>
          <w:sz w:val="40"/>
          <w:szCs w:val="40"/>
          <w:rtl/>
        </w:rPr>
        <w:lastRenderedPageBreak/>
        <w:t>الفصل الثاني</w:t>
      </w:r>
    </w:p>
    <w:p w14:paraId="7EE58054" w14:textId="77777777" w:rsidR="007709ED" w:rsidRDefault="00000000">
      <w:pPr>
        <w:pBdr>
          <w:bottom w:val="single" w:sz="12" w:space="6" w:color="2E74B5"/>
        </w:pBdr>
        <w:bidi/>
        <w:spacing w:after="300"/>
        <w:jc w:val="center"/>
      </w:pPr>
      <w:r>
        <w:rPr>
          <w:b/>
          <w:bCs/>
          <w:color w:val="1F3864"/>
          <w:sz w:val="40"/>
          <w:szCs w:val="40"/>
          <w:rtl/>
        </w:rPr>
        <w:t>الإطار النظري</w:t>
      </w:r>
    </w:p>
    <w:p w14:paraId="45790CD4" w14:textId="77777777" w:rsidR="007709ED" w:rsidRDefault="00000000">
      <w:pPr>
        <w:bidi/>
        <w:spacing w:after="120"/>
        <w:ind w:firstLine="284"/>
        <w:jc w:val="both"/>
      </w:pPr>
      <w:r>
        <w:rPr>
          <w:color w:val="000000"/>
          <w:rtl/>
        </w:rPr>
        <w:t>يتناول هذا الفصل البناء النظري الذي تقوم عليه الدراسة، وينتظم في ثلاثة مباحث. يعالج المبحث الأول المشروعات الصغيرة والمتوسطة ومفهوم فجوة التمويل وأسبابها وطرق قياسها بوصفها المتغير التابع للدراسة. ويعرض المبحث الثاني أدوات التمويل البديل الست موضوع الدراسة بوصفها المتغير المستقل، مع بيان طبيعة كل أداة وآلية عملها وملاءمتها للمشروعات الصغيرة والمتوسطة. ويقدم المبحث الثالث المنطلقات النظرية التي تفسّر العلاقة بين المتغيرين، ثم يصوغ النموذج المفاهيمي المقترح للدراسة.</w:t>
      </w:r>
    </w:p>
    <w:p w14:paraId="4FEDF3A9" w14:textId="77777777" w:rsidR="007709ED" w:rsidRDefault="00000000" w:rsidP="00290358">
      <w:pPr>
        <w:bidi/>
        <w:spacing w:before="320" w:after="120"/>
      </w:pPr>
      <w:r>
        <w:rPr>
          <w:b/>
          <w:bCs/>
          <w:color w:val="1F3864"/>
          <w:sz w:val="36"/>
          <w:szCs w:val="36"/>
          <w:rtl/>
        </w:rPr>
        <w:t>المبحث الأول: المشروعات الصغيرة والمتوسطة وفجوة التمويل</w:t>
      </w:r>
    </w:p>
    <w:p w14:paraId="76A981A5" w14:textId="77777777" w:rsidR="007709ED" w:rsidRDefault="00000000" w:rsidP="00290358">
      <w:pPr>
        <w:bidi/>
        <w:spacing w:before="180" w:after="100"/>
      </w:pPr>
      <w:r>
        <w:rPr>
          <w:b/>
          <w:bCs/>
          <w:color w:val="2E74B5"/>
          <w:sz w:val="32"/>
          <w:szCs w:val="32"/>
          <w:rtl/>
        </w:rPr>
        <w:t>مفهوم المشروعات الصغيرة والمتوسطة وتصنيفها</w:t>
      </w:r>
    </w:p>
    <w:p w14:paraId="5FDF7C51" w14:textId="77777777" w:rsidR="007709ED" w:rsidRDefault="00000000">
      <w:pPr>
        <w:bidi/>
        <w:spacing w:after="120"/>
        <w:ind w:firstLine="284"/>
        <w:jc w:val="both"/>
      </w:pPr>
      <w:r>
        <w:rPr>
          <w:color w:val="000000"/>
          <w:rtl/>
        </w:rPr>
        <w:t>تُعرَّف المشروعات الصغيرة والمتوسطة بأنها المنشآت أو الشركات التي تقع ضمن حدود معينة من حيث حجم النشاط، ويختلف التعريف الإجرائي لها بين الدول تبعاً لاختلاف السياقات الاقتصادية، غير أن المعايير الأكثر شيوعاً في التصنيف هي عدد العاملين بدوام كامل وحجم الإيرادات السنوية، وأحياناً إجمالي الأصول. وفي المملكة العربية السعودية تعتمد الهيئة العامة للمنشآت الصغيرة والمتوسطة (منشآت) تصنيفاً يقوم على عدد الموظفين بدوام كامل أو الإيرادات السنوية، مع الأخذ بالقيمة الأكبر بين المعيارين في تحديد فئة المنشأة، بحيث تُصنَّف المنشآت إلى متناهية الصغر وصغيرة ومتوسطة وكبيرة، وتستهدف هذه الدراسة الفئات الثلاث الأولى منها (Monsha'at, 2025).</w:t>
      </w:r>
    </w:p>
    <w:p w14:paraId="1BB1267D" w14:textId="77777777" w:rsidR="007709ED" w:rsidRDefault="00000000">
      <w:pPr>
        <w:bidi/>
        <w:spacing w:after="120"/>
        <w:ind w:firstLine="284"/>
        <w:jc w:val="both"/>
      </w:pPr>
      <w:r>
        <w:rPr>
          <w:color w:val="000000"/>
          <w:rtl/>
        </w:rPr>
        <w:t>ولا يقتصر أثر هذا التصنيف على الجانب الوصفي، بل يمتد إلى استحقاق المنشأة لبرامج الدعم والتمكين والتفضيلات النظامية، كما يوفر إطاراً موحداً يتيح المقارنة وقياس الأثر على مستوى القطاع. ومن الناحية البحثية فإن اعتماد تصنيف رسمي موحد يعزز دقة اختيار العينة وصلاحية تعميم النتائج داخل حدود المجتمع المدروس.</w:t>
      </w:r>
    </w:p>
    <w:p w14:paraId="761E54EF" w14:textId="77777777" w:rsidR="007709ED" w:rsidRDefault="00000000" w:rsidP="00290358">
      <w:pPr>
        <w:bidi/>
        <w:spacing w:before="180" w:after="100"/>
      </w:pPr>
      <w:r>
        <w:rPr>
          <w:b/>
          <w:bCs/>
          <w:color w:val="2E74B5"/>
          <w:sz w:val="32"/>
          <w:szCs w:val="32"/>
          <w:rtl/>
        </w:rPr>
        <w:t>الأهمية الاقتصادية للمشروعات الصغيرة والمتوسطة</w:t>
      </w:r>
    </w:p>
    <w:p w14:paraId="04AD58A1" w14:textId="77777777" w:rsidR="007709ED" w:rsidRDefault="00000000">
      <w:pPr>
        <w:bidi/>
        <w:spacing w:after="120"/>
        <w:ind w:firstLine="284"/>
        <w:jc w:val="both"/>
      </w:pPr>
      <w:r>
        <w:rPr>
          <w:color w:val="000000"/>
          <w:rtl/>
        </w:rPr>
        <w:t xml:space="preserve">تكتسب المشروعات الصغيرة والمتوسطة أهميتها الاقتصادية من كونها تمثل الغالبية العظمى من المنشآت العاملة في معظم الاقتصادات، وتؤدي دوراً بارزاً في خلق فرص العمل واستيعاب العمالة، وتنويع القاعدة الإنتاجية، وتنشيط المنافسة والابتكار، ودعم سلاسل الإمداد المحلية، وتحقيق توزيع أكثر </w:t>
      </w:r>
      <w:r>
        <w:rPr>
          <w:color w:val="000000"/>
          <w:rtl/>
        </w:rPr>
        <w:lastRenderedPageBreak/>
        <w:t>توازناً للنشاط الاقتصادي جغرافياً. ومن ثم فإن أي قيد يعوق نمو هذه المشروعات، ولا سيما القيد التمويلي، لا يؤثر في المنشأة وحدها بل ينعكس على مستوى التشغيل والنمو الاقتصادي الكلي (Beck &amp; Demirgüç-Kunt, 2006). وفي السياق السعودي، تنسجم العناية بهذا القطاع مع توجهات رؤية المملكة 2030 الرامية إلى رفع مساهمة المنشآت الصغيرة والمتوسطة في الناتج المحلي الإجمالي وتعزيز ريادة الأعمال (Kingdom of Saudi Arabia, 2016).</w:t>
      </w:r>
    </w:p>
    <w:p w14:paraId="092DB916" w14:textId="77777777" w:rsidR="007709ED" w:rsidRDefault="00000000" w:rsidP="00290358">
      <w:pPr>
        <w:bidi/>
        <w:spacing w:before="180" w:after="100"/>
      </w:pPr>
      <w:r>
        <w:rPr>
          <w:b/>
          <w:bCs/>
          <w:color w:val="2E74B5"/>
          <w:sz w:val="32"/>
          <w:szCs w:val="32"/>
          <w:rtl/>
        </w:rPr>
        <w:t>مفهوم فجوة التمويل</w:t>
      </w:r>
    </w:p>
    <w:p w14:paraId="3A2234FE" w14:textId="77777777" w:rsidR="007709ED" w:rsidRDefault="00000000">
      <w:pPr>
        <w:bidi/>
        <w:spacing w:after="120"/>
        <w:ind w:firstLine="284"/>
        <w:jc w:val="both"/>
      </w:pPr>
      <w:r>
        <w:rPr>
          <w:color w:val="000000"/>
          <w:rtl/>
        </w:rPr>
        <w:t>يُقصد بفجوة التمويل الفارق بين الاحتياجات التمويلية الفعلية للمشروع وبين ما يستطيع الحصول عليه فعلاً من تمويل مناسب. وهي ليست مجرد نقص كمي في مبلغ التمويل، بل تشمل أيضاً أبعاداً نوعية تتعلق بملاءمة الشروط والتكلفة والتوقيت ونوع المنتج التمويلي لطبيعة نشاط المشروع ودورة تدفقاته النقدية. وقد تظهر الفجوة في صور متعددة، منها الرفض المباشر لطلب التمويل، أو التمويل الجزئي الذي لا يغطي الحاجة، أو التمويل بشروط غير ملائمة من حيث المدة أو الضمانات أو التكلفة، أو التأخر في صرف التمويل بما يفوّت على المشروع فرصاً تشغيلية (Berger and Udell, 2006).</w:t>
      </w:r>
    </w:p>
    <w:p w14:paraId="4D57D05C" w14:textId="77777777" w:rsidR="007709ED" w:rsidRDefault="00000000" w:rsidP="00290358">
      <w:pPr>
        <w:bidi/>
        <w:spacing w:before="180" w:after="100"/>
      </w:pPr>
      <w:r>
        <w:rPr>
          <w:b/>
          <w:bCs/>
          <w:color w:val="2E74B5"/>
          <w:sz w:val="32"/>
          <w:szCs w:val="32"/>
          <w:rtl/>
        </w:rPr>
        <w:t>أسباب فجوة التمويل</w:t>
      </w:r>
    </w:p>
    <w:p w14:paraId="3CE13C54" w14:textId="77777777" w:rsidR="007709ED" w:rsidRDefault="00000000">
      <w:pPr>
        <w:bidi/>
        <w:spacing w:after="120"/>
        <w:ind w:firstLine="284"/>
        <w:jc w:val="both"/>
      </w:pPr>
      <w:r>
        <w:rPr>
          <w:color w:val="000000"/>
          <w:rtl/>
        </w:rPr>
        <w:t>تتعدد أسباب فجوة التمويل وتتداخل، ويمكن إجمال أبرزها في عدم تماثل المعلومات بين المشروع والجهة الممولة، إذ لا يمتلك الممول غالباً صورة كاملة عن جودة المشروع وقدرته على السداد ومخاطر نشاطه المستقبلية، وهو ما يدفعه إلى التحوط عبر رفع تكلفة التمويل أو اشتراط ضمانات مرتفعة أو تقييد الائتمان (Stiglitz and Weiss, 1981). يضاف إلى ذلك ارتفاع تكاليف التقييم والمتابعة النسبية للمشروعات الأصغر حجماً مقارنة بحجم التمويل المطلوب، ومحدودية الضمانات المتاحة لدى كثير من هذه المنشآت، وحداثة بعضها وضعف سجلها الائتماني والمحاسبي، وضعف قدرة بعض المؤسسات التقليدية على تصميم منتجات مرنة تلائم تدفقات هذه الفئة. وتتضافر هذه العوامل لتنتج ترشيداً ائتمانياً يحرم جزءاً من المنشآت ذات الجدارة من التمويل أو يخضعها لشروط غير ملائمة.</w:t>
      </w:r>
    </w:p>
    <w:p w14:paraId="27D4335D" w14:textId="77777777" w:rsidR="007709ED" w:rsidRDefault="00000000" w:rsidP="00290358">
      <w:pPr>
        <w:bidi/>
        <w:spacing w:before="180" w:after="100"/>
      </w:pPr>
      <w:r>
        <w:rPr>
          <w:b/>
          <w:bCs/>
          <w:color w:val="2E74B5"/>
          <w:sz w:val="32"/>
          <w:szCs w:val="32"/>
          <w:rtl/>
        </w:rPr>
        <w:t>قياس فجوة التمويل</w:t>
      </w:r>
    </w:p>
    <w:p w14:paraId="12C35041" w14:textId="77777777" w:rsidR="007709ED" w:rsidRDefault="00000000">
      <w:pPr>
        <w:bidi/>
        <w:spacing w:after="120"/>
        <w:ind w:firstLine="284"/>
        <w:jc w:val="both"/>
      </w:pPr>
      <w:r>
        <w:rPr>
          <w:color w:val="000000"/>
          <w:rtl/>
        </w:rPr>
        <w:t xml:space="preserve">تتنوع أساليب مقاربة فجوة التمويل بين مقاربات كلية تقدّر حجم الطلب غير الملبّى على مستوى القطاع أو الاقتصاد، ومقاربات جزئية تعتمد على تصورات أصحاب المشروعات وخبراتهم الفعلية في طلب التمويل والحصول عليه. وتتبنى هذه الدراسة المقاربة الجزئية الإدراكية، إذ تقيس الفجوة من خلال إدراك المبحوثين لدرجة الصعوبة في الحصول على التمويل وكفايته وملاءمة شروطه وتكلفته وتوقيته، </w:t>
      </w:r>
      <w:r>
        <w:rPr>
          <w:color w:val="000000"/>
          <w:rtl/>
        </w:rPr>
        <w:lastRenderedPageBreak/>
        <w:t>ومدى تحسّن هذه المؤشرات بعد استخدام أدوات التمويل البديل. وتُعد هذه المقاربة مناسبة لطبيعة الدراسة الميدانية القائمة على الاستبانة، وتتيح ربط أبعاد التمويل البديل بأبعاد الفجوة على مستوى المنشأة.</w:t>
      </w:r>
    </w:p>
    <w:p w14:paraId="69EA7C71" w14:textId="77777777" w:rsidR="007709ED" w:rsidRDefault="00000000" w:rsidP="00290358">
      <w:pPr>
        <w:bidi/>
        <w:spacing w:before="320" w:after="120"/>
      </w:pPr>
      <w:r>
        <w:rPr>
          <w:b/>
          <w:bCs/>
          <w:color w:val="1F3864"/>
          <w:sz w:val="36"/>
          <w:szCs w:val="36"/>
          <w:rtl/>
        </w:rPr>
        <w:t>المبحث الثاني: أدوات التمويل البديل</w:t>
      </w:r>
    </w:p>
    <w:p w14:paraId="63B4E90B" w14:textId="77777777" w:rsidR="007709ED" w:rsidRDefault="00000000" w:rsidP="00290358">
      <w:pPr>
        <w:bidi/>
        <w:spacing w:before="180" w:after="100"/>
      </w:pPr>
      <w:r>
        <w:rPr>
          <w:b/>
          <w:bCs/>
          <w:color w:val="2E74B5"/>
          <w:sz w:val="32"/>
          <w:szCs w:val="32"/>
          <w:rtl/>
        </w:rPr>
        <w:t>مفهوم التمويل البديل ونشأته</w:t>
      </w:r>
    </w:p>
    <w:p w14:paraId="2E5D3DB6" w14:textId="77777777" w:rsidR="007709ED" w:rsidRDefault="00000000">
      <w:pPr>
        <w:bidi/>
        <w:spacing w:after="120"/>
        <w:ind w:firstLine="284"/>
        <w:jc w:val="both"/>
      </w:pPr>
      <w:r>
        <w:rPr>
          <w:color w:val="000000"/>
          <w:rtl/>
        </w:rPr>
        <w:t>يشير التمويل البديل إلى مجموعة الأدوات والقنوات التمويلية غير المصرفية التقليدية التي تطورت استجابةً لقصور القنوات التقليدية عن تلبية احتياجات شرائح من المشروعات، ولا سيما الصغيرة والناشئة، وتعتمد هذه الأدوات في كثير من صورها على المنصات الرقمية والبيانات البديلة في تقييم الجدارة الائتمانية واتخاذ قرار التمويل. وقد تسارع صعود التمويل البديل مع التحول الرقمي في القطاع المالي وبروز التقنية المالية، بوصفه استجابة سوقية وتنظيمية لمعالجة أوجه القصور في تمويل المشروعات الصغيرة والمتوسطة (OECD, 2015; Ziegler et al., 2021). ويُنظر إلى التمويل البديل في الأدبيات الحديثة بوصفه مكمّلاً للتمويل المصرفي لا بديلاً كاملاً عنه، تختلف ملاءمته باختلاف مرحلة المشروع وطبيعة أصوله وهيكل تدفقاته النقدية (OECD, 2015).</w:t>
      </w:r>
    </w:p>
    <w:p w14:paraId="4A154C7A" w14:textId="77777777" w:rsidR="007709ED" w:rsidRDefault="00000000" w:rsidP="00290358">
      <w:pPr>
        <w:bidi/>
        <w:spacing w:before="180" w:after="100"/>
      </w:pPr>
      <w:r>
        <w:rPr>
          <w:b/>
          <w:bCs/>
          <w:color w:val="2E74B5"/>
          <w:sz w:val="32"/>
          <w:szCs w:val="32"/>
          <w:rtl/>
        </w:rPr>
        <w:t>التمويل الجماعي</w:t>
      </w:r>
    </w:p>
    <w:p w14:paraId="2E23CA99" w14:textId="77777777" w:rsidR="007709ED" w:rsidRDefault="00000000">
      <w:pPr>
        <w:bidi/>
        <w:spacing w:after="120"/>
        <w:ind w:firstLine="284"/>
        <w:jc w:val="both"/>
      </w:pPr>
      <w:r>
        <w:rPr>
          <w:color w:val="000000"/>
          <w:rtl/>
        </w:rPr>
        <w:t>التمويل الجماعي هو جمع مبالغ تمويلية صغيرة من عدد كبير من الأفراد أو المستثمرين عبر منصة رقمية مرخّصة، وقد يأخذ صوراً عدة، منها التمويل الجماعي بالملكية حيث يحصل الممولون على حصص في المشروع، والتمويل الجماعي بالدين حيث يقدّمون قروضاً تُسدَّد بعوائد، إضافة إلى نماذج قائمة على المكافآت أو التبرع. وتتمثل أهميته للمشروعات الصغيرة والمتوسطة في أنه قد يوفر تمويلاً يصعب الحصول عليه عبر القنوات التقليدية، كما قد يؤدي وظائف مصاحبة مثل اختبار الطلب السوقي وبناء قاعدة عملاء ومجتمع داعم للمشروع (Camilleri, 2022). وفي المملكة العربية السعودية جرى تنظيم نشاط التمويل الجماعي بالدين ضمن جهود الجهات المنظمة، بما يعكس اعترافاً رسمياً بهذه القناة (Saudi Central Bank, 2024).</w:t>
      </w:r>
    </w:p>
    <w:p w14:paraId="2E20271A" w14:textId="77777777" w:rsidR="007709ED" w:rsidRDefault="00000000" w:rsidP="00290358">
      <w:pPr>
        <w:bidi/>
        <w:spacing w:before="180" w:after="100"/>
      </w:pPr>
      <w:r>
        <w:rPr>
          <w:b/>
          <w:bCs/>
          <w:color w:val="2E74B5"/>
          <w:sz w:val="32"/>
          <w:szCs w:val="32"/>
          <w:rtl/>
        </w:rPr>
        <w:t>التمويل التشاركي</w:t>
      </w:r>
    </w:p>
    <w:p w14:paraId="2288C9EB" w14:textId="77777777" w:rsidR="007709ED" w:rsidRDefault="00000000">
      <w:pPr>
        <w:bidi/>
        <w:spacing w:after="120"/>
        <w:ind w:firstLine="284"/>
        <w:jc w:val="both"/>
      </w:pPr>
      <w:r>
        <w:rPr>
          <w:color w:val="000000"/>
          <w:rtl/>
        </w:rPr>
        <w:t xml:space="preserve">التمويل التشاركي هو مجموعة صيغ التمويل المتوافقة مع أحكام الشريعة الإسلامية، ويقوم على مبدأ المشاركة في الربح والخسارة أو على البيع الآجل بدلاً من الإقراض بفائدة، ومن أبرز صيغه المضاربة والمشاركة والمرابحة والإجارة. وتنبع أهميته للمشروعات الصغيرة والمتوسطة في البيئة السعودية من ملاءمته لتفضيلات شريحة واسعة من أصحاب المشروعات الذين يبحثون عن حلول تمويلية متوافقة مع </w:t>
      </w:r>
      <w:r>
        <w:rPr>
          <w:color w:val="000000"/>
          <w:rtl/>
        </w:rPr>
        <w:lastRenderedPageBreak/>
        <w:t>الشريعة، ومن كونه يوزّع المخاطر بين الممول والمشروع في بعض صيغه القائمة على المشاركة، بما قد يخفف عبء المديونية الثابتة على المنشأة في مراحل عدم اليقين.</w:t>
      </w:r>
    </w:p>
    <w:p w14:paraId="74B6FC0F" w14:textId="77777777" w:rsidR="007709ED" w:rsidRDefault="00000000" w:rsidP="00290358">
      <w:pPr>
        <w:bidi/>
        <w:spacing w:before="180" w:after="100"/>
      </w:pPr>
      <w:r>
        <w:rPr>
          <w:b/>
          <w:bCs/>
          <w:color w:val="2E74B5"/>
          <w:sz w:val="32"/>
          <w:szCs w:val="32"/>
          <w:rtl/>
        </w:rPr>
        <w:t>تمويل الفواتير وسلاسل الإمداد</w:t>
      </w:r>
    </w:p>
    <w:p w14:paraId="2AF0B46D" w14:textId="77777777" w:rsidR="007709ED" w:rsidRDefault="00000000">
      <w:pPr>
        <w:bidi/>
        <w:spacing w:after="120"/>
        <w:ind w:firstLine="284"/>
        <w:jc w:val="both"/>
      </w:pPr>
      <w:r>
        <w:rPr>
          <w:color w:val="000000"/>
          <w:rtl/>
        </w:rPr>
        <w:t>يقوم تمويل الفواتير وسلاسل الإمداد على حصول المنشأة على سيولة نقدية مقدّماً مقابل فواتيرها المستحقة أو ذممها المدينة قبل حلول تاريخ تحصيلها، سواء عبر بيع الفواتير أو خصمها أو ترتيبات تمويل الموردين ضمن سلسلة الإمداد. وتكمن أهميته للمشروعات الصغيرة والمتوسطة في معالجته لمشكلة فجوة السيولة الناشئة عن تفاوت توقيت المقبوضات والمدفوعات، وهي مشكلة شائعة لدى المنشآت التي تبيع بالأجل، إذ يتيح تحويل الذمم المدينة إلى سيولة عاملة دون انتظار آجال التحصيل، وغالباً ما يرتبط قرار التمويل بجودة المدين لا بالمركز الائتماني الكامل للمنشأة الصغيرة نفسها، وهو ما يخفف أثر ضعف الضمانات.</w:t>
      </w:r>
    </w:p>
    <w:p w14:paraId="6F467F81" w14:textId="77777777" w:rsidR="007709ED" w:rsidRDefault="00000000" w:rsidP="00290358">
      <w:pPr>
        <w:bidi/>
        <w:spacing w:before="180" w:after="100"/>
      </w:pPr>
      <w:r>
        <w:rPr>
          <w:b/>
          <w:bCs/>
          <w:color w:val="2E74B5"/>
          <w:sz w:val="32"/>
          <w:szCs w:val="32"/>
          <w:rtl/>
        </w:rPr>
        <w:t>التمويل القائم على الإيراد</w:t>
      </w:r>
    </w:p>
    <w:p w14:paraId="7E9663C2" w14:textId="77777777" w:rsidR="007709ED" w:rsidRDefault="00000000">
      <w:pPr>
        <w:bidi/>
        <w:spacing w:after="120"/>
        <w:ind w:firstLine="284"/>
        <w:jc w:val="both"/>
      </w:pPr>
      <w:r>
        <w:rPr>
          <w:color w:val="000000"/>
          <w:rtl/>
        </w:rPr>
        <w:t>التمويل القائم على الإيراد نموذج تمويلي يُسدَّد فيه التمويل كنسبة متغيرة من إيرادات المنشأة الدورية بدلاً من دفعات ثابتة، بحيث يرتبط حجم السداد بمستوى النشاط الفعلي للمشروع. وتكمن ملاءمته للمشروعات الصغيرة والمتوسطة، ولا سيما ذات النموذج الرقمي أو المتذبذب الإيرادات، في مرونته التي تخفف الضغط على التدفق النقدي في فترات انخفاض النشاط، ولا يتطلب عادة ضمانات عينية ثقيلة، بل يعتمد على تحليل بيانات الإيرادات والمبيعات، وهو ما يجعله متسقاً مع منطق الاعتماد على البيانات البديلة الذي يميز التمويل البديل الرقمي.</w:t>
      </w:r>
    </w:p>
    <w:p w14:paraId="6A7DF8E5" w14:textId="77777777" w:rsidR="007709ED" w:rsidRDefault="00000000" w:rsidP="00290358">
      <w:pPr>
        <w:bidi/>
        <w:spacing w:before="180" w:after="100"/>
      </w:pPr>
      <w:r>
        <w:rPr>
          <w:b/>
          <w:bCs/>
          <w:color w:val="2E74B5"/>
          <w:sz w:val="32"/>
          <w:szCs w:val="32"/>
          <w:rtl/>
        </w:rPr>
        <w:t>رأس المال الجريء والمستثمرون الملائكيون</w:t>
      </w:r>
    </w:p>
    <w:p w14:paraId="7DC246EC" w14:textId="77777777" w:rsidR="007709ED" w:rsidRDefault="00000000">
      <w:pPr>
        <w:bidi/>
        <w:spacing w:after="120"/>
        <w:ind w:firstLine="284"/>
        <w:jc w:val="both"/>
      </w:pPr>
      <w:r>
        <w:rPr>
          <w:color w:val="000000"/>
          <w:rtl/>
        </w:rPr>
        <w:t>يقوم رأس المال الجريء والمستثمرون الملائكيون على الاستثمار في المشروعات الواعدة عالية النمو مقابل حصص ملكية، مع تقديم دعم غير مالي في كثير من الأحيان يشمل الخبرة الإدارية والشبكات والإرشاد. ويستهدف هذا النوع من التمويل عادةً المشروعات الناشئة ذات الإمكانات المرتفعة للنمو، ويؤدي دوراً مهماً في تمويل المراحل المبكرة التي يصعب فيها الحصول على تمويل بالدين بسبب ارتفاع المخاطر وغياب الضمانات والسجل التشغيلي. وتكمن أهميته في أنه يوفر تمويلاً يتحمل المخاطر ويقبل بعوائد مؤجلة مرتبطة بنمو المشروع، وهو ما يجعله ملائماً لفئة من المشروعات لا تناسبها أدوات الدين التقليدية.</w:t>
      </w:r>
    </w:p>
    <w:p w14:paraId="6B99CE1C" w14:textId="77777777" w:rsidR="00290358" w:rsidRDefault="00290358" w:rsidP="00290358">
      <w:pPr>
        <w:bidi/>
        <w:spacing w:before="180" w:after="100"/>
        <w:rPr>
          <w:b/>
          <w:bCs/>
          <w:color w:val="2E74B5"/>
          <w:sz w:val="32"/>
          <w:szCs w:val="32"/>
          <w:rtl/>
        </w:rPr>
      </w:pPr>
    </w:p>
    <w:p w14:paraId="2127D4DB" w14:textId="08EF9E55" w:rsidR="007709ED" w:rsidRDefault="00000000" w:rsidP="00290358">
      <w:pPr>
        <w:bidi/>
        <w:spacing w:before="180" w:after="100"/>
      </w:pPr>
      <w:r>
        <w:rPr>
          <w:b/>
          <w:bCs/>
          <w:color w:val="2E74B5"/>
          <w:sz w:val="32"/>
          <w:szCs w:val="32"/>
          <w:rtl/>
        </w:rPr>
        <w:lastRenderedPageBreak/>
        <w:t>التأجير التمويلي</w:t>
      </w:r>
    </w:p>
    <w:p w14:paraId="101D989F" w14:textId="77777777" w:rsidR="007709ED" w:rsidRDefault="00000000">
      <w:pPr>
        <w:bidi/>
        <w:spacing w:after="120"/>
        <w:ind w:firstLine="284"/>
        <w:jc w:val="both"/>
      </w:pPr>
      <w:r>
        <w:rPr>
          <w:color w:val="000000"/>
          <w:rtl/>
        </w:rPr>
        <w:t>التأجير التمويلي هو الحصول على أصول تشغيلية مثل المعدات والآليات عبر عقد إيجار طويل الأجل مع خيار التملّك في نهايته، بدلاً من شرائها نقداً. وتكمن أهميته للمشروعات الصغيرة والمتوسطة في أنه يتيح لها استخدام الأصول الإنتاجية دون تحمّل عبء شرائها دفعة واحدة، بما يحافظ على السيولة العاملة ويربط الالتزام المالي بالأصل المموَّل نفسه الذي يشكّل ضماناً طبيعياً للتمويل، وهو ما يخفف اشتراط الضمانات الإضافية ويجعل هذه الأداة مناسبة للمنشآت كثيفة الأصول أو التي تحتاج إلى تجديد معداتها.</w:t>
      </w:r>
    </w:p>
    <w:p w14:paraId="5A74D50A" w14:textId="77777777" w:rsidR="007709ED" w:rsidRDefault="00000000" w:rsidP="00290358">
      <w:pPr>
        <w:bidi/>
        <w:spacing w:before="320" w:after="120"/>
      </w:pPr>
      <w:r>
        <w:rPr>
          <w:b/>
          <w:bCs/>
          <w:color w:val="1F3864"/>
          <w:sz w:val="36"/>
          <w:szCs w:val="36"/>
          <w:rtl/>
        </w:rPr>
        <w:t>المبحث الثالث: المنطلقات النظرية والنموذج المفاهيمي</w:t>
      </w:r>
    </w:p>
    <w:p w14:paraId="4F1DD333" w14:textId="77777777" w:rsidR="007709ED" w:rsidRDefault="00000000" w:rsidP="00290358">
      <w:pPr>
        <w:bidi/>
        <w:spacing w:before="180" w:after="100"/>
      </w:pPr>
      <w:r>
        <w:rPr>
          <w:b/>
          <w:bCs/>
          <w:color w:val="2E74B5"/>
          <w:sz w:val="32"/>
          <w:szCs w:val="32"/>
          <w:rtl/>
        </w:rPr>
        <w:t>نظرية عدم تماثل المعلومات</w:t>
      </w:r>
    </w:p>
    <w:p w14:paraId="463C1AF4" w14:textId="77777777" w:rsidR="007709ED" w:rsidRDefault="00000000">
      <w:pPr>
        <w:bidi/>
        <w:spacing w:after="120"/>
        <w:ind w:firstLine="284"/>
        <w:jc w:val="both"/>
      </w:pPr>
      <w:r>
        <w:rPr>
          <w:color w:val="000000"/>
          <w:rtl/>
        </w:rPr>
        <w:t>تُعد نظرية عدم تماثل المعلومات من أكثر الأطر تفسيراً لصعوبة حصول المشروعات الصغيرة والمتوسطة على التمويل، إذ تنطلق من أن أطراف العملية التمويلية لا يمتلكون القدر نفسه من المعلومات؛ فصاحب المشروع أكثر دراية بجودة مشروعه ومخاطره من الممول، وهو ما يولّد مشكلتي الاختيار المعاكس وسوء استخدام التمويل، ويدفع الممول إلى التحوط عبر رفع الكلفة أو اشتراط ضمانات أعلى أو ترشيد الائتمان (Akerlof, 1970; Stiglitz and Weiss, 1981). وتفيد هذه النظرية في تفسير سبب ظهور أدوات تمويل بديلة تعتمد على البيانات الرقمية والسلوكيات المالية والربط المباشر بين الأطراف، إذ يمكن لهذه الأدوات أن تخفف حدة عدم تماثل المعلومات وتحسّن دقة تقييم الجدارة، بما ينعكس على تضييق فجوة التمويل. كما تتصل بها نظرية الترتيب التمويلي التي ترى أن المنشآت تفاضل بين مصادر التمويل بحسب درجة عدم تماثل المعلومات المرتبطة بكل مصدر (Myers and Majluf, 1984).</w:t>
      </w:r>
    </w:p>
    <w:p w14:paraId="0AE2CACD" w14:textId="77777777" w:rsidR="007709ED" w:rsidRDefault="00000000" w:rsidP="00290358">
      <w:pPr>
        <w:bidi/>
        <w:spacing w:before="180" w:after="100"/>
      </w:pPr>
      <w:r>
        <w:rPr>
          <w:b/>
          <w:bCs/>
          <w:color w:val="2E74B5"/>
          <w:sz w:val="32"/>
          <w:szCs w:val="32"/>
          <w:rtl/>
        </w:rPr>
        <w:t>نظرية الشمول المالي</w:t>
      </w:r>
    </w:p>
    <w:p w14:paraId="398ACAE1" w14:textId="77777777" w:rsidR="007709ED" w:rsidRDefault="00000000">
      <w:pPr>
        <w:bidi/>
        <w:spacing w:after="120"/>
        <w:ind w:firstLine="284"/>
        <w:jc w:val="both"/>
      </w:pPr>
      <w:r>
        <w:rPr>
          <w:color w:val="000000"/>
          <w:rtl/>
        </w:rPr>
        <w:t>تنطلق نظرية الشمول المالي من أن اتساع نطاق الوصول إلى الخدمات المالية الملائمة واستخدامها بجودة وسعر وتوقيت مناسبة يسهم في زيادة قدرة الأفراد والمنشآت على المشاركة في النشاط الاقتصادي وتحقيق النمو (Sarma and Pais, 2011). ومن هذا المنظور يمكن النظر إلى التمويل البديل بوصفه قناة مهمة لتعميق الشمول المالي للمشروعات الصغيرة والمتوسطة التي لا تجد منتجات مناسبة في القنوات التقليدية، إذ تعمل المنصات الرقمية والأدوات البديلة على توسيع دائرة المستفيدين من التمويل وتقريب الخدمة من شرائح كانت مستبعدة أو محدودة الخدمة، بما يتسق مع الهدف من تضييق فجوة التمويل.</w:t>
      </w:r>
    </w:p>
    <w:p w14:paraId="1C95DA41" w14:textId="77777777" w:rsidR="007709ED" w:rsidRDefault="00000000" w:rsidP="00290358">
      <w:pPr>
        <w:bidi/>
        <w:spacing w:before="180" w:after="100"/>
      </w:pPr>
      <w:r>
        <w:rPr>
          <w:b/>
          <w:bCs/>
          <w:color w:val="2E74B5"/>
          <w:sz w:val="32"/>
          <w:szCs w:val="32"/>
          <w:rtl/>
        </w:rPr>
        <w:lastRenderedPageBreak/>
        <w:t>نظرية الابتكار المالي</w:t>
      </w:r>
    </w:p>
    <w:p w14:paraId="3BE2B226" w14:textId="77777777" w:rsidR="007709ED" w:rsidRDefault="00000000">
      <w:pPr>
        <w:bidi/>
        <w:spacing w:after="120"/>
        <w:ind w:firstLine="284"/>
        <w:jc w:val="both"/>
      </w:pPr>
      <w:r>
        <w:rPr>
          <w:color w:val="000000"/>
          <w:rtl/>
        </w:rPr>
        <w:t>ترى نظرية الابتكار المالي أن الأسواق المالية تتطور استجابةً لاحتياجات غير ملبّاة أو لقصور قائم في الأدوات القائمة، وأن الابتكار في المنتجات والعمليات المالية يمثل محركاً لتوسيع نطاق الخدمة وكفاءتها، ويمكن ربط جذورها بفكرة أن الابتكار عنصر أساسي في التطور الاقتصادي (Schumpeter, 1934). وبناءً على ذلك يمكن تفسير صعود التمويل البديل بوصفه استجابة ابتكارية سوقية وتنظيمية لمعالجة أوجه القصور في تمويل المشروعات الصغيرة والمتوسطة، سواء عبر المنصات الرقمية أو المنتجات المرنة أو نماذج التسعير والسداد المرتبطة بالنشاط، غير أن هذه النظرية تنبّه أيضاً إلى أن الابتكار المالي قد يحمل مخاطر تتطلب تنظيماً متوازناً يحمي المستهلك ويحافظ على الاستقرار (World Bank, 2024).</w:t>
      </w:r>
    </w:p>
    <w:p w14:paraId="02D94109" w14:textId="77777777" w:rsidR="007709ED" w:rsidRDefault="00000000" w:rsidP="00290358">
      <w:pPr>
        <w:bidi/>
        <w:spacing w:before="180" w:after="100"/>
      </w:pPr>
      <w:r>
        <w:rPr>
          <w:b/>
          <w:bCs/>
          <w:color w:val="2E74B5"/>
          <w:sz w:val="32"/>
          <w:szCs w:val="32"/>
          <w:rtl/>
        </w:rPr>
        <w:t>النموذج المفاهيمي المقترح</w:t>
      </w:r>
    </w:p>
    <w:p w14:paraId="63A0B8F4" w14:textId="77777777" w:rsidR="007709ED" w:rsidRDefault="00000000">
      <w:pPr>
        <w:bidi/>
        <w:spacing w:after="120"/>
        <w:ind w:firstLine="284"/>
        <w:jc w:val="both"/>
      </w:pPr>
      <w:r>
        <w:rPr>
          <w:color w:val="000000"/>
          <w:rtl/>
        </w:rPr>
        <w:t>بناءً على ما تقدم من منطلقات نظرية ومراجعة للدراسات السابقة، يقترح البحث نموذجاً مفاهيمياً يقوم على أن خصائص أدوات التمويل البديل، والمتمثلة في سهولة الوصول ومرونة الشروط وسرعة الإجراءات وتنوع الأدوات وملاءمتها، تؤثر تأثيراً مباشراً في خفض فجوة التمويل لدى المشروعات الصغيرة والمتوسطة. ويُتوقع أن تتأثر قوة هذه العلاقة بمتغيرات ضابطة تتعلق بخصائص المشروع مثل الحجم والعمر والقطاع والمرحلة التمويلية. وبذلك تُصاغ العلاقة في صورة متغير مستقل (أبعاد أدوات التمويل البديل) يؤثر في متغير تابع (فجوة التمويل)، مع اختبار الفروق في إدراك الفاعلية تبعاً لخصائص المشروع، وهو ما يترجم مباشرةً إلى فرضيات الدراسة الرئيسة والفرعية التي عُرضت في الفصل الأول.</w:t>
      </w:r>
    </w:p>
    <w:p w14:paraId="27E45BCF" w14:textId="77777777" w:rsidR="007709ED" w:rsidRDefault="00000000">
      <w:pPr>
        <w:bidi/>
        <w:spacing w:after="120"/>
        <w:ind w:firstLine="284"/>
        <w:jc w:val="both"/>
      </w:pPr>
      <w:r>
        <w:rPr>
          <w:color w:val="000000"/>
          <w:rtl/>
        </w:rPr>
        <w:t>ويمكن تلخيص النموذج المفاهيمي على النحو الآتي: المتغير المستقل هو أدوات التمويل البديل بأبعادها الأربعة (سهولة الوصول، مرونة الشروط، سرعة الإجراءات، تنوع الأدوات)، والمتغير التابع هو فجوة التمويل بمؤشراتها (كفاية التمويل، ملاءمة الشروط والتكلفة، ملاءمة التوقيت، تحسّن فرص الحصول على التمويل)، والمتغيرات الضابطة هي خصائص المشروع (الحجم، العمر، القطاع، المرحلة التمويلية). وسيجري في الفصول التطبيقية اختبار هذا النموذج ميدانياً باستخدام أساليب التحليل الإحصائي المناسبة.</w:t>
      </w:r>
    </w:p>
    <w:p w14:paraId="095728BD" w14:textId="337DDF76" w:rsidR="007709ED" w:rsidRPr="002D500B" w:rsidRDefault="007709ED" w:rsidP="002D500B"/>
    <w:sectPr w:rsidR="007709ED" w:rsidRPr="002D500B">
      <w:footerReference w:type="default" r:id="rId9"/>
      <w:pgSz w:w="11906" w:h="16838"/>
      <w:pgMar w:top="1417" w:right="1701" w:bottom="1417" w:left="141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0F53F" w14:textId="77777777" w:rsidR="00AE29C7" w:rsidRDefault="00AE29C7">
      <w:r>
        <w:separator/>
      </w:r>
    </w:p>
  </w:endnote>
  <w:endnote w:type="continuationSeparator" w:id="0">
    <w:p w14:paraId="7F3B135C" w14:textId="77777777" w:rsidR="00AE29C7" w:rsidRDefault="00AE2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D504E" w14:textId="77777777" w:rsidR="007709ED" w:rsidRDefault="00000000">
    <w:pPr>
      <w:jc w:val="center"/>
    </w:pPr>
    <w:r>
      <w:rPr>
        <w:sz w:val="24"/>
        <w:szCs w:val="24"/>
      </w:rPr>
      <w:fldChar w:fldCharType="begin"/>
    </w:r>
    <w:r>
      <w:rPr>
        <w:sz w:val="24"/>
        <w:szCs w:val="24"/>
      </w:rPr>
      <w:instrText>PAGE</w:instrText>
    </w:r>
    <w:r>
      <w:rPr>
        <w:sz w:val="24"/>
        <w:szCs w:val="24"/>
      </w:rPr>
      <w:fldChar w:fldCharType="separate"/>
    </w:r>
    <w:r w:rsidR="00303990">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902D4" w14:textId="77777777" w:rsidR="00AE29C7" w:rsidRDefault="00AE29C7">
      <w:r>
        <w:separator/>
      </w:r>
    </w:p>
  </w:footnote>
  <w:footnote w:type="continuationSeparator" w:id="0">
    <w:p w14:paraId="307DC4C9" w14:textId="77777777" w:rsidR="00AE29C7" w:rsidRDefault="00AE29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8601F"/>
    <w:multiLevelType w:val="hybridMultilevel"/>
    <w:tmpl w:val="A498F7DC"/>
    <w:lvl w:ilvl="0" w:tplc="6CFA28AA">
      <w:start w:val="1"/>
      <w:numFmt w:val="bullet"/>
      <w:lvlText w:val="●"/>
      <w:lvlJc w:val="left"/>
      <w:pPr>
        <w:ind w:left="720" w:hanging="360"/>
      </w:pPr>
    </w:lvl>
    <w:lvl w:ilvl="1" w:tplc="8DA68BCA">
      <w:start w:val="1"/>
      <w:numFmt w:val="bullet"/>
      <w:lvlText w:val="○"/>
      <w:lvlJc w:val="left"/>
      <w:pPr>
        <w:ind w:left="1440" w:hanging="360"/>
      </w:pPr>
    </w:lvl>
    <w:lvl w:ilvl="2" w:tplc="5874B8FC">
      <w:start w:val="1"/>
      <w:numFmt w:val="bullet"/>
      <w:lvlText w:val="■"/>
      <w:lvlJc w:val="left"/>
      <w:pPr>
        <w:ind w:left="2160" w:hanging="360"/>
      </w:pPr>
    </w:lvl>
    <w:lvl w:ilvl="3" w:tplc="355A0B26">
      <w:start w:val="1"/>
      <w:numFmt w:val="bullet"/>
      <w:lvlText w:val="●"/>
      <w:lvlJc w:val="left"/>
      <w:pPr>
        <w:ind w:left="2880" w:hanging="360"/>
      </w:pPr>
    </w:lvl>
    <w:lvl w:ilvl="4" w:tplc="11E4AC4C">
      <w:start w:val="1"/>
      <w:numFmt w:val="bullet"/>
      <w:lvlText w:val="○"/>
      <w:lvlJc w:val="left"/>
      <w:pPr>
        <w:ind w:left="3600" w:hanging="360"/>
      </w:pPr>
    </w:lvl>
    <w:lvl w:ilvl="5" w:tplc="591AA2A4">
      <w:start w:val="1"/>
      <w:numFmt w:val="bullet"/>
      <w:lvlText w:val="■"/>
      <w:lvlJc w:val="left"/>
      <w:pPr>
        <w:ind w:left="4320" w:hanging="360"/>
      </w:pPr>
    </w:lvl>
    <w:lvl w:ilvl="6" w:tplc="FDD6B74C">
      <w:start w:val="1"/>
      <w:numFmt w:val="bullet"/>
      <w:lvlText w:val="●"/>
      <w:lvlJc w:val="left"/>
      <w:pPr>
        <w:ind w:left="5040" w:hanging="360"/>
      </w:pPr>
    </w:lvl>
    <w:lvl w:ilvl="7" w:tplc="860A983C">
      <w:start w:val="1"/>
      <w:numFmt w:val="bullet"/>
      <w:lvlText w:val="●"/>
      <w:lvlJc w:val="left"/>
      <w:pPr>
        <w:ind w:left="5760" w:hanging="360"/>
      </w:pPr>
    </w:lvl>
    <w:lvl w:ilvl="8" w:tplc="9D48513E">
      <w:start w:val="1"/>
      <w:numFmt w:val="bullet"/>
      <w:lvlText w:val="●"/>
      <w:lvlJc w:val="left"/>
      <w:pPr>
        <w:ind w:left="6480" w:hanging="360"/>
      </w:pPr>
    </w:lvl>
  </w:abstractNum>
  <w:num w:numId="1" w16cid:durableId="1333735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9ED"/>
    <w:rsid w:val="00062B7B"/>
    <w:rsid w:val="00132D86"/>
    <w:rsid w:val="001B4824"/>
    <w:rsid w:val="001D6259"/>
    <w:rsid w:val="00290358"/>
    <w:rsid w:val="002D500B"/>
    <w:rsid w:val="00303990"/>
    <w:rsid w:val="00566A69"/>
    <w:rsid w:val="005757D3"/>
    <w:rsid w:val="005A69D6"/>
    <w:rsid w:val="007709ED"/>
    <w:rsid w:val="007F0C25"/>
    <w:rsid w:val="00834E03"/>
    <w:rsid w:val="00884703"/>
    <w:rsid w:val="0096234D"/>
    <w:rsid w:val="00AE29C7"/>
    <w:rsid w:val="00BB0D20"/>
    <w:rsid w:val="00BD13AE"/>
    <w:rsid w:val="00C87CE4"/>
    <w:rsid w:val="00CC6F20"/>
    <w:rsid w:val="00E60DD5"/>
    <w:rsid w:val="00F422DC"/>
    <w:rsid w:val="00F45A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FE919"/>
  <w15:docId w15:val="{6F8A836A-892C-4DE8-BAFC-8AD26F355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sz w:val="28"/>
        <w:szCs w:val="2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028B7-D8F6-4516-A4C2-798ADD13D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5457</Words>
  <Characters>31111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Raad Qasim</cp:lastModifiedBy>
  <cp:revision>3</cp:revision>
  <dcterms:created xsi:type="dcterms:W3CDTF">2026-08-13T14:31:00Z</dcterms:created>
  <dcterms:modified xsi:type="dcterms:W3CDTF">2026-08-13T14:34:00Z</dcterms:modified>
</cp:coreProperties>
</file>