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Rule="auto" w:line="360" w:after="120" w:before="0"/>
        <w:jc w:val="center"/>
        <w:bidi w:val="1"/>
      </w:pPr>
      <w:r>
        <w:rPr>
          <w:rFonts w:ascii="Traditional Arabic" w:hAnsi="Traditional Arabic" w:cs="Traditional Arabic" w:eastAsia="Traditional Arabic"/>
          <w:b/>
          <w:i w:val="0"/>
          <w:sz w:val="24"/>
          <w:rtl w:val="1"/>
        </w:rPr>
        <w:t>جامعة ميدأوشن</w:t>
      </w:r>
    </w:p>
    <w:p>
      <w:pPr>
        <w:spacing w:lineRule="auto" w:line="360" w:after="120" w:before="0"/>
        <w:jc w:val="center"/>
        <w:bidi w:val="1"/>
      </w:pPr>
      <w:r>
        <w:rPr>
          <w:rFonts w:ascii="Traditional Arabic" w:hAnsi="Traditional Arabic" w:cs="Traditional Arabic" w:eastAsia="Traditional Arabic"/>
          <w:b/>
          <w:i w:val="0"/>
          <w:sz w:val="24"/>
          <w:rtl w:val="1"/>
        </w:rPr>
        <w:t>كلية الإدارة</w:t>
      </w:r>
    </w:p>
    <w:p>
      <w:pPr>
        <w:spacing w:lineRule="auto" w:line="360" w:after="120" w:before="0"/>
        <w:jc w:val="center"/>
        <w:bidi w:val="1"/>
      </w:pPr>
      <w:r>
        <w:rPr>
          <w:rFonts w:ascii="Traditional Arabic" w:hAnsi="Traditional Arabic" w:cs="Traditional Arabic" w:eastAsia="Traditional Arabic"/>
          <w:b/>
          <w:i w:val="0"/>
          <w:sz w:val="24"/>
          <w:rtl w:val="1"/>
        </w:rPr>
        <w:t>خطة تسجيل أطروحة دكتوراه</w:t>
      </w:r>
    </w:p>
    <w:p>
      <w:pPr>
        <w:spacing w:lineRule="auto" w:line="360" w:after="120" w:before="0"/>
        <w:jc w:val="center"/>
        <w:bidi w:val="1"/>
      </w:pPr>
      <w:r>
        <w:rPr>
          <w:rFonts w:ascii="Traditional Arabic" w:hAnsi="Traditional Arabic" w:eastAsia="Traditional Arabic" w:cs="Traditional Arabic"/>
          <w:b/>
          <w:sz w:val="24"/>
          <w:rtl w:val="1"/>
        </w:rPr>
        <w:t>أثر حوكمة المشتريات الحكومية في كفاءة الإنفاق:</w:t>
      </w:r>
    </w:p>
    <w:p>
      <w:pPr>
        <w:spacing w:lineRule="auto" w:line="360" w:after="120" w:before="0"/>
        <w:jc w:val="center"/>
        <w:bidi w:val="1"/>
      </w:pPr>
      <w:r>
        <w:rPr>
          <w:rFonts w:ascii="Traditional Arabic" w:hAnsi="Traditional Arabic" w:cs="Traditional Arabic" w:eastAsia="Traditional Arabic"/>
          <w:b/>
          <w:i w:val="0"/>
          <w:sz w:val="24"/>
          <w:rtl w:val="1"/>
        </w:rPr>
        <w:t>الدور الوسيط لإدارة مخاطر تعارض المصالح في الجهات الحكومية السعودية</w:t>
      </w:r>
    </w:p>
    <w:p>
      <w:pPr>
        <w:spacing w:lineRule="auto" w:line="360" w:after="120" w:before="0"/>
        <w:jc w:val="center"/>
      </w:pPr>
      <w:r>
        <w:rPr>
          <w:rFonts w:ascii="Times New Roman" w:hAnsi="Times New Roman" w:eastAsia="Times New Roman" w:cs="Times New Roman"/>
          <w:b/>
          <w:sz w:val="26"/>
        </w:rPr>
        <w:t>The Impact of Government Procurement Governance on Expenditure Efficiency:</w:t>
      </w:r>
    </w:p>
    <w:p>
      <w:pPr>
        <w:spacing w:lineRule="auto" w:line="360" w:after="120" w:before="0"/>
        <w:jc w:val="center"/>
      </w:pPr>
      <w:r>
        <w:rPr>
          <w:rFonts w:ascii="Times New Roman" w:hAnsi="Times New Roman" w:cs="Times New Roman"/>
          <w:b/>
          <w:sz w:val="26"/>
        </w:rPr>
        <w:t>The Mediating Role of Conflict-of-Interest Risk Management</w:t>
        <w:br/>
      </w:r>
      <w:r>
        <w:rPr>
          <w:rFonts w:ascii="Times New Roman" w:hAnsi="Times New Roman" w:cs="Times New Roman"/>
          <w:b/>
          <w:sz w:val="26"/>
        </w:rPr>
        <w:t>in Saudi Government Entities</w:t>
      </w:r>
    </w:p>
    <w:p>
      <w:pPr>
        <w:spacing w:lineRule="auto" w:line="360" w:after="120" w:before="0"/>
        <w:jc w:val="right"/>
        <w:bidi w:val="1"/>
      </w:pPr>
      <w:r>
        <w:rPr>
          <w:rFonts w:ascii="Traditional Arabic" w:hAnsi="Traditional Arabic" w:cs="Traditional Arabic" w:eastAsia="Traditional Arabic"/>
          <w:b w:val="0"/>
          <w:i w:val="0"/>
          <w:sz w:val="24"/>
          <w:rtl w:val="1"/>
        </w:rPr>
      </w:r>
    </w:p>
    <w:p>
      <w:pPr>
        <w:spacing w:lineRule="auto" w:line="360" w:after="120" w:before="0"/>
        <w:jc w:val="center"/>
        <w:bidi w:val="1"/>
      </w:pPr>
      <w:r>
        <w:rPr>
          <w:rFonts w:ascii="Traditional Arabic" w:hAnsi="Traditional Arabic" w:cs="Traditional Arabic" w:eastAsia="Traditional Arabic"/>
          <w:b/>
          <w:i w:val="0"/>
          <w:sz w:val="24"/>
          <w:rtl w:val="1"/>
        </w:rPr>
        <w:t>إعداد الباحث:</w:t>
      </w:r>
    </w:p>
    <w:p>
      <w:pPr>
        <w:spacing w:lineRule="auto" w:line="360" w:after="120" w:before="0"/>
        <w:jc w:val="center"/>
        <w:bidi w:val="1"/>
      </w:pPr>
      <w:r>
        <w:rPr>
          <w:rFonts w:ascii="Traditional Arabic" w:hAnsi="Traditional Arabic" w:cs="Traditional Arabic" w:eastAsia="Traditional Arabic"/>
          <w:b/>
          <w:i w:val="0"/>
          <w:sz w:val="24"/>
          <w:rtl w:val="1"/>
        </w:rPr>
        <w:t>فادي بن عبدالصمد مليباري</w:t>
      </w:r>
    </w:p>
    <w:p>
      <w:pPr>
        <w:spacing w:lineRule="auto" w:line="360" w:after="120" w:before="0"/>
        <w:jc w:val="center"/>
        <w:bidi w:val="1"/>
      </w:pPr>
      <w:r>
        <w:rPr>
          <w:rFonts w:ascii="Traditional Arabic" w:hAnsi="Traditional Arabic" w:cs="Traditional Arabic" w:eastAsia="Traditional Arabic"/>
          <w:b w:val="0"/>
          <w:i w:val="0"/>
          <w:sz w:val="24"/>
          <w:rtl w:val="1"/>
        </w:rPr>
        <w:t>الرقم الأكاديمي: [يضاف]</w:t>
      </w:r>
    </w:p>
    <w:p>
      <w:pPr>
        <w:spacing w:lineRule="auto" w:line="360" w:after="120" w:before="0"/>
        <w:jc w:val="center"/>
        <w:bidi w:val="1"/>
      </w:pPr>
      <w:r>
        <w:rPr>
          <w:rFonts w:ascii="Traditional Arabic" w:hAnsi="Traditional Arabic" w:cs="Traditional Arabic" w:eastAsia="Traditional Arabic"/>
          <w:b w:val="0"/>
          <w:i w:val="0"/>
          <w:sz w:val="24"/>
          <w:rtl w:val="1"/>
        </w:rPr>
        <w:t>الكلية: الإدارة</w:t>
      </w:r>
    </w:p>
    <w:p>
      <w:pPr>
        <w:spacing w:lineRule="auto" w:line="360" w:after="120" w:before="0"/>
        <w:jc w:val="center"/>
        <w:bidi w:val="1"/>
      </w:pPr>
      <w:r>
        <w:rPr>
          <w:rFonts w:ascii="Traditional Arabic" w:hAnsi="Traditional Arabic" w:eastAsia="Traditional Arabic" w:cs="Traditional Arabic"/>
          <w:sz w:val="24"/>
          <w:rtl w:val="1"/>
        </w:rPr>
        <w:t>تاريخ التحديث: 2026م - التعديل الثاني</w:t>
      </w:r>
    </w:p>
    <w:p>
      <w:pPr>
        <w:spacing w:lineRule="auto" w:line="360" w:after="120" w:before="0"/>
        <w:jc w:val="center"/>
        <w:bidi w:val="1"/>
      </w:pPr>
      <w:r>
        <w:rPr>
          <w:rFonts w:ascii="Traditional Arabic" w:hAnsi="Traditional Arabic" w:eastAsia="Traditional Arabic" w:cs="Traditional Arabic"/>
          <w:sz w:val="24"/>
          <w:rtl w:val="1"/>
        </w:rPr>
        <w:t>ملاحظة: تم تظليل الأجزاء المضافة أو المعدلة استجابةً لملاحظات لجنة المراجعة في الجولة الثانية فقط.</w:t>
      </w:r>
    </w:p>
    <w:p>
      <w:r>
        <w:rPr/>
        <w:br w:type="page"/>
      </w:r>
    </w:p>
    <w:p>
      <w:pPr>
        <w:spacing w:lineRule="auto" w:line="360" w:after="160" w:before="0"/>
        <w:jc w:val="right"/>
        <w:pStyle w:val="Heading1"/>
        <w:bidi w:val="1"/>
      </w:pPr>
      <w:r>
        <w:rPr>
          <w:rFonts w:ascii="Traditional Arabic" w:hAnsi="Traditional Arabic" w:eastAsia="Traditional Arabic" w:cs="Traditional Arabic"/>
          <w:b/>
          <w:sz w:val="32"/>
          <w:rtl w:val="1"/>
        </w:rPr>
        <w:t>جدول (1): الاستجابة لملاحظات اللجنة العلمية والمشرف</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rPr>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البند</w:t>
            </w:r>
          </w:p>
        </w:tc>
        <w:tc>
          <w:tcPr>
            <w:tcW w:type="dxa" w:w="39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الملاحظة الرئيسة</w:t>
            </w:r>
          </w:p>
        </w:tc>
        <w:tc>
          <w:tcPr>
            <w:tcW w:type="dxa" w:w="39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الإجراء التصحيحي المنفذ</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العنوان</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اختصار الصياغة مع الحفاظ على الدقة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حُذف لفظ «ممارسات» من العنوان، مع الإبقاء على مجال التطبيق في الجهات الحكومية السعودية.</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المقدمة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تقسيم الفقرات، تقديم السياق الوطني، وإضافة فقرة انتقالية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قُسمت الفقرات الطويلة، وأضيفت إشارة مبكرة إلى رؤية السعودية 2030 وبرنامج الاستدامة المالية، وربطت كفاءة الإنفاق بمخاطر تعارض المصالح.</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المشكلة والتساؤلات</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اختصار السؤال الرئيس ودمج الأسئلة المتداخلة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اختُصر السؤال الرئيس، ودُمج السؤالان المتعلقان بأثر المتغير المستقل، وأعيد ضبط سؤال أبعاد المتغير الوسيط.</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الأهداف</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دمج الأهداف المتشابهة وحذف ما ليس هدفًا بحثيًا مستقلاً</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دُمجت أهداف قياس مستويات المتغيرات في هدف واحد، وأعيدت صياغة الأهداف في سبعة أهداف قابلة للقياس.</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الفرضيات</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تفريع الفرضيتين الثانية والثالثة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أضيفت فرضيات فرعية تغطي أبعاد إدارة مخاطر تعارض المصالح وعلاقتها بحوكمة المشتريات وكفاءة الإنفاق.</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النظريات الداعمة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إضافة إطار مؤسسي مساند وتوحيد الإحالات</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أضيفت النظرية المؤسسية، ووُضح التكامل بينها وبين نظرية الوكالة ونظرية أصحاب المصلحة.</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نموذج الدراسة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إضافة المتغيرات الرقابية وتمييز المسارات بصريًا</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أعيد رسم النموذج بخط متصل للأثر المباشر وخط متقطع للمسار غير المباشر، وأضيفت المتغيرات الرقابية.</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المنهج والتحليل</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تعزيز مبررات SEM وذكر البرامج ومؤشرات المطابقة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اعتمد SPSS وAMOS، وأضيفت مبررات التحليل البنائي، وBootstrap بعدد 5,000، ومؤشرات CFI وTLI وRMSEA وSRMR.</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العينة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تحديد الحجم بمعادلة كوجران وتقليل تحيز الاختيار</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حُدد الحد الأدنى بـ384 استجابة صالحة، مع استهداف توزيع 450 استبانة، واعتماد العشوائية داخل الطبقات.</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المقابلات</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تحديد العدد والغرض ومعايير الاختيار</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حُددت 8-10 مقابلات تفسيرية مع قيادات وخبراء وفق التنوع في الجهة والخبرة والدور.</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الدراسات السابقة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تعزيز الدراسات المحكمة وربط الفجوات بها</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أضيفت دراسات محكمة حديثة 2024-2026، وفُصلت التقارير الرسمية عن الدراسات المحكمة، وربطت كل فجوة بالأدلة السابقة.</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أداة الدراسة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تفصيل المحاور والأبعاد وعدد الفقرات والمصادر</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 جدول لبنية الاستبانة يتضمن 68 فقرة موضوعية ومصادر تطوير المقاييس ومبرر مقياس ليكرت الخماسي.</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المعالجات الإحصائية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إضافة شروط الوساطة ومؤشرات المطابقة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 فاصل ثقة 95% وعدم اشتماله على الصفر، والقيم الاسترشادية لمؤشرات ملاءمة النموذج.</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خطة التنفيذ</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إضافة مخطط جانت</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أضيف مخطط زمني مقترح لمدة 12 شهرًا.</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المراجع واللغة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استكمال البيانات والروابط والتدقيق اللغوي</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استُكملت بيانات المراجع العربية، وأضيفت DOI/URL، وأجريت مراجعة لغوية شاملة.</w:t>
            </w:r>
          </w:p>
        </w:tc>
      </w:tr>
    </w:tbl>
    <w:p>
      <w:r>
        <w:rPr/>
        <w:br w:type="page"/>
      </w:r>
    </w:p>
    <w:p>
      <w:pPr>
        <w:spacing w:lineRule="auto" w:line="360" w:after="160" w:before="0"/>
        <w:jc w:val="right"/>
        <w:pStyle w:val="Heading1"/>
        <w:bidi w:val="1"/>
      </w:pPr>
      <w:r>
        <w:rPr>
          <w:rFonts w:ascii="Traditional Arabic" w:hAnsi="Traditional Arabic" w:cs="Traditional Arabic" w:eastAsia="Traditional Arabic"/>
          <w:b/>
          <w:i w:val="0"/>
          <w:sz w:val="32"/>
          <w:rtl w:val="1"/>
        </w:rPr>
        <w:t>قائمة المحتويات</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blHeader w:val="true"/>
        </w:trPr>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رقم الصفحة</w:t>
            </w:r>
          </w:p>
        </w:tc>
        <w:tc>
          <w:tcPr>
            <w:tcW w:type="dxa" w:w="56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العنوان</w:t>
            </w:r>
          </w:p>
        </w:tc>
        <w:tc>
          <w:tcPr>
            <w:tcW w:type="dxa" w:w="1134"/>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م</w:t>
            </w:r>
          </w:p>
        </w:tc>
      </w:tr>
      <w:tr>
        <w:tc>
          <w:tcPr>
            <w:tcW w:type="dxa" w:w="1701"/>
            <w:vAlign w:val="center"/>
            <w:textDirection w:val="rlTb"/>
          </w:tcPr>
          <w:p>
            <w:pPr>
              <w:spacing w:line="240" w:lineRule="auto" w:after="0" w:before="0"/>
              <w:jc w:val="center"/>
            </w:pPr>
            <w:r>
              <w:rPr>
                <w:rFonts w:ascii="Times New Roman" w:hAnsi="Times New Roman" w:cs="Times New Roman"/>
                <w:sz w:val="19"/>
              </w:rPr>
              <w:t>6</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 عنوان الدراسة باللغة العربية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w:t>
            </w:r>
          </w:p>
        </w:tc>
      </w:tr>
      <w:tr>
        <w:tc>
          <w:tcPr>
            <w:tcW w:type="dxa" w:w="1701"/>
            <w:vAlign w:val="center"/>
            <w:textDirection w:val="rlTb"/>
          </w:tcPr>
          <w:p>
            <w:pPr>
              <w:spacing w:line="240" w:lineRule="auto" w:after="0" w:before="0"/>
              <w:jc w:val="center"/>
            </w:pPr>
            <w:r>
              <w:rPr>
                <w:rFonts w:ascii="Times New Roman" w:hAnsi="Times New Roman" w:cs="Times New Roman"/>
                <w:sz w:val="19"/>
              </w:rPr>
              <w:t>6</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2. عنوان الدراسة باللغة الإنجليزية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2</w:t>
            </w:r>
          </w:p>
        </w:tc>
      </w:tr>
      <w:tr>
        <w:tc>
          <w:tcPr>
            <w:tcW w:type="dxa" w:w="1701"/>
            <w:vAlign w:val="center"/>
            <w:textDirection w:val="rlTb"/>
          </w:tcPr>
          <w:p>
            <w:pPr>
              <w:spacing w:line="240" w:lineRule="auto" w:after="0" w:before="0"/>
              <w:jc w:val="center"/>
            </w:pPr>
            <w:r>
              <w:rPr>
                <w:rFonts w:ascii="Times New Roman" w:hAnsi="Times New Roman" w:cs="Times New Roman"/>
                <w:sz w:val="19"/>
              </w:rPr>
              <w:t>6</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3. مقدمة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3</w:t>
            </w:r>
          </w:p>
        </w:tc>
      </w:tr>
      <w:tr>
        <w:tc>
          <w:tcPr>
            <w:tcW w:type="dxa" w:w="1701"/>
            <w:vAlign w:val="center"/>
            <w:textDirection w:val="rlTb"/>
          </w:tcPr>
          <w:p>
            <w:pPr>
              <w:spacing w:line="240" w:lineRule="auto" w:after="0" w:before="0"/>
              <w:jc w:val="center"/>
            </w:pPr>
            <w:r>
              <w:rPr>
                <w:rFonts w:ascii="Times New Roman" w:hAnsi="Times New Roman" w:cs="Times New Roman"/>
                <w:sz w:val="19"/>
              </w:rPr>
              <w:t>7</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4. مشكلة الدراسة وتساؤلاتها</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4</w:t>
            </w:r>
          </w:p>
        </w:tc>
      </w:tr>
      <w:tr>
        <w:tc>
          <w:tcPr>
            <w:tcW w:type="dxa" w:w="1701"/>
            <w:vAlign w:val="center"/>
            <w:textDirection w:val="rlTb"/>
          </w:tcPr>
          <w:p>
            <w:pPr>
              <w:spacing w:line="240" w:lineRule="auto" w:after="0" w:before="0"/>
              <w:jc w:val="center"/>
            </w:pPr>
            <w:r>
              <w:rPr>
                <w:rFonts w:ascii="Times New Roman" w:hAnsi="Times New Roman" w:cs="Times New Roman"/>
                <w:sz w:val="19"/>
              </w:rPr>
              <w:t>9</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5. أهمية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5</w:t>
            </w:r>
          </w:p>
        </w:tc>
      </w:tr>
      <w:tr>
        <w:tc>
          <w:tcPr>
            <w:tcW w:type="dxa" w:w="1701"/>
            <w:vAlign w:val="center"/>
            <w:textDirection w:val="rlTb"/>
          </w:tcPr>
          <w:p>
            <w:pPr>
              <w:spacing w:line="240" w:lineRule="auto" w:after="0" w:before="0"/>
              <w:jc w:val="center"/>
            </w:pPr>
            <w:r>
              <w:rPr>
                <w:rFonts w:ascii="Times New Roman" w:hAnsi="Times New Roman" w:cs="Times New Roman"/>
                <w:sz w:val="19"/>
              </w:rPr>
              <w:t>10</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6. أهداف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6</w:t>
            </w:r>
          </w:p>
        </w:tc>
      </w:tr>
      <w:tr>
        <w:tc>
          <w:tcPr>
            <w:tcW w:type="dxa" w:w="1701"/>
            <w:vAlign w:val="center"/>
            <w:textDirection w:val="rlTb"/>
          </w:tcPr>
          <w:p>
            <w:pPr>
              <w:spacing w:line="240" w:lineRule="auto" w:after="0" w:before="0"/>
              <w:jc w:val="center"/>
            </w:pPr>
            <w:r>
              <w:rPr>
                <w:rFonts w:ascii="Times New Roman" w:hAnsi="Times New Roman" w:cs="Times New Roman"/>
                <w:sz w:val="19"/>
              </w:rPr>
              <w:t>10</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7. فرضيات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7</w:t>
            </w:r>
          </w:p>
        </w:tc>
      </w:tr>
      <w:tr>
        <w:tc>
          <w:tcPr>
            <w:tcW w:type="dxa" w:w="1701"/>
            <w:vAlign w:val="center"/>
            <w:textDirection w:val="rlTb"/>
          </w:tcPr>
          <w:p>
            <w:pPr>
              <w:spacing w:line="240" w:lineRule="auto" w:after="0" w:before="0"/>
              <w:jc w:val="center"/>
            </w:pPr>
            <w:r>
              <w:rPr>
                <w:rFonts w:ascii="Times New Roman" w:hAnsi="Times New Roman" w:cs="Times New Roman"/>
                <w:sz w:val="19"/>
              </w:rPr>
              <w:t>11</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8. النظريات الداعمة للدراسة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8</w:t>
            </w:r>
          </w:p>
        </w:tc>
      </w:tr>
      <w:tr>
        <w:tc>
          <w:tcPr>
            <w:tcW w:type="dxa" w:w="1701"/>
            <w:vAlign w:val="center"/>
            <w:textDirection w:val="rlTb"/>
          </w:tcPr>
          <w:p>
            <w:pPr>
              <w:spacing w:line="240" w:lineRule="auto" w:after="0" w:before="0"/>
              <w:jc w:val="center"/>
            </w:pPr>
            <w:r>
              <w:rPr>
                <w:rFonts w:ascii="Times New Roman" w:hAnsi="Times New Roman" w:cs="Times New Roman"/>
                <w:sz w:val="19"/>
              </w:rPr>
              <w:t>12</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9. نموذج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9</w:t>
            </w:r>
          </w:p>
        </w:tc>
      </w:tr>
      <w:tr>
        <w:tc>
          <w:tcPr>
            <w:tcW w:type="dxa" w:w="1701"/>
            <w:vAlign w:val="center"/>
            <w:textDirection w:val="rlTb"/>
          </w:tcPr>
          <w:p>
            <w:pPr>
              <w:spacing w:line="240" w:lineRule="auto" w:after="0" w:before="0"/>
              <w:jc w:val="center"/>
            </w:pPr>
            <w:r>
              <w:rPr>
                <w:rFonts w:ascii="Times New Roman" w:hAnsi="Times New Roman" w:cs="Times New Roman"/>
                <w:sz w:val="19"/>
              </w:rPr>
              <w:t>13</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10. مصطلحات الدراسة وتعريفاتها الإجرائية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10</w:t>
            </w:r>
          </w:p>
        </w:tc>
      </w:tr>
      <w:tr>
        <w:tc>
          <w:tcPr>
            <w:tcW w:type="dxa" w:w="1701"/>
            <w:vAlign w:val="center"/>
            <w:textDirection w:val="rlTb"/>
          </w:tcPr>
          <w:p>
            <w:pPr>
              <w:spacing w:line="240" w:lineRule="auto" w:after="0" w:before="0"/>
              <w:jc w:val="center"/>
            </w:pPr>
            <w:r>
              <w:rPr>
                <w:rFonts w:ascii="Times New Roman" w:hAnsi="Times New Roman" w:cs="Times New Roman"/>
                <w:sz w:val="19"/>
              </w:rPr>
              <w:t>14</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11. إجراءات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11</w:t>
            </w:r>
          </w:p>
        </w:tc>
      </w:tr>
      <w:tr>
        <w:tc>
          <w:tcPr>
            <w:tcW w:type="dxa" w:w="1701"/>
            <w:vAlign w:val="center"/>
            <w:textDirection w:val="rlTb"/>
          </w:tcPr>
          <w:p>
            <w:pPr>
              <w:spacing w:line="240" w:lineRule="auto" w:after="0" w:before="0"/>
              <w:jc w:val="center"/>
            </w:pPr>
            <w:r>
              <w:rPr>
                <w:rFonts w:ascii="Times New Roman" w:hAnsi="Times New Roman" w:cs="Times New Roman"/>
                <w:sz w:val="19"/>
              </w:rPr>
              <w:t>15</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12. منهج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12</w:t>
            </w:r>
          </w:p>
        </w:tc>
      </w:tr>
      <w:tr>
        <w:tc>
          <w:tcPr>
            <w:tcW w:type="dxa" w:w="1701"/>
            <w:vAlign w:val="center"/>
            <w:textDirection w:val="rlTb"/>
          </w:tcPr>
          <w:p>
            <w:pPr>
              <w:spacing w:line="240" w:lineRule="auto" w:after="0" w:before="0"/>
              <w:jc w:val="center"/>
            </w:pPr>
            <w:r>
              <w:rPr>
                <w:rFonts w:ascii="Times New Roman" w:hAnsi="Times New Roman" w:cs="Times New Roman"/>
                <w:sz w:val="19"/>
              </w:rPr>
              <w:t>15</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13. مجتمع وعينة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13</w:t>
            </w:r>
          </w:p>
        </w:tc>
      </w:tr>
      <w:tr>
        <w:tc>
          <w:tcPr>
            <w:tcW w:type="dxa" w:w="1701"/>
            <w:vAlign w:val="center"/>
            <w:textDirection w:val="rlTb"/>
          </w:tcPr>
          <w:p>
            <w:pPr>
              <w:spacing w:line="240" w:lineRule="auto" w:after="0" w:before="0"/>
              <w:jc w:val="center"/>
            </w:pPr>
            <w:r>
              <w:rPr>
                <w:rFonts w:ascii="Times New Roman" w:hAnsi="Times New Roman" w:cs="Times New Roman"/>
                <w:sz w:val="19"/>
              </w:rPr>
              <w:t>17</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14. الدراسات المرجعية والفجوات البحثية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14</w:t>
            </w:r>
          </w:p>
        </w:tc>
      </w:tr>
      <w:tr>
        <w:tc>
          <w:tcPr>
            <w:tcW w:type="dxa" w:w="1701"/>
            <w:vAlign w:val="center"/>
            <w:textDirection w:val="rlTb"/>
          </w:tcPr>
          <w:p>
            <w:pPr>
              <w:spacing w:line="240" w:lineRule="auto" w:after="0" w:before="0"/>
              <w:jc w:val="center"/>
            </w:pPr>
            <w:r>
              <w:rPr>
                <w:rFonts w:ascii="Times New Roman" w:hAnsi="Times New Roman" w:cs="Times New Roman"/>
                <w:sz w:val="19"/>
              </w:rPr>
              <w:t>21</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15. حدود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15</w:t>
            </w:r>
          </w:p>
        </w:tc>
      </w:tr>
      <w:tr>
        <w:tc>
          <w:tcPr>
            <w:tcW w:type="dxa" w:w="1701"/>
            <w:vAlign w:val="center"/>
            <w:textDirection w:val="rlTb"/>
          </w:tcPr>
          <w:p>
            <w:pPr>
              <w:spacing w:line="240" w:lineRule="auto" w:after="0" w:before="0"/>
              <w:jc w:val="center"/>
            </w:pPr>
            <w:r>
              <w:rPr>
                <w:rFonts w:ascii="Times New Roman" w:hAnsi="Times New Roman" w:cs="Times New Roman"/>
                <w:sz w:val="19"/>
              </w:rPr>
              <w:t>21</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16. وسائل جمع بيانات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16</w:t>
            </w:r>
          </w:p>
        </w:tc>
      </w:tr>
      <w:tr>
        <w:tc>
          <w:tcPr>
            <w:tcW w:type="dxa" w:w="1701"/>
            <w:vAlign w:val="center"/>
            <w:textDirection w:val="rlTb"/>
          </w:tcPr>
          <w:p>
            <w:pPr>
              <w:spacing w:line="240" w:lineRule="auto" w:after="0" w:before="0"/>
              <w:jc w:val="center"/>
            </w:pPr>
            <w:r>
              <w:rPr>
                <w:rFonts w:ascii="Times New Roman" w:hAnsi="Times New Roman" w:cs="Times New Roman"/>
                <w:sz w:val="19"/>
              </w:rPr>
              <w:t>22</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17. المعالجات الإحصائية المقترحة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17</w:t>
            </w:r>
          </w:p>
        </w:tc>
      </w:tr>
      <w:tr>
        <w:tc>
          <w:tcPr>
            <w:tcW w:type="dxa" w:w="1701"/>
            <w:vAlign w:val="center"/>
            <w:textDirection w:val="rlTb"/>
          </w:tcPr>
          <w:p>
            <w:pPr>
              <w:spacing w:line="240" w:lineRule="auto" w:after="0" w:before="0"/>
              <w:jc w:val="center"/>
            </w:pPr>
            <w:r>
              <w:rPr>
                <w:rFonts w:ascii="Times New Roman" w:hAnsi="Times New Roman" w:cs="Times New Roman"/>
                <w:sz w:val="19"/>
              </w:rPr>
              <w:t>23</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18. خطوات تنفيذ خطة الدراسة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18</w:t>
            </w:r>
          </w:p>
        </w:tc>
      </w:tr>
      <w:tr>
        <w:tc>
          <w:tcPr>
            <w:tcW w:type="dxa" w:w="1701"/>
            <w:vAlign w:val="center"/>
            <w:textDirection w:val="rlTb"/>
          </w:tcPr>
          <w:p>
            <w:pPr>
              <w:spacing w:line="240" w:lineRule="auto" w:after="0" w:before="0"/>
              <w:jc w:val="center"/>
            </w:pPr>
            <w:r>
              <w:rPr>
                <w:rFonts w:ascii="Times New Roman" w:hAnsi="Times New Roman" w:cs="Times New Roman"/>
                <w:sz w:val="19"/>
              </w:rPr>
              <w:t>24</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19. المراجع</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19</w:t>
            </w:r>
          </w:p>
        </w:tc>
      </w:tr>
      <w:tr>
        <w:tc>
          <w:tcPr>
            <w:tcW w:type="dxa" w:w="1701"/>
            <w:vAlign w:val="center"/>
            <w:textDirection w:val="rlTb"/>
          </w:tcPr>
          <w:p>
            <w:pPr>
              <w:spacing w:line="240" w:lineRule="auto" w:after="0" w:before="0"/>
              <w:jc w:val="center"/>
            </w:pPr>
            <w:r>
              <w:rPr>
                <w:rFonts w:ascii="Times New Roman" w:hAnsi="Times New Roman" w:cs="Times New Roman"/>
                <w:sz w:val="19"/>
              </w:rPr>
              <w:t>28</w:t>
            </w:r>
          </w:p>
        </w:tc>
        <w:tc>
          <w:tcPr>
            <w:tcW w:type="dxa" w:w="56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20. جدول المراجعة الذاتية</w:t>
            </w:r>
          </w:p>
        </w:tc>
        <w:tc>
          <w:tcPr>
            <w:tcW w:type="dxa" w:w="1134"/>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19"/>
                <w:rtl w:val="1"/>
              </w:rPr>
              <w:t>20</w:t>
            </w:r>
          </w:p>
        </w:tc>
      </w:tr>
    </w:tbl>
    <w:p>
      <w:pPr>
        <w:spacing w:lineRule="auto" w:line="360" w:after="160" w:before="0"/>
        <w:jc w:val="right"/>
        <w:pStyle w:val="Heading1"/>
        <w:pageBreakBefore/>
        <w:bidi w:val="1"/>
      </w:pPr>
      <w:r>
        <w:rPr>
          <w:rFonts w:ascii="Traditional Arabic" w:hAnsi="Traditional Arabic" w:cs="Traditional Arabic" w:eastAsia="Traditional Arabic"/>
          <w:b/>
          <w:i w:val="0"/>
          <w:sz w:val="32"/>
          <w:rtl w:val="1"/>
        </w:rPr>
        <w:t>قائمة الجداول</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blHeader w:val="true"/>
        </w:trPr>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رقم الصفحة</w:t>
            </w:r>
          </w:p>
        </w:tc>
        <w:tc>
          <w:tcPr>
            <w:tcW w:type="dxa" w:w="56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عنوان الجدول</w:t>
            </w:r>
          </w:p>
        </w:tc>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رقم الجدول</w:t>
            </w:r>
          </w:p>
        </w:tc>
      </w:tr>
      <w:tr>
        <w:tc>
          <w:tcPr>
            <w:tcW w:type="dxa" w:w="1701"/>
            <w:vAlign w:val="center"/>
            <w:textDirection w:val="rlTb"/>
          </w:tcPr>
          <w:p>
            <w:pPr>
              <w:spacing w:line="240" w:lineRule="auto" w:after="0" w:before="0"/>
              <w:jc w:val="center"/>
            </w:pPr>
            <w:r>
              <w:rPr>
                <w:rFonts w:ascii="Times New Roman" w:hAnsi="Times New Roman" w:cs="Times New Roman"/>
                <w:sz w:val="19"/>
              </w:rPr>
              <w:t>2</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جدول الاستجابة لملاحظات اللجنة العلمية والمشرف</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(1)</w:t>
            </w:r>
          </w:p>
        </w:tc>
      </w:tr>
      <w:tr>
        <w:tc>
          <w:tcPr>
            <w:tcW w:type="dxa" w:w="1701"/>
            <w:vAlign w:val="center"/>
            <w:textDirection w:val="rlTb"/>
          </w:tcPr>
          <w:p>
            <w:pPr>
              <w:spacing w:line="240" w:lineRule="auto" w:after="0" w:before="0"/>
              <w:jc w:val="center"/>
            </w:pPr>
            <w:r>
              <w:rPr>
                <w:rFonts w:ascii="Times New Roman" w:hAnsi="Times New Roman" w:cs="Times New Roman"/>
                <w:sz w:val="19"/>
              </w:rPr>
              <w:t>12</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متغيرات الدراسة وأبعادها والمتغيرات الرقابية</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(2)</w:t>
            </w:r>
          </w:p>
        </w:tc>
      </w:tr>
      <w:tr>
        <w:tc>
          <w:tcPr>
            <w:tcW w:type="dxa" w:w="1701"/>
            <w:vAlign w:val="center"/>
            <w:textDirection w:val="rlTb"/>
          </w:tcPr>
          <w:p>
            <w:pPr>
              <w:spacing w:line="240" w:lineRule="auto" w:after="0" w:before="0"/>
              <w:jc w:val="center"/>
            </w:pPr>
            <w:r>
              <w:rPr>
                <w:rFonts w:ascii="Times New Roman" w:hAnsi="Times New Roman" w:cs="Times New Roman"/>
                <w:sz w:val="19"/>
              </w:rPr>
              <w:t>13</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التعريفات المفاهيمية والإجرائية لمصطلحات الدراسة</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(3)</w:t>
            </w:r>
          </w:p>
        </w:tc>
      </w:tr>
      <w:tr>
        <w:tc>
          <w:tcPr>
            <w:tcW w:type="dxa" w:w="1701"/>
            <w:vAlign w:val="center"/>
            <w:textDirection w:val="rlTb"/>
          </w:tcPr>
          <w:p>
            <w:pPr>
              <w:spacing w:line="240" w:lineRule="auto" w:after="0" w:before="0"/>
              <w:jc w:val="center"/>
            </w:pPr>
            <w:r>
              <w:rPr>
                <w:rFonts w:ascii="Times New Roman" w:hAnsi="Times New Roman" w:cs="Times New Roman"/>
                <w:sz w:val="19"/>
              </w:rPr>
              <w:t>15</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تصميم العينة ومعايير الشمول والاستبعاد</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(4)</w:t>
            </w:r>
          </w:p>
        </w:tc>
      </w:tr>
      <w:tr>
        <w:tc>
          <w:tcPr>
            <w:tcW w:type="dxa" w:w="1701"/>
            <w:vAlign w:val="center"/>
            <w:textDirection w:val="rlTb"/>
          </w:tcPr>
          <w:p>
            <w:pPr>
              <w:spacing w:line="240" w:lineRule="auto" w:after="0" w:before="0"/>
              <w:jc w:val="center"/>
            </w:pPr>
            <w:r>
              <w:rPr>
                <w:rFonts w:ascii="Times New Roman" w:hAnsi="Times New Roman" w:cs="Times New Roman"/>
                <w:sz w:val="19"/>
              </w:rPr>
              <w:t>17</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مواءمة أسئلة الدراسة وأهدافها وفرضياتها والاختبارات الإحصائية</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(5)</w:t>
            </w:r>
          </w:p>
        </w:tc>
      </w:tr>
      <w:tr>
        <w:tc>
          <w:tcPr>
            <w:tcW w:type="dxa" w:w="1701"/>
            <w:vAlign w:val="center"/>
            <w:textDirection w:val="rlTb"/>
          </w:tcPr>
          <w:p>
            <w:pPr>
              <w:spacing w:line="240" w:lineRule="auto" w:after="0" w:before="0"/>
              <w:jc w:val="center"/>
            </w:pPr>
            <w:r>
              <w:rPr>
                <w:rFonts w:ascii="Times New Roman" w:hAnsi="Times New Roman" w:cs="Times New Roman"/>
                <w:sz w:val="19"/>
              </w:rPr>
              <w:t>20</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خلاصة الدراسات المرجعية وعلاقتها بمتغيرات الدراسة</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(6)</w:t>
            </w:r>
          </w:p>
        </w:tc>
      </w:tr>
      <w:tr>
        <w:tc>
          <w:tcPr>
            <w:tcW w:type="dxa" w:w="1701"/>
            <w:vAlign w:val="center"/>
            <w:textDirection w:val="rlTb"/>
          </w:tcPr>
          <w:p>
            <w:pPr>
              <w:spacing w:line="240" w:lineRule="auto" w:after="0" w:before="0"/>
              <w:jc w:val="center"/>
            </w:pPr>
            <w:r>
              <w:rPr>
                <w:rFonts w:ascii="Times New Roman" w:hAnsi="Times New Roman" w:cs="Times New Roman"/>
                <w:sz w:val="19"/>
              </w:rPr>
              <w:t>21</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محاور الاستبانة وأبعادها وعدد فقراتها ومصادر بنائها</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جدول (7)</w:t>
            </w:r>
          </w:p>
        </w:tc>
      </w:tr>
      <w:tr>
        <w:tc>
          <w:tcPr>
            <w:tcW w:type="dxa" w:w="3024"/>
          </w:tcPr>
          <w:p>
            <w:pPr>
              <w:spacing w:after="0" w:line="240" w:lineRule="auto" w:before="0"/>
              <w:jc w:val="center"/>
            </w:pPr>
            <w:r>
              <w:rPr>
                <w:rFonts w:ascii="Times New Roman" w:hAnsi="Times New Roman" w:cs="Times New Roman"/>
                <w:sz w:val="19"/>
              </w:rPr>
              <w:t>22</w:t>
            </w:r>
          </w:p>
        </w:tc>
        <w:tc>
          <w:tcPr>
            <w:tcW w:type="dxa" w:w="3024"/>
          </w:tcPr>
          <w:p>
            <w:pPr>
              <w:spacing w:after="0" w:line="240" w:lineRule="auto" w:before="0"/>
              <w:jc w:val="right"/>
              <w:bidi w:val="1"/>
            </w:pPr>
            <w:r>
              <w:rPr>
                <w:rFonts w:ascii="Traditional Arabic" w:hAnsi="Traditional Arabic" w:cs="Traditional Arabic"/>
                <w:b w:val="0"/>
                <w:sz w:val="18"/>
                <w:rtl w:val="1"/>
              </w:rPr>
              <w:t>مراحل تحليل البيانات والمعايير الإحصائية المقترحة</w:t>
            </w:r>
          </w:p>
        </w:tc>
        <w:tc>
          <w:tcPr>
            <w:tcW w:type="dxa" w:w="3024"/>
          </w:tcPr>
          <w:p>
            <w:pPr>
              <w:spacing w:after="0" w:line="240" w:lineRule="auto" w:before="0"/>
              <w:jc w:val="center"/>
              <w:bidi w:val="1"/>
            </w:pPr>
            <w:r>
              <w:rPr>
                <w:rFonts w:ascii="Traditional Arabic" w:hAnsi="Traditional Arabic" w:cs="Traditional Arabic"/>
                <w:b w:val="0"/>
                <w:sz w:val="19"/>
                <w:rtl w:val="1"/>
              </w:rPr>
              <w:t>جدول (8)</w:t>
            </w:r>
          </w:p>
        </w:tc>
      </w:tr>
      <w:tr>
        <w:tc>
          <w:tcPr>
            <w:tcW w:type="dxa" w:w="3024"/>
          </w:tcPr>
          <w:p>
            <w:pPr>
              <w:spacing w:after="0" w:line="240" w:lineRule="auto" w:before="0"/>
              <w:jc w:val="center"/>
            </w:pPr>
            <w:r>
              <w:rPr>
                <w:rFonts w:ascii="Times New Roman" w:hAnsi="Times New Roman" w:cs="Times New Roman"/>
                <w:sz w:val="19"/>
              </w:rPr>
              <w:t>28</w:t>
            </w:r>
          </w:p>
        </w:tc>
        <w:tc>
          <w:tcPr>
            <w:tcW w:type="dxa" w:w="3024"/>
          </w:tcPr>
          <w:p>
            <w:pPr>
              <w:spacing w:after="0" w:line="240" w:lineRule="auto" w:before="0"/>
              <w:jc w:val="right"/>
              <w:bidi w:val="1"/>
            </w:pPr>
            <w:r>
              <w:rPr>
                <w:rFonts w:ascii="Traditional Arabic" w:hAnsi="Traditional Arabic" w:cs="Traditional Arabic"/>
                <w:b w:val="0"/>
                <w:sz w:val="18"/>
                <w:rtl w:val="1"/>
              </w:rPr>
              <w:t>المراجعة الذاتية للخطة بعد التعديل الثاني</w:t>
            </w:r>
          </w:p>
        </w:tc>
        <w:tc>
          <w:tcPr>
            <w:tcW w:type="dxa" w:w="3024"/>
          </w:tcPr>
          <w:p>
            <w:pPr>
              <w:spacing w:after="0" w:line="240" w:lineRule="auto" w:before="0"/>
              <w:jc w:val="center"/>
              <w:bidi w:val="1"/>
            </w:pPr>
            <w:r>
              <w:rPr>
                <w:rFonts w:ascii="Traditional Arabic" w:hAnsi="Traditional Arabic" w:cs="Traditional Arabic"/>
                <w:b w:val="0"/>
                <w:sz w:val="19"/>
                <w:rtl w:val="1"/>
              </w:rPr>
              <w:t>جدول (9)</w:t>
            </w:r>
          </w:p>
        </w:tc>
      </w:tr>
    </w:tbl>
    <w:p>
      <w:pPr>
        <w:spacing w:lineRule="auto" w:line="360" w:after="160" w:before="0"/>
        <w:jc w:val="right"/>
        <w:pStyle w:val="Heading1"/>
        <w:bidi w:val="1"/>
      </w:pPr>
      <w:r>
        <w:rPr>
          <w:rFonts w:ascii="Traditional Arabic" w:hAnsi="Traditional Arabic" w:cs="Traditional Arabic" w:eastAsia="Traditional Arabic"/>
          <w:b/>
          <w:i w:val="0"/>
          <w:sz w:val="32"/>
          <w:rtl w:val="1"/>
        </w:rPr>
        <w:t>قائمة الأشكال</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blHeader w:val="true"/>
        </w:trPr>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رقم الصفحة</w:t>
            </w:r>
          </w:p>
        </w:tc>
        <w:tc>
          <w:tcPr>
            <w:tcW w:type="dxa" w:w="56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عنوان الشكل</w:t>
            </w:r>
          </w:p>
        </w:tc>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19"/>
                <w:rtl w:val="1"/>
              </w:rPr>
              <w:t>رقم الشكل</w:t>
            </w:r>
          </w:p>
        </w:tc>
      </w:tr>
      <w:tr>
        <w:tc>
          <w:tcPr>
            <w:tcW w:type="dxa" w:w="1701"/>
            <w:vAlign w:val="center"/>
            <w:textDirection w:val="rlTb"/>
          </w:tcPr>
          <w:p>
            <w:pPr>
              <w:spacing w:line="240" w:lineRule="auto" w:after="0" w:before="0"/>
              <w:jc w:val="center"/>
            </w:pPr>
            <w:r>
              <w:rPr>
                <w:rFonts w:ascii="Times New Roman" w:hAnsi="Times New Roman" w:cs="Times New Roman"/>
                <w:sz w:val="19"/>
              </w:rPr>
              <w:t>13</w:t>
            </w:r>
          </w:p>
        </w:tc>
        <w:tc>
          <w:tcPr>
            <w:tcW w:type="dxa" w:w="5669"/>
            <w:vAlign w:val="center"/>
            <w:textDirection w:val="rlTb"/>
          </w:tcPr>
          <w:p>
            <w:pPr>
              <w:spacing w:lineRule="auto" w:line="240" w:after="0" w:before="0"/>
              <w:jc w:val="right"/>
              <w:bidi w:val="1"/>
            </w:pPr>
            <w:r>
              <w:rPr>
                <w:rFonts w:ascii="Traditional Arabic" w:hAnsi="Traditional Arabic" w:cs="Traditional Arabic"/>
                <w:b w:val="0"/>
                <w:sz w:val="18"/>
                <w:rtl w:val="1"/>
              </w:rPr>
              <w:t>النموذج البنائي المقترح ومسارات التأثير</w:t>
            </w:r>
          </w:p>
        </w:tc>
        <w:tc>
          <w:tcPr>
            <w:tcW w:type="dxa" w:w="1701"/>
            <w:vAlign w:val="center"/>
            <w:textDirection w:val="rlTb"/>
          </w:tcPr>
          <w:p>
            <w:pPr>
              <w:spacing w:lineRule="auto" w:line="240" w:after="0" w:before="0"/>
              <w:jc w:val="center"/>
              <w:bidi w:val="1"/>
            </w:pPr>
            <w:r>
              <w:rPr>
                <w:rFonts w:ascii="Traditional Arabic" w:hAnsi="Traditional Arabic" w:cs="Traditional Arabic"/>
                <w:b w:val="0"/>
                <w:sz w:val="19"/>
                <w:rtl w:val="1"/>
              </w:rPr>
              <w:t>شكل (1)</w:t>
            </w:r>
          </w:p>
        </w:tc>
      </w:tr>
      <w:tr>
        <w:tc>
          <w:tcPr>
            <w:tcW w:type="dxa" w:w="3024"/>
          </w:tcPr>
          <w:p>
            <w:pPr>
              <w:spacing w:after="0" w:line="240" w:lineRule="auto" w:before="0"/>
              <w:jc w:val="center"/>
            </w:pPr>
            <w:r>
              <w:rPr>
                <w:rFonts w:ascii="Times New Roman" w:hAnsi="Times New Roman" w:cs="Times New Roman"/>
                <w:sz w:val="19"/>
              </w:rPr>
              <w:t>24</w:t>
            </w:r>
          </w:p>
        </w:tc>
        <w:tc>
          <w:tcPr>
            <w:tcW w:type="dxa" w:w="3024"/>
          </w:tcPr>
          <w:p>
            <w:pPr>
              <w:spacing w:after="0" w:line="240" w:lineRule="auto" w:before="0"/>
              <w:jc w:val="right"/>
              <w:bidi w:val="1"/>
            </w:pPr>
            <w:r>
              <w:rPr>
                <w:rFonts w:ascii="Traditional Arabic" w:hAnsi="Traditional Arabic" w:cs="Traditional Arabic"/>
                <w:b w:val="0"/>
                <w:sz w:val="18"/>
                <w:rtl w:val="1"/>
              </w:rPr>
              <w:t>المخطط الزمني المقترح لتنفيذ الدراسة خلال 12 شهرًا</w:t>
            </w:r>
          </w:p>
        </w:tc>
        <w:tc>
          <w:tcPr>
            <w:tcW w:type="dxa" w:w="3024"/>
          </w:tcPr>
          <w:p>
            <w:pPr>
              <w:spacing w:after="0" w:line="240" w:lineRule="auto" w:before="0"/>
              <w:jc w:val="center"/>
              <w:bidi w:val="1"/>
            </w:pPr>
            <w:r>
              <w:rPr>
                <w:rFonts w:ascii="Traditional Arabic" w:hAnsi="Traditional Arabic" w:cs="Traditional Arabic"/>
                <w:b w:val="0"/>
                <w:sz w:val="19"/>
                <w:rtl w:val="1"/>
              </w:rPr>
              <w:t>شكل (2)</w:t>
            </w:r>
          </w:p>
        </w:tc>
      </w:tr>
    </w:tbl>
    <w:p>
      <w:pPr>
        <w:spacing w:lineRule="auto" w:line="360" w:after="160" w:before="0"/>
        <w:jc w:val="right"/>
        <w:pStyle w:val="Heading1"/>
        <w:pageBreakBefore/>
        <w:bidi w:val="1"/>
      </w:pPr>
      <w:r>
        <w:rPr>
          <w:rFonts w:ascii="Traditional Arabic" w:hAnsi="Traditional Arabic" w:cs="Traditional Arabic" w:eastAsia="Traditional Arabic"/>
          <w:b/>
          <w:i w:val="0"/>
          <w:sz w:val="32"/>
          <w:rtl w:val="1"/>
        </w:rPr>
        <w:t>1. عنوان الدراسة باللغة العربية</w:t>
      </w:r>
    </w:p>
    <w:p>
      <w:pPr>
        <w:spacing w:lineRule="auto" w:line="360" w:after="120" w:before="0"/>
        <w:jc w:val="right"/>
        <w:bidi w:val="1"/>
      </w:pPr>
      <w:r>
        <w:rPr>
          <w:rFonts w:ascii="Traditional Arabic" w:hAnsi="Traditional Arabic" w:eastAsia="Traditional Arabic" w:cs="Traditional Arabic"/>
          <w:b/>
          <w:sz w:val="24"/>
          <w:rtl w:val="1"/>
        </w:rPr>
        <w:t>أثر حوكمة المشتريات الحكومية في كفاءة الإنفاق: الدور الوسيط لإدارة مخاطر تعارض المصالح في الجهات الحكومية السعودية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2. عنوان الدراسة باللغة الإنجليزية</w:t>
      </w:r>
    </w:p>
    <w:p>
      <w:pPr>
        <w:spacing w:lineRule="auto" w:line="360" w:after="120" w:before="0"/>
        <w:jc w:val="left"/>
      </w:pPr>
      <w:r>
        <w:rPr>
          <w:rFonts w:ascii="Times New Roman" w:hAnsi="Times New Roman" w:eastAsia="Times New Roman" w:cs="Times New Roman"/>
          <w:b/>
          <w:sz w:val="24"/>
        </w:rPr>
        <w:t>The Impact of Government Procurement Governance on Expenditure Efficiency: The Mediating Role of Conflict-of-Interest Risk Management in Saudi Government Entities</w:t>
      </w:r>
    </w:p>
    <w:p>
      <w:pPr>
        <w:spacing w:lineRule="auto" w:line="360" w:after="160" w:before="0"/>
        <w:jc w:val="right"/>
        <w:pStyle w:val="Heading1"/>
        <w:bidi w:val="1"/>
      </w:pPr>
      <w:r>
        <w:rPr>
          <w:rFonts w:ascii="Traditional Arabic" w:hAnsi="Traditional Arabic" w:cs="Traditional Arabic" w:eastAsia="Traditional Arabic"/>
          <w:b/>
          <w:i w:val="0"/>
          <w:sz w:val="32"/>
          <w:rtl w:val="1"/>
        </w:rPr>
        <w:t>3. مقدمة الدراسة</w:t>
      </w:r>
    </w:p>
    <w:p>
      <w:pPr>
        <w:spacing w:line="360" w:lineRule="auto" w:after="120"/>
        <w:jc w:val="right"/>
        <w:bidi w:val="1"/>
      </w:pPr>
      <w:r>
        <w:rPr>
          <w:rFonts w:ascii="Traditional Arabic" w:hAnsi="Traditional Arabic" w:eastAsia="Traditional Arabic" w:cs="Traditional Arabic"/>
          <w:sz w:val="24"/>
          <w:rtl w:val="1"/>
        </w:rPr>
        <w:t>تمثل المشتريات الحكومية إحدى الوظائف الإدارية ذات الأثر المباشر في جودة الأداء الحكومي وكفاءة استخدام الموارد العامة؛ فهي ليست مجرد إجراءات لشراء السلع أو تنفيذ الأعمال أو الحصول على الخدمات، بل تعد مدخلًا إداريًا مؤثرًا في تحقيق القيمة من المال العام، ورفع جودة المشروعات والخدمات الحكومية، وتعزيز الثقة في عدالة القرارات العامة.</w:t>
      </w:r>
    </w:p>
    <w:p>
      <w:pPr>
        <w:spacing w:line="360" w:lineRule="auto" w:after="120"/>
        <w:jc w:val="right"/>
        <w:bidi w:val="1"/>
      </w:pPr>
      <w:r>
        <w:rPr>
          <w:rFonts w:ascii="Traditional Arabic" w:hAnsi="Traditional Arabic" w:eastAsia="Traditional Arabic" w:cs="Traditional Arabic"/>
          <w:sz w:val="24"/>
          <w:rtl w:val="1"/>
        </w:rPr>
        <w:t>وتزداد أهمية هذه الوظيفة في المملكة العربية السعودية بالنظر إلى حجم الإنفاق الحكومي؛ فقد قدرت وزارة المالية إجمالي النفقات في ميزانية عام 2025م بنحو 1,285 مليار ريال، كما قدر البيان التمهيدي لميزانية عام 2026م إجمالي النفقات بنحو 1,313 مليار ريال، وهو ما يعكس اتساع نطاق الموارد العامة التي تتأثر بقرارات التخطيط والشراء والتعاقد الحكومي (وزارة المالية، 2024؛ وزارة المالية، 2025).</w:t>
      </w:r>
    </w:p>
    <w:p>
      <w:pPr>
        <w:spacing w:line="360" w:lineRule="auto" w:after="120"/>
        <w:jc w:val="right"/>
        <w:bidi w:val="1"/>
      </w:pPr>
      <w:r>
        <w:rPr>
          <w:rFonts w:ascii="Traditional Arabic" w:hAnsi="Traditional Arabic" w:eastAsia="Traditional Arabic" w:cs="Traditional Arabic"/>
          <w:sz w:val="24"/>
          <w:rtl w:val="1"/>
        </w:rPr>
        <w:t>ويأتي تطوير منظومة المشتريات الحكومية ضمن السياق الوطني لرؤية السعودية 2030 وبرنامج الاستدامة المالية؛ إذ يرتبط رفع كفاءة الإنفاق بتحسين إدارة الموارد العامة، وتعزيز الانضباط المالي، ورفع جودة الأداء الحكومي. ومن ثم، تمثل المشتريات الحكومية أحد المسارات التنفيذية التي تنتقل من خلالها تلك المستهدفات من مستوى السياسات إلى مستوى القرارات والعقود والمشروعات.</w:t>
      </w:r>
    </w:p>
    <w:p>
      <w:pPr>
        <w:spacing w:line="360" w:lineRule="auto" w:after="120"/>
        <w:jc w:val="right"/>
        <w:bidi w:val="1"/>
      </w:pPr>
      <w:r>
        <w:rPr>
          <w:rFonts w:ascii="Traditional Arabic" w:hAnsi="Traditional Arabic" w:eastAsia="Traditional Arabic" w:cs="Traditional Arabic"/>
          <w:sz w:val="24"/>
          <w:rtl w:val="1"/>
        </w:rPr>
        <w:t>وتختلف المشتريات الحكومية عن المشتريات في القطاع الخاص من حيث طبيعتها التنظيمية، ومصدر تمويلها، وأهدافها، والقيود التي تحكمها. فالقطاع الخاص يركز غالبًا على الربحية والمرونة وسرعة القرار، بينما تخضع المشتريات الحكومية لمتطلبات حماية المال العام، والشفافية، والمنافسة العادلة، وتكافؤ الفرص، والامتثال النظامي، والرقابة السابقة واللاحقة، إلى جانب حساسية تعارض المصالح عند مشاركة الموظفين واللجان والموردين في قرارات ذات أثر مالي ومؤسسي واسع.</w:t>
      </w:r>
    </w:p>
    <w:p>
      <w:pPr>
        <w:spacing w:line="360" w:lineRule="auto" w:after="120"/>
        <w:jc w:val="right"/>
        <w:bidi w:val="1"/>
      </w:pPr>
      <w:r>
        <w:rPr>
          <w:rFonts w:ascii="Traditional Arabic" w:hAnsi="Traditional Arabic" w:eastAsia="Traditional Arabic" w:cs="Traditional Arabic"/>
          <w:sz w:val="24"/>
          <w:rtl w:val="1"/>
        </w:rPr>
        <w:t>وتبرز حوكمة المشتريات الحكومية بوصفها مدخلًا إداريًا لضبط هذه التعقيدات؛ إذ تسهم في تحديد الأدوار والصلاحيات، وتعزيز المساءلة، وضمان شفافية المعلومات، وتحسين التخطيط، ورفع كفاءة الرقابة الداخلية، وتفعيل المشتريات الرقمية. وقد أطلقت هيئة كفاءة الإنفاق والمشروعات الحكومية سبعة أدلة للمشتريات الحكومية لتحسين عمليات الطرح والشراء وتوحيد الممارسات وتعزيز إعداد خطط المشتريات السنوية (هيئة كفاءة الإنفاق والمشروعات الحكومية، 2024ب).</w:t>
      </w:r>
    </w:p>
    <w:p>
      <w:pPr>
        <w:spacing w:line="360" w:lineRule="auto" w:after="120"/>
        <w:jc w:val="right"/>
        <w:bidi w:val="1"/>
      </w:pPr>
      <w:r>
        <w:rPr>
          <w:rFonts w:ascii="Traditional Arabic" w:hAnsi="Traditional Arabic" w:eastAsia="Traditional Arabic" w:cs="Traditional Arabic"/>
          <w:sz w:val="24"/>
          <w:rtl w:val="1"/>
        </w:rPr>
        <w:t>ولا يقتصر مفهوم كفاءة الإنفاق على خفض المصروفات أو تقليل الأسعار، بل يرتبط بتعظيم الأثر مقابل الصرف، والاستخدام الأمثل للموارد، ومعالجة الهدر دون التأثير في جودة الخدمة. وتؤكد الورقة الصادرة عن هيئة كفاءة الإنفاق والمشروعات الحكومية أن كفاءة الإنفاق تشمل الكفاءة الفنية وكفاءة تخصيص الموارد، بما يجعل قياسها مرتبطًا بجودة التخطيط وسلامة التخصيص وفاعلية التنفيذ، لا بمجرد انخفاض سعر الترسية (هيئة كفاءة الإنفاق والمشروعات الحكومية، 2025أ).</w:t>
      </w:r>
    </w:p>
    <w:p>
      <w:pPr>
        <w:spacing w:line="360" w:lineRule="auto" w:after="120"/>
        <w:jc w:val="right"/>
        <w:bidi w:val="1"/>
      </w:pPr>
      <w:r>
        <w:rPr>
          <w:rFonts w:ascii="Traditional Arabic" w:hAnsi="Traditional Arabic" w:eastAsia="Traditional Arabic" w:cs="Traditional Arabic"/>
          <w:sz w:val="24"/>
          <w:rtl w:val="1"/>
        </w:rPr>
        <w:t>وتشير مؤشرات الهيئة إلى اتساع الجهد المؤسسي في هذا المجال؛ فقد أعلنت ضمن إنجازات عام 2024م توجيه أكثر من 105 مليارات ريال لإنفاق أكثر استدامة، وانخفاض تعثر المشروعات بنسبة 11%، وتوقيع اتفاقيات إطارية بقيمة 21 مليار ريال، ووجود 191 فريقًا لكفاءة الإنفاق في الجهات الحكومية، إضافة إلى توثيق أكثر من 4,000 مبادرة لكفاءة الإنفاق خلال الفترة 2019-2024 (هيئة كفاءة الإنفاق والمشروعات الحكومية، 2024أ، 2025ب).</w:t>
      </w:r>
    </w:p>
    <w:p>
      <w:pPr>
        <w:spacing w:line="360" w:lineRule="auto" w:after="120"/>
        <w:jc w:val="right"/>
        <w:bidi w:val="1"/>
      </w:pPr>
      <w:r>
        <w:rPr>
          <w:rFonts w:ascii="Traditional Arabic" w:hAnsi="Traditional Arabic" w:eastAsia="Traditional Arabic" w:cs="Traditional Arabic"/>
          <w:sz w:val="24"/>
          <w:rtl w:val="1"/>
        </w:rPr>
        <w:t>ومع ذلك، فإن تحويل مبادئ الحوكمة إلى كفاءة إنفاق لا يتم بصورة آلية؛ إذ قد تتأثر جودة التخطيط والتخصيص والتقييم والترسية بمصالح شخصية أو مهنية مباشرة أو غير مباشرة. ومن هنا تبرز إدارة مخاطر تعارض المصالح بوصفها آلية تنظيمية وسيطة يمكن من خلالها تفسير كيفية انتقال أثر الحوكمة إلى قرارات شراء أكثر حيادًا، ومنافسة أكثر عدالة، وتخصيص أكثر كفاءة للموارد.</w:t>
      </w:r>
    </w:p>
    <w:p>
      <w:pPr>
        <w:spacing w:line="360" w:lineRule="auto" w:after="120"/>
        <w:jc w:val="right"/>
        <w:bidi w:val="1"/>
      </w:pPr>
      <w:r>
        <w:rPr>
          <w:rFonts w:ascii="Traditional Arabic" w:hAnsi="Traditional Arabic" w:eastAsia="Traditional Arabic" w:cs="Traditional Arabic"/>
          <w:sz w:val="24"/>
          <w:rtl w:val="1"/>
        </w:rPr>
        <w:t>وقد يظهر تعارض المصالح في دراسة الاحتياج، أو إعداد المواصفات، أو فحص العروض، أو الترسية، أو إدارة العقد، بما قد يضعف المنافسة ويؤثر في موضوعية التقييم ويوجه الموارد نحو خيارات أقل كفاءة. ولهذا نص نظام المنافسات والمشتريات الحكومية ولائحته التنفيذية على منع تأثير المصالح الشخصية، كما صدرت لائحة تنظيم تعارض المصالح لضمان الحياد والعدالة في إجراءات المشتريات الحكومية (وزارة المالية، 2019).</w:t>
      </w:r>
    </w:p>
    <w:p>
      <w:pPr>
        <w:spacing w:line="360" w:lineRule="auto" w:after="120"/>
        <w:jc w:val="right"/>
        <w:bidi w:val="1"/>
      </w:pPr>
      <w:r>
        <w:rPr>
          <w:rFonts w:ascii="Traditional Arabic" w:hAnsi="Traditional Arabic" w:eastAsia="Traditional Arabic" w:cs="Traditional Arabic"/>
          <w:sz w:val="24"/>
          <w:rtl w:val="1"/>
        </w:rPr>
        <w:t>وتستند الدراسة إلى نظرية الوكالة التي تفسر العلاقة بين الأصيل والوكيل في البيئات التي تتضمن تفويضًا للمسؤولية واحتمالًا لاختلاف المصالح وعدم تماثل المعلومات. وفي سياق المشتريات الحكومية تمثل الدولة والمجتمع الأصيل، بينما يمثل موظفو المشتريات وأعضاء اللجان الوكلاء؛ وبذلك تعد الحوكمة آلية رقابية، وتمثل إدارة مخاطر تعارض المصالح آلية وسيطة للحد من الانحراف ودعم كفاءة الإنفاق (Jensen &amp; Meckling, 1976; Eisenhardt, 1989).</w:t>
      </w:r>
    </w:p>
    <w:p>
      <w:pPr>
        <w:spacing w:line="360" w:lineRule="auto" w:after="120"/>
        <w:jc w:val="right"/>
        <w:bidi w:val="1"/>
      </w:pPr>
      <w:r>
        <w:rPr>
          <w:rFonts w:ascii="Traditional Arabic" w:hAnsi="Traditional Arabic" w:eastAsia="Traditional Arabic" w:cs="Traditional Arabic"/>
          <w:sz w:val="24"/>
          <w:rtl w:val="1"/>
        </w:rPr>
        <w:t>ومن هذا المنطلق، تبحث الدراسة أثر حوكمة المشتريات الحكومية في كفاءة الإنفاق، مع اختبار الدور الوسيط لإدارة مخاطر تعارض المصالح في الجهات الحكومية السعودية.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4. مشكلة الدراسة وتساؤلاتها</w:t>
      </w:r>
    </w:p>
    <w:p>
      <w:pPr>
        <w:spacing w:line="360" w:lineRule="auto" w:after="120"/>
        <w:jc w:val="right"/>
        <w:bidi w:val="1"/>
      </w:pPr>
      <w:r>
        <w:rPr>
          <w:rFonts w:ascii="Traditional Arabic" w:hAnsi="Traditional Arabic" w:eastAsia="Traditional Arabic" w:cs="Traditional Arabic"/>
          <w:b w:val="0"/>
          <w:sz w:val="24"/>
          <w:rtl w:val="1"/>
        </w:rPr>
        <w:t>شهدت المملكة العربية السعودية تطورًا واضحًا في منظومة المشتريات الحكومية من خلال نظام المنافسات والمشتريات الحكومية ولائحته التنفيذية، والتوسع في منصة اعتماد، وتعزيز أدوار وزارة المالية وهيئة كفاءة الإنفاق والمشروعات الحكومية والجهات الرقابية. ومع ذلك، فإن وجود الأطر النظامية لا يضمن بذاته تحقق كفاءة الإنفاق ما لم تتحول تلك الأطر إلى ممارسات حوكمة مؤسسية مستقرة وقابلة للقياس داخل الجهات الحكومية.</w:t>
      </w:r>
    </w:p>
    <w:p>
      <w:pPr>
        <w:spacing w:line="360" w:lineRule="auto" w:after="120"/>
        <w:jc w:val="right"/>
        <w:bidi w:val="1"/>
      </w:pPr>
      <w:r>
        <w:rPr>
          <w:rFonts w:ascii="Traditional Arabic" w:hAnsi="Traditional Arabic" w:eastAsia="Traditional Arabic" w:cs="Traditional Arabic"/>
          <w:b w:val="0"/>
          <w:sz w:val="24"/>
          <w:rtl w:val="1"/>
        </w:rPr>
        <w:t>وتؤكد المؤشرات المحلية أن كفاءة الإنفاق قضية تطبيقية ذات أثر واسع؛ فقد طورت الهيئة منصات وأدوات لتمكين فرق كفاءة الإنفاق، والشراء الحكومي الموحد، والتسعير الاسترشادي، ومراجعات الإنفاق، بما يدعم القرار القائم على البيانات وتحسين تخصيص الموارد. كما تربط رؤية السعودية 2030 وبرنامج الاستدامة المالية بين رفع كفاءة الإنفاق، والانضباط المالي، وتحسين إدارة الموارد العامة.</w:t>
      </w:r>
    </w:p>
    <w:p>
      <w:pPr>
        <w:spacing w:line="360" w:lineRule="auto" w:after="120"/>
        <w:jc w:val="right"/>
        <w:bidi w:val="1"/>
      </w:pPr>
      <w:r>
        <w:rPr>
          <w:rFonts w:ascii="Traditional Arabic" w:hAnsi="Traditional Arabic" w:eastAsia="Traditional Arabic" w:cs="Traditional Arabic"/>
          <w:b w:val="0"/>
          <w:sz w:val="24"/>
          <w:rtl w:val="1"/>
        </w:rPr>
        <w:t>وتوضح ورقة هيئة كفاءة الإنفاق أن فجوات الكفاءة قد ترتبط بضعف الحوكمة وإدارة الإنفاق عبر مراحل التخطيط وتخصيص الموارد والتنفيذ. وفي المشتريات الحكومية تقابل هذه المراحل دراسة الاحتياج، وإعداد وثائق المنافسة، والطرح، وفحص العروض، والترسية، وإدارة العقد؛ لذلك قد ينعكس القصور في أي مرحلة على جودة المخرجات والقيمة مقابل المال (هيئة كفاءة الإنفاق والمشروعات الحكومية، 2025أ).</w:t>
      </w:r>
    </w:p>
    <w:p>
      <w:pPr>
        <w:spacing w:line="360" w:lineRule="auto" w:after="120"/>
        <w:jc w:val="right"/>
        <w:bidi w:val="1"/>
      </w:pPr>
      <w:r>
        <w:rPr>
          <w:rFonts w:ascii="Traditional Arabic" w:hAnsi="Traditional Arabic" w:eastAsia="Traditional Arabic" w:cs="Traditional Arabic"/>
          <w:b w:val="0"/>
          <w:sz w:val="24"/>
          <w:rtl w:val="1"/>
        </w:rPr>
        <w:t>ويستند اختيار الجهات الحكومية السعودية مجالًا للتطبيق إلى التحول المؤسسي المرتبط برؤية السعودية 2030، وتطوير نظام المنافسات والمشتريات الحكومية، واتساع جهود هيئة كفاءة الإنفاق، والاهتمام المتزايد بالنزاهة ومكافحة الفساد. كما توفر تعددية الوزارات والهيئات والمؤسسات العامة سياقًا مناسبًا لاختبار اختلاف مستويات النضج والحوكمة بين أنواع الجهات وأحجامها.</w:t>
      </w:r>
    </w:p>
    <w:p>
      <w:pPr>
        <w:spacing w:line="360" w:lineRule="auto" w:after="120"/>
        <w:jc w:val="right"/>
        <w:bidi w:val="1"/>
      </w:pPr>
      <w:r>
        <w:rPr>
          <w:rFonts w:ascii="Traditional Arabic" w:hAnsi="Traditional Arabic" w:eastAsia="Traditional Arabic" w:cs="Traditional Arabic"/>
          <w:b w:val="0"/>
          <w:sz w:val="24"/>
          <w:rtl w:val="1"/>
        </w:rPr>
        <w:t>وعلى الرغم من وضوح النصوص المنظمة للشفافية والإفصاح ومنع تعارض المصالح، تظل الفجوة بين التنظيم والممارسة تحديًا إداريًا رئيسًا؛ فقد تختلف مستويات التطبيق الفعلي تبعًا لنضج الحوكمة، ووضوح الصلاحيات، وكفاءة الرقابة، وخبرة العاملين، وتكامل الأنظمة الرقمية. وتمثل هذه الفجوة أساسًا لدراسة تعارض المصالح بوصفه خطرًا تنظيميًا قد يفسر جانبًا من العلاقة بين الحوكمة وكفاءة الإنفاق، وليس بوصفه مسألة قانونية أو أخلاقية فحسب.</w:t>
      </w:r>
    </w:p>
    <w:p>
      <w:pPr>
        <w:spacing w:line="360" w:lineRule="auto" w:after="120"/>
        <w:jc w:val="right"/>
        <w:bidi w:val="1"/>
      </w:pPr>
      <w:r>
        <w:rPr>
          <w:rFonts w:ascii="Traditional Arabic" w:hAnsi="Traditional Arabic" w:eastAsia="Traditional Arabic" w:cs="Traditional Arabic"/>
          <w:b w:val="0"/>
          <w:sz w:val="24"/>
          <w:rtl w:val="1"/>
        </w:rPr>
        <w:t>وعليه، تتمثل مشكلة الدراسة في الحاجة إلى اختبار أثر حوكمة المشتريات الحكومية في كفاءة الإنفاق داخل الجهات الحكومية السعودية، وتحديد الدور الوسيط لإدارة مخاطر تعارض المصالح في هذه العلاقة، بما يساعد على تفسير الآليات التنظيمية التي تحول مبادئ الحوكمة إلى نتائج مالية وإدارية قابلة للقياس.</w:t>
      </w:r>
    </w:p>
    <w:p>
      <w:pPr>
        <w:spacing w:line="360" w:lineRule="auto" w:after="120"/>
        <w:jc w:val="right"/>
        <w:bidi w:val="1"/>
      </w:pPr>
      <w:r>
        <w:rPr>
          <w:rFonts w:ascii="Traditional Arabic" w:hAnsi="Traditional Arabic" w:eastAsia="Traditional Arabic" w:cs="Traditional Arabic"/>
          <w:b/>
          <w:sz w:val="24"/>
          <w:rtl w:val="1"/>
        </w:rPr>
        <w:t>السؤال الرئيس للدراسة:</w:t>
      </w:r>
    </w:p>
    <w:p>
      <w:pPr>
        <w:spacing w:line="360" w:lineRule="auto" w:after="120"/>
        <w:jc w:val="right"/>
        <w:bidi w:val="1"/>
      </w:pPr>
      <w:r>
        <w:rPr>
          <w:rFonts w:ascii="Traditional Arabic" w:hAnsi="Traditional Arabic" w:eastAsia="Traditional Arabic" w:cs="Traditional Arabic"/>
          <w:b w:val="0"/>
          <w:sz w:val="24"/>
          <w:rtl w:val="1"/>
        </w:rPr>
        <w:t>ما أثر حوكمة المشتريات الحكومية في كفاءة الإنفاق في الجهات الحكومية السعودية، وما الدور الوسيط الذي تؤديه إدارة مخاطر تعارض المصالح في هذه العلاقة؟</w:t>
      </w:r>
    </w:p>
    <w:p>
      <w:pPr>
        <w:spacing w:line="360" w:lineRule="auto" w:after="120"/>
        <w:jc w:val="right"/>
        <w:bidi w:val="1"/>
      </w:pPr>
      <w:r>
        <w:rPr>
          <w:rFonts w:ascii="Traditional Arabic" w:hAnsi="Traditional Arabic" w:eastAsia="Traditional Arabic" w:cs="Traditional Arabic"/>
          <w:b w:val="0"/>
          <w:sz w:val="24"/>
          <w:rtl w:val="1"/>
        </w:rPr>
        <w:t>وتوضح أبعاد المتغيرات والعلاقات التفصيلية في نموذج الدراسة وجدول متغيراتها.</w:t>
      </w:r>
    </w:p>
    <w:p>
      <w:pPr>
        <w:spacing w:line="360" w:lineRule="auto" w:after="120"/>
        <w:jc w:val="right"/>
        <w:bidi w:val="1"/>
      </w:pPr>
      <w:r>
        <w:rPr>
          <w:rFonts w:ascii="Traditional Arabic" w:hAnsi="Traditional Arabic" w:eastAsia="Traditional Arabic" w:cs="Traditional Arabic"/>
          <w:b/>
          <w:sz w:val="24"/>
          <w:rtl w:val="1"/>
        </w:rPr>
        <w:t>وتتفرع عن السؤال الرئيس التساؤلات الآتية:</w:t>
      </w:r>
    </w:p>
    <w:p>
      <w:pPr>
        <w:spacing w:line="360" w:lineRule="auto" w:after="120"/>
        <w:jc w:val="right"/>
        <w:bidi w:val="1"/>
      </w:pPr>
      <w:r>
        <w:rPr>
          <w:rFonts w:ascii="Traditional Arabic" w:hAnsi="Traditional Arabic" w:eastAsia="Traditional Arabic" w:cs="Traditional Arabic"/>
          <w:b w:val="0"/>
          <w:sz w:val="24"/>
          <w:rtl w:val="1"/>
        </w:rPr>
        <w:t>1. ما مستوى تطبيق حوكمة المشتريات الحكومية بأبعادها السبعة في الجهات الحكومية السعودية من وجهة نظر المبحوثين؟</w:t>
      </w:r>
    </w:p>
    <w:p>
      <w:pPr>
        <w:spacing w:line="360" w:lineRule="auto" w:after="120"/>
        <w:jc w:val="right"/>
        <w:bidi w:val="1"/>
      </w:pPr>
      <w:r>
        <w:rPr>
          <w:rFonts w:ascii="Traditional Arabic" w:hAnsi="Traditional Arabic" w:eastAsia="Traditional Arabic" w:cs="Traditional Arabic"/>
          <w:b w:val="0"/>
          <w:sz w:val="24"/>
          <w:rtl w:val="1"/>
        </w:rPr>
        <w:t>2. ما مستوى إدارة مخاطر تعارض المصالح بأبعادها الخمسة في إجراءات المشتريات الحكومية من وجهة نظر المبحوثين؟</w:t>
      </w:r>
    </w:p>
    <w:p>
      <w:pPr>
        <w:spacing w:line="360" w:lineRule="auto" w:after="120"/>
        <w:jc w:val="right"/>
        <w:bidi w:val="1"/>
      </w:pPr>
      <w:r>
        <w:rPr>
          <w:rFonts w:ascii="Traditional Arabic" w:hAnsi="Traditional Arabic" w:eastAsia="Traditional Arabic" w:cs="Traditional Arabic"/>
          <w:b w:val="0"/>
          <w:sz w:val="24"/>
          <w:rtl w:val="1"/>
        </w:rPr>
        <w:t>3. ما مستوى كفاءة الإنفاق المرتبط بالمشتريات الحكومية بأبعادها الخمسة من وجهة نظر المبحوثين؟</w:t>
      </w:r>
    </w:p>
    <w:p>
      <w:pPr>
        <w:spacing w:line="360" w:lineRule="auto" w:after="120"/>
        <w:jc w:val="right"/>
        <w:bidi w:val="1"/>
      </w:pPr>
      <w:r>
        <w:rPr>
          <w:rFonts w:ascii="Traditional Arabic" w:hAnsi="Traditional Arabic" w:eastAsia="Traditional Arabic" w:cs="Traditional Arabic"/>
          <w:b w:val="0"/>
          <w:sz w:val="24"/>
          <w:rtl w:val="1"/>
        </w:rPr>
        <w:t>4. ما أثر أبعاد حوكمة المشتريات الحكومية في كل من إدارة مخاطر تعارض المصالح وكفاءة الإنفاق؟</w:t>
      </w:r>
    </w:p>
    <w:p>
      <w:pPr>
        <w:spacing w:line="360" w:lineRule="auto" w:after="120"/>
        <w:jc w:val="right"/>
        <w:bidi w:val="1"/>
      </w:pPr>
      <w:r>
        <w:rPr>
          <w:rFonts w:ascii="Traditional Arabic" w:hAnsi="Traditional Arabic" w:eastAsia="Traditional Arabic" w:cs="Traditional Arabic"/>
          <w:b w:val="0"/>
          <w:sz w:val="24"/>
          <w:rtl w:val="1"/>
        </w:rPr>
        <w:t>5. ما أثر أبعاد إدارة مخاطر تعارض المصالح في كفاءة الإنفاق؟</w:t>
      </w:r>
    </w:p>
    <w:p>
      <w:pPr>
        <w:spacing w:line="360" w:lineRule="auto" w:after="120"/>
        <w:jc w:val="right"/>
        <w:bidi w:val="1"/>
      </w:pPr>
      <w:r>
        <w:rPr>
          <w:rFonts w:ascii="Traditional Arabic" w:hAnsi="Traditional Arabic" w:eastAsia="Traditional Arabic" w:cs="Traditional Arabic"/>
          <w:b w:val="0"/>
          <w:sz w:val="24"/>
          <w:rtl w:val="1"/>
        </w:rPr>
        <w:t>6. هل تؤدي إدارة مخاطر تعارض المصالح دورًا وسيطًا ذا دلالة إحصائية في العلاقة بين حوكمة المشتريات الحكومية وكفاءة الإنفاق؟</w:t>
      </w:r>
    </w:p>
    <w:p>
      <w:pPr>
        <w:spacing w:line="360" w:lineRule="auto" w:after="120"/>
        <w:jc w:val="right"/>
        <w:bidi w:val="1"/>
      </w:pPr>
      <w:r>
        <w:rPr>
          <w:rFonts w:ascii="Traditional Arabic" w:hAnsi="Traditional Arabic" w:eastAsia="Traditional Arabic" w:cs="Traditional Arabic"/>
          <w:b w:val="0"/>
          <w:sz w:val="24"/>
          <w:rtl w:val="1"/>
        </w:rPr>
        <w:t>7. هل توجد فروق ذات دلالة إحصائية في استجابات المبحوثين تعزى إلى نوع الجهة، وحجمها، والمستوى الوظيفي، وسنوات الخبرة، والدور في دورة المشتريات؟</w:t>
      </w:r>
    </w:p>
    <w:p>
      <w:pPr>
        <w:spacing w:line="360" w:lineRule="auto" w:after="120"/>
        <w:jc w:val="right"/>
        <w:bidi w:val="1"/>
      </w:pPr>
      <w:r>
        <w:rPr>
          <w:rFonts w:ascii="Traditional Arabic" w:hAnsi="Traditional Arabic" w:eastAsia="Traditional Arabic" w:cs="Traditional Arabic"/>
          <w:b w:val="0"/>
          <w:sz w:val="24"/>
          <w:rtl w:val="1"/>
        </w:rPr>
        <w:t>8. ما الإسهام النسبي لأبعاد إدارة مخاطر تعارض المصالح في تفسير الأثر غير المباشر لحوكمة المشتريات الحكومية في كفاءة الإنفاق؟</w:t>
      </w:r>
    </w:p>
    <w:p>
      <w:pPr>
        <w:spacing w:lineRule="auto" w:line="360" w:after="160" w:before="0"/>
        <w:jc w:val="right"/>
        <w:pStyle w:val="Heading1"/>
        <w:bidi w:val="1"/>
      </w:pPr>
      <w:r>
        <w:rPr>
          <w:rFonts w:ascii="Traditional Arabic" w:hAnsi="Traditional Arabic" w:cs="Traditional Arabic" w:eastAsia="Traditional Arabic"/>
          <w:b/>
          <w:i w:val="0"/>
          <w:sz w:val="32"/>
          <w:rtl w:val="1"/>
        </w:rPr>
        <w:t>5. أهمية الدراسة</w:t>
      </w:r>
    </w:p>
    <w:p>
      <w:pPr>
        <w:spacing w:lineRule="auto" w:line="360" w:after="160" w:before="0"/>
        <w:jc w:val="right"/>
        <w:pStyle w:val="Heading2"/>
        <w:bidi w:val="1"/>
      </w:pPr>
      <w:r>
        <w:rPr>
          <w:rFonts w:ascii="Traditional Arabic" w:hAnsi="Traditional Arabic" w:cs="Traditional Arabic" w:eastAsia="Traditional Arabic"/>
          <w:b/>
          <w:i w:val="0"/>
          <w:sz w:val="28"/>
          <w:rtl w:val="1"/>
        </w:rPr>
        <w:t>5.1 الأهمية النظرية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تسهم الدراسة في إثراء الأدبيات العربية والخليجية في مجال حوكمة المشتريات الحكومية وكفاءة الإنفاق، إذ تمثل إضافة نوعية للمكتبة العربية التي لا تزال محدودة في الدراسات الميدانية التي تربط بين الحوكمة وكفاءة الإنفاق في سياق المشتريات الحكومية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تقدم الدراسة نموذجًا تفسيريًا يربط بين حوكمة المشتريات الحكومية وإدارة مخاطر تعارض المصالح وكفاءة الإنفاق، بما يضيف بعدًا إداريًا لموضوع تعارض المصالح بدلًا من حصره في المعالجة القانونية أو الأخلاقية.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تسهم الدراسة في اختبار نظرية الوكالة في سياق جديد يتمثل في المشتريات الحكومية، وتوفر أدلة تجريبية حول كيفية تحويل ممارسات الحوكمة إلى كفاءة إنفاق عبر آليات إدارة المخاطر وتقليل تضارب المصالح بين الأصيل والوكيل.</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تسهم الدراسة في توظيف نظرية أصحاب المصلحة لفهم أثر المشتريات الحكومية على المواطنين، الموردين، الجهات الرقابية، وصناع القرار، وبما يوسع مفهوم كفاءة الإنفاق من مجرد وفر مالي إلى قيمة عامة ومؤسسية.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تستند الدراسة إلى التصور السعودي الرسمي لكفاءة الإنفاق الذي يميز بين الكفاءة الفنية وكفاءة تخصيص الموارد، بما يدعم تطوير أطر قياس أكثر ملاءمة للبيئة الحكومية السعودية.</w:t>
      </w:r>
    </w:p>
    <w:p>
      <w:pPr>
        <w:spacing w:lineRule="auto" w:line="360" w:after="160" w:before="0"/>
        <w:jc w:val="right"/>
        <w:pStyle w:val="Heading2"/>
        <w:bidi w:val="1"/>
      </w:pPr>
      <w:r>
        <w:rPr>
          <w:rFonts w:ascii="Traditional Arabic" w:hAnsi="Traditional Arabic" w:cs="Traditional Arabic" w:eastAsia="Traditional Arabic"/>
          <w:b/>
          <w:i w:val="0"/>
          <w:sz w:val="28"/>
          <w:rtl w:val="1"/>
        </w:rPr>
        <w:t>5.2 الأهمية التطبيقية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تدعم الدراسة جهود هيئة كفاءة الإنفاق والمشروعات الحكومية ووزارة المالية في تطوير أطر حوكمة المشتريات الحكومية، من خلال تقديم مؤشرات أداء قابلة للقياس حول أثر ممارسات الحوكمة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تساعد نتائج الدراسة صناع القرار في الجهات الحكومية على تحديد أولويات تحسين ممارسات الحوكمة وفقًا لقوة تأثير كل بُعد في كفاءة الإنفاق، بما يوجه التدخلات التطويرية نحو الجوانب الأعلى أثرًا.</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تسهم الدراسة في تطوير أداة قياس (استبانة) يمكن توظيفها في دراسات لاحقة في المملكة ودول الخليج، أو استخدامها داخليًا لتشخيص مستوى نضج حوكمة المشتريات وإدارة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 قد تساعد الدراسة إدارات المشتريات والعقود والحوكمة والمراجعة الداخلية في تصميم إجراءات عملية للإفصاح عن المصالح، وفصل المهام، وتوثيق القرارات، وتعزيز المساءلة خلال دورة المشتريات.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تسهم الدراسة في الانتقال من قياس كفاءة المشتريات بناءً على الوفورات السعرية فقط إلى قياس أكثر شمولًا يشمل الكفاءة الفنية، وكفاءة تخصيص الموارد، وخفض الهدر، والقيمة مقابل المال، والمواءمة الاستراتيجية.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6. أهداف الدراسة</w:t>
      </w:r>
    </w:p>
    <w:p>
      <w:pPr>
        <w:spacing w:line="360" w:lineRule="auto" w:after="120"/>
        <w:jc w:val="right"/>
        <w:bidi w:val="1"/>
      </w:pPr>
      <w:r>
        <w:rPr>
          <w:rFonts w:ascii="Traditional Arabic" w:hAnsi="Traditional Arabic" w:eastAsia="Traditional Arabic" w:cs="Traditional Arabic"/>
          <w:sz w:val="24"/>
          <w:rtl w:val="1"/>
        </w:rPr>
        <w:t>1. قياس مستويات تطبيق ممارسات حوكمة المشتريات الحكومية، وإدارة مخاطر تعارض المصالح، وكفاءة الإنفاق في الجهات الحكومية السعودية من وجهة نظر أفراد العينة.</w:t>
      </w:r>
    </w:p>
    <w:p>
      <w:pPr>
        <w:spacing w:line="360" w:lineRule="auto" w:after="120"/>
        <w:jc w:val="right"/>
        <w:bidi w:val="1"/>
      </w:pPr>
      <w:r>
        <w:rPr>
          <w:rFonts w:ascii="Traditional Arabic" w:hAnsi="Traditional Arabic" w:eastAsia="Traditional Arabic" w:cs="Traditional Arabic"/>
          <w:sz w:val="24"/>
          <w:rtl w:val="1"/>
        </w:rPr>
        <w:t>2. تحليل الأثر التفاضلي لكل بُعد من أبعاد ممارسات حوكمة المشتريات الحكومية في كفاءة الإنفاق.</w:t>
      </w:r>
    </w:p>
    <w:p>
      <w:pPr>
        <w:spacing w:line="360" w:lineRule="auto" w:after="120"/>
        <w:jc w:val="right"/>
        <w:bidi w:val="1"/>
      </w:pPr>
      <w:r>
        <w:rPr>
          <w:rFonts w:ascii="Traditional Arabic" w:hAnsi="Traditional Arabic" w:eastAsia="Traditional Arabic" w:cs="Traditional Arabic"/>
          <w:sz w:val="24"/>
          <w:rtl w:val="1"/>
        </w:rPr>
        <w:t>3. اختبار أثر ممارسات حوكمة المشتريات الحكومية في أبعاد إدارة مخاطر تعارض المصالح.</w:t>
      </w:r>
    </w:p>
    <w:p>
      <w:pPr>
        <w:spacing w:line="360" w:lineRule="auto" w:after="120"/>
        <w:jc w:val="right"/>
        <w:bidi w:val="1"/>
      </w:pPr>
      <w:r>
        <w:rPr>
          <w:rFonts w:ascii="Traditional Arabic" w:hAnsi="Traditional Arabic" w:eastAsia="Traditional Arabic" w:cs="Traditional Arabic"/>
          <w:sz w:val="24"/>
          <w:rtl w:val="1"/>
        </w:rPr>
        <w:t>4. اختبار أثر أبعاد إدارة مخاطر تعارض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5. اختبار الدور الوسيط لإدارة مخاطر تعارض المصالح، وتحديد الإسهام النسبي لأبعادها، في العلاقة بين ممارسات حوكمة المشتريات الحكومية وكفاءة الإنفاق.</w:t>
      </w:r>
    </w:p>
    <w:p>
      <w:pPr>
        <w:spacing w:line="360" w:lineRule="auto" w:after="120"/>
        <w:jc w:val="right"/>
        <w:bidi w:val="1"/>
      </w:pPr>
      <w:r>
        <w:rPr>
          <w:rFonts w:ascii="Traditional Arabic" w:hAnsi="Traditional Arabic" w:eastAsia="Traditional Arabic" w:cs="Traditional Arabic"/>
          <w:sz w:val="24"/>
          <w:rtl w:val="1"/>
        </w:rPr>
        <w:t>6. اختبار الفروق ذات الدلالة الإحصائية في استجابات أفراد العينة وفق نوع الجهة الحكومية، وحجمها، والمستوى الوظيفي، وسنوات الخبرة، والدور في دورة المشتريات.</w:t>
      </w:r>
    </w:p>
    <w:p>
      <w:pPr>
        <w:spacing w:line="360" w:lineRule="auto" w:after="120"/>
        <w:jc w:val="right"/>
        <w:bidi w:val="1"/>
      </w:pPr>
      <w:r>
        <w:rPr>
          <w:rFonts w:ascii="Traditional Arabic" w:hAnsi="Traditional Arabic" w:eastAsia="Traditional Arabic" w:cs="Traditional Arabic"/>
          <w:sz w:val="24"/>
          <w:rtl w:val="1"/>
        </w:rPr>
        <w:t>7. بناء نموذج تنبؤي يقدّر مستوى كفاءة الإنفاق في ضوء ممارسات حوكمة المشتريات الحكومية وإدارة مخاطر تعارض المصالح، مع ضبط أثر المتغيرات المؤسسية والديموغرافية.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7. فرضيات الدراسة</w:t>
      </w:r>
    </w:p>
    <w:p>
      <w:pPr>
        <w:spacing w:line="360" w:lineRule="auto" w:after="120"/>
        <w:jc w:val="right"/>
        <w:bidi w:val="1"/>
      </w:pPr>
      <w:r>
        <w:rPr>
          <w:rFonts w:ascii="Traditional Arabic" w:hAnsi="Traditional Arabic" w:eastAsia="Traditional Arabic" w:cs="Traditional Arabic"/>
          <w:sz w:val="24"/>
          <w:rtl w:val="1"/>
        </w:rPr>
        <w:t>• H1: يوجد أثر ذو دلالة إحصائية لممارسات حوكمة المشتريات الحكومية في كفاءة الإنفاق في الجهات الحكومية السعودية.</w:t>
      </w:r>
    </w:p>
    <w:p>
      <w:pPr>
        <w:spacing w:line="360" w:lineRule="auto" w:after="120"/>
        <w:jc w:val="right"/>
        <w:bidi w:val="1"/>
      </w:pPr>
      <w:r>
        <w:rPr>
          <w:rFonts w:ascii="Traditional Arabic" w:hAnsi="Traditional Arabic" w:eastAsia="Traditional Arabic" w:cs="Traditional Arabic"/>
          <w:sz w:val="24"/>
          <w:rtl w:val="1"/>
        </w:rPr>
        <w:t>• H1a-H1g: توجد آثار ذات دلالة إحصائية لكل من الشفافية، والمساءلة، والامتثال النظامي، وفصل المهام وتحديد الصلاحيات، والرقابة الداخلية، والتخطيط والإعداد للمشتريات، ونضج المشتريات الرقمية في كفاءة الإنفاق.</w:t>
      </w:r>
    </w:p>
    <w:p>
      <w:pPr>
        <w:spacing w:line="360" w:lineRule="auto" w:after="120"/>
        <w:jc w:val="right"/>
        <w:bidi w:val="1"/>
      </w:pPr>
      <w:r>
        <w:rPr>
          <w:rFonts w:ascii="Traditional Arabic" w:hAnsi="Traditional Arabic" w:eastAsia="Traditional Arabic" w:cs="Traditional Arabic"/>
          <w:sz w:val="24"/>
          <w:rtl w:val="1"/>
        </w:rPr>
        <w:t>• H2: يوجد أثر ذو دلالة إحصائية لممارسات حوكمة المشتريات الحكومية في إدارة مخاطر تعارض المصالح.</w:t>
      </w:r>
    </w:p>
    <w:p>
      <w:pPr>
        <w:spacing w:line="360" w:lineRule="auto" w:after="120"/>
        <w:jc w:val="right"/>
        <w:bidi w:val="1"/>
      </w:pPr>
      <w:r>
        <w:rPr>
          <w:rFonts w:ascii="Traditional Arabic" w:hAnsi="Traditional Arabic" w:eastAsia="Traditional Arabic" w:cs="Traditional Arabic"/>
          <w:sz w:val="24"/>
          <w:rtl w:val="1"/>
        </w:rPr>
        <w:t>• H2a: يوجد أثر ذو دلالة إحصائية لممارسات حوكمة المشتريات الحكومية في الإفصاح عن المصالح.</w:t>
      </w:r>
    </w:p>
    <w:p>
      <w:pPr>
        <w:spacing w:line="360" w:lineRule="auto" w:after="120"/>
        <w:jc w:val="right"/>
        <w:bidi w:val="1"/>
      </w:pPr>
      <w:r>
        <w:rPr>
          <w:rFonts w:ascii="Traditional Arabic" w:hAnsi="Traditional Arabic" w:eastAsia="Traditional Arabic" w:cs="Traditional Arabic"/>
          <w:sz w:val="24"/>
          <w:rtl w:val="1"/>
        </w:rPr>
        <w:t>• H2b: يوجد أثر ذو دلالة إحصائية لممارسات حوكمة المشتريات الحكومية في الوقاية من تعارض المصالح.</w:t>
      </w:r>
    </w:p>
    <w:p>
      <w:pPr>
        <w:spacing w:line="360" w:lineRule="auto" w:after="120"/>
        <w:jc w:val="right"/>
        <w:bidi w:val="1"/>
      </w:pPr>
      <w:r>
        <w:rPr>
          <w:rFonts w:ascii="Traditional Arabic" w:hAnsi="Traditional Arabic" w:eastAsia="Traditional Arabic" w:cs="Traditional Arabic"/>
          <w:sz w:val="24"/>
          <w:rtl w:val="1"/>
        </w:rPr>
        <w:t>• H2c: يوجد أثر ذو دلالة إحصائية لممارسات حوكمة المشتريات الحكومية في اكتشاف حالات تعارض المصالح.</w:t>
      </w:r>
    </w:p>
    <w:p>
      <w:pPr>
        <w:spacing w:line="360" w:lineRule="auto" w:after="120"/>
        <w:jc w:val="right"/>
        <w:bidi w:val="1"/>
      </w:pPr>
      <w:r>
        <w:rPr>
          <w:rFonts w:ascii="Traditional Arabic" w:hAnsi="Traditional Arabic" w:eastAsia="Traditional Arabic" w:cs="Traditional Arabic"/>
          <w:sz w:val="24"/>
          <w:rtl w:val="1"/>
        </w:rPr>
        <w:t>• H2d: يوجد أثر ذو دلالة إحصائية لممارسات حوكمة المشتريات الحكومية في معالجة حالات تعارض المصالح.</w:t>
      </w:r>
    </w:p>
    <w:p>
      <w:pPr>
        <w:spacing w:line="360" w:lineRule="auto" w:after="120"/>
        <w:jc w:val="right"/>
        <w:bidi w:val="1"/>
      </w:pPr>
      <w:r>
        <w:rPr>
          <w:rFonts w:ascii="Traditional Arabic" w:hAnsi="Traditional Arabic" w:eastAsia="Traditional Arabic" w:cs="Traditional Arabic"/>
          <w:sz w:val="24"/>
          <w:rtl w:val="1"/>
        </w:rPr>
        <w:t>• H2e: يوجد أثر ذو دلالة إحصائية لممارسات حوكمة المشتريات الحكومية في توثيق حالات تعارض المصالح والمساءلة عنها.</w:t>
      </w:r>
    </w:p>
    <w:p>
      <w:pPr>
        <w:spacing w:line="360" w:lineRule="auto" w:after="120"/>
        <w:jc w:val="right"/>
        <w:bidi w:val="1"/>
      </w:pPr>
      <w:r>
        <w:rPr>
          <w:rFonts w:ascii="Traditional Arabic" w:hAnsi="Traditional Arabic" w:eastAsia="Traditional Arabic" w:cs="Traditional Arabic"/>
          <w:sz w:val="24"/>
          <w:rtl w:val="1"/>
        </w:rPr>
        <w:t>• H3: يوجد أثر ذو دلالة إحصائية لإدارة مخاطر تعارض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 H3a: يوجد أثر ذو دلالة إحصائية للإفصاح عن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 H3b: يوجد أثر ذو دلالة إحصائية للوقاية من تعارض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 H3c: يوجد أثر ذو دلالة إحصائية لاكتشاف حالات تعارض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 H3d: يوجد أثر ذو دلالة إحصائية لمعالجة حالات تعارض المصالح في كفاءة الإنفاق.</w:t>
      </w:r>
    </w:p>
    <w:p>
      <w:pPr>
        <w:spacing w:line="360" w:lineRule="auto" w:after="120"/>
        <w:jc w:val="right"/>
        <w:bidi w:val="1"/>
      </w:pPr>
      <w:r>
        <w:rPr>
          <w:rFonts w:ascii="Traditional Arabic" w:hAnsi="Traditional Arabic" w:eastAsia="Traditional Arabic" w:cs="Traditional Arabic"/>
          <w:sz w:val="24"/>
          <w:rtl w:val="1"/>
        </w:rPr>
        <w:t>• H3e: يوجد أثر ذو دلالة إحصائية لتوثيق حالات تعارض المصالح والمساءلة عنها في كفاءة الإنفاق.</w:t>
      </w:r>
    </w:p>
    <w:p>
      <w:pPr>
        <w:spacing w:line="360" w:lineRule="auto" w:after="120"/>
        <w:jc w:val="right"/>
        <w:bidi w:val="1"/>
      </w:pPr>
      <w:r>
        <w:rPr>
          <w:rFonts w:ascii="Traditional Arabic" w:hAnsi="Traditional Arabic" w:eastAsia="Traditional Arabic" w:cs="Traditional Arabic"/>
          <w:sz w:val="24"/>
          <w:rtl w:val="1"/>
        </w:rPr>
        <w:t>• H4: تؤدي إدارة مخاطر تعارض المصالح دورًا وسيطًا ذا دلالة إحصائية في العلاقة بين ممارسات حوكمة المشتريات الحكومية وكفاءة الإنفاق.</w:t>
      </w:r>
    </w:p>
    <w:p>
      <w:pPr>
        <w:spacing w:line="360" w:lineRule="auto" w:after="120"/>
        <w:jc w:val="right"/>
        <w:bidi w:val="1"/>
      </w:pPr>
      <w:r>
        <w:rPr>
          <w:rFonts w:ascii="Traditional Arabic" w:hAnsi="Traditional Arabic" w:eastAsia="Traditional Arabic" w:cs="Traditional Arabic"/>
          <w:sz w:val="24"/>
          <w:rtl w:val="1"/>
        </w:rPr>
        <w:t>• H5: توجد فروق ذات دلالة إحصائية في استجابات أفراد العينة حول متغيرات الدراسة تعزى إلى نوع الجهة الحكومية، وحجمها، والمستوى الوظيفي، وسنوات الخبرة، والدور في دورة المشتريات.</w:t>
      </w:r>
    </w:p>
    <w:p>
      <w:pPr>
        <w:spacing w:line="360" w:lineRule="auto" w:after="120"/>
        <w:jc w:val="right"/>
        <w:bidi w:val="1"/>
      </w:pPr>
      <w:r>
        <w:rPr>
          <w:rFonts w:ascii="Traditional Arabic" w:hAnsi="Traditional Arabic" w:eastAsia="Traditional Arabic" w:cs="Traditional Arabic"/>
          <w:sz w:val="24"/>
          <w:rtl w:val="1"/>
        </w:rPr>
        <w:t>• H6: تسهم ممارسات حوكمة المشتريات الحكومية وإدارة مخاطر تعارض المصالح، بعد ضبط المتغيرات المؤسسية والديموغرافية، في التنبؤ بمستوى كفاءة الإنفاق.</w:t>
      </w:r>
    </w:p>
    <w:p>
      <w:pPr>
        <w:spacing w:lineRule="auto" w:line="360" w:after="160" w:before="0"/>
        <w:jc w:val="right"/>
        <w:pStyle w:val="Heading1"/>
        <w:bidi w:val="1"/>
      </w:pPr>
      <w:r>
        <w:rPr>
          <w:rFonts w:ascii="Traditional Arabic" w:hAnsi="Traditional Arabic" w:cs="Traditional Arabic" w:eastAsia="Traditional Arabic"/>
          <w:b/>
          <w:i w:val="0"/>
          <w:sz w:val="32"/>
          <w:rtl w:val="1"/>
        </w:rPr>
        <w:t>8. النظريات الداعمة للدراسة</w:t>
      </w:r>
    </w:p>
    <w:p>
      <w:pPr>
        <w:pStyle w:val="Heading2"/>
        <w:jc w:val="right"/>
        <w:bidi w:val="1"/>
      </w:pPr>
      <w:r>
        <w:rPr>
          <w:rFonts w:ascii="Traditional Arabic" w:hAnsi="Traditional Arabic" w:eastAsia="Traditional Arabic" w:cs="Traditional Arabic"/>
          <w:sz w:val="28"/>
          <w:rtl w:val="1"/>
        </w:rPr>
        <w:t>8.1 نظرية الوكالة (Agency Theory)</w:t>
      </w:r>
    </w:p>
    <w:p>
      <w:pPr>
        <w:spacing w:line="360" w:lineRule="auto" w:after="120"/>
        <w:jc w:val="right"/>
        <w:bidi w:val="1"/>
      </w:pPr>
      <w:r>
        <w:rPr>
          <w:rFonts w:ascii="Traditional Arabic" w:hAnsi="Traditional Arabic" w:eastAsia="Traditional Arabic" w:cs="Traditional Arabic"/>
          <w:sz w:val="24"/>
          <w:rtl w:val="1"/>
        </w:rPr>
        <w:t>تفسر نظرية الوكالة العلاقة بين الأصيل، الذي يملك المورد أو المصلحة، والوكيل الذي يتولى اتخاذ القرار نيابة عنه. وفي سياق المشتريات الحكومية تمثل الدولة والمجتمع الأصيل، بينما يمثل موظفو المشتريات وأعضاء اللجان والمديرون ذوو الصلة الوكلاء الذين يديرون المال العام. ويؤدي عدم تماثل المعلومات وتباين المصالح إلى احتمال نشوء سلوك انتهازي أو قرارات لا تحقق أفضل قيمة، وهو ما يبرر الحاجة إلى آليات الحوكمة والرقابة والمساءلة (Jensen &amp; Meckling, 1976).</w:t>
      </w:r>
    </w:p>
    <w:p>
      <w:pPr>
        <w:spacing w:line="360" w:lineRule="auto" w:after="120"/>
        <w:jc w:val="right"/>
        <w:bidi w:val="1"/>
      </w:pPr>
      <w:r>
        <w:rPr>
          <w:rFonts w:ascii="Traditional Arabic" w:hAnsi="Traditional Arabic" w:eastAsia="Traditional Arabic" w:cs="Traditional Arabic"/>
          <w:sz w:val="24"/>
          <w:rtl w:val="1"/>
        </w:rPr>
        <w:t>تفسر النظرية في النموذج المقترح حوكمة المشتريات الحكومية بوصفها آلية رقابية تقلل تكاليف الوكالة، بينما تمثل إدارة مخاطر تعارض المصالح آلية تنظيمية وسيطة تحد من انحراف مصالح الوكيل من خلال الإفصاح والوقاية والاكتشاف والمعالجة والتوثيق، بما يدعم كفاءة الإنفاق.</w:t>
      </w:r>
    </w:p>
    <w:p>
      <w:pPr>
        <w:pStyle w:val="Heading2"/>
        <w:jc w:val="right"/>
        <w:bidi w:val="1"/>
      </w:pPr>
      <w:r>
        <w:rPr>
          <w:rFonts w:ascii="Traditional Arabic" w:hAnsi="Traditional Arabic" w:eastAsia="Traditional Arabic" w:cs="Traditional Arabic"/>
          <w:sz w:val="28"/>
          <w:rtl w:val="1"/>
        </w:rPr>
        <w:t>8.2 نظرية أصحاب المصلحة (Stakeholder Theory)</w:t>
      </w:r>
    </w:p>
    <w:p>
      <w:pPr>
        <w:spacing w:line="360" w:lineRule="auto" w:after="120"/>
        <w:jc w:val="right"/>
        <w:bidi w:val="1"/>
      </w:pPr>
      <w:r>
        <w:rPr>
          <w:rFonts w:ascii="Traditional Arabic" w:hAnsi="Traditional Arabic" w:eastAsia="Traditional Arabic" w:cs="Traditional Arabic"/>
          <w:sz w:val="24"/>
          <w:rtl w:val="1"/>
        </w:rPr>
        <w:t>تؤكد نظرية أصحاب المصلحة أن نجاح المنظمة العامة يقاس بقدرتها على تحقيق قيمة لمجموعة من الأطراف المتأثرة بقراراتها، ومنهم المواطنون، والموردون، والجهات الرقابية، والجهات المستفيدة، وصناع القرار (Freeman, 1984). وبناءً عليها، لا تقتصر كفاءة الإنفاق على خفض السعر، بل تشمل العدالة، وجودة المخرجات، واستدامة المنافسة، وثقة المجتمع في سلامة إدارة الموارد العامة.</w:t>
      </w:r>
    </w:p>
    <w:p>
      <w:pPr>
        <w:pStyle w:val="Heading2"/>
        <w:jc w:val="left"/>
      </w:pPr>
      <w:r>
        <w:rPr>
          <w:rFonts w:ascii="Times New Roman" w:hAnsi="Times New Roman" w:eastAsia="Traditional Arabic" w:cs="Times New Roman"/>
          <w:sz w:val="28"/>
        </w:rPr>
        <w:t>8.3 النظرية المؤسسية (Institutional Theory)</w:t>
      </w:r>
    </w:p>
    <w:p>
      <w:pPr>
        <w:spacing w:line="360" w:lineRule="auto" w:after="120"/>
        <w:jc w:val="right"/>
        <w:bidi w:val="1"/>
      </w:pPr>
      <w:r>
        <w:rPr>
          <w:rFonts w:ascii="Traditional Arabic" w:hAnsi="Traditional Arabic" w:eastAsia="Traditional Arabic" w:cs="Traditional Arabic"/>
          <w:sz w:val="24"/>
          <w:rtl w:val="1"/>
        </w:rPr>
        <w:t>تفسر النظرية المؤسسية كيفية تأثر الممارسات التنظيمية بالقواعد النظامية والضغوط المهنية والتوقعات الاجتماعية. وفي بيئة المشتريات الحكومية، تشكل الأنظمة واللوائح، ومتطلبات الرقابة، والمنصات الرقمية، والمعايير المهنية ضغوطًا مؤسسية تدفع الجهات إلى تبني ممارسات الحوكمة، إلا أن درجة تحول تلك المتطلبات إلى ممارسات فعلية قد تختلف بين الجهات بحسب القدرات والهياكل والثقافة التنظيمية (DiMaggio &amp; Powell, 1983; Scott, 2014).</w:t>
      </w:r>
    </w:p>
    <w:p>
      <w:pPr>
        <w:pStyle w:val="Heading2"/>
        <w:jc w:val="right"/>
        <w:bidi w:val="1"/>
      </w:pPr>
      <w:r>
        <w:rPr>
          <w:rFonts w:ascii="Traditional Arabic" w:hAnsi="Traditional Arabic" w:eastAsia="Traditional Arabic" w:cs="Traditional Arabic"/>
          <w:sz w:val="28"/>
          <w:rtl w:val="1"/>
        </w:rPr>
        <w:t>8.4 التكامل النظري</w:t>
      </w:r>
    </w:p>
    <w:p>
      <w:pPr>
        <w:spacing w:line="360" w:lineRule="auto" w:after="120"/>
        <w:jc w:val="right"/>
        <w:bidi w:val="1"/>
      </w:pPr>
      <w:r>
        <w:rPr>
          <w:rFonts w:ascii="Traditional Arabic" w:hAnsi="Traditional Arabic" w:eastAsia="Traditional Arabic" w:cs="Traditional Arabic"/>
          <w:sz w:val="24"/>
          <w:rtl w:val="1"/>
        </w:rPr>
        <w:t>يتكامل الإطار النظري على النحو الآتي: تفسر نظرية الوكالة الحاجة إلى الرقابة وتقليل تضارب المصالح، وتوضح نظرية أصحاب المصلحة اتساع النتائج المتوقعة من كفاءة الإنفاق، بينما تفسر النظرية المؤسسية أثر السياق التنظيمي في تبني الحوكمة وتفاوت التطبيق بين الجهات. وبذلك تُفهم حوكمة المشتريات بوصفها آلية رقابية ومؤسسية، وإدارة مخاطر تعارض المصالح بوصفها آلية وسيطة، وكفاءة الإنفاق بوصفها نتيجة تنظيمية ومالية واجتماعية.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9. نموذج الدراسة</w:t>
      </w:r>
    </w:p>
    <w:p>
      <w:pPr>
        <w:spacing w:lineRule="auto" w:line="360" w:after="120" w:before="0"/>
        <w:jc w:val="right"/>
        <w:bidi w:val="1"/>
      </w:pPr>
      <w:r>
        <w:rPr>
          <w:rFonts w:ascii="Traditional Arabic" w:hAnsi="Traditional Arabic" w:eastAsia="Traditional Arabic" w:cs="Traditional Arabic"/>
          <w:sz w:val="24"/>
          <w:rtl w:val="1"/>
        </w:rPr>
        <w:t>يقوم نموذج الدراسة على ثلاثة متغيرات رئيسة: ممارسات حوكمة المشتريات الحكومية متغيرًا مستقلًا، وإدارة مخاطر تعارض المصالح متغيرًا وسيطًا، وكفاءة الإنفاق متغيرًا تابعًا. كما يضم النموذج نوع الجهة، وحجمها، والمستوى الوظيفي، وسنوات الخبرة، والدور في دورة المشتريات بوصفها متغيرات رقابية؛ للتحقق من ثبات العلاقات الرئيسة بعد ضبط أثر الخصائص المؤسسية والديموغرافية.</w:t>
      </w:r>
    </w:p>
    <w:p>
      <w:pPr>
        <w:spacing w:lineRule="auto" w:line="360" w:after="120" w:before="0"/>
        <w:jc w:val="right"/>
        <w:bidi w:val="1"/>
      </w:pPr>
      <w:r>
        <w:rPr>
          <w:rFonts w:ascii="Traditional Arabic" w:hAnsi="Traditional Arabic" w:eastAsia="Traditional Arabic" w:cs="Traditional Arabic"/>
          <w:b/>
          <w:sz w:val="24"/>
          <w:rtl w:val="1"/>
        </w:rPr>
        <w:t>جدول (2): متغيرات الدراسة وأبعادها والمتغيرات الرقابية</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rPr>
        <w:tc>
          <w:tcPr>
            <w:tcW w:type="dxa" w:w="2835"/>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المتغير</w:t>
            </w:r>
          </w:p>
        </w:tc>
        <w:tc>
          <w:tcPr>
            <w:tcW w:type="dxa" w:w="1701"/>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نوع المتغير</w:t>
            </w:r>
          </w:p>
        </w:tc>
        <w:tc>
          <w:tcPr>
            <w:tcW w:type="dxa" w:w="5102"/>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الأبعاد</w:t>
            </w:r>
          </w:p>
        </w:tc>
      </w:tr>
      <w:tr>
        <w:tc>
          <w:tcPr>
            <w:tcW w:type="dxa" w:w="2835"/>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ممارسات حوكمة المشتريات الحكومية</w:t>
            </w:r>
          </w:p>
        </w:tc>
        <w:tc>
          <w:tcPr>
            <w:tcW w:type="dxa" w:w="1701"/>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مستقل</w:t>
            </w:r>
          </w:p>
        </w:tc>
        <w:tc>
          <w:tcPr>
            <w:tcW w:type="dxa" w:w="5102"/>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الشفافية، المساءلة، الامتثال النظامي، فصل المهام وتحديد الصلاحيات، الرقابة الداخلية، التخطيط والإعداد للمشتريات، نضج المشتريات الرقمية</w:t>
            </w:r>
          </w:p>
        </w:tc>
      </w:tr>
      <w:tr>
        <w:tc>
          <w:tcPr>
            <w:tcW w:type="dxa" w:w="2835"/>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إدارة مخاطر تعارض المصالح</w:t>
            </w:r>
          </w:p>
        </w:tc>
        <w:tc>
          <w:tcPr>
            <w:tcW w:type="dxa" w:w="1701"/>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وسيط</w:t>
            </w:r>
          </w:p>
        </w:tc>
        <w:tc>
          <w:tcPr>
            <w:tcW w:type="dxa" w:w="5102"/>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الإفصاح، الوقاية، الاكتشاف، المعالجة، التوثيق والمساءلة</w:t>
            </w:r>
          </w:p>
        </w:tc>
      </w:tr>
      <w:tr>
        <w:tc>
          <w:tcPr>
            <w:tcW w:type="dxa" w:w="2835"/>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كفاءة الإنفاق</w:t>
            </w:r>
          </w:p>
        </w:tc>
        <w:tc>
          <w:tcPr>
            <w:tcW w:type="dxa" w:w="1701"/>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تابع</w:t>
            </w:r>
          </w:p>
        </w:tc>
        <w:tc>
          <w:tcPr>
            <w:tcW w:type="dxa" w:w="5102"/>
            <w:shd w:fill="FFF2CC"/>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الكفاءة الفنية، كفاءة تخصيص الموارد، خفض الهدر، القيمة مقابل المال، المواءمة الاستراتيجية</w:t>
            </w:r>
          </w:p>
        </w:tc>
      </w:tr>
      <w:t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المتغيرات المؤسسية والديموغرافية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رقابية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نوع الجهة، حجم الجهة، المستوى الوظيفي، سنوات الخبرة، الدور في دورة المشتريات</w:t>
            </w:r>
          </w:p>
        </w:tc>
      </w:tr>
    </w:tbl>
    <w:p>
      <w:pPr>
        <w:jc w:val="center"/>
        <w:bidi w:val="1"/>
      </w:pPr>
      <w:r>
        <w:rPr>
          <w:rFonts w:ascii="Traditional Arabic" w:hAnsi="Traditional Arabic" w:eastAsia="Traditional Arabic" w:cs="Traditional Arabic"/>
          <w:rtl w:val="1"/>
        </w:rPr>
      </w:r>
      <w:r>
        <w:drawing>
          <wp:inline xmlns:a="http://schemas.openxmlformats.org/drawingml/2006/main" xmlns:pic="http://schemas.openxmlformats.org/drawingml/2006/picture">
            <wp:extent cx="5943600" cy="3467100"/>
            <wp:docPr id="1" name="Picture 1"/>
            <wp:cNvGraphicFramePr>
              <a:graphicFrameLocks noChangeAspect="1"/>
            </wp:cNvGraphicFramePr>
            <a:graphic>
              <a:graphicData uri="http://schemas.openxmlformats.org/drawingml/2006/picture">
                <pic:pic>
                  <pic:nvPicPr>
                    <pic:cNvPr id="0" name="model_diagram.png"/>
                    <pic:cNvPicPr/>
                  </pic:nvPicPr>
                  <pic:blipFill>
                    <a:blip r:embed="rId10"/>
                    <a:stretch>
                      <a:fillRect/>
                    </a:stretch>
                  </pic:blipFill>
                  <pic:spPr>
                    <a:xfrm>
                      <a:off x="0" y="0"/>
                      <a:ext cx="5943600" cy="3467100"/>
                    </a:xfrm>
                    <a:prstGeom prst="rect"/>
                  </pic:spPr>
                </pic:pic>
              </a:graphicData>
            </a:graphic>
          </wp:inline>
        </w:drawing>
      </w:r>
    </w:p>
    <w:p>
      <w:pPr>
        <w:spacing w:lineRule="auto" w:line="360" w:after="120" w:before="0"/>
        <w:jc w:val="right"/>
        <w:bidi w:val="1"/>
      </w:pPr>
      <w:r>
        <w:rPr>
          <w:rFonts w:ascii="Traditional Arabic" w:hAnsi="Traditional Arabic" w:eastAsia="Traditional Arabic" w:cs="Traditional Arabic"/>
          <w:b/>
          <w:sz w:val="24"/>
          <w:rtl w:val="1"/>
        </w:rPr>
        <w:t>شكل (1): النموذج البنائي المقترح ومسارات التأثير المباشر وغير المباشر والمتغيرات الرقابية</w:t>
      </w:r>
    </w:p>
    <w:p>
      <w:pPr>
        <w:spacing w:lineRule="auto" w:line="360" w:after="120" w:before="0"/>
        <w:jc w:val="right"/>
        <w:bidi w:val="1"/>
      </w:pPr>
      <w:r>
        <w:rPr>
          <w:rFonts w:ascii="Traditional Arabic" w:hAnsi="Traditional Arabic" w:eastAsia="Traditional Arabic" w:cs="Traditional Arabic"/>
          <w:sz w:val="24"/>
          <w:rtl w:val="1"/>
        </w:rPr>
        <w:t>يوضح الخط المتصل المسار المباشر من حوكمة المشتريات الحكومية إلى كفاءة الإنفاق، بينما توضح الخطوط المتقطعة المسار غير المباشر عبر إدارة مخاطر تعارض المصالح. وتُدرج المتغيرات الرقابية في النموذج البنائي لقياس أثرها المحتمل والتحقق من أن العلاقات الرئيسة لا تُعزى إلى خصائص الجهة أو المبحوثين.</w:t>
      </w:r>
    </w:p>
    <w:p>
      <w:pPr>
        <w:spacing w:lineRule="auto" w:line="360" w:after="160" w:before="0"/>
        <w:jc w:val="right"/>
        <w:pStyle w:val="Heading1"/>
        <w:bidi w:val="1"/>
      </w:pPr>
      <w:r>
        <w:rPr>
          <w:rFonts w:ascii="Traditional Arabic" w:hAnsi="Traditional Arabic" w:cs="Traditional Arabic" w:eastAsia="Traditional Arabic"/>
          <w:b/>
          <w:i w:val="0"/>
          <w:sz w:val="32"/>
          <w:rtl w:val="1"/>
        </w:rPr>
        <w:t>10. مصطلحات الدراسة وتعريفاتها الإجرائية</w:t>
      </w:r>
    </w:p>
    <w:p>
      <w:pPr>
        <w:spacing w:line="360" w:lineRule="auto" w:after="120"/>
        <w:jc w:val="right"/>
        <w:bidi w:val="1"/>
      </w:pPr>
      <w:r>
        <w:rPr>
          <w:rFonts w:ascii="Traditional Arabic" w:hAnsi="Traditional Arabic" w:eastAsia="Traditional Arabic" w:cs="Traditional Arabic"/>
          <w:b/>
          <w:sz w:val="24"/>
          <w:rtl w:val="1"/>
        </w:rPr>
        <w:t>جدول (3): التعريفات المفاهيمية والإجرائية لمصطلحات الدراسة</w:t>
      </w:r>
    </w:p>
    <w:tbl>
      <w:tblPr>
        <w:tblStyle w:val="TableGrid"/>
        <w:tblW w:type="auto" w:w="0"/>
        <w:jc w:val="center"/>
        <w:tblLook w:firstColumn="1" w:firstRow="1" w:lastColumn="0" w:lastRow="0" w:noHBand="0" w:noVBand="1" w:val="04A0"/>
        <w:bidiVisual w:val="1"/>
      </w:tblPr>
      <w:tblGrid>
        <w:gridCol w:w="3024"/>
        <w:gridCol w:w="3024"/>
        <w:gridCol w:w="3024"/>
      </w:tblGrid>
      <w:tr>
        <w:trPr>
          <w:tblHeader w:val="true"/>
        </w:trPr>
        <w:tc>
          <w:tcPr>
            <w:tcW w:type="dxa" w:w="2268"/>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المصطلح</w:t>
            </w:r>
          </w:p>
        </w:tc>
        <w:tc>
          <w:tcPr>
            <w:tcW w:type="dxa" w:w="3402"/>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التعريف المفاهيمي</w:t>
            </w:r>
          </w:p>
        </w:tc>
        <w:tc>
          <w:tcPr>
            <w:tcW w:type="dxa" w:w="3969"/>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التعريف الإجرائي</w:t>
            </w:r>
          </w:p>
        </w:tc>
      </w:tr>
      <w:tr>
        <w:tc>
          <w:tcPr>
            <w:tcW w:type="dxa" w:w="2268"/>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حوكمة المشتريات الحكومية</w:t>
            </w:r>
          </w:p>
        </w:tc>
        <w:tc>
          <w:tcPr>
            <w:tcW w:type="dxa" w:w="3402"/>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مجموعة السياسات والإجراءات والممارسات التي تضبط دورة المشتريات الحكومية بما يضمن الشفافية والمساءلة والامتثال وفصل الصلاحيات وعدالة المنافسة وموضوعية قرارات الترسية.</w:t>
            </w:r>
          </w:p>
        </w:tc>
        <w:tc>
          <w:tcPr>
            <w:tcW w:type="dxa" w:w="39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درجة تطبيق الجهة الحكومية لأبعاد الشفافية، المساءلة، الامتثال، فصل المهام، الرقابة الداخلية، التخطيط، والمشتريات الرقمية كما تقاس باستبانة الدراسة.</w:t>
            </w:r>
          </w:p>
        </w:tc>
      </w:tr>
      <w:tr>
        <w:tc>
          <w:tcPr>
            <w:tcW w:type="dxa" w:w="2268"/>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إدارة مخاطر تعارض المصالح</w:t>
            </w:r>
          </w:p>
        </w:tc>
        <w:tc>
          <w:tcPr>
            <w:tcW w:type="dxa" w:w="3402"/>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الإجراءات التي تتخذها الجهة الحكومية لتحديد حالات التعارض الفعلية أو المحتملة أو المتصورة والإفصاح عنها والحد من آثارها.</w:t>
            </w:r>
          </w:p>
        </w:tc>
        <w:tc>
          <w:tcPr>
            <w:tcW w:type="dxa" w:w="3969"/>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درجة فاعلية الجهة في تطبيق الإفصاح والوقاية والاكتشاف والمعالجة والتوثيق والمساءلة بشأن تعارض المصالح.</w:t>
            </w:r>
          </w:p>
        </w:tc>
      </w:tr>
      <w:tr>
        <w:tc>
          <w:tcPr>
            <w:tcW w:type="dxa" w:w="2268"/>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كفاءة الإنفاق</w:t>
            </w:r>
          </w:p>
        </w:tc>
        <w:tc>
          <w:tcPr>
            <w:tcW w:type="dxa" w:w="3402"/>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تعظيم الأثر مقابل الصرف من خلال الاستخدام الأمثل للموارد ومعالجة الهدر دون التأثير على جودة الخدمة المقدمة.</w:t>
            </w:r>
          </w:p>
        </w:tc>
        <w:tc>
          <w:tcPr>
            <w:tcW w:type="dxa" w:w="3969"/>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درجة تعظيم الجهة للأثر المتحقق من إنفاق المشتريات عبر الكفاءة الفنية، وكفاءة تخصيص الموارد، وخفض الهدر، والقيمة مقابل المال، والمواءمة الاستراتيجية، كما تقاس بأداة الدراسة.</w:t>
            </w:r>
          </w:p>
        </w:tc>
      </w:tr>
      <w:tr>
        <w:tc>
          <w:tcPr>
            <w:tcW w:type="dxa" w:w="2268"/>
            <w:vAlign w:val="center"/>
            <w:textDirection w:val="rlTb"/>
          </w:tcPr>
          <w:p>
            <w:pPr>
              <w:spacing w:lineRule="auto" w:line="240" w:after="0" w:before="0"/>
              <w:jc w:val="right"/>
              <w:bidi w:val="1"/>
            </w:pPr>
            <w:r>
              <w:rPr>
                <w:rFonts w:ascii="Traditional Arabic" w:hAnsi="Traditional Arabic" w:cs="Traditional Arabic" w:eastAsia="Traditional Arabic"/>
                <w:b w:val="0"/>
                <w:i w:val="0"/>
                <w:sz w:val="21"/>
                <w:rtl w:val="1"/>
              </w:rPr>
              <w:t>تعارض المصالح</w:t>
            </w:r>
          </w:p>
        </w:tc>
        <w:tc>
          <w:tcPr>
            <w:tcW w:type="dxa" w:w="3402"/>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حالة تنشأ في أي مرحلة من دورة المشتريات عندما تتعارض مصلحة خاصة فعلية أو محتملة أو متصورة مع واجب الحياد والموضوعية في القرار الحكومي.</w:t>
            </w:r>
          </w:p>
        </w:tc>
        <w:tc>
          <w:tcPr>
            <w:tcW w:type="dxa" w:w="3969"/>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درجة تعرض المشاركين في دورة المشتريات لمصالح قد تؤثر في الحياد، وما يقابلها من إجراءات الإفصاح والوقاية والاكتشاف والمعالجة والتوثيق.</w:t>
            </w:r>
          </w:p>
        </w:tc>
      </w:tr>
    </w:tbl>
    <w:p>
      <w:pPr>
        <w:spacing w:lineRule="auto" w:line="360" w:after="160" w:before="0"/>
        <w:jc w:val="right"/>
        <w:pStyle w:val="Heading1"/>
        <w:bidi w:val="1"/>
      </w:pPr>
      <w:r>
        <w:rPr>
          <w:rFonts w:ascii="Traditional Arabic" w:hAnsi="Traditional Arabic" w:cs="Traditional Arabic" w:eastAsia="Traditional Arabic"/>
          <w:b/>
          <w:i w:val="0"/>
          <w:sz w:val="32"/>
          <w:rtl w:val="1"/>
        </w:rPr>
        <w:t>11. إجراءات الدراسة</w:t>
      </w:r>
    </w:p>
    <w:p>
      <w:pPr>
        <w:spacing w:line="360" w:lineRule="auto" w:after="120"/>
        <w:jc w:val="right"/>
        <w:bidi w:val="1"/>
      </w:pPr>
      <w:r>
        <w:rPr>
          <w:rFonts w:ascii="Traditional Arabic" w:hAnsi="Traditional Arabic" w:eastAsia="Traditional Arabic" w:cs="Traditional Arabic"/>
          <w:sz w:val="24"/>
          <w:rtl w:val="1"/>
        </w:rPr>
        <w:t>1. مراجعة الأدبيات العربية والأجنبية المحكمة والوثائق الرسمية ذات الصلة بحوكمة المشتريات الحكومية، وإدارة مخاطر تعارض المصالح، وكفاءة الإنفاق، والنظريات الداعمة.</w:t>
      </w:r>
    </w:p>
    <w:p>
      <w:pPr>
        <w:spacing w:line="360" w:lineRule="auto" w:after="120"/>
        <w:jc w:val="right"/>
        <w:bidi w:val="1"/>
      </w:pPr>
      <w:r>
        <w:rPr>
          <w:rFonts w:ascii="Traditional Arabic" w:hAnsi="Traditional Arabic" w:eastAsia="Traditional Arabic" w:cs="Traditional Arabic"/>
          <w:sz w:val="24"/>
          <w:rtl w:val="1"/>
        </w:rPr>
        <w:t>2. تحليل نظام المنافسات والمشتريات الحكومية ولائحته التنفيذية، ولائحة تنظيم تعارض المصالح، وتقارير وزارة المالية وهيئة كفاءة الإنفاق والمشروعات الحكومية.</w:t>
      </w:r>
    </w:p>
    <w:p>
      <w:pPr>
        <w:spacing w:line="360" w:lineRule="auto" w:after="120"/>
        <w:jc w:val="right"/>
        <w:bidi w:val="1"/>
      </w:pPr>
      <w:r>
        <w:rPr>
          <w:rFonts w:ascii="Traditional Arabic" w:hAnsi="Traditional Arabic" w:eastAsia="Traditional Arabic" w:cs="Traditional Arabic"/>
          <w:sz w:val="24"/>
          <w:rtl w:val="1"/>
        </w:rPr>
        <w:t>3. بناء النموذج المفاهيمي وتحديد أبعاد المتغيرات ومؤشرات القياس استنادًا إلى الأدبيات والمصادر النظامية والتطبيقية.</w:t>
      </w:r>
    </w:p>
    <w:p>
      <w:pPr>
        <w:spacing w:line="360" w:lineRule="auto" w:after="120"/>
        <w:jc w:val="right"/>
        <w:bidi w:val="1"/>
      </w:pPr>
      <w:r>
        <w:rPr>
          <w:rFonts w:ascii="Traditional Arabic" w:hAnsi="Traditional Arabic" w:eastAsia="Traditional Arabic" w:cs="Traditional Arabic"/>
          <w:sz w:val="24"/>
          <w:rtl w:val="1"/>
        </w:rPr>
        <w:t>4. تصميم استبانة أولية تتكون من قسم للبيانات المؤسسية والديموغرافية، و68 فقرة موضوعية موزعة على 17 بُعدًا، باستخدام مقياس ليكرت الخماسي.</w:t>
      </w:r>
    </w:p>
    <w:p>
      <w:pPr>
        <w:spacing w:line="360" w:lineRule="auto" w:after="120"/>
        <w:jc w:val="right"/>
        <w:bidi w:val="1"/>
      </w:pPr>
      <w:r>
        <w:rPr>
          <w:rFonts w:ascii="Traditional Arabic" w:hAnsi="Traditional Arabic" w:eastAsia="Traditional Arabic" w:cs="Traditional Arabic"/>
          <w:sz w:val="24"/>
          <w:rtl w:val="1"/>
        </w:rPr>
        <w:t>5. عرض الأداة على محكمين أكاديميين ومهنيين للتحقق من الصدق الظاهري والمحتوائي وملاءمة الصياغة للبيئة الحكومية السعودية.</w:t>
      </w:r>
    </w:p>
    <w:p>
      <w:pPr>
        <w:spacing w:line="360" w:lineRule="auto" w:after="120"/>
        <w:jc w:val="right"/>
        <w:bidi w:val="1"/>
      </w:pPr>
      <w:r>
        <w:rPr>
          <w:rFonts w:ascii="Traditional Arabic" w:hAnsi="Traditional Arabic" w:eastAsia="Traditional Arabic" w:cs="Traditional Arabic"/>
          <w:sz w:val="24"/>
          <w:rtl w:val="1"/>
        </w:rPr>
        <w:t>6. تنفيذ دراسة استطلاعية للتحقق من وضوح الفقرات والخصائص السيكومترية الأولية للأداة وإجراء التعديلات اللازمة.</w:t>
      </w:r>
    </w:p>
    <w:p>
      <w:pPr>
        <w:spacing w:line="360" w:lineRule="auto" w:after="120"/>
        <w:jc w:val="right"/>
        <w:bidi w:val="1"/>
      </w:pPr>
      <w:r>
        <w:rPr>
          <w:rFonts w:ascii="Traditional Arabic" w:hAnsi="Traditional Arabic" w:eastAsia="Traditional Arabic" w:cs="Traditional Arabic"/>
          <w:sz w:val="24"/>
          <w:rtl w:val="1"/>
        </w:rPr>
        <w:t>7. الحصول على الموافقات الرسمية، ثم سحب العينة وتوزيع الاستبانة وفق الطبقات المحددة وجمع البيانات الكمية.</w:t>
      </w:r>
    </w:p>
    <w:p>
      <w:pPr>
        <w:spacing w:line="360" w:lineRule="auto" w:after="120"/>
        <w:jc w:val="right"/>
        <w:bidi w:val="1"/>
      </w:pPr>
      <w:r>
        <w:rPr>
          <w:rFonts w:ascii="Traditional Arabic" w:hAnsi="Traditional Arabic" w:eastAsia="Traditional Arabic" w:cs="Traditional Arabic"/>
          <w:sz w:val="24"/>
          <w:rtl w:val="1"/>
        </w:rPr>
        <w:t>8. إجراء ما بين 8 و10 مقابلات تفسيرية معمقة مع قيادات وخبراء مختارين وفق معايير الخبرة والمسؤولية؛ لتفسير النتائج الكمية لا بوصفها منهجًا نوعيًا مستقلًا.</w:t>
      </w:r>
    </w:p>
    <w:p>
      <w:pPr>
        <w:spacing w:line="360" w:lineRule="auto" w:after="120"/>
        <w:jc w:val="right"/>
        <w:bidi w:val="1"/>
      </w:pPr>
      <w:r>
        <w:rPr>
          <w:rFonts w:ascii="Traditional Arabic" w:hAnsi="Traditional Arabic" w:eastAsia="Traditional Arabic" w:cs="Traditional Arabic"/>
          <w:sz w:val="24"/>
          <w:rtl w:val="1"/>
        </w:rPr>
        <w:t>9. تنظيف البيانات واختبار الصدق والثبات وتحيز الطريقة الواحدة، ثم تنفيذ التحليلات الوصفية والاستدلالية واختبار النموذج البنائي والوساطة.</w:t>
      </w:r>
    </w:p>
    <w:p>
      <w:pPr>
        <w:spacing w:line="360" w:lineRule="auto" w:after="120"/>
        <w:jc w:val="right"/>
        <w:bidi w:val="1"/>
      </w:pPr>
      <w:r>
        <w:rPr>
          <w:rFonts w:ascii="Traditional Arabic" w:hAnsi="Traditional Arabic" w:eastAsia="Traditional Arabic" w:cs="Traditional Arabic"/>
          <w:sz w:val="24"/>
          <w:rtl w:val="1"/>
        </w:rPr>
        <w:t>10. تفسير النتائج في ضوء النظريات الداعمة والدراسات السابقة والسياق التنظيمي السعودي، ثم صياغة الاستنتاجات والتوصيات التطبيقية.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12. منهج الدراسة</w:t>
      </w:r>
    </w:p>
    <w:p>
      <w:pPr>
        <w:spacing w:line="360" w:lineRule="auto" w:after="120"/>
        <w:jc w:val="right"/>
        <w:bidi w:val="1"/>
      </w:pPr>
      <w:r>
        <w:rPr>
          <w:rFonts w:ascii="Traditional Arabic" w:hAnsi="Traditional Arabic" w:eastAsia="Traditional Arabic" w:cs="Traditional Arabic"/>
          <w:sz w:val="24"/>
          <w:rtl w:val="1"/>
        </w:rPr>
        <w:t>تعتمد الدراسة المنهج الوصفي التحليلي بأسلوب كمي، مع مراجعة وثائقية ومقابلات تفسيرية محدودة داعمة. ويتيح هذا المنهج قياس مستويات المتغيرات، واختبار الفروق والعلاقات السببية المفترضة في نموذج الدراسة، مع المحافظة على قابلية تعميم النتائج ضمن حدود المجتمع والعينة.</w:t>
      </w:r>
    </w:p>
    <w:p>
      <w:pPr>
        <w:spacing w:line="360" w:lineRule="auto" w:after="120"/>
        <w:jc w:val="right"/>
        <w:bidi w:val="1"/>
      </w:pPr>
      <w:r>
        <w:rPr>
          <w:rFonts w:ascii="Traditional Arabic" w:hAnsi="Traditional Arabic" w:eastAsia="Traditional Arabic" w:cs="Traditional Arabic"/>
          <w:sz w:val="24"/>
          <w:rtl w:val="1"/>
        </w:rPr>
        <w:t>تُستخدم نمذجة المعادلات الهيكلية (SEM) لأن النموذج يضم متغيرات كامنة متعددة الأبعاد، وعلاقات مباشرة وغير مباشرة، ومتغيرًا وسيطًا، ومتغيرات رقابية؛ ولأنها تتيح اختبار نموذج القياس والنموذج البنائي ككل بدل الاكتفاء باختبار العلاقات الثنائية منفصلة. ويُتحقق أولًا من ملاءمة نموذج القياس والصدق التقاربي والتمييزي، ثم تُختبر المسارات البنيوية والوساطة.</w:t>
      </w:r>
    </w:p>
    <w:p>
      <w:pPr>
        <w:spacing w:line="360" w:lineRule="auto" w:after="120"/>
        <w:jc w:val="right"/>
        <w:bidi w:val="1"/>
      </w:pPr>
      <w:r>
        <w:rPr>
          <w:rFonts w:ascii="Traditional Arabic" w:hAnsi="Traditional Arabic" w:eastAsia="Traditional Arabic" w:cs="Traditional Arabic"/>
          <w:sz w:val="24"/>
          <w:rtl w:val="1"/>
        </w:rPr>
        <w:t>يُستخدم برنامج SPSS لتنظيف البيانات، والإحصاء الوصفي، واختبارات الفروق، والارتباط، والانحدار الأولي، بينما يُستخدم AMOS لإجراء التحليل العاملي التوكيدي ونمذجة المعادلات الهيكلية القائمة على التغاير عندما تتحقق افتراضاتها. ويمكن استخدام SmartPLS كتحليل متانة أو بديل تنبؤي إذا أظهرت البيانات انحرافًا جوهريًا عن التوزيع الطبيعي أو تعذر تحقيق متطلبات النموذج القائم على التغاير.</w:t>
      </w:r>
    </w:p>
    <w:p>
      <w:pPr>
        <w:spacing w:lineRule="auto" w:line="360" w:after="160" w:before="0"/>
        <w:jc w:val="right"/>
        <w:pStyle w:val="Heading1"/>
        <w:bidi w:val="1"/>
      </w:pPr>
      <w:r>
        <w:rPr>
          <w:rFonts w:ascii="Traditional Arabic" w:hAnsi="Traditional Arabic" w:cs="Traditional Arabic" w:eastAsia="Traditional Arabic"/>
          <w:b/>
          <w:i w:val="0"/>
          <w:sz w:val="32"/>
          <w:rtl w:val="1"/>
        </w:rPr>
        <w:t>13. مجتمع وعينة الدراسة</w:t>
      </w:r>
    </w:p>
    <w:p>
      <w:pPr>
        <w:pStyle w:val="Heading2"/>
        <w:jc w:val="right"/>
        <w:bidi w:val="1"/>
      </w:pPr>
      <w:r>
        <w:rPr>
          <w:rFonts w:ascii="Traditional Arabic" w:hAnsi="Traditional Arabic" w:eastAsia="Traditional Arabic" w:cs="Traditional Arabic"/>
          <w:sz w:val="28"/>
          <w:rtl w:val="1"/>
        </w:rPr>
        <w:t>13.1 مجتمع الدراسة</w:t>
      </w:r>
    </w:p>
    <w:p>
      <w:pPr>
        <w:spacing w:line="360" w:lineRule="auto" w:after="120"/>
        <w:jc w:val="right"/>
        <w:bidi w:val="1"/>
      </w:pPr>
      <w:r>
        <w:rPr>
          <w:rFonts w:ascii="Traditional Arabic" w:hAnsi="Traditional Arabic" w:eastAsia="Traditional Arabic" w:cs="Traditional Arabic"/>
          <w:sz w:val="24"/>
          <w:rtl w:val="1"/>
        </w:rPr>
        <w:t>يتكون مجتمع الدراسة من العاملين والمختصين في إدارات المشتريات والعقود، وأعضاء لجان فتح العروض وفحصها، ومديري العقود والمشاريع، ومختصي الحوكمة والامتثال والمراجعة الداخلية وكفاءة الإنفاق في الوزارات والهيئات والمؤسسات العامة بالمملكة العربية السعودية، ممن يملكون خبرة فعلية في دورة المشتريات الحكومية.</w:t>
      </w:r>
    </w:p>
    <w:p>
      <w:pPr>
        <w:pStyle w:val="Heading2"/>
        <w:jc w:val="right"/>
        <w:bidi w:val="1"/>
      </w:pPr>
      <w:r>
        <w:rPr>
          <w:rFonts w:ascii="Traditional Arabic" w:hAnsi="Traditional Arabic" w:eastAsia="Traditional Arabic" w:cs="Traditional Arabic"/>
          <w:sz w:val="28"/>
          <w:rtl w:val="1"/>
        </w:rPr>
        <w:t>13.2 تصميم العينة وأساس التقسيم الطبقي</w:t>
      </w:r>
    </w:p>
    <w:p>
      <w:pPr>
        <w:spacing w:line="360" w:lineRule="auto" w:after="120"/>
        <w:jc w:val="right"/>
        <w:bidi w:val="1"/>
      </w:pPr>
      <w:r>
        <w:rPr>
          <w:rFonts w:ascii="Traditional Arabic" w:hAnsi="Traditional Arabic" w:eastAsia="Traditional Arabic" w:cs="Traditional Arabic"/>
          <w:sz w:val="24"/>
          <w:rtl w:val="1"/>
        </w:rPr>
        <w:t>تستخدم الدراسة عينة طبقية متعددة المراحل. تُقسم الجهات أولًا بحسب النوع (وزارات، هيئات، مؤسسات عامة) والحجم (كبيرة، متوسطة، صغيرة)، ثم تُراعى المستويات الوظيفية والأدوار في دورة المشتريات داخل كل طبقة. وبعد تحديد الإطار المتاح للمشاركين في كل طبقة، يتم الاختيار العشوائي البسيط أو المنهجي داخل الطبقة قدر الإمكان، مع توزيع الحصص تناسبيًا للحد من تحيز الاختيار.</w:t>
      </w:r>
    </w:p>
    <w:p>
      <w:pPr>
        <w:spacing w:line="360" w:lineRule="auto" w:after="120"/>
        <w:jc w:val="right"/>
        <w:bidi w:val="1"/>
      </w:pPr>
      <w:r>
        <w:rPr>
          <w:rFonts w:ascii="Traditional Arabic" w:hAnsi="Traditional Arabic" w:eastAsia="Traditional Arabic" w:cs="Traditional Arabic"/>
          <w:b/>
          <w:sz w:val="24"/>
          <w:rtl w:val="1"/>
        </w:rPr>
        <w:t>جدول (4): تصميم العينة ومعايير الشمول والاستبعاد</w:t>
      </w:r>
    </w:p>
    <w:tbl>
      <w:tblPr>
        <w:tblStyle w:val="TableGrid"/>
        <w:tblW w:type="auto" w:w="0"/>
        <w:jc w:val="center"/>
        <w:tblLook w:firstColumn="1" w:firstRow="1" w:lastColumn="0" w:lastRow="0" w:noHBand="0" w:noVBand="1" w:val="04A0"/>
      </w:tblPr>
      <w:tblGrid>
        <w:gridCol w:w="4536"/>
        <w:gridCol w:w="4536"/>
      </w:tblGrid>
      <w:tr>
        <w:trPr>
          <w:tblHeader w:val="true"/>
        </w:trP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البند</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التفصيل</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أساس التقسيم الطبقي</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نوع الجهة، حجم الجهة، المستوى الوظيفي، والدور في دورة المشتريات.</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إجراء الاختيار داخل الطبقات</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اختيار عشوائي بسيط أو منهجي من القوائم المتاحة، مع توزيع تناسبي للحصص وإجراء متابعة موحدة لغير المستجيبين.</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معايير الشمول</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خبرة لا تقل عن سنة في أحد أدوار المشتريات أو العقود أو اللجان أو الحوكمة أو المراجعة أو كفاءة الإنفاق، ومشاركة فعلية في دورة المشتريات.</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معايير الاستبعاد</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المتدربون ومن لا يملكون دورًا مباشرًا في دورة المشتريات، والاستجابات المكررة أو غير المكتملة بما يتجاوز الحد المعتمد.</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الحد الأدنى للعينة الصالحة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384 استجابة صالحة عند مستوى ثقة 95% وهامش خطأ 5% وفق معادلة كوجران للمجتمعات الكبيرة.</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العدد المستهدف للتوزيع</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نحو 450 استبانة لتعويض عدم الاستجابة والاستبانات غير الصالحة، مع تطبيق تصحيح المجتمع المحدود إذا توافر حجم المجتمع بدقة.</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المقابلات التفسيرية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من 8 إلى 10 قيادات أو خبراء يُختارون قصديًا وفق الخبرة والتنوع المؤسسي؛ لتفسير النتائج الكمية فقط.</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الموافقات</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الحصول على موافقة الجامعة والجهات الحكومية المعنية، وتقديم معلومات واضحة عن السرية والطوعية وعدم جمع بيانات تعريفية غير لازمة.</w:t>
            </w:r>
          </w:p>
        </w:tc>
      </w:tr>
    </w:tbl>
    <w:p>
      <w:pPr>
        <w:pStyle w:val="Heading2"/>
        <w:jc w:val="right"/>
        <w:bidi w:val="1"/>
      </w:pPr>
      <w:r>
        <w:rPr>
          <w:rFonts w:ascii="Traditional Arabic" w:hAnsi="Traditional Arabic" w:eastAsia="Traditional Arabic" w:cs="Traditional Arabic"/>
          <w:sz w:val="28"/>
          <w:rtl w:val="1"/>
        </w:rPr>
        <w:t>13.3 تحديد حجم العينة</w:t>
      </w:r>
    </w:p>
    <w:p>
      <w:pPr>
        <w:spacing w:line="360" w:lineRule="auto" w:after="80"/>
        <w:jc w:val="right"/>
        <w:bidi w:val="1"/>
      </w:pPr>
      <w:r>
        <w:rPr>
          <w:rFonts w:ascii="Traditional Arabic" w:hAnsi="Traditional Arabic" w:cs="Traditional Arabic"/>
          <w:b w:val="0"/>
          <w:sz w:val="24"/>
          <w:rtl w:val="1"/>
        </w:rPr>
        <w:t>يُحدد الحد الأدنى لحجم العينة باستخدام معادلة كوجران للمجتمعات الكبيرة:</w:t>
      </w:r>
    </w:p>
    <w:p>
      <w:pPr>
        <w:spacing w:line="360" w:lineRule="auto" w:after="120"/>
        <w:jc w:val="center"/>
      </w:pPr>
      <w:r>
        <w:rPr>
          <w:rFonts w:ascii="Times New Roman" w:hAnsi="Times New Roman" w:cs="Times New Roman"/>
          <w:b/>
          <w:sz w:val="24"/>
        </w:rPr>
        <w:t>n₀ = Z² p(1 − p) / e²</w:t>
      </w:r>
    </w:p>
    <w:p>
      <w:pPr>
        <w:spacing w:line="360" w:lineRule="auto" w:after="120"/>
        <w:jc w:val="right"/>
        <w:bidi w:val="1"/>
      </w:pPr>
      <w:r>
        <w:rPr>
          <w:rFonts w:ascii="Traditional Arabic" w:hAnsi="Traditional Arabic" w:cs="Traditional Arabic"/>
          <w:b w:val="0"/>
          <w:sz w:val="24"/>
          <w:rtl w:val="1"/>
        </w:rPr>
        <w:t>وعند مستوى ثقة 95% (Z = 1.96)، ونسبة مفترضة p = 0.50، وهامش خطأ e = 0.05، يبلغ الحد الأدنى التقريبي 384 استجابة صالحة.</w:t>
      </w:r>
    </w:p>
    <w:p>
      <w:pPr>
        <w:spacing w:line="360" w:lineRule="auto" w:after="120"/>
        <w:jc w:val="right"/>
        <w:bidi w:val="1"/>
      </w:pPr>
      <w:r>
        <w:rPr>
          <w:rFonts w:ascii="Traditional Arabic" w:hAnsi="Traditional Arabic" w:cs="Traditional Arabic"/>
          <w:b w:val="0"/>
          <w:sz w:val="24"/>
          <w:rtl w:val="1"/>
        </w:rPr>
        <w:t>وإذا توافر الحجم الدقيق للمجتمع، يُطبَّق تصحيح المجتمع المحدود:</w:t>
      </w:r>
    </w:p>
    <w:p>
      <w:pPr>
        <w:spacing w:line="360" w:lineRule="auto" w:after="120"/>
        <w:jc w:val="center"/>
      </w:pPr>
      <w:r>
        <w:rPr>
          <w:rFonts w:ascii="Times New Roman" w:hAnsi="Times New Roman" w:cs="Times New Roman"/>
          <w:b/>
          <w:sz w:val="24"/>
        </w:rPr>
        <w:t>n = n₀ / [1 + (n₀ − 1) / N]</w:t>
      </w:r>
    </w:p>
    <w:p>
      <w:pPr>
        <w:spacing w:line="360" w:lineRule="auto" w:after="120"/>
        <w:jc w:val="right"/>
        <w:bidi w:val="1"/>
      </w:pPr>
      <w:r>
        <w:rPr>
          <w:rFonts w:ascii="Traditional Arabic" w:hAnsi="Traditional Arabic" w:cs="Traditional Arabic"/>
          <w:b w:val="0"/>
          <w:sz w:val="24"/>
          <w:rtl w:val="1"/>
        </w:rPr>
        <w:t>ويستهدف توزيع نحو 450 استبانة لضمان بلوغ الحد الأدنى من الاستجابات الصالحة بعد الاستبعاد.</w:t>
      </w:r>
    </w:p>
    <w:p>
      <w:pPr>
        <w:pStyle w:val="Heading2"/>
        <w:jc w:val="right"/>
        <w:bidi w:val="1"/>
      </w:pPr>
      <w:r>
        <w:rPr>
          <w:rFonts w:ascii="Traditional Arabic" w:hAnsi="Traditional Arabic" w:eastAsia="Traditional Arabic" w:cs="Traditional Arabic"/>
          <w:sz w:val="28"/>
          <w:rtl w:val="1"/>
        </w:rPr>
        <w:t>13.4 جودة البيانات والتحيزات المحتملة</w:t>
      </w:r>
    </w:p>
    <w:p>
      <w:pPr>
        <w:spacing w:line="360" w:lineRule="auto" w:after="120"/>
        <w:jc w:val="right"/>
        <w:bidi w:val="1"/>
      </w:pPr>
      <w:r>
        <w:rPr>
          <w:rFonts w:ascii="Traditional Arabic" w:hAnsi="Traditional Arabic" w:eastAsia="Traditional Arabic" w:cs="Traditional Arabic"/>
          <w:sz w:val="24"/>
          <w:rtl w:val="1"/>
        </w:rPr>
        <w:t>• تُستبعد الاستبانات التي تقل نسبة الإجابة فيها عن 80% من الفقرات، ويُنظر في تعويض القيم المفقودة البسيطة التي لا تتجاوز 5% وفق نمط الفقد وخصائص البيانات، مع تجنب التعويض بالمتوسط إذا كان من شأنه خفض التباين أو التأثير في النموذج.</w:t>
      </w:r>
    </w:p>
    <w:p>
      <w:pPr>
        <w:spacing w:line="360" w:lineRule="auto" w:after="120"/>
        <w:jc w:val="right"/>
        <w:bidi w:val="1"/>
      </w:pPr>
      <w:r>
        <w:rPr>
          <w:rFonts w:ascii="Traditional Arabic" w:hAnsi="Traditional Arabic" w:eastAsia="Traditional Arabic" w:cs="Traditional Arabic"/>
          <w:sz w:val="24"/>
          <w:rtl w:val="1"/>
        </w:rPr>
        <w:t>• يُحد من تحيز الطريقة الواحدة إجرائيًا من خلال ضمان السرية، والفصل بين محاور الأداة، وتنويع صياغة الفقرات، وتوضيح عدم وجود إجابات صحيحة أو خاطئة. ويُفحص إحصائيًا باستخدام اختبار Harman للعامل الواحد ومؤشرات إضافية عند الحاجة.</w:t>
      </w:r>
    </w:p>
    <w:p>
      <w:pPr>
        <w:spacing w:line="360" w:lineRule="auto" w:after="120"/>
        <w:jc w:val="right"/>
        <w:bidi w:val="1"/>
      </w:pPr>
      <w:r>
        <w:rPr>
          <w:rFonts w:ascii="Traditional Arabic" w:hAnsi="Traditional Arabic" w:eastAsia="Traditional Arabic" w:cs="Traditional Arabic"/>
          <w:sz w:val="24"/>
          <w:rtl w:val="1"/>
        </w:rPr>
        <w:t>• تُفحص الاستجابات المكررة، والقيم الشاذة أحادية ومتعددة المتغيرات، والتوزيع الطبيعي، والخطية، والتعدد الخطي، والبيانات الناقصة قبل اختبار نموذج القياس والنموذج البنائي.</w:t>
      </w:r>
    </w:p>
    <w:p>
      <w:pPr>
        <w:pStyle w:val="Heading2"/>
        <w:jc w:val="right"/>
        <w:bidi w:val="1"/>
      </w:pPr>
      <w:r>
        <w:rPr>
          <w:rFonts w:ascii="Traditional Arabic" w:hAnsi="Traditional Arabic" w:eastAsia="Traditional Arabic" w:cs="Traditional Arabic"/>
          <w:sz w:val="28"/>
          <w:rtl w:val="1"/>
        </w:rPr>
        <w:t>13.5 المقابلات التفسيرية</w:t>
      </w:r>
    </w:p>
    <w:p>
      <w:pPr>
        <w:spacing w:line="360" w:lineRule="auto" w:after="120"/>
        <w:jc w:val="right"/>
        <w:bidi w:val="1"/>
      </w:pPr>
      <w:r>
        <w:rPr>
          <w:rFonts w:ascii="Traditional Arabic" w:hAnsi="Traditional Arabic" w:eastAsia="Traditional Arabic" w:cs="Traditional Arabic"/>
          <w:sz w:val="24"/>
          <w:rtl w:val="1"/>
        </w:rPr>
        <w:t>تُجرى من 8 إلى 10 مقابلات شبه منظمة بعد ظهور النتائج الكمية مع قيادات أو خبراء ممن لديهم خبرة لا تقل عن خمس سنوات وتنوع في نوع الجهة والدور الوظيفي. وتستخدم المقابلات لتفسير النتائج غير المتوقعة والفروق بين الجهات والمسارات الأقوى أو الأضعف، ولا تعامل بوصفها منهجًا نوعيًا مستقلًا.</w:t>
      </w:r>
    </w:p>
    <w:p>
      <w:pPr>
        <w:pStyle w:val="Heading2"/>
        <w:jc w:val="right"/>
        <w:bidi w:val="1"/>
      </w:pPr>
      <w:r>
        <w:rPr>
          <w:rFonts w:ascii="Traditional Arabic" w:hAnsi="Traditional Arabic" w:eastAsia="Traditional Arabic" w:cs="Traditional Arabic"/>
          <w:sz w:val="28"/>
          <w:rtl w:val="1"/>
        </w:rPr>
        <w:t>13.6 مواءمة أسئلة الدراسة وأهدافها وفرضياتها</w:t>
      </w:r>
    </w:p>
    <w:p>
      <w:pPr>
        <w:spacing w:line="360" w:lineRule="auto" w:after="120"/>
        <w:jc w:val="right"/>
        <w:bidi w:val="1"/>
      </w:pPr>
      <w:r>
        <w:rPr>
          <w:rFonts w:ascii="Traditional Arabic" w:hAnsi="Traditional Arabic" w:eastAsia="Traditional Arabic" w:cs="Traditional Arabic"/>
          <w:b/>
          <w:sz w:val="24"/>
          <w:rtl w:val="1"/>
        </w:rPr>
        <w:t>جدول (5): مواءمة أسئلة الدراسة وأهدافها وفرضياتها والاختبارات الإحصائية</w:t>
      </w:r>
    </w:p>
    <w:tbl>
      <w:tblPr>
        <w:tblStyle w:val="TableGrid"/>
        <w:tblW w:type="auto" w:w="0"/>
        <w:jc w:val="center"/>
        <w:tblLook w:firstColumn="1" w:firstRow="1" w:lastColumn="0" w:lastRow="0" w:noHBand="0" w:noVBand="1" w:val="04A0"/>
      </w:tblPr>
      <w:tblGrid>
        <w:gridCol w:w="2268"/>
        <w:gridCol w:w="2268"/>
        <w:gridCol w:w="2268"/>
        <w:gridCol w:w="2268"/>
      </w:tblGrid>
      <w:tr>
        <w:trPr>
          <w:tblHeader w:val="true"/>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السؤال</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الهدف المقابل</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الفرضية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الاختبار الإحصائي المقترح</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الأسئلة 1-3: مستويات المتغيرات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1</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لا تتطلب فرضية سببية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المتوسطات، الانحرافات المعيارية، فترات الثقة، وترتيب الأبعاد</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السؤال 4: أثر أبعاد الحوكمة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الأهداف 2 و3</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H1 بفروعها وH2 بفروعها</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الانحدار المتعدد/المسارات البنيوية في SEM</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السؤال 5: أثر أبعاد إدارة المخاطر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4</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H3 بفروعها</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الانحدار المتعدد/المسارات البنيوية في SEM</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السؤال 6: الدور الوسيط</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5</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H4</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Bootstrap بعدد 5,000 سحبة واختبار الأثر غير المباشر</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السؤال 7: الفروق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6</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H5</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اختبار t أو ANOVA/MANOVA والمقارنات البعدية</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السؤال 8: الإسهام النسبي لأبعاد الوسيط</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5</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H2/H3/H4</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تحليل المسارات غير المباشرة المحددة ومقارنة معاملات الأثر</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النموذج التنبؤي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الهدف 7</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H6</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انحدار هرمي وSEM مع إدراج المتغيرات الرقابية</w:t>
            </w:r>
          </w:p>
        </w:tc>
      </w:tr>
    </w:tbl>
    <w:p>
      <w:pPr>
        <w:spacing w:lineRule="auto" w:line="360" w:after="160" w:before="0"/>
        <w:jc w:val="right"/>
        <w:pStyle w:val="Heading1"/>
        <w:bidi w:val="1"/>
      </w:pPr>
      <w:r>
        <w:rPr>
          <w:rFonts w:ascii="Traditional Arabic" w:hAnsi="Traditional Arabic" w:cs="Traditional Arabic" w:eastAsia="Traditional Arabic"/>
          <w:b/>
          <w:i w:val="0"/>
          <w:sz w:val="32"/>
          <w:rtl w:val="1"/>
        </w:rPr>
        <w:t>14. الدراسات المرجعية والفجوات البحثية</w:t>
      </w:r>
    </w:p>
    <w:p>
      <w:pPr>
        <w:spacing w:line="360" w:lineRule="auto" w:after="120"/>
        <w:jc w:val="right"/>
        <w:bidi w:val="1"/>
      </w:pPr>
      <w:r>
        <w:rPr>
          <w:rFonts w:ascii="Traditional Arabic" w:hAnsi="Traditional Arabic" w:eastAsia="Traditional Arabic" w:cs="Traditional Arabic"/>
          <w:sz w:val="24"/>
          <w:rtl w:val="1"/>
        </w:rPr>
        <w:t>رُتبت الدراسات حسب متغيرات الدراسة: حوكمة المشتريات الحكومية، ثم إدارة مخاطر تعارض المصالح، ثم كفاءة الإنفاق. وأُعطيت الأولوية للدراسات المحكمة الحديثة، مع فصل التقارير والوثائق الرسمية بوصفها مصادر سياقية وتنظيمية داعمة لا بدائل عن الأدلة الأكاديمية المحكمة.</w:t>
      </w:r>
    </w:p>
    <w:p>
      <w:pPr>
        <w:pStyle w:val="Heading2"/>
        <w:jc w:val="right"/>
        <w:bidi w:val="1"/>
      </w:pPr>
      <w:r>
        <w:rPr>
          <w:rFonts w:ascii="Traditional Arabic" w:hAnsi="Traditional Arabic" w:eastAsia="Traditional Arabic" w:cs="Traditional Arabic"/>
          <w:sz w:val="28"/>
          <w:rtl w:val="1"/>
        </w:rPr>
        <w:t>14.1 دراسات مرتبطة بحوكمة المشتريات الحكومية</w:t>
      </w:r>
    </w:p>
    <w:p>
      <w:pPr>
        <w:spacing w:line="360" w:lineRule="auto" w:after="120"/>
        <w:jc w:val="right"/>
        <w:bidi w:val="1"/>
      </w:pPr>
      <w:r>
        <w:rPr>
          <w:rFonts w:ascii="Traditional Arabic" w:hAnsi="Traditional Arabic" w:eastAsia="Traditional Arabic" w:cs="Traditional Arabic"/>
          <w:sz w:val="24"/>
          <w:rtl w:val="1"/>
        </w:rPr>
        <w:t>دراسة Khorana, Caram, and Rana (2024) بعنوان Measuring Public Procurement Transparency with an Index. هدفت إلى تطوير مؤشر لشفافية المشتريات العامة وقياس أثر نظم المشتريات الإلكترونية في إتاحة المعلومات والمساءلة. استخدمت بيانات مقارنة بين الدول وبناء مؤشر مركب. وأظهرت النتائج تفاوت الشفافية بين الأنظمة، وأن البنية الرقمية تحسن الإفصاح عندما تقترن بقواعد مؤسسية واضحة. تستفيد الدراسة الحالية منها في تأصيل بعدي الشفافية والمشتريات الرقمية، بينما تختلف عنها في اختبار أثر الحوكمة في كفاءة الإنفاق داخل جهة عامة.</w:t>
      </w:r>
    </w:p>
    <w:p>
      <w:pPr>
        <w:spacing w:line="360" w:lineRule="auto" w:after="120"/>
        <w:jc w:val="right"/>
        <w:bidi w:val="1"/>
      </w:pPr>
      <w:r>
        <w:rPr>
          <w:rFonts w:ascii="Traditional Arabic" w:hAnsi="Traditional Arabic" w:eastAsia="Traditional Arabic" w:cs="Traditional Arabic"/>
          <w:sz w:val="24"/>
          <w:rtl w:val="1"/>
        </w:rPr>
        <w:t>دراسة Yanuarisa et al. (2025) بعنوان Exploring the Internal Audit of Public Procurement: A Phenomenological Study of Local Government. هدفت إلى تفسير دور المراجعة الداخلية في تعزيز حوكمة المشتريات والنزاهة والكفاءة. اعتمدت منهجًا نوعيًا في حكومات محلية، وخلصت إلى أن فاعلية المراجعة ترتبط باستقلاليتها وكفاءة المراجعين ومتابعة التوصيات، وأن ضعف الرقابة يسمح باستمرار مخاطر الاحتيال وعدم الكفاءة. تدعم هذه النتائج بعد الرقابة الداخلية في النموذج المقترح.</w:t>
      </w:r>
    </w:p>
    <w:p>
      <w:pPr>
        <w:spacing w:line="360" w:lineRule="auto" w:after="120"/>
        <w:jc w:val="right"/>
        <w:bidi w:val="1"/>
      </w:pPr>
      <w:r>
        <w:rPr>
          <w:rFonts w:ascii="Traditional Arabic" w:hAnsi="Traditional Arabic" w:eastAsia="Traditional Arabic" w:cs="Traditional Arabic"/>
          <w:sz w:val="24"/>
          <w:rtl w:val="1"/>
        </w:rPr>
        <w:t>دراسة Matas et al. (2025) بعنوان Can We Have Both? The Challenges of Efficiency Outcomes in a Public Procurement System and Reaching the Strategic Goals of Procurement. هدفت إلى تحليل التوازن بين كفاءة التكلفة والأهداف الاستراتيجية للمشتريات. وأظهرت أن الشفافية والمنافسة المفتوحة وتصميم الإجراء تؤثر في النتائج، وأن السعي إلى أهداف متعددة قد يخلق مفاضلات إذا لم تدعمها قدرات مؤسسية ومقاييس أداء مناسبة. وتفيد الدراسة الحالية في ربط الحوكمة بالقيمة مقابل المال والمواءمة الاستراتيجية.</w:t>
      </w:r>
    </w:p>
    <w:p>
      <w:pPr>
        <w:spacing w:line="360" w:lineRule="auto" w:after="120"/>
        <w:jc w:val="right"/>
        <w:bidi w:val="1"/>
      </w:pPr>
      <w:r>
        <w:rPr>
          <w:rFonts w:ascii="Traditional Arabic" w:hAnsi="Traditional Arabic" w:eastAsia="Traditional Arabic" w:cs="Traditional Arabic"/>
          <w:sz w:val="24"/>
          <w:rtl w:val="1"/>
        </w:rPr>
        <w:t>دراسة Hänninen, Immonen, and Hallikas (2026) بعنوان Sectoral Differences in Public Procurement Maturity: Findings from the Finnish Public Procurement Maturity Model. هدفت إلى مقارنة أهمية ونضج قدرات المشتريات بين وحدات حكومية وبلديات وجهات عامة أخرى. استخدمت استبانة نموذج نضج على 184 استجابة وتحليل التباين. وأظهرت فروقًا قطاعية في الأولويات والنضج، مع فجوة مستمرة بين أهمية بعض القدرات ودرجة ترسخها في الممارسة. تدعم هذه الدراسة إدراج نوع الجهة متغيرًا رقابيًا واختبار الفروق بين الجهات.</w:t>
      </w:r>
    </w:p>
    <w:p>
      <w:pPr>
        <w:spacing w:line="360" w:lineRule="auto" w:after="120"/>
        <w:jc w:val="right"/>
        <w:bidi w:val="1"/>
      </w:pPr>
      <w:r>
        <w:rPr>
          <w:rFonts w:ascii="Traditional Arabic" w:hAnsi="Traditional Arabic" w:eastAsia="Traditional Arabic" w:cs="Traditional Arabic"/>
          <w:sz w:val="24"/>
          <w:rtl w:val="1"/>
        </w:rPr>
        <w:t>دراسة Gaeta and Malandrino (2026) بعنوان Transparency or Access? E-Procurement’s Two Paths to Integrity: Evidence from Italy. هدفت إلى اختبار مسارات تأثير المشتريات الإلكترونية في النزاهة عبر الإفصاح وتوسيع الوصول والمنافسة. وأظهرت أن أثر الرقمنة يتغير بحسب نوع الإجراء ودرجة المنافسة، وأن الإتاحة الرقمية وحدها لا تكفي من دون تصميم مؤسسي يدعم التتبع والاعتراض. وتدعم الدراسة الحالية عدم التعامل مع المشتريات الرقمية كغاية مستقلة، بل كبعد حوكمة.</w:t>
      </w:r>
    </w:p>
    <w:p>
      <w:pPr>
        <w:pStyle w:val="Heading2"/>
        <w:jc w:val="right"/>
        <w:bidi w:val="1"/>
      </w:pPr>
      <w:r>
        <w:rPr>
          <w:rFonts w:ascii="Traditional Arabic" w:hAnsi="Traditional Arabic" w:eastAsia="Traditional Arabic" w:cs="Traditional Arabic"/>
          <w:sz w:val="28"/>
          <w:rtl w:val="1"/>
        </w:rPr>
        <w:t>14.2 دراسات مرتبطة بإدارة مخاطر تعارض المصالح والنزاهة</w:t>
      </w:r>
    </w:p>
    <w:p>
      <w:pPr>
        <w:spacing w:line="360" w:lineRule="auto" w:after="120"/>
        <w:jc w:val="right"/>
        <w:bidi w:val="1"/>
      </w:pPr>
      <w:r>
        <w:rPr>
          <w:rFonts w:ascii="Traditional Arabic" w:hAnsi="Traditional Arabic" w:eastAsia="Traditional Arabic" w:cs="Traditional Arabic"/>
          <w:sz w:val="24"/>
          <w:rtl w:val="1"/>
        </w:rPr>
        <w:t>دراسة الفراج (2023) بعنوان تعارض المصالح في نظام المنافسات والمشتريات الحكومية السعودي وجزاء الإخلال به. هدفت إلى تحليل التنظيم النظامي لتعارض المصالح والجزاءات المترتبة على الإخلال به. واعتمدت التحليل القانوني للنصوص، وخلصت إلى أن التنظيم السعودي يستهدف الوقاية من الفساد وشبهة الفساد وحماية المال العام، مع أهمية الإفصاح والمعالجة. وتفيد الدراسة الحالية في التأصيل النظامي، لكنها تتجاوز التحليل القانوني إلى قياس إدارة الخطر بوصفها متغيرًا إداريًا وسيطًا.</w:t>
      </w:r>
    </w:p>
    <w:p>
      <w:pPr>
        <w:spacing w:line="360" w:lineRule="auto" w:after="120"/>
        <w:jc w:val="right"/>
        <w:bidi w:val="1"/>
      </w:pPr>
      <w:r>
        <w:rPr>
          <w:rFonts w:ascii="Traditional Arabic" w:hAnsi="Traditional Arabic" w:eastAsia="Traditional Arabic" w:cs="Traditional Arabic"/>
          <w:sz w:val="24"/>
          <w:rtl w:val="1"/>
        </w:rPr>
        <w:t>دراسة Iossa and Latour (2025) بعنوان Firms’ Legality and Efficiency: Evidence from Public Procurement. هدفت إلى اختبار العلاقة بين سلامة السلوك النظامي للمتعاقدين وكفاءة النتائج في المشتريات العامة. وأظهرت أن مؤشرات الالتزام والنزاهة ترتبط بجودة الاختيار والنتائج الاقتصادية، بما يؤكد أن سلامة الأطراف ليست منفصلة عن الكفاءة. تدعم الدراسة منطق انتقال أثر الحوكمة إلى كفاءة الإنفاق عبر إدارة المخاطر والنزاهة.</w:t>
      </w:r>
    </w:p>
    <w:p>
      <w:pPr>
        <w:spacing w:line="360" w:lineRule="auto" w:after="120"/>
        <w:jc w:val="right"/>
        <w:bidi w:val="1"/>
      </w:pPr>
      <w:r>
        <w:rPr>
          <w:rFonts w:ascii="Traditional Arabic" w:hAnsi="Traditional Arabic" w:eastAsia="Traditional Arabic" w:cs="Traditional Arabic"/>
          <w:sz w:val="24"/>
          <w:rtl w:val="1"/>
        </w:rPr>
        <w:t>دراسة Gaeta and Malandrino (2026) تقدم كذلك دليلًا حديثًا على أن الشفافية والمنافسة الرقمية يمكن أن تعززا اكتشاف المخالفات وتحدا من الاعتماد على قنوات المعلومات الشخصية، إلا أن الأثر يظل مشروطًا بالتصميم الإجرائي. وهذا يساند أبعاد الوقاية والاكتشاف والتوثيق في المتغير الوسيط.</w:t>
      </w:r>
    </w:p>
    <w:p>
      <w:pPr>
        <w:pStyle w:val="Heading2"/>
        <w:jc w:val="right"/>
        <w:bidi w:val="1"/>
      </w:pPr>
      <w:r>
        <w:rPr>
          <w:rFonts w:ascii="Traditional Arabic" w:hAnsi="Traditional Arabic" w:eastAsia="Traditional Arabic" w:cs="Traditional Arabic"/>
          <w:sz w:val="28"/>
          <w:rtl w:val="1"/>
        </w:rPr>
        <w:t>14.3 دراسات مرتبطة بكفاءة الإنفاق وأداء المشتريات</w:t>
      </w:r>
    </w:p>
    <w:p>
      <w:pPr>
        <w:spacing w:line="360" w:lineRule="auto" w:after="120"/>
        <w:jc w:val="right"/>
        <w:bidi w:val="1"/>
      </w:pPr>
      <w:r>
        <w:rPr>
          <w:rFonts w:ascii="Traditional Arabic" w:hAnsi="Traditional Arabic" w:eastAsia="Traditional Arabic" w:cs="Traditional Arabic"/>
          <w:sz w:val="24"/>
          <w:rtl w:val="1"/>
        </w:rPr>
        <w:t>دراسة الخريجي (2021) بعنوان قياس كفاءة الإنفاق الحكومي في المملكة العربية السعودية: دراسة مقارنة بمجموعة الدول العشرين. هدفت إلى قياس الأداء والكفاءة النسبية للإنفاق باستخدام تحليل مغلف البيانات. وأظهرت تفاوتًا بين القطاعات ووجود فجوات كفاءة كبيرة في بعض مجالات الإنفاق. تمثل الدراسة مرجعًا سعوديًا مهمًا لقياس الكفاءة، لكنها تعمل على مستوى كلي ولا تختبر ممارسات حوكمة المشتريات أو الآليات الوسيطة.</w:t>
      </w:r>
    </w:p>
    <w:p>
      <w:pPr>
        <w:spacing w:line="360" w:lineRule="auto" w:after="120"/>
        <w:jc w:val="right"/>
        <w:bidi w:val="1"/>
      </w:pPr>
      <w:r>
        <w:rPr>
          <w:rFonts w:ascii="Traditional Arabic" w:hAnsi="Traditional Arabic" w:eastAsia="Traditional Arabic" w:cs="Traditional Arabic"/>
          <w:sz w:val="24"/>
          <w:rtl w:val="1"/>
        </w:rPr>
        <w:t>دراسة الغامدي (2023) بعنوان ضمانات تحقيق كفاءة الإنفاق في العقود الحكومية والرقابة عليها في النظام السعودي. هدفت إلى بيان ضمانات الكفاءة في مراحل العقد الحكومي وأدوار الجهات الرقابية. وخلصت إلى أن كفاءة الإنفاق لا تعني خفض الموارد فقط، بل الاستخدام الأمثل لها، وأن تكامل الإجراءات والرقابة والتأهيل المهني ضروري لتحقيقها. تدعم الدراسة العلاقة النظرية بين الحوكمة وكفاءة الإنفاق، لكنها غير ميدانية.</w:t>
      </w:r>
    </w:p>
    <w:p>
      <w:pPr>
        <w:spacing w:line="360" w:lineRule="auto" w:after="120"/>
        <w:jc w:val="right"/>
        <w:bidi w:val="1"/>
      </w:pPr>
      <w:r>
        <w:rPr>
          <w:rFonts w:ascii="Traditional Arabic" w:hAnsi="Traditional Arabic" w:eastAsia="Traditional Arabic" w:cs="Traditional Arabic"/>
          <w:sz w:val="24"/>
          <w:rtl w:val="1"/>
        </w:rPr>
        <w:t>دراسة Boykin et al. (2025) بعنوان Advancing the Practice of Public Procurement Performance Measurement: A Framework for Conceptualizing Efficiency and Effectiveness. هدفت إلى تطوير إطار يميز بين كفاءة عمليات المشتريات وفاعلية نتائجها. وقدمت تصورًا متعدد المستويات لقياس الأداء يتجاوز الوفورات السعرية إلى الوقت والجودة والأهداف العامة. وتفيد الدراسة الحالية في بناء أبعاد المتغير التابع ومؤشرات القيمة مقابل المال.</w:t>
      </w:r>
    </w:p>
    <w:p>
      <w:pPr>
        <w:spacing w:line="360" w:lineRule="auto" w:after="120"/>
        <w:jc w:val="right"/>
        <w:bidi w:val="1"/>
      </w:pPr>
      <w:r>
        <w:rPr>
          <w:rFonts w:ascii="Traditional Arabic" w:hAnsi="Traditional Arabic" w:eastAsia="Traditional Arabic" w:cs="Traditional Arabic"/>
          <w:sz w:val="24"/>
          <w:rtl w:val="1"/>
        </w:rPr>
        <w:t>دراسة Kundu, James, and Rigby (2025) بعنوان Impacts of Policy-Driven Public Procurement: A Methodological Review. راجعت الأدلة التجريبية ومناهج قياس أثر المشتريات العامة، وخلصت إلى تشتت المقاييس وصعوبة إسناد الأثر والحاجة إلى نماذج أكثر وضوحًا تربط الآليات التنظيمية بالنتائج. تدعم هذه النتيجة بناء نموذج سببي يتضمن متغيرًا وسيطًا بدل الاقتصار على الارتباط المباشر.</w:t>
      </w:r>
    </w:p>
    <w:p>
      <w:pPr>
        <w:spacing w:line="360" w:lineRule="auto" w:after="120"/>
        <w:jc w:val="right"/>
        <w:bidi w:val="1"/>
      </w:pPr>
      <w:r>
        <w:rPr>
          <w:rFonts w:ascii="Traditional Arabic" w:hAnsi="Traditional Arabic" w:eastAsia="Traditional Arabic" w:cs="Traditional Arabic"/>
          <w:sz w:val="24"/>
          <w:rtl w:val="1"/>
        </w:rPr>
        <w:t>دراسة Rodionova et al. (2026) بعنوان Public Procurement Efficiency and Enforcement. هدفت إلى فحص دور مؤسسات الإنفاذ في كفاءة المشتريات العامة في اقتصادين انتقاليين. وأظهرت أن قوة الإنفاذ والالتزام المؤسسي ترتبط بنتائج أكثر كفاءة، مع اختلاف التأثير بحسب البيئة التنظيمية. وتدعم الدراسة الربط بين الامتثال والرقابة وكفاءة الإنفاق.</w:t>
      </w:r>
    </w:p>
    <w:p>
      <w:pPr>
        <w:pStyle w:val="Heading2"/>
        <w:jc w:val="right"/>
        <w:bidi w:val="1"/>
      </w:pPr>
      <w:r>
        <w:rPr>
          <w:rFonts w:ascii="Traditional Arabic" w:hAnsi="Traditional Arabic" w:eastAsia="Traditional Arabic" w:cs="Traditional Arabic"/>
          <w:sz w:val="28"/>
          <w:rtl w:val="1"/>
        </w:rPr>
        <w:t>14.4 الوثائق والتقارير الرسمية الداعمة</w:t>
      </w:r>
    </w:p>
    <w:p>
      <w:pPr>
        <w:spacing w:line="360" w:lineRule="auto" w:after="120"/>
        <w:jc w:val="right"/>
        <w:bidi w:val="1"/>
      </w:pPr>
      <w:r>
        <w:rPr>
          <w:rFonts w:ascii="Traditional Arabic" w:hAnsi="Traditional Arabic" w:eastAsia="Traditional Arabic" w:cs="Traditional Arabic"/>
          <w:sz w:val="24"/>
          <w:rtl w:val="1"/>
        </w:rPr>
        <w:t>تُستخدم ورقة هيئة كفاءة الإنفاق والمشروعات الحكومية (2025) لتأصيل المفهوم السعودي لكفاءة الإنفاق وتمييز الكفاءة الفنية عن كفاءة تخصيص الموارد، كما تُستخدم وثائق وزارة المالية ونظام المنافسات والمشتريات ولائحة تعارض المصالح لتحديد السياق النظامي، ويُستفاد من إطار OECD (2023) لقياس أداء المشتريات وإرشادات البنك الدولي (2020) لتحديد وإدارة تعارض المصالح. وتُعامل هذه المصادر بوصفها وثائق رسمية داعمة، لا دراسات محكمة.</w:t>
      </w:r>
    </w:p>
    <w:p>
      <w:pPr>
        <w:spacing w:line="360" w:lineRule="auto" w:after="120"/>
        <w:jc w:val="right"/>
        <w:bidi w:val="1"/>
      </w:pPr>
      <w:r>
        <w:rPr>
          <w:rFonts w:ascii="Traditional Arabic" w:hAnsi="Traditional Arabic" w:eastAsia="Traditional Arabic" w:cs="Traditional Arabic"/>
          <w:b/>
          <w:sz w:val="24"/>
          <w:rtl w:val="1"/>
        </w:rPr>
        <w:t>جدول (6): خلاصة الدراسات المرجعية وعلاقتها بمتغيرات الدراسة</w:t>
      </w:r>
    </w:p>
    <w:tbl>
      <w:tblPr>
        <w:tblStyle w:val="TableGrid"/>
        <w:tblW w:type="auto" w:w="0"/>
        <w:jc w:val="center"/>
        <w:tblLook w:firstColumn="1" w:firstRow="1" w:lastColumn="0" w:lastRow="0" w:noHBand="0" w:noVBand="1" w:val="04A0"/>
      </w:tblPr>
      <w:tblGrid>
        <w:gridCol w:w="3024"/>
        <w:gridCol w:w="3024"/>
        <w:gridCol w:w="3024"/>
      </w:tblGrid>
      <w:tr>
        <w:trPr>
          <w:tblHeader w:val="true"/>
          <w:tblHeader w:val="true"/>
          <w:cantSplit/>
        </w:trP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المتغير</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الدراسات المحكمة الرئيسة</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الإسهام في الدراسة الحالية</w:t>
            </w:r>
          </w:p>
        </w:tc>
      </w:tr>
      <w:tr>
        <w:trPr>
          <w:cantSplit/>
        </w:trP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w:t>
            </w:r>
          </w:p>
        </w:tc>
        <w:tc>
          <w:tcPr>
            <w:tcW w:type="dxa" w:w="3024"/>
            <w:vAlign w:val="center"/>
            <w:textDirection w:val="rlTb"/>
          </w:tcPr>
          <w:p>
            <w:pPr>
              <w:spacing w:after="0" w:line="240" w:lineRule="auto"/>
              <w:jc w:val="left"/>
            </w:pPr>
            <w:r>
              <w:rPr>
                <w:rFonts w:ascii="Times New Roman" w:hAnsi="Times New Roman" w:cs="Times New Roman"/>
                <w:b w:val="0"/>
                <w:sz w:val="18"/>
              </w:rPr>
              <w:t>Khorana et al. (2024)</w:t>
            </w:r>
          </w:p>
          <w:p>
            <w:pPr>
              <w:spacing w:after="0" w:line="240" w:lineRule="auto"/>
              <w:jc w:val="left"/>
            </w:pPr>
            <w:r>
              <w:rPr>
                <w:rFonts w:ascii="Times New Roman" w:hAnsi="Times New Roman" w:cs="Times New Roman"/>
                <w:b w:val="0"/>
                <w:sz w:val="18"/>
              </w:rPr>
              <w:t>Yanuarisa et al. (2025)</w:t>
            </w:r>
          </w:p>
          <w:p>
            <w:pPr>
              <w:spacing w:after="0" w:line="240" w:lineRule="auto"/>
              <w:jc w:val="left"/>
            </w:pPr>
            <w:r>
              <w:rPr>
                <w:rFonts w:ascii="Times New Roman" w:hAnsi="Times New Roman" w:cs="Times New Roman"/>
                <w:b w:val="0"/>
                <w:sz w:val="18"/>
              </w:rPr>
              <w:t>Matas et al. (2025)</w:t>
            </w:r>
          </w:p>
          <w:p>
            <w:pPr>
              <w:spacing w:after="0" w:line="240" w:lineRule="auto"/>
              <w:jc w:val="left"/>
            </w:pPr>
            <w:r>
              <w:rPr>
                <w:rFonts w:ascii="Times New Roman" w:hAnsi="Times New Roman" w:cs="Times New Roman"/>
                <w:b w:val="0"/>
                <w:sz w:val="18"/>
              </w:rPr>
              <w:t>Hänninen et al. (2026)</w:t>
            </w:r>
          </w:p>
          <w:p>
            <w:pPr>
              <w:spacing w:after="0" w:line="240" w:lineRule="auto"/>
              <w:jc w:val="left"/>
            </w:pPr>
            <w:r>
              <w:rPr>
                <w:rFonts w:ascii="Times New Roman" w:hAnsi="Times New Roman" w:cs="Times New Roman"/>
                <w:b w:val="0"/>
                <w:sz w:val="18"/>
              </w:rPr>
              <w:t>Gaeta et al. (2026)</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تحديد أبعاد الشفافية والرقابة والرقمنة والنضج وتبرير الفروق بين أنواع الجهات.</w:t>
            </w:r>
          </w:p>
        </w:tc>
      </w:tr>
      <w:tr>
        <w:trPr>
          <w:cantSplit/>
        </w:trP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3024"/>
            <w:vAlign w:val="center"/>
            <w:textDirection w:val="rlTb"/>
          </w:tcPr>
          <w:p>
            <w:pPr>
              <w:spacing w:after="0" w:line="240" w:lineRule="auto"/>
              <w:jc w:val="right"/>
              <w:bidi w:val="1"/>
            </w:pPr>
            <w:r>
              <w:rPr>
                <w:rFonts w:ascii="Traditional Arabic" w:hAnsi="Traditional Arabic" w:cs="Traditional Arabic"/>
                <w:b w:val="0"/>
                <w:sz w:val="18"/>
                <w:rtl w:val="1"/>
              </w:rPr>
              <w:t>الفراج (2023)</w:t>
            </w:r>
          </w:p>
          <w:p>
            <w:pPr>
              <w:spacing w:after="0" w:line="240" w:lineRule="auto"/>
              <w:jc w:val="left"/>
            </w:pPr>
            <w:r>
              <w:rPr>
                <w:rFonts w:ascii="Times New Roman" w:hAnsi="Times New Roman" w:cs="Times New Roman"/>
                <w:b w:val="0"/>
                <w:sz w:val="18"/>
              </w:rPr>
              <w:t>Iossa &amp; Latour (2025)</w:t>
            </w:r>
          </w:p>
          <w:p>
            <w:pPr>
              <w:spacing w:after="0" w:line="240" w:lineRule="auto"/>
              <w:jc w:val="left"/>
            </w:pPr>
            <w:r>
              <w:rPr>
                <w:rFonts w:ascii="Times New Roman" w:hAnsi="Times New Roman" w:cs="Times New Roman"/>
                <w:b w:val="0"/>
                <w:sz w:val="18"/>
              </w:rPr>
              <w:t>Gaeta et al. (2026)</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تأصيل الإفصاح والوقاية والاكتشاف والمعالجة والتوثيق، وربط النزاهة بالكفاءة.</w:t>
            </w:r>
          </w:p>
        </w:tc>
      </w:tr>
      <w:tr>
        <w:trPr>
          <w:cantSplit/>
        </w:trPr>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3024"/>
            <w:vAlign w:val="center"/>
            <w:textDirection w:val="rlTb"/>
          </w:tcPr>
          <w:p>
            <w:pPr>
              <w:spacing w:after="0" w:line="240" w:lineRule="auto"/>
              <w:jc w:val="right"/>
              <w:bidi w:val="1"/>
            </w:pPr>
            <w:r>
              <w:rPr>
                <w:rFonts w:ascii="Traditional Arabic" w:hAnsi="Traditional Arabic" w:cs="Traditional Arabic"/>
                <w:b w:val="0"/>
                <w:sz w:val="18"/>
                <w:rtl w:val="1"/>
              </w:rPr>
              <w:t>الخريجي (2021)</w:t>
            </w:r>
          </w:p>
          <w:p>
            <w:pPr>
              <w:spacing w:after="0" w:line="240" w:lineRule="auto"/>
              <w:jc w:val="right"/>
              <w:bidi w:val="1"/>
            </w:pPr>
            <w:r>
              <w:rPr>
                <w:rFonts w:ascii="Traditional Arabic" w:hAnsi="Traditional Arabic" w:cs="Traditional Arabic"/>
                <w:b w:val="0"/>
                <w:sz w:val="18"/>
                <w:rtl w:val="1"/>
              </w:rPr>
              <w:t>الغامدي (2023)</w:t>
            </w:r>
          </w:p>
          <w:p>
            <w:pPr>
              <w:spacing w:after="0" w:line="240" w:lineRule="auto"/>
              <w:jc w:val="left"/>
            </w:pPr>
            <w:r>
              <w:rPr>
                <w:rFonts w:ascii="Times New Roman" w:hAnsi="Times New Roman" w:cs="Times New Roman"/>
                <w:b w:val="0"/>
                <w:sz w:val="18"/>
              </w:rPr>
              <w:t>Boykin et al. (2025)</w:t>
            </w:r>
          </w:p>
          <w:p>
            <w:pPr>
              <w:spacing w:after="0" w:line="240" w:lineRule="auto"/>
              <w:jc w:val="left"/>
            </w:pPr>
            <w:r>
              <w:rPr>
                <w:rFonts w:ascii="Times New Roman" w:hAnsi="Times New Roman" w:cs="Times New Roman"/>
                <w:b w:val="0"/>
                <w:sz w:val="18"/>
              </w:rPr>
              <w:t>Kundu et al. (2025)</w:t>
            </w:r>
          </w:p>
          <w:p>
            <w:pPr>
              <w:spacing w:after="0" w:line="240" w:lineRule="auto"/>
              <w:jc w:val="left"/>
            </w:pPr>
            <w:r>
              <w:rPr>
                <w:rFonts w:ascii="Times New Roman" w:hAnsi="Times New Roman" w:cs="Times New Roman"/>
                <w:b w:val="0"/>
                <w:sz w:val="18"/>
              </w:rPr>
              <w:t>Rodionova et al. (2026)</w:t>
            </w:r>
          </w:p>
        </w:tc>
        <w:tc>
          <w:tcPr>
            <w:tcW w:type="dxa" w:w="3024"/>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بناء مفهوم متعدد الأبعاد للكفاءة يضم القيمة والنتائج والمواءمة والإنفاذ.</w:t>
            </w:r>
          </w:p>
        </w:tc>
      </w:tr>
    </w:tbl>
    <w:p>
      <w:pPr>
        <w:pStyle w:val="Heading2"/>
        <w:jc w:val="right"/>
        <w:bidi w:val="1"/>
      </w:pPr>
      <w:r>
        <w:rPr>
          <w:rFonts w:ascii="Traditional Arabic" w:hAnsi="Traditional Arabic" w:eastAsia="Traditional Arabic" w:cs="Traditional Arabic"/>
          <w:sz w:val="28"/>
          <w:rtl w:val="1"/>
        </w:rPr>
        <w:t>14.5 الفجوات البحثية</w:t>
      </w:r>
    </w:p>
    <w:p>
      <w:pPr>
        <w:spacing w:line="360" w:lineRule="auto" w:after="120"/>
        <w:jc w:val="right"/>
        <w:bidi w:val="1"/>
      </w:pPr>
      <w:r>
        <w:rPr>
          <w:rFonts w:ascii="Traditional Arabic" w:hAnsi="Traditional Arabic" w:eastAsia="Traditional Arabic" w:cs="Traditional Arabic"/>
          <w:sz w:val="24"/>
          <w:rtl w:val="1"/>
        </w:rPr>
        <w:t>• الفجوة الأولى - الفجوة السياقية والميدانية: أظهرت الدراسات السعودية المتاحة، مثل الخريجي (2021) والغـامدي (2023) والفراج (2023)، تركيزًا على القياس الكلي أو التحليل النظامي، بينما لم تختبر ميدانيًا نموذجًا إداريًا يجمع حوكمة المشتريات وكفاءة الإنفاق داخل أنواع متعددة من الجهات الحكومية السعودية.</w:t>
      </w:r>
    </w:p>
    <w:p>
      <w:pPr>
        <w:spacing w:line="360" w:lineRule="auto" w:after="120"/>
        <w:jc w:val="right"/>
        <w:bidi w:val="1"/>
      </w:pPr>
      <w:r>
        <w:rPr>
          <w:rFonts w:ascii="Traditional Arabic" w:hAnsi="Traditional Arabic" w:eastAsia="Traditional Arabic" w:cs="Traditional Arabic"/>
          <w:sz w:val="24"/>
          <w:rtl w:val="1"/>
        </w:rPr>
        <w:t>• الفجوة الثانية - الفجوة التفسيرية: ركزت دراسات الحوكمة والشفافية، مثل Khorana et al. (2024) وYanuarisa et al. (2025) وGaeta and Malandrino (2026)، على آثار مباشرة أو آليات رقابية منفردة؛ ولم تختبر إدارة مخاطر تعارض المصالح كآلية وسيطة تفسر انتقال أثر الحوكمة إلى كفاءة الإنفاق.</w:t>
      </w:r>
    </w:p>
    <w:p>
      <w:pPr>
        <w:spacing w:line="360" w:lineRule="auto" w:after="120"/>
        <w:jc w:val="right"/>
        <w:bidi w:val="1"/>
      </w:pPr>
      <w:r>
        <w:rPr>
          <w:rFonts w:ascii="Traditional Arabic" w:hAnsi="Traditional Arabic" w:eastAsia="Traditional Arabic" w:cs="Traditional Arabic"/>
          <w:sz w:val="24"/>
          <w:rtl w:val="1"/>
        </w:rPr>
        <w:t>• الفجوة الثالثة - فجوة بناء المتغير: تناولت دراسة الفراج (2023) تعارض المصالح من منظور قانوني، بينما تناولت Iossa and Latour (2025) النزاهة والالتزام في علاقتها بالنتائج. ولا تزال الحاجة قائمة إلى بناء مقياس إداري متعدد الأبعاد لإدارة مخاطر تعارض المصالح يشمل الإفصاح والوقاية والاكتشاف والمعالجة والتوثيق والمساءلة.</w:t>
      </w:r>
    </w:p>
    <w:p>
      <w:pPr>
        <w:spacing w:line="360" w:lineRule="auto" w:after="120"/>
        <w:jc w:val="right"/>
        <w:bidi w:val="1"/>
      </w:pPr>
      <w:r>
        <w:rPr>
          <w:rFonts w:ascii="Traditional Arabic" w:hAnsi="Traditional Arabic" w:eastAsia="Traditional Arabic" w:cs="Traditional Arabic"/>
          <w:sz w:val="24"/>
          <w:rtl w:val="1"/>
        </w:rPr>
        <w:t>• الفجوة الرابعة - فجوة القياس المحلي المتكامل: توضح الخريجي (2021) وBoykin et al. (2025) وKundu et al. (2025) تحديات قياس الكفاءة وتعدد مستوياتها، إلا أن الأدبيات لم تختبر كفاءة إنفاق المشتريات وفق التصور السعودي الرسمي الذي يجمع الكفاءة الفنية، وكفاءة تخصيص الموارد، وخفض الهدر، والقيمة مقابل المال، والمواءمة الاستراتيجية ضمن نموذج بنائي واحد.</w:t>
      </w:r>
    </w:p>
    <w:p>
      <w:pPr>
        <w:spacing w:lineRule="auto" w:line="360" w:after="160" w:before="0"/>
        <w:jc w:val="right"/>
        <w:pStyle w:val="Heading1"/>
        <w:bidi w:val="1"/>
      </w:pPr>
      <w:r>
        <w:rPr>
          <w:rFonts w:ascii="Traditional Arabic" w:hAnsi="Traditional Arabic" w:cs="Traditional Arabic" w:eastAsia="Traditional Arabic"/>
          <w:b/>
          <w:i w:val="0"/>
          <w:sz w:val="32"/>
          <w:rtl w:val="1"/>
        </w:rPr>
        <w:t>15. حدود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الموضوعية: تقتصر الدراسة على أثر ممارسات حوكمة المشتريات الحكومية في كفاءة الإنفاق، مع اختبار الدور الوسيط لإدارة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المكانية: تطبق الدراسة على الجهات الحكومية في المملكة العربية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الزمانية: تطبق الدراسة خلال العام الأكاديمي الذي يتم فيه اعتماد الخطة وجمع البيانات.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البشرية: تقتصر الدراسة على المختصين والعاملين في المشتريات والعقود الحكومية واللجان ذات العلاقة ومختصي الحوكمة والامتثال وكفاءة الإنفاق.</w:t>
      </w:r>
    </w:p>
    <w:p>
      <w:pPr>
        <w:spacing w:lineRule="auto" w:line="360" w:after="160" w:before="0"/>
        <w:jc w:val="right"/>
        <w:pStyle w:val="Heading1"/>
        <w:bidi w:val="1"/>
      </w:pPr>
      <w:r>
        <w:rPr>
          <w:rFonts w:ascii="Traditional Arabic" w:hAnsi="Traditional Arabic" w:cs="Traditional Arabic" w:eastAsia="Traditional Arabic"/>
          <w:b/>
          <w:i w:val="0"/>
          <w:sz w:val="32"/>
          <w:rtl w:val="1"/>
        </w:rPr>
        <w:t>16. وسائل جمع بيانات الدراسة</w:t>
      </w:r>
    </w:p>
    <w:p>
      <w:pPr>
        <w:pStyle w:val="Heading2"/>
        <w:jc w:val="right"/>
        <w:bidi w:val="1"/>
      </w:pPr>
      <w:r>
        <w:rPr>
          <w:rFonts w:ascii="Traditional Arabic" w:hAnsi="Traditional Arabic" w:eastAsia="Traditional Arabic" w:cs="Traditional Arabic"/>
          <w:sz w:val="28"/>
          <w:rtl w:val="1"/>
        </w:rPr>
        <w:t>16.1 أدوات جمع البيانات</w:t>
      </w:r>
    </w:p>
    <w:p>
      <w:pPr>
        <w:spacing w:line="360" w:lineRule="auto" w:after="120"/>
        <w:jc w:val="right"/>
        <w:bidi w:val="1"/>
      </w:pPr>
      <w:r>
        <w:rPr>
          <w:rFonts w:ascii="Traditional Arabic" w:hAnsi="Traditional Arabic" w:eastAsia="Traditional Arabic" w:cs="Traditional Arabic"/>
          <w:sz w:val="24"/>
          <w:rtl w:val="1"/>
        </w:rPr>
        <w:t>تعتمد الدراسة على الاستبانة أداةً رئيسة للبيانات الكمية، والمراجعة الوثائقية لفهم السياق النظامي والمؤسسي، ومقابلات تفسيرية محدودة بعد التحليل الكمي، إضافة إلى التحكيم العلمي والمهني للأداة. وتتضمن الاستبانة قسمًا للبيانات المؤسسية والديموغرافية، وثلاثة محاور موضوعية تغطي 17 بُعدًا بواقع أربع فقرات لكل بُعد، بإجمالي 68 فقرة موضوعية.</w:t>
      </w:r>
    </w:p>
    <w:p>
      <w:pPr>
        <w:pStyle w:val="Heading2"/>
        <w:jc w:val="right"/>
        <w:bidi w:val="1"/>
      </w:pPr>
      <w:r>
        <w:rPr>
          <w:rFonts w:ascii="Traditional Arabic" w:hAnsi="Traditional Arabic" w:eastAsia="Traditional Arabic" w:cs="Traditional Arabic"/>
          <w:sz w:val="28"/>
          <w:rtl w:val="1"/>
        </w:rPr>
        <w:t>16.2 مقياس الاستجابة</w:t>
      </w:r>
    </w:p>
    <w:p>
      <w:pPr>
        <w:spacing w:line="360" w:lineRule="auto" w:after="120"/>
        <w:jc w:val="right"/>
        <w:bidi w:val="1"/>
      </w:pPr>
      <w:r>
        <w:rPr>
          <w:rFonts w:ascii="Traditional Arabic" w:hAnsi="Traditional Arabic" w:eastAsia="Traditional Arabic" w:cs="Traditional Arabic"/>
          <w:sz w:val="24"/>
          <w:rtl w:val="1"/>
        </w:rPr>
        <w:t>يُستخدم مقياس ليكرت الخماسي: (1) لا أوافق بشدة، (2) لا أوافق، (3) محايد، (4) أوافق، (5) أوافق بشدة. وقد اختير لأنه يحقق توازنًا بين سهولة الإجابة والقدرة على التمييز بين الاتجاهات، ويناسب العينة المهنية وتطبيقات نمذجة المعادلات الهيكلية، مع تقليل العبء المعرفي مقارنة بالمقاييس الأطول.</w:t>
      </w:r>
    </w:p>
    <w:p>
      <w:pPr>
        <w:pStyle w:val="Heading2"/>
        <w:jc w:val="right"/>
        <w:bidi w:val="1"/>
      </w:pPr>
      <w:r>
        <w:rPr>
          <w:rFonts w:ascii="Traditional Arabic" w:hAnsi="Traditional Arabic" w:eastAsia="Traditional Arabic" w:cs="Traditional Arabic"/>
          <w:sz w:val="28"/>
          <w:rtl w:val="1"/>
        </w:rPr>
        <w:t>16.3 البناء الأولي للاستبانة</w:t>
      </w:r>
    </w:p>
    <w:p>
      <w:pPr>
        <w:spacing w:line="360" w:lineRule="auto" w:after="120"/>
        <w:jc w:val="right"/>
        <w:bidi w:val="1"/>
      </w:pPr>
      <w:r>
        <w:rPr>
          <w:rFonts w:ascii="Traditional Arabic" w:hAnsi="Traditional Arabic" w:eastAsia="Traditional Arabic" w:cs="Traditional Arabic"/>
          <w:b/>
          <w:sz w:val="24"/>
          <w:rtl w:val="1"/>
        </w:rPr>
        <w:t>جدول (7): محاور الاستبانة وأبعادها وعدد فقراتها ومصادر بنائها</w:t>
      </w:r>
    </w:p>
    <w:tbl>
      <w:tblPr>
        <w:tblStyle w:val="TableGrid"/>
        <w:tblW w:type="auto" w:w="0"/>
        <w:jc w:val="center"/>
        <w:tblLook w:firstColumn="1" w:firstRow="1" w:lastColumn="0" w:lastRow="0" w:noHBand="0" w:noVBand="1" w:val="04A0"/>
      </w:tblPr>
      <w:tblGrid>
        <w:gridCol w:w="2268"/>
        <w:gridCol w:w="2268"/>
        <w:gridCol w:w="2268"/>
        <w:gridCol w:w="2268"/>
      </w:tblGrid>
      <w:tr>
        <w:trPr>
          <w:tblHeader w:val="true"/>
          <w:tblHeader w:val="true"/>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المحور/المتغير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البُعد</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عدد الفقرات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مصادر بناء المقياس</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الشفافية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Khorana et al. (2024)</w:t>
            </w:r>
          </w:p>
          <w:p>
            <w:pPr>
              <w:spacing w:after="0" w:line="240" w:lineRule="auto"/>
              <w:jc w:val="left"/>
            </w:pPr>
            <w:r>
              <w:rPr>
                <w:rFonts w:ascii="Times New Roman" w:hAnsi="Times New Roman" w:cs="Times New Roman"/>
                <w:b w:val="0"/>
                <w:sz w:val="17"/>
              </w:rPr>
              <w:t>OECD (2023)</w:t>
            </w:r>
          </w:p>
          <w:p>
            <w:pPr>
              <w:spacing w:after="0" w:line="240" w:lineRule="auto"/>
              <w:jc w:val="right"/>
              <w:bidi w:val="1"/>
            </w:pPr>
            <w:r>
              <w:rPr>
                <w:rFonts w:ascii="Traditional Arabic" w:hAnsi="Traditional Arabic" w:cs="Traditional Arabic"/>
                <w:b w:val="0"/>
                <w:sz w:val="17"/>
                <w:rtl w:val="1"/>
              </w:rPr>
              <w:t>نظام المنافسات والمشتريات الحكومية</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المساءلة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OECD (2023)</w:t>
            </w:r>
          </w:p>
          <w:p>
            <w:pPr>
              <w:spacing w:after="0" w:line="240" w:lineRule="auto"/>
              <w:jc w:val="left"/>
            </w:pPr>
            <w:r>
              <w:rPr>
                <w:rFonts w:ascii="Times New Roman" w:hAnsi="Times New Roman" w:cs="Times New Roman"/>
                <w:b w:val="0"/>
                <w:sz w:val="17"/>
              </w:rPr>
              <w:t>Yanuarisa et al. (2025)</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الامتثال النظامي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نظام المنافسات والمشتريات الحكومية</w:t>
            </w:r>
          </w:p>
          <w:p>
            <w:pPr>
              <w:spacing w:after="0" w:line="240" w:lineRule="auto"/>
              <w:jc w:val="left"/>
            </w:pPr>
            <w:r>
              <w:rPr>
                <w:rFonts w:ascii="Times New Roman" w:hAnsi="Times New Roman" w:cs="Times New Roman"/>
                <w:b w:val="0"/>
                <w:sz w:val="17"/>
              </w:rPr>
              <w:t>Rodionova et al. (2026)</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فصل المهام والصلاحيات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OECD (2023)</w:t>
            </w:r>
          </w:p>
          <w:p>
            <w:pPr>
              <w:spacing w:after="0" w:line="240" w:lineRule="auto"/>
              <w:jc w:val="right"/>
              <w:bidi w:val="1"/>
            </w:pPr>
            <w:r>
              <w:rPr>
                <w:rFonts w:ascii="Traditional Arabic" w:hAnsi="Traditional Arabic" w:cs="Traditional Arabic"/>
                <w:b w:val="0"/>
                <w:sz w:val="17"/>
                <w:rtl w:val="1"/>
              </w:rPr>
              <w:t>إرشادات الرقابة الداخلية والحوكمة</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الرقابة الداخلية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Yanuarisa et al. (2025)</w:t>
            </w:r>
          </w:p>
          <w:p>
            <w:pPr>
              <w:spacing w:after="0" w:line="240" w:lineRule="auto"/>
              <w:jc w:val="left"/>
            </w:pPr>
            <w:r>
              <w:rPr>
                <w:rFonts w:ascii="Times New Roman" w:hAnsi="Times New Roman" w:cs="Times New Roman"/>
                <w:b w:val="0"/>
                <w:sz w:val="17"/>
              </w:rPr>
              <w:t>OECD (2023)</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التخطيط والإعداد للمشتريات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Hänninen et al. (2026)</w:t>
            </w:r>
          </w:p>
          <w:p>
            <w:pPr>
              <w:spacing w:after="0" w:line="240" w:lineRule="auto"/>
              <w:jc w:val="right"/>
              <w:bidi w:val="1"/>
            </w:pPr>
            <w:r>
              <w:rPr>
                <w:rFonts w:ascii="Traditional Arabic" w:hAnsi="Traditional Arabic" w:cs="Traditional Arabic"/>
                <w:b w:val="0"/>
                <w:sz w:val="17"/>
                <w:rtl w:val="1"/>
              </w:rPr>
              <w:t>هيئة كفاءة الإنفاق (2025)</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حوكمة المشتريات الحكومية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نضج المشتريات الرقمية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Khorana et al. (2024)</w:t>
            </w:r>
          </w:p>
          <w:p>
            <w:pPr>
              <w:spacing w:after="0" w:line="240" w:lineRule="auto"/>
              <w:jc w:val="left"/>
            </w:pPr>
            <w:r>
              <w:rPr>
                <w:rFonts w:ascii="Times New Roman" w:hAnsi="Times New Roman" w:cs="Times New Roman"/>
                <w:b w:val="0"/>
                <w:sz w:val="17"/>
              </w:rPr>
              <w:t>Gaeta et al. (2026)</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الإفصاح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لائحة تعارض المصالح</w:t>
            </w:r>
          </w:p>
          <w:p>
            <w:pPr>
              <w:spacing w:after="0" w:line="240" w:lineRule="auto"/>
              <w:jc w:val="left"/>
            </w:pPr>
            <w:r>
              <w:rPr>
                <w:rFonts w:ascii="Times New Roman" w:hAnsi="Times New Roman" w:cs="Times New Roman"/>
                <w:b w:val="0"/>
                <w:sz w:val="17"/>
              </w:rPr>
              <w:t>World Bank (2020)</w:t>
            </w:r>
          </w:p>
          <w:p>
            <w:pPr>
              <w:spacing w:after="0" w:line="240" w:lineRule="auto"/>
              <w:jc w:val="right"/>
              <w:bidi w:val="1"/>
            </w:pPr>
            <w:r>
              <w:rPr>
                <w:rFonts w:ascii="Traditional Arabic" w:hAnsi="Traditional Arabic" w:cs="Traditional Arabic"/>
                <w:b w:val="0"/>
                <w:sz w:val="17"/>
                <w:rtl w:val="1"/>
              </w:rPr>
              <w:t>الفراج (2023)</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الوقاية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OECD (2005)</w:t>
            </w:r>
          </w:p>
          <w:p>
            <w:pPr>
              <w:spacing w:after="0" w:line="240" w:lineRule="auto"/>
              <w:jc w:val="left"/>
            </w:pPr>
            <w:r>
              <w:rPr>
                <w:rFonts w:ascii="Times New Roman" w:hAnsi="Times New Roman" w:cs="Times New Roman"/>
                <w:b w:val="0"/>
                <w:sz w:val="17"/>
              </w:rPr>
              <w:t>World Bank (2020)</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الاكتشاف</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OECD (2005)</w:t>
            </w:r>
          </w:p>
          <w:p>
            <w:pPr>
              <w:spacing w:after="0" w:line="240" w:lineRule="auto"/>
              <w:jc w:val="left"/>
            </w:pPr>
            <w:r>
              <w:rPr>
                <w:rFonts w:ascii="Times New Roman" w:hAnsi="Times New Roman" w:cs="Times New Roman"/>
                <w:b w:val="0"/>
                <w:sz w:val="17"/>
              </w:rPr>
              <w:t>Gaeta et al. (2026)</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المعالجة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لائحة تعارض المصالح</w:t>
            </w:r>
          </w:p>
          <w:p>
            <w:pPr>
              <w:spacing w:after="0" w:line="240" w:lineRule="auto"/>
              <w:jc w:val="left"/>
            </w:pPr>
            <w:r>
              <w:rPr>
                <w:rFonts w:ascii="Times New Roman" w:hAnsi="Times New Roman" w:cs="Times New Roman"/>
                <w:b w:val="0"/>
                <w:sz w:val="17"/>
              </w:rPr>
              <w:t>World Bank (2020)</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إدارة مخاطر تعارض المصالح</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التوثيق والمساءلة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لائحة تعارض المصالح</w:t>
            </w:r>
          </w:p>
          <w:p>
            <w:pPr>
              <w:spacing w:after="0" w:line="240" w:lineRule="auto"/>
              <w:jc w:val="left"/>
            </w:pPr>
            <w:r>
              <w:rPr>
                <w:rFonts w:ascii="Times New Roman" w:hAnsi="Times New Roman" w:cs="Times New Roman"/>
                <w:b w:val="0"/>
                <w:sz w:val="17"/>
              </w:rPr>
              <w:t>OECD (2005)</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الكفاءة الفنية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هيئة كفاءة الإنفاق (2025)</w:t>
            </w:r>
          </w:p>
          <w:p>
            <w:pPr>
              <w:spacing w:after="0" w:line="240" w:lineRule="auto"/>
              <w:jc w:val="right"/>
              <w:bidi w:val="1"/>
            </w:pPr>
            <w:r>
              <w:rPr>
                <w:rFonts w:ascii="Traditional Arabic" w:hAnsi="Traditional Arabic" w:cs="Traditional Arabic"/>
                <w:b w:val="0"/>
                <w:sz w:val="17"/>
                <w:rtl w:val="1"/>
              </w:rPr>
              <w:t>الخريجي (2021)</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تخصيص الموارد</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هيئة كفاءة الإنفاق (2025)</w:t>
            </w:r>
          </w:p>
          <w:p>
            <w:pPr>
              <w:spacing w:after="0" w:line="240" w:lineRule="auto"/>
              <w:jc w:val="left"/>
            </w:pPr>
            <w:r>
              <w:rPr>
                <w:rFonts w:ascii="Times New Roman" w:hAnsi="Times New Roman" w:cs="Times New Roman"/>
                <w:b w:val="0"/>
                <w:sz w:val="17"/>
              </w:rPr>
              <w:t>Boykin et al. (2025)</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خفض الهدر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هيئة كفاءة الإنفاق (2025)</w:t>
            </w:r>
          </w:p>
          <w:p>
            <w:pPr>
              <w:spacing w:after="0" w:line="240" w:lineRule="auto"/>
              <w:jc w:val="right"/>
              <w:bidi w:val="1"/>
            </w:pPr>
            <w:r>
              <w:rPr>
                <w:rFonts w:ascii="Traditional Arabic" w:hAnsi="Traditional Arabic" w:cs="Traditional Arabic"/>
                <w:b w:val="0"/>
                <w:sz w:val="17"/>
                <w:rtl w:val="1"/>
              </w:rPr>
              <w:t>الغامدي (2023)</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القيمة مقابل المال</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Boykin et al. (2025)</w:t>
            </w:r>
          </w:p>
          <w:p>
            <w:pPr>
              <w:spacing w:after="0" w:line="240" w:lineRule="auto"/>
              <w:jc w:val="left"/>
            </w:pPr>
            <w:r>
              <w:rPr>
                <w:rFonts w:ascii="Times New Roman" w:hAnsi="Times New Roman" w:cs="Times New Roman"/>
                <w:b w:val="0"/>
                <w:sz w:val="17"/>
              </w:rPr>
              <w:t>OECD (2023)</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كفاءة الإنفاق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المواءمة الاستراتيجية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4</w:t>
            </w:r>
          </w:p>
        </w:tc>
        <w:tc>
          <w:tcPr>
            <w:tcW w:type="dxa" w:w="2268"/>
            <w:vAlign w:val="center"/>
            <w:textDirection w:val="rlTb"/>
          </w:tcPr>
          <w:p>
            <w:pPr>
              <w:spacing w:after="0" w:line="240" w:lineRule="auto"/>
              <w:jc w:val="left"/>
            </w:pPr>
            <w:r>
              <w:rPr>
                <w:rFonts w:ascii="Times New Roman" w:hAnsi="Times New Roman" w:cs="Times New Roman"/>
                <w:b w:val="0"/>
                <w:sz w:val="17"/>
              </w:rPr>
              <w:t>Matas et al. (2025)</w:t>
            </w:r>
          </w:p>
          <w:p>
            <w:pPr>
              <w:spacing w:after="0" w:line="240" w:lineRule="auto"/>
              <w:jc w:val="left"/>
            </w:pPr>
            <w:r>
              <w:rPr>
                <w:rFonts w:ascii="Times New Roman" w:hAnsi="Times New Roman" w:cs="Times New Roman"/>
                <w:b w:val="0"/>
                <w:sz w:val="17"/>
              </w:rPr>
              <w:t>Kundu et al. (2025)</w:t>
            </w:r>
          </w:p>
        </w:tc>
      </w:tr>
      <w:tr>
        <w:trPr>
          <w:cantSplit/>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الإجمالي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17 بُعدًا</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68</w:t>
            </w:r>
          </w:p>
        </w:tc>
        <w:tc>
          <w:tcPr>
            <w:tcW w:type="dxa" w:w="2268"/>
            <w:vAlign w:val="center"/>
            <w:textDirection w:val="rlTb"/>
          </w:tcPr>
          <w:p>
            <w:pPr>
              <w:spacing w:after="0" w:line="240" w:lineRule="auto"/>
              <w:jc w:val="right"/>
              <w:bidi w:val="1"/>
            </w:pPr>
            <w:r>
              <w:rPr>
                <w:rFonts w:ascii="Traditional Arabic" w:hAnsi="Traditional Arabic" w:cs="Traditional Arabic"/>
                <w:b w:val="0"/>
                <w:sz w:val="17"/>
                <w:rtl w:val="1"/>
              </w:rPr>
              <w:t>تُراجع الفقرات بالتحكيم والدراسة الاستطلاعية قبل التطبيق النهائي</w:t>
            </w:r>
          </w:p>
        </w:tc>
      </w:tr>
    </w:tbl>
    <w:p>
      <w:pPr>
        <w:spacing w:lineRule="auto" w:line="360" w:after="160" w:before="0"/>
        <w:jc w:val="right"/>
        <w:pStyle w:val="Heading1"/>
        <w:bidi w:val="1"/>
      </w:pPr>
      <w:r>
        <w:rPr>
          <w:rFonts w:ascii="Traditional Arabic" w:hAnsi="Traditional Arabic" w:cs="Traditional Arabic" w:eastAsia="Traditional Arabic"/>
          <w:b/>
          <w:i w:val="0"/>
          <w:sz w:val="32"/>
          <w:rtl w:val="1"/>
        </w:rPr>
        <w:t>17. المعالجات الإحصائية المقترحة</w:t>
      </w:r>
    </w:p>
    <w:p>
      <w:pPr>
        <w:spacing w:line="360" w:lineRule="auto" w:after="120"/>
        <w:jc w:val="right"/>
        <w:bidi w:val="1"/>
      </w:pPr>
      <w:r>
        <w:rPr>
          <w:rFonts w:ascii="Traditional Arabic" w:hAnsi="Traditional Arabic" w:eastAsia="Traditional Arabic" w:cs="Traditional Arabic"/>
          <w:sz w:val="24"/>
          <w:rtl w:val="1"/>
        </w:rPr>
        <w:t>تُنفذ التحليلات بالتسلسل الآتي، مع استخدام SPSS للتحضير والتحليلات الأولية، وAMOS للتحليل العاملي التوكيدي والنموذج البنائي، والاستعانة بـ SmartPLS عند الحاجة إلى تحليل متانة أو توجه تنبؤي.</w:t>
      </w:r>
    </w:p>
    <w:p>
      <w:pPr>
        <w:spacing w:line="360" w:lineRule="auto" w:after="120"/>
        <w:jc w:val="right"/>
        <w:bidi w:val="1"/>
      </w:pPr>
      <w:r>
        <w:rPr>
          <w:rFonts w:ascii="Traditional Arabic" w:hAnsi="Traditional Arabic" w:eastAsia="Traditional Arabic" w:cs="Traditional Arabic"/>
          <w:b/>
          <w:sz w:val="24"/>
          <w:rtl w:val="1"/>
        </w:rPr>
        <w:t>جدول (8): مراحل تحليل البيانات والمعايير الإحصائية المقترحة</w:t>
      </w:r>
    </w:p>
    <w:tbl>
      <w:tblPr>
        <w:tblStyle w:val="TableGrid"/>
        <w:tblW w:type="auto" w:w="0"/>
        <w:jc w:val="center"/>
        <w:tblLook w:firstColumn="1" w:firstRow="1" w:lastColumn="0" w:lastRow="0" w:noHBand="0" w:noVBand="1" w:val="04A0"/>
      </w:tblPr>
      <w:tblGrid>
        <w:gridCol w:w="2268"/>
        <w:gridCol w:w="2268"/>
        <w:gridCol w:w="2268"/>
        <w:gridCol w:w="2268"/>
      </w:tblGrid>
      <w:tr>
        <w:trPr>
          <w:tblHeader w:val="true"/>
        </w:trP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المرحلة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الأسلوب/الاختبار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معيار القبول أو القرار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sz w:val="21"/>
                <w:rtl w:val="1"/>
              </w:rPr>
              <w:t>البرنامج</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تنظيف البيانات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فحص الاكتمال والتكرار والقيم الشاذة ونمط الفقد</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استبعاد الاستبانة دون 80%؛ معالجة الفقد البسيط وفق نمطه؛ توثيق جميع قرارات الاستبعاد</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تحيز الطريقة الواحدة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Harman’s Single Factor Test وإجراءات إجرائية مسبقة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ألا يفسر عامل واحد معظم التباين، مع الاستعانة بمؤشرات إضافية عند الحاجة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الثبات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Cronbach’s alpha وComposite Reliability</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يفضل ≥ 0.70</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الصدق التقاربي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التحميلات العاملية ومتوسط التباين المستخرج AVE</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تحميلات معيارية مناسبة وAVE ≥ 0.50</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الصدق التمييزي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مقارنة الارتباطات ومؤشرات التمييز</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تحقق تمايز البنى وفق المؤشرات المعتمدة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الوصف</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المتوسطات والانحرافات المعيارية وفترات الثقة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تفسير المستويات وترتيب الأبعاد</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الفروق</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t-test وANOVA/MANOVA والمقارنات البعدية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دلالة إحصائية عند α ≤ 0.05 وحجم أثر مناسب</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العلاقات الأولية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Pearson والانحدار الهرمي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فحص الاتجاه والقوة والتعدد الخطي وإضافة المتغيرات الرقابية على خطوات</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نموذج القياس</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CFA</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χ²/df ≤ 3 تقريبًا؛ CFI وTLI ≥ 0.90؛ RMSEA وSRMR ≤ 0.08</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النموذج البنائي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SEM واختبار المسارات المباشرة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دلالة معاملات المسار وملاءمة النموذج وتفسير R²</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AMOS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الوساطة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Bootstrap بعدد 5,000 سحبة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ثبوت الأثر غير المباشر إذا لم يتضمن فاصل الثقة 95% الصفر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AMOS/SmartPLS</w:t>
            </w:r>
          </w:p>
        </w:tc>
      </w:tr>
      <w:tr>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النموذج التنبؤي</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انحدار هرمي و/أو PLS-SEM كتحليل متانة</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قدرة تفسيرية وتنبؤية مقبولة مع ضبط نوع الجهة وحجمها والمستوى والخبرة والدور</w:t>
            </w:r>
          </w:p>
        </w:tc>
        <w:tc>
          <w:tcPr>
            <w:tcW w:type="dxa" w:w="2268"/>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sz w:val="21"/>
                <w:rtl w:val="1"/>
              </w:rPr>
              <w:t>SPSS/SmartPLS</w:t>
            </w:r>
          </w:p>
        </w:tc>
      </w:tr>
    </w:tbl>
    <w:p>
      <w:pPr>
        <w:spacing w:line="360" w:lineRule="auto" w:after="120"/>
        <w:jc w:val="right"/>
        <w:bidi w:val="1"/>
      </w:pPr>
      <w:r>
        <w:rPr>
          <w:rFonts w:ascii="Traditional Arabic" w:hAnsi="Traditional Arabic" w:eastAsia="Traditional Arabic" w:cs="Traditional Arabic"/>
          <w:sz w:val="24"/>
          <w:rtl w:val="1"/>
        </w:rPr>
        <w:t>تُفسر مؤشرات ملاءمة النموذج مجتمعة لا منفردة، مع مراعاة حجم العينة وتعقيد النموذج وطبيعة البيانات. وتُعد القيم المذكورة حدودًا إرشادية شائعة وليست قواعد آلية للحكم، استنادًا إلى أدبيات نمذجة المعادلات الهيكلية (Hu &amp; Bentler, 1999; Kline, 2023).</w:t>
      </w:r>
    </w:p>
    <w:p>
      <w:pPr>
        <w:spacing w:lineRule="auto" w:line="360" w:after="160" w:before="0"/>
        <w:jc w:val="right"/>
        <w:pStyle w:val="Heading1"/>
        <w:bidi w:val="1"/>
      </w:pPr>
      <w:r>
        <w:rPr>
          <w:rFonts w:ascii="Traditional Arabic" w:hAnsi="Traditional Arabic" w:cs="Traditional Arabic" w:eastAsia="Traditional Arabic"/>
          <w:b/>
          <w:i w:val="0"/>
          <w:sz w:val="32"/>
          <w:rtl w:val="1"/>
        </w:rPr>
        <w:t>18. خطوات تنفيذ خطة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1. اعتماد العنوان النهائي والخطة بعد معالجة ملاحظات اللجنة العلمية والمشرف.</w:t>
      </w:r>
    </w:p>
    <w:p>
      <w:pPr>
        <w:spacing w:lineRule="auto" w:line="360" w:after="120" w:before="0"/>
        <w:ind w:left="170"/>
        <w:jc w:val="right"/>
        <w:bidi w:val="1"/>
      </w:pPr>
      <w:r>
        <w:rPr>
          <w:rFonts w:ascii="Traditional Arabic" w:hAnsi="Traditional Arabic" w:cs="Traditional Arabic" w:eastAsia="Traditional Arabic"/>
          <w:b w:val="0"/>
          <w:i w:val="0"/>
          <w:sz w:val="24"/>
          <w:rtl w:val="1"/>
        </w:rPr>
        <w:t>2. استكمال مراجعة الأدبيات والدراسات السابقة العربية والأجنبية الحديثة.</w:t>
      </w:r>
    </w:p>
    <w:p>
      <w:pPr>
        <w:spacing w:lineRule="auto" w:line="360" w:after="120" w:before="0"/>
        <w:ind w:left="170"/>
        <w:jc w:val="right"/>
        <w:bidi w:val="1"/>
      </w:pPr>
      <w:r>
        <w:rPr>
          <w:rFonts w:ascii="Traditional Arabic" w:hAnsi="Traditional Arabic" w:cs="Traditional Arabic" w:eastAsia="Traditional Arabic"/>
          <w:b w:val="0"/>
          <w:i w:val="0"/>
          <w:sz w:val="24"/>
          <w:rtl w:val="1"/>
        </w:rPr>
        <w:t>3. تحليل الوثائق الرسمية والأنظمة واللوائح ذات العلاقة بالمشتريات الحكومية وتعارض المصالح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4. تطوير النموذج المفاهيمي النهائي وتحديد أبعاد المتغيرات.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5. تصميم أداة الدراسة وتحكيمها أكاديميًا ومهنيًا.</w:t>
      </w:r>
    </w:p>
    <w:p>
      <w:pPr>
        <w:spacing w:lineRule="auto" w:line="360" w:after="120" w:before="0"/>
        <w:ind w:left="170"/>
        <w:jc w:val="right"/>
        <w:bidi w:val="1"/>
      </w:pPr>
      <w:r>
        <w:rPr>
          <w:rFonts w:ascii="Traditional Arabic" w:hAnsi="Traditional Arabic" w:cs="Traditional Arabic" w:eastAsia="Traditional Arabic"/>
          <w:b w:val="0"/>
          <w:i w:val="0"/>
          <w:sz w:val="24"/>
          <w:rtl w:val="1"/>
        </w:rPr>
        <w:t>6. الحصول على الموافقات اللازمة من الجهات الحكومية أو الإدارات المختصة للمشاركة في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7. تنفيذ الدراسة الاستطلاعية وإجراء التعديلات اللازمة على الأداة.</w:t>
      </w:r>
    </w:p>
    <w:p>
      <w:pPr>
        <w:spacing w:lineRule="auto" w:line="360" w:after="120" w:before="0"/>
        <w:ind w:left="170"/>
        <w:jc w:val="right"/>
        <w:bidi w:val="1"/>
      </w:pPr>
      <w:r>
        <w:rPr>
          <w:rFonts w:ascii="Traditional Arabic" w:hAnsi="Traditional Arabic" w:cs="Traditional Arabic" w:eastAsia="Traditional Arabic"/>
          <w:b w:val="0"/>
          <w:i w:val="0"/>
          <w:sz w:val="24"/>
          <w:rtl w:val="1"/>
        </w:rPr>
        <w:t>8. جمع البيانات من العينة الأساسية وفق خطة العينة الطبقية.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9. تنظيف البيانات ومعالجة القيم الناقصة والتحقق من صلاحية الاستجابات.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10. تنفيذ التحليلات الإحصائية وفق التسلسل المحدد.</w:t>
      </w:r>
    </w:p>
    <w:p>
      <w:pPr>
        <w:spacing w:lineRule="auto" w:line="360" w:after="120" w:before="0"/>
        <w:ind w:left="170"/>
        <w:jc w:val="right"/>
        <w:bidi w:val="1"/>
      </w:pPr>
      <w:r>
        <w:rPr>
          <w:rFonts w:ascii="Traditional Arabic" w:hAnsi="Traditional Arabic" w:cs="Traditional Arabic" w:eastAsia="Traditional Arabic"/>
          <w:b w:val="0"/>
          <w:i w:val="0"/>
          <w:sz w:val="24"/>
          <w:rtl w:val="1"/>
        </w:rPr>
        <w:t>11. تفسير النتائج في ضوء النظريات الداعمة والدراسات السابقة والسياق السعودي.</w:t>
      </w:r>
    </w:p>
    <w:p>
      <w:pPr>
        <w:spacing w:lineRule="auto" w:line="360" w:after="120" w:before="0"/>
        <w:ind w:left="170"/>
        <w:jc w:val="right"/>
        <w:bidi w:val="1"/>
      </w:pPr>
      <w:r>
        <w:rPr>
          <w:rFonts w:ascii="Traditional Arabic" w:hAnsi="Traditional Arabic" w:cs="Traditional Arabic" w:eastAsia="Traditional Arabic"/>
          <w:b w:val="0"/>
          <w:i w:val="0"/>
          <w:sz w:val="24"/>
          <w:rtl w:val="1"/>
        </w:rPr>
        <w:t>12. صياغة التوصيات التطبيقية لصناع القرار والجهات ذات العلاقة.</w:t>
      </w:r>
    </w:p>
    <w:p>
      <w:pPr>
        <w:spacing w:lineRule="auto" w:line="360" w:after="120" w:before="0"/>
        <w:ind w:left="170"/>
        <w:jc w:val="right"/>
        <w:bidi w:val="1"/>
      </w:pPr>
      <w:r>
        <w:rPr>
          <w:rFonts w:ascii="Traditional Arabic" w:hAnsi="Traditional Arabic" w:cs="Traditional Arabic" w:eastAsia="Traditional Arabic"/>
          <w:b w:val="0"/>
          <w:i w:val="0"/>
          <w:sz w:val="24"/>
          <w:rtl w:val="1"/>
        </w:rPr>
        <w:t>13. إعداد الرسالة النهائية وفق متطلبات جامعة ميدأوشن والتوثيق بنظام APA الإصدار السابع.</w:t>
      </w:r>
    </w:p>
    <w:p/>
    <w:p>
      <w:pPr>
        <w:jc w:val="center"/>
        <w:bidi w:val="1"/>
      </w:pPr>
      <w:r>
        <w:rPr>
          <w:rFonts w:ascii="Traditional Arabic" w:hAnsi="Traditional Arabic" w:eastAsia="Traditional Arabic" w:cs="Traditional Arabic"/>
          <w:rtl w:val="1"/>
        </w:rPr>
      </w:r>
      <w:r>
        <w:drawing>
          <wp:inline xmlns:a="http://schemas.openxmlformats.org/drawingml/2006/main" xmlns:pic="http://schemas.openxmlformats.org/drawingml/2006/picture">
            <wp:extent cx="6126480" cy="3675888"/>
            <wp:docPr id="2" name="Picture 2"/>
            <wp:cNvGraphicFramePr>
              <a:graphicFrameLocks noChangeAspect="1"/>
            </wp:cNvGraphicFramePr>
            <a:graphic>
              <a:graphicData uri="http://schemas.openxmlformats.org/drawingml/2006/picture">
                <pic:pic>
                  <pic:nvPicPr>
                    <pic:cNvPr id="0" name="gantt_chart.png"/>
                    <pic:cNvPicPr/>
                  </pic:nvPicPr>
                  <pic:blipFill>
                    <a:blip r:embed="rId11"/>
                    <a:stretch>
                      <a:fillRect/>
                    </a:stretch>
                  </pic:blipFill>
                  <pic:spPr>
                    <a:xfrm>
                      <a:off x="0" y="0"/>
                      <a:ext cx="6126480" cy="3675888"/>
                    </a:xfrm>
                    <a:prstGeom prst="rect"/>
                  </pic:spPr>
                </pic:pic>
              </a:graphicData>
            </a:graphic>
          </wp:inline>
        </w:drawing>
      </w:r>
    </w:p>
    <w:p>
      <w:pPr>
        <w:spacing w:line="360" w:lineRule="auto" w:after="120"/>
        <w:jc w:val="right"/>
        <w:bidi w:val="1"/>
      </w:pPr>
      <w:r>
        <w:rPr>
          <w:rFonts w:ascii="Traditional Arabic" w:hAnsi="Traditional Arabic" w:eastAsia="Traditional Arabic" w:cs="Traditional Arabic"/>
          <w:b/>
          <w:sz w:val="24"/>
          <w:rtl w:val="1"/>
        </w:rPr>
        <w:t>شكل (2): المخطط الزمني المقترح لتنفيذ الدراسة خلال 12 شهرًا</w:t>
      </w:r>
    </w:p>
    <w:p>
      <w:pPr>
        <w:spacing w:lineRule="auto" w:line="360" w:after="160" w:before="0"/>
        <w:jc w:val="right"/>
        <w:pStyle w:val="Heading1"/>
        <w:bidi w:val="1"/>
      </w:pPr>
      <w:r>
        <w:rPr>
          <w:rFonts w:ascii="Traditional Arabic" w:hAnsi="Traditional Arabic" w:cs="Traditional Arabic" w:eastAsia="Traditional Arabic"/>
          <w:b/>
          <w:i w:val="0"/>
          <w:sz w:val="32"/>
          <w:rtl w:val="1"/>
        </w:rPr>
        <w:t>19. المراجع وفق APA الإصدار السابع</w:t>
      </w:r>
    </w:p>
    <w:p>
      <w:pPr>
        <w:spacing w:line="360" w:lineRule="auto" w:after="120"/>
        <w:ind/>
        <w:jc w:val="right"/>
        <w:bidi w:val="1"/>
      </w:pPr>
      <w:r>
        <w:rPr>
          <w:rFonts w:ascii="Traditional Arabic" w:hAnsi="Traditional Arabic" w:eastAsia="Traditional Arabic" w:cs="Traditional Arabic"/>
          <w:b/>
          <w:sz w:val="24"/>
          <w:rtl w:val="1"/>
        </w:rPr>
        <w:t>أولًا: المراجع العربية</w:t>
      </w:r>
    </w:p>
    <w:p>
      <w:pPr>
        <w:spacing w:line="360" w:lineRule="auto" w:after="120"/>
        <w:ind w:hanging="360" w:left="360"/>
        <w:jc w:val="right"/>
        <w:bidi w:val="1"/>
      </w:pPr>
      <w:r>
        <w:rPr>
          <w:rFonts w:ascii="Traditional Arabic" w:hAnsi="Traditional Arabic" w:eastAsia="Traditional Arabic" w:cs="Traditional Arabic"/>
          <w:sz w:val="24"/>
          <w:rtl w:val="1"/>
        </w:rPr>
        <w:t>الخريجي، مشاعل بنت فهد. (2021). قياس كفاءة الإنفاق الحكومي في المملكة العربية السعودية: دراسة مقارنة بمجموعة الدول العشرين (G20). مجلة العلوم الإنسانية والاجتماعية، (59)، 225-284. http://search.mandumah.com/Record/1130609</w:t>
      </w:r>
    </w:p>
    <w:p>
      <w:pPr>
        <w:spacing w:line="360" w:lineRule="auto" w:after="120"/>
        <w:ind w:hanging="360" w:left="360"/>
        <w:jc w:val="right"/>
        <w:bidi w:val="1"/>
      </w:pPr>
      <w:r>
        <w:rPr>
          <w:rFonts w:ascii="Traditional Arabic" w:hAnsi="Traditional Arabic" w:eastAsia="Traditional Arabic" w:cs="Traditional Arabic"/>
          <w:sz w:val="24"/>
          <w:rtl w:val="1"/>
        </w:rPr>
        <w:t>الفراج، أحمد بن سليمان بن أحمد. (2023). تعارض المصالح في نظام المنافسات والمشتريات الحكومية السعودي وجزاء الإخلال به. مجلة البحوث الفقهية والقانونية، (40)، ج1، 971-1017. https://journals.ekb.eg/article_280238.html</w:t>
      </w:r>
    </w:p>
    <w:p>
      <w:pPr>
        <w:spacing w:line="360" w:lineRule="auto" w:after="120"/>
        <w:ind w:hanging="360" w:left="360"/>
        <w:jc w:val="right"/>
        <w:bidi w:val="1"/>
      </w:pPr>
      <w:r>
        <w:rPr>
          <w:rFonts w:ascii="Traditional Arabic" w:hAnsi="Traditional Arabic" w:eastAsia="Traditional Arabic" w:cs="Traditional Arabic"/>
          <w:sz w:val="24"/>
          <w:rtl w:val="1"/>
        </w:rPr>
        <w:t>الغامدي، نايف بن سعد بن محمد. (2023). ضمانات تحقيق كفاءة الإنفاق في العقود الحكومية والرقابة عليها في النظام السعودي. مجلة كلية الشريعة والقانون بطنطا، 38(4)، 1-67. https://search.emarefa.net/detail/BIM-1614577</w:t>
      </w:r>
    </w:p>
    <w:p>
      <w:pPr>
        <w:spacing w:line="360" w:lineRule="auto" w:after="120"/>
        <w:ind w:hanging="360" w:left="360"/>
        <w:jc w:val="right"/>
        <w:bidi w:val="1"/>
      </w:pPr>
      <w:r>
        <w:rPr>
          <w:rFonts w:ascii="Traditional Arabic" w:hAnsi="Traditional Arabic" w:eastAsia="Traditional Arabic" w:cs="Traditional Arabic"/>
          <w:sz w:val="24"/>
          <w:rtl w:val="1"/>
        </w:rPr>
        <w:t>هيئة كفاءة الإنفاق والمشروعات الحكومية. (2024أ). إنجازات الهيئة خلال عام 2024م. https://expro.gov.sa/</w:t>
      </w:r>
    </w:p>
    <w:p>
      <w:pPr>
        <w:spacing w:line="360" w:lineRule="auto" w:after="120"/>
        <w:ind w:hanging="360" w:left="360"/>
        <w:jc w:val="right"/>
        <w:bidi w:val="1"/>
      </w:pPr>
      <w:r>
        <w:rPr>
          <w:rFonts w:ascii="Traditional Arabic" w:hAnsi="Traditional Arabic" w:eastAsia="Traditional Arabic" w:cs="Traditional Arabic"/>
          <w:sz w:val="24"/>
          <w:rtl w:val="1"/>
        </w:rPr>
        <w:t>هيئة كفاءة الإنفاق والمشروعات الحكومية. (2024ب، 1 ديسمبر). هيئة «كفاءة الإنفاق» تطلق 7 أدلة إرشادية في المشتريات الحكومية. https://expro.gov.sa/media-center/news/new-20</w:t>
      </w:r>
    </w:p>
    <w:p>
      <w:pPr>
        <w:spacing w:line="360" w:lineRule="auto" w:after="120"/>
        <w:ind w:hanging="360" w:left="360"/>
        <w:jc w:val="right"/>
        <w:bidi w:val="1"/>
      </w:pPr>
      <w:r>
        <w:rPr>
          <w:rFonts w:ascii="Traditional Arabic" w:hAnsi="Traditional Arabic" w:eastAsia="Traditional Arabic" w:cs="Traditional Arabic"/>
          <w:sz w:val="24"/>
          <w:rtl w:val="1"/>
        </w:rPr>
        <w:t>هيئة كفاءة الإنفاق والمشروعات الحكومية. (2025أ). مفهوم كفاءة الإنفاق في المملكة العربية السعودية: مفاهيم ودروس رئيسية. https://expro.gov.sa/api/uploads/wrqt_bhthyt_mfhwm_kfaet_alinfaq_fy_almmlkt_alerbyt_alsewdyt_ce623d6c85.pdf</w:t>
      </w:r>
    </w:p>
    <w:p>
      <w:pPr>
        <w:spacing w:line="360" w:lineRule="auto" w:after="120"/>
        <w:ind w:hanging="360" w:left="360"/>
        <w:jc w:val="right"/>
        <w:bidi w:val="1"/>
      </w:pPr>
      <w:r>
        <w:rPr>
          <w:rFonts w:ascii="Traditional Arabic" w:hAnsi="Traditional Arabic" w:eastAsia="Traditional Arabic" w:cs="Traditional Arabic"/>
          <w:sz w:val="24"/>
          <w:rtl w:val="1"/>
        </w:rPr>
        <w:t>هيئة كفاءة الإنفاق والمشروعات الحكومية. (2025ب، 20 فبراير). أكثر من 4 آلاف مبادرة لكفاءة الإنفاق في الجهات الحكومية. https://expro.gov.sa/media-center/news/new-14</w:t>
      </w:r>
    </w:p>
    <w:p>
      <w:pPr>
        <w:spacing w:line="360" w:lineRule="auto" w:after="120"/>
        <w:ind w:hanging="360" w:left="360"/>
        <w:jc w:val="right"/>
        <w:bidi w:val="1"/>
      </w:pPr>
      <w:r>
        <w:rPr>
          <w:rFonts w:ascii="Traditional Arabic" w:hAnsi="Traditional Arabic" w:eastAsia="Traditional Arabic" w:cs="Traditional Arabic"/>
          <w:sz w:val="24"/>
          <w:rtl w:val="1"/>
        </w:rPr>
        <w:t>وزارة المالية. (2019). نظام المنافسات والمشتريات الحكومية ولائحته التنفيذية، ولائحة تنظيم تعارض المصالح. https://www.mof.gov.sa/Knowledgecenter/newGovTendandProcLow/Pages/default.aspx</w:t>
      </w:r>
    </w:p>
    <w:p>
      <w:pPr>
        <w:spacing w:line="360" w:lineRule="auto" w:after="120"/>
        <w:ind w:hanging="360" w:left="360"/>
        <w:jc w:val="right"/>
        <w:bidi w:val="1"/>
      </w:pPr>
      <w:r>
        <w:rPr>
          <w:rFonts w:ascii="Traditional Arabic" w:hAnsi="Traditional Arabic" w:eastAsia="Traditional Arabic" w:cs="Traditional Arabic"/>
          <w:sz w:val="24"/>
          <w:rtl w:val="1"/>
        </w:rPr>
        <w:t>وزارة المالية. (2024، 26 نوفمبر). البيان النهائي للميزانية العامة للدولة للعام المالي 2025م. https://www.mof.gov.sa/mediacenter/news/Pages/2024112611.aspx</w:t>
      </w:r>
    </w:p>
    <w:p>
      <w:pPr>
        <w:spacing w:line="360" w:lineRule="auto" w:after="120"/>
        <w:ind w:hanging="360" w:left="360"/>
        <w:jc w:val="right"/>
        <w:bidi w:val="1"/>
      </w:pPr>
      <w:r>
        <w:rPr>
          <w:rFonts w:ascii="Traditional Arabic" w:hAnsi="Traditional Arabic" w:eastAsia="Traditional Arabic" w:cs="Traditional Arabic"/>
          <w:sz w:val="24"/>
          <w:rtl w:val="1"/>
        </w:rPr>
        <w:t>وزارة المالية. (2025، 30 سبتمبر). البيان التمهيدي للميزانية العامة للدولة للعام المالي 2026م. https://www.mof.gov.sa/mediacenter/news/Pages/News_3092025.aspx</w:t>
      </w:r>
    </w:p>
    <w:p>
      <w:pPr>
        <w:spacing w:line="360" w:lineRule="auto" w:after="120"/>
        <w:ind w:hanging="360" w:left="360"/>
        <w:jc w:val="left"/>
      </w:pPr>
      <w:r>
        <w:rPr>
          <w:rFonts w:ascii="Times New Roman" w:hAnsi="Times New Roman" w:eastAsia="Traditional Arabic" w:cs="Times New Roman"/>
          <w:sz w:val="24"/>
        </w:rPr>
        <w:t>رؤية السعودية 2030. (د.ت.). برنامج الاستدامة المالية. https://www.vision2030.gov.sa/ar/explore/programs/fiscal-sustainability-program</w:t>
      </w:r>
    </w:p>
    <w:p>
      <w:pPr>
        <w:spacing w:line="360" w:lineRule="auto" w:after="120"/>
        <w:ind/>
        <w:jc w:val="right"/>
        <w:bidi w:val="1"/>
      </w:pPr>
      <w:r>
        <w:rPr>
          <w:rFonts w:ascii="Traditional Arabic" w:hAnsi="Traditional Arabic" w:eastAsia="Traditional Arabic" w:cs="Traditional Arabic"/>
          <w:b/>
          <w:sz w:val="24"/>
          <w:rtl w:val="1"/>
        </w:rPr>
        <w:t>ثانيًا: المراجع الأجنبية</w:t>
      </w:r>
    </w:p>
    <w:p>
      <w:pPr>
        <w:spacing w:line="360" w:lineRule="auto" w:after="120"/>
        <w:ind w:hanging="360" w:left="360"/>
        <w:jc w:val="left"/>
      </w:pPr>
      <w:r>
        <w:rPr>
          <w:rFonts w:ascii="Times New Roman" w:hAnsi="Times New Roman" w:eastAsia="Traditional Arabic" w:cs="Times New Roman"/>
          <w:sz w:val="24"/>
        </w:rPr>
        <w:t>Boykin, E., Lofaro, R. J., McCue, C., &amp; Prier, E. (2025). Advancing the practice of public procurement performance measurement: A framework for conceptualizing efficiency and effectiveness. Public Money &amp; Management, 45(4), 349-359. https://doi.org/10.1080/09540962.2024.2361832</w:t>
      </w:r>
    </w:p>
    <w:p>
      <w:pPr>
        <w:spacing w:line="360" w:lineRule="auto" w:after="120"/>
        <w:ind w:hanging="360" w:left="360"/>
        <w:jc w:val="left"/>
      </w:pPr>
      <w:r>
        <w:rPr>
          <w:rFonts w:ascii="Times New Roman" w:hAnsi="Times New Roman" w:eastAsia="Traditional Arabic" w:cs="Times New Roman"/>
          <w:sz w:val="24"/>
        </w:rPr>
        <w:t>Cochran, W. G. (1977). Sampling techniques (3rd ed.). Wiley.</w:t>
      </w:r>
    </w:p>
    <w:p>
      <w:pPr>
        <w:spacing w:line="360" w:lineRule="auto" w:after="120"/>
        <w:ind w:hanging="360" w:left="360"/>
        <w:jc w:val="left"/>
      </w:pPr>
      <w:r>
        <w:rPr>
          <w:rFonts w:ascii="Times New Roman" w:hAnsi="Times New Roman" w:eastAsia="Traditional Arabic" w:cs="Times New Roman"/>
          <w:sz w:val="24"/>
        </w:rPr>
        <w:t>DiMaggio, P. J., &amp; Powell, W. W. (1983). The iron cage revisited: Institutional isomorphism and collective rationality in organizational fields. American Sociological Review, 48(2), 147-160. https://doi.org/10.2307/2095101</w:t>
      </w:r>
    </w:p>
    <w:p>
      <w:pPr>
        <w:spacing w:line="360" w:lineRule="auto" w:after="120"/>
        <w:ind w:hanging="360" w:left="360"/>
        <w:jc w:val="left"/>
      </w:pPr>
      <w:r>
        <w:rPr>
          <w:rFonts w:ascii="Times New Roman" w:hAnsi="Times New Roman" w:eastAsia="Traditional Arabic" w:cs="Times New Roman"/>
          <w:sz w:val="24"/>
        </w:rPr>
        <w:t>Eisenhardt, K. M. (1989). Agency theory: An assessment and review. Academy of Management Review, 14(1), 57-74. https://doi.org/10.5465/amr.1989.4279003</w:t>
      </w:r>
    </w:p>
    <w:p>
      <w:pPr>
        <w:spacing w:line="360" w:lineRule="auto" w:after="120"/>
        <w:ind w:hanging="360" w:left="360"/>
        <w:jc w:val="left"/>
      </w:pPr>
      <w:r>
        <w:rPr>
          <w:rFonts w:ascii="Times New Roman" w:hAnsi="Times New Roman" w:eastAsia="Traditional Arabic" w:cs="Times New Roman"/>
          <w:sz w:val="24"/>
        </w:rPr>
        <w:t>Freeman, R. E. (1984). Strategic management: A stakeholder approach. Pitman.</w:t>
      </w:r>
    </w:p>
    <w:p>
      <w:pPr>
        <w:spacing w:line="360" w:lineRule="auto" w:after="120"/>
        <w:ind w:hanging="360" w:left="360"/>
        <w:jc w:val="left"/>
      </w:pPr>
      <w:r>
        <w:rPr>
          <w:rFonts w:ascii="Times New Roman" w:hAnsi="Times New Roman" w:eastAsia="Traditional Arabic" w:cs="Times New Roman"/>
          <w:sz w:val="24"/>
        </w:rPr>
        <w:t>Gaeta, G. L., Malandrino, A., &amp; Di Mascio, F. (2026). Transparency or access? E-procurement’s two paths to integrity: Evidence from Italy. Regulation &amp; Governance. Advance online publication. https://doi.org/10.1111/rego.70167</w:t>
      </w:r>
    </w:p>
    <w:p>
      <w:pPr>
        <w:spacing w:line="360" w:lineRule="auto" w:after="120"/>
        <w:ind w:hanging="360" w:left="360"/>
        <w:jc w:val="left"/>
      </w:pPr>
      <w:r>
        <w:rPr>
          <w:rFonts w:ascii="Times New Roman" w:hAnsi="Times New Roman" w:eastAsia="Traditional Arabic" w:cs="Times New Roman"/>
          <w:sz w:val="24"/>
        </w:rPr>
        <w:t>Hänninen, M., Immonen, M., &amp; Hallikas, J. (2026). Sectoral differences in public procurement maturity: Findings from the Finnish public procurement maturity model. Journal of Public Procurement. Advance online publication. https://doi.org/10.1108/JOPP-06-2025-0058</w:t>
      </w:r>
    </w:p>
    <w:p>
      <w:pPr>
        <w:spacing w:line="360" w:lineRule="auto" w:after="120"/>
        <w:ind w:hanging="360" w:left="360"/>
        <w:jc w:val="left"/>
      </w:pPr>
      <w:r>
        <w:rPr>
          <w:rFonts w:ascii="Times New Roman" w:hAnsi="Times New Roman" w:eastAsia="Traditional Arabic" w:cs="Times New Roman"/>
          <w:sz w:val="24"/>
        </w:rPr>
        <w:t>Hu, L., &amp; Bentler, P. M. (1999). Cutoff criteria for fit indexes in covariance structure analysis: Conventional criteria versus new alternatives. Structural Equation Modeling, 6(1), 1-55. https://doi.org/10.1080/10705519909540118</w:t>
      </w:r>
    </w:p>
    <w:p>
      <w:pPr>
        <w:spacing w:line="360" w:lineRule="auto" w:after="120"/>
        <w:ind w:hanging="360" w:left="360"/>
        <w:jc w:val="left"/>
      </w:pPr>
      <w:r>
        <w:rPr>
          <w:rFonts w:ascii="Times New Roman" w:hAnsi="Times New Roman" w:eastAsia="Traditional Arabic" w:cs="Times New Roman"/>
          <w:sz w:val="24"/>
        </w:rPr>
        <w:t>Iossa, E., &amp; Latour, C. (2025). Firms’ legality and efficiency: Evidence from public procurement. European Journal of Law and Economics, 59(3), 439-455. https://doi.org/10.1007/s10657-025-09848-w</w:t>
      </w:r>
    </w:p>
    <w:p>
      <w:pPr>
        <w:spacing w:line="360" w:lineRule="auto" w:after="120"/>
        <w:ind w:hanging="360" w:left="360"/>
        <w:jc w:val="left"/>
      </w:pPr>
      <w:r>
        <w:rPr>
          <w:rFonts w:ascii="Times New Roman" w:hAnsi="Times New Roman" w:eastAsia="Traditional Arabic" w:cs="Times New Roman"/>
          <w:sz w:val="24"/>
        </w:rPr>
        <w:t>Jensen, M. C., &amp; Meckling, W. H. (1976). Theory of the firm: Managerial behavior, agency costs and ownership structure. Journal of Financial Economics, 3(4), 305-360. https://doi.org/10.1016/0304-405X(76)90026-X</w:t>
      </w:r>
    </w:p>
    <w:p>
      <w:pPr>
        <w:spacing w:line="360" w:lineRule="auto" w:after="120"/>
        <w:ind w:hanging="360" w:left="360"/>
        <w:jc w:val="left"/>
      </w:pPr>
      <w:r>
        <w:rPr>
          <w:rFonts w:ascii="Times New Roman" w:hAnsi="Times New Roman" w:eastAsia="Traditional Arabic" w:cs="Times New Roman"/>
          <w:sz w:val="24"/>
        </w:rPr>
        <w:t>Khorana, S., Caram, S., &amp; Rana, N. P. (2024). Measuring public procurement transparency with an index. Government Information Quarterly, 41(3), Article 101952. https://doi.org/10.1016/j.giq.2024.101952</w:t>
      </w:r>
    </w:p>
    <w:p>
      <w:pPr>
        <w:spacing w:line="360" w:lineRule="auto" w:after="120"/>
        <w:ind w:hanging="360" w:left="360"/>
        <w:jc w:val="left"/>
      </w:pPr>
      <w:r>
        <w:rPr>
          <w:rFonts w:ascii="Times New Roman" w:hAnsi="Times New Roman" w:eastAsia="Traditional Arabic" w:cs="Times New Roman"/>
          <w:sz w:val="24"/>
        </w:rPr>
        <w:t>Kline, R. B. (2023). Principles and practice of structural equation modeling (5th ed.). Guilford Press.</w:t>
      </w:r>
    </w:p>
    <w:p>
      <w:pPr>
        <w:spacing w:line="360" w:lineRule="auto" w:after="120"/>
        <w:ind w:hanging="360" w:left="360"/>
        <w:jc w:val="left"/>
      </w:pPr>
      <w:r>
        <w:rPr>
          <w:rFonts w:ascii="Times New Roman" w:hAnsi="Times New Roman" w:eastAsia="Traditional Arabic" w:cs="Times New Roman"/>
          <w:sz w:val="24"/>
        </w:rPr>
        <w:t>Kundu, O., James, A. D., &amp; Rigby, J. (2025). Impacts of policy-driven public procurement: A methodological review. Science and Public Policy, 52(1), 50-64. https://doi.org/10.1093/scipol/scae058</w:t>
      </w:r>
    </w:p>
    <w:p>
      <w:pPr>
        <w:spacing w:line="360" w:lineRule="auto" w:after="120"/>
        <w:ind w:hanging="360" w:left="360"/>
        <w:jc w:val="left"/>
      </w:pPr>
      <w:r>
        <w:rPr>
          <w:rFonts w:ascii="Times New Roman" w:hAnsi="Times New Roman" w:eastAsia="Traditional Arabic" w:cs="Times New Roman"/>
          <w:sz w:val="24"/>
        </w:rPr>
        <w:t>Matas, S., Oplotnik, Ž. J., &amp; Jagrič, T. (2025). Can we have both? The challenges of efficiency outcomes in a public procurement system and reaching the strategic goals of procurement. Sustainability, 17(6), Article 2475. https://doi.org/10.3390/su17062475</w:t>
      </w:r>
    </w:p>
    <w:p>
      <w:pPr>
        <w:spacing w:line="360" w:lineRule="auto" w:after="120"/>
        <w:ind w:hanging="360" w:left="360"/>
        <w:jc w:val="left"/>
      </w:pPr>
      <w:r>
        <w:rPr>
          <w:rFonts w:ascii="Times New Roman" w:hAnsi="Times New Roman" w:eastAsia="Traditional Arabic" w:cs="Times New Roman"/>
          <w:sz w:val="24"/>
        </w:rPr>
        <w:t>Organisation for Economic Co-operation and Development. (2005). Managing conflict of interest in the public sector: A toolkit. OECD Publishing. https://doi.org/10.1787/9789264018242-en</w:t>
      </w:r>
    </w:p>
    <w:p>
      <w:pPr>
        <w:spacing w:line="360" w:lineRule="auto" w:after="120"/>
        <w:ind w:hanging="360" w:left="360"/>
        <w:jc w:val="left"/>
      </w:pPr>
      <w:r>
        <w:rPr>
          <w:rFonts w:ascii="Times New Roman" w:hAnsi="Times New Roman" w:eastAsia="Traditional Arabic" w:cs="Times New Roman"/>
          <w:sz w:val="24"/>
        </w:rPr>
        <w:t>Organisation for Economic Co-operation and Development. (2023). Public procurement performance: A framework for measuring efficiency, compliance and strategic goals. OECD Publishing. https://doi.org/10.1787/0dde73f4-en</w:t>
      </w:r>
    </w:p>
    <w:p>
      <w:pPr>
        <w:spacing w:line="360" w:lineRule="auto" w:after="120"/>
        <w:ind w:hanging="360" w:left="360"/>
        <w:jc w:val="left"/>
      </w:pPr>
      <w:r>
        <w:rPr>
          <w:rFonts w:ascii="Times New Roman" w:hAnsi="Times New Roman" w:eastAsia="Traditional Arabic" w:cs="Times New Roman"/>
          <w:sz w:val="24"/>
        </w:rPr>
        <w:t>Rodionova, Y., Balaeva, O., Yakovlev, A., &amp; Tkachenko, A. (2026). Public procurement efficiency and enforcement: Evidence from Kazakhstan and Russia. International Journal of Public Administration, 49(1), 1-13. https://doi.org/10.1080/01900692.2025.2452918</w:t>
      </w:r>
    </w:p>
    <w:p>
      <w:pPr>
        <w:spacing w:line="360" w:lineRule="auto" w:after="120"/>
        <w:ind w:hanging="360" w:left="360"/>
        <w:jc w:val="left"/>
      </w:pPr>
      <w:r>
        <w:rPr>
          <w:rFonts w:ascii="Times New Roman" w:hAnsi="Times New Roman" w:eastAsia="Traditional Arabic" w:cs="Times New Roman"/>
          <w:sz w:val="24"/>
        </w:rPr>
        <w:t>Scott, W. R. (2014). Institutions and organizations: Ideas, interests, and identities (4th ed.). Sage.</w:t>
      </w:r>
    </w:p>
    <w:p>
      <w:pPr>
        <w:spacing w:line="360" w:lineRule="auto" w:after="120"/>
        <w:ind w:hanging="360" w:left="360"/>
        <w:jc w:val="left"/>
      </w:pPr>
      <w:r>
        <w:rPr>
          <w:rFonts w:ascii="Times New Roman" w:hAnsi="Times New Roman" w:eastAsia="Traditional Arabic" w:cs="Times New Roman"/>
          <w:sz w:val="24"/>
        </w:rPr>
        <w:t>World Bank. (2020). Procurement guidance: Identifying and managing conflicts of interest in evaluation committees. https://pubdocs.worldbank.org/en/240891579889685786/Procurement-Guidance-Conflict-of-Interest.pdf</w:t>
      </w:r>
    </w:p>
    <w:p>
      <w:pPr>
        <w:spacing w:line="360" w:lineRule="auto" w:after="120"/>
        <w:ind w:hanging="360" w:left="360"/>
        <w:jc w:val="left"/>
      </w:pPr>
      <w:r>
        <w:rPr>
          <w:rFonts w:ascii="Times New Roman" w:hAnsi="Times New Roman" w:eastAsia="Traditional Arabic" w:cs="Times New Roman"/>
          <w:sz w:val="24"/>
        </w:rPr>
        <w:t>Yanuarisa, Y., Irianto, G., Djamhuri, A., &amp; Rusydi, M. K. (2025). Exploring the internal audit of public procurement governance: A systematic literature review. Cogent Business &amp; Management, 12(1), Article 2485411. https://doi.org/10.1080/23311975.2025.2485411</w:t>
      </w:r>
    </w:p>
    <w:p>
      <w:pPr>
        <w:spacing w:lineRule="auto" w:line="360" w:after="160" w:before="0"/>
        <w:jc w:val="right"/>
        <w:pStyle w:val="Heading1"/>
        <w:bidi w:val="1"/>
      </w:pPr>
      <w:r>
        <w:rPr>
          <w:rFonts w:ascii="Traditional Arabic" w:hAnsi="Traditional Arabic" w:eastAsia="Traditional Arabic" w:cs="Traditional Arabic"/>
          <w:b/>
          <w:sz w:val="32"/>
          <w:rtl w:val="1"/>
        </w:rPr>
        <w:t>20. جدول المراجعة الذاتية للخطة بعد التعديل الثاني</w:t>
      </w:r>
    </w:p>
    <w:p>
      <w:pPr>
        <w:spacing w:lineRule="auto" w:line="360" w:after="120" w:before="0"/>
        <w:jc w:val="right"/>
        <w:bidi w:val="1"/>
      </w:pPr>
      <w:r>
        <w:rPr>
          <w:rFonts w:ascii="Traditional Arabic" w:hAnsi="Traditional Arabic" w:eastAsia="Traditional Arabic" w:cs="Traditional Arabic"/>
          <w:b/>
          <w:sz w:val="24"/>
          <w:rtl w:val="1"/>
        </w:rPr>
        <w:t>جدول (9): المراجعة الذاتية للخطة بعد التعديل الثاني</w:t>
      </w:r>
    </w:p>
    <w:tbl>
      <w:tblPr>
        <w:tblStyle w:val="TableGrid"/>
        <w:tblW w:type="auto" w:w="0"/>
        <w:jc w:val="center"/>
        <w:tblLook w:firstColumn="1" w:firstRow="1" w:lastColumn="0" w:lastRow="0" w:noHBand="0" w:noVBand="1" w:val="04A0"/>
        <w:bidiVisual w:val="1"/>
      </w:tblPr>
      <w:tblGrid>
        <w:gridCol w:w="4536"/>
        <w:gridCol w:w="4536"/>
      </w:tblGrid>
      <w:tr>
        <w:trPr>
          <w:tblHeader w:val="true"/>
        </w:trPr>
        <w:tc>
          <w:tcPr>
            <w:tcW w:type="dxa" w:w="2835"/>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عنصر المراجعة</w:t>
            </w:r>
          </w:p>
        </w:tc>
        <w:tc>
          <w:tcPr>
            <w:tcW w:type="dxa" w:w="6803"/>
            <w:shd w:fill="D9EAF7"/>
            <w:vAlign w:val="center"/>
            <w:textDirection w:val="rlTb"/>
          </w:tcPr>
          <w:p>
            <w:pPr>
              <w:spacing w:lineRule="auto" w:line="240" w:after="0" w:before="0"/>
              <w:jc w:val="right"/>
              <w:bidi w:val="1"/>
            </w:pPr>
            <w:r>
              <w:rPr>
                <w:rFonts w:ascii="Traditional Arabic" w:hAnsi="Traditional Arabic" w:cs="Traditional Arabic" w:eastAsia="Traditional Arabic"/>
                <w:b/>
                <w:i w:val="0"/>
                <w:sz w:val="21"/>
                <w:rtl w:val="1"/>
              </w:rPr>
              <w:t>التقييم بعد التعديل</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العنوان</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موجز ومتسق مع المتغيرات الثلاثة ومجال التطبيق.</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المقدمة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قُسّمت الفقرات، وأُبرز السياق الوطني، وأضيف الربط الانتقالي بين كفاءة الإنفاق ومخاطر تعارض المصالح.</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الأسئلة والأهداف والفرضيات</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دُمجت الصياغات المتشابهة، وفُصّلت فرضيات المتغير الوسيط، وأضيف اختبار الفروق والنموذج التنبؤي.</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الإطار النظري</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تكاملت نظرية الوكالة وأصحاب المصلحة والنظرية المؤسسية في تفسير النموذج.</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نموذج الدراسة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أضيفت المتغيرات الرقابية، ومُيز بصريًا بين المسار المباشر والمسار غير المباشر.</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المنهج والعينة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بُرر استخدام SEM، وحددت البرامج، ومعادلة كوجران، والعشوائية داخل الطبقات، والمقابلات التفسيرية.</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الدراسات السابقة</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أضيفت دراسات محكمة حديثة لعامي 2025-2026 وربطت كل فجوة بالأدلة التي أظهرتها.</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أداة الدراسة والتحليل</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حُددت محاور الاستبانة و68 فقرة ومقياس ليكرت، وBootstrap 5,000، ومؤشرات ملاءمة النموذج.</w:t>
            </w:r>
          </w:p>
        </w:tc>
      </w:tr>
      <w:tr>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الخطة الزمنية والمراجع</w:t>
            </w:r>
          </w:p>
        </w:tc>
        <w:tc>
          <w:tcPr>
            <w:tcW w:type="dxa" w:w="4536"/>
            <w:vAlign w:val="center"/>
            <w:textDirection w:val="rlTb"/>
          </w:tcPr>
          <w:p>
            <w:pPr>
              <w:spacing w:line="240" w:lineRule="auto" w:after="0"/>
              <w:jc w:val="right"/>
              <w:bidi w:val="1"/>
            </w:pPr>
            <w:r>
              <w:rPr>
                <w:rFonts w:ascii="Traditional Arabic" w:hAnsi="Traditional Arabic" w:cs="Traditional Arabic"/>
                <w:sz w:val="21"/>
                <w:rtl w:val="1"/>
              </w:rPr>
            </w:r>
            <w:r>
              <w:rPr>
                <w:rFonts w:ascii="Traditional Arabic" w:hAnsi="Traditional Arabic" w:cs="Traditional Arabic"/>
                <w:b w:val="0"/>
                <w:sz w:val="21"/>
                <w:rtl w:val="1"/>
              </w:rPr>
              <w:t>أضيف مخطط جانت، واستكملت بيانات المراجع وروابط DOI/URL، وأجريت مراجعة لغوية وتنسيقية.</w:t>
            </w:r>
          </w:p>
        </w:tc>
      </w:tr>
    </w:tbl>
    <w:sectPr w:rsidR="00FC693F" w:rsidRPr="0006063C" w:rsidSect="00034616">
      <w:footerReference w:type="default" r:id="rI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lineRule="auto" w:line="360" w:after="120" w:before="0"/>
      <w:jc w:val="center"/>
      <w:bidi w:val="1"/>
    </w:pPr>
    <w:r>
      <w:rPr>
        <w:rFonts w:ascii="Traditional Arabic" w:hAnsi="Traditional Arabic" w:cs="Traditional Arabic" w:eastAsia="Traditional Arabic"/>
        <w:b w:val="0"/>
        <w:i w:val="0"/>
        <w:sz w:val="20"/>
        <w:rtl w:val="1"/>
      </w:rPr>
      <w:t xml:space="preserve">صفحة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bidi w:val="1"/>
    </w:pPr>
    <w:rPr>
      <w:rFonts w:ascii="Traditional Arabic" w:hAnsi="Traditional Arabic" w:cs="Traditional Arabic" w:eastAsia="Traditional Arabic"/>
      <w:b w:val="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bidi w:val="1"/>
    </w:pPr>
    <w:rPr>
      <w:rFonts w:asciiTheme="majorHAnsi" w:eastAsiaTheme="majorEastAsia" w:hAnsiTheme="majorHAnsi" w:cstheme="majorBidi" w:ascii="Traditional Arabic" w:hAnsi="Traditional Arabic" w:cs="Traditional Arabic" w:eastAsia="Traditional Arabic"/>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bidi w:val="1"/>
    </w:pPr>
    <w:rPr>
      <w:rFonts w:asciiTheme="majorHAnsi" w:eastAsiaTheme="majorEastAsia" w:hAnsiTheme="majorHAnsi" w:cstheme="majorBidi" w:ascii="Traditional Arabic" w:hAnsi="Traditional Arabic" w:cs="Traditional Arabic" w:eastAsia="Traditional Arabic"/>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bidi w:val="1"/>
    </w:pPr>
    <w:rPr>
      <w:rFonts w:asciiTheme="majorHAnsi" w:eastAsiaTheme="majorEastAsia" w:hAnsiTheme="majorHAnsi" w:cstheme="majorBidi" w:ascii="Traditional Arabic" w:hAnsi="Traditional Arabic" w:cs="Traditional Arabic" w:eastAsia="Traditional Arabic"/>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